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10C1" w14:textId="77777777" w:rsidR="00330AFC" w:rsidRPr="0019599F" w:rsidRDefault="00536562" w:rsidP="0019599F">
      <w:pPr>
        <w:pStyle w:val="BodyA"/>
        <w:spacing w:line="240" w:lineRule="auto"/>
        <w:jc w:val="center"/>
        <w:rPr>
          <w:rFonts w:ascii="Times New Roman" w:eastAsia="Times New Roman" w:hAnsi="Times New Roman" w:cs="Times New Roman"/>
          <w:sz w:val="24"/>
          <w:szCs w:val="24"/>
        </w:rPr>
      </w:pPr>
      <w:bookmarkStart w:id="0" w:name="_GoBack"/>
      <w:bookmarkEnd w:id="0"/>
      <w:r w:rsidRPr="0019599F">
        <w:rPr>
          <w:rFonts w:ascii="Times New Roman" w:hAnsi="Times New Roman"/>
          <w:sz w:val="24"/>
          <w:szCs w:val="24"/>
        </w:rPr>
        <w:t>DIFFERENT STROKES: JUDICIAL VIOLENCE IN VIKING-AGE ENGLAND AND SCANDINAVIA</w:t>
      </w:r>
    </w:p>
    <w:p w14:paraId="4A813446" w14:textId="77777777" w:rsidR="00AE1179" w:rsidRDefault="00AE1179" w:rsidP="0019599F">
      <w:pPr>
        <w:pStyle w:val="BodyA"/>
        <w:spacing w:line="240" w:lineRule="auto"/>
        <w:jc w:val="center"/>
        <w:rPr>
          <w:rFonts w:ascii="Times New Roman" w:hAnsi="Times New Roman"/>
          <w:sz w:val="24"/>
          <w:szCs w:val="24"/>
        </w:rPr>
      </w:pPr>
    </w:p>
    <w:p w14:paraId="2B598A1B" w14:textId="2F1B6F15" w:rsidR="00330AFC" w:rsidRPr="0019599F" w:rsidRDefault="00536562" w:rsidP="0019599F">
      <w:pPr>
        <w:pStyle w:val="BodyA"/>
        <w:spacing w:line="240" w:lineRule="auto"/>
        <w:jc w:val="center"/>
        <w:rPr>
          <w:rFonts w:ascii="Times New Roman" w:eastAsia="Times New Roman" w:hAnsi="Times New Roman" w:cs="Times New Roman"/>
          <w:sz w:val="24"/>
          <w:szCs w:val="24"/>
        </w:rPr>
      </w:pPr>
      <w:r w:rsidRPr="0019599F">
        <w:rPr>
          <w:rFonts w:ascii="Times New Roman" w:hAnsi="Times New Roman"/>
          <w:sz w:val="24"/>
          <w:szCs w:val="24"/>
        </w:rPr>
        <w:t>Keith Ruiter &amp; Steve Ashby</w:t>
      </w:r>
      <w:r w:rsidR="007662DC" w:rsidRPr="0019599F">
        <w:rPr>
          <w:rStyle w:val="FootnoteReference"/>
          <w:rFonts w:ascii="Times New Roman" w:hAnsi="Times New Roman"/>
          <w:sz w:val="24"/>
          <w:szCs w:val="24"/>
        </w:rPr>
        <w:footnoteReference w:id="2"/>
      </w:r>
    </w:p>
    <w:p w14:paraId="02E26A12" w14:textId="77777777" w:rsidR="00AE1179" w:rsidRDefault="00AE1179" w:rsidP="0019599F">
      <w:pPr>
        <w:pStyle w:val="BodyA"/>
        <w:spacing w:line="240" w:lineRule="auto"/>
        <w:rPr>
          <w:rFonts w:ascii="Times New Roman" w:hAnsi="Times New Roman"/>
          <w:i/>
          <w:iCs/>
          <w:sz w:val="24"/>
          <w:szCs w:val="24"/>
          <w:lang w:val="fr-FR"/>
        </w:rPr>
      </w:pPr>
    </w:p>
    <w:p w14:paraId="2513FBC6" w14:textId="31D992D3" w:rsidR="00330AFC" w:rsidRPr="0019599F" w:rsidRDefault="00536562" w:rsidP="0019599F">
      <w:pPr>
        <w:pStyle w:val="BodyA"/>
        <w:spacing w:line="240" w:lineRule="auto"/>
        <w:rPr>
          <w:rFonts w:ascii="Times New Roman" w:eastAsia="Times New Roman" w:hAnsi="Times New Roman" w:cs="Times New Roman"/>
          <w:i/>
          <w:iCs/>
          <w:sz w:val="24"/>
          <w:szCs w:val="24"/>
          <w:lang w:val="fr-FR"/>
        </w:rPr>
      </w:pPr>
      <w:r w:rsidRPr="0019599F">
        <w:rPr>
          <w:rFonts w:ascii="Times New Roman" w:hAnsi="Times New Roman"/>
          <w:i/>
          <w:iCs/>
          <w:sz w:val="24"/>
          <w:szCs w:val="24"/>
          <w:lang w:val="fr-FR"/>
        </w:rPr>
        <w:t>Introduction</w:t>
      </w:r>
    </w:p>
    <w:p w14:paraId="576F395E" w14:textId="77777777" w:rsidR="00AE1179" w:rsidRDefault="00AE1179" w:rsidP="00AE1179">
      <w:pPr>
        <w:pStyle w:val="BodyA"/>
        <w:spacing w:line="240" w:lineRule="auto"/>
        <w:rPr>
          <w:rFonts w:ascii="Times New Roman" w:hAnsi="Times New Roman"/>
          <w:sz w:val="24"/>
          <w:szCs w:val="24"/>
        </w:rPr>
      </w:pPr>
    </w:p>
    <w:p w14:paraId="0AAEA17A" w14:textId="744A4214" w:rsidR="00330AFC" w:rsidRDefault="00536562" w:rsidP="00AE1179">
      <w:pPr>
        <w:pStyle w:val="BodyA"/>
        <w:spacing w:line="240" w:lineRule="auto"/>
        <w:rPr>
          <w:rFonts w:ascii="Times New Roman" w:hAnsi="Times New Roman"/>
          <w:sz w:val="24"/>
          <w:szCs w:val="24"/>
        </w:rPr>
      </w:pPr>
      <w:r w:rsidRPr="0019599F">
        <w:rPr>
          <w:rFonts w:ascii="Times New Roman" w:hAnsi="Times New Roman"/>
          <w:sz w:val="24"/>
          <w:szCs w:val="24"/>
        </w:rPr>
        <w:t>Crime and deviance stand as very real challenges in all societies, and examining the ways in which cultures accommodate, rehabilitate, and react against non-normative individuals can prove instructive (Hall 2012; Baier 2013). As Alison Klevnäs has recently emphasized</w:t>
      </w:r>
      <w:r w:rsidR="00983335">
        <w:rPr>
          <w:rFonts w:ascii="Times New Roman" w:hAnsi="Times New Roman"/>
          <w:sz w:val="24"/>
          <w:szCs w:val="24"/>
        </w:rPr>
        <w:t xml:space="preserve"> </w:t>
      </w:r>
      <w:r w:rsidR="00983335" w:rsidRPr="0019599F">
        <w:rPr>
          <w:rFonts w:ascii="Times New Roman" w:hAnsi="Times New Roman"/>
          <w:sz w:val="24"/>
          <w:szCs w:val="24"/>
        </w:rPr>
        <w:t>(2016a, 54)</w:t>
      </w:r>
      <w:r w:rsidRPr="0019599F">
        <w:rPr>
          <w:rFonts w:ascii="Times New Roman" w:hAnsi="Times New Roman"/>
          <w:sz w:val="24"/>
          <w:szCs w:val="24"/>
        </w:rPr>
        <w:t>, the study of deviance, violence, politics, and power</w:t>
      </w:r>
      <w:r w:rsidR="00983335">
        <w:rPr>
          <w:rFonts w:ascii="Times New Roman" w:hAnsi="Times New Roman"/>
          <w:sz w:val="24"/>
          <w:szCs w:val="24"/>
        </w:rPr>
        <w:t xml:space="preserve"> is</w:t>
      </w:r>
      <w:r w:rsidRPr="0019599F">
        <w:rPr>
          <w:rFonts w:ascii="Times New Roman" w:hAnsi="Times New Roman"/>
          <w:sz w:val="24"/>
          <w:szCs w:val="24"/>
        </w:rPr>
        <w:t>, and always ha</w:t>
      </w:r>
      <w:r w:rsidR="00983335">
        <w:rPr>
          <w:rFonts w:ascii="Times New Roman" w:hAnsi="Times New Roman"/>
          <w:sz w:val="24"/>
          <w:szCs w:val="24"/>
        </w:rPr>
        <w:t>s</w:t>
      </w:r>
      <w:r w:rsidRPr="0019599F">
        <w:rPr>
          <w:rFonts w:ascii="Times New Roman" w:hAnsi="Times New Roman"/>
          <w:sz w:val="24"/>
          <w:szCs w:val="24"/>
        </w:rPr>
        <w:t xml:space="preserve"> be</w:t>
      </w:r>
      <w:r w:rsidR="00A4349A" w:rsidRPr="0019599F">
        <w:rPr>
          <w:rFonts w:ascii="Times New Roman" w:hAnsi="Times New Roman"/>
          <w:sz w:val="24"/>
          <w:szCs w:val="24"/>
        </w:rPr>
        <w:t>en, tightly entwined with death</w:t>
      </w:r>
      <w:r w:rsidRPr="0019599F">
        <w:rPr>
          <w:rFonts w:ascii="Times New Roman" w:hAnsi="Times New Roman"/>
          <w:sz w:val="24"/>
          <w:szCs w:val="24"/>
        </w:rPr>
        <w:t xml:space="preserve">, and this world of </w:t>
      </w:r>
      <w:r w:rsidR="00D03D40">
        <w:rPr>
          <w:rFonts w:ascii="Times New Roman" w:hAnsi="Times New Roman"/>
          <w:sz w:val="24"/>
          <w:szCs w:val="24"/>
        </w:rPr>
        <w:t>‘</w:t>
      </w:r>
      <w:r w:rsidRPr="0019599F">
        <w:rPr>
          <w:rFonts w:ascii="Times New Roman" w:hAnsi="Times New Roman"/>
          <w:sz w:val="24"/>
          <w:szCs w:val="24"/>
        </w:rPr>
        <w:t>necropolitics</w:t>
      </w:r>
      <w:r w:rsidR="00D03D40">
        <w:rPr>
          <w:rFonts w:ascii="Times New Roman" w:hAnsi="Times New Roman"/>
          <w:sz w:val="24"/>
          <w:szCs w:val="24"/>
        </w:rPr>
        <w:t>’</w:t>
      </w:r>
      <w:r w:rsidRPr="0019599F">
        <w:rPr>
          <w:rFonts w:ascii="Times New Roman" w:hAnsi="Times New Roman"/>
          <w:sz w:val="24"/>
          <w:szCs w:val="24"/>
        </w:rPr>
        <w:t xml:space="preserve"> has the potential to cataly</w:t>
      </w:r>
      <w:r w:rsidR="00983335">
        <w:rPr>
          <w:rFonts w:ascii="Times New Roman" w:hAnsi="Times New Roman"/>
          <w:sz w:val="24"/>
          <w:szCs w:val="24"/>
        </w:rPr>
        <w:t>s</w:t>
      </w:r>
      <w:r w:rsidRPr="0019599F">
        <w:rPr>
          <w:rFonts w:ascii="Times New Roman" w:hAnsi="Times New Roman"/>
          <w:sz w:val="24"/>
          <w:szCs w:val="24"/>
        </w:rPr>
        <w:t xml:space="preserve">e scholarly debate. These considerations find special currency in the Viking Age, given its characteristic increase in cultural contact and interaction, changing religious contexts, and developments in law and governance. </w:t>
      </w:r>
      <w:r w:rsidR="00EE3477">
        <w:rPr>
          <w:rFonts w:ascii="Times New Roman" w:hAnsi="Times New Roman"/>
          <w:sz w:val="24"/>
          <w:szCs w:val="24"/>
        </w:rPr>
        <w:t>In t</w:t>
      </w:r>
      <w:r w:rsidRPr="0019599F">
        <w:rPr>
          <w:rFonts w:ascii="Times New Roman" w:hAnsi="Times New Roman"/>
          <w:sz w:val="24"/>
          <w:szCs w:val="24"/>
        </w:rPr>
        <w:t>his paper</w:t>
      </w:r>
      <w:r w:rsidR="00EE3477">
        <w:rPr>
          <w:rFonts w:ascii="Times New Roman" w:hAnsi="Times New Roman"/>
          <w:sz w:val="24"/>
          <w:szCs w:val="24"/>
        </w:rPr>
        <w:t>, b</w:t>
      </w:r>
      <w:r w:rsidRPr="0019599F">
        <w:rPr>
          <w:rFonts w:ascii="Times New Roman" w:hAnsi="Times New Roman"/>
          <w:sz w:val="24"/>
          <w:szCs w:val="24"/>
        </w:rPr>
        <w:t>y applying a novel interdisciplinary and comparative approach to evidence</w:t>
      </w:r>
      <w:r w:rsidR="00EE3477">
        <w:rPr>
          <w:rFonts w:ascii="Times New Roman" w:hAnsi="Times New Roman"/>
          <w:sz w:val="24"/>
          <w:szCs w:val="24"/>
        </w:rPr>
        <w:t>, both textual and archaeological,</w:t>
      </w:r>
      <w:r w:rsidRPr="0019599F">
        <w:rPr>
          <w:rFonts w:ascii="Times New Roman" w:hAnsi="Times New Roman"/>
          <w:sz w:val="24"/>
          <w:szCs w:val="24"/>
        </w:rPr>
        <w:t xml:space="preserve"> for judicially-pr</w:t>
      </w:r>
      <w:r w:rsidR="00AE1179">
        <w:rPr>
          <w:rFonts w:ascii="Times New Roman" w:hAnsi="Times New Roman"/>
          <w:sz w:val="24"/>
          <w:szCs w:val="24"/>
        </w:rPr>
        <w:t xml:space="preserve">escribed violence in the Viking </w:t>
      </w:r>
      <w:r w:rsidRPr="0019599F">
        <w:rPr>
          <w:rFonts w:ascii="Times New Roman" w:hAnsi="Times New Roman"/>
          <w:sz w:val="24"/>
          <w:szCs w:val="24"/>
        </w:rPr>
        <w:t>Age, we are able to highlight new macroscopic details of the English and Scandinavian systems of punishment and some of the ideas permeating them.</w:t>
      </w:r>
      <w:r w:rsidRPr="0019599F">
        <w:rPr>
          <w:rFonts w:ascii="Times New Roman" w:eastAsia="Times New Roman" w:hAnsi="Times New Roman" w:cs="Times New Roman"/>
          <w:sz w:val="24"/>
          <w:szCs w:val="24"/>
          <w:vertAlign w:val="superscript"/>
        </w:rPr>
        <w:footnoteReference w:id="3"/>
      </w:r>
      <w:r w:rsidRPr="0019599F">
        <w:rPr>
          <w:rFonts w:ascii="Times New Roman" w:hAnsi="Times New Roman"/>
          <w:sz w:val="24"/>
          <w:szCs w:val="24"/>
        </w:rPr>
        <w:t xml:space="preserve"> Using this approach, we argue that key </w:t>
      </w:r>
      <w:r w:rsidRPr="0019599F">
        <w:rPr>
          <w:rFonts w:ascii="Times New Roman" w:hAnsi="Times New Roman"/>
          <w:sz w:val="24"/>
          <w:szCs w:val="24"/>
        </w:rPr>
        <w:lastRenderedPageBreak/>
        <w:t xml:space="preserve">distinctions are visible between the English and Scandinavian punishment systems. </w:t>
      </w:r>
      <w:r w:rsidR="00EE3477">
        <w:rPr>
          <w:rFonts w:ascii="Times New Roman" w:hAnsi="Times New Roman"/>
          <w:sz w:val="24"/>
          <w:szCs w:val="24"/>
        </w:rPr>
        <w:t xml:space="preserve">The paper concludes with </w:t>
      </w:r>
      <w:r w:rsidRPr="0019599F">
        <w:rPr>
          <w:rFonts w:ascii="Times New Roman" w:hAnsi="Times New Roman"/>
          <w:sz w:val="24"/>
          <w:szCs w:val="24"/>
        </w:rPr>
        <w:t>a case study of attitude</w:t>
      </w:r>
      <w:r w:rsidR="00EE3477">
        <w:rPr>
          <w:rFonts w:ascii="Times New Roman" w:hAnsi="Times New Roman"/>
          <w:sz w:val="24"/>
          <w:szCs w:val="24"/>
        </w:rPr>
        <w:t>s</w:t>
      </w:r>
      <w:r w:rsidRPr="0019599F">
        <w:rPr>
          <w:rFonts w:ascii="Times New Roman" w:hAnsi="Times New Roman"/>
          <w:sz w:val="24"/>
          <w:szCs w:val="24"/>
        </w:rPr>
        <w:t xml:space="preserve"> </w:t>
      </w:r>
      <w:r w:rsidR="002B471F">
        <w:rPr>
          <w:rFonts w:ascii="Times New Roman" w:hAnsi="Times New Roman"/>
          <w:sz w:val="24"/>
          <w:szCs w:val="24"/>
        </w:rPr>
        <w:t xml:space="preserve">to judicial punishment </w:t>
      </w:r>
      <w:r w:rsidRPr="0019599F">
        <w:rPr>
          <w:rFonts w:ascii="Times New Roman" w:hAnsi="Times New Roman"/>
          <w:sz w:val="24"/>
          <w:szCs w:val="24"/>
        </w:rPr>
        <w:t>prevailing during Knútr the Great</w:t>
      </w:r>
      <w:r w:rsidR="00D03D40">
        <w:rPr>
          <w:rFonts w:ascii="Times New Roman" w:hAnsi="Times New Roman"/>
          <w:sz w:val="24"/>
          <w:szCs w:val="24"/>
        </w:rPr>
        <w:t>’</w:t>
      </w:r>
      <w:r w:rsidRPr="0019599F">
        <w:rPr>
          <w:rFonts w:ascii="Times New Roman" w:hAnsi="Times New Roman"/>
          <w:sz w:val="24"/>
          <w:szCs w:val="24"/>
        </w:rPr>
        <w:t xml:space="preserve">s English reign. </w:t>
      </w:r>
    </w:p>
    <w:p w14:paraId="4E0C2BC8" w14:textId="77777777" w:rsidR="0019599F" w:rsidRPr="0019599F" w:rsidRDefault="0019599F" w:rsidP="0019599F">
      <w:pPr>
        <w:pStyle w:val="BodyA"/>
        <w:spacing w:line="240" w:lineRule="auto"/>
        <w:ind w:firstLine="720"/>
        <w:rPr>
          <w:rFonts w:ascii="Times New Roman" w:eastAsia="Times New Roman" w:hAnsi="Times New Roman" w:cs="Times New Roman"/>
          <w:sz w:val="24"/>
          <w:szCs w:val="24"/>
        </w:rPr>
      </w:pPr>
    </w:p>
    <w:p w14:paraId="02CF8BCD" w14:textId="7777777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Concepts and Methodologies</w:t>
      </w:r>
    </w:p>
    <w:p w14:paraId="70FE349E" w14:textId="77777777" w:rsidR="0019599F" w:rsidRDefault="0019599F" w:rsidP="0019599F">
      <w:pPr>
        <w:pStyle w:val="BodyA"/>
        <w:spacing w:line="240" w:lineRule="auto"/>
        <w:rPr>
          <w:rFonts w:ascii="Times New Roman" w:hAnsi="Times New Roman"/>
          <w:sz w:val="24"/>
          <w:szCs w:val="24"/>
        </w:rPr>
      </w:pPr>
    </w:p>
    <w:p w14:paraId="6F32DF55" w14:textId="1DD3E8FF"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For the purposes of this article, </w:t>
      </w:r>
      <w:r w:rsidR="00EE3477">
        <w:rPr>
          <w:rFonts w:ascii="Times New Roman" w:hAnsi="Times New Roman"/>
          <w:sz w:val="24"/>
          <w:szCs w:val="24"/>
        </w:rPr>
        <w:t>the term ‘</w:t>
      </w:r>
      <w:r w:rsidRPr="0019599F">
        <w:rPr>
          <w:rFonts w:ascii="Times New Roman" w:hAnsi="Times New Roman"/>
          <w:sz w:val="24"/>
          <w:szCs w:val="24"/>
        </w:rPr>
        <w:t>judicial violence</w:t>
      </w:r>
      <w:r w:rsidR="00EE3477">
        <w:rPr>
          <w:rFonts w:ascii="Times New Roman" w:hAnsi="Times New Roman"/>
          <w:sz w:val="24"/>
          <w:szCs w:val="24"/>
        </w:rPr>
        <w:t>’</w:t>
      </w:r>
      <w:r w:rsidRPr="0019599F">
        <w:rPr>
          <w:rFonts w:ascii="Times New Roman" w:hAnsi="Times New Roman"/>
          <w:sz w:val="24"/>
          <w:szCs w:val="24"/>
        </w:rPr>
        <w:t xml:space="preserve"> can be understood as judicially-prescribed for</w:t>
      </w:r>
      <w:r w:rsidR="00AA2C4A">
        <w:rPr>
          <w:rFonts w:ascii="Times New Roman" w:hAnsi="Times New Roman"/>
          <w:sz w:val="24"/>
          <w:szCs w:val="24"/>
        </w:rPr>
        <w:t>ce to be enacted on an offender</w:t>
      </w:r>
      <w:r w:rsidRPr="0019599F">
        <w:rPr>
          <w:rFonts w:ascii="Times New Roman" w:hAnsi="Times New Roman"/>
          <w:sz w:val="24"/>
          <w:szCs w:val="24"/>
        </w:rPr>
        <w:t xml:space="preserve"> as legal punishment in cases of criminal deviance. Extant sources suggest that at this time in both Scandinavia and England there existed a hierarchy of judicial violence, moving from marking, branding, or maiming in the</w:t>
      </w:r>
      <w:r w:rsidR="00AA2C4A">
        <w:rPr>
          <w:rFonts w:ascii="Times New Roman" w:hAnsi="Times New Roman"/>
          <w:sz w:val="24"/>
          <w:szCs w:val="24"/>
        </w:rPr>
        <w:t xml:space="preserve"> case of somewhat lesser crimes</w:t>
      </w:r>
      <w:r w:rsidRPr="0019599F">
        <w:rPr>
          <w:rFonts w:ascii="Times New Roman" w:hAnsi="Times New Roman"/>
          <w:sz w:val="24"/>
          <w:szCs w:val="24"/>
        </w:rPr>
        <w:t xml:space="preserve"> to blinding, many varieties of amputation, and execution in more serious cases.</w:t>
      </w:r>
      <w:r w:rsidRPr="0019599F">
        <w:rPr>
          <w:rFonts w:ascii="Times New Roman" w:eastAsia="Times New Roman" w:hAnsi="Times New Roman" w:cs="Times New Roman"/>
          <w:sz w:val="24"/>
          <w:szCs w:val="24"/>
          <w:vertAlign w:val="superscript"/>
        </w:rPr>
        <w:footnoteReference w:id="4"/>
      </w:r>
      <w:r w:rsidRPr="0019599F">
        <w:rPr>
          <w:rFonts w:ascii="Times New Roman" w:hAnsi="Times New Roman"/>
          <w:sz w:val="24"/>
          <w:szCs w:val="24"/>
        </w:rPr>
        <w:t xml:space="preserve"> This </w:t>
      </w:r>
      <w:r w:rsidR="00EE3477">
        <w:rPr>
          <w:rFonts w:ascii="Times New Roman" w:hAnsi="Times New Roman"/>
          <w:sz w:val="24"/>
          <w:szCs w:val="24"/>
        </w:rPr>
        <w:t xml:space="preserve">type of </w:t>
      </w:r>
      <w:r w:rsidRPr="0019599F">
        <w:rPr>
          <w:rFonts w:ascii="Times New Roman" w:hAnsi="Times New Roman"/>
          <w:sz w:val="24"/>
          <w:szCs w:val="24"/>
        </w:rPr>
        <w:t>violence should be understood as a legal punishment in its own right, ordered by an official, legally-empowered body and carried out by judicial imperative. In this way, it differs from trial by ordeal in that it seeks to punish the guilty, not ascertain guilt; from murder in its operation within a legal framework; from human sacrifice in its legal, rather than ritual, concerns; and from death and injury in battle in its attempted impartiality</w:t>
      </w:r>
      <w:r w:rsidR="00EE3477">
        <w:rPr>
          <w:rFonts w:ascii="Times New Roman" w:hAnsi="Times New Roman"/>
          <w:sz w:val="24"/>
          <w:szCs w:val="24"/>
        </w:rPr>
        <w:t xml:space="preserve"> </w:t>
      </w:r>
      <w:r w:rsidR="00EE3477" w:rsidRPr="0019599F">
        <w:rPr>
          <w:rFonts w:ascii="Times New Roman" w:hAnsi="Times New Roman"/>
          <w:sz w:val="24"/>
          <w:szCs w:val="24"/>
        </w:rPr>
        <w:t>(Reynolds 2009, 1-33)</w:t>
      </w:r>
      <w:r w:rsidRPr="0019599F">
        <w:rPr>
          <w:rFonts w:ascii="Times New Roman" w:hAnsi="Times New Roman"/>
          <w:sz w:val="24"/>
          <w:szCs w:val="24"/>
        </w:rPr>
        <w:t>.</w:t>
      </w:r>
    </w:p>
    <w:p w14:paraId="01EF669F" w14:textId="1292B3D1"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t>
      </w:r>
      <w:r w:rsidR="00EE3477">
        <w:rPr>
          <w:rFonts w:ascii="Times New Roman" w:hAnsi="Times New Roman"/>
          <w:sz w:val="24"/>
          <w:szCs w:val="24"/>
        </w:rPr>
        <w:t xml:space="preserve">Related is </w:t>
      </w:r>
      <w:r w:rsidRPr="0019599F">
        <w:rPr>
          <w:rFonts w:ascii="Times New Roman" w:hAnsi="Times New Roman"/>
          <w:sz w:val="24"/>
          <w:szCs w:val="24"/>
        </w:rPr>
        <w:t xml:space="preserve">the legal practice of outlawry, </w:t>
      </w:r>
      <w:r w:rsidR="007F4FF4">
        <w:rPr>
          <w:rFonts w:ascii="Times New Roman" w:hAnsi="Times New Roman"/>
          <w:sz w:val="24"/>
          <w:szCs w:val="24"/>
        </w:rPr>
        <w:t>since</w:t>
      </w:r>
      <w:r w:rsidRPr="0019599F">
        <w:rPr>
          <w:rFonts w:ascii="Times New Roman" w:hAnsi="Times New Roman"/>
          <w:sz w:val="24"/>
          <w:szCs w:val="24"/>
        </w:rPr>
        <w:t xml:space="preserve"> </w:t>
      </w:r>
      <w:r w:rsidR="00EE3477">
        <w:rPr>
          <w:rFonts w:ascii="Times New Roman" w:hAnsi="Times New Roman"/>
          <w:sz w:val="24"/>
          <w:szCs w:val="24"/>
        </w:rPr>
        <w:t xml:space="preserve">here </w:t>
      </w:r>
      <w:r w:rsidRPr="0019599F">
        <w:rPr>
          <w:rFonts w:ascii="Times New Roman" w:hAnsi="Times New Roman"/>
          <w:sz w:val="24"/>
          <w:szCs w:val="24"/>
        </w:rPr>
        <w:t xml:space="preserve">the threat of judicial violence </w:t>
      </w:r>
      <w:r w:rsidR="00EE3477">
        <w:rPr>
          <w:rFonts w:ascii="Times New Roman" w:hAnsi="Times New Roman"/>
          <w:sz w:val="24"/>
          <w:szCs w:val="24"/>
        </w:rPr>
        <w:t xml:space="preserve">remains </w:t>
      </w:r>
      <w:r w:rsidRPr="0019599F">
        <w:rPr>
          <w:rFonts w:ascii="Times New Roman" w:hAnsi="Times New Roman"/>
          <w:sz w:val="24"/>
          <w:szCs w:val="24"/>
        </w:rPr>
        <w:t xml:space="preserve">hanging over the convict as motivation to </w:t>
      </w:r>
      <w:commentRangeStart w:id="1"/>
      <w:r w:rsidRPr="0019599F">
        <w:rPr>
          <w:rFonts w:ascii="Times New Roman" w:hAnsi="Times New Roman"/>
          <w:sz w:val="24"/>
          <w:szCs w:val="24"/>
        </w:rPr>
        <w:t xml:space="preserve">remain abroad </w:t>
      </w:r>
      <w:commentRangeEnd w:id="1"/>
      <w:r w:rsidR="00EE3477">
        <w:rPr>
          <w:rStyle w:val="CommentReference"/>
          <w:rFonts w:ascii="Times New Roman" w:hAnsi="Times New Roman" w:cs="Times New Roman"/>
          <w:color w:val="auto"/>
          <w:lang w:eastAsia="en-US"/>
        </w:rPr>
        <w:commentReference w:id="1"/>
      </w:r>
      <w:r w:rsidRPr="0019599F">
        <w:rPr>
          <w:rFonts w:ascii="Times New Roman" w:hAnsi="Times New Roman"/>
          <w:sz w:val="24"/>
          <w:szCs w:val="24"/>
        </w:rPr>
        <w:t xml:space="preserve">(Larson 1935, 17). This is notably different from other forms of exile – which can be illegally-, informally-, or self-imposed – and in certain cases the guilty party could repurchase their peace and freedom from the legal authorities (Larson 1935, 17). This payment was commonly known as </w:t>
      </w:r>
      <w:r w:rsidRPr="0019599F">
        <w:rPr>
          <w:rFonts w:ascii="Times New Roman" w:hAnsi="Times New Roman"/>
          <w:i/>
          <w:iCs/>
          <w:sz w:val="24"/>
          <w:szCs w:val="24"/>
        </w:rPr>
        <w:t xml:space="preserve">skógarkaup </w:t>
      </w:r>
      <w:r w:rsidRPr="0019599F">
        <w:rPr>
          <w:rFonts w:ascii="Times New Roman" w:hAnsi="Times New Roman"/>
          <w:sz w:val="24"/>
          <w:szCs w:val="24"/>
          <w:lang w:val="it-IT"/>
        </w:rPr>
        <w:t>in Scandinavia.</w:t>
      </w:r>
      <w:r w:rsidRPr="0019599F">
        <w:rPr>
          <w:rFonts w:ascii="Times New Roman" w:eastAsia="Times New Roman" w:hAnsi="Times New Roman" w:cs="Times New Roman"/>
          <w:sz w:val="24"/>
          <w:szCs w:val="24"/>
          <w:vertAlign w:val="superscript"/>
        </w:rPr>
        <w:footnoteReference w:id="5"/>
      </w:r>
      <w:r w:rsidRPr="0019599F">
        <w:rPr>
          <w:rFonts w:ascii="Times New Roman" w:hAnsi="Times New Roman"/>
          <w:sz w:val="24"/>
          <w:szCs w:val="24"/>
        </w:rPr>
        <w:t xml:space="preserve"> Thus, legal outlawry can be understood as a passively judicially-violent punishment.</w:t>
      </w:r>
    </w:p>
    <w:p w14:paraId="405C7A54" w14:textId="66EC5230" w:rsidR="00330AFC" w:rsidRDefault="00536562" w:rsidP="0019599F">
      <w:pPr>
        <w:pStyle w:val="BodyA"/>
        <w:spacing w:line="240" w:lineRule="auto"/>
        <w:rPr>
          <w:rFonts w:ascii="Times New Roman" w:hAnsi="Times New Roman"/>
          <w:sz w:val="24"/>
          <w:szCs w:val="24"/>
        </w:rPr>
      </w:pPr>
      <w:r w:rsidRPr="0019599F">
        <w:rPr>
          <w:rFonts w:ascii="Times New Roman" w:hAnsi="Times New Roman"/>
          <w:sz w:val="24"/>
          <w:szCs w:val="24"/>
        </w:rPr>
        <w:t xml:space="preserve">      Both Viking-Age England and Scandinavia make excellent areas of investigation for scholars interested in social and criminal deviants, in that both cultures appear to have disposed of at least a proportion of their </w:t>
      </w:r>
      <w:r w:rsidR="00D03D40">
        <w:rPr>
          <w:rFonts w:ascii="Times New Roman" w:hAnsi="Times New Roman"/>
          <w:sz w:val="24"/>
          <w:szCs w:val="24"/>
        </w:rPr>
        <w:t>‘</w:t>
      </w:r>
      <w:r w:rsidRPr="0019599F">
        <w:rPr>
          <w:rFonts w:ascii="Times New Roman" w:hAnsi="Times New Roman"/>
          <w:sz w:val="24"/>
          <w:szCs w:val="24"/>
          <w:lang w:val="pt-PT"/>
        </w:rPr>
        <w:t>deviant</w:t>
      </w:r>
      <w:r w:rsidR="00D03D40">
        <w:rPr>
          <w:rFonts w:ascii="Times New Roman" w:hAnsi="Times New Roman"/>
          <w:sz w:val="24"/>
          <w:szCs w:val="24"/>
        </w:rPr>
        <w:t>’</w:t>
      </w:r>
      <w:r w:rsidRPr="0019599F">
        <w:rPr>
          <w:rFonts w:ascii="Times New Roman" w:hAnsi="Times New Roman"/>
          <w:sz w:val="24"/>
          <w:szCs w:val="24"/>
        </w:rPr>
        <w:t xml:space="preserve"> dead in archaeologically visible ways.</w:t>
      </w:r>
      <w:r w:rsidRPr="0019599F">
        <w:rPr>
          <w:rFonts w:ascii="Times New Roman" w:eastAsia="Times New Roman" w:hAnsi="Times New Roman" w:cs="Times New Roman"/>
          <w:sz w:val="24"/>
          <w:szCs w:val="24"/>
          <w:vertAlign w:val="superscript"/>
        </w:rPr>
        <w:footnoteReference w:id="6"/>
      </w:r>
      <w:r w:rsidRPr="0019599F">
        <w:rPr>
          <w:rFonts w:ascii="Times New Roman" w:hAnsi="Times New Roman"/>
          <w:sz w:val="24"/>
          <w:szCs w:val="24"/>
        </w:rPr>
        <w:t xml:space="preserve">  Recent archaeological study of these </w:t>
      </w:r>
      <w:r w:rsidR="00D03D40">
        <w:rPr>
          <w:rFonts w:ascii="Times New Roman" w:hAnsi="Times New Roman"/>
          <w:sz w:val="24"/>
          <w:szCs w:val="24"/>
        </w:rPr>
        <w:t>‘</w:t>
      </w:r>
      <w:r w:rsidRPr="0019599F">
        <w:rPr>
          <w:rFonts w:ascii="Times New Roman" w:hAnsi="Times New Roman"/>
          <w:sz w:val="24"/>
          <w:szCs w:val="24"/>
        </w:rPr>
        <w:t>deviant burials</w:t>
      </w:r>
      <w:r w:rsidR="00D03D40">
        <w:rPr>
          <w:rFonts w:ascii="Times New Roman" w:hAnsi="Times New Roman"/>
          <w:sz w:val="24"/>
          <w:szCs w:val="24"/>
        </w:rPr>
        <w:t>’</w:t>
      </w:r>
      <w:r w:rsidRPr="0019599F">
        <w:rPr>
          <w:rFonts w:ascii="Times New Roman" w:eastAsia="Times New Roman" w:hAnsi="Times New Roman" w:cs="Times New Roman"/>
          <w:sz w:val="24"/>
          <w:szCs w:val="24"/>
          <w:vertAlign w:val="superscript"/>
        </w:rPr>
        <w:footnoteReference w:id="7"/>
      </w:r>
      <w:r w:rsidRPr="0019599F">
        <w:rPr>
          <w:rFonts w:ascii="Times New Roman" w:hAnsi="Times New Roman"/>
          <w:sz w:val="24"/>
          <w:szCs w:val="24"/>
        </w:rPr>
        <w:t xml:space="preserve"> has proven remarkably productive, with scholars including </w:t>
      </w:r>
      <w:r w:rsidRPr="0019599F">
        <w:rPr>
          <w:rFonts w:ascii="Times New Roman" w:hAnsi="Times New Roman"/>
          <w:sz w:val="24"/>
          <w:szCs w:val="24"/>
        </w:rPr>
        <w:lastRenderedPageBreak/>
        <w:t xml:space="preserve">Andrew Reynolds (2009), Jo Buckberry (2010), Dawn Hadley (Buckberry and Hadley 2007), Eva Thäte (2007), and Leszek Gardeła (2013a; 2013b) providing new insights into how social and legal outsiders were treated peri- and post-mortem, as well as the pathology of judicial violence. </w:t>
      </w:r>
      <w:r w:rsidR="00EE3477">
        <w:rPr>
          <w:rFonts w:ascii="Times New Roman" w:hAnsi="Times New Roman"/>
          <w:sz w:val="24"/>
          <w:szCs w:val="24"/>
        </w:rPr>
        <w:t>But d</w:t>
      </w:r>
      <w:r w:rsidRPr="0019599F">
        <w:rPr>
          <w:rFonts w:ascii="Times New Roman" w:hAnsi="Times New Roman"/>
          <w:sz w:val="24"/>
          <w:szCs w:val="24"/>
        </w:rPr>
        <w:t xml:space="preserve">espite this explosion in the study of deviant burials and ongoing work with the legal texts of both cultures, little work has been done to consider other textual sources – which are often interested in non-normative individuals of various sorts – in connection with punitive actions and attitudes. </w:t>
      </w:r>
    </w:p>
    <w:p w14:paraId="2560042E" w14:textId="77777777" w:rsidR="00291A9A" w:rsidRPr="0019599F" w:rsidRDefault="00291A9A" w:rsidP="0019599F">
      <w:pPr>
        <w:pStyle w:val="BodyA"/>
        <w:spacing w:line="240" w:lineRule="auto"/>
        <w:rPr>
          <w:rFonts w:ascii="Times New Roman" w:eastAsia="Times New Roman" w:hAnsi="Times New Roman" w:cs="Times New Roman"/>
          <w:sz w:val="24"/>
          <w:szCs w:val="24"/>
        </w:rPr>
      </w:pPr>
    </w:p>
    <w:p w14:paraId="32B3F5F8" w14:textId="7777777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Judicial Violence in Law</w:t>
      </w:r>
    </w:p>
    <w:p w14:paraId="271A18DC" w14:textId="77777777" w:rsidR="00291A9A" w:rsidRDefault="00291A9A" w:rsidP="0019599F">
      <w:pPr>
        <w:pStyle w:val="BodyA"/>
        <w:spacing w:line="240" w:lineRule="auto"/>
        <w:rPr>
          <w:rFonts w:ascii="Times New Roman" w:hAnsi="Times New Roman"/>
          <w:sz w:val="24"/>
          <w:szCs w:val="24"/>
        </w:rPr>
      </w:pPr>
    </w:p>
    <w:p w14:paraId="3CF00A41" w14:textId="0028E206" w:rsidR="00330AFC" w:rsidRPr="0019599F" w:rsidRDefault="007F4FF4" w:rsidP="0019599F">
      <w:pPr>
        <w:pStyle w:val="BodyA"/>
        <w:spacing w:line="240" w:lineRule="auto"/>
        <w:rPr>
          <w:rFonts w:ascii="Times New Roman" w:eastAsia="Times New Roman" w:hAnsi="Times New Roman" w:cs="Times New Roman"/>
          <w:sz w:val="24"/>
          <w:szCs w:val="24"/>
        </w:rPr>
      </w:pPr>
      <w:r>
        <w:rPr>
          <w:rFonts w:ascii="Times New Roman" w:hAnsi="Times New Roman"/>
          <w:sz w:val="24"/>
          <w:szCs w:val="24"/>
        </w:rPr>
        <w:t xml:space="preserve">Among </w:t>
      </w:r>
      <w:r w:rsidR="00536562" w:rsidRPr="0019599F">
        <w:rPr>
          <w:rFonts w:ascii="Times New Roman" w:hAnsi="Times New Roman"/>
          <w:sz w:val="24"/>
          <w:szCs w:val="24"/>
        </w:rPr>
        <w:t xml:space="preserve">vernacular sources, </w:t>
      </w:r>
      <w:r w:rsidR="00536562" w:rsidRPr="0019599F">
        <w:rPr>
          <w:rFonts w:ascii="Times New Roman" w:hAnsi="Times New Roman"/>
          <w:sz w:val="24"/>
          <w:szCs w:val="24"/>
          <w:lang w:val="pt-PT"/>
        </w:rPr>
        <w:t xml:space="preserve">legal texts </w:t>
      </w:r>
      <w:r w:rsidR="00536562" w:rsidRPr="0019599F">
        <w:rPr>
          <w:rFonts w:ascii="Times New Roman" w:hAnsi="Times New Roman"/>
          <w:sz w:val="24"/>
          <w:szCs w:val="24"/>
        </w:rPr>
        <w:t xml:space="preserve">stand as the most natural point of entry into the topic. Given the confines of this paper, we have opted to focus on </w:t>
      </w:r>
      <w:r w:rsidR="00536562" w:rsidRPr="0019599F">
        <w:rPr>
          <w:rFonts w:ascii="Times New Roman" w:hAnsi="Times New Roman"/>
          <w:i/>
          <w:iCs/>
          <w:sz w:val="24"/>
          <w:szCs w:val="24"/>
        </w:rPr>
        <w:t>Guta lag</w:t>
      </w:r>
      <w:r w:rsidR="00536562" w:rsidRPr="0019599F">
        <w:rPr>
          <w:rFonts w:ascii="Times New Roman" w:hAnsi="Times New Roman"/>
          <w:sz w:val="24"/>
          <w:szCs w:val="24"/>
        </w:rPr>
        <w:t xml:space="preserve">, </w:t>
      </w:r>
      <w:r w:rsidR="00536562" w:rsidRPr="0019599F">
        <w:rPr>
          <w:rFonts w:ascii="Times New Roman" w:hAnsi="Times New Roman"/>
          <w:i/>
          <w:iCs/>
          <w:sz w:val="24"/>
          <w:szCs w:val="24"/>
        </w:rPr>
        <w:t>Gulathings lov</w:t>
      </w:r>
      <w:r w:rsidR="00536562" w:rsidRPr="0019599F">
        <w:rPr>
          <w:rFonts w:ascii="Times New Roman" w:hAnsi="Times New Roman"/>
          <w:sz w:val="24"/>
          <w:szCs w:val="24"/>
        </w:rPr>
        <w:t xml:space="preserve">, and </w:t>
      </w:r>
      <w:r w:rsidR="00536562" w:rsidRPr="0019599F">
        <w:rPr>
          <w:rFonts w:ascii="Times New Roman" w:hAnsi="Times New Roman"/>
          <w:i/>
          <w:iCs/>
          <w:sz w:val="24"/>
          <w:szCs w:val="24"/>
        </w:rPr>
        <w:t>Frostathings lov</w:t>
      </w:r>
      <w:r w:rsidR="00536562" w:rsidRPr="0019599F">
        <w:rPr>
          <w:rFonts w:ascii="Times New Roman" w:hAnsi="Times New Roman"/>
          <w:sz w:val="24"/>
          <w:szCs w:val="24"/>
        </w:rPr>
        <w:t xml:space="preserve"> on the Scandinavian side</w:t>
      </w:r>
      <w:r w:rsidR="006C1290">
        <w:rPr>
          <w:rFonts w:ascii="Times New Roman" w:hAnsi="Times New Roman"/>
          <w:sz w:val="24"/>
          <w:szCs w:val="24"/>
        </w:rPr>
        <w:t xml:space="preserve"> and </w:t>
      </w:r>
      <w:r w:rsidR="00536562" w:rsidRPr="0019599F">
        <w:rPr>
          <w:rFonts w:ascii="Times New Roman" w:hAnsi="Times New Roman"/>
          <w:sz w:val="24"/>
          <w:szCs w:val="24"/>
        </w:rPr>
        <w:t xml:space="preserve">on a small selection of Anglo-Saxon legal texts that date to the period in question and have been highlighted by Reynolds as referring to judicial violence and, potentially, deviant burial (2009, 251-61). </w:t>
      </w:r>
      <w:commentRangeStart w:id="2"/>
      <w:r w:rsidR="00536562" w:rsidRPr="0019599F">
        <w:rPr>
          <w:rFonts w:ascii="Times New Roman" w:hAnsi="Times New Roman"/>
          <w:i/>
          <w:iCs/>
          <w:sz w:val="24"/>
          <w:szCs w:val="24"/>
        </w:rPr>
        <w:t xml:space="preserve">Guta lag </w:t>
      </w:r>
      <w:commentRangeEnd w:id="2"/>
      <w:r w:rsidR="006C1290">
        <w:rPr>
          <w:rStyle w:val="CommentReference"/>
          <w:rFonts w:ascii="Times New Roman" w:hAnsi="Times New Roman" w:cs="Times New Roman"/>
          <w:color w:val="auto"/>
          <w:lang w:eastAsia="en-US"/>
        </w:rPr>
        <w:commentReference w:id="2"/>
      </w:r>
      <w:r w:rsidR="00536562" w:rsidRPr="0019599F">
        <w:rPr>
          <w:rFonts w:ascii="Times New Roman" w:hAnsi="Times New Roman"/>
          <w:sz w:val="24"/>
          <w:szCs w:val="24"/>
        </w:rPr>
        <w:t>in particular</w:t>
      </w:r>
      <w:r w:rsidR="00536562" w:rsidRPr="0019599F">
        <w:rPr>
          <w:rFonts w:ascii="Times New Roman" w:hAnsi="Times New Roman"/>
          <w:i/>
          <w:iCs/>
          <w:sz w:val="24"/>
          <w:szCs w:val="24"/>
        </w:rPr>
        <w:t xml:space="preserve"> </w:t>
      </w:r>
      <w:r w:rsidR="00536562" w:rsidRPr="0019599F">
        <w:rPr>
          <w:rFonts w:ascii="Times New Roman" w:hAnsi="Times New Roman"/>
          <w:sz w:val="24"/>
          <w:szCs w:val="24"/>
        </w:rPr>
        <w:t>has been the subject of very recent and thorough scholarly attention and provides a unique window into Scandinavian legislation</w:t>
      </w:r>
      <w:r w:rsidR="006C1290">
        <w:rPr>
          <w:rFonts w:ascii="Times New Roman" w:hAnsi="Times New Roman"/>
          <w:sz w:val="24"/>
          <w:szCs w:val="24"/>
        </w:rPr>
        <w:t xml:space="preserve">, </w:t>
      </w:r>
      <w:r w:rsidR="00536562" w:rsidRPr="0019599F">
        <w:rPr>
          <w:rFonts w:ascii="Times New Roman" w:hAnsi="Times New Roman"/>
          <w:sz w:val="24"/>
          <w:szCs w:val="24"/>
        </w:rPr>
        <w:t xml:space="preserve">somewhat </w:t>
      </w:r>
      <w:r w:rsidR="006C1290">
        <w:rPr>
          <w:rFonts w:ascii="Times New Roman" w:hAnsi="Times New Roman"/>
          <w:sz w:val="24"/>
          <w:szCs w:val="24"/>
        </w:rPr>
        <w:t xml:space="preserve">distinct </w:t>
      </w:r>
      <w:r w:rsidR="00536562" w:rsidRPr="0019599F">
        <w:rPr>
          <w:rFonts w:ascii="Times New Roman" w:hAnsi="Times New Roman"/>
          <w:sz w:val="24"/>
          <w:szCs w:val="24"/>
        </w:rPr>
        <w:t xml:space="preserve">from the other provincial laws (Peel 2015). </w:t>
      </w:r>
      <w:r>
        <w:rPr>
          <w:rFonts w:ascii="Times New Roman" w:hAnsi="Times New Roman"/>
          <w:sz w:val="24"/>
          <w:szCs w:val="24"/>
        </w:rPr>
        <w:t>T</w:t>
      </w:r>
      <w:r w:rsidR="00536562" w:rsidRPr="0019599F">
        <w:rPr>
          <w:rFonts w:ascii="Times New Roman" w:hAnsi="Times New Roman"/>
          <w:sz w:val="24"/>
          <w:szCs w:val="24"/>
        </w:rPr>
        <w:t xml:space="preserve">he </w:t>
      </w:r>
      <w:commentRangeStart w:id="3"/>
      <w:r w:rsidR="00536562" w:rsidRPr="0019599F">
        <w:rPr>
          <w:rFonts w:ascii="Times New Roman" w:hAnsi="Times New Roman"/>
          <w:i/>
          <w:iCs/>
          <w:sz w:val="24"/>
          <w:szCs w:val="24"/>
        </w:rPr>
        <w:t>Gulathings lov</w:t>
      </w:r>
      <w:r w:rsidR="00536562" w:rsidRPr="0019599F">
        <w:rPr>
          <w:rFonts w:ascii="Times New Roman" w:hAnsi="Times New Roman"/>
          <w:sz w:val="24"/>
          <w:szCs w:val="24"/>
        </w:rPr>
        <w:t xml:space="preserve"> and </w:t>
      </w:r>
      <w:r w:rsidR="00536562" w:rsidRPr="0019599F">
        <w:rPr>
          <w:rFonts w:ascii="Times New Roman" w:hAnsi="Times New Roman"/>
          <w:i/>
          <w:iCs/>
          <w:sz w:val="24"/>
          <w:szCs w:val="24"/>
        </w:rPr>
        <w:t>Frostathings lov</w:t>
      </w:r>
      <w:commentRangeEnd w:id="3"/>
      <w:r w:rsidR="006C1290">
        <w:rPr>
          <w:rStyle w:val="CommentReference"/>
          <w:rFonts w:ascii="Times New Roman" w:hAnsi="Times New Roman" w:cs="Times New Roman"/>
          <w:color w:val="auto"/>
          <w:lang w:eastAsia="en-US"/>
        </w:rPr>
        <w:commentReference w:id="3"/>
      </w:r>
      <w:r w:rsidR="00536562" w:rsidRPr="0019599F">
        <w:rPr>
          <w:rFonts w:ascii="Times New Roman" w:hAnsi="Times New Roman"/>
          <w:sz w:val="24"/>
          <w:szCs w:val="24"/>
        </w:rPr>
        <w:t xml:space="preserve"> are the earliest of the Norwegian laws </w:t>
      </w:r>
      <w:r w:rsidR="00291A9A">
        <w:rPr>
          <w:rFonts w:ascii="Times New Roman" w:hAnsi="Times New Roman"/>
          <w:sz w:val="24"/>
          <w:szCs w:val="24"/>
        </w:rPr>
        <w:t xml:space="preserve">and </w:t>
      </w:r>
      <w:r w:rsidR="00536562" w:rsidRPr="0019599F">
        <w:rPr>
          <w:rFonts w:ascii="Times New Roman" w:hAnsi="Times New Roman"/>
          <w:sz w:val="24"/>
          <w:szCs w:val="24"/>
        </w:rPr>
        <w:t>thus, like the Anglo-Saxon material, the</w:t>
      </w:r>
      <w:r w:rsidR="00291A9A">
        <w:rPr>
          <w:rFonts w:ascii="Times New Roman" w:hAnsi="Times New Roman"/>
          <w:sz w:val="24"/>
          <w:szCs w:val="24"/>
        </w:rPr>
        <w:t>y</w:t>
      </w:r>
      <w:r w:rsidR="00536562" w:rsidRPr="0019599F">
        <w:rPr>
          <w:rFonts w:ascii="Times New Roman" w:hAnsi="Times New Roman"/>
          <w:sz w:val="24"/>
          <w:szCs w:val="24"/>
        </w:rPr>
        <w:t xml:space="preserve"> have been selected </w:t>
      </w:r>
      <w:r w:rsidR="00291A9A">
        <w:rPr>
          <w:rFonts w:ascii="Times New Roman" w:hAnsi="Times New Roman"/>
          <w:sz w:val="24"/>
          <w:szCs w:val="24"/>
        </w:rPr>
        <w:t xml:space="preserve">as </w:t>
      </w:r>
      <w:r w:rsidR="00536562" w:rsidRPr="0019599F">
        <w:rPr>
          <w:rFonts w:ascii="Times New Roman" w:hAnsi="Times New Roman"/>
          <w:sz w:val="24"/>
          <w:szCs w:val="24"/>
        </w:rPr>
        <w:t>most closely match</w:t>
      </w:r>
      <w:r w:rsidR="00291A9A">
        <w:rPr>
          <w:rFonts w:ascii="Times New Roman" w:hAnsi="Times New Roman"/>
          <w:sz w:val="24"/>
          <w:szCs w:val="24"/>
        </w:rPr>
        <w:t>ing</w:t>
      </w:r>
      <w:r w:rsidR="00536562" w:rsidRPr="0019599F">
        <w:rPr>
          <w:rFonts w:ascii="Times New Roman" w:hAnsi="Times New Roman"/>
          <w:sz w:val="24"/>
          <w:szCs w:val="24"/>
        </w:rPr>
        <w:t xml:space="preserve"> the chronology under examination.</w:t>
      </w:r>
    </w:p>
    <w:p w14:paraId="5FC62D50" w14:textId="68ABDEA2"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While it is true that very few of the legal provisions discussed below survive in a written form dating to the period in question, strong internal evidence suggest</w:t>
      </w:r>
      <w:r w:rsidR="006C1290">
        <w:rPr>
          <w:rFonts w:ascii="Times New Roman" w:hAnsi="Times New Roman"/>
          <w:sz w:val="24"/>
          <w:szCs w:val="24"/>
        </w:rPr>
        <w:t>s</w:t>
      </w:r>
      <w:r w:rsidRPr="0019599F">
        <w:rPr>
          <w:rFonts w:ascii="Times New Roman" w:hAnsi="Times New Roman"/>
          <w:sz w:val="24"/>
          <w:szCs w:val="24"/>
        </w:rPr>
        <w:t xml:space="preserve"> that sections of these laws date to the Viking period and in some cases even earlier.</w:t>
      </w:r>
      <w:r w:rsidRPr="0019599F">
        <w:rPr>
          <w:rFonts w:ascii="Times New Roman" w:eastAsia="Times New Roman" w:hAnsi="Times New Roman" w:cs="Times New Roman"/>
          <w:sz w:val="24"/>
          <w:szCs w:val="24"/>
          <w:vertAlign w:val="superscript"/>
        </w:rPr>
        <w:footnoteReference w:id="8"/>
      </w:r>
      <w:r w:rsidRPr="0019599F">
        <w:rPr>
          <w:rFonts w:ascii="Times New Roman" w:hAnsi="Times New Roman"/>
          <w:sz w:val="24"/>
          <w:szCs w:val="24"/>
          <w:lang w:val="da-DK"/>
        </w:rPr>
        <w:t xml:space="preserve"> Indeed, Folke Str</w:t>
      </w:r>
      <w:r w:rsidRPr="0019599F">
        <w:rPr>
          <w:rFonts w:ascii="Times New Roman" w:hAnsi="Times New Roman"/>
          <w:sz w:val="24"/>
          <w:szCs w:val="24"/>
        </w:rPr>
        <w:t>öm argued that the legal</w:t>
      </w:r>
      <w:r w:rsidRPr="0019599F">
        <w:rPr>
          <w:rFonts w:ascii="Times New Roman" w:hAnsi="Times New Roman"/>
          <w:sz w:val="24"/>
          <w:szCs w:val="24"/>
          <w:lang w:val="fr-FR"/>
        </w:rPr>
        <w:t xml:space="preserve"> provisions </w:t>
      </w:r>
      <w:r w:rsidRPr="0019599F">
        <w:rPr>
          <w:rFonts w:ascii="Times New Roman" w:hAnsi="Times New Roman"/>
          <w:sz w:val="24"/>
          <w:szCs w:val="24"/>
        </w:rPr>
        <w:t>dealing with capital punishment in Germanic societies are some of the most legally conservative in the corpus (Ström 1942, 11-</w:t>
      </w:r>
      <w:r w:rsidR="00291A9A">
        <w:rPr>
          <w:rFonts w:ascii="Times New Roman" w:hAnsi="Times New Roman"/>
          <w:sz w:val="24"/>
          <w:szCs w:val="24"/>
        </w:rPr>
        <w:t>1</w:t>
      </w:r>
      <w:r w:rsidRPr="0019599F">
        <w:rPr>
          <w:rFonts w:ascii="Times New Roman" w:hAnsi="Times New Roman"/>
          <w:sz w:val="24"/>
          <w:szCs w:val="24"/>
        </w:rPr>
        <w:t xml:space="preserve">3). </w:t>
      </w:r>
      <w:r w:rsidR="006C1290">
        <w:rPr>
          <w:rFonts w:ascii="Times New Roman" w:hAnsi="Times New Roman"/>
          <w:sz w:val="24"/>
          <w:szCs w:val="24"/>
        </w:rPr>
        <w:t>T</w:t>
      </w:r>
      <w:r w:rsidRPr="0019599F">
        <w:rPr>
          <w:rFonts w:ascii="Times New Roman" w:hAnsi="Times New Roman"/>
          <w:sz w:val="24"/>
          <w:szCs w:val="24"/>
        </w:rPr>
        <w:t xml:space="preserve">hese provisions were </w:t>
      </w:r>
      <w:r w:rsidR="006C1290">
        <w:rPr>
          <w:rFonts w:ascii="Times New Roman" w:hAnsi="Times New Roman"/>
          <w:sz w:val="24"/>
          <w:szCs w:val="24"/>
        </w:rPr>
        <w:t xml:space="preserve">not of course </w:t>
      </w:r>
      <w:r w:rsidRPr="0019599F">
        <w:rPr>
          <w:rFonts w:ascii="Times New Roman" w:hAnsi="Times New Roman"/>
          <w:sz w:val="24"/>
          <w:szCs w:val="24"/>
        </w:rPr>
        <w:t xml:space="preserve">fixed immutable points of law, but </w:t>
      </w:r>
      <w:r w:rsidR="006C1290">
        <w:rPr>
          <w:rFonts w:ascii="Times New Roman" w:hAnsi="Times New Roman"/>
          <w:sz w:val="24"/>
          <w:szCs w:val="24"/>
        </w:rPr>
        <w:t xml:space="preserve">our </w:t>
      </w:r>
      <w:r w:rsidRPr="0019599F">
        <w:rPr>
          <w:rFonts w:ascii="Times New Roman" w:hAnsi="Times New Roman"/>
          <w:sz w:val="24"/>
          <w:szCs w:val="24"/>
        </w:rPr>
        <w:t xml:space="preserve">hope </w:t>
      </w:r>
      <w:r w:rsidR="006C1290">
        <w:rPr>
          <w:rFonts w:ascii="Times New Roman" w:hAnsi="Times New Roman"/>
          <w:sz w:val="24"/>
          <w:szCs w:val="24"/>
        </w:rPr>
        <w:t xml:space="preserve">is </w:t>
      </w:r>
      <w:r w:rsidRPr="0019599F">
        <w:rPr>
          <w:rFonts w:ascii="Times New Roman" w:hAnsi="Times New Roman"/>
          <w:sz w:val="24"/>
          <w:szCs w:val="24"/>
        </w:rPr>
        <w:t>to demonstrate that the deeply transgressive n</w:t>
      </w:r>
      <w:r w:rsidR="00291A9A">
        <w:rPr>
          <w:rFonts w:ascii="Times New Roman" w:hAnsi="Times New Roman"/>
          <w:sz w:val="24"/>
          <w:szCs w:val="24"/>
        </w:rPr>
        <w:t>ature of certain crimes would e</w:t>
      </w:r>
      <w:r w:rsidRPr="0019599F">
        <w:rPr>
          <w:rFonts w:ascii="Times New Roman" w:hAnsi="Times New Roman"/>
          <w:sz w:val="24"/>
          <w:szCs w:val="24"/>
        </w:rPr>
        <w:t xml:space="preserve">licit judicial violence of one sort or another. In this way, we are less concerned with issues of continuity and preservation and rather </w:t>
      </w:r>
      <w:r w:rsidR="00373C3C" w:rsidRPr="0019599F">
        <w:rPr>
          <w:rFonts w:ascii="Times New Roman" w:hAnsi="Times New Roman"/>
          <w:sz w:val="24"/>
          <w:szCs w:val="24"/>
        </w:rPr>
        <w:t>focused</w:t>
      </w:r>
      <w:r w:rsidRPr="0019599F">
        <w:rPr>
          <w:rFonts w:ascii="Times New Roman" w:hAnsi="Times New Roman"/>
          <w:sz w:val="24"/>
          <w:szCs w:val="24"/>
        </w:rPr>
        <w:t xml:space="preserve"> on societal and legal norms and needs in a time of flux.</w:t>
      </w:r>
    </w:p>
    <w:p w14:paraId="2F024261" w14:textId="43060041" w:rsidR="00330AFC" w:rsidRPr="0019599F" w:rsidRDefault="00536562" w:rsidP="0019599F">
      <w:pPr>
        <w:pStyle w:val="BodyA"/>
        <w:spacing w:line="240" w:lineRule="auto"/>
        <w:ind w:firstLine="360"/>
        <w:rPr>
          <w:rFonts w:ascii="Times New Roman" w:eastAsia="Times New Roman" w:hAnsi="Times New Roman" w:cs="Times New Roman"/>
          <w:sz w:val="24"/>
          <w:szCs w:val="24"/>
        </w:rPr>
      </w:pPr>
      <w:r w:rsidRPr="0019599F">
        <w:rPr>
          <w:rFonts w:ascii="Times New Roman" w:hAnsi="Times New Roman"/>
          <w:sz w:val="24"/>
          <w:szCs w:val="24"/>
        </w:rPr>
        <w:t xml:space="preserve">A rudimentary way in which we can use these provisions is to </w:t>
      </w:r>
      <w:r w:rsidR="007F4FF4">
        <w:rPr>
          <w:rFonts w:ascii="Times New Roman" w:hAnsi="Times New Roman"/>
          <w:sz w:val="24"/>
          <w:szCs w:val="24"/>
        </w:rPr>
        <w:t xml:space="preserve">yield </w:t>
      </w:r>
      <w:r w:rsidRPr="0019599F">
        <w:rPr>
          <w:rFonts w:ascii="Times New Roman" w:hAnsi="Times New Roman"/>
          <w:sz w:val="24"/>
          <w:szCs w:val="24"/>
        </w:rPr>
        <w:t xml:space="preserve">a list of crimes held most heinous by the lawmakers of the society, shedding light on the needs </w:t>
      </w:r>
      <w:r w:rsidR="006C1290">
        <w:rPr>
          <w:rFonts w:ascii="Times New Roman" w:hAnsi="Times New Roman"/>
          <w:sz w:val="24"/>
          <w:szCs w:val="24"/>
        </w:rPr>
        <w:t xml:space="preserve">and values </w:t>
      </w:r>
      <w:r w:rsidRPr="0019599F">
        <w:rPr>
          <w:rFonts w:ascii="Times New Roman" w:hAnsi="Times New Roman"/>
          <w:sz w:val="24"/>
          <w:szCs w:val="24"/>
        </w:rPr>
        <w:t xml:space="preserve">of the </w:t>
      </w:r>
      <w:r w:rsidRPr="0019599F">
        <w:rPr>
          <w:rFonts w:ascii="Times New Roman" w:hAnsi="Times New Roman"/>
          <w:sz w:val="24"/>
          <w:szCs w:val="24"/>
        </w:rPr>
        <w:lastRenderedPageBreak/>
        <w:t>population.</w:t>
      </w:r>
      <w:r w:rsidRPr="0019599F">
        <w:rPr>
          <w:rFonts w:ascii="Times New Roman" w:eastAsia="Times New Roman" w:hAnsi="Times New Roman" w:cs="Times New Roman"/>
          <w:sz w:val="24"/>
          <w:szCs w:val="24"/>
          <w:vertAlign w:val="superscript"/>
        </w:rPr>
        <w:footnoteReference w:id="9"/>
      </w:r>
      <w:r w:rsidRPr="0019599F">
        <w:rPr>
          <w:rFonts w:ascii="Times New Roman" w:hAnsi="Times New Roman"/>
          <w:sz w:val="24"/>
          <w:szCs w:val="24"/>
        </w:rPr>
        <w:t xml:space="preserve"> For example, in </w:t>
      </w:r>
      <w:r w:rsidRPr="0019599F">
        <w:rPr>
          <w:rFonts w:ascii="Times New Roman" w:hAnsi="Times New Roman"/>
          <w:i/>
          <w:iCs/>
          <w:sz w:val="24"/>
          <w:szCs w:val="24"/>
          <w:lang w:val="it-IT"/>
        </w:rPr>
        <w:t>Guta lag</w:t>
      </w:r>
      <w:r w:rsidRPr="0019599F">
        <w:rPr>
          <w:rFonts w:ascii="Times New Roman" w:hAnsi="Times New Roman"/>
          <w:sz w:val="24"/>
          <w:szCs w:val="24"/>
        </w:rPr>
        <w:t xml:space="preserve"> direct judicial violence was prescribed for only a select few crimes</w:t>
      </w:r>
      <w:r w:rsidR="00061E83">
        <w:rPr>
          <w:rFonts w:ascii="Times New Roman" w:hAnsi="Times New Roman"/>
          <w:sz w:val="24"/>
          <w:szCs w:val="24"/>
        </w:rPr>
        <w:t>.</w:t>
      </w:r>
      <w:r w:rsidRPr="0019599F">
        <w:rPr>
          <w:rFonts w:ascii="Times New Roman" w:eastAsia="Times New Roman" w:hAnsi="Times New Roman" w:cs="Times New Roman"/>
          <w:sz w:val="24"/>
          <w:szCs w:val="24"/>
          <w:vertAlign w:val="superscript"/>
        </w:rPr>
        <w:footnoteReference w:id="10"/>
      </w:r>
      <w:r w:rsidRPr="0019599F">
        <w:rPr>
          <w:rFonts w:ascii="Times New Roman" w:hAnsi="Times New Roman"/>
          <w:sz w:val="24"/>
          <w:szCs w:val="24"/>
        </w:rPr>
        <w:t xml:space="preserve"> </w:t>
      </w:r>
      <w:r w:rsidR="00061E83">
        <w:rPr>
          <w:rFonts w:ascii="Times New Roman" w:hAnsi="Times New Roman"/>
          <w:sz w:val="24"/>
          <w:szCs w:val="24"/>
        </w:rPr>
        <w:t>I</w:t>
      </w:r>
      <w:r w:rsidR="00061E83" w:rsidRPr="0019599F">
        <w:rPr>
          <w:rFonts w:ascii="Times New Roman" w:hAnsi="Times New Roman"/>
          <w:sz w:val="24"/>
          <w:szCs w:val="24"/>
        </w:rPr>
        <w:t>n the cases of adultery, rape, and theft, each of these crimes was to be assessed for severity and the appropriate amount of judicial force was to be prescribed (Peel 2015, 209-25).</w:t>
      </w:r>
      <w:r w:rsidR="00061E83">
        <w:rPr>
          <w:rFonts w:ascii="Times New Roman" w:hAnsi="Times New Roman"/>
          <w:sz w:val="24"/>
          <w:szCs w:val="24"/>
        </w:rPr>
        <w:t xml:space="preserve"> M</w:t>
      </w:r>
      <w:r w:rsidRPr="0019599F">
        <w:rPr>
          <w:rFonts w:ascii="Times New Roman" w:hAnsi="Times New Roman"/>
          <w:sz w:val="24"/>
          <w:szCs w:val="24"/>
        </w:rPr>
        <w:t>isappropriati</w:t>
      </w:r>
      <w:r w:rsidR="00061E83">
        <w:rPr>
          <w:rFonts w:ascii="Times New Roman" w:hAnsi="Times New Roman"/>
          <w:sz w:val="24"/>
          <w:szCs w:val="24"/>
        </w:rPr>
        <w:t xml:space="preserve">on of </w:t>
      </w:r>
      <w:r w:rsidRPr="0019599F">
        <w:rPr>
          <w:rFonts w:ascii="Times New Roman" w:hAnsi="Times New Roman"/>
          <w:sz w:val="24"/>
          <w:szCs w:val="24"/>
        </w:rPr>
        <w:t xml:space="preserve">land worth three marks </w:t>
      </w:r>
      <w:r w:rsidR="00061E83">
        <w:rPr>
          <w:rFonts w:ascii="Times New Roman" w:hAnsi="Times New Roman"/>
          <w:sz w:val="24"/>
          <w:szCs w:val="24"/>
        </w:rPr>
        <w:t xml:space="preserve">carried </w:t>
      </w:r>
      <w:r w:rsidR="00061E83" w:rsidRPr="0019599F">
        <w:rPr>
          <w:rFonts w:ascii="Times New Roman" w:hAnsi="Times New Roman"/>
          <w:sz w:val="24"/>
          <w:szCs w:val="24"/>
        </w:rPr>
        <w:t xml:space="preserve">a single punishment </w:t>
      </w:r>
      <w:r w:rsidR="00061E83">
        <w:rPr>
          <w:rFonts w:ascii="Times New Roman" w:hAnsi="Times New Roman"/>
          <w:sz w:val="24"/>
          <w:szCs w:val="24"/>
        </w:rPr>
        <w:t xml:space="preserve">of </w:t>
      </w:r>
      <w:r w:rsidR="00061E83" w:rsidRPr="0019599F">
        <w:rPr>
          <w:rFonts w:ascii="Times New Roman" w:hAnsi="Times New Roman"/>
          <w:sz w:val="24"/>
          <w:szCs w:val="24"/>
        </w:rPr>
        <w:t>death, written literally as the convict</w:t>
      </w:r>
      <w:r w:rsidR="00061E83">
        <w:rPr>
          <w:rFonts w:ascii="Times New Roman" w:hAnsi="Times New Roman"/>
          <w:sz w:val="24"/>
          <w:szCs w:val="24"/>
        </w:rPr>
        <w:t>’</w:t>
      </w:r>
      <w:r w:rsidR="00061E83" w:rsidRPr="0019599F">
        <w:rPr>
          <w:rFonts w:ascii="Times New Roman" w:hAnsi="Times New Roman"/>
          <w:sz w:val="24"/>
          <w:szCs w:val="24"/>
        </w:rPr>
        <w:t xml:space="preserve">s </w:t>
      </w:r>
      <w:r w:rsidR="00061E83" w:rsidRPr="0019599F">
        <w:rPr>
          <w:rFonts w:ascii="Times New Roman" w:hAnsi="Times New Roman"/>
          <w:i/>
          <w:iCs/>
          <w:sz w:val="24"/>
          <w:szCs w:val="24"/>
        </w:rPr>
        <w:t>hals</w:t>
      </w:r>
      <w:r w:rsidR="00061E83" w:rsidRPr="0019599F">
        <w:rPr>
          <w:rFonts w:ascii="Times New Roman" w:hAnsi="Times New Roman"/>
          <w:sz w:val="24"/>
          <w:szCs w:val="24"/>
        </w:rPr>
        <w:t xml:space="preserve"> </w:t>
      </w:r>
      <w:r w:rsidR="00061E83">
        <w:rPr>
          <w:rFonts w:ascii="Times New Roman" w:hAnsi="Times New Roman"/>
          <w:sz w:val="24"/>
          <w:szCs w:val="24"/>
        </w:rPr>
        <w:t>(neck)</w:t>
      </w:r>
      <w:r w:rsidR="00061E83" w:rsidRPr="0019599F">
        <w:rPr>
          <w:rFonts w:ascii="Times New Roman" w:hAnsi="Times New Roman"/>
          <w:sz w:val="24"/>
          <w:szCs w:val="24"/>
        </w:rPr>
        <w:t>, with the convict</w:t>
      </w:r>
      <w:r w:rsidR="00061E83">
        <w:rPr>
          <w:rFonts w:ascii="Times New Roman" w:hAnsi="Times New Roman"/>
          <w:sz w:val="24"/>
          <w:szCs w:val="24"/>
        </w:rPr>
        <w:t>’</w:t>
      </w:r>
      <w:r w:rsidR="00061E83" w:rsidRPr="0019599F">
        <w:rPr>
          <w:rFonts w:ascii="Times New Roman" w:hAnsi="Times New Roman"/>
          <w:sz w:val="24"/>
          <w:szCs w:val="24"/>
        </w:rPr>
        <w:t>s wife losing her pew in church – no doubt a later provision (Peel 2015, 209-10). S</w:t>
      </w:r>
      <w:r w:rsidRPr="0019599F">
        <w:rPr>
          <w:rFonts w:ascii="Times New Roman" w:hAnsi="Times New Roman"/>
          <w:sz w:val="24"/>
          <w:szCs w:val="24"/>
        </w:rPr>
        <w:t>laves</w:t>
      </w:r>
      <w:r w:rsidR="00061E83">
        <w:rPr>
          <w:rFonts w:ascii="Times New Roman" w:hAnsi="Times New Roman"/>
          <w:sz w:val="24"/>
          <w:szCs w:val="24"/>
        </w:rPr>
        <w:t xml:space="preserve"> convicted of </w:t>
      </w:r>
      <w:r w:rsidRPr="0019599F">
        <w:rPr>
          <w:rFonts w:ascii="Times New Roman" w:hAnsi="Times New Roman"/>
          <w:sz w:val="24"/>
          <w:szCs w:val="24"/>
        </w:rPr>
        <w:t xml:space="preserve">fighting freemen </w:t>
      </w:r>
      <w:r w:rsidR="00061E83">
        <w:rPr>
          <w:rFonts w:ascii="Times New Roman" w:hAnsi="Times New Roman"/>
          <w:sz w:val="24"/>
          <w:szCs w:val="24"/>
        </w:rPr>
        <w:t xml:space="preserve">were also subject to a single </w:t>
      </w:r>
      <w:r w:rsidRPr="0019599F">
        <w:rPr>
          <w:rFonts w:ascii="Times New Roman" w:hAnsi="Times New Roman"/>
          <w:sz w:val="24"/>
          <w:szCs w:val="24"/>
        </w:rPr>
        <w:t>punishment</w:t>
      </w:r>
      <w:r w:rsidR="00061E83">
        <w:rPr>
          <w:rFonts w:ascii="Times New Roman" w:hAnsi="Times New Roman"/>
          <w:sz w:val="24"/>
          <w:szCs w:val="24"/>
        </w:rPr>
        <w:t xml:space="preserve">: </w:t>
      </w:r>
      <w:r w:rsidRPr="0019599F">
        <w:rPr>
          <w:rFonts w:ascii="Times New Roman" w:hAnsi="Times New Roman"/>
          <w:sz w:val="24"/>
          <w:szCs w:val="24"/>
        </w:rPr>
        <w:t xml:space="preserve">two blows were to be delivered to the slave for every one he landed on the freeman (Peel 2015, 209-10). </w:t>
      </w:r>
      <w:r w:rsidR="00061E83" w:rsidRPr="0019599F">
        <w:rPr>
          <w:rFonts w:ascii="Times New Roman" w:hAnsi="Times New Roman"/>
          <w:sz w:val="24"/>
          <w:szCs w:val="24"/>
        </w:rPr>
        <w:t>Refus</w:t>
      </w:r>
      <w:r w:rsidR="00061E83">
        <w:rPr>
          <w:rFonts w:ascii="Times New Roman" w:hAnsi="Times New Roman"/>
          <w:sz w:val="24"/>
          <w:szCs w:val="24"/>
        </w:rPr>
        <w:t xml:space="preserve">al </w:t>
      </w:r>
      <w:r w:rsidR="00061E83" w:rsidRPr="0019599F">
        <w:rPr>
          <w:rFonts w:ascii="Times New Roman" w:hAnsi="Times New Roman"/>
          <w:sz w:val="24"/>
          <w:szCs w:val="24"/>
        </w:rPr>
        <w:t>to compensate a killing in a timely fashion could result in outlawry (Peel 2015, 209-10).</w:t>
      </w:r>
      <w:r w:rsidR="00CD0F6E">
        <w:rPr>
          <w:rFonts w:ascii="Times New Roman" w:hAnsi="Times New Roman"/>
          <w:sz w:val="24"/>
          <w:szCs w:val="24"/>
        </w:rPr>
        <w:t xml:space="preserve"> </w:t>
      </w:r>
      <w:r w:rsidRPr="0019599F">
        <w:rPr>
          <w:rFonts w:ascii="Times New Roman" w:hAnsi="Times New Roman"/>
          <w:sz w:val="24"/>
          <w:szCs w:val="24"/>
        </w:rPr>
        <w:t xml:space="preserve">Theft was assessed by the value of goods stolen and recidivism (Peel 2015, 209-25). For example, stealing more than two </w:t>
      </w:r>
      <w:r w:rsidRPr="0019599F">
        <w:rPr>
          <w:rFonts w:ascii="Times New Roman" w:hAnsi="Times New Roman"/>
          <w:i/>
          <w:iCs/>
          <w:sz w:val="24"/>
          <w:szCs w:val="24"/>
        </w:rPr>
        <w:t>öre</w:t>
      </w:r>
      <w:r w:rsidRPr="0019599F">
        <w:rPr>
          <w:rFonts w:ascii="Times New Roman" w:hAnsi="Times New Roman"/>
          <w:sz w:val="24"/>
          <w:szCs w:val="24"/>
        </w:rPr>
        <w:t>,</w:t>
      </w:r>
      <w:r w:rsidRPr="0019599F">
        <w:rPr>
          <w:rFonts w:ascii="Times New Roman" w:hAnsi="Times New Roman"/>
          <w:i/>
          <w:iCs/>
          <w:sz w:val="24"/>
          <w:szCs w:val="24"/>
        </w:rPr>
        <w:t xml:space="preserve"> </w:t>
      </w:r>
      <w:r w:rsidRPr="0019599F">
        <w:rPr>
          <w:rFonts w:ascii="Times New Roman" w:hAnsi="Times New Roman"/>
          <w:sz w:val="24"/>
          <w:szCs w:val="24"/>
        </w:rPr>
        <w:t xml:space="preserve">up to a mark of silver, was punished by branding before the assembly and a wergild payment (Peel 2015, 209-10). If the same thief were to commit even the slightest theft again, he was to be hanged; as was a thief who stole more than a mark of silver, even if it was only the first offence (Peel 2015, 209-10). By contrast, adultery was assessed by considering the types of people committing the crime. Any man committing adultery with an illegitimate daughter of a Gotlandic man or a non-Gotlandic woman, when caught in the act, was to be punished with the loss of a hand </w:t>
      </w:r>
      <w:r w:rsidR="00291A9A">
        <w:rPr>
          <w:rFonts w:ascii="Times New Roman" w:hAnsi="Times New Roman"/>
          <w:sz w:val="24"/>
          <w:szCs w:val="24"/>
        </w:rPr>
        <w:t>or a foot (Peel 2015, 209-10). If, h</w:t>
      </w:r>
      <w:r w:rsidRPr="0019599F">
        <w:rPr>
          <w:rFonts w:ascii="Times New Roman" w:hAnsi="Times New Roman"/>
          <w:sz w:val="24"/>
          <w:szCs w:val="24"/>
        </w:rPr>
        <w:t xml:space="preserve">owever, the crime </w:t>
      </w:r>
      <w:r w:rsidR="00CD0F6E">
        <w:rPr>
          <w:rFonts w:ascii="Times New Roman" w:hAnsi="Times New Roman"/>
          <w:sz w:val="24"/>
          <w:szCs w:val="24"/>
        </w:rPr>
        <w:t xml:space="preserve">involved </w:t>
      </w:r>
      <w:r w:rsidRPr="0019599F">
        <w:rPr>
          <w:rFonts w:ascii="Times New Roman" w:hAnsi="Times New Roman"/>
          <w:sz w:val="24"/>
          <w:szCs w:val="24"/>
        </w:rPr>
        <w:t xml:space="preserve">an unmarried Gotlandic woman he was to be placed in the stocks for three nights before losing his hand or foot (Peel 2015, 209-10). If the woman </w:t>
      </w:r>
      <w:r w:rsidR="00CD0F6E">
        <w:rPr>
          <w:rFonts w:ascii="Times New Roman" w:hAnsi="Times New Roman"/>
          <w:sz w:val="24"/>
          <w:szCs w:val="24"/>
        </w:rPr>
        <w:t xml:space="preserve">was </w:t>
      </w:r>
      <w:r w:rsidR="00CD0F6E" w:rsidRPr="0019599F">
        <w:rPr>
          <w:rFonts w:ascii="Times New Roman" w:hAnsi="Times New Roman"/>
          <w:sz w:val="24"/>
          <w:szCs w:val="24"/>
        </w:rPr>
        <w:t xml:space="preserve">married </w:t>
      </w:r>
      <w:r w:rsidRPr="0019599F">
        <w:rPr>
          <w:rFonts w:ascii="Times New Roman" w:hAnsi="Times New Roman"/>
          <w:sz w:val="24"/>
          <w:szCs w:val="24"/>
        </w:rPr>
        <w:t>he was to pay with his life (Peel 2015, 209-10). Similarly, the rape of a married woman or a slave</w:t>
      </w:r>
      <w:r w:rsidR="00D03D40">
        <w:rPr>
          <w:rFonts w:ascii="Times New Roman" w:hAnsi="Times New Roman"/>
          <w:sz w:val="24"/>
          <w:szCs w:val="24"/>
        </w:rPr>
        <w:t>’</w:t>
      </w:r>
      <w:r w:rsidRPr="0019599F">
        <w:rPr>
          <w:rFonts w:ascii="Times New Roman" w:hAnsi="Times New Roman"/>
          <w:sz w:val="24"/>
          <w:szCs w:val="24"/>
        </w:rPr>
        <w:t xml:space="preserve">s rape of a Gotlandic woman were both punishable by death, though monetary settlements </w:t>
      </w:r>
      <w:r w:rsidR="00CD0F6E">
        <w:rPr>
          <w:rFonts w:ascii="Times New Roman" w:hAnsi="Times New Roman"/>
          <w:sz w:val="24"/>
          <w:szCs w:val="24"/>
        </w:rPr>
        <w:t xml:space="preserve">were allowed </w:t>
      </w:r>
      <w:r w:rsidRPr="0019599F">
        <w:rPr>
          <w:rFonts w:ascii="Times New Roman" w:hAnsi="Times New Roman"/>
          <w:sz w:val="24"/>
          <w:szCs w:val="24"/>
        </w:rPr>
        <w:t>if the wronged party preferred (Peel 2015, 209-10).</w:t>
      </w:r>
    </w:p>
    <w:p w14:paraId="04B95B48" w14:textId="1713F0E3" w:rsidR="00330AFC" w:rsidRPr="0019599F" w:rsidRDefault="00291A9A" w:rsidP="0019599F">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S</w:t>
      </w:r>
      <w:r w:rsidR="00536562" w:rsidRPr="0019599F">
        <w:rPr>
          <w:rFonts w:ascii="Times New Roman" w:hAnsi="Times New Roman"/>
          <w:sz w:val="24"/>
          <w:szCs w:val="24"/>
        </w:rPr>
        <w:t xml:space="preserve">ecretive crimes that shirked personal responsibility </w:t>
      </w:r>
      <w:r w:rsidR="00CD0F6E">
        <w:rPr>
          <w:rFonts w:ascii="Times New Roman" w:hAnsi="Times New Roman"/>
          <w:sz w:val="24"/>
          <w:szCs w:val="24"/>
        </w:rPr>
        <w:t xml:space="preserve">were </w:t>
      </w:r>
      <w:r w:rsidR="00536562" w:rsidRPr="0019599F">
        <w:rPr>
          <w:rFonts w:ascii="Times New Roman" w:hAnsi="Times New Roman"/>
          <w:sz w:val="24"/>
          <w:szCs w:val="24"/>
        </w:rPr>
        <w:t>uniformly detested across Scandinavia.</w:t>
      </w:r>
      <w:r w:rsidR="00536562" w:rsidRPr="0019599F">
        <w:rPr>
          <w:rFonts w:ascii="Times New Roman" w:eastAsia="Times New Roman" w:hAnsi="Times New Roman" w:cs="Times New Roman"/>
          <w:sz w:val="24"/>
          <w:szCs w:val="24"/>
          <w:vertAlign w:val="superscript"/>
        </w:rPr>
        <w:footnoteReference w:id="11"/>
      </w:r>
      <w:r w:rsidR="00536562" w:rsidRPr="0019599F">
        <w:rPr>
          <w:rFonts w:ascii="Times New Roman" w:hAnsi="Times New Roman"/>
          <w:sz w:val="24"/>
          <w:szCs w:val="24"/>
        </w:rPr>
        <w:t xml:space="preserve"> </w:t>
      </w:r>
      <w:r w:rsidR="00536562" w:rsidRPr="0019599F">
        <w:rPr>
          <w:rFonts w:ascii="Times New Roman" w:hAnsi="Times New Roman"/>
          <w:i/>
          <w:iCs/>
          <w:sz w:val="24"/>
          <w:szCs w:val="24"/>
        </w:rPr>
        <w:t xml:space="preserve">Gulathings lov </w:t>
      </w:r>
      <w:r w:rsidR="00536562" w:rsidRPr="0019599F">
        <w:rPr>
          <w:rFonts w:ascii="Times New Roman" w:hAnsi="Times New Roman"/>
          <w:sz w:val="24"/>
          <w:szCs w:val="24"/>
        </w:rPr>
        <w:t xml:space="preserve">and </w:t>
      </w:r>
      <w:r w:rsidR="00536562" w:rsidRPr="0019599F">
        <w:rPr>
          <w:rFonts w:ascii="Times New Roman" w:hAnsi="Times New Roman"/>
          <w:i/>
          <w:iCs/>
          <w:sz w:val="24"/>
          <w:szCs w:val="24"/>
        </w:rPr>
        <w:t>Frostathings lov</w:t>
      </w:r>
      <w:r w:rsidR="00C63C0E">
        <w:rPr>
          <w:rFonts w:ascii="Times New Roman" w:hAnsi="Times New Roman"/>
          <w:sz w:val="24"/>
          <w:szCs w:val="24"/>
        </w:rPr>
        <w:t xml:space="preserve"> show </w:t>
      </w:r>
      <w:r w:rsidR="00536562" w:rsidRPr="0019599F">
        <w:rPr>
          <w:rFonts w:ascii="Times New Roman" w:hAnsi="Times New Roman"/>
          <w:sz w:val="24"/>
          <w:szCs w:val="24"/>
        </w:rPr>
        <w:t xml:space="preserve">how </w:t>
      </w:r>
      <w:r w:rsidR="00C63C0E">
        <w:rPr>
          <w:rFonts w:ascii="Times New Roman" w:hAnsi="Times New Roman"/>
          <w:sz w:val="24"/>
          <w:szCs w:val="24"/>
        </w:rPr>
        <w:t>the</w:t>
      </w:r>
      <w:r w:rsidR="00CD0F6E">
        <w:rPr>
          <w:rFonts w:ascii="Times New Roman" w:hAnsi="Times New Roman"/>
          <w:sz w:val="24"/>
          <w:szCs w:val="24"/>
        </w:rPr>
        <w:t xml:space="preserve">y </w:t>
      </w:r>
      <w:r w:rsidR="00C63C0E">
        <w:rPr>
          <w:rFonts w:ascii="Times New Roman" w:hAnsi="Times New Roman"/>
          <w:sz w:val="24"/>
          <w:szCs w:val="24"/>
        </w:rPr>
        <w:t xml:space="preserve">were </w:t>
      </w:r>
      <w:r w:rsidR="00C63C0E" w:rsidRPr="0019599F">
        <w:rPr>
          <w:rFonts w:ascii="Times New Roman" w:hAnsi="Times New Roman"/>
          <w:sz w:val="24"/>
          <w:szCs w:val="24"/>
        </w:rPr>
        <w:t>punish</w:t>
      </w:r>
      <w:r w:rsidR="00C63C0E">
        <w:rPr>
          <w:rFonts w:ascii="Times New Roman" w:hAnsi="Times New Roman"/>
          <w:sz w:val="24"/>
          <w:szCs w:val="24"/>
        </w:rPr>
        <w:t>ed</w:t>
      </w:r>
      <w:r w:rsidR="00536562" w:rsidRPr="0019599F">
        <w:rPr>
          <w:rFonts w:ascii="Times New Roman" w:hAnsi="Times New Roman"/>
          <w:sz w:val="24"/>
          <w:szCs w:val="24"/>
        </w:rPr>
        <w:t xml:space="preserve">. </w:t>
      </w:r>
      <w:r w:rsidR="00C63C0E">
        <w:rPr>
          <w:rFonts w:ascii="Times New Roman" w:hAnsi="Times New Roman"/>
          <w:sz w:val="24"/>
          <w:szCs w:val="24"/>
        </w:rPr>
        <w:t>C</w:t>
      </w:r>
      <w:r w:rsidR="00536562" w:rsidRPr="0019599F">
        <w:rPr>
          <w:rFonts w:ascii="Times New Roman" w:hAnsi="Times New Roman"/>
          <w:sz w:val="24"/>
          <w:szCs w:val="24"/>
        </w:rPr>
        <w:t>apital punishment is prescribed for murder, as opposed to manslaughter (Larson 1935, 17-</w:t>
      </w:r>
      <w:r>
        <w:rPr>
          <w:rFonts w:ascii="Times New Roman" w:hAnsi="Times New Roman"/>
          <w:sz w:val="24"/>
          <w:szCs w:val="24"/>
        </w:rPr>
        <w:t>1</w:t>
      </w:r>
      <w:r w:rsidR="00536562" w:rsidRPr="0019599F">
        <w:rPr>
          <w:rFonts w:ascii="Times New Roman" w:hAnsi="Times New Roman"/>
          <w:sz w:val="24"/>
          <w:szCs w:val="24"/>
        </w:rPr>
        <w:t xml:space="preserve">8, 129, 216, 257-62), and </w:t>
      </w:r>
      <w:r w:rsidR="00C63C0E">
        <w:rPr>
          <w:rFonts w:ascii="Times New Roman" w:hAnsi="Times New Roman"/>
          <w:sz w:val="24"/>
          <w:szCs w:val="24"/>
        </w:rPr>
        <w:t xml:space="preserve">for </w:t>
      </w:r>
      <w:r w:rsidR="00536562" w:rsidRPr="0019599F">
        <w:rPr>
          <w:rFonts w:ascii="Times New Roman" w:hAnsi="Times New Roman"/>
          <w:sz w:val="24"/>
          <w:szCs w:val="24"/>
        </w:rPr>
        <w:t>theft (ibid, 165, 220-</w:t>
      </w:r>
      <w:r>
        <w:rPr>
          <w:rFonts w:ascii="Times New Roman" w:hAnsi="Times New Roman"/>
          <w:sz w:val="24"/>
          <w:szCs w:val="24"/>
        </w:rPr>
        <w:t>2</w:t>
      </w:r>
      <w:r w:rsidR="00536562" w:rsidRPr="0019599F">
        <w:rPr>
          <w:rFonts w:ascii="Times New Roman" w:hAnsi="Times New Roman"/>
          <w:sz w:val="24"/>
          <w:szCs w:val="24"/>
        </w:rPr>
        <w:t xml:space="preserve">1). Beyond these, corporal punishment </w:t>
      </w:r>
      <w:r w:rsidR="00061E83" w:rsidRPr="0019599F">
        <w:rPr>
          <w:rFonts w:ascii="Times New Roman" w:hAnsi="Times New Roman"/>
          <w:sz w:val="24"/>
          <w:szCs w:val="24"/>
        </w:rPr>
        <w:t xml:space="preserve">is </w:t>
      </w:r>
      <w:r w:rsidR="00536562" w:rsidRPr="0019599F">
        <w:rPr>
          <w:rFonts w:ascii="Times New Roman" w:hAnsi="Times New Roman"/>
          <w:sz w:val="24"/>
          <w:szCs w:val="24"/>
        </w:rPr>
        <w:t xml:space="preserve">prescribed for bestiality (Larson 1935, 57, 217) and the desertion of an alien thrall in the </w:t>
      </w:r>
      <w:r w:rsidR="00536562" w:rsidRPr="0019599F">
        <w:rPr>
          <w:rFonts w:ascii="Times New Roman" w:hAnsi="Times New Roman"/>
          <w:i/>
          <w:iCs/>
          <w:sz w:val="24"/>
          <w:szCs w:val="24"/>
        </w:rPr>
        <w:t xml:space="preserve">Frostathings lov </w:t>
      </w:r>
      <w:r w:rsidR="00536562" w:rsidRPr="0019599F">
        <w:rPr>
          <w:rFonts w:ascii="Times New Roman" w:hAnsi="Times New Roman"/>
          <w:sz w:val="24"/>
          <w:szCs w:val="24"/>
        </w:rPr>
        <w:t>(ibid. 358), though flogging is the usual punishment for thralls (Larson 1935, 17, 24, 45, 48, 50, 167, 226, 237, 358, 359). There are also a great many crimes for which these Norwegian laws prescribe outlawry, suggesting that breakers of the peace were unwanted in west Scandinavian society and had forfeited their own right to freedom and peace (Larson 1935, 15-</w:t>
      </w:r>
      <w:r>
        <w:rPr>
          <w:rFonts w:ascii="Times New Roman" w:hAnsi="Times New Roman"/>
          <w:sz w:val="24"/>
          <w:szCs w:val="24"/>
        </w:rPr>
        <w:t>1</w:t>
      </w:r>
      <w:r w:rsidR="00536562" w:rsidRPr="0019599F">
        <w:rPr>
          <w:rFonts w:ascii="Times New Roman" w:hAnsi="Times New Roman"/>
          <w:sz w:val="24"/>
          <w:szCs w:val="24"/>
        </w:rPr>
        <w:t xml:space="preserve">8). For example, if a man charged with the gravest slander, </w:t>
      </w:r>
      <w:r w:rsidR="00536562" w:rsidRPr="0019599F">
        <w:rPr>
          <w:rFonts w:ascii="Times New Roman" w:hAnsi="Times New Roman"/>
          <w:i/>
          <w:iCs/>
          <w:sz w:val="24"/>
          <w:szCs w:val="24"/>
        </w:rPr>
        <w:t>níð</w:t>
      </w:r>
      <w:r w:rsidR="00536562" w:rsidRPr="0019599F">
        <w:rPr>
          <w:rFonts w:ascii="Times New Roman" w:hAnsi="Times New Roman"/>
          <w:sz w:val="24"/>
          <w:szCs w:val="24"/>
        </w:rPr>
        <w:t>,</w:t>
      </w:r>
      <w:r w:rsidR="00536562" w:rsidRPr="0019599F">
        <w:rPr>
          <w:rFonts w:ascii="Times New Roman" w:eastAsia="Times New Roman" w:hAnsi="Times New Roman" w:cs="Times New Roman"/>
          <w:sz w:val="24"/>
          <w:szCs w:val="24"/>
          <w:vertAlign w:val="superscript"/>
        </w:rPr>
        <w:footnoteReference w:id="12"/>
      </w:r>
      <w:r w:rsidR="00536562" w:rsidRPr="0019599F">
        <w:rPr>
          <w:rFonts w:ascii="Times New Roman" w:hAnsi="Times New Roman"/>
          <w:sz w:val="24"/>
          <w:szCs w:val="24"/>
        </w:rPr>
        <w:t xml:space="preserve"> failed a six-fold oath, under the </w:t>
      </w:r>
      <w:r w:rsidR="00536562" w:rsidRPr="0019599F">
        <w:rPr>
          <w:rFonts w:ascii="Times New Roman" w:hAnsi="Times New Roman"/>
          <w:i/>
          <w:iCs/>
          <w:sz w:val="24"/>
          <w:szCs w:val="24"/>
        </w:rPr>
        <w:t>Gulathings lov</w:t>
      </w:r>
      <w:r w:rsidR="00536562" w:rsidRPr="0019599F">
        <w:rPr>
          <w:rFonts w:ascii="Times New Roman" w:hAnsi="Times New Roman"/>
          <w:sz w:val="24"/>
          <w:szCs w:val="24"/>
        </w:rPr>
        <w:t xml:space="preserve"> he was to become an outlaw (Larson 1935, 122). This would then allow the wronged party, if they wished, to kill the outlaw with impunity to redeem their own honour (Larson 195, 14-</w:t>
      </w:r>
      <w:r>
        <w:rPr>
          <w:rFonts w:ascii="Times New Roman" w:hAnsi="Times New Roman"/>
          <w:sz w:val="24"/>
          <w:szCs w:val="24"/>
        </w:rPr>
        <w:t>1</w:t>
      </w:r>
      <w:r w:rsidR="00536562" w:rsidRPr="0019599F">
        <w:rPr>
          <w:rFonts w:ascii="Times New Roman" w:hAnsi="Times New Roman"/>
          <w:sz w:val="24"/>
          <w:szCs w:val="24"/>
        </w:rPr>
        <w:t>5).</w:t>
      </w:r>
      <w:r w:rsidR="00C63C0E">
        <w:rPr>
          <w:rFonts w:ascii="Times New Roman" w:hAnsi="Times New Roman"/>
          <w:sz w:val="24"/>
          <w:szCs w:val="24"/>
        </w:rPr>
        <w:t xml:space="preserve"> </w:t>
      </w:r>
      <w:r w:rsidR="00C63C0E" w:rsidRPr="0019599F">
        <w:rPr>
          <w:rFonts w:ascii="Times New Roman" w:hAnsi="Times New Roman"/>
          <w:sz w:val="24"/>
          <w:szCs w:val="24"/>
        </w:rPr>
        <w:t>Lesser</w:t>
      </w:r>
      <w:r w:rsidR="00C63C0E">
        <w:rPr>
          <w:rFonts w:ascii="Times New Roman" w:hAnsi="Times New Roman"/>
          <w:sz w:val="24"/>
          <w:szCs w:val="24"/>
        </w:rPr>
        <w:t xml:space="preserve"> </w:t>
      </w:r>
      <w:r w:rsidR="00C63C0E" w:rsidRPr="0019599F">
        <w:rPr>
          <w:rFonts w:ascii="Times New Roman" w:hAnsi="Times New Roman"/>
          <w:sz w:val="24"/>
          <w:szCs w:val="24"/>
        </w:rPr>
        <w:t xml:space="preserve">sentences were often agreed upon, </w:t>
      </w:r>
      <w:r w:rsidR="00C63C0E">
        <w:rPr>
          <w:rFonts w:ascii="Times New Roman" w:hAnsi="Times New Roman"/>
          <w:sz w:val="24"/>
          <w:szCs w:val="24"/>
        </w:rPr>
        <w:t>however (</w:t>
      </w:r>
      <w:r w:rsidR="00C63C0E" w:rsidRPr="0019599F">
        <w:rPr>
          <w:rFonts w:ascii="Times New Roman" w:hAnsi="Times New Roman"/>
          <w:sz w:val="24"/>
          <w:szCs w:val="24"/>
        </w:rPr>
        <w:t>Larson 1935, 17)</w:t>
      </w:r>
      <w:r w:rsidR="00C63C0E">
        <w:rPr>
          <w:rFonts w:ascii="Times New Roman" w:hAnsi="Times New Roman"/>
          <w:sz w:val="24"/>
          <w:szCs w:val="24"/>
        </w:rPr>
        <w:t>: outlawry</w:t>
      </w:r>
      <w:r w:rsidR="00C63C0E" w:rsidRPr="0019599F">
        <w:rPr>
          <w:rFonts w:ascii="Times New Roman" w:hAnsi="Times New Roman"/>
          <w:sz w:val="24"/>
          <w:szCs w:val="24"/>
        </w:rPr>
        <w:t xml:space="preserve"> </w:t>
      </w:r>
      <w:r w:rsidR="00C63C0E">
        <w:rPr>
          <w:rFonts w:ascii="Times New Roman" w:hAnsi="Times New Roman"/>
          <w:sz w:val="24"/>
          <w:szCs w:val="24"/>
        </w:rPr>
        <w:t xml:space="preserve">may have sufficed even </w:t>
      </w:r>
      <w:r w:rsidR="00C63C0E" w:rsidRPr="0019599F">
        <w:rPr>
          <w:rFonts w:ascii="Times New Roman" w:hAnsi="Times New Roman"/>
          <w:sz w:val="24"/>
          <w:szCs w:val="24"/>
        </w:rPr>
        <w:t>in serious cases.</w:t>
      </w:r>
    </w:p>
    <w:p w14:paraId="16D82821" w14:textId="266A7E1A"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By discouraging theft, adultery, and rape in the strongest terms – that is, by prescribing capital punishment – it is clear that these judicial bodies, and many others across Scandinavia, </w:t>
      </w:r>
      <w:r w:rsidRPr="0019599F">
        <w:rPr>
          <w:rFonts w:ascii="Times New Roman" w:hAnsi="Times New Roman"/>
          <w:sz w:val="24"/>
          <w:szCs w:val="24"/>
        </w:rPr>
        <w:lastRenderedPageBreak/>
        <w:t>were interested in discouraging a specific type of behaviour: deviance which undermined local peace (Peel 2015, 17-</w:t>
      </w:r>
      <w:r w:rsidR="00291A9A">
        <w:rPr>
          <w:rFonts w:ascii="Times New Roman" w:hAnsi="Times New Roman"/>
          <w:sz w:val="24"/>
          <w:szCs w:val="24"/>
        </w:rPr>
        <w:t>1</w:t>
      </w:r>
      <w:r w:rsidRPr="0019599F">
        <w:rPr>
          <w:rFonts w:ascii="Times New Roman" w:hAnsi="Times New Roman"/>
          <w:sz w:val="24"/>
          <w:szCs w:val="24"/>
        </w:rPr>
        <w:t>9). Theft, rape, and adultery are felt most profoundly at the local and familial level, suggesting that the kin-group and collective social stability were the most inviolable institutions to Scandinavians at this time.</w:t>
      </w:r>
      <w:r w:rsidRPr="0019599F">
        <w:rPr>
          <w:rFonts w:ascii="Times New Roman" w:eastAsia="Times New Roman" w:hAnsi="Times New Roman" w:cs="Times New Roman"/>
          <w:sz w:val="24"/>
          <w:szCs w:val="24"/>
          <w:vertAlign w:val="superscript"/>
        </w:rPr>
        <w:footnoteReference w:id="13"/>
      </w:r>
    </w:p>
    <w:p w14:paraId="28F55695" w14:textId="23583E0E" w:rsidR="00330AFC" w:rsidRPr="0019599F" w:rsidRDefault="00C63C0E" w:rsidP="0019599F">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T</w:t>
      </w:r>
      <w:r w:rsidR="00536562" w:rsidRPr="0019599F">
        <w:rPr>
          <w:rFonts w:ascii="Times New Roman" w:hAnsi="Times New Roman"/>
          <w:sz w:val="24"/>
          <w:szCs w:val="24"/>
        </w:rPr>
        <w:t>he diverse canon of English legal texts prescribing judicial violence can be turned to the same purposes, reading them for hints as to the values and institutions most protected by legal action</w:t>
      </w:r>
      <w:r>
        <w:rPr>
          <w:rFonts w:ascii="Times New Roman" w:hAnsi="Times New Roman"/>
          <w:sz w:val="24"/>
          <w:szCs w:val="24"/>
        </w:rPr>
        <w:t xml:space="preserve"> (cf. </w:t>
      </w:r>
      <w:r w:rsidRPr="0019599F">
        <w:rPr>
          <w:rFonts w:ascii="Times New Roman" w:hAnsi="Times New Roman"/>
          <w:sz w:val="24"/>
          <w:szCs w:val="24"/>
        </w:rPr>
        <w:t>Moreland 2003, 26-</w:t>
      </w:r>
      <w:r>
        <w:rPr>
          <w:rFonts w:ascii="Times New Roman" w:hAnsi="Times New Roman"/>
          <w:sz w:val="24"/>
          <w:szCs w:val="24"/>
        </w:rPr>
        <w:t>2</w:t>
      </w:r>
      <w:r w:rsidRPr="0019599F">
        <w:rPr>
          <w:rFonts w:ascii="Times New Roman" w:hAnsi="Times New Roman"/>
          <w:sz w:val="24"/>
          <w:szCs w:val="24"/>
        </w:rPr>
        <w:t>7)</w:t>
      </w:r>
      <w:r w:rsidR="00536562" w:rsidRPr="0019599F">
        <w:rPr>
          <w:rFonts w:ascii="Times New Roman" w:hAnsi="Times New Roman"/>
          <w:sz w:val="24"/>
          <w:szCs w:val="24"/>
        </w:rPr>
        <w:t xml:space="preserve">. </w:t>
      </w:r>
      <w:r w:rsidR="00CD0F6E">
        <w:rPr>
          <w:rFonts w:ascii="Times New Roman" w:hAnsi="Times New Roman"/>
          <w:sz w:val="24"/>
          <w:szCs w:val="24"/>
        </w:rPr>
        <w:t>C</w:t>
      </w:r>
      <w:r>
        <w:rPr>
          <w:rFonts w:ascii="Times New Roman" w:hAnsi="Times New Roman"/>
          <w:sz w:val="24"/>
          <w:szCs w:val="24"/>
        </w:rPr>
        <w:t xml:space="preserve">lear </w:t>
      </w:r>
      <w:r w:rsidR="00536562" w:rsidRPr="0019599F">
        <w:rPr>
          <w:rFonts w:ascii="Times New Roman" w:hAnsi="Times New Roman"/>
          <w:sz w:val="24"/>
          <w:szCs w:val="24"/>
        </w:rPr>
        <w:t>patterns and similarities</w:t>
      </w:r>
      <w:r w:rsidR="00CD0F6E">
        <w:rPr>
          <w:rFonts w:ascii="Times New Roman" w:hAnsi="Times New Roman"/>
          <w:sz w:val="24"/>
          <w:szCs w:val="24"/>
        </w:rPr>
        <w:t xml:space="preserve"> emerge</w:t>
      </w:r>
      <w:r w:rsidR="00536562" w:rsidRPr="0019599F">
        <w:rPr>
          <w:rFonts w:ascii="Times New Roman" w:hAnsi="Times New Roman"/>
          <w:sz w:val="24"/>
          <w:szCs w:val="24"/>
        </w:rPr>
        <w:t>. For example, the</w:t>
      </w:r>
      <w:r>
        <w:rPr>
          <w:rFonts w:ascii="Times New Roman" w:hAnsi="Times New Roman"/>
          <w:sz w:val="24"/>
          <w:szCs w:val="24"/>
        </w:rPr>
        <w:t>ft</w:t>
      </w:r>
      <w:r w:rsidR="00536562" w:rsidRPr="0019599F">
        <w:rPr>
          <w:rFonts w:ascii="Times New Roman" w:hAnsi="Times New Roman"/>
          <w:sz w:val="24"/>
          <w:szCs w:val="24"/>
        </w:rPr>
        <w:t>, rape, assisting thieves or outlaws, fighting in the king</w:t>
      </w:r>
      <w:r w:rsidR="00D03D40">
        <w:rPr>
          <w:rFonts w:ascii="Times New Roman" w:hAnsi="Times New Roman"/>
          <w:sz w:val="24"/>
          <w:szCs w:val="24"/>
        </w:rPr>
        <w:t>’</w:t>
      </w:r>
      <w:r w:rsidR="00536562" w:rsidRPr="0019599F">
        <w:rPr>
          <w:rFonts w:ascii="Times New Roman" w:hAnsi="Times New Roman"/>
          <w:sz w:val="24"/>
          <w:szCs w:val="24"/>
        </w:rPr>
        <w:t>s presence or breaking the king</w:t>
      </w:r>
      <w:r w:rsidR="00D03D40">
        <w:rPr>
          <w:rFonts w:ascii="Times New Roman" w:hAnsi="Times New Roman"/>
          <w:sz w:val="24"/>
          <w:szCs w:val="24"/>
        </w:rPr>
        <w:t>’</w:t>
      </w:r>
      <w:r w:rsidR="00536562" w:rsidRPr="0019599F">
        <w:rPr>
          <w:rFonts w:ascii="Times New Roman" w:hAnsi="Times New Roman"/>
          <w:sz w:val="24"/>
          <w:szCs w:val="24"/>
        </w:rPr>
        <w:t>s peace, illegal minting activity, sorcery or wizardry, prostitution, plotting against the life of the king, and desertion could all carry violent punishments under various kings in the Anglo-Saxon period (Reynolds 2009, 251-61). Given the immensity of the English legal corpus, compared to the Scandinavian one, it is not surprising that at various times, under different rulers, and in different kingdoms many of these crimes warranted fines instead of or alongside a violent punishment – often to be determined based on the severity of the crime as assessed by the judicial body in each case.</w:t>
      </w:r>
      <w:r w:rsidR="00536562" w:rsidRPr="0019599F">
        <w:rPr>
          <w:rFonts w:ascii="Times New Roman" w:eastAsia="Times New Roman" w:hAnsi="Times New Roman" w:cs="Times New Roman"/>
          <w:sz w:val="24"/>
          <w:szCs w:val="24"/>
          <w:vertAlign w:val="superscript"/>
        </w:rPr>
        <w:footnoteReference w:id="14"/>
      </w:r>
      <w:r w:rsidR="00536562" w:rsidRPr="0019599F">
        <w:rPr>
          <w:rFonts w:ascii="Times New Roman" w:hAnsi="Times New Roman"/>
          <w:sz w:val="24"/>
          <w:szCs w:val="24"/>
        </w:rPr>
        <w:t xml:space="preserve"> Victoria Thompson points out that only from the reign of Athelstan (924-39 CE) onward is execution listed as an automatic punishment for a crime, and even then only for a select few cases (2004, 181). This should be viewed as a slight shift in legal perspective</w:t>
      </w:r>
      <w:r w:rsidR="007F6A8B">
        <w:rPr>
          <w:rFonts w:ascii="Times New Roman" w:hAnsi="Times New Roman"/>
          <w:sz w:val="24"/>
          <w:szCs w:val="24"/>
        </w:rPr>
        <w:t>.</w:t>
      </w:r>
      <w:r w:rsidR="00536562" w:rsidRPr="0019599F">
        <w:rPr>
          <w:rFonts w:ascii="Times New Roman" w:hAnsi="Times New Roman"/>
          <w:sz w:val="24"/>
          <w:szCs w:val="24"/>
        </w:rPr>
        <w:t xml:space="preserve"> </w:t>
      </w:r>
      <w:r w:rsidR="007F6A8B" w:rsidRPr="0019599F">
        <w:rPr>
          <w:rFonts w:ascii="Times New Roman" w:hAnsi="Times New Roman"/>
          <w:sz w:val="24"/>
          <w:szCs w:val="24"/>
        </w:rPr>
        <w:t>B</w:t>
      </w:r>
      <w:r w:rsidR="00536562" w:rsidRPr="0019599F">
        <w:rPr>
          <w:rFonts w:ascii="Times New Roman" w:hAnsi="Times New Roman"/>
          <w:sz w:val="24"/>
          <w:szCs w:val="24"/>
        </w:rPr>
        <w:t>efore</w:t>
      </w:r>
      <w:r w:rsidR="007F6A8B">
        <w:rPr>
          <w:rFonts w:ascii="Times New Roman" w:hAnsi="Times New Roman"/>
          <w:sz w:val="24"/>
          <w:szCs w:val="24"/>
        </w:rPr>
        <w:t xml:space="preserve"> </w:t>
      </w:r>
      <w:r w:rsidR="00536562" w:rsidRPr="0019599F">
        <w:rPr>
          <w:rFonts w:ascii="Times New Roman" w:hAnsi="Times New Roman"/>
          <w:sz w:val="24"/>
          <w:szCs w:val="24"/>
        </w:rPr>
        <w:t>Athelstan</w:t>
      </w:r>
      <w:r w:rsidR="00D03D40">
        <w:rPr>
          <w:rFonts w:ascii="Times New Roman" w:hAnsi="Times New Roman"/>
          <w:sz w:val="24"/>
          <w:szCs w:val="24"/>
        </w:rPr>
        <w:t>’</w:t>
      </w:r>
      <w:r w:rsidR="00536562" w:rsidRPr="0019599F">
        <w:rPr>
          <w:rFonts w:ascii="Times New Roman" w:hAnsi="Times New Roman"/>
          <w:sz w:val="24"/>
          <w:szCs w:val="24"/>
        </w:rPr>
        <w:t>s time</w:t>
      </w:r>
      <w:r w:rsidR="007F6A8B">
        <w:rPr>
          <w:rFonts w:ascii="Times New Roman" w:hAnsi="Times New Roman"/>
          <w:sz w:val="24"/>
          <w:szCs w:val="24"/>
        </w:rPr>
        <w:t xml:space="preserve"> </w:t>
      </w:r>
      <w:r w:rsidR="007F6A8B" w:rsidRPr="0019599F">
        <w:rPr>
          <w:rFonts w:ascii="Times New Roman" w:hAnsi="Times New Roman"/>
          <w:sz w:val="24"/>
          <w:szCs w:val="24"/>
        </w:rPr>
        <w:t>judicially-prescribed execution</w:t>
      </w:r>
      <w:r w:rsidR="007F6A8B">
        <w:rPr>
          <w:rFonts w:ascii="Times New Roman" w:hAnsi="Times New Roman"/>
          <w:sz w:val="24"/>
          <w:szCs w:val="24"/>
        </w:rPr>
        <w:t xml:space="preserve"> was certainly practised</w:t>
      </w:r>
      <w:r w:rsidR="00536562" w:rsidRPr="0019599F">
        <w:rPr>
          <w:rFonts w:ascii="Times New Roman" w:hAnsi="Times New Roman"/>
          <w:sz w:val="24"/>
          <w:szCs w:val="24"/>
        </w:rPr>
        <w:t xml:space="preserve"> but </w:t>
      </w:r>
      <w:r w:rsidR="007F6A8B">
        <w:rPr>
          <w:rFonts w:ascii="Times New Roman" w:hAnsi="Times New Roman"/>
          <w:sz w:val="24"/>
          <w:szCs w:val="24"/>
        </w:rPr>
        <w:t xml:space="preserve">first recourse was to </w:t>
      </w:r>
      <w:r w:rsidR="00536562" w:rsidRPr="0019599F">
        <w:rPr>
          <w:rFonts w:ascii="Times New Roman" w:hAnsi="Times New Roman"/>
          <w:sz w:val="24"/>
          <w:szCs w:val="24"/>
        </w:rPr>
        <w:t>non-lethal settlements (Thompson 2004, 181).</w:t>
      </w:r>
      <w:r w:rsidR="00CD0F6E">
        <w:rPr>
          <w:rFonts w:ascii="Times New Roman" w:hAnsi="Times New Roman"/>
          <w:sz w:val="24"/>
          <w:szCs w:val="24"/>
        </w:rPr>
        <w:t xml:space="preserve"> </w:t>
      </w:r>
      <w:r w:rsidR="00CD0F6E" w:rsidRPr="0019599F">
        <w:rPr>
          <w:rFonts w:ascii="Times New Roman" w:hAnsi="Times New Roman"/>
          <w:sz w:val="24"/>
          <w:szCs w:val="24"/>
        </w:rPr>
        <w:t xml:space="preserve">While theft and rape were considered capital offences, adultery, </w:t>
      </w:r>
      <w:r w:rsidR="00CD0F6E">
        <w:rPr>
          <w:rFonts w:ascii="Times New Roman" w:hAnsi="Times New Roman"/>
          <w:sz w:val="24"/>
          <w:szCs w:val="24"/>
        </w:rPr>
        <w:t xml:space="preserve">in contrast with </w:t>
      </w:r>
      <w:r w:rsidR="00CD0F6E" w:rsidRPr="0019599F">
        <w:rPr>
          <w:rFonts w:ascii="Times New Roman" w:hAnsi="Times New Roman"/>
          <w:sz w:val="24"/>
          <w:szCs w:val="24"/>
        </w:rPr>
        <w:t>Gotland, carried a lesser penalty (Reynolds 2009, 170, 251-61; Peel 2015, 209-10).</w:t>
      </w:r>
    </w:p>
    <w:p w14:paraId="21E884BA" w14:textId="553F21C8" w:rsidR="00330AFC" w:rsidRPr="0019599F" w:rsidRDefault="00CD0F6E" w:rsidP="0019599F">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lang w:val="de-DE"/>
        </w:rPr>
        <w:t>T</w:t>
      </w:r>
      <w:r w:rsidR="00536562" w:rsidRPr="0019599F">
        <w:rPr>
          <w:rFonts w:ascii="Times New Roman" w:hAnsi="Times New Roman"/>
          <w:sz w:val="24"/>
          <w:szCs w:val="24"/>
        </w:rPr>
        <w:t>he catalogue of crimes warranting</w:t>
      </w:r>
      <w:r w:rsidR="00993AA0">
        <w:rPr>
          <w:rFonts w:ascii="Times New Roman" w:hAnsi="Times New Roman"/>
          <w:sz w:val="24"/>
          <w:szCs w:val="24"/>
        </w:rPr>
        <w:t xml:space="preserve"> capital</w:t>
      </w:r>
      <w:r w:rsidR="00536562" w:rsidRPr="0019599F">
        <w:rPr>
          <w:rFonts w:ascii="Times New Roman" w:hAnsi="Times New Roman"/>
          <w:sz w:val="24"/>
          <w:szCs w:val="24"/>
        </w:rPr>
        <w:t xml:space="preserve"> punishment </w:t>
      </w:r>
      <w:r w:rsidR="00993AA0">
        <w:rPr>
          <w:rFonts w:ascii="Times New Roman" w:hAnsi="Times New Roman"/>
          <w:sz w:val="24"/>
          <w:szCs w:val="24"/>
        </w:rPr>
        <w:t xml:space="preserve">in England </w:t>
      </w:r>
      <w:r w:rsidR="00536562" w:rsidRPr="0019599F">
        <w:rPr>
          <w:rFonts w:ascii="Times New Roman" w:hAnsi="Times New Roman"/>
          <w:sz w:val="24"/>
          <w:szCs w:val="24"/>
        </w:rPr>
        <w:t>extend</w:t>
      </w:r>
      <w:r w:rsidR="007F6A8B">
        <w:rPr>
          <w:rFonts w:ascii="Times New Roman" w:hAnsi="Times New Roman"/>
          <w:sz w:val="24"/>
          <w:szCs w:val="24"/>
        </w:rPr>
        <w:t>s</w:t>
      </w:r>
      <w:r w:rsidR="00536562" w:rsidRPr="0019599F">
        <w:rPr>
          <w:rFonts w:ascii="Times New Roman" w:hAnsi="Times New Roman"/>
          <w:sz w:val="24"/>
          <w:szCs w:val="24"/>
        </w:rPr>
        <w:t xml:space="preserve"> beyond the</w:t>
      </w:r>
      <w:r>
        <w:rPr>
          <w:rFonts w:ascii="Times New Roman" w:hAnsi="Times New Roman"/>
          <w:sz w:val="24"/>
          <w:szCs w:val="24"/>
        </w:rPr>
        <w:t>se</w:t>
      </w:r>
      <w:r w:rsidR="00536562" w:rsidRPr="0019599F">
        <w:rPr>
          <w:rFonts w:ascii="Times New Roman" w:hAnsi="Times New Roman"/>
          <w:sz w:val="24"/>
          <w:szCs w:val="24"/>
        </w:rPr>
        <w:t xml:space="preserve"> morally taboo</w:t>
      </w:r>
      <w:r>
        <w:rPr>
          <w:rFonts w:ascii="Times New Roman" w:hAnsi="Times New Roman"/>
          <w:sz w:val="24"/>
          <w:szCs w:val="24"/>
        </w:rPr>
        <w:t xml:space="preserve"> offences</w:t>
      </w:r>
      <w:r w:rsidR="00536562" w:rsidRPr="0019599F">
        <w:rPr>
          <w:rFonts w:ascii="Times New Roman" w:hAnsi="Times New Roman"/>
          <w:sz w:val="24"/>
          <w:szCs w:val="24"/>
        </w:rPr>
        <w:t xml:space="preserve">. </w:t>
      </w:r>
      <w:r w:rsidRPr="0019599F">
        <w:rPr>
          <w:rFonts w:ascii="Times New Roman" w:hAnsi="Times New Roman"/>
          <w:sz w:val="24"/>
          <w:szCs w:val="24"/>
        </w:rPr>
        <w:t>A</w:t>
      </w:r>
      <w:r w:rsidR="00536562" w:rsidRPr="0019599F">
        <w:rPr>
          <w:rFonts w:ascii="Times New Roman" w:hAnsi="Times New Roman"/>
          <w:sz w:val="24"/>
          <w:szCs w:val="24"/>
        </w:rPr>
        <w:t>lso</w:t>
      </w:r>
      <w:r>
        <w:rPr>
          <w:rFonts w:ascii="Times New Roman" w:hAnsi="Times New Roman"/>
          <w:sz w:val="24"/>
          <w:szCs w:val="24"/>
        </w:rPr>
        <w:t xml:space="preserve"> </w:t>
      </w:r>
      <w:r w:rsidR="00536562" w:rsidRPr="0019599F">
        <w:rPr>
          <w:rFonts w:ascii="Times New Roman" w:hAnsi="Times New Roman"/>
          <w:sz w:val="24"/>
          <w:szCs w:val="24"/>
        </w:rPr>
        <w:t xml:space="preserve">included </w:t>
      </w:r>
      <w:r>
        <w:rPr>
          <w:rFonts w:ascii="Times New Roman" w:hAnsi="Times New Roman"/>
          <w:sz w:val="24"/>
          <w:szCs w:val="24"/>
        </w:rPr>
        <w:t xml:space="preserve">were </w:t>
      </w:r>
      <w:r w:rsidR="00536562" w:rsidRPr="0019599F">
        <w:rPr>
          <w:rFonts w:ascii="Times New Roman" w:hAnsi="Times New Roman"/>
          <w:sz w:val="24"/>
          <w:szCs w:val="24"/>
        </w:rPr>
        <w:t>acts that undermined the king</w:t>
      </w:r>
      <w:r w:rsidR="00D03D40">
        <w:rPr>
          <w:rFonts w:ascii="Times New Roman" w:hAnsi="Times New Roman"/>
          <w:sz w:val="24"/>
          <w:szCs w:val="24"/>
        </w:rPr>
        <w:t>’</w:t>
      </w:r>
      <w:r w:rsidR="00536562" w:rsidRPr="0019599F">
        <w:rPr>
          <w:rFonts w:ascii="Times New Roman" w:hAnsi="Times New Roman"/>
          <w:sz w:val="24"/>
          <w:szCs w:val="24"/>
        </w:rPr>
        <w:t>s power and the realm</w:t>
      </w:r>
      <w:r w:rsidR="00D03D40">
        <w:rPr>
          <w:rFonts w:ascii="Times New Roman" w:hAnsi="Times New Roman"/>
          <w:sz w:val="24"/>
          <w:szCs w:val="24"/>
        </w:rPr>
        <w:t>’</w:t>
      </w:r>
      <w:r w:rsidR="00536562" w:rsidRPr="0019599F">
        <w:rPr>
          <w:rFonts w:ascii="Times New Roman" w:hAnsi="Times New Roman"/>
          <w:sz w:val="24"/>
          <w:szCs w:val="24"/>
        </w:rPr>
        <w:t xml:space="preserve">s peace. Actions such as fighting in the presence of the king or plotting against him directly put the safety of the ruler in jeopardy </w:t>
      </w:r>
      <w:r w:rsidR="00993AA0">
        <w:rPr>
          <w:rFonts w:ascii="Times New Roman" w:hAnsi="Times New Roman"/>
          <w:sz w:val="24"/>
          <w:szCs w:val="24"/>
        </w:rPr>
        <w:t xml:space="preserve">and </w:t>
      </w:r>
      <w:r w:rsidR="00536562" w:rsidRPr="0019599F">
        <w:rPr>
          <w:rFonts w:ascii="Times New Roman" w:hAnsi="Times New Roman"/>
          <w:sz w:val="24"/>
          <w:szCs w:val="24"/>
        </w:rPr>
        <w:t>also threatened the stability of the realm</w:t>
      </w:r>
      <w:r w:rsidR="00993AA0">
        <w:rPr>
          <w:rFonts w:ascii="Times New Roman" w:hAnsi="Times New Roman"/>
          <w:sz w:val="24"/>
          <w:szCs w:val="24"/>
        </w:rPr>
        <w:t xml:space="preserve"> </w:t>
      </w:r>
      <w:r w:rsidR="00993AA0" w:rsidRPr="0019599F">
        <w:rPr>
          <w:rFonts w:ascii="Times New Roman" w:hAnsi="Times New Roman"/>
          <w:sz w:val="24"/>
          <w:szCs w:val="24"/>
        </w:rPr>
        <w:t>(Reynolds 2009, 23-</w:t>
      </w:r>
      <w:r w:rsidR="00993AA0">
        <w:rPr>
          <w:rFonts w:ascii="Times New Roman" w:hAnsi="Times New Roman"/>
          <w:sz w:val="24"/>
          <w:szCs w:val="24"/>
        </w:rPr>
        <w:t>2</w:t>
      </w:r>
      <w:r w:rsidR="00993AA0" w:rsidRPr="0019599F">
        <w:rPr>
          <w:rFonts w:ascii="Times New Roman" w:hAnsi="Times New Roman"/>
          <w:sz w:val="24"/>
          <w:szCs w:val="24"/>
        </w:rPr>
        <w:t>9)</w:t>
      </w:r>
      <w:r w:rsidR="00536562" w:rsidRPr="0019599F">
        <w:rPr>
          <w:rFonts w:ascii="Times New Roman" w:hAnsi="Times New Roman"/>
          <w:sz w:val="24"/>
          <w:szCs w:val="24"/>
        </w:rPr>
        <w:t>. Illegal minting, assisting thieves and outlaws, breaking the king</w:t>
      </w:r>
      <w:r w:rsidR="00D03D40">
        <w:rPr>
          <w:rFonts w:ascii="Times New Roman" w:hAnsi="Times New Roman"/>
          <w:sz w:val="24"/>
          <w:szCs w:val="24"/>
        </w:rPr>
        <w:t>’</w:t>
      </w:r>
      <w:r w:rsidR="00536562" w:rsidRPr="0019599F">
        <w:rPr>
          <w:rFonts w:ascii="Times New Roman" w:hAnsi="Times New Roman"/>
          <w:sz w:val="24"/>
          <w:szCs w:val="24"/>
        </w:rPr>
        <w:t xml:space="preserve">s peace, and desertion are telling </w:t>
      </w:r>
      <w:r w:rsidR="00993AA0">
        <w:rPr>
          <w:rFonts w:ascii="Times New Roman" w:hAnsi="Times New Roman"/>
          <w:sz w:val="24"/>
          <w:szCs w:val="24"/>
        </w:rPr>
        <w:t xml:space="preserve">inclusions </w:t>
      </w:r>
      <w:r w:rsidR="00536562" w:rsidRPr="0019599F">
        <w:rPr>
          <w:rFonts w:ascii="Times New Roman" w:hAnsi="Times New Roman"/>
          <w:sz w:val="24"/>
          <w:szCs w:val="24"/>
        </w:rPr>
        <w:t>(Reynolds 2009, 23-</w:t>
      </w:r>
      <w:r w:rsidR="00C03B80">
        <w:rPr>
          <w:rFonts w:ascii="Times New Roman" w:hAnsi="Times New Roman"/>
          <w:sz w:val="24"/>
          <w:szCs w:val="24"/>
        </w:rPr>
        <w:t>2</w:t>
      </w:r>
      <w:r w:rsidR="00536562" w:rsidRPr="0019599F">
        <w:rPr>
          <w:rFonts w:ascii="Times New Roman" w:hAnsi="Times New Roman"/>
          <w:sz w:val="24"/>
          <w:szCs w:val="24"/>
        </w:rPr>
        <w:t>9)</w:t>
      </w:r>
      <w:r w:rsidR="00993AA0">
        <w:rPr>
          <w:rFonts w:ascii="Times New Roman" w:hAnsi="Times New Roman"/>
          <w:sz w:val="24"/>
          <w:szCs w:val="24"/>
        </w:rPr>
        <w:t xml:space="preserve"> in that</w:t>
      </w:r>
      <w:r w:rsidR="00536562" w:rsidRPr="0019599F">
        <w:rPr>
          <w:rFonts w:ascii="Times New Roman" w:hAnsi="Times New Roman"/>
          <w:sz w:val="24"/>
          <w:szCs w:val="24"/>
        </w:rPr>
        <w:t xml:space="preserve"> </w:t>
      </w:r>
      <w:r w:rsidR="00993AA0">
        <w:rPr>
          <w:rFonts w:ascii="Times New Roman" w:hAnsi="Times New Roman"/>
          <w:sz w:val="24"/>
          <w:szCs w:val="24"/>
        </w:rPr>
        <w:t xml:space="preserve">they do </w:t>
      </w:r>
      <w:r w:rsidR="00536562" w:rsidRPr="0019599F">
        <w:rPr>
          <w:rFonts w:ascii="Times New Roman" w:hAnsi="Times New Roman"/>
          <w:sz w:val="24"/>
          <w:szCs w:val="24"/>
        </w:rPr>
        <w:t xml:space="preserve">not threaten the safety of the king but rather undermine his authority in the realm. </w:t>
      </w:r>
      <w:r w:rsidR="008067B5">
        <w:rPr>
          <w:rFonts w:ascii="Times New Roman" w:hAnsi="Times New Roman"/>
          <w:sz w:val="24"/>
          <w:szCs w:val="24"/>
        </w:rPr>
        <w:t>Thus</w:t>
      </w:r>
      <w:r w:rsidR="00536562" w:rsidRPr="0019599F">
        <w:rPr>
          <w:rFonts w:ascii="Times New Roman" w:hAnsi="Times New Roman"/>
          <w:sz w:val="24"/>
          <w:szCs w:val="24"/>
        </w:rPr>
        <w:t xml:space="preserve"> the main body of crimes warranting the most extreme punishments are those that transgress against the king and the kingdom. </w:t>
      </w:r>
      <w:r w:rsidR="00A914B2">
        <w:rPr>
          <w:rFonts w:ascii="Times New Roman" w:hAnsi="Times New Roman"/>
          <w:sz w:val="24"/>
          <w:szCs w:val="24"/>
        </w:rPr>
        <w:t>T</w:t>
      </w:r>
      <w:r w:rsidR="00536562" w:rsidRPr="0019599F">
        <w:rPr>
          <w:rFonts w:ascii="Times New Roman" w:hAnsi="Times New Roman"/>
          <w:sz w:val="24"/>
          <w:szCs w:val="24"/>
        </w:rPr>
        <w:t xml:space="preserve">his evidence </w:t>
      </w:r>
      <w:r w:rsidR="00993AA0">
        <w:rPr>
          <w:rFonts w:ascii="Times New Roman" w:hAnsi="Times New Roman"/>
          <w:sz w:val="24"/>
          <w:szCs w:val="24"/>
        </w:rPr>
        <w:t xml:space="preserve">suggests </w:t>
      </w:r>
      <w:r w:rsidR="00536562" w:rsidRPr="0019599F">
        <w:rPr>
          <w:rFonts w:ascii="Times New Roman" w:hAnsi="Times New Roman"/>
          <w:sz w:val="24"/>
          <w:szCs w:val="24"/>
        </w:rPr>
        <w:t>that it was the king and his force in the realm that were of highest import to the empowered population in England at this time.</w:t>
      </w:r>
    </w:p>
    <w:p w14:paraId="70389102" w14:textId="222BF189"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t>
      </w:r>
      <w:r w:rsidR="00993AA0">
        <w:rPr>
          <w:rFonts w:ascii="Times New Roman" w:hAnsi="Times New Roman"/>
          <w:sz w:val="24"/>
          <w:szCs w:val="24"/>
        </w:rPr>
        <w:t xml:space="preserve">A </w:t>
      </w:r>
      <w:r w:rsidRPr="0019599F">
        <w:rPr>
          <w:rFonts w:ascii="Times New Roman" w:hAnsi="Times New Roman"/>
          <w:sz w:val="24"/>
          <w:szCs w:val="24"/>
        </w:rPr>
        <w:t xml:space="preserve">number of crimes against the institution of the church in England were added to the list of those that warranted judicial violence, particularly in the late tenth and early eleventh centuries. Wizardry, sorcery, and prostitution, all denounced vehemently by the church at the time, are interesting </w:t>
      </w:r>
      <w:r w:rsidR="00A914B2">
        <w:rPr>
          <w:rFonts w:ascii="Times New Roman" w:hAnsi="Times New Roman"/>
          <w:sz w:val="24"/>
          <w:szCs w:val="24"/>
        </w:rPr>
        <w:t xml:space="preserve">instances </w:t>
      </w:r>
      <w:r w:rsidRPr="0019599F">
        <w:rPr>
          <w:rFonts w:ascii="Times New Roman" w:hAnsi="Times New Roman"/>
          <w:sz w:val="24"/>
          <w:szCs w:val="24"/>
        </w:rPr>
        <w:t>(Reynolds 2009, 23-</w:t>
      </w:r>
      <w:r w:rsidR="00DE2511">
        <w:rPr>
          <w:rFonts w:ascii="Times New Roman" w:hAnsi="Times New Roman"/>
          <w:sz w:val="24"/>
          <w:szCs w:val="24"/>
        </w:rPr>
        <w:t>2</w:t>
      </w:r>
      <w:r w:rsidRPr="0019599F">
        <w:rPr>
          <w:rFonts w:ascii="Times New Roman" w:hAnsi="Times New Roman"/>
          <w:sz w:val="24"/>
          <w:szCs w:val="24"/>
        </w:rPr>
        <w:t>9; Thompson 2004, 180-</w:t>
      </w:r>
      <w:r w:rsidR="00DE2511">
        <w:rPr>
          <w:rFonts w:ascii="Times New Roman" w:hAnsi="Times New Roman"/>
          <w:sz w:val="24"/>
          <w:szCs w:val="24"/>
        </w:rPr>
        <w:t>8</w:t>
      </w:r>
      <w:r w:rsidRPr="0019599F">
        <w:rPr>
          <w:rFonts w:ascii="Times New Roman" w:hAnsi="Times New Roman"/>
          <w:sz w:val="24"/>
          <w:szCs w:val="24"/>
        </w:rPr>
        <w:t xml:space="preserve">4). </w:t>
      </w:r>
      <w:r w:rsidR="00993AA0">
        <w:rPr>
          <w:rFonts w:ascii="Times New Roman" w:hAnsi="Times New Roman"/>
          <w:sz w:val="24"/>
          <w:szCs w:val="24"/>
        </w:rPr>
        <w:t>T</w:t>
      </w:r>
      <w:r w:rsidRPr="0019599F">
        <w:rPr>
          <w:rFonts w:ascii="Times New Roman" w:hAnsi="Times New Roman"/>
          <w:sz w:val="24"/>
          <w:szCs w:val="24"/>
        </w:rPr>
        <w:t xml:space="preserve">hese provisions </w:t>
      </w:r>
      <w:r w:rsidR="00993AA0">
        <w:rPr>
          <w:rFonts w:ascii="Times New Roman" w:hAnsi="Times New Roman"/>
          <w:sz w:val="24"/>
          <w:szCs w:val="24"/>
        </w:rPr>
        <w:t xml:space="preserve">are significant in several ways. First, they </w:t>
      </w:r>
      <w:r w:rsidRPr="0019599F">
        <w:rPr>
          <w:rFonts w:ascii="Times New Roman" w:hAnsi="Times New Roman"/>
          <w:sz w:val="24"/>
          <w:szCs w:val="24"/>
        </w:rPr>
        <w:t>helped to protect the status of the church as an institution. Second</w:t>
      </w:r>
      <w:r w:rsidR="00993AA0">
        <w:rPr>
          <w:rFonts w:ascii="Times New Roman" w:hAnsi="Times New Roman"/>
          <w:sz w:val="24"/>
          <w:szCs w:val="24"/>
        </w:rPr>
        <w:t>,</w:t>
      </w:r>
      <w:r w:rsidRPr="0019599F">
        <w:rPr>
          <w:rFonts w:ascii="Times New Roman" w:hAnsi="Times New Roman"/>
          <w:sz w:val="24"/>
          <w:szCs w:val="24"/>
        </w:rPr>
        <w:t xml:space="preserve"> the king, by marking these as capital offences, bolstered his own position </w:t>
      </w:r>
      <w:r w:rsidR="00993AA0">
        <w:rPr>
          <w:rFonts w:ascii="Times New Roman" w:hAnsi="Times New Roman"/>
          <w:sz w:val="24"/>
          <w:szCs w:val="24"/>
        </w:rPr>
        <w:t xml:space="preserve">vis-à-vis the church </w:t>
      </w:r>
      <w:r w:rsidRPr="0019599F">
        <w:rPr>
          <w:rFonts w:ascii="Times New Roman" w:hAnsi="Times New Roman"/>
          <w:sz w:val="24"/>
          <w:szCs w:val="24"/>
        </w:rPr>
        <w:t xml:space="preserve">by declaring himself as the champion of </w:t>
      </w:r>
      <w:r w:rsidR="00993AA0">
        <w:rPr>
          <w:rFonts w:ascii="Times New Roman" w:hAnsi="Times New Roman"/>
          <w:sz w:val="24"/>
          <w:szCs w:val="24"/>
        </w:rPr>
        <w:t xml:space="preserve">its </w:t>
      </w:r>
      <w:r w:rsidRPr="0019599F">
        <w:rPr>
          <w:rFonts w:ascii="Times New Roman" w:hAnsi="Times New Roman"/>
          <w:sz w:val="24"/>
          <w:szCs w:val="24"/>
        </w:rPr>
        <w:t xml:space="preserve">agenda. Those who acted in opposition to </w:t>
      </w:r>
      <w:r w:rsidR="00993AA0">
        <w:rPr>
          <w:rFonts w:ascii="Times New Roman" w:hAnsi="Times New Roman"/>
          <w:sz w:val="24"/>
          <w:szCs w:val="24"/>
        </w:rPr>
        <w:t xml:space="preserve">it </w:t>
      </w:r>
      <w:r w:rsidRPr="0019599F">
        <w:rPr>
          <w:rFonts w:ascii="Times New Roman" w:hAnsi="Times New Roman"/>
          <w:sz w:val="24"/>
          <w:szCs w:val="24"/>
        </w:rPr>
        <w:t xml:space="preserve">now directly acted against the king. </w:t>
      </w:r>
      <w:r w:rsidR="00A914B2">
        <w:rPr>
          <w:rFonts w:ascii="Times New Roman" w:hAnsi="Times New Roman"/>
          <w:sz w:val="24"/>
          <w:szCs w:val="24"/>
        </w:rPr>
        <w:t xml:space="preserve">Given that </w:t>
      </w:r>
      <w:r w:rsidRPr="0019599F">
        <w:rPr>
          <w:rFonts w:ascii="Times New Roman" w:hAnsi="Times New Roman"/>
          <w:sz w:val="24"/>
          <w:szCs w:val="24"/>
        </w:rPr>
        <w:t xml:space="preserve">these particular laws come from the codes attributed to Wulfstan II, who apparently sought leniency in sentencing and particularly an </w:t>
      </w:r>
      <w:r w:rsidRPr="0019599F">
        <w:rPr>
          <w:rFonts w:ascii="Times New Roman" w:hAnsi="Times New Roman"/>
          <w:sz w:val="24"/>
          <w:szCs w:val="24"/>
        </w:rPr>
        <w:lastRenderedPageBreak/>
        <w:t>avoidance of capital punishment</w:t>
      </w:r>
      <w:r w:rsidR="00A914B2">
        <w:rPr>
          <w:rFonts w:ascii="Times New Roman" w:hAnsi="Times New Roman"/>
          <w:sz w:val="24"/>
          <w:szCs w:val="24"/>
        </w:rPr>
        <w:t>,</w:t>
      </w:r>
      <w:r w:rsidRPr="0019599F">
        <w:rPr>
          <w:rFonts w:ascii="Times New Roman" w:eastAsia="Times New Roman" w:hAnsi="Times New Roman" w:cs="Times New Roman"/>
          <w:sz w:val="24"/>
          <w:szCs w:val="24"/>
          <w:vertAlign w:val="superscript"/>
        </w:rPr>
        <w:footnoteReference w:id="15"/>
      </w:r>
      <w:r w:rsidRPr="0019599F">
        <w:rPr>
          <w:rFonts w:ascii="Times New Roman" w:hAnsi="Times New Roman"/>
          <w:sz w:val="24"/>
          <w:szCs w:val="24"/>
        </w:rPr>
        <w:t xml:space="preserve"> the inclusion of these crimes among the catalogue of capital offences speaks to the church</w:t>
      </w:r>
      <w:r w:rsidR="00D03D40">
        <w:rPr>
          <w:rFonts w:ascii="Times New Roman" w:hAnsi="Times New Roman"/>
          <w:sz w:val="24"/>
          <w:szCs w:val="24"/>
        </w:rPr>
        <w:t>’</w:t>
      </w:r>
      <w:r w:rsidRPr="0019599F">
        <w:rPr>
          <w:rFonts w:ascii="Times New Roman" w:hAnsi="Times New Roman"/>
          <w:sz w:val="24"/>
          <w:szCs w:val="24"/>
        </w:rPr>
        <w:t>s view on their severity.</w:t>
      </w:r>
    </w:p>
    <w:p w14:paraId="767374D3" w14:textId="2720E729"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t>
      </w:r>
      <w:r w:rsidR="00A914B2">
        <w:rPr>
          <w:rFonts w:ascii="Times New Roman" w:hAnsi="Times New Roman"/>
          <w:sz w:val="24"/>
          <w:szCs w:val="24"/>
        </w:rPr>
        <w:t>T</w:t>
      </w:r>
      <w:r w:rsidRPr="0019599F">
        <w:rPr>
          <w:rFonts w:ascii="Times New Roman" w:hAnsi="Times New Roman"/>
          <w:sz w:val="24"/>
          <w:szCs w:val="24"/>
        </w:rPr>
        <w:t xml:space="preserve">hese texts also shed some light on how </w:t>
      </w:r>
      <w:r w:rsidR="00A914B2">
        <w:rPr>
          <w:rFonts w:ascii="Times New Roman" w:hAnsi="Times New Roman"/>
          <w:sz w:val="24"/>
          <w:szCs w:val="24"/>
        </w:rPr>
        <w:t xml:space="preserve">judicial </w:t>
      </w:r>
      <w:r w:rsidRPr="0019599F">
        <w:rPr>
          <w:rFonts w:ascii="Times New Roman" w:hAnsi="Times New Roman"/>
          <w:sz w:val="24"/>
          <w:szCs w:val="24"/>
        </w:rPr>
        <w:t xml:space="preserve">violence was administered. The laws of both Gotland and England </w:t>
      </w:r>
      <w:r w:rsidR="00993AA0">
        <w:rPr>
          <w:rFonts w:ascii="Times New Roman" w:hAnsi="Times New Roman"/>
          <w:sz w:val="24"/>
          <w:szCs w:val="24"/>
        </w:rPr>
        <w:t xml:space="preserve">point to </w:t>
      </w:r>
      <w:r w:rsidRPr="0019599F">
        <w:rPr>
          <w:rFonts w:ascii="Times New Roman" w:hAnsi="Times New Roman"/>
          <w:sz w:val="24"/>
          <w:szCs w:val="24"/>
        </w:rPr>
        <w:t>th</w:t>
      </w:r>
      <w:r w:rsidR="00993AA0">
        <w:rPr>
          <w:rFonts w:ascii="Times New Roman" w:hAnsi="Times New Roman"/>
          <w:sz w:val="24"/>
          <w:szCs w:val="24"/>
        </w:rPr>
        <w:t>e practice of</w:t>
      </w:r>
      <w:r w:rsidRPr="0019599F">
        <w:rPr>
          <w:rFonts w:ascii="Times New Roman" w:hAnsi="Times New Roman"/>
          <w:sz w:val="24"/>
          <w:szCs w:val="24"/>
        </w:rPr>
        <w:t xml:space="preserve"> b</w:t>
      </w:r>
      <w:r w:rsidR="002D424E">
        <w:rPr>
          <w:rFonts w:ascii="Times New Roman" w:hAnsi="Times New Roman"/>
          <w:sz w:val="24"/>
          <w:szCs w:val="24"/>
        </w:rPr>
        <w:t>randing and marking</w:t>
      </w:r>
      <w:r w:rsidRPr="0019599F">
        <w:rPr>
          <w:rFonts w:ascii="Times New Roman" w:hAnsi="Times New Roman"/>
          <w:sz w:val="24"/>
          <w:szCs w:val="24"/>
        </w:rPr>
        <w:t xml:space="preserve"> but </w:t>
      </w:r>
      <w:r w:rsidR="00993AA0">
        <w:rPr>
          <w:rFonts w:ascii="Times New Roman" w:hAnsi="Times New Roman"/>
          <w:sz w:val="24"/>
          <w:szCs w:val="24"/>
        </w:rPr>
        <w:t xml:space="preserve">do not specify how these punishments were carried out </w:t>
      </w:r>
      <w:r w:rsidRPr="0019599F">
        <w:rPr>
          <w:rFonts w:ascii="Times New Roman" w:hAnsi="Times New Roman"/>
          <w:sz w:val="24"/>
          <w:szCs w:val="24"/>
        </w:rPr>
        <w:t>(Peel 2015, 74, 200-</w:t>
      </w:r>
      <w:r w:rsidR="002D424E">
        <w:rPr>
          <w:rFonts w:ascii="Times New Roman" w:hAnsi="Times New Roman"/>
          <w:sz w:val="24"/>
          <w:szCs w:val="24"/>
        </w:rPr>
        <w:t>0</w:t>
      </w:r>
      <w:r w:rsidRPr="0019599F">
        <w:rPr>
          <w:rFonts w:ascii="Times New Roman" w:hAnsi="Times New Roman"/>
          <w:sz w:val="24"/>
          <w:szCs w:val="24"/>
        </w:rPr>
        <w:t xml:space="preserve">1; Reynolds 2009, 251-61). The Norwegian laws tell us that floggings were administered but </w:t>
      </w:r>
      <w:r w:rsidR="00A914B2">
        <w:rPr>
          <w:rFonts w:ascii="Times New Roman" w:hAnsi="Times New Roman"/>
          <w:sz w:val="24"/>
          <w:szCs w:val="24"/>
        </w:rPr>
        <w:t xml:space="preserve">once again </w:t>
      </w:r>
      <w:r w:rsidRPr="0019599F">
        <w:rPr>
          <w:rFonts w:ascii="Times New Roman" w:hAnsi="Times New Roman"/>
          <w:sz w:val="24"/>
          <w:szCs w:val="24"/>
        </w:rPr>
        <w:t>provide little further detail (Larson 1935, 45, 48, 50, 167, 226, 237, 358, 359). The laws that prescribe maiming often stipulat</w:t>
      </w:r>
      <w:r w:rsidR="00A914B2">
        <w:rPr>
          <w:rFonts w:ascii="Times New Roman" w:hAnsi="Times New Roman"/>
          <w:sz w:val="24"/>
          <w:szCs w:val="24"/>
        </w:rPr>
        <w:t>e</w:t>
      </w:r>
      <w:r w:rsidRPr="0019599F">
        <w:rPr>
          <w:rFonts w:ascii="Times New Roman" w:hAnsi="Times New Roman"/>
          <w:sz w:val="24"/>
          <w:szCs w:val="24"/>
        </w:rPr>
        <w:t xml:space="preserve"> that the convicted party should pay with the loss of a hand or a foot, although eyes, ears, noses, and other</w:t>
      </w:r>
      <w:r w:rsidR="002D424E">
        <w:rPr>
          <w:rFonts w:ascii="Times New Roman" w:hAnsi="Times New Roman"/>
          <w:sz w:val="24"/>
          <w:szCs w:val="24"/>
        </w:rPr>
        <w:t xml:space="preserve"> body part</w:t>
      </w:r>
      <w:r w:rsidRPr="0019599F">
        <w:rPr>
          <w:rFonts w:ascii="Times New Roman" w:hAnsi="Times New Roman"/>
          <w:sz w:val="24"/>
          <w:szCs w:val="24"/>
        </w:rPr>
        <w:t>s, including genitalia, are also mentioned at various times (Reynolds 2009, 23, 251-61; Larson 1935, 57, 217, 358; Peel 2015, 209-10). It is often presumed that the</w:t>
      </w:r>
      <w:r w:rsidR="002B3A6E">
        <w:rPr>
          <w:rFonts w:ascii="Times New Roman" w:hAnsi="Times New Roman"/>
          <w:sz w:val="24"/>
          <w:szCs w:val="24"/>
        </w:rPr>
        <w:t>y</w:t>
      </w:r>
      <w:r w:rsidRPr="0019599F">
        <w:rPr>
          <w:rFonts w:ascii="Times New Roman" w:hAnsi="Times New Roman"/>
          <w:sz w:val="24"/>
          <w:szCs w:val="24"/>
        </w:rPr>
        <w:t xml:space="preserve"> were struck off with a sword or an axe, but the </w:t>
      </w:r>
      <w:r w:rsidR="00A914B2">
        <w:rPr>
          <w:rFonts w:ascii="Times New Roman" w:hAnsi="Times New Roman"/>
          <w:sz w:val="24"/>
          <w:szCs w:val="24"/>
        </w:rPr>
        <w:t xml:space="preserve">nature of the </w:t>
      </w:r>
      <w:r w:rsidRPr="0019599F">
        <w:rPr>
          <w:rFonts w:ascii="Times New Roman" w:hAnsi="Times New Roman"/>
          <w:sz w:val="24"/>
          <w:szCs w:val="24"/>
        </w:rPr>
        <w:t xml:space="preserve">instrument </w:t>
      </w:r>
      <w:r w:rsidR="00A914B2">
        <w:rPr>
          <w:rFonts w:ascii="Times New Roman" w:hAnsi="Times New Roman"/>
          <w:sz w:val="24"/>
          <w:szCs w:val="24"/>
        </w:rPr>
        <w:t>is not specified</w:t>
      </w:r>
      <w:r w:rsidRPr="0019599F">
        <w:rPr>
          <w:rFonts w:ascii="Times New Roman" w:hAnsi="Times New Roman"/>
          <w:sz w:val="24"/>
          <w:szCs w:val="24"/>
        </w:rPr>
        <w:t>.</w:t>
      </w:r>
    </w:p>
    <w:p w14:paraId="4655C9AC" w14:textId="38B25B80"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Where execution is prescribed in the laws we can learn a little more. For example, </w:t>
      </w:r>
      <w:r w:rsidRPr="0019599F">
        <w:rPr>
          <w:rFonts w:ascii="Times New Roman" w:hAnsi="Times New Roman"/>
          <w:i/>
          <w:iCs/>
          <w:sz w:val="24"/>
          <w:szCs w:val="24"/>
          <w:lang w:val="it-IT"/>
        </w:rPr>
        <w:t>Guta lag</w:t>
      </w:r>
      <w:r w:rsidR="00D03D40">
        <w:rPr>
          <w:rFonts w:ascii="Times New Roman" w:hAnsi="Times New Roman"/>
          <w:sz w:val="24"/>
          <w:szCs w:val="24"/>
          <w:lang w:val="it-IT"/>
        </w:rPr>
        <w:t>’</w:t>
      </w:r>
      <w:r w:rsidRPr="0019599F">
        <w:rPr>
          <w:rFonts w:ascii="Times New Roman" w:hAnsi="Times New Roman"/>
          <w:sz w:val="24"/>
          <w:szCs w:val="24"/>
          <w:lang w:val="it-IT"/>
        </w:rPr>
        <w:t xml:space="preserve">s references to </w:t>
      </w:r>
      <w:r w:rsidRPr="0019599F">
        <w:rPr>
          <w:rFonts w:ascii="Times New Roman" w:hAnsi="Times New Roman"/>
          <w:sz w:val="24"/>
          <w:szCs w:val="24"/>
        </w:rPr>
        <w:t xml:space="preserve">execution </w:t>
      </w:r>
      <w:r w:rsidR="00A914B2">
        <w:rPr>
          <w:rFonts w:ascii="Times New Roman" w:hAnsi="Times New Roman"/>
          <w:sz w:val="24"/>
          <w:szCs w:val="24"/>
        </w:rPr>
        <w:t xml:space="preserve">are </w:t>
      </w:r>
      <w:r w:rsidRPr="0019599F">
        <w:rPr>
          <w:rFonts w:ascii="Times New Roman" w:hAnsi="Times New Roman"/>
          <w:sz w:val="24"/>
          <w:szCs w:val="24"/>
        </w:rPr>
        <w:t xml:space="preserve">usually </w:t>
      </w:r>
      <w:r w:rsidR="00A914B2">
        <w:rPr>
          <w:rFonts w:ascii="Times New Roman" w:hAnsi="Times New Roman"/>
          <w:sz w:val="24"/>
          <w:szCs w:val="24"/>
        </w:rPr>
        <w:t xml:space="preserve">couched in terms of </w:t>
      </w:r>
      <w:r w:rsidRPr="0019599F">
        <w:rPr>
          <w:rFonts w:ascii="Times New Roman" w:hAnsi="Times New Roman"/>
          <w:sz w:val="24"/>
          <w:szCs w:val="24"/>
        </w:rPr>
        <w:t xml:space="preserve">one paying with their </w:t>
      </w:r>
      <w:r w:rsidR="00D03D40">
        <w:rPr>
          <w:rFonts w:ascii="Times New Roman" w:hAnsi="Times New Roman"/>
          <w:sz w:val="24"/>
          <w:szCs w:val="24"/>
        </w:rPr>
        <w:t>‘</w:t>
      </w:r>
      <w:r w:rsidRPr="0019599F">
        <w:rPr>
          <w:rFonts w:ascii="Times New Roman" w:hAnsi="Times New Roman"/>
          <w:sz w:val="24"/>
          <w:szCs w:val="24"/>
        </w:rPr>
        <w:t>life</w:t>
      </w:r>
      <w:r w:rsidR="00D03D40">
        <w:rPr>
          <w:rFonts w:ascii="Times New Roman" w:hAnsi="Times New Roman"/>
          <w:sz w:val="24"/>
          <w:szCs w:val="24"/>
        </w:rPr>
        <w:t>’</w:t>
      </w:r>
      <w:r w:rsidRPr="0019599F">
        <w:rPr>
          <w:rFonts w:ascii="Times New Roman" w:hAnsi="Times New Roman"/>
          <w:sz w:val="24"/>
          <w:szCs w:val="24"/>
        </w:rPr>
        <w:t xml:space="preserve"> or their </w:t>
      </w:r>
      <w:r w:rsidR="00D03D40">
        <w:rPr>
          <w:rFonts w:ascii="Times New Roman" w:hAnsi="Times New Roman"/>
          <w:sz w:val="24"/>
          <w:szCs w:val="24"/>
        </w:rPr>
        <w:t>‘</w:t>
      </w:r>
      <w:r w:rsidRPr="0019599F">
        <w:rPr>
          <w:rFonts w:ascii="Times New Roman" w:hAnsi="Times New Roman"/>
          <w:sz w:val="24"/>
          <w:szCs w:val="24"/>
        </w:rPr>
        <w:t>neck</w:t>
      </w:r>
      <w:r w:rsidR="00D03D40">
        <w:rPr>
          <w:rFonts w:ascii="Times New Roman" w:hAnsi="Times New Roman"/>
          <w:sz w:val="24"/>
          <w:szCs w:val="24"/>
        </w:rPr>
        <w:t>’</w:t>
      </w:r>
      <w:r w:rsidRPr="0019599F">
        <w:rPr>
          <w:rFonts w:ascii="Times New Roman" w:hAnsi="Times New Roman"/>
          <w:sz w:val="24"/>
          <w:szCs w:val="24"/>
        </w:rPr>
        <w:t xml:space="preserve"> (Peel 2015, 209-10). Despite this, in the case of committing a second theft or stealing more than a mark of silver, the law specifies that the convicted party is to be hanged (Peel 2015, 209-10). This is the only place in the </w:t>
      </w:r>
      <w:r w:rsidRPr="0019599F">
        <w:rPr>
          <w:rFonts w:ascii="Times New Roman" w:hAnsi="Times New Roman"/>
          <w:i/>
          <w:iCs/>
          <w:sz w:val="24"/>
          <w:szCs w:val="24"/>
          <w:lang w:val="it-IT"/>
        </w:rPr>
        <w:t>Guta lag</w:t>
      </w:r>
      <w:r w:rsidRPr="0019599F">
        <w:rPr>
          <w:rFonts w:ascii="Times New Roman" w:hAnsi="Times New Roman"/>
          <w:sz w:val="24"/>
          <w:szCs w:val="24"/>
        </w:rPr>
        <w:t xml:space="preserve"> that a form of execution is overtly stipulated (Peel 2015, 174). While the convicted party is still to be killed by judicial decree, hanging </w:t>
      </w:r>
      <w:r w:rsidR="002B3A6E">
        <w:rPr>
          <w:rFonts w:ascii="Times New Roman" w:hAnsi="Times New Roman"/>
          <w:sz w:val="24"/>
          <w:szCs w:val="24"/>
        </w:rPr>
        <w:t xml:space="preserve">in the opinion of </w:t>
      </w:r>
      <w:r w:rsidR="002B3A6E" w:rsidRPr="0019599F">
        <w:rPr>
          <w:rFonts w:ascii="Times New Roman" w:hAnsi="Times New Roman"/>
          <w:sz w:val="24"/>
          <w:szCs w:val="24"/>
        </w:rPr>
        <w:t xml:space="preserve">Christine Peel </w:t>
      </w:r>
      <w:r w:rsidRPr="0019599F">
        <w:rPr>
          <w:rFonts w:ascii="Times New Roman" w:hAnsi="Times New Roman"/>
          <w:sz w:val="24"/>
          <w:szCs w:val="24"/>
        </w:rPr>
        <w:t xml:space="preserve">was considered a particularly </w:t>
      </w:r>
      <w:r w:rsidR="00D03D40">
        <w:rPr>
          <w:rFonts w:ascii="Times New Roman" w:hAnsi="Times New Roman"/>
          <w:sz w:val="24"/>
          <w:szCs w:val="24"/>
        </w:rPr>
        <w:t>‘</w:t>
      </w:r>
      <w:r w:rsidRPr="0019599F">
        <w:rPr>
          <w:rFonts w:ascii="Times New Roman" w:hAnsi="Times New Roman"/>
          <w:sz w:val="24"/>
          <w:szCs w:val="24"/>
        </w:rPr>
        <w:t>shameful</w:t>
      </w:r>
      <w:r w:rsidR="00D03D40">
        <w:rPr>
          <w:rFonts w:ascii="Times New Roman" w:hAnsi="Times New Roman"/>
          <w:sz w:val="24"/>
          <w:szCs w:val="24"/>
        </w:rPr>
        <w:t>’</w:t>
      </w:r>
      <w:r w:rsidRPr="0019599F">
        <w:rPr>
          <w:rFonts w:ascii="Times New Roman" w:hAnsi="Times New Roman"/>
          <w:sz w:val="24"/>
          <w:szCs w:val="24"/>
        </w:rPr>
        <w:t xml:space="preserve"> form of execution (Peel 2015, 173-</w:t>
      </w:r>
      <w:r w:rsidR="002B3A6E">
        <w:rPr>
          <w:rFonts w:ascii="Times New Roman" w:hAnsi="Times New Roman"/>
          <w:sz w:val="24"/>
          <w:szCs w:val="24"/>
        </w:rPr>
        <w:t>7</w:t>
      </w:r>
      <w:r w:rsidRPr="0019599F">
        <w:rPr>
          <w:rFonts w:ascii="Times New Roman" w:hAnsi="Times New Roman"/>
          <w:sz w:val="24"/>
          <w:szCs w:val="24"/>
        </w:rPr>
        <w:t xml:space="preserve">4, 209-10). Peel </w:t>
      </w:r>
      <w:r w:rsidR="002B3A6E">
        <w:rPr>
          <w:rFonts w:ascii="Times New Roman" w:hAnsi="Times New Roman"/>
          <w:sz w:val="24"/>
          <w:szCs w:val="24"/>
        </w:rPr>
        <w:t>does not state</w:t>
      </w:r>
      <w:r w:rsidR="002B3A6E" w:rsidRPr="0019599F">
        <w:rPr>
          <w:rFonts w:ascii="Times New Roman" w:hAnsi="Times New Roman"/>
          <w:sz w:val="24"/>
          <w:szCs w:val="24"/>
        </w:rPr>
        <w:t xml:space="preserve"> why </w:t>
      </w:r>
      <w:r w:rsidR="002B3A6E">
        <w:rPr>
          <w:rFonts w:ascii="Times New Roman" w:hAnsi="Times New Roman"/>
          <w:sz w:val="24"/>
          <w:szCs w:val="24"/>
        </w:rPr>
        <w:t xml:space="preserve">this would be the case but </w:t>
      </w:r>
      <w:r w:rsidRPr="0019599F">
        <w:rPr>
          <w:rFonts w:ascii="Times New Roman" w:hAnsi="Times New Roman"/>
          <w:sz w:val="24"/>
          <w:szCs w:val="24"/>
        </w:rPr>
        <w:t xml:space="preserve">uses examples from contemporary Swedish provincial laws to show that female thieves were spared this embarrassment, instead being put to death in other ways (2015, 174; Ekholst 2014, 68-75). </w:t>
      </w:r>
      <w:commentRangeStart w:id="4"/>
      <w:r w:rsidRPr="0019599F">
        <w:rPr>
          <w:rFonts w:ascii="Times New Roman" w:hAnsi="Times New Roman"/>
          <w:sz w:val="24"/>
          <w:szCs w:val="24"/>
        </w:rPr>
        <w:t>Reynolds argues that, from a Christian perspective, a hanging corpse is caught somewhere between heaven and earth and yet part of neither</w:t>
      </w:r>
      <w:r w:rsidR="00A914B2">
        <w:rPr>
          <w:rFonts w:ascii="Times New Roman" w:hAnsi="Times New Roman"/>
          <w:sz w:val="24"/>
          <w:szCs w:val="24"/>
        </w:rPr>
        <w:t>,</w:t>
      </w:r>
      <w:r w:rsidRPr="0019599F">
        <w:rPr>
          <w:rFonts w:ascii="Times New Roman" w:hAnsi="Times New Roman"/>
          <w:sz w:val="24"/>
          <w:szCs w:val="24"/>
        </w:rPr>
        <w:t xml:space="preserve"> suspended in this state of otherness for all to see and mark his shame (2009, 248-</w:t>
      </w:r>
      <w:r w:rsidR="002D424E">
        <w:rPr>
          <w:rFonts w:ascii="Times New Roman" w:hAnsi="Times New Roman"/>
          <w:sz w:val="24"/>
          <w:szCs w:val="24"/>
        </w:rPr>
        <w:t>4</w:t>
      </w:r>
      <w:r w:rsidRPr="0019599F">
        <w:rPr>
          <w:rFonts w:ascii="Times New Roman" w:hAnsi="Times New Roman"/>
          <w:sz w:val="24"/>
          <w:szCs w:val="24"/>
        </w:rPr>
        <w:t>9).</w:t>
      </w:r>
      <w:commentRangeEnd w:id="4"/>
      <w:r w:rsidR="002B3A6E">
        <w:rPr>
          <w:rStyle w:val="CommentReference"/>
          <w:rFonts w:ascii="Times New Roman" w:hAnsi="Times New Roman" w:cs="Times New Roman"/>
          <w:color w:val="auto"/>
          <w:lang w:eastAsia="en-US"/>
        </w:rPr>
        <w:commentReference w:id="4"/>
      </w:r>
    </w:p>
    <w:p w14:paraId="1D43781D" w14:textId="22B4A621" w:rsidR="00330AFC" w:rsidRPr="0019599F" w:rsidRDefault="00536562" w:rsidP="0019599F">
      <w:pPr>
        <w:pStyle w:val="BodyA"/>
        <w:spacing w:line="240" w:lineRule="auto"/>
        <w:rPr>
          <w:rFonts w:ascii="Times New Roman" w:eastAsia="Times New Roman" w:hAnsi="Times New Roman" w:cs="Times New Roman"/>
          <w:sz w:val="24"/>
          <w:szCs w:val="24"/>
          <w:vertAlign w:val="superscript"/>
        </w:rPr>
      </w:pPr>
      <w:r w:rsidRPr="0019599F">
        <w:rPr>
          <w:rFonts w:ascii="Times New Roman" w:hAnsi="Times New Roman"/>
          <w:sz w:val="24"/>
          <w:szCs w:val="24"/>
        </w:rPr>
        <w:t xml:space="preserve">      Perhaps this suspension between heaven and earth was ideologically significant to English Christians, but it is doubtful that it held the sam</w:t>
      </w:r>
      <w:r w:rsidR="002D424E">
        <w:rPr>
          <w:rFonts w:ascii="Times New Roman" w:hAnsi="Times New Roman"/>
          <w:sz w:val="24"/>
          <w:szCs w:val="24"/>
        </w:rPr>
        <w:t>e significance to pre-Christian</w:t>
      </w:r>
      <w:r w:rsidRPr="0019599F">
        <w:rPr>
          <w:rFonts w:ascii="Times New Roman" w:hAnsi="Times New Roman"/>
          <w:sz w:val="24"/>
          <w:szCs w:val="24"/>
        </w:rPr>
        <w:t xml:space="preserve"> or even Christiani</w:t>
      </w:r>
      <w:r w:rsidR="00A914B2">
        <w:rPr>
          <w:rFonts w:ascii="Times New Roman" w:hAnsi="Times New Roman"/>
          <w:sz w:val="24"/>
          <w:szCs w:val="24"/>
        </w:rPr>
        <w:t>z</w:t>
      </w:r>
      <w:r w:rsidRPr="0019599F">
        <w:rPr>
          <w:rFonts w:ascii="Times New Roman" w:hAnsi="Times New Roman"/>
          <w:sz w:val="24"/>
          <w:szCs w:val="24"/>
        </w:rPr>
        <w:t>ing Gotlanders.</w:t>
      </w:r>
      <w:r w:rsidRPr="0019599F">
        <w:rPr>
          <w:rFonts w:ascii="Times New Roman" w:eastAsia="Times New Roman" w:hAnsi="Times New Roman" w:cs="Times New Roman"/>
          <w:sz w:val="24"/>
          <w:szCs w:val="24"/>
          <w:vertAlign w:val="superscript"/>
        </w:rPr>
        <w:footnoteReference w:id="16"/>
      </w:r>
      <w:r w:rsidRPr="0019599F">
        <w:rPr>
          <w:rFonts w:ascii="Times New Roman" w:hAnsi="Times New Roman"/>
          <w:sz w:val="24"/>
          <w:szCs w:val="24"/>
        </w:rPr>
        <w:t xml:space="preserve"> It is possible that the stipulation of hanging is a later addition to the law, but Peel</w:t>
      </w:r>
      <w:r w:rsidR="00D03D40">
        <w:rPr>
          <w:rFonts w:ascii="Times New Roman" w:hAnsi="Times New Roman"/>
          <w:sz w:val="24"/>
          <w:szCs w:val="24"/>
        </w:rPr>
        <w:t>’</w:t>
      </w:r>
      <w:r w:rsidRPr="0019599F">
        <w:rPr>
          <w:rFonts w:ascii="Times New Roman" w:hAnsi="Times New Roman"/>
          <w:sz w:val="24"/>
          <w:szCs w:val="24"/>
        </w:rPr>
        <w:t xml:space="preserve">s note, that </w:t>
      </w:r>
      <w:r w:rsidRPr="0019599F">
        <w:rPr>
          <w:rFonts w:ascii="Times New Roman" w:hAnsi="Times New Roman"/>
          <w:i/>
          <w:iCs/>
          <w:sz w:val="24"/>
          <w:szCs w:val="24"/>
        </w:rPr>
        <w:t xml:space="preserve">Guta lag </w:t>
      </w:r>
      <w:r w:rsidRPr="0019599F">
        <w:rPr>
          <w:rFonts w:ascii="Times New Roman" w:hAnsi="Times New Roman"/>
          <w:sz w:val="24"/>
          <w:szCs w:val="24"/>
        </w:rPr>
        <w:t>is the only provincial law in Sweden to specify hanging for recidivist theft despite an earlier Germanic framework for it, suggests that something else may be operating here (2015, 174; Ström 1942, 115-61). Ström convincingly shows that a very strong pre-Christian shame element exists in the practice of hanging (1942, 161; Dutton 2016, 137-50), which may be the reason that Swedish lawmakers were reluctant to expressly prescribe hanging, making this Gotlandic provision one of the few extant exceptions.</w:t>
      </w:r>
      <w:r w:rsidRPr="0019599F">
        <w:rPr>
          <w:rFonts w:ascii="Times New Roman" w:eastAsia="Times New Roman" w:hAnsi="Times New Roman" w:cs="Times New Roman"/>
          <w:sz w:val="24"/>
          <w:szCs w:val="24"/>
          <w:vertAlign w:val="superscript"/>
        </w:rPr>
        <w:footnoteReference w:id="17"/>
      </w:r>
      <w:r w:rsidRPr="0019599F">
        <w:rPr>
          <w:rFonts w:ascii="Times New Roman" w:hAnsi="Times New Roman"/>
          <w:sz w:val="24"/>
          <w:szCs w:val="24"/>
        </w:rPr>
        <w:t xml:space="preserve"> </w:t>
      </w:r>
      <w:r w:rsidR="00A914B2">
        <w:rPr>
          <w:rFonts w:ascii="Times New Roman" w:hAnsi="Times New Roman"/>
          <w:sz w:val="24"/>
          <w:szCs w:val="24"/>
        </w:rPr>
        <w:t>H</w:t>
      </w:r>
      <w:r w:rsidRPr="0019599F">
        <w:rPr>
          <w:rFonts w:ascii="Times New Roman" w:hAnsi="Times New Roman"/>
          <w:sz w:val="24"/>
          <w:szCs w:val="24"/>
        </w:rPr>
        <w:t xml:space="preserve">anging is not overtly prescribed at all in the Norwegian laws examined here, with both the </w:t>
      </w:r>
      <w:r w:rsidRPr="0019599F">
        <w:rPr>
          <w:rFonts w:ascii="Times New Roman" w:hAnsi="Times New Roman"/>
          <w:i/>
          <w:iCs/>
          <w:sz w:val="24"/>
          <w:szCs w:val="24"/>
        </w:rPr>
        <w:t xml:space="preserve">Gulathings lov </w:t>
      </w:r>
      <w:r w:rsidRPr="0019599F">
        <w:rPr>
          <w:rFonts w:ascii="Times New Roman" w:hAnsi="Times New Roman"/>
          <w:sz w:val="24"/>
          <w:szCs w:val="24"/>
        </w:rPr>
        <w:t xml:space="preserve">and </w:t>
      </w:r>
      <w:r w:rsidRPr="0019599F">
        <w:rPr>
          <w:rFonts w:ascii="Times New Roman" w:hAnsi="Times New Roman"/>
          <w:i/>
          <w:iCs/>
          <w:sz w:val="24"/>
          <w:szCs w:val="24"/>
        </w:rPr>
        <w:t xml:space="preserve">Frostathings lov </w:t>
      </w:r>
      <w:r w:rsidRPr="0019599F">
        <w:rPr>
          <w:rFonts w:ascii="Times New Roman" w:hAnsi="Times New Roman"/>
          <w:sz w:val="24"/>
          <w:szCs w:val="24"/>
        </w:rPr>
        <w:t>opting instead for the use of a headsman where any execution method is stipulated (Larson 1935, 129, 165, 262-</w:t>
      </w:r>
      <w:r w:rsidR="002D424E">
        <w:rPr>
          <w:rFonts w:ascii="Times New Roman" w:hAnsi="Times New Roman"/>
          <w:sz w:val="24"/>
          <w:szCs w:val="24"/>
        </w:rPr>
        <w:t>6</w:t>
      </w:r>
      <w:r w:rsidRPr="0019599F">
        <w:rPr>
          <w:rFonts w:ascii="Times New Roman" w:hAnsi="Times New Roman"/>
          <w:sz w:val="24"/>
          <w:szCs w:val="24"/>
        </w:rPr>
        <w:t>3, 398).</w:t>
      </w:r>
      <w:r w:rsidRPr="0019599F">
        <w:rPr>
          <w:rFonts w:ascii="Times New Roman" w:eastAsia="Times New Roman" w:hAnsi="Times New Roman" w:cs="Times New Roman"/>
          <w:sz w:val="24"/>
          <w:szCs w:val="24"/>
          <w:vertAlign w:val="superscript"/>
        </w:rPr>
        <w:footnoteReference w:id="18"/>
      </w:r>
    </w:p>
    <w:p w14:paraId="3B56B6AF" w14:textId="0FC08EB1" w:rsidR="00330AFC" w:rsidRDefault="00536562" w:rsidP="0019599F">
      <w:pPr>
        <w:pStyle w:val="BodyA"/>
        <w:spacing w:line="240" w:lineRule="auto"/>
        <w:rPr>
          <w:rFonts w:ascii="Times New Roman" w:hAnsi="Times New Roman"/>
          <w:sz w:val="24"/>
          <w:szCs w:val="24"/>
        </w:rPr>
      </w:pPr>
      <w:r w:rsidRPr="0019599F">
        <w:rPr>
          <w:rFonts w:ascii="Times New Roman" w:hAnsi="Times New Roman"/>
          <w:sz w:val="24"/>
          <w:szCs w:val="24"/>
        </w:rPr>
        <w:lastRenderedPageBreak/>
        <w:t xml:space="preserve">      </w:t>
      </w:r>
      <w:r w:rsidR="00CB3416">
        <w:rPr>
          <w:rFonts w:ascii="Times New Roman" w:hAnsi="Times New Roman"/>
          <w:sz w:val="24"/>
          <w:szCs w:val="24"/>
        </w:rPr>
        <w:t xml:space="preserve">While </w:t>
      </w:r>
      <w:r w:rsidRPr="0019599F">
        <w:rPr>
          <w:rFonts w:ascii="Times New Roman" w:hAnsi="Times New Roman"/>
          <w:sz w:val="24"/>
          <w:szCs w:val="24"/>
        </w:rPr>
        <w:t>the English laws are curiously silent about the practice of hanging (Reynolds 2009, 251-61)</w:t>
      </w:r>
      <w:r w:rsidR="00CB3416">
        <w:rPr>
          <w:rFonts w:ascii="Times New Roman" w:hAnsi="Times New Roman"/>
          <w:sz w:val="24"/>
          <w:szCs w:val="24"/>
        </w:rPr>
        <w:t>, t</w:t>
      </w:r>
      <w:r w:rsidRPr="0019599F">
        <w:rPr>
          <w:rFonts w:ascii="Times New Roman" w:hAnsi="Times New Roman"/>
          <w:sz w:val="24"/>
          <w:szCs w:val="24"/>
        </w:rPr>
        <w:t>hey</w:t>
      </w:r>
      <w:r w:rsidR="00A914B2">
        <w:rPr>
          <w:rFonts w:ascii="Times New Roman" w:hAnsi="Times New Roman"/>
          <w:sz w:val="24"/>
          <w:szCs w:val="24"/>
        </w:rPr>
        <w:t xml:space="preserve"> </w:t>
      </w:r>
      <w:r w:rsidRPr="0019599F">
        <w:rPr>
          <w:rFonts w:ascii="Times New Roman" w:hAnsi="Times New Roman"/>
          <w:sz w:val="24"/>
          <w:szCs w:val="24"/>
        </w:rPr>
        <w:t xml:space="preserve">are </w:t>
      </w:r>
      <w:r w:rsidR="006E5C7A">
        <w:rPr>
          <w:rFonts w:ascii="Times New Roman" w:hAnsi="Times New Roman"/>
          <w:sz w:val="24"/>
          <w:szCs w:val="24"/>
        </w:rPr>
        <w:t xml:space="preserve">in </w:t>
      </w:r>
      <w:r w:rsidRPr="0019599F">
        <w:rPr>
          <w:rFonts w:ascii="Times New Roman" w:hAnsi="Times New Roman"/>
          <w:sz w:val="24"/>
          <w:szCs w:val="24"/>
        </w:rPr>
        <w:t>other</w:t>
      </w:r>
      <w:r w:rsidR="006E5C7A">
        <w:rPr>
          <w:rFonts w:ascii="Times New Roman" w:hAnsi="Times New Roman"/>
          <w:sz w:val="24"/>
          <w:szCs w:val="24"/>
        </w:rPr>
        <w:t xml:space="preserve"> respects</w:t>
      </w:r>
      <w:r w:rsidRPr="0019599F">
        <w:rPr>
          <w:rFonts w:ascii="Times New Roman" w:hAnsi="Times New Roman"/>
          <w:sz w:val="24"/>
          <w:szCs w:val="24"/>
        </w:rPr>
        <w:t xml:space="preserve"> more descriptive than their Scandinavian counterparts. For example, it is noted that thieves that were free women were to be thrown from a cliff or drowned (Reynolds 2009, 253); those that were male slaves were to be stoned by twenty-six slaves (2009, 253); </w:t>
      </w:r>
      <w:r w:rsidR="002652EA">
        <w:rPr>
          <w:rFonts w:ascii="Times New Roman" w:hAnsi="Times New Roman"/>
          <w:sz w:val="24"/>
          <w:szCs w:val="24"/>
        </w:rPr>
        <w:t xml:space="preserve">and </w:t>
      </w:r>
      <w:r w:rsidRPr="0019599F">
        <w:rPr>
          <w:rFonts w:ascii="Times New Roman" w:hAnsi="Times New Roman"/>
          <w:sz w:val="24"/>
          <w:szCs w:val="24"/>
        </w:rPr>
        <w:t>those that were female slaves were to be burned by twenty-six female slaves bringing three logs apiece (2009, 254)</w:t>
      </w:r>
      <w:r w:rsidR="006E5C7A">
        <w:rPr>
          <w:rFonts w:ascii="Times New Roman" w:hAnsi="Times New Roman"/>
          <w:sz w:val="24"/>
          <w:szCs w:val="24"/>
        </w:rPr>
        <w:t>. T</w:t>
      </w:r>
      <w:r w:rsidRPr="0019599F">
        <w:rPr>
          <w:rFonts w:ascii="Times New Roman" w:hAnsi="Times New Roman"/>
          <w:sz w:val="24"/>
          <w:szCs w:val="24"/>
        </w:rPr>
        <w:t>he laws of Edgar say that a man whose statement was proved false by witnesses would forfeit his head, suggesting decapitation (2009, 257)</w:t>
      </w:r>
      <w:r w:rsidR="002652EA">
        <w:rPr>
          <w:rFonts w:ascii="Times New Roman" w:hAnsi="Times New Roman"/>
          <w:sz w:val="24"/>
          <w:szCs w:val="24"/>
        </w:rPr>
        <w:t>,</w:t>
      </w:r>
      <w:r w:rsidRPr="0019599F">
        <w:rPr>
          <w:rFonts w:ascii="Times New Roman" w:hAnsi="Times New Roman"/>
          <w:sz w:val="24"/>
          <w:szCs w:val="24"/>
        </w:rPr>
        <w:t xml:space="preserve"> and </w:t>
      </w:r>
      <w:commentRangeStart w:id="5"/>
      <w:r w:rsidRPr="0019599F">
        <w:rPr>
          <w:rFonts w:ascii="Times New Roman" w:hAnsi="Times New Roman"/>
          <w:sz w:val="24"/>
          <w:szCs w:val="24"/>
        </w:rPr>
        <w:t>Æðelræd</w:t>
      </w:r>
      <w:commentRangeEnd w:id="5"/>
      <w:r w:rsidR="002652EA">
        <w:rPr>
          <w:rStyle w:val="CommentReference"/>
          <w:rFonts w:ascii="Times New Roman" w:hAnsi="Times New Roman" w:cs="Times New Roman"/>
          <w:color w:val="auto"/>
          <w:lang w:eastAsia="en-US"/>
        </w:rPr>
        <w:commentReference w:id="5"/>
      </w:r>
      <w:r w:rsidRPr="0019599F">
        <w:rPr>
          <w:rFonts w:ascii="Times New Roman" w:hAnsi="Times New Roman"/>
          <w:sz w:val="24"/>
          <w:szCs w:val="24"/>
        </w:rPr>
        <w:t xml:space="preserve"> also called for a head in payment for recidivism (2009, 257). Beyond this</w:t>
      </w:r>
      <w:r w:rsidR="006E5C7A">
        <w:rPr>
          <w:rFonts w:ascii="Times New Roman" w:hAnsi="Times New Roman"/>
          <w:sz w:val="24"/>
          <w:szCs w:val="24"/>
        </w:rPr>
        <w:t>,</w:t>
      </w:r>
      <w:r w:rsidRPr="0019599F">
        <w:rPr>
          <w:rFonts w:ascii="Times New Roman" w:hAnsi="Times New Roman"/>
          <w:sz w:val="24"/>
          <w:szCs w:val="24"/>
        </w:rPr>
        <w:t xml:space="preserve"> though, the laws say </w:t>
      </w:r>
      <w:r w:rsidR="002652EA">
        <w:rPr>
          <w:rFonts w:ascii="Times New Roman" w:hAnsi="Times New Roman"/>
          <w:sz w:val="24"/>
          <w:szCs w:val="24"/>
        </w:rPr>
        <w:t xml:space="preserve">merely </w:t>
      </w:r>
      <w:r w:rsidRPr="0019599F">
        <w:rPr>
          <w:rFonts w:ascii="Times New Roman" w:hAnsi="Times New Roman"/>
          <w:sz w:val="24"/>
          <w:szCs w:val="24"/>
        </w:rPr>
        <w:t>that the offenders would forfeit their lives or were to be slain (Reynolds 2009, 251-61). This is problematic, possibly suggesting a different ideology toward hanging in England than we would expect from Reynolds</w:t>
      </w:r>
      <w:r w:rsidR="00D03D40">
        <w:rPr>
          <w:rFonts w:ascii="Times New Roman" w:hAnsi="Times New Roman"/>
          <w:sz w:val="24"/>
          <w:szCs w:val="24"/>
        </w:rPr>
        <w:t>’</w:t>
      </w:r>
      <w:r w:rsidRPr="0019599F">
        <w:rPr>
          <w:rFonts w:ascii="Times New Roman" w:hAnsi="Times New Roman"/>
          <w:sz w:val="24"/>
          <w:szCs w:val="24"/>
        </w:rPr>
        <w:t xml:space="preserve">s statement above. </w:t>
      </w:r>
      <w:r w:rsidR="002652EA" w:rsidRPr="0019599F">
        <w:rPr>
          <w:rFonts w:ascii="Times New Roman" w:hAnsi="Times New Roman"/>
          <w:sz w:val="24"/>
          <w:szCs w:val="24"/>
        </w:rPr>
        <w:t>S</w:t>
      </w:r>
      <w:r w:rsidRPr="0019599F">
        <w:rPr>
          <w:rFonts w:ascii="Times New Roman" w:hAnsi="Times New Roman"/>
          <w:sz w:val="24"/>
          <w:szCs w:val="24"/>
        </w:rPr>
        <w:t>uch</w:t>
      </w:r>
      <w:r w:rsidR="002652EA">
        <w:rPr>
          <w:rFonts w:ascii="Times New Roman" w:hAnsi="Times New Roman"/>
          <w:sz w:val="24"/>
          <w:szCs w:val="24"/>
        </w:rPr>
        <w:t xml:space="preserve"> </w:t>
      </w:r>
      <w:r w:rsidRPr="0019599F">
        <w:rPr>
          <w:rFonts w:ascii="Times New Roman" w:hAnsi="Times New Roman"/>
          <w:sz w:val="24"/>
          <w:szCs w:val="24"/>
        </w:rPr>
        <w:t xml:space="preserve">ambiguous wording may have been used intentionally to respect local traditions and desires </w:t>
      </w:r>
      <w:r w:rsidR="006E5C7A">
        <w:rPr>
          <w:rFonts w:ascii="Times New Roman" w:hAnsi="Times New Roman"/>
          <w:sz w:val="24"/>
          <w:szCs w:val="24"/>
        </w:rPr>
        <w:t xml:space="preserve">as to </w:t>
      </w:r>
      <w:r w:rsidRPr="0019599F">
        <w:rPr>
          <w:rFonts w:ascii="Times New Roman" w:hAnsi="Times New Roman"/>
          <w:sz w:val="24"/>
          <w:szCs w:val="24"/>
        </w:rPr>
        <w:t>how to deal with criminal deviants (</w:t>
      </w:r>
      <w:r w:rsidR="002652EA" w:rsidRPr="0019599F">
        <w:rPr>
          <w:rFonts w:ascii="Times New Roman" w:hAnsi="Times New Roman"/>
          <w:sz w:val="24"/>
          <w:szCs w:val="24"/>
        </w:rPr>
        <w:t>Thompson</w:t>
      </w:r>
      <w:r w:rsidR="002652EA">
        <w:rPr>
          <w:rFonts w:ascii="Times New Roman" w:hAnsi="Times New Roman"/>
          <w:sz w:val="24"/>
          <w:szCs w:val="24"/>
        </w:rPr>
        <w:t xml:space="preserve"> </w:t>
      </w:r>
      <w:r w:rsidRPr="0019599F">
        <w:rPr>
          <w:rFonts w:ascii="Times New Roman" w:hAnsi="Times New Roman"/>
          <w:sz w:val="24"/>
          <w:szCs w:val="24"/>
        </w:rPr>
        <w:t xml:space="preserve">2004, 182). It is also possible that hanging was so ubiquitous that it did not require direct stipulation (Whitelock 1952, 44). </w:t>
      </w:r>
      <w:r w:rsidR="002652EA">
        <w:rPr>
          <w:rFonts w:ascii="Times New Roman" w:hAnsi="Times New Roman"/>
          <w:sz w:val="24"/>
          <w:szCs w:val="24"/>
        </w:rPr>
        <w:t>W</w:t>
      </w:r>
      <w:r w:rsidRPr="0019599F">
        <w:rPr>
          <w:rFonts w:ascii="Times New Roman" w:hAnsi="Times New Roman"/>
          <w:sz w:val="24"/>
          <w:szCs w:val="24"/>
        </w:rPr>
        <w:t xml:space="preserve">e cannot explore these </w:t>
      </w:r>
      <w:r w:rsidR="002652EA" w:rsidRPr="0019599F">
        <w:rPr>
          <w:rFonts w:ascii="Times New Roman" w:hAnsi="Times New Roman"/>
          <w:sz w:val="24"/>
          <w:szCs w:val="24"/>
        </w:rPr>
        <w:t xml:space="preserve">possibilities </w:t>
      </w:r>
      <w:r w:rsidRPr="0019599F">
        <w:rPr>
          <w:rFonts w:ascii="Times New Roman" w:hAnsi="Times New Roman"/>
          <w:sz w:val="24"/>
          <w:szCs w:val="24"/>
        </w:rPr>
        <w:t xml:space="preserve">further by consulting the legal texts </w:t>
      </w:r>
      <w:r w:rsidR="002652EA">
        <w:rPr>
          <w:rFonts w:ascii="Times New Roman" w:hAnsi="Times New Roman"/>
          <w:sz w:val="24"/>
          <w:szCs w:val="24"/>
        </w:rPr>
        <w:t>in isolation</w:t>
      </w:r>
      <w:r w:rsidRPr="0019599F">
        <w:rPr>
          <w:rFonts w:ascii="Times New Roman" w:hAnsi="Times New Roman"/>
          <w:sz w:val="24"/>
          <w:szCs w:val="24"/>
        </w:rPr>
        <w:t>.</w:t>
      </w:r>
    </w:p>
    <w:p w14:paraId="06671CC4" w14:textId="77777777" w:rsidR="00E33C67" w:rsidRPr="0019599F" w:rsidRDefault="00E33C67" w:rsidP="0019599F">
      <w:pPr>
        <w:pStyle w:val="BodyA"/>
        <w:spacing w:line="240" w:lineRule="auto"/>
        <w:rPr>
          <w:rFonts w:ascii="Times New Roman" w:eastAsia="Times New Roman" w:hAnsi="Times New Roman" w:cs="Times New Roman"/>
          <w:sz w:val="24"/>
          <w:szCs w:val="24"/>
        </w:rPr>
      </w:pPr>
    </w:p>
    <w:p w14:paraId="08AB219B" w14:textId="7777777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Historical Comparisons</w:t>
      </w:r>
    </w:p>
    <w:p w14:paraId="13B8A524" w14:textId="77777777" w:rsidR="00E33C67" w:rsidRDefault="00E33C67" w:rsidP="0019599F">
      <w:pPr>
        <w:pStyle w:val="BodyA"/>
        <w:spacing w:line="240" w:lineRule="auto"/>
        <w:rPr>
          <w:rFonts w:ascii="Times New Roman" w:hAnsi="Times New Roman"/>
          <w:sz w:val="24"/>
          <w:szCs w:val="24"/>
        </w:rPr>
      </w:pPr>
    </w:p>
    <w:p w14:paraId="2F6F18A2" w14:textId="77777777" w:rsidR="002652EA" w:rsidRDefault="00536562" w:rsidP="0019599F">
      <w:pPr>
        <w:pStyle w:val="BodyA"/>
        <w:spacing w:line="240" w:lineRule="auto"/>
        <w:rPr>
          <w:rFonts w:ascii="Times New Roman" w:hAnsi="Times New Roman"/>
          <w:sz w:val="24"/>
          <w:szCs w:val="24"/>
        </w:rPr>
      </w:pPr>
      <w:r w:rsidRPr="0019599F">
        <w:rPr>
          <w:rFonts w:ascii="Times New Roman" w:hAnsi="Times New Roman"/>
          <w:sz w:val="24"/>
          <w:szCs w:val="24"/>
        </w:rPr>
        <w:t xml:space="preserve">A point of comparison is provided by the </w:t>
      </w:r>
      <w:r w:rsidRPr="0019599F">
        <w:rPr>
          <w:rFonts w:ascii="Times New Roman" w:hAnsi="Times New Roman"/>
          <w:i/>
          <w:iCs/>
          <w:sz w:val="24"/>
          <w:szCs w:val="24"/>
          <w:lang w:val="fr-FR"/>
        </w:rPr>
        <w:t xml:space="preserve">Anglo-Saxon Chronicle </w:t>
      </w:r>
      <w:r w:rsidRPr="0019599F">
        <w:rPr>
          <w:rFonts w:ascii="Times New Roman" w:hAnsi="Times New Roman"/>
          <w:sz w:val="24"/>
          <w:szCs w:val="24"/>
        </w:rPr>
        <w:t xml:space="preserve">(hereafter </w:t>
      </w:r>
      <w:r w:rsidRPr="0019599F">
        <w:rPr>
          <w:rFonts w:ascii="Times New Roman" w:hAnsi="Times New Roman"/>
          <w:i/>
          <w:iCs/>
          <w:sz w:val="24"/>
          <w:szCs w:val="24"/>
        </w:rPr>
        <w:t>ASC</w:t>
      </w:r>
      <w:r w:rsidRPr="0019599F">
        <w:rPr>
          <w:rFonts w:ascii="Times New Roman" w:hAnsi="Times New Roman"/>
          <w:sz w:val="24"/>
          <w:szCs w:val="24"/>
        </w:rPr>
        <w:t xml:space="preserve">), which </w:t>
      </w:r>
      <w:r w:rsidR="002652EA">
        <w:rPr>
          <w:rFonts w:ascii="Times New Roman" w:hAnsi="Times New Roman"/>
          <w:sz w:val="24"/>
          <w:szCs w:val="24"/>
        </w:rPr>
        <w:t>al</w:t>
      </w:r>
      <w:r w:rsidRPr="0019599F">
        <w:rPr>
          <w:rFonts w:ascii="Times New Roman" w:hAnsi="Times New Roman"/>
          <w:sz w:val="24"/>
          <w:szCs w:val="24"/>
        </w:rPr>
        <w:t xml:space="preserve">though written </w:t>
      </w:r>
      <w:r w:rsidR="002652EA">
        <w:rPr>
          <w:rFonts w:ascii="Times New Roman" w:hAnsi="Times New Roman"/>
          <w:sz w:val="24"/>
          <w:szCs w:val="24"/>
        </w:rPr>
        <w:t xml:space="preserve">from an English perspective </w:t>
      </w:r>
      <w:r w:rsidRPr="0019599F">
        <w:rPr>
          <w:rFonts w:ascii="Times New Roman" w:hAnsi="Times New Roman"/>
          <w:sz w:val="24"/>
          <w:szCs w:val="24"/>
        </w:rPr>
        <w:t xml:space="preserve">(Jorgensen 2010, 1-4) seems to contain contemporary descriptions of </w:t>
      </w:r>
      <w:r w:rsidR="002652EA">
        <w:rPr>
          <w:rFonts w:ascii="Times New Roman" w:hAnsi="Times New Roman"/>
          <w:sz w:val="24"/>
          <w:szCs w:val="24"/>
        </w:rPr>
        <w:t xml:space="preserve">both </w:t>
      </w:r>
      <w:r w:rsidRPr="0019599F">
        <w:rPr>
          <w:rFonts w:ascii="Times New Roman" w:hAnsi="Times New Roman"/>
          <w:sz w:val="24"/>
          <w:szCs w:val="24"/>
        </w:rPr>
        <w:t xml:space="preserve">English and Scandinavian judicial violence. These </w:t>
      </w:r>
      <w:r w:rsidR="002652EA">
        <w:rPr>
          <w:rFonts w:ascii="Times New Roman" w:hAnsi="Times New Roman"/>
          <w:sz w:val="24"/>
          <w:szCs w:val="24"/>
        </w:rPr>
        <w:t xml:space="preserve">descriptions </w:t>
      </w:r>
      <w:r w:rsidRPr="0019599F">
        <w:rPr>
          <w:rFonts w:ascii="Times New Roman" w:hAnsi="Times New Roman"/>
          <w:sz w:val="24"/>
          <w:szCs w:val="24"/>
        </w:rPr>
        <w:t xml:space="preserve">would have to have been presented in an accurate or, at the very least, </w:t>
      </w:r>
      <w:r w:rsidR="002652EA">
        <w:rPr>
          <w:rFonts w:ascii="Times New Roman" w:hAnsi="Times New Roman"/>
          <w:sz w:val="24"/>
          <w:szCs w:val="24"/>
        </w:rPr>
        <w:t xml:space="preserve">plausible </w:t>
      </w:r>
      <w:r w:rsidRPr="0019599F">
        <w:rPr>
          <w:rFonts w:ascii="Times New Roman" w:hAnsi="Times New Roman"/>
          <w:sz w:val="24"/>
          <w:szCs w:val="24"/>
        </w:rPr>
        <w:t>context in order for them to ring tr</w:t>
      </w:r>
      <w:r w:rsidR="002652EA">
        <w:rPr>
          <w:rFonts w:ascii="Times New Roman" w:hAnsi="Times New Roman"/>
          <w:sz w:val="24"/>
          <w:szCs w:val="24"/>
        </w:rPr>
        <w:t>ue with</w:t>
      </w:r>
      <w:r w:rsidRPr="0019599F">
        <w:rPr>
          <w:rFonts w:ascii="Times New Roman" w:hAnsi="Times New Roman"/>
          <w:sz w:val="24"/>
          <w:szCs w:val="24"/>
        </w:rPr>
        <w:t xml:space="preserve"> contemporary legally- and politically-active readers.</w:t>
      </w:r>
      <w:r w:rsidRPr="0019599F">
        <w:rPr>
          <w:rFonts w:ascii="Times New Roman" w:eastAsia="Times New Roman" w:hAnsi="Times New Roman" w:cs="Times New Roman"/>
          <w:sz w:val="24"/>
          <w:szCs w:val="24"/>
          <w:vertAlign w:val="superscript"/>
        </w:rPr>
        <w:footnoteReference w:id="19"/>
      </w:r>
      <w:r w:rsidRPr="0019599F">
        <w:rPr>
          <w:rFonts w:ascii="Times New Roman" w:hAnsi="Times New Roman"/>
          <w:sz w:val="24"/>
          <w:szCs w:val="24"/>
        </w:rPr>
        <w:t xml:space="preserve"> </w:t>
      </w:r>
      <w:r w:rsidR="002652EA">
        <w:rPr>
          <w:rFonts w:ascii="Times New Roman" w:hAnsi="Times New Roman"/>
          <w:sz w:val="24"/>
          <w:szCs w:val="24"/>
        </w:rPr>
        <w:t>T</w:t>
      </w:r>
      <w:r w:rsidRPr="0019599F">
        <w:rPr>
          <w:rFonts w:ascii="Times New Roman" w:hAnsi="Times New Roman"/>
          <w:sz w:val="24"/>
          <w:szCs w:val="24"/>
        </w:rPr>
        <w:t>he matter-of-fact phrasing and lack of contextualizing detail in many entries</w:t>
      </w:r>
      <w:r w:rsidR="002652EA">
        <w:rPr>
          <w:rFonts w:ascii="Times New Roman" w:hAnsi="Times New Roman"/>
          <w:sz w:val="24"/>
          <w:szCs w:val="24"/>
        </w:rPr>
        <w:t xml:space="preserve"> makes it difficult to</w:t>
      </w:r>
      <w:r w:rsidRPr="0019599F">
        <w:rPr>
          <w:rFonts w:ascii="Times New Roman" w:hAnsi="Times New Roman"/>
          <w:sz w:val="24"/>
          <w:szCs w:val="24"/>
        </w:rPr>
        <w:t xml:space="preserve"> differentiat</w:t>
      </w:r>
      <w:r w:rsidR="002652EA">
        <w:rPr>
          <w:rFonts w:ascii="Times New Roman" w:hAnsi="Times New Roman"/>
          <w:sz w:val="24"/>
          <w:szCs w:val="24"/>
        </w:rPr>
        <w:t>e</w:t>
      </w:r>
      <w:r w:rsidRPr="0019599F">
        <w:rPr>
          <w:rFonts w:ascii="Times New Roman" w:hAnsi="Times New Roman"/>
          <w:sz w:val="24"/>
          <w:szCs w:val="24"/>
        </w:rPr>
        <w:t xml:space="preserve"> between killing and judicially-sanctioned execution, as well as between self- or illegally-imposed exile and outlawry.</w:t>
      </w:r>
      <w:r w:rsidRPr="0019599F">
        <w:rPr>
          <w:rFonts w:ascii="Times New Roman" w:eastAsia="Times New Roman" w:hAnsi="Times New Roman" w:cs="Times New Roman"/>
          <w:sz w:val="24"/>
          <w:szCs w:val="24"/>
          <w:vertAlign w:val="superscript"/>
        </w:rPr>
        <w:footnoteReference w:id="20"/>
      </w:r>
      <w:r w:rsidRPr="0019599F">
        <w:rPr>
          <w:rFonts w:ascii="Times New Roman" w:hAnsi="Times New Roman"/>
          <w:sz w:val="24"/>
          <w:szCs w:val="24"/>
        </w:rPr>
        <w:t xml:space="preserve"> For example, as </w:t>
      </w:r>
      <w:r w:rsidR="002652EA">
        <w:rPr>
          <w:rFonts w:ascii="Times New Roman" w:hAnsi="Times New Roman"/>
          <w:sz w:val="24"/>
          <w:szCs w:val="24"/>
        </w:rPr>
        <w:t xml:space="preserve">observed </w:t>
      </w:r>
      <w:r w:rsidRPr="0019599F">
        <w:rPr>
          <w:rFonts w:ascii="Times New Roman" w:hAnsi="Times New Roman"/>
          <w:sz w:val="24"/>
          <w:szCs w:val="24"/>
        </w:rPr>
        <w:t>by Elizabeth van Houts (2010, 13-</w:t>
      </w:r>
      <w:r w:rsidR="00471009">
        <w:rPr>
          <w:rFonts w:ascii="Times New Roman" w:hAnsi="Times New Roman"/>
          <w:sz w:val="24"/>
          <w:szCs w:val="24"/>
        </w:rPr>
        <w:t>1</w:t>
      </w:r>
      <w:r w:rsidRPr="0019599F">
        <w:rPr>
          <w:rFonts w:ascii="Times New Roman" w:hAnsi="Times New Roman"/>
          <w:sz w:val="24"/>
          <w:szCs w:val="24"/>
        </w:rPr>
        <w:t xml:space="preserve">7), the differences between Old English exile terms, such as </w:t>
      </w:r>
      <w:r w:rsidRPr="0019599F">
        <w:rPr>
          <w:rFonts w:ascii="Times New Roman" w:hAnsi="Times New Roman"/>
          <w:i/>
          <w:iCs/>
          <w:sz w:val="24"/>
          <w:szCs w:val="24"/>
        </w:rPr>
        <w:t>adrifan</w:t>
      </w:r>
      <w:r w:rsidRPr="0019599F">
        <w:rPr>
          <w:rFonts w:ascii="Times New Roman" w:hAnsi="Times New Roman"/>
          <w:sz w:val="24"/>
          <w:szCs w:val="24"/>
        </w:rPr>
        <w:t xml:space="preserve">, </w:t>
      </w:r>
      <w:r w:rsidRPr="0019599F">
        <w:rPr>
          <w:rFonts w:ascii="Times New Roman" w:hAnsi="Times New Roman"/>
          <w:i/>
          <w:iCs/>
          <w:sz w:val="24"/>
          <w:szCs w:val="24"/>
        </w:rPr>
        <w:t>fordrifan</w:t>
      </w:r>
      <w:r w:rsidRPr="0019599F">
        <w:rPr>
          <w:rFonts w:ascii="Times New Roman" w:hAnsi="Times New Roman"/>
          <w:sz w:val="24"/>
          <w:szCs w:val="24"/>
        </w:rPr>
        <w:t xml:space="preserve">, </w:t>
      </w:r>
      <w:r w:rsidRPr="0019599F">
        <w:rPr>
          <w:rFonts w:ascii="Times New Roman" w:hAnsi="Times New Roman"/>
          <w:i/>
          <w:iCs/>
          <w:sz w:val="24"/>
          <w:szCs w:val="24"/>
          <w:lang w:val="nl-NL"/>
        </w:rPr>
        <w:t>afleman</w:t>
      </w:r>
      <w:r w:rsidRPr="0019599F">
        <w:rPr>
          <w:rFonts w:ascii="Times New Roman" w:hAnsi="Times New Roman"/>
          <w:sz w:val="24"/>
          <w:szCs w:val="24"/>
        </w:rPr>
        <w:t xml:space="preserve">, and </w:t>
      </w:r>
      <w:r w:rsidRPr="0019599F">
        <w:rPr>
          <w:rFonts w:ascii="Times New Roman" w:hAnsi="Times New Roman"/>
          <w:i/>
          <w:iCs/>
          <w:sz w:val="24"/>
          <w:szCs w:val="24"/>
        </w:rPr>
        <w:t>utian</w:t>
      </w:r>
      <w:r w:rsidRPr="0019599F">
        <w:rPr>
          <w:rFonts w:ascii="Times New Roman" w:hAnsi="Times New Roman"/>
          <w:sz w:val="24"/>
          <w:szCs w:val="24"/>
        </w:rPr>
        <w:t>,</w:t>
      </w:r>
      <w:r w:rsidRPr="0019599F">
        <w:rPr>
          <w:rFonts w:ascii="Times New Roman" w:eastAsia="Times New Roman" w:hAnsi="Times New Roman" w:cs="Times New Roman"/>
          <w:sz w:val="24"/>
          <w:szCs w:val="24"/>
          <w:vertAlign w:val="superscript"/>
        </w:rPr>
        <w:footnoteReference w:id="21"/>
      </w:r>
      <w:r w:rsidRPr="0019599F">
        <w:rPr>
          <w:rFonts w:ascii="Times New Roman" w:hAnsi="Times New Roman"/>
          <w:sz w:val="24"/>
          <w:szCs w:val="24"/>
        </w:rPr>
        <w:t xml:space="preserve"> as well as the ultimately Old Norse derived </w:t>
      </w:r>
      <w:r w:rsidRPr="0019599F">
        <w:rPr>
          <w:rFonts w:ascii="Times New Roman" w:hAnsi="Times New Roman"/>
          <w:i/>
          <w:iCs/>
          <w:sz w:val="24"/>
          <w:szCs w:val="24"/>
        </w:rPr>
        <w:t>utlagian</w:t>
      </w:r>
      <w:r w:rsidR="00843D39">
        <w:rPr>
          <w:rFonts w:ascii="Times New Roman" w:hAnsi="Times New Roman"/>
          <w:iCs/>
          <w:sz w:val="24"/>
          <w:szCs w:val="24"/>
        </w:rPr>
        <w:t>,</w:t>
      </w:r>
      <w:r w:rsidRPr="0019599F">
        <w:rPr>
          <w:rFonts w:ascii="Times New Roman" w:eastAsia="Times New Roman" w:hAnsi="Times New Roman" w:cs="Times New Roman"/>
          <w:sz w:val="24"/>
          <w:szCs w:val="24"/>
          <w:vertAlign w:val="superscript"/>
        </w:rPr>
        <w:footnoteReference w:id="22"/>
      </w:r>
      <w:r w:rsidRPr="0019599F">
        <w:rPr>
          <w:rFonts w:ascii="Times New Roman" w:hAnsi="Times New Roman"/>
          <w:sz w:val="24"/>
          <w:szCs w:val="24"/>
        </w:rPr>
        <w:t xml:space="preserve"> can pose serious problems. Even more difficult are the many cases for which we are simply told that a person was slain. Where this occurs in association with other seemingly legal happenings, it is tempting</w:t>
      </w:r>
      <w:r w:rsidR="002652EA">
        <w:rPr>
          <w:rFonts w:ascii="Times New Roman" w:hAnsi="Times New Roman"/>
          <w:sz w:val="24"/>
          <w:szCs w:val="24"/>
        </w:rPr>
        <w:t>, with appropriate caveats,</w:t>
      </w:r>
      <w:r w:rsidRPr="0019599F">
        <w:rPr>
          <w:rFonts w:ascii="Times New Roman" w:hAnsi="Times New Roman"/>
          <w:sz w:val="24"/>
          <w:szCs w:val="24"/>
        </w:rPr>
        <w:t xml:space="preserve"> to </w:t>
      </w:r>
      <w:r w:rsidR="007B7563">
        <w:rPr>
          <w:rFonts w:ascii="Times New Roman" w:hAnsi="Times New Roman"/>
          <w:sz w:val="24"/>
          <w:szCs w:val="24"/>
        </w:rPr>
        <w:t xml:space="preserve">infer </w:t>
      </w:r>
      <w:r w:rsidRPr="0019599F">
        <w:rPr>
          <w:rFonts w:ascii="Times New Roman" w:hAnsi="Times New Roman"/>
          <w:sz w:val="24"/>
          <w:szCs w:val="24"/>
        </w:rPr>
        <w:t xml:space="preserve">judicial </w:t>
      </w:r>
      <w:r w:rsidR="005D5DD1">
        <w:rPr>
          <w:rFonts w:ascii="Times New Roman" w:hAnsi="Times New Roman"/>
          <w:sz w:val="24"/>
          <w:szCs w:val="24"/>
        </w:rPr>
        <w:t>motivations</w:t>
      </w:r>
      <w:r w:rsidRPr="0019599F">
        <w:rPr>
          <w:rFonts w:ascii="Times New Roman" w:hAnsi="Times New Roman"/>
          <w:sz w:val="24"/>
          <w:szCs w:val="24"/>
        </w:rPr>
        <w:t xml:space="preserve">. </w:t>
      </w:r>
    </w:p>
    <w:p w14:paraId="4EA89B15" w14:textId="79653538" w:rsidR="00330AFC" w:rsidRPr="0019599F" w:rsidRDefault="002652EA" w:rsidP="002652EA">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 xml:space="preserve">A </w:t>
      </w:r>
      <w:r w:rsidR="00536562" w:rsidRPr="0019599F">
        <w:rPr>
          <w:rFonts w:ascii="Times New Roman" w:hAnsi="Times New Roman"/>
          <w:sz w:val="24"/>
          <w:szCs w:val="24"/>
        </w:rPr>
        <w:t xml:space="preserve">few entries stand out as candidates for </w:t>
      </w:r>
      <w:r w:rsidR="005D5DD1">
        <w:rPr>
          <w:rFonts w:ascii="Times New Roman" w:hAnsi="Times New Roman"/>
          <w:sz w:val="24"/>
          <w:szCs w:val="24"/>
        </w:rPr>
        <w:t xml:space="preserve">testimony to </w:t>
      </w:r>
      <w:r w:rsidR="00536562" w:rsidRPr="0019599F">
        <w:rPr>
          <w:rFonts w:ascii="Times New Roman" w:hAnsi="Times New Roman"/>
          <w:sz w:val="24"/>
          <w:szCs w:val="24"/>
        </w:rPr>
        <w:t>judicial</w:t>
      </w:r>
      <w:r>
        <w:rPr>
          <w:rFonts w:ascii="Times New Roman" w:hAnsi="Times New Roman"/>
          <w:sz w:val="24"/>
          <w:szCs w:val="24"/>
        </w:rPr>
        <w:t xml:space="preserve"> violence</w:t>
      </w:r>
      <w:r w:rsidR="00536562" w:rsidRPr="0019599F">
        <w:rPr>
          <w:rFonts w:ascii="Times New Roman" w:hAnsi="Times New Roman"/>
          <w:sz w:val="24"/>
          <w:szCs w:val="24"/>
        </w:rPr>
        <w:t xml:space="preserve">. </w:t>
      </w:r>
      <w:r w:rsidRPr="0019599F">
        <w:rPr>
          <w:rFonts w:ascii="Times New Roman" w:hAnsi="Times New Roman"/>
          <w:sz w:val="24"/>
          <w:szCs w:val="24"/>
        </w:rPr>
        <w:t>T</w:t>
      </w:r>
      <w:r w:rsidR="00536562" w:rsidRPr="0019599F">
        <w:rPr>
          <w:rFonts w:ascii="Times New Roman" w:hAnsi="Times New Roman"/>
          <w:sz w:val="24"/>
          <w:szCs w:val="24"/>
        </w:rPr>
        <w:t>he</w:t>
      </w:r>
      <w:r>
        <w:rPr>
          <w:rFonts w:ascii="Times New Roman" w:hAnsi="Times New Roman"/>
          <w:sz w:val="24"/>
          <w:szCs w:val="24"/>
        </w:rPr>
        <w:t xml:space="preserve"> </w:t>
      </w:r>
      <w:r w:rsidR="00536562" w:rsidRPr="0019599F">
        <w:rPr>
          <w:rFonts w:ascii="Times New Roman" w:hAnsi="Times New Roman"/>
          <w:sz w:val="24"/>
          <w:szCs w:val="24"/>
        </w:rPr>
        <w:t xml:space="preserve">entry </w:t>
      </w:r>
      <w:r w:rsidR="002475B0">
        <w:rPr>
          <w:rFonts w:ascii="Times New Roman" w:hAnsi="Times New Roman"/>
          <w:sz w:val="24"/>
          <w:szCs w:val="24"/>
        </w:rPr>
        <w:t xml:space="preserve">for </w:t>
      </w:r>
      <w:r w:rsidR="002475B0" w:rsidRPr="0019599F">
        <w:rPr>
          <w:rFonts w:ascii="Times New Roman" w:hAnsi="Times New Roman"/>
          <w:sz w:val="24"/>
          <w:szCs w:val="24"/>
        </w:rPr>
        <w:t>897</w:t>
      </w:r>
      <w:r>
        <w:rPr>
          <w:rFonts w:ascii="Times New Roman" w:hAnsi="Times New Roman"/>
          <w:sz w:val="24"/>
          <w:szCs w:val="24"/>
        </w:rPr>
        <w:t>, f</w:t>
      </w:r>
      <w:r w:rsidRPr="0019599F">
        <w:rPr>
          <w:rFonts w:ascii="Times New Roman" w:hAnsi="Times New Roman"/>
          <w:sz w:val="24"/>
          <w:szCs w:val="24"/>
        </w:rPr>
        <w:t xml:space="preserve">or example, </w:t>
      </w:r>
      <w:r w:rsidR="00536562" w:rsidRPr="0019599F">
        <w:rPr>
          <w:rFonts w:ascii="Times New Roman" w:hAnsi="Times New Roman"/>
          <w:sz w:val="24"/>
          <w:szCs w:val="24"/>
        </w:rPr>
        <w:t xml:space="preserve">describes Danish raiders who are captured, taken to Winchester, and hanged </w:t>
      </w:r>
      <w:r w:rsidR="00E373DD" w:rsidRPr="0019599F">
        <w:rPr>
          <w:rFonts w:ascii="Times New Roman" w:hAnsi="Times New Roman"/>
          <w:sz w:val="24"/>
          <w:szCs w:val="24"/>
        </w:rPr>
        <w:t xml:space="preserve">by order of the king </w:t>
      </w:r>
      <w:r w:rsidR="00536562" w:rsidRPr="0019599F">
        <w:rPr>
          <w:rFonts w:ascii="Times New Roman" w:hAnsi="Times New Roman"/>
          <w:sz w:val="24"/>
          <w:szCs w:val="24"/>
        </w:rPr>
        <w:t xml:space="preserve">(Swanton 1996, 89-90). This passage is remarkable for several reasons. First, it describes hanging, which is a surprising rarity in the </w:t>
      </w:r>
      <w:r w:rsidR="00536562" w:rsidRPr="0019599F">
        <w:rPr>
          <w:rFonts w:ascii="Times New Roman" w:hAnsi="Times New Roman"/>
          <w:i/>
          <w:iCs/>
          <w:sz w:val="24"/>
          <w:szCs w:val="24"/>
        </w:rPr>
        <w:t>ASC</w:t>
      </w:r>
      <w:r w:rsidR="00536562" w:rsidRPr="0019599F">
        <w:rPr>
          <w:rFonts w:ascii="Times New Roman" w:hAnsi="Times New Roman"/>
          <w:sz w:val="24"/>
          <w:szCs w:val="24"/>
        </w:rPr>
        <w:t>. Second, instead of expect</w:t>
      </w:r>
      <w:r w:rsidR="00843D39">
        <w:rPr>
          <w:rFonts w:ascii="Times New Roman" w:hAnsi="Times New Roman"/>
          <w:sz w:val="24"/>
          <w:szCs w:val="24"/>
        </w:rPr>
        <w:t>ed combat outcomes, like a parle</w:t>
      </w:r>
      <w:r w:rsidR="00536562" w:rsidRPr="0019599F">
        <w:rPr>
          <w:rFonts w:ascii="Times New Roman" w:hAnsi="Times New Roman"/>
          <w:sz w:val="24"/>
          <w:szCs w:val="24"/>
        </w:rPr>
        <w:t xml:space="preserve">y, routing, or killing on the spot, these raiders are brought before </w:t>
      </w:r>
      <w:r w:rsidR="00536562" w:rsidRPr="0019599F">
        <w:rPr>
          <w:rFonts w:ascii="Times New Roman" w:hAnsi="Times New Roman"/>
          <w:sz w:val="24"/>
          <w:szCs w:val="24"/>
        </w:rPr>
        <w:lastRenderedPageBreak/>
        <w:t>the king at a significant power-seat, suggesting an attempted judicial solution. Third, Alfred</w:t>
      </w:r>
      <w:r w:rsidR="00D03D40">
        <w:rPr>
          <w:rFonts w:ascii="Times New Roman" w:hAnsi="Times New Roman"/>
          <w:sz w:val="24"/>
          <w:szCs w:val="24"/>
        </w:rPr>
        <w:t>’</w:t>
      </w:r>
      <w:r w:rsidR="00536562" w:rsidRPr="0019599F">
        <w:rPr>
          <w:rFonts w:ascii="Times New Roman" w:hAnsi="Times New Roman"/>
          <w:sz w:val="24"/>
          <w:szCs w:val="24"/>
        </w:rPr>
        <w:t>s laws, which include lethal provisions for theft and breaching the king</w:t>
      </w:r>
      <w:r w:rsidR="00D03D40">
        <w:rPr>
          <w:rFonts w:ascii="Times New Roman" w:hAnsi="Times New Roman"/>
          <w:sz w:val="24"/>
          <w:szCs w:val="24"/>
        </w:rPr>
        <w:t>’</w:t>
      </w:r>
      <w:r w:rsidR="00536562" w:rsidRPr="0019599F">
        <w:rPr>
          <w:rFonts w:ascii="Times New Roman" w:hAnsi="Times New Roman"/>
          <w:sz w:val="24"/>
          <w:szCs w:val="24"/>
        </w:rPr>
        <w:t xml:space="preserve">s peace, </w:t>
      </w:r>
      <w:r w:rsidR="00E373DD">
        <w:rPr>
          <w:rFonts w:ascii="Times New Roman" w:hAnsi="Times New Roman"/>
          <w:sz w:val="24"/>
          <w:szCs w:val="24"/>
        </w:rPr>
        <w:t>sta</w:t>
      </w:r>
      <w:r w:rsidR="00536562" w:rsidRPr="0019599F">
        <w:rPr>
          <w:rFonts w:ascii="Times New Roman" w:hAnsi="Times New Roman"/>
          <w:sz w:val="24"/>
          <w:szCs w:val="24"/>
        </w:rPr>
        <w:t xml:space="preserve">te that in grievous cases the guilty party </w:t>
      </w:r>
      <w:r w:rsidR="00843D39">
        <w:rPr>
          <w:rFonts w:ascii="Times New Roman" w:hAnsi="Times New Roman"/>
          <w:sz w:val="24"/>
          <w:szCs w:val="24"/>
        </w:rPr>
        <w:t xml:space="preserve">should </w:t>
      </w:r>
      <w:r w:rsidR="00536562" w:rsidRPr="0019599F">
        <w:rPr>
          <w:rFonts w:ascii="Times New Roman" w:hAnsi="Times New Roman"/>
          <w:sz w:val="24"/>
          <w:szCs w:val="24"/>
        </w:rPr>
        <w:t>be brought before the king to decide if their lives were forfeit (Reynolds 2009, 251-</w:t>
      </w:r>
      <w:r w:rsidR="00843D39">
        <w:rPr>
          <w:rFonts w:ascii="Times New Roman" w:hAnsi="Times New Roman"/>
          <w:sz w:val="24"/>
          <w:szCs w:val="24"/>
        </w:rPr>
        <w:t>5</w:t>
      </w:r>
      <w:r w:rsidR="00536562" w:rsidRPr="0019599F">
        <w:rPr>
          <w:rFonts w:ascii="Times New Roman" w:hAnsi="Times New Roman"/>
          <w:sz w:val="24"/>
          <w:szCs w:val="24"/>
        </w:rPr>
        <w:t xml:space="preserve">2). </w:t>
      </w:r>
      <w:r w:rsidR="00E373DD">
        <w:rPr>
          <w:rFonts w:ascii="Times New Roman" w:hAnsi="Times New Roman"/>
          <w:sz w:val="24"/>
          <w:szCs w:val="24"/>
        </w:rPr>
        <w:t xml:space="preserve">Probably </w:t>
      </w:r>
      <w:r w:rsidR="00536562" w:rsidRPr="0019599F">
        <w:rPr>
          <w:rFonts w:ascii="Times New Roman" w:hAnsi="Times New Roman"/>
          <w:sz w:val="24"/>
          <w:szCs w:val="24"/>
        </w:rPr>
        <w:t>this was the protocol followed here.</w:t>
      </w:r>
    </w:p>
    <w:p w14:paraId="35524A46" w14:textId="07F9F0A1"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t>
      </w:r>
      <w:r w:rsidR="005D5DD1">
        <w:rPr>
          <w:rFonts w:ascii="Times New Roman" w:hAnsi="Times New Roman"/>
          <w:sz w:val="24"/>
          <w:szCs w:val="24"/>
        </w:rPr>
        <w:t>I</w:t>
      </w:r>
      <w:r w:rsidRPr="0019599F">
        <w:rPr>
          <w:rFonts w:ascii="Times New Roman" w:hAnsi="Times New Roman"/>
          <w:sz w:val="24"/>
          <w:szCs w:val="24"/>
        </w:rPr>
        <w:t>t is not until 993 that we again see evidence for judicial</w:t>
      </w:r>
      <w:r w:rsidR="00E373DD">
        <w:rPr>
          <w:rFonts w:ascii="Times New Roman" w:hAnsi="Times New Roman"/>
          <w:sz w:val="24"/>
          <w:szCs w:val="24"/>
        </w:rPr>
        <w:t xml:space="preserve"> </w:t>
      </w:r>
      <w:r w:rsidRPr="0019599F">
        <w:rPr>
          <w:rFonts w:ascii="Times New Roman" w:hAnsi="Times New Roman"/>
          <w:sz w:val="24"/>
          <w:szCs w:val="24"/>
        </w:rPr>
        <w:t>violen</w:t>
      </w:r>
      <w:r w:rsidR="00E373DD">
        <w:rPr>
          <w:rFonts w:ascii="Times New Roman" w:hAnsi="Times New Roman"/>
          <w:sz w:val="24"/>
          <w:szCs w:val="24"/>
        </w:rPr>
        <w:t xml:space="preserve">ce at the king’s behest, with the bare comment </w:t>
      </w:r>
      <w:r w:rsidR="00D03D40">
        <w:rPr>
          <w:rFonts w:ascii="Times New Roman" w:hAnsi="Times New Roman"/>
          <w:sz w:val="24"/>
          <w:szCs w:val="24"/>
        </w:rPr>
        <w:t>‘</w:t>
      </w:r>
      <w:r w:rsidRPr="0019599F">
        <w:rPr>
          <w:rFonts w:ascii="Times New Roman" w:hAnsi="Times New Roman"/>
          <w:i/>
          <w:iCs/>
          <w:sz w:val="24"/>
          <w:szCs w:val="24"/>
        </w:rPr>
        <w:t>het se cyng ablendan Æ</w:t>
      </w:r>
      <w:r w:rsidRPr="0019599F">
        <w:rPr>
          <w:rFonts w:ascii="Times New Roman" w:hAnsi="Times New Roman"/>
          <w:i/>
          <w:iCs/>
          <w:sz w:val="24"/>
          <w:szCs w:val="24"/>
          <w:lang w:val="de-DE"/>
        </w:rPr>
        <w:t>lfgar</w:t>
      </w:r>
      <w:r w:rsidR="00D03D40">
        <w:rPr>
          <w:rFonts w:ascii="Times New Roman" w:hAnsi="Times New Roman"/>
          <w:sz w:val="24"/>
          <w:szCs w:val="24"/>
        </w:rPr>
        <w:t>’</w:t>
      </w:r>
      <w:r w:rsidR="00E373DD">
        <w:rPr>
          <w:rFonts w:ascii="Times New Roman" w:hAnsi="Times New Roman"/>
          <w:sz w:val="24"/>
          <w:szCs w:val="24"/>
        </w:rPr>
        <w:t>.</w:t>
      </w:r>
      <w:r w:rsidRPr="0019599F">
        <w:rPr>
          <w:rFonts w:ascii="Times New Roman" w:eastAsia="Times New Roman" w:hAnsi="Times New Roman" w:cs="Times New Roman"/>
          <w:sz w:val="24"/>
          <w:szCs w:val="24"/>
          <w:vertAlign w:val="superscript"/>
        </w:rPr>
        <w:footnoteReference w:id="23"/>
      </w:r>
      <w:r w:rsidRPr="0019599F">
        <w:rPr>
          <w:rFonts w:ascii="Times New Roman" w:hAnsi="Times New Roman"/>
          <w:sz w:val="24"/>
          <w:szCs w:val="24"/>
        </w:rPr>
        <w:t xml:space="preserve"> </w:t>
      </w:r>
      <w:r w:rsidR="005D5DD1">
        <w:rPr>
          <w:rFonts w:ascii="Times New Roman" w:hAnsi="Times New Roman"/>
          <w:sz w:val="24"/>
          <w:szCs w:val="24"/>
        </w:rPr>
        <w:t>T</w:t>
      </w:r>
      <w:r w:rsidRPr="0019599F">
        <w:rPr>
          <w:rFonts w:ascii="Times New Roman" w:hAnsi="Times New Roman"/>
          <w:sz w:val="24"/>
          <w:szCs w:val="24"/>
        </w:rPr>
        <w:t xml:space="preserve">he entry for 1002 </w:t>
      </w:r>
      <w:r w:rsidR="00E373DD">
        <w:rPr>
          <w:rFonts w:ascii="Times New Roman" w:hAnsi="Times New Roman"/>
          <w:sz w:val="24"/>
          <w:szCs w:val="24"/>
        </w:rPr>
        <w:t>contains two possible instances</w:t>
      </w:r>
      <w:r w:rsidR="00843D39">
        <w:rPr>
          <w:rFonts w:ascii="Times New Roman" w:hAnsi="Times New Roman"/>
          <w:sz w:val="24"/>
          <w:szCs w:val="24"/>
        </w:rPr>
        <w:t>. The first</w:t>
      </w:r>
      <w:r w:rsidRPr="0019599F">
        <w:rPr>
          <w:rFonts w:ascii="Times New Roman" w:hAnsi="Times New Roman"/>
          <w:sz w:val="24"/>
          <w:szCs w:val="24"/>
        </w:rPr>
        <w:t xml:space="preserve"> is the banishment of ealdorman Leofsige for his apparently unlawful slaying of Ælfic, the king</w:t>
      </w:r>
      <w:r w:rsidR="00D03D40">
        <w:rPr>
          <w:rFonts w:ascii="Times New Roman" w:hAnsi="Times New Roman"/>
          <w:sz w:val="24"/>
          <w:szCs w:val="24"/>
        </w:rPr>
        <w:t>’</w:t>
      </w:r>
      <w:r w:rsidRPr="0019599F">
        <w:rPr>
          <w:rFonts w:ascii="Times New Roman" w:hAnsi="Times New Roman"/>
          <w:sz w:val="24"/>
          <w:szCs w:val="24"/>
        </w:rPr>
        <w:t>s high-reeve (Swanton 1996, 133-</w:t>
      </w:r>
      <w:r w:rsidR="00843D39">
        <w:rPr>
          <w:rFonts w:ascii="Times New Roman" w:hAnsi="Times New Roman"/>
          <w:sz w:val="24"/>
          <w:szCs w:val="24"/>
        </w:rPr>
        <w:t>3</w:t>
      </w:r>
      <w:r w:rsidRPr="0019599F">
        <w:rPr>
          <w:rFonts w:ascii="Times New Roman" w:hAnsi="Times New Roman"/>
          <w:sz w:val="24"/>
          <w:szCs w:val="24"/>
        </w:rPr>
        <w:t xml:space="preserve">4). Wormald shows that a precedent </w:t>
      </w:r>
      <w:r w:rsidR="00E373DD">
        <w:rPr>
          <w:rFonts w:ascii="Times New Roman" w:hAnsi="Times New Roman"/>
          <w:sz w:val="24"/>
          <w:szCs w:val="24"/>
        </w:rPr>
        <w:t xml:space="preserve">existed </w:t>
      </w:r>
      <w:r w:rsidRPr="0019599F">
        <w:rPr>
          <w:rFonts w:ascii="Times New Roman" w:hAnsi="Times New Roman"/>
          <w:sz w:val="24"/>
          <w:szCs w:val="24"/>
        </w:rPr>
        <w:t>for the judicial outlawing of high-ranking individuals during Æðelræd</w:t>
      </w:r>
      <w:r w:rsidR="00D03D40">
        <w:rPr>
          <w:rFonts w:ascii="Times New Roman" w:hAnsi="Times New Roman"/>
          <w:sz w:val="24"/>
          <w:szCs w:val="24"/>
        </w:rPr>
        <w:t>’</w:t>
      </w:r>
      <w:r w:rsidRPr="0019599F">
        <w:rPr>
          <w:rFonts w:ascii="Times New Roman" w:hAnsi="Times New Roman"/>
          <w:sz w:val="24"/>
          <w:szCs w:val="24"/>
        </w:rPr>
        <w:t>s reign (1999, 320-45), which suggests that this episode describes judicially-prescribed exile rather than another type. The second</w:t>
      </w:r>
      <w:r w:rsidR="00E373DD">
        <w:rPr>
          <w:rFonts w:ascii="Times New Roman" w:hAnsi="Times New Roman"/>
          <w:sz w:val="24"/>
          <w:szCs w:val="24"/>
        </w:rPr>
        <w:t xml:space="preserve"> instance </w:t>
      </w:r>
      <w:r w:rsidRPr="0019599F">
        <w:rPr>
          <w:rFonts w:ascii="Times New Roman" w:hAnsi="Times New Roman"/>
          <w:sz w:val="24"/>
          <w:szCs w:val="24"/>
        </w:rPr>
        <w:t xml:space="preserve">falls at the end of the entry, </w:t>
      </w:r>
      <w:r w:rsidR="00E373DD">
        <w:rPr>
          <w:rFonts w:ascii="Times New Roman" w:hAnsi="Times New Roman"/>
          <w:sz w:val="24"/>
          <w:szCs w:val="24"/>
        </w:rPr>
        <w:t xml:space="preserve">describing </w:t>
      </w:r>
      <w:r w:rsidRPr="0019599F">
        <w:rPr>
          <w:rFonts w:ascii="Times New Roman" w:hAnsi="Times New Roman"/>
          <w:sz w:val="24"/>
          <w:szCs w:val="24"/>
        </w:rPr>
        <w:t>what has come to be known as the St Brice</w:t>
      </w:r>
      <w:r w:rsidR="00D03D40">
        <w:rPr>
          <w:rFonts w:ascii="Times New Roman" w:hAnsi="Times New Roman"/>
          <w:sz w:val="24"/>
          <w:szCs w:val="24"/>
        </w:rPr>
        <w:t>’</w:t>
      </w:r>
      <w:r w:rsidRPr="0019599F">
        <w:rPr>
          <w:rFonts w:ascii="Times New Roman" w:hAnsi="Times New Roman"/>
          <w:sz w:val="24"/>
          <w:szCs w:val="24"/>
        </w:rPr>
        <w:t>s Day Massacre (Swanton 1996, 134-</w:t>
      </w:r>
      <w:r w:rsidR="00843D39">
        <w:rPr>
          <w:rFonts w:ascii="Times New Roman" w:hAnsi="Times New Roman"/>
          <w:sz w:val="24"/>
          <w:szCs w:val="24"/>
        </w:rPr>
        <w:t>3</w:t>
      </w:r>
      <w:r w:rsidRPr="0019599F">
        <w:rPr>
          <w:rFonts w:ascii="Times New Roman" w:hAnsi="Times New Roman"/>
          <w:sz w:val="24"/>
          <w:szCs w:val="24"/>
        </w:rPr>
        <w:t xml:space="preserve">5). Æðelræd orders the killing of all Danes in England </w:t>
      </w:r>
      <w:r w:rsidR="00D03D40">
        <w:rPr>
          <w:rFonts w:ascii="Times New Roman" w:hAnsi="Times New Roman"/>
          <w:sz w:val="24"/>
          <w:szCs w:val="24"/>
        </w:rPr>
        <w:t>‘</w:t>
      </w:r>
      <w:r w:rsidRPr="0019599F">
        <w:rPr>
          <w:rFonts w:ascii="Times New Roman" w:hAnsi="Times New Roman"/>
          <w:sz w:val="24"/>
          <w:szCs w:val="24"/>
        </w:rPr>
        <w:t xml:space="preserve">because it was made known to the king that they wanted to ensnare his life </w:t>
      </w:r>
      <w:r w:rsidR="00843D39">
        <w:rPr>
          <w:rFonts w:ascii="Times New Roman" w:hAnsi="Times New Roman"/>
          <w:sz w:val="24"/>
          <w:szCs w:val="24"/>
        </w:rPr>
        <w:t>–</w:t>
      </w:r>
      <w:r w:rsidRPr="0019599F">
        <w:rPr>
          <w:rFonts w:ascii="Times New Roman" w:hAnsi="Times New Roman"/>
          <w:sz w:val="24"/>
          <w:szCs w:val="24"/>
        </w:rPr>
        <w:t xml:space="preserve"> and afterwards all his council</w:t>
      </w:r>
      <w:r w:rsidR="00843D39">
        <w:rPr>
          <w:rFonts w:ascii="Times New Roman" w:hAnsi="Times New Roman"/>
          <w:sz w:val="24"/>
          <w:szCs w:val="24"/>
        </w:rPr>
        <w:t>l</w:t>
      </w:r>
      <w:r w:rsidRPr="0019599F">
        <w:rPr>
          <w:rFonts w:ascii="Times New Roman" w:hAnsi="Times New Roman"/>
          <w:sz w:val="24"/>
          <w:szCs w:val="24"/>
        </w:rPr>
        <w:t xml:space="preserve">ors </w:t>
      </w:r>
      <w:r w:rsidR="00843D39">
        <w:rPr>
          <w:rFonts w:ascii="Times New Roman" w:hAnsi="Times New Roman"/>
          <w:sz w:val="24"/>
          <w:szCs w:val="24"/>
        </w:rPr>
        <w:t>–</w:t>
      </w:r>
      <w:r w:rsidRPr="0019599F">
        <w:rPr>
          <w:rFonts w:ascii="Times New Roman" w:hAnsi="Times New Roman"/>
          <w:sz w:val="24"/>
          <w:szCs w:val="24"/>
        </w:rPr>
        <w:t xml:space="preserve"> and have his kingdom afterwards</w:t>
      </w:r>
      <w:r w:rsidR="00D03D40">
        <w:rPr>
          <w:rFonts w:ascii="Times New Roman" w:hAnsi="Times New Roman"/>
          <w:sz w:val="24"/>
          <w:szCs w:val="24"/>
        </w:rPr>
        <w:t>’</w:t>
      </w:r>
      <w:r w:rsidRPr="0019599F">
        <w:rPr>
          <w:rFonts w:ascii="Times New Roman" w:hAnsi="Times New Roman"/>
          <w:sz w:val="24"/>
          <w:szCs w:val="24"/>
        </w:rPr>
        <w:t xml:space="preserve"> (Swanton 1996, 135). The historical details of this event</w:t>
      </w:r>
      <w:r w:rsidR="00E373DD">
        <w:rPr>
          <w:rFonts w:ascii="Times New Roman" w:hAnsi="Times New Roman"/>
          <w:sz w:val="24"/>
          <w:szCs w:val="24"/>
        </w:rPr>
        <w:t xml:space="preserve"> are elusive</w:t>
      </w:r>
      <w:r w:rsidRPr="0019599F">
        <w:rPr>
          <w:rFonts w:ascii="Times New Roman" w:hAnsi="Times New Roman"/>
          <w:sz w:val="24"/>
          <w:szCs w:val="24"/>
        </w:rPr>
        <w:t xml:space="preserve"> but </w:t>
      </w:r>
      <w:r w:rsidR="00E373DD">
        <w:rPr>
          <w:rFonts w:ascii="Times New Roman" w:hAnsi="Times New Roman"/>
          <w:sz w:val="24"/>
          <w:szCs w:val="24"/>
        </w:rPr>
        <w:t xml:space="preserve">an interpretation to the effect that </w:t>
      </w:r>
      <w:r w:rsidRPr="0019599F">
        <w:rPr>
          <w:rFonts w:ascii="Times New Roman" w:hAnsi="Times New Roman"/>
          <w:sz w:val="24"/>
          <w:szCs w:val="24"/>
        </w:rPr>
        <w:t xml:space="preserve">the king </w:t>
      </w:r>
      <w:r w:rsidR="00E10E05">
        <w:rPr>
          <w:rFonts w:ascii="Times New Roman" w:hAnsi="Times New Roman"/>
          <w:sz w:val="24"/>
          <w:szCs w:val="24"/>
        </w:rPr>
        <w:t xml:space="preserve">responded with </w:t>
      </w:r>
      <w:r w:rsidRPr="0019599F">
        <w:rPr>
          <w:rFonts w:ascii="Times New Roman" w:hAnsi="Times New Roman"/>
          <w:sz w:val="24"/>
          <w:szCs w:val="24"/>
        </w:rPr>
        <w:t>judicial violen</w:t>
      </w:r>
      <w:r w:rsidR="00E10E05">
        <w:rPr>
          <w:rFonts w:ascii="Times New Roman" w:hAnsi="Times New Roman"/>
          <w:sz w:val="24"/>
          <w:szCs w:val="24"/>
        </w:rPr>
        <w:t>ce</w:t>
      </w:r>
      <w:r w:rsidRPr="0019599F">
        <w:rPr>
          <w:rFonts w:ascii="Times New Roman" w:hAnsi="Times New Roman"/>
          <w:sz w:val="24"/>
          <w:szCs w:val="24"/>
        </w:rPr>
        <w:t xml:space="preserve"> is supported by </w:t>
      </w:r>
      <w:r w:rsidR="00E10E05">
        <w:rPr>
          <w:rFonts w:ascii="Times New Roman" w:hAnsi="Times New Roman"/>
          <w:sz w:val="24"/>
          <w:szCs w:val="24"/>
        </w:rPr>
        <w:t xml:space="preserve">contemporary </w:t>
      </w:r>
      <w:r w:rsidRPr="0019599F">
        <w:rPr>
          <w:rFonts w:ascii="Times New Roman" w:hAnsi="Times New Roman"/>
          <w:sz w:val="24"/>
          <w:szCs w:val="24"/>
        </w:rPr>
        <w:t xml:space="preserve">laws which </w:t>
      </w:r>
      <w:r w:rsidR="00E10E05">
        <w:rPr>
          <w:rFonts w:ascii="Times New Roman" w:hAnsi="Times New Roman"/>
          <w:sz w:val="24"/>
          <w:szCs w:val="24"/>
        </w:rPr>
        <w:t xml:space="preserve">punish </w:t>
      </w:r>
      <w:r w:rsidRPr="0019599F">
        <w:rPr>
          <w:rFonts w:ascii="Times New Roman" w:hAnsi="Times New Roman"/>
          <w:sz w:val="24"/>
          <w:szCs w:val="24"/>
        </w:rPr>
        <w:t>plot</w:t>
      </w:r>
      <w:r w:rsidR="00E10E05">
        <w:rPr>
          <w:rFonts w:ascii="Times New Roman" w:hAnsi="Times New Roman"/>
          <w:sz w:val="24"/>
          <w:szCs w:val="24"/>
        </w:rPr>
        <w:t>s</w:t>
      </w:r>
      <w:r w:rsidRPr="0019599F">
        <w:rPr>
          <w:rFonts w:ascii="Times New Roman" w:hAnsi="Times New Roman"/>
          <w:sz w:val="24"/>
          <w:szCs w:val="24"/>
        </w:rPr>
        <w:t xml:space="preserve"> against the king </w:t>
      </w:r>
      <w:r w:rsidR="00E10E05">
        <w:rPr>
          <w:rFonts w:ascii="Times New Roman" w:hAnsi="Times New Roman"/>
          <w:sz w:val="24"/>
          <w:szCs w:val="24"/>
        </w:rPr>
        <w:t xml:space="preserve">with </w:t>
      </w:r>
      <w:r w:rsidRPr="0019599F">
        <w:rPr>
          <w:rFonts w:ascii="Times New Roman" w:hAnsi="Times New Roman"/>
          <w:sz w:val="24"/>
          <w:szCs w:val="24"/>
        </w:rPr>
        <w:t>forfeit</w:t>
      </w:r>
      <w:r w:rsidR="00E10E05">
        <w:rPr>
          <w:rFonts w:ascii="Times New Roman" w:hAnsi="Times New Roman"/>
          <w:sz w:val="24"/>
          <w:szCs w:val="24"/>
        </w:rPr>
        <w:t>ure of</w:t>
      </w:r>
      <w:r w:rsidRPr="0019599F">
        <w:rPr>
          <w:rFonts w:ascii="Times New Roman" w:hAnsi="Times New Roman"/>
          <w:sz w:val="24"/>
          <w:szCs w:val="24"/>
        </w:rPr>
        <w:t xml:space="preserve"> li</w:t>
      </w:r>
      <w:r w:rsidR="00E10E05">
        <w:rPr>
          <w:rFonts w:ascii="Times New Roman" w:hAnsi="Times New Roman"/>
          <w:sz w:val="24"/>
          <w:szCs w:val="24"/>
        </w:rPr>
        <w:t>fe</w:t>
      </w:r>
      <w:r w:rsidRPr="0019599F">
        <w:rPr>
          <w:rFonts w:ascii="Times New Roman" w:hAnsi="Times New Roman"/>
          <w:sz w:val="24"/>
          <w:szCs w:val="24"/>
        </w:rPr>
        <w:t xml:space="preserve"> (Reynolds 2009, 259).</w:t>
      </w:r>
    </w:p>
    <w:p w14:paraId="3B839737" w14:textId="08CA90D4"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t>
      </w:r>
      <w:r w:rsidR="005D5DD1">
        <w:rPr>
          <w:rFonts w:ascii="Times New Roman" w:hAnsi="Times New Roman"/>
          <w:sz w:val="24"/>
          <w:szCs w:val="24"/>
        </w:rPr>
        <w:t>In t</w:t>
      </w:r>
      <w:r w:rsidRPr="0019599F">
        <w:rPr>
          <w:rFonts w:ascii="Times New Roman" w:hAnsi="Times New Roman"/>
          <w:sz w:val="24"/>
          <w:szCs w:val="24"/>
        </w:rPr>
        <w:t>he 1006 entry (Swanton 1996, 136)</w:t>
      </w:r>
      <w:r w:rsidR="005D5DD1">
        <w:rPr>
          <w:rFonts w:ascii="Times New Roman" w:hAnsi="Times New Roman"/>
          <w:sz w:val="24"/>
          <w:szCs w:val="24"/>
        </w:rPr>
        <w:t xml:space="preserve"> </w:t>
      </w:r>
      <w:r w:rsidRPr="0019599F">
        <w:rPr>
          <w:rFonts w:ascii="Times New Roman" w:hAnsi="Times New Roman"/>
          <w:sz w:val="24"/>
          <w:szCs w:val="24"/>
        </w:rPr>
        <w:t xml:space="preserve">we are told that Wulfgeat was deprived of all his property, Wulfheah and Ufegeat were blinded, and ealdorman Ælfelm was slain. These events are relayed in </w:t>
      </w:r>
      <w:r w:rsidR="00E10E05">
        <w:rPr>
          <w:rFonts w:ascii="Times New Roman" w:hAnsi="Times New Roman"/>
          <w:sz w:val="24"/>
          <w:szCs w:val="24"/>
        </w:rPr>
        <w:t xml:space="preserve">uninterrupted </w:t>
      </w:r>
      <w:r w:rsidRPr="0019599F">
        <w:rPr>
          <w:rFonts w:ascii="Times New Roman" w:hAnsi="Times New Roman"/>
          <w:sz w:val="24"/>
          <w:szCs w:val="24"/>
        </w:rPr>
        <w:t>succession</w:t>
      </w:r>
      <w:r w:rsidR="00E10E05">
        <w:rPr>
          <w:rFonts w:ascii="Times New Roman" w:hAnsi="Times New Roman"/>
          <w:sz w:val="24"/>
          <w:szCs w:val="24"/>
        </w:rPr>
        <w:t>.</w:t>
      </w:r>
      <w:r w:rsidRPr="0019599F">
        <w:rPr>
          <w:rFonts w:ascii="Times New Roman" w:hAnsi="Times New Roman"/>
          <w:sz w:val="24"/>
          <w:szCs w:val="24"/>
        </w:rPr>
        <w:t xml:space="preserve"> </w:t>
      </w:r>
      <w:r w:rsidR="00E10E05" w:rsidRPr="0019599F">
        <w:rPr>
          <w:rFonts w:ascii="Times New Roman" w:hAnsi="Times New Roman"/>
          <w:sz w:val="24"/>
          <w:szCs w:val="24"/>
        </w:rPr>
        <w:t>T</w:t>
      </w:r>
      <w:r w:rsidRPr="0019599F">
        <w:rPr>
          <w:rFonts w:ascii="Times New Roman" w:hAnsi="Times New Roman"/>
          <w:sz w:val="24"/>
          <w:szCs w:val="24"/>
        </w:rPr>
        <w:t>he</w:t>
      </w:r>
      <w:r w:rsidR="00E10E05">
        <w:rPr>
          <w:rFonts w:ascii="Times New Roman" w:hAnsi="Times New Roman"/>
          <w:sz w:val="24"/>
          <w:szCs w:val="24"/>
        </w:rPr>
        <w:t xml:space="preserve"> </w:t>
      </w:r>
      <w:r w:rsidRPr="0019599F">
        <w:rPr>
          <w:rFonts w:ascii="Times New Roman" w:hAnsi="Times New Roman"/>
          <w:sz w:val="24"/>
          <w:szCs w:val="24"/>
        </w:rPr>
        <w:t>first is highly suggestive of legal activity,</w:t>
      </w:r>
      <w:r w:rsidRPr="0019599F">
        <w:rPr>
          <w:rFonts w:ascii="Times New Roman" w:eastAsia="Times New Roman" w:hAnsi="Times New Roman" w:cs="Times New Roman"/>
          <w:sz w:val="24"/>
          <w:szCs w:val="24"/>
          <w:vertAlign w:val="superscript"/>
        </w:rPr>
        <w:footnoteReference w:id="24"/>
      </w:r>
      <w:r w:rsidRPr="0019599F">
        <w:rPr>
          <w:rFonts w:ascii="Times New Roman" w:hAnsi="Times New Roman"/>
          <w:sz w:val="24"/>
          <w:szCs w:val="24"/>
        </w:rPr>
        <w:t xml:space="preserve"> as many of Æðelræd</w:t>
      </w:r>
      <w:r w:rsidR="00D03D40">
        <w:rPr>
          <w:rFonts w:ascii="Times New Roman" w:hAnsi="Times New Roman"/>
          <w:sz w:val="24"/>
          <w:szCs w:val="24"/>
        </w:rPr>
        <w:t>’</w:t>
      </w:r>
      <w:r w:rsidRPr="0019599F">
        <w:rPr>
          <w:rFonts w:ascii="Times New Roman" w:hAnsi="Times New Roman"/>
          <w:sz w:val="24"/>
          <w:szCs w:val="24"/>
        </w:rPr>
        <w:t>s laws prescribe the confiscation of a convicted party</w:t>
      </w:r>
      <w:r w:rsidR="00D03D40">
        <w:rPr>
          <w:rFonts w:ascii="Times New Roman" w:hAnsi="Times New Roman"/>
          <w:sz w:val="24"/>
          <w:szCs w:val="24"/>
        </w:rPr>
        <w:t>’</w:t>
      </w:r>
      <w:r w:rsidRPr="0019599F">
        <w:rPr>
          <w:rFonts w:ascii="Times New Roman" w:hAnsi="Times New Roman"/>
          <w:sz w:val="24"/>
          <w:szCs w:val="24"/>
        </w:rPr>
        <w:t>s properties and possessions (Reynolds 2009, 257-</w:t>
      </w:r>
      <w:r w:rsidR="00843D39">
        <w:rPr>
          <w:rFonts w:ascii="Times New Roman" w:hAnsi="Times New Roman"/>
          <w:sz w:val="24"/>
          <w:szCs w:val="24"/>
        </w:rPr>
        <w:t>5</w:t>
      </w:r>
      <w:r w:rsidRPr="0019599F">
        <w:rPr>
          <w:rFonts w:ascii="Times New Roman" w:hAnsi="Times New Roman"/>
          <w:sz w:val="24"/>
          <w:szCs w:val="24"/>
        </w:rPr>
        <w:t xml:space="preserve">9). </w:t>
      </w:r>
      <w:r w:rsidR="005D5DD1">
        <w:rPr>
          <w:rFonts w:ascii="Times New Roman" w:hAnsi="Times New Roman"/>
          <w:sz w:val="24"/>
          <w:szCs w:val="24"/>
        </w:rPr>
        <w:t>Although t</w:t>
      </w:r>
      <w:r w:rsidRPr="0019599F">
        <w:rPr>
          <w:rFonts w:ascii="Times New Roman" w:hAnsi="Times New Roman"/>
          <w:sz w:val="24"/>
          <w:szCs w:val="24"/>
        </w:rPr>
        <w:t>he blinding and slaying</w:t>
      </w:r>
      <w:r w:rsidR="005D5DD1">
        <w:rPr>
          <w:rFonts w:ascii="Times New Roman" w:hAnsi="Times New Roman"/>
          <w:sz w:val="24"/>
          <w:szCs w:val="24"/>
        </w:rPr>
        <w:t xml:space="preserve"> are</w:t>
      </w:r>
      <w:r w:rsidRPr="0019599F">
        <w:rPr>
          <w:rFonts w:ascii="Times New Roman" w:hAnsi="Times New Roman"/>
          <w:sz w:val="24"/>
          <w:szCs w:val="24"/>
        </w:rPr>
        <w:t xml:space="preserve">, as noted above, less suggestive </w:t>
      </w:r>
      <w:r w:rsidR="005D5DD1">
        <w:rPr>
          <w:rFonts w:ascii="Times New Roman" w:hAnsi="Times New Roman"/>
          <w:sz w:val="24"/>
          <w:szCs w:val="24"/>
        </w:rPr>
        <w:t xml:space="preserve">in the absence of </w:t>
      </w:r>
      <w:r w:rsidRPr="0019599F">
        <w:rPr>
          <w:rFonts w:ascii="Times New Roman" w:hAnsi="Times New Roman"/>
          <w:sz w:val="24"/>
          <w:szCs w:val="24"/>
        </w:rPr>
        <w:t xml:space="preserve">contextualizing detail, the </w:t>
      </w:r>
      <w:r w:rsidR="00E10E05">
        <w:rPr>
          <w:rFonts w:ascii="Times New Roman" w:hAnsi="Times New Roman"/>
          <w:sz w:val="24"/>
          <w:szCs w:val="24"/>
        </w:rPr>
        <w:t xml:space="preserve">juxtaposition with </w:t>
      </w:r>
      <w:r w:rsidRPr="0019599F">
        <w:rPr>
          <w:rFonts w:ascii="Times New Roman" w:hAnsi="Times New Roman"/>
          <w:sz w:val="24"/>
          <w:szCs w:val="24"/>
        </w:rPr>
        <w:t>the repossession provide</w:t>
      </w:r>
      <w:r w:rsidR="005D5DD1">
        <w:rPr>
          <w:rFonts w:ascii="Times New Roman" w:hAnsi="Times New Roman"/>
          <w:sz w:val="24"/>
          <w:szCs w:val="24"/>
        </w:rPr>
        <w:t>s</w:t>
      </w:r>
      <w:r w:rsidRPr="0019599F">
        <w:rPr>
          <w:rFonts w:ascii="Times New Roman" w:hAnsi="Times New Roman"/>
          <w:sz w:val="24"/>
          <w:szCs w:val="24"/>
        </w:rPr>
        <w:t xml:space="preserve"> a possible context, keeping in mind that </w:t>
      </w:r>
      <w:r w:rsidR="00E10E05" w:rsidRPr="0019599F">
        <w:rPr>
          <w:rFonts w:ascii="Times New Roman" w:hAnsi="Times New Roman"/>
          <w:sz w:val="24"/>
          <w:szCs w:val="24"/>
        </w:rPr>
        <w:t>Æðelræd</w:t>
      </w:r>
      <w:r w:rsidR="00E10E05">
        <w:rPr>
          <w:rFonts w:ascii="Times New Roman" w:hAnsi="Times New Roman"/>
          <w:sz w:val="24"/>
          <w:szCs w:val="24"/>
        </w:rPr>
        <w:t>’</w:t>
      </w:r>
      <w:r w:rsidR="00E10E05" w:rsidRPr="0019599F">
        <w:rPr>
          <w:rFonts w:ascii="Times New Roman" w:hAnsi="Times New Roman"/>
          <w:sz w:val="24"/>
          <w:szCs w:val="24"/>
        </w:rPr>
        <w:t xml:space="preserve">s laws </w:t>
      </w:r>
      <w:r w:rsidR="00E10E05">
        <w:rPr>
          <w:rFonts w:ascii="Times New Roman" w:hAnsi="Times New Roman"/>
          <w:sz w:val="24"/>
          <w:szCs w:val="24"/>
        </w:rPr>
        <w:t xml:space="preserve">provided for </w:t>
      </w:r>
      <w:r w:rsidRPr="0019599F">
        <w:rPr>
          <w:rFonts w:ascii="Times New Roman" w:hAnsi="Times New Roman"/>
          <w:sz w:val="24"/>
          <w:szCs w:val="24"/>
        </w:rPr>
        <w:t>both mutilation and execution (Reynolds 2009, 257-</w:t>
      </w:r>
      <w:r w:rsidR="00843D39">
        <w:rPr>
          <w:rFonts w:ascii="Times New Roman" w:hAnsi="Times New Roman"/>
          <w:sz w:val="24"/>
          <w:szCs w:val="24"/>
        </w:rPr>
        <w:t>5</w:t>
      </w:r>
      <w:r w:rsidRPr="0019599F">
        <w:rPr>
          <w:rFonts w:ascii="Times New Roman" w:hAnsi="Times New Roman"/>
          <w:sz w:val="24"/>
          <w:szCs w:val="24"/>
        </w:rPr>
        <w:t xml:space="preserve">9). Furthermore, </w:t>
      </w:r>
      <w:r w:rsidR="00E10E05">
        <w:rPr>
          <w:rFonts w:ascii="Times New Roman" w:hAnsi="Times New Roman"/>
          <w:sz w:val="24"/>
          <w:szCs w:val="24"/>
        </w:rPr>
        <w:t xml:space="preserve">the three events exhibit </w:t>
      </w:r>
      <w:r w:rsidRPr="0019599F">
        <w:rPr>
          <w:rFonts w:ascii="Times New Roman" w:hAnsi="Times New Roman"/>
          <w:sz w:val="24"/>
          <w:szCs w:val="24"/>
        </w:rPr>
        <w:t xml:space="preserve">a </w:t>
      </w:r>
      <w:r w:rsidR="00E10E05">
        <w:rPr>
          <w:rFonts w:ascii="Times New Roman" w:hAnsi="Times New Roman"/>
          <w:sz w:val="24"/>
          <w:szCs w:val="24"/>
        </w:rPr>
        <w:t xml:space="preserve">clear </w:t>
      </w:r>
      <w:r w:rsidRPr="0019599F">
        <w:rPr>
          <w:rFonts w:ascii="Times New Roman" w:hAnsi="Times New Roman"/>
          <w:sz w:val="24"/>
          <w:szCs w:val="24"/>
        </w:rPr>
        <w:t>logical progression through i</w:t>
      </w:r>
      <w:r w:rsidR="00843D39">
        <w:rPr>
          <w:rFonts w:ascii="Times New Roman" w:hAnsi="Times New Roman"/>
          <w:sz w:val="24"/>
          <w:szCs w:val="24"/>
        </w:rPr>
        <w:t>ncreasingly violent punishments</w:t>
      </w:r>
      <w:r w:rsidRPr="0019599F">
        <w:rPr>
          <w:rFonts w:ascii="Times New Roman" w:hAnsi="Times New Roman"/>
          <w:sz w:val="24"/>
          <w:szCs w:val="24"/>
        </w:rPr>
        <w:t xml:space="preserve"> and toward a more complete removal of the convicted individual from power-structures. </w:t>
      </w:r>
    </w:p>
    <w:p w14:paraId="1DE98A01" w14:textId="450A3B3C"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w:t>
      </w:r>
      <w:r w:rsidR="00E10E05">
        <w:rPr>
          <w:rFonts w:ascii="Times New Roman" w:hAnsi="Times New Roman"/>
          <w:sz w:val="24"/>
          <w:szCs w:val="24"/>
        </w:rPr>
        <w:t>T</w:t>
      </w:r>
      <w:r w:rsidRPr="0019599F">
        <w:rPr>
          <w:rFonts w:ascii="Times New Roman" w:hAnsi="Times New Roman"/>
          <w:sz w:val="24"/>
          <w:szCs w:val="24"/>
        </w:rPr>
        <w:t>he 1014 entry (Swanton 1996, 144-</w:t>
      </w:r>
      <w:r w:rsidR="00843D39">
        <w:rPr>
          <w:rFonts w:ascii="Times New Roman" w:hAnsi="Times New Roman"/>
          <w:sz w:val="24"/>
          <w:szCs w:val="24"/>
        </w:rPr>
        <w:t>4</w:t>
      </w:r>
      <w:r w:rsidRPr="0019599F">
        <w:rPr>
          <w:rFonts w:ascii="Times New Roman" w:hAnsi="Times New Roman"/>
          <w:sz w:val="24"/>
          <w:szCs w:val="24"/>
        </w:rPr>
        <w:t xml:space="preserve">5; Earl and Plummer 1965, 145) specifically uses the term </w:t>
      </w:r>
      <w:r w:rsidRPr="0019599F">
        <w:rPr>
          <w:rFonts w:ascii="Times New Roman" w:hAnsi="Times New Roman"/>
          <w:i/>
          <w:iCs/>
          <w:sz w:val="24"/>
          <w:szCs w:val="24"/>
        </w:rPr>
        <w:t>utlagian</w:t>
      </w:r>
      <w:r w:rsidRPr="0019599F">
        <w:rPr>
          <w:rFonts w:ascii="Times New Roman" w:hAnsi="Times New Roman"/>
          <w:sz w:val="24"/>
          <w:szCs w:val="24"/>
        </w:rPr>
        <w:t xml:space="preserve"> to describe the banishment of Danish kings from England (van Houts 2010, 13-</w:t>
      </w:r>
      <w:r w:rsidR="00843D39">
        <w:rPr>
          <w:rFonts w:ascii="Times New Roman" w:hAnsi="Times New Roman"/>
          <w:sz w:val="24"/>
          <w:szCs w:val="24"/>
        </w:rPr>
        <w:t>1</w:t>
      </w:r>
      <w:r w:rsidRPr="0019599F">
        <w:rPr>
          <w:rFonts w:ascii="Times New Roman" w:hAnsi="Times New Roman"/>
          <w:sz w:val="24"/>
          <w:szCs w:val="24"/>
        </w:rPr>
        <w:t xml:space="preserve">7). </w:t>
      </w:r>
      <w:r w:rsidR="005D5DD1">
        <w:rPr>
          <w:rFonts w:ascii="Times New Roman" w:hAnsi="Times New Roman"/>
          <w:sz w:val="24"/>
          <w:szCs w:val="24"/>
        </w:rPr>
        <w:t xml:space="preserve">It </w:t>
      </w:r>
      <w:r w:rsidRPr="0019599F">
        <w:rPr>
          <w:rFonts w:ascii="Times New Roman" w:hAnsi="Times New Roman"/>
          <w:sz w:val="24"/>
          <w:szCs w:val="24"/>
        </w:rPr>
        <w:t>also describes how</w:t>
      </w:r>
      <w:r w:rsidR="00E10E05">
        <w:rPr>
          <w:rFonts w:ascii="Times New Roman" w:hAnsi="Times New Roman"/>
          <w:sz w:val="24"/>
          <w:szCs w:val="24"/>
        </w:rPr>
        <w:t xml:space="preserve"> </w:t>
      </w:r>
      <w:r w:rsidR="00E10E05" w:rsidRPr="0019599F">
        <w:rPr>
          <w:rFonts w:ascii="Times New Roman" w:hAnsi="Times New Roman"/>
          <w:sz w:val="24"/>
          <w:szCs w:val="24"/>
        </w:rPr>
        <w:t xml:space="preserve">one of these new outlaws, </w:t>
      </w:r>
      <w:r w:rsidRPr="0019599F">
        <w:rPr>
          <w:rFonts w:ascii="Times New Roman" w:hAnsi="Times New Roman"/>
          <w:sz w:val="24"/>
          <w:szCs w:val="24"/>
        </w:rPr>
        <w:t xml:space="preserve">Knútr, </w:t>
      </w:r>
      <w:r w:rsidR="00E10E05" w:rsidRPr="0019599F">
        <w:rPr>
          <w:rFonts w:ascii="Times New Roman" w:hAnsi="Times New Roman"/>
          <w:sz w:val="24"/>
          <w:szCs w:val="24"/>
        </w:rPr>
        <w:t>after his father</w:t>
      </w:r>
      <w:r w:rsidR="00E10E05">
        <w:rPr>
          <w:rFonts w:ascii="Times New Roman" w:hAnsi="Times New Roman"/>
          <w:sz w:val="24"/>
          <w:szCs w:val="24"/>
        </w:rPr>
        <w:t>’</w:t>
      </w:r>
      <w:r w:rsidR="00E10E05" w:rsidRPr="0019599F">
        <w:rPr>
          <w:rFonts w:ascii="Times New Roman" w:hAnsi="Times New Roman"/>
          <w:sz w:val="24"/>
          <w:szCs w:val="24"/>
        </w:rPr>
        <w:t xml:space="preserve">s death </w:t>
      </w:r>
      <w:r w:rsidRPr="0019599F">
        <w:rPr>
          <w:rFonts w:ascii="Times New Roman" w:hAnsi="Times New Roman"/>
          <w:sz w:val="24"/>
          <w:szCs w:val="24"/>
        </w:rPr>
        <w:t>took the hostages his army had received to secure Sveinn</w:t>
      </w:r>
      <w:r w:rsidR="00D03D40">
        <w:rPr>
          <w:rFonts w:ascii="Times New Roman" w:hAnsi="Times New Roman"/>
          <w:sz w:val="24"/>
          <w:szCs w:val="24"/>
        </w:rPr>
        <w:t>’</w:t>
      </w:r>
      <w:r w:rsidRPr="0019599F">
        <w:rPr>
          <w:rFonts w:ascii="Times New Roman" w:hAnsi="Times New Roman"/>
          <w:sz w:val="24"/>
          <w:szCs w:val="24"/>
        </w:rPr>
        <w:t>s reign, landed them at Sandwich, and cut off their hands and noses.</w:t>
      </w:r>
      <w:r w:rsidRPr="0019599F">
        <w:rPr>
          <w:rFonts w:ascii="Times New Roman" w:eastAsia="Times New Roman" w:hAnsi="Times New Roman" w:cs="Times New Roman"/>
          <w:sz w:val="24"/>
          <w:szCs w:val="24"/>
          <w:vertAlign w:val="superscript"/>
        </w:rPr>
        <w:footnoteReference w:id="25"/>
      </w:r>
      <w:r w:rsidRPr="0019599F">
        <w:rPr>
          <w:rFonts w:ascii="Times New Roman" w:hAnsi="Times New Roman"/>
          <w:sz w:val="24"/>
          <w:szCs w:val="24"/>
        </w:rPr>
        <w:t xml:space="preserve"> While initially this might not seem like judicial violence, Knútr</w:t>
      </w:r>
      <w:r w:rsidR="00D03D40">
        <w:rPr>
          <w:rFonts w:ascii="Times New Roman" w:hAnsi="Times New Roman"/>
          <w:sz w:val="24"/>
          <w:szCs w:val="24"/>
        </w:rPr>
        <w:t>’</w:t>
      </w:r>
      <w:r w:rsidRPr="0019599F">
        <w:rPr>
          <w:rFonts w:ascii="Times New Roman" w:hAnsi="Times New Roman"/>
          <w:sz w:val="24"/>
          <w:szCs w:val="24"/>
        </w:rPr>
        <w:t>s restraint in keeping the hostages alive, as well as his landing them at the legally and politically important site of Sandwich, implies a complexity to these actions not overtly stated in the entry. It could be suggested that this was an attempted international legal solution to the national oath-breaking of the English clergy and laity who accepted and then rejected Knútr</w:t>
      </w:r>
      <w:r w:rsidR="00D03D40">
        <w:rPr>
          <w:rFonts w:ascii="Times New Roman" w:hAnsi="Times New Roman"/>
          <w:sz w:val="24"/>
          <w:szCs w:val="24"/>
        </w:rPr>
        <w:t>’</w:t>
      </w:r>
      <w:r w:rsidRPr="0019599F">
        <w:rPr>
          <w:rFonts w:ascii="Times New Roman" w:hAnsi="Times New Roman"/>
          <w:sz w:val="24"/>
          <w:szCs w:val="24"/>
        </w:rPr>
        <w:t xml:space="preserve">s bid for the throne. His choice to remove very visible appendages would have left a powerful reminder to the English population that oath-breaking, a serious crime in both legal spheres, was not tolerated by </w:t>
      </w:r>
      <w:r w:rsidRPr="0019599F">
        <w:rPr>
          <w:rFonts w:ascii="Times New Roman" w:hAnsi="Times New Roman"/>
          <w:sz w:val="24"/>
          <w:szCs w:val="24"/>
        </w:rPr>
        <w:lastRenderedPageBreak/>
        <w:t>him. This reading is made more pertinent when we consider that these hostages were likely men of influence in English society.</w:t>
      </w:r>
    </w:p>
    <w:p w14:paraId="386C2951" w14:textId="770B9060"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In the 1015 entry we are informed that ealdorman Eadric slew Siferth and Morcar (Earl and Plummer 1965, 145</w:t>
      </w:r>
      <w:r w:rsidR="00843D39">
        <w:rPr>
          <w:rFonts w:ascii="Times New Roman" w:hAnsi="Times New Roman"/>
          <w:sz w:val="24"/>
          <w:szCs w:val="24"/>
        </w:rPr>
        <w:t>-4</w:t>
      </w:r>
      <w:r w:rsidRPr="0019599F">
        <w:rPr>
          <w:rFonts w:ascii="Times New Roman" w:hAnsi="Times New Roman"/>
          <w:sz w:val="24"/>
          <w:szCs w:val="24"/>
        </w:rPr>
        <w:t>6; Swanton 1996, 145-</w:t>
      </w:r>
      <w:r w:rsidR="00843D39">
        <w:rPr>
          <w:rFonts w:ascii="Times New Roman" w:hAnsi="Times New Roman"/>
          <w:sz w:val="24"/>
          <w:szCs w:val="24"/>
        </w:rPr>
        <w:t>4</w:t>
      </w:r>
      <w:r w:rsidRPr="0019599F">
        <w:rPr>
          <w:rFonts w:ascii="Times New Roman" w:hAnsi="Times New Roman"/>
          <w:sz w:val="24"/>
          <w:szCs w:val="24"/>
        </w:rPr>
        <w:t xml:space="preserve">6). </w:t>
      </w:r>
      <w:commentRangeStart w:id="6"/>
      <w:r w:rsidRPr="0019599F">
        <w:rPr>
          <w:rFonts w:ascii="Times New Roman" w:hAnsi="Times New Roman"/>
          <w:sz w:val="24"/>
          <w:szCs w:val="24"/>
        </w:rPr>
        <w:t>Despite this act, which the annalist clearly feels was unjust, we are told that King Æðelræd seizes the possessions of Siferth and Morcar, including Siferth</w:t>
      </w:r>
      <w:r w:rsidR="00D03D40">
        <w:rPr>
          <w:rFonts w:ascii="Times New Roman" w:hAnsi="Times New Roman"/>
          <w:sz w:val="24"/>
          <w:szCs w:val="24"/>
        </w:rPr>
        <w:t>’</w:t>
      </w:r>
      <w:r w:rsidRPr="0019599F">
        <w:rPr>
          <w:rFonts w:ascii="Times New Roman" w:hAnsi="Times New Roman"/>
          <w:sz w:val="24"/>
          <w:szCs w:val="24"/>
        </w:rPr>
        <w:t xml:space="preserve">s wife. In contrast, Eadric is apparently not punished at all. </w:t>
      </w:r>
      <w:r w:rsidR="002475B0">
        <w:rPr>
          <w:rFonts w:ascii="Times New Roman" w:hAnsi="Times New Roman"/>
          <w:sz w:val="24"/>
          <w:szCs w:val="24"/>
        </w:rPr>
        <w:t>P</w:t>
      </w:r>
      <w:r w:rsidRPr="0019599F">
        <w:rPr>
          <w:rFonts w:ascii="Times New Roman" w:hAnsi="Times New Roman"/>
          <w:sz w:val="24"/>
          <w:szCs w:val="24"/>
        </w:rPr>
        <w:t>ossibly Eadric was acting on Æðelræd</w:t>
      </w:r>
      <w:r w:rsidR="00D03D40">
        <w:rPr>
          <w:rFonts w:ascii="Times New Roman" w:hAnsi="Times New Roman"/>
          <w:sz w:val="24"/>
          <w:szCs w:val="24"/>
        </w:rPr>
        <w:t>’</w:t>
      </w:r>
      <w:r w:rsidRPr="0019599F">
        <w:rPr>
          <w:rFonts w:ascii="Times New Roman" w:hAnsi="Times New Roman"/>
          <w:sz w:val="24"/>
          <w:szCs w:val="24"/>
        </w:rPr>
        <w:t>s orders</w:t>
      </w:r>
      <w:r w:rsidR="002475B0">
        <w:rPr>
          <w:rFonts w:ascii="Times New Roman" w:hAnsi="Times New Roman"/>
          <w:sz w:val="24"/>
          <w:szCs w:val="24"/>
        </w:rPr>
        <w:t>, y</w:t>
      </w:r>
      <w:r w:rsidRPr="0019599F">
        <w:rPr>
          <w:rFonts w:ascii="Times New Roman" w:hAnsi="Times New Roman"/>
          <w:sz w:val="24"/>
          <w:szCs w:val="24"/>
        </w:rPr>
        <w:t xml:space="preserve">et </w:t>
      </w:r>
      <w:r w:rsidR="00814EAD">
        <w:rPr>
          <w:rFonts w:ascii="Times New Roman" w:hAnsi="Times New Roman"/>
          <w:sz w:val="24"/>
          <w:szCs w:val="24"/>
        </w:rPr>
        <w:t xml:space="preserve">these slayings seem to be </w:t>
      </w:r>
      <w:r w:rsidRPr="0019599F">
        <w:rPr>
          <w:rFonts w:ascii="Times New Roman" w:hAnsi="Times New Roman"/>
          <w:sz w:val="24"/>
          <w:szCs w:val="24"/>
        </w:rPr>
        <w:t xml:space="preserve">different from judicial violence </w:t>
      </w:r>
      <w:commentRangeEnd w:id="6"/>
      <w:r w:rsidR="00771D42">
        <w:rPr>
          <w:rStyle w:val="CommentReference"/>
          <w:rFonts w:ascii="Times New Roman" w:hAnsi="Times New Roman" w:cs="Times New Roman"/>
          <w:color w:val="auto"/>
          <w:lang w:eastAsia="en-US"/>
        </w:rPr>
        <w:commentReference w:id="6"/>
      </w:r>
      <w:r w:rsidR="0009075D">
        <w:rPr>
          <w:rFonts w:ascii="Times New Roman" w:hAnsi="Times New Roman"/>
          <w:sz w:val="24"/>
          <w:szCs w:val="24"/>
        </w:rPr>
        <w:t xml:space="preserve">since although </w:t>
      </w:r>
      <w:r w:rsidR="00814EAD">
        <w:rPr>
          <w:rFonts w:ascii="Times New Roman" w:hAnsi="Times New Roman"/>
          <w:sz w:val="24"/>
          <w:szCs w:val="24"/>
        </w:rPr>
        <w:t xml:space="preserve">the occasion was </w:t>
      </w:r>
      <w:r w:rsidRPr="0019599F">
        <w:rPr>
          <w:rFonts w:ascii="Times New Roman" w:hAnsi="Times New Roman"/>
          <w:sz w:val="24"/>
          <w:szCs w:val="24"/>
        </w:rPr>
        <w:t xml:space="preserve">the assembly at Oxford the annalist seems keen to point out that the </w:t>
      </w:r>
      <w:r w:rsidR="0009075D">
        <w:rPr>
          <w:rFonts w:ascii="Times New Roman" w:hAnsi="Times New Roman"/>
          <w:sz w:val="24"/>
          <w:szCs w:val="24"/>
        </w:rPr>
        <w:t xml:space="preserve">actual </w:t>
      </w:r>
      <w:r w:rsidRPr="0019599F">
        <w:rPr>
          <w:rFonts w:ascii="Times New Roman" w:hAnsi="Times New Roman"/>
          <w:sz w:val="24"/>
          <w:szCs w:val="24"/>
        </w:rPr>
        <w:t xml:space="preserve">slayings </w:t>
      </w:r>
      <w:r w:rsidR="0009075D">
        <w:rPr>
          <w:rFonts w:ascii="Times New Roman" w:hAnsi="Times New Roman"/>
          <w:sz w:val="24"/>
          <w:szCs w:val="24"/>
        </w:rPr>
        <w:t xml:space="preserve">occurred </w:t>
      </w:r>
      <w:r w:rsidRPr="0019599F">
        <w:rPr>
          <w:rFonts w:ascii="Times New Roman" w:hAnsi="Times New Roman"/>
          <w:sz w:val="24"/>
          <w:szCs w:val="24"/>
        </w:rPr>
        <w:t>in Eadric</w:t>
      </w:r>
      <w:r w:rsidR="00D03D40">
        <w:rPr>
          <w:rFonts w:ascii="Times New Roman" w:hAnsi="Times New Roman"/>
          <w:sz w:val="24"/>
          <w:szCs w:val="24"/>
        </w:rPr>
        <w:t>’</w:t>
      </w:r>
      <w:r w:rsidRPr="0019599F">
        <w:rPr>
          <w:rFonts w:ascii="Times New Roman" w:hAnsi="Times New Roman"/>
          <w:sz w:val="24"/>
          <w:szCs w:val="24"/>
        </w:rPr>
        <w:t>s chambers: hardly an official setting.</w:t>
      </w:r>
      <w:r w:rsidRPr="0019599F">
        <w:rPr>
          <w:rFonts w:ascii="Times New Roman" w:eastAsia="Times New Roman" w:hAnsi="Times New Roman" w:cs="Times New Roman"/>
          <w:sz w:val="24"/>
          <w:szCs w:val="24"/>
          <w:vertAlign w:val="superscript"/>
        </w:rPr>
        <w:footnoteReference w:id="26"/>
      </w:r>
      <w:r w:rsidRPr="0019599F">
        <w:rPr>
          <w:rFonts w:ascii="Times New Roman" w:hAnsi="Times New Roman"/>
          <w:sz w:val="24"/>
          <w:szCs w:val="24"/>
        </w:rPr>
        <w:t xml:space="preserve"> This apparently extra-judicial royal violence </w:t>
      </w:r>
      <w:r w:rsidR="0009075D">
        <w:rPr>
          <w:rFonts w:ascii="Times New Roman" w:hAnsi="Times New Roman"/>
          <w:sz w:val="24"/>
          <w:szCs w:val="24"/>
        </w:rPr>
        <w:t xml:space="preserve">takes on new meaning </w:t>
      </w:r>
      <w:r w:rsidRPr="0019599F">
        <w:rPr>
          <w:rFonts w:ascii="Times New Roman" w:hAnsi="Times New Roman"/>
          <w:sz w:val="24"/>
          <w:szCs w:val="24"/>
        </w:rPr>
        <w:t xml:space="preserve">when </w:t>
      </w:r>
      <w:r w:rsidR="0009075D">
        <w:rPr>
          <w:rFonts w:ascii="Times New Roman" w:hAnsi="Times New Roman"/>
          <w:sz w:val="24"/>
          <w:szCs w:val="24"/>
        </w:rPr>
        <w:t xml:space="preserve">considered alongside </w:t>
      </w:r>
      <w:r w:rsidRPr="0019599F">
        <w:rPr>
          <w:rFonts w:ascii="Times New Roman" w:hAnsi="Times New Roman"/>
          <w:sz w:val="24"/>
          <w:szCs w:val="24"/>
        </w:rPr>
        <w:t xml:space="preserve">the 1014 entry. </w:t>
      </w:r>
      <w:r w:rsidR="0009075D">
        <w:rPr>
          <w:rFonts w:ascii="Times New Roman" w:hAnsi="Times New Roman"/>
          <w:sz w:val="24"/>
          <w:szCs w:val="24"/>
        </w:rPr>
        <w:t xml:space="preserve">Here, </w:t>
      </w:r>
      <w:r w:rsidRPr="0019599F">
        <w:rPr>
          <w:rFonts w:ascii="Times New Roman" w:hAnsi="Times New Roman"/>
          <w:sz w:val="24"/>
          <w:szCs w:val="24"/>
        </w:rPr>
        <w:t>recounting the events that led up to Æðelræd</w:t>
      </w:r>
      <w:r w:rsidR="00D03D40">
        <w:rPr>
          <w:rFonts w:ascii="Times New Roman" w:hAnsi="Times New Roman"/>
          <w:sz w:val="24"/>
          <w:szCs w:val="24"/>
        </w:rPr>
        <w:t>’</w:t>
      </w:r>
      <w:r w:rsidRPr="0019599F">
        <w:rPr>
          <w:rFonts w:ascii="Times New Roman" w:hAnsi="Times New Roman"/>
          <w:sz w:val="24"/>
          <w:szCs w:val="24"/>
        </w:rPr>
        <w:t xml:space="preserve">s return to England, the annalist notes that the clergy and laity </w:t>
      </w:r>
      <w:r w:rsidR="00843D39">
        <w:rPr>
          <w:rFonts w:ascii="Times New Roman" w:hAnsi="Times New Roman"/>
          <w:sz w:val="24"/>
          <w:szCs w:val="24"/>
        </w:rPr>
        <w:t>of England wished him to return</w:t>
      </w:r>
      <w:r w:rsidRPr="0019599F">
        <w:rPr>
          <w:rFonts w:ascii="Times New Roman" w:hAnsi="Times New Roman"/>
          <w:sz w:val="24"/>
          <w:szCs w:val="24"/>
        </w:rPr>
        <w:t xml:space="preserve"> but only if he governed more justly than he did before.</w:t>
      </w:r>
      <w:r w:rsidRPr="0019599F">
        <w:rPr>
          <w:rFonts w:ascii="Times New Roman" w:eastAsia="Times New Roman" w:hAnsi="Times New Roman" w:cs="Times New Roman"/>
          <w:sz w:val="24"/>
          <w:szCs w:val="24"/>
          <w:vertAlign w:val="superscript"/>
        </w:rPr>
        <w:footnoteReference w:id="27"/>
      </w:r>
      <w:r w:rsidRPr="0019599F">
        <w:rPr>
          <w:rFonts w:ascii="Times New Roman" w:hAnsi="Times New Roman"/>
          <w:sz w:val="24"/>
          <w:szCs w:val="24"/>
        </w:rPr>
        <w:t xml:space="preserve"> This statement suggests that Æðelræd may have occasionally circumvented his own laws</w:t>
      </w:r>
      <w:r w:rsidR="00814EAD">
        <w:rPr>
          <w:rFonts w:ascii="Times New Roman" w:hAnsi="Times New Roman"/>
          <w:sz w:val="24"/>
          <w:szCs w:val="24"/>
        </w:rPr>
        <w:t xml:space="preserve"> in the past and moreover,</w:t>
      </w:r>
      <w:r w:rsidRPr="0019599F">
        <w:rPr>
          <w:rFonts w:ascii="Times New Roman" w:hAnsi="Times New Roman"/>
          <w:sz w:val="24"/>
          <w:szCs w:val="24"/>
        </w:rPr>
        <w:t xml:space="preserve"> </w:t>
      </w:r>
      <w:r w:rsidR="00814EAD">
        <w:rPr>
          <w:rFonts w:ascii="Times New Roman" w:hAnsi="Times New Roman"/>
          <w:sz w:val="24"/>
          <w:szCs w:val="24"/>
        </w:rPr>
        <w:t>g</w:t>
      </w:r>
      <w:r w:rsidR="0009075D">
        <w:rPr>
          <w:rFonts w:ascii="Times New Roman" w:hAnsi="Times New Roman"/>
          <w:sz w:val="24"/>
          <w:szCs w:val="24"/>
        </w:rPr>
        <w:t xml:space="preserve">iven that </w:t>
      </w:r>
      <w:r w:rsidRPr="0019599F">
        <w:rPr>
          <w:rFonts w:ascii="Times New Roman" w:hAnsi="Times New Roman"/>
          <w:sz w:val="24"/>
          <w:szCs w:val="24"/>
        </w:rPr>
        <w:t>these slayings occurr</w:t>
      </w:r>
      <w:r w:rsidR="0009075D">
        <w:rPr>
          <w:rFonts w:ascii="Times New Roman" w:hAnsi="Times New Roman"/>
          <w:sz w:val="24"/>
          <w:szCs w:val="24"/>
        </w:rPr>
        <w:t>ed</w:t>
      </w:r>
      <w:r w:rsidRPr="0019599F">
        <w:rPr>
          <w:rFonts w:ascii="Times New Roman" w:hAnsi="Times New Roman"/>
          <w:sz w:val="24"/>
          <w:szCs w:val="24"/>
        </w:rPr>
        <w:t xml:space="preserve"> the very next year, may not have been holding up his end of the bargain, </w:t>
      </w:r>
      <w:r w:rsidR="00814EAD">
        <w:rPr>
          <w:rFonts w:ascii="Times New Roman" w:hAnsi="Times New Roman"/>
          <w:sz w:val="24"/>
          <w:szCs w:val="24"/>
        </w:rPr>
        <w:t xml:space="preserve">resorting to </w:t>
      </w:r>
      <w:r w:rsidRPr="0019599F">
        <w:rPr>
          <w:rFonts w:ascii="Times New Roman" w:hAnsi="Times New Roman"/>
          <w:sz w:val="24"/>
          <w:szCs w:val="24"/>
        </w:rPr>
        <w:t>non-judicial violence to maintain and enforce his position.</w:t>
      </w:r>
    </w:p>
    <w:p w14:paraId="2EF92AA6" w14:textId="1612B12A" w:rsidR="00330AFC" w:rsidRDefault="00536562" w:rsidP="0019599F">
      <w:pPr>
        <w:pStyle w:val="BodyA"/>
        <w:spacing w:line="240" w:lineRule="auto"/>
        <w:ind w:firstLine="360"/>
        <w:rPr>
          <w:rFonts w:ascii="Times New Roman" w:hAnsi="Times New Roman"/>
          <w:sz w:val="24"/>
          <w:szCs w:val="24"/>
        </w:rPr>
      </w:pPr>
      <w:r w:rsidRPr="0019599F">
        <w:rPr>
          <w:rFonts w:ascii="Times New Roman" w:hAnsi="Times New Roman"/>
          <w:sz w:val="24"/>
          <w:szCs w:val="24"/>
        </w:rPr>
        <w:t xml:space="preserve">Despite </w:t>
      </w:r>
      <w:r w:rsidR="00814EAD">
        <w:rPr>
          <w:rFonts w:ascii="Times New Roman" w:hAnsi="Times New Roman"/>
          <w:sz w:val="24"/>
          <w:szCs w:val="24"/>
        </w:rPr>
        <w:t xml:space="preserve">the </w:t>
      </w:r>
      <w:r w:rsidR="00843D39">
        <w:rPr>
          <w:rFonts w:ascii="Times New Roman" w:hAnsi="Times New Roman"/>
          <w:sz w:val="24"/>
          <w:szCs w:val="24"/>
        </w:rPr>
        <w:t>lack</w:t>
      </w:r>
      <w:r w:rsidR="00814EAD">
        <w:rPr>
          <w:rFonts w:ascii="Times New Roman" w:hAnsi="Times New Roman"/>
          <w:sz w:val="24"/>
          <w:szCs w:val="24"/>
        </w:rPr>
        <w:t xml:space="preserve"> of</w:t>
      </w:r>
      <w:r w:rsidR="00843D39">
        <w:rPr>
          <w:rFonts w:ascii="Times New Roman" w:hAnsi="Times New Roman"/>
          <w:sz w:val="24"/>
          <w:szCs w:val="24"/>
        </w:rPr>
        <w:t xml:space="preserve"> contextualiz</w:t>
      </w:r>
      <w:r w:rsidRPr="0019599F">
        <w:rPr>
          <w:rFonts w:ascii="Times New Roman" w:hAnsi="Times New Roman"/>
          <w:sz w:val="24"/>
          <w:szCs w:val="24"/>
        </w:rPr>
        <w:t>ing details</w:t>
      </w:r>
      <w:r w:rsidR="00814EAD">
        <w:rPr>
          <w:rFonts w:ascii="Times New Roman" w:hAnsi="Times New Roman"/>
          <w:sz w:val="24"/>
          <w:szCs w:val="24"/>
        </w:rPr>
        <w:t xml:space="preserve"> in </w:t>
      </w:r>
      <w:r w:rsidR="00814EAD" w:rsidRPr="0019599F">
        <w:rPr>
          <w:rFonts w:ascii="Times New Roman" w:hAnsi="Times New Roman"/>
          <w:sz w:val="24"/>
          <w:szCs w:val="24"/>
        </w:rPr>
        <w:t xml:space="preserve">some of the </w:t>
      </w:r>
      <w:r w:rsidR="00814EAD" w:rsidRPr="0019599F">
        <w:rPr>
          <w:rFonts w:ascii="Times New Roman" w:hAnsi="Times New Roman"/>
          <w:i/>
          <w:iCs/>
          <w:sz w:val="24"/>
          <w:szCs w:val="24"/>
        </w:rPr>
        <w:t>ASC</w:t>
      </w:r>
      <w:r w:rsidR="00814EAD">
        <w:rPr>
          <w:rFonts w:ascii="Times New Roman" w:hAnsi="Times New Roman"/>
          <w:sz w:val="24"/>
          <w:szCs w:val="24"/>
        </w:rPr>
        <w:t xml:space="preserve"> entries</w:t>
      </w:r>
      <w:r w:rsidRPr="0019599F">
        <w:rPr>
          <w:rFonts w:ascii="Times New Roman" w:hAnsi="Times New Roman"/>
          <w:sz w:val="24"/>
          <w:szCs w:val="24"/>
        </w:rPr>
        <w:t xml:space="preserve">, </w:t>
      </w:r>
      <w:r w:rsidR="00814EAD">
        <w:rPr>
          <w:rFonts w:ascii="Times New Roman" w:hAnsi="Times New Roman"/>
          <w:sz w:val="24"/>
          <w:szCs w:val="24"/>
        </w:rPr>
        <w:t>they point to</w:t>
      </w:r>
      <w:r w:rsidRPr="0019599F">
        <w:rPr>
          <w:rFonts w:ascii="Times New Roman" w:hAnsi="Times New Roman"/>
          <w:sz w:val="24"/>
          <w:szCs w:val="24"/>
        </w:rPr>
        <w:t xml:space="preserve"> judicially-prescribed outlawing, maiming, and execution. </w:t>
      </w:r>
      <w:r w:rsidR="00814EAD">
        <w:rPr>
          <w:rFonts w:ascii="Times New Roman" w:hAnsi="Times New Roman"/>
          <w:sz w:val="24"/>
          <w:szCs w:val="24"/>
        </w:rPr>
        <w:t>C</w:t>
      </w:r>
      <w:r w:rsidRPr="0019599F">
        <w:rPr>
          <w:rFonts w:ascii="Times New Roman" w:hAnsi="Times New Roman"/>
          <w:sz w:val="24"/>
          <w:szCs w:val="24"/>
        </w:rPr>
        <w:t>onsidering these entries in the context provided by the legal texts allow</w:t>
      </w:r>
      <w:r w:rsidR="00814EAD">
        <w:rPr>
          <w:rFonts w:ascii="Times New Roman" w:hAnsi="Times New Roman"/>
          <w:sz w:val="24"/>
          <w:szCs w:val="24"/>
        </w:rPr>
        <w:t>s</w:t>
      </w:r>
      <w:r w:rsidRPr="0019599F">
        <w:rPr>
          <w:rFonts w:ascii="Times New Roman" w:hAnsi="Times New Roman"/>
          <w:sz w:val="24"/>
          <w:szCs w:val="24"/>
        </w:rPr>
        <w:t xml:space="preserve"> us to glimpse some elements of the historical legal systems in action (897)</w:t>
      </w:r>
      <w:r w:rsidR="00814EAD">
        <w:rPr>
          <w:rFonts w:ascii="Times New Roman" w:hAnsi="Times New Roman"/>
          <w:sz w:val="24"/>
          <w:szCs w:val="24"/>
        </w:rPr>
        <w:t>:</w:t>
      </w:r>
      <w:r w:rsidRPr="0019599F">
        <w:rPr>
          <w:rFonts w:ascii="Times New Roman" w:hAnsi="Times New Roman"/>
          <w:sz w:val="24"/>
          <w:szCs w:val="24"/>
        </w:rPr>
        <w:t xml:space="preserve"> </w:t>
      </w:r>
      <w:r w:rsidR="00843D39">
        <w:rPr>
          <w:rFonts w:ascii="Times New Roman" w:hAnsi="Times New Roman"/>
          <w:sz w:val="24"/>
          <w:szCs w:val="24"/>
        </w:rPr>
        <w:t>in some legal cases not one</w:t>
      </w:r>
      <w:r w:rsidRPr="0019599F">
        <w:rPr>
          <w:rFonts w:ascii="Times New Roman" w:hAnsi="Times New Roman"/>
          <w:sz w:val="24"/>
          <w:szCs w:val="24"/>
        </w:rPr>
        <w:t xml:space="preserve"> but many parties were </w:t>
      </w:r>
      <w:r w:rsidR="00814EAD">
        <w:rPr>
          <w:rFonts w:ascii="Times New Roman" w:hAnsi="Times New Roman"/>
          <w:sz w:val="24"/>
          <w:szCs w:val="24"/>
        </w:rPr>
        <w:t xml:space="preserve">punished using </w:t>
      </w:r>
      <w:r w:rsidRPr="0019599F">
        <w:rPr>
          <w:rFonts w:ascii="Times New Roman" w:hAnsi="Times New Roman"/>
          <w:sz w:val="24"/>
          <w:szCs w:val="24"/>
        </w:rPr>
        <w:t>judicial violen</w:t>
      </w:r>
      <w:r w:rsidR="00814EAD">
        <w:rPr>
          <w:rFonts w:ascii="Times New Roman" w:hAnsi="Times New Roman"/>
          <w:sz w:val="24"/>
          <w:szCs w:val="24"/>
        </w:rPr>
        <w:t>ce</w:t>
      </w:r>
      <w:r w:rsidRPr="0019599F">
        <w:rPr>
          <w:rFonts w:ascii="Times New Roman" w:hAnsi="Times New Roman"/>
          <w:sz w:val="24"/>
          <w:szCs w:val="24"/>
        </w:rPr>
        <w:t xml:space="preserve"> (897 and 1002); </w:t>
      </w:r>
      <w:r w:rsidR="00814EAD">
        <w:rPr>
          <w:rFonts w:ascii="Times New Roman" w:hAnsi="Times New Roman"/>
          <w:sz w:val="24"/>
          <w:szCs w:val="24"/>
        </w:rPr>
        <w:t xml:space="preserve">also, </w:t>
      </w:r>
      <w:r w:rsidRPr="0019599F">
        <w:rPr>
          <w:rFonts w:ascii="Times New Roman" w:hAnsi="Times New Roman"/>
          <w:sz w:val="24"/>
          <w:szCs w:val="24"/>
        </w:rPr>
        <w:t>royally- and judicially-prescribed violence are not synonymous (1015).</w:t>
      </w:r>
    </w:p>
    <w:p w14:paraId="39D4C12B" w14:textId="77777777" w:rsidR="00843D39" w:rsidRPr="0019599F" w:rsidRDefault="00843D39" w:rsidP="0019599F">
      <w:pPr>
        <w:pStyle w:val="BodyA"/>
        <w:spacing w:line="240" w:lineRule="auto"/>
        <w:ind w:firstLine="360"/>
        <w:rPr>
          <w:rFonts w:ascii="Times New Roman" w:eastAsia="Times New Roman" w:hAnsi="Times New Roman" w:cs="Times New Roman"/>
          <w:sz w:val="24"/>
          <w:szCs w:val="24"/>
        </w:rPr>
      </w:pPr>
    </w:p>
    <w:p w14:paraId="558015D2" w14:textId="7777777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Literary Comparisons</w:t>
      </w:r>
    </w:p>
    <w:p w14:paraId="233A9524" w14:textId="77777777" w:rsidR="00843D39" w:rsidRDefault="00843D39" w:rsidP="00843D39">
      <w:pPr>
        <w:pStyle w:val="BodyA"/>
        <w:spacing w:line="240" w:lineRule="auto"/>
        <w:rPr>
          <w:rFonts w:ascii="Times New Roman" w:hAnsi="Times New Roman"/>
          <w:sz w:val="24"/>
          <w:szCs w:val="24"/>
        </w:rPr>
      </w:pPr>
    </w:p>
    <w:p w14:paraId="770D1C5B" w14:textId="0BB1BCE2" w:rsidR="00330AFC" w:rsidRPr="0019599F" w:rsidRDefault="00814EAD" w:rsidP="00814EAD">
      <w:pPr>
        <w:pStyle w:val="BodyA"/>
        <w:spacing w:line="240" w:lineRule="auto"/>
        <w:rPr>
          <w:rFonts w:ascii="Times New Roman" w:eastAsia="Times New Roman" w:hAnsi="Times New Roman" w:cs="Times New Roman"/>
          <w:sz w:val="24"/>
          <w:szCs w:val="24"/>
        </w:rPr>
      </w:pPr>
      <w:r>
        <w:rPr>
          <w:rFonts w:ascii="Times New Roman" w:hAnsi="Times New Roman"/>
          <w:sz w:val="24"/>
          <w:szCs w:val="24"/>
        </w:rPr>
        <w:t xml:space="preserve">Contemporary </w:t>
      </w:r>
      <w:r w:rsidR="00536562" w:rsidRPr="0019599F">
        <w:rPr>
          <w:rFonts w:ascii="Times New Roman" w:hAnsi="Times New Roman"/>
          <w:sz w:val="24"/>
          <w:szCs w:val="24"/>
        </w:rPr>
        <w:t xml:space="preserve">poetry </w:t>
      </w:r>
      <w:r w:rsidR="00DD7C7B" w:rsidRPr="0019599F">
        <w:rPr>
          <w:rFonts w:ascii="Times New Roman" w:hAnsi="Times New Roman"/>
          <w:sz w:val="24"/>
          <w:szCs w:val="24"/>
        </w:rPr>
        <w:t xml:space="preserve">contains </w:t>
      </w:r>
      <w:r>
        <w:rPr>
          <w:rFonts w:ascii="Times New Roman" w:hAnsi="Times New Roman"/>
          <w:sz w:val="24"/>
          <w:szCs w:val="24"/>
        </w:rPr>
        <w:t xml:space="preserve">further </w:t>
      </w:r>
      <w:r w:rsidR="00DD7C7B" w:rsidRPr="0019599F">
        <w:rPr>
          <w:rFonts w:ascii="Times New Roman" w:hAnsi="Times New Roman"/>
          <w:sz w:val="24"/>
          <w:szCs w:val="24"/>
        </w:rPr>
        <w:t>clues as to</w:t>
      </w:r>
      <w:r w:rsidR="00536562" w:rsidRPr="0019599F">
        <w:rPr>
          <w:rFonts w:ascii="Times New Roman" w:hAnsi="Times New Roman"/>
          <w:sz w:val="24"/>
          <w:szCs w:val="24"/>
        </w:rPr>
        <w:t xml:space="preserve"> how judicial violence functioned. </w:t>
      </w:r>
      <w:r>
        <w:rPr>
          <w:rFonts w:ascii="Times New Roman" w:hAnsi="Times New Roman"/>
          <w:sz w:val="24"/>
          <w:szCs w:val="24"/>
        </w:rPr>
        <w:t xml:space="preserve">In </w:t>
      </w:r>
      <w:r w:rsidR="00536562" w:rsidRPr="0019599F">
        <w:rPr>
          <w:rFonts w:ascii="Times New Roman" w:hAnsi="Times New Roman"/>
          <w:sz w:val="24"/>
          <w:szCs w:val="24"/>
        </w:rPr>
        <w:t>explor</w:t>
      </w:r>
      <w:r>
        <w:rPr>
          <w:rFonts w:ascii="Times New Roman" w:hAnsi="Times New Roman"/>
          <w:sz w:val="24"/>
          <w:szCs w:val="24"/>
        </w:rPr>
        <w:t>ing</w:t>
      </w:r>
      <w:r w:rsidR="00536562" w:rsidRPr="0019599F">
        <w:rPr>
          <w:rFonts w:ascii="Times New Roman" w:hAnsi="Times New Roman"/>
          <w:sz w:val="24"/>
          <w:szCs w:val="24"/>
        </w:rPr>
        <w:t xml:space="preserve"> the peculiarities of the execution described </w:t>
      </w:r>
      <w:r>
        <w:rPr>
          <w:rFonts w:ascii="Times New Roman" w:hAnsi="Times New Roman"/>
          <w:sz w:val="24"/>
          <w:szCs w:val="24"/>
        </w:rPr>
        <w:t xml:space="preserve">in </w:t>
      </w:r>
      <w:r w:rsidR="00536562" w:rsidRPr="0019599F">
        <w:rPr>
          <w:rFonts w:ascii="Times New Roman" w:hAnsi="Times New Roman"/>
          <w:sz w:val="24"/>
          <w:szCs w:val="24"/>
        </w:rPr>
        <w:t xml:space="preserve">the Old English poem </w:t>
      </w:r>
      <w:commentRangeStart w:id="7"/>
      <w:r w:rsidR="00536562" w:rsidRPr="0019599F">
        <w:rPr>
          <w:rFonts w:ascii="Times New Roman" w:hAnsi="Times New Roman"/>
          <w:i/>
          <w:iCs/>
          <w:sz w:val="24"/>
          <w:szCs w:val="24"/>
          <w:lang w:val="it-IT"/>
        </w:rPr>
        <w:t>Juliana</w:t>
      </w:r>
      <w:commentRangeEnd w:id="7"/>
      <w:r w:rsidR="0053755D">
        <w:rPr>
          <w:rStyle w:val="CommentReference"/>
          <w:rFonts w:ascii="Times New Roman" w:hAnsi="Times New Roman" w:cs="Times New Roman"/>
          <w:color w:val="auto"/>
          <w:lang w:eastAsia="en-US"/>
        </w:rPr>
        <w:commentReference w:id="7"/>
      </w:r>
      <w:r>
        <w:rPr>
          <w:rFonts w:ascii="Times New Roman" w:hAnsi="Times New Roman"/>
          <w:sz w:val="24"/>
          <w:szCs w:val="24"/>
        </w:rPr>
        <w:t>,</w:t>
      </w:r>
      <w:r w:rsidR="00536562" w:rsidRPr="0019599F">
        <w:rPr>
          <w:rFonts w:ascii="Times New Roman" w:eastAsia="Times New Roman" w:hAnsi="Times New Roman" w:cs="Times New Roman"/>
          <w:sz w:val="24"/>
          <w:szCs w:val="24"/>
          <w:vertAlign w:val="superscript"/>
          <w:lang w:val="it-IT"/>
        </w:rPr>
        <w:footnoteReference w:id="28"/>
      </w:r>
      <w:r w:rsidR="00536562" w:rsidRPr="0019599F">
        <w:rPr>
          <w:rFonts w:ascii="Times New Roman" w:hAnsi="Times New Roman"/>
          <w:sz w:val="24"/>
          <w:szCs w:val="24"/>
        </w:rPr>
        <w:t xml:space="preserve"> </w:t>
      </w:r>
      <w:r w:rsidRPr="0019599F">
        <w:rPr>
          <w:rFonts w:ascii="Times New Roman" w:hAnsi="Times New Roman"/>
          <w:sz w:val="24"/>
          <w:szCs w:val="24"/>
        </w:rPr>
        <w:t>Dorothy Whitelock (1952, 144)</w:t>
      </w:r>
      <w:r>
        <w:rPr>
          <w:rFonts w:ascii="Times New Roman" w:hAnsi="Times New Roman"/>
          <w:sz w:val="24"/>
          <w:szCs w:val="24"/>
        </w:rPr>
        <w:t xml:space="preserve"> made </w:t>
      </w:r>
      <w:r w:rsidR="00536562" w:rsidRPr="0019599F">
        <w:rPr>
          <w:rFonts w:ascii="Times New Roman" w:hAnsi="Times New Roman"/>
          <w:sz w:val="24"/>
          <w:szCs w:val="24"/>
        </w:rPr>
        <w:t xml:space="preserve">effectively the first, and one of the only, attempts to plumb a piece of Viking-Age literature for information </w:t>
      </w:r>
      <w:r>
        <w:rPr>
          <w:rFonts w:ascii="Times New Roman" w:hAnsi="Times New Roman"/>
          <w:sz w:val="24"/>
          <w:szCs w:val="24"/>
        </w:rPr>
        <w:t xml:space="preserve">on </w:t>
      </w:r>
      <w:r w:rsidR="00536562" w:rsidRPr="0019599F">
        <w:rPr>
          <w:rFonts w:ascii="Times New Roman" w:hAnsi="Times New Roman"/>
          <w:sz w:val="24"/>
          <w:szCs w:val="24"/>
        </w:rPr>
        <w:t>judicial</w:t>
      </w:r>
      <w:r>
        <w:rPr>
          <w:rFonts w:ascii="Times New Roman" w:hAnsi="Times New Roman"/>
          <w:sz w:val="24"/>
          <w:szCs w:val="24"/>
        </w:rPr>
        <w:t xml:space="preserve"> </w:t>
      </w:r>
      <w:r w:rsidR="00536562" w:rsidRPr="0019599F">
        <w:rPr>
          <w:rFonts w:ascii="Times New Roman" w:hAnsi="Times New Roman"/>
          <w:sz w:val="24"/>
          <w:szCs w:val="24"/>
        </w:rPr>
        <w:t>violen</w:t>
      </w:r>
      <w:r>
        <w:rPr>
          <w:rFonts w:ascii="Times New Roman" w:hAnsi="Times New Roman"/>
          <w:sz w:val="24"/>
          <w:szCs w:val="24"/>
        </w:rPr>
        <w:t>ce</w:t>
      </w:r>
      <w:r w:rsidR="00536562" w:rsidRPr="0019599F">
        <w:rPr>
          <w:rFonts w:ascii="Times New Roman" w:hAnsi="Times New Roman"/>
          <w:sz w:val="24"/>
          <w:szCs w:val="24"/>
        </w:rPr>
        <w:t xml:space="preserve"> (Reynolds 2009, 26). </w:t>
      </w:r>
      <w:r>
        <w:rPr>
          <w:rFonts w:ascii="Times New Roman" w:hAnsi="Times New Roman"/>
          <w:sz w:val="24"/>
          <w:szCs w:val="24"/>
        </w:rPr>
        <w:t xml:space="preserve">She notes </w:t>
      </w:r>
      <w:r w:rsidR="00536562" w:rsidRPr="0019599F">
        <w:rPr>
          <w:rFonts w:ascii="Times New Roman" w:hAnsi="Times New Roman"/>
          <w:sz w:val="24"/>
          <w:szCs w:val="24"/>
        </w:rPr>
        <w:t>that executions were expected to be conducted in liminal spaces and that swords could be used (1952, 140-</w:t>
      </w:r>
      <w:r w:rsidR="00367AF2">
        <w:rPr>
          <w:rFonts w:ascii="Times New Roman" w:hAnsi="Times New Roman"/>
          <w:sz w:val="24"/>
          <w:szCs w:val="24"/>
        </w:rPr>
        <w:t>4</w:t>
      </w:r>
      <w:r w:rsidR="00536562" w:rsidRPr="0019599F">
        <w:rPr>
          <w:rFonts w:ascii="Times New Roman" w:hAnsi="Times New Roman"/>
          <w:sz w:val="24"/>
          <w:szCs w:val="24"/>
        </w:rPr>
        <w:t>5). Thompson</w:t>
      </w:r>
      <w:r>
        <w:rPr>
          <w:rFonts w:ascii="Times New Roman" w:hAnsi="Times New Roman"/>
          <w:sz w:val="24"/>
          <w:szCs w:val="24"/>
        </w:rPr>
        <w:t xml:space="preserve"> observes </w:t>
      </w:r>
      <w:r w:rsidR="00536562" w:rsidRPr="0019599F">
        <w:rPr>
          <w:rFonts w:ascii="Times New Roman" w:hAnsi="Times New Roman"/>
          <w:sz w:val="24"/>
          <w:szCs w:val="24"/>
        </w:rPr>
        <w:t>that a variety of methods were likely used, depending on local traditions (2004, 182).</w:t>
      </w:r>
      <w:r>
        <w:rPr>
          <w:rFonts w:ascii="Times New Roman" w:hAnsi="Times New Roman"/>
          <w:sz w:val="24"/>
          <w:szCs w:val="24"/>
        </w:rPr>
        <w:t xml:space="preserve"> M</w:t>
      </w:r>
      <w:r w:rsidR="00536562" w:rsidRPr="0019599F">
        <w:rPr>
          <w:rFonts w:ascii="Times New Roman" w:hAnsi="Times New Roman"/>
          <w:sz w:val="24"/>
          <w:szCs w:val="24"/>
        </w:rPr>
        <w:t xml:space="preserve">uch like </w:t>
      </w:r>
      <w:r w:rsidR="00536562" w:rsidRPr="0019599F">
        <w:rPr>
          <w:rFonts w:ascii="Times New Roman" w:hAnsi="Times New Roman"/>
          <w:i/>
          <w:iCs/>
          <w:sz w:val="24"/>
          <w:szCs w:val="24"/>
          <w:lang w:val="it-IT"/>
        </w:rPr>
        <w:t>Juliana</w:t>
      </w:r>
      <w:r w:rsidR="00536562" w:rsidRPr="0019599F">
        <w:rPr>
          <w:rFonts w:ascii="Times New Roman" w:hAnsi="Times New Roman"/>
          <w:sz w:val="24"/>
          <w:szCs w:val="24"/>
        </w:rPr>
        <w:t xml:space="preserve">, </w:t>
      </w:r>
      <w:commentRangeStart w:id="8"/>
      <w:r w:rsidR="00536562" w:rsidRPr="0019599F">
        <w:rPr>
          <w:rFonts w:ascii="Times New Roman" w:hAnsi="Times New Roman"/>
          <w:i/>
          <w:iCs/>
          <w:sz w:val="24"/>
          <w:szCs w:val="24"/>
        </w:rPr>
        <w:t>Judith</w:t>
      </w:r>
      <w:commentRangeEnd w:id="8"/>
      <w:r w:rsidR="0053755D">
        <w:rPr>
          <w:rStyle w:val="CommentReference"/>
          <w:rFonts w:ascii="Times New Roman" w:hAnsi="Times New Roman" w:cs="Times New Roman"/>
          <w:color w:val="auto"/>
          <w:lang w:eastAsia="en-US"/>
        </w:rPr>
        <w:commentReference w:id="8"/>
      </w:r>
      <w:r w:rsidR="00536562" w:rsidRPr="00814EAD">
        <w:rPr>
          <w:rFonts w:ascii="Times New Roman" w:eastAsia="Times New Roman" w:hAnsi="Times New Roman" w:cs="Times New Roman"/>
          <w:iCs/>
          <w:sz w:val="24"/>
          <w:szCs w:val="24"/>
          <w:vertAlign w:val="superscript"/>
        </w:rPr>
        <w:footnoteReference w:id="29"/>
      </w:r>
      <w:r w:rsidR="00536562" w:rsidRPr="00814EAD">
        <w:rPr>
          <w:rFonts w:ascii="Times New Roman" w:hAnsi="Times New Roman"/>
          <w:sz w:val="24"/>
          <w:szCs w:val="24"/>
        </w:rPr>
        <w:t xml:space="preserve"> </w:t>
      </w:r>
      <w:r w:rsidR="00536562" w:rsidRPr="0019599F">
        <w:rPr>
          <w:rFonts w:ascii="Times New Roman" w:hAnsi="Times New Roman"/>
          <w:sz w:val="24"/>
          <w:szCs w:val="24"/>
        </w:rPr>
        <w:t xml:space="preserve">contains a decapitation </w:t>
      </w:r>
      <w:r w:rsidR="0053755D">
        <w:rPr>
          <w:rFonts w:ascii="Times New Roman" w:hAnsi="Times New Roman"/>
          <w:sz w:val="24"/>
          <w:szCs w:val="24"/>
        </w:rPr>
        <w:t xml:space="preserve">in punishment </w:t>
      </w:r>
      <w:r w:rsidR="00536562" w:rsidRPr="0019599F">
        <w:rPr>
          <w:rFonts w:ascii="Times New Roman" w:hAnsi="Times New Roman"/>
          <w:sz w:val="24"/>
          <w:szCs w:val="24"/>
        </w:rPr>
        <w:t xml:space="preserve">for wrongs and misdeeds committed, though </w:t>
      </w:r>
      <w:r w:rsidR="0053755D">
        <w:rPr>
          <w:rFonts w:ascii="Times New Roman" w:hAnsi="Times New Roman"/>
          <w:sz w:val="24"/>
          <w:szCs w:val="24"/>
        </w:rPr>
        <w:t xml:space="preserve">admittedly </w:t>
      </w:r>
      <w:r w:rsidR="00536562" w:rsidRPr="0019599F">
        <w:rPr>
          <w:rFonts w:ascii="Times New Roman" w:hAnsi="Times New Roman"/>
          <w:sz w:val="24"/>
          <w:szCs w:val="24"/>
        </w:rPr>
        <w:t xml:space="preserve">the law being enforced is hardly an earthly one and neither is the judge. </w:t>
      </w:r>
      <w:r w:rsidR="0053755D">
        <w:rPr>
          <w:rFonts w:ascii="Times New Roman" w:hAnsi="Times New Roman"/>
          <w:sz w:val="24"/>
          <w:szCs w:val="24"/>
        </w:rPr>
        <w:t>T</w:t>
      </w:r>
      <w:r w:rsidR="00536562" w:rsidRPr="0019599F">
        <w:rPr>
          <w:rFonts w:ascii="Times New Roman" w:hAnsi="Times New Roman"/>
          <w:sz w:val="24"/>
          <w:szCs w:val="24"/>
        </w:rPr>
        <w:t xml:space="preserve">here </w:t>
      </w:r>
      <w:r w:rsidR="0053755D">
        <w:rPr>
          <w:rFonts w:ascii="Times New Roman" w:hAnsi="Times New Roman"/>
          <w:sz w:val="24"/>
          <w:szCs w:val="24"/>
        </w:rPr>
        <w:t xml:space="preserve">nonetheless </w:t>
      </w:r>
      <w:r w:rsidR="00536562" w:rsidRPr="0019599F">
        <w:rPr>
          <w:rFonts w:ascii="Times New Roman" w:hAnsi="Times New Roman"/>
          <w:sz w:val="24"/>
          <w:szCs w:val="24"/>
        </w:rPr>
        <w:t xml:space="preserve">seems to be a semi-judicial dooming of the accused and even an invocation in the name of divine law, as if to make the condemnation more official (Bradley 1995, 498). Furthermore, the head of the accused is taken and displayed to the people as proof of the deed and as a final shame to the condemned, which lines up very well with </w:t>
      </w:r>
      <w:r w:rsidR="00536562" w:rsidRPr="0019599F">
        <w:rPr>
          <w:rFonts w:ascii="Times New Roman" w:hAnsi="Times New Roman"/>
          <w:sz w:val="24"/>
          <w:szCs w:val="24"/>
        </w:rPr>
        <w:lastRenderedPageBreak/>
        <w:t xml:space="preserve">the elements of display </w:t>
      </w:r>
      <w:r w:rsidR="0053755D">
        <w:rPr>
          <w:rFonts w:ascii="Times New Roman" w:hAnsi="Times New Roman"/>
          <w:sz w:val="24"/>
          <w:szCs w:val="24"/>
        </w:rPr>
        <w:t>no</w:t>
      </w:r>
      <w:r w:rsidR="00536562" w:rsidRPr="0019599F">
        <w:rPr>
          <w:rFonts w:ascii="Times New Roman" w:hAnsi="Times New Roman"/>
          <w:sz w:val="24"/>
          <w:szCs w:val="24"/>
        </w:rPr>
        <w:t xml:space="preserve">ted above (Bradley 1995, 500). While both of these texts rely heavily on Latin sources, </w:t>
      </w:r>
      <w:commentRangeStart w:id="9"/>
      <w:r w:rsidR="00536562" w:rsidRPr="0019599F">
        <w:rPr>
          <w:rFonts w:ascii="Times New Roman" w:hAnsi="Times New Roman"/>
          <w:sz w:val="24"/>
          <w:szCs w:val="24"/>
        </w:rPr>
        <w:t>a relationship that cannot be explored here</w:t>
      </w:r>
      <w:commentRangeEnd w:id="9"/>
      <w:r w:rsidR="0053755D">
        <w:rPr>
          <w:rStyle w:val="CommentReference"/>
          <w:rFonts w:ascii="Times New Roman" w:hAnsi="Times New Roman" w:cs="Times New Roman"/>
          <w:color w:val="auto"/>
          <w:lang w:eastAsia="en-US"/>
        </w:rPr>
        <w:commentReference w:id="9"/>
      </w:r>
      <w:r w:rsidR="00536562" w:rsidRPr="0019599F">
        <w:rPr>
          <w:rFonts w:ascii="Times New Roman" w:hAnsi="Times New Roman"/>
          <w:sz w:val="24"/>
          <w:szCs w:val="24"/>
        </w:rPr>
        <w:t xml:space="preserve">, </w:t>
      </w:r>
      <w:r w:rsidR="0053755D">
        <w:rPr>
          <w:rFonts w:ascii="Times New Roman" w:hAnsi="Times New Roman"/>
          <w:sz w:val="24"/>
          <w:szCs w:val="24"/>
        </w:rPr>
        <w:t xml:space="preserve">they </w:t>
      </w:r>
      <w:r w:rsidR="00536562" w:rsidRPr="0019599F">
        <w:rPr>
          <w:rFonts w:ascii="Times New Roman" w:hAnsi="Times New Roman"/>
          <w:sz w:val="24"/>
          <w:szCs w:val="24"/>
        </w:rPr>
        <w:t>provide interesting perspective</w:t>
      </w:r>
      <w:r w:rsidR="0053755D">
        <w:rPr>
          <w:rFonts w:ascii="Times New Roman" w:hAnsi="Times New Roman"/>
          <w:sz w:val="24"/>
          <w:szCs w:val="24"/>
        </w:rPr>
        <w:t>s</w:t>
      </w:r>
      <w:r w:rsidR="00536562" w:rsidRPr="0019599F">
        <w:rPr>
          <w:rFonts w:ascii="Times New Roman" w:hAnsi="Times New Roman"/>
          <w:sz w:val="24"/>
          <w:szCs w:val="24"/>
        </w:rPr>
        <w:t xml:space="preserve"> on judicial processes in an English context.</w:t>
      </w:r>
    </w:p>
    <w:p w14:paraId="05F22D60" w14:textId="3F89FC30" w:rsidR="00330AFC" w:rsidRDefault="00536562" w:rsidP="0053755D">
      <w:pPr>
        <w:pStyle w:val="BodyA"/>
        <w:spacing w:line="240" w:lineRule="auto"/>
        <w:rPr>
          <w:rFonts w:ascii="Times New Roman" w:hAnsi="Times New Roman"/>
          <w:sz w:val="24"/>
          <w:szCs w:val="24"/>
        </w:rPr>
      </w:pPr>
      <w:r w:rsidRPr="0019599F">
        <w:rPr>
          <w:rFonts w:ascii="Times New Roman" w:hAnsi="Times New Roman"/>
          <w:sz w:val="24"/>
          <w:szCs w:val="24"/>
        </w:rPr>
        <w:t xml:space="preserve">      Beyond decapitations, some English literary texts exhibit a keen interest in hanged men, as can be seen in a passage of </w:t>
      </w:r>
      <w:r w:rsidRPr="0019599F">
        <w:rPr>
          <w:rFonts w:ascii="Times New Roman" w:hAnsi="Times New Roman"/>
          <w:i/>
          <w:iCs/>
          <w:sz w:val="24"/>
          <w:szCs w:val="24"/>
        </w:rPr>
        <w:t>Beowulf</w:t>
      </w:r>
      <w:r w:rsidRPr="0019599F">
        <w:rPr>
          <w:rFonts w:ascii="Times New Roman" w:hAnsi="Times New Roman"/>
          <w:sz w:val="24"/>
          <w:szCs w:val="24"/>
        </w:rPr>
        <w:t xml:space="preserve"> where some of the prisoners of the Swedish-Geatish war were </w:t>
      </w:r>
      <w:r w:rsidR="0053755D">
        <w:rPr>
          <w:rFonts w:ascii="Times New Roman" w:hAnsi="Times New Roman"/>
          <w:sz w:val="24"/>
          <w:szCs w:val="24"/>
        </w:rPr>
        <w:t xml:space="preserve">put to death </w:t>
      </w:r>
      <w:r w:rsidRPr="0019599F">
        <w:rPr>
          <w:rFonts w:ascii="Times New Roman" w:hAnsi="Times New Roman"/>
          <w:sz w:val="24"/>
          <w:szCs w:val="24"/>
        </w:rPr>
        <w:t>by the sword – whether in a battle or judicial context remains unclear – and others on the gallows</w:t>
      </w:r>
      <w:r w:rsidR="0053755D">
        <w:rPr>
          <w:rFonts w:ascii="Times New Roman" w:hAnsi="Times New Roman"/>
          <w:sz w:val="24"/>
          <w:szCs w:val="24"/>
        </w:rPr>
        <w:t>.</w:t>
      </w:r>
      <w:r w:rsidRPr="0019599F">
        <w:rPr>
          <w:rFonts w:ascii="Times New Roman" w:hAnsi="Times New Roman"/>
          <w:sz w:val="24"/>
          <w:szCs w:val="24"/>
        </w:rPr>
        <w:t xml:space="preserve"> </w:t>
      </w:r>
      <w:r w:rsidR="0053755D">
        <w:rPr>
          <w:rFonts w:ascii="Times New Roman" w:hAnsi="Times New Roman"/>
          <w:sz w:val="24"/>
          <w:szCs w:val="24"/>
        </w:rPr>
        <w:t xml:space="preserve">The latter are </w:t>
      </w:r>
      <w:r w:rsidR="00447853" w:rsidRPr="0019599F">
        <w:rPr>
          <w:rFonts w:ascii="Times New Roman" w:hAnsi="Times New Roman"/>
          <w:sz w:val="24"/>
          <w:szCs w:val="24"/>
        </w:rPr>
        <w:t xml:space="preserve">left </w:t>
      </w:r>
      <w:r w:rsidR="002475B0">
        <w:rPr>
          <w:rFonts w:ascii="Times New Roman" w:hAnsi="Times New Roman"/>
          <w:sz w:val="24"/>
          <w:szCs w:val="24"/>
        </w:rPr>
        <w:t xml:space="preserve">for </w:t>
      </w:r>
      <w:r w:rsidR="00447853" w:rsidRPr="0019599F">
        <w:rPr>
          <w:rFonts w:ascii="Times New Roman" w:hAnsi="Times New Roman"/>
          <w:sz w:val="24"/>
          <w:szCs w:val="24"/>
        </w:rPr>
        <w:t>the carrion beasts</w:t>
      </w:r>
      <w:r w:rsidRPr="0019599F">
        <w:rPr>
          <w:rFonts w:ascii="Times New Roman" w:hAnsi="Times New Roman"/>
          <w:sz w:val="24"/>
          <w:szCs w:val="24"/>
        </w:rPr>
        <w:t xml:space="preserve"> (Bradley 1995, 488)</w:t>
      </w:r>
      <w:r w:rsidR="0053755D">
        <w:rPr>
          <w:rFonts w:ascii="Times New Roman" w:hAnsi="Times New Roman"/>
          <w:sz w:val="24"/>
          <w:szCs w:val="24"/>
        </w:rPr>
        <w:t xml:space="preserve">, in a </w:t>
      </w:r>
      <w:r w:rsidRPr="0019599F">
        <w:rPr>
          <w:rFonts w:ascii="Times New Roman" w:hAnsi="Times New Roman"/>
          <w:sz w:val="24"/>
          <w:szCs w:val="24"/>
        </w:rPr>
        <w:t xml:space="preserve">prolonged display </w:t>
      </w:r>
      <w:r w:rsidR="0053755D">
        <w:rPr>
          <w:rFonts w:ascii="Times New Roman" w:hAnsi="Times New Roman"/>
          <w:sz w:val="24"/>
          <w:szCs w:val="24"/>
        </w:rPr>
        <w:t xml:space="preserve">similar to those </w:t>
      </w:r>
      <w:r w:rsidRPr="0019599F">
        <w:rPr>
          <w:rFonts w:ascii="Times New Roman" w:hAnsi="Times New Roman"/>
          <w:sz w:val="24"/>
          <w:szCs w:val="24"/>
        </w:rPr>
        <w:t xml:space="preserve">considered above. </w:t>
      </w:r>
      <w:r w:rsidRPr="0019599F">
        <w:rPr>
          <w:rFonts w:ascii="Times New Roman" w:hAnsi="Times New Roman"/>
          <w:i/>
          <w:iCs/>
          <w:sz w:val="24"/>
          <w:szCs w:val="24"/>
        </w:rPr>
        <w:t>Maxims II</w:t>
      </w:r>
      <w:r w:rsidRPr="00FB6199">
        <w:rPr>
          <w:rFonts w:ascii="Times New Roman" w:eastAsia="Times New Roman" w:hAnsi="Times New Roman" w:cs="Times New Roman"/>
          <w:iCs/>
          <w:sz w:val="24"/>
          <w:szCs w:val="24"/>
          <w:vertAlign w:val="superscript"/>
        </w:rPr>
        <w:footnoteReference w:id="30"/>
      </w:r>
      <w:r w:rsidRPr="0019599F">
        <w:rPr>
          <w:rFonts w:ascii="Times New Roman" w:hAnsi="Times New Roman"/>
          <w:i/>
          <w:iCs/>
          <w:sz w:val="24"/>
          <w:szCs w:val="24"/>
        </w:rPr>
        <w:t xml:space="preserve"> </w:t>
      </w:r>
      <w:r w:rsidRPr="0019599F">
        <w:rPr>
          <w:rFonts w:ascii="Times New Roman" w:hAnsi="Times New Roman"/>
          <w:sz w:val="24"/>
          <w:szCs w:val="24"/>
        </w:rPr>
        <w:t xml:space="preserve">tells us that a </w:t>
      </w:r>
      <w:r w:rsidR="00D03D40">
        <w:rPr>
          <w:rFonts w:ascii="Times New Roman" w:hAnsi="Times New Roman"/>
          <w:sz w:val="24"/>
          <w:szCs w:val="24"/>
        </w:rPr>
        <w:t>‘</w:t>
      </w:r>
      <w:r w:rsidRPr="0019599F">
        <w:rPr>
          <w:rFonts w:ascii="Times New Roman" w:hAnsi="Times New Roman"/>
          <w:sz w:val="24"/>
          <w:szCs w:val="24"/>
        </w:rPr>
        <w:t xml:space="preserve">criminal must hang and fairly pay the recompense </w:t>
      </w:r>
      <w:commentRangeStart w:id="10"/>
      <w:r w:rsidRPr="0019599F">
        <w:rPr>
          <w:rFonts w:ascii="Times New Roman" w:hAnsi="Times New Roman"/>
          <w:sz w:val="24"/>
          <w:szCs w:val="24"/>
        </w:rPr>
        <w:t xml:space="preserve">because he </w:t>
      </w:r>
      <w:r w:rsidRPr="0053755D">
        <w:rPr>
          <w:rFonts w:ascii="Times New Roman" w:hAnsi="Times New Roman"/>
          <w:iCs/>
          <w:sz w:val="24"/>
          <w:szCs w:val="24"/>
        </w:rPr>
        <w:t>previously</w:t>
      </w:r>
      <w:r w:rsidRPr="0019599F">
        <w:rPr>
          <w:rFonts w:ascii="Times New Roman" w:hAnsi="Times New Roman"/>
          <w:sz w:val="24"/>
          <w:szCs w:val="24"/>
        </w:rPr>
        <w:t xml:space="preserve"> committed </w:t>
      </w:r>
      <w:commentRangeEnd w:id="10"/>
      <w:r w:rsidR="002475B0">
        <w:rPr>
          <w:rStyle w:val="CommentReference"/>
          <w:rFonts w:ascii="Times New Roman" w:hAnsi="Times New Roman" w:cs="Times New Roman"/>
          <w:color w:val="auto"/>
          <w:lang w:eastAsia="en-US"/>
        </w:rPr>
        <w:commentReference w:id="10"/>
      </w:r>
      <w:r w:rsidRPr="0019599F">
        <w:rPr>
          <w:rFonts w:ascii="Times New Roman" w:hAnsi="Times New Roman"/>
          <w:sz w:val="24"/>
          <w:szCs w:val="24"/>
        </w:rPr>
        <w:t>a crime against mankind</w:t>
      </w:r>
      <w:r w:rsidR="00D03D40">
        <w:rPr>
          <w:rFonts w:ascii="Times New Roman" w:hAnsi="Times New Roman"/>
          <w:sz w:val="24"/>
          <w:szCs w:val="24"/>
        </w:rPr>
        <w:t>’</w:t>
      </w:r>
      <w:r w:rsidRPr="0019599F">
        <w:rPr>
          <w:rFonts w:ascii="Times New Roman" w:hAnsi="Times New Roman"/>
          <w:sz w:val="24"/>
          <w:szCs w:val="24"/>
        </w:rPr>
        <w:t xml:space="preserve"> (Bradley 1995, 514). Even more noteworthy is the vivid image portrayed by </w:t>
      </w:r>
      <w:r w:rsidRPr="0019599F">
        <w:rPr>
          <w:rFonts w:ascii="Times New Roman" w:hAnsi="Times New Roman"/>
          <w:i/>
          <w:iCs/>
          <w:sz w:val="24"/>
          <w:szCs w:val="24"/>
        </w:rPr>
        <w:t>The Fortunes of Men</w:t>
      </w:r>
      <w:r w:rsidRPr="00FB6199">
        <w:rPr>
          <w:rFonts w:ascii="Times New Roman" w:eastAsia="Times New Roman" w:hAnsi="Times New Roman" w:cs="Times New Roman"/>
          <w:iCs/>
          <w:sz w:val="24"/>
          <w:szCs w:val="24"/>
          <w:vertAlign w:val="superscript"/>
        </w:rPr>
        <w:footnoteReference w:id="31"/>
      </w:r>
      <w:r w:rsidRPr="0019599F">
        <w:rPr>
          <w:rFonts w:ascii="Times New Roman" w:hAnsi="Times New Roman"/>
          <w:sz w:val="24"/>
          <w:szCs w:val="24"/>
        </w:rPr>
        <w:t xml:space="preserve"> when it describes the corpse of a hanging criminal:</w:t>
      </w:r>
    </w:p>
    <w:p w14:paraId="425DF249" w14:textId="77777777" w:rsidR="0039437C" w:rsidRPr="0019599F" w:rsidRDefault="0039437C" w:rsidP="0019599F">
      <w:pPr>
        <w:pStyle w:val="BodyA"/>
        <w:spacing w:line="240" w:lineRule="auto"/>
        <w:rPr>
          <w:rFonts w:ascii="Times New Roman" w:eastAsia="Times New Roman" w:hAnsi="Times New Roman" w:cs="Times New Roman"/>
          <w:sz w:val="24"/>
          <w:szCs w:val="24"/>
        </w:rPr>
      </w:pPr>
    </w:p>
    <w:p w14:paraId="0A0AADAC" w14:textId="4AD085E1" w:rsidR="00330AFC" w:rsidRPr="0019599F" w:rsidRDefault="00536562" w:rsidP="0019599F">
      <w:pPr>
        <w:pStyle w:val="BodyA"/>
        <w:spacing w:line="240" w:lineRule="auto"/>
        <w:rPr>
          <w:rFonts w:ascii="Times New Roman" w:eastAsia="Times New Roman" w:hAnsi="Times New Roman" w:cs="Times New Roman"/>
          <w:i/>
          <w:iCs/>
          <w:sz w:val="24"/>
          <w:szCs w:val="24"/>
        </w:rPr>
      </w:pPr>
      <w:commentRangeStart w:id="11"/>
      <w:r w:rsidRPr="0019599F">
        <w:rPr>
          <w:rFonts w:ascii="Times New Roman" w:hAnsi="Times New Roman"/>
          <w:i/>
          <w:iCs/>
          <w:sz w:val="24"/>
          <w:szCs w:val="24"/>
          <w:lang w:val="es-ES_tradnl"/>
        </w:rPr>
        <w:t>Sum sceal on geapum</w:t>
      </w:r>
      <w:r w:rsidR="0039437C">
        <w:rPr>
          <w:rFonts w:ascii="Times New Roman" w:hAnsi="Times New Roman"/>
          <w:i/>
          <w:iCs/>
          <w:sz w:val="24"/>
          <w:szCs w:val="24"/>
          <w:lang w:val="es-ES_tradnl"/>
        </w:rPr>
        <w:t xml:space="preserve">   </w:t>
      </w:r>
      <w:r w:rsidRPr="0019599F">
        <w:rPr>
          <w:rFonts w:ascii="Times New Roman" w:hAnsi="Times New Roman"/>
          <w:i/>
          <w:iCs/>
          <w:sz w:val="24"/>
          <w:szCs w:val="24"/>
          <w:lang w:val="es-ES_tradnl"/>
        </w:rPr>
        <w:t>galgan ridan,</w:t>
      </w:r>
      <w:commentRangeEnd w:id="11"/>
      <w:r w:rsidR="00FB6199">
        <w:rPr>
          <w:rStyle w:val="CommentReference"/>
          <w:rFonts w:ascii="Times New Roman" w:hAnsi="Times New Roman" w:cs="Times New Roman"/>
          <w:color w:val="auto"/>
          <w:lang w:eastAsia="en-US"/>
        </w:rPr>
        <w:commentReference w:id="11"/>
      </w:r>
    </w:p>
    <w:p w14:paraId="56B553EF" w14:textId="34BD47BB"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eastAsia="Times New Roman" w:hAnsi="Times New Roman" w:cs="Times New Roman"/>
          <w:i/>
          <w:iCs/>
          <w:sz w:val="24"/>
          <w:szCs w:val="24"/>
        </w:rPr>
        <w:t xml:space="preserve">seomian </w:t>
      </w:r>
      <w:r w:rsidR="0039437C">
        <w:rPr>
          <w:rFonts w:ascii="Times New Roman" w:hAnsi="Times New Roman"/>
          <w:i/>
          <w:iCs/>
          <w:sz w:val="24"/>
          <w:szCs w:val="24"/>
        </w:rPr>
        <w:t>æt swylte,</w:t>
      </w:r>
      <w:r w:rsidR="00FB6199">
        <w:rPr>
          <w:rFonts w:ascii="Times New Roman" w:hAnsi="Times New Roman"/>
          <w:i/>
          <w:iCs/>
          <w:sz w:val="24"/>
          <w:szCs w:val="24"/>
        </w:rPr>
        <w:t xml:space="preserve">  </w:t>
      </w:r>
      <w:r w:rsidRPr="0019599F">
        <w:rPr>
          <w:rFonts w:ascii="Times New Roman" w:hAnsi="Times New Roman"/>
          <w:i/>
          <w:iCs/>
          <w:sz w:val="24"/>
          <w:szCs w:val="24"/>
        </w:rPr>
        <w:t>oþþæt sawlhord,</w:t>
      </w:r>
    </w:p>
    <w:p w14:paraId="0561D75D" w14:textId="50F1BBF9" w:rsidR="00330AFC" w:rsidRPr="0019599F" w:rsidRDefault="00536562" w:rsidP="0019599F">
      <w:pPr>
        <w:pStyle w:val="BodyA"/>
        <w:spacing w:line="240" w:lineRule="auto"/>
        <w:rPr>
          <w:rFonts w:ascii="Times New Roman" w:eastAsia="Times New Roman" w:hAnsi="Times New Roman" w:cs="Times New Roman"/>
          <w:i/>
          <w:iCs/>
          <w:sz w:val="24"/>
          <w:szCs w:val="24"/>
          <w:lang w:val="nl-NL"/>
        </w:rPr>
      </w:pPr>
      <w:r w:rsidRPr="0019599F">
        <w:rPr>
          <w:rFonts w:ascii="Times New Roman" w:eastAsia="Times New Roman" w:hAnsi="Times New Roman" w:cs="Times New Roman"/>
          <w:i/>
          <w:iCs/>
          <w:sz w:val="24"/>
          <w:szCs w:val="24"/>
          <w:lang w:val="nl-NL"/>
        </w:rPr>
        <w:t>bancofa clodig,</w:t>
      </w:r>
      <w:r w:rsidR="00FB6199">
        <w:rPr>
          <w:rFonts w:ascii="Times New Roman" w:eastAsia="Times New Roman" w:hAnsi="Times New Roman" w:cs="Times New Roman"/>
          <w:i/>
          <w:iCs/>
          <w:sz w:val="24"/>
          <w:szCs w:val="24"/>
          <w:lang w:val="nl-NL"/>
        </w:rPr>
        <w:t xml:space="preserve">  </w:t>
      </w:r>
      <w:r w:rsidRPr="0019599F">
        <w:rPr>
          <w:rFonts w:ascii="Times New Roman" w:eastAsia="Times New Roman" w:hAnsi="Times New Roman" w:cs="Times New Roman"/>
          <w:i/>
          <w:iCs/>
          <w:sz w:val="24"/>
          <w:szCs w:val="24"/>
          <w:lang w:val="nl-NL"/>
        </w:rPr>
        <w:t>abrocen weor</w:t>
      </w:r>
      <w:r w:rsidRPr="0019599F">
        <w:rPr>
          <w:rFonts w:ascii="Times New Roman" w:hAnsi="Times New Roman"/>
          <w:i/>
          <w:iCs/>
          <w:sz w:val="24"/>
          <w:szCs w:val="24"/>
          <w:lang w:val="nl-NL"/>
        </w:rPr>
        <w:t>þeð.</w:t>
      </w:r>
    </w:p>
    <w:p w14:paraId="158FAE9B" w14:textId="1D92767B" w:rsidR="00330AFC" w:rsidRPr="0019599F" w:rsidRDefault="00536562" w:rsidP="0019599F">
      <w:pPr>
        <w:pStyle w:val="BodyA"/>
        <w:spacing w:line="240" w:lineRule="auto"/>
        <w:rPr>
          <w:rFonts w:ascii="Times New Roman" w:eastAsia="Times New Roman" w:hAnsi="Times New Roman" w:cs="Times New Roman"/>
          <w:i/>
          <w:iCs/>
          <w:sz w:val="24"/>
          <w:szCs w:val="24"/>
          <w:lang w:val="nl-NL"/>
        </w:rPr>
      </w:pPr>
      <w:r w:rsidRPr="0019599F">
        <w:rPr>
          <w:rFonts w:ascii="Times New Roman" w:eastAsia="Times New Roman" w:hAnsi="Times New Roman" w:cs="Times New Roman"/>
          <w:i/>
          <w:iCs/>
          <w:sz w:val="24"/>
          <w:szCs w:val="24"/>
          <w:lang w:val="nl-NL"/>
        </w:rPr>
        <w:t>Þæ</w:t>
      </w:r>
      <w:r w:rsidRPr="0019599F">
        <w:rPr>
          <w:rFonts w:ascii="Times New Roman" w:hAnsi="Times New Roman"/>
          <w:i/>
          <w:iCs/>
          <w:sz w:val="24"/>
          <w:szCs w:val="24"/>
          <w:lang w:val="nl-NL"/>
        </w:rPr>
        <w:t>r him hrefn nimeþ</w:t>
      </w:r>
      <w:r w:rsidR="0039437C">
        <w:rPr>
          <w:rFonts w:ascii="Times New Roman" w:eastAsia="Times New Roman" w:hAnsi="Times New Roman" w:cs="Times New Roman"/>
          <w:i/>
          <w:iCs/>
          <w:sz w:val="24"/>
          <w:szCs w:val="24"/>
          <w:lang w:val="da-DK"/>
        </w:rPr>
        <w:t xml:space="preserve">  </w:t>
      </w:r>
      <w:r w:rsidRPr="0019599F">
        <w:rPr>
          <w:rFonts w:ascii="Times New Roman" w:eastAsia="Times New Roman" w:hAnsi="Times New Roman" w:cs="Times New Roman"/>
          <w:i/>
          <w:iCs/>
          <w:sz w:val="24"/>
          <w:szCs w:val="24"/>
          <w:lang w:val="da-DK"/>
        </w:rPr>
        <w:t>heafodsyne,</w:t>
      </w:r>
    </w:p>
    <w:p w14:paraId="442A1D0A" w14:textId="0093198D" w:rsidR="00330AFC" w:rsidRPr="0019599F" w:rsidRDefault="00536562" w:rsidP="0019599F">
      <w:pPr>
        <w:pStyle w:val="BodyA"/>
        <w:spacing w:line="240" w:lineRule="auto"/>
        <w:rPr>
          <w:rFonts w:ascii="Times New Roman" w:eastAsia="Times New Roman" w:hAnsi="Times New Roman" w:cs="Times New Roman"/>
          <w:i/>
          <w:iCs/>
          <w:sz w:val="24"/>
          <w:szCs w:val="24"/>
          <w:lang w:val="nl-NL"/>
        </w:rPr>
      </w:pPr>
      <w:r w:rsidRPr="0019599F">
        <w:rPr>
          <w:rFonts w:ascii="Times New Roman" w:eastAsia="Times New Roman" w:hAnsi="Times New Roman" w:cs="Times New Roman"/>
          <w:i/>
          <w:iCs/>
          <w:sz w:val="24"/>
          <w:szCs w:val="24"/>
          <w:lang w:val="nl-NL"/>
        </w:rPr>
        <w:t>slite</w:t>
      </w:r>
      <w:r w:rsidRPr="0019599F">
        <w:rPr>
          <w:rFonts w:ascii="Times New Roman" w:hAnsi="Times New Roman"/>
          <w:i/>
          <w:iCs/>
          <w:sz w:val="24"/>
          <w:szCs w:val="24"/>
          <w:lang w:val="nl-NL"/>
        </w:rPr>
        <w:t>ð salwigpad</w:t>
      </w:r>
      <w:r w:rsidR="00FB6199">
        <w:rPr>
          <w:rFonts w:ascii="Times New Roman" w:hAnsi="Times New Roman"/>
          <w:i/>
          <w:iCs/>
          <w:sz w:val="24"/>
          <w:szCs w:val="24"/>
          <w:lang w:val="nl-NL"/>
        </w:rPr>
        <w:t xml:space="preserve">   </w:t>
      </w:r>
      <w:r w:rsidRPr="0019599F">
        <w:rPr>
          <w:rFonts w:ascii="Times New Roman" w:hAnsi="Times New Roman"/>
          <w:i/>
          <w:iCs/>
          <w:sz w:val="24"/>
          <w:szCs w:val="24"/>
          <w:lang w:val="nl-NL"/>
        </w:rPr>
        <w:t>sawelleasne;</w:t>
      </w:r>
    </w:p>
    <w:p w14:paraId="1EA8F355" w14:textId="595EE7C8" w:rsidR="00330AFC" w:rsidRPr="0019599F" w:rsidRDefault="00536562" w:rsidP="0019599F">
      <w:pPr>
        <w:pStyle w:val="BodyA"/>
        <w:spacing w:line="240" w:lineRule="auto"/>
        <w:rPr>
          <w:rFonts w:ascii="Times New Roman" w:eastAsia="Times New Roman" w:hAnsi="Times New Roman" w:cs="Times New Roman"/>
          <w:i/>
          <w:iCs/>
          <w:sz w:val="24"/>
          <w:szCs w:val="24"/>
          <w:lang w:val="nl-NL"/>
        </w:rPr>
      </w:pPr>
      <w:r w:rsidRPr="0019599F">
        <w:rPr>
          <w:rFonts w:ascii="Times New Roman" w:eastAsia="Times New Roman" w:hAnsi="Times New Roman" w:cs="Times New Roman"/>
          <w:i/>
          <w:iCs/>
          <w:sz w:val="24"/>
          <w:szCs w:val="24"/>
          <w:lang w:val="nl-NL"/>
        </w:rPr>
        <w:t>no</w:t>
      </w:r>
      <w:r w:rsidR="0039437C">
        <w:rPr>
          <w:rFonts w:ascii="Times New Roman" w:hAnsi="Times New Roman"/>
          <w:i/>
          <w:iCs/>
          <w:sz w:val="24"/>
          <w:szCs w:val="24"/>
          <w:lang w:val="nl-NL"/>
        </w:rPr>
        <w:t xml:space="preserve">þer he þy facne mæg   </w:t>
      </w:r>
      <w:r w:rsidRPr="0019599F">
        <w:rPr>
          <w:rFonts w:ascii="Times New Roman" w:hAnsi="Times New Roman"/>
          <w:i/>
          <w:iCs/>
          <w:sz w:val="24"/>
          <w:szCs w:val="24"/>
          <w:lang w:val="nl-NL"/>
        </w:rPr>
        <w:t>folmum biwergan,</w:t>
      </w:r>
    </w:p>
    <w:p w14:paraId="528BD088" w14:textId="206E03F2"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laþum lyftsceaþ</w:t>
      </w:r>
      <w:r w:rsidRPr="0019599F">
        <w:rPr>
          <w:rFonts w:ascii="Times New Roman" w:hAnsi="Times New Roman"/>
          <w:i/>
          <w:iCs/>
          <w:sz w:val="24"/>
          <w:szCs w:val="24"/>
          <w:lang w:val="de-DE"/>
        </w:rPr>
        <w:t>an,</w:t>
      </w:r>
      <w:r w:rsidR="00FB6199">
        <w:rPr>
          <w:rFonts w:ascii="Times New Roman" w:hAnsi="Times New Roman"/>
          <w:i/>
          <w:iCs/>
          <w:sz w:val="24"/>
          <w:szCs w:val="24"/>
          <w:lang w:val="de-DE"/>
        </w:rPr>
        <w:t xml:space="preserve">  </w:t>
      </w:r>
      <w:r w:rsidRPr="0019599F">
        <w:rPr>
          <w:rFonts w:ascii="Times New Roman" w:hAnsi="Times New Roman"/>
          <w:i/>
          <w:iCs/>
          <w:sz w:val="24"/>
          <w:szCs w:val="24"/>
          <w:lang w:val="de-DE"/>
        </w:rPr>
        <w:t>feores orwena,</w:t>
      </w:r>
    </w:p>
    <w:p w14:paraId="58CBC447" w14:textId="68BD4994" w:rsidR="00330AFC" w:rsidRPr="0019599F" w:rsidRDefault="0039437C" w:rsidP="0019599F">
      <w:pPr>
        <w:pStyle w:val="BodyA"/>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es-ES_tradnl"/>
        </w:rPr>
        <w:t xml:space="preserve">blac on beame   </w:t>
      </w:r>
      <w:r w:rsidR="00536562" w:rsidRPr="0019599F">
        <w:rPr>
          <w:rFonts w:ascii="Times New Roman" w:eastAsia="Times New Roman" w:hAnsi="Times New Roman" w:cs="Times New Roman"/>
          <w:i/>
          <w:iCs/>
          <w:sz w:val="24"/>
          <w:szCs w:val="24"/>
          <w:lang w:val="es-ES_tradnl"/>
        </w:rPr>
        <w:t>bide</w:t>
      </w:r>
      <w:r w:rsidR="00536562" w:rsidRPr="0019599F">
        <w:rPr>
          <w:rFonts w:ascii="Times New Roman" w:hAnsi="Times New Roman"/>
          <w:i/>
          <w:iCs/>
          <w:sz w:val="24"/>
          <w:szCs w:val="24"/>
        </w:rPr>
        <w:t>ð wyrde,</w:t>
      </w:r>
    </w:p>
    <w:p w14:paraId="52512C82" w14:textId="70D73C0B"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eastAsia="Times New Roman" w:hAnsi="Times New Roman" w:cs="Times New Roman"/>
          <w:i/>
          <w:iCs/>
          <w:sz w:val="24"/>
          <w:szCs w:val="24"/>
          <w:lang w:val="nl-NL"/>
        </w:rPr>
        <w:t>bewegen w</w:t>
      </w:r>
      <w:r w:rsidRPr="0019599F">
        <w:rPr>
          <w:rFonts w:ascii="Times New Roman" w:hAnsi="Times New Roman"/>
          <w:i/>
          <w:iCs/>
          <w:sz w:val="24"/>
          <w:szCs w:val="24"/>
        </w:rPr>
        <w:t>ælmiste.</w:t>
      </w:r>
      <w:r w:rsidR="00FB6199">
        <w:rPr>
          <w:rFonts w:ascii="Times New Roman" w:hAnsi="Times New Roman"/>
          <w:i/>
          <w:iCs/>
          <w:sz w:val="24"/>
          <w:szCs w:val="24"/>
        </w:rPr>
        <w:t xml:space="preserve">   </w:t>
      </w:r>
      <w:r w:rsidRPr="0019599F">
        <w:rPr>
          <w:rFonts w:ascii="Times New Roman" w:hAnsi="Times New Roman"/>
          <w:i/>
          <w:iCs/>
          <w:sz w:val="24"/>
          <w:szCs w:val="24"/>
        </w:rPr>
        <w:t>Bið him werig noma!</w:t>
      </w:r>
      <w:r w:rsidR="00FB6199">
        <w:rPr>
          <w:rFonts w:ascii="Times New Roman" w:hAnsi="Times New Roman"/>
          <w:i/>
          <w:iCs/>
          <w:sz w:val="24"/>
          <w:szCs w:val="24"/>
        </w:rPr>
        <w:t xml:space="preserve"> </w:t>
      </w:r>
      <w:r w:rsidRPr="0019599F">
        <w:rPr>
          <w:rFonts w:ascii="Times New Roman" w:hAnsi="Times New Roman"/>
          <w:sz w:val="24"/>
          <w:szCs w:val="24"/>
        </w:rPr>
        <w:t>(Krapp and Dobbie 1936, 154-</w:t>
      </w:r>
      <w:r w:rsidR="0039437C">
        <w:rPr>
          <w:rFonts w:ascii="Times New Roman" w:hAnsi="Times New Roman"/>
          <w:sz w:val="24"/>
          <w:szCs w:val="24"/>
        </w:rPr>
        <w:t>5</w:t>
      </w:r>
      <w:r w:rsidRPr="0019599F">
        <w:rPr>
          <w:rFonts w:ascii="Times New Roman" w:hAnsi="Times New Roman"/>
          <w:sz w:val="24"/>
          <w:szCs w:val="24"/>
        </w:rPr>
        <w:t>5)</w:t>
      </w:r>
    </w:p>
    <w:p w14:paraId="246D58D1" w14:textId="427AE7F6" w:rsidR="00330AFC" w:rsidRPr="0019599F" w:rsidRDefault="00FB6199" w:rsidP="00FB6199">
      <w:pPr>
        <w:pStyle w:val="BodyA"/>
        <w:spacing w:after="160" w:line="240" w:lineRule="auto"/>
        <w:rPr>
          <w:rFonts w:ascii="Times New Roman" w:eastAsia="Times New Roman" w:hAnsi="Times New Roman" w:cs="Times New Roman"/>
          <w:sz w:val="24"/>
          <w:szCs w:val="24"/>
        </w:rPr>
      </w:pPr>
      <w:r>
        <w:rPr>
          <w:rFonts w:ascii="Times New Roman" w:hAnsi="Times New Roman"/>
          <w:sz w:val="24"/>
          <w:szCs w:val="24"/>
        </w:rPr>
        <w:t>O</w:t>
      </w:r>
      <w:r w:rsidR="00536562" w:rsidRPr="0019599F">
        <w:rPr>
          <w:rFonts w:ascii="Times New Roman" w:hAnsi="Times New Roman"/>
          <w:sz w:val="24"/>
          <w:szCs w:val="24"/>
        </w:rPr>
        <w:t>ne shall ride the high gallows and upon his death hang until his soul</w:t>
      </w:r>
      <w:r w:rsidR="00D03D40">
        <w:rPr>
          <w:rFonts w:ascii="Times New Roman" w:hAnsi="Times New Roman"/>
          <w:sz w:val="24"/>
          <w:szCs w:val="24"/>
        </w:rPr>
        <w:t>’</w:t>
      </w:r>
      <w:r w:rsidR="00536562" w:rsidRPr="0019599F">
        <w:rPr>
          <w:rFonts w:ascii="Times New Roman" w:hAnsi="Times New Roman"/>
          <w:sz w:val="24"/>
          <w:szCs w:val="24"/>
        </w:rPr>
        <w:t>s treasury, his bloody bone-framed body, disintegrates. There the raven black of plumage will pluck out the sight from his head and shred the soulless corpse</w:t>
      </w:r>
      <w:r w:rsidR="0039437C">
        <w:rPr>
          <w:rFonts w:ascii="Times New Roman" w:hAnsi="Times New Roman"/>
          <w:sz w:val="24"/>
          <w:szCs w:val="24"/>
        </w:rPr>
        <w:t xml:space="preserve"> </w:t>
      </w:r>
      <w:r w:rsidR="00536562" w:rsidRPr="0019599F">
        <w:rPr>
          <w:rFonts w:ascii="Times New Roman" w:hAnsi="Times New Roman"/>
          <w:sz w:val="24"/>
          <w:szCs w:val="24"/>
        </w:rPr>
        <w:t>–</w:t>
      </w:r>
      <w:r w:rsidR="0039437C">
        <w:rPr>
          <w:rFonts w:ascii="Times New Roman" w:hAnsi="Times New Roman"/>
          <w:sz w:val="24"/>
          <w:szCs w:val="24"/>
        </w:rPr>
        <w:t xml:space="preserve"> </w:t>
      </w:r>
      <w:r w:rsidR="00536562" w:rsidRPr="0019599F">
        <w:rPr>
          <w:rFonts w:ascii="Times New Roman" w:hAnsi="Times New Roman"/>
          <w:sz w:val="24"/>
          <w:szCs w:val="24"/>
        </w:rPr>
        <w:t>and he cannot fend off with his hands the loathsome bird of prey from its evil intent. His life is fled and, deprived of his senses, beyond hope of survival, he suffers his lot, pallid upon the beam, enveloped in the mist of death. His name is damned.</w:t>
      </w:r>
      <w:r w:rsidR="0039437C">
        <w:rPr>
          <w:rFonts w:ascii="Times New Roman" w:hAnsi="Times New Roman"/>
          <w:sz w:val="24"/>
          <w:szCs w:val="24"/>
        </w:rPr>
        <w:t xml:space="preserve"> </w:t>
      </w:r>
      <w:r w:rsidR="00536562" w:rsidRPr="0019599F">
        <w:rPr>
          <w:rFonts w:ascii="Times New Roman" w:hAnsi="Times New Roman"/>
          <w:sz w:val="24"/>
          <w:szCs w:val="24"/>
        </w:rPr>
        <w:t>(Bradley 1995, 342)</w:t>
      </w:r>
    </w:p>
    <w:p w14:paraId="11F51408" w14:textId="7777777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While deliberately graphic, even horrific, this excerpt reveals an important detail. Though the English may have utilized trees for some hangings (Ström 1942, 115-61), this poem distinctly mentions a built </w:t>
      </w:r>
      <w:r w:rsidRPr="0019599F">
        <w:rPr>
          <w:rFonts w:ascii="Times New Roman" w:hAnsi="Times New Roman"/>
          <w:i/>
          <w:iCs/>
          <w:sz w:val="24"/>
          <w:szCs w:val="24"/>
          <w:lang w:val="pt-PT"/>
        </w:rPr>
        <w:t>gealga</w:t>
      </w:r>
      <w:r w:rsidRPr="0019599F">
        <w:rPr>
          <w:rFonts w:ascii="Times New Roman" w:hAnsi="Times New Roman"/>
          <w:sz w:val="24"/>
          <w:szCs w:val="24"/>
        </w:rPr>
        <w:t xml:space="preserve">, or gallows, </w:t>
      </w:r>
      <w:commentRangeStart w:id="12"/>
      <w:r w:rsidRPr="0019599F">
        <w:rPr>
          <w:rFonts w:ascii="Times New Roman" w:hAnsi="Times New Roman"/>
          <w:sz w:val="24"/>
          <w:szCs w:val="24"/>
        </w:rPr>
        <w:t xml:space="preserve">complete with a </w:t>
      </w:r>
      <w:r w:rsidRPr="0019599F">
        <w:rPr>
          <w:rFonts w:ascii="Times New Roman" w:hAnsi="Times New Roman"/>
          <w:i/>
          <w:iCs/>
          <w:sz w:val="24"/>
          <w:szCs w:val="24"/>
        </w:rPr>
        <w:t>beam</w:t>
      </w:r>
      <w:commentRangeEnd w:id="12"/>
      <w:r w:rsidR="00771D42">
        <w:rPr>
          <w:rStyle w:val="CommentReference"/>
          <w:rFonts w:ascii="Times New Roman" w:hAnsi="Times New Roman" w:cs="Times New Roman"/>
          <w:color w:val="auto"/>
          <w:lang w:eastAsia="en-US"/>
        </w:rPr>
        <w:commentReference w:id="12"/>
      </w:r>
      <w:r w:rsidRPr="0019599F">
        <w:rPr>
          <w:rFonts w:ascii="Times New Roman" w:hAnsi="Times New Roman"/>
          <w:sz w:val="24"/>
          <w:szCs w:val="24"/>
        </w:rPr>
        <w:t>, in this case most likely a wooden beam (Bradley 1995, 342; Clark Hall 2007, 34).</w:t>
      </w:r>
    </w:p>
    <w:p w14:paraId="020E430A" w14:textId="65B81311" w:rsidR="00330AFC" w:rsidRDefault="00536562" w:rsidP="0019599F">
      <w:pPr>
        <w:pStyle w:val="BodyA"/>
        <w:spacing w:line="240" w:lineRule="auto"/>
        <w:rPr>
          <w:rFonts w:ascii="Times New Roman" w:hAnsi="Times New Roman"/>
          <w:i/>
          <w:iCs/>
          <w:sz w:val="24"/>
          <w:szCs w:val="24"/>
        </w:rPr>
      </w:pPr>
      <w:r w:rsidRPr="0019599F">
        <w:rPr>
          <w:rFonts w:ascii="Times New Roman" w:hAnsi="Times New Roman"/>
          <w:sz w:val="24"/>
          <w:szCs w:val="24"/>
        </w:rPr>
        <w:t xml:space="preserve">      As </w:t>
      </w:r>
      <w:r w:rsidR="00FB6199">
        <w:rPr>
          <w:rFonts w:ascii="Times New Roman" w:hAnsi="Times New Roman"/>
          <w:sz w:val="24"/>
          <w:szCs w:val="24"/>
        </w:rPr>
        <w:t>observ</w:t>
      </w:r>
      <w:r w:rsidRPr="0019599F">
        <w:rPr>
          <w:rFonts w:ascii="Times New Roman" w:hAnsi="Times New Roman"/>
          <w:sz w:val="24"/>
          <w:szCs w:val="24"/>
        </w:rPr>
        <w:t>ed by Reynolds, Ström, and Peel above, these extracts all describe victims of hanging being left on the gallows after they died (Reynolds 2009, 23-</w:t>
      </w:r>
      <w:r w:rsidR="0039437C">
        <w:rPr>
          <w:rFonts w:ascii="Times New Roman" w:hAnsi="Times New Roman"/>
          <w:sz w:val="24"/>
          <w:szCs w:val="24"/>
        </w:rPr>
        <w:t>2</w:t>
      </w:r>
      <w:r w:rsidRPr="0019599F">
        <w:rPr>
          <w:rFonts w:ascii="Times New Roman" w:hAnsi="Times New Roman"/>
          <w:sz w:val="24"/>
          <w:szCs w:val="24"/>
        </w:rPr>
        <w:t>7; Strö</w:t>
      </w:r>
      <w:r w:rsidRPr="0019599F">
        <w:rPr>
          <w:rFonts w:ascii="Times New Roman" w:hAnsi="Times New Roman"/>
          <w:sz w:val="24"/>
          <w:szCs w:val="24"/>
          <w:lang w:val="it-IT"/>
        </w:rPr>
        <w:t xml:space="preserve">m 1942, 115-61; Peel 2015, 174). </w:t>
      </w:r>
      <w:r w:rsidRPr="0019599F">
        <w:rPr>
          <w:rFonts w:ascii="Times New Roman" w:hAnsi="Times New Roman"/>
          <w:i/>
          <w:iCs/>
          <w:sz w:val="24"/>
          <w:szCs w:val="24"/>
        </w:rPr>
        <w:t>The Fortunes of Men</w:t>
      </w:r>
      <w:r w:rsidRPr="0019599F">
        <w:rPr>
          <w:rFonts w:ascii="Times New Roman" w:hAnsi="Times New Roman"/>
          <w:sz w:val="24"/>
          <w:szCs w:val="24"/>
        </w:rPr>
        <w:t xml:space="preserve"> particularly suggests that the convicted would have hung for some time, making a shocking spectacle indeed (Bradley 1995, 342). </w:t>
      </w:r>
      <w:r w:rsidR="00FB6199">
        <w:rPr>
          <w:rFonts w:ascii="Times New Roman" w:hAnsi="Times New Roman"/>
          <w:sz w:val="24"/>
          <w:szCs w:val="24"/>
        </w:rPr>
        <w:t>C</w:t>
      </w:r>
      <w:r w:rsidR="00E57DD4">
        <w:rPr>
          <w:rFonts w:ascii="Times New Roman" w:hAnsi="Times New Roman"/>
          <w:sz w:val="24"/>
          <w:szCs w:val="24"/>
        </w:rPr>
        <w:t>ompar</w:t>
      </w:r>
      <w:r w:rsidR="00FB6199">
        <w:rPr>
          <w:rFonts w:ascii="Times New Roman" w:hAnsi="Times New Roman"/>
          <w:sz w:val="24"/>
          <w:szCs w:val="24"/>
        </w:rPr>
        <w:t>abl</w:t>
      </w:r>
      <w:r w:rsidR="00E57DD4">
        <w:rPr>
          <w:rFonts w:ascii="Times New Roman" w:hAnsi="Times New Roman"/>
          <w:sz w:val="24"/>
          <w:szCs w:val="24"/>
        </w:rPr>
        <w:t xml:space="preserve">e </w:t>
      </w:r>
      <w:r w:rsidR="00FB6199">
        <w:rPr>
          <w:rFonts w:ascii="Times New Roman" w:hAnsi="Times New Roman"/>
          <w:sz w:val="24"/>
          <w:szCs w:val="24"/>
        </w:rPr>
        <w:t xml:space="preserve">is </w:t>
      </w:r>
      <w:r w:rsidRPr="0019599F">
        <w:rPr>
          <w:rFonts w:ascii="Times New Roman" w:hAnsi="Times New Roman"/>
          <w:sz w:val="24"/>
          <w:szCs w:val="24"/>
        </w:rPr>
        <w:t xml:space="preserve">another excerpt from </w:t>
      </w:r>
      <w:r w:rsidRPr="0019599F">
        <w:rPr>
          <w:rFonts w:ascii="Times New Roman" w:hAnsi="Times New Roman"/>
          <w:i/>
          <w:iCs/>
          <w:sz w:val="24"/>
          <w:szCs w:val="24"/>
        </w:rPr>
        <w:t>Beowulf.</w:t>
      </w:r>
    </w:p>
    <w:p w14:paraId="0B6441F9" w14:textId="77777777" w:rsidR="0039437C" w:rsidRPr="0019599F" w:rsidRDefault="0039437C" w:rsidP="0019599F">
      <w:pPr>
        <w:pStyle w:val="BodyA"/>
        <w:spacing w:line="240" w:lineRule="auto"/>
        <w:rPr>
          <w:rFonts w:ascii="Times New Roman" w:eastAsia="Times New Roman" w:hAnsi="Times New Roman" w:cs="Times New Roman"/>
          <w:i/>
          <w:iCs/>
          <w:sz w:val="24"/>
          <w:szCs w:val="24"/>
        </w:rPr>
      </w:pPr>
    </w:p>
    <w:p w14:paraId="782E78B9" w14:textId="7D6E579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eastAsia="Times New Roman" w:hAnsi="Times New Roman" w:cs="Times New Roman"/>
          <w:i/>
          <w:iCs/>
          <w:sz w:val="24"/>
          <w:szCs w:val="24"/>
        </w:rPr>
        <w:t>Sw</w:t>
      </w:r>
      <w:r w:rsidR="0039437C">
        <w:rPr>
          <w:rFonts w:ascii="Times New Roman" w:hAnsi="Times New Roman"/>
          <w:i/>
          <w:iCs/>
          <w:sz w:val="24"/>
          <w:szCs w:val="24"/>
        </w:rPr>
        <w:t>ā bið ġeōmorlīċ</w:t>
      </w:r>
      <w:r w:rsidR="00FB6199">
        <w:rPr>
          <w:rFonts w:ascii="Times New Roman" w:hAnsi="Times New Roman"/>
          <w:i/>
          <w:iCs/>
          <w:sz w:val="24"/>
          <w:szCs w:val="24"/>
        </w:rPr>
        <w:t xml:space="preserve">   </w:t>
      </w:r>
      <w:r w:rsidRPr="0019599F">
        <w:rPr>
          <w:rFonts w:ascii="Times New Roman" w:hAnsi="Times New Roman"/>
          <w:i/>
          <w:iCs/>
          <w:sz w:val="24"/>
          <w:szCs w:val="24"/>
        </w:rPr>
        <w:t>gomelum ċ</w:t>
      </w:r>
      <w:r w:rsidRPr="0019599F">
        <w:rPr>
          <w:rFonts w:ascii="Times New Roman" w:hAnsi="Times New Roman"/>
          <w:i/>
          <w:iCs/>
          <w:sz w:val="24"/>
          <w:szCs w:val="24"/>
          <w:lang w:val="de-DE"/>
        </w:rPr>
        <w:t>eorle</w:t>
      </w:r>
    </w:p>
    <w:p w14:paraId="29DA43DA" w14:textId="7E308D4D"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eastAsia="Times New Roman" w:hAnsi="Times New Roman" w:cs="Times New Roman"/>
          <w:i/>
          <w:iCs/>
          <w:sz w:val="24"/>
          <w:szCs w:val="24"/>
        </w:rPr>
        <w:t>t</w:t>
      </w:r>
      <w:r w:rsidRPr="0019599F">
        <w:rPr>
          <w:rFonts w:ascii="Times New Roman" w:hAnsi="Times New Roman"/>
          <w:i/>
          <w:iCs/>
          <w:sz w:val="24"/>
          <w:szCs w:val="24"/>
        </w:rPr>
        <w:t>ō ġebī</w:t>
      </w:r>
      <w:r w:rsidRPr="0019599F">
        <w:rPr>
          <w:rFonts w:ascii="Times New Roman" w:hAnsi="Times New Roman"/>
          <w:i/>
          <w:iCs/>
          <w:sz w:val="24"/>
          <w:szCs w:val="24"/>
          <w:lang w:val="da-DK"/>
        </w:rPr>
        <w:t>danne,</w:t>
      </w:r>
      <w:r w:rsidR="0039437C">
        <w:rPr>
          <w:rFonts w:ascii="Times New Roman" w:hAnsi="Times New Roman"/>
          <w:i/>
          <w:iCs/>
          <w:sz w:val="24"/>
          <w:szCs w:val="24"/>
          <w:lang w:val="da-DK"/>
        </w:rPr>
        <w:t xml:space="preserve"> </w:t>
      </w:r>
      <w:r w:rsidR="00FB6199">
        <w:rPr>
          <w:rFonts w:ascii="Times New Roman" w:hAnsi="Times New Roman"/>
          <w:i/>
          <w:iCs/>
          <w:sz w:val="24"/>
          <w:szCs w:val="24"/>
          <w:lang w:val="da-DK"/>
        </w:rPr>
        <w:t xml:space="preserve"> </w:t>
      </w:r>
      <w:r w:rsidRPr="0019599F">
        <w:rPr>
          <w:rFonts w:ascii="Times New Roman" w:hAnsi="Times New Roman"/>
          <w:i/>
          <w:iCs/>
          <w:sz w:val="24"/>
          <w:szCs w:val="24"/>
        </w:rPr>
        <w:t>þæt his byre rīde</w:t>
      </w:r>
    </w:p>
    <w:p w14:paraId="3569C94E" w14:textId="127320E0"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eastAsia="Times New Roman" w:hAnsi="Times New Roman" w:cs="Times New Roman"/>
          <w:i/>
          <w:iCs/>
          <w:sz w:val="24"/>
          <w:szCs w:val="24"/>
        </w:rPr>
        <w:t>ġ</w:t>
      </w:r>
      <w:r w:rsidR="0039437C">
        <w:rPr>
          <w:rFonts w:ascii="Times New Roman" w:hAnsi="Times New Roman"/>
          <w:i/>
          <w:iCs/>
          <w:sz w:val="24"/>
          <w:szCs w:val="24"/>
        </w:rPr>
        <w:t xml:space="preserve">iong on galgan.   </w:t>
      </w:r>
      <w:r w:rsidRPr="0019599F">
        <w:rPr>
          <w:rFonts w:ascii="Times New Roman" w:hAnsi="Times New Roman"/>
          <w:i/>
          <w:iCs/>
          <w:sz w:val="24"/>
          <w:szCs w:val="24"/>
        </w:rPr>
        <w:t>Þ</w:t>
      </w:r>
      <w:r w:rsidRPr="0019599F">
        <w:rPr>
          <w:rFonts w:ascii="Times New Roman" w:hAnsi="Times New Roman"/>
          <w:i/>
          <w:iCs/>
          <w:sz w:val="24"/>
          <w:szCs w:val="24"/>
          <w:lang w:val="fr-FR"/>
        </w:rPr>
        <w:t>onne h</w:t>
      </w:r>
      <w:r w:rsidRPr="0019599F">
        <w:rPr>
          <w:rFonts w:ascii="Times New Roman" w:hAnsi="Times New Roman"/>
          <w:i/>
          <w:iCs/>
          <w:sz w:val="24"/>
          <w:szCs w:val="24"/>
        </w:rPr>
        <w:t>ē ġyd wrece,</w:t>
      </w:r>
    </w:p>
    <w:p w14:paraId="365C7746" w14:textId="0387FB22"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eastAsia="Times New Roman" w:hAnsi="Times New Roman" w:cs="Times New Roman"/>
          <w:i/>
          <w:iCs/>
          <w:sz w:val="24"/>
          <w:szCs w:val="24"/>
        </w:rPr>
        <w:lastRenderedPageBreak/>
        <w:t>s</w:t>
      </w:r>
      <w:r w:rsidRPr="0019599F">
        <w:rPr>
          <w:rFonts w:ascii="Times New Roman" w:hAnsi="Times New Roman"/>
          <w:i/>
          <w:iCs/>
          <w:sz w:val="24"/>
          <w:szCs w:val="24"/>
        </w:rPr>
        <w:t>āriġ</w:t>
      </w:r>
      <w:r w:rsidRPr="0019599F">
        <w:rPr>
          <w:rFonts w:ascii="Times New Roman" w:hAnsi="Times New Roman"/>
          <w:i/>
          <w:iCs/>
          <w:sz w:val="24"/>
          <w:szCs w:val="24"/>
          <w:lang w:val="da-DK"/>
        </w:rPr>
        <w:t>ne sang,</w:t>
      </w:r>
      <w:r w:rsidR="0039437C">
        <w:rPr>
          <w:rFonts w:ascii="Times New Roman" w:hAnsi="Times New Roman"/>
          <w:i/>
          <w:iCs/>
          <w:sz w:val="24"/>
          <w:szCs w:val="24"/>
          <w:lang w:val="da-DK"/>
        </w:rPr>
        <w:t xml:space="preserve"> </w:t>
      </w:r>
      <w:r w:rsidR="00FB6199">
        <w:rPr>
          <w:rFonts w:ascii="Times New Roman" w:hAnsi="Times New Roman"/>
          <w:i/>
          <w:iCs/>
          <w:sz w:val="24"/>
          <w:szCs w:val="24"/>
          <w:lang w:val="da-DK"/>
        </w:rPr>
        <w:t xml:space="preserve"> </w:t>
      </w:r>
      <w:r w:rsidRPr="0019599F">
        <w:rPr>
          <w:rFonts w:ascii="Times New Roman" w:hAnsi="Times New Roman"/>
          <w:i/>
          <w:iCs/>
          <w:sz w:val="24"/>
          <w:szCs w:val="24"/>
        </w:rPr>
        <w:t>þonne his sunu hangað</w:t>
      </w:r>
    </w:p>
    <w:p w14:paraId="14588C47" w14:textId="42CE1E81"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eastAsia="Times New Roman" w:hAnsi="Times New Roman" w:cs="Times New Roman"/>
          <w:i/>
          <w:iCs/>
          <w:sz w:val="24"/>
          <w:szCs w:val="24"/>
        </w:rPr>
        <w:t>hrefne t</w:t>
      </w:r>
      <w:r w:rsidRPr="0019599F">
        <w:rPr>
          <w:rFonts w:ascii="Times New Roman" w:hAnsi="Times New Roman"/>
          <w:i/>
          <w:iCs/>
          <w:sz w:val="24"/>
          <w:szCs w:val="24"/>
        </w:rPr>
        <w:t xml:space="preserve">ō </w:t>
      </w:r>
      <w:r w:rsidRPr="0019599F">
        <w:rPr>
          <w:rFonts w:ascii="Times New Roman" w:hAnsi="Times New Roman"/>
          <w:i/>
          <w:iCs/>
          <w:sz w:val="24"/>
          <w:szCs w:val="24"/>
          <w:lang w:val="de-DE"/>
        </w:rPr>
        <w:t>hr</w:t>
      </w:r>
      <w:r w:rsidRPr="0019599F">
        <w:rPr>
          <w:rFonts w:ascii="Times New Roman" w:hAnsi="Times New Roman"/>
          <w:i/>
          <w:iCs/>
          <w:sz w:val="24"/>
          <w:szCs w:val="24"/>
        </w:rPr>
        <w:t>ōð</w:t>
      </w:r>
      <w:r w:rsidRPr="0019599F">
        <w:rPr>
          <w:rFonts w:ascii="Times New Roman" w:hAnsi="Times New Roman"/>
          <w:i/>
          <w:iCs/>
          <w:sz w:val="24"/>
          <w:szCs w:val="24"/>
          <w:lang w:val="nl-NL"/>
        </w:rPr>
        <w:t>re,</w:t>
      </w:r>
      <w:r w:rsidR="0039437C">
        <w:rPr>
          <w:rFonts w:ascii="Times New Roman" w:hAnsi="Times New Roman"/>
          <w:i/>
          <w:iCs/>
          <w:sz w:val="24"/>
          <w:szCs w:val="24"/>
          <w:lang w:val="nl-NL"/>
        </w:rPr>
        <w:t xml:space="preserve">   </w:t>
      </w:r>
      <w:r w:rsidRPr="0019599F">
        <w:rPr>
          <w:rFonts w:ascii="Times New Roman" w:hAnsi="Times New Roman"/>
          <w:i/>
          <w:iCs/>
          <w:sz w:val="24"/>
          <w:szCs w:val="24"/>
          <w:lang w:val="nl-NL"/>
        </w:rPr>
        <w:t>ond h</w:t>
      </w:r>
      <w:r w:rsidRPr="0019599F">
        <w:rPr>
          <w:rFonts w:ascii="Times New Roman" w:hAnsi="Times New Roman"/>
          <w:i/>
          <w:iCs/>
          <w:sz w:val="24"/>
          <w:szCs w:val="24"/>
        </w:rPr>
        <w:t>ē him helpe ne mæġ</w:t>
      </w:r>
    </w:p>
    <w:p w14:paraId="240A3D16" w14:textId="5F5401E6" w:rsidR="00330AFC" w:rsidRPr="0019599F" w:rsidRDefault="00536562" w:rsidP="0019599F">
      <w:pPr>
        <w:pStyle w:val="BodyA"/>
        <w:spacing w:line="240" w:lineRule="auto"/>
        <w:rPr>
          <w:rFonts w:ascii="Times New Roman" w:eastAsia="Times New Roman" w:hAnsi="Times New Roman" w:cs="Times New Roman"/>
          <w:i/>
          <w:iCs/>
          <w:sz w:val="24"/>
          <w:szCs w:val="24"/>
          <w:lang w:val="nl-NL"/>
        </w:rPr>
      </w:pPr>
      <w:r w:rsidRPr="0019599F">
        <w:rPr>
          <w:rFonts w:ascii="Times New Roman" w:eastAsia="Times New Roman" w:hAnsi="Times New Roman" w:cs="Times New Roman"/>
          <w:i/>
          <w:iCs/>
          <w:sz w:val="24"/>
          <w:szCs w:val="24"/>
          <w:lang w:val="nl-NL"/>
        </w:rPr>
        <w:t>eald ond infr</w:t>
      </w:r>
      <w:r w:rsidRPr="0019599F">
        <w:rPr>
          <w:rFonts w:ascii="Times New Roman" w:hAnsi="Times New Roman"/>
          <w:i/>
          <w:iCs/>
          <w:sz w:val="24"/>
          <w:szCs w:val="24"/>
          <w:lang w:val="nl-NL"/>
        </w:rPr>
        <w:t>ōd</w:t>
      </w:r>
      <w:r w:rsidR="0039437C">
        <w:rPr>
          <w:rFonts w:ascii="Times New Roman" w:hAnsi="Times New Roman"/>
          <w:i/>
          <w:iCs/>
          <w:sz w:val="24"/>
          <w:szCs w:val="24"/>
          <w:lang w:val="nl-NL"/>
        </w:rPr>
        <w:t xml:space="preserve">   </w:t>
      </w:r>
      <w:r w:rsidRPr="0019599F">
        <w:rPr>
          <w:rFonts w:ascii="Times New Roman" w:hAnsi="Times New Roman"/>
          <w:i/>
          <w:iCs/>
          <w:sz w:val="24"/>
          <w:szCs w:val="24"/>
          <w:lang w:val="nl-NL"/>
        </w:rPr>
        <w:t>ǣniġe ġ</w:t>
      </w:r>
      <w:r w:rsidRPr="0019599F">
        <w:rPr>
          <w:rFonts w:ascii="Times New Roman" w:hAnsi="Times New Roman"/>
          <w:i/>
          <w:iCs/>
          <w:sz w:val="24"/>
          <w:szCs w:val="24"/>
          <w:lang w:val="da-DK"/>
        </w:rPr>
        <w:t>efremman,</w:t>
      </w:r>
    </w:p>
    <w:p w14:paraId="37D63ECC" w14:textId="28D3C6D2" w:rsidR="00330AFC" w:rsidRPr="0019599F" w:rsidRDefault="00536562" w:rsidP="0019599F">
      <w:pPr>
        <w:pStyle w:val="BodyA"/>
        <w:spacing w:line="240" w:lineRule="auto"/>
        <w:rPr>
          <w:rFonts w:ascii="Times New Roman" w:eastAsia="Times New Roman" w:hAnsi="Times New Roman" w:cs="Times New Roman"/>
          <w:i/>
          <w:iCs/>
          <w:sz w:val="24"/>
          <w:szCs w:val="24"/>
          <w:lang w:val="nl-NL"/>
        </w:rPr>
      </w:pPr>
      <w:r w:rsidRPr="0019599F">
        <w:rPr>
          <w:rFonts w:ascii="Times New Roman" w:eastAsia="Times New Roman" w:hAnsi="Times New Roman" w:cs="Times New Roman"/>
          <w:i/>
          <w:iCs/>
          <w:sz w:val="24"/>
          <w:szCs w:val="24"/>
          <w:lang w:val="fr-FR"/>
        </w:rPr>
        <w:t>symble bi</w:t>
      </w:r>
      <w:r w:rsidRPr="0019599F">
        <w:rPr>
          <w:rFonts w:ascii="Times New Roman" w:hAnsi="Times New Roman"/>
          <w:i/>
          <w:iCs/>
          <w:sz w:val="24"/>
          <w:szCs w:val="24"/>
          <w:lang w:val="nl-NL"/>
        </w:rPr>
        <w:t>ð ġemyndgad</w:t>
      </w:r>
      <w:r w:rsidR="0039437C">
        <w:rPr>
          <w:rFonts w:ascii="Times New Roman" w:hAnsi="Times New Roman"/>
          <w:i/>
          <w:iCs/>
          <w:sz w:val="24"/>
          <w:szCs w:val="24"/>
          <w:lang w:val="nl-NL"/>
        </w:rPr>
        <w:t xml:space="preserve">   </w:t>
      </w:r>
      <w:r w:rsidRPr="0019599F">
        <w:rPr>
          <w:rFonts w:ascii="Times New Roman" w:hAnsi="Times New Roman"/>
          <w:i/>
          <w:iCs/>
          <w:sz w:val="24"/>
          <w:szCs w:val="24"/>
          <w:lang w:val="nl-NL"/>
        </w:rPr>
        <w:t>morna ġehwylċe</w:t>
      </w:r>
    </w:p>
    <w:p w14:paraId="3133EEBA" w14:textId="6031FEA0" w:rsidR="00330AFC" w:rsidRPr="0019599F" w:rsidRDefault="00536562" w:rsidP="0019599F">
      <w:pPr>
        <w:pStyle w:val="BodyA"/>
        <w:spacing w:line="240" w:lineRule="auto"/>
        <w:rPr>
          <w:rFonts w:ascii="Times New Roman" w:eastAsia="Times New Roman" w:hAnsi="Times New Roman" w:cs="Times New Roman"/>
          <w:i/>
          <w:iCs/>
          <w:sz w:val="24"/>
          <w:szCs w:val="24"/>
          <w:lang w:val="nb-NO"/>
        </w:rPr>
      </w:pPr>
      <w:r w:rsidRPr="0019599F">
        <w:rPr>
          <w:rFonts w:ascii="Times New Roman" w:eastAsia="Times New Roman" w:hAnsi="Times New Roman" w:cs="Times New Roman"/>
          <w:i/>
          <w:iCs/>
          <w:sz w:val="24"/>
          <w:szCs w:val="24"/>
          <w:lang w:val="es-ES_tradnl"/>
        </w:rPr>
        <w:t>eaforan ellors</w:t>
      </w:r>
      <w:r w:rsidR="0039437C">
        <w:rPr>
          <w:rFonts w:ascii="Times New Roman" w:hAnsi="Times New Roman"/>
          <w:i/>
          <w:iCs/>
          <w:sz w:val="24"/>
          <w:szCs w:val="24"/>
          <w:lang w:val="fr-FR"/>
        </w:rPr>
        <w:t xml:space="preserve">īð;   </w:t>
      </w:r>
      <w:r w:rsidRPr="0019599F">
        <w:rPr>
          <w:rFonts w:ascii="Times New Roman" w:hAnsi="Times New Roman"/>
          <w:i/>
          <w:iCs/>
          <w:sz w:val="24"/>
          <w:szCs w:val="24"/>
          <w:lang w:val="fr-FR"/>
        </w:rPr>
        <w:t>ōðres ne ġȳmeð</w:t>
      </w:r>
    </w:p>
    <w:p w14:paraId="305A2E83" w14:textId="7D83B93F" w:rsidR="00330AFC" w:rsidRPr="0019599F" w:rsidRDefault="00536562" w:rsidP="0019599F">
      <w:pPr>
        <w:pStyle w:val="BodyA"/>
        <w:spacing w:line="240" w:lineRule="auto"/>
        <w:rPr>
          <w:rFonts w:ascii="Times New Roman" w:eastAsia="Times New Roman" w:hAnsi="Times New Roman" w:cs="Times New Roman"/>
          <w:i/>
          <w:iCs/>
          <w:sz w:val="24"/>
          <w:szCs w:val="24"/>
          <w:lang w:val="fr-FR"/>
        </w:rPr>
      </w:pPr>
      <w:r w:rsidRPr="0019599F">
        <w:rPr>
          <w:rFonts w:ascii="Times New Roman" w:eastAsia="Times New Roman" w:hAnsi="Times New Roman" w:cs="Times New Roman"/>
          <w:i/>
          <w:iCs/>
          <w:sz w:val="24"/>
          <w:szCs w:val="24"/>
          <w:lang w:val="fr-FR"/>
        </w:rPr>
        <w:t>t</w:t>
      </w:r>
      <w:r w:rsidRPr="0019599F">
        <w:rPr>
          <w:rFonts w:ascii="Times New Roman" w:hAnsi="Times New Roman"/>
          <w:i/>
          <w:iCs/>
          <w:sz w:val="24"/>
          <w:szCs w:val="24"/>
          <w:lang w:val="fr-FR"/>
        </w:rPr>
        <w:t>ō ġebī</w:t>
      </w:r>
      <w:r w:rsidRPr="0019599F">
        <w:rPr>
          <w:rFonts w:ascii="Times New Roman" w:hAnsi="Times New Roman"/>
          <w:i/>
          <w:iCs/>
          <w:sz w:val="24"/>
          <w:szCs w:val="24"/>
          <w:lang w:val="da-DK"/>
        </w:rPr>
        <w:t xml:space="preserve">danne </w:t>
      </w:r>
      <w:r w:rsidR="00FB6199">
        <w:rPr>
          <w:rFonts w:ascii="Times New Roman" w:hAnsi="Times New Roman"/>
          <w:i/>
          <w:iCs/>
          <w:sz w:val="24"/>
          <w:szCs w:val="24"/>
          <w:lang w:val="da-DK"/>
        </w:rPr>
        <w:t xml:space="preserve">  </w:t>
      </w:r>
      <w:r w:rsidRPr="0019599F">
        <w:rPr>
          <w:rFonts w:ascii="Times New Roman" w:hAnsi="Times New Roman"/>
          <w:i/>
          <w:iCs/>
          <w:sz w:val="24"/>
          <w:szCs w:val="24"/>
          <w:lang w:val="da-DK"/>
        </w:rPr>
        <w:t>burgum in innan</w:t>
      </w:r>
    </w:p>
    <w:p w14:paraId="0EB7225F" w14:textId="498076B1" w:rsidR="00330AFC" w:rsidRPr="0019599F" w:rsidRDefault="00536562" w:rsidP="0019599F">
      <w:pPr>
        <w:pStyle w:val="BodyA"/>
        <w:spacing w:line="240" w:lineRule="auto"/>
        <w:rPr>
          <w:rFonts w:ascii="Times New Roman" w:eastAsia="Times New Roman" w:hAnsi="Times New Roman" w:cs="Times New Roman"/>
          <w:i/>
          <w:iCs/>
          <w:sz w:val="24"/>
          <w:szCs w:val="24"/>
          <w:lang w:val="fr-FR"/>
        </w:rPr>
      </w:pPr>
      <w:r w:rsidRPr="0019599F">
        <w:rPr>
          <w:rFonts w:ascii="Times New Roman" w:eastAsia="Times New Roman" w:hAnsi="Times New Roman" w:cs="Times New Roman"/>
          <w:i/>
          <w:iCs/>
          <w:sz w:val="24"/>
          <w:szCs w:val="24"/>
          <w:lang w:val="fr-FR"/>
        </w:rPr>
        <w:t>yrfeweardas,</w:t>
      </w:r>
      <w:r w:rsidR="0039437C">
        <w:rPr>
          <w:rFonts w:ascii="Times New Roman" w:eastAsia="Times New Roman" w:hAnsi="Times New Roman" w:cs="Times New Roman"/>
          <w:i/>
          <w:iCs/>
          <w:sz w:val="24"/>
          <w:szCs w:val="24"/>
          <w:lang w:val="fr-FR"/>
        </w:rPr>
        <w:t xml:space="preserve">   </w:t>
      </w:r>
      <w:r w:rsidRPr="0019599F">
        <w:rPr>
          <w:rFonts w:ascii="Times New Roman" w:hAnsi="Times New Roman"/>
          <w:i/>
          <w:iCs/>
          <w:sz w:val="24"/>
          <w:szCs w:val="24"/>
          <w:lang w:val="fr-FR"/>
        </w:rPr>
        <w:t>þonne se ān hafað</w:t>
      </w:r>
    </w:p>
    <w:p w14:paraId="14F16E38" w14:textId="1E7F2E34" w:rsidR="00330AFC" w:rsidRPr="0019599F" w:rsidRDefault="00536562" w:rsidP="0019599F">
      <w:pPr>
        <w:pStyle w:val="BodyA"/>
        <w:spacing w:line="240" w:lineRule="auto"/>
        <w:rPr>
          <w:rFonts w:ascii="Times New Roman" w:eastAsia="Times New Roman" w:hAnsi="Times New Roman" w:cs="Times New Roman"/>
          <w:sz w:val="24"/>
          <w:szCs w:val="24"/>
          <w:lang w:val="fr-FR"/>
        </w:rPr>
      </w:pPr>
      <w:r w:rsidRPr="0019599F">
        <w:rPr>
          <w:rFonts w:ascii="Times New Roman" w:eastAsia="Times New Roman" w:hAnsi="Times New Roman" w:cs="Times New Roman"/>
          <w:i/>
          <w:iCs/>
          <w:sz w:val="24"/>
          <w:szCs w:val="24"/>
          <w:lang w:val="fr-FR"/>
        </w:rPr>
        <w:t>þ</w:t>
      </w:r>
      <w:r w:rsidRPr="0019599F">
        <w:rPr>
          <w:rFonts w:ascii="Times New Roman" w:hAnsi="Times New Roman"/>
          <w:i/>
          <w:iCs/>
          <w:sz w:val="24"/>
          <w:szCs w:val="24"/>
          <w:lang w:val="fr-FR"/>
        </w:rPr>
        <w:t>urh dēað</w:t>
      </w:r>
      <w:r w:rsidRPr="0019599F">
        <w:rPr>
          <w:rFonts w:ascii="Times New Roman" w:hAnsi="Times New Roman"/>
          <w:i/>
          <w:iCs/>
          <w:sz w:val="24"/>
          <w:szCs w:val="24"/>
          <w:lang w:val="da-DK"/>
        </w:rPr>
        <w:t>es ny</w:t>
      </w:r>
      <w:r w:rsidRPr="0019599F">
        <w:rPr>
          <w:rFonts w:ascii="Times New Roman" w:hAnsi="Times New Roman"/>
          <w:i/>
          <w:iCs/>
          <w:sz w:val="24"/>
          <w:szCs w:val="24"/>
          <w:lang w:val="fr-FR"/>
        </w:rPr>
        <w:t>̄</w:t>
      </w:r>
      <w:r w:rsidR="0039437C">
        <w:rPr>
          <w:rFonts w:ascii="Times New Roman" w:hAnsi="Times New Roman"/>
          <w:i/>
          <w:iCs/>
          <w:sz w:val="24"/>
          <w:szCs w:val="24"/>
          <w:lang w:val="fr-FR"/>
        </w:rPr>
        <w:t xml:space="preserve">d   </w:t>
      </w:r>
      <w:r w:rsidRPr="0019599F">
        <w:rPr>
          <w:rFonts w:ascii="Times New Roman" w:hAnsi="Times New Roman"/>
          <w:i/>
          <w:iCs/>
          <w:sz w:val="24"/>
          <w:szCs w:val="24"/>
          <w:lang w:val="fr-FR"/>
        </w:rPr>
        <w:t>dǣ</w:t>
      </w:r>
      <w:r w:rsidRPr="0019599F">
        <w:rPr>
          <w:rFonts w:ascii="Times New Roman" w:hAnsi="Times New Roman"/>
          <w:i/>
          <w:iCs/>
          <w:sz w:val="24"/>
          <w:szCs w:val="24"/>
          <w:lang w:val="it-IT"/>
        </w:rPr>
        <w:t xml:space="preserve">da </w:t>
      </w:r>
      <w:r w:rsidRPr="0019599F">
        <w:rPr>
          <w:rFonts w:ascii="Times New Roman" w:hAnsi="Times New Roman"/>
          <w:i/>
          <w:iCs/>
          <w:sz w:val="24"/>
          <w:szCs w:val="24"/>
          <w:lang w:val="fr-FR"/>
        </w:rPr>
        <w:t>ġefondad.</w:t>
      </w:r>
      <w:r w:rsidR="0039437C">
        <w:rPr>
          <w:rFonts w:ascii="Times New Roman" w:hAnsi="Times New Roman"/>
          <w:i/>
          <w:iCs/>
          <w:sz w:val="24"/>
          <w:szCs w:val="24"/>
          <w:lang w:val="fr-FR"/>
        </w:rPr>
        <w:t xml:space="preserve"> </w:t>
      </w:r>
      <w:r w:rsidR="0039437C">
        <w:rPr>
          <w:rFonts w:ascii="Times New Roman" w:hAnsi="Times New Roman"/>
          <w:sz w:val="24"/>
          <w:szCs w:val="24"/>
          <w:lang w:val="fr-FR"/>
        </w:rPr>
        <w:t>(Fulk</w:t>
      </w:r>
      <w:r w:rsidRPr="0019599F">
        <w:rPr>
          <w:rFonts w:ascii="Times New Roman" w:hAnsi="Times New Roman"/>
          <w:sz w:val="24"/>
          <w:szCs w:val="24"/>
          <w:lang w:val="fr-FR"/>
        </w:rPr>
        <w:t xml:space="preserve"> </w:t>
      </w:r>
      <w:r w:rsidR="00E57DD4">
        <w:rPr>
          <w:rFonts w:ascii="Times New Roman" w:hAnsi="Times New Roman"/>
          <w:sz w:val="24"/>
          <w:szCs w:val="24"/>
          <w:lang w:val="fr-FR"/>
        </w:rPr>
        <w:t>and others</w:t>
      </w:r>
      <w:r w:rsidRPr="0019599F">
        <w:rPr>
          <w:rFonts w:ascii="Times New Roman" w:hAnsi="Times New Roman"/>
          <w:sz w:val="24"/>
          <w:szCs w:val="24"/>
          <w:lang w:val="fr-FR"/>
        </w:rPr>
        <w:t xml:space="preserve"> 2008, 84)</w:t>
      </w:r>
    </w:p>
    <w:p w14:paraId="593DD255" w14:textId="50816C5C" w:rsidR="00330AFC" w:rsidRPr="0019599F" w:rsidRDefault="00536562" w:rsidP="00FB6199">
      <w:pPr>
        <w:pStyle w:val="BodyA"/>
        <w:spacing w:after="160" w:line="240" w:lineRule="auto"/>
        <w:rPr>
          <w:rFonts w:ascii="Times New Roman" w:eastAsia="Times New Roman" w:hAnsi="Times New Roman" w:cs="Times New Roman"/>
          <w:sz w:val="24"/>
          <w:szCs w:val="24"/>
        </w:rPr>
      </w:pPr>
      <w:r w:rsidRPr="0019599F">
        <w:rPr>
          <w:rFonts w:ascii="Times New Roman" w:hAnsi="Times New Roman"/>
          <w:sz w:val="24"/>
          <w:szCs w:val="24"/>
        </w:rPr>
        <w:t>So too it is a melancholy thing for an old man to experience, that his young child should swing upon the gallows. Then he will give vent to lamentation and agonized plaint, when his son is hanging at the raven</w:t>
      </w:r>
      <w:r w:rsidR="00D03D40">
        <w:rPr>
          <w:rFonts w:ascii="Times New Roman" w:hAnsi="Times New Roman"/>
          <w:sz w:val="24"/>
          <w:szCs w:val="24"/>
        </w:rPr>
        <w:t>’</w:t>
      </w:r>
      <w:r w:rsidRPr="0019599F">
        <w:rPr>
          <w:rFonts w:ascii="Times New Roman" w:hAnsi="Times New Roman"/>
          <w:sz w:val="24"/>
          <w:szCs w:val="24"/>
        </w:rPr>
        <w:t>s pleasure and he, aged and senile, cannot afford him any help. Always each morning his son</w:t>
      </w:r>
      <w:r w:rsidR="00D03D40">
        <w:rPr>
          <w:rFonts w:ascii="Times New Roman" w:hAnsi="Times New Roman"/>
          <w:sz w:val="24"/>
          <w:szCs w:val="24"/>
        </w:rPr>
        <w:t>’</w:t>
      </w:r>
      <w:r w:rsidRPr="0019599F">
        <w:rPr>
          <w:rFonts w:ascii="Times New Roman" w:hAnsi="Times New Roman"/>
          <w:sz w:val="24"/>
          <w:szCs w:val="24"/>
        </w:rPr>
        <w:t>s departure to another place is remembered afresh; he does not care to wait for another heir within his dwellings now that this one has experienced the full consequence of his actions through pain of death.</w:t>
      </w:r>
      <w:r w:rsidR="0039437C">
        <w:rPr>
          <w:rFonts w:ascii="Times New Roman" w:hAnsi="Times New Roman"/>
          <w:sz w:val="24"/>
          <w:szCs w:val="24"/>
        </w:rPr>
        <w:t xml:space="preserve"> </w:t>
      </w:r>
      <w:r w:rsidRPr="0019599F">
        <w:rPr>
          <w:rFonts w:ascii="Times New Roman" w:hAnsi="Times New Roman"/>
          <w:sz w:val="24"/>
          <w:szCs w:val="24"/>
        </w:rPr>
        <w:t>(Bradley 1995, 475-</w:t>
      </w:r>
      <w:r w:rsidR="0039437C">
        <w:rPr>
          <w:rFonts w:ascii="Times New Roman" w:hAnsi="Times New Roman"/>
          <w:sz w:val="24"/>
          <w:szCs w:val="24"/>
        </w:rPr>
        <w:t>7</w:t>
      </w:r>
      <w:r w:rsidRPr="0019599F">
        <w:rPr>
          <w:rFonts w:ascii="Times New Roman" w:hAnsi="Times New Roman"/>
          <w:sz w:val="24"/>
          <w:szCs w:val="24"/>
        </w:rPr>
        <w:t>6)</w:t>
      </w:r>
    </w:p>
    <w:p w14:paraId="26BB5CF2" w14:textId="04A5B7A5" w:rsidR="00330AFC" w:rsidRPr="0019599F" w:rsidRDefault="00FB6199" w:rsidP="00FB6199">
      <w:pPr>
        <w:pStyle w:val="BodyA"/>
        <w:spacing w:line="240" w:lineRule="auto"/>
        <w:rPr>
          <w:rFonts w:ascii="Times New Roman" w:eastAsia="Times New Roman" w:hAnsi="Times New Roman" w:cs="Times New Roman"/>
          <w:sz w:val="24"/>
          <w:szCs w:val="24"/>
        </w:rPr>
      </w:pPr>
      <w:r>
        <w:rPr>
          <w:rFonts w:ascii="Times New Roman" w:hAnsi="Times New Roman"/>
          <w:sz w:val="24"/>
          <w:szCs w:val="24"/>
        </w:rPr>
        <w:t>Al</w:t>
      </w:r>
      <w:r w:rsidR="00536562" w:rsidRPr="0019599F">
        <w:rPr>
          <w:rFonts w:ascii="Times New Roman" w:hAnsi="Times New Roman"/>
          <w:sz w:val="24"/>
          <w:szCs w:val="24"/>
        </w:rPr>
        <w:t xml:space="preserve">hough the Scandinavian literary texts focus more on outlawry than execution, as we might expect from the laws outlined above, they too hint at a practice of execution in some cases. Some of the depictions seem to be entirely for literary effect, such as most of those in the cycle of the Volsung poems in the </w:t>
      </w:r>
      <w:r w:rsidR="00536562" w:rsidRPr="0019599F">
        <w:rPr>
          <w:rFonts w:ascii="Times New Roman" w:hAnsi="Times New Roman"/>
          <w:i/>
          <w:iCs/>
          <w:sz w:val="24"/>
          <w:szCs w:val="24"/>
          <w:lang w:val="nl-NL"/>
        </w:rPr>
        <w:t xml:space="preserve">Poetic Edda </w:t>
      </w:r>
      <w:r w:rsidR="00536562" w:rsidRPr="0019599F">
        <w:rPr>
          <w:rFonts w:ascii="Times New Roman" w:hAnsi="Times New Roman"/>
          <w:sz w:val="24"/>
          <w:szCs w:val="24"/>
        </w:rPr>
        <w:t xml:space="preserve">(Dronke 1969; Larrington 1996). Ranging from the infamous </w:t>
      </w:r>
      <w:r w:rsidR="00D03D40">
        <w:rPr>
          <w:rFonts w:ascii="Times New Roman" w:hAnsi="Times New Roman"/>
          <w:sz w:val="24"/>
          <w:szCs w:val="24"/>
        </w:rPr>
        <w:t>‘</w:t>
      </w:r>
      <w:r w:rsidR="00536562" w:rsidRPr="0019599F">
        <w:rPr>
          <w:rFonts w:ascii="Times New Roman" w:hAnsi="Times New Roman"/>
          <w:sz w:val="24"/>
          <w:szCs w:val="24"/>
        </w:rPr>
        <w:t>blood eagle</w:t>
      </w:r>
      <w:r w:rsidR="00D03D40">
        <w:rPr>
          <w:rFonts w:ascii="Times New Roman" w:hAnsi="Times New Roman"/>
          <w:sz w:val="24"/>
          <w:szCs w:val="24"/>
        </w:rPr>
        <w:t>’</w:t>
      </w:r>
      <w:r w:rsidR="00536562" w:rsidRPr="0019599F">
        <w:rPr>
          <w:rFonts w:ascii="Times New Roman" w:hAnsi="Times New Roman"/>
          <w:sz w:val="24"/>
          <w:szCs w:val="24"/>
        </w:rPr>
        <w:t xml:space="preserve"> (Larrington 1996, 283), to being cast into a pit of serpents, to trampling by horses, to having a beating heart cut out, many of the executions depicted are shocking, evocative, and ultimately historically unlikely – even unfounded (Dronke 1969, 7, 9, 88-</w:t>
      </w:r>
      <w:r w:rsidR="0039437C">
        <w:rPr>
          <w:rFonts w:ascii="Times New Roman" w:hAnsi="Times New Roman"/>
          <w:sz w:val="24"/>
          <w:szCs w:val="24"/>
        </w:rPr>
        <w:t>8</w:t>
      </w:r>
      <w:r w:rsidR="00536562" w:rsidRPr="0019599F">
        <w:rPr>
          <w:rFonts w:ascii="Times New Roman" w:hAnsi="Times New Roman"/>
          <w:sz w:val="24"/>
          <w:szCs w:val="24"/>
        </w:rPr>
        <w:t>9, 146, 161, 164; Larrington 1996, 156)</w:t>
      </w:r>
      <w:r>
        <w:rPr>
          <w:rFonts w:ascii="Times New Roman" w:hAnsi="Times New Roman"/>
          <w:sz w:val="24"/>
          <w:szCs w:val="24"/>
        </w:rPr>
        <w:t xml:space="preserve">, as we would expect of </w:t>
      </w:r>
      <w:r w:rsidR="00536562" w:rsidRPr="0019599F">
        <w:rPr>
          <w:rFonts w:ascii="Times New Roman" w:hAnsi="Times New Roman"/>
          <w:sz w:val="24"/>
          <w:szCs w:val="24"/>
        </w:rPr>
        <w:t>largely mythological</w:t>
      </w:r>
      <w:r>
        <w:rPr>
          <w:rFonts w:ascii="Times New Roman" w:hAnsi="Times New Roman"/>
          <w:sz w:val="24"/>
          <w:szCs w:val="24"/>
        </w:rPr>
        <w:t xml:space="preserve"> narratives </w:t>
      </w:r>
      <w:r w:rsidR="00536562" w:rsidRPr="0019599F">
        <w:rPr>
          <w:rFonts w:ascii="Times New Roman" w:hAnsi="Times New Roman"/>
          <w:sz w:val="24"/>
          <w:szCs w:val="24"/>
        </w:rPr>
        <w:t>(</w:t>
      </w:r>
      <w:r>
        <w:rPr>
          <w:rFonts w:ascii="Times New Roman" w:hAnsi="Times New Roman"/>
          <w:sz w:val="24"/>
          <w:szCs w:val="24"/>
        </w:rPr>
        <w:t xml:space="preserve">cf. </w:t>
      </w:r>
      <w:r w:rsidR="00536562" w:rsidRPr="0019599F">
        <w:rPr>
          <w:rFonts w:ascii="Times New Roman" w:hAnsi="Times New Roman"/>
          <w:sz w:val="24"/>
          <w:szCs w:val="24"/>
        </w:rPr>
        <w:t>Clark 2012, 18-20; Niles 2007, 63; Lindow, 2002, 40-</w:t>
      </w:r>
      <w:r w:rsidR="0039437C">
        <w:rPr>
          <w:rFonts w:ascii="Times New Roman" w:hAnsi="Times New Roman"/>
          <w:sz w:val="24"/>
          <w:szCs w:val="24"/>
        </w:rPr>
        <w:t>4</w:t>
      </w:r>
      <w:r w:rsidR="00536562" w:rsidRPr="0019599F">
        <w:rPr>
          <w:rFonts w:ascii="Times New Roman" w:hAnsi="Times New Roman"/>
          <w:sz w:val="24"/>
          <w:szCs w:val="24"/>
        </w:rPr>
        <w:t>4)</w:t>
      </w:r>
      <w:r w:rsidR="0039437C">
        <w:rPr>
          <w:rFonts w:ascii="Times New Roman" w:hAnsi="Times New Roman"/>
          <w:sz w:val="24"/>
          <w:szCs w:val="24"/>
        </w:rPr>
        <w:t xml:space="preserve">. That </w:t>
      </w:r>
      <w:r w:rsidR="00536562" w:rsidRPr="0019599F">
        <w:rPr>
          <w:rFonts w:ascii="Times New Roman" w:hAnsi="Times New Roman"/>
          <w:sz w:val="24"/>
          <w:szCs w:val="24"/>
        </w:rPr>
        <w:t xml:space="preserve">said, even these </w:t>
      </w:r>
      <w:r>
        <w:rPr>
          <w:rFonts w:ascii="Times New Roman" w:hAnsi="Times New Roman"/>
          <w:sz w:val="24"/>
          <w:szCs w:val="24"/>
        </w:rPr>
        <w:t xml:space="preserve">extreme </w:t>
      </w:r>
      <w:r w:rsidR="00536562" w:rsidRPr="0019599F">
        <w:rPr>
          <w:rFonts w:ascii="Times New Roman" w:hAnsi="Times New Roman"/>
          <w:sz w:val="24"/>
          <w:szCs w:val="24"/>
        </w:rPr>
        <w:t xml:space="preserve">depictions </w:t>
      </w:r>
      <w:r w:rsidR="00902A86">
        <w:rPr>
          <w:rFonts w:ascii="Times New Roman" w:hAnsi="Times New Roman"/>
          <w:sz w:val="24"/>
          <w:szCs w:val="24"/>
        </w:rPr>
        <w:t xml:space="preserve">may still </w:t>
      </w:r>
      <w:r w:rsidR="00536562" w:rsidRPr="0019599F">
        <w:rPr>
          <w:rFonts w:ascii="Times New Roman" w:hAnsi="Times New Roman"/>
          <w:sz w:val="24"/>
          <w:szCs w:val="24"/>
        </w:rPr>
        <w:t>provid</w:t>
      </w:r>
      <w:r w:rsidR="00902A86">
        <w:rPr>
          <w:rFonts w:ascii="Times New Roman" w:hAnsi="Times New Roman"/>
          <w:sz w:val="24"/>
          <w:szCs w:val="24"/>
        </w:rPr>
        <w:t>e</w:t>
      </w:r>
      <w:r w:rsidR="00536562" w:rsidRPr="0019599F">
        <w:rPr>
          <w:rFonts w:ascii="Times New Roman" w:hAnsi="Times New Roman"/>
          <w:sz w:val="24"/>
          <w:szCs w:val="24"/>
        </w:rPr>
        <w:t xml:space="preserve"> valuable insights.</w:t>
      </w:r>
    </w:p>
    <w:p w14:paraId="2B913BFB" w14:textId="0EDE4E86"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Particularly in the Volsung poems, in each case the executions fall into a semi-judicial setting</w:t>
      </w:r>
      <w:r w:rsidR="0039437C">
        <w:rPr>
          <w:rFonts w:ascii="Times New Roman" w:hAnsi="Times New Roman"/>
          <w:sz w:val="24"/>
          <w:szCs w:val="24"/>
        </w:rPr>
        <w:t>,</w:t>
      </w:r>
      <w:r w:rsidRPr="0019599F">
        <w:rPr>
          <w:rFonts w:ascii="Times New Roman" w:hAnsi="Times New Roman"/>
          <w:sz w:val="24"/>
          <w:szCs w:val="24"/>
        </w:rPr>
        <w:t xml:space="preserve"> with the punishments following a misdeed against a powerful noble. The slayer of Sigmundr has the blood eagle carved on his back (Larrington 1996, 156); Gunnarr is cast into a pit of serpents (Dronke 1969, 9) </w:t>
      </w:r>
      <w:r w:rsidR="00FB6199">
        <w:rPr>
          <w:rFonts w:ascii="Times New Roman" w:hAnsi="Times New Roman"/>
          <w:sz w:val="24"/>
          <w:szCs w:val="24"/>
        </w:rPr>
        <w:t xml:space="preserve">and </w:t>
      </w:r>
      <w:r w:rsidRPr="0019599F">
        <w:rPr>
          <w:rFonts w:ascii="Times New Roman" w:hAnsi="Times New Roman"/>
          <w:sz w:val="24"/>
          <w:szCs w:val="24"/>
        </w:rPr>
        <w:t>Högni has his heart cut out</w:t>
      </w:r>
      <w:r w:rsidR="00FB6199">
        <w:rPr>
          <w:rFonts w:ascii="Times New Roman" w:hAnsi="Times New Roman"/>
          <w:sz w:val="24"/>
          <w:szCs w:val="24"/>
        </w:rPr>
        <w:t xml:space="preserve"> </w:t>
      </w:r>
      <w:r w:rsidRPr="0019599F">
        <w:rPr>
          <w:rFonts w:ascii="Times New Roman" w:hAnsi="Times New Roman"/>
          <w:sz w:val="24"/>
          <w:szCs w:val="24"/>
        </w:rPr>
        <w:t>for refus</w:t>
      </w:r>
      <w:r w:rsidR="00FB6199">
        <w:rPr>
          <w:rFonts w:ascii="Times New Roman" w:hAnsi="Times New Roman"/>
          <w:sz w:val="24"/>
          <w:szCs w:val="24"/>
        </w:rPr>
        <w:t>ing</w:t>
      </w:r>
      <w:r w:rsidRPr="0019599F">
        <w:rPr>
          <w:rFonts w:ascii="Times New Roman" w:hAnsi="Times New Roman"/>
          <w:sz w:val="24"/>
          <w:szCs w:val="24"/>
        </w:rPr>
        <w:t xml:space="preserve"> to serve Atli</w:t>
      </w:r>
      <w:r w:rsidR="00D03D40">
        <w:rPr>
          <w:rFonts w:ascii="Times New Roman" w:hAnsi="Times New Roman"/>
          <w:sz w:val="24"/>
          <w:szCs w:val="24"/>
        </w:rPr>
        <w:t>’</w:t>
      </w:r>
      <w:r w:rsidRPr="0019599F">
        <w:rPr>
          <w:rFonts w:ascii="Times New Roman" w:hAnsi="Times New Roman"/>
          <w:sz w:val="24"/>
          <w:szCs w:val="24"/>
        </w:rPr>
        <w:t xml:space="preserve">s purposes (Dronke 1969, 8, 89); and Svanhildr is trampled by horses </w:t>
      </w:r>
      <w:r w:rsidR="00FB6199">
        <w:rPr>
          <w:rFonts w:ascii="Times New Roman" w:hAnsi="Times New Roman"/>
          <w:sz w:val="24"/>
          <w:szCs w:val="24"/>
        </w:rPr>
        <w:t xml:space="preserve">following an </w:t>
      </w:r>
      <w:r w:rsidRPr="0019599F">
        <w:rPr>
          <w:rFonts w:ascii="Times New Roman" w:hAnsi="Times New Roman"/>
          <w:sz w:val="24"/>
          <w:szCs w:val="24"/>
        </w:rPr>
        <w:t>accus</w:t>
      </w:r>
      <w:r w:rsidR="00FB6199">
        <w:rPr>
          <w:rFonts w:ascii="Times New Roman" w:hAnsi="Times New Roman"/>
          <w:sz w:val="24"/>
          <w:szCs w:val="24"/>
        </w:rPr>
        <w:t>ation</w:t>
      </w:r>
      <w:r w:rsidRPr="0019599F">
        <w:rPr>
          <w:rFonts w:ascii="Times New Roman" w:hAnsi="Times New Roman"/>
          <w:sz w:val="24"/>
          <w:szCs w:val="24"/>
        </w:rPr>
        <w:t xml:space="preserve"> of adultery (Dronke 1969, 146, 161). Each execution, </w:t>
      </w:r>
      <w:r w:rsidR="00597894">
        <w:rPr>
          <w:rFonts w:ascii="Times New Roman" w:hAnsi="Times New Roman"/>
          <w:sz w:val="24"/>
          <w:szCs w:val="24"/>
        </w:rPr>
        <w:t xml:space="preserve">however fantastical, </w:t>
      </w:r>
      <w:r w:rsidRPr="0019599F">
        <w:rPr>
          <w:rFonts w:ascii="Times New Roman" w:hAnsi="Times New Roman"/>
          <w:sz w:val="24"/>
          <w:szCs w:val="24"/>
        </w:rPr>
        <w:t xml:space="preserve">represents a judicial principle of cause and effect, punishment that fits the </w:t>
      </w:r>
      <w:r w:rsidR="00D03D40">
        <w:rPr>
          <w:rFonts w:ascii="Times New Roman" w:hAnsi="Times New Roman"/>
          <w:sz w:val="24"/>
          <w:szCs w:val="24"/>
        </w:rPr>
        <w:t>‘</w:t>
      </w:r>
      <w:r w:rsidRPr="0019599F">
        <w:rPr>
          <w:rFonts w:ascii="Times New Roman" w:hAnsi="Times New Roman"/>
          <w:sz w:val="24"/>
          <w:szCs w:val="24"/>
        </w:rPr>
        <w:t>crime</w:t>
      </w:r>
      <w:r w:rsidR="00D03D40">
        <w:rPr>
          <w:rFonts w:ascii="Times New Roman" w:hAnsi="Times New Roman"/>
          <w:sz w:val="24"/>
          <w:szCs w:val="24"/>
        </w:rPr>
        <w:t>’</w:t>
      </w:r>
      <w:r w:rsidR="00902A86">
        <w:rPr>
          <w:rFonts w:ascii="Times New Roman" w:hAnsi="Times New Roman"/>
          <w:sz w:val="24"/>
          <w:szCs w:val="24"/>
        </w:rPr>
        <w:t>,</w:t>
      </w:r>
      <w:r w:rsidRPr="0019599F">
        <w:rPr>
          <w:rFonts w:ascii="Times New Roman" w:hAnsi="Times New Roman"/>
          <w:sz w:val="24"/>
          <w:szCs w:val="24"/>
        </w:rPr>
        <w:t xml:space="preserve"> </w:t>
      </w:r>
      <w:r w:rsidR="00597894">
        <w:rPr>
          <w:rFonts w:ascii="Times New Roman" w:hAnsi="Times New Roman"/>
          <w:sz w:val="24"/>
          <w:szCs w:val="24"/>
        </w:rPr>
        <w:t xml:space="preserve">as least as perceived by </w:t>
      </w:r>
      <w:r w:rsidRPr="0019599F">
        <w:rPr>
          <w:rFonts w:ascii="Times New Roman" w:hAnsi="Times New Roman"/>
          <w:sz w:val="24"/>
          <w:szCs w:val="24"/>
        </w:rPr>
        <w:t xml:space="preserve">the individual passing the judgement and carrying out the sentence. The same can be said of the overtly mythological exchange between Týr and Fenrir where Týr puts his hand up as collateral in their deal and subsequently loses it (Larrington 1996, 90). Despite his oath being false, a crime we are warned about elsewhere in the </w:t>
      </w:r>
      <w:r w:rsidRPr="0019599F">
        <w:rPr>
          <w:rFonts w:ascii="Times New Roman" w:hAnsi="Times New Roman"/>
          <w:i/>
          <w:iCs/>
          <w:sz w:val="24"/>
          <w:szCs w:val="24"/>
        </w:rPr>
        <w:t xml:space="preserve">Poetic Edda </w:t>
      </w:r>
      <w:r w:rsidRPr="0019599F">
        <w:rPr>
          <w:rFonts w:ascii="Times New Roman" w:hAnsi="Times New Roman"/>
          <w:sz w:val="24"/>
          <w:szCs w:val="24"/>
        </w:rPr>
        <w:t xml:space="preserve">(Larrington 1996, 170), his ready payment seems to be considered fair (Larrington 1996, 91). The </w:t>
      </w:r>
      <w:r w:rsidR="00597894">
        <w:rPr>
          <w:rFonts w:ascii="Times New Roman" w:hAnsi="Times New Roman"/>
          <w:sz w:val="24"/>
          <w:szCs w:val="24"/>
        </w:rPr>
        <w:t xml:space="preserve">one dissenter </w:t>
      </w:r>
      <w:r w:rsidRPr="0019599F">
        <w:rPr>
          <w:rFonts w:ascii="Times New Roman" w:hAnsi="Times New Roman"/>
          <w:sz w:val="24"/>
          <w:szCs w:val="24"/>
        </w:rPr>
        <w:t xml:space="preserve">is Loki in </w:t>
      </w:r>
      <w:r w:rsidRPr="0019599F">
        <w:rPr>
          <w:rFonts w:ascii="Times New Roman" w:hAnsi="Times New Roman"/>
          <w:i/>
          <w:iCs/>
          <w:sz w:val="24"/>
          <w:szCs w:val="24"/>
        </w:rPr>
        <w:t>Lokasenna</w:t>
      </w:r>
      <w:r w:rsidRPr="0019599F">
        <w:rPr>
          <w:rFonts w:ascii="Times New Roman" w:hAnsi="Times New Roman"/>
          <w:sz w:val="24"/>
          <w:szCs w:val="24"/>
        </w:rPr>
        <w:t xml:space="preserve">, </w:t>
      </w:r>
      <w:r w:rsidR="00597894" w:rsidRPr="0019599F">
        <w:rPr>
          <w:rFonts w:ascii="Times New Roman" w:hAnsi="Times New Roman"/>
          <w:sz w:val="24"/>
          <w:szCs w:val="24"/>
        </w:rPr>
        <w:t xml:space="preserve">but his claim </w:t>
      </w:r>
      <w:r w:rsidRPr="0019599F">
        <w:rPr>
          <w:rFonts w:ascii="Times New Roman" w:hAnsi="Times New Roman"/>
          <w:sz w:val="24"/>
          <w:szCs w:val="24"/>
        </w:rPr>
        <w:t xml:space="preserve">that Týr deals falsely </w:t>
      </w:r>
      <w:r w:rsidR="00597894">
        <w:rPr>
          <w:rFonts w:ascii="Times New Roman" w:hAnsi="Times New Roman"/>
          <w:sz w:val="24"/>
          <w:szCs w:val="24"/>
        </w:rPr>
        <w:t xml:space="preserve">comes </w:t>
      </w:r>
      <w:r w:rsidRPr="0019599F">
        <w:rPr>
          <w:rFonts w:ascii="Times New Roman" w:hAnsi="Times New Roman"/>
          <w:sz w:val="24"/>
          <w:szCs w:val="24"/>
        </w:rPr>
        <w:t xml:space="preserve">directly before </w:t>
      </w:r>
      <w:r w:rsidR="00597894">
        <w:rPr>
          <w:rFonts w:ascii="Times New Roman" w:hAnsi="Times New Roman"/>
          <w:sz w:val="24"/>
          <w:szCs w:val="24"/>
        </w:rPr>
        <w:t xml:space="preserve">his admission </w:t>
      </w:r>
      <w:r w:rsidRPr="0019599F">
        <w:rPr>
          <w:rFonts w:ascii="Times New Roman" w:hAnsi="Times New Roman"/>
          <w:sz w:val="24"/>
          <w:szCs w:val="24"/>
        </w:rPr>
        <w:t xml:space="preserve">that he has never paid Týr just compensation for sleeping with his wife (Larrington 1996, 91). </w:t>
      </w:r>
      <w:r w:rsidR="00902A86">
        <w:rPr>
          <w:rFonts w:ascii="Times New Roman" w:hAnsi="Times New Roman"/>
          <w:sz w:val="24"/>
          <w:szCs w:val="24"/>
        </w:rPr>
        <w:t>E</w:t>
      </w:r>
      <w:r w:rsidRPr="0019599F">
        <w:rPr>
          <w:rFonts w:ascii="Times New Roman" w:hAnsi="Times New Roman"/>
          <w:sz w:val="24"/>
          <w:szCs w:val="24"/>
        </w:rPr>
        <w:t>ven this exchange suggests a semi-legal environment for these extraordinary punishments.</w:t>
      </w:r>
    </w:p>
    <w:p w14:paraId="7DB6D875" w14:textId="1926D1F3" w:rsidR="00330AFC" w:rsidRPr="0019599F" w:rsidRDefault="00536562" w:rsidP="0019599F">
      <w:pPr>
        <w:pStyle w:val="BodyA"/>
        <w:spacing w:line="240" w:lineRule="auto"/>
        <w:rPr>
          <w:rFonts w:ascii="Times New Roman" w:eastAsia="Times New Roman" w:hAnsi="Times New Roman" w:cs="Times New Roman"/>
          <w:sz w:val="24"/>
          <w:szCs w:val="24"/>
          <w:vertAlign w:val="superscript"/>
        </w:rPr>
      </w:pPr>
      <w:r w:rsidRPr="0019599F">
        <w:rPr>
          <w:rFonts w:ascii="Times New Roman" w:hAnsi="Times New Roman"/>
          <w:sz w:val="24"/>
          <w:szCs w:val="24"/>
        </w:rPr>
        <w:t xml:space="preserve">      </w:t>
      </w:r>
      <w:r w:rsidR="00597894">
        <w:rPr>
          <w:rFonts w:ascii="Times New Roman" w:hAnsi="Times New Roman"/>
          <w:sz w:val="24"/>
          <w:szCs w:val="24"/>
        </w:rPr>
        <w:t>On the whole, t</w:t>
      </w:r>
      <w:r w:rsidRPr="0019599F">
        <w:rPr>
          <w:rFonts w:ascii="Times New Roman" w:hAnsi="Times New Roman"/>
          <w:sz w:val="24"/>
          <w:szCs w:val="24"/>
        </w:rPr>
        <w:t>hese outliers</w:t>
      </w:r>
      <w:r w:rsidR="00902A86">
        <w:rPr>
          <w:rFonts w:ascii="Times New Roman" w:hAnsi="Times New Roman"/>
          <w:sz w:val="24"/>
          <w:szCs w:val="24"/>
        </w:rPr>
        <w:t xml:space="preserve"> excepted</w:t>
      </w:r>
      <w:r w:rsidRPr="0019599F">
        <w:rPr>
          <w:rFonts w:ascii="Times New Roman" w:hAnsi="Times New Roman"/>
          <w:sz w:val="24"/>
          <w:szCs w:val="24"/>
        </w:rPr>
        <w:t xml:space="preserve">, the literary evidence for Scandinavian judicial violence </w:t>
      </w:r>
      <w:r w:rsidR="00597894">
        <w:rPr>
          <w:rFonts w:ascii="Times New Roman" w:hAnsi="Times New Roman"/>
          <w:sz w:val="24"/>
          <w:szCs w:val="24"/>
        </w:rPr>
        <w:t xml:space="preserve">is comparatively </w:t>
      </w:r>
      <w:r w:rsidRPr="0019599F">
        <w:rPr>
          <w:rFonts w:ascii="Times New Roman" w:hAnsi="Times New Roman"/>
          <w:sz w:val="24"/>
          <w:szCs w:val="24"/>
        </w:rPr>
        <w:t xml:space="preserve">matter-of-fact. </w:t>
      </w:r>
      <w:r w:rsidR="00902A86">
        <w:rPr>
          <w:rFonts w:ascii="Times New Roman" w:hAnsi="Times New Roman"/>
          <w:sz w:val="24"/>
          <w:szCs w:val="24"/>
        </w:rPr>
        <w:t xml:space="preserve">A </w:t>
      </w:r>
      <w:r w:rsidRPr="0019599F">
        <w:rPr>
          <w:rFonts w:ascii="Times New Roman" w:hAnsi="Times New Roman"/>
          <w:sz w:val="24"/>
          <w:szCs w:val="24"/>
        </w:rPr>
        <w:t xml:space="preserve">number of hangings </w:t>
      </w:r>
      <w:r w:rsidR="00902A86">
        <w:rPr>
          <w:rFonts w:ascii="Times New Roman" w:hAnsi="Times New Roman"/>
          <w:sz w:val="24"/>
          <w:szCs w:val="24"/>
        </w:rPr>
        <w:t xml:space="preserve">are </w:t>
      </w:r>
      <w:r w:rsidRPr="0019599F">
        <w:rPr>
          <w:rFonts w:ascii="Times New Roman" w:hAnsi="Times New Roman"/>
          <w:sz w:val="24"/>
          <w:szCs w:val="24"/>
        </w:rPr>
        <w:t xml:space="preserve">detailed in the skaldic poetry preserved in </w:t>
      </w:r>
      <w:r w:rsidRPr="0019599F">
        <w:rPr>
          <w:rFonts w:ascii="Times New Roman" w:hAnsi="Times New Roman"/>
          <w:i/>
          <w:iCs/>
          <w:sz w:val="24"/>
          <w:szCs w:val="24"/>
        </w:rPr>
        <w:t>Ynglinga</w:t>
      </w:r>
      <w:r w:rsidR="00902A86">
        <w:rPr>
          <w:rFonts w:ascii="Times New Roman" w:hAnsi="Times New Roman"/>
          <w:i/>
          <w:iCs/>
          <w:sz w:val="24"/>
          <w:szCs w:val="24"/>
        </w:rPr>
        <w:t xml:space="preserve"> </w:t>
      </w:r>
      <w:r w:rsidRPr="0019599F">
        <w:rPr>
          <w:rFonts w:ascii="Times New Roman" w:hAnsi="Times New Roman"/>
          <w:i/>
          <w:iCs/>
          <w:sz w:val="24"/>
          <w:szCs w:val="24"/>
        </w:rPr>
        <w:t>saga</w:t>
      </w:r>
      <w:r w:rsidR="00902A86">
        <w:rPr>
          <w:rFonts w:ascii="Times New Roman" w:hAnsi="Times New Roman"/>
          <w:sz w:val="24"/>
          <w:szCs w:val="24"/>
        </w:rPr>
        <w:t xml:space="preserve">, which presents them as </w:t>
      </w:r>
      <w:r w:rsidRPr="0019599F">
        <w:rPr>
          <w:rFonts w:ascii="Times New Roman" w:hAnsi="Times New Roman"/>
          <w:sz w:val="24"/>
          <w:szCs w:val="24"/>
        </w:rPr>
        <w:t xml:space="preserve">a semi-judicially-prescribed, or at least judicially-acceptable, way of seeking compensation for wrongs in the distant past (Finlay and Faulkes 2011, 6-47).  For example, in chapter </w:t>
      </w:r>
      <w:r w:rsidR="00902A86">
        <w:rPr>
          <w:rFonts w:ascii="Times New Roman" w:hAnsi="Times New Roman"/>
          <w:sz w:val="24"/>
          <w:szCs w:val="24"/>
        </w:rPr>
        <w:t xml:space="preserve">19 </w:t>
      </w:r>
      <w:r w:rsidRPr="0019599F">
        <w:rPr>
          <w:rFonts w:ascii="Times New Roman" w:hAnsi="Times New Roman"/>
          <w:sz w:val="24"/>
          <w:szCs w:val="24"/>
        </w:rPr>
        <w:t>we learn that Skjálf hangs King Agni to avenge her father</w:t>
      </w:r>
      <w:r w:rsidR="00D03D40">
        <w:rPr>
          <w:rFonts w:ascii="Times New Roman" w:hAnsi="Times New Roman"/>
          <w:sz w:val="24"/>
          <w:szCs w:val="24"/>
        </w:rPr>
        <w:t>’</w:t>
      </w:r>
      <w:r w:rsidRPr="0019599F">
        <w:rPr>
          <w:rFonts w:ascii="Times New Roman" w:hAnsi="Times New Roman"/>
          <w:sz w:val="24"/>
          <w:szCs w:val="24"/>
        </w:rPr>
        <w:t>s death (Finlay and Faulkes 2011, 22) and in chapter</w:t>
      </w:r>
      <w:r w:rsidR="00902A86">
        <w:rPr>
          <w:rFonts w:ascii="Times New Roman" w:hAnsi="Times New Roman"/>
          <w:sz w:val="24"/>
          <w:szCs w:val="24"/>
        </w:rPr>
        <w:t xml:space="preserve"> 24</w:t>
      </w:r>
      <w:r w:rsidR="00D05F52">
        <w:rPr>
          <w:rFonts w:ascii="Times New Roman" w:hAnsi="Times New Roman"/>
          <w:sz w:val="24"/>
          <w:szCs w:val="24"/>
        </w:rPr>
        <w:t xml:space="preserve"> Jörundr, Yngvi</w:t>
      </w:r>
      <w:r w:rsidR="00D03D40">
        <w:rPr>
          <w:rFonts w:ascii="Times New Roman" w:hAnsi="Times New Roman"/>
          <w:sz w:val="24"/>
          <w:szCs w:val="24"/>
        </w:rPr>
        <w:t>’</w:t>
      </w:r>
      <w:r w:rsidR="00D05F52">
        <w:rPr>
          <w:rFonts w:ascii="Times New Roman" w:hAnsi="Times New Roman"/>
          <w:sz w:val="24"/>
          <w:szCs w:val="24"/>
        </w:rPr>
        <w:t>s son, is ha</w:t>
      </w:r>
      <w:r w:rsidRPr="0019599F">
        <w:rPr>
          <w:rFonts w:ascii="Times New Roman" w:hAnsi="Times New Roman"/>
          <w:sz w:val="24"/>
          <w:szCs w:val="24"/>
        </w:rPr>
        <w:t>ng</w:t>
      </w:r>
      <w:r w:rsidR="00D05F52">
        <w:rPr>
          <w:rFonts w:ascii="Times New Roman" w:hAnsi="Times New Roman"/>
          <w:sz w:val="24"/>
          <w:szCs w:val="24"/>
        </w:rPr>
        <w:t>ed</w:t>
      </w:r>
      <w:r w:rsidRPr="0019599F">
        <w:rPr>
          <w:rFonts w:ascii="Times New Roman" w:hAnsi="Times New Roman"/>
          <w:sz w:val="24"/>
          <w:szCs w:val="24"/>
        </w:rPr>
        <w:t xml:space="preserve"> to avenge his killing of Gýlaugr</w:t>
      </w:r>
      <w:r w:rsidR="00D03D40">
        <w:rPr>
          <w:rFonts w:ascii="Times New Roman" w:hAnsi="Times New Roman"/>
          <w:sz w:val="24"/>
          <w:szCs w:val="24"/>
        </w:rPr>
        <w:t>’</w:t>
      </w:r>
      <w:r w:rsidRPr="0019599F">
        <w:rPr>
          <w:rFonts w:ascii="Times New Roman" w:hAnsi="Times New Roman"/>
          <w:sz w:val="24"/>
          <w:szCs w:val="24"/>
        </w:rPr>
        <w:t>s father Guðlaugr (</w:t>
      </w:r>
      <w:r w:rsidR="00D05F52" w:rsidRPr="0019599F">
        <w:rPr>
          <w:rFonts w:ascii="Times New Roman" w:hAnsi="Times New Roman"/>
          <w:sz w:val="24"/>
          <w:szCs w:val="24"/>
        </w:rPr>
        <w:t>Finlay and Faulkes 2011</w:t>
      </w:r>
      <w:r w:rsidRPr="0019599F">
        <w:rPr>
          <w:rFonts w:ascii="Times New Roman" w:hAnsi="Times New Roman"/>
          <w:sz w:val="24"/>
          <w:szCs w:val="24"/>
        </w:rPr>
        <w:t xml:space="preserve">, 26). </w:t>
      </w:r>
      <w:r w:rsidR="00902A86">
        <w:rPr>
          <w:rFonts w:ascii="Times New Roman" w:hAnsi="Times New Roman"/>
          <w:sz w:val="24"/>
          <w:szCs w:val="24"/>
        </w:rPr>
        <w:t xml:space="preserve">On the </w:t>
      </w:r>
      <w:r w:rsidR="00902A86">
        <w:rPr>
          <w:rFonts w:ascii="Times New Roman" w:hAnsi="Times New Roman"/>
          <w:sz w:val="24"/>
          <w:szCs w:val="24"/>
        </w:rPr>
        <w:lastRenderedPageBreak/>
        <w:t>other hand</w:t>
      </w:r>
      <w:r w:rsidRPr="0019599F">
        <w:rPr>
          <w:rFonts w:ascii="Times New Roman" w:hAnsi="Times New Roman"/>
          <w:sz w:val="24"/>
          <w:szCs w:val="24"/>
        </w:rPr>
        <w:t>, the initial killing of Guðlaugr is troubling, for Yngvi</w:t>
      </w:r>
      <w:r w:rsidR="00D03D40">
        <w:rPr>
          <w:rFonts w:ascii="Times New Roman" w:hAnsi="Times New Roman"/>
          <w:sz w:val="24"/>
          <w:szCs w:val="24"/>
        </w:rPr>
        <w:t>’</w:t>
      </w:r>
      <w:r w:rsidRPr="0019599F">
        <w:rPr>
          <w:rFonts w:ascii="Times New Roman" w:hAnsi="Times New Roman"/>
          <w:sz w:val="24"/>
          <w:szCs w:val="24"/>
        </w:rPr>
        <w:t xml:space="preserve">s sons hang him without any compensatory motive (Finlay and Faulkes 2011, 25). One </w:t>
      </w:r>
      <w:r w:rsidR="00902A86">
        <w:rPr>
          <w:rFonts w:ascii="Times New Roman" w:hAnsi="Times New Roman"/>
          <w:sz w:val="24"/>
          <w:szCs w:val="24"/>
        </w:rPr>
        <w:t xml:space="preserve">could </w:t>
      </w:r>
      <w:r w:rsidRPr="0019599F">
        <w:rPr>
          <w:rFonts w:ascii="Times New Roman" w:hAnsi="Times New Roman"/>
          <w:sz w:val="24"/>
          <w:szCs w:val="24"/>
        </w:rPr>
        <w:t>speculate that hanging, as depicted here, operates merely as a way to put enemies to death after battle</w:t>
      </w:r>
      <w:r w:rsidR="00597894">
        <w:rPr>
          <w:rFonts w:ascii="Times New Roman" w:hAnsi="Times New Roman"/>
          <w:sz w:val="24"/>
          <w:szCs w:val="24"/>
        </w:rPr>
        <w:t>.</w:t>
      </w:r>
      <w:r w:rsidR="00902A86">
        <w:rPr>
          <w:rFonts w:ascii="Times New Roman" w:hAnsi="Times New Roman"/>
          <w:sz w:val="24"/>
          <w:szCs w:val="24"/>
        </w:rPr>
        <w:t xml:space="preserve"> C</w:t>
      </w:r>
      <w:r w:rsidRPr="0019599F">
        <w:rPr>
          <w:rFonts w:ascii="Times New Roman" w:hAnsi="Times New Roman"/>
          <w:sz w:val="24"/>
          <w:szCs w:val="24"/>
        </w:rPr>
        <w:t>onsidering</w:t>
      </w:r>
      <w:r w:rsidR="00902A86">
        <w:rPr>
          <w:rFonts w:ascii="Times New Roman" w:hAnsi="Times New Roman"/>
          <w:sz w:val="24"/>
          <w:szCs w:val="24"/>
        </w:rPr>
        <w:t>, however, that</w:t>
      </w:r>
      <w:r w:rsidRPr="0019599F">
        <w:rPr>
          <w:rFonts w:ascii="Times New Roman" w:hAnsi="Times New Roman"/>
          <w:sz w:val="24"/>
          <w:szCs w:val="24"/>
        </w:rPr>
        <w:t xml:space="preserve"> the motif of hanging is not preserved in any poetry from the rest of the early sagas of </w:t>
      </w:r>
      <w:r w:rsidRPr="0019599F">
        <w:rPr>
          <w:rFonts w:ascii="Times New Roman" w:hAnsi="Times New Roman"/>
          <w:i/>
          <w:iCs/>
          <w:sz w:val="24"/>
          <w:szCs w:val="24"/>
        </w:rPr>
        <w:t xml:space="preserve">Heimskringla </w:t>
      </w:r>
      <w:r w:rsidRPr="0019599F">
        <w:rPr>
          <w:rFonts w:ascii="Times New Roman" w:hAnsi="Times New Roman"/>
          <w:sz w:val="24"/>
          <w:szCs w:val="24"/>
        </w:rPr>
        <w:t xml:space="preserve">until </w:t>
      </w:r>
      <w:r w:rsidRPr="0019599F">
        <w:rPr>
          <w:rFonts w:ascii="Times New Roman" w:hAnsi="Times New Roman"/>
          <w:i/>
          <w:iCs/>
          <w:sz w:val="24"/>
          <w:szCs w:val="24"/>
        </w:rPr>
        <w:t>Ólá</w:t>
      </w:r>
      <w:r w:rsidR="00DD7C7B" w:rsidRPr="0019599F">
        <w:rPr>
          <w:rFonts w:ascii="Times New Roman" w:hAnsi="Times New Roman"/>
          <w:i/>
          <w:iCs/>
          <w:sz w:val="24"/>
          <w:szCs w:val="24"/>
        </w:rPr>
        <w:t>fs saga Tryggva</w:t>
      </w:r>
      <w:r w:rsidRPr="0019599F">
        <w:rPr>
          <w:rFonts w:ascii="Times New Roman" w:hAnsi="Times New Roman"/>
          <w:i/>
          <w:iCs/>
          <w:sz w:val="24"/>
          <w:szCs w:val="24"/>
        </w:rPr>
        <w:t>sonar</w:t>
      </w:r>
      <w:r w:rsidRPr="0019599F">
        <w:rPr>
          <w:rFonts w:ascii="Times New Roman" w:hAnsi="Times New Roman"/>
          <w:sz w:val="24"/>
          <w:szCs w:val="24"/>
          <w:lang w:val="it-IT"/>
        </w:rPr>
        <w:t>,</w:t>
      </w:r>
      <w:r w:rsidR="00597894" w:rsidRPr="0019599F">
        <w:rPr>
          <w:rFonts w:ascii="Times New Roman" w:eastAsia="Times New Roman" w:hAnsi="Times New Roman" w:cs="Times New Roman"/>
          <w:sz w:val="24"/>
          <w:szCs w:val="24"/>
          <w:vertAlign w:val="superscript"/>
        </w:rPr>
        <w:footnoteReference w:id="32"/>
      </w:r>
      <w:r w:rsidRPr="0019599F">
        <w:rPr>
          <w:rFonts w:ascii="Times New Roman" w:hAnsi="Times New Roman"/>
          <w:sz w:val="24"/>
          <w:szCs w:val="24"/>
          <w:lang w:val="it-IT"/>
        </w:rPr>
        <w:t xml:space="preserve"> </w:t>
      </w:r>
      <w:r w:rsidRPr="0019599F">
        <w:rPr>
          <w:rFonts w:ascii="Times New Roman" w:hAnsi="Times New Roman"/>
          <w:sz w:val="24"/>
          <w:szCs w:val="24"/>
        </w:rPr>
        <w:t xml:space="preserve">these descriptions </w:t>
      </w:r>
      <w:r w:rsidR="00597894">
        <w:rPr>
          <w:rFonts w:ascii="Times New Roman" w:hAnsi="Times New Roman"/>
          <w:sz w:val="24"/>
          <w:szCs w:val="24"/>
        </w:rPr>
        <w:t xml:space="preserve">may </w:t>
      </w:r>
      <w:r w:rsidRPr="0019599F">
        <w:rPr>
          <w:rFonts w:ascii="Times New Roman" w:hAnsi="Times New Roman"/>
          <w:sz w:val="24"/>
          <w:szCs w:val="24"/>
        </w:rPr>
        <w:t xml:space="preserve">be </w:t>
      </w:r>
      <w:r w:rsidR="00597894">
        <w:rPr>
          <w:rFonts w:ascii="Times New Roman" w:hAnsi="Times New Roman"/>
          <w:sz w:val="24"/>
          <w:szCs w:val="24"/>
        </w:rPr>
        <w:t xml:space="preserve">vestiges </w:t>
      </w:r>
      <w:r w:rsidRPr="0019599F">
        <w:rPr>
          <w:rFonts w:ascii="Times New Roman" w:hAnsi="Times New Roman"/>
          <w:sz w:val="24"/>
          <w:szCs w:val="24"/>
        </w:rPr>
        <w:t xml:space="preserve">of a semi-historical </w:t>
      </w:r>
      <w:r w:rsidR="00597894">
        <w:rPr>
          <w:rFonts w:ascii="Times New Roman" w:hAnsi="Times New Roman"/>
          <w:sz w:val="24"/>
          <w:szCs w:val="24"/>
        </w:rPr>
        <w:t xml:space="preserve">semi-legendary </w:t>
      </w:r>
      <w:r w:rsidRPr="0019599F">
        <w:rPr>
          <w:rFonts w:ascii="Times New Roman" w:hAnsi="Times New Roman"/>
          <w:sz w:val="24"/>
          <w:szCs w:val="24"/>
        </w:rPr>
        <w:t xml:space="preserve">past in which vengeance and forceful expansion were commonplace as Scandinavia went through the throes of primordial state-building. This makes the use of hanging in these contexts functionally similar to the execution methods in the mythology. This consideration, paired with the shame-element inherent in hanging, makes the act of the sons of Yngvi less problematic and all the more worthy of </w:t>
      </w:r>
      <w:r w:rsidR="00597894">
        <w:rPr>
          <w:rFonts w:ascii="Times New Roman" w:hAnsi="Times New Roman"/>
          <w:sz w:val="24"/>
          <w:szCs w:val="24"/>
        </w:rPr>
        <w:t xml:space="preserve">vengeance </w:t>
      </w:r>
      <w:r w:rsidRPr="0019599F">
        <w:rPr>
          <w:rFonts w:ascii="Times New Roman" w:hAnsi="Times New Roman"/>
          <w:sz w:val="24"/>
          <w:szCs w:val="24"/>
        </w:rPr>
        <w:t>in the subsequent chapter (Finlay and Faulkes 2011, 25-</w:t>
      </w:r>
      <w:r w:rsidR="00D05F52">
        <w:rPr>
          <w:rFonts w:ascii="Times New Roman" w:hAnsi="Times New Roman"/>
          <w:sz w:val="24"/>
          <w:szCs w:val="24"/>
        </w:rPr>
        <w:t>2</w:t>
      </w:r>
      <w:r w:rsidRPr="0019599F">
        <w:rPr>
          <w:rFonts w:ascii="Times New Roman" w:hAnsi="Times New Roman"/>
          <w:sz w:val="24"/>
          <w:szCs w:val="24"/>
        </w:rPr>
        <w:t>6).</w:t>
      </w:r>
    </w:p>
    <w:p w14:paraId="41AE52B2" w14:textId="7EB595A5" w:rsidR="00330AFC" w:rsidRPr="0019599F" w:rsidRDefault="00536562" w:rsidP="0019599F">
      <w:pPr>
        <w:pStyle w:val="BodyA"/>
        <w:spacing w:line="240" w:lineRule="auto"/>
        <w:rPr>
          <w:rFonts w:ascii="Times New Roman" w:eastAsia="Times New Roman" w:hAnsi="Times New Roman" w:cs="Times New Roman"/>
          <w:sz w:val="24"/>
          <w:szCs w:val="24"/>
          <w:vertAlign w:val="superscript"/>
        </w:rPr>
      </w:pPr>
      <w:r w:rsidRPr="0019599F">
        <w:rPr>
          <w:rFonts w:ascii="Times New Roman" w:hAnsi="Times New Roman"/>
          <w:sz w:val="24"/>
          <w:szCs w:val="24"/>
        </w:rPr>
        <w:t xml:space="preserve">      Beyond this possibility, the </w:t>
      </w:r>
      <w:r w:rsidR="00902A86">
        <w:rPr>
          <w:rFonts w:ascii="Times New Roman" w:hAnsi="Times New Roman"/>
          <w:sz w:val="24"/>
          <w:szCs w:val="24"/>
        </w:rPr>
        <w:t>verse</w:t>
      </w:r>
      <w:r w:rsidRPr="0019599F">
        <w:rPr>
          <w:rFonts w:ascii="Times New Roman" w:hAnsi="Times New Roman"/>
          <w:sz w:val="24"/>
          <w:szCs w:val="24"/>
        </w:rPr>
        <w:t xml:space="preserve">s depicting hanging in </w:t>
      </w:r>
      <w:r w:rsidRPr="0019599F">
        <w:rPr>
          <w:rFonts w:ascii="Times New Roman" w:hAnsi="Times New Roman"/>
          <w:i/>
          <w:iCs/>
          <w:sz w:val="24"/>
          <w:szCs w:val="24"/>
        </w:rPr>
        <w:t>Ynglinga</w:t>
      </w:r>
      <w:r w:rsidR="00902A86">
        <w:rPr>
          <w:rFonts w:ascii="Times New Roman" w:hAnsi="Times New Roman"/>
          <w:i/>
          <w:iCs/>
          <w:sz w:val="24"/>
          <w:szCs w:val="24"/>
        </w:rPr>
        <w:t xml:space="preserve"> </w:t>
      </w:r>
      <w:r w:rsidRPr="0019599F">
        <w:rPr>
          <w:rFonts w:ascii="Times New Roman" w:hAnsi="Times New Roman"/>
          <w:i/>
          <w:iCs/>
          <w:sz w:val="24"/>
          <w:szCs w:val="24"/>
        </w:rPr>
        <w:t>saga</w:t>
      </w:r>
      <w:r w:rsidRPr="0019599F">
        <w:rPr>
          <w:rFonts w:ascii="Times New Roman" w:hAnsi="Times New Roman"/>
          <w:sz w:val="24"/>
          <w:szCs w:val="24"/>
        </w:rPr>
        <w:t xml:space="preserve"> are actually rather unhelpful, relaying little more than </w:t>
      </w:r>
      <w:r w:rsidR="00816D19">
        <w:rPr>
          <w:rFonts w:ascii="Times New Roman" w:hAnsi="Times New Roman"/>
          <w:sz w:val="24"/>
          <w:szCs w:val="24"/>
        </w:rPr>
        <w:t xml:space="preserve">that </w:t>
      </w:r>
      <w:r w:rsidRPr="0019599F">
        <w:rPr>
          <w:rFonts w:ascii="Times New Roman" w:hAnsi="Times New Roman"/>
          <w:sz w:val="24"/>
          <w:szCs w:val="24"/>
        </w:rPr>
        <w:t xml:space="preserve">someone was hanged. </w:t>
      </w:r>
      <w:r w:rsidR="00902A86">
        <w:rPr>
          <w:rFonts w:ascii="Times New Roman" w:hAnsi="Times New Roman"/>
          <w:sz w:val="24"/>
          <w:szCs w:val="24"/>
        </w:rPr>
        <w:t>The concept of g</w:t>
      </w:r>
      <w:r w:rsidRPr="0019599F">
        <w:rPr>
          <w:rFonts w:ascii="Times New Roman" w:hAnsi="Times New Roman"/>
          <w:sz w:val="24"/>
          <w:szCs w:val="24"/>
        </w:rPr>
        <w:t xml:space="preserve">allows, where mentioned, </w:t>
      </w:r>
      <w:r w:rsidR="00902A86">
        <w:rPr>
          <w:rFonts w:ascii="Times New Roman" w:hAnsi="Times New Roman"/>
          <w:sz w:val="24"/>
          <w:szCs w:val="24"/>
        </w:rPr>
        <w:t xml:space="preserve">is conveyed through </w:t>
      </w:r>
      <w:r w:rsidRPr="0019599F">
        <w:rPr>
          <w:rFonts w:ascii="Times New Roman" w:hAnsi="Times New Roman"/>
          <w:sz w:val="24"/>
          <w:szCs w:val="24"/>
        </w:rPr>
        <w:t>kennings, typically involving horse or tree elements (Finlay and Faulkes 2011, 6-47)</w:t>
      </w:r>
      <w:r w:rsidR="00C9536E">
        <w:rPr>
          <w:rFonts w:ascii="Times New Roman" w:hAnsi="Times New Roman"/>
          <w:sz w:val="24"/>
          <w:szCs w:val="24"/>
        </w:rPr>
        <w:t xml:space="preserve">, which precludes </w:t>
      </w:r>
      <w:r w:rsidRPr="0019599F">
        <w:rPr>
          <w:rFonts w:ascii="Times New Roman" w:hAnsi="Times New Roman"/>
          <w:sz w:val="24"/>
          <w:szCs w:val="24"/>
        </w:rPr>
        <w:t xml:space="preserve">identifying any features of these gallows. </w:t>
      </w:r>
      <w:r w:rsidR="00902A86">
        <w:rPr>
          <w:rFonts w:ascii="Times New Roman" w:hAnsi="Times New Roman"/>
          <w:sz w:val="24"/>
          <w:szCs w:val="24"/>
        </w:rPr>
        <w:t xml:space="preserve">By contrast, the verses </w:t>
      </w:r>
      <w:r w:rsidRPr="0019599F">
        <w:rPr>
          <w:rFonts w:ascii="Times New Roman" w:hAnsi="Times New Roman"/>
          <w:sz w:val="24"/>
          <w:szCs w:val="24"/>
        </w:rPr>
        <w:t xml:space="preserve">contained in </w:t>
      </w:r>
      <w:r w:rsidRPr="0019599F">
        <w:rPr>
          <w:rFonts w:ascii="Times New Roman" w:hAnsi="Times New Roman"/>
          <w:i/>
          <w:iCs/>
          <w:sz w:val="24"/>
          <w:szCs w:val="24"/>
        </w:rPr>
        <w:t xml:space="preserve">Hemskringla </w:t>
      </w:r>
      <w:r w:rsidR="00902A86">
        <w:rPr>
          <w:rFonts w:ascii="Times New Roman" w:hAnsi="Times New Roman"/>
          <w:sz w:val="24"/>
          <w:szCs w:val="24"/>
        </w:rPr>
        <w:t>incre</w:t>
      </w:r>
      <w:r w:rsidR="000616B7">
        <w:rPr>
          <w:rFonts w:ascii="Times New Roman" w:hAnsi="Times New Roman"/>
          <w:sz w:val="24"/>
          <w:szCs w:val="24"/>
        </w:rPr>
        <w:t xml:space="preserve">asingly refer to </w:t>
      </w:r>
      <w:r w:rsidRPr="0019599F">
        <w:rPr>
          <w:rFonts w:ascii="Times New Roman" w:hAnsi="Times New Roman"/>
          <w:sz w:val="24"/>
          <w:szCs w:val="24"/>
        </w:rPr>
        <w:t>outlawry (Finlay and Faulkes 2011, 72, 77)</w:t>
      </w:r>
      <w:r w:rsidR="000616B7">
        <w:rPr>
          <w:rFonts w:ascii="Times New Roman" w:hAnsi="Times New Roman"/>
          <w:sz w:val="24"/>
          <w:szCs w:val="24"/>
        </w:rPr>
        <w:t xml:space="preserve">, probably </w:t>
      </w:r>
      <w:r w:rsidRPr="0019599F">
        <w:rPr>
          <w:rFonts w:ascii="Times New Roman" w:hAnsi="Times New Roman"/>
          <w:sz w:val="24"/>
          <w:szCs w:val="24"/>
        </w:rPr>
        <w:t xml:space="preserve">a more historically-supported practice. </w:t>
      </w:r>
      <w:r w:rsidR="00C9536E">
        <w:rPr>
          <w:rFonts w:ascii="Times New Roman" w:hAnsi="Times New Roman"/>
          <w:sz w:val="24"/>
          <w:szCs w:val="24"/>
        </w:rPr>
        <w:t xml:space="preserve">They </w:t>
      </w:r>
      <w:r w:rsidRPr="0019599F">
        <w:rPr>
          <w:rFonts w:ascii="Times New Roman" w:hAnsi="Times New Roman"/>
          <w:sz w:val="24"/>
          <w:szCs w:val="24"/>
        </w:rPr>
        <w:t xml:space="preserve">can be examined from a number of perspectives. For example, the </w:t>
      </w:r>
      <w:commentRangeStart w:id="13"/>
      <w:r w:rsidRPr="0019599F">
        <w:rPr>
          <w:rFonts w:ascii="Times New Roman" w:hAnsi="Times New Roman"/>
          <w:sz w:val="24"/>
          <w:szCs w:val="24"/>
        </w:rPr>
        <w:t>poem preserved in chapter</w:t>
      </w:r>
      <w:r w:rsidR="000616B7">
        <w:rPr>
          <w:rFonts w:ascii="Times New Roman" w:hAnsi="Times New Roman"/>
          <w:sz w:val="24"/>
          <w:szCs w:val="24"/>
        </w:rPr>
        <w:t xml:space="preserve"> 24 </w:t>
      </w:r>
      <w:commentRangeEnd w:id="13"/>
      <w:r w:rsidR="000616B7">
        <w:rPr>
          <w:rStyle w:val="CommentReference"/>
          <w:rFonts w:ascii="Times New Roman" w:hAnsi="Times New Roman" w:cs="Times New Roman"/>
          <w:color w:val="auto"/>
          <w:lang w:eastAsia="en-US"/>
        </w:rPr>
        <w:commentReference w:id="13"/>
      </w:r>
      <w:r w:rsidRPr="0019599F">
        <w:rPr>
          <w:rFonts w:ascii="Times New Roman" w:hAnsi="Times New Roman"/>
          <w:sz w:val="24"/>
          <w:szCs w:val="24"/>
        </w:rPr>
        <w:t xml:space="preserve">of </w:t>
      </w:r>
      <w:r w:rsidRPr="0019599F">
        <w:rPr>
          <w:rFonts w:ascii="Times New Roman" w:hAnsi="Times New Roman"/>
          <w:i/>
          <w:iCs/>
          <w:sz w:val="24"/>
          <w:szCs w:val="24"/>
        </w:rPr>
        <w:t>Haralds saga ins hárfagra</w:t>
      </w:r>
      <w:r w:rsidRPr="0019599F">
        <w:rPr>
          <w:rFonts w:ascii="Times New Roman" w:hAnsi="Times New Roman"/>
          <w:sz w:val="24"/>
          <w:szCs w:val="24"/>
        </w:rPr>
        <w:t xml:space="preserve"> is a cautionary comment that</w:t>
      </w:r>
      <w:r w:rsidR="000616B7">
        <w:rPr>
          <w:rFonts w:ascii="Times New Roman" w:hAnsi="Times New Roman"/>
          <w:sz w:val="24"/>
          <w:szCs w:val="24"/>
        </w:rPr>
        <w:t xml:space="preserve"> al</w:t>
      </w:r>
      <w:r w:rsidRPr="0019599F">
        <w:rPr>
          <w:rFonts w:ascii="Times New Roman" w:hAnsi="Times New Roman"/>
          <w:sz w:val="24"/>
          <w:szCs w:val="24"/>
        </w:rPr>
        <w:t>though outlawry effectively removes a criminal from the normative society</w:t>
      </w:r>
      <w:r w:rsidR="00D03D40">
        <w:rPr>
          <w:rFonts w:ascii="Times New Roman" w:hAnsi="Times New Roman"/>
          <w:sz w:val="24"/>
          <w:szCs w:val="24"/>
        </w:rPr>
        <w:t>’</w:t>
      </w:r>
      <w:r w:rsidRPr="0019599F">
        <w:rPr>
          <w:rFonts w:ascii="Times New Roman" w:hAnsi="Times New Roman"/>
          <w:sz w:val="24"/>
          <w:szCs w:val="24"/>
        </w:rPr>
        <w:t>s daily operation it can actually empower the criminal in some cases to act out against that same society (Finlay and Faulkes 2011, 72).</w:t>
      </w:r>
    </w:p>
    <w:p w14:paraId="57A75A64" w14:textId="4EBFFA9C" w:rsidR="00330AFC" w:rsidRDefault="00536562" w:rsidP="0019599F">
      <w:pPr>
        <w:pStyle w:val="BodyA"/>
        <w:spacing w:line="240" w:lineRule="auto"/>
        <w:ind w:firstLine="720"/>
        <w:rPr>
          <w:rFonts w:ascii="Times New Roman" w:hAnsi="Times New Roman"/>
          <w:sz w:val="24"/>
          <w:szCs w:val="24"/>
        </w:rPr>
      </w:pPr>
      <w:r w:rsidRPr="0019599F">
        <w:rPr>
          <w:rFonts w:ascii="Times New Roman" w:hAnsi="Times New Roman"/>
          <w:sz w:val="24"/>
          <w:szCs w:val="24"/>
        </w:rPr>
        <w:t xml:space="preserve">The </w:t>
      </w:r>
      <w:commentRangeStart w:id="14"/>
      <w:r w:rsidRPr="0019599F">
        <w:rPr>
          <w:rFonts w:ascii="Times New Roman" w:hAnsi="Times New Roman"/>
          <w:sz w:val="24"/>
          <w:szCs w:val="24"/>
        </w:rPr>
        <w:t xml:space="preserve">poem in chapter thirty-one </w:t>
      </w:r>
      <w:commentRangeEnd w:id="14"/>
      <w:r w:rsidR="000647F4">
        <w:rPr>
          <w:rStyle w:val="CommentReference"/>
          <w:rFonts w:ascii="Times New Roman" w:hAnsi="Times New Roman" w:cs="Times New Roman"/>
          <w:color w:val="auto"/>
          <w:lang w:eastAsia="en-US"/>
        </w:rPr>
        <w:commentReference w:id="14"/>
      </w:r>
      <w:r w:rsidRPr="0019599F">
        <w:rPr>
          <w:rFonts w:ascii="Times New Roman" w:hAnsi="Times New Roman"/>
          <w:sz w:val="24"/>
          <w:szCs w:val="24"/>
        </w:rPr>
        <w:t xml:space="preserve">of the </w:t>
      </w:r>
      <w:r w:rsidRPr="0019599F">
        <w:rPr>
          <w:rFonts w:ascii="Times New Roman" w:hAnsi="Times New Roman"/>
          <w:i/>
          <w:iCs/>
          <w:sz w:val="24"/>
          <w:szCs w:val="24"/>
        </w:rPr>
        <w:t>Haralds saga ins hárfagra</w:t>
      </w:r>
      <w:r w:rsidRPr="0019599F">
        <w:rPr>
          <w:rFonts w:ascii="Times New Roman" w:hAnsi="Times New Roman"/>
          <w:sz w:val="24"/>
          <w:szCs w:val="24"/>
        </w:rPr>
        <w:t xml:space="preserve"> is even more helpful, </w:t>
      </w:r>
      <w:r w:rsidR="00C9536E">
        <w:rPr>
          <w:rFonts w:ascii="Times New Roman" w:hAnsi="Times New Roman"/>
          <w:sz w:val="24"/>
          <w:szCs w:val="24"/>
        </w:rPr>
        <w:t>convey</w:t>
      </w:r>
      <w:r w:rsidRPr="0019599F">
        <w:rPr>
          <w:rFonts w:ascii="Times New Roman" w:hAnsi="Times New Roman"/>
          <w:sz w:val="24"/>
          <w:szCs w:val="24"/>
        </w:rPr>
        <w:t xml:space="preserve">ing </w:t>
      </w:r>
      <w:r w:rsidR="00C9536E">
        <w:rPr>
          <w:rFonts w:ascii="Times New Roman" w:hAnsi="Times New Roman"/>
          <w:sz w:val="24"/>
          <w:szCs w:val="24"/>
        </w:rPr>
        <w:t xml:space="preserve">as it does </w:t>
      </w:r>
      <w:r w:rsidRPr="0019599F">
        <w:rPr>
          <w:rFonts w:ascii="Times New Roman" w:hAnsi="Times New Roman"/>
          <w:sz w:val="24"/>
          <w:szCs w:val="24"/>
        </w:rPr>
        <w:t xml:space="preserve">the relationship between a crime, a punishment, a geographic location, and a ruler (Finlay and Faulkes 2011, 77). </w:t>
      </w:r>
      <w:commentRangeStart w:id="15"/>
      <w:r w:rsidRPr="0019599F">
        <w:rPr>
          <w:rFonts w:ascii="Times New Roman" w:hAnsi="Times New Roman"/>
          <w:sz w:val="24"/>
          <w:szCs w:val="24"/>
        </w:rPr>
        <w:t>We learn that during Haraldr</w:t>
      </w:r>
      <w:r w:rsidR="00D03D40">
        <w:rPr>
          <w:rFonts w:ascii="Times New Roman" w:hAnsi="Times New Roman"/>
          <w:sz w:val="24"/>
          <w:szCs w:val="24"/>
        </w:rPr>
        <w:t>’</w:t>
      </w:r>
      <w:r w:rsidRPr="0019599F">
        <w:rPr>
          <w:rFonts w:ascii="Times New Roman" w:hAnsi="Times New Roman"/>
          <w:sz w:val="24"/>
          <w:szCs w:val="24"/>
        </w:rPr>
        <w:t xml:space="preserve">s reign men faced outlawry for the unlawful killing of cattle. </w:t>
      </w:r>
      <w:commentRangeEnd w:id="15"/>
      <w:r w:rsidR="00C9536E">
        <w:rPr>
          <w:rStyle w:val="CommentReference"/>
          <w:rFonts w:ascii="Times New Roman" w:hAnsi="Times New Roman" w:cs="Times New Roman"/>
          <w:color w:val="auto"/>
          <w:lang w:eastAsia="en-US"/>
        </w:rPr>
        <w:commentReference w:id="15"/>
      </w:r>
      <w:r w:rsidRPr="0019599F">
        <w:rPr>
          <w:rFonts w:ascii="Times New Roman" w:hAnsi="Times New Roman"/>
          <w:sz w:val="24"/>
          <w:szCs w:val="24"/>
        </w:rPr>
        <w:t xml:space="preserve">A section of </w:t>
      </w:r>
      <w:r w:rsidRPr="0019599F">
        <w:rPr>
          <w:rFonts w:ascii="Times New Roman" w:hAnsi="Times New Roman"/>
          <w:i/>
          <w:iCs/>
          <w:sz w:val="24"/>
          <w:szCs w:val="24"/>
        </w:rPr>
        <w:t>Frostathings lov</w:t>
      </w:r>
      <w:r w:rsidRPr="0019599F">
        <w:rPr>
          <w:rFonts w:ascii="Times New Roman" w:hAnsi="Times New Roman"/>
          <w:sz w:val="24"/>
          <w:szCs w:val="24"/>
        </w:rPr>
        <w:t xml:space="preserve"> mirrors this, stipulating that unlawfully damaging cattle could result in outlawry (Larson 1935, 273). </w:t>
      </w:r>
      <w:r w:rsidR="000647F4">
        <w:rPr>
          <w:rFonts w:ascii="Times New Roman" w:hAnsi="Times New Roman"/>
          <w:sz w:val="24"/>
          <w:szCs w:val="24"/>
        </w:rPr>
        <w:t xml:space="preserve">Given </w:t>
      </w:r>
      <w:r w:rsidRPr="0019599F">
        <w:rPr>
          <w:rFonts w:ascii="Times New Roman" w:hAnsi="Times New Roman"/>
          <w:sz w:val="24"/>
          <w:szCs w:val="24"/>
        </w:rPr>
        <w:t xml:space="preserve">that cattle </w:t>
      </w:r>
      <w:r w:rsidR="000647F4">
        <w:rPr>
          <w:rFonts w:ascii="Times New Roman" w:hAnsi="Times New Roman"/>
          <w:sz w:val="24"/>
          <w:szCs w:val="24"/>
        </w:rPr>
        <w:t xml:space="preserve">were </w:t>
      </w:r>
      <w:r w:rsidRPr="0019599F">
        <w:rPr>
          <w:rFonts w:ascii="Times New Roman" w:hAnsi="Times New Roman"/>
          <w:sz w:val="24"/>
          <w:szCs w:val="24"/>
        </w:rPr>
        <w:t>a standard unit of value (Larson 1935, 151, 237, 322), the number of cattle lost could be used as a direct assessment of the severity of a theft. In this case</w:t>
      </w:r>
      <w:r w:rsidR="00C9536E">
        <w:rPr>
          <w:rFonts w:ascii="Times New Roman" w:hAnsi="Times New Roman"/>
          <w:sz w:val="24"/>
          <w:szCs w:val="24"/>
        </w:rPr>
        <w:t xml:space="preserve"> it seems that </w:t>
      </w:r>
      <w:r w:rsidRPr="0019599F">
        <w:rPr>
          <w:rFonts w:ascii="Times New Roman" w:hAnsi="Times New Roman"/>
          <w:sz w:val="24"/>
          <w:szCs w:val="24"/>
        </w:rPr>
        <w:t xml:space="preserve">stealing cattle could result </w:t>
      </w:r>
      <w:r w:rsidR="00B46910" w:rsidRPr="0019599F">
        <w:rPr>
          <w:rFonts w:ascii="Times New Roman" w:hAnsi="Times New Roman"/>
          <w:sz w:val="24"/>
          <w:szCs w:val="24"/>
        </w:rPr>
        <w:t xml:space="preserve">not </w:t>
      </w:r>
      <w:r w:rsidR="00C9536E">
        <w:rPr>
          <w:rFonts w:ascii="Times New Roman" w:hAnsi="Times New Roman"/>
          <w:sz w:val="24"/>
          <w:szCs w:val="24"/>
        </w:rPr>
        <w:t xml:space="preserve">merely </w:t>
      </w:r>
      <w:r w:rsidRPr="0019599F">
        <w:rPr>
          <w:rFonts w:ascii="Times New Roman" w:hAnsi="Times New Roman"/>
          <w:sz w:val="24"/>
          <w:szCs w:val="24"/>
        </w:rPr>
        <w:t>in outlawry but in execution (Larson 1935, 287-</w:t>
      </w:r>
      <w:r w:rsidR="00B46910">
        <w:rPr>
          <w:rFonts w:ascii="Times New Roman" w:hAnsi="Times New Roman"/>
          <w:sz w:val="24"/>
          <w:szCs w:val="24"/>
        </w:rPr>
        <w:t>8</w:t>
      </w:r>
      <w:r w:rsidRPr="0019599F">
        <w:rPr>
          <w:rFonts w:ascii="Times New Roman" w:hAnsi="Times New Roman"/>
          <w:sz w:val="24"/>
          <w:szCs w:val="24"/>
        </w:rPr>
        <w:t>8).</w:t>
      </w:r>
    </w:p>
    <w:p w14:paraId="4E7779B1" w14:textId="77777777" w:rsidR="00B46910" w:rsidRPr="0019599F" w:rsidRDefault="00B46910" w:rsidP="0019599F">
      <w:pPr>
        <w:pStyle w:val="BodyA"/>
        <w:spacing w:line="240" w:lineRule="auto"/>
        <w:ind w:firstLine="720"/>
        <w:rPr>
          <w:rFonts w:ascii="Times New Roman" w:eastAsia="Times New Roman" w:hAnsi="Times New Roman" w:cs="Times New Roman"/>
          <w:sz w:val="24"/>
          <w:szCs w:val="24"/>
        </w:rPr>
      </w:pPr>
    </w:p>
    <w:p w14:paraId="4A43A577" w14:textId="6E910F6F" w:rsidR="00330AFC" w:rsidRPr="0019599F" w:rsidRDefault="00B46910" w:rsidP="0019599F">
      <w:pPr>
        <w:pStyle w:val="BodyA"/>
        <w:spacing w:line="240" w:lineRule="auto"/>
        <w:rPr>
          <w:rFonts w:ascii="Times New Roman" w:eastAsia="Times New Roman" w:hAnsi="Times New Roman" w:cs="Times New Roman"/>
          <w:i/>
          <w:iCs/>
          <w:sz w:val="24"/>
          <w:szCs w:val="24"/>
        </w:rPr>
      </w:pPr>
      <w:r>
        <w:rPr>
          <w:rFonts w:ascii="Times New Roman" w:hAnsi="Times New Roman"/>
          <w:i/>
          <w:iCs/>
          <w:sz w:val="24"/>
          <w:szCs w:val="24"/>
        </w:rPr>
        <w:t>Synthesiz</w:t>
      </w:r>
      <w:r w:rsidR="00536562" w:rsidRPr="0019599F">
        <w:rPr>
          <w:rFonts w:ascii="Times New Roman" w:hAnsi="Times New Roman"/>
          <w:i/>
          <w:iCs/>
          <w:sz w:val="24"/>
          <w:szCs w:val="24"/>
        </w:rPr>
        <w:t>ing the Textual Evidence</w:t>
      </w:r>
    </w:p>
    <w:p w14:paraId="6757212F" w14:textId="77777777" w:rsidR="00B46910" w:rsidRDefault="00B46910" w:rsidP="00B46910">
      <w:pPr>
        <w:pStyle w:val="BodyA"/>
        <w:spacing w:line="240" w:lineRule="auto"/>
        <w:rPr>
          <w:rFonts w:ascii="Times New Roman" w:hAnsi="Times New Roman"/>
          <w:sz w:val="24"/>
          <w:szCs w:val="24"/>
        </w:rPr>
      </w:pPr>
    </w:p>
    <w:p w14:paraId="202F98BB" w14:textId="65CC3D43" w:rsidR="00330AFC" w:rsidRPr="0019599F" w:rsidRDefault="00536562" w:rsidP="00B46910">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Taken together, this evidence demonstrates two distinct punitive systems, tailored in their own spheres to suit the specific socio-legal needs </w:t>
      </w:r>
      <w:r w:rsidR="00383B93" w:rsidRPr="0019599F">
        <w:rPr>
          <w:rFonts w:ascii="Times New Roman" w:hAnsi="Times New Roman"/>
          <w:sz w:val="24"/>
          <w:szCs w:val="24"/>
        </w:rPr>
        <w:t xml:space="preserve">and norms </w:t>
      </w:r>
      <w:r w:rsidRPr="0019599F">
        <w:rPr>
          <w:rFonts w:ascii="Times New Roman" w:hAnsi="Times New Roman"/>
          <w:sz w:val="24"/>
          <w:szCs w:val="24"/>
        </w:rPr>
        <w:t xml:space="preserve">of their respective </w:t>
      </w:r>
      <w:r w:rsidR="00383B93" w:rsidRPr="0019599F">
        <w:rPr>
          <w:rFonts w:ascii="Times New Roman" w:hAnsi="Times New Roman"/>
          <w:sz w:val="24"/>
          <w:szCs w:val="24"/>
        </w:rPr>
        <w:t>societie</w:t>
      </w:r>
      <w:r w:rsidRPr="0019599F">
        <w:rPr>
          <w:rFonts w:ascii="Times New Roman" w:hAnsi="Times New Roman"/>
          <w:sz w:val="24"/>
          <w:szCs w:val="24"/>
        </w:rPr>
        <w:t>s.</w:t>
      </w:r>
      <w:r w:rsidR="00383B93" w:rsidRPr="0019599F">
        <w:rPr>
          <w:rStyle w:val="FootnoteReference"/>
          <w:rFonts w:ascii="Times New Roman" w:hAnsi="Times New Roman"/>
          <w:sz w:val="24"/>
          <w:szCs w:val="24"/>
        </w:rPr>
        <w:footnoteReference w:id="33"/>
      </w:r>
      <w:r w:rsidRPr="0019599F">
        <w:rPr>
          <w:rFonts w:ascii="Times New Roman" w:hAnsi="Times New Roman"/>
          <w:sz w:val="24"/>
          <w:szCs w:val="24"/>
        </w:rPr>
        <w:t xml:space="preserve"> The </w:t>
      </w:r>
      <w:r w:rsidRPr="0019599F">
        <w:rPr>
          <w:rFonts w:ascii="Times New Roman" w:hAnsi="Times New Roman"/>
          <w:sz w:val="24"/>
          <w:szCs w:val="24"/>
        </w:rPr>
        <w:lastRenderedPageBreak/>
        <w:t>analysis above suggests that the English system of judicial violence assessed crimes for severity through royal involvement or representation, had a complex and varied hierarchy of judicially violent punishments, and often used elements of display in those punishments. By comparison the Scandinavian evidence points to an equally sophisticated system in its legal thoroughness, favouring outlawry over execution, though both were evidently utilized.</w:t>
      </w:r>
    </w:p>
    <w:p w14:paraId="4A16C0D6" w14:textId="70E78986" w:rsidR="00330AFC" w:rsidRDefault="00536562" w:rsidP="0019599F">
      <w:pPr>
        <w:pStyle w:val="BodyA"/>
        <w:spacing w:line="240" w:lineRule="auto"/>
        <w:rPr>
          <w:rFonts w:ascii="Times New Roman" w:hAnsi="Times New Roman"/>
          <w:sz w:val="24"/>
          <w:szCs w:val="24"/>
        </w:rPr>
      </w:pPr>
      <w:r w:rsidRPr="0019599F">
        <w:rPr>
          <w:rFonts w:ascii="Times New Roman" w:hAnsi="Times New Roman"/>
          <w:sz w:val="24"/>
          <w:szCs w:val="24"/>
        </w:rPr>
        <w:t xml:space="preserve">      Though the legal and historical evidence is often vague on the methods of execution, there is ample evidence in the Scandinavian and English textual traditions to point to decapitation and hanging being used in both regions. Ström confirms this, saying that both cultures had an ancient framework for both prac</w:t>
      </w:r>
      <w:r w:rsidR="00B46910">
        <w:rPr>
          <w:rFonts w:ascii="Times New Roman" w:hAnsi="Times New Roman"/>
          <w:sz w:val="24"/>
          <w:szCs w:val="24"/>
        </w:rPr>
        <w:t>tices (Ström 1942, 115-61, 162-</w:t>
      </w:r>
      <w:r w:rsidRPr="0019599F">
        <w:rPr>
          <w:rFonts w:ascii="Times New Roman" w:hAnsi="Times New Roman"/>
          <w:sz w:val="24"/>
          <w:szCs w:val="24"/>
        </w:rPr>
        <w:t xml:space="preserve">71). </w:t>
      </w:r>
      <w:r w:rsidR="00B46910">
        <w:rPr>
          <w:rFonts w:ascii="Times New Roman" w:hAnsi="Times New Roman"/>
          <w:sz w:val="24"/>
          <w:szCs w:val="24"/>
        </w:rPr>
        <w:t xml:space="preserve">Both </w:t>
      </w:r>
      <w:r w:rsidRPr="0019599F">
        <w:rPr>
          <w:rFonts w:ascii="Times New Roman" w:hAnsi="Times New Roman"/>
          <w:sz w:val="24"/>
          <w:szCs w:val="24"/>
        </w:rPr>
        <w:t>regions</w:t>
      </w:r>
      <w:r w:rsidR="00B46910">
        <w:rPr>
          <w:rFonts w:ascii="Times New Roman" w:hAnsi="Times New Roman"/>
          <w:sz w:val="24"/>
          <w:szCs w:val="24"/>
        </w:rPr>
        <w:t>, h</w:t>
      </w:r>
      <w:r w:rsidR="00B46910" w:rsidRPr="0019599F">
        <w:rPr>
          <w:rFonts w:ascii="Times New Roman" w:hAnsi="Times New Roman"/>
          <w:sz w:val="24"/>
          <w:szCs w:val="24"/>
        </w:rPr>
        <w:t xml:space="preserve">owever, </w:t>
      </w:r>
      <w:r w:rsidRPr="0019599F">
        <w:rPr>
          <w:rFonts w:ascii="Times New Roman" w:hAnsi="Times New Roman"/>
          <w:sz w:val="24"/>
          <w:szCs w:val="24"/>
        </w:rPr>
        <w:t>also demonstrate a deliberate vagueness in their laws describing judicially-violent punishments.</w:t>
      </w:r>
      <w:r w:rsidRPr="0019599F">
        <w:rPr>
          <w:rFonts w:ascii="Times New Roman" w:eastAsia="Times New Roman" w:hAnsi="Times New Roman" w:cs="Times New Roman"/>
          <w:sz w:val="24"/>
          <w:szCs w:val="24"/>
          <w:vertAlign w:val="superscript"/>
        </w:rPr>
        <w:footnoteReference w:id="34"/>
      </w:r>
      <w:r w:rsidRPr="0019599F">
        <w:rPr>
          <w:rFonts w:ascii="Times New Roman" w:hAnsi="Times New Roman"/>
          <w:sz w:val="24"/>
          <w:szCs w:val="24"/>
        </w:rPr>
        <w:t xml:space="preserve"> This could be an intentional effort to respect local traditions of execution potentially more diverse than simply decapitation and ha</w:t>
      </w:r>
      <w:r w:rsidR="00B46910">
        <w:rPr>
          <w:rFonts w:ascii="Times New Roman" w:hAnsi="Times New Roman"/>
          <w:sz w:val="24"/>
          <w:szCs w:val="24"/>
        </w:rPr>
        <w:t>nging (Ström 1942, 115-61, 162-</w:t>
      </w:r>
      <w:r w:rsidRPr="0019599F">
        <w:rPr>
          <w:rFonts w:ascii="Times New Roman" w:hAnsi="Times New Roman"/>
          <w:sz w:val="24"/>
          <w:szCs w:val="24"/>
        </w:rPr>
        <w:t>71; Thompson 2004, 182).</w:t>
      </w:r>
    </w:p>
    <w:p w14:paraId="6C2D104D" w14:textId="77777777" w:rsidR="00B46910" w:rsidRPr="0019599F" w:rsidRDefault="00B46910" w:rsidP="0019599F">
      <w:pPr>
        <w:pStyle w:val="BodyA"/>
        <w:spacing w:line="240" w:lineRule="auto"/>
        <w:rPr>
          <w:rFonts w:ascii="Times New Roman" w:eastAsia="Times New Roman" w:hAnsi="Times New Roman" w:cs="Times New Roman"/>
          <w:sz w:val="24"/>
          <w:szCs w:val="24"/>
        </w:rPr>
      </w:pPr>
    </w:p>
    <w:p w14:paraId="5F3DAA6B" w14:textId="7777777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Archaeological Sources</w:t>
      </w:r>
    </w:p>
    <w:p w14:paraId="30A4DDF6" w14:textId="77777777" w:rsidR="00B46910" w:rsidRDefault="00B46910" w:rsidP="00B46910">
      <w:pPr>
        <w:pStyle w:val="BodyA"/>
        <w:spacing w:line="240" w:lineRule="auto"/>
        <w:rPr>
          <w:rFonts w:ascii="Times New Roman" w:hAnsi="Times New Roman"/>
          <w:sz w:val="24"/>
          <w:szCs w:val="24"/>
        </w:rPr>
      </w:pPr>
    </w:p>
    <w:p w14:paraId="5BBFA78E" w14:textId="75B2B0BF" w:rsidR="00330AFC" w:rsidRPr="0019599F" w:rsidRDefault="00536562" w:rsidP="00B46910">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While these depictions of judicial violence are informative in their own right, a richer reading is possible when the textual sources are augmented with archaeological evidence (see Moreland 2003, 26-</w:t>
      </w:r>
      <w:r w:rsidR="00B46910">
        <w:rPr>
          <w:rFonts w:ascii="Times New Roman" w:hAnsi="Times New Roman"/>
          <w:sz w:val="24"/>
          <w:szCs w:val="24"/>
        </w:rPr>
        <w:t>2</w:t>
      </w:r>
      <w:r w:rsidRPr="0019599F">
        <w:rPr>
          <w:rFonts w:ascii="Times New Roman" w:hAnsi="Times New Roman"/>
          <w:sz w:val="24"/>
          <w:szCs w:val="24"/>
        </w:rPr>
        <w:t>7). In the following, literary and archaeological evidence are considered in tandem, in order to synthesize an English context for judicial violence. The same methodology will then be applied to the available Scandinavian evidence, before we compare these contexts to reflect more holistically on how judicial v</w:t>
      </w:r>
      <w:r w:rsidR="00B46910">
        <w:rPr>
          <w:rFonts w:ascii="Times New Roman" w:hAnsi="Times New Roman"/>
          <w:sz w:val="24"/>
          <w:szCs w:val="24"/>
        </w:rPr>
        <w:t xml:space="preserve">iolence operated in these early </w:t>
      </w:r>
      <w:r w:rsidRPr="0019599F">
        <w:rPr>
          <w:rFonts w:ascii="Times New Roman" w:hAnsi="Times New Roman"/>
          <w:sz w:val="24"/>
          <w:szCs w:val="24"/>
        </w:rPr>
        <w:t>medieval northern European societies.</w:t>
      </w:r>
    </w:p>
    <w:p w14:paraId="628BE6DF" w14:textId="3BA65E97"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The archaeology of non-normative mortuary rites and judicial violence in Anglo-Saxon England has seen extensive study in recent years (e.g. Reynolds 2009; Buckberry and Hadley 2007; Buckberry 2008; Semple 1998; Klevnäs 2016a, 2016b; Aspöck 2011, 2015). </w:t>
      </w:r>
      <w:r w:rsidR="000647F4">
        <w:rPr>
          <w:rFonts w:ascii="Times New Roman" w:hAnsi="Times New Roman"/>
          <w:sz w:val="24"/>
          <w:szCs w:val="24"/>
        </w:rPr>
        <w:t xml:space="preserve">Given the limits of archaeological evidence, </w:t>
      </w:r>
      <w:r w:rsidRPr="0019599F">
        <w:rPr>
          <w:rFonts w:ascii="Times New Roman" w:hAnsi="Times New Roman"/>
          <w:sz w:val="24"/>
          <w:szCs w:val="24"/>
        </w:rPr>
        <w:t xml:space="preserve">this work is concerned </w:t>
      </w:r>
      <w:r w:rsidR="000647F4">
        <w:rPr>
          <w:rFonts w:ascii="Times New Roman" w:hAnsi="Times New Roman"/>
          <w:sz w:val="24"/>
          <w:szCs w:val="24"/>
        </w:rPr>
        <w:t xml:space="preserve">mostly </w:t>
      </w:r>
      <w:r w:rsidRPr="0019599F">
        <w:rPr>
          <w:rFonts w:ascii="Times New Roman" w:hAnsi="Times New Roman"/>
          <w:sz w:val="24"/>
          <w:szCs w:val="24"/>
        </w:rPr>
        <w:t xml:space="preserve">with executions and associated mortuary practices, less </w:t>
      </w:r>
      <w:r w:rsidR="000647F4">
        <w:rPr>
          <w:rFonts w:ascii="Times New Roman" w:hAnsi="Times New Roman"/>
          <w:sz w:val="24"/>
          <w:szCs w:val="24"/>
        </w:rPr>
        <w:t xml:space="preserve">with </w:t>
      </w:r>
      <w:r w:rsidRPr="0019599F">
        <w:rPr>
          <w:rFonts w:ascii="Times New Roman" w:hAnsi="Times New Roman"/>
          <w:sz w:val="24"/>
          <w:szCs w:val="24"/>
        </w:rPr>
        <w:t>maiming.</w:t>
      </w:r>
      <w:r w:rsidRPr="0019599F">
        <w:rPr>
          <w:rFonts w:ascii="Times New Roman" w:eastAsia="Times New Roman" w:hAnsi="Times New Roman" w:cs="Times New Roman"/>
          <w:sz w:val="24"/>
          <w:szCs w:val="24"/>
          <w:vertAlign w:val="superscript"/>
        </w:rPr>
        <w:footnoteReference w:id="35"/>
      </w:r>
      <w:r w:rsidRPr="0019599F">
        <w:rPr>
          <w:rFonts w:ascii="Times New Roman" w:hAnsi="Times New Roman"/>
          <w:sz w:val="24"/>
          <w:szCs w:val="24"/>
        </w:rPr>
        <w:t xml:space="preserve"> Outlawry, of course</w:t>
      </w:r>
      <w:r w:rsidR="00B46910">
        <w:rPr>
          <w:rFonts w:ascii="Times New Roman" w:hAnsi="Times New Roman"/>
          <w:sz w:val="24"/>
          <w:szCs w:val="24"/>
        </w:rPr>
        <w:t xml:space="preserve">, is </w:t>
      </w:r>
      <w:commentRangeStart w:id="16"/>
      <w:r w:rsidR="00B46910">
        <w:rPr>
          <w:rFonts w:ascii="Times New Roman" w:hAnsi="Times New Roman"/>
          <w:sz w:val="24"/>
          <w:szCs w:val="24"/>
        </w:rPr>
        <w:t>archaeologically invisible</w:t>
      </w:r>
      <w:r w:rsidRPr="0019599F">
        <w:rPr>
          <w:rFonts w:ascii="Times New Roman" w:hAnsi="Times New Roman"/>
          <w:sz w:val="24"/>
          <w:szCs w:val="24"/>
        </w:rPr>
        <w:t xml:space="preserve"> </w:t>
      </w:r>
      <w:commentRangeEnd w:id="16"/>
      <w:r w:rsidR="000647F4">
        <w:rPr>
          <w:rStyle w:val="CommentReference"/>
          <w:rFonts w:ascii="Times New Roman" w:hAnsi="Times New Roman" w:cs="Times New Roman"/>
          <w:color w:val="auto"/>
          <w:lang w:eastAsia="en-US"/>
        </w:rPr>
        <w:commentReference w:id="16"/>
      </w:r>
      <w:r w:rsidRPr="0019599F">
        <w:rPr>
          <w:rFonts w:ascii="Times New Roman" w:hAnsi="Times New Roman"/>
          <w:sz w:val="24"/>
          <w:szCs w:val="24"/>
        </w:rPr>
        <w:t>and is thus largely absent from this scholarship.</w:t>
      </w:r>
    </w:p>
    <w:p w14:paraId="20AEF94F" w14:textId="7D43CDC8" w:rsidR="00330AFC" w:rsidRPr="0019599F" w:rsidRDefault="000647F4" w:rsidP="0019599F">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M</w:t>
      </w:r>
      <w:r w:rsidR="00536562" w:rsidRPr="0019599F">
        <w:rPr>
          <w:rFonts w:ascii="Times New Roman" w:hAnsi="Times New Roman"/>
          <w:sz w:val="24"/>
          <w:szCs w:val="24"/>
        </w:rPr>
        <w:t>ortuary evidence</w:t>
      </w:r>
      <w:r>
        <w:rPr>
          <w:rFonts w:ascii="Times New Roman" w:hAnsi="Times New Roman"/>
          <w:sz w:val="24"/>
          <w:szCs w:val="24"/>
        </w:rPr>
        <w:t xml:space="preserve"> serves to </w:t>
      </w:r>
      <w:r w:rsidR="00536562" w:rsidRPr="0019599F">
        <w:rPr>
          <w:rFonts w:ascii="Times New Roman" w:hAnsi="Times New Roman"/>
          <w:sz w:val="24"/>
          <w:szCs w:val="24"/>
        </w:rPr>
        <w:t>demonstrat</w:t>
      </w:r>
      <w:r>
        <w:rPr>
          <w:rFonts w:ascii="Times New Roman" w:hAnsi="Times New Roman"/>
          <w:sz w:val="24"/>
          <w:szCs w:val="24"/>
        </w:rPr>
        <w:t>e</w:t>
      </w:r>
      <w:r w:rsidR="00536562" w:rsidRPr="0019599F">
        <w:rPr>
          <w:rFonts w:ascii="Times New Roman" w:hAnsi="Times New Roman"/>
          <w:sz w:val="24"/>
          <w:szCs w:val="24"/>
        </w:rPr>
        <w:t xml:space="preserve"> the level to which such violence was integrated into English society.</w:t>
      </w:r>
      <w:r w:rsidR="00B46910">
        <w:rPr>
          <w:rFonts w:ascii="Times New Roman" w:hAnsi="Times New Roman"/>
          <w:sz w:val="24"/>
          <w:szCs w:val="24"/>
        </w:rPr>
        <w:t xml:space="preserve"> </w:t>
      </w:r>
      <w:r w:rsidR="00536562" w:rsidRPr="0019599F">
        <w:rPr>
          <w:rFonts w:ascii="Times New Roman" w:hAnsi="Times New Roman"/>
          <w:sz w:val="24"/>
          <w:szCs w:val="24"/>
        </w:rPr>
        <w:t xml:space="preserve">Reynolds in particular notes a spatial othering in the distribution of graves that exhibit signs of deviant burial (Reynolds 2009, 56-60). Hadley provides some examples of distinct graves that, when found within </w:t>
      </w:r>
      <w:r w:rsidR="00D03D40">
        <w:rPr>
          <w:rFonts w:ascii="Times New Roman" w:hAnsi="Times New Roman"/>
          <w:sz w:val="24"/>
          <w:szCs w:val="24"/>
        </w:rPr>
        <w:t>‘</w:t>
      </w:r>
      <w:r w:rsidR="00536562" w:rsidRPr="0019599F">
        <w:rPr>
          <w:rFonts w:ascii="Times New Roman" w:hAnsi="Times New Roman"/>
          <w:sz w:val="24"/>
          <w:szCs w:val="24"/>
          <w:lang w:val="it-IT"/>
        </w:rPr>
        <w:t>normative</w:t>
      </w:r>
      <w:r w:rsidR="00D03D40">
        <w:rPr>
          <w:rFonts w:ascii="Times New Roman" w:hAnsi="Times New Roman"/>
          <w:sz w:val="24"/>
          <w:szCs w:val="24"/>
        </w:rPr>
        <w:t>’</w:t>
      </w:r>
      <w:r w:rsidR="00536562" w:rsidRPr="0019599F">
        <w:rPr>
          <w:rFonts w:ascii="Times New Roman" w:hAnsi="Times New Roman"/>
          <w:sz w:val="24"/>
          <w:szCs w:val="24"/>
        </w:rPr>
        <w:t xml:space="preserve"> cemeteries, are located in peripheral contexts (Hadley 2010, 102-</w:t>
      </w:r>
      <w:r w:rsidR="00D03D40">
        <w:rPr>
          <w:rFonts w:ascii="Times New Roman" w:hAnsi="Times New Roman"/>
          <w:sz w:val="24"/>
          <w:szCs w:val="24"/>
        </w:rPr>
        <w:t>0</w:t>
      </w:r>
      <w:r w:rsidR="00536562" w:rsidRPr="0019599F">
        <w:rPr>
          <w:rFonts w:ascii="Times New Roman" w:hAnsi="Times New Roman"/>
          <w:sz w:val="24"/>
          <w:szCs w:val="24"/>
        </w:rPr>
        <w:t xml:space="preserve">6). The larger pattern suggests that, especially in the Viking Age, social others, particularly the victims of judicial violence, in England would often be interred in </w:t>
      </w:r>
      <w:r w:rsidR="00536562" w:rsidRPr="0019599F">
        <w:rPr>
          <w:rFonts w:ascii="Times New Roman" w:hAnsi="Times New Roman"/>
          <w:sz w:val="24"/>
          <w:szCs w:val="24"/>
        </w:rPr>
        <w:lastRenderedPageBreak/>
        <w:t>cemeteries unto themselves</w:t>
      </w:r>
      <w:r>
        <w:rPr>
          <w:rFonts w:ascii="Times New Roman" w:hAnsi="Times New Roman"/>
          <w:sz w:val="24"/>
          <w:szCs w:val="24"/>
        </w:rPr>
        <w:t>.</w:t>
      </w:r>
      <w:r w:rsidR="00536562" w:rsidRPr="0019599F">
        <w:rPr>
          <w:rFonts w:ascii="Times New Roman" w:hAnsi="Times New Roman"/>
          <w:sz w:val="24"/>
          <w:szCs w:val="24"/>
        </w:rPr>
        <w:t xml:space="preserve"> </w:t>
      </w:r>
      <w:r>
        <w:rPr>
          <w:rFonts w:ascii="Times New Roman" w:hAnsi="Times New Roman"/>
          <w:sz w:val="24"/>
          <w:szCs w:val="24"/>
        </w:rPr>
        <w:t xml:space="preserve">These tend to </w:t>
      </w:r>
      <w:r w:rsidR="00F157F8">
        <w:rPr>
          <w:rFonts w:ascii="Times New Roman" w:hAnsi="Times New Roman"/>
          <w:sz w:val="24"/>
          <w:szCs w:val="24"/>
        </w:rPr>
        <w:t xml:space="preserve">coincide </w:t>
      </w:r>
      <w:r>
        <w:rPr>
          <w:rFonts w:ascii="Times New Roman" w:hAnsi="Times New Roman"/>
          <w:sz w:val="24"/>
          <w:szCs w:val="24"/>
        </w:rPr>
        <w:t xml:space="preserve">with </w:t>
      </w:r>
      <w:r w:rsidR="000B0FD6" w:rsidRPr="0019599F">
        <w:rPr>
          <w:rFonts w:ascii="Times New Roman" w:hAnsi="Times New Roman"/>
          <w:sz w:val="24"/>
          <w:szCs w:val="24"/>
        </w:rPr>
        <w:t>boundaries and other</w:t>
      </w:r>
      <w:r w:rsidR="00536562" w:rsidRPr="0019599F">
        <w:rPr>
          <w:rFonts w:ascii="Times New Roman" w:hAnsi="Times New Roman"/>
          <w:sz w:val="24"/>
          <w:szCs w:val="24"/>
        </w:rPr>
        <w:t xml:space="preserve"> liminal spaces (Reynolds 2009, 56-60, 155-</w:t>
      </w:r>
      <w:r w:rsidR="00D03D40">
        <w:rPr>
          <w:rFonts w:ascii="Times New Roman" w:hAnsi="Times New Roman"/>
          <w:sz w:val="24"/>
          <w:szCs w:val="24"/>
        </w:rPr>
        <w:t>5</w:t>
      </w:r>
      <w:r w:rsidR="00536562" w:rsidRPr="0019599F">
        <w:rPr>
          <w:rFonts w:ascii="Times New Roman" w:hAnsi="Times New Roman"/>
          <w:sz w:val="24"/>
          <w:szCs w:val="24"/>
        </w:rPr>
        <w:t xml:space="preserve">7). </w:t>
      </w:r>
      <w:r w:rsidR="00F157F8">
        <w:rPr>
          <w:rFonts w:ascii="Times New Roman" w:hAnsi="Times New Roman"/>
          <w:sz w:val="24"/>
          <w:szCs w:val="24"/>
        </w:rPr>
        <w:t>E</w:t>
      </w:r>
      <w:r w:rsidR="00536562" w:rsidRPr="0019599F">
        <w:rPr>
          <w:rFonts w:ascii="Times New Roman" w:hAnsi="Times New Roman"/>
          <w:sz w:val="24"/>
          <w:szCs w:val="24"/>
        </w:rPr>
        <w:t>xamples highlighted by Reynolds include Sutton Hoo (Suffolk), Gally Hills (Surrey), and Walkington Wold (East Yorkshire), all of which are situated on or in immediate relation to hundred boundaries (Reynolds 2009, 155-</w:t>
      </w:r>
      <w:r w:rsidR="00D03D40">
        <w:rPr>
          <w:rFonts w:ascii="Times New Roman" w:hAnsi="Times New Roman"/>
          <w:sz w:val="24"/>
          <w:szCs w:val="24"/>
        </w:rPr>
        <w:t>5</w:t>
      </w:r>
      <w:r w:rsidR="00536562" w:rsidRPr="0019599F">
        <w:rPr>
          <w:rFonts w:ascii="Times New Roman" w:hAnsi="Times New Roman"/>
          <w:sz w:val="24"/>
          <w:szCs w:val="24"/>
        </w:rPr>
        <w:t>6).</w:t>
      </w:r>
      <w:r w:rsidR="00536562" w:rsidRPr="0019599F">
        <w:rPr>
          <w:rFonts w:ascii="Times New Roman" w:eastAsia="Times New Roman" w:hAnsi="Times New Roman" w:cs="Times New Roman"/>
          <w:sz w:val="24"/>
          <w:szCs w:val="24"/>
          <w:vertAlign w:val="superscript"/>
        </w:rPr>
        <w:footnoteReference w:id="36"/>
      </w:r>
      <w:r w:rsidR="00536562" w:rsidRPr="0019599F">
        <w:rPr>
          <w:rFonts w:ascii="Times New Roman" w:hAnsi="Times New Roman"/>
          <w:sz w:val="24"/>
          <w:szCs w:val="24"/>
        </w:rPr>
        <w:t xml:space="preserve"> Reynolds suggests that in many cases these graves were likely marked in some way, given the remarkable absence of evidence for grave disturbance (Reynolds 2009, 188-90). The inclusion of charcoal in a selection of graves at Guildown (Surrey) may have served as just such a marker, warning potential </w:t>
      </w:r>
      <w:commentRangeStart w:id="17"/>
      <w:r w:rsidR="00536562" w:rsidRPr="0019599F">
        <w:rPr>
          <w:rFonts w:ascii="Times New Roman" w:hAnsi="Times New Roman"/>
          <w:sz w:val="24"/>
          <w:szCs w:val="24"/>
        </w:rPr>
        <w:t>gravediggers</w:t>
      </w:r>
      <w:commentRangeEnd w:id="17"/>
      <w:r w:rsidR="00F157F8">
        <w:rPr>
          <w:rStyle w:val="CommentReference"/>
          <w:rFonts w:ascii="Times New Roman" w:hAnsi="Times New Roman" w:cs="Times New Roman"/>
          <w:color w:val="auto"/>
          <w:lang w:eastAsia="en-US"/>
        </w:rPr>
        <w:commentReference w:id="17"/>
      </w:r>
      <w:r w:rsidR="00536562" w:rsidRPr="0019599F">
        <w:rPr>
          <w:rFonts w:ascii="Times New Roman" w:hAnsi="Times New Roman"/>
          <w:sz w:val="24"/>
          <w:szCs w:val="24"/>
        </w:rPr>
        <w:t xml:space="preserve"> of the burials beneath (Reynolds 2009, 140-</w:t>
      </w:r>
      <w:r w:rsidR="00D03D40">
        <w:rPr>
          <w:rFonts w:ascii="Times New Roman" w:hAnsi="Times New Roman"/>
          <w:sz w:val="24"/>
          <w:szCs w:val="24"/>
        </w:rPr>
        <w:t>4</w:t>
      </w:r>
      <w:r w:rsidR="00536562" w:rsidRPr="0019599F">
        <w:rPr>
          <w:rFonts w:ascii="Times New Roman" w:hAnsi="Times New Roman"/>
          <w:sz w:val="24"/>
          <w:szCs w:val="24"/>
        </w:rPr>
        <w:t>1).</w:t>
      </w:r>
      <w:r w:rsidR="00536562" w:rsidRPr="0019599F">
        <w:rPr>
          <w:rFonts w:ascii="Times New Roman" w:eastAsia="Times New Roman" w:hAnsi="Times New Roman" w:cs="Times New Roman"/>
          <w:sz w:val="24"/>
          <w:szCs w:val="24"/>
          <w:vertAlign w:val="superscript"/>
        </w:rPr>
        <w:footnoteReference w:id="37"/>
      </w:r>
    </w:p>
    <w:p w14:paraId="27B69580" w14:textId="166A9F5D"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Beyond the association with boundaries and liminal spaces, there is a high correlation between these cemeteries and major routes over land and water (Reynolds 2009, 155). There is also a notable relationship between execution cemeteries and earthworks of various types. </w:t>
      </w:r>
      <w:r w:rsidR="00F157F8" w:rsidRPr="0019599F">
        <w:rPr>
          <w:rFonts w:ascii="Times New Roman" w:hAnsi="Times New Roman"/>
          <w:sz w:val="24"/>
          <w:szCs w:val="24"/>
        </w:rPr>
        <w:t>M</w:t>
      </w:r>
      <w:r w:rsidRPr="0019599F">
        <w:rPr>
          <w:rFonts w:ascii="Times New Roman" w:hAnsi="Times New Roman"/>
          <w:sz w:val="24"/>
          <w:szCs w:val="24"/>
        </w:rPr>
        <w:t>ost</w:t>
      </w:r>
      <w:r w:rsidR="00F157F8">
        <w:rPr>
          <w:rFonts w:ascii="Times New Roman" w:hAnsi="Times New Roman"/>
          <w:sz w:val="24"/>
          <w:szCs w:val="24"/>
        </w:rPr>
        <w:t xml:space="preserve"> </w:t>
      </w:r>
      <w:r w:rsidRPr="0019599F">
        <w:rPr>
          <w:rFonts w:ascii="Times New Roman" w:hAnsi="Times New Roman"/>
          <w:sz w:val="24"/>
          <w:szCs w:val="24"/>
        </w:rPr>
        <w:t>of these are pre-existing, such as at Meon Hill (Hampshire), Staines (Middlesex), and Dunstable (Bedfordshire)</w:t>
      </w:r>
      <w:r w:rsidR="00F157F8">
        <w:rPr>
          <w:rFonts w:ascii="Times New Roman" w:hAnsi="Times New Roman"/>
          <w:sz w:val="24"/>
          <w:szCs w:val="24"/>
        </w:rPr>
        <w:t>,</w:t>
      </w:r>
      <w:r w:rsidRPr="0019599F">
        <w:rPr>
          <w:rFonts w:ascii="Times New Roman" w:hAnsi="Times New Roman"/>
          <w:sz w:val="24"/>
          <w:szCs w:val="24"/>
        </w:rPr>
        <w:t xml:space="preserve"> though some seem to have been purpose-built, </w:t>
      </w:r>
      <w:r w:rsidR="00F157F8">
        <w:rPr>
          <w:rFonts w:ascii="Times New Roman" w:hAnsi="Times New Roman"/>
          <w:sz w:val="24"/>
          <w:szCs w:val="24"/>
        </w:rPr>
        <w:t xml:space="preserve">as </w:t>
      </w:r>
      <w:r w:rsidRPr="0019599F">
        <w:rPr>
          <w:rFonts w:ascii="Times New Roman" w:hAnsi="Times New Roman"/>
          <w:sz w:val="24"/>
          <w:szCs w:val="24"/>
        </w:rPr>
        <w:t>at Chesterton Lane (Cambridgeshire), Sutton Hoo (Suffolk), and possibly Crosshill (Nottinghamshire). These efforts suggest that, despite their liminal nature, these sites were intended to be visible (Reynolds 2009, 156-</w:t>
      </w:r>
      <w:r w:rsidR="00D03D40">
        <w:rPr>
          <w:rFonts w:ascii="Times New Roman" w:hAnsi="Times New Roman"/>
          <w:sz w:val="24"/>
          <w:szCs w:val="24"/>
        </w:rPr>
        <w:t>5</w:t>
      </w:r>
      <w:r w:rsidRPr="0019599F">
        <w:rPr>
          <w:rFonts w:ascii="Times New Roman" w:hAnsi="Times New Roman"/>
          <w:sz w:val="24"/>
          <w:szCs w:val="24"/>
        </w:rPr>
        <w:t>7).</w:t>
      </w:r>
    </w:p>
    <w:p w14:paraId="48CA4A02" w14:textId="07E13E7C"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Using a combination of archaeological, literary, and toponymic evidence, Sarah Semple has convincingly argued for the association of supernatural beliefs with ancient earthworks (1998, 111-</w:t>
      </w:r>
      <w:r w:rsidR="00D03D40">
        <w:rPr>
          <w:rFonts w:ascii="Times New Roman" w:hAnsi="Times New Roman"/>
          <w:sz w:val="24"/>
          <w:szCs w:val="24"/>
        </w:rPr>
        <w:t>1</w:t>
      </w:r>
      <w:r w:rsidRPr="0019599F">
        <w:rPr>
          <w:rFonts w:ascii="Times New Roman" w:hAnsi="Times New Roman"/>
          <w:sz w:val="24"/>
          <w:szCs w:val="24"/>
        </w:rPr>
        <w:t>3). Such traditions make them particularly appropriate contexts for the burial of the deviant dead (Semple 1998, 111-</w:t>
      </w:r>
      <w:r w:rsidR="00D03D40">
        <w:rPr>
          <w:rFonts w:ascii="Times New Roman" w:hAnsi="Times New Roman"/>
          <w:sz w:val="24"/>
          <w:szCs w:val="24"/>
        </w:rPr>
        <w:t>1</w:t>
      </w:r>
      <w:r w:rsidRPr="0019599F">
        <w:rPr>
          <w:rFonts w:ascii="Times New Roman" w:hAnsi="Times New Roman"/>
          <w:sz w:val="24"/>
          <w:szCs w:val="24"/>
        </w:rPr>
        <w:t xml:space="preserve">4). Regardless of whether these places were viewed as ideologically and spiritually removed from the land of the living (Reynolds 2009, 250), </w:t>
      </w:r>
      <w:r w:rsidR="00D03D40">
        <w:rPr>
          <w:rFonts w:ascii="Times New Roman" w:hAnsi="Times New Roman"/>
          <w:sz w:val="24"/>
          <w:szCs w:val="24"/>
        </w:rPr>
        <w:t xml:space="preserve">as </w:t>
      </w:r>
      <w:r w:rsidRPr="0019599F">
        <w:rPr>
          <w:rFonts w:ascii="Times New Roman" w:hAnsi="Times New Roman"/>
          <w:sz w:val="24"/>
          <w:szCs w:val="24"/>
        </w:rPr>
        <w:t>supernaturally empowered to torment the souls of the interred, or as facilitating the apotropaic disposal and even trapping of the powerful dead, Semple and Reynolds persuasively argue that any such beliefs would make ancient earthworks a natural choice for disposing of deviants (Semple 1998, 111-13, Reynolds 2009, 247-50).</w:t>
      </w:r>
    </w:p>
    <w:p w14:paraId="1385FE3B" w14:textId="0FE05187" w:rsidR="00330AFC" w:rsidRPr="0019599F" w:rsidRDefault="00F157F8" w:rsidP="0019599F">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E</w:t>
      </w:r>
      <w:r w:rsidR="00536562" w:rsidRPr="0019599F">
        <w:rPr>
          <w:rFonts w:ascii="Times New Roman" w:hAnsi="Times New Roman"/>
          <w:sz w:val="24"/>
          <w:szCs w:val="24"/>
        </w:rPr>
        <w:t xml:space="preserve">xecution cemeteries often correspond with a number of relevant toponyms, such as Galley Hill (Beds) and Gally Hills (Surrey), both relating to Old English </w:t>
      </w:r>
      <w:r w:rsidR="00536562" w:rsidRPr="0019599F">
        <w:rPr>
          <w:rFonts w:ascii="Times New Roman" w:hAnsi="Times New Roman"/>
          <w:i/>
          <w:iCs/>
          <w:sz w:val="24"/>
          <w:szCs w:val="24"/>
        </w:rPr>
        <w:t>gea</w:t>
      </w:r>
      <w:r>
        <w:rPr>
          <w:rFonts w:ascii="Times New Roman" w:hAnsi="Times New Roman"/>
          <w:i/>
          <w:iCs/>
          <w:sz w:val="24"/>
          <w:szCs w:val="24"/>
        </w:rPr>
        <w:t>l</w:t>
      </w:r>
      <w:r w:rsidR="00536562" w:rsidRPr="0019599F">
        <w:rPr>
          <w:rFonts w:ascii="Times New Roman" w:hAnsi="Times New Roman"/>
          <w:i/>
          <w:iCs/>
          <w:sz w:val="24"/>
          <w:szCs w:val="24"/>
        </w:rPr>
        <w:t>ga</w:t>
      </w:r>
      <w:r w:rsidR="00536562" w:rsidRPr="0019599F">
        <w:rPr>
          <w:rFonts w:ascii="Times New Roman" w:hAnsi="Times New Roman"/>
          <w:sz w:val="24"/>
          <w:szCs w:val="24"/>
        </w:rPr>
        <w:t xml:space="preserve">, </w:t>
      </w:r>
      <w:r w:rsidR="00D03D40">
        <w:rPr>
          <w:rFonts w:ascii="Times New Roman" w:hAnsi="Times New Roman"/>
          <w:sz w:val="24"/>
          <w:szCs w:val="24"/>
        </w:rPr>
        <w:t>‘</w:t>
      </w:r>
      <w:r w:rsidR="00536562" w:rsidRPr="0019599F">
        <w:rPr>
          <w:rFonts w:ascii="Times New Roman" w:hAnsi="Times New Roman"/>
          <w:sz w:val="24"/>
          <w:szCs w:val="24"/>
        </w:rPr>
        <w:t>gallows</w:t>
      </w:r>
      <w:r>
        <w:rPr>
          <w:rFonts w:ascii="Times New Roman" w:hAnsi="Times New Roman"/>
          <w:sz w:val="24"/>
          <w:szCs w:val="24"/>
        </w:rPr>
        <w:t>’</w:t>
      </w:r>
      <w:r w:rsidR="00536562" w:rsidRPr="0019599F">
        <w:rPr>
          <w:rFonts w:ascii="Times New Roman" w:hAnsi="Times New Roman"/>
          <w:sz w:val="24"/>
          <w:szCs w:val="24"/>
        </w:rPr>
        <w:t xml:space="preserve">, as well as a number of </w:t>
      </w:r>
      <w:r w:rsidR="00D03D40">
        <w:rPr>
          <w:rFonts w:ascii="Times New Roman" w:hAnsi="Times New Roman"/>
          <w:sz w:val="24"/>
          <w:szCs w:val="24"/>
        </w:rPr>
        <w:t>‘</w:t>
      </w:r>
      <w:r w:rsidR="00536562" w:rsidRPr="0019599F">
        <w:rPr>
          <w:rFonts w:ascii="Times New Roman" w:hAnsi="Times New Roman"/>
          <w:sz w:val="24"/>
          <w:szCs w:val="24"/>
        </w:rPr>
        <w:t>thief</w:t>
      </w:r>
      <w:r w:rsidR="00D03D40">
        <w:rPr>
          <w:rFonts w:ascii="Times New Roman" w:hAnsi="Times New Roman"/>
          <w:sz w:val="24"/>
          <w:szCs w:val="24"/>
        </w:rPr>
        <w:t>’</w:t>
      </w:r>
      <w:r w:rsidR="00536562" w:rsidRPr="0019599F">
        <w:rPr>
          <w:rFonts w:ascii="Times New Roman" w:hAnsi="Times New Roman"/>
          <w:sz w:val="24"/>
          <w:szCs w:val="24"/>
        </w:rPr>
        <w:t xml:space="preserve"> toponyms, coming from Old English </w:t>
      </w:r>
      <w:r w:rsidR="00D03D40">
        <w:rPr>
          <w:rFonts w:ascii="Times New Roman" w:hAnsi="Times New Roman" w:cs="Times New Roman"/>
          <w:i/>
          <w:iCs/>
          <w:sz w:val="24"/>
          <w:szCs w:val="24"/>
        </w:rPr>
        <w:t>þ</w:t>
      </w:r>
      <w:r w:rsidR="00536562" w:rsidRPr="0019599F">
        <w:rPr>
          <w:rFonts w:ascii="Times New Roman" w:hAnsi="Times New Roman"/>
          <w:i/>
          <w:iCs/>
          <w:sz w:val="24"/>
          <w:szCs w:val="24"/>
        </w:rPr>
        <w:t>eof</w:t>
      </w:r>
      <w:r w:rsidR="00536562" w:rsidRPr="0019599F">
        <w:rPr>
          <w:rFonts w:ascii="Times New Roman" w:hAnsi="Times New Roman"/>
          <w:sz w:val="24"/>
          <w:szCs w:val="24"/>
        </w:rPr>
        <w:t>, such as those near Crosshill (Notts) (Reynolds 2009, 101-</w:t>
      </w:r>
      <w:r w:rsidR="00D03D40">
        <w:rPr>
          <w:rFonts w:ascii="Times New Roman" w:hAnsi="Times New Roman"/>
          <w:sz w:val="24"/>
          <w:szCs w:val="24"/>
        </w:rPr>
        <w:t>0</w:t>
      </w:r>
      <w:r w:rsidR="00536562" w:rsidRPr="0019599F">
        <w:rPr>
          <w:rFonts w:ascii="Times New Roman" w:hAnsi="Times New Roman"/>
          <w:sz w:val="24"/>
          <w:szCs w:val="24"/>
        </w:rPr>
        <w:t>3, 128-30, 137-</w:t>
      </w:r>
      <w:r w:rsidR="00D03D40">
        <w:rPr>
          <w:rFonts w:ascii="Times New Roman" w:hAnsi="Times New Roman"/>
          <w:sz w:val="24"/>
          <w:szCs w:val="24"/>
        </w:rPr>
        <w:t>3</w:t>
      </w:r>
      <w:r w:rsidR="00536562" w:rsidRPr="0019599F">
        <w:rPr>
          <w:rFonts w:ascii="Times New Roman" w:hAnsi="Times New Roman"/>
          <w:sz w:val="24"/>
          <w:szCs w:val="24"/>
        </w:rPr>
        <w:t>8, 222-</w:t>
      </w:r>
      <w:r w:rsidR="00D03D40">
        <w:rPr>
          <w:rFonts w:ascii="Times New Roman" w:hAnsi="Times New Roman"/>
          <w:sz w:val="24"/>
          <w:szCs w:val="24"/>
        </w:rPr>
        <w:t>2</w:t>
      </w:r>
      <w:r w:rsidR="00536562" w:rsidRPr="0019599F">
        <w:rPr>
          <w:rFonts w:ascii="Times New Roman" w:hAnsi="Times New Roman"/>
          <w:sz w:val="24"/>
          <w:szCs w:val="24"/>
        </w:rPr>
        <w:t>7). These toponyms suggest that some of the cemeteries associated with these earthworks may have been sites not only for the disposal of t</w:t>
      </w:r>
      <w:r w:rsidR="00D03D40">
        <w:rPr>
          <w:rFonts w:ascii="Times New Roman" w:hAnsi="Times New Roman"/>
          <w:sz w:val="24"/>
          <w:szCs w:val="24"/>
        </w:rPr>
        <w:t>he deviant dead</w:t>
      </w:r>
      <w:r w:rsidR="00536562" w:rsidRPr="0019599F">
        <w:rPr>
          <w:rFonts w:ascii="Times New Roman" w:hAnsi="Times New Roman"/>
          <w:sz w:val="24"/>
          <w:szCs w:val="24"/>
        </w:rPr>
        <w:t xml:space="preserve"> but also for the </w:t>
      </w:r>
      <w:r w:rsidR="00D03D40">
        <w:rPr>
          <w:rFonts w:ascii="Times New Roman" w:hAnsi="Times New Roman"/>
          <w:sz w:val="24"/>
          <w:szCs w:val="24"/>
        </w:rPr>
        <w:t xml:space="preserve">actual </w:t>
      </w:r>
      <w:r w:rsidR="00536562" w:rsidRPr="0019599F">
        <w:rPr>
          <w:rFonts w:ascii="Times New Roman" w:hAnsi="Times New Roman"/>
          <w:sz w:val="24"/>
          <w:szCs w:val="24"/>
        </w:rPr>
        <w:t>dispatchi</w:t>
      </w:r>
      <w:r w:rsidR="00D03D40">
        <w:rPr>
          <w:rFonts w:ascii="Times New Roman" w:hAnsi="Times New Roman"/>
          <w:sz w:val="24"/>
          <w:szCs w:val="24"/>
        </w:rPr>
        <w:t xml:space="preserve">ng of living criminal deviants </w:t>
      </w:r>
      <w:r w:rsidR="00536562" w:rsidRPr="0019599F">
        <w:rPr>
          <w:rFonts w:ascii="Times New Roman" w:hAnsi="Times New Roman"/>
          <w:sz w:val="24"/>
          <w:szCs w:val="24"/>
        </w:rPr>
        <w:t>(Reynolds 2009, 247-50).  The existence of these associations, together with the probable construction and reappropriation of earthworks, is indicative of a dynamic, highly sophisticated judicial landscape, in which judicial violence played a key part (Reynolds 2009, 247-50).</w:t>
      </w:r>
    </w:p>
    <w:p w14:paraId="1676C633" w14:textId="717F0BA9"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Beyond their place in the wider landscape, excavations of these execution cemeteries frequently reveal graves that are remarkable in terms of internal arrangement, body position, and evidence for post- or perimortem practices (Reynolds 2009, 152-79). For example, the graves in these English execution cemeteries tend to be arrayed in accordance with local topography, rather than following the governing principles common to normative cemeteries (Reynolds 2009, 157-</w:t>
      </w:r>
      <w:r w:rsidR="00D03D40">
        <w:rPr>
          <w:rFonts w:ascii="Times New Roman" w:hAnsi="Times New Roman"/>
          <w:sz w:val="24"/>
          <w:szCs w:val="24"/>
        </w:rPr>
        <w:t>5</w:t>
      </w:r>
      <w:r w:rsidRPr="0019599F">
        <w:rPr>
          <w:rFonts w:ascii="Times New Roman" w:hAnsi="Times New Roman"/>
          <w:sz w:val="24"/>
          <w:szCs w:val="24"/>
        </w:rPr>
        <w:t xml:space="preserve">9), though Klevnäs and Aspöck have both problematized some of the previous discussion of normative principles in English mortuary practices (Klevnäs 2016b; Aspöck 2011, 2015). </w:t>
      </w:r>
      <w:r w:rsidRPr="0019599F">
        <w:rPr>
          <w:rFonts w:ascii="Times New Roman" w:hAnsi="Times New Roman"/>
          <w:sz w:val="24"/>
          <w:szCs w:val="24"/>
        </w:rPr>
        <w:lastRenderedPageBreak/>
        <w:t>Nonetheless, while most execution burials are shallow and rudimentary, a number do show evidence of stoning, weighting, trussing, or binding of corpses (Reynolds 2009, 157-79). In fact, despite criminal deviants being relegated to the lowest levels of society, in some cases their disposal would probably take more work and time than that of a normative individual (Reynolds 2009, 159). Examples include anomalously deep graves at Guildown (Surrey) (Reynolds 2009, 140-</w:t>
      </w:r>
      <w:r w:rsidR="00D03D40">
        <w:rPr>
          <w:rFonts w:ascii="Times New Roman" w:hAnsi="Times New Roman"/>
          <w:sz w:val="24"/>
          <w:szCs w:val="24"/>
        </w:rPr>
        <w:t>4</w:t>
      </w:r>
      <w:r w:rsidRPr="0019599F">
        <w:rPr>
          <w:rFonts w:ascii="Times New Roman" w:hAnsi="Times New Roman"/>
          <w:sz w:val="24"/>
          <w:szCs w:val="24"/>
        </w:rPr>
        <w:t>1) and burials at Roche Court Down (Wiltshire) that were sealed with a layer of heavy flints (Reynolds 2009, 148-</w:t>
      </w:r>
      <w:r w:rsidR="00D03D40">
        <w:rPr>
          <w:rFonts w:ascii="Times New Roman" w:hAnsi="Times New Roman"/>
          <w:sz w:val="24"/>
          <w:szCs w:val="24"/>
        </w:rPr>
        <w:t>4</w:t>
      </w:r>
      <w:r w:rsidRPr="0019599F">
        <w:rPr>
          <w:rFonts w:ascii="Times New Roman" w:hAnsi="Times New Roman"/>
          <w:sz w:val="24"/>
          <w:szCs w:val="24"/>
        </w:rPr>
        <w:t>9).</w:t>
      </w:r>
      <w:r w:rsidRPr="0019599F">
        <w:rPr>
          <w:rFonts w:ascii="Times New Roman" w:eastAsia="Times New Roman" w:hAnsi="Times New Roman" w:cs="Times New Roman"/>
          <w:sz w:val="24"/>
          <w:szCs w:val="24"/>
          <w:vertAlign w:val="superscript"/>
        </w:rPr>
        <w:footnoteReference w:id="38"/>
      </w:r>
    </w:p>
    <w:p w14:paraId="02DC7274" w14:textId="40BCFC80"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In the later Viking Age, prone burial in England may be used to distinguish the deviant dead in a negative way (Reynolds 2009, 160-</w:t>
      </w:r>
      <w:r w:rsidR="00D03D40">
        <w:rPr>
          <w:rFonts w:ascii="Times New Roman" w:hAnsi="Times New Roman"/>
          <w:sz w:val="24"/>
          <w:szCs w:val="24"/>
        </w:rPr>
        <w:t>6</w:t>
      </w:r>
      <w:r w:rsidRPr="0019599F">
        <w:rPr>
          <w:rFonts w:ascii="Times New Roman" w:hAnsi="Times New Roman"/>
          <w:sz w:val="24"/>
          <w:szCs w:val="24"/>
        </w:rPr>
        <w:t>1). Reynolds cites fifty-one occurrences from seventeen sites, noting particular examples that were distinguished with other signs of deviant burial (including binding, weighting, trussing, mutilation, and decapitation, as well as anomalously deep graves) (Reynolds 2009, 160-</w:t>
      </w:r>
      <w:r w:rsidR="00D03D40">
        <w:rPr>
          <w:rFonts w:ascii="Times New Roman" w:hAnsi="Times New Roman"/>
          <w:sz w:val="24"/>
          <w:szCs w:val="24"/>
        </w:rPr>
        <w:t>6</w:t>
      </w:r>
      <w:r w:rsidRPr="0019599F">
        <w:rPr>
          <w:rFonts w:ascii="Times New Roman" w:hAnsi="Times New Roman"/>
          <w:sz w:val="24"/>
          <w:szCs w:val="24"/>
        </w:rPr>
        <w:t xml:space="preserve">1). Such burials </w:t>
      </w:r>
      <w:r w:rsidR="00D03D40">
        <w:rPr>
          <w:rFonts w:ascii="Times New Roman" w:hAnsi="Times New Roman"/>
          <w:sz w:val="24"/>
          <w:szCs w:val="24"/>
        </w:rPr>
        <w:t>–</w:t>
      </w:r>
      <w:r w:rsidRPr="0019599F">
        <w:rPr>
          <w:rFonts w:ascii="Times New Roman" w:hAnsi="Times New Roman"/>
          <w:sz w:val="24"/>
          <w:szCs w:val="24"/>
        </w:rPr>
        <w:t xml:space="preserve"> like graves 34 and 39 from Stockbridge Down (Hampshire) (Reynolds 2009, 161) </w:t>
      </w:r>
      <w:r w:rsidR="00D03D40">
        <w:rPr>
          <w:rFonts w:ascii="Times New Roman" w:hAnsi="Times New Roman"/>
          <w:sz w:val="24"/>
          <w:szCs w:val="24"/>
        </w:rPr>
        <w:t>–</w:t>
      </w:r>
      <w:r w:rsidRPr="0019599F">
        <w:rPr>
          <w:rFonts w:ascii="Times New Roman" w:hAnsi="Times New Roman"/>
          <w:sz w:val="24"/>
          <w:szCs w:val="24"/>
        </w:rPr>
        <w:t xml:space="preserve"> may hint at a pre-Christian practice of taking precautions against the </w:t>
      </w:r>
      <w:r w:rsidR="00D03D40">
        <w:rPr>
          <w:rFonts w:ascii="Times New Roman" w:hAnsi="Times New Roman"/>
          <w:sz w:val="24"/>
          <w:szCs w:val="24"/>
        </w:rPr>
        <w:t>‘</w:t>
      </w:r>
      <w:r w:rsidRPr="0019599F">
        <w:rPr>
          <w:rFonts w:ascii="Times New Roman" w:hAnsi="Times New Roman"/>
          <w:sz w:val="24"/>
          <w:szCs w:val="24"/>
        </w:rPr>
        <w:t>powerful</w:t>
      </w:r>
      <w:r w:rsidR="00D03D40">
        <w:rPr>
          <w:rFonts w:ascii="Times New Roman" w:hAnsi="Times New Roman"/>
          <w:sz w:val="24"/>
          <w:szCs w:val="24"/>
        </w:rPr>
        <w:t>’</w:t>
      </w:r>
      <w:r w:rsidRPr="0019599F">
        <w:rPr>
          <w:rFonts w:ascii="Times New Roman" w:hAnsi="Times New Roman"/>
          <w:sz w:val="24"/>
          <w:szCs w:val="24"/>
        </w:rPr>
        <w:t xml:space="preserve"> dead in line with the ideas put forward by Semple (Semple 1998, 111-</w:t>
      </w:r>
      <w:r w:rsidR="00D03D40">
        <w:rPr>
          <w:rFonts w:ascii="Times New Roman" w:hAnsi="Times New Roman"/>
          <w:sz w:val="24"/>
          <w:szCs w:val="24"/>
        </w:rPr>
        <w:t>14).</w:t>
      </w:r>
    </w:p>
    <w:p w14:paraId="5E1F8B27" w14:textId="54DAB18C"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A number of graves bear signs that individuals, or at least parts of them, were displayed, some for prolonged periods (Reynolds 2009, 159-65). Beyond noting the likelihood that several individuals appear to have been trussed up for significant periods, Reynolds notes the evidence at a number of sites for the use of </w:t>
      </w:r>
      <w:r w:rsidRPr="0019599F">
        <w:rPr>
          <w:rFonts w:ascii="Times New Roman" w:hAnsi="Times New Roman"/>
          <w:i/>
          <w:iCs/>
          <w:sz w:val="24"/>
          <w:szCs w:val="24"/>
          <w:lang w:val="it-IT"/>
        </w:rPr>
        <w:t>heafod stoccan</w:t>
      </w:r>
      <w:r w:rsidR="00D03D40">
        <w:rPr>
          <w:rFonts w:ascii="Times New Roman" w:hAnsi="Times New Roman"/>
          <w:sz w:val="24"/>
          <w:szCs w:val="24"/>
        </w:rPr>
        <w:t xml:space="preserve"> or ‘head stakes’</w:t>
      </w:r>
      <w:r w:rsidRPr="0019599F">
        <w:rPr>
          <w:rFonts w:ascii="Times New Roman" w:hAnsi="Times New Roman"/>
          <w:sz w:val="24"/>
          <w:szCs w:val="24"/>
        </w:rPr>
        <w:t xml:space="preserve"> (Reynolds 2009, 169). Walkington Wold (E Yorks) is a particularly good example of a site that seems to have commonly displayed decapitated heads, with ten of twelve individuals having been buried without their heads (Rey</w:t>
      </w:r>
      <w:r w:rsidR="00D03D40">
        <w:rPr>
          <w:rFonts w:ascii="Times New Roman" w:hAnsi="Times New Roman"/>
          <w:sz w:val="24"/>
          <w:szCs w:val="24"/>
        </w:rPr>
        <w:t>nolds 2009, 169).</w:t>
      </w:r>
      <w:r w:rsidRPr="0019599F">
        <w:rPr>
          <w:rFonts w:ascii="Times New Roman" w:hAnsi="Times New Roman"/>
          <w:sz w:val="24"/>
          <w:szCs w:val="24"/>
        </w:rPr>
        <w:t xml:space="preserve"> Eleven skulls were found buried at the centre</w:t>
      </w:r>
      <w:r w:rsidR="00D03D40">
        <w:rPr>
          <w:rFonts w:ascii="Times New Roman" w:hAnsi="Times New Roman"/>
          <w:sz w:val="24"/>
          <w:szCs w:val="24"/>
        </w:rPr>
        <w:t xml:space="preserve"> of the mound</w:t>
      </w:r>
      <w:r w:rsidRPr="0019599F">
        <w:rPr>
          <w:rFonts w:ascii="Times New Roman" w:hAnsi="Times New Roman"/>
          <w:sz w:val="24"/>
          <w:szCs w:val="24"/>
        </w:rPr>
        <w:t>, four with mandibles, and seven without (Reynolds 2009, 169). Of course, not all proposed examples of deviant burial and display are as remarkable as Walkington Wold. Reynolds</w:t>
      </w:r>
      <w:r w:rsidR="00D03D40">
        <w:rPr>
          <w:rFonts w:ascii="Times New Roman" w:hAnsi="Times New Roman"/>
          <w:sz w:val="24"/>
          <w:szCs w:val="24"/>
        </w:rPr>
        <w:t>’</w:t>
      </w:r>
      <w:r w:rsidRPr="0019599F">
        <w:rPr>
          <w:rFonts w:ascii="Times New Roman" w:hAnsi="Times New Roman"/>
          <w:sz w:val="24"/>
          <w:szCs w:val="24"/>
        </w:rPr>
        <w:t>s inclusion of Burial 47 from Bran Ditch (Cambs) and Burial 5 from Roche Court Down (Wilts), both of which appear to have had their heads buried without the mandibles attached, are less convincing without detailed taphonomic analysis. Nonetheless, Reynolds</w:t>
      </w:r>
      <w:r w:rsidR="00D03D40">
        <w:rPr>
          <w:rFonts w:ascii="Times New Roman" w:hAnsi="Times New Roman"/>
          <w:sz w:val="24"/>
          <w:szCs w:val="24"/>
        </w:rPr>
        <w:t>’</w:t>
      </w:r>
      <w:r w:rsidRPr="0019599F">
        <w:rPr>
          <w:rFonts w:ascii="Times New Roman" w:hAnsi="Times New Roman"/>
          <w:sz w:val="24"/>
          <w:szCs w:val="24"/>
        </w:rPr>
        <w:t xml:space="preserve">s archaeological evidence for the display of heads in England at this time is convincing, and in the case of Old Dairy Cottage (Hampshire) is corroborated by independent documentary evidence in the form of a </w:t>
      </w:r>
      <w:commentRangeStart w:id="18"/>
      <w:r w:rsidRPr="0019599F">
        <w:rPr>
          <w:rFonts w:ascii="Times New Roman" w:hAnsi="Times New Roman"/>
          <w:sz w:val="24"/>
          <w:szCs w:val="24"/>
        </w:rPr>
        <w:t xml:space="preserve">contemporary charter </w:t>
      </w:r>
      <w:commentRangeEnd w:id="18"/>
      <w:r w:rsidR="00F157F8">
        <w:rPr>
          <w:rStyle w:val="CommentReference"/>
          <w:rFonts w:ascii="Times New Roman" w:hAnsi="Times New Roman" w:cs="Times New Roman"/>
          <w:color w:val="auto"/>
          <w:lang w:eastAsia="en-US"/>
        </w:rPr>
        <w:commentReference w:id="18"/>
      </w:r>
      <w:r w:rsidRPr="0019599F">
        <w:rPr>
          <w:rFonts w:ascii="Times New Roman" w:hAnsi="Times New Roman"/>
          <w:sz w:val="24"/>
          <w:szCs w:val="24"/>
        </w:rPr>
        <w:t>(Reynolds 2009, 169).</w:t>
      </w:r>
    </w:p>
    <w:p w14:paraId="7B2A4E27" w14:textId="5342805C"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Thus we return to the issues of visibility and display highlighted in our investigation of the textual sources. While the threat of execution and judicial violence may have been enough to keep most in line, keeping the execution sites visible to the public and openly displaying the executed could only strengthen the sentiment. </w:t>
      </w:r>
    </w:p>
    <w:p w14:paraId="21053019" w14:textId="0D373E16"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In returning to consider the textual evidence next to Reynolds</w:t>
      </w:r>
      <w:r w:rsidR="00D03D40">
        <w:rPr>
          <w:rFonts w:ascii="Times New Roman" w:hAnsi="Times New Roman"/>
          <w:sz w:val="24"/>
          <w:szCs w:val="24"/>
        </w:rPr>
        <w:t>’</w:t>
      </w:r>
      <w:r w:rsidRPr="0019599F">
        <w:rPr>
          <w:rFonts w:ascii="Times New Roman" w:hAnsi="Times New Roman"/>
          <w:sz w:val="24"/>
          <w:szCs w:val="24"/>
        </w:rPr>
        <w:t xml:space="preserve">s archaeological work, the sophistication of the English system of judicial violence becomes clear. </w:t>
      </w:r>
      <w:r w:rsidR="009D17B7">
        <w:rPr>
          <w:rFonts w:ascii="Times New Roman" w:hAnsi="Times New Roman"/>
          <w:sz w:val="24"/>
          <w:szCs w:val="24"/>
        </w:rPr>
        <w:t xml:space="preserve">The two </w:t>
      </w:r>
      <w:r w:rsidRPr="0019599F">
        <w:rPr>
          <w:rFonts w:ascii="Times New Roman" w:hAnsi="Times New Roman"/>
          <w:sz w:val="24"/>
          <w:szCs w:val="24"/>
        </w:rPr>
        <w:t>sets of evidence independently illustrate the liminal nature of execution sites (Whitelock 1954, 144; Reynolds 2009, 15-</w:t>
      </w:r>
      <w:r w:rsidR="00D03D40">
        <w:rPr>
          <w:rFonts w:ascii="Times New Roman" w:hAnsi="Times New Roman"/>
          <w:sz w:val="24"/>
          <w:szCs w:val="24"/>
        </w:rPr>
        <w:t>1</w:t>
      </w:r>
      <w:r w:rsidRPr="0019599F">
        <w:rPr>
          <w:rFonts w:ascii="Times New Roman" w:hAnsi="Times New Roman"/>
          <w:sz w:val="24"/>
          <w:szCs w:val="24"/>
        </w:rPr>
        <w:t>6)</w:t>
      </w:r>
      <w:r w:rsidR="009D17B7">
        <w:rPr>
          <w:rFonts w:ascii="Times New Roman" w:hAnsi="Times New Roman"/>
          <w:sz w:val="24"/>
          <w:szCs w:val="24"/>
        </w:rPr>
        <w:t xml:space="preserve"> and show that </w:t>
      </w:r>
      <w:r w:rsidRPr="0019599F">
        <w:rPr>
          <w:rFonts w:ascii="Times New Roman" w:hAnsi="Times New Roman"/>
          <w:sz w:val="24"/>
          <w:szCs w:val="24"/>
        </w:rPr>
        <w:t xml:space="preserve">both hanging and </w:t>
      </w:r>
      <w:r w:rsidR="00D03D40">
        <w:rPr>
          <w:rFonts w:ascii="Times New Roman" w:hAnsi="Times New Roman"/>
          <w:sz w:val="24"/>
          <w:szCs w:val="24"/>
        </w:rPr>
        <w:t>decapitation were likely practis</w:t>
      </w:r>
      <w:r w:rsidRPr="0019599F">
        <w:rPr>
          <w:rFonts w:ascii="Times New Roman" w:hAnsi="Times New Roman"/>
          <w:sz w:val="24"/>
          <w:szCs w:val="24"/>
        </w:rPr>
        <w:t>ed (Reynolds 2009, 160-79; Thompson 2004, 180-95). Archaeological evidence and topography suggest that execution sites and cemeteries made up an important part of the physical and judicial landscape, while the literary, legal, and historical texts show that judicial violence had also permeated deep into the cultural landscape (Reynolds 2009, 160-79; Thompson 2004, 180-95). Even Reynolds</w:t>
      </w:r>
      <w:r w:rsidR="00D03D40">
        <w:rPr>
          <w:rFonts w:ascii="Times New Roman" w:hAnsi="Times New Roman"/>
          <w:sz w:val="24"/>
          <w:szCs w:val="24"/>
        </w:rPr>
        <w:t>’</w:t>
      </w:r>
      <w:r w:rsidRPr="0019599F">
        <w:rPr>
          <w:rFonts w:ascii="Times New Roman" w:hAnsi="Times New Roman"/>
          <w:sz w:val="24"/>
          <w:szCs w:val="24"/>
        </w:rPr>
        <w:t xml:space="preserve">s </w:t>
      </w:r>
      <w:r w:rsidRPr="0019599F">
        <w:rPr>
          <w:rFonts w:ascii="Times New Roman" w:hAnsi="Times New Roman"/>
          <w:sz w:val="24"/>
          <w:szCs w:val="24"/>
        </w:rPr>
        <w:lastRenderedPageBreak/>
        <w:t>suggestion that visibility was an important component of the function of execution sites is m</w:t>
      </w:r>
      <w:r w:rsidR="00D03D40">
        <w:rPr>
          <w:rFonts w:ascii="Times New Roman" w:hAnsi="Times New Roman"/>
          <w:sz w:val="24"/>
          <w:szCs w:val="24"/>
        </w:rPr>
        <w:t>irrored in the textual accounts</w:t>
      </w:r>
      <w:r w:rsidRPr="0019599F">
        <w:rPr>
          <w:rFonts w:ascii="Times New Roman" w:hAnsi="Times New Roman"/>
          <w:sz w:val="24"/>
          <w:szCs w:val="24"/>
        </w:rPr>
        <w:t xml:space="preserve"> and helps to inform our readings of some of the laws (Reynolds 2009, 157). For example, a law that is continually recycled between rulers during the period in question relates to moneyers who mint false or base currency; offenders were to have a hand cut off and fastened to the mint. The sentiment here is clearly in keeping with the display of decapitated heads or an executed body: to make a visible example of the wrongdoer.</w:t>
      </w:r>
    </w:p>
    <w:p w14:paraId="5F12E15B" w14:textId="3187F6CE"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More recently, the discovery of around fifty bodies in a pit at Ridgeway Hill in Dorset provides an example of another treatment of visibility and forcibly removed body parts (Chenery et al. 2014, 43-44). Seemingly the result of a single execution, all the bodies in the pit had been decapitated and the heads, including mandibles, were piled on the southern edge of the pit (Chenery et al. 2014, 43-44). The bodies of the victims were seemingly shown less attention and were deposited with no apparent organized effort around the pit, often overlapping (Chenery et al. 2014, 43-44). The intentional piling of the decapitated heads seems to echo the elements of display that have been discussed above and the positioning of the site in the surrounding landscape certainly fits the pattern described by Reynolds for identifying execution sites. The current interpretation of the site is that it holds the executed remains of a crew of failed raiders of mixed backgrounds who met their end on an ill-fated sortie in English territory between the late tenth and early eleventh centuries (Chenery </w:t>
      </w:r>
      <w:r w:rsidR="009D17B7">
        <w:rPr>
          <w:rFonts w:ascii="Times New Roman" w:hAnsi="Times New Roman"/>
          <w:sz w:val="24"/>
          <w:szCs w:val="24"/>
        </w:rPr>
        <w:t>and others</w:t>
      </w:r>
      <w:r w:rsidRPr="0019599F">
        <w:rPr>
          <w:rFonts w:ascii="Times New Roman" w:hAnsi="Times New Roman"/>
          <w:sz w:val="24"/>
          <w:szCs w:val="24"/>
        </w:rPr>
        <w:t xml:space="preserve"> 2014, 50-</w:t>
      </w:r>
      <w:r w:rsidR="00D03D40">
        <w:rPr>
          <w:rFonts w:ascii="Times New Roman" w:hAnsi="Times New Roman"/>
          <w:sz w:val="24"/>
          <w:szCs w:val="24"/>
        </w:rPr>
        <w:t>5</w:t>
      </w:r>
      <w:r w:rsidRPr="0019599F">
        <w:rPr>
          <w:rFonts w:ascii="Times New Roman" w:hAnsi="Times New Roman"/>
          <w:sz w:val="24"/>
          <w:szCs w:val="24"/>
        </w:rPr>
        <w:t>1). Though markedly different from the display component of a site like Walkington Wold, the treatment of the postmortem remains at Ridgeway hill help</w:t>
      </w:r>
      <w:r w:rsidR="009D17B7">
        <w:rPr>
          <w:rFonts w:ascii="Times New Roman" w:hAnsi="Times New Roman"/>
          <w:sz w:val="24"/>
          <w:szCs w:val="24"/>
        </w:rPr>
        <w:t>s</w:t>
      </w:r>
      <w:r w:rsidRPr="0019599F">
        <w:rPr>
          <w:rFonts w:ascii="Times New Roman" w:hAnsi="Times New Roman"/>
          <w:sz w:val="24"/>
          <w:szCs w:val="24"/>
        </w:rPr>
        <w:t xml:space="preserve"> to reemphasize the flexibility of the English system of judicial violence when it came to mechanisms of execution and deposition of the dead and stress the importance of site and visibility in these proceedings.</w:t>
      </w:r>
    </w:p>
    <w:p w14:paraId="725C5BB0" w14:textId="25FFFABA"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Taken together, this evidence suggests the punitive system of Viking-Age England was remarkably integrated into the lived landscape. Laws dictated by the king outlined appropriate behaviour, officials oversaw the administration of justice in cases of deviance, punishment was delivered at specific, even purpose-built</w:t>
      </w:r>
      <w:r w:rsidR="009D17B7">
        <w:rPr>
          <w:rFonts w:ascii="Times New Roman" w:hAnsi="Times New Roman"/>
          <w:sz w:val="24"/>
          <w:szCs w:val="24"/>
        </w:rPr>
        <w:t>,</w:t>
      </w:r>
      <w:r w:rsidRPr="0019599F">
        <w:rPr>
          <w:rFonts w:ascii="Times New Roman" w:hAnsi="Times New Roman"/>
          <w:sz w:val="24"/>
          <w:szCs w:val="24"/>
        </w:rPr>
        <w:t xml:space="preserve"> sites, and the convicted were punished and publicly displayed, discouraging future infractions. This final step actually created a feedback loop, suggesting an effort by contemporary lawmakers to condition out undesirable behaviour in the population. Analysed in this way, both textual and archaeological evidence point to a highly regimented, top-down framework for judicial violence in Viking-Age England.</w:t>
      </w:r>
    </w:p>
    <w:p w14:paraId="5C3663E6" w14:textId="09F6564D"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Leszek Gardeła and others have conducted simila</w:t>
      </w:r>
      <w:r w:rsidR="00807A87">
        <w:rPr>
          <w:rFonts w:ascii="Times New Roman" w:hAnsi="Times New Roman"/>
          <w:sz w:val="24"/>
          <w:szCs w:val="24"/>
        </w:rPr>
        <w:t>r investigations in Scandinavia</w:t>
      </w:r>
      <w:r w:rsidRPr="0019599F">
        <w:rPr>
          <w:rFonts w:ascii="Times New Roman" w:eastAsia="Times New Roman" w:hAnsi="Times New Roman" w:cs="Times New Roman"/>
          <w:sz w:val="24"/>
          <w:szCs w:val="24"/>
          <w:vertAlign w:val="superscript"/>
        </w:rPr>
        <w:footnoteReference w:id="39"/>
      </w:r>
      <w:r w:rsidRPr="0019599F">
        <w:rPr>
          <w:rFonts w:ascii="Times New Roman" w:hAnsi="Times New Roman"/>
          <w:sz w:val="24"/>
          <w:szCs w:val="24"/>
        </w:rPr>
        <w:t xml:space="preserve"> but the picture </w:t>
      </w:r>
      <w:r w:rsidR="00526D45">
        <w:rPr>
          <w:rFonts w:ascii="Times New Roman" w:hAnsi="Times New Roman"/>
          <w:sz w:val="24"/>
          <w:szCs w:val="24"/>
        </w:rPr>
        <w:t xml:space="preserve">is </w:t>
      </w:r>
      <w:r w:rsidRPr="0019599F">
        <w:rPr>
          <w:rFonts w:ascii="Times New Roman" w:hAnsi="Times New Roman"/>
          <w:sz w:val="24"/>
          <w:szCs w:val="24"/>
        </w:rPr>
        <w:t>more tentative.</w:t>
      </w:r>
      <w:r w:rsidRPr="0019599F">
        <w:rPr>
          <w:rFonts w:ascii="Times New Roman" w:eastAsia="Times New Roman" w:hAnsi="Times New Roman" w:cs="Times New Roman"/>
          <w:sz w:val="24"/>
          <w:szCs w:val="24"/>
          <w:vertAlign w:val="superscript"/>
        </w:rPr>
        <w:footnoteReference w:id="40"/>
      </w:r>
      <w:r w:rsidRPr="0019599F">
        <w:rPr>
          <w:rFonts w:ascii="Times New Roman" w:hAnsi="Times New Roman"/>
          <w:sz w:val="24"/>
          <w:szCs w:val="24"/>
        </w:rPr>
        <w:t xml:space="preserve"> In particular, the considerable variety of normative mortuary rites makes the graves of social and criminal deviants exceedingly difficult to identify with certitude (Gardeła 2013a, 99). Nonetheless, Gardeła has identified several burials that, even against the broad spectrum of Viking-Age Scandinavian mortuary practice, stand out (Gardeła 2013a, 99; Gardeła 2013b, 106-44). Though G</w:t>
      </w:r>
      <w:r w:rsidR="006D6DBD">
        <w:rPr>
          <w:rFonts w:ascii="Times New Roman" w:hAnsi="Times New Roman"/>
          <w:sz w:val="24"/>
          <w:szCs w:val="24"/>
        </w:rPr>
        <w:t>ardeła (citing Thäte 2007, 266)</w:t>
      </w:r>
      <w:r w:rsidRPr="0019599F">
        <w:rPr>
          <w:rFonts w:ascii="Times New Roman" w:hAnsi="Times New Roman"/>
          <w:sz w:val="24"/>
          <w:szCs w:val="24"/>
        </w:rPr>
        <w:t xml:space="preserve"> urges us to remember that no single explanation can be ascribed to all burials showing signs of deviation from the norm, </w:t>
      </w:r>
      <w:r w:rsidR="006D6DBD">
        <w:rPr>
          <w:rFonts w:ascii="Times New Roman" w:hAnsi="Times New Roman"/>
          <w:sz w:val="24"/>
          <w:szCs w:val="24"/>
        </w:rPr>
        <w:t xml:space="preserve">it </w:t>
      </w:r>
      <w:r w:rsidR="006D6DBD" w:rsidRPr="0019599F">
        <w:rPr>
          <w:rFonts w:ascii="Times New Roman" w:hAnsi="Times New Roman"/>
          <w:sz w:val="24"/>
          <w:szCs w:val="24"/>
        </w:rPr>
        <w:t xml:space="preserve">is a productive exercise </w:t>
      </w:r>
      <w:r w:rsidR="006D6DBD">
        <w:rPr>
          <w:rFonts w:ascii="Times New Roman" w:hAnsi="Times New Roman"/>
          <w:sz w:val="24"/>
          <w:szCs w:val="24"/>
        </w:rPr>
        <w:t>to keep</w:t>
      </w:r>
      <w:r w:rsidRPr="0019599F">
        <w:rPr>
          <w:rFonts w:ascii="Times New Roman" w:hAnsi="Times New Roman"/>
          <w:sz w:val="24"/>
          <w:szCs w:val="24"/>
        </w:rPr>
        <w:t xml:space="preserve"> execution and maiming in mind while considering a selection of the evidence presented by him (Gardeła 2013a, 109). In contextuali</w:t>
      </w:r>
      <w:r w:rsidR="006D6DBD">
        <w:rPr>
          <w:rFonts w:ascii="Times New Roman" w:hAnsi="Times New Roman"/>
          <w:sz w:val="24"/>
          <w:szCs w:val="24"/>
        </w:rPr>
        <w:t>z</w:t>
      </w:r>
      <w:r w:rsidRPr="0019599F">
        <w:rPr>
          <w:rFonts w:ascii="Times New Roman" w:hAnsi="Times New Roman"/>
          <w:sz w:val="24"/>
          <w:szCs w:val="24"/>
        </w:rPr>
        <w:t xml:space="preserve">ing his work, Gardeła draws extensively from Thäte, noting that, unlike in the English evidence considered by Reynolds </w:t>
      </w:r>
      <w:r w:rsidRPr="0019599F">
        <w:rPr>
          <w:rFonts w:ascii="Times New Roman" w:hAnsi="Times New Roman"/>
          <w:sz w:val="24"/>
          <w:szCs w:val="24"/>
        </w:rPr>
        <w:lastRenderedPageBreak/>
        <w:t>above, there are no exclusively deviant cemeteries (Gardeła 2013a, 109-10; Thäte 2007; 267-72). This leads both Thäte and Gardeła to consider that deviant individuals need not have been view</w:t>
      </w:r>
      <w:r w:rsidR="006D6DBD">
        <w:rPr>
          <w:rFonts w:ascii="Times New Roman" w:hAnsi="Times New Roman"/>
          <w:sz w:val="24"/>
          <w:szCs w:val="24"/>
        </w:rPr>
        <w:t>ed as complete outcasts</w:t>
      </w:r>
      <w:r w:rsidRPr="0019599F">
        <w:rPr>
          <w:rFonts w:ascii="Times New Roman" w:hAnsi="Times New Roman"/>
          <w:sz w:val="24"/>
          <w:szCs w:val="24"/>
        </w:rPr>
        <w:t xml:space="preserve"> and were allowed burial within communal cemeteries (Gardeła 2013a, 110; Thäte 2007, 272). Gardeła suggests that many of the deviations in Scandinavian mortuary practice at this time may have multiple meanings, some of </w:t>
      </w:r>
      <w:r w:rsidR="00526D45">
        <w:rPr>
          <w:rFonts w:ascii="Times New Roman" w:hAnsi="Times New Roman"/>
          <w:sz w:val="24"/>
          <w:szCs w:val="24"/>
        </w:rPr>
        <w:t xml:space="preserve">them related to </w:t>
      </w:r>
      <w:r w:rsidRPr="0019599F">
        <w:rPr>
          <w:rFonts w:ascii="Times New Roman" w:hAnsi="Times New Roman"/>
          <w:sz w:val="24"/>
          <w:szCs w:val="24"/>
        </w:rPr>
        <w:t>ritual or religio</w:t>
      </w:r>
      <w:r w:rsidR="00526D45">
        <w:rPr>
          <w:rFonts w:ascii="Times New Roman" w:hAnsi="Times New Roman"/>
          <w:sz w:val="24"/>
          <w:szCs w:val="24"/>
        </w:rPr>
        <w:t>n</w:t>
      </w:r>
      <w:r w:rsidRPr="0019599F">
        <w:rPr>
          <w:rFonts w:ascii="Times New Roman" w:hAnsi="Times New Roman"/>
          <w:sz w:val="24"/>
          <w:szCs w:val="24"/>
        </w:rPr>
        <w:t xml:space="preserve"> (Gardeła 2013a, 109-22; Gardeła 2013b, 108-44)</w:t>
      </w:r>
      <w:r w:rsidR="006D6DBD">
        <w:rPr>
          <w:rFonts w:ascii="Times New Roman" w:hAnsi="Times New Roman"/>
          <w:sz w:val="24"/>
          <w:szCs w:val="24"/>
        </w:rPr>
        <w:t>,</w:t>
      </w:r>
      <w:r w:rsidRPr="0019599F">
        <w:rPr>
          <w:rFonts w:ascii="Times New Roman" w:hAnsi="Times New Roman"/>
          <w:sz w:val="24"/>
          <w:szCs w:val="24"/>
        </w:rPr>
        <w:t xml:space="preserve"> which of course is likely the case. However, herein we consider this evidence in the framework of judicial violence.</w:t>
      </w:r>
    </w:p>
    <w:p w14:paraId="744CF2C7" w14:textId="1DA139DD"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As might be expected from our analysis of the written evidence, direct evidence for criminal deviance is comparatively rare in Scandinavian archaeology. Gardeła highlights Grave F from Kumle Høje in Denmark, which contains the remains of two decapitated individuals, </w:t>
      </w:r>
      <w:r w:rsidR="00526D45">
        <w:rPr>
          <w:rFonts w:ascii="Times New Roman" w:hAnsi="Times New Roman"/>
          <w:sz w:val="24"/>
          <w:szCs w:val="24"/>
        </w:rPr>
        <w:t xml:space="preserve">from whom </w:t>
      </w:r>
      <w:r w:rsidRPr="0019599F">
        <w:rPr>
          <w:rFonts w:ascii="Times New Roman" w:hAnsi="Times New Roman"/>
          <w:sz w:val="24"/>
          <w:szCs w:val="24"/>
        </w:rPr>
        <w:t xml:space="preserve">only one skull has been found (Gardeła 2013a, 112; Gardeła 2013b, 113). The bodies were buried one atop the other, separated by a layer of soil (Gardeła 2013a, 112; Gardeła 2013b, 113). The lower individual was interred supine, the upper prone (Gardeła 2013a, 112; Gardeła 2013b, 113). </w:t>
      </w:r>
      <w:r w:rsidR="00526D45">
        <w:rPr>
          <w:rFonts w:ascii="Times New Roman" w:hAnsi="Times New Roman"/>
          <w:sz w:val="24"/>
          <w:szCs w:val="24"/>
        </w:rPr>
        <w:t>B</w:t>
      </w:r>
      <w:r w:rsidRPr="0019599F">
        <w:rPr>
          <w:rFonts w:ascii="Times New Roman" w:hAnsi="Times New Roman"/>
          <w:sz w:val="24"/>
          <w:szCs w:val="24"/>
        </w:rPr>
        <w:t>oth had their feet bound, while one had a missing arm (Gardeła 2013a, 11</w:t>
      </w:r>
      <w:r w:rsidR="006D6DBD">
        <w:rPr>
          <w:rFonts w:ascii="Times New Roman" w:hAnsi="Times New Roman"/>
          <w:sz w:val="24"/>
          <w:szCs w:val="24"/>
        </w:rPr>
        <w:t xml:space="preserve">2; Gardeła 2013b, 113). </w:t>
      </w:r>
      <w:r w:rsidR="00526D45">
        <w:rPr>
          <w:rFonts w:ascii="Times New Roman" w:hAnsi="Times New Roman"/>
          <w:sz w:val="24"/>
          <w:szCs w:val="24"/>
        </w:rPr>
        <w:t xml:space="preserve">It seems plausible, with </w:t>
      </w:r>
      <w:r w:rsidR="006D6DBD">
        <w:rPr>
          <w:rFonts w:ascii="Times New Roman" w:hAnsi="Times New Roman"/>
          <w:sz w:val="24"/>
          <w:szCs w:val="24"/>
        </w:rPr>
        <w:t>Gardeła</w:t>
      </w:r>
      <w:r w:rsidRPr="0019599F">
        <w:rPr>
          <w:rFonts w:ascii="Times New Roman" w:hAnsi="Times New Roman"/>
          <w:sz w:val="24"/>
          <w:szCs w:val="24"/>
        </w:rPr>
        <w:t xml:space="preserve"> and Thäte</w:t>
      </w:r>
      <w:r w:rsidR="00526D45">
        <w:rPr>
          <w:rFonts w:ascii="Times New Roman" w:hAnsi="Times New Roman"/>
          <w:sz w:val="24"/>
          <w:szCs w:val="24"/>
        </w:rPr>
        <w:t>,</w:t>
      </w:r>
      <w:r w:rsidRPr="0019599F">
        <w:rPr>
          <w:rFonts w:ascii="Times New Roman" w:hAnsi="Times New Roman"/>
          <w:sz w:val="24"/>
          <w:szCs w:val="24"/>
        </w:rPr>
        <w:t xml:space="preserve"> to call this the grave of two convicts</w:t>
      </w:r>
      <w:r w:rsidR="000B0FD6" w:rsidRPr="0019599F">
        <w:rPr>
          <w:rFonts w:ascii="Times New Roman" w:hAnsi="Times New Roman"/>
          <w:sz w:val="24"/>
          <w:szCs w:val="24"/>
        </w:rPr>
        <w:t>.</w:t>
      </w:r>
    </w:p>
    <w:p w14:paraId="7E2B8F4A" w14:textId="2140A8DB"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A grave from Kalmargården (Denmark) </w:t>
      </w:r>
      <w:r w:rsidR="00526D45">
        <w:rPr>
          <w:rFonts w:ascii="Times New Roman" w:hAnsi="Times New Roman"/>
          <w:sz w:val="24"/>
          <w:szCs w:val="24"/>
        </w:rPr>
        <w:t xml:space="preserve">may </w:t>
      </w:r>
      <w:r w:rsidRPr="0019599F">
        <w:rPr>
          <w:rFonts w:ascii="Times New Roman" w:hAnsi="Times New Roman"/>
          <w:sz w:val="24"/>
          <w:szCs w:val="24"/>
        </w:rPr>
        <w:t xml:space="preserve">also contain the remains of at least one executed individual. Two mature decapitated males </w:t>
      </w:r>
      <w:r w:rsidR="00526D45">
        <w:rPr>
          <w:rFonts w:ascii="Times New Roman" w:hAnsi="Times New Roman"/>
          <w:sz w:val="24"/>
          <w:szCs w:val="24"/>
        </w:rPr>
        <w:t xml:space="preserve">lie </w:t>
      </w:r>
      <w:r w:rsidRPr="0019599F">
        <w:rPr>
          <w:rFonts w:ascii="Times New Roman" w:hAnsi="Times New Roman"/>
          <w:sz w:val="24"/>
          <w:szCs w:val="24"/>
        </w:rPr>
        <w:t>buried in a ditch</w:t>
      </w:r>
      <w:r w:rsidR="000B0FD6" w:rsidRPr="0019599F">
        <w:rPr>
          <w:rFonts w:ascii="Times New Roman" w:hAnsi="Times New Roman"/>
          <w:sz w:val="24"/>
          <w:szCs w:val="24"/>
        </w:rPr>
        <w:t xml:space="preserve"> (Gardeła 2013b, 114). Carbon 14 analysis </w:t>
      </w:r>
      <w:r w:rsidR="00E61E52">
        <w:rPr>
          <w:rFonts w:ascii="Times New Roman" w:hAnsi="Times New Roman"/>
          <w:sz w:val="24"/>
          <w:szCs w:val="24"/>
        </w:rPr>
        <w:t xml:space="preserve">could be interpreted as </w:t>
      </w:r>
      <w:r w:rsidR="00526D45">
        <w:rPr>
          <w:rFonts w:ascii="Times New Roman" w:hAnsi="Times New Roman"/>
          <w:sz w:val="24"/>
          <w:szCs w:val="24"/>
        </w:rPr>
        <w:t>indicat</w:t>
      </w:r>
      <w:r w:rsidR="00E61E52">
        <w:rPr>
          <w:rFonts w:ascii="Times New Roman" w:hAnsi="Times New Roman"/>
          <w:sz w:val="24"/>
          <w:szCs w:val="24"/>
        </w:rPr>
        <w:t>ing</w:t>
      </w:r>
      <w:r w:rsidR="00526D45">
        <w:rPr>
          <w:rFonts w:ascii="Times New Roman" w:hAnsi="Times New Roman"/>
          <w:sz w:val="24"/>
          <w:szCs w:val="24"/>
        </w:rPr>
        <w:t xml:space="preserve"> </w:t>
      </w:r>
      <w:r w:rsidR="00393BC7" w:rsidRPr="0019599F">
        <w:rPr>
          <w:rFonts w:ascii="Times New Roman" w:hAnsi="Times New Roman"/>
          <w:sz w:val="24"/>
          <w:szCs w:val="24"/>
        </w:rPr>
        <w:t>that the two men were</w:t>
      </w:r>
      <w:r w:rsidR="000B0FD6" w:rsidRPr="0019599F">
        <w:rPr>
          <w:rFonts w:ascii="Times New Roman" w:hAnsi="Times New Roman"/>
          <w:sz w:val="24"/>
          <w:szCs w:val="24"/>
        </w:rPr>
        <w:t xml:space="preserve"> buried</w:t>
      </w:r>
      <w:r w:rsidRPr="0019599F">
        <w:rPr>
          <w:rFonts w:ascii="Times New Roman" w:hAnsi="Times New Roman"/>
          <w:sz w:val="24"/>
          <w:szCs w:val="24"/>
        </w:rPr>
        <w:t xml:space="preserve"> roughly twe</w:t>
      </w:r>
      <w:r w:rsidR="00393BC7" w:rsidRPr="0019599F">
        <w:rPr>
          <w:rFonts w:ascii="Times New Roman" w:hAnsi="Times New Roman"/>
          <w:sz w:val="24"/>
          <w:szCs w:val="24"/>
        </w:rPr>
        <w:t>nty-five years apart,</w:t>
      </w:r>
      <w:r w:rsidRPr="0019599F">
        <w:rPr>
          <w:rFonts w:ascii="Times New Roman" w:hAnsi="Times New Roman"/>
          <w:sz w:val="24"/>
          <w:szCs w:val="24"/>
        </w:rPr>
        <w:t xml:space="preserve"> dated to 1015 and 1040 respectively, which </w:t>
      </w:r>
      <w:r w:rsidR="00393BC7" w:rsidRPr="0019599F">
        <w:rPr>
          <w:rFonts w:ascii="Times New Roman" w:hAnsi="Times New Roman"/>
          <w:sz w:val="24"/>
          <w:szCs w:val="24"/>
        </w:rPr>
        <w:t xml:space="preserve">others have suggested indicates </w:t>
      </w:r>
      <w:r w:rsidRPr="0019599F">
        <w:rPr>
          <w:rFonts w:ascii="Times New Roman" w:hAnsi="Times New Roman"/>
          <w:sz w:val="24"/>
          <w:szCs w:val="24"/>
        </w:rPr>
        <w:t xml:space="preserve">that the first burial was likely marked (Gardeła 2013b, 114). </w:t>
      </w:r>
      <w:r w:rsidR="00646B70" w:rsidRPr="0019599F">
        <w:rPr>
          <w:rFonts w:ascii="Times New Roman" w:hAnsi="Times New Roman"/>
          <w:sz w:val="24"/>
          <w:szCs w:val="24"/>
        </w:rPr>
        <w:t>However</w:t>
      </w:r>
      <w:r w:rsidR="00C83316" w:rsidRPr="0019599F">
        <w:rPr>
          <w:rFonts w:ascii="Times New Roman" w:hAnsi="Times New Roman"/>
          <w:sz w:val="24"/>
          <w:szCs w:val="24"/>
        </w:rPr>
        <w:t xml:space="preserve">, </w:t>
      </w:r>
      <w:r w:rsidR="00646B70" w:rsidRPr="0019599F">
        <w:rPr>
          <w:rFonts w:ascii="Times New Roman" w:hAnsi="Times New Roman"/>
          <w:sz w:val="24"/>
          <w:szCs w:val="24"/>
        </w:rPr>
        <w:t>given the</w:t>
      </w:r>
      <w:r w:rsidR="00C83316" w:rsidRPr="0019599F">
        <w:rPr>
          <w:rFonts w:ascii="Times New Roman" w:hAnsi="Times New Roman"/>
          <w:sz w:val="24"/>
          <w:szCs w:val="24"/>
        </w:rPr>
        <w:t xml:space="preserve"> range of considerations that always applies to Carbon 14 dating, </w:t>
      </w:r>
      <w:r w:rsidR="00393BC7" w:rsidRPr="0019599F">
        <w:rPr>
          <w:rFonts w:ascii="Times New Roman" w:hAnsi="Times New Roman"/>
          <w:sz w:val="24"/>
          <w:szCs w:val="24"/>
        </w:rPr>
        <w:t>it</w:t>
      </w:r>
      <w:r w:rsidR="00646B70" w:rsidRPr="0019599F">
        <w:rPr>
          <w:rFonts w:ascii="Times New Roman" w:hAnsi="Times New Roman"/>
          <w:sz w:val="24"/>
          <w:szCs w:val="24"/>
        </w:rPr>
        <w:t xml:space="preserve"> is</w:t>
      </w:r>
      <w:r w:rsidR="00393BC7" w:rsidRPr="0019599F">
        <w:rPr>
          <w:rFonts w:ascii="Times New Roman" w:hAnsi="Times New Roman"/>
          <w:sz w:val="24"/>
          <w:szCs w:val="24"/>
        </w:rPr>
        <w:t xml:space="preserve"> difficult to be certain that these were not contemporaneous burials</w:t>
      </w:r>
      <w:r w:rsidR="003B339D" w:rsidRPr="0019599F">
        <w:rPr>
          <w:rFonts w:ascii="Times New Roman" w:hAnsi="Times New Roman"/>
          <w:sz w:val="24"/>
          <w:szCs w:val="24"/>
        </w:rPr>
        <w:t>.</w:t>
      </w:r>
      <w:r w:rsidR="00525B7D">
        <w:rPr>
          <w:rFonts w:ascii="Times New Roman" w:hAnsi="Times New Roman"/>
          <w:sz w:val="24"/>
          <w:szCs w:val="24"/>
        </w:rPr>
        <w:t xml:space="preserve"> </w:t>
      </w:r>
      <w:r w:rsidRPr="0019599F">
        <w:rPr>
          <w:rFonts w:ascii="Times New Roman" w:hAnsi="Times New Roman"/>
          <w:sz w:val="24"/>
          <w:szCs w:val="24"/>
        </w:rPr>
        <w:t xml:space="preserve">The man apparently buried first, the skeleton to the west, was laid in a supine position with his decapitated head placed between his legs (Gardeła 2013b, 114). The eastern skeleton was laid partially on one side, exhibiting slight flexion in the legs, arms crossed at the chest, and his decapitated skull placed between his legs (Gardeła 2013b, 114). While the western skeleton was oriented with the upper body to the north and the eastern skeleton to the northeast, this orientation </w:t>
      </w:r>
      <w:r w:rsidR="00E61E52">
        <w:rPr>
          <w:rFonts w:ascii="Times New Roman" w:hAnsi="Times New Roman"/>
          <w:sz w:val="24"/>
          <w:szCs w:val="24"/>
        </w:rPr>
        <w:t xml:space="preserve">is not necessarily </w:t>
      </w:r>
      <w:r w:rsidRPr="0019599F">
        <w:rPr>
          <w:rFonts w:ascii="Times New Roman" w:hAnsi="Times New Roman"/>
          <w:sz w:val="24"/>
          <w:szCs w:val="24"/>
        </w:rPr>
        <w:t xml:space="preserve">significant, </w:t>
      </w:r>
      <w:r w:rsidR="00E61E52">
        <w:rPr>
          <w:rFonts w:ascii="Times New Roman" w:hAnsi="Times New Roman"/>
          <w:sz w:val="24"/>
          <w:szCs w:val="24"/>
        </w:rPr>
        <w:t xml:space="preserve">given </w:t>
      </w:r>
      <w:r w:rsidRPr="0019599F">
        <w:rPr>
          <w:rFonts w:ascii="Times New Roman" w:hAnsi="Times New Roman"/>
          <w:sz w:val="24"/>
          <w:szCs w:val="24"/>
        </w:rPr>
        <w:t xml:space="preserve">the great variation of grave orientation in southeast Scandinavia at this time (Svanberg 2003, 25-130). What is significant is the pathology of the eastern skeleton. Gardeła remarks that the cut from the decapitation actually goes through the cranial base and the face (Gardeła 2013b, 114). We suggest that the man may have been kneeling with his chin to his chest at the time of decapitation, which points to execution, whether judicial or otherwise. This possibility is strengthened by his apparently careless deposition in a ditch. Of course, the western individual may also have been executed, </w:t>
      </w:r>
      <w:r w:rsidR="00E61E52">
        <w:rPr>
          <w:rFonts w:ascii="Times New Roman" w:hAnsi="Times New Roman"/>
          <w:sz w:val="24"/>
          <w:szCs w:val="24"/>
        </w:rPr>
        <w:t xml:space="preserve">even though </w:t>
      </w:r>
      <w:r w:rsidRPr="0019599F">
        <w:rPr>
          <w:rFonts w:ascii="Times New Roman" w:hAnsi="Times New Roman"/>
          <w:sz w:val="24"/>
          <w:szCs w:val="24"/>
        </w:rPr>
        <w:t xml:space="preserve">he appears to have been laid out more carefully. </w:t>
      </w:r>
    </w:p>
    <w:p w14:paraId="6824F8B3" w14:textId="48C84485"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While these two graves are probably the best candidates for executed individuals, a number of further graves are </w:t>
      </w:r>
      <w:r w:rsidR="000E7E40">
        <w:rPr>
          <w:rFonts w:ascii="Times New Roman" w:hAnsi="Times New Roman"/>
          <w:sz w:val="24"/>
          <w:szCs w:val="24"/>
        </w:rPr>
        <w:t>suggestive of execution</w:t>
      </w:r>
      <w:r w:rsidRPr="0019599F">
        <w:rPr>
          <w:rFonts w:ascii="Times New Roman" w:hAnsi="Times New Roman"/>
          <w:sz w:val="24"/>
          <w:szCs w:val="24"/>
        </w:rPr>
        <w:t xml:space="preserve"> and demonstrative of mutilation. Grave 3 from Fjälkinge (Sweden) is a double grave, containing two superimposed individuals (Gardeła 2013b, 115). </w:t>
      </w:r>
      <w:r w:rsidR="00E61E52" w:rsidRPr="0019599F">
        <w:rPr>
          <w:rFonts w:ascii="Times New Roman" w:hAnsi="Times New Roman"/>
          <w:sz w:val="24"/>
          <w:szCs w:val="24"/>
        </w:rPr>
        <w:t>Not</w:t>
      </w:r>
      <w:r w:rsidR="00E61E52">
        <w:rPr>
          <w:rFonts w:ascii="Times New Roman" w:hAnsi="Times New Roman"/>
          <w:sz w:val="24"/>
          <w:szCs w:val="24"/>
        </w:rPr>
        <w:t xml:space="preserve"> </w:t>
      </w:r>
      <w:r w:rsidR="00E61E52" w:rsidRPr="0019599F">
        <w:rPr>
          <w:rFonts w:ascii="Times New Roman" w:hAnsi="Times New Roman"/>
          <w:sz w:val="24"/>
          <w:szCs w:val="24"/>
        </w:rPr>
        <w:t xml:space="preserve">only </w:t>
      </w:r>
      <w:r w:rsidR="00E61E52">
        <w:rPr>
          <w:rFonts w:ascii="Times New Roman" w:hAnsi="Times New Roman"/>
          <w:sz w:val="24"/>
          <w:szCs w:val="24"/>
        </w:rPr>
        <w:t>is t</w:t>
      </w:r>
      <w:r w:rsidRPr="0019599F">
        <w:rPr>
          <w:rFonts w:ascii="Times New Roman" w:hAnsi="Times New Roman"/>
          <w:sz w:val="24"/>
          <w:szCs w:val="24"/>
        </w:rPr>
        <w:t xml:space="preserve">he upper skeleton decapitated but it also seems that the </w:t>
      </w:r>
      <w:r w:rsidR="00D03D40">
        <w:rPr>
          <w:rFonts w:ascii="Times New Roman" w:hAnsi="Times New Roman"/>
          <w:sz w:val="24"/>
          <w:szCs w:val="24"/>
        </w:rPr>
        <w:t>‘</w:t>
      </w:r>
      <w:r w:rsidRPr="0019599F">
        <w:rPr>
          <w:rFonts w:ascii="Times New Roman" w:hAnsi="Times New Roman"/>
          <w:sz w:val="24"/>
          <w:szCs w:val="24"/>
        </w:rPr>
        <w:t>lower bones and feet [were] cut off</w:t>
      </w:r>
      <w:r w:rsidR="00D03D40">
        <w:rPr>
          <w:rFonts w:ascii="Times New Roman" w:hAnsi="Times New Roman"/>
          <w:sz w:val="24"/>
          <w:szCs w:val="24"/>
        </w:rPr>
        <w:t>’</w:t>
      </w:r>
      <w:r w:rsidRPr="0019599F">
        <w:rPr>
          <w:rFonts w:ascii="Times New Roman" w:hAnsi="Times New Roman"/>
          <w:sz w:val="24"/>
          <w:szCs w:val="24"/>
        </w:rPr>
        <w:t xml:space="preserve"> (Gardeła 2013b, 115). </w:t>
      </w:r>
      <w:r w:rsidR="00E61E52">
        <w:rPr>
          <w:rFonts w:ascii="Times New Roman" w:hAnsi="Times New Roman"/>
          <w:sz w:val="24"/>
          <w:szCs w:val="24"/>
        </w:rPr>
        <w:t>T</w:t>
      </w:r>
      <w:r w:rsidRPr="0019599F">
        <w:rPr>
          <w:rFonts w:ascii="Times New Roman" w:hAnsi="Times New Roman"/>
          <w:sz w:val="24"/>
          <w:szCs w:val="24"/>
        </w:rPr>
        <w:t xml:space="preserve">heir loss </w:t>
      </w:r>
      <w:r w:rsidR="00E61E52">
        <w:rPr>
          <w:rFonts w:ascii="Times New Roman" w:hAnsi="Times New Roman"/>
          <w:sz w:val="24"/>
          <w:szCs w:val="24"/>
        </w:rPr>
        <w:t xml:space="preserve">cannot be attributed </w:t>
      </w:r>
      <w:r w:rsidRPr="0019599F">
        <w:rPr>
          <w:rFonts w:ascii="Times New Roman" w:hAnsi="Times New Roman"/>
          <w:sz w:val="24"/>
          <w:szCs w:val="24"/>
        </w:rPr>
        <w:t xml:space="preserve">to taphonomic disturbances (Svanberg 2003, 301). A burial from Gerdrup (Denmark) has been interpreted by David Wilson and others as possibly the grave of a convicted murderer </w:t>
      </w:r>
      <w:r w:rsidR="000E7E40">
        <w:rPr>
          <w:rFonts w:ascii="Times New Roman" w:hAnsi="Times New Roman"/>
          <w:sz w:val="24"/>
          <w:szCs w:val="24"/>
        </w:rPr>
        <w:t>–</w:t>
      </w:r>
      <w:r w:rsidRPr="0019599F">
        <w:rPr>
          <w:rFonts w:ascii="Times New Roman" w:hAnsi="Times New Roman"/>
          <w:sz w:val="24"/>
          <w:szCs w:val="24"/>
        </w:rPr>
        <w:t xml:space="preserve"> whose twisted cervical vertebrae suggest he died by hanging </w:t>
      </w:r>
      <w:r w:rsidR="000E7E40">
        <w:rPr>
          <w:rFonts w:ascii="Times New Roman" w:hAnsi="Times New Roman"/>
          <w:sz w:val="24"/>
          <w:szCs w:val="24"/>
        </w:rPr>
        <w:t>–</w:t>
      </w:r>
      <w:r w:rsidRPr="0019599F">
        <w:rPr>
          <w:rFonts w:ascii="Times New Roman" w:hAnsi="Times New Roman"/>
          <w:sz w:val="24"/>
          <w:szCs w:val="24"/>
        </w:rPr>
        <w:t xml:space="preserve"> and his victim (Wilson 2008, 34; Dutton 2016, 200-</w:t>
      </w:r>
      <w:r w:rsidR="000E7E40">
        <w:rPr>
          <w:rFonts w:ascii="Times New Roman" w:hAnsi="Times New Roman"/>
          <w:sz w:val="24"/>
          <w:szCs w:val="24"/>
        </w:rPr>
        <w:t>0</w:t>
      </w:r>
      <w:r w:rsidRPr="0019599F">
        <w:rPr>
          <w:rFonts w:ascii="Times New Roman" w:hAnsi="Times New Roman"/>
          <w:sz w:val="24"/>
          <w:szCs w:val="24"/>
        </w:rPr>
        <w:t>1); though Gardeła sees it as more likely to be the grave of a woman associated with magic and her slave (Gardeła 2013a, 117-</w:t>
      </w:r>
      <w:r w:rsidR="000E7E40">
        <w:rPr>
          <w:rFonts w:ascii="Times New Roman" w:hAnsi="Times New Roman"/>
          <w:sz w:val="24"/>
          <w:szCs w:val="24"/>
        </w:rPr>
        <w:t>1</w:t>
      </w:r>
      <w:r w:rsidRPr="0019599F">
        <w:rPr>
          <w:rFonts w:ascii="Times New Roman" w:hAnsi="Times New Roman"/>
          <w:sz w:val="24"/>
          <w:szCs w:val="24"/>
        </w:rPr>
        <w:t xml:space="preserve">8). Furthermore, Gardeła notes a number of graves that demonstrate a Scandinavian tradition of weighting or </w:t>
      </w:r>
      <w:commentRangeStart w:id="19"/>
      <w:r w:rsidRPr="0019599F">
        <w:rPr>
          <w:rFonts w:ascii="Times New Roman" w:hAnsi="Times New Roman"/>
          <w:sz w:val="24"/>
          <w:szCs w:val="24"/>
        </w:rPr>
        <w:t>stoning</w:t>
      </w:r>
      <w:commentRangeEnd w:id="19"/>
      <w:r w:rsidR="00E61E52">
        <w:rPr>
          <w:rStyle w:val="CommentReference"/>
          <w:rFonts w:ascii="Times New Roman" w:hAnsi="Times New Roman" w:cs="Times New Roman"/>
          <w:color w:val="auto"/>
          <w:lang w:eastAsia="en-US"/>
        </w:rPr>
        <w:commentReference w:id="19"/>
      </w:r>
      <w:r w:rsidRPr="0019599F">
        <w:rPr>
          <w:rFonts w:ascii="Times New Roman" w:hAnsi="Times New Roman"/>
          <w:sz w:val="24"/>
          <w:szCs w:val="24"/>
        </w:rPr>
        <w:t xml:space="preserve"> bodies; differentiating one from the other is difficult (Gardeła 2013a, 117-20).</w:t>
      </w:r>
    </w:p>
    <w:p w14:paraId="6D65DDBD" w14:textId="6417F65F"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lastRenderedPageBreak/>
        <w:t xml:space="preserve">      How do Gardeła</w:t>
      </w:r>
      <w:r w:rsidR="00D03D40">
        <w:rPr>
          <w:rFonts w:ascii="Times New Roman" w:hAnsi="Times New Roman"/>
          <w:sz w:val="24"/>
          <w:szCs w:val="24"/>
        </w:rPr>
        <w:t>’</w:t>
      </w:r>
      <w:r w:rsidRPr="0019599F">
        <w:rPr>
          <w:rFonts w:ascii="Times New Roman" w:hAnsi="Times New Roman"/>
          <w:sz w:val="24"/>
          <w:szCs w:val="24"/>
        </w:rPr>
        <w:t>s inferences sit with the textual sources explored above? The first observation that comes from the Scandinavian archaeology is that execution and judicial viole</w:t>
      </w:r>
      <w:r w:rsidR="00096560">
        <w:rPr>
          <w:rFonts w:ascii="Times New Roman" w:hAnsi="Times New Roman"/>
          <w:sz w:val="24"/>
          <w:szCs w:val="24"/>
        </w:rPr>
        <w:t>nce were not nearly as visible</w:t>
      </w:r>
      <w:r w:rsidRPr="0019599F">
        <w:rPr>
          <w:rFonts w:ascii="Times New Roman" w:hAnsi="Times New Roman"/>
          <w:sz w:val="24"/>
          <w:szCs w:val="24"/>
        </w:rPr>
        <w:t xml:space="preserve"> nor as widespread as they were in England at the same time. This holds up very well with what we can synthesize from the textual sources. </w:t>
      </w:r>
      <w:r w:rsidR="00096560">
        <w:rPr>
          <w:rFonts w:ascii="Times New Roman" w:hAnsi="Times New Roman"/>
          <w:sz w:val="24"/>
          <w:szCs w:val="24"/>
        </w:rPr>
        <w:t xml:space="preserve">Given that </w:t>
      </w:r>
      <w:r w:rsidRPr="0019599F">
        <w:rPr>
          <w:rFonts w:ascii="Times New Roman" w:hAnsi="Times New Roman"/>
          <w:sz w:val="24"/>
          <w:szCs w:val="24"/>
        </w:rPr>
        <w:t xml:space="preserve">many of the texts suggest that outlawry was a more common punishment than maiming or execution (Larson 1935, 17), we would not expect to find many individuals exhibiting signs of judicial violence in the archaeology. Furthermore, what archaeological evidence we have for judicial violence in Scandinavia fails to support the idea that the incredible executions depicted in the mythical literary texts had any known </w:t>
      </w:r>
      <w:r w:rsidR="00D03D40">
        <w:rPr>
          <w:rFonts w:ascii="Times New Roman" w:hAnsi="Times New Roman"/>
          <w:sz w:val="24"/>
          <w:szCs w:val="24"/>
        </w:rPr>
        <w:t>‘</w:t>
      </w:r>
      <w:r w:rsidRPr="0019599F">
        <w:rPr>
          <w:rFonts w:ascii="Times New Roman" w:hAnsi="Times New Roman"/>
          <w:sz w:val="24"/>
          <w:szCs w:val="24"/>
        </w:rPr>
        <w:t>real world</w:t>
      </w:r>
      <w:r w:rsidR="00D03D40">
        <w:rPr>
          <w:rFonts w:ascii="Times New Roman" w:hAnsi="Times New Roman"/>
          <w:sz w:val="24"/>
          <w:szCs w:val="24"/>
        </w:rPr>
        <w:t>’</w:t>
      </w:r>
      <w:r w:rsidRPr="0019599F">
        <w:rPr>
          <w:rFonts w:ascii="Times New Roman" w:hAnsi="Times New Roman"/>
          <w:sz w:val="24"/>
          <w:szCs w:val="24"/>
        </w:rPr>
        <w:t xml:space="preserve"> counterparts (Larrington 1996, Dronke 1969). The two forms of execution that do show up in the archaeology are precisely those the textual evidence would lead us to expect: decapitations, with a few possible hangings (Gardeła 2013a, Gardeła 2013b, Peel 2015, Larson 1935). It is also worth noting that we have evidence for the removal of both feet and arms, the two most common mutilations mentioned in the legal texts (Gardeła 2013a, Gardeła 2013b, Peel 2015, Larson 1935). Intriguingly, there is little evidence in the Scandinavian deviant burial corpus for the display of executed bodies at this time. This is </w:t>
      </w:r>
      <w:r w:rsidR="00096560">
        <w:rPr>
          <w:rFonts w:ascii="Times New Roman" w:hAnsi="Times New Roman"/>
          <w:sz w:val="24"/>
          <w:szCs w:val="24"/>
        </w:rPr>
        <w:t>particularly noteworthy</w:t>
      </w:r>
      <w:r w:rsidRPr="0019599F">
        <w:rPr>
          <w:rFonts w:ascii="Times New Roman" w:hAnsi="Times New Roman"/>
          <w:sz w:val="24"/>
          <w:szCs w:val="24"/>
        </w:rPr>
        <w:t xml:space="preserve"> given the provision in the </w:t>
      </w:r>
      <w:r w:rsidRPr="0019599F">
        <w:rPr>
          <w:rFonts w:ascii="Times New Roman" w:hAnsi="Times New Roman"/>
          <w:i/>
          <w:iCs/>
          <w:sz w:val="24"/>
          <w:szCs w:val="24"/>
        </w:rPr>
        <w:t xml:space="preserve">Gulathing </w:t>
      </w:r>
      <w:r w:rsidRPr="0019599F">
        <w:rPr>
          <w:rFonts w:ascii="Times New Roman" w:hAnsi="Times New Roman"/>
          <w:sz w:val="24"/>
          <w:szCs w:val="24"/>
        </w:rPr>
        <w:t xml:space="preserve">law </w:t>
      </w:r>
      <w:r w:rsidR="00E61E52">
        <w:rPr>
          <w:rFonts w:ascii="Times New Roman" w:hAnsi="Times New Roman"/>
          <w:sz w:val="24"/>
          <w:szCs w:val="24"/>
        </w:rPr>
        <w:t xml:space="preserve">to the effect </w:t>
      </w:r>
      <w:r w:rsidRPr="0019599F">
        <w:rPr>
          <w:rFonts w:ascii="Times New Roman" w:hAnsi="Times New Roman"/>
          <w:sz w:val="24"/>
          <w:szCs w:val="24"/>
        </w:rPr>
        <w:t>that leaving a body unburied is highly dishonourable (Larson 1935, 160).</w:t>
      </w:r>
      <w:r w:rsidRPr="0019599F">
        <w:rPr>
          <w:rFonts w:ascii="Times New Roman" w:eastAsia="Times New Roman" w:hAnsi="Times New Roman" w:cs="Times New Roman"/>
          <w:sz w:val="24"/>
          <w:szCs w:val="24"/>
          <w:vertAlign w:val="superscript"/>
        </w:rPr>
        <w:footnoteReference w:id="41"/>
      </w:r>
    </w:p>
    <w:p w14:paraId="18075908" w14:textId="5859E0DA"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A second observation can be made by noting that the graves that do contain evidence of execution and maiming are often found in normative cemeteries among normative burials, even in the graveyards of important centres and proto-towns like Hedeby and Birka (Gardeła 2013a 109-10).</w:t>
      </w:r>
      <w:r w:rsidRPr="0019599F">
        <w:rPr>
          <w:rFonts w:ascii="Times New Roman" w:eastAsia="Times New Roman" w:hAnsi="Times New Roman" w:cs="Times New Roman"/>
          <w:sz w:val="24"/>
          <w:szCs w:val="24"/>
          <w:vertAlign w:val="superscript"/>
        </w:rPr>
        <w:footnoteReference w:id="42"/>
      </w:r>
      <w:r w:rsidRPr="0019599F">
        <w:rPr>
          <w:rFonts w:ascii="Times New Roman" w:hAnsi="Times New Roman"/>
          <w:sz w:val="24"/>
          <w:szCs w:val="24"/>
        </w:rPr>
        <w:t xml:space="preserve"> </w:t>
      </w:r>
      <w:r w:rsidR="00E61E52">
        <w:rPr>
          <w:rFonts w:ascii="Times New Roman" w:hAnsi="Times New Roman"/>
          <w:sz w:val="24"/>
          <w:szCs w:val="24"/>
        </w:rPr>
        <w:t>C</w:t>
      </w:r>
      <w:r w:rsidRPr="0019599F">
        <w:rPr>
          <w:rFonts w:ascii="Times New Roman" w:hAnsi="Times New Roman"/>
          <w:sz w:val="24"/>
          <w:szCs w:val="24"/>
        </w:rPr>
        <w:t>riminal deviants may not have been so ostracized by society that their remains warranted a separate place of disposal, as seems to have been the case in England (Gardeła 2013a</w:t>
      </w:r>
      <w:r w:rsidR="005D0E86">
        <w:rPr>
          <w:rFonts w:ascii="Times New Roman" w:hAnsi="Times New Roman"/>
          <w:sz w:val="24"/>
          <w:szCs w:val="24"/>
        </w:rPr>
        <w:t>,</w:t>
      </w:r>
      <w:r w:rsidRPr="0019599F">
        <w:rPr>
          <w:rFonts w:ascii="Times New Roman" w:hAnsi="Times New Roman"/>
          <w:sz w:val="24"/>
          <w:szCs w:val="24"/>
        </w:rPr>
        <w:t xml:space="preserve"> 109-10). Unfortunately, the texts are silent in this regard, but comment can still be made. While </w:t>
      </w:r>
      <w:commentRangeStart w:id="20"/>
      <w:r w:rsidRPr="0019599F">
        <w:rPr>
          <w:rFonts w:ascii="Times New Roman" w:hAnsi="Times New Roman"/>
          <w:sz w:val="24"/>
          <w:szCs w:val="24"/>
        </w:rPr>
        <w:t>an outlaw lives entirely beyond the fringes of a normative society</w:t>
      </w:r>
      <w:commentRangeEnd w:id="20"/>
      <w:r w:rsidR="00E61E52">
        <w:rPr>
          <w:rStyle w:val="CommentReference"/>
          <w:rFonts w:ascii="Times New Roman" w:hAnsi="Times New Roman" w:cs="Times New Roman"/>
          <w:color w:val="auto"/>
          <w:lang w:eastAsia="en-US"/>
        </w:rPr>
        <w:commentReference w:id="20"/>
      </w:r>
      <w:r w:rsidRPr="0019599F">
        <w:rPr>
          <w:rFonts w:ascii="Times New Roman" w:hAnsi="Times New Roman"/>
          <w:sz w:val="24"/>
          <w:szCs w:val="24"/>
        </w:rPr>
        <w:t xml:space="preserve">, making them unlikely additions to communal cemeteries, what of executed criminals? </w:t>
      </w:r>
      <w:r w:rsidR="00460911">
        <w:rPr>
          <w:rFonts w:ascii="Times New Roman" w:hAnsi="Times New Roman"/>
          <w:sz w:val="24"/>
          <w:szCs w:val="24"/>
        </w:rPr>
        <w:t xml:space="preserve">Bearing in mind </w:t>
      </w:r>
      <w:r w:rsidRPr="0019599F">
        <w:rPr>
          <w:rFonts w:ascii="Times New Roman" w:hAnsi="Times New Roman"/>
          <w:sz w:val="24"/>
          <w:szCs w:val="24"/>
        </w:rPr>
        <w:t>cemeteries like those at Hedeby (Eisenschmidt 2011) and Birka (Gräslund 1980), or even smaller ones like at Fjä</w:t>
      </w:r>
      <w:r w:rsidRPr="0019599F">
        <w:rPr>
          <w:rFonts w:ascii="Times New Roman" w:hAnsi="Times New Roman"/>
          <w:sz w:val="24"/>
          <w:szCs w:val="24"/>
          <w:lang w:val="nl-NL"/>
        </w:rPr>
        <w:t>lkinge (Garde</w:t>
      </w:r>
      <w:r w:rsidRPr="0019599F">
        <w:rPr>
          <w:rFonts w:ascii="Times New Roman" w:hAnsi="Times New Roman"/>
          <w:sz w:val="24"/>
          <w:szCs w:val="24"/>
        </w:rPr>
        <w:t>ła 2013b, 115; Svanberg 2003, 301), there appears to be a strong tradition in Viking-Age Scandinavia of using</w:t>
      </w:r>
      <w:r w:rsidR="00972F53">
        <w:rPr>
          <w:rFonts w:ascii="Times New Roman" w:hAnsi="Times New Roman"/>
          <w:sz w:val="24"/>
          <w:szCs w:val="24"/>
        </w:rPr>
        <w:t xml:space="preserve"> cemeteries for remarkably long </w:t>
      </w:r>
      <w:r w:rsidRPr="0019599F">
        <w:rPr>
          <w:rFonts w:ascii="Times New Roman" w:hAnsi="Times New Roman"/>
          <w:sz w:val="24"/>
          <w:szCs w:val="24"/>
        </w:rPr>
        <w:t xml:space="preserve">periods of time. These cemeteries exhibit immense variation across their constituents, displaying everything from apotropaic practices, through pre-Christian ritual activity, cremation, and Christian burial, to several possible examples of judicially-executed or maimed individuals (Gardeła 2013a, Gardeła 2013b, Svanberg 2003, 17-149). </w:t>
      </w:r>
      <w:r w:rsidR="00460911">
        <w:rPr>
          <w:rFonts w:ascii="Times New Roman" w:hAnsi="Times New Roman"/>
          <w:sz w:val="24"/>
          <w:szCs w:val="24"/>
        </w:rPr>
        <w:t>I</w:t>
      </w:r>
      <w:r w:rsidRPr="0019599F">
        <w:rPr>
          <w:rFonts w:ascii="Times New Roman" w:hAnsi="Times New Roman"/>
          <w:sz w:val="24"/>
          <w:szCs w:val="24"/>
        </w:rPr>
        <w:t>t may be most productive to consider these sorts of cemeteries simply as specific places to dispose of the dead, regardless of creed or deed – complex places that could accommodate Christian and pre-Christian, law-abiding and criminal deviant alike. This interpretation seems to be corroborated by the evidence that Svanberg presents (Svanberg 2003, 17-149), and, given the ad</w:t>
      </w:r>
      <w:r w:rsidR="00096560">
        <w:rPr>
          <w:rFonts w:ascii="Times New Roman" w:hAnsi="Times New Roman"/>
          <w:sz w:val="24"/>
          <w:szCs w:val="24"/>
        </w:rPr>
        <w:t xml:space="preserve"> </w:t>
      </w:r>
      <w:r w:rsidRPr="0019599F">
        <w:rPr>
          <w:rFonts w:ascii="Times New Roman" w:hAnsi="Times New Roman"/>
          <w:sz w:val="24"/>
          <w:szCs w:val="24"/>
        </w:rPr>
        <w:t xml:space="preserve">hoc basis on which judicial violence seems to have been conducted by Viking-Age Scandinavians (Larson 1935, 129, 165, 263, 398), it would make sense </w:t>
      </w:r>
      <w:r w:rsidRPr="0019599F">
        <w:rPr>
          <w:rFonts w:ascii="Times New Roman" w:hAnsi="Times New Roman"/>
          <w:sz w:val="24"/>
          <w:szCs w:val="24"/>
        </w:rPr>
        <w:lastRenderedPageBreak/>
        <w:t>to simply dispose of the body wherever would be most convenient – in this case, likely the local cemetery.</w:t>
      </w:r>
    </w:p>
    <w:p w14:paraId="698A93E3" w14:textId="0AC294F6" w:rsidR="00330AFC" w:rsidRDefault="00536562" w:rsidP="00460911">
      <w:pPr>
        <w:pStyle w:val="BodyA"/>
        <w:spacing w:line="240" w:lineRule="auto"/>
        <w:rPr>
          <w:rFonts w:ascii="Times New Roman" w:hAnsi="Times New Roman"/>
          <w:sz w:val="24"/>
          <w:szCs w:val="24"/>
        </w:rPr>
      </w:pPr>
      <w:r w:rsidRPr="0019599F">
        <w:rPr>
          <w:rFonts w:ascii="Times New Roman" w:hAnsi="Times New Roman"/>
          <w:sz w:val="24"/>
          <w:szCs w:val="24"/>
        </w:rPr>
        <w:t xml:space="preserve">      </w:t>
      </w:r>
      <w:r w:rsidR="00460911">
        <w:rPr>
          <w:rFonts w:ascii="Times New Roman" w:hAnsi="Times New Roman"/>
          <w:sz w:val="24"/>
          <w:szCs w:val="24"/>
        </w:rPr>
        <w:t>I</w:t>
      </w:r>
      <w:r w:rsidRPr="0019599F">
        <w:rPr>
          <w:rFonts w:ascii="Times New Roman" w:hAnsi="Times New Roman"/>
          <w:sz w:val="24"/>
          <w:szCs w:val="24"/>
        </w:rPr>
        <w:t>n comparing the English and Scandinavian contexts for judicial violence, it is clear that we are dealing with two very distinct frameworks with their own features and punitive attitudes.</w:t>
      </w:r>
      <w:r w:rsidRPr="0019599F">
        <w:rPr>
          <w:rFonts w:ascii="Times New Roman" w:eastAsia="Times New Roman" w:hAnsi="Times New Roman" w:cs="Times New Roman"/>
          <w:sz w:val="24"/>
          <w:szCs w:val="24"/>
          <w:vertAlign w:val="superscript"/>
        </w:rPr>
        <w:footnoteReference w:id="43"/>
      </w:r>
      <w:r w:rsidR="00460911">
        <w:rPr>
          <w:rFonts w:ascii="Times New Roman" w:hAnsi="Times New Roman"/>
          <w:sz w:val="24"/>
          <w:szCs w:val="24"/>
        </w:rPr>
        <w:t xml:space="preserve"> </w:t>
      </w:r>
      <w:r w:rsidRPr="0019599F">
        <w:rPr>
          <w:rFonts w:ascii="Times New Roman" w:hAnsi="Times New Roman"/>
          <w:sz w:val="24"/>
          <w:szCs w:val="24"/>
        </w:rPr>
        <w:t>As demonstrated, the top-down English system of judicial violence is remarkably regimented</w:t>
      </w:r>
      <w:r w:rsidR="00096560">
        <w:rPr>
          <w:rFonts w:ascii="Times New Roman" w:hAnsi="Times New Roman"/>
          <w:sz w:val="24"/>
          <w:szCs w:val="24"/>
        </w:rPr>
        <w:t xml:space="preserve">, </w:t>
      </w:r>
      <w:r w:rsidRPr="0019599F">
        <w:rPr>
          <w:rFonts w:ascii="Times New Roman" w:hAnsi="Times New Roman"/>
          <w:sz w:val="24"/>
          <w:szCs w:val="24"/>
        </w:rPr>
        <w:t xml:space="preserve">making its Scandinavian counterpart seem loosely defined by comparison. </w:t>
      </w:r>
      <w:r w:rsidR="00972F53">
        <w:rPr>
          <w:rFonts w:ascii="Times New Roman" w:hAnsi="Times New Roman"/>
          <w:sz w:val="24"/>
          <w:szCs w:val="24"/>
        </w:rPr>
        <w:t>On the other hand</w:t>
      </w:r>
      <w:r w:rsidRPr="0019599F">
        <w:rPr>
          <w:rFonts w:ascii="Times New Roman" w:hAnsi="Times New Roman"/>
          <w:sz w:val="24"/>
          <w:szCs w:val="24"/>
        </w:rPr>
        <w:t xml:space="preserve">, loose definition does not preclude sophistication. The Scandinavian system, with its concern for local social stability, suggests a more bottom-up approach. For example, if laws are enforced on a local level by semi-official members of the community (Larson 1935), the prevalence of outlawry as a punishment for criminal deviance is quite logical. It is more efficient to rule that a criminal is no longer a free member of society than to set in train the multiple legal steps toward a formal execution, such as those noted in the </w:t>
      </w:r>
      <w:r w:rsidRPr="0019599F">
        <w:rPr>
          <w:rFonts w:ascii="Times New Roman" w:hAnsi="Times New Roman"/>
          <w:i/>
          <w:iCs/>
          <w:sz w:val="24"/>
          <w:szCs w:val="24"/>
        </w:rPr>
        <w:t>Gulathing law</w:t>
      </w:r>
      <w:r w:rsidRPr="0019599F">
        <w:rPr>
          <w:rFonts w:ascii="Times New Roman" w:hAnsi="Times New Roman"/>
          <w:sz w:val="24"/>
          <w:szCs w:val="24"/>
        </w:rPr>
        <w:t xml:space="preserve"> (Larson 1935, 129). Though structurally distinct from the English system, the Scandinavian approach too creates a feedback loop in its bottom-up framework, keeping the population in order. With the freemen of the region meeting to decide the fate of the indicted individual, even if they did not actively participate in carrying out the sentence, the reality of the execution, maiming, or outlawing would be inescapable for them, and they would naturally carry news of it back to whichever corner of the district they came from. Thus, these two systems, though different in scope and scale, accomplish similar goals and reinforce specific legal norms in their respective societies.</w:t>
      </w:r>
    </w:p>
    <w:p w14:paraId="3867D0B7" w14:textId="77777777" w:rsidR="00096560" w:rsidRPr="0019599F" w:rsidRDefault="00096560" w:rsidP="0019599F">
      <w:pPr>
        <w:pStyle w:val="BodyA"/>
        <w:spacing w:line="240" w:lineRule="auto"/>
        <w:ind w:firstLine="720"/>
        <w:rPr>
          <w:rFonts w:ascii="Times New Roman" w:eastAsia="Times New Roman" w:hAnsi="Times New Roman" w:cs="Times New Roman"/>
          <w:sz w:val="24"/>
          <w:szCs w:val="24"/>
        </w:rPr>
      </w:pPr>
    </w:p>
    <w:p w14:paraId="2F403BA7" w14:textId="77777777"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i/>
          <w:iCs/>
          <w:sz w:val="24"/>
          <w:szCs w:val="24"/>
        </w:rPr>
        <w:t>The Reign of Knútr</w:t>
      </w:r>
    </w:p>
    <w:p w14:paraId="61E673F1" w14:textId="77777777" w:rsidR="00096560" w:rsidRDefault="00096560" w:rsidP="00096560">
      <w:pPr>
        <w:pStyle w:val="BodyA"/>
        <w:spacing w:line="240" w:lineRule="auto"/>
        <w:rPr>
          <w:rFonts w:ascii="Times New Roman" w:hAnsi="Times New Roman"/>
          <w:sz w:val="24"/>
          <w:szCs w:val="24"/>
        </w:rPr>
      </w:pPr>
    </w:p>
    <w:p w14:paraId="1C7155D4" w14:textId="371F880F"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Knútr the Great</w:t>
      </w:r>
      <w:r w:rsidR="00D03D40">
        <w:rPr>
          <w:rFonts w:ascii="Times New Roman" w:hAnsi="Times New Roman"/>
          <w:sz w:val="24"/>
          <w:szCs w:val="24"/>
        </w:rPr>
        <w:t>’</w:t>
      </w:r>
      <w:r w:rsidRPr="0019599F">
        <w:rPr>
          <w:rFonts w:ascii="Times New Roman" w:hAnsi="Times New Roman"/>
          <w:sz w:val="24"/>
          <w:szCs w:val="24"/>
        </w:rPr>
        <w:t xml:space="preserve">s English reign stands as a unique period in which to explore the potential for these </w:t>
      </w:r>
      <w:r w:rsidR="00460911">
        <w:rPr>
          <w:rFonts w:ascii="Times New Roman" w:hAnsi="Times New Roman"/>
          <w:sz w:val="24"/>
          <w:szCs w:val="24"/>
        </w:rPr>
        <w:t xml:space="preserve">two </w:t>
      </w:r>
      <w:r w:rsidRPr="0019599F">
        <w:rPr>
          <w:rFonts w:ascii="Times New Roman" w:hAnsi="Times New Roman"/>
          <w:sz w:val="24"/>
          <w:szCs w:val="24"/>
        </w:rPr>
        <w:t>s</w:t>
      </w:r>
      <w:r w:rsidR="00096560">
        <w:rPr>
          <w:rFonts w:ascii="Times New Roman" w:hAnsi="Times New Roman"/>
          <w:sz w:val="24"/>
          <w:szCs w:val="24"/>
        </w:rPr>
        <w:t>ystems to interact in a set geo</w:t>
      </w:r>
      <w:r w:rsidRPr="0019599F">
        <w:rPr>
          <w:rFonts w:ascii="Times New Roman" w:hAnsi="Times New Roman"/>
          <w:sz w:val="24"/>
          <w:szCs w:val="24"/>
        </w:rPr>
        <w:t xml:space="preserve">political space. As a successful monarch in both Denmark and England, Knútr would have been familiar with both systems described above. </w:t>
      </w:r>
    </w:p>
    <w:p w14:paraId="40A0B4F6" w14:textId="433091E8"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In considering the laws and punishments decreed by Knútr, we see provision made for the prosecution of a diverse range of crimes perceived as serious: violating the king</w:t>
      </w:r>
      <w:r w:rsidR="00D03D40">
        <w:rPr>
          <w:rFonts w:ascii="Times New Roman" w:hAnsi="Times New Roman"/>
          <w:sz w:val="24"/>
          <w:szCs w:val="24"/>
        </w:rPr>
        <w:t>’</w:t>
      </w:r>
      <w:r w:rsidRPr="0019599F">
        <w:rPr>
          <w:rFonts w:ascii="Times New Roman" w:hAnsi="Times New Roman"/>
          <w:sz w:val="24"/>
          <w:szCs w:val="24"/>
        </w:rPr>
        <w:t>s or the church</w:t>
      </w:r>
      <w:r w:rsidR="00D03D40">
        <w:rPr>
          <w:rFonts w:ascii="Times New Roman" w:hAnsi="Times New Roman"/>
          <w:sz w:val="24"/>
          <w:szCs w:val="24"/>
        </w:rPr>
        <w:t>’</w:t>
      </w:r>
      <w:r w:rsidRPr="0019599F">
        <w:rPr>
          <w:rFonts w:ascii="Times New Roman" w:hAnsi="Times New Roman"/>
          <w:sz w:val="24"/>
          <w:szCs w:val="24"/>
        </w:rPr>
        <w:t>s protection; thievery; treason against one</w:t>
      </w:r>
      <w:r w:rsidR="00D03D40">
        <w:rPr>
          <w:rFonts w:ascii="Times New Roman" w:hAnsi="Times New Roman"/>
          <w:sz w:val="24"/>
          <w:szCs w:val="24"/>
        </w:rPr>
        <w:t>’</w:t>
      </w:r>
      <w:r w:rsidRPr="0019599F">
        <w:rPr>
          <w:rFonts w:ascii="Times New Roman" w:hAnsi="Times New Roman"/>
          <w:sz w:val="24"/>
          <w:szCs w:val="24"/>
        </w:rPr>
        <w:t>s lord; repeat offences by slaves; failing to make a wergild payment; fighting in the king</w:t>
      </w:r>
      <w:r w:rsidR="00D03D40">
        <w:rPr>
          <w:rFonts w:ascii="Times New Roman" w:hAnsi="Times New Roman"/>
          <w:sz w:val="24"/>
          <w:szCs w:val="24"/>
        </w:rPr>
        <w:t>’</w:t>
      </w:r>
      <w:r w:rsidRPr="0019599F">
        <w:rPr>
          <w:rFonts w:ascii="Times New Roman" w:hAnsi="Times New Roman"/>
          <w:sz w:val="24"/>
          <w:szCs w:val="24"/>
        </w:rPr>
        <w:t>s court; breaching the peace; harbouring outlaws or the excommunicated; and desertion. All potentially carried capital punishments (Reynolds 2009, 259-61).</w:t>
      </w:r>
      <w:r w:rsidRPr="0019599F">
        <w:rPr>
          <w:rFonts w:ascii="Times New Roman" w:eastAsia="Times New Roman" w:hAnsi="Times New Roman" w:cs="Times New Roman"/>
          <w:sz w:val="24"/>
          <w:szCs w:val="24"/>
          <w:vertAlign w:val="superscript"/>
        </w:rPr>
        <w:footnoteReference w:id="44"/>
      </w:r>
      <w:r w:rsidR="00460911" w:rsidRPr="0019599F">
        <w:rPr>
          <w:rFonts w:ascii="Times New Roman" w:hAnsi="Times New Roman"/>
          <w:sz w:val="24"/>
          <w:szCs w:val="24"/>
        </w:rPr>
        <w:t xml:space="preserve"> </w:t>
      </w:r>
      <w:r w:rsidRPr="0019599F">
        <w:rPr>
          <w:rFonts w:ascii="Times New Roman" w:hAnsi="Times New Roman"/>
          <w:sz w:val="24"/>
          <w:szCs w:val="24"/>
        </w:rPr>
        <w:t xml:space="preserve">The provisions for maiming were also revised under Knútr. Minters of false money, reeves who granted permission to do so, swearers of false oaths, and those who unlawfully wounded another all </w:t>
      </w:r>
      <w:r w:rsidR="00D00627">
        <w:rPr>
          <w:rFonts w:ascii="Times New Roman" w:hAnsi="Times New Roman"/>
          <w:sz w:val="24"/>
          <w:szCs w:val="24"/>
        </w:rPr>
        <w:t xml:space="preserve">stood </w:t>
      </w:r>
      <w:r w:rsidRPr="0019599F">
        <w:rPr>
          <w:rFonts w:ascii="Times New Roman" w:hAnsi="Times New Roman"/>
          <w:sz w:val="24"/>
          <w:szCs w:val="24"/>
        </w:rPr>
        <w:t xml:space="preserve">to lose a hand (or both in some cases). </w:t>
      </w:r>
      <w:r w:rsidR="00D00627">
        <w:rPr>
          <w:rFonts w:ascii="Times New Roman" w:hAnsi="Times New Roman"/>
          <w:sz w:val="24"/>
          <w:szCs w:val="24"/>
        </w:rPr>
        <w:t xml:space="preserve">False </w:t>
      </w:r>
      <w:r w:rsidRPr="0019599F">
        <w:rPr>
          <w:rFonts w:ascii="Times New Roman" w:hAnsi="Times New Roman"/>
          <w:sz w:val="24"/>
          <w:szCs w:val="24"/>
        </w:rPr>
        <w:t>accuse</w:t>
      </w:r>
      <w:r w:rsidR="00D00627">
        <w:rPr>
          <w:rFonts w:ascii="Times New Roman" w:hAnsi="Times New Roman"/>
          <w:sz w:val="24"/>
          <w:szCs w:val="24"/>
        </w:rPr>
        <w:t>rs</w:t>
      </w:r>
      <w:r w:rsidRPr="0019599F">
        <w:rPr>
          <w:rFonts w:ascii="Times New Roman" w:hAnsi="Times New Roman"/>
          <w:sz w:val="24"/>
          <w:szCs w:val="24"/>
        </w:rPr>
        <w:t xml:space="preserve"> were to lose their tongues; slaves found guilty for a first offence were to be branded; and, </w:t>
      </w:r>
      <w:r w:rsidR="00D00627">
        <w:rPr>
          <w:rFonts w:ascii="Times New Roman" w:hAnsi="Times New Roman"/>
          <w:sz w:val="24"/>
          <w:szCs w:val="24"/>
        </w:rPr>
        <w:t>in an innovation</w:t>
      </w:r>
      <w:r w:rsidRPr="0019599F">
        <w:rPr>
          <w:rFonts w:ascii="Times New Roman" w:hAnsi="Times New Roman"/>
          <w:sz w:val="24"/>
          <w:szCs w:val="24"/>
        </w:rPr>
        <w:t xml:space="preserve">, a </w:t>
      </w:r>
      <w:r w:rsidR="00D00627">
        <w:rPr>
          <w:rFonts w:ascii="Times New Roman" w:hAnsi="Times New Roman"/>
          <w:sz w:val="24"/>
          <w:szCs w:val="24"/>
        </w:rPr>
        <w:lastRenderedPageBreak/>
        <w:t xml:space="preserve">an </w:t>
      </w:r>
      <w:r w:rsidRPr="0019599F">
        <w:rPr>
          <w:rFonts w:ascii="Times New Roman" w:hAnsi="Times New Roman"/>
          <w:sz w:val="24"/>
          <w:szCs w:val="24"/>
        </w:rPr>
        <w:t>adulter</w:t>
      </w:r>
      <w:r w:rsidR="00D00627">
        <w:rPr>
          <w:rFonts w:ascii="Times New Roman" w:hAnsi="Times New Roman"/>
          <w:sz w:val="24"/>
          <w:szCs w:val="24"/>
        </w:rPr>
        <w:t>ess</w:t>
      </w:r>
      <w:r w:rsidRPr="0019599F">
        <w:rPr>
          <w:rFonts w:ascii="Times New Roman" w:hAnsi="Times New Roman"/>
          <w:sz w:val="24"/>
          <w:szCs w:val="24"/>
        </w:rPr>
        <w:t xml:space="preserve"> was to have her ears and nose removed (Reynolds 2009, 259-61). Outlawry was still prescribed for wizards, sorcerers, and prostitutes. </w:t>
      </w:r>
      <w:r w:rsidR="00D00627">
        <w:rPr>
          <w:rFonts w:ascii="Times New Roman" w:hAnsi="Times New Roman"/>
          <w:sz w:val="24"/>
          <w:szCs w:val="24"/>
        </w:rPr>
        <w:t>G</w:t>
      </w:r>
      <w:r w:rsidRPr="0019599F">
        <w:rPr>
          <w:rFonts w:ascii="Times New Roman" w:hAnsi="Times New Roman"/>
          <w:sz w:val="24"/>
          <w:szCs w:val="24"/>
        </w:rPr>
        <w:t xml:space="preserve">iven an early provision that reeves should pronounce just sentences in keeping with the wishes of the </w:t>
      </w:r>
      <w:r w:rsidR="00460911">
        <w:rPr>
          <w:rFonts w:ascii="Times New Roman" w:hAnsi="Times New Roman"/>
          <w:sz w:val="24"/>
          <w:szCs w:val="24"/>
        </w:rPr>
        <w:t xml:space="preserve">local </w:t>
      </w:r>
      <w:r w:rsidRPr="0019599F">
        <w:rPr>
          <w:rFonts w:ascii="Times New Roman" w:hAnsi="Times New Roman"/>
          <w:sz w:val="24"/>
          <w:szCs w:val="24"/>
        </w:rPr>
        <w:t xml:space="preserve">bishop and </w:t>
      </w:r>
      <w:r w:rsidR="00D03D40">
        <w:rPr>
          <w:rFonts w:ascii="Times New Roman" w:hAnsi="Times New Roman"/>
          <w:sz w:val="24"/>
          <w:szCs w:val="24"/>
        </w:rPr>
        <w:t>‘</w:t>
      </w:r>
      <w:r w:rsidRPr="0019599F">
        <w:rPr>
          <w:rFonts w:ascii="Times New Roman" w:hAnsi="Times New Roman"/>
          <w:sz w:val="24"/>
          <w:szCs w:val="24"/>
        </w:rPr>
        <w:t>inflict such mitigated penalties as the bishop may approve and the man himself may be able to bear</w:t>
      </w:r>
      <w:r w:rsidR="008C03F3">
        <w:rPr>
          <w:rFonts w:ascii="Times New Roman" w:hAnsi="Times New Roman"/>
          <w:sz w:val="24"/>
          <w:szCs w:val="24"/>
        </w:rPr>
        <w:t>’</w:t>
      </w:r>
      <w:r w:rsidRPr="0019599F">
        <w:rPr>
          <w:rFonts w:ascii="Times New Roman" w:hAnsi="Times New Roman"/>
          <w:sz w:val="24"/>
          <w:szCs w:val="24"/>
        </w:rPr>
        <w:t>, it is likely that outlawry may also have been prescribed in other cases (see Reynolds 2009, 259-61).</w:t>
      </w:r>
    </w:p>
    <w:p w14:paraId="0A266B89" w14:textId="056B0518" w:rsidR="00330AFC" w:rsidRPr="0019599F" w:rsidRDefault="00536562" w:rsidP="001B4A60">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Many of these provisions perpetuated the English tradition</w:t>
      </w:r>
      <w:r w:rsidR="00215328">
        <w:rPr>
          <w:rFonts w:ascii="Times New Roman" w:hAnsi="Times New Roman"/>
          <w:sz w:val="24"/>
          <w:szCs w:val="24"/>
        </w:rPr>
        <w:t xml:space="preserve"> of legally </w:t>
      </w:r>
      <w:r w:rsidRPr="0019599F">
        <w:rPr>
          <w:rFonts w:ascii="Times New Roman" w:hAnsi="Times New Roman"/>
          <w:sz w:val="24"/>
          <w:szCs w:val="24"/>
        </w:rPr>
        <w:t>protecting the power-structures of king, church, and state. In fact, Thompson notes an increased concern in the protective and redemptive qualities of the church in Knútr</w:t>
      </w:r>
      <w:r w:rsidR="00D03D40">
        <w:rPr>
          <w:rFonts w:ascii="Times New Roman" w:hAnsi="Times New Roman"/>
          <w:sz w:val="24"/>
          <w:szCs w:val="24"/>
        </w:rPr>
        <w:t>’</w:t>
      </w:r>
      <w:r w:rsidRPr="0019599F">
        <w:rPr>
          <w:rFonts w:ascii="Times New Roman" w:hAnsi="Times New Roman"/>
          <w:sz w:val="24"/>
          <w:szCs w:val="24"/>
        </w:rPr>
        <w:t>s laws (Thompson 2004, 183-</w:t>
      </w:r>
      <w:r w:rsidR="00215328">
        <w:rPr>
          <w:rFonts w:ascii="Times New Roman" w:hAnsi="Times New Roman"/>
          <w:sz w:val="24"/>
          <w:szCs w:val="24"/>
        </w:rPr>
        <w:t>8</w:t>
      </w:r>
      <w:r w:rsidRPr="0019599F">
        <w:rPr>
          <w:rFonts w:ascii="Times New Roman" w:hAnsi="Times New Roman"/>
          <w:sz w:val="24"/>
          <w:szCs w:val="24"/>
        </w:rPr>
        <w:t xml:space="preserve">4). </w:t>
      </w:r>
      <w:r w:rsidR="00D00627">
        <w:rPr>
          <w:rFonts w:ascii="Times New Roman" w:hAnsi="Times New Roman"/>
          <w:sz w:val="24"/>
          <w:szCs w:val="24"/>
        </w:rPr>
        <w:t xml:space="preserve">They also </w:t>
      </w:r>
      <w:r w:rsidR="00215328">
        <w:rPr>
          <w:rFonts w:ascii="Times New Roman" w:hAnsi="Times New Roman"/>
          <w:sz w:val="24"/>
          <w:szCs w:val="24"/>
        </w:rPr>
        <w:t xml:space="preserve">exhibit </w:t>
      </w:r>
      <w:r w:rsidRPr="0019599F">
        <w:rPr>
          <w:rFonts w:ascii="Times New Roman" w:hAnsi="Times New Roman"/>
          <w:sz w:val="24"/>
          <w:szCs w:val="24"/>
        </w:rPr>
        <w:t xml:space="preserve">a conscious harkening back to the legal </w:t>
      </w:r>
      <w:r w:rsidR="00D03D40">
        <w:rPr>
          <w:rFonts w:ascii="Times New Roman" w:hAnsi="Times New Roman"/>
          <w:sz w:val="24"/>
          <w:szCs w:val="24"/>
        </w:rPr>
        <w:t>‘</w:t>
      </w:r>
      <w:r w:rsidRPr="0019599F">
        <w:rPr>
          <w:rFonts w:ascii="Times New Roman" w:hAnsi="Times New Roman"/>
          <w:sz w:val="24"/>
          <w:szCs w:val="24"/>
        </w:rPr>
        <w:t>golden age</w:t>
      </w:r>
      <w:r w:rsidR="00D03D40">
        <w:rPr>
          <w:rFonts w:ascii="Times New Roman" w:hAnsi="Times New Roman"/>
          <w:sz w:val="24"/>
          <w:szCs w:val="24"/>
        </w:rPr>
        <w:t>’</w:t>
      </w:r>
      <w:r w:rsidR="00215328">
        <w:rPr>
          <w:rFonts w:ascii="Times New Roman" w:hAnsi="Times New Roman"/>
          <w:sz w:val="24"/>
          <w:szCs w:val="24"/>
        </w:rPr>
        <w:t xml:space="preserve"> of Edgar</w:t>
      </w:r>
      <w:r w:rsidRPr="0019599F">
        <w:rPr>
          <w:rFonts w:ascii="Times New Roman" w:hAnsi="Times New Roman"/>
          <w:sz w:val="24"/>
          <w:szCs w:val="24"/>
        </w:rPr>
        <w:t xml:space="preserve"> and an attempt to affirm the legal interests of the English kings since Alfred (Wormald 1999, 131-</w:t>
      </w:r>
      <w:r w:rsidR="00215328">
        <w:rPr>
          <w:rFonts w:ascii="Times New Roman" w:hAnsi="Times New Roman"/>
          <w:sz w:val="24"/>
          <w:szCs w:val="24"/>
        </w:rPr>
        <w:t>3</w:t>
      </w:r>
      <w:r w:rsidRPr="0019599F">
        <w:rPr>
          <w:rFonts w:ascii="Times New Roman" w:hAnsi="Times New Roman"/>
          <w:sz w:val="24"/>
          <w:szCs w:val="24"/>
        </w:rPr>
        <w:t>3, 355)</w:t>
      </w:r>
      <w:r w:rsidR="00D00627">
        <w:rPr>
          <w:rFonts w:ascii="Times New Roman" w:hAnsi="Times New Roman"/>
          <w:sz w:val="24"/>
          <w:szCs w:val="24"/>
        </w:rPr>
        <w:t>,</w:t>
      </w:r>
      <w:r w:rsidRPr="0019599F">
        <w:rPr>
          <w:rFonts w:ascii="Times New Roman" w:hAnsi="Times New Roman"/>
          <w:sz w:val="24"/>
          <w:szCs w:val="24"/>
        </w:rPr>
        <w:t xml:space="preserve"> </w:t>
      </w:r>
      <w:r w:rsidR="00D00627">
        <w:rPr>
          <w:rFonts w:ascii="Times New Roman" w:hAnsi="Times New Roman"/>
          <w:sz w:val="24"/>
          <w:szCs w:val="24"/>
        </w:rPr>
        <w:t>w</w:t>
      </w:r>
      <w:r w:rsidRPr="0019599F">
        <w:rPr>
          <w:rFonts w:ascii="Times New Roman" w:hAnsi="Times New Roman"/>
          <w:sz w:val="24"/>
          <w:szCs w:val="24"/>
        </w:rPr>
        <w:t>hether Knútr</w:t>
      </w:r>
      <w:r w:rsidR="00D03D40">
        <w:rPr>
          <w:rFonts w:ascii="Times New Roman" w:hAnsi="Times New Roman"/>
          <w:sz w:val="24"/>
          <w:szCs w:val="24"/>
        </w:rPr>
        <w:t>’</w:t>
      </w:r>
      <w:r w:rsidRPr="0019599F">
        <w:rPr>
          <w:rFonts w:ascii="Times New Roman" w:hAnsi="Times New Roman"/>
          <w:sz w:val="24"/>
          <w:szCs w:val="24"/>
        </w:rPr>
        <w:t xml:space="preserve">s own idea, or a result of the influence of Archbishop Wulfstan II. </w:t>
      </w:r>
    </w:p>
    <w:p w14:paraId="447912DD" w14:textId="77777777" w:rsidR="001B4A60" w:rsidRPr="0019599F" w:rsidRDefault="001B4A60" w:rsidP="001B4A60">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While Knútr</w:t>
      </w:r>
      <w:r>
        <w:rPr>
          <w:rFonts w:ascii="Times New Roman" w:hAnsi="Times New Roman"/>
          <w:sz w:val="24"/>
          <w:szCs w:val="24"/>
        </w:rPr>
        <w:t>’</w:t>
      </w:r>
      <w:r w:rsidRPr="0019599F">
        <w:rPr>
          <w:rFonts w:ascii="Times New Roman" w:hAnsi="Times New Roman"/>
          <w:sz w:val="24"/>
          <w:szCs w:val="24"/>
        </w:rPr>
        <w:t>s laws are undeniably compiled in a strategic bid to establish him as patron and guardian of an English legal legacy (Wormald 1999, 349-52), there are hints of Knútr</w:t>
      </w:r>
      <w:r>
        <w:rPr>
          <w:rFonts w:ascii="Times New Roman" w:hAnsi="Times New Roman"/>
          <w:sz w:val="24"/>
          <w:szCs w:val="24"/>
        </w:rPr>
        <w:t>’</w:t>
      </w:r>
      <w:r w:rsidRPr="0019599F">
        <w:rPr>
          <w:rFonts w:ascii="Times New Roman" w:hAnsi="Times New Roman"/>
          <w:sz w:val="24"/>
          <w:szCs w:val="24"/>
        </w:rPr>
        <w:t>s native Scandinavian legal attitudes operating alongside his inherited English ones. Wormald points out that the laws of Edgar, the very laws apparently most inspirational to Knútr</w:t>
      </w:r>
      <w:r>
        <w:rPr>
          <w:rFonts w:ascii="Times New Roman" w:hAnsi="Times New Roman"/>
          <w:sz w:val="24"/>
          <w:szCs w:val="24"/>
        </w:rPr>
        <w:t>’</w:t>
      </w:r>
      <w:r w:rsidRPr="0019599F">
        <w:rPr>
          <w:rFonts w:ascii="Times New Roman" w:hAnsi="Times New Roman"/>
          <w:sz w:val="24"/>
          <w:szCs w:val="24"/>
        </w:rPr>
        <w:t>s own, were already setting a legal precedent for Anglo-Scandinavian accommodation in England (1999, 349-52). Knútr</w:t>
      </w:r>
      <w:r>
        <w:rPr>
          <w:rFonts w:ascii="Times New Roman" w:hAnsi="Times New Roman"/>
          <w:sz w:val="24"/>
          <w:szCs w:val="24"/>
        </w:rPr>
        <w:t>’</w:t>
      </w:r>
      <w:r w:rsidRPr="0019599F">
        <w:rPr>
          <w:rFonts w:ascii="Times New Roman" w:hAnsi="Times New Roman"/>
          <w:sz w:val="24"/>
          <w:szCs w:val="24"/>
        </w:rPr>
        <w:t>s laws seem</w:t>
      </w:r>
      <w:r>
        <w:rPr>
          <w:rFonts w:ascii="Times New Roman" w:hAnsi="Times New Roman"/>
          <w:sz w:val="24"/>
          <w:szCs w:val="24"/>
        </w:rPr>
        <w:t>,</w:t>
      </w:r>
      <w:r w:rsidRPr="0019599F">
        <w:rPr>
          <w:rFonts w:ascii="Times New Roman" w:hAnsi="Times New Roman"/>
          <w:sz w:val="24"/>
          <w:szCs w:val="24"/>
        </w:rPr>
        <w:t xml:space="preserve"> </w:t>
      </w:r>
      <w:r>
        <w:rPr>
          <w:rFonts w:ascii="Times New Roman" w:hAnsi="Times New Roman"/>
          <w:sz w:val="24"/>
          <w:szCs w:val="24"/>
        </w:rPr>
        <w:t>h</w:t>
      </w:r>
      <w:r w:rsidRPr="0019599F">
        <w:rPr>
          <w:rFonts w:ascii="Times New Roman" w:hAnsi="Times New Roman"/>
          <w:sz w:val="24"/>
          <w:szCs w:val="24"/>
        </w:rPr>
        <w:t xml:space="preserve">owever, to push this accommodation one step further – even toward a sort of hybridization of systems. </w:t>
      </w:r>
    </w:p>
    <w:p w14:paraId="5326C575" w14:textId="77777777" w:rsidR="003010D6" w:rsidRDefault="00536562" w:rsidP="003010D6">
      <w:pPr>
        <w:pStyle w:val="BodyA"/>
        <w:spacing w:line="240" w:lineRule="auto"/>
        <w:rPr>
          <w:rFonts w:ascii="Times New Roman" w:hAnsi="Times New Roman"/>
          <w:sz w:val="24"/>
          <w:szCs w:val="24"/>
        </w:rPr>
      </w:pPr>
      <w:r w:rsidRPr="0019599F">
        <w:rPr>
          <w:rFonts w:ascii="Times New Roman" w:hAnsi="Times New Roman"/>
          <w:sz w:val="24"/>
          <w:szCs w:val="24"/>
        </w:rPr>
        <w:t xml:space="preserve">      </w:t>
      </w:r>
      <w:r w:rsidR="00C457D5">
        <w:rPr>
          <w:rFonts w:ascii="Times New Roman" w:hAnsi="Times New Roman"/>
          <w:sz w:val="24"/>
          <w:szCs w:val="24"/>
        </w:rPr>
        <w:t xml:space="preserve">At the same time, a </w:t>
      </w:r>
      <w:r w:rsidR="00C457D5" w:rsidRPr="0019599F">
        <w:rPr>
          <w:rFonts w:ascii="Times New Roman" w:hAnsi="Times New Roman"/>
          <w:sz w:val="24"/>
          <w:szCs w:val="24"/>
        </w:rPr>
        <w:t xml:space="preserve">notable disparity </w:t>
      </w:r>
      <w:r w:rsidR="00C457D5">
        <w:rPr>
          <w:rFonts w:ascii="Times New Roman" w:hAnsi="Times New Roman"/>
          <w:sz w:val="24"/>
          <w:szCs w:val="24"/>
        </w:rPr>
        <w:t xml:space="preserve">exists </w:t>
      </w:r>
      <w:r w:rsidR="00C457D5" w:rsidRPr="0019599F">
        <w:rPr>
          <w:rFonts w:ascii="Times New Roman" w:hAnsi="Times New Roman"/>
          <w:sz w:val="24"/>
          <w:szCs w:val="24"/>
        </w:rPr>
        <w:t>between the character and extent of judicial violence prescribed in the Scandinavian provisions and that seen in Knútr</w:t>
      </w:r>
      <w:r w:rsidR="00C457D5">
        <w:rPr>
          <w:rFonts w:ascii="Times New Roman" w:hAnsi="Times New Roman"/>
          <w:sz w:val="24"/>
          <w:szCs w:val="24"/>
        </w:rPr>
        <w:t>’</w:t>
      </w:r>
      <w:r w:rsidR="00C457D5" w:rsidRPr="0019599F">
        <w:rPr>
          <w:rFonts w:ascii="Times New Roman" w:hAnsi="Times New Roman"/>
          <w:sz w:val="24"/>
          <w:szCs w:val="24"/>
        </w:rPr>
        <w:t xml:space="preserve">s English laws. Being </w:t>
      </w:r>
      <w:commentRangeStart w:id="21"/>
      <w:r w:rsidR="00C457D5" w:rsidRPr="0019599F">
        <w:rPr>
          <w:rFonts w:ascii="Times New Roman" w:hAnsi="Times New Roman"/>
          <w:sz w:val="24"/>
          <w:szCs w:val="24"/>
        </w:rPr>
        <w:t xml:space="preserve">Norwegian and Swedish in origin, the Scandinavian laws examined above </w:t>
      </w:r>
      <w:commentRangeEnd w:id="21"/>
      <w:r w:rsidR="00C457D5">
        <w:rPr>
          <w:rStyle w:val="CommentReference"/>
          <w:rFonts w:ascii="Times New Roman" w:hAnsi="Times New Roman" w:cs="Times New Roman"/>
          <w:color w:val="auto"/>
          <w:lang w:eastAsia="en-US"/>
        </w:rPr>
        <w:commentReference w:id="21"/>
      </w:r>
      <w:r w:rsidR="00C457D5">
        <w:rPr>
          <w:rFonts w:ascii="Times New Roman" w:hAnsi="Times New Roman"/>
          <w:sz w:val="24"/>
          <w:szCs w:val="24"/>
        </w:rPr>
        <w:t xml:space="preserve">cannot be expected </w:t>
      </w:r>
      <w:r w:rsidR="00C457D5" w:rsidRPr="0019599F">
        <w:rPr>
          <w:rFonts w:ascii="Times New Roman" w:hAnsi="Times New Roman"/>
          <w:sz w:val="24"/>
          <w:szCs w:val="24"/>
        </w:rPr>
        <w:t>to adhere perfectly to every aspect of contemporary law that might relate to Knútr</w:t>
      </w:r>
      <w:r w:rsidR="00C457D5">
        <w:rPr>
          <w:rFonts w:ascii="Times New Roman" w:hAnsi="Times New Roman"/>
          <w:sz w:val="24"/>
          <w:szCs w:val="24"/>
        </w:rPr>
        <w:t>’</w:t>
      </w:r>
      <w:r w:rsidR="00C457D5" w:rsidRPr="0019599F">
        <w:rPr>
          <w:rFonts w:ascii="Times New Roman" w:hAnsi="Times New Roman"/>
          <w:sz w:val="24"/>
          <w:szCs w:val="24"/>
        </w:rPr>
        <w:t xml:space="preserve">s reign. </w:t>
      </w:r>
      <w:r w:rsidR="00C457D5">
        <w:rPr>
          <w:rFonts w:ascii="Times New Roman" w:hAnsi="Times New Roman"/>
          <w:sz w:val="24"/>
          <w:szCs w:val="24"/>
        </w:rPr>
        <w:t>T</w:t>
      </w:r>
      <w:r w:rsidR="00C457D5" w:rsidRPr="0019599F">
        <w:rPr>
          <w:rFonts w:ascii="Times New Roman" w:hAnsi="Times New Roman"/>
          <w:sz w:val="24"/>
          <w:szCs w:val="24"/>
        </w:rPr>
        <w:t>ransmitting the spirit of these laws from a Scandinavian cultural setting to Knútr</w:t>
      </w:r>
      <w:r w:rsidR="00C457D5">
        <w:rPr>
          <w:rFonts w:ascii="Times New Roman" w:hAnsi="Times New Roman"/>
          <w:sz w:val="24"/>
          <w:szCs w:val="24"/>
        </w:rPr>
        <w:t>’</w:t>
      </w:r>
      <w:r w:rsidR="00C457D5" w:rsidRPr="0019599F">
        <w:rPr>
          <w:rFonts w:ascii="Times New Roman" w:hAnsi="Times New Roman"/>
          <w:sz w:val="24"/>
          <w:szCs w:val="24"/>
        </w:rPr>
        <w:t xml:space="preserve">s English sphere of influence may have resulted in a change in the letter of those laws. Even though their punitive attitudes were likely similar, their legal needs may well have been distinct. </w:t>
      </w:r>
      <w:r w:rsidRPr="0019599F">
        <w:rPr>
          <w:rFonts w:ascii="Times New Roman" w:hAnsi="Times New Roman"/>
          <w:sz w:val="24"/>
          <w:szCs w:val="24"/>
        </w:rPr>
        <w:t>Furthermore, there are several aspects to Knútr</w:t>
      </w:r>
      <w:r w:rsidR="00D03D40">
        <w:rPr>
          <w:rFonts w:ascii="Times New Roman" w:hAnsi="Times New Roman"/>
          <w:sz w:val="24"/>
          <w:szCs w:val="24"/>
        </w:rPr>
        <w:t>’</w:t>
      </w:r>
      <w:r w:rsidRPr="0019599F">
        <w:rPr>
          <w:rFonts w:ascii="Times New Roman" w:hAnsi="Times New Roman"/>
          <w:sz w:val="24"/>
          <w:szCs w:val="24"/>
        </w:rPr>
        <w:t xml:space="preserve">s provisions that suggest an interest in a more bottom-up approach to the administration of justice and dispensation of judicial violence. This is not as overt as it is in the Scandinavian laws but compared to the highly top-down legislation of Æðelræd the differences are clear. Not only is Knútr quick to ensure, in his very first proclamation, that justice should be dispensed fairly by his reeves, he also </w:t>
      </w:r>
      <w:commentRangeStart w:id="22"/>
      <w:r w:rsidRPr="0019599F">
        <w:rPr>
          <w:rFonts w:ascii="Times New Roman" w:hAnsi="Times New Roman"/>
          <w:sz w:val="24"/>
          <w:szCs w:val="24"/>
        </w:rPr>
        <w:t>disseminates</w:t>
      </w:r>
      <w:commentRangeEnd w:id="22"/>
      <w:r w:rsidR="00C457D5">
        <w:rPr>
          <w:rStyle w:val="CommentReference"/>
          <w:rFonts w:ascii="Times New Roman" w:hAnsi="Times New Roman" w:cs="Times New Roman"/>
          <w:color w:val="auto"/>
          <w:lang w:eastAsia="en-US"/>
        </w:rPr>
        <w:commentReference w:id="22"/>
      </w:r>
      <w:r w:rsidRPr="0019599F">
        <w:rPr>
          <w:rFonts w:ascii="Times New Roman" w:hAnsi="Times New Roman"/>
          <w:sz w:val="24"/>
          <w:szCs w:val="24"/>
        </w:rPr>
        <w:t xml:space="preserve"> judicial power back to the bishops (Reynolds 2009, 259). </w:t>
      </w:r>
      <w:r w:rsidR="00C457D5">
        <w:rPr>
          <w:rFonts w:ascii="Times New Roman" w:hAnsi="Times New Roman"/>
          <w:sz w:val="24"/>
          <w:szCs w:val="24"/>
        </w:rPr>
        <w:t>T</w:t>
      </w:r>
      <w:r w:rsidRPr="0019599F">
        <w:rPr>
          <w:rFonts w:ascii="Times New Roman" w:hAnsi="Times New Roman"/>
          <w:sz w:val="24"/>
          <w:szCs w:val="24"/>
        </w:rPr>
        <w:t xml:space="preserve">he church was also given the ability to grant legal protection to those who would seek it, a power shared only with Knútr himself. There is even room for local discretion in his legal provisions regarding the extent and character of judicial violence to be prescribed, as we learn that in certain cases </w:t>
      </w:r>
      <w:r w:rsidR="00D03D40">
        <w:rPr>
          <w:rFonts w:ascii="Times New Roman" w:hAnsi="Times New Roman"/>
          <w:sz w:val="24"/>
          <w:szCs w:val="24"/>
        </w:rPr>
        <w:t>‘</w:t>
      </w:r>
      <w:r w:rsidRPr="0019599F">
        <w:rPr>
          <w:rFonts w:ascii="Times New Roman" w:hAnsi="Times New Roman"/>
          <w:sz w:val="24"/>
          <w:szCs w:val="24"/>
        </w:rPr>
        <w:t>he [the convicted] shall have his eyes put out and his nose and his ears and upper lip cut off or his scalp removed, whichever of these penalties is desired or determined upon by those with whom rests the decision of the case</w:t>
      </w:r>
      <w:r w:rsidR="00D03D40">
        <w:rPr>
          <w:rFonts w:ascii="Times New Roman" w:hAnsi="Times New Roman"/>
          <w:sz w:val="24"/>
          <w:szCs w:val="24"/>
        </w:rPr>
        <w:t>’</w:t>
      </w:r>
      <w:r w:rsidRPr="0019599F">
        <w:rPr>
          <w:rFonts w:ascii="Times New Roman" w:hAnsi="Times New Roman"/>
          <w:sz w:val="24"/>
          <w:szCs w:val="24"/>
        </w:rPr>
        <w:t xml:space="preserve"> (Reynolds 2009, 260). </w:t>
      </w:r>
    </w:p>
    <w:p w14:paraId="2CD20692" w14:textId="7E2E595A" w:rsidR="001B4A60" w:rsidRPr="0019599F" w:rsidRDefault="001B4A60" w:rsidP="003010D6">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On the other hand</w:t>
      </w:r>
      <w:r w:rsidRPr="0019599F">
        <w:rPr>
          <w:rFonts w:ascii="Times New Roman" w:hAnsi="Times New Roman"/>
          <w:sz w:val="24"/>
          <w:szCs w:val="24"/>
        </w:rPr>
        <w:t xml:space="preserve">, some of his provisions exhibit a more Scandinavian flavour, showing a keen interest in peace and stability on a local level. For example, the sudden increased concern with false oaths, adultery, </w:t>
      </w:r>
      <w:r>
        <w:rPr>
          <w:rFonts w:ascii="Times New Roman" w:hAnsi="Times New Roman"/>
          <w:sz w:val="24"/>
          <w:szCs w:val="24"/>
        </w:rPr>
        <w:t xml:space="preserve">and </w:t>
      </w:r>
      <w:r w:rsidRPr="0019599F">
        <w:rPr>
          <w:rFonts w:ascii="Times New Roman" w:hAnsi="Times New Roman"/>
          <w:sz w:val="24"/>
          <w:szCs w:val="24"/>
        </w:rPr>
        <w:t>false accusation</w:t>
      </w:r>
      <w:r w:rsidR="003010D6">
        <w:rPr>
          <w:rFonts w:ascii="Times New Roman" w:hAnsi="Times New Roman"/>
          <w:sz w:val="24"/>
          <w:szCs w:val="24"/>
        </w:rPr>
        <w:t>s</w:t>
      </w:r>
      <w:r w:rsidRPr="0019599F">
        <w:rPr>
          <w:rFonts w:ascii="Times New Roman" w:hAnsi="Times New Roman"/>
          <w:sz w:val="24"/>
          <w:szCs w:val="24"/>
        </w:rPr>
        <w:t xml:space="preserve"> leading to in</w:t>
      </w:r>
      <w:r>
        <w:rPr>
          <w:rFonts w:ascii="Times New Roman" w:hAnsi="Times New Roman"/>
          <w:sz w:val="24"/>
          <w:szCs w:val="24"/>
        </w:rPr>
        <w:t>juries of honour and reputation</w:t>
      </w:r>
      <w:r w:rsidRPr="0019599F">
        <w:rPr>
          <w:rFonts w:ascii="Times New Roman" w:hAnsi="Times New Roman"/>
          <w:sz w:val="24"/>
          <w:szCs w:val="24"/>
        </w:rPr>
        <w:t xml:space="preserve"> all </w:t>
      </w:r>
      <w:r>
        <w:rPr>
          <w:rFonts w:ascii="Times New Roman" w:hAnsi="Times New Roman"/>
          <w:sz w:val="24"/>
          <w:szCs w:val="24"/>
        </w:rPr>
        <w:t xml:space="preserve">has </w:t>
      </w:r>
      <w:r w:rsidRPr="0019599F">
        <w:rPr>
          <w:rFonts w:ascii="Times New Roman" w:hAnsi="Times New Roman"/>
          <w:sz w:val="24"/>
          <w:szCs w:val="24"/>
        </w:rPr>
        <w:t>parallel</w:t>
      </w:r>
      <w:r>
        <w:rPr>
          <w:rFonts w:ascii="Times New Roman" w:hAnsi="Times New Roman"/>
          <w:sz w:val="24"/>
          <w:szCs w:val="24"/>
        </w:rPr>
        <w:t>s</w:t>
      </w:r>
      <w:r w:rsidRPr="0019599F">
        <w:rPr>
          <w:rFonts w:ascii="Times New Roman" w:hAnsi="Times New Roman"/>
          <w:sz w:val="24"/>
          <w:szCs w:val="24"/>
        </w:rPr>
        <w:t xml:space="preserve"> in the Scandinavian laws examined above (Larson 1935, 56, 59</w:t>
      </w:r>
      <w:r>
        <w:rPr>
          <w:rFonts w:ascii="Times New Roman" w:hAnsi="Times New Roman"/>
          <w:sz w:val="24"/>
          <w:szCs w:val="24"/>
        </w:rPr>
        <w:t>,</w:t>
      </w:r>
      <w:r w:rsidRPr="0019599F">
        <w:rPr>
          <w:rFonts w:ascii="Times New Roman" w:hAnsi="Times New Roman"/>
          <w:sz w:val="24"/>
          <w:szCs w:val="24"/>
        </w:rPr>
        <w:t xml:space="preserve"> 122-</w:t>
      </w:r>
      <w:r>
        <w:rPr>
          <w:rFonts w:ascii="Times New Roman" w:hAnsi="Times New Roman"/>
          <w:sz w:val="24"/>
          <w:szCs w:val="24"/>
        </w:rPr>
        <w:t>2</w:t>
      </w:r>
      <w:r w:rsidRPr="0019599F">
        <w:rPr>
          <w:rFonts w:ascii="Times New Roman" w:hAnsi="Times New Roman"/>
          <w:sz w:val="24"/>
          <w:szCs w:val="24"/>
        </w:rPr>
        <w:t>3, 132, 216-</w:t>
      </w:r>
      <w:r>
        <w:rPr>
          <w:rFonts w:ascii="Times New Roman" w:hAnsi="Times New Roman"/>
          <w:sz w:val="24"/>
          <w:szCs w:val="24"/>
        </w:rPr>
        <w:t>1</w:t>
      </w:r>
      <w:r w:rsidRPr="0019599F">
        <w:rPr>
          <w:rFonts w:ascii="Times New Roman" w:hAnsi="Times New Roman"/>
          <w:sz w:val="24"/>
          <w:szCs w:val="24"/>
        </w:rPr>
        <w:t>7, 244, 247-</w:t>
      </w:r>
      <w:r>
        <w:rPr>
          <w:rFonts w:ascii="Times New Roman" w:hAnsi="Times New Roman"/>
          <w:sz w:val="24"/>
          <w:szCs w:val="24"/>
        </w:rPr>
        <w:t>4</w:t>
      </w:r>
      <w:r w:rsidRPr="0019599F">
        <w:rPr>
          <w:rFonts w:ascii="Times New Roman" w:hAnsi="Times New Roman"/>
          <w:sz w:val="24"/>
          <w:szCs w:val="24"/>
        </w:rPr>
        <w:t>8, 251, 272, 366-</w:t>
      </w:r>
      <w:r>
        <w:rPr>
          <w:rFonts w:ascii="Times New Roman" w:hAnsi="Times New Roman"/>
          <w:sz w:val="24"/>
          <w:szCs w:val="24"/>
        </w:rPr>
        <w:t>6</w:t>
      </w:r>
      <w:r w:rsidRPr="0019599F">
        <w:rPr>
          <w:rFonts w:ascii="Times New Roman" w:hAnsi="Times New Roman"/>
          <w:sz w:val="24"/>
          <w:szCs w:val="24"/>
        </w:rPr>
        <w:t>7; Peel 2015, 209-10).  The use of judicial violence in each of these provisions, both in the S</w:t>
      </w:r>
      <w:r>
        <w:rPr>
          <w:rFonts w:ascii="Times New Roman" w:hAnsi="Times New Roman"/>
          <w:sz w:val="24"/>
          <w:szCs w:val="24"/>
        </w:rPr>
        <w:t>candinavian laws explored above</w:t>
      </w:r>
      <w:r w:rsidRPr="0019599F">
        <w:rPr>
          <w:rFonts w:ascii="Times New Roman" w:hAnsi="Times New Roman"/>
          <w:sz w:val="24"/>
          <w:szCs w:val="24"/>
        </w:rPr>
        <w:t xml:space="preserve"> and in Knútr</w:t>
      </w:r>
      <w:r>
        <w:rPr>
          <w:rFonts w:ascii="Times New Roman" w:hAnsi="Times New Roman"/>
          <w:sz w:val="24"/>
          <w:szCs w:val="24"/>
        </w:rPr>
        <w:t>’</w:t>
      </w:r>
      <w:r w:rsidRPr="0019599F">
        <w:rPr>
          <w:rFonts w:ascii="Times New Roman" w:hAnsi="Times New Roman"/>
          <w:sz w:val="24"/>
          <w:szCs w:val="24"/>
        </w:rPr>
        <w:t xml:space="preserve">s English implementations is notable. </w:t>
      </w:r>
      <w:r>
        <w:rPr>
          <w:rFonts w:ascii="Times New Roman" w:hAnsi="Times New Roman"/>
          <w:sz w:val="24"/>
          <w:szCs w:val="24"/>
        </w:rPr>
        <w:t>Significantly, t</w:t>
      </w:r>
      <w:r w:rsidRPr="0019599F">
        <w:rPr>
          <w:rFonts w:ascii="Times New Roman" w:hAnsi="Times New Roman"/>
          <w:sz w:val="24"/>
          <w:szCs w:val="24"/>
        </w:rPr>
        <w:t>hese very provisions in Knútr</w:t>
      </w:r>
      <w:r>
        <w:rPr>
          <w:rFonts w:ascii="Times New Roman" w:hAnsi="Times New Roman"/>
          <w:sz w:val="24"/>
          <w:szCs w:val="24"/>
        </w:rPr>
        <w:t>’</w:t>
      </w:r>
      <w:r w:rsidRPr="0019599F">
        <w:rPr>
          <w:rFonts w:ascii="Times New Roman" w:hAnsi="Times New Roman"/>
          <w:sz w:val="24"/>
          <w:szCs w:val="24"/>
        </w:rPr>
        <w:t>s laws eluded Patrick Wormald in his effort to trace precedents in pre-existing insular or continental legislation (1999, 356-60)</w:t>
      </w:r>
      <w:r>
        <w:rPr>
          <w:rFonts w:ascii="Times New Roman" w:hAnsi="Times New Roman"/>
          <w:sz w:val="24"/>
          <w:szCs w:val="24"/>
        </w:rPr>
        <w:t xml:space="preserve"> and i</w:t>
      </w:r>
      <w:r w:rsidRPr="0019599F">
        <w:rPr>
          <w:rFonts w:ascii="Times New Roman" w:hAnsi="Times New Roman"/>
          <w:sz w:val="24"/>
          <w:szCs w:val="24"/>
        </w:rPr>
        <w:t xml:space="preserve">t seems likely that Knútr brought </w:t>
      </w:r>
      <w:r>
        <w:rPr>
          <w:rFonts w:ascii="Times New Roman" w:hAnsi="Times New Roman"/>
          <w:sz w:val="24"/>
          <w:szCs w:val="24"/>
        </w:rPr>
        <w:t xml:space="preserve">them </w:t>
      </w:r>
      <w:r w:rsidRPr="0019599F">
        <w:rPr>
          <w:rFonts w:ascii="Times New Roman" w:hAnsi="Times New Roman"/>
          <w:sz w:val="24"/>
          <w:szCs w:val="24"/>
        </w:rPr>
        <w:t>with him over the North Sea.</w:t>
      </w:r>
    </w:p>
    <w:p w14:paraId="1052DE3E" w14:textId="77777777" w:rsidR="001B4A60" w:rsidRPr="0019599F" w:rsidRDefault="001B4A60" w:rsidP="001B4A60">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 xml:space="preserve">Admittedly, </w:t>
      </w:r>
      <w:r w:rsidRPr="0019599F">
        <w:rPr>
          <w:rFonts w:ascii="Times New Roman" w:hAnsi="Times New Roman"/>
          <w:sz w:val="24"/>
          <w:szCs w:val="24"/>
        </w:rPr>
        <w:t xml:space="preserve">Danish laws from this period have been </w:t>
      </w:r>
      <w:r>
        <w:rPr>
          <w:rFonts w:ascii="Times New Roman" w:hAnsi="Times New Roman"/>
          <w:sz w:val="24"/>
          <w:szCs w:val="24"/>
        </w:rPr>
        <w:t xml:space="preserve">only sparsely </w:t>
      </w:r>
      <w:r w:rsidRPr="0019599F">
        <w:rPr>
          <w:rFonts w:ascii="Times New Roman" w:hAnsi="Times New Roman"/>
          <w:sz w:val="24"/>
          <w:szCs w:val="24"/>
        </w:rPr>
        <w:t xml:space="preserve">preserved (Thurston 2001, 89-90). </w:t>
      </w:r>
      <w:r>
        <w:rPr>
          <w:rFonts w:ascii="Times New Roman" w:hAnsi="Times New Roman"/>
          <w:sz w:val="24"/>
          <w:szCs w:val="24"/>
        </w:rPr>
        <w:t xml:space="preserve">The </w:t>
      </w:r>
      <w:r w:rsidRPr="0019599F">
        <w:rPr>
          <w:rFonts w:ascii="Times New Roman" w:hAnsi="Times New Roman"/>
          <w:sz w:val="24"/>
          <w:szCs w:val="24"/>
        </w:rPr>
        <w:t xml:space="preserve">better preserved Norwegian and Swedish analogues </w:t>
      </w:r>
      <w:r>
        <w:rPr>
          <w:rFonts w:ascii="Times New Roman" w:hAnsi="Times New Roman"/>
          <w:sz w:val="24"/>
          <w:szCs w:val="24"/>
        </w:rPr>
        <w:t xml:space="preserve">can, however, </w:t>
      </w:r>
      <w:r w:rsidRPr="0019599F">
        <w:rPr>
          <w:rFonts w:ascii="Times New Roman" w:hAnsi="Times New Roman"/>
          <w:sz w:val="24"/>
          <w:szCs w:val="24"/>
        </w:rPr>
        <w:t xml:space="preserve">give us an idea of what the culturally-similar contemporary Danish society may have valued and sought to legally protect. </w:t>
      </w:r>
      <w:commentRangeStart w:id="23"/>
      <w:r w:rsidRPr="0019599F">
        <w:rPr>
          <w:rFonts w:ascii="Times New Roman" w:hAnsi="Times New Roman"/>
          <w:sz w:val="24"/>
          <w:szCs w:val="24"/>
        </w:rPr>
        <w:t>Given</w:t>
      </w:r>
      <w:r>
        <w:rPr>
          <w:rFonts w:ascii="Times New Roman" w:hAnsi="Times New Roman"/>
          <w:sz w:val="24"/>
          <w:szCs w:val="24"/>
        </w:rPr>
        <w:t xml:space="preserve"> </w:t>
      </w:r>
      <w:r w:rsidRPr="0019599F">
        <w:rPr>
          <w:rFonts w:ascii="Times New Roman" w:hAnsi="Times New Roman"/>
          <w:sz w:val="24"/>
          <w:szCs w:val="24"/>
        </w:rPr>
        <w:t>the lack of traceable parallels in insular and continental sources and the intriguing similarities in the Swedish and Norwegian analogues, these provisions may indeed be linked.</w:t>
      </w:r>
      <w:commentRangeEnd w:id="23"/>
      <w:r>
        <w:rPr>
          <w:rStyle w:val="CommentReference"/>
          <w:rFonts w:ascii="Times New Roman" w:hAnsi="Times New Roman" w:cs="Times New Roman"/>
          <w:color w:val="auto"/>
          <w:lang w:eastAsia="en-US"/>
        </w:rPr>
        <w:commentReference w:id="23"/>
      </w:r>
    </w:p>
    <w:p w14:paraId="5E51450E" w14:textId="2FAFCE3E"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With that in mind, let us move to consider the </w:t>
      </w:r>
      <w:r w:rsidRPr="0019599F">
        <w:rPr>
          <w:rFonts w:ascii="Times New Roman" w:hAnsi="Times New Roman"/>
          <w:i/>
          <w:iCs/>
          <w:sz w:val="24"/>
          <w:szCs w:val="24"/>
        </w:rPr>
        <w:t>ASC</w:t>
      </w:r>
      <w:r w:rsidRPr="0019599F">
        <w:rPr>
          <w:rFonts w:ascii="Times New Roman" w:hAnsi="Times New Roman"/>
          <w:sz w:val="24"/>
          <w:szCs w:val="24"/>
        </w:rPr>
        <w:t xml:space="preserve"> entry</w:t>
      </w:r>
      <w:r w:rsidR="003010D6">
        <w:rPr>
          <w:rFonts w:ascii="Times New Roman" w:hAnsi="Times New Roman"/>
          <w:sz w:val="24"/>
          <w:szCs w:val="24"/>
        </w:rPr>
        <w:t xml:space="preserve"> for </w:t>
      </w:r>
      <w:r w:rsidR="003010D6" w:rsidRPr="0019599F">
        <w:rPr>
          <w:rFonts w:ascii="Times New Roman" w:hAnsi="Times New Roman"/>
          <w:sz w:val="24"/>
          <w:szCs w:val="24"/>
        </w:rPr>
        <w:t>1016</w:t>
      </w:r>
      <w:r w:rsidRPr="0019599F">
        <w:rPr>
          <w:rFonts w:ascii="Times New Roman" w:hAnsi="Times New Roman"/>
          <w:sz w:val="24"/>
          <w:szCs w:val="24"/>
        </w:rPr>
        <w:t>, wh</w:t>
      </w:r>
      <w:r w:rsidR="003010D6">
        <w:rPr>
          <w:rFonts w:ascii="Times New Roman" w:hAnsi="Times New Roman"/>
          <w:sz w:val="24"/>
          <w:szCs w:val="24"/>
        </w:rPr>
        <w:t xml:space="preserve">ich gives a </w:t>
      </w:r>
      <w:r w:rsidRPr="0019599F">
        <w:rPr>
          <w:rFonts w:ascii="Times New Roman" w:hAnsi="Times New Roman"/>
          <w:sz w:val="24"/>
          <w:szCs w:val="24"/>
        </w:rPr>
        <w:t>vignette of Uhtred</w:t>
      </w:r>
      <w:r w:rsidR="00D03D40">
        <w:rPr>
          <w:rFonts w:ascii="Times New Roman" w:hAnsi="Times New Roman"/>
          <w:sz w:val="24"/>
          <w:szCs w:val="24"/>
        </w:rPr>
        <w:t>’</w:t>
      </w:r>
      <w:r w:rsidRPr="0019599F">
        <w:rPr>
          <w:rFonts w:ascii="Times New Roman" w:hAnsi="Times New Roman"/>
          <w:sz w:val="24"/>
          <w:szCs w:val="24"/>
        </w:rPr>
        <w:t xml:space="preserve">s submission to Knútr. This entry seems strange </w:t>
      </w:r>
      <w:r w:rsidR="003010D6">
        <w:rPr>
          <w:rFonts w:ascii="Times New Roman" w:hAnsi="Times New Roman"/>
          <w:sz w:val="24"/>
          <w:szCs w:val="24"/>
        </w:rPr>
        <w:t>because</w:t>
      </w:r>
      <w:r w:rsidRPr="0019599F">
        <w:rPr>
          <w:rFonts w:ascii="Times New Roman" w:hAnsi="Times New Roman"/>
          <w:sz w:val="24"/>
          <w:szCs w:val="24"/>
        </w:rPr>
        <w:t>, even though Uhtred submits and gives hostages, he is slain at the advice of Knútr</w:t>
      </w:r>
      <w:r w:rsidR="00D03D40">
        <w:rPr>
          <w:rFonts w:ascii="Times New Roman" w:hAnsi="Times New Roman"/>
          <w:sz w:val="24"/>
          <w:szCs w:val="24"/>
        </w:rPr>
        <w:t>’</w:t>
      </w:r>
      <w:r w:rsidRPr="0019599F">
        <w:rPr>
          <w:rFonts w:ascii="Times New Roman" w:hAnsi="Times New Roman"/>
          <w:sz w:val="24"/>
          <w:szCs w:val="24"/>
        </w:rPr>
        <w:t xml:space="preserve">s followers (Swanton 1996, 146-53). </w:t>
      </w:r>
      <w:r w:rsidR="003010D6">
        <w:rPr>
          <w:rFonts w:ascii="Times New Roman" w:hAnsi="Times New Roman"/>
          <w:sz w:val="24"/>
          <w:szCs w:val="24"/>
        </w:rPr>
        <w:t xml:space="preserve">Perhaps </w:t>
      </w:r>
      <w:r w:rsidRPr="0019599F">
        <w:rPr>
          <w:rFonts w:ascii="Times New Roman" w:hAnsi="Times New Roman"/>
          <w:sz w:val="24"/>
          <w:szCs w:val="24"/>
        </w:rPr>
        <w:t>Uhtred</w:t>
      </w:r>
      <w:r w:rsidR="00D03D40">
        <w:rPr>
          <w:rFonts w:ascii="Times New Roman" w:hAnsi="Times New Roman"/>
          <w:sz w:val="24"/>
          <w:szCs w:val="24"/>
        </w:rPr>
        <w:t>’</w:t>
      </w:r>
      <w:r w:rsidRPr="0019599F">
        <w:rPr>
          <w:rFonts w:ascii="Times New Roman" w:hAnsi="Times New Roman"/>
          <w:sz w:val="24"/>
          <w:szCs w:val="24"/>
        </w:rPr>
        <w:t xml:space="preserve">s submission was </w:t>
      </w:r>
      <w:r w:rsidR="00D03D40">
        <w:rPr>
          <w:rFonts w:ascii="Times New Roman" w:hAnsi="Times New Roman"/>
          <w:sz w:val="24"/>
          <w:szCs w:val="24"/>
        </w:rPr>
        <w:t>‘</w:t>
      </w:r>
      <w:r w:rsidRPr="0019599F">
        <w:rPr>
          <w:rFonts w:ascii="Times New Roman" w:hAnsi="Times New Roman"/>
          <w:sz w:val="24"/>
          <w:szCs w:val="24"/>
        </w:rPr>
        <w:t>out of necessity</w:t>
      </w:r>
      <w:r w:rsidR="00215328">
        <w:rPr>
          <w:rFonts w:ascii="Times New Roman" w:hAnsi="Times New Roman"/>
          <w:sz w:val="24"/>
          <w:szCs w:val="24"/>
        </w:rPr>
        <w:t>’</w:t>
      </w:r>
      <w:r w:rsidRPr="0019599F">
        <w:rPr>
          <w:rFonts w:ascii="Times New Roman" w:hAnsi="Times New Roman"/>
          <w:sz w:val="24"/>
          <w:szCs w:val="24"/>
        </w:rPr>
        <w:t>,</w:t>
      </w:r>
      <w:r w:rsidRPr="0019599F">
        <w:rPr>
          <w:rFonts w:ascii="Times New Roman" w:eastAsia="Times New Roman" w:hAnsi="Times New Roman" w:cs="Times New Roman"/>
          <w:sz w:val="24"/>
          <w:szCs w:val="24"/>
          <w:vertAlign w:val="superscript"/>
        </w:rPr>
        <w:footnoteReference w:id="45"/>
      </w:r>
      <w:r w:rsidRPr="0019599F">
        <w:rPr>
          <w:rFonts w:ascii="Times New Roman" w:hAnsi="Times New Roman"/>
          <w:sz w:val="24"/>
          <w:szCs w:val="24"/>
        </w:rPr>
        <w:t xml:space="preserve"> as Bolton </w:t>
      </w:r>
      <w:r w:rsidR="003010D6">
        <w:rPr>
          <w:rFonts w:ascii="Times New Roman" w:hAnsi="Times New Roman"/>
          <w:sz w:val="24"/>
          <w:szCs w:val="24"/>
        </w:rPr>
        <w:t>sugges</w:t>
      </w:r>
      <w:r w:rsidRPr="0019599F">
        <w:rPr>
          <w:rFonts w:ascii="Times New Roman" w:hAnsi="Times New Roman"/>
          <w:sz w:val="24"/>
          <w:szCs w:val="24"/>
        </w:rPr>
        <w:t xml:space="preserve">ts (2009, 118), and </w:t>
      </w:r>
      <w:r w:rsidR="003010D6">
        <w:rPr>
          <w:rFonts w:ascii="Times New Roman" w:hAnsi="Times New Roman"/>
          <w:sz w:val="24"/>
          <w:szCs w:val="24"/>
        </w:rPr>
        <w:t xml:space="preserve">he was slain because </w:t>
      </w:r>
      <w:r w:rsidRPr="0019599F">
        <w:rPr>
          <w:rFonts w:ascii="Times New Roman" w:hAnsi="Times New Roman"/>
          <w:sz w:val="24"/>
          <w:szCs w:val="24"/>
        </w:rPr>
        <w:t xml:space="preserve">he was </w:t>
      </w:r>
      <w:r w:rsidR="003010D6">
        <w:rPr>
          <w:rFonts w:ascii="Times New Roman" w:hAnsi="Times New Roman"/>
          <w:sz w:val="24"/>
          <w:szCs w:val="24"/>
        </w:rPr>
        <w:t>seen as un</w:t>
      </w:r>
      <w:r w:rsidRPr="0019599F">
        <w:rPr>
          <w:rFonts w:ascii="Times New Roman" w:hAnsi="Times New Roman"/>
          <w:sz w:val="24"/>
          <w:szCs w:val="24"/>
        </w:rPr>
        <w:t>trust</w:t>
      </w:r>
      <w:r w:rsidR="003010D6">
        <w:rPr>
          <w:rFonts w:ascii="Times New Roman" w:hAnsi="Times New Roman"/>
          <w:sz w:val="24"/>
          <w:szCs w:val="24"/>
        </w:rPr>
        <w:t>worthy</w:t>
      </w:r>
      <w:r w:rsidRPr="0019599F">
        <w:rPr>
          <w:rFonts w:ascii="Times New Roman" w:hAnsi="Times New Roman"/>
          <w:sz w:val="24"/>
          <w:szCs w:val="24"/>
        </w:rPr>
        <w:t>.</w:t>
      </w:r>
      <w:r w:rsidR="00215328">
        <w:rPr>
          <w:rFonts w:ascii="Times New Roman" w:hAnsi="Times New Roman"/>
          <w:sz w:val="24"/>
          <w:szCs w:val="24"/>
        </w:rPr>
        <w:t xml:space="preserve"> </w:t>
      </w:r>
      <w:r w:rsidR="003010D6">
        <w:rPr>
          <w:rFonts w:ascii="Times New Roman" w:hAnsi="Times New Roman"/>
          <w:sz w:val="24"/>
          <w:szCs w:val="24"/>
        </w:rPr>
        <w:t>Whatever the case</w:t>
      </w:r>
      <w:r w:rsidRPr="0019599F">
        <w:rPr>
          <w:rFonts w:ascii="Times New Roman" w:hAnsi="Times New Roman"/>
          <w:sz w:val="24"/>
          <w:szCs w:val="24"/>
        </w:rPr>
        <w:t xml:space="preserve">, </w:t>
      </w:r>
      <w:r w:rsidR="003010D6" w:rsidRPr="0019599F">
        <w:rPr>
          <w:rFonts w:ascii="Times New Roman" w:hAnsi="Times New Roman"/>
          <w:sz w:val="24"/>
          <w:szCs w:val="24"/>
        </w:rPr>
        <w:t xml:space="preserve">Knútr had not yet established </w:t>
      </w:r>
      <w:r w:rsidR="003010D6">
        <w:rPr>
          <w:rFonts w:ascii="Times New Roman" w:hAnsi="Times New Roman"/>
          <w:sz w:val="24"/>
          <w:szCs w:val="24"/>
        </w:rPr>
        <w:t xml:space="preserve">his </w:t>
      </w:r>
      <w:r w:rsidR="003010D6" w:rsidRPr="0019599F">
        <w:rPr>
          <w:rFonts w:ascii="Times New Roman" w:hAnsi="Times New Roman"/>
          <w:sz w:val="24"/>
          <w:szCs w:val="24"/>
        </w:rPr>
        <w:t xml:space="preserve">judicial authority in England </w:t>
      </w:r>
      <w:r w:rsidR="003010D6">
        <w:rPr>
          <w:rFonts w:ascii="Times New Roman" w:hAnsi="Times New Roman"/>
          <w:sz w:val="24"/>
          <w:szCs w:val="24"/>
        </w:rPr>
        <w:t xml:space="preserve">by </w:t>
      </w:r>
      <w:r w:rsidR="003010D6" w:rsidRPr="0019599F">
        <w:rPr>
          <w:rFonts w:ascii="Times New Roman" w:hAnsi="Times New Roman"/>
          <w:sz w:val="24"/>
          <w:szCs w:val="24"/>
        </w:rPr>
        <w:t>1016 (Reynolds 2009, 259)</w:t>
      </w:r>
      <w:r w:rsidR="003010D6">
        <w:rPr>
          <w:rFonts w:ascii="Times New Roman" w:hAnsi="Times New Roman"/>
          <w:sz w:val="24"/>
          <w:szCs w:val="24"/>
        </w:rPr>
        <w:t xml:space="preserve">, meaning </w:t>
      </w:r>
      <w:r w:rsidRPr="0019599F">
        <w:rPr>
          <w:rFonts w:ascii="Times New Roman" w:hAnsi="Times New Roman"/>
          <w:sz w:val="24"/>
          <w:szCs w:val="24"/>
        </w:rPr>
        <w:t xml:space="preserve">that Uhtred was </w:t>
      </w:r>
      <w:r w:rsidR="003010D6">
        <w:rPr>
          <w:rFonts w:ascii="Times New Roman" w:hAnsi="Times New Roman"/>
          <w:sz w:val="24"/>
          <w:szCs w:val="24"/>
        </w:rPr>
        <w:t xml:space="preserve">probably </w:t>
      </w:r>
      <w:r w:rsidRPr="0019599F">
        <w:rPr>
          <w:rFonts w:ascii="Times New Roman" w:hAnsi="Times New Roman"/>
          <w:sz w:val="24"/>
          <w:szCs w:val="24"/>
        </w:rPr>
        <w:t>not a judicial casua</w:t>
      </w:r>
      <w:r w:rsidR="00215328">
        <w:rPr>
          <w:rFonts w:ascii="Times New Roman" w:hAnsi="Times New Roman"/>
          <w:sz w:val="24"/>
          <w:szCs w:val="24"/>
        </w:rPr>
        <w:t xml:space="preserve">lty </w:t>
      </w:r>
      <w:r w:rsidRPr="0019599F">
        <w:rPr>
          <w:rFonts w:ascii="Times New Roman" w:hAnsi="Times New Roman"/>
          <w:sz w:val="24"/>
          <w:szCs w:val="24"/>
        </w:rPr>
        <w:t>but an unfortunate prisoner-of-war.</w:t>
      </w:r>
    </w:p>
    <w:p w14:paraId="324CF59F" w14:textId="1C1C7A0C"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      The story</w:t>
      </w:r>
      <w:r w:rsidR="00215328">
        <w:rPr>
          <w:rFonts w:ascii="Times New Roman" w:hAnsi="Times New Roman"/>
          <w:sz w:val="24"/>
          <w:szCs w:val="24"/>
        </w:rPr>
        <w:t xml:space="preserve"> </w:t>
      </w:r>
      <w:r w:rsidRPr="0019599F">
        <w:rPr>
          <w:rFonts w:ascii="Times New Roman" w:hAnsi="Times New Roman"/>
          <w:sz w:val="24"/>
          <w:szCs w:val="24"/>
        </w:rPr>
        <w:t>is altogether different in 1017, when the Chronicle records Knútr</w:t>
      </w:r>
      <w:r w:rsidR="00D03D40">
        <w:rPr>
          <w:rFonts w:ascii="Times New Roman" w:hAnsi="Times New Roman"/>
          <w:sz w:val="24"/>
          <w:szCs w:val="24"/>
        </w:rPr>
        <w:t>’</w:t>
      </w:r>
      <w:r w:rsidRPr="0019599F">
        <w:rPr>
          <w:rFonts w:ascii="Times New Roman" w:hAnsi="Times New Roman"/>
          <w:sz w:val="24"/>
          <w:szCs w:val="24"/>
        </w:rPr>
        <w:t xml:space="preserve">s attempt to politically </w:t>
      </w:r>
      <w:commentRangeStart w:id="24"/>
      <w:r w:rsidRPr="0019599F">
        <w:rPr>
          <w:rFonts w:ascii="Times New Roman" w:hAnsi="Times New Roman"/>
          <w:sz w:val="24"/>
          <w:szCs w:val="24"/>
        </w:rPr>
        <w:t xml:space="preserve">clean-house </w:t>
      </w:r>
      <w:commentRangeEnd w:id="24"/>
      <w:r w:rsidR="00465164">
        <w:rPr>
          <w:rStyle w:val="CommentReference"/>
          <w:rFonts w:ascii="Times New Roman" w:hAnsi="Times New Roman" w:cs="Times New Roman"/>
          <w:color w:val="auto"/>
          <w:lang w:eastAsia="en-US"/>
        </w:rPr>
        <w:commentReference w:id="24"/>
      </w:r>
      <w:r w:rsidRPr="0019599F">
        <w:rPr>
          <w:rFonts w:ascii="Times New Roman" w:hAnsi="Times New Roman"/>
          <w:sz w:val="24"/>
          <w:szCs w:val="24"/>
        </w:rPr>
        <w:t xml:space="preserve">in his court. The annalist records the slaying of </w:t>
      </w:r>
      <w:r w:rsidR="003010D6">
        <w:rPr>
          <w:rFonts w:ascii="Times New Roman" w:hAnsi="Times New Roman"/>
          <w:sz w:val="24"/>
          <w:szCs w:val="24"/>
        </w:rPr>
        <w:t xml:space="preserve">his </w:t>
      </w:r>
      <w:r w:rsidRPr="0019599F">
        <w:rPr>
          <w:rFonts w:ascii="Times New Roman" w:hAnsi="Times New Roman"/>
          <w:sz w:val="24"/>
          <w:szCs w:val="24"/>
        </w:rPr>
        <w:t>former allies, Ealdorman E</w:t>
      </w:r>
      <w:r w:rsidR="00465164">
        <w:rPr>
          <w:rFonts w:ascii="Times New Roman" w:hAnsi="Times New Roman"/>
          <w:sz w:val="24"/>
          <w:szCs w:val="24"/>
        </w:rPr>
        <w:t>a</w:t>
      </w:r>
      <w:r w:rsidRPr="0019599F">
        <w:rPr>
          <w:rFonts w:ascii="Times New Roman" w:hAnsi="Times New Roman"/>
          <w:sz w:val="24"/>
          <w:szCs w:val="24"/>
        </w:rPr>
        <w:t xml:space="preserve">dric, Norðman, Æðelword, and Brihtric, as well as the banishment and subsequent execution of Ædwig and Eadwig, </w:t>
      </w:r>
      <w:r w:rsidR="00D03D40">
        <w:rPr>
          <w:rFonts w:ascii="Times New Roman" w:hAnsi="Times New Roman"/>
          <w:sz w:val="24"/>
          <w:szCs w:val="24"/>
        </w:rPr>
        <w:t>‘</w:t>
      </w:r>
      <w:r w:rsidRPr="0019599F">
        <w:rPr>
          <w:rFonts w:ascii="Times New Roman" w:hAnsi="Times New Roman"/>
          <w:sz w:val="24"/>
          <w:szCs w:val="24"/>
        </w:rPr>
        <w:t>the ceorls</w:t>
      </w:r>
      <w:r w:rsidR="00D03D40">
        <w:rPr>
          <w:rFonts w:ascii="Times New Roman" w:hAnsi="Times New Roman"/>
          <w:sz w:val="24"/>
          <w:szCs w:val="24"/>
        </w:rPr>
        <w:t>’</w:t>
      </w:r>
      <w:r w:rsidRPr="0019599F">
        <w:rPr>
          <w:rFonts w:ascii="Times New Roman" w:hAnsi="Times New Roman"/>
          <w:sz w:val="24"/>
          <w:szCs w:val="24"/>
        </w:rPr>
        <w:t xml:space="preserve"> king</w:t>
      </w:r>
      <w:r w:rsidR="00D03D40">
        <w:rPr>
          <w:rFonts w:ascii="Times New Roman" w:hAnsi="Times New Roman"/>
          <w:sz w:val="24"/>
          <w:szCs w:val="24"/>
        </w:rPr>
        <w:t>’</w:t>
      </w:r>
      <w:r w:rsidRPr="0019599F">
        <w:rPr>
          <w:rFonts w:ascii="Times New Roman" w:hAnsi="Times New Roman"/>
          <w:sz w:val="24"/>
          <w:szCs w:val="24"/>
        </w:rPr>
        <w:t xml:space="preserve"> (Swanton 1996, 154-</w:t>
      </w:r>
      <w:r w:rsidR="00215328">
        <w:rPr>
          <w:rFonts w:ascii="Times New Roman" w:hAnsi="Times New Roman"/>
          <w:sz w:val="24"/>
          <w:szCs w:val="24"/>
        </w:rPr>
        <w:t>5</w:t>
      </w:r>
      <w:r w:rsidRPr="0019599F">
        <w:rPr>
          <w:rFonts w:ascii="Times New Roman" w:hAnsi="Times New Roman"/>
          <w:sz w:val="24"/>
          <w:szCs w:val="24"/>
        </w:rPr>
        <w:t xml:space="preserve">5; Earl and Plummer 1965, 155). These events, unlike the slaying of Uhtred, seem to have judicial aspects to them. Not only are Eadric, Norðman, Æðelword, and Brihtric conducted to London for their slayings </w:t>
      </w:r>
      <w:r w:rsidR="00465164">
        <w:rPr>
          <w:rFonts w:ascii="Times New Roman" w:hAnsi="Times New Roman"/>
          <w:sz w:val="24"/>
          <w:szCs w:val="24"/>
        </w:rPr>
        <w:t xml:space="preserve">but also </w:t>
      </w:r>
      <w:r w:rsidRPr="0019599F">
        <w:rPr>
          <w:rFonts w:ascii="Times New Roman" w:hAnsi="Times New Roman"/>
          <w:sz w:val="24"/>
          <w:szCs w:val="24"/>
        </w:rPr>
        <w:t xml:space="preserve">their juxtaposition in the text is worth noting. Bolton highlights the </w:t>
      </w:r>
      <w:r w:rsidRPr="0019599F">
        <w:rPr>
          <w:rFonts w:ascii="Times New Roman" w:hAnsi="Times New Roman"/>
          <w:i/>
          <w:iCs/>
          <w:sz w:val="24"/>
          <w:szCs w:val="24"/>
        </w:rPr>
        <w:t>ASC</w:t>
      </w:r>
      <w:r w:rsidR="00D03D40">
        <w:rPr>
          <w:rFonts w:ascii="Times New Roman" w:hAnsi="Times New Roman"/>
          <w:sz w:val="24"/>
          <w:szCs w:val="24"/>
        </w:rPr>
        <w:t>’</w:t>
      </w:r>
      <w:r w:rsidRPr="0019599F">
        <w:rPr>
          <w:rFonts w:ascii="Times New Roman" w:hAnsi="Times New Roman"/>
          <w:sz w:val="24"/>
          <w:szCs w:val="24"/>
        </w:rPr>
        <w:t>s tendency to paint Eadric as treacherous</w:t>
      </w:r>
      <w:r w:rsidR="003010D6">
        <w:rPr>
          <w:rFonts w:ascii="Times New Roman" w:hAnsi="Times New Roman"/>
          <w:sz w:val="24"/>
          <w:szCs w:val="24"/>
        </w:rPr>
        <w:t xml:space="preserve"> and </w:t>
      </w:r>
      <w:r w:rsidRPr="0019599F">
        <w:rPr>
          <w:rFonts w:ascii="Times New Roman" w:hAnsi="Times New Roman"/>
          <w:sz w:val="24"/>
          <w:szCs w:val="24"/>
        </w:rPr>
        <w:t>suggests</w:t>
      </w:r>
      <w:r w:rsidR="003010D6">
        <w:rPr>
          <w:rFonts w:ascii="Times New Roman" w:hAnsi="Times New Roman"/>
          <w:sz w:val="24"/>
          <w:szCs w:val="24"/>
        </w:rPr>
        <w:t>, extrapolating</w:t>
      </w:r>
      <w:r w:rsidRPr="0019599F">
        <w:rPr>
          <w:rFonts w:ascii="Times New Roman" w:hAnsi="Times New Roman"/>
          <w:sz w:val="24"/>
          <w:szCs w:val="24"/>
        </w:rPr>
        <w:t xml:space="preserve"> </w:t>
      </w:r>
      <w:r w:rsidR="003010D6">
        <w:rPr>
          <w:rFonts w:ascii="Times New Roman" w:hAnsi="Times New Roman"/>
          <w:sz w:val="24"/>
          <w:szCs w:val="24"/>
        </w:rPr>
        <w:t xml:space="preserve">from the </w:t>
      </w:r>
      <w:r w:rsidR="003010D6" w:rsidRPr="0019599F">
        <w:rPr>
          <w:rFonts w:ascii="Times New Roman" w:hAnsi="Times New Roman"/>
          <w:i/>
          <w:iCs/>
          <w:sz w:val="24"/>
          <w:szCs w:val="24"/>
        </w:rPr>
        <w:t>ASC</w:t>
      </w:r>
      <w:r w:rsidR="003010D6" w:rsidRPr="0019599F">
        <w:rPr>
          <w:rFonts w:ascii="Times New Roman" w:hAnsi="Times New Roman"/>
          <w:sz w:val="24"/>
          <w:szCs w:val="24"/>
        </w:rPr>
        <w:t xml:space="preserve"> </w:t>
      </w:r>
      <w:r w:rsidR="003010D6">
        <w:rPr>
          <w:rFonts w:ascii="Times New Roman" w:hAnsi="Times New Roman"/>
          <w:sz w:val="24"/>
          <w:szCs w:val="24"/>
        </w:rPr>
        <w:t xml:space="preserve">testimony, </w:t>
      </w:r>
      <w:r w:rsidRPr="0019599F">
        <w:rPr>
          <w:rFonts w:ascii="Times New Roman" w:hAnsi="Times New Roman"/>
          <w:sz w:val="24"/>
          <w:szCs w:val="24"/>
        </w:rPr>
        <w:t xml:space="preserve">that </w:t>
      </w:r>
      <w:r w:rsidR="003010D6" w:rsidRPr="0019599F">
        <w:rPr>
          <w:rFonts w:ascii="Times New Roman" w:hAnsi="Times New Roman"/>
          <w:sz w:val="24"/>
          <w:szCs w:val="24"/>
        </w:rPr>
        <w:t xml:space="preserve">those listed alongside him </w:t>
      </w:r>
      <w:r w:rsidR="003010D6">
        <w:rPr>
          <w:rFonts w:ascii="Times New Roman" w:hAnsi="Times New Roman"/>
          <w:sz w:val="24"/>
          <w:szCs w:val="24"/>
        </w:rPr>
        <w:t xml:space="preserve">had joined Eadric in </w:t>
      </w:r>
      <w:r w:rsidRPr="0019599F">
        <w:rPr>
          <w:rFonts w:ascii="Times New Roman" w:hAnsi="Times New Roman"/>
          <w:sz w:val="24"/>
          <w:szCs w:val="24"/>
        </w:rPr>
        <w:t>orchestrat</w:t>
      </w:r>
      <w:r w:rsidR="003010D6">
        <w:rPr>
          <w:rFonts w:ascii="Times New Roman" w:hAnsi="Times New Roman"/>
          <w:sz w:val="24"/>
          <w:szCs w:val="24"/>
        </w:rPr>
        <w:t>ing</w:t>
      </w:r>
      <w:r w:rsidRPr="0019599F">
        <w:rPr>
          <w:rFonts w:ascii="Times New Roman" w:hAnsi="Times New Roman"/>
          <w:sz w:val="24"/>
          <w:szCs w:val="24"/>
        </w:rPr>
        <w:t xml:space="preserve"> a failed treason (Bolton 2009, 37; 44-5; 69). Knútr</w:t>
      </w:r>
      <w:r w:rsidR="00D03D40">
        <w:rPr>
          <w:rFonts w:ascii="Times New Roman" w:hAnsi="Times New Roman"/>
          <w:sz w:val="24"/>
          <w:szCs w:val="24"/>
        </w:rPr>
        <w:t>’</w:t>
      </w:r>
      <w:r w:rsidRPr="0019599F">
        <w:rPr>
          <w:rFonts w:ascii="Times New Roman" w:hAnsi="Times New Roman"/>
          <w:sz w:val="24"/>
          <w:szCs w:val="24"/>
        </w:rPr>
        <w:t>s apparent role in the exile of Ædwig and Eadwig and his subsequent order that they be slain</w:t>
      </w:r>
      <w:r w:rsidR="003010D6">
        <w:rPr>
          <w:rFonts w:ascii="Times New Roman" w:hAnsi="Times New Roman"/>
          <w:sz w:val="24"/>
          <w:szCs w:val="24"/>
        </w:rPr>
        <w:t xml:space="preserve"> is, if we take up</w:t>
      </w:r>
      <w:r w:rsidRPr="0019599F">
        <w:rPr>
          <w:rFonts w:ascii="Times New Roman" w:hAnsi="Times New Roman"/>
          <w:sz w:val="24"/>
          <w:szCs w:val="24"/>
        </w:rPr>
        <w:t xml:space="preserve"> Bolton</w:t>
      </w:r>
      <w:r w:rsidR="003010D6">
        <w:rPr>
          <w:rFonts w:ascii="Times New Roman" w:hAnsi="Times New Roman"/>
          <w:sz w:val="24"/>
          <w:szCs w:val="24"/>
        </w:rPr>
        <w:t>’s</w:t>
      </w:r>
      <w:r w:rsidRPr="0019599F">
        <w:rPr>
          <w:rFonts w:ascii="Times New Roman" w:hAnsi="Times New Roman"/>
          <w:sz w:val="24"/>
          <w:szCs w:val="24"/>
        </w:rPr>
        <w:t xml:space="preserve"> suggest</w:t>
      </w:r>
      <w:r w:rsidR="003010D6">
        <w:rPr>
          <w:rFonts w:ascii="Times New Roman" w:hAnsi="Times New Roman"/>
          <w:sz w:val="24"/>
          <w:szCs w:val="24"/>
        </w:rPr>
        <w:t>ion,</w:t>
      </w:r>
      <w:r w:rsidRPr="0019599F">
        <w:rPr>
          <w:rFonts w:ascii="Times New Roman" w:hAnsi="Times New Roman"/>
          <w:sz w:val="24"/>
          <w:szCs w:val="24"/>
        </w:rPr>
        <w:t xml:space="preserve"> Knútr</w:t>
      </w:r>
      <w:r w:rsidR="00D03D40">
        <w:rPr>
          <w:rFonts w:ascii="Times New Roman" w:hAnsi="Times New Roman"/>
          <w:sz w:val="24"/>
          <w:szCs w:val="24"/>
        </w:rPr>
        <w:t>’</w:t>
      </w:r>
      <w:r w:rsidRPr="0019599F">
        <w:rPr>
          <w:rFonts w:ascii="Times New Roman" w:hAnsi="Times New Roman"/>
          <w:sz w:val="24"/>
          <w:szCs w:val="24"/>
        </w:rPr>
        <w:t>s solution to an attempted coup (Bolton 2009, 46)</w:t>
      </w:r>
      <w:r w:rsidRPr="0019599F">
        <w:rPr>
          <w:rFonts w:ascii="Times New Roman" w:hAnsi="Times New Roman"/>
          <w:i/>
          <w:iCs/>
          <w:sz w:val="24"/>
          <w:szCs w:val="24"/>
        </w:rPr>
        <w:t xml:space="preserve">. </w:t>
      </w:r>
      <w:r w:rsidR="00E61F90">
        <w:rPr>
          <w:rFonts w:ascii="Times New Roman" w:hAnsi="Times New Roman"/>
          <w:sz w:val="24"/>
          <w:szCs w:val="24"/>
        </w:rPr>
        <w:t>Although</w:t>
      </w:r>
      <w:r w:rsidRPr="0019599F">
        <w:rPr>
          <w:rFonts w:ascii="Times New Roman" w:hAnsi="Times New Roman"/>
          <w:sz w:val="24"/>
          <w:szCs w:val="24"/>
        </w:rPr>
        <w:t xml:space="preserve">, according to the </w:t>
      </w:r>
      <w:r w:rsidRPr="0019599F">
        <w:rPr>
          <w:rFonts w:ascii="Times New Roman" w:hAnsi="Times New Roman"/>
          <w:i/>
          <w:iCs/>
          <w:sz w:val="24"/>
          <w:szCs w:val="24"/>
        </w:rPr>
        <w:t xml:space="preserve">ASC </w:t>
      </w:r>
      <w:r w:rsidRPr="0019599F">
        <w:rPr>
          <w:rFonts w:ascii="Times New Roman" w:hAnsi="Times New Roman"/>
          <w:sz w:val="24"/>
          <w:szCs w:val="24"/>
        </w:rPr>
        <w:t xml:space="preserve">(Wormald 1999, 346), Knútr </w:t>
      </w:r>
      <w:r w:rsidR="00E61F90">
        <w:rPr>
          <w:rFonts w:ascii="Times New Roman" w:hAnsi="Times New Roman"/>
          <w:sz w:val="24"/>
          <w:szCs w:val="24"/>
        </w:rPr>
        <w:t xml:space="preserve">did </w:t>
      </w:r>
      <w:r w:rsidRPr="0019599F">
        <w:rPr>
          <w:rFonts w:ascii="Times New Roman" w:hAnsi="Times New Roman"/>
          <w:sz w:val="24"/>
          <w:szCs w:val="24"/>
        </w:rPr>
        <w:t xml:space="preserve">not proclaim legal authority in England until 1018, we argue </w:t>
      </w:r>
      <w:r w:rsidR="00E61F90">
        <w:rPr>
          <w:rFonts w:ascii="Times New Roman" w:hAnsi="Times New Roman"/>
          <w:sz w:val="24"/>
          <w:szCs w:val="24"/>
        </w:rPr>
        <w:t xml:space="preserve">tentatively </w:t>
      </w:r>
      <w:r w:rsidRPr="0019599F">
        <w:rPr>
          <w:rFonts w:ascii="Times New Roman" w:hAnsi="Times New Roman"/>
          <w:sz w:val="24"/>
          <w:szCs w:val="24"/>
        </w:rPr>
        <w:t>that th</w:t>
      </w:r>
      <w:r w:rsidR="00E61F90">
        <w:rPr>
          <w:rFonts w:ascii="Times New Roman" w:hAnsi="Times New Roman"/>
          <w:sz w:val="24"/>
          <w:szCs w:val="24"/>
        </w:rPr>
        <w:t>e</w:t>
      </w:r>
      <w:r w:rsidRPr="0019599F">
        <w:rPr>
          <w:rFonts w:ascii="Times New Roman" w:hAnsi="Times New Roman"/>
          <w:sz w:val="24"/>
          <w:szCs w:val="24"/>
        </w:rPr>
        <w:t xml:space="preserve"> episode is best considered as an expression of judicial violence, due to its concern with political and legal details.</w:t>
      </w:r>
    </w:p>
    <w:p w14:paraId="4D77A576" w14:textId="2ADEDE2B" w:rsidR="00330AFC" w:rsidRPr="0019599F" w:rsidRDefault="003010D6" w:rsidP="0019599F">
      <w:pPr>
        <w:pStyle w:val="BodyA"/>
        <w:spacing w:line="240" w:lineRule="auto"/>
        <w:ind w:firstLine="720"/>
        <w:rPr>
          <w:rFonts w:ascii="Times New Roman" w:eastAsia="Times New Roman" w:hAnsi="Times New Roman" w:cs="Times New Roman"/>
          <w:sz w:val="24"/>
          <w:szCs w:val="24"/>
        </w:rPr>
      </w:pPr>
      <w:r>
        <w:rPr>
          <w:rFonts w:ascii="Times New Roman" w:hAnsi="Times New Roman"/>
          <w:sz w:val="24"/>
          <w:szCs w:val="24"/>
        </w:rPr>
        <w:t>A</w:t>
      </w:r>
      <w:r w:rsidR="00536562" w:rsidRPr="0019599F">
        <w:rPr>
          <w:rFonts w:ascii="Times New Roman" w:hAnsi="Times New Roman"/>
          <w:sz w:val="24"/>
          <w:szCs w:val="24"/>
        </w:rPr>
        <w:t xml:space="preserve">fter the 1018 legal proclamation, the </w:t>
      </w:r>
      <w:r w:rsidR="00536562" w:rsidRPr="0019599F">
        <w:rPr>
          <w:rFonts w:ascii="Times New Roman" w:hAnsi="Times New Roman"/>
          <w:i/>
          <w:iCs/>
          <w:sz w:val="24"/>
          <w:szCs w:val="24"/>
        </w:rPr>
        <w:t xml:space="preserve">ASC </w:t>
      </w:r>
      <w:r w:rsidR="00536562" w:rsidRPr="0019599F">
        <w:rPr>
          <w:rFonts w:ascii="Times New Roman" w:hAnsi="Times New Roman"/>
          <w:sz w:val="24"/>
          <w:szCs w:val="24"/>
        </w:rPr>
        <w:t>is almost silent on Knútr</w:t>
      </w:r>
      <w:r w:rsidR="00D03D40">
        <w:rPr>
          <w:rFonts w:ascii="Times New Roman" w:hAnsi="Times New Roman"/>
          <w:sz w:val="24"/>
          <w:szCs w:val="24"/>
        </w:rPr>
        <w:t>’</w:t>
      </w:r>
      <w:r w:rsidR="00536562" w:rsidRPr="0019599F">
        <w:rPr>
          <w:rFonts w:ascii="Times New Roman" w:hAnsi="Times New Roman"/>
          <w:sz w:val="24"/>
          <w:szCs w:val="24"/>
        </w:rPr>
        <w:t>s use of judicial violence. In 1021 we learn that</w:t>
      </w:r>
      <w:r w:rsidR="00215328">
        <w:rPr>
          <w:rFonts w:ascii="Times New Roman" w:hAnsi="Times New Roman"/>
          <w:sz w:val="24"/>
          <w:szCs w:val="24"/>
        </w:rPr>
        <w:t xml:space="preserve"> he personally outlawed Þorkell</w:t>
      </w:r>
      <w:r w:rsidR="00536562" w:rsidRPr="0019599F">
        <w:rPr>
          <w:rFonts w:ascii="Times New Roman" w:hAnsi="Times New Roman"/>
          <w:sz w:val="24"/>
          <w:szCs w:val="24"/>
        </w:rPr>
        <w:t xml:space="preserve"> and in 1022 that abbot Leofwine was </w:t>
      </w:r>
      <w:r w:rsidR="00D03D40">
        <w:rPr>
          <w:rFonts w:ascii="Times New Roman" w:hAnsi="Times New Roman"/>
          <w:sz w:val="24"/>
          <w:szCs w:val="24"/>
        </w:rPr>
        <w:t>‘</w:t>
      </w:r>
      <w:r w:rsidR="00536562" w:rsidRPr="0019599F">
        <w:rPr>
          <w:rFonts w:ascii="Times New Roman" w:hAnsi="Times New Roman"/>
          <w:sz w:val="24"/>
          <w:szCs w:val="24"/>
        </w:rPr>
        <w:t>unjustly</w:t>
      </w:r>
      <w:r w:rsidR="00D03D40">
        <w:rPr>
          <w:rFonts w:ascii="Times New Roman" w:hAnsi="Times New Roman"/>
          <w:sz w:val="24"/>
          <w:szCs w:val="24"/>
        </w:rPr>
        <w:t>’</w:t>
      </w:r>
      <w:r w:rsidR="00536562" w:rsidRPr="0019599F">
        <w:rPr>
          <w:rFonts w:ascii="Times New Roman" w:hAnsi="Times New Roman"/>
          <w:sz w:val="24"/>
          <w:szCs w:val="24"/>
        </w:rPr>
        <w:t xml:space="preserve"> exiled (Swanton 1996, 154-</w:t>
      </w:r>
      <w:r w:rsidR="00215328">
        <w:rPr>
          <w:rFonts w:ascii="Times New Roman" w:hAnsi="Times New Roman"/>
          <w:sz w:val="24"/>
          <w:szCs w:val="24"/>
        </w:rPr>
        <w:t>5</w:t>
      </w:r>
      <w:r w:rsidR="00536562" w:rsidRPr="0019599F">
        <w:rPr>
          <w:rFonts w:ascii="Times New Roman" w:hAnsi="Times New Roman"/>
          <w:sz w:val="24"/>
          <w:szCs w:val="24"/>
        </w:rPr>
        <w:t xml:space="preserve">7). </w:t>
      </w:r>
      <w:r w:rsidR="00E61F90">
        <w:rPr>
          <w:rFonts w:ascii="Times New Roman" w:hAnsi="Times New Roman"/>
          <w:sz w:val="24"/>
          <w:szCs w:val="24"/>
        </w:rPr>
        <w:t xml:space="preserve">Yet </w:t>
      </w:r>
      <w:r w:rsidR="00536562" w:rsidRPr="0019599F">
        <w:rPr>
          <w:rFonts w:ascii="Times New Roman" w:hAnsi="Times New Roman"/>
          <w:sz w:val="24"/>
          <w:szCs w:val="24"/>
        </w:rPr>
        <w:t xml:space="preserve">the </w:t>
      </w:r>
      <w:r w:rsidR="00536562" w:rsidRPr="0019599F">
        <w:rPr>
          <w:rFonts w:ascii="Times New Roman" w:hAnsi="Times New Roman"/>
          <w:i/>
          <w:iCs/>
          <w:sz w:val="24"/>
          <w:szCs w:val="24"/>
        </w:rPr>
        <w:t>ASC</w:t>
      </w:r>
      <w:r w:rsidR="00536562" w:rsidRPr="0019599F">
        <w:rPr>
          <w:rFonts w:ascii="Times New Roman" w:hAnsi="Times New Roman"/>
          <w:sz w:val="24"/>
          <w:szCs w:val="24"/>
        </w:rPr>
        <w:t xml:space="preserve"> </w:t>
      </w:r>
      <w:r w:rsidR="00E61F90">
        <w:rPr>
          <w:rFonts w:ascii="Times New Roman" w:hAnsi="Times New Roman"/>
          <w:sz w:val="24"/>
          <w:szCs w:val="24"/>
        </w:rPr>
        <w:t xml:space="preserve">goes on to </w:t>
      </w:r>
      <w:r w:rsidR="00536562" w:rsidRPr="0019599F">
        <w:rPr>
          <w:rFonts w:ascii="Times New Roman" w:hAnsi="Times New Roman"/>
          <w:sz w:val="24"/>
          <w:szCs w:val="24"/>
        </w:rPr>
        <w:t>note that Leofwine was cleared the</w:t>
      </w:r>
      <w:r w:rsidR="00215328">
        <w:rPr>
          <w:rFonts w:ascii="Times New Roman" w:hAnsi="Times New Roman"/>
          <w:sz w:val="24"/>
          <w:szCs w:val="24"/>
        </w:rPr>
        <w:t xml:space="preserve"> very same year he was banished</w:t>
      </w:r>
      <w:r w:rsidR="00536562" w:rsidRPr="0019599F">
        <w:rPr>
          <w:rFonts w:ascii="Times New Roman" w:hAnsi="Times New Roman"/>
          <w:sz w:val="24"/>
          <w:szCs w:val="24"/>
        </w:rPr>
        <w:t xml:space="preserve"> and Knútr and Þorkell reconciled only a year afterward (Swanton 1996, 154-</w:t>
      </w:r>
      <w:r w:rsidR="00E61F90">
        <w:rPr>
          <w:rFonts w:ascii="Times New Roman" w:hAnsi="Times New Roman"/>
          <w:sz w:val="24"/>
          <w:szCs w:val="24"/>
        </w:rPr>
        <w:t>5</w:t>
      </w:r>
      <w:r w:rsidR="00536562" w:rsidRPr="0019599F">
        <w:rPr>
          <w:rFonts w:ascii="Times New Roman" w:hAnsi="Times New Roman"/>
          <w:sz w:val="24"/>
          <w:szCs w:val="24"/>
        </w:rPr>
        <w:t xml:space="preserve">7). The use of </w:t>
      </w:r>
      <w:r w:rsidR="00536562" w:rsidRPr="0019599F">
        <w:rPr>
          <w:rFonts w:ascii="Times New Roman" w:hAnsi="Times New Roman"/>
          <w:i/>
          <w:iCs/>
          <w:sz w:val="24"/>
          <w:szCs w:val="24"/>
        </w:rPr>
        <w:t xml:space="preserve">utlagian </w:t>
      </w:r>
      <w:r w:rsidR="00536562" w:rsidRPr="0019599F">
        <w:rPr>
          <w:rFonts w:ascii="Times New Roman" w:hAnsi="Times New Roman"/>
          <w:sz w:val="24"/>
          <w:szCs w:val="24"/>
        </w:rPr>
        <w:t>in Þ</w:t>
      </w:r>
      <w:r w:rsidR="00536562" w:rsidRPr="0019599F">
        <w:rPr>
          <w:rFonts w:ascii="Times New Roman" w:hAnsi="Times New Roman"/>
          <w:sz w:val="24"/>
          <w:szCs w:val="24"/>
          <w:lang w:val="da-DK"/>
        </w:rPr>
        <w:t>orkell</w:t>
      </w:r>
      <w:r w:rsidR="00D03D40">
        <w:rPr>
          <w:rFonts w:ascii="Times New Roman" w:hAnsi="Times New Roman"/>
          <w:sz w:val="24"/>
          <w:szCs w:val="24"/>
        </w:rPr>
        <w:t>’</w:t>
      </w:r>
      <w:r w:rsidR="00536562" w:rsidRPr="0019599F">
        <w:rPr>
          <w:rFonts w:ascii="Times New Roman" w:hAnsi="Times New Roman"/>
          <w:sz w:val="24"/>
          <w:szCs w:val="24"/>
        </w:rPr>
        <w:t>s case is suggestive of judicial practice, as is the concern with justice in Leofwine</w:t>
      </w:r>
      <w:r w:rsidR="00D03D40">
        <w:rPr>
          <w:rFonts w:ascii="Times New Roman" w:hAnsi="Times New Roman"/>
          <w:sz w:val="24"/>
          <w:szCs w:val="24"/>
        </w:rPr>
        <w:t>’</w:t>
      </w:r>
      <w:r w:rsidR="00536562" w:rsidRPr="0019599F">
        <w:rPr>
          <w:rFonts w:ascii="Times New Roman" w:hAnsi="Times New Roman"/>
          <w:sz w:val="24"/>
          <w:szCs w:val="24"/>
        </w:rPr>
        <w:t>s case. Furthermore, that both men were cleared of their charges and allowed to return brings to mind provisions for lesser outlawry, like those in the early Norwegian laws discussed above (Larson 1935, 17).</w:t>
      </w:r>
    </w:p>
    <w:p w14:paraId="02136B66" w14:textId="68F1C1DD"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These examples give us a striking insight into Knútr</w:t>
      </w:r>
      <w:r w:rsidR="00D03D40">
        <w:rPr>
          <w:rFonts w:ascii="Times New Roman" w:hAnsi="Times New Roman"/>
          <w:sz w:val="24"/>
          <w:szCs w:val="24"/>
        </w:rPr>
        <w:t>’</w:t>
      </w:r>
      <w:r w:rsidRPr="0019599F">
        <w:rPr>
          <w:rFonts w:ascii="Times New Roman" w:hAnsi="Times New Roman"/>
          <w:sz w:val="24"/>
          <w:szCs w:val="24"/>
        </w:rPr>
        <w:t>s use of judicial violence in his reign</w:t>
      </w:r>
      <w:r w:rsidR="004D5353">
        <w:rPr>
          <w:rFonts w:ascii="Times New Roman" w:hAnsi="Times New Roman"/>
          <w:sz w:val="24"/>
          <w:szCs w:val="24"/>
        </w:rPr>
        <w:t xml:space="preserve">. </w:t>
      </w:r>
      <w:r w:rsidRPr="0019599F">
        <w:rPr>
          <w:rFonts w:ascii="Times New Roman" w:hAnsi="Times New Roman"/>
          <w:sz w:val="24"/>
          <w:szCs w:val="24"/>
        </w:rPr>
        <w:t xml:space="preserve">Most significantly, </w:t>
      </w:r>
      <w:r w:rsidR="00E61F90">
        <w:rPr>
          <w:rFonts w:ascii="Times New Roman" w:hAnsi="Times New Roman"/>
          <w:sz w:val="24"/>
          <w:szCs w:val="24"/>
        </w:rPr>
        <w:t xml:space="preserve">in contrast to </w:t>
      </w:r>
      <w:r w:rsidR="004D5353">
        <w:rPr>
          <w:rFonts w:ascii="Times New Roman" w:hAnsi="Times New Roman"/>
          <w:sz w:val="24"/>
          <w:szCs w:val="24"/>
        </w:rPr>
        <w:t>his apparently liberal us</w:t>
      </w:r>
      <w:r w:rsidRPr="0019599F">
        <w:rPr>
          <w:rFonts w:ascii="Times New Roman" w:hAnsi="Times New Roman"/>
          <w:sz w:val="24"/>
          <w:szCs w:val="24"/>
        </w:rPr>
        <w:t xml:space="preserve">e of military </w:t>
      </w:r>
      <w:r w:rsidR="004D5353" w:rsidRPr="0019599F">
        <w:rPr>
          <w:rFonts w:ascii="Times New Roman" w:hAnsi="Times New Roman"/>
          <w:sz w:val="24"/>
          <w:szCs w:val="24"/>
        </w:rPr>
        <w:t>violence</w:t>
      </w:r>
      <w:r w:rsidRPr="0019599F">
        <w:rPr>
          <w:rFonts w:ascii="Times New Roman" w:hAnsi="Times New Roman"/>
          <w:sz w:val="24"/>
          <w:szCs w:val="24"/>
        </w:rPr>
        <w:t xml:space="preserve"> Knútr</w:t>
      </w:r>
      <w:r w:rsidR="00D03D40">
        <w:rPr>
          <w:rFonts w:ascii="Times New Roman" w:hAnsi="Times New Roman"/>
          <w:sz w:val="24"/>
          <w:szCs w:val="24"/>
        </w:rPr>
        <w:t>’</w:t>
      </w:r>
      <w:r w:rsidRPr="0019599F">
        <w:rPr>
          <w:rFonts w:ascii="Times New Roman" w:hAnsi="Times New Roman"/>
          <w:sz w:val="24"/>
          <w:szCs w:val="24"/>
        </w:rPr>
        <w:t>s use of judicial violence is</w:t>
      </w:r>
      <w:r w:rsidR="00E61F90">
        <w:rPr>
          <w:rFonts w:ascii="Times New Roman" w:hAnsi="Times New Roman"/>
          <w:sz w:val="24"/>
          <w:szCs w:val="24"/>
        </w:rPr>
        <w:t xml:space="preserve"> quite restricted</w:t>
      </w:r>
      <w:r w:rsidRPr="0019599F">
        <w:rPr>
          <w:rFonts w:ascii="Times New Roman" w:hAnsi="Times New Roman"/>
          <w:sz w:val="24"/>
          <w:szCs w:val="24"/>
        </w:rPr>
        <w:t xml:space="preserve">. After his </w:t>
      </w:r>
      <w:r w:rsidR="00E61F90" w:rsidRPr="0019599F">
        <w:rPr>
          <w:rFonts w:ascii="Times New Roman" w:hAnsi="Times New Roman"/>
          <w:sz w:val="24"/>
          <w:szCs w:val="24"/>
        </w:rPr>
        <w:t>1018</w:t>
      </w:r>
      <w:r w:rsidR="00E61F90">
        <w:rPr>
          <w:rFonts w:ascii="Times New Roman" w:hAnsi="Times New Roman"/>
          <w:sz w:val="24"/>
          <w:szCs w:val="24"/>
        </w:rPr>
        <w:t xml:space="preserve"> </w:t>
      </w:r>
      <w:r w:rsidRPr="0019599F">
        <w:rPr>
          <w:rFonts w:ascii="Times New Roman" w:hAnsi="Times New Roman"/>
          <w:sz w:val="24"/>
          <w:szCs w:val="24"/>
        </w:rPr>
        <w:t xml:space="preserve">proclamation, the only signs of judicial violence in </w:t>
      </w:r>
      <w:r w:rsidRPr="0019599F">
        <w:rPr>
          <w:rFonts w:ascii="Times New Roman" w:hAnsi="Times New Roman"/>
          <w:i/>
          <w:iCs/>
          <w:sz w:val="24"/>
          <w:szCs w:val="24"/>
        </w:rPr>
        <w:t>ASC</w:t>
      </w:r>
      <w:r w:rsidRPr="0019599F">
        <w:rPr>
          <w:rFonts w:ascii="Times New Roman" w:hAnsi="Times New Roman"/>
          <w:sz w:val="24"/>
          <w:szCs w:val="24"/>
        </w:rPr>
        <w:t xml:space="preserve"> are </w:t>
      </w:r>
      <w:r w:rsidR="00E61F90">
        <w:rPr>
          <w:rFonts w:ascii="Times New Roman" w:hAnsi="Times New Roman"/>
          <w:sz w:val="24"/>
          <w:szCs w:val="24"/>
        </w:rPr>
        <w:t xml:space="preserve">the </w:t>
      </w:r>
      <w:r w:rsidRPr="0019599F">
        <w:rPr>
          <w:rFonts w:ascii="Times New Roman" w:hAnsi="Times New Roman"/>
          <w:sz w:val="24"/>
          <w:szCs w:val="24"/>
        </w:rPr>
        <w:t>three possible cases of judicial outlawry. In fact, even before th</w:t>
      </w:r>
      <w:r w:rsidR="00E61F90">
        <w:rPr>
          <w:rFonts w:ascii="Times New Roman" w:hAnsi="Times New Roman"/>
          <w:sz w:val="24"/>
          <w:szCs w:val="24"/>
        </w:rPr>
        <w:t>e</w:t>
      </w:r>
      <w:r w:rsidRPr="0019599F">
        <w:rPr>
          <w:rFonts w:ascii="Times New Roman" w:hAnsi="Times New Roman"/>
          <w:sz w:val="24"/>
          <w:szCs w:val="24"/>
        </w:rPr>
        <w:t xml:space="preserve"> proclamation, Knútr</w:t>
      </w:r>
      <w:r w:rsidR="00D03D40">
        <w:rPr>
          <w:rFonts w:ascii="Times New Roman" w:hAnsi="Times New Roman"/>
          <w:sz w:val="24"/>
          <w:szCs w:val="24"/>
        </w:rPr>
        <w:t>’</w:t>
      </w:r>
      <w:r w:rsidRPr="0019599F">
        <w:rPr>
          <w:rFonts w:ascii="Times New Roman" w:hAnsi="Times New Roman"/>
          <w:sz w:val="24"/>
          <w:szCs w:val="24"/>
        </w:rPr>
        <w:t>s possible uses of judicial violence seem to have been reserved for cases of political treachery (Bolton 2009, 37; 44-</w:t>
      </w:r>
      <w:r w:rsidR="004D5353">
        <w:rPr>
          <w:rFonts w:ascii="Times New Roman" w:hAnsi="Times New Roman"/>
          <w:sz w:val="24"/>
          <w:szCs w:val="24"/>
        </w:rPr>
        <w:t>4</w:t>
      </w:r>
      <w:r w:rsidRPr="0019599F">
        <w:rPr>
          <w:rFonts w:ascii="Times New Roman" w:hAnsi="Times New Roman"/>
          <w:sz w:val="24"/>
          <w:szCs w:val="24"/>
        </w:rPr>
        <w:t>6; 69). This picture aligns with the conciliatory nature of his laws, outlined above, and resonates particularly well with many of the provisions in the Norwegian laws</w:t>
      </w:r>
      <w:r w:rsidR="00E61F90">
        <w:rPr>
          <w:rFonts w:ascii="Times New Roman" w:hAnsi="Times New Roman"/>
          <w:sz w:val="24"/>
          <w:szCs w:val="24"/>
        </w:rPr>
        <w:t>.</w:t>
      </w:r>
      <w:r w:rsidRPr="0019599F">
        <w:rPr>
          <w:rFonts w:ascii="Times New Roman" w:hAnsi="Times New Roman"/>
          <w:sz w:val="24"/>
          <w:szCs w:val="24"/>
        </w:rPr>
        <w:t xml:space="preserve"> </w:t>
      </w:r>
    </w:p>
    <w:p w14:paraId="3E0BDF21" w14:textId="26DC4F41" w:rsidR="00330AFC" w:rsidRPr="0019599F" w:rsidRDefault="00E61F90"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lastRenderedPageBreak/>
        <w:t>Literary</w:t>
      </w:r>
      <w:r>
        <w:rPr>
          <w:rFonts w:ascii="Times New Roman" w:hAnsi="Times New Roman"/>
          <w:sz w:val="24"/>
          <w:szCs w:val="24"/>
        </w:rPr>
        <w:t xml:space="preserve"> </w:t>
      </w:r>
      <w:r w:rsidRPr="0019599F">
        <w:rPr>
          <w:rFonts w:ascii="Times New Roman" w:hAnsi="Times New Roman"/>
          <w:sz w:val="24"/>
          <w:szCs w:val="24"/>
        </w:rPr>
        <w:t>sources from Knútr</w:t>
      </w:r>
      <w:r>
        <w:rPr>
          <w:rFonts w:ascii="Times New Roman" w:hAnsi="Times New Roman"/>
          <w:sz w:val="24"/>
          <w:szCs w:val="24"/>
        </w:rPr>
        <w:t>’</w:t>
      </w:r>
      <w:r w:rsidRPr="0019599F">
        <w:rPr>
          <w:rFonts w:ascii="Times New Roman" w:hAnsi="Times New Roman"/>
          <w:sz w:val="24"/>
          <w:szCs w:val="24"/>
        </w:rPr>
        <w:t>s reign provide further detail.</w:t>
      </w:r>
      <w:r>
        <w:rPr>
          <w:rFonts w:ascii="Times New Roman" w:hAnsi="Times New Roman"/>
          <w:sz w:val="24"/>
          <w:szCs w:val="24"/>
        </w:rPr>
        <w:t xml:space="preserve"> T</w:t>
      </w:r>
      <w:r w:rsidR="00536562" w:rsidRPr="0019599F">
        <w:rPr>
          <w:rFonts w:ascii="Times New Roman" w:hAnsi="Times New Roman"/>
          <w:sz w:val="24"/>
          <w:szCs w:val="24"/>
        </w:rPr>
        <w:t>he poems of Sigvatr Þórðarson are most relevant to our current discussion (Whitelock 1955, 311),</w:t>
      </w:r>
      <w:r w:rsidR="00536562" w:rsidRPr="0019599F">
        <w:rPr>
          <w:rFonts w:ascii="Times New Roman" w:eastAsia="Times New Roman" w:hAnsi="Times New Roman" w:cs="Times New Roman"/>
          <w:sz w:val="24"/>
          <w:szCs w:val="24"/>
          <w:vertAlign w:val="superscript"/>
        </w:rPr>
        <w:footnoteReference w:id="46"/>
      </w:r>
      <w:r>
        <w:rPr>
          <w:rFonts w:ascii="Times New Roman" w:hAnsi="Times New Roman"/>
          <w:sz w:val="24"/>
          <w:szCs w:val="24"/>
        </w:rPr>
        <w:t xml:space="preserve"> exhibiting</w:t>
      </w:r>
      <w:r w:rsidR="00536562" w:rsidRPr="0019599F">
        <w:rPr>
          <w:rFonts w:ascii="Times New Roman" w:hAnsi="Times New Roman"/>
          <w:sz w:val="24"/>
          <w:szCs w:val="24"/>
        </w:rPr>
        <w:t xml:space="preserve"> the same conciliatory spirit</w:t>
      </w:r>
      <w:r>
        <w:rPr>
          <w:rFonts w:ascii="Times New Roman" w:hAnsi="Times New Roman"/>
          <w:sz w:val="24"/>
          <w:szCs w:val="24"/>
        </w:rPr>
        <w:t xml:space="preserve"> that we have already noted</w:t>
      </w:r>
      <w:r w:rsidR="00536562" w:rsidRPr="0019599F">
        <w:rPr>
          <w:rFonts w:ascii="Times New Roman" w:hAnsi="Times New Roman"/>
          <w:sz w:val="24"/>
          <w:szCs w:val="24"/>
        </w:rPr>
        <w:t xml:space="preserve">. For example, Sigvatr in one of his occasional verses </w:t>
      </w:r>
      <w:r>
        <w:rPr>
          <w:rFonts w:ascii="Times New Roman" w:hAnsi="Times New Roman"/>
          <w:sz w:val="24"/>
          <w:szCs w:val="24"/>
        </w:rPr>
        <w:t xml:space="preserve">states </w:t>
      </w:r>
      <w:r w:rsidR="00536562" w:rsidRPr="0019599F">
        <w:rPr>
          <w:rFonts w:ascii="Times New Roman" w:hAnsi="Times New Roman"/>
          <w:sz w:val="24"/>
          <w:szCs w:val="24"/>
        </w:rPr>
        <w:t>that</w:t>
      </w:r>
      <w:r w:rsidR="004D5353">
        <w:rPr>
          <w:rFonts w:ascii="Times New Roman" w:hAnsi="Times New Roman"/>
          <w:sz w:val="24"/>
          <w:szCs w:val="24"/>
        </w:rPr>
        <w:t xml:space="preserve"> instead of seeking retaliation</w:t>
      </w:r>
      <w:r w:rsidR="00536562" w:rsidRPr="0019599F">
        <w:rPr>
          <w:rFonts w:ascii="Times New Roman" w:hAnsi="Times New Roman"/>
          <w:sz w:val="24"/>
          <w:szCs w:val="24"/>
        </w:rPr>
        <w:t xml:space="preserve"> Knútr received Scottish nobles from Fife and reconciled with them, allowing them to purchase peace in exchange for their lives </w:t>
      </w:r>
      <w:commentRangeStart w:id="25"/>
      <w:r w:rsidR="00536562" w:rsidRPr="0019599F">
        <w:rPr>
          <w:rFonts w:ascii="Times New Roman" w:hAnsi="Times New Roman"/>
          <w:sz w:val="24"/>
          <w:szCs w:val="24"/>
        </w:rPr>
        <w:t>(Whitelock 1955, 311)</w:t>
      </w:r>
      <w:commentRangeEnd w:id="25"/>
      <w:r>
        <w:rPr>
          <w:rStyle w:val="CommentReference"/>
          <w:rFonts w:ascii="Times New Roman" w:hAnsi="Times New Roman" w:cs="Times New Roman"/>
          <w:color w:val="auto"/>
          <w:lang w:eastAsia="en-US"/>
        </w:rPr>
        <w:commentReference w:id="25"/>
      </w:r>
      <w:r w:rsidR="00536562" w:rsidRPr="0019599F">
        <w:rPr>
          <w:rFonts w:ascii="Times New Roman" w:hAnsi="Times New Roman"/>
          <w:sz w:val="24"/>
          <w:szCs w:val="24"/>
        </w:rPr>
        <w:t>. Much like the reconciliations between Knútr and the outlawed Leofwine and Þ</w:t>
      </w:r>
      <w:r w:rsidR="00536562" w:rsidRPr="0019599F">
        <w:rPr>
          <w:rFonts w:ascii="Times New Roman" w:hAnsi="Times New Roman"/>
          <w:sz w:val="24"/>
          <w:szCs w:val="24"/>
          <w:lang w:val="da-DK"/>
        </w:rPr>
        <w:t>orkell</w:t>
      </w:r>
      <w:r w:rsidR="00536562" w:rsidRPr="0019599F">
        <w:rPr>
          <w:rFonts w:ascii="Times New Roman" w:hAnsi="Times New Roman"/>
          <w:i/>
          <w:iCs/>
          <w:sz w:val="24"/>
          <w:szCs w:val="24"/>
        </w:rPr>
        <w:t xml:space="preserve">, </w:t>
      </w:r>
      <w:r w:rsidRPr="00E61F90">
        <w:rPr>
          <w:rFonts w:ascii="Times New Roman" w:hAnsi="Times New Roman"/>
          <w:iCs/>
          <w:sz w:val="24"/>
          <w:szCs w:val="24"/>
        </w:rPr>
        <w:t>the</w:t>
      </w:r>
      <w:r>
        <w:rPr>
          <w:rFonts w:ascii="Times New Roman" w:hAnsi="Times New Roman"/>
          <w:i/>
          <w:iCs/>
          <w:sz w:val="24"/>
          <w:szCs w:val="24"/>
        </w:rPr>
        <w:t xml:space="preserve"> </w:t>
      </w:r>
      <w:r>
        <w:rPr>
          <w:rFonts w:ascii="Times New Roman" w:hAnsi="Times New Roman"/>
          <w:sz w:val="24"/>
          <w:szCs w:val="24"/>
        </w:rPr>
        <w:t xml:space="preserve">settlement recounted by </w:t>
      </w:r>
      <w:r w:rsidR="00536562" w:rsidRPr="0019599F">
        <w:rPr>
          <w:rFonts w:ascii="Times New Roman" w:hAnsi="Times New Roman"/>
          <w:sz w:val="24"/>
          <w:szCs w:val="24"/>
        </w:rPr>
        <w:t xml:space="preserve">Sigvatr has the familiar ring of the </w:t>
      </w:r>
      <w:r w:rsidR="00536562" w:rsidRPr="0019599F">
        <w:rPr>
          <w:rFonts w:ascii="Times New Roman" w:hAnsi="Times New Roman"/>
          <w:i/>
          <w:iCs/>
          <w:sz w:val="24"/>
          <w:szCs w:val="24"/>
        </w:rPr>
        <w:t>skógarkaup</w:t>
      </w:r>
      <w:r w:rsidR="00536562" w:rsidRPr="0019599F">
        <w:rPr>
          <w:rFonts w:ascii="Times New Roman" w:hAnsi="Times New Roman"/>
          <w:sz w:val="24"/>
          <w:szCs w:val="24"/>
        </w:rPr>
        <w:t xml:space="preserve"> provisions discussed above (Larson 1935, 17). Even more interesting are Sigvatr</w:t>
      </w:r>
      <w:r w:rsidR="00D03D40">
        <w:rPr>
          <w:rFonts w:ascii="Times New Roman" w:hAnsi="Times New Roman"/>
          <w:sz w:val="24"/>
          <w:szCs w:val="24"/>
        </w:rPr>
        <w:t>’</w:t>
      </w:r>
      <w:r w:rsidR="00536562" w:rsidRPr="0019599F">
        <w:rPr>
          <w:rFonts w:ascii="Times New Roman" w:hAnsi="Times New Roman"/>
          <w:sz w:val="24"/>
          <w:szCs w:val="24"/>
        </w:rPr>
        <w:t xml:space="preserve">s </w:t>
      </w:r>
      <w:r w:rsidR="00536562" w:rsidRPr="0019599F">
        <w:rPr>
          <w:rFonts w:ascii="Times New Roman" w:hAnsi="Times New Roman"/>
          <w:i/>
          <w:iCs/>
          <w:sz w:val="24"/>
          <w:szCs w:val="24"/>
        </w:rPr>
        <w:t>Vestrfararví</w:t>
      </w:r>
      <w:r w:rsidR="00536562" w:rsidRPr="0019599F">
        <w:rPr>
          <w:rFonts w:ascii="Times New Roman" w:hAnsi="Times New Roman"/>
          <w:i/>
          <w:iCs/>
          <w:sz w:val="24"/>
          <w:szCs w:val="24"/>
          <w:lang w:val="fr-FR"/>
        </w:rPr>
        <w:t>sur</w:t>
      </w:r>
      <w:r w:rsidR="00536562" w:rsidRPr="0019599F">
        <w:rPr>
          <w:rFonts w:ascii="Times New Roman" w:hAnsi="Times New Roman"/>
          <w:sz w:val="24"/>
          <w:szCs w:val="24"/>
        </w:rPr>
        <w:t xml:space="preserve">, </w:t>
      </w:r>
      <w:r>
        <w:rPr>
          <w:rFonts w:ascii="Times New Roman" w:hAnsi="Times New Roman"/>
          <w:sz w:val="24"/>
          <w:szCs w:val="24"/>
        </w:rPr>
        <w:t xml:space="preserve">which gives </w:t>
      </w:r>
      <w:r w:rsidR="00536562" w:rsidRPr="0019599F">
        <w:rPr>
          <w:rFonts w:ascii="Times New Roman" w:hAnsi="Times New Roman"/>
          <w:sz w:val="24"/>
          <w:szCs w:val="24"/>
        </w:rPr>
        <w:t>an intriguing depiction of Knútr</w:t>
      </w:r>
      <w:r w:rsidR="00D03D40">
        <w:rPr>
          <w:rFonts w:ascii="Times New Roman" w:hAnsi="Times New Roman"/>
          <w:sz w:val="24"/>
          <w:szCs w:val="24"/>
        </w:rPr>
        <w:t>’</w:t>
      </w:r>
      <w:r w:rsidR="00536562" w:rsidRPr="0019599F">
        <w:rPr>
          <w:rFonts w:ascii="Times New Roman" w:hAnsi="Times New Roman"/>
          <w:sz w:val="24"/>
          <w:szCs w:val="24"/>
        </w:rPr>
        <w:t xml:space="preserve">s court. </w:t>
      </w:r>
      <w:commentRangeStart w:id="26"/>
      <w:r w:rsidRPr="0019599F">
        <w:rPr>
          <w:rFonts w:ascii="Times New Roman" w:hAnsi="Times New Roman"/>
          <w:sz w:val="24"/>
          <w:szCs w:val="24"/>
        </w:rPr>
        <w:t>W</w:t>
      </w:r>
      <w:r w:rsidR="00536562" w:rsidRPr="0019599F">
        <w:rPr>
          <w:rFonts w:ascii="Times New Roman" w:hAnsi="Times New Roman"/>
          <w:sz w:val="24"/>
          <w:szCs w:val="24"/>
        </w:rPr>
        <w:t>e</w:t>
      </w:r>
      <w:r>
        <w:rPr>
          <w:rFonts w:ascii="Times New Roman" w:hAnsi="Times New Roman"/>
          <w:sz w:val="24"/>
          <w:szCs w:val="24"/>
        </w:rPr>
        <w:t xml:space="preserve"> </w:t>
      </w:r>
      <w:r w:rsidR="00536562" w:rsidRPr="0019599F">
        <w:rPr>
          <w:rFonts w:ascii="Times New Roman" w:hAnsi="Times New Roman"/>
          <w:sz w:val="24"/>
          <w:szCs w:val="24"/>
        </w:rPr>
        <w:t>learn that Sigvatr came to Knútr</w:t>
      </w:r>
      <w:r w:rsidR="00D03D40">
        <w:rPr>
          <w:rFonts w:ascii="Times New Roman" w:hAnsi="Times New Roman"/>
          <w:sz w:val="24"/>
          <w:szCs w:val="24"/>
        </w:rPr>
        <w:t>’</w:t>
      </w:r>
      <w:r w:rsidR="00536562" w:rsidRPr="0019599F">
        <w:rPr>
          <w:rFonts w:ascii="Times New Roman" w:hAnsi="Times New Roman"/>
          <w:sz w:val="24"/>
          <w:szCs w:val="24"/>
        </w:rPr>
        <w:t>s court with a suit filed against him (Whitelock 1955, 311-</w:t>
      </w:r>
      <w:r w:rsidR="004D5353">
        <w:rPr>
          <w:rFonts w:ascii="Times New Roman" w:hAnsi="Times New Roman"/>
          <w:sz w:val="24"/>
          <w:szCs w:val="24"/>
        </w:rPr>
        <w:t>1</w:t>
      </w:r>
      <w:r w:rsidR="00536562" w:rsidRPr="0019599F">
        <w:rPr>
          <w:rFonts w:ascii="Times New Roman" w:hAnsi="Times New Roman"/>
          <w:sz w:val="24"/>
          <w:szCs w:val="24"/>
        </w:rPr>
        <w:t>2). Not only does Knútr apparently drop the lawsuit, he brings Sigvatr into his following and bestows gifts on him (Whitelock 1955, 311-</w:t>
      </w:r>
      <w:r w:rsidR="004D5353">
        <w:rPr>
          <w:rFonts w:ascii="Times New Roman" w:hAnsi="Times New Roman"/>
          <w:sz w:val="24"/>
          <w:szCs w:val="24"/>
        </w:rPr>
        <w:t>1</w:t>
      </w:r>
      <w:r w:rsidR="00536562" w:rsidRPr="0019599F">
        <w:rPr>
          <w:rFonts w:ascii="Times New Roman" w:hAnsi="Times New Roman"/>
          <w:sz w:val="24"/>
          <w:szCs w:val="24"/>
        </w:rPr>
        <w:t>2).</w:t>
      </w:r>
      <w:commentRangeEnd w:id="26"/>
      <w:r>
        <w:rPr>
          <w:rStyle w:val="CommentReference"/>
          <w:rFonts w:ascii="Times New Roman" w:hAnsi="Times New Roman" w:cs="Times New Roman"/>
          <w:color w:val="auto"/>
          <w:lang w:eastAsia="en-US"/>
        </w:rPr>
        <w:commentReference w:id="26"/>
      </w:r>
    </w:p>
    <w:p w14:paraId="6DE34468" w14:textId="68463A34"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Of course, Knútr</w:t>
      </w:r>
      <w:r w:rsidR="00D03D40">
        <w:rPr>
          <w:rFonts w:ascii="Times New Roman" w:hAnsi="Times New Roman"/>
          <w:sz w:val="24"/>
          <w:szCs w:val="24"/>
        </w:rPr>
        <w:t>’</w:t>
      </w:r>
      <w:r w:rsidRPr="0019599F">
        <w:rPr>
          <w:rFonts w:ascii="Times New Roman" w:hAnsi="Times New Roman"/>
          <w:sz w:val="24"/>
          <w:szCs w:val="24"/>
        </w:rPr>
        <w:t>s conciliatory nature cannot be ascribed to a more Scandinavian or English judicial temperament, nor can the purchasing of peace. While his interest in seeking settlements could be borne out of his native bottom-up punitive system, it is equally possible that it arose from his involvement with Archbishop Wulfstan II.</w:t>
      </w:r>
      <w:r w:rsidRPr="0019599F">
        <w:rPr>
          <w:rFonts w:ascii="Times New Roman" w:eastAsia="Times New Roman" w:hAnsi="Times New Roman" w:cs="Times New Roman"/>
          <w:sz w:val="24"/>
          <w:szCs w:val="24"/>
          <w:vertAlign w:val="superscript"/>
        </w:rPr>
        <w:footnoteReference w:id="47"/>
      </w:r>
      <w:r w:rsidRPr="0019599F">
        <w:rPr>
          <w:rFonts w:ascii="Times New Roman" w:hAnsi="Times New Roman"/>
          <w:sz w:val="24"/>
          <w:szCs w:val="24"/>
        </w:rPr>
        <w:t xml:space="preserve"> In reality, it was most likely </w:t>
      </w:r>
      <w:r w:rsidR="00E61F90">
        <w:rPr>
          <w:rFonts w:ascii="Times New Roman" w:hAnsi="Times New Roman"/>
          <w:sz w:val="24"/>
          <w:szCs w:val="24"/>
        </w:rPr>
        <w:t xml:space="preserve">due to </w:t>
      </w:r>
      <w:r w:rsidRPr="0019599F">
        <w:rPr>
          <w:rFonts w:ascii="Times New Roman" w:hAnsi="Times New Roman"/>
          <w:sz w:val="24"/>
          <w:szCs w:val="24"/>
        </w:rPr>
        <w:t>a combination of these</w:t>
      </w:r>
      <w:r w:rsidR="00AB2587">
        <w:rPr>
          <w:rFonts w:ascii="Times New Roman" w:hAnsi="Times New Roman"/>
          <w:sz w:val="24"/>
          <w:szCs w:val="24"/>
        </w:rPr>
        <w:t xml:space="preserve"> factors</w:t>
      </w:r>
      <w:r w:rsidRPr="0019599F">
        <w:rPr>
          <w:rFonts w:ascii="Times New Roman" w:hAnsi="Times New Roman"/>
          <w:sz w:val="24"/>
          <w:szCs w:val="24"/>
        </w:rPr>
        <w:t xml:space="preserve">. </w:t>
      </w:r>
      <w:r w:rsidR="00AB2587">
        <w:rPr>
          <w:rFonts w:ascii="Times New Roman" w:hAnsi="Times New Roman"/>
          <w:sz w:val="24"/>
          <w:szCs w:val="24"/>
        </w:rPr>
        <w:t xml:space="preserve">As noted above, </w:t>
      </w:r>
      <w:r w:rsidRPr="0019599F">
        <w:rPr>
          <w:rFonts w:ascii="Times New Roman" w:hAnsi="Times New Roman"/>
          <w:sz w:val="24"/>
          <w:szCs w:val="24"/>
        </w:rPr>
        <w:t>Wormald points out that the laws of Edgar</w:t>
      </w:r>
      <w:r w:rsidR="00AB2587">
        <w:rPr>
          <w:rFonts w:ascii="Times New Roman" w:hAnsi="Times New Roman"/>
          <w:sz w:val="24"/>
          <w:szCs w:val="24"/>
        </w:rPr>
        <w:t xml:space="preserve"> </w:t>
      </w:r>
      <w:r w:rsidRPr="0019599F">
        <w:rPr>
          <w:rFonts w:ascii="Times New Roman" w:hAnsi="Times New Roman"/>
          <w:sz w:val="24"/>
          <w:szCs w:val="24"/>
        </w:rPr>
        <w:t>were already setting legal precedent for Anglo-Scandinavian accommodation in England (Wormald 1999, 352-</w:t>
      </w:r>
      <w:r w:rsidR="004D5353">
        <w:rPr>
          <w:rFonts w:ascii="Times New Roman" w:hAnsi="Times New Roman"/>
          <w:sz w:val="24"/>
          <w:szCs w:val="24"/>
        </w:rPr>
        <w:t>5</w:t>
      </w:r>
      <w:r w:rsidRPr="0019599F">
        <w:rPr>
          <w:rFonts w:ascii="Times New Roman" w:hAnsi="Times New Roman"/>
          <w:sz w:val="24"/>
          <w:szCs w:val="24"/>
        </w:rPr>
        <w:t>5), but gi</w:t>
      </w:r>
      <w:r w:rsidR="004D5353">
        <w:rPr>
          <w:rFonts w:ascii="Times New Roman" w:hAnsi="Times New Roman"/>
          <w:sz w:val="24"/>
          <w:szCs w:val="24"/>
        </w:rPr>
        <w:t>ven the evidence consulted here</w:t>
      </w:r>
      <w:r w:rsidRPr="0019599F">
        <w:rPr>
          <w:rFonts w:ascii="Times New Roman" w:hAnsi="Times New Roman"/>
          <w:sz w:val="24"/>
          <w:szCs w:val="24"/>
        </w:rPr>
        <w:t xml:space="preserve"> Knútr</w:t>
      </w:r>
      <w:r w:rsidR="00D03D40">
        <w:rPr>
          <w:rFonts w:ascii="Times New Roman" w:hAnsi="Times New Roman"/>
          <w:sz w:val="24"/>
          <w:szCs w:val="24"/>
        </w:rPr>
        <w:t>’</w:t>
      </w:r>
      <w:r w:rsidRPr="0019599F">
        <w:rPr>
          <w:rFonts w:ascii="Times New Roman" w:hAnsi="Times New Roman"/>
          <w:sz w:val="24"/>
          <w:szCs w:val="24"/>
        </w:rPr>
        <w:t>s laws seem to encourage a hybridization of systems.</w:t>
      </w:r>
    </w:p>
    <w:p w14:paraId="7EEF9EF2" w14:textId="76F9F516"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Recent archaeological studies also point to a culture of Anglo-Scandinavian accommodation and hybridization around this time</w:t>
      </w:r>
      <w:r w:rsidR="00AB2587">
        <w:rPr>
          <w:rFonts w:ascii="Times New Roman" w:hAnsi="Times New Roman"/>
          <w:sz w:val="24"/>
          <w:szCs w:val="24"/>
        </w:rPr>
        <w:t>. M</w:t>
      </w:r>
      <w:r w:rsidRPr="0019599F">
        <w:rPr>
          <w:rFonts w:ascii="Times New Roman" w:hAnsi="Times New Roman"/>
          <w:sz w:val="24"/>
          <w:szCs w:val="24"/>
        </w:rPr>
        <w:t>ethodological care must be exercised</w:t>
      </w:r>
      <w:r w:rsidR="00AB2587">
        <w:rPr>
          <w:rFonts w:ascii="Times New Roman" w:hAnsi="Times New Roman"/>
          <w:sz w:val="24"/>
          <w:szCs w:val="24"/>
        </w:rPr>
        <w:t>, however, since a</w:t>
      </w:r>
      <w:r w:rsidRPr="0019599F">
        <w:rPr>
          <w:rFonts w:ascii="Times New Roman" w:hAnsi="Times New Roman"/>
          <w:sz w:val="24"/>
          <w:szCs w:val="24"/>
        </w:rPr>
        <w:t xml:space="preserve">rchaeology is macroscopic in its focus and frequently lacks the resolution to centre on particular historical figures (Bolton 2009, 2-3). </w:t>
      </w:r>
      <w:r w:rsidR="00AB2587">
        <w:rPr>
          <w:rFonts w:ascii="Times New Roman" w:hAnsi="Times New Roman"/>
          <w:sz w:val="24"/>
          <w:szCs w:val="24"/>
        </w:rPr>
        <w:t>T</w:t>
      </w:r>
      <w:r w:rsidRPr="0019599F">
        <w:rPr>
          <w:rFonts w:ascii="Times New Roman" w:hAnsi="Times New Roman"/>
          <w:sz w:val="24"/>
          <w:szCs w:val="24"/>
        </w:rPr>
        <w:t>he deviant burial evidence explored above is too chronologically</w:t>
      </w:r>
      <w:r w:rsidR="00AB2587">
        <w:rPr>
          <w:rFonts w:ascii="Times New Roman" w:hAnsi="Times New Roman"/>
          <w:sz w:val="24"/>
          <w:szCs w:val="24"/>
        </w:rPr>
        <w:t xml:space="preserve"> </w:t>
      </w:r>
      <w:r w:rsidRPr="0019599F">
        <w:rPr>
          <w:rFonts w:ascii="Times New Roman" w:hAnsi="Times New Roman"/>
          <w:sz w:val="24"/>
          <w:szCs w:val="24"/>
        </w:rPr>
        <w:t>broad to be applied to a precise political and historical case study. Even very highly-resolved burial evidence, like that of Grave 9 at Walkington Wold in East Yorkshire – which has been C14 dated and shows significant overlap with Knútr</w:t>
      </w:r>
      <w:r w:rsidR="00D03D40">
        <w:rPr>
          <w:rFonts w:ascii="Times New Roman" w:hAnsi="Times New Roman"/>
          <w:sz w:val="24"/>
          <w:szCs w:val="24"/>
        </w:rPr>
        <w:t>’</w:t>
      </w:r>
      <w:r w:rsidRPr="0019599F">
        <w:rPr>
          <w:rFonts w:ascii="Times New Roman" w:hAnsi="Times New Roman"/>
          <w:sz w:val="24"/>
          <w:szCs w:val="24"/>
        </w:rPr>
        <w:t xml:space="preserve">s reign – is rather unhelpful when we consider </w:t>
      </w:r>
      <w:r w:rsidR="00AB2587">
        <w:rPr>
          <w:rFonts w:ascii="Times New Roman" w:hAnsi="Times New Roman"/>
          <w:sz w:val="24"/>
          <w:szCs w:val="24"/>
        </w:rPr>
        <w:t xml:space="preserve">that </w:t>
      </w:r>
      <w:r w:rsidRPr="0019599F">
        <w:rPr>
          <w:rFonts w:ascii="Times New Roman" w:hAnsi="Times New Roman"/>
          <w:sz w:val="24"/>
          <w:szCs w:val="24"/>
        </w:rPr>
        <w:t>the grave could date anywhere between 900 - 1040 CE (Reynolds 2009, 150-</w:t>
      </w:r>
      <w:r w:rsidR="00AB2587">
        <w:rPr>
          <w:rFonts w:ascii="Times New Roman" w:hAnsi="Times New Roman"/>
          <w:sz w:val="24"/>
          <w:szCs w:val="24"/>
        </w:rPr>
        <w:t>5</w:t>
      </w:r>
      <w:r w:rsidRPr="0019599F">
        <w:rPr>
          <w:rFonts w:ascii="Times New Roman" w:hAnsi="Times New Roman"/>
          <w:sz w:val="24"/>
          <w:szCs w:val="24"/>
        </w:rPr>
        <w:t xml:space="preserve">1). </w:t>
      </w:r>
      <w:r w:rsidR="00AB2587">
        <w:rPr>
          <w:rFonts w:ascii="Times New Roman" w:hAnsi="Times New Roman"/>
          <w:sz w:val="24"/>
          <w:szCs w:val="24"/>
        </w:rPr>
        <w:t>W</w:t>
      </w:r>
      <w:r w:rsidRPr="0019599F">
        <w:rPr>
          <w:rFonts w:ascii="Times New Roman" w:hAnsi="Times New Roman"/>
          <w:sz w:val="24"/>
          <w:szCs w:val="24"/>
        </w:rPr>
        <w:t>ith Knútr</w:t>
      </w:r>
      <w:r w:rsidR="00D03D40">
        <w:rPr>
          <w:rFonts w:ascii="Times New Roman" w:hAnsi="Times New Roman"/>
          <w:sz w:val="24"/>
          <w:szCs w:val="24"/>
        </w:rPr>
        <w:t>’</w:t>
      </w:r>
      <w:r w:rsidRPr="0019599F">
        <w:rPr>
          <w:rFonts w:ascii="Times New Roman" w:hAnsi="Times New Roman"/>
          <w:sz w:val="24"/>
          <w:szCs w:val="24"/>
        </w:rPr>
        <w:t xml:space="preserve">s laws </w:t>
      </w:r>
      <w:r w:rsidR="00AB2587">
        <w:rPr>
          <w:rFonts w:ascii="Times New Roman" w:hAnsi="Times New Roman"/>
          <w:sz w:val="24"/>
          <w:szCs w:val="24"/>
        </w:rPr>
        <w:t>providing for more local discretion in matters of law and punishment</w:t>
      </w:r>
      <w:r w:rsidRPr="0019599F">
        <w:rPr>
          <w:rFonts w:ascii="Times New Roman" w:hAnsi="Times New Roman"/>
          <w:sz w:val="24"/>
          <w:szCs w:val="24"/>
        </w:rPr>
        <w:t>, evidence or reason to tie this individual burial to Knútr</w:t>
      </w:r>
      <w:r w:rsidR="00D03D40">
        <w:rPr>
          <w:rFonts w:ascii="Times New Roman" w:hAnsi="Times New Roman"/>
          <w:sz w:val="24"/>
          <w:szCs w:val="24"/>
        </w:rPr>
        <w:t>’</w:t>
      </w:r>
      <w:r w:rsidRPr="0019599F">
        <w:rPr>
          <w:rFonts w:ascii="Times New Roman" w:hAnsi="Times New Roman"/>
          <w:sz w:val="24"/>
          <w:szCs w:val="24"/>
        </w:rPr>
        <w:t>s own attitudes</w:t>
      </w:r>
      <w:r w:rsidR="00AB2587">
        <w:rPr>
          <w:rFonts w:ascii="Times New Roman" w:hAnsi="Times New Roman"/>
          <w:sz w:val="24"/>
          <w:szCs w:val="24"/>
        </w:rPr>
        <w:t xml:space="preserve"> is lacking</w:t>
      </w:r>
      <w:r w:rsidRPr="0019599F">
        <w:rPr>
          <w:rFonts w:ascii="Times New Roman" w:hAnsi="Times New Roman"/>
          <w:sz w:val="24"/>
          <w:szCs w:val="24"/>
        </w:rPr>
        <w:t>.</w:t>
      </w:r>
    </w:p>
    <w:p w14:paraId="49B1AB8A" w14:textId="164535BC"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Given these problems surrounding burial evidence we will slightly alter our methods, turning to focus on cultural interaction and idea-transfer. This approach allows us to consider Knútr as an agent of important social and legal changes in his day. </w:t>
      </w:r>
      <w:r w:rsidR="009E3499">
        <w:rPr>
          <w:rFonts w:ascii="Times New Roman" w:hAnsi="Times New Roman"/>
          <w:sz w:val="24"/>
          <w:szCs w:val="24"/>
        </w:rPr>
        <w:t xml:space="preserve">He was quite possibly </w:t>
      </w:r>
      <w:r w:rsidRPr="0019599F">
        <w:rPr>
          <w:rFonts w:ascii="Times New Roman" w:hAnsi="Times New Roman"/>
          <w:sz w:val="24"/>
          <w:szCs w:val="24"/>
        </w:rPr>
        <w:t>instrumental in the exchange and hybridization of ideas between Scandinavia and England during his reign</w:t>
      </w:r>
      <w:r w:rsidR="009E3499">
        <w:rPr>
          <w:rFonts w:ascii="Times New Roman" w:hAnsi="Times New Roman"/>
          <w:sz w:val="24"/>
          <w:szCs w:val="24"/>
        </w:rPr>
        <w:t>. As such</w:t>
      </w:r>
      <w:r w:rsidRPr="0019599F">
        <w:rPr>
          <w:rFonts w:ascii="Times New Roman" w:hAnsi="Times New Roman"/>
          <w:sz w:val="24"/>
          <w:szCs w:val="24"/>
        </w:rPr>
        <w:t xml:space="preserve">, </w:t>
      </w:r>
      <w:r w:rsidR="009E3499">
        <w:rPr>
          <w:rFonts w:ascii="Times New Roman" w:hAnsi="Times New Roman"/>
          <w:sz w:val="24"/>
          <w:szCs w:val="24"/>
        </w:rPr>
        <w:t xml:space="preserve">he </w:t>
      </w:r>
      <w:r w:rsidRPr="0019599F">
        <w:rPr>
          <w:rFonts w:ascii="Times New Roman" w:hAnsi="Times New Roman"/>
          <w:sz w:val="24"/>
          <w:szCs w:val="24"/>
        </w:rPr>
        <w:t xml:space="preserve">could </w:t>
      </w:r>
      <w:r w:rsidR="009E3499">
        <w:rPr>
          <w:rFonts w:ascii="Times New Roman" w:hAnsi="Times New Roman"/>
          <w:sz w:val="24"/>
          <w:szCs w:val="24"/>
        </w:rPr>
        <w:t xml:space="preserve">well </w:t>
      </w:r>
      <w:r w:rsidRPr="0019599F">
        <w:rPr>
          <w:rFonts w:ascii="Times New Roman" w:hAnsi="Times New Roman"/>
          <w:sz w:val="24"/>
          <w:szCs w:val="24"/>
        </w:rPr>
        <w:t>have been blending the Scandinavian and English frameworks for judicial violence.</w:t>
      </w:r>
    </w:p>
    <w:p w14:paraId="400EB043" w14:textId="1C201375"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 xml:space="preserve">Archaeological evidence for cultural interaction and idea-transfer </w:t>
      </w:r>
      <w:r w:rsidR="009E3499" w:rsidRPr="0019599F">
        <w:rPr>
          <w:rFonts w:ascii="Times New Roman" w:hAnsi="Times New Roman"/>
          <w:sz w:val="24"/>
          <w:szCs w:val="24"/>
        </w:rPr>
        <w:t xml:space="preserve">during this period </w:t>
      </w:r>
      <w:r w:rsidR="009E3499">
        <w:rPr>
          <w:rFonts w:ascii="Times New Roman" w:hAnsi="Times New Roman"/>
          <w:sz w:val="24"/>
          <w:szCs w:val="24"/>
        </w:rPr>
        <w:t xml:space="preserve">to collaborate this hypothesis </w:t>
      </w:r>
      <w:r w:rsidRPr="0019599F">
        <w:rPr>
          <w:rFonts w:ascii="Times New Roman" w:hAnsi="Times New Roman"/>
          <w:sz w:val="24"/>
          <w:szCs w:val="24"/>
        </w:rPr>
        <w:t>abounds. Analysis of material culture from across the contemporaneous Anglo-Scandinavian world repeatedly indicate</w:t>
      </w:r>
      <w:r w:rsidR="009E3499">
        <w:rPr>
          <w:rFonts w:ascii="Times New Roman" w:hAnsi="Times New Roman"/>
          <w:sz w:val="24"/>
          <w:szCs w:val="24"/>
        </w:rPr>
        <w:t>s</w:t>
      </w:r>
      <w:r w:rsidRPr="0019599F">
        <w:rPr>
          <w:rFonts w:ascii="Times New Roman" w:hAnsi="Times New Roman"/>
          <w:sz w:val="24"/>
          <w:szCs w:val="24"/>
        </w:rPr>
        <w:t xml:space="preserve"> that artistic, technologica</w:t>
      </w:r>
      <w:r w:rsidR="00DD7C7B" w:rsidRPr="0019599F">
        <w:rPr>
          <w:rFonts w:ascii="Times New Roman" w:hAnsi="Times New Roman"/>
          <w:sz w:val="24"/>
          <w:szCs w:val="24"/>
        </w:rPr>
        <w:t xml:space="preserve">l, and cultural hybridity were </w:t>
      </w:r>
      <w:r w:rsidRPr="0019599F">
        <w:rPr>
          <w:rFonts w:ascii="Times New Roman" w:hAnsi="Times New Roman"/>
          <w:sz w:val="24"/>
          <w:szCs w:val="24"/>
        </w:rPr>
        <w:t>characteristics of this period (Ashby 2011, 313-6; Kershaw 2009, Kershaw 2013, Stocker 2000; Thomas 2000, 239-52). Olwyn Owen and Stephen Driscoll</w:t>
      </w:r>
      <w:r w:rsidR="00983335">
        <w:rPr>
          <w:rFonts w:ascii="Times New Roman" w:hAnsi="Times New Roman"/>
          <w:sz w:val="24"/>
          <w:szCs w:val="24"/>
        </w:rPr>
        <w:t xml:space="preserve"> (</w:t>
      </w:r>
      <w:r w:rsidR="00983335" w:rsidRPr="0019599F">
        <w:rPr>
          <w:rFonts w:ascii="Times New Roman" w:hAnsi="Times New Roman"/>
          <w:sz w:val="24"/>
          <w:szCs w:val="24"/>
        </w:rPr>
        <w:t>2011, 341-</w:t>
      </w:r>
      <w:r w:rsidR="00983335">
        <w:rPr>
          <w:rFonts w:ascii="Times New Roman" w:hAnsi="Times New Roman"/>
          <w:sz w:val="24"/>
          <w:szCs w:val="24"/>
        </w:rPr>
        <w:t>4</w:t>
      </w:r>
      <w:r w:rsidR="00983335" w:rsidRPr="0019599F">
        <w:rPr>
          <w:rFonts w:ascii="Times New Roman" w:hAnsi="Times New Roman"/>
          <w:sz w:val="24"/>
          <w:szCs w:val="24"/>
        </w:rPr>
        <w:t>3)</w:t>
      </w:r>
      <w:r w:rsidRPr="0019599F">
        <w:rPr>
          <w:rFonts w:ascii="Times New Roman" w:hAnsi="Times New Roman"/>
          <w:sz w:val="24"/>
          <w:szCs w:val="24"/>
        </w:rPr>
        <w:t>, examining stone sculpture</w:t>
      </w:r>
      <w:r w:rsidR="00983335">
        <w:rPr>
          <w:rFonts w:ascii="Times New Roman" w:hAnsi="Times New Roman"/>
          <w:sz w:val="24"/>
          <w:szCs w:val="24"/>
        </w:rPr>
        <w:t>s</w:t>
      </w:r>
      <w:r w:rsidRPr="0019599F">
        <w:rPr>
          <w:rFonts w:ascii="Times New Roman" w:hAnsi="Times New Roman"/>
          <w:sz w:val="24"/>
          <w:szCs w:val="24"/>
        </w:rPr>
        <w:t xml:space="preserve"> </w:t>
      </w:r>
      <w:r w:rsidR="009E3499">
        <w:rPr>
          <w:rFonts w:ascii="Times New Roman" w:hAnsi="Times New Roman"/>
          <w:sz w:val="24"/>
          <w:szCs w:val="24"/>
        </w:rPr>
        <w:t xml:space="preserve">in </w:t>
      </w:r>
      <w:r w:rsidRPr="0019599F">
        <w:rPr>
          <w:rFonts w:ascii="Times New Roman" w:hAnsi="Times New Roman"/>
          <w:sz w:val="24"/>
          <w:szCs w:val="24"/>
        </w:rPr>
        <w:t>Scotland on the Firth of Clyde</w:t>
      </w:r>
      <w:r w:rsidR="00983335">
        <w:rPr>
          <w:rFonts w:ascii="Times New Roman" w:hAnsi="Times New Roman"/>
          <w:sz w:val="24"/>
          <w:szCs w:val="24"/>
        </w:rPr>
        <w:t>,</w:t>
      </w:r>
      <w:r w:rsidRPr="0019599F">
        <w:rPr>
          <w:rFonts w:ascii="Times New Roman" w:hAnsi="Times New Roman"/>
          <w:sz w:val="24"/>
          <w:szCs w:val="24"/>
        </w:rPr>
        <w:t xml:space="preserve"> highlight a number of </w:t>
      </w:r>
      <w:r w:rsidRPr="0019599F">
        <w:rPr>
          <w:rFonts w:ascii="Times New Roman" w:hAnsi="Times New Roman"/>
          <w:sz w:val="24"/>
          <w:szCs w:val="24"/>
        </w:rPr>
        <w:lastRenderedPageBreak/>
        <w:t xml:space="preserve">hogback carvings associated with members of a Norse elite in the tenth and eleventh centuries, alongside evidence for what appears to be a high-status </w:t>
      </w:r>
      <w:r w:rsidRPr="0019599F">
        <w:rPr>
          <w:rFonts w:ascii="Times New Roman" w:hAnsi="Times New Roman"/>
          <w:i/>
          <w:iCs/>
          <w:sz w:val="24"/>
          <w:szCs w:val="24"/>
        </w:rPr>
        <w:t>thing</w:t>
      </w:r>
      <w:r w:rsidRPr="0019599F">
        <w:rPr>
          <w:rFonts w:ascii="Times New Roman" w:hAnsi="Times New Roman"/>
          <w:sz w:val="24"/>
          <w:szCs w:val="24"/>
        </w:rPr>
        <w:t xml:space="preserve">-site. This </w:t>
      </w:r>
      <w:r w:rsidR="00983335">
        <w:rPr>
          <w:rFonts w:ascii="Times New Roman" w:hAnsi="Times New Roman"/>
          <w:sz w:val="24"/>
          <w:szCs w:val="24"/>
        </w:rPr>
        <w:t xml:space="preserve">hints at the possibility of </w:t>
      </w:r>
      <w:r w:rsidRPr="0019599F">
        <w:rPr>
          <w:rFonts w:ascii="Times New Roman" w:hAnsi="Times New Roman"/>
          <w:sz w:val="24"/>
          <w:szCs w:val="24"/>
        </w:rPr>
        <w:t xml:space="preserve">political and, given the possible </w:t>
      </w:r>
      <w:r w:rsidRPr="0019599F">
        <w:rPr>
          <w:rFonts w:ascii="Times New Roman" w:hAnsi="Times New Roman"/>
          <w:i/>
          <w:iCs/>
          <w:sz w:val="24"/>
          <w:szCs w:val="24"/>
        </w:rPr>
        <w:t>thing</w:t>
      </w:r>
      <w:r w:rsidRPr="0019599F">
        <w:rPr>
          <w:rFonts w:ascii="Times New Roman" w:hAnsi="Times New Roman"/>
          <w:sz w:val="24"/>
          <w:szCs w:val="24"/>
        </w:rPr>
        <w:t>-site, even legal integration (Owen and Driscoll 2011, 343). The chronological span of this evidence overlaps Knútr</w:t>
      </w:r>
      <w:r w:rsidR="00D03D40">
        <w:rPr>
          <w:rFonts w:ascii="Times New Roman" w:hAnsi="Times New Roman"/>
          <w:sz w:val="24"/>
          <w:szCs w:val="24"/>
        </w:rPr>
        <w:t>’</w:t>
      </w:r>
      <w:r w:rsidRPr="0019599F">
        <w:rPr>
          <w:rFonts w:ascii="Times New Roman" w:hAnsi="Times New Roman"/>
          <w:sz w:val="24"/>
          <w:szCs w:val="24"/>
        </w:rPr>
        <w:t xml:space="preserve">s reign and </w:t>
      </w:r>
      <w:r w:rsidR="00983335">
        <w:rPr>
          <w:rFonts w:ascii="Times New Roman" w:hAnsi="Times New Roman"/>
          <w:sz w:val="24"/>
          <w:szCs w:val="24"/>
        </w:rPr>
        <w:t xml:space="preserve">potentially significant is </w:t>
      </w:r>
      <w:r w:rsidRPr="0019599F">
        <w:rPr>
          <w:rFonts w:ascii="Times New Roman" w:hAnsi="Times New Roman"/>
          <w:sz w:val="24"/>
          <w:szCs w:val="24"/>
        </w:rPr>
        <w:t>Sigvatr Þórðarson</w:t>
      </w:r>
      <w:r w:rsidR="00D03D40">
        <w:rPr>
          <w:rFonts w:ascii="Times New Roman" w:hAnsi="Times New Roman"/>
          <w:sz w:val="24"/>
          <w:szCs w:val="24"/>
        </w:rPr>
        <w:t>’</w:t>
      </w:r>
      <w:r w:rsidRPr="0019599F">
        <w:rPr>
          <w:rFonts w:ascii="Times New Roman" w:hAnsi="Times New Roman"/>
          <w:sz w:val="24"/>
          <w:szCs w:val="24"/>
        </w:rPr>
        <w:t xml:space="preserve">s verse </w:t>
      </w:r>
      <w:r w:rsidR="00983335">
        <w:rPr>
          <w:rFonts w:ascii="Times New Roman" w:hAnsi="Times New Roman"/>
          <w:sz w:val="24"/>
          <w:szCs w:val="24"/>
        </w:rPr>
        <w:t xml:space="preserve">on </w:t>
      </w:r>
      <w:r w:rsidRPr="0019599F">
        <w:rPr>
          <w:rFonts w:ascii="Times New Roman" w:hAnsi="Times New Roman"/>
          <w:sz w:val="24"/>
          <w:szCs w:val="24"/>
        </w:rPr>
        <w:t>Knútr</w:t>
      </w:r>
      <w:r w:rsidR="00D03D40">
        <w:rPr>
          <w:rFonts w:ascii="Times New Roman" w:hAnsi="Times New Roman"/>
          <w:sz w:val="24"/>
          <w:szCs w:val="24"/>
        </w:rPr>
        <w:t>’</w:t>
      </w:r>
      <w:r w:rsidRPr="0019599F">
        <w:rPr>
          <w:rFonts w:ascii="Times New Roman" w:hAnsi="Times New Roman"/>
          <w:sz w:val="24"/>
          <w:szCs w:val="24"/>
        </w:rPr>
        <w:t xml:space="preserve">s interaction with Scottish nobles </w:t>
      </w:r>
      <w:r w:rsidR="00983335">
        <w:rPr>
          <w:rFonts w:ascii="Times New Roman" w:hAnsi="Times New Roman"/>
          <w:sz w:val="24"/>
          <w:szCs w:val="24"/>
        </w:rPr>
        <w:t>cited above</w:t>
      </w:r>
      <w:r w:rsidRPr="0019599F">
        <w:rPr>
          <w:rFonts w:ascii="Times New Roman" w:hAnsi="Times New Roman"/>
          <w:sz w:val="24"/>
          <w:szCs w:val="24"/>
        </w:rPr>
        <w:t>.</w:t>
      </w:r>
    </w:p>
    <w:p w14:paraId="0E8CE019" w14:textId="39EAB269" w:rsidR="00330AFC" w:rsidRDefault="00983335" w:rsidP="0019599F">
      <w:pPr>
        <w:pStyle w:val="BodyA"/>
        <w:spacing w:line="240" w:lineRule="auto"/>
        <w:ind w:firstLine="720"/>
        <w:rPr>
          <w:rFonts w:ascii="Times New Roman" w:hAnsi="Times New Roman"/>
          <w:sz w:val="24"/>
          <w:szCs w:val="24"/>
        </w:rPr>
      </w:pPr>
      <w:r>
        <w:rPr>
          <w:rFonts w:ascii="Times New Roman" w:hAnsi="Times New Roman"/>
          <w:sz w:val="24"/>
          <w:szCs w:val="24"/>
        </w:rPr>
        <w:t>S</w:t>
      </w:r>
      <w:r w:rsidR="00536562" w:rsidRPr="0019599F">
        <w:rPr>
          <w:rFonts w:ascii="Times New Roman" w:hAnsi="Times New Roman"/>
          <w:sz w:val="24"/>
          <w:szCs w:val="24"/>
        </w:rPr>
        <w:t>ome of th</w:t>
      </w:r>
      <w:r>
        <w:rPr>
          <w:rFonts w:ascii="Times New Roman" w:hAnsi="Times New Roman"/>
          <w:sz w:val="24"/>
          <w:szCs w:val="24"/>
        </w:rPr>
        <w:t>e</w:t>
      </w:r>
      <w:r w:rsidR="00536562" w:rsidRPr="0019599F">
        <w:rPr>
          <w:rFonts w:ascii="Times New Roman" w:hAnsi="Times New Roman"/>
          <w:sz w:val="24"/>
          <w:szCs w:val="24"/>
        </w:rPr>
        <w:t xml:space="preserve"> evidence explored above certainly predates Knútr</w:t>
      </w:r>
      <w:r w:rsidR="00D03D40">
        <w:rPr>
          <w:rFonts w:ascii="Times New Roman" w:hAnsi="Times New Roman"/>
          <w:sz w:val="24"/>
          <w:szCs w:val="24"/>
        </w:rPr>
        <w:t>’</w:t>
      </w:r>
      <w:r w:rsidR="00536562" w:rsidRPr="0019599F">
        <w:rPr>
          <w:rFonts w:ascii="Times New Roman" w:hAnsi="Times New Roman"/>
          <w:sz w:val="24"/>
          <w:szCs w:val="24"/>
        </w:rPr>
        <w:t>s reign</w:t>
      </w:r>
      <w:r>
        <w:rPr>
          <w:rFonts w:ascii="Times New Roman" w:hAnsi="Times New Roman"/>
          <w:sz w:val="24"/>
          <w:szCs w:val="24"/>
        </w:rPr>
        <w:t xml:space="preserve"> and points to </w:t>
      </w:r>
      <w:r w:rsidR="00536562" w:rsidRPr="0019599F">
        <w:rPr>
          <w:rFonts w:ascii="Times New Roman" w:hAnsi="Times New Roman"/>
          <w:sz w:val="24"/>
          <w:szCs w:val="24"/>
        </w:rPr>
        <w:t>an earlier framework for Anglo-Scandinavian accommodation. Not only is it apparent that artistic and stylistic ideas were exchanged</w:t>
      </w:r>
      <w:r>
        <w:rPr>
          <w:rFonts w:ascii="Times New Roman" w:hAnsi="Times New Roman"/>
          <w:sz w:val="24"/>
          <w:szCs w:val="24"/>
        </w:rPr>
        <w:t xml:space="preserve"> but also</w:t>
      </w:r>
      <w:r w:rsidR="00536562" w:rsidRPr="0019599F">
        <w:rPr>
          <w:rFonts w:ascii="Times New Roman" w:hAnsi="Times New Roman"/>
          <w:sz w:val="24"/>
          <w:szCs w:val="24"/>
        </w:rPr>
        <w:t xml:space="preserve"> many points of evidence suggest an exchange and integration of social, judicial, and even theological ideologies (Thomas 2000, Kershaw 2010, Stocker 2000, Owen and Driscoll 2011). Richards</w:t>
      </w:r>
      <w:r w:rsidR="00D03D40">
        <w:rPr>
          <w:rFonts w:ascii="Times New Roman" w:hAnsi="Times New Roman"/>
          <w:sz w:val="24"/>
          <w:szCs w:val="24"/>
        </w:rPr>
        <w:t>’</w:t>
      </w:r>
      <w:r w:rsidR="00536562" w:rsidRPr="0019599F">
        <w:rPr>
          <w:rFonts w:ascii="Times New Roman" w:hAnsi="Times New Roman"/>
          <w:sz w:val="24"/>
          <w:szCs w:val="24"/>
        </w:rPr>
        <w:t>s overview demonstrates just how widespread these changes were in Anglo-Scandinavian England (Richards 2010, 226-</w:t>
      </w:r>
      <w:r>
        <w:rPr>
          <w:rFonts w:ascii="Times New Roman" w:hAnsi="Times New Roman"/>
          <w:sz w:val="24"/>
          <w:szCs w:val="24"/>
        </w:rPr>
        <w:t>2</w:t>
      </w:r>
      <w:r w:rsidR="00536562" w:rsidRPr="0019599F">
        <w:rPr>
          <w:rFonts w:ascii="Times New Roman" w:hAnsi="Times New Roman"/>
          <w:sz w:val="24"/>
          <w:szCs w:val="24"/>
        </w:rPr>
        <w:t xml:space="preserve">7). Else Roesdahl illustrates that these exchanges were </w:t>
      </w:r>
      <w:r w:rsidRPr="0019599F">
        <w:rPr>
          <w:rFonts w:ascii="Times New Roman" w:hAnsi="Times New Roman"/>
          <w:sz w:val="24"/>
          <w:szCs w:val="24"/>
        </w:rPr>
        <w:t xml:space="preserve">happening </w:t>
      </w:r>
      <w:r w:rsidR="00536562" w:rsidRPr="0019599F">
        <w:rPr>
          <w:rFonts w:ascii="Times New Roman" w:hAnsi="Times New Roman"/>
          <w:sz w:val="24"/>
          <w:szCs w:val="24"/>
        </w:rPr>
        <w:t>not only in the British Isles but also further afield as the North Sea became a cultural melting pot of sorts in the tenth and eleventh centuries (Roesdahl 2011, 368-</w:t>
      </w:r>
      <w:r>
        <w:rPr>
          <w:rFonts w:ascii="Times New Roman" w:hAnsi="Times New Roman"/>
          <w:sz w:val="24"/>
          <w:szCs w:val="24"/>
        </w:rPr>
        <w:t>6</w:t>
      </w:r>
      <w:r w:rsidR="00536562" w:rsidRPr="0019599F">
        <w:rPr>
          <w:rFonts w:ascii="Times New Roman" w:hAnsi="Times New Roman"/>
          <w:sz w:val="24"/>
          <w:szCs w:val="24"/>
        </w:rPr>
        <w:t>9). Knútr</w:t>
      </w:r>
      <w:r w:rsidR="00D03D40">
        <w:rPr>
          <w:rFonts w:ascii="Times New Roman" w:hAnsi="Times New Roman"/>
          <w:sz w:val="24"/>
          <w:szCs w:val="24"/>
        </w:rPr>
        <w:t>’</w:t>
      </w:r>
      <w:r w:rsidR="00536562" w:rsidRPr="0019599F">
        <w:rPr>
          <w:rFonts w:ascii="Times New Roman" w:hAnsi="Times New Roman"/>
          <w:sz w:val="24"/>
          <w:szCs w:val="24"/>
        </w:rPr>
        <w:t xml:space="preserve">s own remarkable mobility during his reign was also no doubt responsible for a certain degree of ideological blending and accommodation (Bolton 2005). Bolton raises evidence to suggest that Knútr was successful in installing new Scandinavian royal offices into the existing machinery of English governance (Bolton 2009, 63). </w:t>
      </w:r>
      <w:r>
        <w:rPr>
          <w:rFonts w:ascii="Times New Roman" w:hAnsi="Times New Roman"/>
          <w:sz w:val="24"/>
          <w:szCs w:val="24"/>
        </w:rPr>
        <w:t>Alt</w:t>
      </w:r>
      <w:r w:rsidR="00536562" w:rsidRPr="0019599F">
        <w:rPr>
          <w:rFonts w:ascii="Times New Roman" w:hAnsi="Times New Roman"/>
          <w:sz w:val="24"/>
          <w:szCs w:val="24"/>
        </w:rPr>
        <w:t>hough the possibility remains that elements of Knútr</w:t>
      </w:r>
      <w:r w:rsidR="00D03D40">
        <w:rPr>
          <w:rFonts w:ascii="Times New Roman" w:hAnsi="Times New Roman"/>
          <w:sz w:val="24"/>
          <w:szCs w:val="24"/>
        </w:rPr>
        <w:t>’</w:t>
      </w:r>
      <w:r w:rsidR="00536562" w:rsidRPr="0019599F">
        <w:rPr>
          <w:rFonts w:ascii="Times New Roman" w:hAnsi="Times New Roman"/>
          <w:sz w:val="24"/>
          <w:szCs w:val="24"/>
        </w:rPr>
        <w:t xml:space="preserve">s legal attitude </w:t>
      </w:r>
      <w:r>
        <w:rPr>
          <w:rFonts w:ascii="Times New Roman" w:hAnsi="Times New Roman"/>
          <w:sz w:val="24"/>
          <w:szCs w:val="24"/>
        </w:rPr>
        <w:t xml:space="preserve">should be traced to </w:t>
      </w:r>
      <w:r w:rsidR="00536562" w:rsidRPr="0019599F">
        <w:rPr>
          <w:rFonts w:ascii="Times New Roman" w:hAnsi="Times New Roman"/>
          <w:sz w:val="24"/>
          <w:szCs w:val="24"/>
        </w:rPr>
        <w:t>other sources, the implementation of new judicially violent punishments, yet untraceable to previous English legislation and with strong Scandinavian parallels, is certainly suggestive of a degree of legal accommodation occurring with Knútr at the helm.</w:t>
      </w:r>
    </w:p>
    <w:p w14:paraId="7BCB40BB" w14:textId="77777777" w:rsidR="00983335" w:rsidRPr="0019599F" w:rsidRDefault="00983335" w:rsidP="0019599F">
      <w:pPr>
        <w:pStyle w:val="BodyA"/>
        <w:spacing w:line="240" w:lineRule="auto"/>
        <w:ind w:firstLine="720"/>
        <w:rPr>
          <w:rFonts w:ascii="Times New Roman" w:eastAsia="Times New Roman" w:hAnsi="Times New Roman" w:cs="Times New Roman"/>
          <w:sz w:val="24"/>
          <w:szCs w:val="24"/>
        </w:rPr>
      </w:pPr>
    </w:p>
    <w:p w14:paraId="6D1ADF9B" w14:textId="77777777" w:rsidR="00330AFC" w:rsidRPr="0019599F" w:rsidRDefault="00536562" w:rsidP="0019599F">
      <w:pPr>
        <w:pStyle w:val="BodyA"/>
        <w:spacing w:line="240" w:lineRule="auto"/>
        <w:rPr>
          <w:rFonts w:ascii="Times New Roman" w:eastAsia="Times New Roman" w:hAnsi="Times New Roman" w:cs="Times New Roman"/>
          <w:i/>
          <w:iCs/>
          <w:sz w:val="24"/>
          <w:szCs w:val="24"/>
          <w:lang w:val="it-IT"/>
        </w:rPr>
      </w:pPr>
      <w:r w:rsidRPr="0019599F">
        <w:rPr>
          <w:rFonts w:ascii="Times New Roman" w:hAnsi="Times New Roman"/>
          <w:i/>
          <w:iCs/>
          <w:sz w:val="24"/>
          <w:szCs w:val="24"/>
          <w:lang w:val="it-IT"/>
        </w:rPr>
        <w:t>Conclusions</w:t>
      </w:r>
    </w:p>
    <w:p w14:paraId="260AD43A" w14:textId="77777777" w:rsidR="00983335" w:rsidRDefault="00983335" w:rsidP="00983335">
      <w:pPr>
        <w:pStyle w:val="BodyA"/>
        <w:spacing w:line="240" w:lineRule="auto"/>
        <w:rPr>
          <w:rFonts w:ascii="Times New Roman" w:hAnsi="Times New Roman"/>
          <w:sz w:val="24"/>
          <w:szCs w:val="24"/>
        </w:rPr>
      </w:pPr>
    </w:p>
    <w:p w14:paraId="3B0120BD" w14:textId="3C2456FA" w:rsidR="00330AFC" w:rsidRPr="0019599F" w:rsidRDefault="00536562" w:rsidP="00983335">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In investigating the systems and structures of judicial violence and punishment above, several key findings come to the fore. First, we have demonstrated distinctive Anglo-Saxon and Scandinavian approaches to the use and conceptualization of judicial violence in their respective spheres. This has been made visible through the integration of diverse sources and evidence sets. The prevailing picture revealed by this analysis points to a top-down approach in England, while the Scandinavian evidence suggests a more bottom-up, systemic approach. Second, we have been able to point to evidence of these systems interacting and perhaps hybridizing, both in textual sources and in archaeological evidence, </w:t>
      </w:r>
      <w:r w:rsidR="00983335">
        <w:rPr>
          <w:rFonts w:ascii="Times New Roman" w:hAnsi="Times New Roman"/>
          <w:sz w:val="24"/>
          <w:szCs w:val="24"/>
        </w:rPr>
        <w:t xml:space="preserve">during </w:t>
      </w:r>
      <w:r w:rsidRPr="0019599F">
        <w:rPr>
          <w:rFonts w:ascii="Times New Roman" w:hAnsi="Times New Roman"/>
          <w:sz w:val="24"/>
          <w:szCs w:val="24"/>
        </w:rPr>
        <w:t>Knútr the Great</w:t>
      </w:r>
      <w:r w:rsidR="00D03D40">
        <w:rPr>
          <w:rFonts w:ascii="Times New Roman" w:hAnsi="Times New Roman"/>
          <w:sz w:val="24"/>
          <w:szCs w:val="24"/>
        </w:rPr>
        <w:t>’</w:t>
      </w:r>
      <w:r w:rsidRPr="0019599F">
        <w:rPr>
          <w:rFonts w:ascii="Times New Roman" w:hAnsi="Times New Roman"/>
          <w:sz w:val="24"/>
          <w:szCs w:val="24"/>
        </w:rPr>
        <w:t xml:space="preserve">s English reign. The politically-motivated acculturation of these systemic approaches to punishment yields some insight into the context of contemporaneous law-making and revision. Legal and punitive systems are a complex tapestry of conservatism and innovation, local tradition, and foreign import, and have to be read within this context. Third, our investigation has highlighted the tricky interlocution of violent punishment, political motivation, and the maintenance or protection of social norms, as well as suggesting some ways of engaging with this unwieldy cluster of concepts. </w:t>
      </w:r>
    </w:p>
    <w:p w14:paraId="3551CE00" w14:textId="77E64EE7" w:rsidR="00330AFC" w:rsidRPr="0019599F" w:rsidRDefault="00536562" w:rsidP="0019599F">
      <w:pPr>
        <w:pStyle w:val="BodyA"/>
        <w:spacing w:line="240" w:lineRule="auto"/>
        <w:ind w:firstLine="720"/>
        <w:rPr>
          <w:rFonts w:ascii="Times New Roman" w:eastAsia="Times New Roman" w:hAnsi="Times New Roman" w:cs="Times New Roman"/>
          <w:sz w:val="24"/>
          <w:szCs w:val="24"/>
        </w:rPr>
      </w:pPr>
      <w:r w:rsidRPr="0019599F">
        <w:rPr>
          <w:rFonts w:ascii="Times New Roman" w:hAnsi="Times New Roman"/>
          <w:sz w:val="24"/>
          <w:szCs w:val="24"/>
        </w:rPr>
        <w:t>Returning to Alison Klevnäs</w:t>
      </w:r>
      <w:r w:rsidR="00D03D40">
        <w:rPr>
          <w:rFonts w:ascii="Times New Roman" w:hAnsi="Times New Roman"/>
          <w:sz w:val="24"/>
          <w:szCs w:val="24"/>
        </w:rPr>
        <w:t>’</w:t>
      </w:r>
      <w:r w:rsidRPr="0019599F">
        <w:rPr>
          <w:rFonts w:ascii="Times New Roman" w:hAnsi="Times New Roman"/>
          <w:sz w:val="24"/>
          <w:szCs w:val="24"/>
        </w:rPr>
        <w:t xml:space="preserve">s recent comments on institutionalized violence and necropolitics, as all societies face challenges to social equilibrium – be it normative, legal, political, or otherwise – the responses to those threats can be particularly telling. The observations in this paper have pointed to a characteristic pragmatism in the ways in which punitive systems and judicial violence were manipulated and revised in the Viking Age. This pragmatism demonstrates an interest in legal flexibility in order to respond to the increased </w:t>
      </w:r>
      <w:r w:rsidRPr="0019599F">
        <w:rPr>
          <w:rFonts w:ascii="Times New Roman" w:hAnsi="Times New Roman"/>
          <w:sz w:val="24"/>
          <w:szCs w:val="24"/>
        </w:rPr>
        <w:lastRenderedPageBreak/>
        <w:t xml:space="preserve">diversity, cultural contact, changing religious contexts, and developments in governance that stand out as key elements of the Viking Age. </w:t>
      </w:r>
    </w:p>
    <w:p w14:paraId="1E589996" w14:textId="77777777" w:rsidR="00330AFC" w:rsidRPr="0019599F" w:rsidRDefault="00330AFC" w:rsidP="0019599F">
      <w:pPr>
        <w:pStyle w:val="BodyA"/>
        <w:spacing w:line="240" w:lineRule="auto"/>
        <w:rPr>
          <w:rFonts w:ascii="Times New Roman" w:eastAsia="Times New Roman" w:hAnsi="Times New Roman" w:cs="Times New Roman"/>
          <w:sz w:val="24"/>
          <w:szCs w:val="24"/>
          <w:lang w:val="fr-FR"/>
        </w:rPr>
      </w:pPr>
    </w:p>
    <w:p w14:paraId="4808E330" w14:textId="2BA98047" w:rsidR="001B4A60" w:rsidRDefault="001B4A60">
      <w:pPr>
        <w:rPr>
          <w:rFonts w:eastAsia="Times New Roman"/>
          <w:color w:val="000000"/>
          <w:u w:color="000000"/>
          <w:lang w:val="fr-FR" w:eastAsia="en-GB"/>
        </w:rPr>
      </w:pPr>
      <w:r>
        <w:rPr>
          <w:rFonts w:eastAsia="Times New Roman"/>
          <w:lang w:val="fr-FR"/>
        </w:rPr>
        <w:br w:type="page"/>
      </w:r>
    </w:p>
    <w:p w14:paraId="431422E1" w14:textId="0A23D73D" w:rsidR="00330AFC" w:rsidRDefault="001B4A60" w:rsidP="0019599F">
      <w:pPr>
        <w:pStyle w:val="BodyA"/>
        <w:spacing w:line="240" w:lineRule="auto"/>
        <w:rPr>
          <w:rFonts w:ascii="Times New Roman" w:hAnsi="Times New Roman"/>
          <w:i/>
          <w:iCs/>
          <w:sz w:val="24"/>
          <w:szCs w:val="24"/>
          <w:lang w:val="fr-FR"/>
        </w:rPr>
      </w:pPr>
      <w:r>
        <w:rPr>
          <w:rFonts w:ascii="Times New Roman" w:hAnsi="Times New Roman"/>
          <w:i/>
          <w:iCs/>
          <w:sz w:val="24"/>
          <w:szCs w:val="24"/>
          <w:lang w:val="fr-FR"/>
        </w:rPr>
        <w:lastRenderedPageBreak/>
        <w:t>List of Works Cited</w:t>
      </w:r>
    </w:p>
    <w:p w14:paraId="1C04E35A" w14:textId="77777777" w:rsidR="001B4A60" w:rsidRPr="0019599F" w:rsidRDefault="001B4A60" w:rsidP="0019599F">
      <w:pPr>
        <w:pStyle w:val="BodyA"/>
        <w:spacing w:line="240" w:lineRule="auto"/>
        <w:rPr>
          <w:rFonts w:ascii="Times New Roman" w:eastAsia="Times New Roman" w:hAnsi="Times New Roman" w:cs="Times New Roman"/>
          <w:i/>
          <w:iCs/>
          <w:sz w:val="24"/>
          <w:szCs w:val="24"/>
          <w:lang w:val="fr-FR"/>
        </w:rPr>
      </w:pPr>
    </w:p>
    <w:p w14:paraId="768AE248" w14:textId="77777777" w:rsidR="00330AFC" w:rsidRPr="0019599F" w:rsidRDefault="00536562" w:rsidP="0019599F">
      <w:pPr>
        <w:pStyle w:val="BodyA"/>
        <w:spacing w:line="240" w:lineRule="auto"/>
        <w:rPr>
          <w:rFonts w:ascii="Times New Roman" w:eastAsia="Times New Roman" w:hAnsi="Times New Roman" w:cs="Times New Roman"/>
          <w:b/>
          <w:bCs/>
          <w:sz w:val="24"/>
          <w:szCs w:val="24"/>
        </w:rPr>
      </w:pPr>
      <w:r w:rsidRPr="0019599F">
        <w:rPr>
          <w:rFonts w:ascii="Times New Roman" w:hAnsi="Times New Roman"/>
          <w:b/>
          <w:bCs/>
          <w:sz w:val="24"/>
          <w:szCs w:val="24"/>
        </w:rPr>
        <w:t>Primary Sources</w:t>
      </w:r>
    </w:p>
    <w:p w14:paraId="4917EE79" w14:textId="7777777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Bradley, S. A. J., ed. 1995. </w:t>
      </w:r>
      <w:r w:rsidRPr="0019599F">
        <w:rPr>
          <w:rFonts w:ascii="Times New Roman" w:hAnsi="Times New Roman"/>
          <w:i/>
          <w:iCs/>
          <w:sz w:val="24"/>
          <w:szCs w:val="24"/>
          <w:lang w:val="it-IT"/>
        </w:rPr>
        <w:t>Anglo-Saxon Poetry,</w:t>
      </w:r>
      <w:r w:rsidRPr="0019599F">
        <w:rPr>
          <w:rFonts w:ascii="Times New Roman" w:hAnsi="Times New Roman"/>
          <w:sz w:val="24"/>
          <w:szCs w:val="24"/>
          <w:lang w:val="de-DE"/>
        </w:rPr>
        <w:t xml:space="preserve"> London: </w:t>
      </w:r>
      <w:r w:rsidRPr="0019599F">
        <w:rPr>
          <w:rFonts w:ascii="Times New Roman" w:hAnsi="Times New Roman"/>
          <w:sz w:val="24"/>
          <w:szCs w:val="24"/>
        </w:rPr>
        <w:t>Everyman.</w:t>
      </w:r>
    </w:p>
    <w:p w14:paraId="36247DC9" w14:textId="48E2D85E"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sz w:val="24"/>
          <w:szCs w:val="24"/>
          <w:lang w:val="nl-NL"/>
        </w:rPr>
        <w:t xml:space="preserve">Dronke, Ursula, ed. 1969. </w:t>
      </w:r>
      <w:r w:rsidRPr="0019599F">
        <w:rPr>
          <w:rFonts w:ascii="Times New Roman" w:hAnsi="Times New Roman"/>
          <w:i/>
          <w:iCs/>
          <w:sz w:val="24"/>
          <w:szCs w:val="24"/>
        </w:rPr>
        <w:t>The Poetic Edda: Volume I,</w:t>
      </w:r>
      <w:r w:rsidRPr="0019599F">
        <w:rPr>
          <w:rFonts w:ascii="Times New Roman" w:hAnsi="Times New Roman"/>
          <w:sz w:val="24"/>
          <w:szCs w:val="24"/>
        </w:rPr>
        <w:t xml:space="preserve"> Oxford: Oxford University </w:t>
      </w:r>
      <w:r w:rsidR="001B4A60">
        <w:rPr>
          <w:rFonts w:ascii="Times New Roman" w:hAnsi="Times New Roman"/>
          <w:sz w:val="24"/>
          <w:szCs w:val="24"/>
        </w:rPr>
        <w:t xml:space="preserve">  </w:t>
      </w:r>
      <w:r w:rsidRPr="0019599F">
        <w:rPr>
          <w:rFonts w:ascii="Times New Roman" w:hAnsi="Times New Roman"/>
          <w:sz w:val="24"/>
          <w:szCs w:val="24"/>
        </w:rPr>
        <w:t>Press.</w:t>
      </w:r>
    </w:p>
    <w:p w14:paraId="30FA5C17" w14:textId="047245DA"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Earl, John &amp; Plummer, Charles C., ed. 1965. </w:t>
      </w:r>
      <w:r w:rsidRPr="0019599F">
        <w:rPr>
          <w:rFonts w:ascii="Times New Roman" w:hAnsi="Times New Roman"/>
          <w:i/>
          <w:iCs/>
          <w:sz w:val="24"/>
          <w:szCs w:val="24"/>
        </w:rPr>
        <w:t>Two Saxon Chronicles Parallel,</w:t>
      </w:r>
      <w:r w:rsidRPr="0019599F">
        <w:rPr>
          <w:rFonts w:ascii="Times New Roman" w:hAnsi="Times New Roman"/>
          <w:sz w:val="24"/>
          <w:szCs w:val="24"/>
        </w:rPr>
        <w:t xml:space="preserve"> Oxford: Oxford University Press.</w:t>
      </w:r>
    </w:p>
    <w:p w14:paraId="0FABB08E" w14:textId="10B2003A"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Finlay, Alison &amp; Faulkes, Anthony, eds. 2011. </w:t>
      </w:r>
      <w:r w:rsidRPr="0019599F">
        <w:rPr>
          <w:rFonts w:ascii="Times New Roman" w:hAnsi="Times New Roman"/>
          <w:i/>
          <w:iCs/>
          <w:sz w:val="24"/>
          <w:szCs w:val="24"/>
        </w:rPr>
        <w:t>Heimskringla: Volume I,</w:t>
      </w:r>
      <w:r w:rsidRPr="0019599F">
        <w:rPr>
          <w:rFonts w:ascii="Times New Roman" w:hAnsi="Times New Roman"/>
          <w:sz w:val="24"/>
          <w:szCs w:val="24"/>
        </w:rPr>
        <w:t xml:space="preserve"> Exeter: Viking Society for Northern Research.</w:t>
      </w:r>
    </w:p>
    <w:p w14:paraId="48A0F507" w14:textId="656FDEB1"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Fulk, Robert D., Bjork, Robert E., &amp; Niles, John. D., ed. 2008. </w:t>
      </w:r>
      <w:r w:rsidRPr="0019599F">
        <w:rPr>
          <w:rFonts w:ascii="Times New Roman" w:hAnsi="Times New Roman"/>
          <w:i/>
          <w:iCs/>
          <w:sz w:val="24"/>
          <w:szCs w:val="24"/>
          <w:lang w:val="de-DE"/>
        </w:rPr>
        <w:t>Klaeber</w:t>
      </w:r>
      <w:r w:rsidR="00D03D40">
        <w:rPr>
          <w:rFonts w:ascii="Times New Roman" w:hAnsi="Times New Roman"/>
          <w:i/>
          <w:iCs/>
          <w:sz w:val="24"/>
          <w:szCs w:val="24"/>
        </w:rPr>
        <w:t>’</w:t>
      </w:r>
      <w:r w:rsidRPr="0019599F">
        <w:rPr>
          <w:rFonts w:ascii="Times New Roman" w:hAnsi="Times New Roman"/>
          <w:i/>
          <w:iCs/>
          <w:sz w:val="24"/>
          <w:szCs w:val="24"/>
        </w:rPr>
        <w:t>s Beowulf,</w:t>
      </w:r>
      <w:r w:rsidRPr="0019599F">
        <w:rPr>
          <w:rFonts w:ascii="Times New Roman" w:hAnsi="Times New Roman"/>
          <w:sz w:val="24"/>
          <w:szCs w:val="24"/>
          <w:lang w:val="it-IT"/>
        </w:rPr>
        <w:t xml:space="preserve"> Toronto: </w:t>
      </w:r>
      <w:r w:rsidRPr="0019599F">
        <w:rPr>
          <w:rFonts w:ascii="Times New Roman" w:hAnsi="Times New Roman"/>
          <w:sz w:val="24"/>
          <w:szCs w:val="24"/>
        </w:rPr>
        <w:t>University of Toronto Press.</w:t>
      </w:r>
    </w:p>
    <w:p w14:paraId="61E4E548" w14:textId="3FCE6BC4"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nl-NL"/>
        </w:rPr>
        <w:t xml:space="preserve">Krapp, George. P. &amp; van Kirk Dobbie, Elliot, eds. 1936. </w:t>
      </w:r>
      <w:r w:rsidRPr="0019599F">
        <w:rPr>
          <w:rFonts w:ascii="Times New Roman" w:hAnsi="Times New Roman"/>
          <w:i/>
          <w:iCs/>
          <w:sz w:val="24"/>
          <w:szCs w:val="24"/>
        </w:rPr>
        <w:t>The Exeter Book,</w:t>
      </w:r>
      <w:r w:rsidRPr="0019599F">
        <w:rPr>
          <w:rFonts w:ascii="Times New Roman" w:hAnsi="Times New Roman"/>
          <w:sz w:val="24"/>
          <w:szCs w:val="24"/>
        </w:rPr>
        <w:t xml:space="preserve"> New York: </w:t>
      </w:r>
      <w:r w:rsidRPr="0019599F">
        <w:rPr>
          <w:rFonts w:ascii="Times New Roman" w:hAnsi="Times New Roman"/>
          <w:sz w:val="24"/>
          <w:szCs w:val="24"/>
          <w:lang w:val="it-IT"/>
        </w:rPr>
        <w:t>Columbia University Press.</w:t>
      </w:r>
    </w:p>
    <w:p w14:paraId="253CEFE6" w14:textId="7EE71D70"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Larrington, Carolyne, ed. 2008.  </w:t>
      </w:r>
      <w:r w:rsidRPr="0019599F">
        <w:rPr>
          <w:rFonts w:ascii="Times New Roman" w:hAnsi="Times New Roman"/>
          <w:i/>
          <w:iCs/>
          <w:sz w:val="24"/>
          <w:szCs w:val="24"/>
        </w:rPr>
        <w:t xml:space="preserve">The Poetic Edda, </w:t>
      </w:r>
      <w:r w:rsidRPr="0019599F">
        <w:rPr>
          <w:rFonts w:ascii="Times New Roman" w:hAnsi="Times New Roman"/>
          <w:sz w:val="24"/>
          <w:szCs w:val="24"/>
        </w:rPr>
        <w:t>Oxford: Oxford University Press.</w:t>
      </w:r>
    </w:p>
    <w:p w14:paraId="2DCBFDE2" w14:textId="6A4EB223"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sz w:val="24"/>
          <w:szCs w:val="24"/>
        </w:rPr>
        <w:t xml:space="preserve">Larson, Laurence. M., ed. 1935. </w:t>
      </w:r>
      <w:r w:rsidRPr="0019599F">
        <w:rPr>
          <w:rFonts w:ascii="Times New Roman" w:hAnsi="Times New Roman"/>
          <w:i/>
          <w:iCs/>
          <w:sz w:val="24"/>
          <w:szCs w:val="24"/>
        </w:rPr>
        <w:t xml:space="preserve">The Earliest Norwegian Laws. </w:t>
      </w:r>
      <w:r w:rsidRPr="0019599F">
        <w:rPr>
          <w:rFonts w:ascii="Times New Roman" w:hAnsi="Times New Roman"/>
          <w:sz w:val="24"/>
          <w:szCs w:val="24"/>
        </w:rPr>
        <w:t xml:space="preserve">New York: </w:t>
      </w:r>
      <w:r w:rsidRPr="0019599F">
        <w:rPr>
          <w:rFonts w:ascii="Times New Roman" w:hAnsi="Times New Roman"/>
          <w:sz w:val="24"/>
          <w:szCs w:val="24"/>
          <w:lang w:val="it-IT"/>
        </w:rPr>
        <w:t>Columbia University Press.</w:t>
      </w:r>
    </w:p>
    <w:p w14:paraId="05D78AD7" w14:textId="2293CF38"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London, British Library, Cotton MSS, </w:t>
      </w:r>
      <w:r w:rsidRPr="0019599F">
        <w:rPr>
          <w:rFonts w:ascii="Times New Roman" w:hAnsi="Times New Roman"/>
          <w:sz w:val="24"/>
          <w:szCs w:val="24"/>
          <w:lang w:val="it-IT"/>
        </w:rPr>
        <w:t>Tiberius B</w:t>
      </w:r>
      <w:r w:rsidRPr="0019599F">
        <w:rPr>
          <w:rFonts w:ascii="Times New Roman" w:hAnsi="Times New Roman"/>
          <w:sz w:val="24"/>
          <w:szCs w:val="24"/>
        </w:rPr>
        <w:t>. i. (http://www.bl.uk/manuscripts/FullDisplay.aspx?ref=Cotton_MS_Tiberius_B_I).</w:t>
      </w:r>
    </w:p>
    <w:p w14:paraId="38F61560" w14:textId="25138E04"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sz w:val="24"/>
          <w:szCs w:val="24"/>
        </w:rPr>
        <w:t>London British Library, Cotton MSS, Vitellius A. xv. (http://www.bl.uk/manuscripts/FullDisplay.aspx?ref=cotton_ms_vitellius_a_xv).</w:t>
      </w:r>
    </w:p>
    <w:p w14:paraId="539ED15A" w14:textId="1A2E7B4A" w:rsidR="00330AFC" w:rsidRDefault="00536562" w:rsidP="0019599F">
      <w:pPr>
        <w:pStyle w:val="BodyA"/>
        <w:spacing w:line="240" w:lineRule="auto"/>
        <w:rPr>
          <w:rFonts w:ascii="Times New Roman" w:hAnsi="Times New Roman"/>
          <w:sz w:val="24"/>
          <w:szCs w:val="24"/>
        </w:rPr>
      </w:pPr>
      <w:r w:rsidRPr="0019599F">
        <w:rPr>
          <w:rFonts w:ascii="Times New Roman" w:hAnsi="Times New Roman"/>
          <w:sz w:val="24"/>
          <w:szCs w:val="24"/>
        </w:rPr>
        <w:t xml:space="preserve">Peel, Christine, ed. 2015. </w:t>
      </w:r>
      <w:r w:rsidRPr="0019599F">
        <w:rPr>
          <w:rFonts w:ascii="Times New Roman" w:hAnsi="Times New Roman"/>
          <w:i/>
          <w:iCs/>
          <w:sz w:val="24"/>
          <w:szCs w:val="24"/>
        </w:rPr>
        <w:t>Guta lag and Guta saga,</w:t>
      </w:r>
      <w:r w:rsidRPr="0019599F">
        <w:rPr>
          <w:rFonts w:ascii="Times New Roman" w:hAnsi="Times New Roman"/>
          <w:sz w:val="24"/>
          <w:szCs w:val="24"/>
          <w:lang w:val="de-DE"/>
        </w:rPr>
        <w:t xml:space="preserve"> Exeter: London: </w:t>
      </w:r>
      <w:r w:rsidRPr="0019599F">
        <w:rPr>
          <w:rFonts w:ascii="Times New Roman" w:hAnsi="Times New Roman"/>
          <w:sz w:val="24"/>
          <w:szCs w:val="24"/>
        </w:rPr>
        <w:t xml:space="preserve">Routledge. </w:t>
      </w:r>
    </w:p>
    <w:p w14:paraId="043C794A" w14:textId="77777777" w:rsidR="008E5873" w:rsidRPr="0019599F" w:rsidRDefault="008E5873" w:rsidP="0019599F">
      <w:pPr>
        <w:pStyle w:val="BodyA"/>
        <w:spacing w:line="240" w:lineRule="auto"/>
        <w:rPr>
          <w:rFonts w:ascii="Times New Roman" w:eastAsia="Times New Roman" w:hAnsi="Times New Roman" w:cs="Times New Roman"/>
          <w:b/>
          <w:bCs/>
          <w:sz w:val="24"/>
          <w:szCs w:val="24"/>
        </w:rPr>
      </w:pPr>
    </w:p>
    <w:p w14:paraId="0ED23C7F" w14:textId="7777777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b/>
          <w:bCs/>
          <w:sz w:val="24"/>
          <w:szCs w:val="24"/>
        </w:rPr>
        <w:t>Secondary Sources</w:t>
      </w:r>
    </w:p>
    <w:p w14:paraId="32677C99" w14:textId="3895AFD5" w:rsidR="00330AFC" w:rsidRPr="0019599F" w:rsidRDefault="00536562" w:rsidP="0019599F">
      <w:pPr>
        <w:pStyle w:val="FootnoteText"/>
        <w:rPr>
          <w:sz w:val="24"/>
          <w:szCs w:val="24"/>
        </w:rPr>
      </w:pPr>
      <w:r w:rsidRPr="0019599F">
        <w:rPr>
          <w:sz w:val="24"/>
          <w:szCs w:val="24"/>
        </w:rPr>
        <w:t xml:space="preserve">Abrams, Lesley. 2000. </w:t>
      </w:r>
      <w:r w:rsidR="00D03D40">
        <w:rPr>
          <w:sz w:val="24"/>
          <w:szCs w:val="24"/>
        </w:rPr>
        <w:t>‘</w:t>
      </w:r>
      <w:r w:rsidRPr="0019599F">
        <w:rPr>
          <w:sz w:val="24"/>
          <w:szCs w:val="24"/>
        </w:rPr>
        <w:t>Conversion and Assimilation</w:t>
      </w:r>
      <w:r w:rsidR="00D03D40">
        <w:rPr>
          <w:sz w:val="24"/>
          <w:szCs w:val="24"/>
        </w:rPr>
        <w:t>’</w:t>
      </w:r>
      <w:r w:rsidRPr="0019599F">
        <w:rPr>
          <w:sz w:val="24"/>
          <w:szCs w:val="24"/>
        </w:rPr>
        <w:t xml:space="preserve">, in </w:t>
      </w:r>
      <w:r w:rsidRPr="0019599F">
        <w:rPr>
          <w:i/>
          <w:iCs/>
          <w:sz w:val="24"/>
          <w:szCs w:val="24"/>
        </w:rPr>
        <w:t xml:space="preserve">Cultures in Contact: Scandinavian Settlement in England in the Ninth and Tenth Centuries, </w:t>
      </w:r>
      <w:r w:rsidRPr="0019599F">
        <w:rPr>
          <w:sz w:val="24"/>
          <w:szCs w:val="24"/>
        </w:rPr>
        <w:t>ed. Dawn M. Hadley &amp; Julian D. Richards, Studies in the Early Middle Ages 2, Turnhout: Brepols Publishers, 135-153.</w:t>
      </w:r>
    </w:p>
    <w:p w14:paraId="4723D6B8" w14:textId="43A8805E"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color w:val="222222"/>
          <w:sz w:val="24"/>
          <w:szCs w:val="24"/>
          <w:u w:color="222222"/>
        </w:rPr>
        <w:t xml:space="preserve">Ashby, Steven P. 2011. </w:t>
      </w:r>
      <w:r w:rsidR="00D03D40">
        <w:rPr>
          <w:rFonts w:ascii="Times New Roman" w:hAnsi="Times New Roman"/>
          <w:color w:val="222222"/>
          <w:sz w:val="24"/>
          <w:szCs w:val="24"/>
          <w:u w:color="222222"/>
        </w:rPr>
        <w:t>‘</w:t>
      </w:r>
      <w:r w:rsidRPr="0019599F">
        <w:rPr>
          <w:rFonts w:ascii="Times New Roman" w:hAnsi="Times New Roman"/>
          <w:color w:val="222222"/>
          <w:sz w:val="24"/>
          <w:szCs w:val="24"/>
          <w:u w:color="222222"/>
        </w:rPr>
        <w:t>A Study in Regionality: Hair Combs and Bone/Antler Craft in North-East England c. AD 800-1100</w:t>
      </w:r>
      <w:r w:rsidR="00D03D40">
        <w:rPr>
          <w:rFonts w:ascii="Times New Roman" w:hAnsi="Times New Roman"/>
          <w:color w:val="222222"/>
          <w:sz w:val="24"/>
          <w:szCs w:val="24"/>
          <w:u w:color="222222"/>
        </w:rPr>
        <w:t>’</w:t>
      </w:r>
      <w:r w:rsidRPr="0019599F">
        <w:rPr>
          <w:rFonts w:ascii="Times New Roman" w:hAnsi="Times New Roman"/>
          <w:color w:val="222222"/>
          <w:sz w:val="24"/>
          <w:szCs w:val="24"/>
          <w:u w:color="222222"/>
        </w:rPr>
        <w:t xml:space="preserve">, in </w:t>
      </w:r>
      <w:r w:rsidRPr="0019599F">
        <w:rPr>
          <w:rFonts w:ascii="Times New Roman" w:hAnsi="Times New Roman"/>
          <w:i/>
          <w:iCs/>
          <w:color w:val="222222"/>
          <w:sz w:val="24"/>
          <w:szCs w:val="24"/>
          <w:u w:color="222222"/>
        </w:rPr>
        <w:t xml:space="preserve">Early Medieval Northumbria, </w:t>
      </w:r>
      <w:r w:rsidRPr="0019599F">
        <w:rPr>
          <w:rFonts w:ascii="Times New Roman" w:hAnsi="Times New Roman"/>
          <w:color w:val="222222"/>
          <w:sz w:val="24"/>
          <w:szCs w:val="24"/>
          <w:u w:color="222222"/>
        </w:rPr>
        <w:t>ed. David Petts &amp; Sam Turner, Studies in the Early Middle Ages 24, Turnhout: Brepols Publishers, 303-316.</w:t>
      </w:r>
    </w:p>
    <w:p w14:paraId="44F12237" w14:textId="70FA0719"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Aspöck, Edeltraud. 2010. </w:t>
      </w:r>
      <w:r w:rsidR="00D03D40">
        <w:rPr>
          <w:rFonts w:ascii="Times New Roman" w:hAnsi="Times New Roman"/>
          <w:sz w:val="24"/>
          <w:szCs w:val="24"/>
        </w:rPr>
        <w:t>‘</w:t>
      </w:r>
      <w:r w:rsidRPr="0019599F">
        <w:rPr>
          <w:rFonts w:ascii="Times New Roman" w:hAnsi="Times New Roman"/>
          <w:sz w:val="24"/>
          <w:szCs w:val="24"/>
        </w:rPr>
        <w:t xml:space="preserve">What Actually is a “Deviant Burial”? Comparing German-Language and Anglophone Research on </w:t>
      </w:r>
      <w:r w:rsidR="00D03D40">
        <w:rPr>
          <w:rFonts w:ascii="Times New Roman" w:hAnsi="Times New Roman"/>
          <w:sz w:val="24"/>
          <w:szCs w:val="24"/>
        </w:rPr>
        <w:t>‘</w:t>
      </w:r>
      <w:r w:rsidRPr="0019599F">
        <w:rPr>
          <w:rFonts w:ascii="Times New Roman" w:hAnsi="Times New Roman"/>
          <w:sz w:val="24"/>
          <w:szCs w:val="24"/>
        </w:rPr>
        <w:t>Deviant Burials</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Deviant Burial in the Archaeological Record, </w:t>
      </w:r>
      <w:r w:rsidRPr="0019599F">
        <w:rPr>
          <w:rFonts w:ascii="Times New Roman" w:hAnsi="Times New Roman"/>
          <w:sz w:val="24"/>
          <w:szCs w:val="24"/>
        </w:rPr>
        <w:t>ed.</w:t>
      </w:r>
      <w:r w:rsidRPr="0019599F">
        <w:rPr>
          <w:rFonts w:ascii="Times New Roman" w:hAnsi="Times New Roman"/>
          <w:i/>
          <w:iCs/>
          <w:sz w:val="24"/>
          <w:szCs w:val="24"/>
        </w:rPr>
        <w:t xml:space="preserve"> </w:t>
      </w:r>
      <w:r w:rsidRPr="0019599F">
        <w:rPr>
          <w:rFonts w:ascii="Times New Roman" w:hAnsi="Times New Roman"/>
          <w:sz w:val="24"/>
          <w:szCs w:val="24"/>
        </w:rPr>
        <w:t>Eileen M. Murphy, Studies in Funerary Archaeology 2, Oxford: Oxbow Books, 17-34.</w:t>
      </w:r>
    </w:p>
    <w:p w14:paraId="71BA7BDB" w14:textId="09AC75E2"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Aspöck, Edeltraud. 2011. </w:t>
      </w:r>
      <w:r w:rsidR="00D03D40">
        <w:rPr>
          <w:rFonts w:ascii="Times New Roman" w:hAnsi="Times New Roman"/>
          <w:sz w:val="24"/>
          <w:szCs w:val="24"/>
        </w:rPr>
        <w:t>‘</w:t>
      </w:r>
      <w:r w:rsidRPr="0019599F">
        <w:rPr>
          <w:rFonts w:ascii="Times New Roman" w:hAnsi="Times New Roman"/>
          <w:sz w:val="24"/>
          <w:szCs w:val="24"/>
        </w:rPr>
        <w:t>Past “D</w:t>
      </w:r>
      <w:r w:rsidRPr="0019599F">
        <w:rPr>
          <w:rFonts w:ascii="Times New Roman" w:hAnsi="Times New Roman"/>
          <w:sz w:val="24"/>
          <w:szCs w:val="24"/>
          <w:lang w:val="it-IT"/>
        </w:rPr>
        <w:t>isturbances”</w:t>
      </w:r>
      <w:r w:rsidRPr="0019599F">
        <w:rPr>
          <w:rFonts w:ascii="Times New Roman" w:hAnsi="Times New Roman"/>
          <w:sz w:val="24"/>
          <w:szCs w:val="24"/>
        </w:rPr>
        <w:t xml:space="preserve"> of Graves as a Source: Taphonomy</w:t>
      </w:r>
      <w:r w:rsidR="008E5873">
        <w:rPr>
          <w:rFonts w:ascii="Times New Roman" w:hAnsi="Times New Roman"/>
          <w:sz w:val="24"/>
          <w:szCs w:val="24"/>
        </w:rPr>
        <w:t xml:space="preserve"> </w:t>
      </w:r>
      <w:r w:rsidRPr="0019599F">
        <w:rPr>
          <w:rFonts w:ascii="Times New Roman" w:hAnsi="Times New Roman"/>
          <w:sz w:val="24"/>
          <w:szCs w:val="24"/>
        </w:rPr>
        <w:t>and Interpretation of Reopened Early Medieval Inhumation Graves at Brunn am Gebirge (Austria) and Winnall II (England)</w:t>
      </w:r>
      <w:r w:rsidR="00D03D40">
        <w:rPr>
          <w:rFonts w:ascii="Times New Roman" w:hAnsi="Times New Roman"/>
          <w:sz w:val="24"/>
          <w:szCs w:val="24"/>
        </w:rPr>
        <w:t>’</w:t>
      </w:r>
      <w:r w:rsidRPr="0019599F">
        <w:rPr>
          <w:rFonts w:ascii="Times New Roman" w:hAnsi="Times New Roman"/>
          <w:sz w:val="24"/>
          <w:szCs w:val="24"/>
        </w:rPr>
        <w:t xml:space="preserve">, </w:t>
      </w:r>
      <w:r w:rsidRPr="0019599F">
        <w:rPr>
          <w:rFonts w:ascii="Times New Roman" w:hAnsi="Times New Roman"/>
          <w:i/>
          <w:iCs/>
          <w:sz w:val="24"/>
          <w:szCs w:val="24"/>
        </w:rPr>
        <w:t>Oxfrod Journal of Archaeology</w:t>
      </w:r>
      <w:r w:rsidRPr="0019599F">
        <w:rPr>
          <w:rFonts w:ascii="Times New Roman" w:hAnsi="Times New Roman"/>
          <w:sz w:val="24"/>
          <w:szCs w:val="24"/>
        </w:rPr>
        <w:t xml:space="preserve"> 30.3, 299-324.</w:t>
      </w:r>
    </w:p>
    <w:p w14:paraId="05C9621C" w14:textId="6D38F40D"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Aspöck, Edeltraud. 2015. </w:t>
      </w:r>
      <w:r w:rsidR="00D03D40">
        <w:rPr>
          <w:rFonts w:ascii="Times New Roman" w:hAnsi="Times New Roman"/>
          <w:sz w:val="24"/>
          <w:szCs w:val="24"/>
        </w:rPr>
        <w:t>‘</w:t>
      </w:r>
      <w:r w:rsidRPr="0019599F">
        <w:rPr>
          <w:rFonts w:ascii="Times New Roman" w:hAnsi="Times New Roman"/>
          <w:sz w:val="24"/>
          <w:szCs w:val="24"/>
        </w:rPr>
        <w:t>Funerary and Post-Depositional Body Treatments at the Middle Anglo-Saxon Cemetery Winnall II. Norm, Variety and Forms of Deviance</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Death Embodied: Archaeological Approaches to the</w:t>
      </w:r>
      <w:r w:rsidR="008E5873">
        <w:rPr>
          <w:rFonts w:ascii="Times New Roman" w:hAnsi="Times New Roman"/>
          <w:i/>
          <w:iCs/>
          <w:sz w:val="24"/>
          <w:szCs w:val="24"/>
        </w:rPr>
        <w:t xml:space="preserve"> </w:t>
      </w:r>
      <w:r w:rsidRPr="0019599F">
        <w:rPr>
          <w:rFonts w:ascii="Times New Roman" w:hAnsi="Times New Roman"/>
          <w:i/>
          <w:iCs/>
          <w:sz w:val="24"/>
          <w:szCs w:val="24"/>
        </w:rPr>
        <w:t xml:space="preserve">Treatment of the Corpse, </w:t>
      </w:r>
      <w:r w:rsidRPr="0019599F">
        <w:rPr>
          <w:rFonts w:ascii="Times New Roman" w:hAnsi="Times New Roman"/>
          <w:sz w:val="24"/>
          <w:szCs w:val="24"/>
        </w:rPr>
        <w:t>ed.</w:t>
      </w:r>
      <w:r w:rsidRPr="0019599F">
        <w:rPr>
          <w:rFonts w:ascii="Times New Roman" w:hAnsi="Times New Roman"/>
          <w:i/>
          <w:iCs/>
          <w:sz w:val="24"/>
          <w:szCs w:val="24"/>
        </w:rPr>
        <w:t xml:space="preserve"> </w:t>
      </w:r>
      <w:r w:rsidRPr="0019599F">
        <w:rPr>
          <w:rFonts w:ascii="Times New Roman" w:hAnsi="Times New Roman"/>
          <w:sz w:val="24"/>
          <w:szCs w:val="24"/>
        </w:rPr>
        <w:t>Zoë. L. Devlin &amp; Emma. J. Graham, Studies in Funerary Archaeology 9, Oxford: Oxbow, 86-108.</w:t>
      </w:r>
    </w:p>
    <w:p w14:paraId="26D091E2" w14:textId="29B74D18" w:rsidR="00330AFC" w:rsidRPr="0019599F" w:rsidRDefault="00536562" w:rsidP="008E5873">
      <w:pPr>
        <w:pStyle w:val="BodyA"/>
        <w:spacing w:line="240" w:lineRule="auto"/>
        <w:rPr>
          <w:rFonts w:ascii="Times New Roman" w:eastAsia="Times New Roman" w:hAnsi="Times New Roman" w:cs="Times New Roman"/>
          <w:i/>
          <w:iCs/>
          <w:sz w:val="24"/>
          <w:szCs w:val="24"/>
        </w:rPr>
      </w:pPr>
      <w:r w:rsidRPr="0019599F">
        <w:rPr>
          <w:rFonts w:ascii="Times New Roman" w:hAnsi="Times New Roman"/>
          <w:sz w:val="24"/>
          <w:szCs w:val="24"/>
        </w:rPr>
        <w:t xml:space="preserve">Bagge, Sverre. 2008. </w:t>
      </w:r>
      <w:r w:rsidRPr="0019599F">
        <w:rPr>
          <w:rFonts w:ascii="Times New Roman" w:hAnsi="Times New Roman"/>
          <w:i/>
          <w:iCs/>
          <w:sz w:val="24"/>
          <w:szCs w:val="24"/>
        </w:rPr>
        <w:t>Order, Disorder and Disordered Order: Interpretations of</w:t>
      </w:r>
      <w:r w:rsidR="008E5873">
        <w:rPr>
          <w:rFonts w:ascii="Times New Roman" w:hAnsi="Times New Roman"/>
          <w:i/>
          <w:iCs/>
          <w:sz w:val="24"/>
          <w:szCs w:val="24"/>
        </w:rPr>
        <w:t xml:space="preserve"> </w:t>
      </w:r>
      <w:r w:rsidRPr="0019599F">
        <w:rPr>
          <w:rFonts w:ascii="Times New Roman" w:hAnsi="Times New Roman"/>
          <w:i/>
          <w:iCs/>
          <w:sz w:val="24"/>
          <w:szCs w:val="24"/>
        </w:rPr>
        <w:t>the World and Society from the Pagan to the Christian Period in</w:t>
      </w:r>
      <w:r w:rsidR="008E5873">
        <w:rPr>
          <w:rFonts w:ascii="Times New Roman" w:hAnsi="Times New Roman"/>
          <w:i/>
          <w:iCs/>
          <w:sz w:val="24"/>
          <w:szCs w:val="24"/>
        </w:rPr>
        <w:t xml:space="preserve"> </w:t>
      </w:r>
      <w:r w:rsidRPr="0019599F">
        <w:rPr>
          <w:rFonts w:ascii="Times New Roman" w:hAnsi="Times New Roman"/>
          <w:i/>
          <w:iCs/>
          <w:sz w:val="24"/>
          <w:szCs w:val="24"/>
        </w:rPr>
        <w:t>Scandinavia</w:t>
      </w:r>
      <w:r w:rsidRPr="0019599F">
        <w:rPr>
          <w:rFonts w:ascii="Times New Roman" w:hAnsi="Times New Roman"/>
          <w:sz w:val="24"/>
          <w:szCs w:val="24"/>
        </w:rPr>
        <w:t>,</w:t>
      </w:r>
      <w:r w:rsidRPr="0019599F">
        <w:rPr>
          <w:rFonts w:ascii="Times New Roman" w:hAnsi="Times New Roman"/>
          <w:i/>
          <w:iCs/>
          <w:sz w:val="24"/>
          <w:szCs w:val="24"/>
        </w:rPr>
        <w:t xml:space="preserve"> </w:t>
      </w:r>
      <w:r w:rsidRPr="0019599F">
        <w:rPr>
          <w:rFonts w:ascii="Times New Roman" w:hAnsi="Times New Roman"/>
          <w:sz w:val="24"/>
          <w:szCs w:val="24"/>
        </w:rPr>
        <w:t>Cambridge: Department of Anglo-Saxon, Norse, and Celtic.</w:t>
      </w:r>
    </w:p>
    <w:p w14:paraId="2A795A74" w14:textId="77777777" w:rsidR="00330AFC" w:rsidRPr="0019599F" w:rsidRDefault="00536562" w:rsidP="0019599F">
      <w:pPr>
        <w:pStyle w:val="BodyA"/>
        <w:spacing w:line="240" w:lineRule="auto"/>
        <w:rPr>
          <w:rFonts w:ascii="Times New Roman" w:eastAsia="Times New Roman" w:hAnsi="Times New Roman" w:cs="Times New Roman"/>
          <w:color w:val="101010"/>
          <w:sz w:val="24"/>
          <w:szCs w:val="24"/>
          <w:u w:color="101010"/>
        </w:rPr>
      </w:pPr>
      <w:r w:rsidRPr="0019599F">
        <w:rPr>
          <w:rFonts w:ascii="Times New Roman" w:hAnsi="Times New Roman"/>
          <w:color w:val="101010"/>
          <w:sz w:val="24"/>
          <w:szCs w:val="24"/>
          <w:u w:color="101010"/>
        </w:rPr>
        <w:t xml:space="preserve">Baier, Matthias. 2013. </w:t>
      </w:r>
      <w:r w:rsidRPr="0019599F">
        <w:rPr>
          <w:rFonts w:ascii="Times New Roman" w:hAnsi="Times New Roman"/>
          <w:i/>
          <w:iCs/>
          <w:color w:val="101010"/>
          <w:sz w:val="24"/>
          <w:szCs w:val="24"/>
          <w:u w:color="101010"/>
        </w:rPr>
        <w:t>Social and Legal Norms</w:t>
      </w:r>
      <w:r w:rsidRPr="0019599F">
        <w:rPr>
          <w:rFonts w:ascii="Times New Roman" w:hAnsi="Times New Roman"/>
          <w:color w:val="101010"/>
          <w:sz w:val="24"/>
          <w:szCs w:val="24"/>
          <w:u w:color="101010"/>
        </w:rPr>
        <w:t>, Surrey: Ashgate Publishing Ltd.</w:t>
      </w:r>
    </w:p>
    <w:p w14:paraId="04F7D268" w14:textId="10E9FF21" w:rsidR="00330AFC" w:rsidRPr="0019599F" w:rsidRDefault="00536562" w:rsidP="008E5873">
      <w:pPr>
        <w:pStyle w:val="BodyA"/>
        <w:spacing w:line="240" w:lineRule="auto"/>
        <w:rPr>
          <w:rFonts w:ascii="Times New Roman" w:eastAsia="Times New Roman" w:hAnsi="Times New Roman" w:cs="Times New Roman"/>
          <w:sz w:val="24"/>
          <w:szCs w:val="24"/>
          <w:lang w:val="nb-NO"/>
        </w:rPr>
      </w:pPr>
      <w:r w:rsidRPr="0019599F">
        <w:rPr>
          <w:rFonts w:ascii="Times New Roman" w:hAnsi="Times New Roman"/>
          <w:sz w:val="24"/>
          <w:szCs w:val="24"/>
        </w:rPr>
        <w:lastRenderedPageBreak/>
        <w:t xml:space="preserve">Bolton, Timothy. 2005. </w:t>
      </w:r>
      <w:r w:rsidR="00D03D40">
        <w:rPr>
          <w:rFonts w:ascii="Times New Roman" w:hAnsi="Times New Roman"/>
          <w:sz w:val="24"/>
          <w:szCs w:val="24"/>
        </w:rPr>
        <w:t>‘</w:t>
      </w:r>
      <w:r w:rsidRPr="0019599F">
        <w:rPr>
          <w:rFonts w:ascii="Times New Roman" w:hAnsi="Times New Roman"/>
          <w:sz w:val="24"/>
          <w:szCs w:val="24"/>
        </w:rPr>
        <w:t>An Historical Perspective on the Recent Archaeological</w:t>
      </w:r>
      <w:r w:rsidR="008E5873">
        <w:rPr>
          <w:rFonts w:ascii="Times New Roman" w:hAnsi="Times New Roman"/>
          <w:sz w:val="24"/>
          <w:szCs w:val="24"/>
        </w:rPr>
        <w:t xml:space="preserve"> </w:t>
      </w:r>
      <w:r w:rsidRPr="0019599F">
        <w:rPr>
          <w:rFonts w:ascii="Times New Roman" w:hAnsi="Times New Roman"/>
          <w:sz w:val="24"/>
          <w:szCs w:val="24"/>
          <w:lang w:val="nb-NO"/>
        </w:rPr>
        <w:t>Discoveries at Viborg S</w:t>
      </w:r>
      <w:r w:rsidRPr="0019599F">
        <w:rPr>
          <w:rFonts w:ascii="Times New Roman" w:hAnsi="Times New Roman"/>
          <w:sz w:val="24"/>
          <w:szCs w:val="24"/>
          <w:lang w:val="da-DK"/>
        </w:rPr>
        <w:t>ø</w:t>
      </w:r>
      <w:r w:rsidRPr="0019599F">
        <w:rPr>
          <w:rFonts w:ascii="Times New Roman" w:hAnsi="Times New Roman"/>
          <w:sz w:val="24"/>
          <w:szCs w:val="24"/>
          <w:lang w:val="de-DE"/>
        </w:rPr>
        <w:t>nders</w:t>
      </w:r>
      <w:r w:rsidRPr="0019599F">
        <w:rPr>
          <w:rFonts w:ascii="Times New Roman" w:hAnsi="Times New Roman"/>
          <w:sz w:val="24"/>
          <w:szCs w:val="24"/>
          <w:lang w:val="da-DK"/>
        </w:rPr>
        <w:t>ø</w:t>
      </w:r>
      <w:r w:rsidR="00D03D40">
        <w:rPr>
          <w:rFonts w:ascii="Times New Roman" w:hAnsi="Times New Roman"/>
          <w:sz w:val="24"/>
          <w:szCs w:val="24"/>
          <w:lang w:val="da-DK"/>
        </w:rPr>
        <w:t>’</w:t>
      </w:r>
      <w:r w:rsidRPr="0019599F">
        <w:rPr>
          <w:rFonts w:ascii="Times New Roman" w:hAnsi="Times New Roman"/>
          <w:sz w:val="24"/>
          <w:szCs w:val="24"/>
          <w:lang w:val="da-DK"/>
        </w:rPr>
        <w:t>,</w:t>
      </w:r>
      <w:r w:rsidRPr="0019599F">
        <w:rPr>
          <w:rFonts w:ascii="Times New Roman" w:hAnsi="Times New Roman"/>
          <w:sz w:val="24"/>
          <w:szCs w:val="24"/>
          <w:lang w:val="nl-NL"/>
        </w:rPr>
        <w:t xml:space="preserve"> in </w:t>
      </w:r>
      <w:r w:rsidRPr="0019599F">
        <w:rPr>
          <w:rFonts w:ascii="Times New Roman" w:hAnsi="Times New Roman"/>
          <w:i/>
          <w:iCs/>
          <w:sz w:val="24"/>
          <w:szCs w:val="24"/>
          <w:lang w:val="da-DK"/>
        </w:rPr>
        <w:t>Viborg Sø</w:t>
      </w:r>
      <w:r w:rsidRPr="0019599F">
        <w:rPr>
          <w:rFonts w:ascii="Times New Roman" w:hAnsi="Times New Roman"/>
          <w:i/>
          <w:iCs/>
          <w:sz w:val="24"/>
          <w:szCs w:val="24"/>
          <w:lang w:val="de-DE"/>
        </w:rPr>
        <w:t>nders</w:t>
      </w:r>
      <w:r w:rsidRPr="0019599F">
        <w:rPr>
          <w:rFonts w:ascii="Times New Roman" w:hAnsi="Times New Roman"/>
          <w:i/>
          <w:iCs/>
          <w:sz w:val="24"/>
          <w:szCs w:val="24"/>
          <w:lang w:val="da-DK"/>
        </w:rPr>
        <w:t xml:space="preserve">ø </w:t>
      </w:r>
      <w:r w:rsidRPr="0019599F">
        <w:rPr>
          <w:rFonts w:ascii="Times New Roman" w:hAnsi="Times New Roman"/>
          <w:i/>
          <w:iCs/>
          <w:sz w:val="24"/>
          <w:szCs w:val="24"/>
          <w:lang w:val="nb-NO"/>
        </w:rPr>
        <w:t xml:space="preserve">1018-1030, </w:t>
      </w:r>
      <w:r w:rsidRPr="0019599F">
        <w:rPr>
          <w:rFonts w:ascii="Times New Roman" w:hAnsi="Times New Roman"/>
          <w:sz w:val="24"/>
          <w:szCs w:val="24"/>
          <w:lang w:val="nb-NO"/>
        </w:rPr>
        <w:t xml:space="preserve">ed. </w:t>
      </w:r>
      <w:r w:rsidRPr="0019599F">
        <w:rPr>
          <w:rFonts w:ascii="Times New Roman" w:hAnsi="Times New Roman"/>
          <w:sz w:val="24"/>
          <w:szCs w:val="24"/>
          <w:lang w:val="nl-NL"/>
        </w:rPr>
        <w:t>Mette Iversen et al.</w:t>
      </w:r>
      <w:r w:rsidRPr="0019599F">
        <w:rPr>
          <w:rFonts w:ascii="Times New Roman" w:hAnsi="Times New Roman"/>
          <w:sz w:val="24"/>
          <w:szCs w:val="24"/>
          <w:lang w:val="da-DK"/>
        </w:rPr>
        <w:t>, Jysk Arkæologisk Selskab Skrifter 52,</w:t>
      </w:r>
      <w:r w:rsidRPr="0019599F">
        <w:rPr>
          <w:rFonts w:ascii="Times New Roman" w:hAnsi="Times New Roman"/>
          <w:i/>
          <w:iCs/>
          <w:sz w:val="24"/>
          <w:szCs w:val="24"/>
          <w:lang w:val="nb-NO"/>
        </w:rPr>
        <w:t xml:space="preserve"> </w:t>
      </w:r>
      <w:r w:rsidRPr="0019599F">
        <w:rPr>
          <w:rFonts w:ascii="Times New Roman" w:hAnsi="Times New Roman"/>
          <w:sz w:val="24"/>
          <w:szCs w:val="24"/>
          <w:lang w:val="da-DK"/>
        </w:rPr>
        <w:t>Århus: Jysk Arkæologisk Selskab, 499-502.</w:t>
      </w:r>
    </w:p>
    <w:p w14:paraId="324F9FEC" w14:textId="7777777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Bolton, Timothy. 2009. </w:t>
      </w:r>
      <w:r w:rsidRPr="0019599F">
        <w:rPr>
          <w:rFonts w:ascii="Times New Roman" w:hAnsi="Times New Roman"/>
          <w:i/>
          <w:iCs/>
          <w:sz w:val="24"/>
          <w:szCs w:val="24"/>
        </w:rPr>
        <w:t>The Empire of Cnut the Great.</w:t>
      </w:r>
      <w:r w:rsidRPr="0019599F">
        <w:rPr>
          <w:rFonts w:ascii="Times New Roman" w:hAnsi="Times New Roman"/>
          <w:sz w:val="24"/>
          <w:szCs w:val="24"/>
          <w:lang w:val="de-DE"/>
        </w:rPr>
        <w:t xml:space="preserve"> Leiden: Brill.</w:t>
      </w:r>
    </w:p>
    <w:p w14:paraId="218D9E29" w14:textId="323AF0BA"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Brink, Stefan. 2007. </w:t>
      </w:r>
      <w:r w:rsidR="00D03D40">
        <w:rPr>
          <w:rFonts w:ascii="Times New Roman" w:hAnsi="Times New Roman"/>
          <w:sz w:val="24"/>
          <w:szCs w:val="24"/>
        </w:rPr>
        <w:t>‘</w:t>
      </w:r>
      <w:r w:rsidRPr="0019599F">
        <w:rPr>
          <w:rFonts w:ascii="Times New Roman" w:hAnsi="Times New Roman"/>
          <w:sz w:val="24"/>
          <w:szCs w:val="24"/>
        </w:rPr>
        <w:t>Law and Society: Polities and Legal Customs in Viking</w:t>
      </w:r>
      <w:r w:rsidR="008E5873">
        <w:rPr>
          <w:rFonts w:ascii="Times New Roman" w:hAnsi="Times New Roman"/>
          <w:sz w:val="24"/>
          <w:szCs w:val="24"/>
        </w:rPr>
        <w:t xml:space="preserve"> </w:t>
      </w:r>
      <w:r w:rsidRPr="0019599F">
        <w:rPr>
          <w:rFonts w:ascii="Times New Roman" w:hAnsi="Times New Roman"/>
          <w:sz w:val="24"/>
          <w:szCs w:val="24"/>
          <w:lang w:val="it-IT"/>
        </w:rPr>
        <w:t>Scandinavia</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The Viking World, </w:t>
      </w:r>
      <w:r w:rsidRPr="0019599F">
        <w:rPr>
          <w:rFonts w:ascii="Times New Roman" w:hAnsi="Times New Roman"/>
          <w:sz w:val="24"/>
          <w:szCs w:val="24"/>
        </w:rPr>
        <w:t>ed. Stefan Brink &amp; Neil Price,</w:t>
      </w:r>
      <w:r w:rsidRPr="0019599F">
        <w:rPr>
          <w:rFonts w:ascii="Times New Roman" w:hAnsi="Times New Roman"/>
          <w:sz w:val="24"/>
          <w:szCs w:val="24"/>
          <w:lang w:val="de-DE"/>
        </w:rPr>
        <w:t xml:space="preserve"> London:</w:t>
      </w:r>
      <w:r w:rsidR="008E5873">
        <w:rPr>
          <w:rFonts w:ascii="Times New Roman" w:hAnsi="Times New Roman"/>
          <w:sz w:val="24"/>
          <w:szCs w:val="24"/>
          <w:lang w:val="de-DE"/>
        </w:rPr>
        <w:t xml:space="preserve"> </w:t>
      </w:r>
      <w:r w:rsidRPr="0019599F">
        <w:rPr>
          <w:rFonts w:ascii="Times New Roman" w:hAnsi="Times New Roman"/>
          <w:sz w:val="24"/>
          <w:szCs w:val="24"/>
        </w:rPr>
        <w:t>Routledge, 23-31.</w:t>
      </w:r>
    </w:p>
    <w:p w14:paraId="0589EC4C" w14:textId="39C9E36C" w:rsidR="00330AFC" w:rsidRPr="0019599F" w:rsidRDefault="00536562" w:rsidP="008E5873">
      <w:pPr>
        <w:pStyle w:val="BodyA"/>
        <w:spacing w:line="240" w:lineRule="auto"/>
        <w:rPr>
          <w:rFonts w:ascii="Times New Roman" w:hAnsi="Times New Roman"/>
          <w:sz w:val="24"/>
          <w:szCs w:val="24"/>
          <w:lang w:val="pt-PT"/>
        </w:rPr>
      </w:pPr>
      <w:r w:rsidRPr="0019599F">
        <w:rPr>
          <w:rFonts w:ascii="Times New Roman" w:hAnsi="Times New Roman"/>
          <w:sz w:val="24"/>
          <w:szCs w:val="24"/>
        </w:rPr>
        <w:t xml:space="preserve">Brink, Stefan. 2013. </w:t>
      </w:r>
      <w:r w:rsidR="00D03D40">
        <w:rPr>
          <w:rFonts w:ascii="Times New Roman" w:hAnsi="Times New Roman"/>
          <w:sz w:val="24"/>
          <w:szCs w:val="24"/>
        </w:rPr>
        <w:t>‘</w:t>
      </w:r>
      <w:r w:rsidRPr="0019599F">
        <w:rPr>
          <w:rFonts w:ascii="Times New Roman" w:hAnsi="Times New Roman"/>
          <w:sz w:val="24"/>
          <w:szCs w:val="24"/>
        </w:rPr>
        <w:t>The Creation of a Scandinavian Provincial Law</w:t>
      </w:r>
      <w:r w:rsidR="00D03D40">
        <w:rPr>
          <w:rFonts w:ascii="Times New Roman" w:hAnsi="Times New Roman"/>
          <w:sz w:val="24"/>
          <w:szCs w:val="24"/>
        </w:rPr>
        <w:t>’</w:t>
      </w:r>
      <w:r w:rsidRPr="0019599F">
        <w:rPr>
          <w:rFonts w:ascii="Times New Roman" w:hAnsi="Times New Roman"/>
          <w:sz w:val="24"/>
          <w:szCs w:val="24"/>
        </w:rPr>
        <w:t xml:space="preserve">, </w:t>
      </w:r>
      <w:r w:rsidRPr="0019599F">
        <w:rPr>
          <w:rFonts w:ascii="Times New Roman" w:hAnsi="Times New Roman"/>
          <w:i/>
          <w:iCs/>
          <w:sz w:val="24"/>
          <w:szCs w:val="24"/>
        </w:rPr>
        <w:t>Historical</w:t>
      </w:r>
      <w:r w:rsidR="008E5873">
        <w:rPr>
          <w:rFonts w:ascii="Times New Roman" w:hAnsi="Times New Roman"/>
          <w:i/>
          <w:iCs/>
          <w:sz w:val="24"/>
          <w:szCs w:val="24"/>
        </w:rPr>
        <w:t xml:space="preserve"> </w:t>
      </w:r>
      <w:r w:rsidRPr="0019599F">
        <w:rPr>
          <w:rFonts w:ascii="Times New Roman" w:hAnsi="Times New Roman"/>
          <w:i/>
          <w:iCs/>
          <w:sz w:val="24"/>
          <w:szCs w:val="24"/>
        </w:rPr>
        <w:t>Research</w:t>
      </w:r>
      <w:r w:rsidRPr="0019599F">
        <w:rPr>
          <w:rFonts w:ascii="Times New Roman" w:hAnsi="Times New Roman"/>
          <w:sz w:val="24"/>
          <w:szCs w:val="24"/>
          <w:lang w:val="pt-PT"/>
        </w:rPr>
        <w:t xml:space="preserve"> 86. 233, 432-442.</w:t>
      </w:r>
    </w:p>
    <w:p w14:paraId="50B35EFB" w14:textId="7031AB21" w:rsidR="00A120B7" w:rsidRPr="0019599F" w:rsidRDefault="00A120B7" w:rsidP="008E5873">
      <w:pPr>
        <w:pStyle w:val="BodyA"/>
        <w:spacing w:line="240" w:lineRule="auto"/>
        <w:rPr>
          <w:rFonts w:ascii="Times New Roman" w:hAnsi="Times New Roman"/>
          <w:sz w:val="24"/>
          <w:szCs w:val="24"/>
          <w:lang w:val="en-GB"/>
        </w:rPr>
      </w:pPr>
      <w:r w:rsidRPr="0019599F">
        <w:rPr>
          <w:rFonts w:ascii="Times New Roman" w:hAnsi="Times New Roman"/>
          <w:sz w:val="24"/>
          <w:szCs w:val="24"/>
          <w:lang w:val="pt-PT"/>
        </w:rPr>
        <w:t xml:space="preserve">Brink, Stefan. 2014. </w:t>
      </w:r>
      <w:r w:rsidR="00D03D40">
        <w:rPr>
          <w:rFonts w:ascii="Times New Roman" w:hAnsi="Times New Roman"/>
          <w:sz w:val="24"/>
          <w:szCs w:val="24"/>
          <w:lang w:val="pt-PT"/>
        </w:rPr>
        <w:t>‘</w:t>
      </w:r>
      <w:r w:rsidRPr="0019599F">
        <w:rPr>
          <w:rFonts w:ascii="Times New Roman" w:hAnsi="Times New Roman"/>
          <w:sz w:val="24"/>
          <w:szCs w:val="24"/>
          <w:lang w:val="pt-PT"/>
        </w:rPr>
        <w:t xml:space="preserve">The </w:t>
      </w:r>
      <w:r w:rsidRPr="0019599F">
        <w:rPr>
          <w:rFonts w:ascii="Times New Roman" w:hAnsi="Times New Roman"/>
          <w:i/>
          <w:sz w:val="24"/>
          <w:szCs w:val="24"/>
          <w:lang w:val="pt-PT"/>
        </w:rPr>
        <w:t>H</w:t>
      </w:r>
      <w:r w:rsidRPr="0019599F">
        <w:rPr>
          <w:rFonts w:ascii="Times New Roman" w:hAnsi="Times New Roman"/>
          <w:i/>
          <w:sz w:val="24"/>
          <w:szCs w:val="24"/>
          <w:lang w:val="en-GB"/>
        </w:rPr>
        <w:t>älsinge Law</w:t>
      </w:r>
      <w:r w:rsidRPr="0019599F">
        <w:rPr>
          <w:rFonts w:ascii="Times New Roman" w:hAnsi="Times New Roman"/>
          <w:sz w:val="24"/>
          <w:szCs w:val="24"/>
          <w:lang w:val="en-GB"/>
        </w:rPr>
        <w:t xml:space="preserve"> Between South and West, King and</w:t>
      </w:r>
      <w:r w:rsidR="008E5873">
        <w:rPr>
          <w:rFonts w:ascii="Times New Roman" w:hAnsi="Times New Roman"/>
          <w:sz w:val="24"/>
          <w:szCs w:val="24"/>
          <w:lang w:val="en-GB"/>
        </w:rPr>
        <w:t xml:space="preserve"> </w:t>
      </w:r>
      <w:r w:rsidRPr="0019599F">
        <w:rPr>
          <w:rFonts w:ascii="Times New Roman" w:hAnsi="Times New Roman"/>
          <w:sz w:val="24"/>
          <w:szCs w:val="24"/>
          <w:lang w:val="en-GB"/>
        </w:rPr>
        <w:t>Church, and Local Customs</w:t>
      </w:r>
      <w:r w:rsidR="00D03D40">
        <w:rPr>
          <w:rFonts w:ascii="Times New Roman" w:hAnsi="Times New Roman"/>
          <w:sz w:val="24"/>
          <w:szCs w:val="24"/>
          <w:lang w:val="en-GB"/>
        </w:rPr>
        <w:t>’</w:t>
      </w:r>
      <w:r w:rsidRPr="0019599F">
        <w:rPr>
          <w:rFonts w:ascii="Times New Roman" w:hAnsi="Times New Roman"/>
          <w:sz w:val="24"/>
          <w:szCs w:val="24"/>
          <w:lang w:val="en-GB"/>
        </w:rPr>
        <w:t xml:space="preserve">, in </w:t>
      </w:r>
      <w:r w:rsidRPr="0019599F">
        <w:rPr>
          <w:rFonts w:ascii="Times New Roman" w:hAnsi="Times New Roman"/>
          <w:i/>
          <w:sz w:val="24"/>
          <w:szCs w:val="24"/>
          <w:lang w:val="en-GB"/>
        </w:rPr>
        <w:t>New Approaches to Early Law in Scandinavia</w:t>
      </w:r>
      <w:r w:rsidRPr="0019599F">
        <w:rPr>
          <w:rFonts w:ascii="Times New Roman" w:hAnsi="Times New Roman"/>
          <w:sz w:val="24"/>
          <w:szCs w:val="24"/>
          <w:lang w:val="en-GB"/>
        </w:rPr>
        <w:t>, ed. Stefan Brink &amp; Lisa Collinson, Turnhout: Brepols, 37-56.</w:t>
      </w:r>
    </w:p>
    <w:p w14:paraId="1EC4258F" w14:textId="04B6026F" w:rsidR="00A120B7" w:rsidRPr="0019599F" w:rsidRDefault="00A120B7" w:rsidP="0019599F">
      <w:pPr>
        <w:pStyle w:val="BodyA"/>
        <w:spacing w:line="240" w:lineRule="auto"/>
        <w:rPr>
          <w:rFonts w:ascii="Times New Roman" w:eastAsia="Times New Roman" w:hAnsi="Times New Roman" w:cs="Times New Roman"/>
          <w:sz w:val="24"/>
          <w:szCs w:val="24"/>
          <w:lang w:val="en-GB"/>
        </w:rPr>
      </w:pPr>
      <w:r w:rsidRPr="0019599F">
        <w:rPr>
          <w:rFonts w:ascii="Times New Roman" w:hAnsi="Times New Roman"/>
          <w:sz w:val="24"/>
          <w:szCs w:val="24"/>
          <w:lang w:val="en-GB"/>
        </w:rPr>
        <w:t xml:space="preserve">Brink, Stefan. 2015. </w:t>
      </w:r>
      <w:r w:rsidR="00D03D40">
        <w:rPr>
          <w:rFonts w:ascii="Times New Roman" w:hAnsi="Times New Roman"/>
          <w:sz w:val="24"/>
          <w:szCs w:val="24"/>
          <w:lang w:val="en-GB"/>
        </w:rPr>
        <w:t>‘</w:t>
      </w:r>
      <w:r w:rsidRPr="0019599F">
        <w:rPr>
          <w:rFonts w:ascii="Times New Roman" w:hAnsi="Times New Roman"/>
          <w:sz w:val="24"/>
          <w:szCs w:val="24"/>
          <w:lang w:val="en-GB"/>
        </w:rPr>
        <w:t>Early Law in the North</w:t>
      </w:r>
      <w:r w:rsidR="00D03D40">
        <w:rPr>
          <w:rFonts w:ascii="Times New Roman" w:hAnsi="Times New Roman"/>
          <w:sz w:val="24"/>
          <w:szCs w:val="24"/>
          <w:lang w:val="en-GB"/>
        </w:rPr>
        <w:t>’</w:t>
      </w:r>
      <w:r w:rsidRPr="0019599F">
        <w:rPr>
          <w:rFonts w:ascii="Times New Roman" w:hAnsi="Times New Roman"/>
          <w:sz w:val="24"/>
          <w:szCs w:val="24"/>
          <w:lang w:val="en-GB"/>
        </w:rPr>
        <w:t xml:space="preserve"> in </w:t>
      </w:r>
      <w:r w:rsidRPr="0019599F">
        <w:rPr>
          <w:rFonts w:ascii="Times New Roman" w:hAnsi="Times New Roman"/>
          <w:i/>
          <w:sz w:val="24"/>
          <w:szCs w:val="24"/>
          <w:lang w:val="en-GB"/>
        </w:rPr>
        <w:t>Quaestio Insularis</w:t>
      </w:r>
      <w:r w:rsidRPr="0019599F">
        <w:rPr>
          <w:rFonts w:ascii="Times New Roman" w:hAnsi="Times New Roman"/>
          <w:sz w:val="24"/>
          <w:szCs w:val="24"/>
          <w:lang w:val="en-GB"/>
        </w:rPr>
        <w:t xml:space="preserve"> 16. 1-15.</w:t>
      </w:r>
    </w:p>
    <w:p w14:paraId="4941C7D3" w14:textId="64EA7272"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Buckberry, Jo. 2010. </w:t>
      </w:r>
      <w:r w:rsidR="00D03D40">
        <w:rPr>
          <w:rFonts w:ascii="Times New Roman" w:hAnsi="Times New Roman"/>
          <w:sz w:val="24"/>
          <w:szCs w:val="24"/>
        </w:rPr>
        <w:t>‘</w:t>
      </w:r>
      <w:r w:rsidRPr="0019599F">
        <w:rPr>
          <w:rFonts w:ascii="Times New Roman" w:hAnsi="Times New Roman"/>
          <w:sz w:val="24"/>
          <w:szCs w:val="24"/>
        </w:rPr>
        <w:t>Off With Their Heads: the Anglo-Saxon Execution</w:t>
      </w:r>
      <w:r w:rsidR="008E5873">
        <w:rPr>
          <w:rFonts w:ascii="Times New Roman" w:hAnsi="Times New Roman"/>
          <w:sz w:val="24"/>
          <w:szCs w:val="24"/>
        </w:rPr>
        <w:t xml:space="preserve"> </w:t>
      </w:r>
      <w:r w:rsidRPr="0019599F">
        <w:rPr>
          <w:rFonts w:ascii="Times New Roman" w:hAnsi="Times New Roman"/>
          <w:sz w:val="24"/>
          <w:szCs w:val="24"/>
        </w:rPr>
        <w:t>Cemetery at Walkington Wold, East Yorkshire</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Deviant Burial in the Archaeological Record, </w:t>
      </w:r>
      <w:r w:rsidRPr="0019599F">
        <w:rPr>
          <w:rFonts w:ascii="Times New Roman" w:hAnsi="Times New Roman"/>
          <w:sz w:val="24"/>
          <w:szCs w:val="24"/>
        </w:rPr>
        <w:t>ed.</w:t>
      </w:r>
      <w:r w:rsidRPr="0019599F">
        <w:rPr>
          <w:rFonts w:ascii="Times New Roman" w:hAnsi="Times New Roman"/>
          <w:i/>
          <w:iCs/>
          <w:sz w:val="24"/>
          <w:szCs w:val="24"/>
        </w:rPr>
        <w:t xml:space="preserve"> </w:t>
      </w:r>
      <w:r w:rsidRPr="0019599F">
        <w:rPr>
          <w:rFonts w:ascii="Times New Roman" w:hAnsi="Times New Roman"/>
          <w:sz w:val="24"/>
          <w:szCs w:val="24"/>
        </w:rPr>
        <w:t>Eileen M. Murphy, Studies in Funerary Archaeology 2, Oxford: Oxbow Books, 148-168.</w:t>
      </w:r>
    </w:p>
    <w:p w14:paraId="21D86840" w14:textId="551BBA45"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Buckberry, Jo. L. &amp; Hadley, Dawn. M. 2007. </w:t>
      </w:r>
      <w:r w:rsidR="00D03D40">
        <w:rPr>
          <w:rFonts w:ascii="Times New Roman" w:hAnsi="Times New Roman"/>
          <w:sz w:val="24"/>
          <w:szCs w:val="24"/>
        </w:rPr>
        <w:t>‘</w:t>
      </w:r>
      <w:r w:rsidRPr="0019599F">
        <w:rPr>
          <w:rFonts w:ascii="Times New Roman" w:hAnsi="Times New Roman"/>
          <w:sz w:val="24"/>
          <w:szCs w:val="24"/>
        </w:rPr>
        <w:t>An Anglo-Saxon Execution</w:t>
      </w:r>
      <w:r w:rsidR="008E5873">
        <w:rPr>
          <w:rFonts w:ascii="Times New Roman" w:hAnsi="Times New Roman"/>
          <w:sz w:val="24"/>
          <w:szCs w:val="24"/>
        </w:rPr>
        <w:t xml:space="preserve"> </w:t>
      </w:r>
      <w:r w:rsidRPr="0019599F">
        <w:rPr>
          <w:rFonts w:ascii="Times New Roman" w:hAnsi="Times New Roman"/>
          <w:sz w:val="24"/>
          <w:szCs w:val="24"/>
        </w:rPr>
        <w:t>Cemetery at Walkington Wold, Yorkshire</w:t>
      </w:r>
      <w:r w:rsidR="00D03D40">
        <w:rPr>
          <w:rFonts w:ascii="Times New Roman" w:hAnsi="Times New Roman"/>
          <w:sz w:val="24"/>
          <w:szCs w:val="24"/>
        </w:rPr>
        <w:t>’</w:t>
      </w:r>
      <w:r w:rsidRPr="0019599F">
        <w:rPr>
          <w:rFonts w:ascii="Times New Roman" w:hAnsi="Times New Roman"/>
          <w:sz w:val="24"/>
          <w:szCs w:val="24"/>
        </w:rPr>
        <w:t xml:space="preserve">, </w:t>
      </w:r>
      <w:r w:rsidRPr="0019599F">
        <w:rPr>
          <w:rFonts w:ascii="Times New Roman" w:hAnsi="Times New Roman"/>
          <w:i/>
          <w:iCs/>
          <w:sz w:val="24"/>
          <w:szCs w:val="24"/>
        </w:rPr>
        <w:t xml:space="preserve">Oxford Journal of Archaeology </w:t>
      </w:r>
      <w:r w:rsidRPr="0019599F">
        <w:rPr>
          <w:rFonts w:ascii="Times New Roman" w:hAnsi="Times New Roman"/>
          <w:sz w:val="24"/>
          <w:szCs w:val="24"/>
        </w:rPr>
        <w:t>26.3, 309-329.</w:t>
      </w:r>
    </w:p>
    <w:p w14:paraId="13DB51BB" w14:textId="4B7FA1C4"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Chenery, Carolyne A., Evans, Jane A., Score, David, Boyle, Angela, &amp; Chenery,</w:t>
      </w:r>
      <w:r w:rsidR="008E5873">
        <w:rPr>
          <w:rFonts w:ascii="Times New Roman" w:hAnsi="Times New Roman"/>
          <w:sz w:val="24"/>
          <w:szCs w:val="24"/>
        </w:rPr>
        <w:t xml:space="preserve"> </w:t>
      </w:r>
      <w:r w:rsidRPr="0019599F">
        <w:rPr>
          <w:rFonts w:ascii="Times New Roman" w:hAnsi="Times New Roman"/>
          <w:sz w:val="24"/>
          <w:szCs w:val="24"/>
        </w:rPr>
        <w:t xml:space="preserve">Simon R. 2014. </w:t>
      </w:r>
      <w:r w:rsidR="00D03D40">
        <w:rPr>
          <w:rFonts w:ascii="Times New Roman" w:hAnsi="Times New Roman"/>
          <w:sz w:val="24"/>
          <w:szCs w:val="24"/>
        </w:rPr>
        <w:t>‘</w:t>
      </w:r>
      <w:r w:rsidRPr="0019599F">
        <w:rPr>
          <w:rFonts w:ascii="Times New Roman" w:hAnsi="Times New Roman"/>
          <w:sz w:val="24"/>
          <w:szCs w:val="24"/>
        </w:rPr>
        <w:t>A Boat Load of Vikings?</w:t>
      </w:r>
      <w:r w:rsidR="00D03D40">
        <w:rPr>
          <w:rFonts w:ascii="Times New Roman" w:hAnsi="Times New Roman"/>
          <w:sz w:val="24"/>
          <w:szCs w:val="24"/>
        </w:rPr>
        <w:t>’</w:t>
      </w:r>
      <w:r w:rsidRPr="0019599F">
        <w:rPr>
          <w:rFonts w:ascii="Times New Roman" w:hAnsi="Times New Roman"/>
          <w:sz w:val="24"/>
          <w:szCs w:val="24"/>
        </w:rPr>
        <w:t xml:space="preserve">, </w:t>
      </w:r>
      <w:r w:rsidRPr="0019599F">
        <w:rPr>
          <w:rFonts w:ascii="Times New Roman" w:hAnsi="Times New Roman"/>
          <w:i/>
          <w:iCs/>
          <w:sz w:val="24"/>
          <w:szCs w:val="24"/>
        </w:rPr>
        <w:t>Viking Settlers in the North</w:t>
      </w:r>
      <w:r w:rsidR="008E5873">
        <w:rPr>
          <w:rFonts w:ascii="Times New Roman" w:hAnsi="Times New Roman"/>
          <w:i/>
          <w:iCs/>
          <w:sz w:val="24"/>
          <w:szCs w:val="24"/>
        </w:rPr>
        <w:t xml:space="preserve"> </w:t>
      </w:r>
      <w:r w:rsidRPr="0019599F">
        <w:rPr>
          <w:rFonts w:ascii="Times New Roman" w:hAnsi="Times New Roman"/>
          <w:i/>
          <w:iCs/>
          <w:sz w:val="24"/>
          <w:szCs w:val="24"/>
        </w:rPr>
        <w:t>Atlantic: An Isotopic Approach, Journal of the North Atlantic</w:t>
      </w:r>
      <w:r w:rsidRPr="0019599F">
        <w:rPr>
          <w:rFonts w:ascii="Times New Roman" w:hAnsi="Times New Roman"/>
          <w:sz w:val="24"/>
          <w:szCs w:val="24"/>
        </w:rPr>
        <w:t xml:space="preserve"> 7, 43-5</w:t>
      </w:r>
    </w:p>
    <w:p w14:paraId="5FDB3A44" w14:textId="6005C5B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Cherryson, Anita. K. 2010. </w:t>
      </w:r>
      <w:r w:rsidR="00D03D40">
        <w:rPr>
          <w:rFonts w:ascii="Times New Roman" w:hAnsi="Times New Roman"/>
          <w:sz w:val="24"/>
          <w:szCs w:val="24"/>
        </w:rPr>
        <w:t>‘</w:t>
      </w:r>
      <w:r w:rsidRPr="0019599F">
        <w:rPr>
          <w:rFonts w:ascii="Times New Roman" w:hAnsi="Times New Roman"/>
          <w:sz w:val="24"/>
          <w:szCs w:val="24"/>
        </w:rPr>
        <w:t xml:space="preserve">Normal, Deviant and Atypical: Burial Variation in Late </w:t>
      </w:r>
      <w:r w:rsidRPr="0019599F">
        <w:rPr>
          <w:rFonts w:ascii="Times New Roman" w:hAnsi="Times New Roman"/>
          <w:sz w:val="24"/>
          <w:szCs w:val="24"/>
          <w:lang w:val="nl-NL"/>
        </w:rPr>
        <w:t xml:space="preserve">Saxon </w:t>
      </w:r>
      <w:r w:rsidR="008E5873">
        <w:rPr>
          <w:rFonts w:ascii="Times New Roman" w:hAnsi="Times New Roman"/>
          <w:sz w:val="24"/>
          <w:szCs w:val="24"/>
          <w:lang w:val="nl-NL"/>
        </w:rPr>
        <w:t>W</w:t>
      </w:r>
      <w:r w:rsidRPr="0019599F">
        <w:rPr>
          <w:rFonts w:ascii="Times New Roman" w:hAnsi="Times New Roman"/>
          <w:sz w:val="24"/>
          <w:szCs w:val="24"/>
          <w:lang w:val="nl-NL"/>
        </w:rPr>
        <w:t>essex, c. AD 700-1100</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Deviant Burial in the Archaeological Record, </w:t>
      </w:r>
      <w:r w:rsidRPr="0019599F">
        <w:rPr>
          <w:rFonts w:ascii="Times New Roman" w:hAnsi="Times New Roman"/>
          <w:sz w:val="24"/>
          <w:szCs w:val="24"/>
        </w:rPr>
        <w:t>ed.</w:t>
      </w:r>
      <w:r w:rsidRPr="0019599F">
        <w:rPr>
          <w:rFonts w:ascii="Times New Roman" w:hAnsi="Times New Roman"/>
          <w:i/>
          <w:iCs/>
          <w:sz w:val="24"/>
          <w:szCs w:val="24"/>
        </w:rPr>
        <w:t xml:space="preserve"> </w:t>
      </w:r>
      <w:r w:rsidRPr="0019599F">
        <w:rPr>
          <w:rFonts w:ascii="Times New Roman" w:hAnsi="Times New Roman"/>
          <w:sz w:val="24"/>
          <w:szCs w:val="24"/>
        </w:rPr>
        <w:t>Eileen M. Murphy, Studies in Funerary Archaeology 2, Oxford: Oxbow Books, 115-130.</w:t>
      </w:r>
    </w:p>
    <w:p w14:paraId="407BD757" w14:textId="7E430E33"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Clark, David. 2012. </w:t>
      </w:r>
      <w:r w:rsidRPr="0019599F">
        <w:rPr>
          <w:rFonts w:ascii="Times New Roman" w:hAnsi="Times New Roman"/>
          <w:i/>
          <w:iCs/>
          <w:sz w:val="24"/>
          <w:szCs w:val="24"/>
        </w:rPr>
        <w:t>Gender, Violence, and the Past in Edda and Saga,</w:t>
      </w:r>
      <w:r w:rsidRPr="0019599F">
        <w:rPr>
          <w:rFonts w:ascii="Times New Roman" w:hAnsi="Times New Roman"/>
          <w:sz w:val="24"/>
          <w:szCs w:val="24"/>
        </w:rPr>
        <w:t xml:space="preserve"> Oxford:</w:t>
      </w:r>
      <w:r w:rsidR="008E5873">
        <w:rPr>
          <w:rFonts w:ascii="Times New Roman" w:eastAsia="Times New Roman" w:hAnsi="Times New Roman" w:cs="Times New Roman"/>
          <w:sz w:val="24"/>
          <w:szCs w:val="24"/>
        </w:rPr>
        <w:t xml:space="preserve"> </w:t>
      </w:r>
      <w:r w:rsidRPr="0019599F">
        <w:rPr>
          <w:rFonts w:ascii="Times New Roman" w:hAnsi="Times New Roman"/>
          <w:sz w:val="24"/>
          <w:szCs w:val="24"/>
        </w:rPr>
        <w:t>Oxford Scholarship Online.</w:t>
      </w:r>
    </w:p>
    <w:p w14:paraId="6A010988" w14:textId="1265EAED" w:rsidR="00330AFC" w:rsidRPr="0019599F" w:rsidRDefault="00536562" w:rsidP="0019599F">
      <w:pPr>
        <w:pStyle w:val="BodyA"/>
        <w:spacing w:line="240" w:lineRule="auto"/>
        <w:rPr>
          <w:rFonts w:ascii="Times New Roman" w:eastAsia="Times New Roman" w:hAnsi="Times New Roman" w:cs="Times New Roman"/>
          <w:i/>
          <w:iCs/>
          <w:sz w:val="24"/>
          <w:szCs w:val="24"/>
        </w:rPr>
      </w:pPr>
      <w:r w:rsidRPr="0019599F">
        <w:rPr>
          <w:rFonts w:ascii="Times New Roman" w:hAnsi="Times New Roman"/>
          <w:sz w:val="24"/>
          <w:szCs w:val="24"/>
        </w:rPr>
        <w:t xml:space="preserve">Clark Hall, John R. 1960. </w:t>
      </w:r>
      <w:r w:rsidRPr="0019599F">
        <w:rPr>
          <w:rFonts w:ascii="Times New Roman" w:hAnsi="Times New Roman"/>
          <w:i/>
          <w:iCs/>
          <w:sz w:val="24"/>
          <w:szCs w:val="24"/>
        </w:rPr>
        <w:t>A Concise Anglo-Saxon Dictionary</w:t>
      </w:r>
      <w:r w:rsidRPr="0019599F">
        <w:rPr>
          <w:rFonts w:ascii="Times New Roman" w:hAnsi="Times New Roman"/>
          <w:sz w:val="24"/>
          <w:szCs w:val="24"/>
          <w:lang w:val="it-IT"/>
        </w:rPr>
        <w:t xml:space="preserve">, Toronto: </w:t>
      </w:r>
      <w:r w:rsidRPr="0019599F">
        <w:rPr>
          <w:rFonts w:ascii="Times New Roman" w:hAnsi="Times New Roman"/>
          <w:sz w:val="24"/>
          <w:szCs w:val="24"/>
        </w:rPr>
        <w:t>University of Toronto Press.</w:t>
      </w:r>
    </w:p>
    <w:p w14:paraId="44D799F2" w14:textId="31067F32"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it-IT"/>
        </w:rPr>
        <w:t xml:space="preserve">Dutton, Douglas. 2016. </w:t>
      </w:r>
      <w:r w:rsidR="00D03D40">
        <w:rPr>
          <w:rFonts w:ascii="Times New Roman" w:hAnsi="Times New Roman"/>
          <w:sz w:val="24"/>
          <w:szCs w:val="24"/>
          <w:lang w:val="it-IT"/>
        </w:rPr>
        <w:t>‘</w:t>
      </w:r>
      <w:r w:rsidRPr="0019599F">
        <w:rPr>
          <w:rFonts w:ascii="Times New Roman" w:hAnsi="Times New Roman"/>
          <w:sz w:val="24"/>
          <w:szCs w:val="24"/>
        </w:rPr>
        <w:t>An Encapsulation of Óðinn</w:t>
      </w:r>
      <w:r w:rsidR="00D03D40">
        <w:rPr>
          <w:rFonts w:ascii="Times New Roman" w:hAnsi="Times New Roman"/>
          <w:sz w:val="24"/>
          <w:szCs w:val="24"/>
        </w:rPr>
        <w:t>’</w:t>
      </w:r>
      <w:r w:rsidRPr="0019599F">
        <w:rPr>
          <w:rFonts w:ascii="Times New Roman" w:hAnsi="Times New Roman"/>
          <w:i/>
          <w:iCs/>
          <w:sz w:val="24"/>
          <w:szCs w:val="24"/>
        </w:rPr>
        <w:t xml:space="preserve"> </w:t>
      </w:r>
      <w:r w:rsidRPr="0019599F">
        <w:rPr>
          <w:rFonts w:ascii="Times New Roman" w:hAnsi="Times New Roman"/>
          <w:sz w:val="24"/>
          <w:szCs w:val="24"/>
        </w:rPr>
        <w:t>(unpublished doctoral thesis. University of Aberdeen).</w:t>
      </w:r>
    </w:p>
    <w:p w14:paraId="1E39B634" w14:textId="2B3E591F"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Eisenschmidt, Silke. 2011. </w:t>
      </w:r>
      <w:r w:rsidR="00D03D40">
        <w:rPr>
          <w:rFonts w:ascii="Times New Roman" w:hAnsi="Times New Roman"/>
          <w:sz w:val="24"/>
          <w:szCs w:val="24"/>
        </w:rPr>
        <w:t>‘</w:t>
      </w:r>
      <w:r w:rsidRPr="0019599F">
        <w:rPr>
          <w:rFonts w:ascii="Times New Roman" w:hAnsi="Times New Roman"/>
          <w:sz w:val="24"/>
          <w:szCs w:val="24"/>
        </w:rPr>
        <w:t>The Viking Age Graves from Hedeby</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Viking Settlements and Viking Society: Papers From the Proceedings of the Sixteenth Viking Congress, </w:t>
      </w:r>
      <w:r w:rsidRPr="0019599F">
        <w:rPr>
          <w:rFonts w:ascii="Times New Roman" w:hAnsi="Times New Roman"/>
          <w:sz w:val="24"/>
          <w:szCs w:val="24"/>
        </w:rPr>
        <w:t>ed. Svavar Sigmundsson, Reykjavík: Hið í</w:t>
      </w:r>
      <w:r w:rsidRPr="0019599F">
        <w:rPr>
          <w:rFonts w:ascii="Times New Roman" w:hAnsi="Times New Roman"/>
          <w:sz w:val="24"/>
          <w:szCs w:val="24"/>
          <w:lang w:val="de-DE"/>
        </w:rPr>
        <w:t>slenzka f</w:t>
      </w:r>
      <w:r w:rsidRPr="0019599F">
        <w:rPr>
          <w:rFonts w:ascii="Times New Roman" w:hAnsi="Times New Roman"/>
          <w:sz w:val="24"/>
          <w:szCs w:val="24"/>
        </w:rPr>
        <w:t>ornleifafélag and University of Iceland Press, 83-102.</w:t>
      </w:r>
    </w:p>
    <w:p w14:paraId="270FA1D7" w14:textId="2261E530"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Ekholst, Christine. 2014. </w:t>
      </w:r>
      <w:r w:rsidRPr="0019599F">
        <w:rPr>
          <w:rFonts w:ascii="Times New Roman" w:hAnsi="Times New Roman"/>
          <w:i/>
          <w:iCs/>
          <w:sz w:val="24"/>
          <w:szCs w:val="24"/>
        </w:rPr>
        <w:t>A Punishment for Each Criminal: Gender and Crime in Swedish Medieval Law</w:t>
      </w:r>
      <w:r w:rsidRPr="0019599F">
        <w:rPr>
          <w:rFonts w:ascii="Times New Roman" w:hAnsi="Times New Roman"/>
          <w:sz w:val="24"/>
          <w:szCs w:val="24"/>
        </w:rPr>
        <w:t>, The Northern World 67, Leiden: Brill.</w:t>
      </w:r>
    </w:p>
    <w:p w14:paraId="79BDEAB2" w14:textId="3D9974AD"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Gardeła, Leszek. 2013a. </w:t>
      </w:r>
      <w:r w:rsidR="00D03D40">
        <w:rPr>
          <w:rFonts w:ascii="Times New Roman" w:hAnsi="Times New Roman"/>
          <w:sz w:val="24"/>
          <w:szCs w:val="24"/>
        </w:rPr>
        <w:t>‘</w:t>
      </w:r>
      <w:r w:rsidRPr="0019599F">
        <w:rPr>
          <w:rFonts w:ascii="Times New Roman" w:hAnsi="Times New Roman"/>
          <w:sz w:val="24"/>
          <w:szCs w:val="24"/>
        </w:rPr>
        <w:t>The Dangerous Dead? Rethinking Viking-Age Deviant</w:t>
      </w:r>
      <w:r w:rsidR="008E5873">
        <w:rPr>
          <w:rFonts w:ascii="Times New Roman" w:hAnsi="Times New Roman"/>
          <w:sz w:val="24"/>
          <w:szCs w:val="24"/>
        </w:rPr>
        <w:t xml:space="preserve"> </w:t>
      </w:r>
      <w:r w:rsidRPr="0019599F">
        <w:rPr>
          <w:rFonts w:ascii="Times New Roman" w:hAnsi="Times New Roman"/>
          <w:sz w:val="24"/>
          <w:szCs w:val="24"/>
        </w:rPr>
        <w:t>Burials</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Conversions: Looking for Ideological Change in the Early Middle Ages, </w:t>
      </w:r>
      <w:r w:rsidRPr="0019599F">
        <w:rPr>
          <w:rFonts w:ascii="Times New Roman" w:hAnsi="Times New Roman"/>
          <w:sz w:val="24"/>
          <w:szCs w:val="24"/>
        </w:rPr>
        <w:t xml:space="preserve">ed. Leszek Słupecki &amp; Rudolf Simek, </w:t>
      </w:r>
      <w:r w:rsidRPr="0019599F">
        <w:rPr>
          <w:rFonts w:ascii="Times New Roman" w:hAnsi="Times New Roman"/>
          <w:sz w:val="24"/>
          <w:szCs w:val="24"/>
          <w:lang w:val="de-DE"/>
        </w:rPr>
        <w:t xml:space="preserve">Vienna: Verlag Fassbaender, </w:t>
      </w:r>
      <w:r w:rsidRPr="0019599F">
        <w:rPr>
          <w:rFonts w:ascii="Times New Roman" w:hAnsi="Times New Roman"/>
          <w:sz w:val="24"/>
          <w:szCs w:val="24"/>
        </w:rPr>
        <w:t>99-136.</w:t>
      </w:r>
    </w:p>
    <w:p w14:paraId="3A9A3374" w14:textId="6F2305E3"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Gardeła, Leszek. 2013b. </w:t>
      </w:r>
      <w:r w:rsidR="00D03D40">
        <w:rPr>
          <w:rFonts w:ascii="Times New Roman" w:hAnsi="Times New Roman"/>
          <w:sz w:val="24"/>
          <w:szCs w:val="24"/>
        </w:rPr>
        <w:t>‘</w:t>
      </w:r>
      <w:r w:rsidRPr="0019599F">
        <w:rPr>
          <w:rFonts w:ascii="Times New Roman" w:hAnsi="Times New Roman"/>
          <w:sz w:val="24"/>
          <w:szCs w:val="24"/>
        </w:rPr>
        <w:t>The Headless Norsemen: Decapitation in Viking Age</w:t>
      </w:r>
      <w:r w:rsidR="008E5873">
        <w:rPr>
          <w:rFonts w:ascii="Times New Roman" w:hAnsi="Times New Roman"/>
          <w:sz w:val="24"/>
          <w:szCs w:val="24"/>
        </w:rPr>
        <w:t xml:space="preserve"> </w:t>
      </w:r>
      <w:r w:rsidRPr="0019599F">
        <w:rPr>
          <w:rFonts w:ascii="Times New Roman" w:hAnsi="Times New Roman"/>
          <w:sz w:val="24"/>
          <w:szCs w:val="24"/>
          <w:lang w:val="it-IT"/>
        </w:rPr>
        <w:t>Scandinavia</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The Head Motif in Past Societies in a Comparative Perspective, </w:t>
      </w:r>
      <w:r w:rsidRPr="0019599F">
        <w:rPr>
          <w:rFonts w:ascii="Times New Roman" w:hAnsi="Times New Roman"/>
          <w:sz w:val="24"/>
          <w:szCs w:val="24"/>
        </w:rPr>
        <w:t>ed. Leszek Gardeła &amp; Kamil Kajkowski, Bytów: Muzeum Zacodniokaszubskie w Bytowie, 88-155.</w:t>
      </w:r>
    </w:p>
    <w:p w14:paraId="576CE297" w14:textId="00798E41"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Gräslund, Anne-Sophie. 1980. </w:t>
      </w:r>
      <w:r w:rsidRPr="0019599F">
        <w:rPr>
          <w:rFonts w:ascii="Times New Roman" w:hAnsi="Times New Roman"/>
          <w:i/>
          <w:iCs/>
          <w:sz w:val="24"/>
          <w:szCs w:val="24"/>
        </w:rPr>
        <w:t>Birka. IV, The burial customs: a study of the graves</w:t>
      </w:r>
      <w:r w:rsidR="008E5873">
        <w:rPr>
          <w:rFonts w:ascii="Times New Roman" w:hAnsi="Times New Roman"/>
          <w:i/>
          <w:iCs/>
          <w:sz w:val="24"/>
          <w:szCs w:val="24"/>
        </w:rPr>
        <w:t xml:space="preserve"> </w:t>
      </w:r>
      <w:r w:rsidRPr="0019599F">
        <w:rPr>
          <w:rFonts w:ascii="Times New Roman" w:hAnsi="Times New Roman"/>
          <w:i/>
          <w:iCs/>
          <w:sz w:val="24"/>
          <w:szCs w:val="24"/>
        </w:rPr>
        <w:t>on Björkö</w:t>
      </w:r>
      <w:r w:rsidRPr="0019599F">
        <w:rPr>
          <w:rFonts w:ascii="Times New Roman" w:hAnsi="Times New Roman"/>
          <w:sz w:val="24"/>
          <w:szCs w:val="24"/>
        </w:rPr>
        <w:t>, Stockholm: Almquist &amp; Wiksell</w:t>
      </w:r>
    </w:p>
    <w:p w14:paraId="073DA2B6" w14:textId="5DD8F123"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Hadley, Dawn. M. 2011. </w:t>
      </w:r>
      <w:r w:rsidR="00D03D40">
        <w:rPr>
          <w:rFonts w:ascii="Times New Roman" w:hAnsi="Times New Roman"/>
          <w:sz w:val="24"/>
          <w:szCs w:val="24"/>
        </w:rPr>
        <w:t>‘</w:t>
      </w:r>
      <w:r w:rsidRPr="0019599F">
        <w:rPr>
          <w:rFonts w:ascii="Times New Roman" w:hAnsi="Times New Roman"/>
          <w:sz w:val="24"/>
          <w:szCs w:val="24"/>
        </w:rPr>
        <w:t>Protecting the Dead in Viking Age England</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Viking Settlements and Viking Society: Papers From the Proceedings of the Sixteenth Viking Congress, </w:t>
      </w:r>
      <w:r w:rsidRPr="0019599F">
        <w:rPr>
          <w:rFonts w:ascii="Times New Roman" w:hAnsi="Times New Roman"/>
          <w:sz w:val="24"/>
          <w:szCs w:val="24"/>
        </w:rPr>
        <w:t>ed. Svavar Sigmundsson, Reykjavík: Hið í</w:t>
      </w:r>
      <w:r w:rsidRPr="0019599F">
        <w:rPr>
          <w:rFonts w:ascii="Times New Roman" w:hAnsi="Times New Roman"/>
          <w:sz w:val="24"/>
          <w:szCs w:val="24"/>
          <w:lang w:val="de-DE"/>
        </w:rPr>
        <w:t>slenzka f</w:t>
      </w:r>
      <w:r w:rsidRPr="0019599F">
        <w:rPr>
          <w:rFonts w:ascii="Times New Roman" w:hAnsi="Times New Roman"/>
          <w:sz w:val="24"/>
          <w:szCs w:val="24"/>
        </w:rPr>
        <w:t>ornleifafélag and University of Iceland Press, 201-208.</w:t>
      </w:r>
    </w:p>
    <w:p w14:paraId="7433102F" w14:textId="46374FCB" w:rsidR="00330AFC" w:rsidRPr="0019599F" w:rsidRDefault="00536562" w:rsidP="008E5873">
      <w:pPr>
        <w:pStyle w:val="BodyA"/>
        <w:spacing w:line="240" w:lineRule="auto"/>
        <w:rPr>
          <w:rFonts w:ascii="Times New Roman" w:eastAsia="Times New Roman" w:hAnsi="Times New Roman" w:cs="Times New Roman"/>
          <w:sz w:val="24"/>
          <w:szCs w:val="24"/>
          <w:lang w:val="de-DE"/>
        </w:rPr>
      </w:pPr>
      <w:r w:rsidRPr="0019599F">
        <w:rPr>
          <w:rFonts w:ascii="Times New Roman" w:hAnsi="Times New Roman"/>
          <w:sz w:val="24"/>
          <w:szCs w:val="24"/>
        </w:rPr>
        <w:t xml:space="preserve">Hall, Steve. 2012. </w:t>
      </w:r>
      <w:r w:rsidRPr="0019599F">
        <w:rPr>
          <w:rFonts w:ascii="Times New Roman" w:hAnsi="Times New Roman"/>
          <w:i/>
          <w:iCs/>
          <w:sz w:val="24"/>
          <w:szCs w:val="24"/>
        </w:rPr>
        <w:t xml:space="preserve">Theorizing Crime &amp; Deviance: a New Perspective, </w:t>
      </w:r>
      <w:r w:rsidRPr="0019599F">
        <w:rPr>
          <w:rFonts w:ascii="Times New Roman" w:hAnsi="Times New Roman"/>
          <w:sz w:val="24"/>
          <w:szCs w:val="24"/>
          <w:lang w:val="de-DE"/>
        </w:rPr>
        <w:t>London:</w:t>
      </w:r>
      <w:r w:rsidR="008E5873">
        <w:rPr>
          <w:rFonts w:ascii="Times New Roman" w:hAnsi="Times New Roman"/>
          <w:sz w:val="24"/>
          <w:szCs w:val="24"/>
          <w:lang w:val="de-DE"/>
        </w:rPr>
        <w:t xml:space="preserve"> </w:t>
      </w:r>
      <w:r w:rsidRPr="0019599F">
        <w:rPr>
          <w:rFonts w:ascii="Times New Roman" w:hAnsi="Times New Roman"/>
          <w:sz w:val="24"/>
          <w:szCs w:val="24"/>
          <w:lang w:val="de-DE"/>
        </w:rPr>
        <w:t>SAGE.</w:t>
      </w:r>
    </w:p>
    <w:p w14:paraId="472BA418" w14:textId="0F5479ED"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lastRenderedPageBreak/>
        <w:t xml:space="preserve">Hastrup, Kirsten. 1985. </w:t>
      </w:r>
      <w:r w:rsidRPr="0019599F">
        <w:rPr>
          <w:rFonts w:ascii="Times New Roman" w:hAnsi="Times New Roman"/>
          <w:i/>
          <w:iCs/>
          <w:sz w:val="24"/>
          <w:szCs w:val="24"/>
        </w:rPr>
        <w:t>Culture and History in Medieval Iceland,</w:t>
      </w:r>
      <w:r w:rsidRPr="0019599F">
        <w:rPr>
          <w:rFonts w:ascii="Times New Roman" w:hAnsi="Times New Roman"/>
          <w:sz w:val="24"/>
          <w:szCs w:val="24"/>
        </w:rPr>
        <w:t xml:space="preserve"> Oxford: Oxford</w:t>
      </w:r>
      <w:r w:rsidR="008E5873">
        <w:rPr>
          <w:rFonts w:ascii="Times New Roman" w:hAnsi="Times New Roman"/>
          <w:sz w:val="24"/>
          <w:szCs w:val="24"/>
        </w:rPr>
        <w:t xml:space="preserve"> </w:t>
      </w:r>
      <w:r w:rsidRPr="0019599F">
        <w:rPr>
          <w:rFonts w:ascii="Times New Roman" w:hAnsi="Times New Roman"/>
          <w:sz w:val="24"/>
          <w:szCs w:val="24"/>
        </w:rPr>
        <w:t>University Press.</w:t>
      </w:r>
    </w:p>
    <w:p w14:paraId="7043152B" w14:textId="417FD82B"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nl-NL"/>
        </w:rPr>
        <w:t xml:space="preserve">van Houts, Elisabeth. 2010. </w:t>
      </w:r>
      <w:r w:rsidR="00D03D40">
        <w:rPr>
          <w:rFonts w:ascii="Times New Roman" w:hAnsi="Times New Roman"/>
          <w:sz w:val="24"/>
          <w:szCs w:val="24"/>
        </w:rPr>
        <w:t>‘</w:t>
      </w:r>
      <w:r w:rsidRPr="0019599F">
        <w:rPr>
          <w:rFonts w:ascii="Times New Roman" w:hAnsi="Times New Roman"/>
          <w:sz w:val="24"/>
          <w:szCs w:val="24"/>
        </w:rPr>
        <w:t xml:space="preserve">The Vocabulary of Exile and Outlawry in the North Sea Area </w:t>
      </w:r>
      <w:r w:rsidR="008E5873">
        <w:rPr>
          <w:rFonts w:ascii="Times New Roman" w:hAnsi="Times New Roman"/>
          <w:sz w:val="24"/>
          <w:szCs w:val="24"/>
        </w:rPr>
        <w:t>a</w:t>
      </w:r>
      <w:r w:rsidRPr="0019599F">
        <w:rPr>
          <w:rFonts w:ascii="Times New Roman" w:hAnsi="Times New Roman"/>
          <w:sz w:val="24"/>
          <w:szCs w:val="24"/>
        </w:rPr>
        <w:t>round the First Millennium</w:t>
      </w:r>
      <w:r w:rsidR="00D03D40">
        <w:rPr>
          <w:rFonts w:ascii="Times New Roman" w:hAnsi="Times New Roman"/>
          <w:sz w:val="24"/>
          <w:szCs w:val="24"/>
        </w:rPr>
        <w:t>’</w:t>
      </w:r>
      <w:r w:rsidRPr="0019599F">
        <w:rPr>
          <w:rFonts w:ascii="Times New Roman" w:hAnsi="Times New Roman"/>
          <w:sz w:val="24"/>
          <w:szCs w:val="24"/>
        </w:rPr>
        <w:t xml:space="preserve">, </w:t>
      </w:r>
      <w:r w:rsidRPr="0019599F">
        <w:rPr>
          <w:rFonts w:ascii="Times New Roman" w:hAnsi="Times New Roman"/>
          <w:i/>
          <w:iCs/>
          <w:sz w:val="24"/>
          <w:szCs w:val="24"/>
        </w:rPr>
        <w:t xml:space="preserve">Exile in the Middle Ages, </w:t>
      </w:r>
      <w:r w:rsidRPr="0019599F">
        <w:rPr>
          <w:rFonts w:ascii="Times New Roman" w:hAnsi="Times New Roman"/>
          <w:sz w:val="24"/>
          <w:szCs w:val="24"/>
        </w:rPr>
        <w:t>ed. i</w:t>
      </w:r>
      <w:r w:rsidRPr="0019599F">
        <w:rPr>
          <w:rFonts w:ascii="Times New Roman" w:hAnsi="Times New Roman"/>
          <w:sz w:val="24"/>
          <w:szCs w:val="24"/>
          <w:lang w:val="nl-NL"/>
        </w:rPr>
        <w:t>n Laura Napran &amp; Elisabeth van Houts,</w:t>
      </w:r>
      <w:r w:rsidRPr="0019599F">
        <w:rPr>
          <w:rFonts w:ascii="Times New Roman" w:hAnsi="Times New Roman"/>
          <w:sz w:val="24"/>
          <w:szCs w:val="24"/>
        </w:rPr>
        <w:t xml:space="preserve"> Turnhout: Brepols Publishers,13-28.</w:t>
      </w:r>
    </w:p>
    <w:p w14:paraId="588FF467" w14:textId="7F16115B"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de-DE"/>
        </w:rPr>
        <w:t xml:space="preserve">Jesch, Judith. 2000. </w:t>
      </w:r>
      <w:r w:rsidR="00D03D40">
        <w:rPr>
          <w:rFonts w:ascii="Times New Roman" w:hAnsi="Times New Roman"/>
          <w:sz w:val="24"/>
          <w:szCs w:val="24"/>
        </w:rPr>
        <w:t>‘</w:t>
      </w:r>
      <w:r w:rsidRPr="0019599F">
        <w:rPr>
          <w:rFonts w:ascii="Times New Roman" w:hAnsi="Times New Roman"/>
          <w:sz w:val="24"/>
          <w:szCs w:val="24"/>
        </w:rPr>
        <w:t>Knútr in Poetry and History</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lang w:val="fr-FR"/>
        </w:rPr>
        <w:t xml:space="preserve">International </w:t>
      </w:r>
      <w:r w:rsidRPr="0019599F">
        <w:rPr>
          <w:rFonts w:ascii="Times New Roman" w:hAnsi="Times New Roman"/>
          <w:i/>
          <w:iCs/>
          <w:sz w:val="24"/>
          <w:szCs w:val="24"/>
        </w:rPr>
        <w:t xml:space="preserve">Scandinavian and Medieval Studies in Memory of Gerd Wolfgang Weber, </w:t>
      </w:r>
      <w:r w:rsidRPr="0019599F">
        <w:rPr>
          <w:rFonts w:ascii="Times New Roman" w:hAnsi="Times New Roman"/>
          <w:sz w:val="24"/>
          <w:szCs w:val="24"/>
        </w:rPr>
        <w:t>ed. Michael Dallapiazza et al.,</w:t>
      </w:r>
      <w:r w:rsidRPr="0019599F">
        <w:rPr>
          <w:rFonts w:ascii="Times New Roman" w:hAnsi="Times New Roman"/>
          <w:i/>
          <w:iCs/>
          <w:sz w:val="24"/>
          <w:szCs w:val="24"/>
        </w:rPr>
        <w:t xml:space="preserve"> </w:t>
      </w:r>
      <w:r w:rsidRPr="0019599F">
        <w:rPr>
          <w:rFonts w:ascii="Times New Roman" w:hAnsi="Times New Roman"/>
          <w:sz w:val="24"/>
          <w:szCs w:val="24"/>
          <w:lang w:val="it-IT"/>
        </w:rPr>
        <w:t>Trieste: Edizioni Parnaso, 243-256.</w:t>
      </w:r>
    </w:p>
    <w:p w14:paraId="039D0BCF" w14:textId="03702697" w:rsidR="00330AFC" w:rsidRPr="0019599F" w:rsidRDefault="00536562" w:rsidP="008E5873">
      <w:pPr>
        <w:pStyle w:val="BodyA"/>
        <w:spacing w:line="240" w:lineRule="auto"/>
        <w:rPr>
          <w:rFonts w:ascii="Times New Roman" w:hAnsi="Times New Roman"/>
          <w:sz w:val="24"/>
          <w:szCs w:val="24"/>
        </w:rPr>
      </w:pPr>
      <w:r w:rsidRPr="0019599F">
        <w:rPr>
          <w:rFonts w:ascii="Times New Roman" w:hAnsi="Times New Roman"/>
          <w:sz w:val="24"/>
          <w:szCs w:val="24"/>
          <w:lang w:val="nl-NL"/>
        </w:rPr>
        <w:t xml:space="preserve">Jorgensen, Alice. 2010. </w:t>
      </w:r>
      <w:r w:rsidR="00D03D40">
        <w:rPr>
          <w:rFonts w:ascii="Times New Roman" w:hAnsi="Times New Roman"/>
          <w:sz w:val="24"/>
          <w:szCs w:val="24"/>
        </w:rPr>
        <w:t>‘</w:t>
      </w:r>
      <w:r w:rsidRPr="0019599F">
        <w:rPr>
          <w:rFonts w:ascii="Times New Roman" w:hAnsi="Times New Roman"/>
          <w:sz w:val="24"/>
          <w:szCs w:val="24"/>
        </w:rPr>
        <w:t>Introduction: Reading the Anglo-Saxon Chronicle</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Reading the Anglo-Saxon Chronicle, </w:t>
      </w:r>
      <w:r w:rsidRPr="0019599F">
        <w:rPr>
          <w:rFonts w:ascii="Times New Roman" w:hAnsi="Times New Roman"/>
          <w:sz w:val="24"/>
          <w:szCs w:val="24"/>
        </w:rPr>
        <w:t xml:space="preserve">ed. Alice </w:t>
      </w:r>
      <w:r w:rsidRPr="0019599F">
        <w:rPr>
          <w:rFonts w:ascii="Times New Roman" w:hAnsi="Times New Roman"/>
          <w:sz w:val="24"/>
          <w:szCs w:val="24"/>
          <w:lang w:val="da-DK"/>
        </w:rPr>
        <w:t>Jorgensen</w:t>
      </w:r>
      <w:r w:rsidRPr="0019599F">
        <w:rPr>
          <w:rFonts w:ascii="Times New Roman" w:hAnsi="Times New Roman"/>
          <w:sz w:val="24"/>
          <w:szCs w:val="24"/>
        </w:rPr>
        <w:t>,</w:t>
      </w:r>
      <w:r w:rsidRPr="0019599F">
        <w:rPr>
          <w:rFonts w:ascii="Times New Roman" w:hAnsi="Times New Roman"/>
          <w:i/>
          <w:iCs/>
          <w:sz w:val="24"/>
          <w:szCs w:val="24"/>
        </w:rPr>
        <w:t xml:space="preserve"> </w:t>
      </w:r>
      <w:r w:rsidRPr="0019599F">
        <w:rPr>
          <w:rFonts w:ascii="Times New Roman" w:hAnsi="Times New Roman"/>
          <w:sz w:val="24"/>
          <w:szCs w:val="24"/>
          <w:lang w:val="nl-NL"/>
        </w:rPr>
        <w:t>Turnhout: Brepols</w:t>
      </w:r>
      <w:r w:rsidRPr="0019599F">
        <w:rPr>
          <w:rFonts w:ascii="Times New Roman" w:hAnsi="Times New Roman"/>
          <w:sz w:val="24"/>
          <w:szCs w:val="24"/>
        </w:rPr>
        <w:t>, 1-28.</w:t>
      </w:r>
    </w:p>
    <w:p w14:paraId="5405A7C0" w14:textId="0D4E396B" w:rsidR="00AB1A4D" w:rsidRPr="0019599F" w:rsidRDefault="00AB1A4D" w:rsidP="008E5873">
      <w:pPr>
        <w:pStyle w:val="BodyA"/>
        <w:spacing w:line="240" w:lineRule="auto"/>
        <w:rPr>
          <w:rFonts w:ascii="Times New Roman" w:eastAsia="Times New Roman" w:hAnsi="Times New Roman" w:cs="Times New Roman"/>
          <w:sz w:val="24"/>
          <w:szCs w:val="24"/>
          <w:lang w:val="is-IS"/>
        </w:rPr>
      </w:pPr>
      <w:r w:rsidRPr="0019599F">
        <w:rPr>
          <w:rFonts w:ascii="Times New Roman" w:hAnsi="Times New Roman"/>
          <w:sz w:val="24"/>
          <w:szCs w:val="24"/>
        </w:rPr>
        <w:t xml:space="preserve">Jón </w:t>
      </w:r>
      <w:r w:rsidRPr="0019599F">
        <w:rPr>
          <w:rFonts w:ascii="Times New Roman" w:hAnsi="Times New Roman"/>
          <w:sz w:val="24"/>
          <w:szCs w:val="24"/>
          <w:lang w:val="is-IS"/>
        </w:rPr>
        <w:t xml:space="preserve">Viðar Sigurðsson. 2017 </w:t>
      </w:r>
      <w:r w:rsidRPr="0019599F">
        <w:rPr>
          <w:rFonts w:ascii="Times New Roman" w:hAnsi="Times New Roman"/>
          <w:i/>
          <w:sz w:val="24"/>
          <w:szCs w:val="24"/>
          <w:lang w:val="is-IS"/>
        </w:rPr>
        <w:t>Viking friendship : the social bond in Iceland and</w:t>
      </w:r>
      <w:r w:rsidR="008E5873">
        <w:rPr>
          <w:rFonts w:ascii="Times New Roman" w:hAnsi="Times New Roman"/>
          <w:i/>
          <w:sz w:val="24"/>
          <w:szCs w:val="24"/>
          <w:lang w:val="is-IS"/>
        </w:rPr>
        <w:t xml:space="preserve"> </w:t>
      </w:r>
      <w:r w:rsidRPr="0019599F">
        <w:rPr>
          <w:rFonts w:ascii="Times New Roman" w:hAnsi="Times New Roman"/>
          <w:i/>
          <w:sz w:val="24"/>
          <w:szCs w:val="24"/>
          <w:lang w:val="is-IS"/>
        </w:rPr>
        <w:t>Norway, c. 900-1300</w:t>
      </w:r>
      <w:r w:rsidRPr="0019599F">
        <w:rPr>
          <w:rFonts w:ascii="Times New Roman" w:hAnsi="Times New Roman"/>
          <w:sz w:val="24"/>
          <w:szCs w:val="24"/>
          <w:lang w:val="is-IS"/>
        </w:rPr>
        <w:t>, Ithica: Cornell University Press</w:t>
      </w:r>
    </w:p>
    <w:p w14:paraId="719D5259" w14:textId="5793F6EA"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Kalmring, Sven. 2010 </w:t>
      </w:r>
      <w:r w:rsidR="00D03D40">
        <w:rPr>
          <w:rFonts w:ascii="Times New Roman" w:hAnsi="Times New Roman"/>
          <w:sz w:val="24"/>
          <w:szCs w:val="24"/>
        </w:rPr>
        <w:t>‘</w:t>
      </w:r>
      <w:r w:rsidRPr="0019599F">
        <w:rPr>
          <w:rFonts w:ascii="Times New Roman" w:hAnsi="Times New Roman"/>
          <w:sz w:val="24"/>
          <w:szCs w:val="24"/>
        </w:rPr>
        <w:t>Of thieves, counterfeiters and homicides. Crime in Hedeby</w:t>
      </w:r>
      <w:r w:rsidR="008E5873">
        <w:rPr>
          <w:rFonts w:ascii="Times New Roman" w:hAnsi="Times New Roman"/>
          <w:sz w:val="24"/>
          <w:szCs w:val="24"/>
        </w:rPr>
        <w:t xml:space="preserve"> </w:t>
      </w:r>
      <w:r w:rsidRPr="0019599F">
        <w:rPr>
          <w:rFonts w:ascii="Times New Roman" w:hAnsi="Times New Roman"/>
          <w:sz w:val="24"/>
          <w:szCs w:val="24"/>
        </w:rPr>
        <w:t>and Birka</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Fornvännen</w:t>
      </w:r>
      <w:r w:rsidRPr="0019599F">
        <w:rPr>
          <w:rFonts w:ascii="Times New Roman" w:hAnsi="Times New Roman"/>
          <w:sz w:val="24"/>
          <w:szCs w:val="24"/>
        </w:rPr>
        <w:t xml:space="preserve"> 105, 281-290</w:t>
      </w:r>
    </w:p>
    <w:p w14:paraId="624CD31F" w14:textId="6A7A64A2"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Kershaw, Jane F. 2009. </w:t>
      </w:r>
      <w:r w:rsidR="00D03D40">
        <w:rPr>
          <w:rFonts w:ascii="Times New Roman" w:hAnsi="Times New Roman"/>
          <w:sz w:val="24"/>
          <w:szCs w:val="24"/>
        </w:rPr>
        <w:t>‘</w:t>
      </w:r>
      <w:r w:rsidRPr="0019599F">
        <w:rPr>
          <w:rFonts w:ascii="Times New Roman" w:hAnsi="Times New Roman"/>
          <w:sz w:val="24"/>
          <w:szCs w:val="24"/>
        </w:rPr>
        <w:t>Culture and Gender in the Danelaw: Scandinavian and</w:t>
      </w:r>
      <w:r w:rsidR="008E5873">
        <w:rPr>
          <w:rFonts w:ascii="Times New Roman" w:hAnsi="Times New Roman"/>
          <w:sz w:val="24"/>
          <w:szCs w:val="24"/>
        </w:rPr>
        <w:t xml:space="preserve"> </w:t>
      </w:r>
      <w:r w:rsidRPr="0019599F">
        <w:rPr>
          <w:rFonts w:ascii="Times New Roman" w:hAnsi="Times New Roman"/>
          <w:sz w:val="24"/>
          <w:szCs w:val="24"/>
          <w:lang w:val="it-IT"/>
        </w:rPr>
        <w:t>Anglo-Scandinavian Brooches</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Viking and Medieval Scandinavia</w:t>
      </w:r>
      <w:r w:rsidRPr="0019599F">
        <w:rPr>
          <w:rFonts w:ascii="Times New Roman" w:hAnsi="Times New Roman"/>
          <w:sz w:val="24"/>
          <w:szCs w:val="24"/>
        </w:rPr>
        <w:t xml:space="preserve"> 5, 295-325.</w:t>
      </w:r>
    </w:p>
    <w:p w14:paraId="384C36F6" w14:textId="7777777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Kershaw, Jane F. 2013. </w:t>
      </w:r>
      <w:r w:rsidRPr="0019599F">
        <w:rPr>
          <w:rFonts w:ascii="Times New Roman" w:hAnsi="Times New Roman"/>
          <w:i/>
          <w:iCs/>
          <w:sz w:val="24"/>
          <w:szCs w:val="24"/>
        </w:rPr>
        <w:t>Viking Identities.</w:t>
      </w:r>
      <w:r w:rsidRPr="0019599F">
        <w:rPr>
          <w:rFonts w:ascii="Times New Roman" w:hAnsi="Times New Roman"/>
          <w:sz w:val="24"/>
          <w:szCs w:val="24"/>
        </w:rPr>
        <w:t xml:space="preserve"> Oxford: Oxford University Press.</w:t>
      </w:r>
    </w:p>
    <w:p w14:paraId="5EE54804" w14:textId="4C372138"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Klevnäs, Alison. 2016a. </w:t>
      </w:r>
      <w:r w:rsidR="00D03D40">
        <w:rPr>
          <w:rFonts w:ascii="Times New Roman" w:hAnsi="Times New Roman"/>
          <w:sz w:val="24"/>
          <w:szCs w:val="24"/>
        </w:rPr>
        <w:t>‘</w:t>
      </w:r>
      <w:r w:rsidRPr="0019599F">
        <w:rPr>
          <w:rFonts w:ascii="Times New Roman" w:hAnsi="Times New Roman"/>
          <w:sz w:val="24"/>
          <w:szCs w:val="24"/>
        </w:rPr>
        <w:t>Deaths Matter</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Current Swedish Archaeology</w:t>
      </w:r>
      <w:r w:rsidRPr="0019599F">
        <w:rPr>
          <w:rFonts w:ascii="Times New Roman" w:hAnsi="Times New Roman"/>
          <w:sz w:val="24"/>
          <w:szCs w:val="24"/>
        </w:rPr>
        <w:t xml:space="preserve"> 24,49-56.</w:t>
      </w:r>
    </w:p>
    <w:p w14:paraId="1D08BAB1" w14:textId="3FFE28A6"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Klevnäs, Alison. 2016b. </w:t>
      </w:r>
      <w:r w:rsidR="00D03D40">
        <w:rPr>
          <w:rFonts w:ascii="Times New Roman" w:hAnsi="Times New Roman"/>
          <w:sz w:val="24"/>
          <w:szCs w:val="24"/>
        </w:rPr>
        <w:t>‘</w:t>
      </w:r>
      <w:r w:rsidRPr="0019599F">
        <w:rPr>
          <w:rFonts w:ascii="Times New Roman" w:hAnsi="Times New Roman"/>
          <w:sz w:val="24"/>
          <w:szCs w:val="24"/>
        </w:rPr>
        <w:t xml:space="preserve">Overkill: Reopening Graves to Maim the Dead in Anglo-Saxon </w:t>
      </w:r>
      <w:r w:rsidR="008E5873">
        <w:rPr>
          <w:rFonts w:ascii="Times New Roman" w:hAnsi="Times New Roman"/>
          <w:sz w:val="24"/>
          <w:szCs w:val="24"/>
        </w:rPr>
        <w:t xml:space="preserve"> E</w:t>
      </w:r>
      <w:r w:rsidRPr="0019599F">
        <w:rPr>
          <w:rFonts w:ascii="Times New Roman" w:hAnsi="Times New Roman"/>
          <w:sz w:val="24"/>
          <w:szCs w:val="24"/>
        </w:rPr>
        <w:t>ngland</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The Head Motif in Past Societies in a Comparative Perspective, </w:t>
      </w:r>
      <w:r w:rsidRPr="0019599F">
        <w:rPr>
          <w:rFonts w:ascii="Times New Roman" w:hAnsi="Times New Roman"/>
          <w:sz w:val="24"/>
          <w:szCs w:val="24"/>
        </w:rPr>
        <w:t>ed. Leszek Gardeła &amp; Kamil Kajkowski, Bytów: Muzeum Zacodniokaszubskie w Bytowie, 177–213.</w:t>
      </w:r>
    </w:p>
    <w:p w14:paraId="72EEC7BA" w14:textId="131FD28A" w:rsidR="00330AFC" w:rsidRPr="0019599F" w:rsidRDefault="00536562" w:rsidP="0019599F">
      <w:pPr>
        <w:pStyle w:val="BodyA"/>
        <w:spacing w:line="240" w:lineRule="auto"/>
        <w:rPr>
          <w:rFonts w:ascii="Times New Roman" w:hAnsi="Times New Roman"/>
          <w:sz w:val="24"/>
          <w:szCs w:val="24"/>
        </w:rPr>
      </w:pPr>
      <w:r w:rsidRPr="0019599F">
        <w:rPr>
          <w:rFonts w:ascii="Times New Roman" w:hAnsi="Times New Roman"/>
          <w:sz w:val="24"/>
          <w:szCs w:val="24"/>
        </w:rPr>
        <w:t xml:space="preserve">Lambert, Tom. 2012. </w:t>
      </w:r>
      <w:r w:rsidR="00D03D40">
        <w:rPr>
          <w:rFonts w:ascii="Times New Roman" w:hAnsi="Times New Roman"/>
          <w:sz w:val="24"/>
          <w:szCs w:val="24"/>
        </w:rPr>
        <w:t>‘</w:t>
      </w:r>
      <w:r w:rsidRPr="0019599F">
        <w:rPr>
          <w:rFonts w:ascii="Times New Roman" w:hAnsi="Times New Roman"/>
          <w:sz w:val="24"/>
          <w:szCs w:val="24"/>
        </w:rPr>
        <w:t>Anglo-Saxon Deviant Burial Customs, by Andrew Reynolds</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The English Historical Review</w:t>
      </w:r>
      <w:r w:rsidRPr="0019599F">
        <w:rPr>
          <w:rFonts w:ascii="Times New Roman" w:hAnsi="Times New Roman"/>
          <w:sz w:val="24"/>
          <w:szCs w:val="24"/>
        </w:rPr>
        <w:t xml:space="preserve"> CXXVII, Oxford: Oxford University Press, 678-80.</w:t>
      </w:r>
    </w:p>
    <w:p w14:paraId="11E5DE8C" w14:textId="491F35C1" w:rsidR="002C1667" w:rsidRPr="0019599F" w:rsidRDefault="002C1667"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Lambert, Tom. 2017 </w:t>
      </w:r>
      <w:r w:rsidRPr="0019599F">
        <w:rPr>
          <w:rFonts w:ascii="Times New Roman" w:hAnsi="Times New Roman"/>
          <w:i/>
          <w:sz w:val="24"/>
          <w:szCs w:val="24"/>
        </w:rPr>
        <w:t>Law and Order in Anglo-Saxon England</w:t>
      </w:r>
      <w:r w:rsidRPr="0019599F">
        <w:rPr>
          <w:rFonts w:ascii="Times New Roman" w:hAnsi="Times New Roman"/>
          <w:sz w:val="24"/>
          <w:szCs w:val="24"/>
        </w:rPr>
        <w:t xml:space="preserve">, Oxford: </w:t>
      </w:r>
      <w:r w:rsidR="008C1DC8" w:rsidRPr="0019599F">
        <w:rPr>
          <w:rFonts w:ascii="Times New Roman" w:hAnsi="Times New Roman"/>
          <w:sz w:val="24"/>
          <w:szCs w:val="24"/>
        </w:rPr>
        <w:t>Oxford</w:t>
      </w:r>
      <w:r w:rsidR="008E5873">
        <w:rPr>
          <w:rFonts w:ascii="Times New Roman" w:hAnsi="Times New Roman"/>
          <w:sz w:val="24"/>
          <w:szCs w:val="24"/>
        </w:rPr>
        <w:t xml:space="preserve"> </w:t>
      </w:r>
      <w:r w:rsidR="008C1DC8" w:rsidRPr="0019599F">
        <w:rPr>
          <w:rFonts w:ascii="Times New Roman" w:hAnsi="Times New Roman"/>
          <w:sz w:val="24"/>
          <w:szCs w:val="24"/>
        </w:rPr>
        <w:t>University Press.</w:t>
      </w:r>
    </w:p>
    <w:p w14:paraId="4D7129F3" w14:textId="51B119FC" w:rsidR="00330AFC" w:rsidRPr="0019599F" w:rsidRDefault="00536562" w:rsidP="0019599F">
      <w:pPr>
        <w:pStyle w:val="FootnoteText"/>
        <w:rPr>
          <w:sz w:val="24"/>
          <w:szCs w:val="24"/>
        </w:rPr>
      </w:pPr>
      <w:r w:rsidRPr="0019599F">
        <w:rPr>
          <w:sz w:val="24"/>
          <w:szCs w:val="24"/>
        </w:rPr>
        <w:t xml:space="preserve">Lindow, John. 2001. </w:t>
      </w:r>
      <w:r w:rsidRPr="0019599F">
        <w:rPr>
          <w:i/>
          <w:iCs/>
          <w:sz w:val="24"/>
          <w:szCs w:val="24"/>
        </w:rPr>
        <w:t xml:space="preserve">Norse Mythology: A Guide to the Gods, Heroes, Rituals, and Beliefs, </w:t>
      </w:r>
      <w:r w:rsidRPr="0019599F">
        <w:rPr>
          <w:sz w:val="24"/>
          <w:szCs w:val="24"/>
        </w:rPr>
        <w:t>Oxford: Oxford University Press.</w:t>
      </w:r>
    </w:p>
    <w:p w14:paraId="09632107" w14:textId="77777777" w:rsidR="00330AFC" w:rsidRPr="0019599F" w:rsidRDefault="00536562" w:rsidP="0019599F">
      <w:pPr>
        <w:pStyle w:val="BodyA"/>
        <w:spacing w:line="240" w:lineRule="auto"/>
        <w:rPr>
          <w:rFonts w:ascii="Times New Roman" w:eastAsia="Times New Roman" w:hAnsi="Times New Roman" w:cs="Times New Roman"/>
          <w:color w:val="161616"/>
          <w:sz w:val="24"/>
          <w:szCs w:val="24"/>
          <w:u w:color="161616"/>
        </w:rPr>
      </w:pPr>
      <w:r w:rsidRPr="0019599F">
        <w:rPr>
          <w:rFonts w:ascii="Times New Roman" w:hAnsi="Times New Roman"/>
          <w:color w:val="131212"/>
          <w:sz w:val="24"/>
          <w:szCs w:val="24"/>
          <w:u w:color="131212"/>
        </w:rPr>
        <w:t xml:space="preserve">Moreland, John. 2003. </w:t>
      </w:r>
      <w:r w:rsidRPr="0019599F">
        <w:rPr>
          <w:rFonts w:ascii="Times New Roman" w:hAnsi="Times New Roman"/>
          <w:i/>
          <w:iCs/>
          <w:color w:val="131212"/>
          <w:sz w:val="24"/>
          <w:szCs w:val="24"/>
          <w:u w:color="131212"/>
        </w:rPr>
        <w:t xml:space="preserve">Archaeology and Text, </w:t>
      </w:r>
      <w:r w:rsidRPr="0019599F">
        <w:rPr>
          <w:rFonts w:ascii="Times New Roman" w:hAnsi="Times New Roman"/>
          <w:color w:val="131212"/>
          <w:sz w:val="24"/>
          <w:szCs w:val="24"/>
          <w:u w:color="131212"/>
        </w:rPr>
        <w:t>London: Duckworth.</w:t>
      </w:r>
    </w:p>
    <w:p w14:paraId="3AF6C38A" w14:textId="40A01FEC"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Niles, John D. 2007. </w:t>
      </w:r>
      <w:r w:rsidRPr="0019599F">
        <w:rPr>
          <w:rFonts w:ascii="Times New Roman" w:hAnsi="Times New Roman"/>
          <w:i/>
          <w:iCs/>
          <w:sz w:val="24"/>
          <w:szCs w:val="24"/>
        </w:rPr>
        <w:t>Old English Heroic Poems and the Social Life of Texts,</w:t>
      </w:r>
      <w:r w:rsidRPr="0019599F">
        <w:rPr>
          <w:rFonts w:ascii="Times New Roman" w:hAnsi="Times New Roman"/>
          <w:sz w:val="24"/>
          <w:szCs w:val="24"/>
        </w:rPr>
        <w:t>Studies in the Early Middle Ages 20,</w:t>
      </w:r>
      <w:r w:rsidRPr="0019599F">
        <w:rPr>
          <w:rFonts w:ascii="Times New Roman" w:hAnsi="Times New Roman"/>
          <w:i/>
          <w:iCs/>
          <w:sz w:val="24"/>
          <w:szCs w:val="24"/>
        </w:rPr>
        <w:t xml:space="preserve"> </w:t>
      </w:r>
      <w:r w:rsidRPr="0019599F">
        <w:rPr>
          <w:rFonts w:ascii="Times New Roman" w:hAnsi="Times New Roman"/>
          <w:sz w:val="24"/>
          <w:szCs w:val="24"/>
        </w:rPr>
        <w:t>Turnhout: Brepols Publishers.</w:t>
      </w:r>
    </w:p>
    <w:p w14:paraId="27B84F3D" w14:textId="090F79BB" w:rsidR="00330AFC" w:rsidRPr="0019599F" w:rsidRDefault="00536562" w:rsidP="0019599F">
      <w:pPr>
        <w:pStyle w:val="BodyA"/>
        <w:spacing w:line="240" w:lineRule="auto"/>
        <w:rPr>
          <w:rFonts w:ascii="Times New Roman" w:eastAsia="Times New Roman" w:hAnsi="Times New Roman" w:cs="Times New Roman"/>
          <w:color w:val="131212"/>
          <w:sz w:val="24"/>
          <w:szCs w:val="24"/>
          <w:u w:color="131212"/>
        </w:rPr>
      </w:pPr>
      <w:r w:rsidRPr="0019599F">
        <w:rPr>
          <w:rFonts w:ascii="Times New Roman" w:hAnsi="Times New Roman"/>
          <w:sz w:val="24"/>
          <w:szCs w:val="24"/>
        </w:rPr>
        <w:t xml:space="preserve">Owen, Olwyn A. &amp; Driscoll, Stephen T. 2011. </w:t>
      </w:r>
      <w:r w:rsidR="00D03D40">
        <w:rPr>
          <w:rFonts w:ascii="Times New Roman" w:hAnsi="Times New Roman"/>
          <w:sz w:val="24"/>
          <w:szCs w:val="24"/>
        </w:rPr>
        <w:t>‘</w:t>
      </w:r>
      <w:r w:rsidRPr="0019599F">
        <w:rPr>
          <w:rFonts w:ascii="Times New Roman" w:hAnsi="Times New Roman"/>
          <w:sz w:val="24"/>
          <w:szCs w:val="24"/>
        </w:rPr>
        <w:t>Norse Influence at Govan on the Firth of Clyde, Scotland</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Viking Settlements and Viking Society: Papers From the Proceedings of the Sixteenth Viking Congress, </w:t>
      </w:r>
      <w:r w:rsidRPr="0019599F">
        <w:rPr>
          <w:rFonts w:ascii="Times New Roman" w:hAnsi="Times New Roman"/>
          <w:sz w:val="24"/>
          <w:szCs w:val="24"/>
        </w:rPr>
        <w:t>ed. Svavar Sigmundsson, Reykjavík: Hið í</w:t>
      </w:r>
      <w:r w:rsidRPr="0019599F">
        <w:rPr>
          <w:rFonts w:ascii="Times New Roman" w:hAnsi="Times New Roman"/>
          <w:sz w:val="24"/>
          <w:szCs w:val="24"/>
          <w:lang w:val="de-DE"/>
        </w:rPr>
        <w:t>slenzka f</w:t>
      </w:r>
      <w:r w:rsidRPr="0019599F">
        <w:rPr>
          <w:rFonts w:ascii="Times New Roman" w:hAnsi="Times New Roman"/>
          <w:sz w:val="24"/>
          <w:szCs w:val="24"/>
        </w:rPr>
        <w:t>ornleifafélag and University of Iceland Press, 333-346.</w:t>
      </w:r>
    </w:p>
    <w:p w14:paraId="659AD3E1" w14:textId="13FFDCF0"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de-DE"/>
        </w:rPr>
        <w:t xml:space="preserve">Pons-Sanz, Sara M. 2010. </w:t>
      </w:r>
      <w:r w:rsidR="00D03D40">
        <w:rPr>
          <w:rFonts w:ascii="Times New Roman" w:hAnsi="Times New Roman"/>
          <w:sz w:val="24"/>
          <w:szCs w:val="24"/>
        </w:rPr>
        <w:t>‘</w:t>
      </w:r>
      <w:r w:rsidRPr="0019599F">
        <w:rPr>
          <w:rFonts w:ascii="Times New Roman" w:hAnsi="Times New Roman"/>
          <w:sz w:val="24"/>
          <w:szCs w:val="24"/>
        </w:rPr>
        <w:t>Norse-Derived Vocabulary in the Anglo-Saxon</w:t>
      </w:r>
      <w:r w:rsidR="008E5873">
        <w:rPr>
          <w:rFonts w:ascii="Times New Roman" w:hAnsi="Times New Roman"/>
          <w:sz w:val="24"/>
          <w:szCs w:val="24"/>
        </w:rPr>
        <w:t xml:space="preserve"> </w:t>
      </w:r>
      <w:r w:rsidRPr="0019599F">
        <w:rPr>
          <w:rFonts w:ascii="Times New Roman" w:hAnsi="Times New Roman"/>
          <w:sz w:val="24"/>
          <w:szCs w:val="24"/>
        </w:rPr>
        <w:t>Chronicle</w:t>
      </w:r>
      <w:r w:rsidR="00D03D40">
        <w:rPr>
          <w:rFonts w:ascii="Times New Roman" w:hAnsi="Times New Roman"/>
          <w:sz w:val="24"/>
          <w:szCs w:val="24"/>
        </w:rPr>
        <w:t>’</w:t>
      </w:r>
      <w:r w:rsidRPr="0019599F">
        <w:rPr>
          <w:rFonts w:ascii="Times New Roman" w:hAnsi="Times New Roman"/>
          <w:sz w:val="24"/>
          <w:szCs w:val="24"/>
          <w:lang w:val="nl-NL"/>
        </w:rPr>
        <w:t xml:space="preserve">. </w:t>
      </w:r>
      <w:r w:rsidRPr="0019599F">
        <w:rPr>
          <w:rFonts w:ascii="Times New Roman" w:hAnsi="Times New Roman"/>
          <w:sz w:val="24"/>
          <w:szCs w:val="24"/>
        </w:rPr>
        <w:t xml:space="preserve">in </w:t>
      </w:r>
      <w:r w:rsidRPr="008E5873">
        <w:rPr>
          <w:rFonts w:ascii="Times New Roman" w:hAnsi="Times New Roman"/>
          <w:i/>
          <w:sz w:val="24"/>
          <w:szCs w:val="24"/>
        </w:rPr>
        <w:t>R</w:t>
      </w:r>
      <w:r w:rsidRPr="0019599F">
        <w:rPr>
          <w:rFonts w:ascii="Times New Roman" w:hAnsi="Times New Roman"/>
          <w:i/>
          <w:iCs/>
          <w:sz w:val="24"/>
          <w:szCs w:val="24"/>
        </w:rPr>
        <w:t xml:space="preserve">eading the Anglo-Saxon Chronicle, </w:t>
      </w:r>
      <w:r w:rsidRPr="0019599F">
        <w:rPr>
          <w:rFonts w:ascii="Times New Roman" w:hAnsi="Times New Roman"/>
          <w:sz w:val="24"/>
          <w:szCs w:val="24"/>
        </w:rPr>
        <w:t xml:space="preserve">ed. Alice </w:t>
      </w:r>
      <w:r w:rsidRPr="0019599F">
        <w:rPr>
          <w:rFonts w:ascii="Times New Roman" w:hAnsi="Times New Roman"/>
          <w:sz w:val="24"/>
          <w:szCs w:val="24"/>
          <w:lang w:val="da-DK"/>
        </w:rPr>
        <w:t>Jorgensen</w:t>
      </w:r>
      <w:r w:rsidR="008E5873">
        <w:rPr>
          <w:rFonts w:ascii="Times New Roman" w:hAnsi="Times New Roman"/>
          <w:sz w:val="24"/>
          <w:szCs w:val="24"/>
          <w:lang w:val="da-DK"/>
        </w:rPr>
        <w:t xml:space="preserve">. </w:t>
      </w:r>
      <w:r w:rsidRPr="0019599F">
        <w:rPr>
          <w:rFonts w:ascii="Times New Roman" w:hAnsi="Times New Roman"/>
          <w:sz w:val="24"/>
          <w:szCs w:val="24"/>
        </w:rPr>
        <w:t>Turnhout: Brepols Publishers, 275-304.</w:t>
      </w:r>
    </w:p>
    <w:p w14:paraId="6B25DB2B" w14:textId="3A937A4A"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Price, Neil. 2007. </w:t>
      </w:r>
      <w:r w:rsidR="00D03D40">
        <w:rPr>
          <w:rFonts w:ascii="Times New Roman" w:hAnsi="Times New Roman"/>
          <w:sz w:val="24"/>
          <w:szCs w:val="24"/>
        </w:rPr>
        <w:t>‘</w:t>
      </w:r>
      <w:r w:rsidRPr="0019599F">
        <w:rPr>
          <w:rFonts w:ascii="Times New Roman" w:hAnsi="Times New Roman"/>
          <w:sz w:val="24"/>
          <w:szCs w:val="24"/>
        </w:rPr>
        <w:t>Dying and the Dead: Viking Age Mortuary Behaviour in</w:t>
      </w:r>
      <w:r w:rsidR="008E5873">
        <w:rPr>
          <w:rFonts w:ascii="Times New Roman" w:hAnsi="Times New Roman"/>
          <w:sz w:val="24"/>
          <w:szCs w:val="24"/>
        </w:rPr>
        <w:t xml:space="preserve"> </w:t>
      </w:r>
      <w:r w:rsidRPr="0019599F">
        <w:rPr>
          <w:rFonts w:ascii="Times New Roman" w:hAnsi="Times New Roman"/>
          <w:sz w:val="24"/>
          <w:szCs w:val="24"/>
        </w:rPr>
        <w:t>Viking Scandinavia.</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The Viking World, </w:t>
      </w:r>
      <w:r w:rsidRPr="0019599F">
        <w:rPr>
          <w:rFonts w:ascii="Times New Roman" w:hAnsi="Times New Roman"/>
          <w:sz w:val="24"/>
          <w:szCs w:val="24"/>
        </w:rPr>
        <w:t>ed. Stefan Brink &amp; Neil Price,</w:t>
      </w:r>
      <w:r w:rsidRPr="0019599F">
        <w:rPr>
          <w:rFonts w:ascii="Times New Roman" w:hAnsi="Times New Roman"/>
          <w:sz w:val="24"/>
          <w:szCs w:val="24"/>
          <w:lang w:val="de-DE"/>
        </w:rPr>
        <w:t xml:space="preserve"> London: </w:t>
      </w:r>
      <w:r w:rsidRPr="0019599F">
        <w:rPr>
          <w:rFonts w:ascii="Times New Roman" w:hAnsi="Times New Roman"/>
          <w:sz w:val="24"/>
          <w:szCs w:val="24"/>
        </w:rPr>
        <w:t>Routledge, 257-273.</w:t>
      </w:r>
    </w:p>
    <w:p w14:paraId="4C02F50E" w14:textId="772E2628"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Reynolds, Andrew. 1999. </w:t>
      </w:r>
      <w:r w:rsidRPr="0019599F">
        <w:rPr>
          <w:rFonts w:ascii="Times New Roman" w:hAnsi="Times New Roman"/>
          <w:i/>
          <w:iCs/>
          <w:sz w:val="24"/>
          <w:szCs w:val="24"/>
        </w:rPr>
        <w:t>Later Anglo-Saxon England.</w:t>
      </w:r>
      <w:r w:rsidRPr="0019599F">
        <w:rPr>
          <w:rFonts w:ascii="Times New Roman" w:hAnsi="Times New Roman"/>
          <w:sz w:val="24"/>
          <w:szCs w:val="24"/>
        </w:rPr>
        <w:t xml:space="preserve"> Str</w:t>
      </w:r>
      <w:r w:rsidR="008E5873">
        <w:rPr>
          <w:rFonts w:ascii="Times New Roman" w:hAnsi="Times New Roman"/>
          <w:sz w:val="24"/>
          <w:szCs w:val="24"/>
        </w:rPr>
        <w:t>o</w:t>
      </w:r>
      <w:r w:rsidRPr="0019599F">
        <w:rPr>
          <w:rFonts w:ascii="Times New Roman" w:hAnsi="Times New Roman"/>
          <w:sz w:val="24"/>
          <w:szCs w:val="24"/>
        </w:rPr>
        <w:t xml:space="preserve">ud: Tempus </w:t>
      </w:r>
    </w:p>
    <w:p w14:paraId="4FF43A50" w14:textId="33CEC87C"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Reynolds, Andrew. 2009. </w:t>
      </w:r>
      <w:r w:rsidRPr="0019599F">
        <w:rPr>
          <w:rFonts w:ascii="Times New Roman" w:hAnsi="Times New Roman"/>
          <w:i/>
          <w:iCs/>
          <w:sz w:val="24"/>
          <w:szCs w:val="24"/>
        </w:rPr>
        <w:t>Anglo-Saxon</w:t>
      </w:r>
      <w:r w:rsidRPr="0019599F">
        <w:rPr>
          <w:rFonts w:ascii="Times New Roman" w:hAnsi="Times New Roman"/>
          <w:sz w:val="24"/>
          <w:szCs w:val="24"/>
        </w:rPr>
        <w:t xml:space="preserve"> </w:t>
      </w:r>
      <w:r w:rsidR="008E5873">
        <w:rPr>
          <w:rFonts w:ascii="Times New Roman" w:hAnsi="Times New Roman"/>
          <w:i/>
          <w:sz w:val="24"/>
          <w:szCs w:val="24"/>
        </w:rPr>
        <w:t>D</w:t>
      </w:r>
      <w:r w:rsidRPr="0019599F">
        <w:rPr>
          <w:rFonts w:ascii="Times New Roman" w:hAnsi="Times New Roman"/>
          <w:i/>
          <w:iCs/>
          <w:sz w:val="24"/>
          <w:szCs w:val="24"/>
        </w:rPr>
        <w:t xml:space="preserve">eviant Burial Customs. </w:t>
      </w:r>
      <w:r w:rsidRPr="0019599F">
        <w:rPr>
          <w:rFonts w:ascii="Times New Roman" w:hAnsi="Times New Roman"/>
          <w:sz w:val="24"/>
          <w:szCs w:val="24"/>
        </w:rPr>
        <w:t>Oxford: Oxford</w:t>
      </w:r>
      <w:r w:rsidR="008E5873">
        <w:rPr>
          <w:rFonts w:ascii="Times New Roman" w:hAnsi="Times New Roman"/>
          <w:sz w:val="24"/>
          <w:szCs w:val="24"/>
        </w:rPr>
        <w:t xml:space="preserve"> </w:t>
      </w:r>
      <w:r w:rsidRPr="0019599F">
        <w:rPr>
          <w:rFonts w:ascii="Times New Roman" w:hAnsi="Times New Roman"/>
          <w:sz w:val="24"/>
          <w:szCs w:val="24"/>
        </w:rPr>
        <w:t>University Press.</w:t>
      </w:r>
    </w:p>
    <w:p w14:paraId="7E3F1B14" w14:textId="5FDCF3FA" w:rsidR="00330AFC" w:rsidRPr="0019599F" w:rsidRDefault="00536562" w:rsidP="008E5873">
      <w:pPr>
        <w:pStyle w:val="BodyA"/>
        <w:spacing w:line="240" w:lineRule="auto"/>
        <w:rPr>
          <w:rFonts w:ascii="Times New Roman" w:eastAsia="Times New Roman" w:hAnsi="Times New Roman" w:cs="Times New Roman"/>
          <w:sz w:val="24"/>
          <w:szCs w:val="24"/>
          <w:lang w:val="pt-PT"/>
        </w:rPr>
      </w:pPr>
      <w:r w:rsidRPr="0019599F">
        <w:rPr>
          <w:rFonts w:ascii="Times New Roman" w:hAnsi="Times New Roman"/>
          <w:sz w:val="24"/>
          <w:szCs w:val="24"/>
        </w:rPr>
        <w:t xml:space="preserve">Richards, Julian D. 2005. </w:t>
      </w:r>
      <w:r w:rsidRPr="0019599F">
        <w:rPr>
          <w:rFonts w:ascii="Times New Roman" w:hAnsi="Times New Roman"/>
          <w:i/>
          <w:iCs/>
          <w:sz w:val="24"/>
          <w:szCs w:val="24"/>
        </w:rPr>
        <w:t>The Vikings: A Very Short Introduction.</w:t>
      </w:r>
      <w:r w:rsidRPr="0019599F">
        <w:rPr>
          <w:rFonts w:ascii="Times New Roman" w:hAnsi="Times New Roman"/>
          <w:sz w:val="24"/>
          <w:szCs w:val="24"/>
        </w:rPr>
        <w:t xml:space="preserve"> New York:</w:t>
      </w:r>
      <w:r w:rsidR="008E5873">
        <w:rPr>
          <w:rFonts w:ascii="Times New Roman" w:hAnsi="Times New Roman"/>
          <w:sz w:val="24"/>
          <w:szCs w:val="24"/>
        </w:rPr>
        <w:t xml:space="preserve"> </w:t>
      </w:r>
      <w:r w:rsidRPr="0019599F">
        <w:rPr>
          <w:rFonts w:ascii="Times New Roman" w:hAnsi="Times New Roman"/>
          <w:sz w:val="24"/>
          <w:szCs w:val="24"/>
          <w:lang w:val="pt-PT"/>
        </w:rPr>
        <w:t>Oxford University Press.</w:t>
      </w:r>
    </w:p>
    <w:p w14:paraId="2A9FCACA" w14:textId="32585444" w:rsidR="00330AFC" w:rsidRPr="0019599F" w:rsidRDefault="00536562" w:rsidP="008E5873">
      <w:pPr>
        <w:pStyle w:val="BodyA"/>
        <w:spacing w:line="240" w:lineRule="auto"/>
        <w:rPr>
          <w:rFonts w:ascii="Times New Roman" w:eastAsia="Times New Roman" w:hAnsi="Times New Roman" w:cs="Times New Roman"/>
          <w:sz w:val="24"/>
          <w:szCs w:val="24"/>
          <w:lang w:val="pt-PT"/>
        </w:rPr>
      </w:pPr>
      <w:r w:rsidRPr="0019599F">
        <w:rPr>
          <w:rFonts w:ascii="Times New Roman" w:hAnsi="Times New Roman"/>
          <w:color w:val="191919"/>
          <w:sz w:val="24"/>
          <w:szCs w:val="24"/>
          <w:u w:color="191919"/>
        </w:rPr>
        <w:t xml:space="preserve">Richards, Julian D. 2010. </w:t>
      </w:r>
      <w:r w:rsidRPr="0019599F">
        <w:rPr>
          <w:rFonts w:ascii="Times New Roman" w:hAnsi="Times New Roman"/>
          <w:i/>
          <w:iCs/>
          <w:color w:val="191919"/>
          <w:sz w:val="24"/>
          <w:szCs w:val="24"/>
          <w:u w:color="191919"/>
        </w:rPr>
        <w:t xml:space="preserve">Viking Age England. 2nd </w:t>
      </w:r>
      <w:r w:rsidRPr="0019599F">
        <w:rPr>
          <w:rFonts w:ascii="Times New Roman" w:hAnsi="Times New Roman"/>
          <w:color w:val="191919"/>
          <w:sz w:val="24"/>
          <w:szCs w:val="24"/>
          <w:u w:color="191919"/>
        </w:rPr>
        <w:t>edition. Stroud: The History</w:t>
      </w:r>
      <w:r w:rsidR="008E5873">
        <w:rPr>
          <w:rFonts w:ascii="Times New Roman" w:hAnsi="Times New Roman"/>
          <w:color w:val="191919"/>
          <w:sz w:val="24"/>
          <w:szCs w:val="24"/>
          <w:u w:color="191919"/>
        </w:rPr>
        <w:t xml:space="preserve"> </w:t>
      </w:r>
      <w:r w:rsidRPr="0019599F">
        <w:rPr>
          <w:rFonts w:ascii="Times New Roman" w:hAnsi="Times New Roman"/>
          <w:color w:val="191919"/>
          <w:sz w:val="24"/>
          <w:szCs w:val="24"/>
          <w:u w:color="191919"/>
          <w:lang w:val="pt-PT"/>
        </w:rPr>
        <w:t>Press.</w:t>
      </w:r>
    </w:p>
    <w:p w14:paraId="4F336D11" w14:textId="4CDE7E17"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lastRenderedPageBreak/>
        <w:t xml:space="preserve">Riisøy, Anne Irene. 2014. </w:t>
      </w:r>
      <w:r w:rsidR="00D03D40">
        <w:rPr>
          <w:rFonts w:ascii="Times New Roman" w:hAnsi="Times New Roman"/>
          <w:sz w:val="24"/>
          <w:szCs w:val="24"/>
        </w:rPr>
        <w:t>‘</w:t>
      </w:r>
      <w:r w:rsidRPr="0019599F">
        <w:rPr>
          <w:rFonts w:ascii="Times New Roman" w:hAnsi="Times New Roman"/>
          <w:sz w:val="24"/>
          <w:szCs w:val="24"/>
        </w:rPr>
        <w:t>Outlawry: From Western Norway to England</w:t>
      </w:r>
      <w:r w:rsidR="00D03D40">
        <w:rPr>
          <w:rFonts w:ascii="Times New Roman" w:hAnsi="Times New Roman"/>
          <w:sz w:val="24"/>
          <w:szCs w:val="24"/>
        </w:rPr>
        <w:t>’</w:t>
      </w:r>
      <w:r w:rsidRPr="0019599F">
        <w:rPr>
          <w:rFonts w:ascii="Times New Roman" w:hAnsi="Times New Roman"/>
          <w:sz w:val="24"/>
          <w:szCs w:val="24"/>
        </w:rPr>
        <w:t>,</w:t>
      </w:r>
      <w:r w:rsidRPr="0019599F">
        <w:rPr>
          <w:rFonts w:ascii="Times New Roman" w:hAnsi="Times New Roman"/>
          <w:sz w:val="24"/>
          <w:szCs w:val="24"/>
          <w:lang w:val="de-DE"/>
        </w:rPr>
        <w:t xml:space="preserve"> in </w:t>
      </w:r>
      <w:r w:rsidRPr="0019599F">
        <w:rPr>
          <w:rFonts w:ascii="Times New Roman" w:hAnsi="Times New Roman"/>
          <w:i/>
          <w:iCs/>
          <w:sz w:val="24"/>
          <w:szCs w:val="24"/>
        </w:rPr>
        <w:t xml:space="preserve">New Approaches to Early Scandinavian Law, </w:t>
      </w:r>
      <w:r w:rsidRPr="0019599F">
        <w:rPr>
          <w:rFonts w:ascii="Times New Roman" w:hAnsi="Times New Roman"/>
          <w:sz w:val="24"/>
          <w:szCs w:val="24"/>
        </w:rPr>
        <w:t xml:space="preserve">ed. </w:t>
      </w:r>
      <w:r w:rsidRPr="0019599F">
        <w:rPr>
          <w:rFonts w:ascii="Times New Roman" w:hAnsi="Times New Roman"/>
          <w:sz w:val="24"/>
          <w:szCs w:val="24"/>
          <w:lang w:val="de-DE"/>
        </w:rPr>
        <w:t xml:space="preserve">Stefan Brink </w:t>
      </w:r>
      <w:r w:rsidRPr="0019599F">
        <w:rPr>
          <w:rFonts w:ascii="Times New Roman" w:hAnsi="Times New Roman"/>
          <w:sz w:val="24"/>
          <w:szCs w:val="24"/>
        </w:rPr>
        <w:t>&amp; Lisa Collinson, Acta Scandinavica 3, Turnhout: Brepols Publishers, 101-129.</w:t>
      </w:r>
    </w:p>
    <w:p w14:paraId="02EBFC2C" w14:textId="19C1CC49"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Riisøy, Anne Irene, 2015. </w:t>
      </w:r>
      <w:r w:rsidR="00D03D40">
        <w:rPr>
          <w:rFonts w:ascii="Times New Roman" w:hAnsi="Times New Roman"/>
          <w:sz w:val="24"/>
          <w:szCs w:val="24"/>
        </w:rPr>
        <w:t>‘</w:t>
      </w:r>
      <w:r w:rsidRPr="0019599F">
        <w:rPr>
          <w:rFonts w:ascii="Times New Roman" w:hAnsi="Times New Roman"/>
          <w:sz w:val="24"/>
          <w:szCs w:val="24"/>
        </w:rPr>
        <w:t>Deviant Burials: Societal Exclusions of Dead Outlaws in Medieval Norway</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COLLeGIUM</w:t>
      </w:r>
      <w:r w:rsidRPr="0019599F">
        <w:rPr>
          <w:rFonts w:ascii="Times New Roman" w:hAnsi="Times New Roman"/>
          <w:sz w:val="24"/>
          <w:szCs w:val="24"/>
        </w:rPr>
        <w:t xml:space="preserve"> 18, 49-81.</w:t>
      </w:r>
    </w:p>
    <w:p w14:paraId="3235D30A" w14:textId="0742DA8E"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de-DE"/>
        </w:rPr>
        <w:t xml:space="preserve">Roesdahl, Else. 2011. </w:t>
      </w:r>
      <w:r w:rsidR="00D03D40">
        <w:rPr>
          <w:rFonts w:ascii="Times New Roman" w:hAnsi="Times New Roman"/>
          <w:sz w:val="24"/>
          <w:szCs w:val="24"/>
        </w:rPr>
        <w:t>‘</w:t>
      </w:r>
      <w:r w:rsidRPr="0019599F">
        <w:rPr>
          <w:rFonts w:ascii="Times New Roman" w:hAnsi="Times New Roman"/>
          <w:sz w:val="24"/>
          <w:szCs w:val="24"/>
        </w:rPr>
        <w:t>Scandinavia in the Melting-Pot, 950-1000</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Viking Settlements and Viking Society: Papers From the Proceedings of the Sixteenth Viking Congress, </w:t>
      </w:r>
      <w:r w:rsidRPr="0019599F">
        <w:rPr>
          <w:rFonts w:ascii="Times New Roman" w:hAnsi="Times New Roman"/>
          <w:sz w:val="24"/>
          <w:szCs w:val="24"/>
        </w:rPr>
        <w:t>ed. Svavar Sigmundsson, Reykjavík: Hið í</w:t>
      </w:r>
      <w:r w:rsidRPr="0019599F">
        <w:rPr>
          <w:rFonts w:ascii="Times New Roman" w:hAnsi="Times New Roman"/>
          <w:sz w:val="24"/>
          <w:szCs w:val="24"/>
          <w:lang w:val="de-DE"/>
        </w:rPr>
        <w:t>slenzka f</w:t>
      </w:r>
      <w:r w:rsidRPr="0019599F">
        <w:rPr>
          <w:rFonts w:ascii="Times New Roman" w:hAnsi="Times New Roman"/>
          <w:sz w:val="24"/>
          <w:szCs w:val="24"/>
        </w:rPr>
        <w:t>ornleifafélag and University of Iceland Press, 347-374.</w:t>
      </w:r>
    </w:p>
    <w:p w14:paraId="55EE032C" w14:textId="7C5300B3"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nl-NL"/>
        </w:rPr>
        <w:t xml:space="preserve">Ruiter, Keith. 2014. </w:t>
      </w:r>
      <w:r w:rsidR="00D03D40">
        <w:rPr>
          <w:rFonts w:ascii="Times New Roman" w:hAnsi="Times New Roman"/>
          <w:sz w:val="24"/>
          <w:szCs w:val="24"/>
        </w:rPr>
        <w:t>‘</w:t>
      </w:r>
      <w:r w:rsidRPr="0019599F">
        <w:rPr>
          <w:rFonts w:ascii="Times New Roman" w:hAnsi="Times New Roman"/>
          <w:sz w:val="24"/>
          <w:szCs w:val="24"/>
        </w:rPr>
        <w:t>Visibility, Authority, and Execution in Heimskringla</w:t>
      </w:r>
      <w:r w:rsidR="00D03D40">
        <w:rPr>
          <w:rFonts w:ascii="Times New Roman" w:hAnsi="Times New Roman"/>
          <w:sz w:val="24"/>
          <w:szCs w:val="24"/>
        </w:rPr>
        <w:t>’</w:t>
      </w:r>
      <w:r w:rsidRPr="0019599F">
        <w:rPr>
          <w:rFonts w:ascii="Times New Roman" w:hAnsi="Times New Roman"/>
          <w:sz w:val="24"/>
          <w:szCs w:val="24"/>
        </w:rPr>
        <w:t>,</w:t>
      </w:r>
      <w:r w:rsidRPr="0019599F">
        <w:rPr>
          <w:rFonts w:ascii="Times New Roman" w:hAnsi="Times New Roman"/>
          <w:sz w:val="24"/>
          <w:szCs w:val="24"/>
          <w:lang w:val="de-DE"/>
        </w:rPr>
        <w:t xml:space="preserve"> in </w:t>
      </w:r>
      <w:r w:rsidRPr="0019599F">
        <w:rPr>
          <w:rFonts w:ascii="Times New Roman" w:hAnsi="Times New Roman"/>
          <w:i/>
          <w:iCs/>
          <w:sz w:val="24"/>
          <w:szCs w:val="24"/>
        </w:rPr>
        <w:t xml:space="preserve">Illuminating the North: Proceedings from the Nordic Research Network conference 2013, </w:t>
      </w:r>
      <w:r w:rsidRPr="0019599F">
        <w:rPr>
          <w:rFonts w:ascii="Times New Roman" w:hAnsi="Times New Roman"/>
          <w:sz w:val="24"/>
          <w:szCs w:val="24"/>
        </w:rPr>
        <w:t xml:space="preserve">ed. </w:t>
      </w:r>
      <w:r w:rsidRPr="0019599F">
        <w:rPr>
          <w:rFonts w:ascii="Times New Roman" w:hAnsi="Times New Roman"/>
          <w:sz w:val="24"/>
          <w:szCs w:val="24"/>
          <w:lang w:val="de-DE"/>
        </w:rPr>
        <w:t xml:space="preserve">Agnes </w:t>
      </w:r>
      <w:r w:rsidRPr="0019599F">
        <w:rPr>
          <w:rFonts w:ascii="Times New Roman" w:hAnsi="Times New Roman"/>
          <w:sz w:val="24"/>
          <w:szCs w:val="24"/>
        </w:rPr>
        <w:t>Broomé et al., London: Norvik Press, 119-32.</w:t>
      </w:r>
    </w:p>
    <w:p w14:paraId="26FC85FA" w14:textId="187E32C3" w:rsidR="00330AFC" w:rsidRPr="0019599F" w:rsidRDefault="00536562" w:rsidP="0019599F">
      <w:pPr>
        <w:pStyle w:val="BodyA"/>
        <w:spacing w:line="240" w:lineRule="auto"/>
        <w:rPr>
          <w:rFonts w:ascii="Times New Roman" w:eastAsia="Times New Roman" w:hAnsi="Times New Roman" w:cs="Times New Roman"/>
          <w:color w:val="161616"/>
          <w:sz w:val="24"/>
          <w:szCs w:val="24"/>
          <w:u w:color="161616"/>
        </w:rPr>
      </w:pPr>
      <w:r w:rsidRPr="0019599F">
        <w:rPr>
          <w:rFonts w:ascii="Times New Roman" w:hAnsi="Times New Roman"/>
          <w:color w:val="161616"/>
          <w:sz w:val="24"/>
          <w:szCs w:val="24"/>
          <w:u w:color="161616"/>
        </w:rPr>
        <w:t xml:space="preserve">Sanmark, Alexandra &amp; Semple, Sarah J. 2008. </w:t>
      </w:r>
      <w:r w:rsidR="00D03D40">
        <w:rPr>
          <w:rFonts w:ascii="Times New Roman" w:hAnsi="Times New Roman"/>
          <w:color w:val="161616"/>
          <w:sz w:val="24"/>
          <w:szCs w:val="24"/>
          <w:u w:color="161616"/>
        </w:rPr>
        <w:t>‘</w:t>
      </w:r>
      <w:r w:rsidRPr="0019599F">
        <w:rPr>
          <w:rFonts w:ascii="Times New Roman" w:hAnsi="Times New Roman"/>
          <w:color w:val="161616"/>
          <w:sz w:val="24"/>
          <w:szCs w:val="24"/>
          <w:u w:color="161616"/>
        </w:rPr>
        <w:t>Places of Assembly: New Discoveries in Sweden and England</w:t>
      </w:r>
      <w:r w:rsidR="00D03D40">
        <w:rPr>
          <w:rFonts w:ascii="Times New Roman" w:hAnsi="Times New Roman"/>
          <w:color w:val="161616"/>
          <w:sz w:val="24"/>
          <w:szCs w:val="24"/>
          <w:u w:color="161616"/>
        </w:rPr>
        <w:t>’</w:t>
      </w:r>
      <w:r w:rsidRPr="0019599F">
        <w:rPr>
          <w:rFonts w:ascii="Times New Roman" w:hAnsi="Times New Roman"/>
          <w:color w:val="161616"/>
          <w:sz w:val="24"/>
          <w:szCs w:val="24"/>
          <w:u w:color="161616"/>
        </w:rPr>
        <w:t xml:space="preserve">, in </w:t>
      </w:r>
      <w:r w:rsidRPr="0019599F">
        <w:rPr>
          <w:rFonts w:ascii="Times New Roman" w:hAnsi="Times New Roman"/>
          <w:i/>
          <w:iCs/>
          <w:color w:val="161616"/>
          <w:sz w:val="24"/>
          <w:szCs w:val="24"/>
          <w:u w:color="161616"/>
        </w:rPr>
        <w:t>Fornvännen</w:t>
      </w:r>
      <w:r w:rsidRPr="0019599F">
        <w:rPr>
          <w:rFonts w:ascii="Times New Roman" w:hAnsi="Times New Roman"/>
          <w:color w:val="161616"/>
          <w:sz w:val="24"/>
          <w:szCs w:val="24"/>
          <w:u w:color="161616"/>
        </w:rPr>
        <w:t xml:space="preserve"> 103, 245-259.</w:t>
      </w:r>
    </w:p>
    <w:p w14:paraId="391909B3" w14:textId="433CA40B" w:rsidR="00330AFC" w:rsidRPr="0019599F" w:rsidRDefault="00536562" w:rsidP="008E5873">
      <w:pPr>
        <w:pStyle w:val="BodyA"/>
        <w:spacing w:line="240" w:lineRule="auto"/>
        <w:rPr>
          <w:rFonts w:ascii="Times New Roman" w:eastAsia="Times New Roman" w:hAnsi="Times New Roman" w:cs="Times New Roman"/>
          <w:color w:val="161616"/>
          <w:sz w:val="24"/>
          <w:szCs w:val="24"/>
          <w:u w:color="161616"/>
        </w:rPr>
      </w:pPr>
      <w:r w:rsidRPr="0019599F">
        <w:rPr>
          <w:rFonts w:ascii="Times New Roman" w:hAnsi="Times New Roman"/>
          <w:color w:val="161616"/>
          <w:sz w:val="24"/>
          <w:szCs w:val="24"/>
          <w:u w:color="161616"/>
          <w:lang w:val="da-DK"/>
        </w:rPr>
        <w:t xml:space="preserve">Sanmark, Alexandra. 2009. </w:t>
      </w:r>
      <w:r w:rsidR="00D03D40">
        <w:rPr>
          <w:rFonts w:ascii="Times New Roman" w:hAnsi="Times New Roman"/>
          <w:color w:val="161616"/>
          <w:sz w:val="24"/>
          <w:szCs w:val="24"/>
          <w:u w:color="161616"/>
        </w:rPr>
        <w:t>‘</w:t>
      </w:r>
      <w:r w:rsidRPr="0019599F">
        <w:rPr>
          <w:rFonts w:ascii="Times New Roman" w:hAnsi="Times New Roman"/>
          <w:color w:val="161616"/>
          <w:sz w:val="24"/>
          <w:szCs w:val="24"/>
          <w:u w:color="161616"/>
        </w:rPr>
        <w:t>Administrative Organisation and State Formation: A Case Study of Assembly Sites in Södermanland, Sweden</w:t>
      </w:r>
      <w:r w:rsidR="00D03D40">
        <w:rPr>
          <w:rFonts w:ascii="Times New Roman" w:hAnsi="Times New Roman"/>
          <w:color w:val="161616"/>
          <w:sz w:val="24"/>
          <w:szCs w:val="24"/>
          <w:u w:color="161616"/>
        </w:rPr>
        <w:t>’</w:t>
      </w:r>
      <w:r w:rsidRPr="0019599F">
        <w:rPr>
          <w:rFonts w:ascii="Times New Roman" w:hAnsi="Times New Roman"/>
          <w:color w:val="161616"/>
          <w:sz w:val="24"/>
          <w:szCs w:val="24"/>
          <w:u w:color="161616"/>
        </w:rPr>
        <w:t xml:space="preserve">, </w:t>
      </w:r>
      <w:r w:rsidRPr="0019599F">
        <w:rPr>
          <w:rFonts w:ascii="Times New Roman" w:hAnsi="Times New Roman"/>
          <w:i/>
          <w:iCs/>
          <w:color w:val="161616"/>
          <w:sz w:val="24"/>
          <w:szCs w:val="24"/>
          <w:u w:color="161616"/>
        </w:rPr>
        <w:t>Medieval</w:t>
      </w:r>
      <w:r w:rsidR="008E5873">
        <w:rPr>
          <w:rFonts w:ascii="Times New Roman" w:hAnsi="Times New Roman"/>
          <w:i/>
          <w:iCs/>
          <w:color w:val="161616"/>
          <w:sz w:val="24"/>
          <w:szCs w:val="24"/>
          <w:u w:color="161616"/>
        </w:rPr>
        <w:t xml:space="preserve"> </w:t>
      </w:r>
      <w:r w:rsidRPr="0019599F">
        <w:rPr>
          <w:rFonts w:ascii="Times New Roman" w:hAnsi="Times New Roman"/>
          <w:i/>
          <w:iCs/>
          <w:color w:val="161616"/>
          <w:sz w:val="24"/>
          <w:szCs w:val="24"/>
          <w:u w:color="161616"/>
        </w:rPr>
        <w:t xml:space="preserve">Archaeology </w:t>
      </w:r>
      <w:r w:rsidRPr="0019599F">
        <w:rPr>
          <w:rFonts w:ascii="Times New Roman" w:hAnsi="Times New Roman"/>
          <w:color w:val="161616"/>
          <w:sz w:val="24"/>
          <w:szCs w:val="24"/>
          <w:u w:color="161616"/>
        </w:rPr>
        <w:t>53, 205-241.</w:t>
      </w:r>
    </w:p>
    <w:p w14:paraId="1095D805" w14:textId="68527F01" w:rsidR="00330AFC" w:rsidRPr="0019599F" w:rsidRDefault="00536562" w:rsidP="0019599F">
      <w:pPr>
        <w:pStyle w:val="BodyA"/>
        <w:spacing w:line="240" w:lineRule="auto"/>
        <w:rPr>
          <w:rFonts w:ascii="Times New Roman" w:eastAsia="Times New Roman" w:hAnsi="Times New Roman" w:cs="Times New Roman"/>
          <w:color w:val="161616"/>
          <w:sz w:val="24"/>
          <w:szCs w:val="24"/>
          <w:u w:color="161616"/>
        </w:rPr>
      </w:pPr>
      <w:r w:rsidRPr="0019599F">
        <w:rPr>
          <w:rFonts w:ascii="Times New Roman" w:hAnsi="Times New Roman"/>
          <w:color w:val="161616"/>
          <w:sz w:val="24"/>
          <w:szCs w:val="24"/>
          <w:u w:color="161616"/>
        </w:rPr>
        <w:t xml:space="preserve">Sayer, Duncan 2013. </w:t>
      </w:r>
      <w:r w:rsidR="00D03D40">
        <w:rPr>
          <w:rFonts w:ascii="Times New Roman" w:hAnsi="Times New Roman"/>
          <w:color w:val="161616"/>
          <w:sz w:val="24"/>
          <w:szCs w:val="24"/>
          <w:u w:color="161616"/>
        </w:rPr>
        <w:t>‘</w:t>
      </w:r>
      <w:r w:rsidRPr="0019599F">
        <w:rPr>
          <w:rFonts w:ascii="Times New Roman" w:hAnsi="Times New Roman"/>
          <w:color w:val="161616"/>
          <w:sz w:val="24"/>
          <w:szCs w:val="24"/>
          <w:u w:color="161616"/>
        </w:rPr>
        <w:t>Christian Burial Practice in the Early Middle Ages: Rethinking the Anglo-Saxon Funerary Sphere</w:t>
      </w:r>
      <w:r w:rsidR="00D03D40">
        <w:rPr>
          <w:rFonts w:ascii="Times New Roman" w:hAnsi="Times New Roman"/>
          <w:color w:val="161616"/>
          <w:sz w:val="24"/>
          <w:szCs w:val="24"/>
          <w:u w:color="161616"/>
        </w:rPr>
        <w:t>’</w:t>
      </w:r>
      <w:r w:rsidRPr="0019599F">
        <w:rPr>
          <w:rFonts w:ascii="Times New Roman" w:hAnsi="Times New Roman"/>
          <w:color w:val="161616"/>
          <w:sz w:val="24"/>
          <w:szCs w:val="24"/>
          <w:u w:color="161616"/>
        </w:rPr>
        <w:t xml:space="preserve">, </w:t>
      </w:r>
      <w:r w:rsidRPr="0019599F">
        <w:rPr>
          <w:rFonts w:ascii="Times New Roman" w:hAnsi="Times New Roman"/>
          <w:i/>
          <w:iCs/>
          <w:color w:val="161616"/>
          <w:sz w:val="24"/>
          <w:szCs w:val="24"/>
          <w:u w:color="161616"/>
        </w:rPr>
        <w:t xml:space="preserve">History Compass </w:t>
      </w:r>
      <w:r w:rsidRPr="0019599F">
        <w:rPr>
          <w:rFonts w:ascii="Times New Roman" w:hAnsi="Times New Roman"/>
          <w:color w:val="161616"/>
          <w:sz w:val="24"/>
          <w:szCs w:val="24"/>
          <w:u w:color="161616"/>
        </w:rPr>
        <w:t>1, 133-46.</w:t>
      </w:r>
    </w:p>
    <w:p w14:paraId="5F8CEFF0" w14:textId="3D94DC92"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Stocker, David. 2000. </w:t>
      </w:r>
      <w:r w:rsidR="00D03D40">
        <w:rPr>
          <w:rFonts w:ascii="Times New Roman" w:hAnsi="Times New Roman"/>
          <w:sz w:val="24"/>
          <w:szCs w:val="24"/>
        </w:rPr>
        <w:t>‘</w:t>
      </w:r>
      <w:r w:rsidRPr="0019599F">
        <w:rPr>
          <w:rFonts w:ascii="Times New Roman" w:hAnsi="Times New Roman"/>
          <w:sz w:val="24"/>
          <w:szCs w:val="24"/>
        </w:rPr>
        <w:t>Monuments and merchants: Irregularities in the distribution of stone sculpture in Lincolnshire and Yorkshire in the tenth century</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Cultures in Contact: Scandinavian Settlement in England in the Ninth and Tenth Centuries, </w:t>
      </w:r>
      <w:r w:rsidRPr="0019599F">
        <w:rPr>
          <w:rFonts w:ascii="Times New Roman" w:hAnsi="Times New Roman"/>
          <w:sz w:val="24"/>
          <w:szCs w:val="24"/>
        </w:rPr>
        <w:t>ed. Dawn M. Hadley &amp; Julian D. Richards, Studies in the Early Middle Ages 2, Turnhout: Brepols Publishers,179-212.</w:t>
      </w:r>
    </w:p>
    <w:p w14:paraId="3CDDA5E6" w14:textId="7A4FE2A6" w:rsidR="00330AFC" w:rsidRPr="0019599F" w:rsidRDefault="00536562" w:rsidP="0019599F">
      <w:pPr>
        <w:pStyle w:val="BodyA"/>
        <w:spacing w:line="240" w:lineRule="auto"/>
        <w:rPr>
          <w:rFonts w:ascii="Times New Roman" w:eastAsia="Times New Roman" w:hAnsi="Times New Roman" w:cs="Times New Roman"/>
          <w:sz w:val="24"/>
          <w:szCs w:val="24"/>
          <w:lang w:val="sv-SE"/>
        </w:rPr>
      </w:pPr>
      <w:r w:rsidRPr="0019599F">
        <w:rPr>
          <w:rFonts w:ascii="Times New Roman" w:hAnsi="Times New Roman"/>
          <w:sz w:val="24"/>
          <w:szCs w:val="24"/>
        </w:rPr>
        <w:t xml:space="preserve">Ström, Folke. 1942. </w:t>
      </w:r>
      <w:r w:rsidRPr="0019599F">
        <w:rPr>
          <w:rFonts w:ascii="Times New Roman" w:hAnsi="Times New Roman"/>
          <w:i/>
          <w:iCs/>
          <w:sz w:val="24"/>
          <w:szCs w:val="24"/>
        </w:rPr>
        <w:t xml:space="preserve">On the Sacral Origin of the Germanic Death Penalties. </w:t>
      </w:r>
      <w:r w:rsidRPr="0019599F">
        <w:rPr>
          <w:rFonts w:ascii="Times New Roman" w:hAnsi="Times New Roman"/>
          <w:sz w:val="24"/>
          <w:szCs w:val="24"/>
          <w:lang w:val="sv-SE"/>
        </w:rPr>
        <w:t>Lund: Håkan Ohlssons Boktryckeri.</w:t>
      </w:r>
    </w:p>
    <w:p w14:paraId="0B0CD8A4" w14:textId="6ED8DEC8"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sv-SE"/>
        </w:rPr>
        <w:t xml:space="preserve">Ström, Folke. 1974.  </w:t>
      </w:r>
      <w:r w:rsidRPr="0019599F">
        <w:rPr>
          <w:rFonts w:ascii="Times New Roman" w:hAnsi="Times New Roman"/>
          <w:i/>
          <w:iCs/>
          <w:sz w:val="24"/>
          <w:szCs w:val="24"/>
          <w:lang w:val="sv-SE"/>
        </w:rPr>
        <w:t>Nið, ergi and Old Norse Moral Attitudes.</w:t>
      </w:r>
      <w:r w:rsidRPr="0019599F">
        <w:rPr>
          <w:rFonts w:ascii="Times New Roman" w:hAnsi="Times New Roman"/>
          <w:sz w:val="24"/>
          <w:szCs w:val="24"/>
          <w:lang w:val="sv-SE"/>
        </w:rPr>
        <w:t xml:space="preserve"> </w:t>
      </w:r>
      <w:r w:rsidRPr="0019599F">
        <w:rPr>
          <w:rFonts w:ascii="Times New Roman" w:hAnsi="Times New Roman"/>
          <w:sz w:val="24"/>
          <w:szCs w:val="24"/>
          <w:lang w:val="de-DE"/>
        </w:rPr>
        <w:t>London: Viking</w:t>
      </w:r>
      <w:r w:rsidR="008E5873">
        <w:rPr>
          <w:rFonts w:ascii="Times New Roman" w:hAnsi="Times New Roman"/>
          <w:sz w:val="24"/>
          <w:szCs w:val="24"/>
          <w:lang w:val="de-DE"/>
        </w:rPr>
        <w:t xml:space="preserve"> </w:t>
      </w:r>
      <w:r w:rsidRPr="0019599F">
        <w:rPr>
          <w:rFonts w:ascii="Times New Roman" w:hAnsi="Times New Roman"/>
          <w:sz w:val="24"/>
          <w:szCs w:val="24"/>
        </w:rPr>
        <w:t>Society for Northern Research.</w:t>
      </w:r>
    </w:p>
    <w:p w14:paraId="06DFBCCF" w14:textId="721A0003"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Svanberg, Fredrik. 2003. </w:t>
      </w:r>
      <w:r w:rsidRPr="0019599F">
        <w:rPr>
          <w:rFonts w:ascii="Times New Roman" w:hAnsi="Times New Roman"/>
          <w:i/>
          <w:iCs/>
          <w:sz w:val="24"/>
          <w:szCs w:val="24"/>
        </w:rPr>
        <w:t xml:space="preserve">Death Rituals in South-East Scandinavia AD 800-1000, </w:t>
      </w:r>
      <w:r w:rsidRPr="0019599F">
        <w:rPr>
          <w:rFonts w:ascii="Times New Roman" w:hAnsi="Times New Roman"/>
          <w:sz w:val="24"/>
          <w:szCs w:val="24"/>
        </w:rPr>
        <w:t>Decolonizing the Viking Age 2,</w:t>
      </w:r>
      <w:r w:rsidRPr="0019599F">
        <w:rPr>
          <w:rFonts w:ascii="Times New Roman" w:hAnsi="Times New Roman"/>
          <w:i/>
          <w:iCs/>
          <w:sz w:val="24"/>
          <w:szCs w:val="24"/>
        </w:rPr>
        <w:t xml:space="preserve"> </w:t>
      </w:r>
      <w:r w:rsidRPr="0019599F">
        <w:rPr>
          <w:rFonts w:ascii="Times New Roman" w:hAnsi="Times New Roman"/>
          <w:sz w:val="24"/>
          <w:szCs w:val="24"/>
        </w:rPr>
        <w:t>Stockholm: Almqvist &amp; Wiksell International.</w:t>
      </w:r>
    </w:p>
    <w:p w14:paraId="50C07C25" w14:textId="3A28743A"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Thomas, Gabor. (2000). </w:t>
      </w:r>
      <w:r w:rsidR="00D03D40">
        <w:rPr>
          <w:rFonts w:ascii="Times New Roman" w:hAnsi="Times New Roman"/>
          <w:sz w:val="24"/>
          <w:szCs w:val="24"/>
        </w:rPr>
        <w:t>‘</w:t>
      </w:r>
      <w:r w:rsidRPr="0019599F">
        <w:rPr>
          <w:rFonts w:ascii="Times New Roman" w:hAnsi="Times New Roman"/>
          <w:sz w:val="24"/>
          <w:szCs w:val="24"/>
        </w:rPr>
        <w:t>Anglo-Scandinavian metalwork from the Danelaw:</w:t>
      </w:r>
      <w:r w:rsidR="008E5873">
        <w:rPr>
          <w:rFonts w:ascii="Times New Roman" w:hAnsi="Times New Roman"/>
          <w:sz w:val="24"/>
          <w:szCs w:val="24"/>
        </w:rPr>
        <w:t xml:space="preserve"> </w:t>
      </w:r>
      <w:r w:rsidRPr="0019599F">
        <w:rPr>
          <w:rFonts w:ascii="Times New Roman" w:hAnsi="Times New Roman"/>
          <w:sz w:val="24"/>
          <w:szCs w:val="24"/>
        </w:rPr>
        <w:t>Exploring social and cultural interaction</w:t>
      </w:r>
      <w:r w:rsidR="00D03D40">
        <w:rPr>
          <w:rFonts w:ascii="Times New Roman" w:hAnsi="Times New Roman"/>
          <w:sz w:val="24"/>
          <w:szCs w:val="24"/>
        </w:rPr>
        <w:t>’</w:t>
      </w:r>
      <w:r w:rsidRPr="0019599F">
        <w:rPr>
          <w:rFonts w:ascii="Times New Roman" w:hAnsi="Times New Roman"/>
          <w:sz w:val="24"/>
          <w:szCs w:val="24"/>
        </w:rPr>
        <w:t xml:space="preserve">, in </w:t>
      </w:r>
      <w:r w:rsidRPr="0019599F">
        <w:rPr>
          <w:rFonts w:ascii="Times New Roman" w:hAnsi="Times New Roman"/>
          <w:i/>
          <w:iCs/>
          <w:sz w:val="24"/>
          <w:szCs w:val="24"/>
        </w:rPr>
        <w:t xml:space="preserve">Cultures in Contact: Scandinavian Settlement in England in the Ninth and Tenth Centuries, </w:t>
      </w:r>
      <w:r w:rsidRPr="0019599F">
        <w:rPr>
          <w:rFonts w:ascii="Times New Roman" w:hAnsi="Times New Roman"/>
          <w:sz w:val="24"/>
          <w:szCs w:val="24"/>
        </w:rPr>
        <w:t>ed. Dawn M. Hadley &amp; Julian D. Richards, Studies in the Early Middle Ages 2, Turnhout: Brepols Publishers, 237-255.</w:t>
      </w:r>
    </w:p>
    <w:p w14:paraId="34C4AE0F" w14:textId="1D7E123B"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Thompson, Victoria. 2004. </w:t>
      </w:r>
      <w:r w:rsidRPr="0019599F">
        <w:rPr>
          <w:rFonts w:ascii="Times New Roman" w:hAnsi="Times New Roman"/>
          <w:i/>
          <w:iCs/>
          <w:sz w:val="24"/>
          <w:szCs w:val="24"/>
        </w:rPr>
        <w:t>Dying and Death in Later Anglo-Saxon England,</w:t>
      </w:r>
      <w:r w:rsidR="008E5873">
        <w:rPr>
          <w:rFonts w:ascii="Times New Roman" w:hAnsi="Times New Roman"/>
          <w:i/>
          <w:iCs/>
          <w:sz w:val="24"/>
          <w:szCs w:val="24"/>
        </w:rPr>
        <w:t xml:space="preserve"> </w:t>
      </w:r>
      <w:r w:rsidRPr="0019599F">
        <w:rPr>
          <w:rFonts w:ascii="Times New Roman" w:hAnsi="Times New Roman"/>
          <w:sz w:val="24"/>
          <w:szCs w:val="24"/>
        </w:rPr>
        <w:t>Woodbridge: The Boydell Press.</w:t>
      </w:r>
    </w:p>
    <w:p w14:paraId="20BF8BFB" w14:textId="1920DA5E" w:rsidR="00330AFC" w:rsidRPr="0019599F" w:rsidRDefault="00536562" w:rsidP="008E5873">
      <w:pPr>
        <w:pStyle w:val="BodyA"/>
        <w:spacing w:line="240" w:lineRule="auto"/>
        <w:rPr>
          <w:rFonts w:ascii="Times New Roman" w:eastAsia="Times New Roman" w:hAnsi="Times New Roman" w:cs="Times New Roman"/>
          <w:color w:val="161616"/>
          <w:sz w:val="24"/>
          <w:szCs w:val="24"/>
          <w:u w:color="161616"/>
        </w:rPr>
      </w:pPr>
      <w:r w:rsidRPr="0019599F">
        <w:rPr>
          <w:rFonts w:ascii="Times New Roman" w:hAnsi="Times New Roman"/>
          <w:color w:val="161616"/>
          <w:sz w:val="24"/>
          <w:szCs w:val="24"/>
          <w:u w:color="161616"/>
        </w:rPr>
        <w:t xml:space="preserve">Thurston, Tina. L. 2002. </w:t>
      </w:r>
      <w:r w:rsidRPr="0019599F">
        <w:rPr>
          <w:rFonts w:ascii="Times New Roman" w:hAnsi="Times New Roman"/>
          <w:i/>
          <w:iCs/>
          <w:color w:val="161616"/>
          <w:sz w:val="24"/>
          <w:szCs w:val="24"/>
          <w:u w:color="161616"/>
        </w:rPr>
        <w:t>Landscapes of Power, Landscapes of Conflict: State</w:t>
      </w:r>
      <w:r w:rsidR="008E5873">
        <w:rPr>
          <w:rFonts w:ascii="Times New Roman" w:hAnsi="Times New Roman"/>
          <w:i/>
          <w:iCs/>
          <w:color w:val="161616"/>
          <w:sz w:val="24"/>
          <w:szCs w:val="24"/>
          <w:u w:color="161616"/>
        </w:rPr>
        <w:t xml:space="preserve"> </w:t>
      </w:r>
      <w:r w:rsidRPr="0019599F">
        <w:rPr>
          <w:rFonts w:ascii="Times New Roman" w:hAnsi="Times New Roman"/>
          <w:i/>
          <w:iCs/>
          <w:color w:val="161616"/>
          <w:sz w:val="24"/>
          <w:szCs w:val="24"/>
          <w:u w:color="161616"/>
        </w:rPr>
        <w:t>Formation in the South Scandinavian Iron Age,</w:t>
      </w:r>
      <w:r w:rsidRPr="0019599F">
        <w:rPr>
          <w:rFonts w:ascii="Times New Roman" w:hAnsi="Times New Roman"/>
          <w:color w:val="161616"/>
          <w:sz w:val="24"/>
          <w:szCs w:val="24"/>
          <w:u w:color="161616"/>
          <w:lang w:val="de-DE"/>
        </w:rPr>
        <w:t xml:space="preserve"> Dordrecht: Springer.</w:t>
      </w:r>
    </w:p>
    <w:p w14:paraId="4CF3AE2A" w14:textId="6C6421C9"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Thäte, Eva. S. 2007. </w:t>
      </w:r>
      <w:r w:rsidRPr="0019599F">
        <w:rPr>
          <w:rFonts w:ascii="Times New Roman" w:hAnsi="Times New Roman"/>
          <w:i/>
          <w:iCs/>
          <w:sz w:val="24"/>
          <w:szCs w:val="24"/>
        </w:rPr>
        <w:t>Monuments and minds: Monument re-use in Scandinavia in</w:t>
      </w:r>
      <w:r w:rsidR="008E5873">
        <w:rPr>
          <w:rFonts w:ascii="Times New Roman" w:hAnsi="Times New Roman"/>
          <w:i/>
          <w:iCs/>
          <w:sz w:val="24"/>
          <w:szCs w:val="24"/>
        </w:rPr>
        <w:t xml:space="preserve"> </w:t>
      </w:r>
      <w:r w:rsidRPr="0019599F">
        <w:rPr>
          <w:rFonts w:ascii="Times New Roman" w:hAnsi="Times New Roman"/>
          <w:i/>
          <w:iCs/>
          <w:sz w:val="24"/>
          <w:szCs w:val="24"/>
        </w:rPr>
        <w:t xml:space="preserve">the second half of the first millennium AD, </w:t>
      </w:r>
      <w:r w:rsidRPr="0019599F">
        <w:rPr>
          <w:rFonts w:ascii="Times New Roman" w:hAnsi="Times New Roman"/>
          <w:sz w:val="24"/>
          <w:szCs w:val="24"/>
        </w:rPr>
        <w:t>Acta Archaeologica Lundensia Series in quarto 27 Lund: Wallin &amp; Dalholm.</w:t>
      </w:r>
    </w:p>
    <w:p w14:paraId="3B6D624A" w14:textId="466CEC55" w:rsidR="00330AFC" w:rsidRPr="0019599F" w:rsidRDefault="00536562" w:rsidP="0019599F">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Townend, Matthew. 2001. </w:t>
      </w:r>
      <w:r w:rsidR="00D03D40">
        <w:rPr>
          <w:rFonts w:ascii="Times New Roman" w:hAnsi="Times New Roman"/>
          <w:sz w:val="24"/>
          <w:szCs w:val="24"/>
        </w:rPr>
        <w:t>‘</w:t>
      </w:r>
      <w:r w:rsidRPr="0019599F">
        <w:rPr>
          <w:rFonts w:ascii="Times New Roman" w:hAnsi="Times New Roman"/>
          <w:sz w:val="24"/>
          <w:szCs w:val="24"/>
        </w:rPr>
        <w:t>Contextualizing the Knú</w:t>
      </w:r>
      <w:r w:rsidRPr="0019599F">
        <w:rPr>
          <w:rFonts w:ascii="Times New Roman" w:hAnsi="Times New Roman"/>
          <w:sz w:val="24"/>
          <w:szCs w:val="24"/>
          <w:lang w:val="de-DE"/>
        </w:rPr>
        <w:t>tsdr</w:t>
      </w:r>
      <w:r w:rsidRPr="0019599F">
        <w:rPr>
          <w:rFonts w:ascii="Times New Roman" w:hAnsi="Times New Roman"/>
          <w:sz w:val="24"/>
          <w:szCs w:val="24"/>
        </w:rPr>
        <w:t>ápur: Skaldic Praise-Poetry at the Court of Cnut</w:t>
      </w:r>
      <w:r w:rsidR="00D03D40">
        <w:rPr>
          <w:rFonts w:ascii="Times New Roman" w:hAnsi="Times New Roman"/>
          <w:sz w:val="24"/>
          <w:szCs w:val="24"/>
        </w:rPr>
        <w:t>’</w:t>
      </w:r>
      <w:r w:rsidRPr="0019599F">
        <w:rPr>
          <w:rFonts w:ascii="Times New Roman" w:hAnsi="Times New Roman"/>
          <w:sz w:val="24"/>
          <w:szCs w:val="24"/>
        </w:rPr>
        <w:t xml:space="preserve">, </w:t>
      </w:r>
      <w:r w:rsidRPr="0019599F">
        <w:rPr>
          <w:rFonts w:ascii="Times New Roman" w:hAnsi="Times New Roman"/>
          <w:i/>
          <w:iCs/>
          <w:sz w:val="24"/>
          <w:szCs w:val="24"/>
          <w:lang w:val="de-DE"/>
        </w:rPr>
        <w:t>Anglo-Saxon England</w:t>
      </w:r>
      <w:r w:rsidRPr="0019599F">
        <w:rPr>
          <w:rFonts w:ascii="Times New Roman" w:hAnsi="Times New Roman"/>
          <w:sz w:val="24"/>
          <w:szCs w:val="24"/>
        </w:rPr>
        <w:t xml:space="preserve"> 30, 145-179.</w:t>
      </w:r>
    </w:p>
    <w:p w14:paraId="0A013E03" w14:textId="0A4A79B1" w:rsidR="00330AFC" w:rsidRPr="0019599F" w:rsidRDefault="00536562" w:rsidP="008E5873">
      <w:pPr>
        <w:pStyle w:val="BodyA"/>
        <w:spacing w:line="240" w:lineRule="auto"/>
        <w:rPr>
          <w:rFonts w:ascii="Times New Roman" w:eastAsia="Times New Roman" w:hAnsi="Times New Roman" w:cs="Times New Roman"/>
          <w:color w:val="222222"/>
          <w:sz w:val="24"/>
          <w:szCs w:val="24"/>
          <w:u w:color="222222"/>
        </w:rPr>
      </w:pPr>
      <w:r w:rsidRPr="0019599F">
        <w:rPr>
          <w:rFonts w:ascii="Times New Roman" w:hAnsi="Times New Roman"/>
          <w:color w:val="222222"/>
          <w:sz w:val="24"/>
          <w:szCs w:val="24"/>
          <w:u w:color="222222"/>
        </w:rPr>
        <w:t xml:space="preserve">Walker, Jenny. 2011. </w:t>
      </w:r>
      <w:r w:rsidR="00D03D40">
        <w:rPr>
          <w:rFonts w:ascii="Times New Roman" w:hAnsi="Times New Roman"/>
          <w:color w:val="222222"/>
          <w:sz w:val="24"/>
          <w:szCs w:val="24"/>
          <w:u w:color="222222"/>
        </w:rPr>
        <w:t>‘</w:t>
      </w:r>
      <w:r w:rsidRPr="0019599F">
        <w:rPr>
          <w:rFonts w:ascii="Times New Roman" w:hAnsi="Times New Roman"/>
          <w:color w:val="222222"/>
          <w:sz w:val="24"/>
          <w:szCs w:val="24"/>
          <w:u w:color="222222"/>
        </w:rPr>
        <w:t>The Recursive Structuring of Space: Socio-Political and</w:t>
      </w:r>
      <w:r w:rsidR="008E5873">
        <w:rPr>
          <w:rFonts w:ascii="Times New Roman" w:hAnsi="Times New Roman"/>
          <w:color w:val="222222"/>
          <w:sz w:val="24"/>
          <w:szCs w:val="24"/>
          <w:u w:color="222222"/>
        </w:rPr>
        <w:t xml:space="preserve"> </w:t>
      </w:r>
      <w:r w:rsidRPr="0019599F">
        <w:rPr>
          <w:rFonts w:ascii="Times New Roman" w:hAnsi="Times New Roman"/>
          <w:color w:val="222222"/>
          <w:sz w:val="24"/>
          <w:szCs w:val="24"/>
          <w:u w:color="222222"/>
        </w:rPr>
        <w:t>Rel</w:t>
      </w:r>
      <w:r w:rsidR="00A4349A" w:rsidRPr="0019599F">
        <w:rPr>
          <w:rFonts w:ascii="Times New Roman" w:hAnsi="Times New Roman"/>
          <w:color w:val="222222"/>
          <w:sz w:val="24"/>
          <w:szCs w:val="24"/>
          <w:u w:color="222222"/>
        </w:rPr>
        <w:t>igious performance in the Hall</w:t>
      </w:r>
      <w:r w:rsidR="00D03D40">
        <w:rPr>
          <w:rFonts w:ascii="Times New Roman" w:hAnsi="Times New Roman"/>
          <w:color w:val="222222"/>
          <w:sz w:val="24"/>
          <w:szCs w:val="24"/>
          <w:u w:color="222222"/>
        </w:rPr>
        <w:t>’</w:t>
      </w:r>
      <w:r w:rsidRPr="0019599F">
        <w:rPr>
          <w:rFonts w:ascii="Times New Roman" w:hAnsi="Times New Roman"/>
          <w:color w:val="222222"/>
          <w:sz w:val="24"/>
          <w:szCs w:val="24"/>
          <w:u w:color="222222"/>
        </w:rPr>
        <w:t xml:space="preserve">, in </w:t>
      </w:r>
      <w:r w:rsidRPr="0019599F">
        <w:rPr>
          <w:rFonts w:ascii="Times New Roman" w:hAnsi="Times New Roman"/>
          <w:i/>
          <w:iCs/>
          <w:color w:val="222222"/>
          <w:sz w:val="24"/>
          <w:szCs w:val="24"/>
          <w:u w:color="222222"/>
        </w:rPr>
        <w:t xml:space="preserve">Early Medieval Northumbria, </w:t>
      </w:r>
      <w:r w:rsidRPr="0019599F">
        <w:rPr>
          <w:rFonts w:ascii="Times New Roman" w:hAnsi="Times New Roman"/>
          <w:color w:val="222222"/>
          <w:sz w:val="24"/>
          <w:szCs w:val="24"/>
          <w:u w:color="222222"/>
        </w:rPr>
        <w:t>ed. David Petts &amp; Sam Turner, Studies in the Early Middle Ages 24, Turnhout: Brepols Publishers, 221-235.</w:t>
      </w:r>
    </w:p>
    <w:p w14:paraId="68366066" w14:textId="672450C2"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lang w:val="it-IT"/>
        </w:rPr>
        <w:t xml:space="preserve">Whitelock, Dorothy. 1954. </w:t>
      </w:r>
      <w:r w:rsidRPr="0019599F">
        <w:rPr>
          <w:rFonts w:ascii="Times New Roman" w:hAnsi="Times New Roman"/>
          <w:i/>
          <w:iCs/>
          <w:sz w:val="24"/>
          <w:szCs w:val="24"/>
        </w:rPr>
        <w:t>The Beginnings of English Society,</w:t>
      </w:r>
      <w:r w:rsidRPr="0019599F">
        <w:rPr>
          <w:rFonts w:ascii="Times New Roman" w:hAnsi="Times New Roman"/>
          <w:sz w:val="24"/>
          <w:szCs w:val="24"/>
          <w:lang w:val="es-ES_tradnl"/>
        </w:rPr>
        <w:t xml:space="preserve"> London: Penguin</w:t>
      </w:r>
    </w:p>
    <w:p w14:paraId="3E969CB8" w14:textId="1094B987" w:rsidR="00330AFC" w:rsidRPr="0019599F" w:rsidRDefault="00536562" w:rsidP="008E5873">
      <w:pPr>
        <w:pStyle w:val="BodyA"/>
        <w:spacing w:line="240" w:lineRule="auto"/>
        <w:rPr>
          <w:rFonts w:ascii="Times New Roman" w:eastAsia="Times New Roman" w:hAnsi="Times New Roman" w:cs="Times New Roman"/>
          <w:sz w:val="24"/>
          <w:szCs w:val="24"/>
          <w:lang w:val="pt-PT"/>
        </w:rPr>
      </w:pPr>
      <w:r w:rsidRPr="0019599F">
        <w:rPr>
          <w:rFonts w:ascii="Times New Roman" w:hAnsi="Times New Roman"/>
          <w:sz w:val="24"/>
          <w:szCs w:val="24"/>
          <w:lang w:val="it-IT"/>
        </w:rPr>
        <w:t xml:space="preserve">Whitelock, Dorothy. 1995. </w:t>
      </w:r>
      <w:r w:rsidRPr="0019599F">
        <w:rPr>
          <w:rFonts w:ascii="Times New Roman" w:hAnsi="Times New Roman"/>
          <w:i/>
          <w:iCs/>
          <w:sz w:val="24"/>
          <w:szCs w:val="24"/>
        </w:rPr>
        <w:t>English Historical Documents: c. 500–1042,</w:t>
      </w:r>
      <w:r w:rsidR="008E5873">
        <w:rPr>
          <w:rFonts w:ascii="Times New Roman" w:hAnsi="Times New Roman"/>
          <w:i/>
          <w:iCs/>
          <w:sz w:val="24"/>
          <w:szCs w:val="24"/>
        </w:rPr>
        <w:t xml:space="preserve"> </w:t>
      </w:r>
      <w:r w:rsidRPr="0019599F">
        <w:rPr>
          <w:rFonts w:ascii="Times New Roman" w:hAnsi="Times New Roman"/>
          <w:sz w:val="24"/>
          <w:szCs w:val="24"/>
          <w:lang w:val="pt-PT"/>
        </w:rPr>
        <w:t>Taylor &amp; Francis. Online.</w:t>
      </w:r>
    </w:p>
    <w:p w14:paraId="309B96A5" w14:textId="78A235E6" w:rsidR="00330AFC" w:rsidRPr="0019599F" w:rsidRDefault="00536562" w:rsidP="008E5873">
      <w:pPr>
        <w:pStyle w:val="BodyA"/>
        <w:spacing w:line="240" w:lineRule="auto"/>
        <w:rPr>
          <w:rFonts w:ascii="Times New Roman" w:eastAsia="Times New Roman" w:hAnsi="Times New Roman" w:cs="Times New Roman"/>
          <w:sz w:val="24"/>
          <w:szCs w:val="24"/>
          <w:lang w:val="pt-PT"/>
        </w:rPr>
      </w:pPr>
      <w:r w:rsidRPr="0019599F">
        <w:rPr>
          <w:rFonts w:ascii="Times New Roman" w:hAnsi="Times New Roman"/>
          <w:sz w:val="24"/>
          <w:szCs w:val="24"/>
          <w:lang w:val="pt-PT"/>
        </w:rPr>
        <w:lastRenderedPageBreak/>
        <w:t xml:space="preserve">Wilson, David. 2008. </w:t>
      </w:r>
      <w:r w:rsidRPr="0019599F">
        <w:rPr>
          <w:rFonts w:ascii="Times New Roman" w:hAnsi="Times New Roman"/>
          <w:i/>
          <w:iCs/>
          <w:sz w:val="24"/>
          <w:szCs w:val="24"/>
          <w:lang w:val="pt-PT"/>
        </w:rPr>
        <w:t>The Vikings in the Isle of Man</w:t>
      </w:r>
      <w:r w:rsidRPr="0019599F">
        <w:rPr>
          <w:rFonts w:ascii="Times New Roman" w:hAnsi="Times New Roman"/>
          <w:sz w:val="24"/>
          <w:szCs w:val="24"/>
          <w:lang w:val="pt-PT"/>
        </w:rPr>
        <w:t>, Aarhus: Aarhus University Press</w:t>
      </w:r>
    </w:p>
    <w:p w14:paraId="7E1F709A" w14:textId="6E33476C" w:rsidR="00330AFC" w:rsidRPr="0019599F" w:rsidRDefault="00536562" w:rsidP="008E5873">
      <w:pPr>
        <w:pStyle w:val="BodyA"/>
        <w:spacing w:line="240" w:lineRule="auto"/>
        <w:rPr>
          <w:rFonts w:ascii="Times New Roman" w:eastAsia="Times New Roman" w:hAnsi="Times New Roman" w:cs="Times New Roman"/>
          <w:sz w:val="24"/>
          <w:szCs w:val="24"/>
        </w:rPr>
      </w:pPr>
      <w:r w:rsidRPr="0019599F">
        <w:rPr>
          <w:rFonts w:ascii="Times New Roman" w:hAnsi="Times New Roman"/>
          <w:sz w:val="24"/>
          <w:szCs w:val="24"/>
        </w:rPr>
        <w:t xml:space="preserve">Wormald, Patrick. 1999. </w:t>
      </w:r>
      <w:r w:rsidRPr="0019599F">
        <w:rPr>
          <w:rFonts w:ascii="Times New Roman" w:hAnsi="Times New Roman"/>
          <w:i/>
          <w:iCs/>
          <w:sz w:val="24"/>
          <w:szCs w:val="24"/>
        </w:rPr>
        <w:t>The Making of English Law: King Alfred to the Twelfth</w:t>
      </w:r>
      <w:r w:rsidR="008E5873">
        <w:rPr>
          <w:rFonts w:ascii="Times New Roman" w:hAnsi="Times New Roman"/>
          <w:i/>
          <w:iCs/>
          <w:sz w:val="24"/>
          <w:szCs w:val="24"/>
        </w:rPr>
        <w:t xml:space="preserve"> </w:t>
      </w:r>
      <w:r w:rsidRPr="0019599F">
        <w:rPr>
          <w:rFonts w:ascii="Times New Roman" w:hAnsi="Times New Roman"/>
          <w:i/>
          <w:iCs/>
          <w:sz w:val="24"/>
          <w:szCs w:val="24"/>
        </w:rPr>
        <w:t xml:space="preserve">Century: Volume I, </w:t>
      </w:r>
      <w:r w:rsidRPr="0019599F">
        <w:rPr>
          <w:rFonts w:ascii="Times New Roman" w:hAnsi="Times New Roman"/>
          <w:sz w:val="24"/>
          <w:szCs w:val="24"/>
        </w:rPr>
        <w:t>Oxford: Blackwell</w:t>
      </w:r>
    </w:p>
    <w:p w14:paraId="02909B20" w14:textId="5D03074A" w:rsidR="00341673" w:rsidRPr="0019599F" w:rsidRDefault="00341673" w:rsidP="0019599F">
      <w:pPr>
        <w:pStyle w:val="BodyA"/>
        <w:spacing w:line="240" w:lineRule="auto"/>
        <w:rPr>
          <w:rFonts w:ascii="Times New Roman" w:hAnsi="Times New Roman"/>
          <w:b/>
          <w:bCs/>
          <w:sz w:val="24"/>
          <w:szCs w:val="24"/>
        </w:rPr>
      </w:pPr>
    </w:p>
    <w:sectPr w:rsidR="00341673" w:rsidRPr="0019599F">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ussell Poole" w:date="2017-12-01T07:05:00Z" w:initials="RP">
    <w:p w14:paraId="0958C0C3" w14:textId="4F25722B" w:rsidR="0053755D" w:rsidRDefault="0053755D">
      <w:pPr>
        <w:pStyle w:val="CommentText"/>
      </w:pPr>
      <w:r>
        <w:rPr>
          <w:rStyle w:val="CommentReference"/>
        </w:rPr>
        <w:annotationRef/>
      </w:r>
      <w:r>
        <w:t xml:space="preserve">Better, ‘to stay out of contact with the community’? I suggest this because ‘outlaws’ didn’t necessarily go abroad or get utterly banished from the territory as a whole. This is especially true in Scandinavia, as is well known. </w:t>
      </w:r>
    </w:p>
  </w:comment>
  <w:comment w:id="2" w:author="Russell Poole" w:date="2017-12-01T07:14:00Z" w:initials="RP">
    <w:p w14:paraId="205B3314" w14:textId="49C374D6" w:rsidR="0053755D" w:rsidRDefault="0053755D">
      <w:pPr>
        <w:pStyle w:val="CommentText"/>
      </w:pPr>
      <w:r>
        <w:rPr>
          <w:rStyle w:val="CommentReference"/>
        </w:rPr>
        <w:annotationRef/>
      </w:r>
      <w:r>
        <w:t>Information on date and extant texts?</w:t>
      </w:r>
    </w:p>
    <w:p w14:paraId="6A662083" w14:textId="5DA817D8" w:rsidR="0053755D" w:rsidRDefault="0053755D">
      <w:pPr>
        <w:pStyle w:val="CommentText"/>
      </w:pPr>
      <w:r>
        <w:t xml:space="preserve">A potential problem with use of </w:t>
      </w:r>
      <w:r w:rsidRPr="006C1290">
        <w:rPr>
          <w:i/>
        </w:rPr>
        <w:t>Guta lag</w:t>
      </w:r>
      <w:r>
        <w:t xml:space="preserve"> is that influences from the east (Russia and beyond) may be in play, conceivably making it a special case. Should you register this potential objection? </w:t>
      </w:r>
    </w:p>
  </w:comment>
  <w:comment w:id="3" w:author="Russell Poole" w:date="2017-12-01T07:14:00Z" w:initials="RP">
    <w:p w14:paraId="036CA219" w14:textId="1AA1C090" w:rsidR="0053755D" w:rsidRDefault="0053755D">
      <w:pPr>
        <w:pStyle w:val="CommentText"/>
      </w:pPr>
      <w:r>
        <w:rPr>
          <w:rStyle w:val="CommentReference"/>
        </w:rPr>
        <w:annotationRef/>
      </w:r>
      <w:r>
        <w:rPr>
          <w:rStyle w:val="CommentReference"/>
        </w:rPr>
        <w:annotationRef/>
      </w:r>
      <w:r>
        <w:t>Information on date and extant texts?</w:t>
      </w:r>
    </w:p>
  </w:comment>
  <w:comment w:id="4" w:author="Russell Poole" w:date="2017-12-01T07:42:00Z" w:initials="RP">
    <w:p w14:paraId="3C65526B" w14:textId="7E961FF3" w:rsidR="0053755D" w:rsidRDefault="0053755D">
      <w:pPr>
        <w:pStyle w:val="CommentText"/>
      </w:pPr>
      <w:r>
        <w:rPr>
          <w:rStyle w:val="CommentReference"/>
        </w:rPr>
        <w:annotationRef/>
      </w:r>
      <w:r>
        <w:t>How convincing (or otherwise) do you find this explanation?</w:t>
      </w:r>
    </w:p>
  </w:comment>
  <w:comment w:id="5" w:author="Russell Poole" w:date="2017-12-01T09:58:00Z" w:initials="RP">
    <w:p w14:paraId="6127F86D" w14:textId="09179BEF" w:rsidR="0053755D" w:rsidRDefault="0053755D">
      <w:pPr>
        <w:pStyle w:val="CommentText"/>
      </w:pPr>
      <w:r>
        <w:t xml:space="preserve">= </w:t>
      </w:r>
      <w:r>
        <w:rPr>
          <w:rStyle w:val="CommentReference"/>
        </w:rPr>
        <w:annotationRef/>
      </w:r>
      <w:r>
        <w:t>Ethelred II?</w:t>
      </w:r>
    </w:p>
  </w:comment>
  <w:comment w:id="6" w:author="Russell Poole" w:date="2017-11-29T13:03:00Z" w:initials="RP">
    <w:p w14:paraId="67EA84A0" w14:textId="12CB3950" w:rsidR="0053755D" w:rsidRDefault="0053755D">
      <w:pPr>
        <w:pStyle w:val="CommentText"/>
      </w:pPr>
      <w:r>
        <w:rPr>
          <w:rStyle w:val="CommentReference"/>
        </w:rPr>
        <w:annotationRef/>
      </w:r>
      <w:r>
        <w:t xml:space="preserve">What does recent scholarship on Ethelred, including Simon Keynes’s, have to say about this episode? </w:t>
      </w:r>
    </w:p>
  </w:comment>
  <w:comment w:id="7" w:author="Russell Poole" w:date="2017-12-01T11:13:00Z" w:initials="RP">
    <w:p w14:paraId="58B404A4" w14:textId="5D09563B" w:rsidR="0053755D" w:rsidRDefault="0053755D">
      <w:pPr>
        <w:pStyle w:val="CommentText"/>
      </w:pPr>
      <w:r>
        <w:rPr>
          <w:rStyle w:val="CommentReference"/>
        </w:rPr>
        <w:annotationRef/>
      </w:r>
      <w:r>
        <w:t xml:space="preserve">The setting of </w:t>
      </w:r>
      <w:r w:rsidRPr="0053755D">
        <w:rPr>
          <w:i/>
        </w:rPr>
        <w:t>Juliana</w:t>
      </w:r>
      <w:r>
        <w:t xml:space="preserve"> is of course not English. How far can we know if the poet was describing an execution done in accordance with English practice? Might the poet have had a sense of antiquity, as is sometimes argued for the </w:t>
      </w:r>
      <w:r w:rsidRPr="0053755D">
        <w:rPr>
          <w:i/>
        </w:rPr>
        <w:t>Beowulf</w:t>
      </w:r>
      <w:r>
        <w:t xml:space="preserve"> poet? </w:t>
      </w:r>
    </w:p>
  </w:comment>
  <w:comment w:id="8" w:author="Russell Poole" w:date="2017-12-01T11:15:00Z" w:initials="RP">
    <w:p w14:paraId="5ED58C79" w14:textId="6509DFEF" w:rsidR="0053755D" w:rsidRDefault="0053755D">
      <w:pPr>
        <w:pStyle w:val="CommentText"/>
      </w:pPr>
      <w:r>
        <w:rPr>
          <w:rStyle w:val="CommentReference"/>
        </w:rPr>
        <w:annotationRef/>
      </w:r>
      <w:r>
        <w:t xml:space="preserve">Similar observations to those above. </w:t>
      </w:r>
    </w:p>
  </w:comment>
  <w:comment w:id="9" w:author="Russell Poole" w:date="2017-12-01T11:18:00Z" w:initials="RP">
    <w:p w14:paraId="6BA73EFE" w14:textId="7FA70DC3" w:rsidR="0053755D" w:rsidRDefault="0053755D">
      <w:pPr>
        <w:pStyle w:val="CommentText"/>
      </w:pPr>
      <w:r>
        <w:rPr>
          <w:rStyle w:val="CommentReference"/>
        </w:rPr>
        <w:annotationRef/>
      </w:r>
      <w:r>
        <w:t>This sounds somewhat evasive!</w:t>
      </w:r>
    </w:p>
  </w:comment>
  <w:comment w:id="10" w:author="Russell Poole" w:date="2017-11-29T13:01:00Z" w:initials="RP">
    <w:p w14:paraId="6BA3649D" w14:textId="2BD90F09" w:rsidR="0053755D" w:rsidRDefault="0053755D">
      <w:pPr>
        <w:pStyle w:val="CommentText"/>
      </w:pPr>
      <w:r>
        <w:rPr>
          <w:rStyle w:val="CommentReference"/>
        </w:rPr>
        <w:annotationRef/>
      </w:r>
      <w:r>
        <w:t xml:space="preserve">The word ‘previously’ is purely an artifact of the translation. The OE counterpart is an idiom for ‘had committed’ and carries no implications for repeat offending. You should consult a competent Anglo-Saxonist on this and all other OE texts and in cases where the translation could mislead supply the original OE text in addition to the translation. </w:t>
      </w:r>
    </w:p>
  </w:comment>
  <w:comment w:id="11" w:author="Russell Poole" w:date="2017-12-01T11:24:00Z" w:initials="RP">
    <w:p w14:paraId="77708CF8" w14:textId="43439A64" w:rsidR="00FB6199" w:rsidRDefault="00FB6199">
      <w:pPr>
        <w:pStyle w:val="CommentText"/>
      </w:pPr>
      <w:r>
        <w:rPr>
          <w:rStyle w:val="CommentReference"/>
        </w:rPr>
        <w:annotationRef/>
      </w:r>
      <w:r>
        <w:t xml:space="preserve">Use spaces in these lineations, not tabs. I have fixed this and the other instances. </w:t>
      </w:r>
    </w:p>
  </w:comment>
  <w:comment w:id="12" w:author="Russell Poole" w:date="2017-11-29T13:05:00Z" w:initials="RP">
    <w:p w14:paraId="547B75EA" w14:textId="4A627C6F" w:rsidR="0053755D" w:rsidRDefault="0053755D">
      <w:pPr>
        <w:pStyle w:val="CommentText"/>
      </w:pPr>
      <w:r>
        <w:rPr>
          <w:rStyle w:val="CommentReference"/>
        </w:rPr>
        <w:annotationRef/>
      </w:r>
      <w:r>
        <w:t xml:space="preserve">Again, this is an artifact of the translation. The word ‘beam’ standardly means ‘tree’ but often translators indulge in archaism or elegant variation by using the ModE word ‘beam’. You need, as above, to scrutinize these published translations much more critically and to enlist expert advice. Your way towards establishing your potentially interesting point more securely would be to use the online Dictionary of Old English to study the usages of OE ‘beam’ within the complete corpus. </w:t>
      </w:r>
    </w:p>
  </w:comment>
  <w:comment w:id="13" w:author="Russell Poole" w:date="2017-11-29T14:05:00Z" w:initials="RP">
    <w:p w14:paraId="1D3B0AF6" w14:textId="623CEAFB" w:rsidR="0053755D" w:rsidRDefault="0053755D">
      <w:pPr>
        <w:pStyle w:val="CommentText"/>
      </w:pPr>
      <w:r>
        <w:rPr>
          <w:rStyle w:val="CommentReference"/>
        </w:rPr>
        <w:annotationRef/>
      </w:r>
      <w:r>
        <w:t xml:space="preserve">This should be cited in the original and translation, using the Skaldic Poetry edition. You should consult an Old Norse/Icelandic literary scholar on this. </w:t>
      </w:r>
    </w:p>
  </w:comment>
  <w:comment w:id="14" w:author="Russell Poole" w:date="2017-11-30T05:24:00Z" w:initials="RP">
    <w:p w14:paraId="2ED35B57" w14:textId="48339C87" w:rsidR="0053755D" w:rsidRDefault="0053755D">
      <w:pPr>
        <w:pStyle w:val="CommentText"/>
      </w:pPr>
      <w:r>
        <w:rPr>
          <w:rStyle w:val="CommentReference"/>
        </w:rPr>
        <w:annotationRef/>
      </w:r>
      <w:r>
        <w:t xml:space="preserve">This likewise needs to be cited properly as above. The edition of the original text used by Finlay and Faulkes has been superseded by that in Skaldic Poetry (2012). </w:t>
      </w:r>
    </w:p>
  </w:comment>
  <w:comment w:id="15" w:author="Russell Poole" w:date="2017-12-01T15:29:00Z" w:initials="RP">
    <w:p w14:paraId="5347FFAA" w14:textId="08AB95CB" w:rsidR="00C9536E" w:rsidRDefault="00C9536E">
      <w:pPr>
        <w:pStyle w:val="CommentText"/>
      </w:pPr>
      <w:r>
        <w:rPr>
          <w:rStyle w:val="CommentReference"/>
        </w:rPr>
        <w:annotationRef/>
      </w:r>
      <w:r>
        <w:t xml:space="preserve">This applies to Norway, so far as the text of the poem is concerned. Nothing is stated as to Orkney. Here too it is essential to use the new edition. </w:t>
      </w:r>
    </w:p>
  </w:comment>
  <w:comment w:id="16" w:author="Russell Poole" w:date="2017-11-30T05:30:00Z" w:initials="RP">
    <w:p w14:paraId="54DEF3DC" w14:textId="27FB438C" w:rsidR="0053755D" w:rsidRDefault="0053755D">
      <w:pPr>
        <w:pStyle w:val="CommentText"/>
      </w:pPr>
      <w:r>
        <w:rPr>
          <w:rStyle w:val="CommentReference"/>
        </w:rPr>
        <w:annotationRef/>
      </w:r>
      <w:r>
        <w:t xml:space="preserve">In principle, of course, outlaw hideaways might be found, such as those of early modern Iceland. Should you explain </w:t>
      </w:r>
      <w:r w:rsidR="00C9536E">
        <w:t xml:space="preserve">briefly </w:t>
      </w:r>
      <w:r>
        <w:t xml:space="preserve">why you are ruling out such possibilities? </w:t>
      </w:r>
    </w:p>
  </w:comment>
  <w:comment w:id="17" w:author="Russell Poole" w:date="2017-11-30T05:35:00Z" w:initials="RP">
    <w:p w14:paraId="3831DCEA" w14:textId="565F00C4" w:rsidR="0053755D" w:rsidRDefault="0053755D">
      <w:pPr>
        <w:pStyle w:val="CommentText"/>
      </w:pPr>
      <w:r>
        <w:rPr>
          <w:rStyle w:val="CommentReference"/>
        </w:rPr>
        <w:annotationRef/>
      </w:r>
      <w:r>
        <w:t>Legitimate grave-diggers? Or grave-robbers?</w:t>
      </w:r>
    </w:p>
  </w:comment>
  <w:comment w:id="18" w:author="Russell Poole" w:date="2017-11-30T05:41:00Z" w:initials="RP">
    <w:p w14:paraId="3C2F8D6D" w14:textId="77777777" w:rsidR="0053755D" w:rsidRDefault="0053755D">
      <w:pPr>
        <w:pStyle w:val="CommentText"/>
      </w:pPr>
      <w:r>
        <w:rPr>
          <w:rStyle w:val="CommentReference"/>
        </w:rPr>
        <w:annotationRef/>
      </w:r>
      <w:r>
        <w:t xml:space="preserve">Should you have included this and any other charter evidence in your textual section? It seems oddly unsupported here and creates an impression that you are relying overmuch on Reynolds. </w:t>
      </w:r>
    </w:p>
    <w:p w14:paraId="22925887" w14:textId="0969D57B" w:rsidR="0053755D" w:rsidRDefault="0053755D">
      <w:pPr>
        <w:pStyle w:val="CommentText"/>
      </w:pPr>
      <w:r>
        <w:t xml:space="preserve">I suggest that this entire portion of your paper needs to made more independent of his work. </w:t>
      </w:r>
    </w:p>
  </w:comment>
  <w:comment w:id="19" w:author="Russell Poole" w:date="2017-11-30T06:52:00Z" w:initials="RP">
    <w:p w14:paraId="68DC62D9" w14:textId="77327A94" w:rsidR="0053755D" w:rsidRDefault="0053755D">
      <w:pPr>
        <w:pStyle w:val="CommentText"/>
      </w:pPr>
      <w:r>
        <w:rPr>
          <w:rStyle w:val="CommentReference"/>
        </w:rPr>
        <w:annotationRef/>
      </w:r>
      <w:r>
        <w:t xml:space="preserve">Does this refer to stoning people to death, or to weighing down their already dead bodies with stones? Please check references to stoning elsewhere in the article as well to ensure they are not ambiguous. </w:t>
      </w:r>
    </w:p>
  </w:comment>
  <w:comment w:id="20" w:author="Russell Poole" w:date="2017-11-30T06:56:00Z" w:initials="RP">
    <w:p w14:paraId="54D7C360" w14:textId="4F6207E5" w:rsidR="0053755D" w:rsidRDefault="0053755D">
      <w:pPr>
        <w:pStyle w:val="CommentText"/>
      </w:pPr>
      <w:r>
        <w:rPr>
          <w:rStyle w:val="CommentReference"/>
        </w:rPr>
        <w:annotationRef/>
      </w:r>
      <w:r>
        <w:t xml:space="preserve">This statement wouldn’t stand up in relation to the classic Icelandic outlaw sagas, where both the protagonists spend considerable time within settlements, often harboured by family members or other sympathizers. </w:t>
      </w:r>
    </w:p>
  </w:comment>
  <w:comment w:id="21" w:author="Russell Poole" w:date="2017-11-30T08:40:00Z" w:initials="RP">
    <w:p w14:paraId="211F5AC3" w14:textId="77777777" w:rsidR="0053755D" w:rsidRDefault="0053755D" w:rsidP="00C457D5">
      <w:pPr>
        <w:pStyle w:val="CommentText"/>
      </w:pPr>
      <w:r>
        <w:rPr>
          <w:rStyle w:val="CommentReference"/>
        </w:rPr>
        <w:annotationRef/>
      </w:r>
      <w:r>
        <w:t xml:space="preserve">You should state briefly their putative dates and regional origins in the section where they are first mentioned. </w:t>
      </w:r>
    </w:p>
  </w:comment>
  <w:comment w:id="22" w:author="Russell Poole" w:date="2017-11-30T08:52:00Z" w:initials="RP">
    <w:p w14:paraId="0CF70EAD" w14:textId="7F062749" w:rsidR="0053755D" w:rsidRDefault="0053755D">
      <w:pPr>
        <w:pStyle w:val="CommentText"/>
      </w:pPr>
      <w:r>
        <w:rPr>
          <w:rStyle w:val="CommentReference"/>
        </w:rPr>
        <w:annotationRef/>
      </w:r>
      <w:r>
        <w:t>Wrong word? ‘Relegates’??</w:t>
      </w:r>
    </w:p>
  </w:comment>
  <w:comment w:id="23" w:author="Russell Poole" w:date="2017-11-30T08:48:00Z" w:initials="RP">
    <w:p w14:paraId="5624A3C6" w14:textId="77777777" w:rsidR="0053755D" w:rsidRDefault="0053755D" w:rsidP="001B4A60">
      <w:pPr>
        <w:pStyle w:val="CommentText"/>
      </w:pPr>
      <w:r>
        <w:rPr>
          <w:rStyle w:val="CommentReference"/>
        </w:rPr>
        <w:annotationRef/>
      </w:r>
      <w:r>
        <w:t xml:space="preserve">A factor possibly to be borne in mind is the mixed origin of the second-tier Scandinavian-origin leadership around Cnut. Eric hailed from Norway, Thorkell the Tall is traditionally associated with the eastern Baltic. Cnut’s lið was likewise of mixed western and eastern Scandinavian origin, probably with Baltic and Slavic elements in the mix. Such a cohesive grouping of diverse elements could lead to a certain eclecticism in observance and making of the law. </w:t>
      </w:r>
    </w:p>
  </w:comment>
  <w:comment w:id="24" w:author="Russell Poole" w:date="2017-11-30T09:28:00Z" w:initials="RP">
    <w:p w14:paraId="2AF109F5" w14:textId="3B04326D" w:rsidR="0053755D" w:rsidRDefault="0053755D">
      <w:pPr>
        <w:pStyle w:val="CommentText"/>
      </w:pPr>
      <w:r>
        <w:rPr>
          <w:rStyle w:val="CommentReference"/>
        </w:rPr>
        <w:annotationRef/>
      </w:r>
      <w:r>
        <w:t xml:space="preserve">Not a word that I recognize. Do you mean ‘spring-clean’? Or are you meaning ‘cleansing’, as in ‘ethnic cleansing’? </w:t>
      </w:r>
    </w:p>
  </w:comment>
  <w:comment w:id="25" w:author="Russell Poole" w:date="2017-11-30T15:02:00Z" w:initials="RP">
    <w:p w14:paraId="73AC5700" w14:textId="58259405" w:rsidR="0053755D" w:rsidRDefault="0053755D">
      <w:pPr>
        <w:pStyle w:val="CommentText"/>
      </w:pPr>
      <w:r>
        <w:rPr>
          <w:rStyle w:val="CommentReference"/>
        </w:rPr>
        <w:annotationRef/>
      </w:r>
      <w:r>
        <w:t xml:space="preserve">Text and translation should be cited from the Skaldic Poetry edition. The edition used by Whitelock is superseded. </w:t>
      </w:r>
    </w:p>
  </w:comment>
  <w:comment w:id="26" w:author="Russell Poole" w:date="2017-11-30T15:04:00Z" w:initials="RP">
    <w:p w14:paraId="2E0292ED" w14:textId="0CE8F108" w:rsidR="0053755D" w:rsidRDefault="0053755D">
      <w:pPr>
        <w:pStyle w:val="CommentText"/>
      </w:pPr>
      <w:r>
        <w:rPr>
          <w:rStyle w:val="CommentReference"/>
        </w:rPr>
        <w:annotationRef/>
      </w:r>
      <w:r>
        <w:t xml:space="preserve">All this needs to be reassessed in light of the Skaldic Poetry edition, from which relevant verses and translations should be cited.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58C0C3" w15:done="0"/>
  <w15:commentEx w15:paraId="6A662083" w15:done="0"/>
  <w15:commentEx w15:paraId="036CA219" w15:done="0"/>
  <w15:commentEx w15:paraId="3C65526B" w15:done="0"/>
  <w15:commentEx w15:paraId="6127F86D" w15:done="0"/>
  <w15:commentEx w15:paraId="67EA84A0" w15:done="0"/>
  <w15:commentEx w15:paraId="58B404A4" w15:done="0"/>
  <w15:commentEx w15:paraId="5ED58C79" w15:done="0"/>
  <w15:commentEx w15:paraId="6BA73EFE" w15:done="0"/>
  <w15:commentEx w15:paraId="6BA3649D" w15:done="0"/>
  <w15:commentEx w15:paraId="77708CF8" w15:done="0"/>
  <w15:commentEx w15:paraId="547B75EA" w15:done="0"/>
  <w15:commentEx w15:paraId="1D3B0AF6" w15:done="0"/>
  <w15:commentEx w15:paraId="2ED35B57" w15:done="0"/>
  <w15:commentEx w15:paraId="5347FFAA" w15:done="0"/>
  <w15:commentEx w15:paraId="54DEF3DC" w15:done="0"/>
  <w15:commentEx w15:paraId="3831DCEA" w15:done="0"/>
  <w15:commentEx w15:paraId="22925887" w15:done="0"/>
  <w15:commentEx w15:paraId="68DC62D9" w15:done="0"/>
  <w15:commentEx w15:paraId="54D7C360" w15:done="0"/>
  <w15:commentEx w15:paraId="211F5AC3" w15:done="0"/>
  <w15:commentEx w15:paraId="0CF70EAD" w15:done="0"/>
  <w15:commentEx w15:paraId="5624A3C6" w15:done="0"/>
  <w15:commentEx w15:paraId="2AF109F5" w15:done="0"/>
  <w15:commentEx w15:paraId="73AC5700" w15:done="0"/>
  <w15:commentEx w15:paraId="2E0292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58C0C3" w16cid:durableId="1DCB7DA5"/>
  <w16cid:commentId w16cid:paraId="6A662083" w16cid:durableId="1DCB7FBA"/>
  <w16cid:commentId w16cid:paraId="036CA219" w16cid:durableId="1DCB7FD1"/>
  <w16cid:commentId w16cid:paraId="3C65526B" w16cid:durableId="1DCB867C"/>
  <w16cid:commentId w16cid:paraId="6127F86D" w16cid:durableId="1DCBA62C"/>
  <w16cid:commentId w16cid:paraId="67EA84A0" w16cid:durableId="1DC92EA7"/>
  <w16cid:commentId w16cid:paraId="58B404A4" w16cid:durableId="1DCBB7E9"/>
  <w16cid:commentId w16cid:paraId="5ED58C79" w16cid:durableId="1DCBB855"/>
  <w16cid:commentId w16cid:paraId="6BA73EFE" w16cid:durableId="1DCBB8F0"/>
  <w16cid:commentId w16cid:paraId="6BA3649D" w16cid:durableId="1DC92E21"/>
  <w16cid:commentId w16cid:paraId="77708CF8" w16cid:durableId="1DCBBA56"/>
  <w16cid:commentId w16cid:paraId="547B75EA" w16cid:durableId="1DC92F27"/>
  <w16cid:commentId w16cid:paraId="1D3B0AF6" w16cid:durableId="1DC93D2B"/>
  <w16cid:commentId w16cid:paraId="2ED35B57" w16cid:durableId="1DCA14A8"/>
  <w16cid:commentId w16cid:paraId="5347FFAA" w16cid:durableId="1DCBF3BF"/>
  <w16cid:commentId w16cid:paraId="54DEF3DC" w16cid:durableId="1DCA1611"/>
  <w16cid:commentId w16cid:paraId="3831DCEA" w16cid:durableId="1DCA1730"/>
  <w16cid:commentId w16cid:paraId="22925887" w16cid:durableId="1DCA189E"/>
  <w16cid:commentId w16cid:paraId="68DC62D9" w16cid:durableId="1DCA2937"/>
  <w16cid:commentId w16cid:paraId="54D7C360" w16cid:durableId="1DCA2A23"/>
  <w16cid:commentId w16cid:paraId="211F5AC3" w16cid:durableId="1DCA4271"/>
  <w16cid:commentId w16cid:paraId="0CF70EAD" w16cid:durableId="1DCA4544"/>
  <w16cid:commentId w16cid:paraId="5624A3C6" w16cid:durableId="1DCA4441"/>
  <w16cid:commentId w16cid:paraId="2AF109F5" w16cid:durableId="1DCA4DA9"/>
  <w16cid:commentId w16cid:paraId="73AC5700" w16cid:durableId="1DCA9C0D"/>
  <w16cid:commentId w16cid:paraId="2E0292ED" w16cid:durableId="1DCA9C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DAA6" w14:textId="77777777" w:rsidR="0079308F" w:rsidRDefault="0079308F">
      <w:r>
        <w:separator/>
      </w:r>
    </w:p>
  </w:endnote>
  <w:endnote w:type="continuationSeparator" w:id="0">
    <w:p w14:paraId="01AD6C30" w14:textId="77777777" w:rsidR="0079308F" w:rsidRDefault="0079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51819" w14:textId="5DF23E6D" w:rsidR="0053755D" w:rsidRDefault="0053755D">
    <w:pPr>
      <w:pStyle w:val="BodyA"/>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7007F">
      <w:rPr>
        <w:rFonts w:ascii="Times New Roman" w:hAnsi="Times New Roman"/>
        <w:noProof/>
        <w:sz w:val="24"/>
        <w:szCs w:val="24"/>
      </w:rPr>
      <w:t>2</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DC41F" w14:textId="0B18E2D2" w:rsidR="0053755D" w:rsidRDefault="0053755D">
    <w:pPr>
      <w:pStyle w:val="BodyA"/>
      <w:jc w:val="right"/>
    </w:pPr>
    <w:r>
      <w:fldChar w:fldCharType="begin"/>
    </w:r>
    <w:r>
      <w:instrText xml:space="preserve"> PAGE </w:instrText>
    </w:r>
    <w:r>
      <w:fldChar w:fldCharType="separate"/>
    </w:r>
    <w:r w:rsidR="0037007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91CED" w14:textId="77777777" w:rsidR="0079308F" w:rsidRDefault="0079308F">
      <w:r>
        <w:separator/>
      </w:r>
    </w:p>
  </w:footnote>
  <w:footnote w:type="continuationSeparator" w:id="0">
    <w:p w14:paraId="19C21EE0" w14:textId="77777777" w:rsidR="0079308F" w:rsidRDefault="0079308F">
      <w:r>
        <w:continuationSeparator/>
      </w:r>
    </w:p>
  </w:footnote>
  <w:footnote w:type="continuationNotice" w:id="1">
    <w:p w14:paraId="48ABB070" w14:textId="77777777" w:rsidR="0079308F" w:rsidRDefault="0079308F"/>
  </w:footnote>
  <w:footnote w:id="2">
    <w:p w14:paraId="0AB62B2E" w14:textId="24EF50B4" w:rsidR="0053755D" w:rsidRPr="0019599F" w:rsidRDefault="0053755D" w:rsidP="0019599F">
      <w:pPr>
        <w:pStyle w:val="BodyA"/>
        <w:spacing w:line="240" w:lineRule="auto"/>
        <w:rPr>
          <w:rFonts w:ascii="Times New Roman" w:eastAsia="Times New Roman" w:hAnsi="Times New Roman" w:cs="Times New Roman"/>
          <w:b/>
          <w:bCs/>
          <w:sz w:val="24"/>
          <w:szCs w:val="24"/>
        </w:rPr>
      </w:pPr>
      <w:r w:rsidRPr="0019599F">
        <w:rPr>
          <w:rStyle w:val="FootnoteReference"/>
          <w:rFonts w:ascii="Times New Roman" w:hAnsi="Times New Roman" w:cs="Times New Roman"/>
          <w:sz w:val="24"/>
          <w:szCs w:val="24"/>
        </w:rPr>
        <w:footnoteRef/>
      </w:r>
      <w:r w:rsidRPr="0019599F">
        <w:rPr>
          <w:rFonts w:ascii="Times New Roman" w:hAnsi="Times New Roman" w:cs="Times New Roman"/>
          <w:sz w:val="24"/>
          <w:szCs w:val="24"/>
        </w:rPr>
        <w:t xml:space="preserve"> </w:t>
      </w:r>
      <w:r w:rsidRPr="0019599F">
        <w:rPr>
          <w:rFonts w:ascii="Times New Roman" w:hAnsi="Times New Roman" w:cs="Times New Roman"/>
          <w:b/>
          <w:bCs/>
          <w:sz w:val="24"/>
          <w:szCs w:val="24"/>
        </w:rPr>
        <w:t>Keith Ruiter (</w:t>
      </w:r>
      <w:r w:rsidRPr="0019599F">
        <w:rPr>
          <w:rFonts w:ascii="Times New Roman" w:hAnsi="Times New Roman" w:cs="Times New Roman"/>
          <w:sz w:val="24"/>
          <w:szCs w:val="24"/>
        </w:rPr>
        <w:t>keith.ruiter@abdn.ac.uk</w:t>
      </w:r>
      <w:r w:rsidRPr="0019599F">
        <w:rPr>
          <w:rFonts w:ascii="Times New Roman" w:hAnsi="Times New Roman" w:cs="Times New Roman"/>
          <w:b/>
          <w:bCs/>
          <w:sz w:val="24"/>
          <w:szCs w:val="24"/>
        </w:rPr>
        <w:t>) is a Doctoral Candidate and Elphinstone Scholar at the University of Aberdeen</w:t>
      </w:r>
      <w:r>
        <w:rPr>
          <w:rFonts w:ascii="Times New Roman" w:hAnsi="Times New Roman" w:cs="Times New Roman"/>
          <w:b/>
          <w:bCs/>
          <w:sz w:val="24"/>
          <w:szCs w:val="24"/>
        </w:rPr>
        <w:t>’</w:t>
      </w:r>
      <w:r w:rsidRPr="0019599F">
        <w:rPr>
          <w:rFonts w:ascii="Times New Roman" w:hAnsi="Times New Roman" w:cs="Times New Roman"/>
          <w:b/>
          <w:bCs/>
          <w:sz w:val="24"/>
          <w:szCs w:val="24"/>
        </w:rPr>
        <w:t>s Centre for Scandinavian Studies</w:t>
      </w:r>
      <w:r>
        <w:rPr>
          <w:rFonts w:ascii="Times New Roman" w:hAnsi="Times New Roman" w:cs="Times New Roman"/>
          <w:b/>
          <w:bCs/>
          <w:sz w:val="24"/>
          <w:szCs w:val="24"/>
        </w:rPr>
        <w:t>.</w:t>
      </w:r>
    </w:p>
    <w:p w14:paraId="09A33F48" w14:textId="1D20A026" w:rsidR="0053755D" w:rsidRPr="0019599F" w:rsidRDefault="0053755D" w:rsidP="0019599F">
      <w:pPr>
        <w:pStyle w:val="BodyA"/>
        <w:spacing w:line="240" w:lineRule="auto"/>
        <w:rPr>
          <w:rFonts w:ascii="Times New Roman" w:eastAsia="Times New Roman" w:hAnsi="Times New Roman" w:cs="Times New Roman"/>
          <w:b/>
          <w:bCs/>
          <w:sz w:val="24"/>
          <w:szCs w:val="24"/>
        </w:rPr>
      </w:pPr>
      <w:r w:rsidRPr="0019599F">
        <w:rPr>
          <w:rFonts w:ascii="Times New Roman" w:hAnsi="Times New Roman" w:cs="Times New Roman"/>
          <w:b/>
          <w:bCs/>
          <w:sz w:val="24"/>
          <w:szCs w:val="24"/>
        </w:rPr>
        <w:t>Steve Ashby (</w:t>
      </w:r>
      <w:r w:rsidRPr="0019599F">
        <w:rPr>
          <w:rFonts w:ascii="Times New Roman" w:hAnsi="Times New Roman" w:cs="Times New Roman"/>
          <w:sz w:val="24"/>
          <w:szCs w:val="24"/>
        </w:rPr>
        <w:t>steve.ashby@york.ac.uk</w:t>
      </w:r>
      <w:r w:rsidRPr="0019599F">
        <w:rPr>
          <w:rFonts w:ascii="Times New Roman" w:hAnsi="Times New Roman" w:cs="Times New Roman"/>
          <w:b/>
          <w:bCs/>
          <w:sz w:val="24"/>
          <w:szCs w:val="24"/>
        </w:rPr>
        <w:t>) is a Senior Lecturer in Archaeology at the University of York</w:t>
      </w:r>
      <w:r>
        <w:rPr>
          <w:rFonts w:ascii="Times New Roman" w:hAnsi="Times New Roman" w:cs="Times New Roman"/>
          <w:b/>
          <w:bCs/>
          <w:sz w:val="24"/>
          <w:szCs w:val="24"/>
        </w:rPr>
        <w:t>.</w:t>
      </w:r>
    </w:p>
    <w:p w14:paraId="56BF7024" w14:textId="77777777" w:rsidR="0053755D" w:rsidRPr="0019599F" w:rsidRDefault="0053755D" w:rsidP="0019599F">
      <w:pPr>
        <w:pStyle w:val="BodyA"/>
        <w:spacing w:line="240" w:lineRule="auto"/>
        <w:jc w:val="both"/>
        <w:rPr>
          <w:rFonts w:ascii="Times New Roman" w:eastAsia="Times New Roman" w:hAnsi="Times New Roman" w:cs="Times New Roman"/>
          <w:sz w:val="24"/>
          <w:szCs w:val="24"/>
        </w:rPr>
      </w:pPr>
      <w:r w:rsidRPr="0019599F">
        <w:rPr>
          <w:rFonts w:ascii="Times New Roman" w:hAnsi="Times New Roman" w:cs="Times New Roman"/>
          <w:b/>
          <w:bCs/>
          <w:sz w:val="24"/>
          <w:szCs w:val="24"/>
          <w:lang w:val="de-DE"/>
        </w:rPr>
        <w:t xml:space="preserve">Abstract: </w:t>
      </w:r>
      <w:r w:rsidRPr="0019599F">
        <w:rPr>
          <w:rFonts w:ascii="Times New Roman" w:hAnsi="Times New Roman" w:cs="Times New Roman"/>
          <w:sz w:val="24"/>
          <w:szCs w:val="24"/>
        </w:rPr>
        <w:t>This paper takes a fresh look at the use of judicial violence in the societies of Viking-Age England and Scandinavia. Using interdisciplinary methodologies, it considers legal, historical, literary, and archaeological evidence for judicially-prescribed maiming and execution. Using this evidence, it describes the English and Scandinavian systems of judicial violence in new detail, reflecting on important aspects of each in turn before turning to a more comparative approach to redirect debate and focus future work.</w:t>
      </w:r>
    </w:p>
    <w:p w14:paraId="093DFDC2" w14:textId="70A1D9D3" w:rsidR="0053755D" w:rsidRPr="0019599F" w:rsidRDefault="0053755D" w:rsidP="0019599F">
      <w:pPr>
        <w:pStyle w:val="BodyA"/>
        <w:spacing w:line="240" w:lineRule="auto"/>
        <w:rPr>
          <w:rFonts w:ascii="Times New Roman" w:hAnsi="Times New Roman" w:cs="Times New Roman"/>
          <w:sz w:val="24"/>
          <w:szCs w:val="24"/>
        </w:rPr>
      </w:pPr>
      <w:r w:rsidRPr="0019599F">
        <w:rPr>
          <w:rFonts w:ascii="Times New Roman" w:hAnsi="Times New Roman" w:cs="Times New Roman"/>
          <w:b/>
          <w:bCs/>
          <w:sz w:val="24"/>
          <w:szCs w:val="24"/>
        </w:rPr>
        <w:t xml:space="preserve">Keywords: </w:t>
      </w:r>
      <w:r w:rsidRPr="0019599F">
        <w:rPr>
          <w:rFonts w:ascii="Times New Roman" w:hAnsi="Times New Roman" w:cs="Times New Roman"/>
          <w:sz w:val="24"/>
          <w:szCs w:val="24"/>
        </w:rPr>
        <w:t>Violence, medieval law, punishme</w:t>
      </w:r>
      <w:r>
        <w:rPr>
          <w:rFonts w:ascii="Times New Roman" w:hAnsi="Times New Roman" w:cs="Times New Roman"/>
          <w:sz w:val="24"/>
          <w:szCs w:val="24"/>
        </w:rPr>
        <w:t>nt, landscape, Canute the Great.</w:t>
      </w:r>
    </w:p>
    <w:p w14:paraId="35CC2F27" w14:textId="4181AF58" w:rsidR="0053755D" w:rsidRPr="0019599F" w:rsidRDefault="0053755D">
      <w:pPr>
        <w:pStyle w:val="FootnoteText"/>
        <w:rPr>
          <w:sz w:val="24"/>
          <w:szCs w:val="24"/>
          <w:lang w:val="en-NZ"/>
        </w:rPr>
      </w:pPr>
    </w:p>
  </w:footnote>
  <w:footnote w:id="3">
    <w:p w14:paraId="729D2B8A" w14:textId="3678D523"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our purposes here, </w:t>
      </w:r>
      <w:r>
        <w:rPr>
          <w:rFonts w:ascii="Times New Roman" w:hAnsi="Times New Roman" w:cs="Times New Roman"/>
          <w:sz w:val="24"/>
          <w:szCs w:val="24"/>
        </w:rPr>
        <w:t>‘</w:t>
      </w:r>
      <w:r w:rsidRPr="0019599F">
        <w:rPr>
          <w:rFonts w:ascii="Times New Roman" w:hAnsi="Times New Roman" w:cs="Times New Roman"/>
          <w:sz w:val="24"/>
          <w:szCs w:val="24"/>
        </w:rPr>
        <w:t>English</w:t>
      </w:r>
      <w:r>
        <w:rPr>
          <w:rFonts w:ascii="Times New Roman" w:hAnsi="Times New Roman" w:cs="Times New Roman"/>
          <w:sz w:val="24"/>
          <w:szCs w:val="24"/>
        </w:rPr>
        <w:t>’</w:t>
      </w:r>
      <w:r w:rsidRPr="0019599F">
        <w:rPr>
          <w:rFonts w:ascii="Times New Roman" w:hAnsi="Times New Roman" w:cs="Times New Roman"/>
          <w:sz w:val="24"/>
          <w:szCs w:val="24"/>
        </w:rPr>
        <w:t xml:space="preserve"> refers to the early-medieval population of the island of Britain who were linguistically and culturally Germanic and distinct of the native British population. </w:t>
      </w:r>
      <w:r>
        <w:rPr>
          <w:rFonts w:ascii="Times New Roman" w:hAnsi="Times New Roman" w:cs="Times New Roman"/>
          <w:sz w:val="24"/>
          <w:szCs w:val="24"/>
        </w:rPr>
        <w:t>‘</w:t>
      </w:r>
      <w:r w:rsidRPr="0019599F">
        <w:rPr>
          <w:rFonts w:ascii="Times New Roman" w:hAnsi="Times New Roman" w:cs="Times New Roman"/>
          <w:sz w:val="24"/>
          <w:szCs w:val="24"/>
        </w:rPr>
        <w:t>England,</w:t>
      </w:r>
      <w:r>
        <w:rPr>
          <w:rFonts w:ascii="Times New Roman" w:hAnsi="Times New Roman" w:cs="Times New Roman"/>
          <w:sz w:val="24"/>
          <w:szCs w:val="24"/>
        </w:rPr>
        <w:t>’</w:t>
      </w:r>
      <w:r w:rsidRPr="0019599F">
        <w:rPr>
          <w:rFonts w:ascii="Times New Roman" w:hAnsi="Times New Roman" w:cs="Times New Roman"/>
          <w:sz w:val="24"/>
          <w:szCs w:val="24"/>
        </w:rPr>
        <w:t xml:space="preserve"> therefore, is used only to refer to the geographic location of this population. The term </w:t>
      </w:r>
      <w:r>
        <w:rPr>
          <w:rFonts w:ascii="Times New Roman" w:hAnsi="Times New Roman" w:cs="Times New Roman"/>
          <w:sz w:val="24"/>
          <w:szCs w:val="24"/>
        </w:rPr>
        <w:t>‘</w:t>
      </w:r>
      <w:r w:rsidRPr="0019599F">
        <w:rPr>
          <w:rFonts w:ascii="Times New Roman" w:hAnsi="Times New Roman" w:cs="Times New Roman"/>
          <w:sz w:val="24"/>
          <w:szCs w:val="24"/>
        </w:rPr>
        <w:t>Anglo-Saxon</w:t>
      </w:r>
      <w:r>
        <w:rPr>
          <w:rFonts w:ascii="Times New Roman" w:hAnsi="Times New Roman" w:cs="Times New Roman"/>
          <w:sz w:val="24"/>
          <w:szCs w:val="24"/>
        </w:rPr>
        <w:t>’</w:t>
      </w:r>
      <w:r w:rsidRPr="0019599F">
        <w:rPr>
          <w:rFonts w:ascii="Times New Roman" w:hAnsi="Times New Roman" w:cs="Times New Roman"/>
          <w:sz w:val="24"/>
          <w:szCs w:val="24"/>
        </w:rPr>
        <w:t xml:space="preserve"> is only used occasionally in relation to other scholars</w:t>
      </w:r>
      <w:r>
        <w:rPr>
          <w:rFonts w:ascii="Times New Roman" w:hAnsi="Times New Roman" w:cs="Times New Roman"/>
          <w:sz w:val="24"/>
          <w:szCs w:val="24"/>
        </w:rPr>
        <w:t>’</w:t>
      </w:r>
      <w:r w:rsidRPr="0019599F">
        <w:rPr>
          <w:rFonts w:ascii="Times New Roman" w:hAnsi="Times New Roman" w:cs="Times New Roman"/>
          <w:sz w:val="24"/>
          <w:szCs w:val="24"/>
        </w:rPr>
        <w:t xml:space="preserve"> works to refer to the broad period of time c. 450-1066 CE. For more information on the period and the population of Britain at this time, see Reynolds (1999, 23; 13-35). Likewise, </w:t>
      </w:r>
      <w:r>
        <w:rPr>
          <w:rFonts w:ascii="Times New Roman" w:hAnsi="Times New Roman" w:cs="Times New Roman"/>
          <w:sz w:val="24"/>
          <w:szCs w:val="24"/>
        </w:rPr>
        <w:t>‘</w:t>
      </w:r>
      <w:r w:rsidRPr="0019599F">
        <w:rPr>
          <w:rFonts w:ascii="Times New Roman" w:hAnsi="Times New Roman" w:cs="Times New Roman"/>
          <w:sz w:val="24"/>
          <w:szCs w:val="24"/>
          <w:lang w:val="it-IT"/>
        </w:rPr>
        <w:t>Scandinavian</w:t>
      </w:r>
      <w:r>
        <w:rPr>
          <w:rFonts w:ascii="Times New Roman" w:hAnsi="Times New Roman" w:cs="Times New Roman"/>
          <w:sz w:val="24"/>
          <w:szCs w:val="24"/>
        </w:rPr>
        <w:t>’</w:t>
      </w:r>
      <w:r w:rsidRPr="0019599F">
        <w:rPr>
          <w:rFonts w:ascii="Times New Roman" w:hAnsi="Times New Roman" w:cs="Times New Roman"/>
          <w:sz w:val="24"/>
          <w:szCs w:val="24"/>
        </w:rPr>
        <w:t xml:space="preserve"> here refers broadly to the culturally and linguistically Germanic early-medieval population of the Scandinavian peninsula, Jutland, and the numerous islands that make up modern Denmark, as well as their diaspora (Richards 2005, 8-18). These terms have been chosen in an attempt to move away from issues of ethnicity in these considerations, preferring instead to look at the legal and physical needs in the related cultural groups encompassed by these terms. Both of these terms have an element of variability to them that must be acknowledged, as these were not entirely monolithic, homogenous groups in terms of culture or language. Therefore, due to the emphasis on vernacular written texts in this paper, these definitions were settled on to broadly encompass the populations of Old English and Old Norse speakers. It is for this reason that evidence relating to the Scandinavian diaspora is also considered. Notably, evidence directly reflecting on the contemporary situation in Iceland has been excluded here, as, without executive power, judicial violence operated in a rather different fashion (Hastrup 1985, particularly chapters 4 and 8).</w:t>
      </w:r>
    </w:p>
  </w:footnote>
  <w:footnote w:id="4">
    <w:p w14:paraId="129C3031"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See Reynolds (2009, 23-9) and Peel (2015, 209-10) for some examples of these judicially violent punishments in context.</w:t>
      </w:r>
    </w:p>
  </w:footnote>
  <w:footnote w:id="5">
    <w:p w14:paraId="0CF18060" w14:textId="32140598"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Literally meaning </w:t>
      </w:r>
      <w:r>
        <w:rPr>
          <w:rFonts w:ascii="Times New Roman" w:hAnsi="Times New Roman" w:cs="Times New Roman"/>
          <w:sz w:val="24"/>
          <w:szCs w:val="24"/>
        </w:rPr>
        <w:t>‘</w:t>
      </w:r>
      <w:r w:rsidRPr="0019599F">
        <w:rPr>
          <w:rFonts w:ascii="Times New Roman" w:hAnsi="Times New Roman" w:cs="Times New Roman"/>
          <w:sz w:val="24"/>
          <w:szCs w:val="24"/>
        </w:rPr>
        <w:t>forest payment,</w:t>
      </w:r>
      <w:r>
        <w:rPr>
          <w:rFonts w:ascii="Times New Roman" w:hAnsi="Times New Roman" w:cs="Times New Roman"/>
          <w:sz w:val="24"/>
          <w:szCs w:val="24"/>
        </w:rPr>
        <w:t>’</w:t>
      </w:r>
      <w:r w:rsidRPr="0019599F">
        <w:rPr>
          <w:rFonts w:ascii="Times New Roman" w:hAnsi="Times New Roman" w:cs="Times New Roman"/>
          <w:sz w:val="24"/>
          <w:szCs w:val="24"/>
        </w:rPr>
        <w:t xml:space="preserve"> this was the price that one paid to return to normative society. It corresponded to one of the Old Norse terms for outlawry, </w:t>
      </w:r>
      <w:r w:rsidRPr="0019599F">
        <w:rPr>
          <w:rFonts w:ascii="Times New Roman" w:hAnsi="Times New Roman" w:cs="Times New Roman"/>
          <w:i/>
          <w:iCs/>
          <w:sz w:val="24"/>
          <w:szCs w:val="24"/>
        </w:rPr>
        <w:t>sk</w:t>
      </w:r>
      <w:r w:rsidRPr="0019599F">
        <w:rPr>
          <w:rFonts w:ascii="Times New Roman" w:hAnsi="Times New Roman" w:cs="Times New Roman"/>
          <w:i/>
          <w:iCs/>
          <w:sz w:val="24"/>
          <w:szCs w:val="24"/>
          <w:lang w:val="es-ES_tradnl"/>
        </w:rPr>
        <w:t>ó</w:t>
      </w:r>
      <w:r w:rsidRPr="0019599F">
        <w:rPr>
          <w:rFonts w:ascii="Times New Roman" w:hAnsi="Times New Roman" w:cs="Times New Roman"/>
          <w:i/>
          <w:iCs/>
          <w:sz w:val="24"/>
          <w:szCs w:val="24"/>
        </w:rPr>
        <w:t>ggangar</w:t>
      </w:r>
      <w:r w:rsidRPr="0019599F">
        <w:rPr>
          <w:rFonts w:ascii="Times New Roman" w:hAnsi="Times New Roman" w:cs="Times New Roman"/>
          <w:sz w:val="24"/>
          <w:szCs w:val="24"/>
        </w:rPr>
        <w:t xml:space="preserve">, or </w:t>
      </w:r>
      <w:r>
        <w:rPr>
          <w:rFonts w:ascii="Times New Roman" w:hAnsi="Times New Roman" w:cs="Times New Roman"/>
          <w:sz w:val="24"/>
          <w:szCs w:val="24"/>
        </w:rPr>
        <w:t>‘</w:t>
      </w:r>
      <w:r w:rsidRPr="0019599F">
        <w:rPr>
          <w:rFonts w:ascii="Times New Roman" w:hAnsi="Times New Roman" w:cs="Times New Roman"/>
          <w:sz w:val="24"/>
          <w:szCs w:val="24"/>
        </w:rPr>
        <w:t>forest-going.</w:t>
      </w:r>
      <w:r>
        <w:rPr>
          <w:rFonts w:ascii="Times New Roman" w:hAnsi="Times New Roman" w:cs="Times New Roman"/>
          <w:sz w:val="24"/>
          <w:szCs w:val="24"/>
        </w:rPr>
        <w:t>’</w:t>
      </w:r>
      <w:r w:rsidRPr="0019599F">
        <w:rPr>
          <w:rFonts w:ascii="Times New Roman" w:hAnsi="Times New Roman" w:cs="Times New Roman"/>
          <w:sz w:val="24"/>
          <w:szCs w:val="24"/>
        </w:rPr>
        <w:t xml:space="preserve"> For more on the manifold terms across Scandinavia for outlawry, see Riis</w:t>
      </w:r>
      <w:r w:rsidRPr="0019599F">
        <w:rPr>
          <w:rFonts w:ascii="Times New Roman" w:hAnsi="Times New Roman" w:cs="Times New Roman"/>
          <w:sz w:val="24"/>
          <w:szCs w:val="24"/>
          <w:lang w:val="da-DK"/>
        </w:rPr>
        <w:t>ø</w:t>
      </w:r>
      <w:r w:rsidRPr="0019599F">
        <w:rPr>
          <w:rFonts w:ascii="Times New Roman" w:hAnsi="Times New Roman" w:cs="Times New Roman"/>
          <w:sz w:val="24"/>
          <w:szCs w:val="24"/>
          <w:lang w:val="it-IT"/>
        </w:rPr>
        <w:t>y (2014).</w:t>
      </w:r>
    </w:p>
  </w:footnote>
  <w:footnote w:id="6">
    <w:p w14:paraId="27D69BAC"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See Reynolds (2009, 23-33) for a discussion relating to England and Gardeła (2013a 99-100; Gardeła 2013b, 88-9) and Thäte (2007, 266-73) for the same in Scandinavia.</w:t>
      </w:r>
    </w:p>
  </w:footnote>
  <w:footnote w:id="7">
    <w:p w14:paraId="6F1EE32F" w14:textId="68E89DB8"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Examination of </w:t>
      </w:r>
      <w:r>
        <w:rPr>
          <w:rFonts w:ascii="Times New Roman" w:hAnsi="Times New Roman" w:cs="Times New Roman"/>
          <w:sz w:val="24"/>
          <w:szCs w:val="24"/>
        </w:rPr>
        <w:t>‘</w:t>
      </w:r>
      <w:r w:rsidRPr="0019599F">
        <w:rPr>
          <w:rFonts w:ascii="Times New Roman" w:hAnsi="Times New Roman" w:cs="Times New Roman"/>
          <w:sz w:val="24"/>
          <w:szCs w:val="24"/>
          <w:lang w:val="pt-PT"/>
        </w:rPr>
        <w:t>deviant</w:t>
      </w:r>
      <w:r>
        <w:rPr>
          <w:rFonts w:ascii="Times New Roman" w:hAnsi="Times New Roman" w:cs="Times New Roman"/>
          <w:sz w:val="24"/>
          <w:szCs w:val="24"/>
        </w:rPr>
        <w:t>’</w:t>
      </w:r>
      <w:r w:rsidRPr="0019599F">
        <w:rPr>
          <w:rFonts w:ascii="Times New Roman" w:hAnsi="Times New Roman" w:cs="Times New Roman"/>
          <w:sz w:val="24"/>
          <w:szCs w:val="24"/>
        </w:rPr>
        <w:t xml:space="preserve"> burials is central to our considerations here, but this term requires care in its usage. It should be noted in no uncertain terms that a grave exhibiting non-normative features does not immediately imply the presence of a social or criminal deviant (Gardeła 2013a;108-10; Thäte 2007, 266-</w:t>
      </w:r>
      <w:r>
        <w:rPr>
          <w:rFonts w:ascii="Times New Roman" w:hAnsi="Times New Roman" w:cs="Times New Roman"/>
          <w:sz w:val="24"/>
          <w:szCs w:val="24"/>
        </w:rPr>
        <w:t>6</w:t>
      </w:r>
      <w:r w:rsidRPr="0019599F">
        <w:rPr>
          <w:rFonts w:ascii="Times New Roman" w:hAnsi="Times New Roman" w:cs="Times New Roman"/>
          <w:sz w:val="24"/>
          <w:szCs w:val="24"/>
        </w:rPr>
        <w:t>7; Cherryson 2010, 126-</w:t>
      </w:r>
      <w:r>
        <w:rPr>
          <w:rFonts w:ascii="Times New Roman" w:hAnsi="Times New Roman" w:cs="Times New Roman"/>
          <w:sz w:val="24"/>
          <w:szCs w:val="24"/>
        </w:rPr>
        <w:t>2</w:t>
      </w:r>
      <w:r w:rsidRPr="0019599F">
        <w:rPr>
          <w:rFonts w:ascii="Times New Roman" w:hAnsi="Times New Roman" w:cs="Times New Roman"/>
          <w:sz w:val="24"/>
          <w:szCs w:val="24"/>
        </w:rPr>
        <w:t xml:space="preserve">7). Furthermore, as Edeltraud Aspöck has suggested, the very term </w:t>
      </w:r>
      <w:r>
        <w:rPr>
          <w:rFonts w:ascii="Times New Roman" w:hAnsi="Times New Roman" w:cs="Times New Roman"/>
          <w:sz w:val="24"/>
          <w:szCs w:val="24"/>
        </w:rPr>
        <w:t>‘</w:t>
      </w:r>
      <w:r w:rsidRPr="0019599F">
        <w:rPr>
          <w:rFonts w:ascii="Times New Roman" w:hAnsi="Times New Roman" w:cs="Times New Roman"/>
          <w:sz w:val="24"/>
          <w:szCs w:val="24"/>
        </w:rPr>
        <w:t>deviant burial</w:t>
      </w:r>
      <w:r>
        <w:rPr>
          <w:rFonts w:ascii="Times New Roman" w:hAnsi="Times New Roman" w:cs="Times New Roman"/>
          <w:sz w:val="24"/>
          <w:szCs w:val="24"/>
        </w:rPr>
        <w:t>’</w:t>
      </w:r>
      <w:r w:rsidRPr="0019599F">
        <w:rPr>
          <w:rFonts w:ascii="Times New Roman" w:hAnsi="Times New Roman" w:cs="Times New Roman"/>
          <w:sz w:val="24"/>
          <w:szCs w:val="24"/>
        </w:rPr>
        <w:t xml:space="preserve"> can be applied to the normative use of non-normative mortuary practices to deal with certain individuals, making the term less productive than it could be (2010, 29). Yet, for want of a better term, our discussion here will make use of the term </w:t>
      </w:r>
      <w:r>
        <w:rPr>
          <w:rFonts w:ascii="Times New Roman" w:hAnsi="Times New Roman" w:cs="Times New Roman"/>
          <w:sz w:val="24"/>
          <w:szCs w:val="24"/>
        </w:rPr>
        <w:t>‘</w:t>
      </w:r>
      <w:r w:rsidRPr="0019599F">
        <w:rPr>
          <w:rFonts w:ascii="Times New Roman" w:hAnsi="Times New Roman" w:cs="Times New Roman"/>
          <w:sz w:val="24"/>
          <w:szCs w:val="24"/>
        </w:rPr>
        <w:t>deviant burial</w:t>
      </w:r>
      <w:r>
        <w:rPr>
          <w:rFonts w:ascii="Times New Roman" w:hAnsi="Times New Roman" w:cs="Times New Roman"/>
          <w:sz w:val="24"/>
          <w:szCs w:val="24"/>
        </w:rPr>
        <w:t>’</w:t>
      </w:r>
      <w:r w:rsidRPr="0019599F">
        <w:rPr>
          <w:rFonts w:ascii="Times New Roman" w:hAnsi="Times New Roman" w:cs="Times New Roman"/>
          <w:sz w:val="24"/>
          <w:szCs w:val="24"/>
        </w:rPr>
        <w:t xml:space="preserve"> to refer to non-normative funerary rites, keeping in mind the concerns raised by Aspöck. Such non-normative features can include, but are not limited to, spatial otherness, a notably different mortuary rite or practice, or a remarkable positioning of the body (Gardeła 2013a 108-10; Thäte 2007, 266-</w:t>
      </w:r>
      <w:r>
        <w:rPr>
          <w:rFonts w:ascii="Times New Roman" w:hAnsi="Times New Roman" w:cs="Times New Roman"/>
          <w:sz w:val="24"/>
          <w:szCs w:val="24"/>
        </w:rPr>
        <w:t>6</w:t>
      </w:r>
      <w:r w:rsidRPr="0019599F">
        <w:rPr>
          <w:rFonts w:ascii="Times New Roman" w:hAnsi="Times New Roman" w:cs="Times New Roman"/>
          <w:sz w:val="24"/>
          <w:szCs w:val="24"/>
        </w:rPr>
        <w:t>7). The importance of this distinction lies in the reservation of judgement and bias that would exclude individual expression in mortuary practice from our considerations. Indeed, this does make identifying the remains of social and criminal deviants more difficult, but this approach yields stronger results when positively identified.</w:t>
      </w:r>
    </w:p>
  </w:footnote>
  <w:footnote w:id="8">
    <w:p w14:paraId="0EFE69C7" w14:textId="0BC1A43B"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See Peel (2015, 19-25) for discussion of this in </w:t>
      </w:r>
      <w:r w:rsidRPr="0019599F">
        <w:rPr>
          <w:rFonts w:ascii="Times New Roman" w:hAnsi="Times New Roman" w:cs="Times New Roman"/>
          <w:i/>
          <w:iCs/>
          <w:sz w:val="24"/>
          <w:szCs w:val="24"/>
          <w:lang w:val="it-IT"/>
        </w:rPr>
        <w:t>Guta lag</w:t>
      </w:r>
      <w:r w:rsidRPr="0019599F">
        <w:rPr>
          <w:rFonts w:ascii="Times New Roman" w:hAnsi="Times New Roman" w:cs="Times New Roman"/>
          <w:sz w:val="24"/>
          <w:szCs w:val="24"/>
        </w:rPr>
        <w:t>; Reynolds (2009, 23-</w:t>
      </w:r>
      <w:r>
        <w:rPr>
          <w:rFonts w:ascii="Times New Roman" w:hAnsi="Times New Roman" w:cs="Times New Roman"/>
          <w:sz w:val="24"/>
          <w:szCs w:val="24"/>
        </w:rPr>
        <w:t>2</w:t>
      </w:r>
      <w:r w:rsidRPr="0019599F">
        <w:rPr>
          <w:rFonts w:ascii="Times New Roman" w:hAnsi="Times New Roman" w:cs="Times New Roman"/>
          <w:sz w:val="24"/>
          <w:szCs w:val="24"/>
        </w:rPr>
        <w:t xml:space="preserve">9) for the Anglo-Saxon laws; Larson (1935, 7) for </w:t>
      </w:r>
      <w:r w:rsidRPr="0019599F">
        <w:rPr>
          <w:rFonts w:ascii="Times New Roman" w:hAnsi="Times New Roman" w:cs="Times New Roman"/>
          <w:i/>
          <w:iCs/>
          <w:sz w:val="24"/>
          <w:szCs w:val="24"/>
        </w:rPr>
        <w:t xml:space="preserve">Gulathings lov </w:t>
      </w:r>
      <w:r w:rsidRPr="0019599F">
        <w:rPr>
          <w:rFonts w:ascii="Times New Roman" w:hAnsi="Times New Roman" w:cs="Times New Roman"/>
          <w:sz w:val="24"/>
          <w:szCs w:val="24"/>
        </w:rPr>
        <w:t xml:space="preserve">and </w:t>
      </w:r>
      <w:r w:rsidRPr="0019599F">
        <w:rPr>
          <w:rFonts w:ascii="Times New Roman" w:hAnsi="Times New Roman" w:cs="Times New Roman"/>
          <w:i/>
          <w:iCs/>
          <w:sz w:val="24"/>
          <w:szCs w:val="24"/>
        </w:rPr>
        <w:t>Frostathings lov</w:t>
      </w:r>
      <w:r w:rsidRPr="0019599F">
        <w:rPr>
          <w:rFonts w:ascii="Times New Roman" w:hAnsi="Times New Roman" w:cs="Times New Roman"/>
          <w:sz w:val="24"/>
          <w:szCs w:val="24"/>
        </w:rPr>
        <w:t>; and Ström (1942, 8-13) for a more general discussion of these issues. Due to space restrictions, a deeper discussion of dating cannot be undertaken here.</w:t>
      </w:r>
    </w:p>
  </w:footnote>
  <w:footnote w:id="9">
    <w:p w14:paraId="512CB9C1"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Those unfamiliar with the legal environments of Viking-Age Scandinavia and England should consult Brink 2007 and Wormald 1999 respectively. For further reading on the gendered nature of law and punishment in medieval Scandinavia, see Ekholst (2014, 1-33).</w:t>
      </w:r>
    </w:p>
  </w:footnote>
  <w:footnote w:id="10">
    <w:p w14:paraId="3BDEFF60"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See </w:t>
      </w:r>
      <w:r w:rsidRPr="0019599F">
        <w:rPr>
          <w:rFonts w:ascii="Times New Roman" w:hAnsi="Times New Roman" w:cs="Times New Roman"/>
          <w:sz w:val="24"/>
          <w:szCs w:val="24"/>
          <w:lang w:val="it-IT"/>
        </w:rPr>
        <w:t>Peel (2015, 209-10)</w:t>
      </w:r>
      <w:r w:rsidRPr="0019599F">
        <w:rPr>
          <w:rFonts w:ascii="Times New Roman" w:hAnsi="Times New Roman" w:cs="Times New Roman"/>
          <w:sz w:val="24"/>
          <w:szCs w:val="24"/>
        </w:rPr>
        <w:t xml:space="preserve"> for a detailed table of crimes and punishments from Guta lag.</w:t>
      </w:r>
    </w:p>
  </w:footnote>
  <w:footnote w:id="11">
    <w:p w14:paraId="74F7CCAE"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discussion, see Peel (2009, xxxi); Larson (1935, 17-18); and Ström (1942, 261). For background on how these crimes fit into Viking-Age ethical contexts, see Bagge (2008, 10-11).</w:t>
      </w:r>
    </w:p>
  </w:footnote>
  <w:footnote w:id="12">
    <w:p w14:paraId="61742200"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fuller discussion of </w:t>
      </w:r>
      <w:r w:rsidRPr="0019599F">
        <w:rPr>
          <w:rFonts w:ascii="Times New Roman" w:hAnsi="Times New Roman" w:cs="Times New Roman"/>
          <w:i/>
          <w:iCs/>
          <w:sz w:val="24"/>
          <w:szCs w:val="24"/>
        </w:rPr>
        <w:t>níð</w:t>
      </w:r>
      <w:r w:rsidRPr="0019599F">
        <w:rPr>
          <w:rFonts w:ascii="Times New Roman" w:hAnsi="Times New Roman" w:cs="Times New Roman"/>
          <w:sz w:val="24"/>
          <w:szCs w:val="24"/>
        </w:rPr>
        <w:t>, see Strö</w:t>
      </w:r>
      <w:r w:rsidRPr="0019599F">
        <w:rPr>
          <w:rFonts w:ascii="Times New Roman" w:hAnsi="Times New Roman" w:cs="Times New Roman"/>
          <w:sz w:val="24"/>
          <w:szCs w:val="24"/>
          <w:lang w:val="pt-PT"/>
        </w:rPr>
        <w:t>m (1974).</w:t>
      </w:r>
    </w:p>
  </w:footnote>
  <w:footnote w:id="13">
    <w:p w14:paraId="3F493E54"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very recent discussion of these social structures and how they worked in Viking-Age societies, see Jón Viðar Sigurðsson (2017)</w:t>
      </w:r>
    </w:p>
  </w:footnote>
  <w:footnote w:id="14">
    <w:p w14:paraId="77E8FEAB" w14:textId="2F5EE830"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19599F">
        <w:rPr>
          <w:rFonts w:ascii="Times New Roman" w:hAnsi="Times New Roman" w:cs="Times New Roman"/>
          <w:sz w:val="24"/>
          <w:szCs w:val="24"/>
        </w:rPr>
        <w:t xml:space="preserve">the varying degrees of severity in these crimes </w:t>
      </w:r>
      <w:r>
        <w:rPr>
          <w:rFonts w:ascii="Times New Roman" w:hAnsi="Times New Roman" w:cs="Times New Roman"/>
          <w:sz w:val="24"/>
          <w:szCs w:val="24"/>
        </w:rPr>
        <w:t xml:space="preserve">see </w:t>
      </w:r>
      <w:r w:rsidRPr="0019599F">
        <w:rPr>
          <w:rFonts w:ascii="Times New Roman" w:hAnsi="Times New Roman" w:cs="Times New Roman"/>
          <w:sz w:val="24"/>
          <w:szCs w:val="24"/>
        </w:rPr>
        <w:t>the hand-list in Reynolds (2009)</w:t>
      </w:r>
      <w:r>
        <w:rPr>
          <w:rFonts w:ascii="Times New Roman" w:hAnsi="Times New Roman" w:cs="Times New Roman"/>
          <w:sz w:val="24"/>
          <w:szCs w:val="24"/>
        </w:rPr>
        <w:t xml:space="preserve">; also </w:t>
      </w:r>
      <w:r w:rsidRPr="0019599F">
        <w:rPr>
          <w:rFonts w:ascii="Times New Roman" w:hAnsi="Times New Roman" w:cs="Times New Roman"/>
          <w:sz w:val="24"/>
          <w:szCs w:val="24"/>
        </w:rPr>
        <w:t>Wormald (1999).</w:t>
      </w:r>
    </w:p>
  </w:footnote>
  <w:footnote w:id="15">
    <w:p w14:paraId="407EE460" w14:textId="36DAA734"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closer discussion of Wulfstan</w:t>
      </w:r>
      <w:r>
        <w:rPr>
          <w:rFonts w:ascii="Times New Roman" w:hAnsi="Times New Roman" w:cs="Times New Roman"/>
          <w:sz w:val="24"/>
          <w:szCs w:val="24"/>
        </w:rPr>
        <w:t>’</w:t>
      </w:r>
      <w:r w:rsidRPr="0019599F">
        <w:rPr>
          <w:rFonts w:ascii="Times New Roman" w:hAnsi="Times New Roman" w:cs="Times New Roman"/>
          <w:sz w:val="24"/>
          <w:szCs w:val="24"/>
        </w:rPr>
        <w:t>s role in and views on lawmaking see Thompson (2004, 180-95) and Wormald (1999, 352-5).</w:t>
      </w:r>
    </w:p>
  </w:footnote>
  <w:footnote w:id="16">
    <w:p w14:paraId="5F0C1343"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fuller discussion on conversion and Christianization, see Abrams 2000.</w:t>
      </w:r>
    </w:p>
  </w:footnote>
  <w:footnote w:id="17">
    <w:p w14:paraId="6D4BC9C1"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Peel notes that Gotland consistently demonstrates a willful attempt at distinguishing itself from the rest of Sweden at this time. For further detail see Peel (2015, xii-3). For more examples of overt stipulations for judicial hanging and their contexts, see Dutton (2016, 137-50).</w:t>
      </w:r>
    </w:p>
  </w:footnote>
  <w:footnote w:id="18">
    <w:p w14:paraId="0F87D7D8"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thorough detailed discussion of hanging in a Scandinavian pre-Christian context, see Dutton (2016).</w:t>
      </w:r>
    </w:p>
  </w:footnote>
  <w:footnote w:id="19">
    <w:p w14:paraId="69702E24"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Though attention has been paid to the various manuscripts of the </w:t>
      </w:r>
      <w:r w:rsidRPr="0019599F">
        <w:rPr>
          <w:rFonts w:ascii="Times New Roman" w:hAnsi="Times New Roman" w:cs="Times New Roman"/>
          <w:i/>
          <w:iCs/>
          <w:sz w:val="24"/>
          <w:szCs w:val="24"/>
        </w:rPr>
        <w:t>ASC</w:t>
      </w:r>
      <w:r w:rsidRPr="0019599F">
        <w:rPr>
          <w:rFonts w:ascii="Times New Roman" w:hAnsi="Times New Roman" w:cs="Times New Roman"/>
          <w:sz w:val="24"/>
          <w:szCs w:val="24"/>
        </w:rPr>
        <w:t>, our primary focus has been on the texts of MS D and E for their northern and Scandinavian interests in the hope of finding as much information about Scandinavian activity as possible.</w:t>
      </w:r>
    </w:p>
  </w:footnote>
  <w:footnote w:id="20">
    <w:p w14:paraId="0FA70F85"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Of course, this is not the extent of the lexical and phraseological complications that arise from the </w:t>
      </w:r>
      <w:r w:rsidRPr="0019599F">
        <w:rPr>
          <w:rFonts w:ascii="Times New Roman" w:hAnsi="Times New Roman" w:cs="Times New Roman"/>
          <w:i/>
          <w:iCs/>
          <w:sz w:val="24"/>
          <w:szCs w:val="24"/>
        </w:rPr>
        <w:t>ASC</w:t>
      </w:r>
      <w:r w:rsidRPr="0019599F">
        <w:rPr>
          <w:rFonts w:ascii="Times New Roman" w:hAnsi="Times New Roman" w:cs="Times New Roman"/>
          <w:sz w:val="24"/>
          <w:szCs w:val="24"/>
        </w:rPr>
        <w:t>, for a further consideration of the linguistic properties of the chronicle, see Pons-Sanz (2010).</w:t>
      </w:r>
    </w:p>
  </w:footnote>
  <w:footnote w:id="21">
    <w:p w14:paraId="170B1F23"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All of these occupy the semantic fields of both judicial and extra-judicial forms of exile.</w:t>
      </w:r>
    </w:p>
  </w:footnote>
  <w:footnote w:id="22">
    <w:p w14:paraId="20B62F93" w14:textId="499F93C8"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Which, </w:t>
      </w:r>
      <w:r>
        <w:rPr>
          <w:rFonts w:ascii="Times New Roman" w:hAnsi="Times New Roman" w:cs="Times New Roman"/>
          <w:sz w:val="24"/>
          <w:szCs w:val="24"/>
        </w:rPr>
        <w:t>al</w:t>
      </w:r>
      <w:r w:rsidRPr="0019599F">
        <w:rPr>
          <w:rFonts w:ascii="Times New Roman" w:hAnsi="Times New Roman" w:cs="Times New Roman"/>
          <w:sz w:val="24"/>
          <w:szCs w:val="24"/>
        </w:rPr>
        <w:t>though a later term, seems to possess a specifically legal semantic field.</w:t>
      </w:r>
    </w:p>
  </w:footnote>
  <w:footnote w:id="23">
    <w:p w14:paraId="084BD42D" w14:textId="56697D3D"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lang w:val="de-DE"/>
        </w:rPr>
        <w:t xml:space="preserve">  Earl and Plummer 1965, 127, </w:t>
      </w:r>
      <w:r>
        <w:rPr>
          <w:rFonts w:ascii="Times New Roman" w:hAnsi="Times New Roman" w:cs="Times New Roman"/>
          <w:sz w:val="24"/>
          <w:szCs w:val="24"/>
        </w:rPr>
        <w:t>‘</w:t>
      </w:r>
      <w:r w:rsidRPr="0019599F">
        <w:rPr>
          <w:rFonts w:ascii="Times New Roman" w:hAnsi="Times New Roman" w:cs="Times New Roman"/>
          <w:sz w:val="24"/>
          <w:szCs w:val="24"/>
        </w:rPr>
        <w:t xml:space="preserve">the king ordered </w:t>
      </w:r>
      <w:r w:rsidRPr="0019599F">
        <w:rPr>
          <w:rFonts w:ascii="Times New Roman" w:hAnsi="Times New Roman" w:cs="Times New Roman"/>
          <w:sz w:val="24"/>
          <w:szCs w:val="24"/>
          <w:lang w:val="da-DK"/>
        </w:rPr>
        <w:t>Æ</w:t>
      </w:r>
      <w:r w:rsidRPr="0019599F">
        <w:rPr>
          <w:rFonts w:ascii="Times New Roman" w:hAnsi="Times New Roman" w:cs="Times New Roman"/>
          <w:sz w:val="24"/>
          <w:szCs w:val="24"/>
        </w:rPr>
        <w:t>lfgar to be blinded,</w:t>
      </w:r>
      <w:r>
        <w:rPr>
          <w:rFonts w:ascii="Times New Roman" w:hAnsi="Times New Roman" w:cs="Times New Roman"/>
          <w:sz w:val="24"/>
          <w:szCs w:val="24"/>
        </w:rPr>
        <w:t>’</w:t>
      </w:r>
      <w:r w:rsidRPr="0019599F">
        <w:rPr>
          <w:rFonts w:ascii="Times New Roman" w:hAnsi="Times New Roman" w:cs="Times New Roman"/>
          <w:sz w:val="24"/>
          <w:szCs w:val="24"/>
        </w:rPr>
        <w:t xml:space="preserve"> our translation.</w:t>
      </w:r>
    </w:p>
  </w:footnote>
  <w:footnote w:id="24">
    <w:p w14:paraId="6017778C"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Though Swanton raises the point that the killing of </w:t>
      </w:r>
      <w:r w:rsidRPr="0019599F">
        <w:rPr>
          <w:rFonts w:ascii="Times New Roman" w:hAnsi="Times New Roman" w:cs="Times New Roman"/>
          <w:sz w:val="24"/>
          <w:szCs w:val="24"/>
          <w:lang w:val="da-DK"/>
        </w:rPr>
        <w:t>Æ</w:t>
      </w:r>
      <w:r w:rsidRPr="0019599F">
        <w:rPr>
          <w:rFonts w:ascii="Times New Roman" w:hAnsi="Times New Roman" w:cs="Times New Roman"/>
          <w:sz w:val="24"/>
          <w:szCs w:val="24"/>
        </w:rPr>
        <w:t>lfelm may not have taken place in a clear legal setting, other historians have come to the conclusion that these events do relate to political maneuvering and take place in a punitive context (Swanton 1996, 136).</w:t>
      </w:r>
    </w:p>
  </w:footnote>
  <w:footnote w:id="25">
    <w:p w14:paraId="7F520E59"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Though MS C and D note that their ears were also cut off (Swanton 1996, 145).</w:t>
      </w:r>
    </w:p>
  </w:footnote>
  <w:footnote w:id="26">
    <w:p w14:paraId="09FD5A08"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fuller discussion of official and private spaces in early-medieval England see Walker (2011, 221-235).</w:t>
      </w:r>
    </w:p>
  </w:footnote>
  <w:footnote w:id="27">
    <w:p w14:paraId="57739562" w14:textId="627A1C92"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See Earl and Plummer (1965, 145): </w:t>
      </w:r>
      <w:r>
        <w:rPr>
          <w:rFonts w:ascii="Times New Roman" w:hAnsi="Times New Roman" w:cs="Times New Roman"/>
          <w:sz w:val="24"/>
          <w:szCs w:val="24"/>
        </w:rPr>
        <w:t>‘</w:t>
      </w:r>
      <w:r w:rsidRPr="0019599F">
        <w:rPr>
          <w:rFonts w:ascii="Times New Roman" w:hAnsi="Times New Roman" w:cs="Times New Roman"/>
          <w:i/>
          <w:iCs/>
          <w:sz w:val="24"/>
          <w:szCs w:val="24"/>
        </w:rPr>
        <w:t xml:space="preserve">gif he hi rihtlicor healdan wolde þonne he </w:t>
      </w:r>
      <w:r w:rsidRPr="0019599F">
        <w:rPr>
          <w:rFonts w:ascii="Times New Roman" w:hAnsi="Times New Roman" w:cs="Times New Roman"/>
          <w:i/>
          <w:iCs/>
          <w:sz w:val="24"/>
          <w:szCs w:val="24"/>
          <w:lang w:val="da-DK"/>
        </w:rPr>
        <w:t>æ</w:t>
      </w:r>
      <w:r w:rsidRPr="0019599F">
        <w:rPr>
          <w:rFonts w:ascii="Times New Roman" w:hAnsi="Times New Roman" w:cs="Times New Roman"/>
          <w:i/>
          <w:iCs/>
          <w:sz w:val="24"/>
          <w:szCs w:val="24"/>
        </w:rPr>
        <w:t>r dyde.</w:t>
      </w:r>
      <w:r>
        <w:rPr>
          <w:rFonts w:ascii="Times New Roman" w:hAnsi="Times New Roman" w:cs="Times New Roman"/>
          <w:sz w:val="24"/>
          <w:szCs w:val="24"/>
        </w:rPr>
        <w:t>’</w:t>
      </w:r>
    </w:p>
  </w:footnote>
  <w:footnote w:id="28">
    <w:p w14:paraId="0836BE73" w14:textId="77777777" w:rsidR="0053755D" w:rsidRPr="0019599F" w:rsidRDefault="0053755D">
      <w:pPr>
        <w:pStyle w:val="FootnoteText"/>
        <w:rPr>
          <w:sz w:val="24"/>
          <w:szCs w:val="24"/>
        </w:rPr>
      </w:pPr>
      <w:r w:rsidRPr="0019599F">
        <w:rPr>
          <w:sz w:val="24"/>
          <w:szCs w:val="24"/>
          <w:vertAlign w:val="superscript"/>
          <w:lang w:val="it-IT"/>
        </w:rPr>
        <w:footnoteRef/>
      </w:r>
      <w:r w:rsidRPr="0019599F">
        <w:rPr>
          <w:rFonts w:eastAsia="Arial Unicode MS"/>
          <w:sz w:val="24"/>
          <w:szCs w:val="24"/>
        </w:rPr>
        <w:t xml:space="preserve">  </w:t>
      </w:r>
      <w:r w:rsidRPr="0019599F">
        <w:rPr>
          <w:rFonts w:eastAsia="Arial Unicode MS"/>
          <w:i/>
          <w:iCs/>
          <w:sz w:val="24"/>
          <w:szCs w:val="24"/>
        </w:rPr>
        <w:t xml:space="preserve">Juliana </w:t>
      </w:r>
      <w:r w:rsidRPr="0019599F">
        <w:rPr>
          <w:rFonts w:eastAsia="Arial Unicode MS"/>
          <w:sz w:val="24"/>
          <w:szCs w:val="24"/>
        </w:rPr>
        <w:t>is contained in the Exeter Book (fol. 65</w:t>
      </w:r>
      <w:r w:rsidRPr="0019599F">
        <w:rPr>
          <w:rFonts w:eastAsia="Arial Unicode MS"/>
          <w:sz w:val="24"/>
          <w:szCs w:val="24"/>
          <w:vertAlign w:val="superscript"/>
        </w:rPr>
        <w:t>b</w:t>
      </w:r>
      <w:r w:rsidRPr="0019599F">
        <w:rPr>
          <w:rFonts w:eastAsia="Arial Unicode MS"/>
          <w:sz w:val="24"/>
          <w:szCs w:val="24"/>
        </w:rPr>
        <w:t>-76</w:t>
      </w:r>
      <w:r w:rsidRPr="0019599F">
        <w:rPr>
          <w:rFonts w:eastAsia="Arial Unicode MS"/>
          <w:sz w:val="24"/>
          <w:szCs w:val="24"/>
          <w:vertAlign w:val="superscript"/>
        </w:rPr>
        <w:t>a</w:t>
      </w:r>
      <w:r w:rsidRPr="0019599F">
        <w:rPr>
          <w:rFonts w:eastAsia="Arial Unicode MS"/>
          <w:sz w:val="24"/>
          <w:szCs w:val="24"/>
        </w:rPr>
        <w:t>) which is dated to the latter half of the tenth century (Bradley 1995, 199).</w:t>
      </w:r>
    </w:p>
  </w:footnote>
  <w:footnote w:id="29">
    <w:p w14:paraId="37350032" w14:textId="77777777" w:rsidR="0053755D" w:rsidRPr="0019599F" w:rsidRDefault="0053755D">
      <w:pPr>
        <w:pStyle w:val="FootnoteText"/>
        <w:rPr>
          <w:sz w:val="24"/>
          <w:szCs w:val="24"/>
        </w:rPr>
      </w:pPr>
      <w:r w:rsidRPr="0019599F">
        <w:rPr>
          <w:i/>
          <w:iCs/>
          <w:sz w:val="24"/>
          <w:szCs w:val="24"/>
          <w:vertAlign w:val="superscript"/>
        </w:rPr>
        <w:footnoteRef/>
      </w:r>
      <w:r w:rsidRPr="0019599F">
        <w:rPr>
          <w:rFonts w:eastAsia="Arial Unicode MS"/>
          <w:sz w:val="24"/>
          <w:szCs w:val="24"/>
        </w:rPr>
        <w:t xml:space="preserve">  Contained in Cotton Vitellius A xv, the same manuscript as </w:t>
      </w:r>
      <w:r w:rsidRPr="0019599F">
        <w:rPr>
          <w:rFonts w:eastAsia="Arial Unicode MS"/>
          <w:i/>
          <w:iCs/>
          <w:sz w:val="24"/>
          <w:szCs w:val="24"/>
        </w:rPr>
        <w:t>Beowulf</w:t>
      </w:r>
      <w:r w:rsidRPr="0019599F">
        <w:rPr>
          <w:rFonts w:eastAsia="Arial Unicode MS"/>
          <w:sz w:val="24"/>
          <w:szCs w:val="24"/>
        </w:rPr>
        <w:t>, the pertinent sections of which are dated to the latter tenth or earlier eleventh centuries (Bradley 1995, 405; http://www.bl.uk/manuscripts/FullDisplay.aspx?ref=cotton_ms_vitellius_a_xv).</w:t>
      </w:r>
    </w:p>
  </w:footnote>
  <w:footnote w:id="30">
    <w:p w14:paraId="07553D68" w14:textId="2A1F2738" w:rsidR="0053755D" w:rsidRPr="0019599F" w:rsidRDefault="0053755D">
      <w:pPr>
        <w:pStyle w:val="FootnoteText"/>
        <w:rPr>
          <w:sz w:val="24"/>
          <w:szCs w:val="24"/>
        </w:rPr>
      </w:pPr>
      <w:r w:rsidRPr="0019599F">
        <w:rPr>
          <w:i/>
          <w:iCs/>
          <w:sz w:val="24"/>
          <w:szCs w:val="24"/>
          <w:vertAlign w:val="superscript"/>
        </w:rPr>
        <w:footnoteRef/>
      </w:r>
      <w:r w:rsidRPr="0019599F">
        <w:rPr>
          <w:rFonts w:eastAsia="Arial Unicode MS"/>
          <w:sz w:val="24"/>
          <w:szCs w:val="24"/>
        </w:rPr>
        <w:t xml:space="preserve">  Preserved in Cotton Tiberius B i (fol. 115</w:t>
      </w:r>
      <w:r w:rsidRPr="0019599F">
        <w:rPr>
          <w:rFonts w:eastAsia="Arial Unicode MS"/>
          <w:sz w:val="24"/>
          <w:szCs w:val="24"/>
          <w:vertAlign w:val="superscript"/>
        </w:rPr>
        <w:t>a</w:t>
      </w:r>
      <w:r w:rsidRPr="0019599F">
        <w:rPr>
          <w:rFonts w:eastAsia="Arial Unicode MS"/>
          <w:sz w:val="24"/>
          <w:szCs w:val="24"/>
        </w:rPr>
        <w:t>-115</w:t>
      </w:r>
      <w:r w:rsidRPr="0019599F">
        <w:rPr>
          <w:rFonts w:eastAsia="Arial Unicode MS"/>
          <w:sz w:val="24"/>
          <w:szCs w:val="24"/>
          <w:vertAlign w:val="superscript"/>
        </w:rPr>
        <w:t>b</w:t>
      </w:r>
      <w:r w:rsidRPr="0019599F">
        <w:rPr>
          <w:rFonts w:eastAsia="Arial Unicode MS"/>
          <w:sz w:val="24"/>
          <w:szCs w:val="24"/>
        </w:rPr>
        <w:t>)</w:t>
      </w:r>
      <w:r w:rsidR="00FB6199">
        <w:rPr>
          <w:rFonts w:eastAsia="Arial Unicode MS"/>
          <w:sz w:val="24"/>
          <w:szCs w:val="24"/>
        </w:rPr>
        <w:t>,</w:t>
      </w:r>
      <w:r w:rsidRPr="0019599F">
        <w:rPr>
          <w:rFonts w:eastAsia="Arial Unicode MS"/>
          <w:sz w:val="24"/>
          <w:szCs w:val="24"/>
        </w:rPr>
        <w:t xml:space="preserve"> which dates between the eleventh and twelfth centuries (Bradley 1995, 512). http://www.bl.uk/manuscripts/FullDisplay.aspx?ref=Cotton_MS_Tiberius_B_I).</w:t>
      </w:r>
    </w:p>
  </w:footnote>
  <w:footnote w:id="31">
    <w:p w14:paraId="6C217DF2" w14:textId="77777777" w:rsidR="0053755D" w:rsidRPr="0019599F" w:rsidRDefault="0053755D">
      <w:pPr>
        <w:pStyle w:val="FootnoteText"/>
        <w:rPr>
          <w:sz w:val="24"/>
          <w:szCs w:val="24"/>
        </w:rPr>
      </w:pPr>
      <w:r w:rsidRPr="0019599F">
        <w:rPr>
          <w:i/>
          <w:iCs/>
          <w:sz w:val="24"/>
          <w:szCs w:val="24"/>
          <w:vertAlign w:val="superscript"/>
        </w:rPr>
        <w:footnoteRef/>
      </w:r>
      <w:r w:rsidRPr="0019599F">
        <w:rPr>
          <w:rFonts w:eastAsia="Arial Unicode MS"/>
          <w:sz w:val="24"/>
          <w:szCs w:val="24"/>
        </w:rPr>
        <w:t xml:space="preserve">  Also preserved in the Exeter book (fol. 87</w:t>
      </w:r>
      <w:r w:rsidRPr="0019599F">
        <w:rPr>
          <w:rFonts w:eastAsia="Arial Unicode MS"/>
          <w:sz w:val="24"/>
          <w:szCs w:val="24"/>
          <w:vertAlign w:val="superscript"/>
        </w:rPr>
        <w:t>a</w:t>
      </w:r>
      <w:r w:rsidRPr="0019599F">
        <w:rPr>
          <w:rFonts w:eastAsia="Arial Unicode MS"/>
          <w:sz w:val="24"/>
          <w:szCs w:val="24"/>
        </w:rPr>
        <w:t>-88</w:t>
      </w:r>
      <w:r w:rsidRPr="0019599F">
        <w:rPr>
          <w:rFonts w:eastAsia="Arial Unicode MS"/>
          <w:sz w:val="24"/>
          <w:szCs w:val="24"/>
          <w:vertAlign w:val="superscript"/>
        </w:rPr>
        <w:t>b</w:t>
      </w:r>
      <w:r w:rsidRPr="0019599F">
        <w:rPr>
          <w:rFonts w:eastAsia="Arial Unicode MS"/>
          <w:sz w:val="24"/>
          <w:szCs w:val="24"/>
        </w:rPr>
        <w:t>) (Bradley 1995, 341).</w:t>
      </w:r>
    </w:p>
  </w:footnote>
  <w:footnote w:id="32">
    <w:p w14:paraId="0F9AF07F" w14:textId="77777777" w:rsidR="00597894" w:rsidRPr="0019599F" w:rsidRDefault="00597894" w:rsidP="00597894">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Of course, hanging is mentioned in the prose of a number of the sagas in </w:t>
      </w:r>
      <w:r w:rsidRPr="0019599F">
        <w:rPr>
          <w:rFonts w:ascii="Times New Roman" w:hAnsi="Times New Roman" w:cs="Times New Roman"/>
          <w:i/>
          <w:iCs/>
          <w:sz w:val="24"/>
          <w:szCs w:val="24"/>
        </w:rPr>
        <w:t>Heimskringla</w:t>
      </w:r>
      <w:r w:rsidRPr="0019599F">
        <w:rPr>
          <w:rFonts w:ascii="Times New Roman" w:hAnsi="Times New Roman" w:cs="Times New Roman"/>
          <w:sz w:val="24"/>
          <w:szCs w:val="24"/>
        </w:rPr>
        <w:t xml:space="preserve">, but our discussion here, being focused on contemporary and near-contemporary texts, will only focus on the more securely dateable poetic evidence. For a further discussion of state-sanctioned judicial execution and its place in </w:t>
      </w:r>
      <w:r w:rsidRPr="0019599F">
        <w:rPr>
          <w:rFonts w:ascii="Times New Roman" w:hAnsi="Times New Roman" w:cs="Times New Roman"/>
          <w:i/>
          <w:iCs/>
          <w:sz w:val="24"/>
          <w:szCs w:val="24"/>
        </w:rPr>
        <w:t xml:space="preserve">Heimskringla, </w:t>
      </w:r>
      <w:r w:rsidRPr="0019599F">
        <w:rPr>
          <w:rFonts w:ascii="Times New Roman" w:hAnsi="Times New Roman" w:cs="Times New Roman"/>
          <w:sz w:val="24"/>
          <w:szCs w:val="24"/>
        </w:rPr>
        <w:t>see Ruiter (2014).</w:t>
      </w:r>
    </w:p>
  </w:footnote>
  <w:footnote w:id="33">
    <w:p w14:paraId="59767477" w14:textId="1BC718E9" w:rsidR="0053755D" w:rsidRPr="0019599F" w:rsidRDefault="0053755D">
      <w:pPr>
        <w:pStyle w:val="FootnoteText"/>
        <w:rPr>
          <w:sz w:val="24"/>
          <w:szCs w:val="24"/>
        </w:rPr>
      </w:pPr>
      <w:r w:rsidRPr="0019599F">
        <w:rPr>
          <w:rStyle w:val="FootnoteReference"/>
          <w:sz w:val="24"/>
          <w:szCs w:val="24"/>
        </w:rPr>
        <w:footnoteRef/>
      </w:r>
      <w:r w:rsidRPr="0019599F">
        <w:rPr>
          <w:sz w:val="24"/>
          <w:szCs w:val="24"/>
        </w:rPr>
        <w:t xml:space="preserve"> These socio-legal needs and norms, of course, being predominantly controlled and reinforced by the empowered members of the society. For a broader perspective on the socio-legal structure of early Scandinavia, as well as a short overview of research on the legal aspects of this topic, see Brink (2015 &amp; 2014). On the Anglo-Saxon side, Lambert (2017) provides an excellent and up to date examination of kingship, control, and legal development, see especially chapter 9 for an overview (Lambert 2017, 349-364).</w:t>
      </w:r>
    </w:p>
  </w:footnote>
  <w:footnote w:id="34">
    <w:p w14:paraId="299883CA" w14:textId="2D53BF94"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example, consider the paradigmatic use of </w:t>
      </w:r>
      <w:r>
        <w:rPr>
          <w:rFonts w:ascii="Times New Roman" w:hAnsi="Times New Roman" w:cs="Times New Roman"/>
          <w:sz w:val="24"/>
          <w:szCs w:val="24"/>
        </w:rPr>
        <w:t>‘</w:t>
      </w:r>
      <w:r w:rsidRPr="0019599F">
        <w:rPr>
          <w:rFonts w:ascii="Times New Roman" w:hAnsi="Times New Roman" w:cs="Times New Roman"/>
          <w:sz w:val="24"/>
          <w:szCs w:val="24"/>
        </w:rPr>
        <w:t>neck</w:t>
      </w:r>
      <w:r>
        <w:rPr>
          <w:rFonts w:ascii="Times New Roman" w:hAnsi="Times New Roman" w:cs="Times New Roman"/>
          <w:sz w:val="24"/>
          <w:szCs w:val="24"/>
        </w:rPr>
        <w:t>’</w:t>
      </w:r>
      <w:r w:rsidRPr="0019599F">
        <w:rPr>
          <w:rFonts w:ascii="Times New Roman" w:hAnsi="Times New Roman" w:cs="Times New Roman"/>
          <w:sz w:val="24"/>
          <w:szCs w:val="24"/>
        </w:rPr>
        <w:t xml:space="preserve"> and </w:t>
      </w:r>
      <w:r>
        <w:rPr>
          <w:rFonts w:ascii="Times New Roman" w:hAnsi="Times New Roman" w:cs="Times New Roman"/>
          <w:sz w:val="24"/>
          <w:szCs w:val="24"/>
        </w:rPr>
        <w:t>‘</w:t>
      </w:r>
      <w:r w:rsidRPr="0019599F">
        <w:rPr>
          <w:rFonts w:ascii="Times New Roman" w:hAnsi="Times New Roman" w:cs="Times New Roman"/>
          <w:sz w:val="24"/>
          <w:szCs w:val="24"/>
        </w:rPr>
        <w:t>head</w:t>
      </w:r>
      <w:r>
        <w:rPr>
          <w:rFonts w:ascii="Times New Roman" w:hAnsi="Times New Roman" w:cs="Times New Roman"/>
          <w:sz w:val="24"/>
          <w:szCs w:val="24"/>
        </w:rPr>
        <w:t>’</w:t>
      </w:r>
      <w:r w:rsidRPr="0019599F">
        <w:rPr>
          <w:rFonts w:ascii="Times New Roman" w:hAnsi="Times New Roman" w:cs="Times New Roman"/>
          <w:sz w:val="24"/>
          <w:szCs w:val="24"/>
        </w:rPr>
        <w:t xml:space="preserve"> as compensatory payments.</w:t>
      </w:r>
    </w:p>
  </w:footnote>
  <w:footnote w:id="35">
    <w:p w14:paraId="5B04A643" w14:textId="005563E5"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Reynolds considers the various aspects of English deviant burial, ranging from body positioning, to grave alignment, to physical trauma, to geographical distributions of various rites, to manifold effect. He also considers each of these in relation to the Christianization process (Reynolds 2009, 34-60). Aspects of Reynolds</w:t>
      </w:r>
      <w:r>
        <w:rPr>
          <w:rFonts w:ascii="Times New Roman" w:hAnsi="Times New Roman" w:cs="Times New Roman"/>
          <w:sz w:val="24"/>
          <w:szCs w:val="24"/>
        </w:rPr>
        <w:t>’</w:t>
      </w:r>
      <w:r w:rsidRPr="0019599F">
        <w:rPr>
          <w:rFonts w:ascii="Times New Roman" w:hAnsi="Times New Roman" w:cs="Times New Roman"/>
          <w:sz w:val="24"/>
          <w:szCs w:val="24"/>
        </w:rPr>
        <w:t xml:space="preserve">s findings have been problematized recently (Lambert 2012, for example) and nuanced further (Klevnäs 2016a, 2016b and Aspöck 2011, 2015, for example), however, much of his study remains very convincing, particularly when it comes to individual graves and well-documented </w:t>
      </w:r>
      <w:r>
        <w:rPr>
          <w:rFonts w:ascii="Times New Roman" w:hAnsi="Times New Roman" w:cs="Times New Roman"/>
          <w:sz w:val="24"/>
          <w:szCs w:val="24"/>
        </w:rPr>
        <w:t>‘</w:t>
      </w:r>
      <w:r w:rsidRPr="0019599F">
        <w:rPr>
          <w:rFonts w:ascii="Times New Roman" w:hAnsi="Times New Roman" w:cs="Times New Roman"/>
          <w:sz w:val="24"/>
          <w:szCs w:val="24"/>
        </w:rPr>
        <w:t>execution cemeteries</w:t>
      </w:r>
      <w:r>
        <w:rPr>
          <w:rFonts w:ascii="Times New Roman" w:hAnsi="Times New Roman" w:cs="Times New Roman"/>
          <w:sz w:val="24"/>
          <w:szCs w:val="24"/>
        </w:rPr>
        <w:t>’</w:t>
      </w:r>
      <w:r w:rsidRPr="0019599F">
        <w:rPr>
          <w:rFonts w:ascii="Times New Roman" w:hAnsi="Times New Roman" w:cs="Times New Roman"/>
          <w:sz w:val="24"/>
          <w:szCs w:val="24"/>
        </w:rPr>
        <w:t>. It is on these findings that we shall focus our attention.</w:t>
      </w:r>
    </w:p>
  </w:footnote>
  <w:footnote w:id="36">
    <w:p w14:paraId="180099EB"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further detail on the particulars of Walkington Wold, see Buckberry and Hadley (2007).</w:t>
      </w:r>
    </w:p>
  </w:footnote>
  <w:footnote w:id="37">
    <w:p w14:paraId="6A1D9786"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helpful overview of some examples of contemporary grave marking in various contexts, see Sayer (2013, 139).</w:t>
      </w:r>
    </w:p>
  </w:footnote>
  <w:footnote w:id="38">
    <w:p w14:paraId="2D32D8B4"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 comparative example of flint deposits in graves, see the discussion around Winnall II in Klevnäs (2016a, 188), and especially Aspöck (2011; 2015).</w:t>
      </w:r>
    </w:p>
  </w:footnote>
  <w:footnote w:id="39">
    <w:p w14:paraId="12B042EA"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an introduction to deviant burial in Scandinavia, see Gardeła (2013a; 2013b), Price (2007), Riisøy (2015), and Thäte (2007).</w:t>
      </w:r>
    </w:p>
  </w:footnote>
  <w:footnote w:id="40">
    <w:p w14:paraId="0F03D677"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Price (2007) and Svanberg (2003) have both commented extensively on this issue of funerary diversity in Scandinavia.</w:t>
      </w:r>
    </w:p>
  </w:footnote>
  <w:footnote w:id="41">
    <w:p w14:paraId="21474356"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However, consider the points raised by Dutton (2016, 133, 135, 142) regarding the display elements in ritual hanging and in one case of penal hanging described in </w:t>
      </w:r>
      <w:r w:rsidRPr="0019599F">
        <w:rPr>
          <w:rFonts w:ascii="Times New Roman" w:hAnsi="Times New Roman" w:cs="Times New Roman"/>
          <w:i/>
          <w:iCs/>
          <w:sz w:val="24"/>
          <w:szCs w:val="24"/>
        </w:rPr>
        <w:t>Ö</w:t>
      </w:r>
      <w:r w:rsidRPr="0019599F">
        <w:rPr>
          <w:rFonts w:ascii="Times New Roman" w:hAnsi="Times New Roman" w:cs="Times New Roman"/>
          <w:i/>
          <w:iCs/>
          <w:sz w:val="24"/>
          <w:szCs w:val="24"/>
          <w:lang w:val="de-DE"/>
        </w:rPr>
        <w:t>stg</w:t>
      </w:r>
      <w:r w:rsidRPr="0019599F">
        <w:rPr>
          <w:rFonts w:ascii="Times New Roman" w:hAnsi="Times New Roman" w:cs="Times New Roman"/>
          <w:i/>
          <w:iCs/>
          <w:sz w:val="24"/>
          <w:szCs w:val="24"/>
        </w:rPr>
        <w:t>ö</w:t>
      </w:r>
      <w:r w:rsidRPr="0019599F">
        <w:rPr>
          <w:rFonts w:ascii="Times New Roman" w:hAnsi="Times New Roman" w:cs="Times New Roman"/>
          <w:i/>
          <w:iCs/>
          <w:sz w:val="24"/>
          <w:szCs w:val="24"/>
          <w:lang w:val="de-DE"/>
        </w:rPr>
        <w:t xml:space="preserve">talagen </w:t>
      </w:r>
      <w:r w:rsidRPr="0019599F">
        <w:rPr>
          <w:rFonts w:ascii="Times New Roman" w:hAnsi="Times New Roman" w:cs="Times New Roman"/>
          <w:sz w:val="24"/>
          <w:szCs w:val="24"/>
        </w:rPr>
        <w:t xml:space="preserve">stipulating the prolonged display of hanged slaves who had killed freemen. Despite these intriguing points, evidence of weathering and display in the Scandinavian burial corpus is slim indeed. For a longer discussion of especially western Norwegian deviant burials, see Riisøy (2015). </w:t>
      </w:r>
    </w:p>
  </w:footnote>
  <w:footnote w:id="42">
    <w:p w14:paraId="45EF053F" w14:textId="77777777" w:rsidR="0053755D" w:rsidRPr="0019599F" w:rsidRDefault="0053755D">
      <w:pPr>
        <w:pStyle w:val="FootnoteText"/>
        <w:rPr>
          <w:sz w:val="24"/>
          <w:szCs w:val="24"/>
        </w:rPr>
      </w:pPr>
      <w:r w:rsidRPr="0019599F">
        <w:rPr>
          <w:sz w:val="24"/>
          <w:szCs w:val="24"/>
          <w:vertAlign w:val="superscript"/>
        </w:rPr>
        <w:footnoteRef/>
      </w:r>
      <w:r w:rsidRPr="0019599F">
        <w:rPr>
          <w:rFonts w:eastAsia="Arial Unicode MS"/>
          <w:sz w:val="24"/>
          <w:szCs w:val="24"/>
        </w:rPr>
        <w:t xml:space="preserve">  For an intriguing discussion of archaeological evidence for criminal activity in these proto-towns, see Kalmring (2010).</w:t>
      </w:r>
    </w:p>
  </w:footnote>
  <w:footnote w:id="43">
    <w:p w14:paraId="7DA914E7" w14:textId="6FDBC9EC"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Some caveats need to be acknowledged at this juncture. The fragmentary and taphonomically sensitive nature of our archaeological evidence is a significant confound, while many forms of trauma, particularly flesh-wounds, are impossible to identify, and taphonomic processes make even amputations difficult to confidently assess (Reynolds 2009, 96-151).  Moreover, hangings are notoriously difficult to identify v</w:t>
      </w:r>
      <w:r>
        <w:rPr>
          <w:rFonts w:ascii="Times New Roman" w:hAnsi="Times New Roman" w:cs="Times New Roman"/>
          <w:sz w:val="24"/>
          <w:szCs w:val="24"/>
        </w:rPr>
        <w:t>ia current osteological methods</w:t>
      </w:r>
      <w:r w:rsidRPr="0019599F">
        <w:rPr>
          <w:rFonts w:ascii="Times New Roman" w:hAnsi="Times New Roman" w:cs="Times New Roman"/>
          <w:sz w:val="24"/>
          <w:szCs w:val="24"/>
        </w:rPr>
        <w:t xml:space="preserve"> and it is possible that this subset of judicially-executed individuals remains to be discovered (Reynolds 2009, 39).</w:t>
      </w:r>
    </w:p>
  </w:footnote>
  <w:footnote w:id="44">
    <w:p w14:paraId="5A93EC02"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Of course, Knútr did not promulgate all his laws at once; rather, the progression of his legal promulgations is historically significant and no doubt was instrumental to his success despite being an incoming foreign monarch. For a full discussion of this progression and its importance see Wormald (1999, 346-66).</w:t>
      </w:r>
    </w:p>
  </w:footnote>
  <w:footnote w:id="45">
    <w:p w14:paraId="77D1FFEF" w14:textId="76E0C57A"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Earl and Plummer 1965, 149, </w:t>
      </w:r>
      <w:r>
        <w:rPr>
          <w:rFonts w:ascii="Times New Roman" w:hAnsi="Times New Roman" w:cs="Times New Roman"/>
          <w:sz w:val="24"/>
          <w:szCs w:val="24"/>
        </w:rPr>
        <w:t>‘</w:t>
      </w:r>
      <w:r w:rsidRPr="0019599F">
        <w:rPr>
          <w:rFonts w:ascii="Times New Roman" w:hAnsi="Times New Roman" w:cs="Times New Roman"/>
          <w:i/>
          <w:iCs/>
          <w:sz w:val="24"/>
          <w:szCs w:val="24"/>
        </w:rPr>
        <w:t>7 beah ð</w:t>
      </w:r>
      <w:r w:rsidRPr="0019599F">
        <w:rPr>
          <w:rFonts w:ascii="Times New Roman" w:hAnsi="Times New Roman" w:cs="Times New Roman"/>
          <w:i/>
          <w:iCs/>
          <w:sz w:val="24"/>
          <w:szCs w:val="24"/>
          <w:lang w:val="da-DK"/>
        </w:rPr>
        <w:t>a for nyde.</w:t>
      </w:r>
      <w:r>
        <w:rPr>
          <w:rFonts w:ascii="Times New Roman" w:hAnsi="Times New Roman" w:cs="Times New Roman"/>
          <w:i/>
          <w:iCs/>
          <w:sz w:val="24"/>
          <w:szCs w:val="24"/>
        </w:rPr>
        <w:t>’</w:t>
      </w:r>
    </w:p>
  </w:footnote>
  <w:footnote w:id="46">
    <w:p w14:paraId="4E5473A7"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See Townend 2001 and Jesch 2000 for discussions of other Knú</w:t>
      </w:r>
      <w:r w:rsidRPr="0019599F">
        <w:rPr>
          <w:rFonts w:ascii="Times New Roman" w:hAnsi="Times New Roman" w:cs="Times New Roman"/>
          <w:sz w:val="24"/>
          <w:szCs w:val="24"/>
          <w:lang w:val="pt-PT"/>
        </w:rPr>
        <w:t>tr poems.</w:t>
      </w:r>
    </w:p>
  </w:footnote>
  <w:footnote w:id="47">
    <w:p w14:paraId="18E5A304" w14:textId="77777777" w:rsidR="0053755D" w:rsidRPr="0019599F" w:rsidRDefault="0053755D">
      <w:pPr>
        <w:pStyle w:val="BodyA"/>
        <w:spacing w:line="240" w:lineRule="auto"/>
        <w:rPr>
          <w:rFonts w:ascii="Times New Roman" w:hAnsi="Times New Roman" w:cs="Times New Roman"/>
          <w:sz w:val="24"/>
          <w:szCs w:val="24"/>
        </w:rPr>
      </w:pPr>
      <w:r w:rsidRPr="0019599F">
        <w:rPr>
          <w:rFonts w:ascii="Times New Roman" w:eastAsia="Times New Roman" w:hAnsi="Times New Roman" w:cs="Times New Roman"/>
          <w:sz w:val="24"/>
          <w:szCs w:val="24"/>
          <w:vertAlign w:val="superscript"/>
        </w:rPr>
        <w:footnoteRef/>
      </w:r>
      <w:r w:rsidRPr="0019599F">
        <w:rPr>
          <w:rFonts w:ascii="Times New Roman" w:hAnsi="Times New Roman" w:cs="Times New Roman"/>
          <w:sz w:val="24"/>
          <w:szCs w:val="24"/>
        </w:rPr>
        <w:t xml:space="preserve"> For discussions of this relationship, see Thompson (2004, 183-4) and Wormald (1999, 352-5).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E218D" w14:textId="77777777" w:rsidR="0053755D" w:rsidRDefault="0053755D">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B71D" w14:textId="77777777" w:rsidR="0053755D" w:rsidRDefault="0053755D">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sell Poole">
    <w15:presenceInfo w15:providerId="Windows Live" w15:userId="da631a82fad239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FC"/>
    <w:rsid w:val="000616B7"/>
    <w:rsid w:val="00061E83"/>
    <w:rsid w:val="000647F4"/>
    <w:rsid w:val="000707B2"/>
    <w:rsid w:val="0009075D"/>
    <w:rsid w:val="00096560"/>
    <w:rsid w:val="000B0FD6"/>
    <w:rsid w:val="000E7E40"/>
    <w:rsid w:val="0019599F"/>
    <w:rsid w:val="001B4A60"/>
    <w:rsid w:val="001B5298"/>
    <w:rsid w:val="002035B5"/>
    <w:rsid w:val="00215328"/>
    <w:rsid w:val="00216F21"/>
    <w:rsid w:val="002375B5"/>
    <w:rsid w:val="002475B0"/>
    <w:rsid w:val="002652EA"/>
    <w:rsid w:val="00291A9A"/>
    <w:rsid w:val="002B3A6E"/>
    <w:rsid w:val="002B471F"/>
    <w:rsid w:val="002C1667"/>
    <w:rsid w:val="002D424E"/>
    <w:rsid w:val="003010D6"/>
    <w:rsid w:val="00330AFC"/>
    <w:rsid w:val="00341673"/>
    <w:rsid w:val="00367AF2"/>
    <w:rsid w:val="0037007F"/>
    <w:rsid w:val="00373C3C"/>
    <w:rsid w:val="00383978"/>
    <w:rsid w:val="00383B93"/>
    <w:rsid w:val="00393BC7"/>
    <w:rsid w:val="0039437C"/>
    <w:rsid w:val="00397F50"/>
    <w:rsid w:val="003B339D"/>
    <w:rsid w:val="003E4AF2"/>
    <w:rsid w:val="00447853"/>
    <w:rsid w:val="00460911"/>
    <w:rsid w:val="00465164"/>
    <w:rsid w:val="00471009"/>
    <w:rsid w:val="004D5353"/>
    <w:rsid w:val="00525B7D"/>
    <w:rsid w:val="00526D45"/>
    <w:rsid w:val="00536562"/>
    <w:rsid w:val="0053755D"/>
    <w:rsid w:val="0057164B"/>
    <w:rsid w:val="00597894"/>
    <w:rsid w:val="005D0E86"/>
    <w:rsid w:val="005D5DD1"/>
    <w:rsid w:val="005E43D8"/>
    <w:rsid w:val="005E5B5D"/>
    <w:rsid w:val="00646B70"/>
    <w:rsid w:val="006C1290"/>
    <w:rsid w:val="006D6DBD"/>
    <w:rsid w:val="006E2227"/>
    <w:rsid w:val="006E5C7A"/>
    <w:rsid w:val="00705638"/>
    <w:rsid w:val="007662DC"/>
    <w:rsid w:val="00771D42"/>
    <w:rsid w:val="0079308F"/>
    <w:rsid w:val="007B7563"/>
    <w:rsid w:val="007F4FF4"/>
    <w:rsid w:val="007F6A8B"/>
    <w:rsid w:val="008067B5"/>
    <w:rsid w:val="00807A87"/>
    <w:rsid w:val="00814EAD"/>
    <w:rsid w:val="00816D19"/>
    <w:rsid w:val="00843D39"/>
    <w:rsid w:val="008C03F3"/>
    <w:rsid w:val="008C1DC8"/>
    <w:rsid w:val="008E5873"/>
    <w:rsid w:val="00902A86"/>
    <w:rsid w:val="00972F53"/>
    <w:rsid w:val="00983335"/>
    <w:rsid w:val="00993AA0"/>
    <w:rsid w:val="009960A5"/>
    <w:rsid w:val="009D17B7"/>
    <w:rsid w:val="009E3499"/>
    <w:rsid w:val="00A120B7"/>
    <w:rsid w:val="00A4349A"/>
    <w:rsid w:val="00A914B2"/>
    <w:rsid w:val="00AA2C4A"/>
    <w:rsid w:val="00AB19F8"/>
    <w:rsid w:val="00AB1A4D"/>
    <w:rsid w:val="00AB2587"/>
    <w:rsid w:val="00AC494C"/>
    <w:rsid w:val="00AE1179"/>
    <w:rsid w:val="00B46910"/>
    <w:rsid w:val="00B7191E"/>
    <w:rsid w:val="00C0329B"/>
    <w:rsid w:val="00C03B80"/>
    <w:rsid w:val="00C457D5"/>
    <w:rsid w:val="00C63C0E"/>
    <w:rsid w:val="00C83316"/>
    <w:rsid w:val="00C917BC"/>
    <w:rsid w:val="00C9536E"/>
    <w:rsid w:val="00CB3416"/>
    <w:rsid w:val="00CD0F6E"/>
    <w:rsid w:val="00CF703F"/>
    <w:rsid w:val="00D00627"/>
    <w:rsid w:val="00D014A7"/>
    <w:rsid w:val="00D03D40"/>
    <w:rsid w:val="00D05F52"/>
    <w:rsid w:val="00DB7CA5"/>
    <w:rsid w:val="00DD7C7B"/>
    <w:rsid w:val="00DE2511"/>
    <w:rsid w:val="00E10E05"/>
    <w:rsid w:val="00E33C67"/>
    <w:rsid w:val="00E373DD"/>
    <w:rsid w:val="00E57DD4"/>
    <w:rsid w:val="00E61E52"/>
    <w:rsid w:val="00E61F90"/>
    <w:rsid w:val="00EE3477"/>
    <w:rsid w:val="00F157F8"/>
    <w:rsid w:val="00F36B9D"/>
    <w:rsid w:val="00FB6199"/>
    <w:rsid w:val="00FC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styleId="FootnoteText">
    <w:name w:val="footnote text"/>
    <w:rPr>
      <w:rFonts w:eastAsia="Times New Roman"/>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1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A4D"/>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B339D"/>
    <w:rPr>
      <w:b/>
      <w:bCs/>
    </w:rPr>
  </w:style>
  <w:style w:type="character" w:customStyle="1" w:styleId="CommentSubjectChar">
    <w:name w:val="Comment Subject Char"/>
    <w:basedOn w:val="CommentTextChar"/>
    <w:link w:val="CommentSubject"/>
    <w:uiPriority w:val="99"/>
    <w:semiHidden/>
    <w:rsid w:val="003B339D"/>
    <w:rPr>
      <w:b/>
      <w:bCs/>
      <w:lang w:val="en-US" w:eastAsia="en-US"/>
    </w:rPr>
  </w:style>
  <w:style w:type="character" w:styleId="FootnoteReference">
    <w:name w:val="footnote reference"/>
    <w:basedOn w:val="DefaultParagraphFont"/>
    <w:uiPriority w:val="99"/>
    <w:semiHidden/>
    <w:unhideWhenUsed/>
    <w:rsid w:val="00383B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styleId="FootnoteText">
    <w:name w:val="footnote text"/>
    <w:rPr>
      <w:rFonts w:eastAsia="Times New Roman"/>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1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A4D"/>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B339D"/>
    <w:rPr>
      <w:b/>
      <w:bCs/>
    </w:rPr>
  </w:style>
  <w:style w:type="character" w:customStyle="1" w:styleId="CommentSubjectChar">
    <w:name w:val="Comment Subject Char"/>
    <w:basedOn w:val="CommentTextChar"/>
    <w:link w:val="CommentSubject"/>
    <w:uiPriority w:val="99"/>
    <w:semiHidden/>
    <w:rsid w:val="003B339D"/>
    <w:rPr>
      <w:b/>
      <w:bCs/>
      <w:lang w:val="en-US" w:eastAsia="en-US"/>
    </w:rPr>
  </w:style>
  <w:style w:type="character" w:styleId="FootnoteReference">
    <w:name w:val="footnote reference"/>
    <w:basedOn w:val="DefaultParagraphFont"/>
    <w:uiPriority w:val="99"/>
    <w:semiHidden/>
    <w:unhideWhenUsed/>
    <w:rsid w:val="00383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F64A82EC.dotm</Template>
  <TotalTime>0</TotalTime>
  <Pages>29</Pages>
  <Words>13059</Words>
  <Characters>74439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Ashby</dc:creator>
  <cp:lastModifiedBy>Steve Ashby</cp:lastModifiedBy>
  <cp:revision>2</cp:revision>
  <dcterms:created xsi:type="dcterms:W3CDTF">2018-11-26T17:13:00Z</dcterms:created>
  <dcterms:modified xsi:type="dcterms:W3CDTF">2018-11-26T17:13:00Z</dcterms:modified>
</cp:coreProperties>
</file>