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0832E" w14:textId="77777777" w:rsidR="004B6B7E" w:rsidRPr="00B00B3F" w:rsidRDefault="001F6460">
      <w:pPr>
        <w:jc w:val="center"/>
        <w:rPr>
          <w:rFonts w:ascii="Times New Roman" w:eastAsia="Times New Roman" w:hAnsi="Times New Roman" w:cs="Times New Roman"/>
          <w:b/>
          <w:sz w:val="32"/>
          <w:szCs w:val="28"/>
        </w:rPr>
      </w:pPr>
      <w:bookmarkStart w:id="0" w:name="_GoBack"/>
      <w:bookmarkEnd w:id="0"/>
      <w:r w:rsidRPr="00B00B3F">
        <w:rPr>
          <w:rFonts w:ascii="Times New Roman" w:eastAsia="Times New Roman" w:hAnsi="Times New Roman" w:cs="Times New Roman"/>
          <w:b/>
          <w:sz w:val="32"/>
          <w:szCs w:val="28"/>
        </w:rPr>
        <w:t>‘Generations’</w:t>
      </w:r>
    </w:p>
    <w:p w14:paraId="68F58A4C" w14:textId="77777777" w:rsidR="004B6B7E" w:rsidRPr="00B00B3F" w:rsidRDefault="001F6460">
      <w:pPr>
        <w:jc w:val="center"/>
        <w:rPr>
          <w:rFonts w:ascii="Times New Roman" w:eastAsia="Times New Roman" w:hAnsi="Times New Roman" w:cs="Times New Roman"/>
          <w:b/>
          <w:sz w:val="24"/>
          <w:szCs w:val="28"/>
        </w:rPr>
      </w:pPr>
      <w:r w:rsidRPr="00B00B3F">
        <w:rPr>
          <w:rFonts w:ascii="Times New Roman" w:eastAsia="Times New Roman" w:hAnsi="Times New Roman" w:cs="Times New Roman"/>
          <w:b/>
          <w:sz w:val="24"/>
          <w:szCs w:val="28"/>
        </w:rPr>
        <w:t xml:space="preserve">Trev Broughton </w:t>
      </w:r>
      <w:r w:rsidR="00FE6237" w:rsidRPr="00B00B3F">
        <w:rPr>
          <w:rFonts w:ascii="Times New Roman" w:eastAsia="Times New Roman" w:hAnsi="Times New Roman" w:cs="Times New Roman"/>
          <w:b/>
          <w:sz w:val="24"/>
          <w:szCs w:val="28"/>
        </w:rPr>
        <w:t xml:space="preserve">(University of York) </w:t>
      </w:r>
      <w:r w:rsidRPr="00B00B3F">
        <w:rPr>
          <w:rFonts w:ascii="Times New Roman" w:eastAsia="Times New Roman" w:hAnsi="Times New Roman" w:cs="Times New Roman"/>
          <w:b/>
          <w:sz w:val="24"/>
          <w:szCs w:val="28"/>
        </w:rPr>
        <w:t>and Helen Kingstone</w:t>
      </w:r>
      <w:r w:rsidR="00FE6237" w:rsidRPr="00B00B3F">
        <w:rPr>
          <w:rFonts w:ascii="Times New Roman" w:eastAsia="Times New Roman" w:hAnsi="Times New Roman" w:cs="Times New Roman"/>
          <w:b/>
          <w:sz w:val="24"/>
          <w:szCs w:val="28"/>
        </w:rPr>
        <w:t xml:space="preserve"> (University of Glasgow)</w:t>
      </w:r>
    </w:p>
    <w:p w14:paraId="2EC778ED" w14:textId="77777777" w:rsidR="004B6B7E" w:rsidRPr="00B00B3F" w:rsidRDefault="004B6B7E">
      <w:pPr>
        <w:rPr>
          <w:rFonts w:ascii="Times New Roman" w:eastAsia="Times New Roman" w:hAnsi="Times New Roman" w:cs="Times New Roman"/>
          <w:sz w:val="24"/>
          <w:szCs w:val="24"/>
        </w:rPr>
      </w:pPr>
    </w:p>
    <w:p w14:paraId="3576E47B" w14:textId="77777777" w:rsidR="004B6B7E" w:rsidRPr="00B00B3F" w:rsidRDefault="001F6460">
      <w:pPr>
        <w:rPr>
          <w:rFonts w:ascii="Times New Roman" w:eastAsia="Times New Roman" w:hAnsi="Times New Roman" w:cs="Times New Roman"/>
          <w:sz w:val="24"/>
          <w:szCs w:val="24"/>
        </w:rPr>
      </w:pPr>
      <w:r w:rsidRPr="00B00B3F">
        <w:rPr>
          <w:rFonts w:ascii="Times New Roman" w:eastAsia="Times New Roman" w:hAnsi="Times New Roman" w:cs="Times New Roman"/>
          <w:sz w:val="24"/>
          <w:szCs w:val="24"/>
        </w:rPr>
        <w:t>The term ‘generations’ is everywhere. Successive demographic cohorts are construed as being in zero-sum competition over authority, airtime, resources or power.</w:t>
      </w:r>
      <w:r w:rsidRPr="00B00B3F">
        <w:rPr>
          <w:rStyle w:val="FootnoteReference"/>
          <w:rFonts w:ascii="Times New Roman" w:hAnsi="Times New Roman" w:cs="Times New Roman"/>
        </w:rPr>
        <w:footnoteReference w:id="1"/>
      </w:r>
      <w:r w:rsidRPr="00B00B3F">
        <w:rPr>
          <w:rFonts w:ascii="Times New Roman" w:eastAsia="Times New Roman" w:hAnsi="Times New Roman" w:cs="Times New Roman"/>
          <w:sz w:val="24"/>
          <w:szCs w:val="24"/>
        </w:rPr>
        <w:t xml:space="preserve"> In the British press, for instance, it is commonplace to see the interests of newly pensionable ‘</w:t>
      </w:r>
      <w:proofErr w:type="spellStart"/>
      <w:r w:rsidRPr="00B00B3F">
        <w:rPr>
          <w:rFonts w:ascii="Times New Roman" w:eastAsia="Times New Roman" w:hAnsi="Times New Roman" w:cs="Times New Roman"/>
          <w:sz w:val="24"/>
          <w:szCs w:val="24"/>
        </w:rPr>
        <w:t>babyboomers</w:t>
      </w:r>
      <w:proofErr w:type="spellEnd"/>
      <w:r w:rsidRPr="00B00B3F">
        <w:rPr>
          <w:rFonts w:ascii="Times New Roman" w:eastAsia="Times New Roman" w:hAnsi="Times New Roman" w:cs="Times New Roman"/>
          <w:sz w:val="24"/>
          <w:szCs w:val="24"/>
        </w:rPr>
        <w:t xml:space="preserve">’ pitted against those of ‘millennials,’ and for such rivalry to be seen as personal, structural, or both. From serious sociological and economic analysis to pop-quiz punditry, it is taken for granted that the idea of a generation is useful. In cultural historiography, too, the term is ascribed explanatory force: first and second generation Romantic poets, ‘Bloomsbury’ defying ‘Victorian’ and so on. In practice, however, such commentaries often rely on ahistorical assumptions about the meanings of age-identity (‘child’ versus ‘adult’), Freudian accounts of family structure (child </w:t>
      </w:r>
      <w:r w:rsidRPr="00B00B3F">
        <w:rPr>
          <w:rFonts w:ascii="Times New Roman" w:eastAsia="Times New Roman" w:hAnsi="Times New Roman" w:cs="Times New Roman"/>
          <w:i/>
          <w:sz w:val="24"/>
          <w:szCs w:val="24"/>
        </w:rPr>
        <w:t>vis-à-vis</w:t>
      </w:r>
      <w:r w:rsidRPr="00B00B3F">
        <w:rPr>
          <w:rFonts w:ascii="Times New Roman" w:eastAsia="Times New Roman" w:hAnsi="Times New Roman" w:cs="Times New Roman"/>
          <w:sz w:val="24"/>
          <w:szCs w:val="24"/>
        </w:rPr>
        <w:t xml:space="preserve"> parent) and dialectical readings of historical change (such as revolution/reaction). So does the term do more than offer a crude signpost to </w:t>
      </w:r>
      <w:r w:rsidRPr="00B00B3F">
        <w:rPr>
          <w:rFonts w:ascii="Times New Roman" w:eastAsia="Times New Roman" w:hAnsi="Times New Roman" w:cs="Times New Roman"/>
          <w:sz w:val="24"/>
          <w:szCs w:val="24"/>
          <w:highlight w:val="white"/>
        </w:rPr>
        <w:t>social context and a checklist of remembered ephemera?</w:t>
      </w:r>
      <w:r w:rsidRPr="00B00B3F">
        <w:rPr>
          <w:rStyle w:val="FootnoteReference"/>
          <w:rFonts w:ascii="Times New Roman" w:hAnsi="Times New Roman" w:cs="Times New Roman"/>
        </w:rPr>
        <w:footnoteReference w:id="2"/>
      </w:r>
      <w:r w:rsidRPr="00B00B3F">
        <w:rPr>
          <w:rFonts w:ascii="Times New Roman" w:eastAsia="Times New Roman" w:hAnsi="Times New Roman" w:cs="Times New Roman"/>
          <w:sz w:val="24"/>
          <w:szCs w:val="24"/>
        </w:rPr>
        <w:t xml:space="preserve"> What is its value as a heuristic?</w:t>
      </w:r>
    </w:p>
    <w:p w14:paraId="2D2807FE" w14:textId="77777777" w:rsidR="004B6B7E" w:rsidRPr="00B00B3F" w:rsidRDefault="004B6B7E">
      <w:pPr>
        <w:rPr>
          <w:rFonts w:ascii="Times New Roman" w:eastAsia="Times New Roman" w:hAnsi="Times New Roman" w:cs="Times New Roman"/>
          <w:sz w:val="24"/>
          <w:szCs w:val="24"/>
        </w:rPr>
      </w:pPr>
    </w:p>
    <w:p w14:paraId="73C775C9" w14:textId="77777777" w:rsidR="004B6B7E" w:rsidRPr="00B00B3F" w:rsidRDefault="001F6460">
      <w:pPr>
        <w:ind w:right="20"/>
        <w:rPr>
          <w:rFonts w:ascii="Times New Roman" w:eastAsia="Times New Roman" w:hAnsi="Times New Roman" w:cs="Times New Roman"/>
          <w:sz w:val="24"/>
          <w:szCs w:val="24"/>
        </w:rPr>
      </w:pPr>
      <w:r w:rsidRPr="00B00B3F">
        <w:rPr>
          <w:rFonts w:ascii="Times New Roman" w:eastAsia="Times New Roman" w:hAnsi="Times New Roman" w:cs="Times New Roman"/>
          <w:sz w:val="24"/>
          <w:szCs w:val="24"/>
        </w:rPr>
        <w:t xml:space="preserve">The term ‘generations’ can point either laterally or vertically: across to an imagined cohort stratum, or up/down to other generations. In literary theory the idea of strife between poets and their precursors, broadly cast as sons and fathers in an Oedipal clinch and theorised from the perspective of the sons, has had critical purchase since Harold Bloom’s </w:t>
      </w:r>
      <w:r w:rsidRPr="00B00B3F">
        <w:rPr>
          <w:rFonts w:ascii="Times New Roman" w:eastAsia="Times New Roman" w:hAnsi="Times New Roman" w:cs="Times New Roman"/>
          <w:i/>
          <w:sz w:val="24"/>
          <w:szCs w:val="24"/>
        </w:rPr>
        <w:t xml:space="preserve">The Anxiety of Influence </w:t>
      </w:r>
      <w:r w:rsidRPr="00B00B3F">
        <w:rPr>
          <w:rFonts w:ascii="Times New Roman" w:eastAsia="Times New Roman" w:hAnsi="Times New Roman" w:cs="Times New Roman"/>
          <w:sz w:val="24"/>
          <w:szCs w:val="24"/>
        </w:rPr>
        <w:t>(1973).</w:t>
      </w:r>
      <w:r w:rsidRPr="00B00B3F">
        <w:rPr>
          <w:rStyle w:val="FootnoteReference"/>
          <w:rFonts w:ascii="Times New Roman" w:hAnsi="Times New Roman" w:cs="Times New Roman"/>
        </w:rPr>
        <w:footnoteReference w:id="3"/>
      </w:r>
      <w:r w:rsidRPr="00B00B3F">
        <w:rPr>
          <w:rFonts w:ascii="Times New Roman" w:eastAsia="Times New Roman" w:hAnsi="Times New Roman" w:cs="Times New Roman"/>
          <w:i/>
          <w:sz w:val="24"/>
          <w:szCs w:val="24"/>
        </w:rPr>
        <w:t xml:space="preserve"> </w:t>
      </w:r>
      <w:r w:rsidRPr="00B00B3F">
        <w:rPr>
          <w:rFonts w:ascii="Times New Roman" w:eastAsia="Times New Roman" w:hAnsi="Times New Roman" w:cs="Times New Roman"/>
          <w:sz w:val="24"/>
          <w:szCs w:val="24"/>
        </w:rPr>
        <w:t xml:space="preserve">Victorian literary history can appear to endorse the Bloomian paradigm: think of the generational confrontations depicted in Samuel Butler’s </w:t>
      </w:r>
      <w:r w:rsidRPr="00B00B3F">
        <w:rPr>
          <w:rFonts w:ascii="Times New Roman" w:eastAsia="Times New Roman" w:hAnsi="Times New Roman" w:cs="Times New Roman"/>
          <w:i/>
          <w:sz w:val="24"/>
          <w:szCs w:val="24"/>
        </w:rPr>
        <w:t xml:space="preserve">The Way of All Flesh </w:t>
      </w:r>
      <w:r w:rsidRPr="00B00B3F">
        <w:rPr>
          <w:rFonts w:ascii="Times New Roman" w:eastAsia="Times New Roman" w:hAnsi="Times New Roman" w:cs="Times New Roman"/>
          <w:sz w:val="24"/>
          <w:szCs w:val="24"/>
        </w:rPr>
        <w:t xml:space="preserve">(1903) or Edmund Gosse’s </w:t>
      </w:r>
      <w:r w:rsidRPr="00B00B3F">
        <w:rPr>
          <w:rFonts w:ascii="Times New Roman" w:eastAsia="Times New Roman" w:hAnsi="Times New Roman" w:cs="Times New Roman"/>
          <w:i/>
          <w:sz w:val="24"/>
          <w:szCs w:val="24"/>
        </w:rPr>
        <w:t>Father and Son</w:t>
      </w:r>
      <w:r w:rsidRPr="00B00B3F">
        <w:rPr>
          <w:rFonts w:ascii="Times New Roman" w:eastAsia="Times New Roman" w:hAnsi="Times New Roman" w:cs="Times New Roman"/>
          <w:sz w:val="24"/>
          <w:szCs w:val="24"/>
        </w:rPr>
        <w:t xml:space="preserve"> (1907). Such instances, however, suggest the contingency as well as the force of the model </w:t>
      </w:r>
      <w:r w:rsidR="000A0B06" w:rsidRPr="00B00B3F">
        <w:rPr>
          <w:rFonts w:ascii="Times New Roman" w:eastAsia="Times New Roman" w:hAnsi="Times New Roman" w:cs="Times New Roman"/>
          <w:sz w:val="24"/>
          <w:szCs w:val="24"/>
        </w:rPr>
        <w:t>–</w:t>
      </w:r>
      <w:r w:rsidRPr="00B00B3F">
        <w:rPr>
          <w:rFonts w:ascii="Times New Roman" w:eastAsia="Times New Roman" w:hAnsi="Times New Roman" w:cs="Times New Roman"/>
          <w:sz w:val="24"/>
          <w:szCs w:val="24"/>
        </w:rPr>
        <w:t xml:space="preserve"> the likelihood, for example, that Butler’s and Gosse’s representations of generational conflict were shaped by their shared consciousness of Darwinian thought.</w:t>
      </w:r>
    </w:p>
    <w:p w14:paraId="45FE8A0B" w14:textId="77777777" w:rsidR="004B6B7E" w:rsidRPr="00B00B3F" w:rsidRDefault="004B6B7E">
      <w:pPr>
        <w:ind w:right="20"/>
        <w:rPr>
          <w:rFonts w:ascii="Times New Roman" w:eastAsia="Times New Roman" w:hAnsi="Times New Roman" w:cs="Times New Roman"/>
          <w:sz w:val="24"/>
          <w:szCs w:val="24"/>
        </w:rPr>
      </w:pPr>
    </w:p>
    <w:p w14:paraId="5102A2BC" w14:textId="77777777" w:rsidR="004B6B7E" w:rsidRPr="00B00B3F" w:rsidRDefault="001F6460">
      <w:pPr>
        <w:rPr>
          <w:rFonts w:ascii="Times New Roman" w:eastAsia="Times New Roman" w:hAnsi="Times New Roman" w:cs="Times New Roman"/>
          <w:sz w:val="24"/>
          <w:szCs w:val="24"/>
        </w:rPr>
      </w:pPr>
      <w:r w:rsidRPr="00B00B3F">
        <w:rPr>
          <w:rFonts w:ascii="Times New Roman" w:eastAsia="Times New Roman" w:hAnsi="Times New Roman" w:cs="Times New Roman"/>
          <w:sz w:val="24"/>
          <w:szCs w:val="24"/>
        </w:rPr>
        <w:t xml:space="preserve">This kind of vertical parent-child face-off may be most salient for those with a collective identity to prove like the Bloomsbury set, or for only children like Gosse junior. It is perhaps less relevant in large multi-child families, where the older siblings may be raising younger siblings, or reaching maturity and having children of their own while the youngest are still at home, or indeed in a working-class dynamic where children join the wage-earning or productive part of the family. If we consider the operative unit to be the household, the </w:t>
      </w:r>
      <w:r w:rsidRPr="00B00B3F">
        <w:rPr>
          <w:rFonts w:ascii="Times New Roman" w:eastAsia="Times New Roman" w:hAnsi="Times New Roman" w:cs="Times New Roman"/>
          <w:sz w:val="24"/>
          <w:szCs w:val="24"/>
        </w:rPr>
        <w:lastRenderedPageBreak/>
        <w:t>association or neighbourhood rather than some imagined version of the nuclear family, the Oedipal model of generational competition comes under pressure.</w:t>
      </w:r>
      <w:r w:rsidRPr="00B00B3F">
        <w:rPr>
          <w:rStyle w:val="FootnoteReference"/>
          <w:rFonts w:ascii="Times New Roman" w:hAnsi="Times New Roman" w:cs="Times New Roman"/>
        </w:rPr>
        <w:footnoteReference w:id="4"/>
      </w:r>
      <w:r w:rsidRPr="00B00B3F">
        <w:rPr>
          <w:rFonts w:ascii="Times New Roman" w:eastAsia="Times New Roman" w:hAnsi="Times New Roman" w:cs="Times New Roman"/>
          <w:sz w:val="24"/>
          <w:szCs w:val="24"/>
        </w:rPr>
        <w:t xml:space="preserve"> </w:t>
      </w:r>
    </w:p>
    <w:p w14:paraId="6D29DEDC" w14:textId="77777777" w:rsidR="004B6B7E" w:rsidRPr="00B00B3F" w:rsidRDefault="004B6B7E">
      <w:pPr>
        <w:rPr>
          <w:rFonts w:ascii="Times New Roman" w:eastAsia="Times New Roman" w:hAnsi="Times New Roman" w:cs="Times New Roman"/>
          <w:sz w:val="24"/>
          <w:szCs w:val="24"/>
        </w:rPr>
      </w:pPr>
    </w:p>
    <w:p w14:paraId="7A579295" w14:textId="77777777" w:rsidR="004B6B7E" w:rsidRPr="00B00B3F" w:rsidRDefault="001F6460" w:rsidP="00EB4B44">
      <w:pPr>
        <w:spacing w:after="120"/>
        <w:ind w:right="23"/>
        <w:rPr>
          <w:rFonts w:ascii="Times New Roman" w:eastAsia="Times New Roman" w:hAnsi="Times New Roman" w:cs="Times New Roman"/>
          <w:sz w:val="24"/>
          <w:szCs w:val="24"/>
        </w:rPr>
      </w:pPr>
      <w:r w:rsidRPr="00B00B3F">
        <w:rPr>
          <w:rFonts w:ascii="Times New Roman" w:eastAsia="Times New Roman" w:hAnsi="Times New Roman" w:cs="Times New Roman"/>
          <w:sz w:val="24"/>
          <w:szCs w:val="24"/>
        </w:rPr>
        <w:t>Since the Victorian period, the theorist arguing most forcibly for the significance of generation as a sociological category was Karl Mannheim, whose seminal essay ‘The Problem of Generations’ (1952) asked his reader to imagine ‘what the social life of man would be like if one generation lived on forever and none followed to replace it.’</w:t>
      </w:r>
      <w:r w:rsidRPr="00B00B3F">
        <w:rPr>
          <w:rStyle w:val="FootnoteReference"/>
          <w:rFonts w:ascii="Times New Roman" w:hAnsi="Times New Roman" w:cs="Times New Roman"/>
        </w:rPr>
        <w:footnoteReference w:id="5"/>
      </w:r>
      <w:r w:rsidRPr="00B00B3F">
        <w:rPr>
          <w:rFonts w:ascii="Times New Roman" w:eastAsia="Times New Roman" w:hAnsi="Times New Roman" w:cs="Times New Roman"/>
          <w:sz w:val="24"/>
          <w:szCs w:val="24"/>
        </w:rPr>
        <w:t xml:space="preserve"> He used this hypothetical scenario to demonstrate that the continual supersession of one generation by another needed to be factored into analyses. While his model has been criticised for over-simplifying and conflating age and cohort,</w:t>
      </w:r>
      <w:r w:rsidRPr="00B00B3F">
        <w:rPr>
          <w:rStyle w:val="FootnoteReference"/>
          <w:rFonts w:ascii="Times New Roman" w:hAnsi="Times New Roman" w:cs="Times New Roman"/>
        </w:rPr>
        <w:footnoteReference w:id="6"/>
      </w:r>
      <w:r w:rsidRPr="00B00B3F">
        <w:rPr>
          <w:rFonts w:ascii="Times New Roman" w:eastAsia="Times New Roman" w:hAnsi="Times New Roman" w:cs="Times New Roman"/>
          <w:sz w:val="24"/>
          <w:szCs w:val="24"/>
        </w:rPr>
        <w:t xml:space="preserve"> he acknowledges and challenges these distinctions: </w:t>
      </w:r>
    </w:p>
    <w:p w14:paraId="0C9F574B" w14:textId="77777777" w:rsidR="004B6B7E" w:rsidRPr="00B00B3F" w:rsidRDefault="001F6460" w:rsidP="00FE6237">
      <w:pPr>
        <w:spacing w:after="120"/>
        <w:ind w:left="720" w:right="660"/>
        <w:rPr>
          <w:rFonts w:ascii="Times New Roman" w:eastAsia="Times New Roman" w:hAnsi="Times New Roman" w:cs="Times New Roman"/>
          <w:sz w:val="24"/>
          <w:szCs w:val="24"/>
        </w:rPr>
      </w:pPr>
      <w:r w:rsidRPr="00B00B3F">
        <w:rPr>
          <w:rFonts w:ascii="Times New Roman" w:eastAsia="Times New Roman" w:hAnsi="Times New Roman" w:cs="Times New Roman"/>
          <w:sz w:val="24"/>
          <w:szCs w:val="24"/>
        </w:rPr>
        <w:t xml:space="preserve">do we put the [Prussian] peasants, scattered as they are in remote districts and almost untouched by current upheavals, in a common actual generation group with the urban youth of the same period? Certainly not! … [But] they are similarly located, in so far as they are </w:t>
      </w:r>
      <w:r w:rsidRPr="00B00B3F">
        <w:rPr>
          <w:rFonts w:ascii="Times New Roman" w:eastAsia="Times New Roman" w:hAnsi="Times New Roman" w:cs="Times New Roman"/>
          <w:i/>
          <w:sz w:val="24"/>
          <w:szCs w:val="24"/>
        </w:rPr>
        <w:t>potentially</w:t>
      </w:r>
      <w:r w:rsidRPr="00B00B3F">
        <w:rPr>
          <w:rFonts w:ascii="Times New Roman" w:eastAsia="Times New Roman" w:hAnsi="Times New Roman" w:cs="Times New Roman"/>
          <w:sz w:val="24"/>
          <w:szCs w:val="24"/>
        </w:rPr>
        <w:t xml:space="preserve"> capable of being sucked into the vortex of social change.</w:t>
      </w:r>
      <w:r w:rsidRPr="00B00B3F">
        <w:rPr>
          <w:rStyle w:val="FootnoteReference"/>
          <w:rFonts w:ascii="Times New Roman" w:hAnsi="Times New Roman" w:cs="Times New Roman"/>
        </w:rPr>
        <w:footnoteReference w:id="7"/>
      </w:r>
      <w:r w:rsidRPr="00B00B3F">
        <w:rPr>
          <w:rFonts w:ascii="Times New Roman" w:eastAsia="Times New Roman" w:hAnsi="Times New Roman" w:cs="Times New Roman"/>
          <w:sz w:val="24"/>
          <w:szCs w:val="24"/>
        </w:rPr>
        <w:t xml:space="preserve"> </w:t>
      </w:r>
    </w:p>
    <w:p w14:paraId="57E480C8" w14:textId="77777777" w:rsidR="004B6B7E" w:rsidRPr="00B00B3F" w:rsidRDefault="001F6460">
      <w:pPr>
        <w:ind w:right="20"/>
        <w:rPr>
          <w:rFonts w:ascii="Times New Roman" w:eastAsia="Times New Roman" w:hAnsi="Times New Roman" w:cs="Times New Roman"/>
          <w:sz w:val="24"/>
          <w:szCs w:val="24"/>
        </w:rPr>
      </w:pPr>
      <w:r w:rsidRPr="00B00B3F">
        <w:rPr>
          <w:rFonts w:ascii="Times New Roman" w:eastAsia="Times New Roman" w:hAnsi="Times New Roman" w:cs="Times New Roman"/>
          <w:sz w:val="24"/>
          <w:szCs w:val="24"/>
        </w:rPr>
        <w:t>Mannheim’s initial exploration thus offers a rallying-point around which later scholars of generation have clustered.</w:t>
      </w:r>
      <w:r w:rsidRPr="00B00B3F">
        <w:rPr>
          <w:rStyle w:val="FootnoteReference"/>
          <w:rFonts w:ascii="Times New Roman" w:hAnsi="Times New Roman" w:cs="Times New Roman"/>
        </w:rPr>
        <w:footnoteReference w:id="8"/>
      </w:r>
      <w:r w:rsidRPr="00B00B3F">
        <w:rPr>
          <w:rFonts w:ascii="Times New Roman" w:eastAsia="Times New Roman" w:hAnsi="Times New Roman" w:cs="Times New Roman"/>
          <w:sz w:val="24"/>
          <w:szCs w:val="24"/>
        </w:rPr>
        <w:t xml:space="preserve"> </w:t>
      </w:r>
    </w:p>
    <w:p w14:paraId="742D5CC2" w14:textId="77777777" w:rsidR="004B6B7E" w:rsidRPr="00B00B3F" w:rsidRDefault="004B6B7E">
      <w:pPr>
        <w:ind w:right="20"/>
        <w:rPr>
          <w:rFonts w:ascii="Times New Roman" w:eastAsia="Times New Roman" w:hAnsi="Times New Roman" w:cs="Times New Roman"/>
          <w:sz w:val="24"/>
          <w:szCs w:val="24"/>
        </w:rPr>
      </w:pPr>
    </w:p>
    <w:p w14:paraId="0B4C7218" w14:textId="77777777" w:rsidR="004B6B7E" w:rsidRPr="00B00B3F" w:rsidRDefault="001F6460" w:rsidP="00EB4B44">
      <w:pPr>
        <w:spacing w:after="120"/>
        <w:ind w:right="23"/>
        <w:rPr>
          <w:rFonts w:ascii="Times New Roman" w:eastAsia="Times New Roman" w:hAnsi="Times New Roman" w:cs="Times New Roman"/>
          <w:sz w:val="24"/>
          <w:szCs w:val="24"/>
        </w:rPr>
      </w:pPr>
      <w:r w:rsidRPr="00B00B3F">
        <w:rPr>
          <w:rFonts w:ascii="Times New Roman" w:eastAsia="Times New Roman" w:hAnsi="Times New Roman" w:cs="Times New Roman"/>
          <w:sz w:val="24"/>
          <w:szCs w:val="24"/>
        </w:rPr>
        <w:t xml:space="preserve">One of the few current Victorianists to take up Mannheim’s challenge is Martin Hewitt, who has recently revived attention to this keyword, arguing that Victorianists use ‘generation’ anachronistically. The Victorian period itself </w:t>
      </w:r>
    </w:p>
    <w:p w14:paraId="0EC1C0B0" w14:textId="77777777" w:rsidR="004B6B7E" w:rsidRPr="00B00B3F" w:rsidRDefault="001F6460" w:rsidP="00FE6237">
      <w:pPr>
        <w:spacing w:after="120"/>
        <w:ind w:left="720"/>
        <w:rPr>
          <w:rFonts w:ascii="Times New Roman" w:eastAsia="Times New Roman" w:hAnsi="Times New Roman" w:cs="Times New Roman"/>
          <w:sz w:val="24"/>
          <w:szCs w:val="24"/>
        </w:rPr>
      </w:pPr>
      <w:r w:rsidRPr="00B00B3F">
        <w:rPr>
          <w:rFonts w:ascii="Times New Roman" w:eastAsia="Times New Roman" w:hAnsi="Times New Roman" w:cs="Times New Roman"/>
          <w:sz w:val="24"/>
          <w:szCs w:val="24"/>
        </w:rPr>
        <w:lastRenderedPageBreak/>
        <w:t xml:space="preserve">offers few of the sorts of movements of generational revolt visible in the subsequent century, and indeed there was nothing in Victorian self-conceptions to match the readiness with which they themselves interpreted the contemporary history of the European continent in broad generational patterns.’ </w:t>
      </w:r>
    </w:p>
    <w:p w14:paraId="3A09DBBB" w14:textId="77777777" w:rsidR="004B6B7E" w:rsidRPr="00B00B3F" w:rsidRDefault="001F6460">
      <w:pPr>
        <w:ind w:right="20"/>
        <w:rPr>
          <w:rFonts w:ascii="Times New Roman" w:eastAsia="Times New Roman" w:hAnsi="Times New Roman" w:cs="Times New Roman"/>
          <w:sz w:val="24"/>
          <w:szCs w:val="24"/>
        </w:rPr>
      </w:pPr>
      <w:r w:rsidRPr="00B00B3F">
        <w:rPr>
          <w:rFonts w:ascii="Times New Roman" w:eastAsia="Times New Roman" w:hAnsi="Times New Roman" w:cs="Times New Roman"/>
          <w:sz w:val="24"/>
          <w:szCs w:val="24"/>
        </w:rPr>
        <w:t>He suggests that Victorians themselves understood generation as ‘less a matter of rupture than of modulation’. He shows for instance how the history of ideas maps onto the birth dates (and shared historical experiences) of contributors to high-status periodicals, highlighting ‘generational effects’ that can include stagnation as well as change.</w:t>
      </w:r>
      <w:r w:rsidRPr="00B00B3F">
        <w:rPr>
          <w:rStyle w:val="FootnoteReference"/>
          <w:rFonts w:ascii="Times New Roman" w:hAnsi="Times New Roman" w:cs="Times New Roman"/>
        </w:rPr>
        <w:footnoteReference w:id="9"/>
      </w:r>
      <w:r w:rsidRPr="00B00B3F">
        <w:rPr>
          <w:rFonts w:ascii="Times New Roman" w:eastAsia="Times New Roman" w:hAnsi="Times New Roman" w:cs="Times New Roman"/>
          <w:sz w:val="24"/>
          <w:szCs w:val="24"/>
        </w:rPr>
        <w:t xml:space="preserve"> </w:t>
      </w:r>
    </w:p>
    <w:p w14:paraId="273F6CD4" w14:textId="77777777" w:rsidR="004B6B7E" w:rsidRPr="00B00B3F" w:rsidRDefault="004B6B7E">
      <w:pPr>
        <w:ind w:right="20"/>
        <w:rPr>
          <w:rFonts w:ascii="Times New Roman" w:eastAsia="Times New Roman" w:hAnsi="Times New Roman" w:cs="Times New Roman"/>
          <w:sz w:val="24"/>
          <w:szCs w:val="24"/>
        </w:rPr>
      </w:pPr>
    </w:p>
    <w:p w14:paraId="473EB6F7" w14:textId="77777777" w:rsidR="004B6B7E" w:rsidRPr="00B00B3F" w:rsidRDefault="001F6460">
      <w:pPr>
        <w:ind w:right="20"/>
        <w:rPr>
          <w:rFonts w:ascii="Times New Roman" w:eastAsia="Times New Roman" w:hAnsi="Times New Roman" w:cs="Times New Roman"/>
          <w:sz w:val="24"/>
          <w:szCs w:val="24"/>
        </w:rPr>
      </w:pPr>
      <w:r w:rsidRPr="00B00B3F">
        <w:rPr>
          <w:rFonts w:ascii="Times New Roman" w:eastAsia="Times New Roman" w:hAnsi="Times New Roman" w:cs="Times New Roman"/>
          <w:sz w:val="24"/>
          <w:szCs w:val="24"/>
        </w:rPr>
        <w:t xml:space="preserve">Other scholars have followed similar lines of enquiry, though using the idea of generation less explicitly. Art historian Martin </w:t>
      </w:r>
      <w:proofErr w:type="spellStart"/>
      <w:r w:rsidRPr="00B00B3F">
        <w:rPr>
          <w:rFonts w:ascii="Times New Roman" w:eastAsia="Times New Roman" w:hAnsi="Times New Roman" w:cs="Times New Roman"/>
          <w:sz w:val="24"/>
          <w:szCs w:val="24"/>
        </w:rPr>
        <w:t>Myrone</w:t>
      </w:r>
      <w:proofErr w:type="spellEnd"/>
      <w:r w:rsidRPr="00B00B3F">
        <w:rPr>
          <w:rFonts w:ascii="Times New Roman" w:eastAsia="Times New Roman" w:hAnsi="Times New Roman" w:cs="Times New Roman"/>
          <w:sz w:val="24"/>
          <w:szCs w:val="24"/>
        </w:rPr>
        <w:t xml:space="preserve">, for instance, has examined the cohorts of artists who enrolled at the Royal Academy Schools between 1760 and 1830 (a total of 1600). </w:t>
      </w:r>
      <w:proofErr w:type="spellStart"/>
      <w:r w:rsidRPr="00B00B3F">
        <w:rPr>
          <w:rFonts w:ascii="Times New Roman" w:eastAsia="Times New Roman" w:hAnsi="Times New Roman" w:cs="Times New Roman"/>
          <w:sz w:val="24"/>
          <w:szCs w:val="24"/>
        </w:rPr>
        <w:t>Myrone</w:t>
      </w:r>
      <w:proofErr w:type="spellEnd"/>
      <w:r w:rsidRPr="00B00B3F">
        <w:rPr>
          <w:rFonts w:ascii="Times New Roman" w:eastAsia="Times New Roman" w:hAnsi="Times New Roman" w:cs="Times New Roman"/>
          <w:sz w:val="24"/>
          <w:szCs w:val="24"/>
        </w:rPr>
        <w:t xml:space="preserve"> observes that if we turn away from the striking or canonical figures of nineteenth-century British art – the Turners and Constables – and consider instead the ‘origins, social trajectory and values’ of obscurer but more typical R.A. scholars, different determinations, and different generational rhythms, become audible. Looking at in</w:t>
      </w:r>
      <w:r w:rsidR="00FE6237" w:rsidRPr="00B00B3F">
        <w:rPr>
          <w:rFonts w:ascii="Times New Roman" w:eastAsia="Times New Roman" w:hAnsi="Times New Roman" w:cs="Times New Roman"/>
          <w:sz w:val="24"/>
          <w:szCs w:val="24"/>
        </w:rPr>
        <w:t xml:space="preserve">stitutional cohorts as a whole </w:t>
      </w:r>
      <w:r w:rsidRPr="00B00B3F">
        <w:rPr>
          <w:rFonts w:ascii="Times New Roman" w:eastAsia="Times New Roman" w:hAnsi="Times New Roman" w:cs="Times New Roman"/>
          <w:sz w:val="24"/>
          <w:szCs w:val="24"/>
        </w:rPr>
        <w:t xml:space="preserve">throws light on changing cultures of artistic practice and their dynamic relationship to other variables such as </w:t>
      </w:r>
      <w:r w:rsidR="00EB4B44" w:rsidRPr="00B00B3F">
        <w:rPr>
          <w:rFonts w:ascii="Times New Roman" w:eastAsia="Times New Roman" w:hAnsi="Times New Roman" w:cs="Times New Roman"/>
          <w:sz w:val="24"/>
          <w:szCs w:val="24"/>
        </w:rPr>
        <w:t>professionalization</w:t>
      </w:r>
      <w:r w:rsidRPr="00B00B3F">
        <w:rPr>
          <w:rFonts w:ascii="Times New Roman" w:eastAsia="Times New Roman" w:hAnsi="Times New Roman" w:cs="Times New Roman"/>
          <w:sz w:val="24"/>
          <w:szCs w:val="24"/>
        </w:rPr>
        <w:t>, market oversupply, embourgeoisement.</w:t>
      </w:r>
      <w:r w:rsidRPr="00B00B3F">
        <w:rPr>
          <w:rStyle w:val="FootnoteReference"/>
          <w:rFonts w:ascii="Times New Roman" w:hAnsi="Times New Roman" w:cs="Times New Roman"/>
        </w:rPr>
        <w:footnoteReference w:id="10"/>
      </w:r>
      <w:r w:rsidRPr="00B00B3F">
        <w:rPr>
          <w:rFonts w:ascii="Times New Roman" w:eastAsia="Times New Roman" w:hAnsi="Times New Roman" w:cs="Times New Roman"/>
          <w:sz w:val="24"/>
          <w:szCs w:val="24"/>
        </w:rPr>
        <w:t xml:space="preserve"> </w:t>
      </w:r>
      <w:proofErr w:type="spellStart"/>
      <w:r w:rsidRPr="00B00B3F">
        <w:rPr>
          <w:rFonts w:ascii="Times New Roman" w:eastAsia="Times New Roman" w:hAnsi="Times New Roman" w:cs="Times New Roman"/>
          <w:sz w:val="24"/>
          <w:szCs w:val="24"/>
        </w:rPr>
        <w:t>Myrone’s</w:t>
      </w:r>
      <w:proofErr w:type="spellEnd"/>
      <w:r w:rsidRPr="00B00B3F">
        <w:rPr>
          <w:rFonts w:ascii="Times New Roman" w:eastAsia="Times New Roman" w:hAnsi="Times New Roman" w:cs="Times New Roman"/>
          <w:sz w:val="24"/>
          <w:szCs w:val="24"/>
        </w:rPr>
        <w:t xml:space="preserve"> project thus queries conventional periodization, and through this some of art history’s conventional wisdom. Mark </w:t>
      </w:r>
      <w:proofErr w:type="spellStart"/>
      <w:r w:rsidRPr="00B00B3F">
        <w:rPr>
          <w:rFonts w:ascii="Times New Roman" w:eastAsia="Times New Roman" w:hAnsi="Times New Roman" w:cs="Times New Roman"/>
          <w:sz w:val="24"/>
          <w:szCs w:val="24"/>
        </w:rPr>
        <w:t>Curthoys</w:t>
      </w:r>
      <w:proofErr w:type="spellEnd"/>
      <w:r w:rsidRPr="00B00B3F">
        <w:rPr>
          <w:rFonts w:ascii="Times New Roman" w:eastAsia="Times New Roman" w:hAnsi="Times New Roman" w:cs="Times New Roman"/>
          <w:sz w:val="24"/>
          <w:szCs w:val="24"/>
        </w:rPr>
        <w:t xml:space="preserve">’ sampling of students matriculating at Oxford in selected years across the nineteenth century likewise enables him to identify moments of shift. He shows the third quarter of the century to be decisive in finally diversifying and secularising Oxford graduates’ career paths. Almost half of those who matriculated in 1818 and 1848 went into the Church, whereas among the 1878 and 1897 year groups it fell to 29% </w:t>
      </w:r>
      <w:r w:rsidRPr="00B00B3F">
        <w:rPr>
          <w:rFonts w:ascii="Times New Roman" w:eastAsia="Times New Roman" w:hAnsi="Times New Roman" w:cs="Times New Roman"/>
          <w:sz w:val="24"/>
          <w:szCs w:val="24"/>
        </w:rPr>
        <w:lastRenderedPageBreak/>
        <w:t>and 18%.</w:t>
      </w:r>
      <w:r w:rsidRPr="00B00B3F">
        <w:rPr>
          <w:rStyle w:val="FootnoteReference"/>
          <w:rFonts w:ascii="Times New Roman" w:hAnsi="Times New Roman" w:cs="Times New Roman"/>
        </w:rPr>
        <w:footnoteReference w:id="11"/>
      </w:r>
      <w:r w:rsidRPr="00B00B3F">
        <w:rPr>
          <w:rFonts w:ascii="Times New Roman" w:eastAsia="Times New Roman" w:hAnsi="Times New Roman" w:cs="Times New Roman"/>
          <w:sz w:val="24"/>
          <w:szCs w:val="24"/>
        </w:rPr>
        <w:t xml:space="preserve"> By contrast, the landed families only lost their dominance in the student body in the wake of the 1870s agricultural depression.</w:t>
      </w:r>
      <w:r w:rsidRPr="00B00B3F">
        <w:rPr>
          <w:rStyle w:val="FootnoteReference"/>
          <w:rFonts w:ascii="Times New Roman" w:hAnsi="Times New Roman" w:cs="Times New Roman"/>
        </w:rPr>
        <w:footnoteReference w:id="12"/>
      </w:r>
      <w:r w:rsidRPr="00B00B3F">
        <w:rPr>
          <w:rFonts w:ascii="Times New Roman" w:eastAsia="Times New Roman" w:hAnsi="Times New Roman" w:cs="Times New Roman"/>
          <w:sz w:val="24"/>
          <w:szCs w:val="24"/>
        </w:rPr>
        <w:t xml:space="preserve"> </w:t>
      </w:r>
    </w:p>
    <w:p w14:paraId="4BFDF32D" w14:textId="77777777" w:rsidR="004B6B7E" w:rsidRPr="00B00B3F" w:rsidRDefault="004B6B7E">
      <w:pPr>
        <w:ind w:right="20"/>
        <w:rPr>
          <w:rFonts w:ascii="Times New Roman" w:eastAsia="Times New Roman" w:hAnsi="Times New Roman" w:cs="Times New Roman"/>
          <w:sz w:val="24"/>
          <w:szCs w:val="24"/>
        </w:rPr>
      </w:pPr>
    </w:p>
    <w:p w14:paraId="0E276B08" w14:textId="0B0A7DC9" w:rsidR="004B6B7E" w:rsidRPr="001E0739" w:rsidRDefault="001F6460" w:rsidP="001E0739">
      <w:pPr>
        <w:ind w:right="20"/>
        <w:rPr>
          <w:rFonts w:ascii="Times New Roman" w:eastAsia="Times New Roman" w:hAnsi="Times New Roman" w:cs="Times New Roman"/>
          <w:sz w:val="24"/>
          <w:szCs w:val="24"/>
        </w:rPr>
      </w:pPr>
      <w:r w:rsidRPr="00B00B3F">
        <w:rPr>
          <w:rFonts w:ascii="Times New Roman" w:eastAsia="Times New Roman" w:hAnsi="Times New Roman" w:cs="Times New Roman"/>
          <w:sz w:val="24"/>
          <w:szCs w:val="24"/>
        </w:rPr>
        <w:t>There has been a realization that the digitization of large data sets, and the ‘distant readings’ of cohorts they allow, empower historians to gain a more granular picture of the links between structural change and biographical profile, and hence perhaps a more objective account of generational patterning.</w:t>
      </w:r>
      <w:r w:rsidRPr="00B00B3F">
        <w:rPr>
          <w:rStyle w:val="FootnoteReference"/>
          <w:rFonts w:ascii="Times New Roman" w:hAnsi="Times New Roman" w:cs="Times New Roman"/>
        </w:rPr>
        <w:footnoteReference w:id="13"/>
      </w:r>
      <w:r w:rsidRPr="00B00B3F">
        <w:rPr>
          <w:rFonts w:ascii="Times New Roman" w:eastAsia="Times New Roman" w:hAnsi="Times New Roman" w:cs="Times New Roman"/>
          <w:sz w:val="24"/>
          <w:szCs w:val="24"/>
        </w:rPr>
        <w:t xml:space="preserve"> One such large online data set that offers a window into how the late-Victorians saw preceding generations is the </w:t>
      </w:r>
      <w:r w:rsidRPr="00B00B3F">
        <w:rPr>
          <w:rFonts w:ascii="Times New Roman" w:eastAsia="Times New Roman" w:hAnsi="Times New Roman" w:cs="Times New Roman"/>
          <w:i/>
          <w:sz w:val="24"/>
          <w:szCs w:val="24"/>
        </w:rPr>
        <w:t>Dictionary of National Biography</w:t>
      </w:r>
      <w:r w:rsidRPr="00B00B3F">
        <w:rPr>
          <w:rFonts w:ascii="Times New Roman" w:eastAsia="Times New Roman" w:hAnsi="Times New Roman" w:cs="Times New Roman"/>
          <w:sz w:val="24"/>
          <w:szCs w:val="24"/>
        </w:rPr>
        <w:t xml:space="preserve"> (1885-1900), a key tool in a current project by the authors. The </w:t>
      </w:r>
      <w:r w:rsidRPr="00B00B3F">
        <w:rPr>
          <w:rFonts w:ascii="Times New Roman" w:eastAsia="Times New Roman" w:hAnsi="Times New Roman" w:cs="Times New Roman"/>
          <w:i/>
          <w:sz w:val="24"/>
          <w:szCs w:val="24"/>
        </w:rPr>
        <w:t xml:space="preserve">DNB </w:t>
      </w:r>
      <w:r w:rsidRPr="00B00B3F">
        <w:rPr>
          <w:rFonts w:ascii="Times New Roman" w:eastAsia="Times New Roman" w:hAnsi="Times New Roman" w:cs="Times New Roman"/>
          <w:sz w:val="24"/>
          <w:szCs w:val="24"/>
        </w:rPr>
        <w:t>included a disproportionate number of entries on nineteenth-century individuals, suggesting that the urge to commemorate these generations</w:t>
      </w:r>
      <w:r w:rsidR="00FE6237" w:rsidRPr="00B00B3F">
        <w:rPr>
          <w:rFonts w:ascii="Times New Roman" w:eastAsia="Times New Roman" w:hAnsi="Times New Roman" w:cs="Times New Roman"/>
          <w:sz w:val="24"/>
          <w:szCs w:val="24"/>
        </w:rPr>
        <w:t xml:space="preserve"> trumped deference to the recently deceased</w:t>
      </w:r>
      <w:r w:rsidRPr="00B00B3F">
        <w:rPr>
          <w:rFonts w:ascii="Times New Roman" w:eastAsia="Times New Roman" w:hAnsi="Times New Roman" w:cs="Times New Roman"/>
          <w:sz w:val="24"/>
          <w:szCs w:val="24"/>
        </w:rPr>
        <w:t>.</w:t>
      </w:r>
      <w:r w:rsidRPr="00B00B3F">
        <w:rPr>
          <w:rStyle w:val="FootnoteReference"/>
          <w:rFonts w:ascii="Times New Roman" w:hAnsi="Times New Roman" w:cs="Times New Roman"/>
        </w:rPr>
        <w:footnoteReference w:id="14"/>
      </w:r>
      <w:r w:rsidRPr="00B00B3F">
        <w:rPr>
          <w:rFonts w:ascii="Times New Roman" w:eastAsia="Times New Roman" w:hAnsi="Times New Roman" w:cs="Times New Roman"/>
          <w:sz w:val="24"/>
          <w:szCs w:val="24"/>
        </w:rPr>
        <w:t xml:space="preserve"> The peak of this trend was the birth year 1819, with a record-breaking 244 entries. This apparently unusually eminent generation born in 1819 includes Queen Victoria, Prince Albert, George Eliot, John Ruskin, war photographer Roger Fenton, radical Ernest Jones, ‘sewer king’ Joseph Bazalgette and many more.</w:t>
      </w:r>
      <w:r w:rsidRPr="00B00B3F">
        <w:rPr>
          <w:rStyle w:val="FootnoteReference"/>
          <w:rFonts w:ascii="Times New Roman" w:hAnsi="Times New Roman" w:cs="Times New Roman"/>
        </w:rPr>
        <w:footnoteReference w:id="15"/>
      </w:r>
      <w:r w:rsidRPr="00B00B3F">
        <w:rPr>
          <w:rFonts w:ascii="Times New Roman" w:eastAsia="Times New Roman" w:hAnsi="Times New Roman" w:cs="Times New Roman"/>
          <w:sz w:val="24"/>
          <w:szCs w:val="24"/>
        </w:rPr>
        <w:t xml:space="preserve"> Using this resource as a starting point, and supplementing it with data collected by Helen Rogers from the Burnett Archive of Working Class Autobiographies and other sources, we hope to explore how these figures understood the relationship between contemporaneity, age identity and historical consciousness. While these individuals are often considered separately, they are rarely recognized as exact contemporaries. Nor are they often seen in their Regency context, born in the inauspicious year of Peterloo. Examining these figures as part of a generation, however, can recast our sense of periodization and offer us Victorians before</w:t>
      </w:r>
      <w:r w:rsidR="001E0739">
        <w:rPr>
          <w:rFonts w:ascii="Times New Roman" w:eastAsia="Times New Roman" w:hAnsi="Times New Roman" w:cs="Times New Roman"/>
          <w:sz w:val="24"/>
          <w:szCs w:val="24"/>
        </w:rPr>
        <w:t xml:space="preserve"> they knew they were Victorian.</w:t>
      </w:r>
    </w:p>
    <w:sectPr w:rsidR="004B6B7E" w:rsidRPr="001E0739">
      <w:footerReference w:type="default" r:id="rId6"/>
      <w:pgSz w:w="11909" w:h="16834"/>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AE057F" w14:textId="77777777" w:rsidR="003B73BD" w:rsidRDefault="003B73BD">
      <w:pPr>
        <w:spacing w:line="240" w:lineRule="auto"/>
      </w:pPr>
      <w:r>
        <w:separator/>
      </w:r>
    </w:p>
  </w:endnote>
  <w:endnote w:type="continuationSeparator" w:id="0">
    <w:p w14:paraId="756B50DD" w14:textId="77777777" w:rsidR="003B73BD" w:rsidRDefault="003B73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6442401"/>
      <w:docPartObj>
        <w:docPartGallery w:val="Page Numbers (Bottom of Page)"/>
        <w:docPartUnique/>
      </w:docPartObj>
    </w:sdtPr>
    <w:sdtEndPr>
      <w:rPr>
        <w:noProof/>
      </w:rPr>
    </w:sdtEndPr>
    <w:sdtContent>
      <w:p w14:paraId="6434F9C6" w14:textId="4AB5CF9A" w:rsidR="008600DE" w:rsidRDefault="008600DE">
        <w:pPr>
          <w:pStyle w:val="Footer"/>
          <w:jc w:val="right"/>
        </w:pPr>
        <w:r w:rsidRPr="008600DE">
          <w:rPr>
            <w:rFonts w:ascii="Times New Roman" w:hAnsi="Times New Roman" w:cs="Times New Roman"/>
          </w:rPr>
          <w:fldChar w:fldCharType="begin"/>
        </w:r>
        <w:r w:rsidRPr="008600DE">
          <w:rPr>
            <w:rFonts w:ascii="Times New Roman" w:hAnsi="Times New Roman" w:cs="Times New Roman"/>
          </w:rPr>
          <w:instrText xml:space="preserve"> PAGE   \* MERGEFORMAT </w:instrText>
        </w:r>
        <w:r w:rsidRPr="008600DE">
          <w:rPr>
            <w:rFonts w:ascii="Times New Roman" w:hAnsi="Times New Roman" w:cs="Times New Roman"/>
          </w:rPr>
          <w:fldChar w:fldCharType="separate"/>
        </w:r>
        <w:r w:rsidR="009A3F21">
          <w:rPr>
            <w:rFonts w:ascii="Times New Roman" w:hAnsi="Times New Roman" w:cs="Times New Roman"/>
            <w:noProof/>
          </w:rPr>
          <w:t>1</w:t>
        </w:r>
        <w:r w:rsidRPr="008600DE">
          <w:rPr>
            <w:rFonts w:ascii="Times New Roman" w:hAnsi="Times New Roman" w:cs="Times New Roman"/>
            <w:noProof/>
          </w:rPr>
          <w:fldChar w:fldCharType="end"/>
        </w:r>
      </w:p>
    </w:sdtContent>
  </w:sdt>
  <w:p w14:paraId="5F5F0E23" w14:textId="77777777" w:rsidR="004B6B7E" w:rsidRDefault="004B6B7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1D7885" w14:textId="77777777" w:rsidR="003B73BD" w:rsidRDefault="003B73BD">
      <w:pPr>
        <w:spacing w:line="240" w:lineRule="auto"/>
      </w:pPr>
      <w:r>
        <w:separator/>
      </w:r>
    </w:p>
  </w:footnote>
  <w:footnote w:type="continuationSeparator" w:id="0">
    <w:p w14:paraId="4A215C5D" w14:textId="77777777" w:rsidR="003B73BD" w:rsidRDefault="003B73BD">
      <w:pPr>
        <w:spacing w:line="240" w:lineRule="auto"/>
      </w:pPr>
      <w:r>
        <w:continuationSeparator/>
      </w:r>
    </w:p>
  </w:footnote>
  <w:footnote w:id="1">
    <w:p w14:paraId="30BCD0EB" w14:textId="161D803C" w:rsidR="004B6B7E" w:rsidRPr="007D2E74" w:rsidRDefault="001F6460">
      <w:pPr>
        <w:spacing w:line="240" w:lineRule="auto"/>
        <w:rPr>
          <w:rFonts w:ascii="Times New Roman" w:eastAsia="Times New Roman" w:hAnsi="Times New Roman" w:cs="Times New Roman"/>
          <w:sz w:val="20"/>
          <w:szCs w:val="20"/>
        </w:rPr>
      </w:pPr>
      <w:r w:rsidRPr="007D2E74">
        <w:rPr>
          <w:rStyle w:val="FootnoteReference"/>
          <w:rFonts w:ascii="Times New Roman" w:hAnsi="Times New Roman" w:cs="Times New Roman"/>
          <w:sz w:val="20"/>
          <w:szCs w:val="20"/>
        </w:rPr>
        <w:footnoteRef/>
      </w:r>
      <w:r w:rsidRPr="007D2E74">
        <w:rPr>
          <w:rFonts w:ascii="Times New Roman" w:eastAsia="Times New Roman" w:hAnsi="Times New Roman" w:cs="Times New Roman"/>
          <w:sz w:val="20"/>
          <w:szCs w:val="20"/>
        </w:rPr>
        <w:t xml:space="preserve"> Feminism’s use of the trope of ‘waves’ has not prevented local scraps predicated on generational competition. See for instance </w:t>
      </w:r>
      <w:r w:rsidR="00FE6237" w:rsidRPr="007D2E74">
        <w:rPr>
          <w:rFonts w:ascii="Times New Roman" w:eastAsia="Times New Roman" w:hAnsi="Times New Roman" w:cs="Times New Roman"/>
          <w:sz w:val="20"/>
          <w:szCs w:val="20"/>
        </w:rPr>
        <w:fldChar w:fldCharType="begin"/>
      </w:r>
      <w:r w:rsidR="001E0739">
        <w:rPr>
          <w:rFonts w:ascii="Times New Roman" w:eastAsia="Times New Roman" w:hAnsi="Times New Roman" w:cs="Times New Roman"/>
          <w:sz w:val="20"/>
          <w:szCs w:val="20"/>
        </w:rPr>
        <w:instrText xml:space="preserve"> ADDIN ZOTERO_ITEM CSL_CITATION {"citationID":"JFz78f7A","properties":{"formattedCitation":"{\\rtf Katha Pollitt, \\uc0\\u8220{}Feminism\\uc0\\u8217{}s Generation Wars,\\uc0\\u8221{} {\\i{}The Guardian}, October 6, 2010, www.theguardian.com/commentisfree/cifamerica/2010/oct/06/feminism-gender1.}","plainCitation":"Katha Pollitt, “Feminism’s Generation Wars,” The Guardian, October 6, 2010, www.theguardian.com/commentisfree/cifamerica/2010/oct/06/feminism-gender1."},"citationItems":[{"id":1387,"uris":["http://zotero.org/users/1124842/items/SPRS5NBW"],"uri":["http://zotero.org/users/1124842/items/SPRS5NBW"],"itemData":{"id":1387,"type":"article-newspaper","title":"Feminism's generation wars","container-title":"The Guardian","source":"www.theguardian.com","URL":"www.theguardian.com/commentisfree/cifamerica/2010/oct/06/feminism-gender1","ISSN":"0261-3077","author":[{"family":"Pollitt","given":"Katha"}],"issued":{"date-parts":[["2010",10,6]]},"accessed":{"date-parts":[["2017",11,10]]}}}],"schema":"https://github.com/citation-style-language/schema/raw/master/csl-citation.json"} </w:instrText>
      </w:r>
      <w:r w:rsidR="00FE6237" w:rsidRPr="007D2E74">
        <w:rPr>
          <w:rFonts w:ascii="Times New Roman" w:eastAsia="Times New Roman" w:hAnsi="Times New Roman" w:cs="Times New Roman"/>
          <w:sz w:val="20"/>
          <w:szCs w:val="20"/>
        </w:rPr>
        <w:fldChar w:fldCharType="separate"/>
      </w:r>
      <w:r w:rsidR="001E0739" w:rsidRPr="001E0739">
        <w:rPr>
          <w:rFonts w:ascii="Times New Roman" w:hAnsi="Times New Roman" w:cs="Times New Roman"/>
          <w:sz w:val="20"/>
          <w:szCs w:val="24"/>
        </w:rPr>
        <w:t xml:space="preserve">Katha Pollitt, “Feminism’s Generation Wars,” </w:t>
      </w:r>
      <w:r w:rsidR="001E0739" w:rsidRPr="001E0739">
        <w:rPr>
          <w:rFonts w:ascii="Times New Roman" w:hAnsi="Times New Roman" w:cs="Times New Roman"/>
          <w:i/>
          <w:iCs/>
          <w:sz w:val="20"/>
          <w:szCs w:val="24"/>
        </w:rPr>
        <w:t>The Guardian</w:t>
      </w:r>
      <w:r w:rsidR="001E0739" w:rsidRPr="001E0739">
        <w:rPr>
          <w:rFonts w:ascii="Times New Roman" w:hAnsi="Times New Roman" w:cs="Times New Roman"/>
          <w:sz w:val="20"/>
          <w:szCs w:val="24"/>
        </w:rPr>
        <w:t>, October 6, 2010, www.theguardian.com/commentisfree/cifamerica/2010/oct/06/feminism-gender1.</w:t>
      </w:r>
      <w:r w:rsidR="00FE6237" w:rsidRPr="007D2E74">
        <w:rPr>
          <w:rFonts w:ascii="Times New Roman" w:eastAsia="Times New Roman" w:hAnsi="Times New Roman" w:cs="Times New Roman"/>
          <w:sz w:val="20"/>
          <w:szCs w:val="20"/>
        </w:rPr>
        <w:fldChar w:fldCharType="end"/>
      </w:r>
    </w:p>
  </w:footnote>
  <w:footnote w:id="2">
    <w:p w14:paraId="56A79D50" w14:textId="3642A5A6" w:rsidR="004B6B7E" w:rsidRPr="007D2E74" w:rsidRDefault="001F6460">
      <w:pPr>
        <w:spacing w:line="240" w:lineRule="auto"/>
        <w:rPr>
          <w:rFonts w:ascii="Times New Roman" w:eastAsia="Times New Roman" w:hAnsi="Times New Roman" w:cs="Times New Roman"/>
          <w:sz w:val="20"/>
          <w:szCs w:val="20"/>
        </w:rPr>
      </w:pPr>
      <w:r w:rsidRPr="007D2E74">
        <w:rPr>
          <w:rStyle w:val="FootnoteReference"/>
          <w:rFonts w:ascii="Times New Roman" w:hAnsi="Times New Roman" w:cs="Times New Roman"/>
          <w:sz w:val="20"/>
          <w:szCs w:val="20"/>
        </w:rPr>
        <w:footnoteRef/>
      </w:r>
      <w:r w:rsidRPr="007D2E74">
        <w:rPr>
          <w:rFonts w:ascii="Times New Roman" w:eastAsia="Times New Roman" w:hAnsi="Times New Roman" w:cs="Times New Roman"/>
          <w:sz w:val="20"/>
          <w:szCs w:val="20"/>
        </w:rPr>
        <w:t xml:space="preserve"> ‘</w:t>
      </w:r>
      <w:r w:rsidRPr="007D2E74">
        <w:rPr>
          <w:rFonts w:ascii="Times New Roman" w:eastAsia="Times New Roman" w:hAnsi="Times New Roman" w:cs="Times New Roman"/>
          <w:sz w:val="20"/>
          <w:szCs w:val="20"/>
          <w:highlight w:val="white"/>
        </w:rPr>
        <w:t xml:space="preserve">In internet folklore, </w:t>
      </w:r>
      <w:proofErr w:type="spellStart"/>
      <w:r w:rsidRPr="007D2E74">
        <w:rPr>
          <w:rFonts w:ascii="Times New Roman" w:eastAsia="Times New Roman" w:hAnsi="Times New Roman" w:cs="Times New Roman"/>
          <w:sz w:val="20"/>
          <w:szCs w:val="20"/>
          <w:highlight w:val="white"/>
        </w:rPr>
        <w:t>xennials</w:t>
      </w:r>
      <w:proofErr w:type="spellEnd"/>
      <w:r w:rsidRPr="007D2E74">
        <w:rPr>
          <w:rFonts w:ascii="Times New Roman" w:eastAsia="Times New Roman" w:hAnsi="Times New Roman" w:cs="Times New Roman"/>
          <w:sz w:val="20"/>
          <w:szCs w:val="20"/>
          <w:highlight w:val="white"/>
        </w:rPr>
        <w:t xml:space="preserve"> are those born between 1977 and 1983.’ </w:t>
      </w:r>
      <w:r w:rsidR="00FE6237" w:rsidRPr="007D2E74">
        <w:rPr>
          <w:rFonts w:ascii="Times New Roman" w:eastAsia="Times New Roman" w:hAnsi="Times New Roman" w:cs="Times New Roman"/>
          <w:sz w:val="20"/>
          <w:szCs w:val="20"/>
        </w:rPr>
        <w:fldChar w:fldCharType="begin"/>
      </w:r>
      <w:r w:rsidR="001E0739">
        <w:rPr>
          <w:rFonts w:ascii="Times New Roman" w:eastAsia="Times New Roman" w:hAnsi="Times New Roman" w:cs="Times New Roman"/>
          <w:sz w:val="20"/>
          <w:szCs w:val="20"/>
        </w:rPr>
        <w:instrText xml:space="preserve"> ADDIN ZOTERO_ITEM CSL_CITATION {"citationID":"cn07666f","properties":{"formattedCitation":"{\\rtf Guardian staff, \\uc0\\u8220{}Are You a Xennial? Take the Quiz,\\uc0\\u8221{} {\\i{}The Guardian}, June 26, 2017, www.theguardian.com/culture/2017/jun/27/are-you-a-xennial-take-the-quiz.}","plainCitation":"Guardian staff, “Are You a Xennial? Take the Quiz,” The Guardian, June 26, 2017, www.theguardian.com/culture/2017/jun/27/are-you-a-xennial-take-the-quiz."},"citationItems":[{"id":1389,"uris":["http://zotero.org/users/1124842/items/UP8FMI8T"],"uri":["http://zotero.org/users/1124842/items/UP8FMI8T"],"itemData":{"id":1389,"type":"article-newspaper","title":"Are you a xennial? Take the quiz","container-title":"The Guardian","source":"www.theguardian.com","abstract":"The sound of dial-up internet haunts your nightmares and you remember when floppy disks were actually floppy. Was your first crush called Corey? Perhaps you were born between 1977 and 1983","URL":"www.theguardian.com/culture/2017/jun/27/are-you-a-xennial-take-the-quiz","ISSN":"0261-3077","shortTitle":"Are you a xennial?","language":"en-GB","author":[{"family":"Guardian staff","given":""}],"issued":{"date-parts":[["2017",6,26]]},"accessed":{"date-parts":[["2017",11,10]]}}}],"schema":"https://github.com/citation-style-language/schema/raw/master/csl-citation.json"} </w:instrText>
      </w:r>
      <w:r w:rsidR="00FE6237" w:rsidRPr="007D2E74">
        <w:rPr>
          <w:rFonts w:ascii="Times New Roman" w:eastAsia="Times New Roman" w:hAnsi="Times New Roman" w:cs="Times New Roman"/>
          <w:sz w:val="20"/>
          <w:szCs w:val="20"/>
        </w:rPr>
        <w:fldChar w:fldCharType="separate"/>
      </w:r>
      <w:r w:rsidR="001E0739" w:rsidRPr="001E0739">
        <w:rPr>
          <w:rFonts w:ascii="Times New Roman" w:hAnsi="Times New Roman" w:cs="Times New Roman"/>
          <w:sz w:val="20"/>
          <w:szCs w:val="24"/>
        </w:rPr>
        <w:t xml:space="preserve">Guardian staff, “Are You a Xennial? Take the Quiz,” </w:t>
      </w:r>
      <w:r w:rsidR="001E0739" w:rsidRPr="001E0739">
        <w:rPr>
          <w:rFonts w:ascii="Times New Roman" w:hAnsi="Times New Roman" w:cs="Times New Roman"/>
          <w:i/>
          <w:iCs/>
          <w:sz w:val="20"/>
          <w:szCs w:val="24"/>
        </w:rPr>
        <w:t>The Guardian</w:t>
      </w:r>
      <w:r w:rsidR="001E0739" w:rsidRPr="001E0739">
        <w:rPr>
          <w:rFonts w:ascii="Times New Roman" w:hAnsi="Times New Roman" w:cs="Times New Roman"/>
          <w:sz w:val="20"/>
          <w:szCs w:val="24"/>
        </w:rPr>
        <w:t>, June 26, 2017, www.theguardian.com/culture/2017/jun/27/are-you-a-xennial-take-the-quiz.</w:t>
      </w:r>
      <w:r w:rsidR="00FE6237" w:rsidRPr="007D2E74">
        <w:rPr>
          <w:rFonts w:ascii="Times New Roman" w:eastAsia="Times New Roman" w:hAnsi="Times New Roman" w:cs="Times New Roman"/>
          <w:sz w:val="20"/>
          <w:szCs w:val="20"/>
        </w:rPr>
        <w:fldChar w:fldCharType="end"/>
      </w:r>
    </w:p>
  </w:footnote>
  <w:footnote w:id="3">
    <w:p w14:paraId="774AED03" w14:textId="03EFF9A1" w:rsidR="004B6B7E" w:rsidRPr="007D2E74" w:rsidRDefault="001F6460">
      <w:pPr>
        <w:spacing w:line="240" w:lineRule="auto"/>
        <w:rPr>
          <w:rFonts w:ascii="Times New Roman" w:eastAsia="Times New Roman" w:hAnsi="Times New Roman" w:cs="Times New Roman"/>
          <w:sz w:val="20"/>
          <w:szCs w:val="20"/>
        </w:rPr>
      </w:pPr>
      <w:r w:rsidRPr="007D2E74">
        <w:rPr>
          <w:rStyle w:val="FootnoteReference"/>
          <w:rFonts w:ascii="Times New Roman" w:hAnsi="Times New Roman" w:cs="Times New Roman"/>
          <w:sz w:val="20"/>
          <w:szCs w:val="20"/>
        </w:rPr>
        <w:footnoteRef/>
      </w:r>
      <w:r w:rsidRPr="007D2E74">
        <w:rPr>
          <w:rFonts w:ascii="Times New Roman" w:eastAsia="Times New Roman" w:hAnsi="Times New Roman" w:cs="Times New Roman"/>
          <w:sz w:val="20"/>
          <w:szCs w:val="20"/>
        </w:rPr>
        <w:t xml:space="preserve"> The sexism implicit in Bloom’s model was famously challenged by Sandra Gilbert and Susan </w:t>
      </w:r>
      <w:proofErr w:type="spellStart"/>
      <w:r w:rsidRPr="007D2E74">
        <w:rPr>
          <w:rFonts w:ascii="Times New Roman" w:eastAsia="Times New Roman" w:hAnsi="Times New Roman" w:cs="Times New Roman"/>
          <w:sz w:val="20"/>
          <w:szCs w:val="20"/>
        </w:rPr>
        <w:t>Gubar’s</w:t>
      </w:r>
      <w:proofErr w:type="spellEnd"/>
      <w:r w:rsidRPr="007D2E74">
        <w:rPr>
          <w:rFonts w:ascii="Times New Roman" w:eastAsia="Times New Roman" w:hAnsi="Times New Roman" w:cs="Times New Roman"/>
          <w:sz w:val="20"/>
          <w:szCs w:val="20"/>
        </w:rPr>
        <w:t xml:space="preserve"> notion o</w:t>
      </w:r>
      <w:r w:rsidR="00A14C1E">
        <w:rPr>
          <w:rFonts w:ascii="Times New Roman" w:eastAsia="Times New Roman" w:hAnsi="Times New Roman" w:cs="Times New Roman"/>
          <w:sz w:val="20"/>
          <w:szCs w:val="20"/>
        </w:rPr>
        <w:t xml:space="preserve">f the ‘anxiety of authorship’: see </w:t>
      </w:r>
      <w:r w:rsidR="00A14C1E">
        <w:rPr>
          <w:rFonts w:ascii="Times New Roman" w:eastAsia="Times New Roman" w:hAnsi="Times New Roman" w:cs="Times New Roman"/>
          <w:sz w:val="20"/>
          <w:szCs w:val="20"/>
        </w:rPr>
        <w:fldChar w:fldCharType="begin"/>
      </w:r>
      <w:r w:rsidR="00A14C1E">
        <w:rPr>
          <w:rFonts w:ascii="Times New Roman" w:eastAsia="Times New Roman" w:hAnsi="Times New Roman" w:cs="Times New Roman"/>
          <w:sz w:val="20"/>
          <w:szCs w:val="20"/>
        </w:rPr>
        <w:instrText xml:space="preserve"> ADDIN ZOTERO_ITEM CSL_CITATION {"citationID":"iYtCVitI","properties":{"formattedCitation":"{\\rtf Sandra M. Gilbert and Susan Gubar, {\\i{}The Madwoman in the Attic: The Woman Writer and the Nineteenth-Century Imagination} (New Haven: Yale University Press, 1979).}","plainCitation":"Sandra M. Gilbert and Susan Gubar, The Madwoman in the Attic: The Woman Writer and the Nineteenth-Century Imagination (New Haven: Yale University Press, 1979)."},"citationItems":[{"id":1412,"uris":["http://zotero.org/users/1124842/items/JPJJM75D"],"uri":["http://zotero.org/users/1124842/items/JPJJM75D"],"itemData":{"id":1412,"type":"book","title":"The madwoman in the attic: the woman writer and the nineteenth-century imagination","publisher":"Yale University Press","publisher-place":"New Haven","event-place":"New Haven","ISBN":"978-0-300-02596-5","shortTitle":"The madwoman in the attic","author":[{"family":"Gilbert","given":"Sandra M."},{"family":"Gubar","given":"Susan"}],"issued":{"date-parts":[["1979"]]}}}],"schema":"https://github.com/citation-style-language/schema/raw/master/csl-citation.json"} </w:instrText>
      </w:r>
      <w:r w:rsidR="00A14C1E">
        <w:rPr>
          <w:rFonts w:ascii="Times New Roman" w:eastAsia="Times New Roman" w:hAnsi="Times New Roman" w:cs="Times New Roman"/>
          <w:sz w:val="20"/>
          <w:szCs w:val="20"/>
        </w:rPr>
        <w:fldChar w:fldCharType="separate"/>
      </w:r>
      <w:r w:rsidR="00A14C1E" w:rsidRPr="00A14C1E">
        <w:rPr>
          <w:rFonts w:ascii="Times New Roman" w:hAnsi="Times New Roman" w:cs="Times New Roman"/>
          <w:sz w:val="20"/>
          <w:szCs w:val="24"/>
        </w:rPr>
        <w:t xml:space="preserve">Sandra M. Gilbert and Susan Gubar, </w:t>
      </w:r>
      <w:r w:rsidR="00A14C1E" w:rsidRPr="00A14C1E">
        <w:rPr>
          <w:rFonts w:ascii="Times New Roman" w:hAnsi="Times New Roman" w:cs="Times New Roman"/>
          <w:i/>
          <w:iCs/>
          <w:sz w:val="20"/>
          <w:szCs w:val="24"/>
        </w:rPr>
        <w:t>The Madwoman in the Attic: The Woman Writer and the Nineteenth-Century Imagination</w:t>
      </w:r>
      <w:r w:rsidR="00A14C1E" w:rsidRPr="00A14C1E">
        <w:rPr>
          <w:rFonts w:ascii="Times New Roman" w:hAnsi="Times New Roman" w:cs="Times New Roman"/>
          <w:sz w:val="20"/>
          <w:szCs w:val="24"/>
        </w:rPr>
        <w:t xml:space="preserve"> (New Haven: Yale University Press, 1979).</w:t>
      </w:r>
      <w:r w:rsidR="00A14C1E">
        <w:rPr>
          <w:rFonts w:ascii="Times New Roman" w:eastAsia="Times New Roman" w:hAnsi="Times New Roman" w:cs="Times New Roman"/>
          <w:sz w:val="20"/>
          <w:szCs w:val="20"/>
        </w:rPr>
        <w:fldChar w:fldCharType="end"/>
      </w:r>
    </w:p>
  </w:footnote>
  <w:footnote w:id="4">
    <w:p w14:paraId="10737BF6" w14:textId="77777777" w:rsidR="004B6B7E" w:rsidRPr="007D2E74" w:rsidRDefault="001F6460">
      <w:pPr>
        <w:spacing w:line="240" w:lineRule="auto"/>
        <w:rPr>
          <w:rFonts w:ascii="Times New Roman" w:hAnsi="Times New Roman" w:cs="Times New Roman"/>
          <w:b/>
          <w:sz w:val="20"/>
          <w:szCs w:val="20"/>
        </w:rPr>
      </w:pPr>
      <w:r w:rsidRPr="007D2E74">
        <w:rPr>
          <w:rStyle w:val="FootnoteReference"/>
          <w:rFonts w:ascii="Times New Roman" w:hAnsi="Times New Roman" w:cs="Times New Roman"/>
          <w:sz w:val="20"/>
          <w:szCs w:val="20"/>
        </w:rPr>
        <w:footnoteRef/>
      </w:r>
      <w:r w:rsidRPr="007D2E74">
        <w:rPr>
          <w:rFonts w:ascii="Times New Roman" w:eastAsia="Times New Roman" w:hAnsi="Times New Roman" w:cs="Times New Roman"/>
          <w:sz w:val="20"/>
          <w:szCs w:val="20"/>
        </w:rPr>
        <w:t xml:space="preserve"> Social-historical investigations of the role of hitherto unconsidered ties and obligations in the maintenance of family, class and community; queer accounts of Victorian family structures; alternative readings of the meanings of household, marriage and care: all cast doubt on a straightforwardly rivalrous reading of generational change. See </w:t>
      </w:r>
      <w:proofErr w:type="spellStart"/>
      <w:r w:rsidRPr="007D2E74">
        <w:rPr>
          <w:rFonts w:ascii="Times New Roman" w:eastAsia="Times New Roman" w:hAnsi="Times New Roman" w:cs="Times New Roman"/>
          <w:sz w:val="20"/>
          <w:szCs w:val="20"/>
        </w:rPr>
        <w:t>Leonore</w:t>
      </w:r>
      <w:proofErr w:type="spellEnd"/>
      <w:r w:rsidRPr="007D2E74">
        <w:rPr>
          <w:rFonts w:ascii="Times New Roman" w:eastAsia="Times New Roman" w:hAnsi="Times New Roman" w:cs="Times New Roman"/>
          <w:sz w:val="20"/>
          <w:szCs w:val="20"/>
        </w:rPr>
        <w:t xml:space="preserve"> Davidoff, </w:t>
      </w:r>
      <w:r w:rsidRPr="007D2E74">
        <w:rPr>
          <w:rFonts w:ascii="Times New Roman" w:eastAsia="Times New Roman" w:hAnsi="Times New Roman" w:cs="Times New Roman"/>
          <w:i/>
          <w:sz w:val="20"/>
          <w:szCs w:val="20"/>
        </w:rPr>
        <w:t xml:space="preserve">Thicker than Water: Siblings and their Relations, 1780-1920 </w:t>
      </w:r>
      <w:r w:rsidRPr="007D2E74">
        <w:rPr>
          <w:rFonts w:ascii="Times New Roman" w:eastAsia="Times New Roman" w:hAnsi="Times New Roman" w:cs="Times New Roman"/>
          <w:sz w:val="20"/>
          <w:szCs w:val="20"/>
        </w:rPr>
        <w:t xml:space="preserve">and Davidoff et al., </w:t>
      </w:r>
      <w:r w:rsidRPr="007D2E74">
        <w:rPr>
          <w:rFonts w:ascii="Times New Roman" w:eastAsia="Times New Roman" w:hAnsi="Times New Roman" w:cs="Times New Roman"/>
          <w:i/>
          <w:sz w:val="20"/>
          <w:szCs w:val="20"/>
        </w:rPr>
        <w:t xml:space="preserve">The Family Story: Blood, Contract and Intimacy, 1830-1960 </w:t>
      </w:r>
      <w:r w:rsidRPr="007D2E74">
        <w:rPr>
          <w:rFonts w:ascii="Times New Roman" w:eastAsia="Times New Roman" w:hAnsi="Times New Roman" w:cs="Times New Roman"/>
          <w:sz w:val="20"/>
          <w:szCs w:val="20"/>
        </w:rPr>
        <w:t xml:space="preserve">(Oxford: </w:t>
      </w:r>
      <w:r w:rsidR="00FE6237" w:rsidRPr="007D2E74">
        <w:rPr>
          <w:rFonts w:ascii="Times New Roman" w:eastAsia="Times New Roman" w:hAnsi="Times New Roman" w:cs="Times New Roman"/>
          <w:sz w:val="20"/>
          <w:szCs w:val="20"/>
        </w:rPr>
        <w:t>Oxford University Press</w:t>
      </w:r>
      <w:r w:rsidRPr="007D2E74">
        <w:rPr>
          <w:rFonts w:ascii="Times New Roman" w:eastAsia="Times New Roman" w:hAnsi="Times New Roman" w:cs="Times New Roman"/>
          <w:sz w:val="20"/>
          <w:szCs w:val="20"/>
        </w:rPr>
        <w:t xml:space="preserve">, 1999). On the challenges posed by ‘queer’ families and households of choice, see Simon </w:t>
      </w:r>
      <w:proofErr w:type="spellStart"/>
      <w:r w:rsidRPr="007D2E74">
        <w:rPr>
          <w:rFonts w:ascii="Times New Roman" w:eastAsia="Times New Roman" w:hAnsi="Times New Roman" w:cs="Times New Roman"/>
          <w:sz w:val="20"/>
          <w:szCs w:val="20"/>
        </w:rPr>
        <w:t>Goldhill</w:t>
      </w:r>
      <w:proofErr w:type="spellEnd"/>
      <w:r w:rsidRPr="007D2E74">
        <w:rPr>
          <w:rFonts w:ascii="Times New Roman" w:eastAsia="Times New Roman" w:hAnsi="Times New Roman" w:cs="Times New Roman"/>
          <w:sz w:val="20"/>
          <w:szCs w:val="20"/>
        </w:rPr>
        <w:t xml:space="preserve">, </w:t>
      </w:r>
      <w:r w:rsidRPr="007D2E74">
        <w:rPr>
          <w:rFonts w:ascii="Times New Roman" w:eastAsia="Times New Roman" w:hAnsi="Times New Roman" w:cs="Times New Roman"/>
          <w:i/>
          <w:sz w:val="20"/>
          <w:szCs w:val="20"/>
        </w:rPr>
        <w:t xml:space="preserve">A very queer family indeed: sex, religion and the Bensons in Victorian Britain </w:t>
      </w:r>
      <w:r w:rsidRPr="007D2E74">
        <w:rPr>
          <w:rFonts w:ascii="Times New Roman" w:eastAsia="Times New Roman" w:hAnsi="Times New Roman" w:cs="Times New Roman"/>
          <w:sz w:val="20"/>
          <w:szCs w:val="20"/>
        </w:rPr>
        <w:t xml:space="preserve">(Chicago: University of Chicago Press, 2016) or Holly </w:t>
      </w:r>
      <w:proofErr w:type="spellStart"/>
      <w:r w:rsidRPr="007D2E74">
        <w:rPr>
          <w:rFonts w:ascii="Times New Roman" w:eastAsia="Times New Roman" w:hAnsi="Times New Roman" w:cs="Times New Roman"/>
          <w:sz w:val="20"/>
          <w:szCs w:val="20"/>
        </w:rPr>
        <w:t>Furneaux</w:t>
      </w:r>
      <w:proofErr w:type="spellEnd"/>
      <w:r w:rsidRPr="007D2E74">
        <w:rPr>
          <w:rFonts w:ascii="Times New Roman" w:eastAsia="Times New Roman" w:hAnsi="Times New Roman" w:cs="Times New Roman"/>
          <w:sz w:val="20"/>
          <w:szCs w:val="20"/>
        </w:rPr>
        <w:t xml:space="preserve">, </w:t>
      </w:r>
      <w:r w:rsidRPr="007D2E74">
        <w:rPr>
          <w:rFonts w:ascii="Times New Roman" w:eastAsia="Times New Roman" w:hAnsi="Times New Roman" w:cs="Times New Roman"/>
          <w:i/>
          <w:sz w:val="20"/>
          <w:szCs w:val="20"/>
        </w:rPr>
        <w:t xml:space="preserve">Queer Dickens: </w:t>
      </w:r>
      <w:proofErr w:type="spellStart"/>
      <w:r w:rsidRPr="007D2E74">
        <w:rPr>
          <w:rFonts w:ascii="Times New Roman" w:eastAsia="Times New Roman" w:hAnsi="Times New Roman" w:cs="Times New Roman"/>
          <w:i/>
          <w:sz w:val="20"/>
          <w:szCs w:val="20"/>
        </w:rPr>
        <w:t>Erotics</w:t>
      </w:r>
      <w:proofErr w:type="spellEnd"/>
      <w:r w:rsidRPr="007D2E74">
        <w:rPr>
          <w:rFonts w:ascii="Times New Roman" w:eastAsia="Times New Roman" w:hAnsi="Times New Roman" w:cs="Times New Roman"/>
          <w:i/>
          <w:sz w:val="20"/>
          <w:szCs w:val="20"/>
        </w:rPr>
        <w:t>, Families, Masculinities</w:t>
      </w:r>
      <w:r w:rsidRPr="007D2E74">
        <w:rPr>
          <w:rFonts w:ascii="Times New Roman" w:eastAsia="Times New Roman" w:hAnsi="Times New Roman" w:cs="Times New Roman"/>
          <w:sz w:val="20"/>
          <w:szCs w:val="20"/>
        </w:rPr>
        <w:t xml:space="preserve"> (Oxfor</w:t>
      </w:r>
      <w:r w:rsidR="00FE6237" w:rsidRPr="007D2E74">
        <w:rPr>
          <w:rFonts w:ascii="Times New Roman" w:eastAsia="Times New Roman" w:hAnsi="Times New Roman" w:cs="Times New Roman"/>
          <w:sz w:val="20"/>
          <w:szCs w:val="20"/>
        </w:rPr>
        <w:t>d: Oxford University Press</w:t>
      </w:r>
      <w:r w:rsidRPr="007D2E74">
        <w:rPr>
          <w:rFonts w:ascii="Times New Roman" w:eastAsia="Times New Roman" w:hAnsi="Times New Roman" w:cs="Times New Roman"/>
          <w:sz w:val="20"/>
          <w:szCs w:val="20"/>
        </w:rPr>
        <w:t xml:space="preserve">, 2009). Talia Schaffer’s </w:t>
      </w:r>
      <w:r w:rsidRPr="007D2E74">
        <w:rPr>
          <w:rFonts w:ascii="Times New Roman" w:eastAsia="Times New Roman" w:hAnsi="Times New Roman" w:cs="Times New Roman"/>
          <w:i/>
          <w:sz w:val="20"/>
          <w:szCs w:val="20"/>
        </w:rPr>
        <w:t xml:space="preserve">Romance’s Rival: Familiar Marriage in Victorian Fiction </w:t>
      </w:r>
      <w:r w:rsidRPr="007D2E74">
        <w:rPr>
          <w:rFonts w:ascii="Times New Roman" w:eastAsia="Times New Roman" w:hAnsi="Times New Roman" w:cs="Times New Roman"/>
          <w:sz w:val="20"/>
          <w:szCs w:val="20"/>
        </w:rPr>
        <w:t xml:space="preserve">(Oxford: Oxford University Press, 2016) problematizes conventional wisdom about the dominance of companionate marriage as a Victorian ideal, offering alternative versions of the ‘familiar’ as a driver of plot. On the modulation of biographical plot required – even when father-child antagonism is evident – by a focus on the ‘household’ versus the Oedipal plot, see Helena </w:t>
      </w:r>
      <w:proofErr w:type="spellStart"/>
      <w:r w:rsidRPr="007D2E74">
        <w:rPr>
          <w:rFonts w:ascii="Times New Roman" w:eastAsia="Times New Roman" w:hAnsi="Times New Roman" w:cs="Times New Roman"/>
          <w:sz w:val="20"/>
          <w:szCs w:val="20"/>
        </w:rPr>
        <w:t>Michie</w:t>
      </w:r>
      <w:proofErr w:type="spellEnd"/>
      <w:r w:rsidRPr="007D2E74">
        <w:rPr>
          <w:rFonts w:ascii="Times New Roman" w:eastAsia="Times New Roman" w:hAnsi="Times New Roman" w:cs="Times New Roman"/>
          <w:sz w:val="20"/>
          <w:szCs w:val="20"/>
        </w:rPr>
        <w:t xml:space="preserve"> and Robyn Warhol, </w:t>
      </w:r>
      <w:r w:rsidRPr="007D2E74">
        <w:rPr>
          <w:rFonts w:ascii="Times New Roman" w:eastAsia="Times New Roman" w:hAnsi="Times New Roman" w:cs="Times New Roman"/>
          <w:i/>
          <w:sz w:val="20"/>
          <w:szCs w:val="20"/>
        </w:rPr>
        <w:t>Love among the Archives: Writing the Lives of Sir George Scharf, Victorian Bachelor</w:t>
      </w:r>
      <w:r w:rsidRPr="007D2E74">
        <w:rPr>
          <w:rFonts w:ascii="Times New Roman" w:eastAsia="Times New Roman" w:hAnsi="Times New Roman" w:cs="Times New Roman"/>
          <w:sz w:val="20"/>
          <w:szCs w:val="20"/>
        </w:rPr>
        <w:t xml:space="preserve"> (Edinburgh: Edinbu</w:t>
      </w:r>
      <w:r w:rsidR="00CA0568" w:rsidRPr="007D2E74">
        <w:rPr>
          <w:rFonts w:ascii="Times New Roman" w:eastAsia="Times New Roman" w:hAnsi="Times New Roman" w:cs="Times New Roman"/>
          <w:sz w:val="20"/>
          <w:szCs w:val="20"/>
        </w:rPr>
        <w:t xml:space="preserve">rgh University Press, 2015), </w:t>
      </w:r>
      <w:r w:rsidRPr="007D2E74">
        <w:rPr>
          <w:rFonts w:ascii="Times New Roman" w:eastAsia="Times New Roman" w:hAnsi="Times New Roman" w:cs="Times New Roman"/>
          <w:sz w:val="20"/>
          <w:szCs w:val="20"/>
        </w:rPr>
        <w:t xml:space="preserve">59. On age differences within marriage, see for instance John Tosh, ‘Domesticity and manliness in the Victorian middle class: the Family of Edward White Benson’, in Michael Roper and John Tosh eds. </w:t>
      </w:r>
      <w:r w:rsidRPr="007D2E74">
        <w:rPr>
          <w:rFonts w:ascii="Times New Roman" w:eastAsia="Times New Roman" w:hAnsi="Times New Roman" w:cs="Times New Roman"/>
          <w:i/>
          <w:sz w:val="20"/>
          <w:szCs w:val="20"/>
        </w:rPr>
        <w:t xml:space="preserve">Manful Assertions: Masculinities in Britain since 1800 </w:t>
      </w:r>
      <w:r w:rsidR="00CA0568" w:rsidRPr="007D2E74">
        <w:rPr>
          <w:rFonts w:ascii="Times New Roman" w:eastAsia="Times New Roman" w:hAnsi="Times New Roman" w:cs="Times New Roman"/>
          <w:sz w:val="20"/>
          <w:szCs w:val="20"/>
        </w:rPr>
        <w:t xml:space="preserve">(London: Routledge, 1991), </w:t>
      </w:r>
      <w:r w:rsidRPr="007D2E74">
        <w:rPr>
          <w:rFonts w:ascii="Times New Roman" w:eastAsia="Times New Roman" w:hAnsi="Times New Roman" w:cs="Times New Roman"/>
          <w:sz w:val="20"/>
          <w:szCs w:val="20"/>
        </w:rPr>
        <w:t>44-73. On ‘aunthood’ as a complicating and enabling aspect of generational interaction, think of the aunt-niece partnership ‘M</w:t>
      </w:r>
      <w:r w:rsidR="00FE6237" w:rsidRPr="007D2E74">
        <w:rPr>
          <w:rFonts w:ascii="Times New Roman" w:eastAsia="Times New Roman" w:hAnsi="Times New Roman" w:cs="Times New Roman"/>
          <w:sz w:val="20"/>
          <w:szCs w:val="20"/>
        </w:rPr>
        <w:t xml:space="preserve">ichael Field’, and see Virginia </w:t>
      </w:r>
      <w:r w:rsidRPr="007D2E74">
        <w:rPr>
          <w:rFonts w:ascii="Times New Roman" w:eastAsia="Times New Roman" w:hAnsi="Times New Roman" w:cs="Times New Roman"/>
          <w:sz w:val="20"/>
          <w:szCs w:val="20"/>
        </w:rPr>
        <w:t xml:space="preserve">Blain, ‘Thinking back through our aunts: Harriet Martineau and tradition in Women’s Writing’, </w:t>
      </w:r>
      <w:r w:rsidRPr="007D2E74">
        <w:rPr>
          <w:rFonts w:ascii="Times New Roman" w:eastAsia="Times New Roman" w:hAnsi="Times New Roman" w:cs="Times New Roman"/>
          <w:i/>
          <w:sz w:val="20"/>
          <w:szCs w:val="20"/>
        </w:rPr>
        <w:t>Women: A Cultural Review</w:t>
      </w:r>
      <w:r w:rsidRPr="007D2E74">
        <w:rPr>
          <w:rFonts w:ascii="Times New Roman" w:eastAsia="Times New Roman" w:hAnsi="Times New Roman" w:cs="Times New Roman"/>
          <w:sz w:val="20"/>
          <w:szCs w:val="20"/>
        </w:rPr>
        <w:t xml:space="preserve"> 1.3 (1990): 223-39.</w:t>
      </w:r>
    </w:p>
  </w:footnote>
  <w:footnote w:id="5">
    <w:p w14:paraId="39674730" w14:textId="19F53E06" w:rsidR="004B6B7E" w:rsidRPr="007D2E74" w:rsidRDefault="001F6460">
      <w:pPr>
        <w:spacing w:line="240" w:lineRule="auto"/>
        <w:rPr>
          <w:rFonts w:ascii="Times New Roman" w:eastAsia="Times New Roman" w:hAnsi="Times New Roman" w:cs="Times New Roman"/>
          <w:b/>
          <w:sz w:val="20"/>
          <w:szCs w:val="20"/>
        </w:rPr>
      </w:pPr>
      <w:r w:rsidRPr="007D2E74">
        <w:rPr>
          <w:rStyle w:val="FootnoteReference"/>
          <w:rFonts w:ascii="Times New Roman" w:hAnsi="Times New Roman" w:cs="Times New Roman"/>
          <w:sz w:val="20"/>
          <w:szCs w:val="20"/>
        </w:rPr>
        <w:footnoteRef/>
      </w:r>
      <w:r w:rsidRPr="007D2E74">
        <w:rPr>
          <w:rFonts w:ascii="Times New Roman" w:eastAsia="Times New Roman" w:hAnsi="Times New Roman" w:cs="Times New Roman"/>
          <w:sz w:val="20"/>
          <w:szCs w:val="20"/>
        </w:rPr>
        <w:t xml:space="preserve"> </w:t>
      </w:r>
      <w:r w:rsidR="00FE6237" w:rsidRPr="007D2E74">
        <w:rPr>
          <w:rFonts w:ascii="Times New Roman" w:eastAsia="Times New Roman" w:hAnsi="Times New Roman" w:cs="Times New Roman"/>
          <w:sz w:val="20"/>
          <w:szCs w:val="20"/>
        </w:rPr>
        <w:fldChar w:fldCharType="begin"/>
      </w:r>
      <w:r w:rsidR="001E0739">
        <w:rPr>
          <w:rFonts w:ascii="Times New Roman" w:eastAsia="Times New Roman" w:hAnsi="Times New Roman" w:cs="Times New Roman"/>
          <w:sz w:val="20"/>
          <w:szCs w:val="20"/>
        </w:rPr>
        <w:instrText xml:space="preserve"> ADDIN ZOTERO_ITEM CSL_CITATION {"citationID":"qOj71jB3","properties":{"formattedCitation":"{\\rtf Karl Mannheim, \\uc0\\u8220{}The Problem of Generations,\\uc0\\u8221{} in {\\i{}Essays on the Sociology of Knowledge}, ed. Paul Kecskemeti (London and New York: Routledge, 1952), 292.}","plainCitation":"Karl Mannheim, “The Problem of Generations,” in Essays on the Sociology of Knowledge, ed. Paul Kecskemeti (London and New York: Routledge, 1952), 292."},"citationItems":[{"id":1323,"uris":["http://zotero.org/users/1124842/items/QXGVKTH3"],"uri":["http://zotero.org/users/1124842/items/QXGVKTH3"],"itemData":{"id":1323,"type":"chapter","title":"The Problem of Generations","container-title":"Essays on the Sociology of Knowledge","publisher":"Routledge","publisher-place":"London and New York","page":"276-322","event-place":"London and New York","author":[{"family":"Mannheim","given":"Karl"}],"editor":[{"family":"Kecskemeti","given":"Paul"}],"issued":{"date-parts":[["1952"]],"season":"republished 1972"}},"locator":"292"}],"schema":"https://github.com/citation-style-language/schema/raw/master/csl-citation.json"} </w:instrText>
      </w:r>
      <w:r w:rsidR="00FE6237" w:rsidRPr="007D2E74">
        <w:rPr>
          <w:rFonts w:ascii="Times New Roman" w:eastAsia="Times New Roman" w:hAnsi="Times New Roman" w:cs="Times New Roman"/>
          <w:sz w:val="20"/>
          <w:szCs w:val="20"/>
        </w:rPr>
        <w:fldChar w:fldCharType="separate"/>
      </w:r>
      <w:r w:rsidR="001E0739" w:rsidRPr="001E0739">
        <w:rPr>
          <w:rFonts w:ascii="Times New Roman" w:hAnsi="Times New Roman" w:cs="Times New Roman"/>
          <w:sz w:val="20"/>
          <w:szCs w:val="24"/>
        </w:rPr>
        <w:t xml:space="preserve">Karl Mannheim, “The Problem of Generations,” in </w:t>
      </w:r>
      <w:r w:rsidR="001E0739" w:rsidRPr="001E0739">
        <w:rPr>
          <w:rFonts w:ascii="Times New Roman" w:hAnsi="Times New Roman" w:cs="Times New Roman"/>
          <w:i/>
          <w:iCs/>
          <w:sz w:val="20"/>
          <w:szCs w:val="24"/>
        </w:rPr>
        <w:t>Essays on the Sociology of Knowledge</w:t>
      </w:r>
      <w:r w:rsidR="001E0739" w:rsidRPr="001E0739">
        <w:rPr>
          <w:rFonts w:ascii="Times New Roman" w:hAnsi="Times New Roman" w:cs="Times New Roman"/>
          <w:sz w:val="20"/>
          <w:szCs w:val="24"/>
        </w:rPr>
        <w:t>, ed. Paul Kecskemeti (London and New York: Routledge, 1952), 292.</w:t>
      </w:r>
      <w:r w:rsidR="00FE6237" w:rsidRPr="007D2E74">
        <w:rPr>
          <w:rFonts w:ascii="Times New Roman" w:eastAsia="Times New Roman" w:hAnsi="Times New Roman" w:cs="Times New Roman"/>
          <w:sz w:val="20"/>
          <w:szCs w:val="20"/>
        </w:rPr>
        <w:fldChar w:fldCharType="end"/>
      </w:r>
    </w:p>
  </w:footnote>
  <w:footnote w:id="6">
    <w:p w14:paraId="4A22C677" w14:textId="096CD2FD" w:rsidR="004B6B7E" w:rsidRPr="007D2E74" w:rsidRDefault="001F6460">
      <w:pPr>
        <w:spacing w:line="240" w:lineRule="auto"/>
        <w:rPr>
          <w:rFonts w:ascii="Times New Roman" w:eastAsia="Times New Roman" w:hAnsi="Times New Roman" w:cs="Times New Roman"/>
          <w:sz w:val="20"/>
          <w:szCs w:val="20"/>
        </w:rPr>
      </w:pPr>
      <w:r w:rsidRPr="007D2E74">
        <w:rPr>
          <w:rStyle w:val="FootnoteReference"/>
          <w:rFonts w:ascii="Times New Roman" w:hAnsi="Times New Roman" w:cs="Times New Roman"/>
          <w:sz w:val="20"/>
          <w:szCs w:val="20"/>
        </w:rPr>
        <w:footnoteRef/>
      </w:r>
      <w:r w:rsidRPr="007D2E74">
        <w:rPr>
          <w:rFonts w:ascii="Times New Roman" w:eastAsia="Times New Roman" w:hAnsi="Times New Roman" w:cs="Times New Roman"/>
          <w:sz w:val="20"/>
          <w:szCs w:val="20"/>
        </w:rPr>
        <w:t xml:space="preserve"> </w:t>
      </w:r>
      <w:r w:rsidR="00FE6237" w:rsidRPr="007D2E74">
        <w:rPr>
          <w:rFonts w:ascii="Times New Roman" w:eastAsia="Times New Roman" w:hAnsi="Times New Roman" w:cs="Times New Roman"/>
          <w:sz w:val="20"/>
          <w:szCs w:val="20"/>
        </w:rPr>
        <w:fldChar w:fldCharType="begin"/>
      </w:r>
      <w:r w:rsidR="001E0739">
        <w:rPr>
          <w:rFonts w:ascii="Times New Roman" w:eastAsia="Times New Roman" w:hAnsi="Times New Roman" w:cs="Times New Roman"/>
          <w:sz w:val="20"/>
          <w:szCs w:val="20"/>
        </w:rPr>
        <w:instrText xml:space="preserve"> ADDIN ZOTERO_ITEM CSL_CITATION {"citationID":"gwYTDj2P","properties":{"formattedCitation":"{\\rtf David M. McCourt, \\uc0\\u8220{}Mannheim and the Sociology of Knowledge,\\uc0\\u8221{} in {\\i{}Theory and Application of the \\uc0\\u8220{}Generation\\uc0\\u8221{} in International Relations and Politics}, ed. Steele and Acuff, 2012, 47.}","plainCitation":"David M. McCourt, “Mannheim and the Sociology of Knowledge,” in Theory and Application of the “Generation” in International Relations and Politics, ed. Steele and Acuff, 2012, 47."},"citationItems":[{"id":1397,"uris":["http://zotero.org/users/1124842/items/D2Z6MEWN"],"uri":["http://zotero.org/users/1124842/items/D2Z6MEWN"],"itemData":{"id":1397,"type":"chapter","title":"Mannheim and the Sociology of Knowledge","container-title":"Theory and Application of the ‘Generation’ in International Relations and Politics","page":"47-70","author":[{"family":"McCourt","given":"David M."}],"editor":[{"family":"Steele","given":""},{"family":"Acuff","given":""}],"issued":{"date-parts":[["2012"]]}},"locator":"47"}],"schema":"https://github.com/citation-style-language/schema/raw/master/csl-citation.json"} </w:instrText>
      </w:r>
      <w:r w:rsidR="00FE6237" w:rsidRPr="007D2E74">
        <w:rPr>
          <w:rFonts w:ascii="Times New Roman" w:eastAsia="Times New Roman" w:hAnsi="Times New Roman" w:cs="Times New Roman"/>
          <w:sz w:val="20"/>
          <w:szCs w:val="20"/>
        </w:rPr>
        <w:fldChar w:fldCharType="separate"/>
      </w:r>
      <w:r w:rsidR="001E0739" w:rsidRPr="001E0739">
        <w:rPr>
          <w:rFonts w:ascii="Times New Roman" w:hAnsi="Times New Roman" w:cs="Times New Roman"/>
          <w:sz w:val="20"/>
          <w:szCs w:val="24"/>
        </w:rPr>
        <w:t xml:space="preserve">David M. McCourt, “Mannheim and the Sociology of Knowledge,” in </w:t>
      </w:r>
      <w:r w:rsidR="001E0739" w:rsidRPr="001E0739">
        <w:rPr>
          <w:rFonts w:ascii="Times New Roman" w:hAnsi="Times New Roman" w:cs="Times New Roman"/>
          <w:i/>
          <w:iCs/>
          <w:sz w:val="20"/>
          <w:szCs w:val="24"/>
        </w:rPr>
        <w:t>Theory and Application of the “Generation” in International Relations and Politics</w:t>
      </w:r>
      <w:r w:rsidR="001E0739" w:rsidRPr="001E0739">
        <w:rPr>
          <w:rFonts w:ascii="Times New Roman" w:hAnsi="Times New Roman" w:cs="Times New Roman"/>
          <w:sz w:val="20"/>
          <w:szCs w:val="24"/>
        </w:rPr>
        <w:t>, ed. Steele and Acuff, 2012, 47.</w:t>
      </w:r>
      <w:r w:rsidR="00FE6237" w:rsidRPr="007D2E74">
        <w:rPr>
          <w:rFonts w:ascii="Times New Roman" w:eastAsia="Times New Roman" w:hAnsi="Times New Roman" w:cs="Times New Roman"/>
          <w:sz w:val="20"/>
          <w:szCs w:val="20"/>
        </w:rPr>
        <w:fldChar w:fldCharType="end"/>
      </w:r>
    </w:p>
  </w:footnote>
  <w:footnote w:id="7">
    <w:p w14:paraId="3324AEC1" w14:textId="63B7FFA8" w:rsidR="004B6B7E" w:rsidRPr="007D2E74" w:rsidRDefault="001F6460">
      <w:pPr>
        <w:spacing w:line="240" w:lineRule="auto"/>
        <w:rPr>
          <w:rFonts w:ascii="Times New Roman" w:eastAsia="Times New Roman" w:hAnsi="Times New Roman" w:cs="Times New Roman"/>
          <w:sz w:val="20"/>
          <w:szCs w:val="20"/>
        </w:rPr>
      </w:pPr>
      <w:r w:rsidRPr="007D2E74">
        <w:rPr>
          <w:rStyle w:val="FootnoteReference"/>
          <w:rFonts w:ascii="Times New Roman" w:hAnsi="Times New Roman" w:cs="Times New Roman"/>
          <w:sz w:val="20"/>
          <w:szCs w:val="20"/>
        </w:rPr>
        <w:footnoteRef/>
      </w:r>
      <w:r w:rsidRPr="007D2E74">
        <w:rPr>
          <w:rFonts w:ascii="Times New Roman" w:eastAsia="Times New Roman" w:hAnsi="Times New Roman" w:cs="Times New Roman"/>
          <w:sz w:val="20"/>
          <w:szCs w:val="20"/>
        </w:rPr>
        <w:t xml:space="preserve"> </w:t>
      </w:r>
      <w:r w:rsidR="00FE6237" w:rsidRPr="007D2E74">
        <w:rPr>
          <w:rFonts w:ascii="Times New Roman" w:eastAsia="Times New Roman" w:hAnsi="Times New Roman" w:cs="Times New Roman"/>
          <w:sz w:val="20"/>
          <w:szCs w:val="20"/>
        </w:rPr>
        <w:fldChar w:fldCharType="begin"/>
      </w:r>
      <w:r w:rsidR="00FE6237" w:rsidRPr="007D2E74">
        <w:rPr>
          <w:rFonts w:ascii="Times New Roman" w:eastAsia="Times New Roman" w:hAnsi="Times New Roman" w:cs="Times New Roman"/>
          <w:sz w:val="20"/>
          <w:szCs w:val="20"/>
        </w:rPr>
        <w:instrText xml:space="preserve"> ADDIN ZOTERO_ITEM CSL_CITATION {"citationID":"cEPS9w1E","properties":{"formattedCitation":"{\\rtf Mannheim, \\uc0\\u8220{}The Problem of Generations,\\uc0\\u8221{} 303.}","plainCitation":"Mannheim, “The Problem of Generations,” 303."},"citationItems":[{"id":1323,"uris":["http://zotero.org/users/1124842/items/QXGVKTH3"],"uri":["http://zotero.org/users/1124842/items/QXGVKTH3"],"itemData":{"id":1323,"type":"chapter","title":"The Problem of Generations","container-title":"Essays on the Sociology of Knowledge","publisher":"Routledge","publisher-place":"London and New York","page":"276-322","event-place":"London and New York","author":[{"family":"Mannheim","given":"Karl"}],"editor":[{"family":"Kecskemeti","given":"Paul"}],"issued":{"date-parts":[["1952"]],"season":"republished 1972"}},"locator":"303"}],"schema":"https://github.com/citation-style-language/schema/raw/master/csl-citation.json"} </w:instrText>
      </w:r>
      <w:r w:rsidR="00FE6237" w:rsidRPr="007D2E74">
        <w:rPr>
          <w:rFonts w:ascii="Times New Roman" w:eastAsia="Times New Roman" w:hAnsi="Times New Roman" w:cs="Times New Roman"/>
          <w:sz w:val="20"/>
          <w:szCs w:val="20"/>
        </w:rPr>
        <w:fldChar w:fldCharType="separate"/>
      </w:r>
      <w:r w:rsidR="001E0739" w:rsidRPr="001E0739">
        <w:rPr>
          <w:rFonts w:ascii="Times New Roman" w:hAnsi="Times New Roman" w:cs="Times New Roman"/>
          <w:sz w:val="20"/>
          <w:szCs w:val="24"/>
        </w:rPr>
        <w:t>Mannheim, “The Problem of Generations,” 303.</w:t>
      </w:r>
      <w:r w:rsidR="00FE6237" w:rsidRPr="007D2E74">
        <w:rPr>
          <w:rFonts w:ascii="Times New Roman" w:eastAsia="Times New Roman" w:hAnsi="Times New Roman" w:cs="Times New Roman"/>
          <w:sz w:val="20"/>
          <w:szCs w:val="20"/>
        </w:rPr>
        <w:fldChar w:fldCharType="end"/>
      </w:r>
      <w:r w:rsidRPr="007D2E74">
        <w:rPr>
          <w:rFonts w:ascii="Times New Roman" w:eastAsia="Times New Roman" w:hAnsi="Times New Roman" w:cs="Times New Roman"/>
          <w:sz w:val="20"/>
          <w:szCs w:val="20"/>
        </w:rPr>
        <w:t xml:space="preserve"> </w:t>
      </w:r>
    </w:p>
  </w:footnote>
  <w:footnote w:id="8">
    <w:p w14:paraId="2150EEB1" w14:textId="223B9F07" w:rsidR="004B6B7E" w:rsidRPr="007D2E74" w:rsidRDefault="001F6460">
      <w:pPr>
        <w:spacing w:line="240" w:lineRule="auto"/>
        <w:rPr>
          <w:rFonts w:ascii="Times New Roman" w:eastAsia="Times New Roman" w:hAnsi="Times New Roman" w:cs="Times New Roman"/>
          <w:sz w:val="20"/>
          <w:szCs w:val="20"/>
        </w:rPr>
      </w:pPr>
      <w:r w:rsidRPr="007D2E74">
        <w:rPr>
          <w:rStyle w:val="FootnoteReference"/>
          <w:rFonts w:ascii="Times New Roman" w:hAnsi="Times New Roman" w:cs="Times New Roman"/>
          <w:sz w:val="20"/>
          <w:szCs w:val="20"/>
        </w:rPr>
        <w:footnoteRef/>
      </w:r>
      <w:r w:rsidRPr="007D2E74">
        <w:rPr>
          <w:rFonts w:ascii="Times New Roman" w:eastAsia="Times New Roman" w:hAnsi="Times New Roman" w:cs="Times New Roman"/>
          <w:sz w:val="20"/>
          <w:szCs w:val="20"/>
        </w:rPr>
        <w:t xml:space="preserve"> See </w:t>
      </w:r>
      <w:r w:rsidR="00FE6237" w:rsidRPr="007D2E74">
        <w:rPr>
          <w:rFonts w:ascii="Times New Roman" w:eastAsia="Times New Roman" w:hAnsi="Times New Roman" w:cs="Times New Roman"/>
          <w:sz w:val="20"/>
          <w:szCs w:val="20"/>
        </w:rPr>
        <w:fldChar w:fldCharType="begin"/>
      </w:r>
      <w:r w:rsidR="001E0739">
        <w:rPr>
          <w:rFonts w:ascii="Times New Roman" w:eastAsia="Times New Roman" w:hAnsi="Times New Roman" w:cs="Times New Roman"/>
          <w:sz w:val="20"/>
          <w:szCs w:val="20"/>
        </w:rPr>
        <w:instrText xml:space="preserve"> ADDIN ZOTERO_ITEM CSL_CITATION {"citationID":"DTZUJpED","properties":{"formattedCitation":"{\\rtf William L. Burn, {\\i{}The Age of Equipoise: A Study of the Mid-Victorian Generation}, 74 (London: Allen &amp; Unwin, 1964); K. Theodore Hoppen, {\\i{}The Mid-Victorian Generation, 1846-1886} (Oxford: Clarendon Press, 2000).}","plainCitation":"William L. Burn, The Age of Equipoise: A Study of the Mid-Victorian Generation, 74 (London: Allen &amp; Unwin, 1964); K. Theodore Hoppen, The Mid-Victorian Generation, 1846-1886 (Oxford: Clarendon Press, 2000)."},"citationItems":[{"id":915,"uris":["http://zotero.org/users/1124842/items/MKAQEEEG"],"uri":["http://zotero.org/users/1124842/items/MKAQEEEG"],"itemData":{"id":915,"type":"book","title":"The age of equipoise: a study of the mid-Victorian generation","collection-number":"74","publisher":"Allen &amp; Unwin","publisher-place":"London","number-of-pages":"340","source":"lib.leeds.ac.uk Library Catalog","event-place":"London","call-number":"941.081","shortTitle":"The age of equipoise","author":[{"family":"Burn","given":"William L."}],"issued":{"date-parts":[["1964"]]}}},{"id":1326,"uris":["http://zotero.org/users/1124842/items/RDIGCXAS"],"uri":["http://zotero.org/users/1124842/items/RDIGCXAS"],"itemData":{"id":1326,"type":"book","title":"The Mid-Victorian Generation, 1846-1886","publisher":"Clarendon Press","publisher-place":"Oxford","number-of-pages":"812","source":"Google Books","event-place":"Oxford","abstract":"This, the third volume to appear in the New Oxford History of England, covers the period from the repeal of the Corn Laws to the dramatic failure of Gladstone's first Home Rule Bill. In his magisterial study of the mid-Victorian generation, Theo Hoppen identifies three defining themes. The first he calls 'established industrialism' - the growing acceptance that factory life and manufacturing had come to stay. It was during these four decades that the balance of employment shifted irrevocably. For the first time in history, more people were employed in industry than worked on theland. The second concerns the 'multiple national identities' of the constituent parts of the United Kingdom. Dr Hoppen's study of the histories of Ireland, Scotland, Wales, and the Empire reveals the existence of a variety of particular and overlapping national traditions flourishing alongside theincreasingly influential structure of the unitary state. The third defining theme is that of 'interlocking spheres' which the author uses to illuminate the formation of public culture in the period. This, he argues, was generated not by a series of influences operating independently from each other, but by a variety of intermeshed political, economic,scientific, literary and artistic developments. This original and authoritative book will define these pivotal forty years in British history for the next generation.","ISBN":"978-0-19-873199-3","note":"Google-Books-ID: PdeCMTjYHDsC","language":"en","author":[{"family":"Hoppen","given":"K. Theodore"}],"issued":{"date-parts":[["2000"]]}}}],"schema":"https://github.com/citation-style-language/schema/raw/master/csl-citation.json"} </w:instrText>
      </w:r>
      <w:r w:rsidR="00FE6237" w:rsidRPr="007D2E74">
        <w:rPr>
          <w:rFonts w:ascii="Times New Roman" w:eastAsia="Times New Roman" w:hAnsi="Times New Roman" w:cs="Times New Roman"/>
          <w:sz w:val="20"/>
          <w:szCs w:val="20"/>
        </w:rPr>
        <w:fldChar w:fldCharType="separate"/>
      </w:r>
      <w:r w:rsidR="001E0739" w:rsidRPr="001E0739">
        <w:rPr>
          <w:rFonts w:ascii="Times New Roman" w:hAnsi="Times New Roman" w:cs="Times New Roman"/>
          <w:sz w:val="20"/>
          <w:szCs w:val="24"/>
        </w:rPr>
        <w:t xml:space="preserve">William L. Burn, </w:t>
      </w:r>
      <w:r w:rsidR="001E0739" w:rsidRPr="001E0739">
        <w:rPr>
          <w:rFonts w:ascii="Times New Roman" w:hAnsi="Times New Roman" w:cs="Times New Roman"/>
          <w:i/>
          <w:iCs/>
          <w:sz w:val="20"/>
          <w:szCs w:val="24"/>
        </w:rPr>
        <w:t>The Age of Equipoise: A Study of the Mid-Victorian Generation</w:t>
      </w:r>
      <w:r w:rsidR="001E0739" w:rsidRPr="001E0739">
        <w:rPr>
          <w:rFonts w:ascii="Times New Roman" w:hAnsi="Times New Roman" w:cs="Times New Roman"/>
          <w:sz w:val="20"/>
          <w:szCs w:val="24"/>
        </w:rPr>
        <w:t xml:space="preserve">, 74 (London: Allen &amp; Unwin, 1964); K. Theodore Hoppen, </w:t>
      </w:r>
      <w:r w:rsidR="001E0739" w:rsidRPr="001E0739">
        <w:rPr>
          <w:rFonts w:ascii="Times New Roman" w:hAnsi="Times New Roman" w:cs="Times New Roman"/>
          <w:i/>
          <w:iCs/>
          <w:sz w:val="20"/>
          <w:szCs w:val="24"/>
        </w:rPr>
        <w:t>The Mid-Victorian Generation, 1846-1886</w:t>
      </w:r>
      <w:r w:rsidR="001E0739" w:rsidRPr="001E0739">
        <w:rPr>
          <w:rFonts w:ascii="Times New Roman" w:hAnsi="Times New Roman" w:cs="Times New Roman"/>
          <w:sz w:val="20"/>
          <w:szCs w:val="24"/>
        </w:rPr>
        <w:t xml:space="preserve"> (Oxford: Clarendon Press, 2000).</w:t>
      </w:r>
      <w:r w:rsidR="00FE6237" w:rsidRPr="007D2E74">
        <w:rPr>
          <w:rFonts w:ascii="Times New Roman" w:eastAsia="Times New Roman" w:hAnsi="Times New Roman" w:cs="Times New Roman"/>
          <w:sz w:val="20"/>
          <w:szCs w:val="20"/>
        </w:rPr>
        <w:fldChar w:fldCharType="end"/>
      </w:r>
      <w:r w:rsidRPr="007D2E74">
        <w:rPr>
          <w:rFonts w:ascii="Times New Roman" w:eastAsia="Times New Roman" w:hAnsi="Times New Roman" w:cs="Times New Roman"/>
          <w:sz w:val="20"/>
          <w:szCs w:val="20"/>
        </w:rPr>
        <w:t xml:space="preserve"> Burn’s work had a revival in </w:t>
      </w:r>
      <w:r w:rsidR="00FE6237" w:rsidRPr="007D2E74">
        <w:rPr>
          <w:rFonts w:ascii="Times New Roman" w:eastAsia="Times New Roman" w:hAnsi="Times New Roman" w:cs="Times New Roman"/>
          <w:sz w:val="20"/>
          <w:szCs w:val="20"/>
        </w:rPr>
        <w:fldChar w:fldCharType="begin"/>
      </w:r>
      <w:r w:rsidR="001E0739">
        <w:rPr>
          <w:rFonts w:ascii="Times New Roman" w:eastAsia="Times New Roman" w:hAnsi="Times New Roman" w:cs="Times New Roman"/>
          <w:sz w:val="20"/>
          <w:szCs w:val="20"/>
        </w:rPr>
        <w:instrText xml:space="preserve"> ADDIN ZOTERO_ITEM CSL_CITATION {"citationID":"gR2jQJy6","properties":{"formattedCitation":"{\\rtf Martin Hewitt, ed., {\\i{}An Age of Equipoise? Reassessing Mid-Victorian Britain} (Aldershot: Ashgate, 2000), /default.aspx?page=637&amp;calcTitle=1&amp;isbn=9780754602576.}","plainCitation":"Martin Hewitt, ed., An Age of Equipoise? Reassessing Mid-Victorian Britain (Aldershot: Ashgate, 2000), /default.aspx?page=637&amp;calcTitle=1&amp;isbn=9780754602576."},"citationItems":[{"id":911,"uris":["http://zotero.org/users/1124842/items/8Z9CSQBV"],"uri":["http://zotero.org/users/1124842/items/8Z9CSQBV"],"itemData":{"id":911,"type":"book","title":"An Age of Equipoise? Reassessing mid-Victorian Britain","publisher":"Ashgate","publisher-place":"Aldershot","event-place":"Aldershot","abstract":"The Age of Equipoise by W.L Burn was published in 1964 and became a central text in the canon of interpretations of the Victorian period. The book subsequently fell out of favour but recent claims to establish a new interpretative standard have, paradoxically, prompted reviewers to cast back to Burn's work as the orthodox standard against which such claims should be judged.\n\nThe essays in this volume by British and American contributors all engage, to varying degrees, with the notion of 'equipoise' and how it can help to illuminate the mid-Victorian period in ways which alternative formulations cannot. Some of the chapters develop arguments embedded in Burn's own book; others take up issues largely absent in The Age of Equipoise, such as the position of children, Britain's interaction with the wider world, and the threats the period experienced to its concept of masculine identity.\n\nTogether the essays demonstrate the intricacy and turbulence of the forces of cohesion in Victorian society, along with the success of that culture in achieving a working, if shifting, modus vivendi. Moreover, they substantiate the argument that, whatever the limitations of Burn's work, 'equipoise' deserves rehabilitation as a powerful conceptual framework for making sense of mid-Victorian Britain.","URL":"/default.aspx?page=637&amp;calcTitle=1&amp;isbn=9780754602576","shortTitle":"An Age of Equipoise?","editor":[{"family":"Hewitt","given":"Martin"}],"issued":{"date-parts":[["2000"]]},"accessed":{"date-parts":[["2015",11,29]]}}}],"schema":"https://github.com/citation-style-language/schema/raw/master/csl-citation.json"} </w:instrText>
      </w:r>
      <w:r w:rsidR="00FE6237" w:rsidRPr="007D2E74">
        <w:rPr>
          <w:rFonts w:ascii="Times New Roman" w:eastAsia="Times New Roman" w:hAnsi="Times New Roman" w:cs="Times New Roman"/>
          <w:sz w:val="20"/>
          <w:szCs w:val="20"/>
        </w:rPr>
        <w:fldChar w:fldCharType="separate"/>
      </w:r>
      <w:r w:rsidR="001E0739" w:rsidRPr="001E0739">
        <w:rPr>
          <w:rFonts w:ascii="Times New Roman" w:hAnsi="Times New Roman" w:cs="Times New Roman"/>
          <w:sz w:val="20"/>
          <w:szCs w:val="24"/>
        </w:rPr>
        <w:t xml:space="preserve">Martin Hewitt, ed., </w:t>
      </w:r>
      <w:r w:rsidR="001E0739" w:rsidRPr="001E0739">
        <w:rPr>
          <w:rFonts w:ascii="Times New Roman" w:hAnsi="Times New Roman" w:cs="Times New Roman"/>
          <w:i/>
          <w:iCs/>
          <w:sz w:val="20"/>
          <w:szCs w:val="24"/>
        </w:rPr>
        <w:t>An Age of Equipoise? Reassessing Mid-Victorian Britain</w:t>
      </w:r>
      <w:r w:rsidR="001E0739" w:rsidRPr="001E0739">
        <w:rPr>
          <w:rFonts w:ascii="Times New Roman" w:hAnsi="Times New Roman" w:cs="Times New Roman"/>
          <w:sz w:val="20"/>
          <w:szCs w:val="24"/>
        </w:rPr>
        <w:t xml:space="preserve"> (Aldershot: Ashgate, 2000).</w:t>
      </w:r>
      <w:r w:rsidR="00FE6237" w:rsidRPr="007D2E74">
        <w:rPr>
          <w:rFonts w:ascii="Times New Roman" w:eastAsia="Times New Roman" w:hAnsi="Times New Roman" w:cs="Times New Roman"/>
          <w:sz w:val="20"/>
          <w:szCs w:val="20"/>
        </w:rPr>
        <w:fldChar w:fldCharType="end"/>
      </w:r>
    </w:p>
  </w:footnote>
  <w:footnote w:id="9">
    <w:p w14:paraId="38E1C834" w14:textId="52CE6F62" w:rsidR="004B6B7E" w:rsidRPr="007D2E74" w:rsidRDefault="001F6460">
      <w:pPr>
        <w:spacing w:line="240" w:lineRule="auto"/>
        <w:rPr>
          <w:rFonts w:ascii="Times New Roman" w:hAnsi="Times New Roman" w:cs="Times New Roman"/>
          <w:b/>
          <w:sz w:val="20"/>
          <w:szCs w:val="20"/>
        </w:rPr>
      </w:pPr>
      <w:r w:rsidRPr="007D2E74">
        <w:rPr>
          <w:rStyle w:val="FootnoteReference"/>
          <w:rFonts w:ascii="Times New Roman" w:hAnsi="Times New Roman" w:cs="Times New Roman"/>
          <w:sz w:val="20"/>
          <w:szCs w:val="20"/>
        </w:rPr>
        <w:footnoteRef/>
      </w:r>
      <w:r w:rsidRPr="007D2E74">
        <w:rPr>
          <w:rFonts w:ascii="Times New Roman" w:eastAsia="Times New Roman" w:hAnsi="Times New Roman" w:cs="Times New Roman"/>
          <w:sz w:val="20"/>
          <w:szCs w:val="20"/>
        </w:rPr>
        <w:t xml:space="preserve"> See </w:t>
      </w:r>
      <w:r w:rsidR="00FE6237" w:rsidRPr="007D2E74">
        <w:rPr>
          <w:rFonts w:ascii="Times New Roman" w:eastAsia="Times New Roman" w:hAnsi="Times New Roman" w:cs="Times New Roman"/>
          <w:sz w:val="20"/>
          <w:szCs w:val="20"/>
        </w:rPr>
        <w:fldChar w:fldCharType="begin"/>
      </w:r>
      <w:r w:rsidR="001E0739">
        <w:rPr>
          <w:rFonts w:ascii="Times New Roman" w:eastAsia="Times New Roman" w:hAnsi="Times New Roman" w:cs="Times New Roman"/>
          <w:sz w:val="20"/>
          <w:szCs w:val="20"/>
        </w:rPr>
        <w:instrText xml:space="preserve"> ADDIN ZOTERO_ITEM CSL_CITATION {"citationID":"If0OnrHR","properties":{"formattedCitation":"{\\rtf Martin Hewitt, \\uc0\\u8220{}Victorian Generations,\\uc0\\u8221{} {\\i{}Victorian Manchester and More} (blog), May 31, 2015, https://profmartinhewitt.com/2015/05/31/victorian-generations/.}","plainCitation":"Martin Hewitt, “Victorian Generations,” Victorian Manchester and More (blog), May 31, 2015, https://profmartinhewitt.com/2015/05/31/victorian-generations/."},"citationItems":[{"id":1409,"uris":["http://zotero.org/users/1124842/items/ZEZ6N4BI"],"uri":["http://zotero.org/users/1124842/items/ZEZ6N4BI"],"itemData":{"id":1409,"type":"post-weblog","title":"Victorian Generations","container-title":"Victorian Manchester and more","URL":"https://profmartinhewitt.com/2015/05/31/victorian-generations/","author":[{"family":"Hewitt","given":"Martin"}],"issued":{"date-parts":[["2015",5,31]]},"accessed":{"date-parts":[["2017",11,29]]}}}],"schema":"https://github.com/citation-style-language/schema/raw/master/csl-citation.json"} </w:instrText>
      </w:r>
      <w:r w:rsidR="00FE6237" w:rsidRPr="007D2E74">
        <w:rPr>
          <w:rFonts w:ascii="Times New Roman" w:eastAsia="Times New Roman" w:hAnsi="Times New Roman" w:cs="Times New Roman"/>
          <w:sz w:val="20"/>
          <w:szCs w:val="20"/>
        </w:rPr>
        <w:fldChar w:fldCharType="separate"/>
      </w:r>
      <w:r w:rsidR="001E0739" w:rsidRPr="001E0739">
        <w:rPr>
          <w:rFonts w:ascii="Times New Roman" w:hAnsi="Times New Roman" w:cs="Times New Roman"/>
          <w:sz w:val="20"/>
          <w:szCs w:val="24"/>
        </w:rPr>
        <w:t xml:space="preserve">Martin Hewitt, “Victorian Generations,” </w:t>
      </w:r>
      <w:r w:rsidR="001E0739" w:rsidRPr="001E0739">
        <w:rPr>
          <w:rFonts w:ascii="Times New Roman" w:hAnsi="Times New Roman" w:cs="Times New Roman"/>
          <w:i/>
          <w:iCs/>
          <w:sz w:val="20"/>
          <w:szCs w:val="24"/>
        </w:rPr>
        <w:t>Victorian Manchester and More</w:t>
      </w:r>
      <w:r w:rsidR="001E0739" w:rsidRPr="001E0739">
        <w:rPr>
          <w:rFonts w:ascii="Times New Roman" w:hAnsi="Times New Roman" w:cs="Times New Roman"/>
          <w:sz w:val="20"/>
          <w:szCs w:val="24"/>
        </w:rPr>
        <w:t xml:space="preserve"> (blog), May 31, 2015, https://profmartinhewitt.com/2015/05/31/victorian-generations/.</w:t>
      </w:r>
      <w:r w:rsidR="00FE6237" w:rsidRPr="007D2E74">
        <w:rPr>
          <w:rFonts w:ascii="Times New Roman" w:eastAsia="Times New Roman" w:hAnsi="Times New Roman" w:cs="Times New Roman"/>
          <w:sz w:val="20"/>
          <w:szCs w:val="20"/>
        </w:rPr>
        <w:fldChar w:fldCharType="end"/>
      </w:r>
      <w:r w:rsidRPr="007D2E74">
        <w:rPr>
          <w:rFonts w:ascii="Times New Roman" w:eastAsia="Times New Roman" w:hAnsi="Times New Roman" w:cs="Times New Roman"/>
          <w:sz w:val="20"/>
          <w:szCs w:val="20"/>
        </w:rPr>
        <w:t xml:space="preserve"> Hewitt confirms our sense that the antagonism between late-Victorian and early twentieth-century cultural formations has retroactively shaped our sense of earlier generational configurations: ‘If we look at the Edwardian period we can see it being marked by [...] the active adoption of generational identities by protagonists; the development of lateral generational solidarities; and the greater sense of the narrowing and specificity of the generational layers that operated in society.’ </w:t>
      </w:r>
      <w:r w:rsidR="00FE6237" w:rsidRPr="007D2E74">
        <w:rPr>
          <w:rFonts w:ascii="Times New Roman" w:eastAsia="Times New Roman" w:hAnsi="Times New Roman" w:cs="Times New Roman"/>
          <w:sz w:val="20"/>
          <w:szCs w:val="20"/>
        </w:rPr>
        <w:t>(</w:t>
      </w:r>
      <w:r w:rsidR="00FE6237" w:rsidRPr="007D2E74">
        <w:rPr>
          <w:rFonts w:ascii="Times New Roman" w:eastAsia="Times New Roman" w:hAnsi="Times New Roman" w:cs="Times New Roman"/>
          <w:sz w:val="20"/>
          <w:szCs w:val="20"/>
        </w:rPr>
        <w:fldChar w:fldCharType="begin"/>
      </w:r>
      <w:r w:rsidR="001E0739">
        <w:rPr>
          <w:rFonts w:ascii="Times New Roman" w:eastAsia="Times New Roman" w:hAnsi="Times New Roman" w:cs="Times New Roman"/>
          <w:sz w:val="20"/>
          <w:szCs w:val="20"/>
        </w:rPr>
        <w:instrText xml:space="preserve"> ADDIN ZOTERO_ITEM CSL_CITATION {"citationID":"wgubjXRx","properties":{"formattedCitation":"{\\rtf Martin Hewitt, \\uc0\\u8220{}BAVS 2015 Keynote: Victorian Generations,\\uc0\\u8221{} Youtube, November 5, 2015, www.youtube.com/watch?v=FmEXJP1ruK4.}","plainCitation":"Martin Hewitt, “BAVS 2015 Keynote: Victorian Generations,” Youtube, November 5, 2015, www.youtube.com/watch?v=FmEXJP1ruK4."},"citationItems":[{"id":1410,"uris":["http://zotero.org/users/1124842/items/95ZKG6NR"],"uri":["http://zotero.org/users/1124842/items/95ZKG6NR"],"itemData":{"id":1410,"type":"webpage","title":"BAVS 2015 Keynote: Victorian Generations","container-title":"Youtube","URL":"www.youtube.com/watch?v=FmEXJP1ruK4","author":[{"family":"Hewitt","given":"Martin"}],"issued":{"date-parts":[["2015",11,5]]},"accessed":{"date-parts":[["2017",12,1]]}}}],"schema":"https://github.com/citation-style-language/schema/raw/master/csl-citation.json"} </w:instrText>
      </w:r>
      <w:r w:rsidR="00FE6237" w:rsidRPr="007D2E74">
        <w:rPr>
          <w:rFonts w:ascii="Times New Roman" w:eastAsia="Times New Roman" w:hAnsi="Times New Roman" w:cs="Times New Roman"/>
          <w:sz w:val="20"/>
          <w:szCs w:val="20"/>
        </w:rPr>
        <w:fldChar w:fldCharType="separate"/>
      </w:r>
      <w:r w:rsidR="001E0739" w:rsidRPr="001E0739">
        <w:rPr>
          <w:rFonts w:ascii="Times New Roman" w:hAnsi="Times New Roman" w:cs="Times New Roman"/>
          <w:sz w:val="20"/>
          <w:szCs w:val="24"/>
        </w:rPr>
        <w:t>Martin Hewitt, “BAVS 2015 Keynote: Victorian Generations,” Youtube, November 5, 2015, www.youtube.com/watch?v=FmEXJP1ruK4.</w:t>
      </w:r>
      <w:r w:rsidR="00FE6237" w:rsidRPr="007D2E74">
        <w:rPr>
          <w:rFonts w:ascii="Times New Roman" w:eastAsia="Times New Roman" w:hAnsi="Times New Roman" w:cs="Times New Roman"/>
          <w:sz w:val="20"/>
          <w:szCs w:val="20"/>
        </w:rPr>
        <w:fldChar w:fldCharType="end"/>
      </w:r>
      <w:r w:rsidR="00FE6237" w:rsidRPr="007D2E74">
        <w:rPr>
          <w:rFonts w:ascii="Times New Roman" w:eastAsia="Times New Roman" w:hAnsi="Times New Roman" w:cs="Times New Roman"/>
          <w:sz w:val="20"/>
          <w:szCs w:val="20"/>
        </w:rPr>
        <w:t>)</w:t>
      </w:r>
      <w:r w:rsidRPr="007D2E74">
        <w:rPr>
          <w:rFonts w:ascii="Times New Roman" w:eastAsia="Times New Roman" w:hAnsi="Times New Roman" w:cs="Times New Roman"/>
          <w:sz w:val="20"/>
          <w:szCs w:val="20"/>
        </w:rPr>
        <w:t xml:space="preserve"> Robert </w:t>
      </w:r>
      <w:proofErr w:type="spellStart"/>
      <w:r w:rsidRPr="007D2E74">
        <w:rPr>
          <w:rFonts w:ascii="Times New Roman" w:eastAsia="Times New Roman" w:hAnsi="Times New Roman" w:cs="Times New Roman"/>
          <w:sz w:val="20"/>
          <w:szCs w:val="20"/>
        </w:rPr>
        <w:t>Wohl’s</w:t>
      </w:r>
      <w:proofErr w:type="spellEnd"/>
      <w:r w:rsidRPr="007D2E74">
        <w:rPr>
          <w:rFonts w:ascii="Times New Roman" w:eastAsia="Times New Roman" w:hAnsi="Times New Roman" w:cs="Times New Roman"/>
          <w:sz w:val="20"/>
          <w:szCs w:val="20"/>
        </w:rPr>
        <w:t xml:space="preserve"> classic study of the ‘Generation of 1914’</w:t>
      </w:r>
      <w:r w:rsidRPr="007D2E74">
        <w:rPr>
          <w:rFonts w:ascii="Times New Roman" w:eastAsia="Times New Roman" w:hAnsi="Times New Roman" w:cs="Times New Roman"/>
          <w:i/>
          <w:sz w:val="20"/>
          <w:szCs w:val="20"/>
        </w:rPr>
        <w:t xml:space="preserve"> </w:t>
      </w:r>
      <w:r w:rsidRPr="007D2E74">
        <w:rPr>
          <w:rFonts w:ascii="Times New Roman" w:eastAsia="Times New Roman" w:hAnsi="Times New Roman" w:cs="Times New Roman"/>
          <w:sz w:val="20"/>
          <w:szCs w:val="20"/>
        </w:rPr>
        <w:t xml:space="preserve">likewise posited </w:t>
      </w:r>
      <w:r w:rsidR="00CA0568" w:rsidRPr="007D2E74">
        <w:rPr>
          <w:rFonts w:ascii="Times New Roman" w:eastAsia="Times New Roman" w:hAnsi="Times New Roman" w:cs="Times New Roman"/>
          <w:sz w:val="20"/>
          <w:szCs w:val="20"/>
        </w:rPr>
        <w:t xml:space="preserve">that </w:t>
      </w:r>
      <w:r w:rsidRPr="007D2E74">
        <w:rPr>
          <w:rFonts w:ascii="Times New Roman" w:eastAsia="Times New Roman" w:hAnsi="Times New Roman" w:cs="Times New Roman"/>
          <w:sz w:val="20"/>
          <w:szCs w:val="20"/>
        </w:rPr>
        <w:t xml:space="preserve">early </w:t>
      </w:r>
      <w:r w:rsidR="00CA0568" w:rsidRPr="007D2E74">
        <w:rPr>
          <w:rFonts w:ascii="Times New Roman" w:eastAsia="Times New Roman" w:hAnsi="Times New Roman" w:cs="Times New Roman"/>
          <w:sz w:val="20"/>
          <w:szCs w:val="20"/>
        </w:rPr>
        <w:t>theories of generational change</w:t>
      </w:r>
      <w:r w:rsidRPr="007D2E74">
        <w:rPr>
          <w:rFonts w:ascii="Times New Roman" w:eastAsia="Times New Roman" w:hAnsi="Times New Roman" w:cs="Times New Roman"/>
          <w:sz w:val="20"/>
          <w:szCs w:val="20"/>
        </w:rPr>
        <w:t xml:space="preserve"> were themselves generational, ‘influenced, if not inspired, by the example of the generation of 1914’. </w:t>
      </w:r>
      <w:r w:rsidR="00CA0568" w:rsidRPr="007D2E74">
        <w:rPr>
          <w:rFonts w:ascii="Times New Roman" w:eastAsia="Times New Roman" w:hAnsi="Times New Roman" w:cs="Times New Roman"/>
          <w:sz w:val="20"/>
          <w:szCs w:val="20"/>
        </w:rPr>
        <w:fldChar w:fldCharType="begin"/>
      </w:r>
      <w:r w:rsidR="001E0739">
        <w:rPr>
          <w:rFonts w:ascii="Times New Roman" w:eastAsia="Times New Roman" w:hAnsi="Times New Roman" w:cs="Times New Roman"/>
          <w:sz w:val="20"/>
          <w:szCs w:val="20"/>
        </w:rPr>
        <w:instrText xml:space="preserve"> ADDIN ZOTERO_ITEM CSL_CITATION {"citationID":"CzHfa2Dh","properties":{"formattedCitation":"{\\rtf Robert Wohl, {\\i{}The Generation of 1914} (Cambridge, Mass.: Harvard University Press, 1979), 2, www.hup.harvard.edu/catalog.php?isbn=9780674344662.}","plainCitation":"Robert Wohl, The Generation of 1914 (Cambridge, Mass.: Harvard University Press, 1979), 2, www.hup.harvard.edu/catalog.php?isbn=9780674344662."},"citationItems":[{"id":1395,"uris":["http://zotero.org/users/1124842/items/3ZWXEAMI"],"uri":["http://zotero.org/users/1124842/items/3ZWXEAMI"],"itemData":{"id":1395,"type":"book","title":"The Generation of 1914","publisher":"Harvard University Press","publisher-place":"Cambridge, Mass.","event-place":"Cambridge, Mass.","abstract":"The generation of 1914 holds a special place in memory, affection, and myth. In this irresistible and moving book, Robert Wohl rescues it from the shadows of legend and brings it fully into the realm of understanding. He tells the story of the middle class elite of five European countries -- France, Germany, England, Spain, and Italy -- to recreate the generational consciousness that united them as well as the unique national experience that made them different.","URL":"www.hup.harvard.edu/catalog.php?isbn=9780674344662","author":[{"family":"Wohl","given":"Robert"}],"issued":{"date-parts":[["1979"]]},"accessed":{"date-parts":[["2017",11,10]]}},"locator":"2"}],"schema":"https://github.com/citation-style-language/schema/raw/master/csl-citation.json"} </w:instrText>
      </w:r>
      <w:r w:rsidR="00CA0568" w:rsidRPr="007D2E74">
        <w:rPr>
          <w:rFonts w:ascii="Times New Roman" w:eastAsia="Times New Roman" w:hAnsi="Times New Roman" w:cs="Times New Roman"/>
          <w:sz w:val="20"/>
          <w:szCs w:val="20"/>
        </w:rPr>
        <w:fldChar w:fldCharType="separate"/>
      </w:r>
      <w:r w:rsidR="001E0739" w:rsidRPr="001E0739">
        <w:rPr>
          <w:rFonts w:ascii="Times New Roman" w:hAnsi="Times New Roman" w:cs="Times New Roman"/>
          <w:sz w:val="20"/>
          <w:szCs w:val="24"/>
        </w:rPr>
        <w:t xml:space="preserve">Robert Wohl, </w:t>
      </w:r>
      <w:r w:rsidR="001E0739" w:rsidRPr="001E0739">
        <w:rPr>
          <w:rFonts w:ascii="Times New Roman" w:hAnsi="Times New Roman" w:cs="Times New Roman"/>
          <w:i/>
          <w:iCs/>
          <w:sz w:val="20"/>
          <w:szCs w:val="24"/>
        </w:rPr>
        <w:t>The Generation of 1914</w:t>
      </w:r>
      <w:r w:rsidR="001E0739" w:rsidRPr="001E0739">
        <w:rPr>
          <w:rFonts w:ascii="Times New Roman" w:hAnsi="Times New Roman" w:cs="Times New Roman"/>
          <w:sz w:val="20"/>
          <w:szCs w:val="24"/>
        </w:rPr>
        <w:t xml:space="preserve"> (Cambridge, Mass.: Harvard University Press, 1979), 2, www.hup.harvard.edu/catalog.php?isbn=9780674344662.</w:t>
      </w:r>
      <w:r w:rsidR="00CA0568" w:rsidRPr="007D2E74">
        <w:rPr>
          <w:rFonts w:ascii="Times New Roman" w:eastAsia="Times New Roman" w:hAnsi="Times New Roman" w:cs="Times New Roman"/>
          <w:sz w:val="20"/>
          <w:szCs w:val="20"/>
        </w:rPr>
        <w:fldChar w:fldCharType="end"/>
      </w:r>
      <w:r w:rsidRPr="007D2E74">
        <w:rPr>
          <w:rFonts w:ascii="Times New Roman" w:eastAsia="Times New Roman" w:hAnsi="Times New Roman" w:cs="Times New Roman"/>
          <w:sz w:val="20"/>
          <w:szCs w:val="20"/>
        </w:rPr>
        <w:t xml:space="preserve"> Another version of the Victorian periodization</w:t>
      </w:r>
      <w:r w:rsidR="00CA0568" w:rsidRPr="007D2E74">
        <w:rPr>
          <w:rFonts w:ascii="Times New Roman" w:eastAsia="Times New Roman" w:hAnsi="Times New Roman" w:cs="Times New Roman"/>
          <w:sz w:val="20"/>
          <w:szCs w:val="20"/>
        </w:rPr>
        <w:t xml:space="preserve"> </w:t>
      </w:r>
      <w:r w:rsidRPr="007D2E74">
        <w:rPr>
          <w:rFonts w:ascii="Times New Roman" w:eastAsia="Times New Roman" w:hAnsi="Times New Roman" w:cs="Times New Roman"/>
          <w:sz w:val="20"/>
          <w:szCs w:val="20"/>
        </w:rPr>
        <w:t>/</w:t>
      </w:r>
      <w:r w:rsidR="00CA0568" w:rsidRPr="007D2E74">
        <w:rPr>
          <w:rFonts w:ascii="Times New Roman" w:eastAsia="Times New Roman" w:hAnsi="Times New Roman" w:cs="Times New Roman"/>
          <w:sz w:val="20"/>
          <w:szCs w:val="20"/>
        </w:rPr>
        <w:t xml:space="preserve"> </w:t>
      </w:r>
      <w:r w:rsidRPr="007D2E74">
        <w:rPr>
          <w:rFonts w:ascii="Times New Roman" w:eastAsia="Times New Roman" w:hAnsi="Times New Roman" w:cs="Times New Roman"/>
          <w:sz w:val="20"/>
          <w:szCs w:val="20"/>
        </w:rPr>
        <w:t>modernist generation debate is offered by</w:t>
      </w:r>
      <w:r w:rsidR="00CA0568" w:rsidRPr="007D2E74">
        <w:rPr>
          <w:rFonts w:ascii="Times New Roman" w:eastAsia="Times New Roman" w:hAnsi="Times New Roman" w:cs="Times New Roman"/>
          <w:sz w:val="20"/>
          <w:szCs w:val="20"/>
        </w:rPr>
        <w:t xml:space="preserve"> Barbara Caine, who argues that</w:t>
      </w:r>
      <w:r w:rsidRPr="007D2E74">
        <w:rPr>
          <w:rFonts w:ascii="Times New Roman" w:eastAsia="Times New Roman" w:hAnsi="Times New Roman" w:cs="Times New Roman"/>
          <w:sz w:val="20"/>
          <w:szCs w:val="20"/>
        </w:rPr>
        <w:t xml:space="preserve"> despite being embedded in Victorian cultural formations, the intellectuals of Bloomsbury typically saw the end of the Victorian period as the crucial historiographical punctuation point, and one that signified ‘the passing of the world of their parents and the coming into being of their own generation’. See </w:t>
      </w:r>
      <w:r w:rsidR="00CA0568" w:rsidRPr="007D2E74">
        <w:rPr>
          <w:rFonts w:ascii="Times New Roman" w:eastAsia="Times New Roman" w:hAnsi="Times New Roman" w:cs="Times New Roman"/>
          <w:sz w:val="20"/>
          <w:szCs w:val="20"/>
        </w:rPr>
        <w:fldChar w:fldCharType="begin"/>
      </w:r>
      <w:r w:rsidR="001E0739">
        <w:rPr>
          <w:rFonts w:ascii="Times New Roman" w:eastAsia="Times New Roman" w:hAnsi="Times New Roman" w:cs="Times New Roman"/>
          <w:sz w:val="20"/>
          <w:szCs w:val="20"/>
        </w:rPr>
        <w:instrText xml:space="preserve"> ADDIN ZOTERO_ITEM CSL_CITATION {"citationID":"bax5DvgH","properties":{"formattedCitation":"{\\rtf Barbara Caine, \\uc0\\u8220{}When Did the Victorian Period End? Questions of Gender and Generation,\\uc0\\u8221{} {\\i{}Journal of Victorian Culture} 11, no. 2 (October 16, 2006): 324.}","plainCitation":"Barbara Caine, “When Did the Victorian Period End? Questions of Gender and Generation,” Journal of Victorian Culture 11, no. 2 (October 16, 2006): 324."},"citationItems":[{"id":1393,"uris":["http://zotero.org/users/1124842/items/S7H33NBN"],"uri":["http://zotero.org/users/1124842/items/S7H33NBN"],"itemData":{"id":1393,"type":"article-journal","title":"When Did the Victorian Period End? Questions of Gender and Generation","container-title":"Journal of Victorian Culture","page":"317-325","volume":"11","issue":"2","source":"Project MUSE","ISSN":"1750-0133","shortTitle":"When Did the Victorian Period End?","author":[{"family":"Caine","given":"Barbara"}],"issued":{"date-parts":[["2006",10,16]]}},"locator":"324"}],"schema":"https://github.com/citation-style-language/schema/raw/master/csl-citation.json"} </w:instrText>
      </w:r>
      <w:r w:rsidR="00CA0568" w:rsidRPr="007D2E74">
        <w:rPr>
          <w:rFonts w:ascii="Times New Roman" w:eastAsia="Times New Roman" w:hAnsi="Times New Roman" w:cs="Times New Roman"/>
          <w:sz w:val="20"/>
          <w:szCs w:val="20"/>
        </w:rPr>
        <w:fldChar w:fldCharType="separate"/>
      </w:r>
      <w:r w:rsidR="001E0739" w:rsidRPr="001E0739">
        <w:rPr>
          <w:rFonts w:ascii="Times New Roman" w:hAnsi="Times New Roman" w:cs="Times New Roman"/>
          <w:sz w:val="20"/>
          <w:szCs w:val="24"/>
        </w:rPr>
        <w:t xml:space="preserve">Barbara Caine, “When Did the Victorian Period End? Questions of Gender and Generation,” </w:t>
      </w:r>
      <w:r w:rsidR="001E0739" w:rsidRPr="001E0739">
        <w:rPr>
          <w:rFonts w:ascii="Times New Roman" w:hAnsi="Times New Roman" w:cs="Times New Roman"/>
          <w:i/>
          <w:iCs/>
          <w:sz w:val="20"/>
          <w:szCs w:val="24"/>
        </w:rPr>
        <w:t>Journal of Victorian Culture</w:t>
      </w:r>
      <w:r w:rsidR="001E0739" w:rsidRPr="001E0739">
        <w:rPr>
          <w:rFonts w:ascii="Times New Roman" w:hAnsi="Times New Roman" w:cs="Times New Roman"/>
          <w:sz w:val="20"/>
          <w:szCs w:val="24"/>
        </w:rPr>
        <w:t xml:space="preserve"> 11, no. 2 (October 16, 2006): 324.</w:t>
      </w:r>
      <w:r w:rsidR="00CA0568" w:rsidRPr="007D2E74">
        <w:rPr>
          <w:rFonts w:ascii="Times New Roman" w:eastAsia="Times New Roman" w:hAnsi="Times New Roman" w:cs="Times New Roman"/>
          <w:sz w:val="20"/>
          <w:szCs w:val="20"/>
        </w:rPr>
        <w:fldChar w:fldCharType="end"/>
      </w:r>
    </w:p>
  </w:footnote>
  <w:footnote w:id="10">
    <w:p w14:paraId="48CA4CCE" w14:textId="003BEFFE" w:rsidR="004B6B7E" w:rsidRPr="007D2E74" w:rsidRDefault="001F6460">
      <w:pPr>
        <w:spacing w:line="240" w:lineRule="auto"/>
        <w:rPr>
          <w:rFonts w:ascii="Times New Roman" w:eastAsia="Times New Roman" w:hAnsi="Times New Roman" w:cs="Times New Roman"/>
          <w:sz w:val="20"/>
          <w:szCs w:val="20"/>
        </w:rPr>
      </w:pPr>
      <w:r w:rsidRPr="007D2E74">
        <w:rPr>
          <w:rStyle w:val="FootnoteReference"/>
          <w:rFonts w:ascii="Times New Roman" w:hAnsi="Times New Roman" w:cs="Times New Roman"/>
          <w:sz w:val="20"/>
          <w:szCs w:val="20"/>
        </w:rPr>
        <w:footnoteRef/>
      </w:r>
      <w:r w:rsidRPr="007D2E74">
        <w:rPr>
          <w:rFonts w:ascii="Times New Roman" w:hAnsi="Times New Roman" w:cs="Times New Roman"/>
          <w:sz w:val="20"/>
          <w:szCs w:val="20"/>
        </w:rPr>
        <w:t xml:space="preserve"> </w:t>
      </w:r>
      <w:r w:rsidRPr="007D2E74">
        <w:rPr>
          <w:rFonts w:ascii="Times New Roman" w:eastAsia="Times New Roman" w:hAnsi="Times New Roman" w:cs="Times New Roman"/>
          <w:sz w:val="20"/>
          <w:szCs w:val="20"/>
        </w:rPr>
        <w:t xml:space="preserve">See </w:t>
      </w:r>
      <w:r w:rsidR="00FE6237" w:rsidRPr="007D2E74">
        <w:rPr>
          <w:rFonts w:ascii="Times New Roman" w:eastAsia="Times New Roman" w:hAnsi="Times New Roman" w:cs="Times New Roman"/>
          <w:sz w:val="20"/>
          <w:szCs w:val="20"/>
        </w:rPr>
        <w:fldChar w:fldCharType="begin"/>
      </w:r>
      <w:r w:rsidR="001E0739">
        <w:rPr>
          <w:rFonts w:ascii="Times New Roman" w:eastAsia="Times New Roman" w:hAnsi="Times New Roman" w:cs="Times New Roman"/>
          <w:sz w:val="20"/>
          <w:szCs w:val="20"/>
        </w:rPr>
        <w:instrText xml:space="preserve"> ADDIN ZOTERO_ITEM CSL_CITATION {"citationID":"i35f84ez","properties":{"formattedCitation":"{\\rtf Martin Myrone, \\uc0\\u8220{}William Etty: \\uc0\\u8216{}A Child of the Royal Academy,\\uc0\\u8217{}\\uc0\\u8221{} in {\\i{}Living with the Royal Academy\\uc0\\u8239{}: Artistic Ideals and Experiences in England, 1768-1848}, ed. John Barrell, Mark Hallett, and Sarah Monks (Farnham: Ashgate, 2013), 181.}","plainCitation":"Martin Myrone, “William Etty: ‘A Child of the Royal Academy,’” in Living with the Royal Academy : Artistic Ideals and Experiences in England, 1768-1848, ed. John Barrell, Mark Hallett, and Sarah Monks (Farnham: Ashgate, 2013), 181."},"citationItems":[{"id":1403,"uris":["http://zotero.org/users/1124842/items/TUPVNNCR"],"uri":["http://zotero.org/users/1124842/items/TUPVNNCR"],"itemData":{"id":1403,"type":"chapter","title":"William Etty: 'A Child of the Royal Academy'","container-title":"Living with the Royal Academy : artistic ideals and experiences in England, 1768-1848","publisher":"Ashgate","publisher-place":"Farnham","page":"171-94","event-place":"Farnham","editor":[{"family":"Barrell","given":"John"},{"family":"Hallett","given":"Mark"},{"family":"Monks","given":"Sarah"}],"author":[{"family":"Myrone","given":"Martin"}],"issued":{"date-parts":[["2013"]]}},"locator":"181"}],"schema":"https://github.com/citation-style-language/schema/raw/master/csl-citation.json"} </w:instrText>
      </w:r>
      <w:r w:rsidR="00FE6237" w:rsidRPr="007D2E74">
        <w:rPr>
          <w:rFonts w:ascii="Times New Roman" w:eastAsia="Times New Roman" w:hAnsi="Times New Roman" w:cs="Times New Roman"/>
          <w:sz w:val="20"/>
          <w:szCs w:val="20"/>
        </w:rPr>
        <w:fldChar w:fldCharType="separate"/>
      </w:r>
      <w:r w:rsidR="001E0739" w:rsidRPr="001E0739">
        <w:rPr>
          <w:rFonts w:ascii="Times New Roman" w:hAnsi="Times New Roman" w:cs="Times New Roman"/>
          <w:sz w:val="20"/>
          <w:szCs w:val="24"/>
        </w:rPr>
        <w:t xml:space="preserve">Martin Myrone, “William Etty: ‘A Child of the Royal Academy,’” in </w:t>
      </w:r>
      <w:r w:rsidR="001E0739" w:rsidRPr="001E0739">
        <w:rPr>
          <w:rFonts w:ascii="Times New Roman" w:hAnsi="Times New Roman" w:cs="Times New Roman"/>
          <w:i/>
          <w:iCs/>
          <w:sz w:val="20"/>
          <w:szCs w:val="24"/>
        </w:rPr>
        <w:t>Living with the Royal Academy : Artistic Ideals and Experiences in England, 1768-1848</w:t>
      </w:r>
      <w:r w:rsidR="001E0739" w:rsidRPr="001E0739">
        <w:rPr>
          <w:rFonts w:ascii="Times New Roman" w:hAnsi="Times New Roman" w:cs="Times New Roman"/>
          <w:sz w:val="20"/>
          <w:szCs w:val="24"/>
        </w:rPr>
        <w:t>, ed. John Barrell, Mark Hallett, and Sarah Monks (Farnham: Ashgate, 2013), 181.</w:t>
      </w:r>
      <w:r w:rsidR="00FE6237" w:rsidRPr="007D2E74">
        <w:rPr>
          <w:rFonts w:ascii="Times New Roman" w:eastAsia="Times New Roman" w:hAnsi="Times New Roman" w:cs="Times New Roman"/>
          <w:sz w:val="20"/>
          <w:szCs w:val="20"/>
        </w:rPr>
        <w:fldChar w:fldCharType="end"/>
      </w:r>
    </w:p>
  </w:footnote>
  <w:footnote w:id="11">
    <w:p w14:paraId="13F1537B" w14:textId="25009734" w:rsidR="004B6B7E" w:rsidRPr="007D2E74" w:rsidRDefault="001F6460">
      <w:pPr>
        <w:spacing w:line="240" w:lineRule="auto"/>
        <w:rPr>
          <w:rFonts w:ascii="Times New Roman" w:hAnsi="Times New Roman" w:cs="Times New Roman"/>
          <w:sz w:val="20"/>
          <w:szCs w:val="20"/>
        </w:rPr>
      </w:pPr>
      <w:r w:rsidRPr="007D2E74">
        <w:rPr>
          <w:rStyle w:val="FootnoteReference"/>
          <w:rFonts w:ascii="Times New Roman" w:hAnsi="Times New Roman" w:cs="Times New Roman"/>
          <w:sz w:val="20"/>
          <w:szCs w:val="20"/>
        </w:rPr>
        <w:footnoteRef/>
      </w:r>
      <w:r w:rsidRPr="007D2E74">
        <w:rPr>
          <w:rFonts w:ascii="Times New Roman" w:hAnsi="Times New Roman" w:cs="Times New Roman"/>
          <w:sz w:val="20"/>
          <w:szCs w:val="20"/>
        </w:rPr>
        <w:t xml:space="preserve"> </w:t>
      </w:r>
      <w:r w:rsidR="00FE6237" w:rsidRPr="007D2E74">
        <w:rPr>
          <w:rFonts w:ascii="Times New Roman" w:eastAsia="Times New Roman" w:hAnsi="Times New Roman" w:cs="Times New Roman"/>
          <w:sz w:val="20"/>
          <w:szCs w:val="20"/>
        </w:rPr>
        <w:fldChar w:fldCharType="begin"/>
      </w:r>
      <w:r w:rsidR="001E0739">
        <w:rPr>
          <w:rFonts w:ascii="Times New Roman" w:eastAsia="Times New Roman" w:hAnsi="Times New Roman" w:cs="Times New Roman"/>
          <w:sz w:val="20"/>
          <w:szCs w:val="20"/>
        </w:rPr>
        <w:instrText xml:space="preserve"> ADDIN ZOTERO_ITEM CSL_CITATION {"citationID":"Whl2ivnB","properties":{"formattedCitation":"{\\rtf Mark C. Curthoys, \\uc0\\u8220{}The Careers of Oxford Men,\\uc0\\u8221{} in {\\i{}Nineteenth-Century Oxford, Part 1}, ed. M. G. Brock and Mark C. Curthoys, vol. 6, The History of the University of Oxford (Oxford: Clarendon, 1997), 503.}","plainCitation":"Mark C. Curthoys, “The Careers of Oxford Men,” in Nineteenth-Century Oxford, Part 1, ed. M. G. Brock and Mark C. Curthoys, vol. 6, The History of the University of Oxford (Oxford: Clarendon, 1997), 503."},"citationItems":[{"id":1405,"uris":["http://zotero.org/users/1124842/items/VKRPAM78"],"uri":["http://zotero.org/users/1124842/items/VKRPAM78"],"itemData":{"id":1405,"type":"chapter","title":"The Careers of Oxford Men","container-title":"Nineteenth-Century Oxford, part 1","collection-title":"The History of the University of Oxford","publisher":"Clarendon","publisher-place":"Oxford","page":"477-510","volume":"6","number-of-volumes":"8","event-place":"Oxford","author":[{"family":"Curthoys","given":"Mark C."}],"editor":[{"family":"Brock","given":"M. G."},{"family":"Curthoys","given":"Mark C."}],"collection-editor":[{"family":"Aston","given":"T. H."}],"issued":{"date-parts":[["1997"]]}},"locator":"503"}],"schema":"https://github.com/citation-style-language/schema/raw/master/csl-citation.json"} </w:instrText>
      </w:r>
      <w:r w:rsidR="00FE6237" w:rsidRPr="007D2E74">
        <w:rPr>
          <w:rFonts w:ascii="Times New Roman" w:eastAsia="Times New Roman" w:hAnsi="Times New Roman" w:cs="Times New Roman"/>
          <w:sz w:val="20"/>
          <w:szCs w:val="20"/>
        </w:rPr>
        <w:fldChar w:fldCharType="separate"/>
      </w:r>
      <w:r w:rsidR="001E0739" w:rsidRPr="001E0739">
        <w:rPr>
          <w:rFonts w:ascii="Times New Roman" w:hAnsi="Times New Roman" w:cs="Times New Roman"/>
          <w:sz w:val="20"/>
          <w:szCs w:val="24"/>
        </w:rPr>
        <w:t xml:space="preserve">Mark C. Curthoys, “The Careers of Oxford Men,” in </w:t>
      </w:r>
      <w:r w:rsidR="001E0739" w:rsidRPr="001E0739">
        <w:rPr>
          <w:rFonts w:ascii="Times New Roman" w:hAnsi="Times New Roman" w:cs="Times New Roman"/>
          <w:i/>
          <w:iCs/>
          <w:sz w:val="20"/>
          <w:szCs w:val="24"/>
        </w:rPr>
        <w:t>Nineteenth-Century Oxford, Part 1</w:t>
      </w:r>
      <w:r w:rsidR="001E0739" w:rsidRPr="001E0739">
        <w:rPr>
          <w:rFonts w:ascii="Times New Roman" w:hAnsi="Times New Roman" w:cs="Times New Roman"/>
          <w:sz w:val="20"/>
          <w:szCs w:val="24"/>
        </w:rPr>
        <w:t>, ed. M. G. Brock and Mark C. Curthoys, vol. 6, The History of the University of Oxford (Oxford: Clarendon, 1997), 503.</w:t>
      </w:r>
      <w:r w:rsidR="00FE6237" w:rsidRPr="007D2E74">
        <w:rPr>
          <w:rFonts w:ascii="Times New Roman" w:eastAsia="Times New Roman" w:hAnsi="Times New Roman" w:cs="Times New Roman"/>
          <w:sz w:val="20"/>
          <w:szCs w:val="20"/>
        </w:rPr>
        <w:fldChar w:fldCharType="end"/>
      </w:r>
    </w:p>
  </w:footnote>
  <w:footnote w:id="12">
    <w:p w14:paraId="2C1C4497" w14:textId="36470513" w:rsidR="004B6B7E" w:rsidRPr="007D2E74" w:rsidRDefault="001F6460">
      <w:pPr>
        <w:spacing w:line="240" w:lineRule="auto"/>
        <w:rPr>
          <w:rFonts w:ascii="Times New Roman" w:hAnsi="Times New Roman" w:cs="Times New Roman"/>
          <w:sz w:val="20"/>
          <w:szCs w:val="20"/>
        </w:rPr>
      </w:pPr>
      <w:r w:rsidRPr="007D2E74">
        <w:rPr>
          <w:rStyle w:val="FootnoteReference"/>
          <w:rFonts w:ascii="Times New Roman" w:hAnsi="Times New Roman" w:cs="Times New Roman"/>
          <w:sz w:val="20"/>
          <w:szCs w:val="20"/>
        </w:rPr>
        <w:footnoteRef/>
      </w:r>
      <w:r w:rsidRPr="007D2E74">
        <w:rPr>
          <w:rFonts w:ascii="Times New Roman" w:hAnsi="Times New Roman" w:cs="Times New Roman"/>
          <w:sz w:val="20"/>
          <w:szCs w:val="20"/>
        </w:rPr>
        <w:t xml:space="preserve"> </w:t>
      </w:r>
      <w:r w:rsidR="00FE6237" w:rsidRPr="007D2E74">
        <w:rPr>
          <w:rFonts w:ascii="Times New Roman" w:eastAsia="Times New Roman" w:hAnsi="Times New Roman" w:cs="Times New Roman"/>
          <w:sz w:val="20"/>
          <w:szCs w:val="20"/>
        </w:rPr>
        <w:fldChar w:fldCharType="begin"/>
      </w:r>
      <w:r w:rsidR="001E0739">
        <w:rPr>
          <w:rFonts w:ascii="Times New Roman" w:eastAsia="Times New Roman" w:hAnsi="Times New Roman" w:cs="Times New Roman"/>
          <w:sz w:val="20"/>
          <w:szCs w:val="20"/>
        </w:rPr>
        <w:instrText xml:space="preserve"> ADDIN ZOTERO_ITEM CSL_CITATION {"citationID":"eTDCuxNv","properties":{"formattedCitation":"{\\rtf Mark C. Curthoys and Janet Howarth, \\uc0\\u8220{}Origins and Destinations: The Social Mobility of Oxford Men and Women,\\uc0\\u8221{} in {\\i{}Nineteenth-Century Oxford, Part 2}, ed. M. G. Brock and Mark C. Curthoys, vol. 7, The History of the University of Oxford (Oxford: Clarendon, 2000), 578.}","plainCitation":"Mark C. Curthoys and Janet Howarth, “Origins and Destinations: The Social Mobility of Oxford Men and Women,” in Nineteenth-Century Oxford, Part 2, ed. M. G. Brock and Mark C. Curthoys, vol. 7, The History of the University of Oxford (Oxford: Clarendon, 2000), 578."},"citationItems":[{"id":1407,"uris":["http://zotero.org/users/1124842/items/JENA5UR2"],"uri":["http://zotero.org/users/1124842/items/JENA5UR2"],"itemData":{"id":1407,"type":"chapter","title":"Origins and Destinations: the social mobility of Oxford men and women","container-title":"Nineteenth-Century Oxford, part 2","collection-title":"The History of the University of Oxford","publisher":"Clarendon","publisher-place":"Oxford","page":"571-595","volume":"7","number-of-volumes":"8","event-place":"Oxford","author":[{"family":"Curthoys","given":"Mark C."},{"family":"Howarth","given":"Janet"}],"editor":[{"family":"Brock","given":"M. G."},{"family":"Curthoys","given":"Mark C."}],"collection-editor":[{"family":"Aston","given":"T. H."}],"issued":{"date-parts":[["2000"]]}},"locator":"578"}],"schema":"https://github.com/citation-style-language/schema/raw/master/csl-citation.json"} </w:instrText>
      </w:r>
      <w:r w:rsidR="00FE6237" w:rsidRPr="007D2E74">
        <w:rPr>
          <w:rFonts w:ascii="Times New Roman" w:eastAsia="Times New Roman" w:hAnsi="Times New Roman" w:cs="Times New Roman"/>
          <w:sz w:val="20"/>
          <w:szCs w:val="20"/>
        </w:rPr>
        <w:fldChar w:fldCharType="separate"/>
      </w:r>
      <w:r w:rsidR="001E0739" w:rsidRPr="001E0739">
        <w:rPr>
          <w:rFonts w:ascii="Times New Roman" w:hAnsi="Times New Roman" w:cs="Times New Roman"/>
          <w:sz w:val="20"/>
          <w:szCs w:val="24"/>
        </w:rPr>
        <w:t xml:space="preserve">Mark C. Curthoys and Janet Howarth, “Origins and Destinations: The Social Mobility of Oxford Men and Women,” in </w:t>
      </w:r>
      <w:r w:rsidR="001E0739" w:rsidRPr="001E0739">
        <w:rPr>
          <w:rFonts w:ascii="Times New Roman" w:hAnsi="Times New Roman" w:cs="Times New Roman"/>
          <w:i/>
          <w:iCs/>
          <w:sz w:val="20"/>
          <w:szCs w:val="24"/>
        </w:rPr>
        <w:t>Nineteenth-Century Oxford, Part 2</w:t>
      </w:r>
      <w:r w:rsidR="001E0739" w:rsidRPr="001E0739">
        <w:rPr>
          <w:rFonts w:ascii="Times New Roman" w:hAnsi="Times New Roman" w:cs="Times New Roman"/>
          <w:sz w:val="20"/>
          <w:szCs w:val="24"/>
        </w:rPr>
        <w:t>, ed. M. G. Brock and Mark C. Curthoys, vol. 7, The History of the University of Oxford (Oxford: Clarendon, 2000), 578.</w:t>
      </w:r>
      <w:r w:rsidR="00FE6237" w:rsidRPr="007D2E74">
        <w:rPr>
          <w:rFonts w:ascii="Times New Roman" w:eastAsia="Times New Roman" w:hAnsi="Times New Roman" w:cs="Times New Roman"/>
          <w:sz w:val="20"/>
          <w:szCs w:val="20"/>
        </w:rPr>
        <w:fldChar w:fldCharType="end"/>
      </w:r>
      <w:r w:rsidRPr="007D2E74">
        <w:rPr>
          <w:rFonts w:ascii="Times New Roman" w:eastAsia="Times New Roman" w:hAnsi="Times New Roman" w:cs="Times New Roman"/>
          <w:sz w:val="20"/>
          <w:szCs w:val="20"/>
        </w:rPr>
        <w:t xml:space="preserve"> Needless to say, reliance on the surviving records of elite institutions will necessarily yield generations of elites. </w:t>
      </w:r>
    </w:p>
  </w:footnote>
  <w:footnote w:id="13">
    <w:p w14:paraId="53802374" w14:textId="08CC4F55" w:rsidR="004B6B7E" w:rsidRPr="00A14C1E" w:rsidRDefault="001F6460">
      <w:pPr>
        <w:spacing w:line="240" w:lineRule="auto"/>
        <w:rPr>
          <w:rFonts w:ascii="Times New Roman" w:hAnsi="Times New Roman" w:cs="Times New Roman"/>
          <w:color w:val="auto"/>
          <w:sz w:val="20"/>
          <w:szCs w:val="20"/>
        </w:rPr>
      </w:pPr>
      <w:r w:rsidRPr="007D2E74">
        <w:rPr>
          <w:rStyle w:val="FootnoteReference"/>
          <w:rFonts w:ascii="Times New Roman" w:hAnsi="Times New Roman" w:cs="Times New Roman"/>
          <w:sz w:val="20"/>
          <w:szCs w:val="20"/>
        </w:rPr>
        <w:footnoteRef/>
      </w:r>
      <w:r w:rsidRPr="007D2E74">
        <w:rPr>
          <w:rFonts w:ascii="Times New Roman" w:eastAsia="Times New Roman" w:hAnsi="Times New Roman" w:cs="Times New Roman"/>
          <w:sz w:val="20"/>
          <w:szCs w:val="20"/>
        </w:rPr>
        <w:t xml:space="preserve"> These datasets include obituaries (see </w:t>
      </w:r>
      <w:proofErr w:type="spellStart"/>
      <w:r w:rsidRPr="007D2E74">
        <w:rPr>
          <w:rFonts w:ascii="Times New Roman" w:eastAsia="Times New Roman" w:hAnsi="Times New Roman" w:cs="Times New Roman"/>
          <w:sz w:val="20"/>
          <w:szCs w:val="20"/>
        </w:rPr>
        <w:t>Munk’s</w:t>
      </w:r>
      <w:proofErr w:type="spellEnd"/>
      <w:r w:rsidRPr="007D2E74">
        <w:rPr>
          <w:rFonts w:ascii="Times New Roman" w:eastAsia="Times New Roman" w:hAnsi="Times New Roman" w:cs="Times New Roman"/>
          <w:sz w:val="20"/>
          <w:szCs w:val="20"/>
        </w:rPr>
        <w:t xml:space="preserve"> Roll), collective biographies (DNB and ODNB) and matriculation albums: (see </w:t>
      </w:r>
      <w:r w:rsidRPr="007D2E74">
        <w:rPr>
          <w:rFonts w:ascii="Times New Roman" w:eastAsia="Times New Roman" w:hAnsi="Times New Roman" w:cs="Times New Roman"/>
          <w:i/>
          <w:sz w:val="20"/>
          <w:szCs w:val="20"/>
        </w:rPr>
        <w:t>A Cambridge Alumni Database</w:t>
      </w:r>
      <w:r w:rsidR="00A14C1E">
        <w:rPr>
          <w:rFonts w:ascii="Times New Roman" w:eastAsia="Times New Roman" w:hAnsi="Times New Roman" w:cs="Times New Roman"/>
          <w:sz w:val="20"/>
          <w:szCs w:val="20"/>
        </w:rPr>
        <w:t>,</w:t>
      </w:r>
      <w:r w:rsidRPr="007D2E74">
        <w:rPr>
          <w:rFonts w:ascii="Times New Roman" w:eastAsia="Times New Roman" w:hAnsi="Times New Roman" w:cs="Times New Roman"/>
          <w:sz w:val="20"/>
          <w:szCs w:val="20"/>
        </w:rPr>
        <w:t xml:space="preserve"> </w:t>
      </w:r>
      <w:r w:rsidRPr="00A14C1E">
        <w:rPr>
          <w:rFonts w:ascii="Times New Roman" w:eastAsia="Times New Roman" w:hAnsi="Times New Roman" w:cs="Times New Roman"/>
          <w:color w:val="auto"/>
          <w:sz w:val="20"/>
          <w:szCs w:val="20"/>
        </w:rPr>
        <w:t>http://venn.lib.cam.ac.uk/Documents/acad/2016/search-2016.html).</w:t>
      </w:r>
    </w:p>
  </w:footnote>
  <w:footnote w:id="14">
    <w:p w14:paraId="75DD07BB" w14:textId="69F9D961" w:rsidR="004B6B7E" w:rsidRPr="007D2E74" w:rsidRDefault="001F6460">
      <w:pPr>
        <w:spacing w:line="240" w:lineRule="auto"/>
        <w:rPr>
          <w:rFonts w:ascii="Times New Roman" w:eastAsia="Times New Roman" w:hAnsi="Times New Roman" w:cs="Times New Roman"/>
          <w:sz w:val="20"/>
          <w:szCs w:val="20"/>
        </w:rPr>
      </w:pPr>
      <w:r w:rsidRPr="007D2E74">
        <w:rPr>
          <w:rStyle w:val="FootnoteReference"/>
          <w:rFonts w:ascii="Times New Roman" w:hAnsi="Times New Roman" w:cs="Times New Roman"/>
          <w:sz w:val="20"/>
          <w:szCs w:val="20"/>
        </w:rPr>
        <w:footnoteRef/>
      </w:r>
      <w:r w:rsidRPr="007D2E74">
        <w:rPr>
          <w:rFonts w:ascii="Times New Roman" w:eastAsia="Times New Roman" w:hAnsi="Times New Roman" w:cs="Times New Roman"/>
          <w:sz w:val="20"/>
          <w:szCs w:val="20"/>
        </w:rPr>
        <w:t xml:space="preserve"> See </w:t>
      </w:r>
      <w:r w:rsidR="00FE6237" w:rsidRPr="007D2E74">
        <w:rPr>
          <w:rFonts w:ascii="Times New Roman" w:eastAsia="Times New Roman" w:hAnsi="Times New Roman" w:cs="Times New Roman"/>
          <w:sz w:val="20"/>
          <w:szCs w:val="20"/>
        </w:rPr>
        <w:fldChar w:fldCharType="begin"/>
      </w:r>
      <w:r w:rsidR="001E0739">
        <w:rPr>
          <w:rFonts w:ascii="Times New Roman" w:eastAsia="Times New Roman" w:hAnsi="Times New Roman" w:cs="Times New Roman"/>
          <w:sz w:val="20"/>
          <w:szCs w:val="20"/>
        </w:rPr>
        <w:instrText xml:space="preserve"> ADDIN ZOTERO_ITEM CSL_CITATION {"citationID":"aYmC4Zrd","properties":{"formattedCitation":"{\\rtf Helen Kingstone, {\\i{}Victorian Narratives of the Recent Past: Memory, History, Fiction} (Cham, Switzerland: Palgrave Macmillan, 2017).}","plainCitation":"Helen Kingstone, Victorian Narratives of the Recent Past: Memory, History, Fiction (Cham, Switzerland: Palgrave Macmillan, 2017)."},"citationItems":[{"id":1224,"uris":["http://zotero.org/users/1124842/items/94FZ3QND"],"uri":["http://zotero.org/users/1124842/items/94FZ3QND"],"itemData":{"id":1224,"type":"book","title":"Victorian Narratives of the Recent Past: Memory, History, Fiction","publisher":"Palgrave Macmillan","publisher-place":"Cham, Switzerland","event-place":"Cham, Switzerland","abstract":"This book explains why narrating the recent past is always challenging, and shows how it was particularly fraught in the nineteenth century. The legacy of...","shortTitle":"Victorian Narratives of the Recent Past","author":[{"family":"Kingstone","given":"Helen"}],"issued":{"date-parts":[["2017"]]},"accessed":{"date-parts":[["2016",10,26]]}}}],"schema":"https://github.com/citation-style-language/schema/raw/master/csl-citation.json"} </w:instrText>
      </w:r>
      <w:r w:rsidR="00FE6237" w:rsidRPr="007D2E74">
        <w:rPr>
          <w:rFonts w:ascii="Times New Roman" w:eastAsia="Times New Roman" w:hAnsi="Times New Roman" w:cs="Times New Roman"/>
          <w:sz w:val="20"/>
          <w:szCs w:val="20"/>
        </w:rPr>
        <w:fldChar w:fldCharType="separate"/>
      </w:r>
      <w:r w:rsidR="001E0739" w:rsidRPr="001E0739">
        <w:rPr>
          <w:rFonts w:ascii="Times New Roman" w:hAnsi="Times New Roman" w:cs="Times New Roman"/>
          <w:sz w:val="20"/>
          <w:szCs w:val="24"/>
        </w:rPr>
        <w:t xml:space="preserve">Helen Kingstone, </w:t>
      </w:r>
      <w:r w:rsidR="001E0739" w:rsidRPr="001E0739">
        <w:rPr>
          <w:rFonts w:ascii="Times New Roman" w:hAnsi="Times New Roman" w:cs="Times New Roman"/>
          <w:i/>
          <w:iCs/>
          <w:sz w:val="20"/>
          <w:szCs w:val="24"/>
        </w:rPr>
        <w:t>Victorian Narratives of the Recent Past: Memory, History, Fiction</w:t>
      </w:r>
      <w:r w:rsidR="001E0739" w:rsidRPr="001E0739">
        <w:rPr>
          <w:rFonts w:ascii="Times New Roman" w:hAnsi="Times New Roman" w:cs="Times New Roman"/>
          <w:sz w:val="20"/>
          <w:szCs w:val="24"/>
        </w:rPr>
        <w:t xml:space="preserve"> (Cham, Switzerland: Palgrave Macmillan, 2017).</w:t>
      </w:r>
      <w:r w:rsidR="00FE6237" w:rsidRPr="007D2E74">
        <w:rPr>
          <w:rFonts w:ascii="Times New Roman" w:eastAsia="Times New Roman" w:hAnsi="Times New Roman" w:cs="Times New Roman"/>
          <w:sz w:val="20"/>
          <w:szCs w:val="20"/>
        </w:rPr>
        <w:fldChar w:fldCharType="end"/>
      </w:r>
    </w:p>
  </w:footnote>
  <w:footnote w:id="15">
    <w:p w14:paraId="3B7E9508" w14:textId="77777777" w:rsidR="004B6B7E" w:rsidRPr="007D2E74" w:rsidRDefault="001F6460">
      <w:pPr>
        <w:spacing w:line="240" w:lineRule="auto"/>
        <w:rPr>
          <w:rFonts w:ascii="Times New Roman" w:eastAsia="Times New Roman" w:hAnsi="Times New Roman" w:cs="Times New Roman"/>
          <w:sz w:val="20"/>
          <w:szCs w:val="20"/>
        </w:rPr>
      </w:pPr>
      <w:r w:rsidRPr="007D2E74">
        <w:rPr>
          <w:rStyle w:val="FootnoteReference"/>
          <w:rFonts w:ascii="Times New Roman" w:hAnsi="Times New Roman" w:cs="Times New Roman"/>
          <w:sz w:val="20"/>
          <w:szCs w:val="20"/>
        </w:rPr>
        <w:footnoteRef/>
      </w:r>
      <w:r w:rsidRPr="007D2E74">
        <w:rPr>
          <w:rFonts w:ascii="Times New Roman" w:eastAsia="Times New Roman" w:hAnsi="Times New Roman" w:cs="Times New Roman"/>
          <w:sz w:val="20"/>
          <w:szCs w:val="20"/>
        </w:rPr>
        <w:t xml:space="preserve"> This list also includes (among other) writers Charles Kingsley and A. H. Clough, artists William Powell Frith and Lowes Cato Dickinson (both of whom painted portraits of their coevals), the Quaker diarist Caroline Fox and cabinetmaker James Dickinson, who pro</w:t>
      </w:r>
      <w:r w:rsidR="00FE6237" w:rsidRPr="007D2E74">
        <w:rPr>
          <w:rFonts w:ascii="Times New Roman" w:eastAsia="Times New Roman" w:hAnsi="Times New Roman" w:cs="Times New Roman"/>
          <w:sz w:val="20"/>
          <w:szCs w:val="20"/>
        </w:rPr>
        <w:t>duced a memoir.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B7E"/>
    <w:rsid w:val="000A0B06"/>
    <w:rsid w:val="000E3549"/>
    <w:rsid w:val="001101E2"/>
    <w:rsid w:val="001E0739"/>
    <w:rsid w:val="001F6460"/>
    <w:rsid w:val="00337894"/>
    <w:rsid w:val="003B73BD"/>
    <w:rsid w:val="004722FB"/>
    <w:rsid w:val="0048017C"/>
    <w:rsid w:val="004B6B7E"/>
    <w:rsid w:val="007D2E74"/>
    <w:rsid w:val="008600DE"/>
    <w:rsid w:val="008B0579"/>
    <w:rsid w:val="009A3F21"/>
    <w:rsid w:val="00A14C1E"/>
    <w:rsid w:val="00A17D15"/>
    <w:rsid w:val="00B00B3F"/>
    <w:rsid w:val="00CA0568"/>
    <w:rsid w:val="00D608DF"/>
    <w:rsid w:val="00EB4B44"/>
    <w:rsid w:val="00FE62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A91DB9"/>
  <w15:docId w15:val="{EB28B277-3BC9-4F05-89BE-6A8C3205A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A0568"/>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FE6237"/>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6237"/>
    <w:rPr>
      <w:rFonts w:ascii="Tahoma" w:hAnsi="Tahoma" w:cs="Tahoma"/>
      <w:sz w:val="16"/>
      <w:szCs w:val="16"/>
    </w:rPr>
  </w:style>
  <w:style w:type="character" w:styleId="Hyperlink">
    <w:name w:val="Hyperlink"/>
    <w:basedOn w:val="DefaultParagraphFont"/>
    <w:uiPriority w:val="99"/>
    <w:unhideWhenUsed/>
    <w:rsid w:val="00CA0568"/>
    <w:rPr>
      <w:color w:val="0000FF" w:themeColor="hyperlink"/>
      <w:u w:val="single"/>
    </w:rPr>
  </w:style>
  <w:style w:type="paragraph" w:styleId="Bibliography">
    <w:name w:val="Bibliography"/>
    <w:basedOn w:val="Normal"/>
    <w:next w:val="Normal"/>
    <w:uiPriority w:val="37"/>
    <w:unhideWhenUsed/>
    <w:rsid w:val="00CA0568"/>
    <w:pPr>
      <w:spacing w:line="240" w:lineRule="auto"/>
      <w:ind w:left="720" w:hanging="720"/>
    </w:pPr>
  </w:style>
  <w:style w:type="paragraph" w:styleId="Header">
    <w:name w:val="header"/>
    <w:basedOn w:val="Normal"/>
    <w:link w:val="HeaderChar"/>
    <w:uiPriority w:val="99"/>
    <w:unhideWhenUsed/>
    <w:rsid w:val="008600DE"/>
    <w:pPr>
      <w:tabs>
        <w:tab w:val="center" w:pos="4513"/>
        <w:tab w:val="right" w:pos="9026"/>
      </w:tabs>
      <w:spacing w:line="240" w:lineRule="auto"/>
    </w:pPr>
  </w:style>
  <w:style w:type="character" w:customStyle="1" w:styleId="HeaderChar">
    <w:name w:val="Header Char"/>
    <w:basedOn w:val="DefaultParagraphFont"/>
    <w:link w:val="Header"/>
    <w:uiPriority w:val="99"/>
    <w:rsid w:val="008600DE"/>
  </w:style>
  <w:style w:type="paragraph" w:styleId="Footer">
    <w:name w:val="footer"/>
    <w:basedOn w:val="Normal"/>
    <w:link w:val="FooterChar"/>
    <w:uiPriority w:val="99"/>
    <w:unhideWhenUsed/>
    <w:rsid w:val="008600DE"/>
    <w:pPr>
      <w:tabs>
        <w:tab w:val="center" w:pos="4513"/>
        <w:tab w:val="right" w:pos="9026"/>
      </w:tabs>
      <w:spacing w:line="240" w:lineRule="auto"/>
    </w:pPr>
  </w:style>
  <w:style w:type="character" w:customStyle="1" w:styleId="FooterChar">
    <w:name w:val="Footer Char"/>
    <w:basedOn w:val="DefaultParagraphFont"/>
    <w:link w:val="Footer"/>
    <w:uiPriority w:val="99"/>
    <w:rsid w:val="008600DE"/>
  </w:style>
  <w:style w:type="character" w:styleId="EndnoteReference">
    <w:name w:val="endnote reference"/>
    <w:basedOn w:val="DefaultParagraphFont"/>
    <w:uiPriority w:val="99"/>
    <w:semiHidden/>
    <w:unhideWhenUsed/>
    <w:rsid w:val="000A0B06"/>
    <w:rPr>
      <w:vertAlign w:val="superscript"/>
    </w:rPr>
  </w:style>
  <w:style w:type="character" w:styleId="FootnoteReference">
    <w:name w:val="footnote reference"/>
    <w:basedOn w:val="DefaultParagraphFont"/>
    <w:uiPriority w:val="99"/>
    <w:semiHidden/>
    <w:unhideWhenUsed/>
    <w:rsid w:val="000A0B0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1180</Words>
  <Characters>6731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2018-01-26T17:30:00Z</dcterms:created>
  <dcterms:modified xsi:type="dcterms:W3CDTF">2018-01-26T17:30:00Z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zotero-version="4.0.29.17"&gt;&lt;session id="ZVdbTuKP"/&gt;&lt;style id="http://www.zotero.org/styles/chicago-fullnote-bibliography" locale="en-US" hasBibliography="1" bibliographyStyleHasBeenSet="1"/&gt;&lt;prefs&gt;&lt;pref name="fieldType" value="Field</vt:lpwstr>
  </property>
  <property fmtid="{D5CDD505-2E9C-101B-9397-08002B2CF9AE}" pid="3" name="ZOTERO_PREF_2">
    <vt:lpwstr>"/&gt;&lt;pref name="storeReferences" value="true"/&gt;&lt;pref name="automaticJournalAbbreviations" value="true"/&gt;&lt;pref name="noteType" value="1"/&gt;&lt;/prefs&gt;&lt;/data&gt;</vt:lpwstr>
  </property>
</Properties>
</file>