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ACB3" w14:textId="77777777" w:rsidR="00094433" w:rsidRPr="00B72575" w:rsidRDefault="00094433" w:rsidP="004E48BE">
      <w:pPr>
        <w:shd w:val="clear" w:color="auto" w:fill="FFFFFF"/>
        <w:spacing w:after="0" w:line="360" w:lineRule="auto"/>
        <w:jc w:val="center"/>
        <w:rPr>
          <w:rFonts w:ascii="Times New Roman" w:eastAsia="Times New Roman" w:hAnsi="Times New Roman" w:cs="Times New Roman"/>
          <w:b/>
          <w:color w:val="222222"/>
          <w:sz w:val="24"/>
          <w:szCs w:val="24"/>
          <w:lang w:eastAsia="en-GB"/>
        </w:rPr>
      </w:pPr>
      <w:r w:rsidRPr="00B72575">
        <w:rPr>
          <w:rFonts w:ascii="Times New Roman" w:eastAsia="Times New Roman" w:hAnsi="Times New Roman" w:cs="Times New Roman"/>
          <w:b/>
          <w:color w:val="222222"/>
          <w:sz w:val="24"/>
          <w:szCs w:val="24"/>
          <w:lang w:eastAsia="en-GB"/>
        </w:rPr>
        <w:t>Making the House a Home in Later Medieval York</w:t>
      </w:r>
    </w:p>
    <w:p w14:paraId="517EFED5" w14:textId="77777777" w:rsidR="00B92620" w:rsidRDefault="00094433" w:rsidP="004E48BE">
      <w:pPr>
        <w:shd w:val="clear" w:color="auto" w:fill="FFFFFF"/>
        <w:spacing w:after="0" w:line="360" w:lineRule="auto"/>
        <w:rPr>
          <w:rFonts w:ascii="Times New Roman" w:eastAsia="Times New Roman" w:hAnsi="Times New Roman" w:cs="Times New Roman"/>
          <w:color w:val="222222"/>
          <w:sz w:val="24"/>
          <w:szCs w:val="24"/>
          <w:lang w:eastAsia="en-GB"/>
        </w:rPr>
      </w:pPr>
      <w:r w:rsidRPr="00B72575">
        <w:rPr>
          <w:rFonts w:ascii="Times New Roman" w:eastAsia="Times New Roman" w:hAnsi="Times New Roman" w:cs="Times New Roman"/>
          <w:color w:val="222222"/>
          <w:sz w:val="24"/>
          <w:szCs w:val="24"/>
          <w:lang w:eastAsia="en-GB"/>
        </w:rPr>
        <w:t> </w:t>
      </w:r>
    </w:p>
    <w:p w14:paraId="100306E0" w14:textId="7CBA3DBA" w:rsidR="004935FE" w:rsidRDefault="00E91272" w:rsidP="004E48BE">
      <w:pPr>
        <w:shd w:val="clear" w:color="auto" w:fill="FFFFFF"/>
        <w:spacing w:after="0" w:line="36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The </w:t>
      </w:r>
      <w:r w:rsidR="004935FE">
        <w:rPr>
          <w:rFonts w:ascii="Times New Roman" w:eastAsia="Times New Roman" w:hAnsi="Times New Roman" w:cs="Times New Roman"/>
          <w:color w:val="222222"/>
          <w:sz w:val="24"/>
          <w:szCs w:val="24"/>
          <w:lang w:eastAsia="en-GB"/>
        </w:rPr>
        <w:t>timber-framed tow</w:t>
      </w:r>
      <w:r>
        <w:rPr>
          <w:rFonts w:ascii="Times New Roman" w:eastAsia="Times New Roman" w:hAnsi="Times New Roman" w:cs="Times New Roman"/>
          <w:color w:val="222222"/>
          <w:sz w:val="24"/>
          <w:szCs w:val="24"/>
          <w:lang w:eastAsia="en-GB"/>
        </w:rPr>
        <w:t xml:space="preserve">n houses with </w:t>
      </w:r>
      <w:r w:rsidR="004935FE">
        <w:rPr>
          <w:rFonts w:ascii="Times New Roman" w:eastAsia="Times New Roman" w:hAnsi="Times New Roman" w:cs="Times New Roman"/>
          <w:color w:val="222222"/>
          <w:sz w:val="24"/>
          <w:szCs w:val="24"/>
          <w:lang w:eastAsia="en-GB"/>
        </w:rPr>
        <w:t xml:space="preserve">overhanging jetties that grace </w:t>
      </w:r>
      <w:r w:rsidR="00E3018A">
        <w:rPr>
          <w:rFonts w:ascii="Times New Roman" w:eastAsia="Times New Roman" w:hAnsi="Times New Roman" w:cs="Times New Roman"/>
          <w:color w:val="222222"/>
          <w:sz w:val="24"/>
          <w:szCs w:val="24"/>
          <w:lang w:eastAsia="en-GB"/>
        </w:rPr>
        <w:t xml:space="preserve">such medieval urban communities as Bury St Edmunds, </w:t>
      </w:r>
      <w:proofErr w:type="spellStart"/>
      <w:r w:rsidR="006526D2">
        <w:rPr>
          <w:rFonts w:ascii="Times New Roman" w:eastAsia="Times New Roman" w:hAnsi="Times New Roman" w:cs="Times New Roman"/>
          <w:color w:val="222222"/>
          <w:sz w:val="24"/>
          <w:szCs w:val="24"/>
          <w:lang w:eastAsia="en-GB"/>
        </w:rPr>
        <w:t>Lavenham</w:t>
      </w:r>
      <w:proofErr w:type="spellEnd"/>
      <w:r w:rsidR="00357C10">
        <w:rPr>
          <w:rFonts w:ascii="Times New Roman" w:eastAsia="Times New Roman" w:hAnsi="Times New Roman" w:cs="Times New Roman"/>
          <w:color w:val="222222"/>
          <w:sz w:val="24"/>
          <w:szCs w:val="24"/>
          <w:lang w:eastAsia="en-GB"/>
        </w:rPr>
        <w:t>,</w:t>
      </w:r>
      <w:r w:rsidR="006526D2">
        <w:rPr>
          <w:rFonts w:ascii="Times New Roman" w:eastAsia="Times New Roman" w:hAnsi="Times New Roman" w:cs="Times New Roman"/>
          <w:color w:val="222222"/>
          <w:sz w:val="24"/>
          <w:szCs w:val="24"/>
          <w:lang w:eastAsia="en-GB"/>
        </w:rPr>
        <w:t xml:space="preserve"> Ludlow,</w:t>
      </w:r>
      <w:r w:rsidR="00357C10">
        <w:rPr>
          <w:rFonts w:ascii="Times New Roman" w:eastAsia="Times New Roman" w:hAnsi="Times New Roman" w:cs="Times New Roman"/>
          <w:color w:val="222222"/>
          <w:sz w:val="24"/>
          <w:szCs w:val="24"/>
          <w:lang w:eastAsia="en-GB"/>
        </w:rPr>
        <w:t xml:space="preserve"> Norwich, and York</w:t>
      </w:r>
      <w:r w:rsidR="00F9504C">
        <w:rPr>
          <w:rFonts w:ascii="Times New Roman" w:eastAsia="Times New Roman" w:hAnsi="Times New Roman" w:cs="Times New Roman"/>
          <w:color w:val="222222"/>
          <w:sz w:val="24"/>
          <w:szCs w:val="24"/>
          <w:lang w:eastAsia="en-GB"/>
        </w:rPr>
        <w:t xml:space="preserve"> are both</w:t>
      </w:r>
      <w:r w:rsidR="005C2F5C">
        <w:rPr>
          <w:rFonts w:ascii="Times New Roman" w:eastAsia="Times New Roman" w:hAnsi="Times New Roman" w:cs="Times New Roman"/>
          <w:color w:val="222222"/>
          <w:sz w:val="24"/>
          <w:szCs w:val="24"/>
          <w:lang w:eastAsia="en-GB"/>
        </w:rPr>
        <w:t xml:space="preserve"> evocative </w:t>
      </w:r>
      <w:r w:rsidR="00F9504C">
        <w:rPr>
          <w:rFonts w:ascii="Times New Roman" w:eastAsia="Times New Roman" w:hAnsi="Times New Roman" w:cs="Times New Roman"/>
          <w:color w:val="222222"/>
          <w:sz w:val="24"/>
          <w:szCs w:val="24"/>
          <w:lang w:eastAsia="en-GB"/>
        </w:rPr>
        <w:t xml:space="preserve">and aesthetically </w:t>
      </w:r>
      <w:commentRangeStart w:id="0"/>
      <w:commentRangeStart w:id="1"/>
      <w:r w:rsidR="00F9504C">
        <w:rPr>
          <w:rFonts w:ascii="Times New Roman" w:eastAsia="Times New Roman" w:hAnsi="Times New Roman" w:cs="Times New Roman"/>
          <w:color w:val="222222"/>
          <w:sz w:val="24"/>
          <w:szCs w:val="24"/>
          <w:lang w:eastAsia="en-GB"/>
        </w:rPr>
        <w:t>attractive</w:t>
      </w:r>
      <w:commentRangeEnd w:id="0"/>
      <w:r w:rsidR="00EA7846">
        <w:rPr>
          <w:rStyle w:val="CommentReference"/>
        </w:rPr>
        <w:commentReference w:id="0"/>
      </w:r>
      <w:commentRangeEnd w:id="1"/>
      <w:r w:rsidR="00DF5A0E">
        <w:rPr>
          <w:rStyle w:val="CommentReference"/>
        </w:rPr>
        <w:commentReference w:id="1"/>
      </w:r>
      <w:r w:rsidR="00F9504C">
        <w:rPr>
          <w:rFonts w:ascii="Times New Roman" w:eastAsia="Times New Roman" w:hAnsi="Times New Roman" w:cs="Times New Roman"/>
          <w:color w:val="222222"/>
          <w:sz w:val="24"/>
          <w:szCs w:val="24"/>
          <w:lang w:eastAsia="en-GB"/>
        </w:rPr>
        <w:t>. Archaeologists of standing buildings have done much to understand the way such building</w:t>
      </w:r>
      <w:r>
        <w:rPr>
          <w:rFonts w:ascii="Times New Roman" w:eastAsia="Times New Roman" w:hAnsi="Times New Roman" w:cs="Times New Roman"/>
          <w:color w:val="222222"/>
          <w:sz w:val="24"/>
          <w:szCs w:val="24"/>
          <w:lang w:eastAsia="en-GB"/>
        </w:rPr>
        <w:t xml:space="preserve">s were constructed and </w:t>
      </w:r>
      <w:r w:rsidR="00F9504C">
        <w:rPr>
          <w:rFonts w:ascii="Times New Roman" w:eastAsia="Times New Roman" w:hAnsi="Times New Roman" w:cs="Times New Roman"/>
          <w:color w:val="222222"/>
          <w:sz w:val="24"/>
          <w:szCs w:val="24"/>
          <w:lang w:eastAsia="en-GB"/>
        </w:rPr>
        <w:t>developed over time and between regions.</w:t>
      </w:r>
      <w:r w:rsidR="00F369E0">
        <w:rPr>
          <w:rStyle w:val="FootnoteReference"/>
          <w:rFonts w:ascii="Times New Roman" w:eastAsia="Times New Roman" w:hAnsi="Times New Roman" w:cs="Times New Roman"/>
          <w:color w:val="222222"/>
          <w:sz w:val="24"/>
          <w:szCs w:val="24"/>
          <w:lang w:eastAsia="en-GB"/>
        </w:rPr>
        <w:footnoteReference w:id="1"/>
      </w:r>
      <w:r w:rsidR="00F9504C">
        <w:rPr>
          <w:rFonts w:ascii="Times New Roman" w:eastAsia="Times New Roman" w:hAnsi="Times New Roman" w:cs="Times New Roman"/>
          <w:color w:val="222222"/>
          <w:sz w:val="24"/>
          <w:szCs w:val="24"/>
          <w:lang w:eastAsia="en-GB"/>
        </w:rPr>
        <w:t xml:space="preserve"> The ravages of internal alterations and the complete loss of original f</w:t>
      </w:r>
      <w:r>
        <w:rPr>
          <w:rFonts w:ascii="Times New Roman" w:eastAsia="Times New Roman" w:hAnsi="Times New Roman" w:cs="Times New Roman"/>
          <w:color w:val="222222"/>
          <w:sz w:val="24"/>
          <w:szCs w:val="24"/>
          <w:lang w:eastAsia="en-GB"/>
        </w:rPr>
        <w:t>urnishings</w:t>
      </w:r>
      <w:r w:rsidR="00F9504C">
        <w:rPr>
          <w:rFonts w:ascii="Times New Roman" w:eastAsia="Times New Roman" w:hAnsi="Times New Roman" w:cs="Times New Roman"/>
          <w:color w:val="222222"/>
          <w:sz w:val="24"/>
          <w:szCs w:val="24"/>
          <w:lang w:eastAsia="en-GB"/>
        </w:rPr>
        <w:t xml:space="preserve">, however, significantly hampers </w:t>
      </w:r>
      <w:r w:rsidR="007B453B">
        <w:rPr>
          <w:rFonts w:ascii="Times New Roman" w:eastAsia="Times New Roman" w:hAnsi="Times New Roman" w:cs="Times New Roman"/>
          <w:color w:val="222222"/>
          <w:sz w:val="24"/>
          <w:szCs w:val="24"/>
          <w:lang w:eastAsia="en-GB"/>
        </w:rPr>
        <w:t xml:space="preserve">our ability to </w:t>
      </w:r>
      <w:r>
        <w:rPr>
          <w:rFonts w:ascii="Times New Roman" w:eastAsia="Times New Roman" w:hAnsi="Times New Roman" w:cs="Times New Roman"/>
          <w:color w:val="222222"/>
          <w:sz w:val="24"/>
          <w:szCs w:val="24"/>
          <w:lang w:eastAsia="en-GB"/>
        </w:rPr>
        <w:t xml:space="preserve">understand </w:t>
      </w:r>
      <w:r w:rsidR="007B453B">
        <w:rPr>
          <w:rFonts w:ascii="Times New Roman" w:eastAsia="Times New Roman" w:hAnsi="Times New Roman" w:cs="Times New Roman"/>
          <w:color w:val="222222"/>
          <w:sz w:val="24"/>
          <w:szCs w:val="24"/>
          <w:lang w:eastAsia="en-GB"/>
        </w:rPr>
        <w:t>these structures as</w:t>
      </w:r>
      <w:r>
        <w:rPr>
          <w:rFonts w:ascii="Times New Roman" w:eastAsia="Times New Roman" w:hAnsi="Times New Roman" w:cs="Times New Roman"/>
          <w:color w:val="222222"/>
          <w:sz w:val="24"/>
          <w:szCs w:val="24"/>
          <w:lang w:eastAsia="en-GB"/>
        </w:rPr>
        <w:t xml:space="preserve"> lived spaces or</w:t>
      </w:r>
      <w:r w:rsidR="007B453B">
        <w:rPr>
          <w:rFonts w:ascii="Times New Roman" w:eastAsia="Times New Roman" w:hAnsi="Times New Roman" w:cs="Times New Roman"/>
          <w:color w:val="222222"/>
          <w:sz w:val="24"/>
          <w:szCs w:val="24"/>
          <w:lang w:eastAsia="en-GB"/>
        </w:rPr>
        <w:t xml:space="preserve"> the way people thought about the houses they</w:t>
      </w:r>
      <w:r w:rsidR="005C2F5C">
        <w:rPr>
          <w:rFonts w:ascii="Times New Roman" w:eastAsia="Times New Roman" w:hAnsi="Times New Roman" w:cs="Times New Roman"/>
          <w:color w:val="222222"/>
          <w:sz w:val="24"/>
          <w:szCs w:val="24"/>
          <w:lang w:eastAsia="en-GB"/>
        </w:rPr>
        <w:t xml:space="preserve"> inhabited. This chapter</w:t>
      </w:r>
      <w:r w:rsidR="007B453B">
        <w:rPr>
          <w:rFonts w:ascii="Times New Roman" w:eastAsia="Times New Roman" w:hAnsi="Times New Roman" w:cs="Times New Roman"/>
          <w:color w:val="222222"/>
          <w:sz w:val="24"/>
          <w:szCs w:val="24"/>
          <w:lang w:eastAsia="en-GB"/>
        </w:rPr>
        <w:t xml:space="preserve"> turns instead to documentary sources that can help us imagine the interiors of more substantial town houses as furnished and also habited by artisans, merchants, and their wives, their servants and appre</w:t>
      </w:r>
      <w:r w:rsidR="00EF6139">
        <w:rPr>
          <w:rFonts w:ascii="Times New Roman" w:eastAsia="Times New Roman" w:hAnsi="Times New Roman" w:cs="Times New Roman"/>
          <w:color w:val="222222"/>
          <w:sz w:val="24"/>
          <w:szCs w:val="24"/>
          <w:lang w:eastAsia="en-GB"/>
        </w:rPr>
        <w:t>ntices, and their children. R</w:t>
      </w:r>
      <w:r w:rsidR="007B453B">
        <w:rPr>
          <w:rFonts w:ascii="Times New Roman" w:eastAsia="Times New Roman" w:hAnsi="Times New Roman" w:cs="Times New Roman"/>
          <w:color w:val="222222"/>
          <w:sz w:val="24"/>
          <w:szCs w:val="24"/>
          <w:lang w:eastAsia="en-GB"/>
        </w:rPr>
        <w:t>ejecting simplistic notions of public and private or o</w:t>
      </w:r>
      <w:r w:rsidR="00AD7CA9">
        <w:rPr>
          <w:rFonts w:ascii="Times New Roman" w:eastAsia="Times New Roman" w:hAnsi="Times New Roman" w:cs="Times New Roman"/>
          <w:color w:val="222222"/>
          <w:sz w:val="24"/>
          <w:szCs w:val="24"/>
          <w:lang w:eastAsia="en-GB"/>
        </w:rPr>
        <w:t xml:space="preserve">f gendered spheres, it </w:t>
      </w:r>
      <w:r w:rsidR="007B453B">
        <w:rPr>
          <w:rFonts w:ascii="Times New Roman" w:eastAsia="Times New Roman" w:hAnsi="Times New Roman" w:cs="Times New Roman"/>
          <w:color w:val="222222"/>
          <w:sz w:val="24"/>
          <w:szCs w:val="24"/>
          <w:lang w:eastAsia="en-GB"/>
        </w:rPr>
        <w:t>explore</w:t>
      </w:r>
      <w:r w:rsidR="00AD7CA9">
        <w:rPr>
          <w:rFonts w:ascii="Times New Roman" w:eastAsia="Times New Roman" w:hAnsi="Times New Roman" w:cs="Times New Roman"/>
          <w:color w:val="222222"/>
          <w:sz w:val="24"/>
          <w:szCs w:val="24"/>
          <w:lang w:eastAsia="en-GB"/>
        </w:rPr>
        <w:t xml:space="preserve">s the way </w:t>
      </w:r>
      <w:r w:rsidR="007B453B">
        <w:rPr>
          <w:rFonts w:ascii="Times New Roman" w:eastAsia="Times New Roman" w:hAnsi="Times New Roman" w:cs="Times New Roman"/>
          <w:color w:val="222222"/>
          <w:sz w:val="24"/>
          <w:szCs w:val="24"/>
          <w:lang w:eastAsia="en-GB"/>
        </w:rPr>
        <w:t>house</w:t>
      </w:r>
      <w:r w:rsidR="00AD7CA9">
        <w:rPr>
          <w:rFonts w:ascii="Times New Roman" w:eastAsia="Times New Roman" w:hAnsi="Times New Roman" w:cs="Times New Roman"/>
          <w:color w:val="222222"/>
          <w:sz w:val="24"/>
          <w:szCs w:val="24"/>
          <w:lang w:eastAsia="en-GB"/>
        </w:rPr>
        <w:t>s</w:t>
      </w:r>
      <w:r w:rsidR="007B453B">
        <w:rPr>
          <w:rFonts w:ascii="Times New Roman" w:eastAsia="Times New Roman" w:hAnsi="Times New Roman" w:cs="Times New Roman"/>
          <w:color w:val="222222"/>
          <w:sz w:val="24"/>
          <w:szCs w:val="24"/>
          <w:lang w:eastAsia="en-GB"/>
        </w:rPr>
        <w:t xml:space="preserve"> may have functioned as complex and fluid spaces. It asks about the gender and power dynamics that were</w:t>
      </w:r>
      <w:r w:rsidR="00AD7CA9">
        <w:rPr>
          <w:rFonts w:ascii="Times New Roman" w:eastAsia="Times New Roman" w:hAnsi="Times New Roman" w:cs="Times New Roman"/>
          <w:color w:val="222222"/>
          <w:sz w:val="24"/>
          <w:szCs w:val="24"/>
          <w:lang w:eastAsia="en-GB"/>
        </w:rPr>
        <w:t xml:space="preserve"> played out and </w:t>
      </w:r>
      <w:r w:rsidR="007B453B">
        <w:rPr>
          <w:rFonts w:ascii="Times New Roman" w:eastAsia="Times New Roman" w:hAnsi="Times New Roman" w:cs="Times New Roman"/>
          <w:color w:val="222222"/>
          <w:sz w:val="24"/>
          <w:szCs w:val="24"/>
          <w:lang w:eastAsia="en-GB"/>
        </w:rPr>
        <w:t xml:space="preserve">how far </w:t>
      </w:r>
      <w:r w:rsidR="00B17D96">
        <w:rPr>
          <w:rFonts w:ascii="Times New Roman" w:eastAsia="Times New Roman" w:hAnsi="Times New Roman" w:cs="Times New Roman"/>
          <w:color w:val="222222"/>
          <w:sz w:val="24"/>
          <w:szCs w:val="24"/>
          <w:lang w:eastAsia="en-GB"/>
        </w:rPr>
        <w:t xml:space="preserve">for </w:t>
      </w:r>
      <w:r w:rsidR="007B453B">
        <w:rPr>
          <w:rFonts w:ascii="Times New Roman" w:eastAsia="Times New Roman" w:hAnsi="Times New Roman" w:cs="Times New Roman"/>
          <w:color w:val="222222"/>
          <w:sz w:val="24"/>
          <w:szCs w:val="24"/>
          <w:lang w:eastAsia="en-GB"/>
        </w:rPr>
        <w:t>later medieval artisans and merchants</w:t>
      </w:r>
      <w:r w:rsidR="00B17D96">
        <w:rPr>
          <w:rFonts w:ascii="Times New Roman" w:eastAsia="Times New Roman" w:hAnsi="Times New Roman" w:cs="Times New Roman"/>
          <w:color w:val="222222"/>
          <w:sz w:val="24"/>
          <w:szCs w:val="24"/>
          <w:lang w:eastAsia="en-GB"/>
        </w:rPr>
        <w:t xml:space="preserve"> the house might also have constituted home</w:t>
      </w:r>
      <w:r w:rsidR="007B453B">
        <w:rPr>
          <w:rFonts w:ascii="Times New Roman" w:eastAsia="Times New Roman" w:hAnsi="Times New Roman" w:cs="Times New Roman"/>
          <w:color w:val="222222"/>
          <w:sz w:val="24"/>
          <w:szCs w:val="24"/>
          <w:lang w:eastAsia="en-GB"/>
        </w:rPr>
        <w:t>.</w:t>
      </w:r>
      <w:r w:rsidR="00B17D96">
        <w:rPr>
          <w:rStyle w:val="FootnoteReference"/>
          <w:rFonts w:ascii="Times New Roman" w:eastAsia="Times New Roman" w:hAnsi="Times New Roman" w:cs="Times New Roman"/>
          <w:color w:val="222222"/>
          <w:sz w:val="24"/>
          <w:szCs w:val="24"/>
          <w:lang w:eastAsia="en-GB"/>
        </w:rPr>
        <w:footnoteReference w:id="2"/>
      </w:r>
      <w:r w:rsidR="007B453B">
        <w:rPr>
          <w:rFonts w:ascii="Times New Roman" w:eastAsia="Times New Roman" w:hAnsi="Times New Roman" w:cs="Times New Roman"/>
          <w:color w:val="222222"/>
          <w:sz w:val="24"/>
          <w:szCs w:val="24"/>
          <w:lang w:eastAsia="en-GB"/>
        </w:rPr>
        <w:t xml:space="preserve"> </w:t>
      </w:r>
      <w:r w:rsidR="00F9504C">
        <w:rPr>
          <w:rFonts w:ascii="Times New Roman" w:eastAsia="Times New Roman" w:hAnsi="Times New Roman" w:cs="Times New Roman"/>
          <w:color w:val="222222"/>
          <w:sz w:val="24"/>
          <w:szCs w:val="24"/>
          <w:lang w:eastAsia="en-GB"/>
        </w:rPr>
        <w:t xml:space="preserve"> </w:t>
      </w:r>
    </w:p>
    <w:p w14:paraId="5F2B7C84" w14:textId="3E404A9F" w:rsidR="004E48BE" w:rsidRPr="00D92060" w:rsidRDefault="00EF6139" w:rsidP="004935FE">
      <w:pPr>
        <w:shd w:val="clear" w:color="auto" w:fill="FFFFFF"/>
        <w:spacing w:after="0" w:line="360" w:lineRule="auto"/>
        <w:ind w:firstLine="72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Later medieval</w:t>
      </w:r>
      <w:r w:rsidR="004E48BE">
        <w:rPr>
          <w:rFonts w:ascii="Times New Roman" w:eastAsia="Times New Roman" w:hAnsi="Times New Roman" w:cs="Times New Roman"/>
          <w:color w:val="222222"/>
          <w:sz w:val="24"/>
          <w:szCs w:val="24"/>
          <w:lang w:eastAsia="en-GB"/>
        </w:rPr>
        <w:t xml:space="preserve"> </w:t>
      </w:r>
      <w:r w:rsidR="00AB5BF2">
        <w:rPr>
          <w:rFonts w:ascii="Times New Roman" w:eastAsia="Times New Roman" w:hAnsi="Times New Roman" w:cs="Times New Roman"/>
          <w:color w:val="222222"/>
          <w:sz w:val="24"/>
          <w:szCs w:val="24"/>
          <w:lang w:eastAsia="en-GB"/>
        </w:rPr>
        <w:t xml:space="preserve">York </w:t>
      </w:r>
      <w:r w:rsidR="004E48BE">
        <w:rPr>
          <w:rFonts w:ascii="Times New Roman" w:eastAsia="Times New Roman" w:hAnsi="Times New Roman" w:cs="Times New Roman"/>
          <w:color w:val="222222"/>
          <w:sz w:val="24"/>
          <w:szCs w:val="24"/>
          <w:lang w:eastAsia="en-GB"/>
        </w:rPr>
        <w:t>was a busy manufacturing and trading city of some 12,000 people.</w:t>
      </w:r>
      <w:r w:rsidR="004E48BE">
        <w:rPr>
          <w:rStyle w:val="FootnoteReference"/>
          <w:rFonts w:ascii="Times New Roman" w:eastAsia="Times New Roman" w:hAnsi="Times New Roman" w:cs="Times New Roman"/>
          <w:color w:val="222222"/>
          <w:sz w:val="24"/>
          <w:szCs w:val="24"/>
          <w:lang w:eastAsia="en-GB"/>
        </w:rPr>
        <w:footnoteReference w:id="3"/>
      </w:r>
      <w:r w:rsidR="004E48BE">
        <w:rPr>
          <w:rFonts w:ascii="Times New Roman" w:eastAsia="Times New Roman" w:hAnsi="Times New Roman" w:cs="Times New Roman"/>
          <w:color w:val="222222"/>
          <w:sz w:val="24"/>
          <w:szCs w:val="24"/>
          <w:lang w:eastAsia="en-GB"/>
        </w:rPr>
        <w:t xml:space="preserve"> The seat of an arch</w:t>
      </w:r>
      <w:r w:rsidR="00AB5BF2">
        <w:rPr>
          <w:rFonts w:ascii="Times New Roman" w:eastAsia="Times New Roman" w:hAnsi="Times New Roman" w:cs="Times New Roman"/>
          <w:color w:val="222222"/>
          <w:sz w:val="24"/>
          <w:szCs w:val="24"/>
          <w:lang w:eastAsia="en-GB"/>
        </w:rPr>
        <w:t>bishop and possessing</w:t>
      </w:r>
      <w:r w:rsidR="00AD7CA9">
        <w:rPr>
          <w:rFonts w:ascii="Times New Roman" w:eastAsia="Times New Roman" w:hAnsi="Times New Roman" w:cs="Times New Roman"/>
          <w:color w:val="222222"/>
          <w:sz w:val="24"/>
          <w:szCs w:val="24"/>
          <w:lang w:eastAsia="en-GB"/>
        </w:rPr>
        <w:t xml:space="preserve"> numerous parish churches, </w:t>
      </w:r>
      <w:r w:rsidR="004E48BE">
        <w:rPr>
          <w:rFonts w:ascii="Times New Roman" w:eastAsia="Times New Roman" w:hAnsi="Times New Roman" w:cs="Times New Roman"/>
          <w:color w:val="222222"/>
          <w:sz w:val="24"/>
          <w:szCs w:val="24"/>
          <w:lang w:eastAsia="en-GB"/>
        </w:rPr>
        <w:t xml:space="preserve">several religious houses and hospitals, the city supported a range of specialist crafts such as masonry, </w:t>
      </w:r>
      <w:proofErr w:type="spellStart"/>
      <w:r w:rsidR="004E48BE">
        <w:rPr>
          <w:rFonts w:ascii="Times New Roman" w:eastAsia="Times New Roman" w:hAnsi="Times New Roman" w:cs="Times New Roman"/>
          <w:color w:val="222222"/>
          <w:sz w:val="24"/>
          <w:szCs w:val="24"/>
          <w:lang w:eastAsia="en-GB"/>
        </w:rPr>
        <w:t>goldsmithing</w:t>
      </w:r>
      <w:proofErr w:type="spellEnd"/>
      <w:r w:rsidR="004E48BE">
        <w:rPr>
          <w:rFonts w:ascii="Times New Roman" w:eastAsia="Times New Roman" w:hAnsi="Times New Roman" w:cs="Times New Roman"/>
          <w:color w:val="222222"/>
          <w:sz w:val="24"/>
          <w:szCs w:val="24"/>
          <w:lang w:eastAsia="en-GB"/>
        </w:rPr>
        <w:t>, and glass painting, as well as cloth weaving, tannin</w:t>
      </w:r>
      <w:r w:rsidR="00AB5BF2">
        <w:rPr>
          <w:rFonts w:ascii="Times New Roman" w:eastAsia="Times New Roman" w:hAnsi="Times New Roman" w:cs="Times New Roman"/>
          <w:color w:val="222222"/>
          <w:sz w:val="24"/>
          <w:szCs w:val="24"/>
          <w:lang w:eastAsia="en-GB"/>
        </w:rPr>
        <w:t>g, metal working, and various</w:t>
      </w:r>
      <w:r w:rsidR="004E48BE">
        <w:rPr>
          <w:rFonts w:ascii="Times New Roman" w:eastAsia="Times New Roman" w:hAnsi="Times New Roman" w:cs="Times New Roman"/>
          <w:color w:val="222222"/>
          <w:sz w:val="24"/>
          <w:szCs w:val="24"/>
          <w:lang w:eastAsia="en-GB"/>
        </w:rPr>
        <w:t xml:space="preserve"> victualling trades.</w:t>
      </w:r>
      <w:r w:rsidR="004E48BE">
        <w:rPr>
          <w:rStyle w:val="FootnoteReference"/>
          <w:rFonts w:ascii="Times New Roman" w:eastAsia="Times New Roman" w:hAnsi="Times New Roman" w:cs="Times New Roman"/>
          <w:color w:val="222222"/>
          <w:sz w:val="24"/>
          <w:szCs w:val="24"/>
          <w:lang w:eastAsia="en-GB"/>
        </w:rPr>
        <w:footnoteReference w:id="4"/>
      </w:r>
      <w:r w:rsidR="00AB5BF2">
        <w:rPr>
          <w:rFonts w:ascii="Times New Roman" w:eastAsia="Times New Roman" w:hAnsi="Times New Roman" w:cs="Times New Roman"/>
          <w:color w:val="222222"/>
          <w:sz w:val="24"/>
          <w:szCs w:val="24"/>
          <w:lang w:eastAsia="en-GB"/>
        </w:rPr>
        <w:t xml:space="preserve"> M</w:t>
      </w:r>
      <w:r w:rsidR="004E48BE">
        <w:rPr>
          <w:rFonts w:ascii="Times New Roman" w:eastAsia="Times New Roman" w:hAnsi="Times New Roman" w:cs="Times New Roman"/>
          <w:color w:val="222222"/>
          <w:sz w:val="24"/>
          <w:szCs w:val="24"/>
          <w:lang w:eastAsia="en-GB"/>
        </w:rPr>
        <w:t>erchants engaged in both regional and international trade through the port of Hull.</w:t>
      </w:r>
      <w:r w:rsidR="004E48BE">
        <w:rPr>
          <w:rStyle w:val="FootnoteReference"/>
          <w:rFonts w:ascii="Times New Roman" w:eastAsia="Times New Roman" w:hAnsi="Times New Roman" w:cs="Times New Roman"/>
          <w:color w:val="222222"/>
          <w:sz w:val="24"/>
          <w:szCs w:val="24"/>
          <w:lang w:eastAsia="en-GB"/>
        </w:rPr>
        <w:footnoteReference w:id="5"/>
      </w:r>
      <w:r w:rsidR="00AD7CA9">
        <w:rPr>
          <w:rFonts w:ascii="Times New Roman" w:eastAsia="Times New Roman" w:hAnsi="Times New Roman" w:cs="Times New Roman"/>
          <w:color w:val="222222"/>
          <w:sz w:val="24"/>
          <w:szCs w:val="24"/>
          <w:lang w:eastAsia="en-GB"/>
        </w:rPr>
        <w:t xml:space="preserve"> The city is </w:t>
      </w:r>
      <w:r w:rsidR="004E48BE">
        <w:rPr>
          <w:rFonts w:ascii="Times New Roman" w:eastAsia="Times New Roman" w:hAnsi="Times New Roman" w:cs="Times New Roman"/>
          <w:color w:val="222222"/>
          <w:sz w:val="24"/>
          <w:szCs w:val="24"/>
          <w:lang w:eastAsia="en-GB"/>
        </w:rPr>
        <w:t xml:space="preserve">fortunate that numbers of the </w:t>
      </w:r>
      <w:r w:rsidR="00AD7CA9">
        <w:rPr>
          <w:rFonts w:ascii="Times New Roman" w:eastAsia="Times New Roman" w:hAnsi="Times New Roman" w:cs="Times New Roman"/>
          <w:color w:val="222222"/>
          <w:sz w:val="24"/>
          <w:szCs w:val="24"/>
          <w:lang w:eastAsia="en-GB"/>
        </w:rPr>
        <w:t xml:space="preserve">artisanal and mercantile </w:t>
      </w:r>
      <w:r w:rsidR="004E48BE">
        <w:rPr>
          <w:rFonts w:ascii="Times New Roman" w:eastAsia="Times New Roman" w:hAnsi="Times New Roman" w:cs="Times New Roman"/>
          <w:color w:val="222222"/>
          <w:sz w:val="24"/>
          <w:szCs w:val="24"/>
          <w:lang w:eastAsia="en-GB"/>
        </w:rPr>
        <w:t>h</w:t>
      </w:r>
      <w:r w:rsidR="00AD7CA9">
        <w:rPr>
          <w:rFonts w:ascii="Times New Roman" w:eastAsia="Times New Roman" w:hAnsi="Times New Roman" w:cs="Times New Roman"/>
          <w:color w:val="222222"/>
          <w:sz w:val="24"/>
          <w:szCs w:val="24"/>
          <w:lang w:eastAsia="en-GB"/>
        </w:rPr>
        <w:t>ouses</w:t>
      </w:r>
      <w:r w:rsidR="004E48BE">
        <w:rPr>
          <w:rFonts w:ascii="Times New Roman" w:eastAsia="Times New Roman" w:hAnsi="Times New Roman" w:cs="Times New Roman"/>
          <w:color w:val="222222"/>
          <w:sz w:val="24"/>
          <w:szCs w:val="24"/>
          <w:lang w:eastAsia="en-GB"/>
        </w:rPr>
        <w:t xml:space="preserve"> have survived, albeit often much altered, especially internally. It also possesses substantial later medieval archives, but especially from the archdiocese. It is this archival evidence that this article will draw upon, specifically a collection of mercantile and artisanal probate</w:t>
      </w:r>
      <w:r w:rsidR="00AB5BF2">
        <w:rPr>
          <w:rFonts w:ascii="Times New Roman" w:eastAsia="Times New Roman" w:hAnsi="Times New Roman" w:cs="Times New Roman"/>
          <w:color w:val="222222"/>
          <w:sz w:val="24"/>
          <w:szCs w:val="24"/>
          <w:lang w:eastAsia="en-GB"/>
        </w:rPr>
        <w:t xml:space="preserve"> inventories and a large</w:t>
      </w:r>
      <w:r w:rsidR="004E48BE">
        <w:rPr>
          <w:rFonts w:ascii="Times New Roman" w:eastAsia="Times New Roman" w:hAnsi="Times New Roman" w:cs="Times New Roman"/>
          <w:color w:val="222222"/>
          <w:sz w:val="24"/>
          <w:szCs w:val="24"/>
          <w:lang w:eastAsia="en-GB"/>
        </w:rPr>
        <w:t xml:space="preserve"> body of deposition evidence from instance litigation in the ecclesiastical Court of York (</w:t>
      </w:r>
      <w:r w:rsidR="004E48BE" w:rsidRPr="004E48BE">
        <w:rPr>
          <w:rFonts w:ascii="Times New Roman" w:eastAsia="Times New Roman" w:hAnsi="Times New Roman" w:cs="Times New Roman"/>
          <w:i/>
          <w:color w:val="222222"/>
          <w:sz w:val="24"/>
          <w:szCs w:val="24"/>
          <w:lang w:eastAsia="en-GB"/>
        </w:rPr>
        <w:t xml:space="preserve">Curia </w:t>
      </w:r>
      <w:proofErr w:type="spellStart"/>
      <w:r w:rsidR="004E48BE" w:rsidRPr="004E48BE">
        <w:rPr>
          <w:rFonts w:ascii="Times New Roman" w:eastAsia="Times New Roman" w:hAnsi="Times New Roman" w:cs="Times New Roman"/>
          <w:i/>
          <w:color w:val="222222"/>
          <w:sz w:val="24"/>
          <w:szCs w:val="24"/>
          <w:lang w:eastAsia="en-GB"/>
        </w:rPr>
        <w:t>Eboracensis</w:t>
      </w:r>
      <w:proofErr w:type="spellEnd"/>
      <w:r w:rsidR="004E48BE">
        <w:rPr>
          <w:rFonts w:ascii="Times New Roman" w:eastAsia="Times New Roman" w:hAnsi="Times New Roman" w:cs="Times New Roman"/>
          <w:color w:val="222222"/>
          <w:sz w:val="24"/>
          <w:szCs w:val="24"/>
          <w:lang w:eastAsia="en-GB"/>
        </w:rPr>
        <w:t>), primarily in relation to disputed marriages</w:t>
      </w:r>
      <w:r w:rsidR="00734594">
        <w:rPr>
          <w:rFonts w:ascii="Times New Roman" w:eastAsia="Times New Roman" w:hAnsi="Times New Roman" w:cs="Times New Roman"/>
          <w:color w:val="222222"/>
          <w:sz w:val="24"/>
          <w:szCs w:val="24"/>
          <w:lang w:eastAsia="en-GB"/>
        </w:rPr>
        <w:t xml:space="preserve">, </w:t>
      </w:r>
      <w:r w:rsidR="00734594">
        <w:rPr>
          <w:rFonts w:ascii="Times New Roman" w:eastAsia="Times New Roman" w:hAnsi="Times New Roman" w:cs="Times New Roman"/>
          <w:color w:val="222222"/>
          <w:sz w:val="24"/>
          <w:szCs w:val="24"/>
          <w:lang w:eastAsia="en-GB"/>
        </w:rPr>
        <w:lastRenderedPageBreak/>
        <w:t>the largest single category of the court’s business</w:t>
      </w:r>
      <w:r w:rsidR="004E48BE">
        <w:rPr>
          <w:rFonts w:ascii="Times New Roman" w:eastAsia="Times New Roman" w:hAnsi="Times New Roman" w:cs="Times New Roman"/>
          <w:color w:val="222222"/>
          <w:sz w:val="24"/>
          <w:szCs w:val="24"/>
          <w:lang w:eastAsia="en-GB"/>
        </w:rPr>
        <w:t>.</w:t>
      </w:r>
      <w:r w:rsidR="004E48BE">
        <w:rPr>
          <w:rStyle w:val="FootnoteReference"/>
          <w:rFonts w:ascii="Times New Roman" w:eastAsia="Times New Roman" w:hAnsi="Times New Roman" w:cs="Times New Roman"/>
          <w:color w:val="222222"/>
          <w:sz w:val="24"/>
          <w:szCs w:val="24"/>
          <w:lang w:eastAsia="en-GB"/>
        </w:rPr>
        <w:footnoteReference w:id="6"/>
      </w:r>
      <w:r w:rsidR="004E48BE">
        <w:rPr>
          <w:rFonts w:ascii="Times New Roman" w:eastAsia="Times New Roman" w:hAnsi="Times New Roman" w:cs="Times New Roman"/>
          <w:color w:val="222222"/>
          <w:sz w:val="24"/>
          <w:szCs w:val="24"/>
          <w:lang w:eastAsia="en-GB"/>
        </w:rPr>
        <w:t xml:space="preserve"> The inventories appraise the moveable goods of the deceased and usually order these spatially under headings such ‘</w:t>
      </w:r>
      <w:proofErr w:type="spellStart"/>
      <w:r w:rsidR="004E48BE" w:rsidRPr="004E48BE">
        <w:rPr>
          <w:rFonts w:ascii="Times New Roman" w:eastAsia="Times New Roman" w:hAnsi="Times New Roman" w:cs="Times New Roman"/>
          <w:i/>
          <w:color w:val="222222"/>
          <w:sz w:val="24"/>
          <w:szCs w:val="24"/>
          <w:lang w:eastAsia="en-GB"/>
        </w:rPr>
        <w:t>aula</w:t>
      </w:r>
      <w:proofErr w:type="spellEnd"/>
      <w:r w:rsidR="004E48BE">
        <w:rPr>
          <w:rFonts w:ascii="Times New Roman" w:eastAsia="Times New Roman" w:hAnsi="Times New Roman" w:cs="Times New Roman"/>
          <w:color w:val="222222"/>
          <w:sz w:val="24"/>
          <w:szCs w:val="24"/>
          <w:lang w:eastAsia="en-GB"/>
        </w:rPr>
        <w:t>’ (hall) and ‘</w:t>
      </w:r>
      <w:r w:rsidR="004E48BE" w:rsidRPr="004E48BE">
        <w:rPr>
          <w:rFonts w:ascii="Times New Roman" w:eastAsia="Times New Roman" w:hAnsi="Times New Roman" w:cs="Times New Roman"/>
          <w:i/>
          <w:color w:val="222222"/>
          <w:sz w:val="24"/>
          <w:szCs w:val="24"/>
          <w:lang w:eastAsia="en-GB"/>
        </w:rPr>
        <w:t>camera</w:t>
      </w:r>
      <w:r w:rsidR="004E48BE">
        <w:rPr>
          <w:rFonts w:ascii="Times New Roman" w:eastAsia="Times New Roman" w:hAnsi="Times New Roman" w:cs="Times New Roman"/>
          <w:color w:val="222222"/>
          <w:sz w:val="24"/>
          <w:szCs w:val="24"/>
          <w:lang w:eastAsia="en-GB"/>
        </w:rPr>
        <w:t>’ (chamber).</w:t>
      </w:r>
      <w:r w:rsidR="004E48BE">
        <w:rPr>
          <w:rStyle w:val="FootnoteReference"/>
          <w:rFonts w:ascii="Times New Roman" w:eastAsia="Times New Roman" w:hAnsi="Times New Roman" w:cs="Times New Roman"/>
          <w:color w:val="222222"/>
          <w:sz w:val="24"/>
          <w:szCs w:val="24"/>
          <w:lang w:eastAsia="en-GB"/>
        </w:rPr>
        <w:footnoteReference w:id="7"/>
      </w:r>
      <w:r w:rsidR="004E48BE">
        <w:rPr>
          <w:rFonts w:ascii="Times New Roman" w:eastAsia="Times New Roman" w:hAnsi="Times New Roman" w:cs="Times New Roman"/>
          <w:color w:val="222222"/>
          <w:sz w:val="24"/>
          <w:szCs w:val="24"/>
          <w:lang w:eastAsia="en-GB"/>
        </w:rPr>
        <w:t xml:space="preserve"> </w:t>
      </w:r>
      <w:r w:rsidR="004935FE">
        <w:rPr>
          <w:rFonts w:ascii="Times New Roman" w:eastAsia="Times New Roman" w:hAnsi="Times New Roman" w:cs="Times New Roman"/>
          <w:color w:val="222222"/>
          <w:sz w:val="24"/>
          <w:szCs w:val="24"/>
          <w:lang w:eastAsia="en-GB"/>
        </w:rPr>
        <w:t>As such they offer an invaluable clue to the spatial arrangements and furnishings</w:t>
      </w:r>
      <w:r w:rsidR="003349B1">
        <w:rPr>
          <w:rFonts w:ascii="Times New Roman" w:eastAsia="Times New Roman" w:hAnsi="Times New Roman" w:cs="Times New Roman"/>
          <w:color w:val="222222"/>
          <w:sz w:val="24"/>
          <w:szCs w:val="24"/>
          <w:lang w:eastAsia="en-GB"/>
        </w:rPr>
        <w:t xml:space="preserve"> of houses as lived spaces. M</w:t>
      </w:r>
      <w:r w:rsidR="004935FE">
        <w:rPr>
          <w:rFonts w:ascii="Times New Roman" w:eastAsia="Times New Roman" w:hAnsi="Times New Roman" w:cs="Times New Roman"/>
          <w:color w:val="222222"/>
          <w:sz w:val="24"/>
          <w:szCs w:val="24"/>
          <w:lang w:eastAsia="en-GB"/>
        </w:rPr>
        <w:t>ade by a range of people, including householders and their wives, the apprentices and servants they employed, and women and men who visited or passed by</w:t>
      </w:r>
      <w:r w:rsidR="003349B1">
        <w:rPr>
          <w:rFonts w:ascii="Times New Roman" w:eastAsia="Times New Roman" w:hAnsi="Times New Roman" w:cs="Times New Roman"/>
          <w:color w:val="222222"/>
          <w:sz w:val="24"/>
          <w:szCs w:val="24"/>
          <w:lang w:eastAsia="en-GB"/>
        </w:rPr>
        <w:t>,</w:t>
      </w:r>
      <w:r w:rsidR="003349B1" w:rsidRPr="003349B1">
        <w:rPr>
          <w:rFonts w:ascii="Times New Roman" w:eastAsia="Times New Roman" w:hAnsi="Times New Roman" w:cs="Times New Roman"/>
          <w:color w:val="222222"/>
          <w:sz w:val="24"/>
          <w:szCs w:val="24"/>
          <w:lang w:eastAsia="en-GB"/>
        </w:rPr>
        <w:t xml:space="preserve"> </w:t>
      </w:r>
      <w:r w:rsidR="003349B1">
        <w:rPr>
          <w:rFonts w:ascii="Times New Roman" w:eastAsia="Times New Roman" w:hAnsi="Times New Roman" w:cs="Times New Roman"/>
          <w:color w:val="222222"/>
          <w:sz w:val="24"/>
          <w:szCs w:val="24"/>
          <w:lang w:eastAsia="en-GB"/>
        </w:rPr>
        <w:t>deposition evidence offers narratives of activities and events within the house.</w:t>
      </w:r>
      <w:r w:rsidR="003349B1">
        <w:rPr>
          <w:rStyle w:val="FootnoteReference"/>
          <w:rFonts w:ascii="Times New Roman" w:eastAsia="Times New Roman" w:hAnsi="Times New Roman" w:cs="Times New Roman"/>
          <w:color w:val="222222"/>
          <w:sz w:val="24"/>
          <w:szCs w:val="24"/>
          <w:lang w:eastAsia="en-GB"/>
        </w:rPr>
        <w:footnoteReference w:id="8"/>
      </w:r>
      <w:r w:rsidR="004935FE">
        <w:rPr>
          <w:rFonts w:ascii="Times New Roman" w:eastAsia="Times New Roman" w:hAnsi="Times New Roman" w:cs="Times New Roman"/>
          <w:color w:val="222222"/>
          <w:sz w:val="24"/>
          <w:szCs w:val="24"/>
          <w:lang w:eastAsia="en-GB"/>
        </w:rPr>
        <w:t xml:space="preserve"> </w:t>
      </w:r>
      <w:r w:rsidR="003349B1">
        <w:rPr>
          <w:rFonts w:ascii="Times New Roman" w:eastAsia="Times New Roman" w:hAnsi="Times New Roman" w:cs="Times New Roman"/>
          <w:color w:val="222222"/>
          <w:sz w:val="24"/>
          <w:szCs w:val="24"/>
          <w:lang w:eastAsia="en-GB"/>
        </w:rPr>
        <w:t>Because</w:t>
      </w:r>
      <w:r w:rsidR="004935FE">
        <w:rPr>
          <w:rFonts w:ascii="Times New Roman" w:eastAsia="Times New Roman" w:hAnsi="Times New Roman" w:cs="Times New Roman"/>
          <w:color w:val="222222"/>
          <w:sz w:val="24"/>
          <w:szCs w:val="24"/>
          <w:lang w:eastAsia="en-GB"/>
        </w:rPr>
        <w:t xml:space="preserve"> these </w:t>
      </w:r>
      <w:r w:rsidR="003349B1">
        <w:rPr>
          <w:rFonts w:ascii="Times New Roman" w:eastAsia="Times New Roman" w:hAnsi="Times New Roman" w:cs="Times New Roman"/>
          <w:color w:val="222222"/>
          <w:sz w:val="24"/>
          <w:szCs w:val="24"/>
          <w:lang w:eastAsia="en-GB"/>
        </w:rPr>
        <w:t xml:space="preserve">were </w:t>
      </w:r>
      <w:r w:rsidR="004935FE">
        <w:rPr>
          <w:rFonts w:ascii="Times New Roman" w:eastAsia="Times New Roman" w:hAnsi="Times New Roman" w:cs="Times New Roman"/>
          <w:color w:val="222222"/>
          <w:sz w:val="24"/>
          <w:szCs w:val="24"/>
          <w:lang w:eastAsia="en-GB"/>
        </w:rPr>
        <w:t>contested actions, we cannot always be confident of the historicity</w:t>
      </w:r>
      <w:r w:rsidR="003349B1">
        <w:rPr>
          <w:rFonts w:ascii="Times New Roman" w:eastAsia="Times New Roman" w:hAnsi="Times New Roman" w:cs="Times New Roman"/>
          <w:color w:val="222222"/>
          <w:sz w:val="24"/>
          <w:szCs w:val="24"/>
          <w:lang w:eastAsia="en-GB"/>
        </w:rPr>
        <w:t xml:space="preserve"> of the events described.</w:t>
      </w:r>
      <w:r w:rsidR="00DE6CAC">
        <w:rPr>
          <w:rStyle w:val="FootnoteReference"/>
          <w:rFonts w:ascii="Times New Roman" w:eastAsia="Times New Roman" w:hAnsi="Times New Roman" w:cs="Times New Roman"/>
          <w:color w:val="222222"/>
          <w:sz w:val="24"/>
          <w:szCs w:val="24"/>
          <w:lang w:eastAsia="en-GB"/>
        </w:rPr>
        <w:footnoteReference w:id="9"/>
      </w:r>
      <w:r w:rsidR="003349B1">
        <w:rPr>
          <w:rFonts w:ascii="Times New Roman" w:eastAsia="Times New Roman" w:hAnsi="Times New Roman" w:cs="Times New Roman"/>
          <w:color w:val="222222"/>
          <w:sz w:val="24"/>
          <w:szCs w:val="24"/>
          <w:lang w:eastAsia="en-GB"/>
        </w:rPr>
        <w:t xml:space="preserve"> T</w:t>
      </w:r>
      <w:r w:rsidR="004935FE">
        <w:rPr>
          <w:rFonts w:ascii="Times New Roman" w:eastAsia="Times New Roman" w:hAnsi="Times New Roman" w:cs="Times New Roman"/>
          <w:color w:val="222222"/>
          <w:sz w:val="24"/>
          <w:szCs w:val="24"/>
          <w:lang w:eastAsia="en-GB"/>
        </w:rPr>
        <w:t>hey still provide a remarkable –</w:t>
      </w:r>
      <w:r w:rsidR="003349B1">
        <w:rPr>
          <w:rFonts w:ascii="Times New Roman" w:eastAsia="Times New Roman" w:hAnsi="Times New Roman" w:cs="Times New Roman"/>
          <w:color w:val="222222"/>
          <w:sz w:val="24"/>
          <w:szCs w:val="24"/>
          <w:lang w:eastAsia="en-GB"/>
        </w:rPr>
        <w:t xml:space="preserve"> and hitherto </w:t>
      </w:r>
      <w:r w:rsidR="007B2213">
        <w:rPr>
          <w:rFonts w:ascii="Times New Roman" w:eastAsia="Times New Roman" w:hAnsi="Times New Roman" w:cs="Times New Roman"/>
          <w:color w:val="222222"/>
          <w:sz w:val="24"/>
          <w:szCs w:val="24"/>
          <w:lang w:eastAsia="en-GB"/>
        </w:rPr>
        <w:t xml:space="preserve">largely </w:t>
      </w:r>
      <w:r w:rsidR="004935FE">
        <w:rPr>
          <w:rFonts w:ascii="Times New Roman" w:eastAsia="Times New Roman" w:hAnsi="Times New Roman" w:cs="Times New Roman"/>
          <w:color w:val="222222"/>
          <w:sz w:val="24"/>
          <w:szCs w:val="24"/>
          <w:lang w:eastAsia="en-GB"/>
        </w:rPr>
        <w:t>unexplored window – onto the actual social and spatial dynamics of the house.</w:t>
      </w:r>
      <w:r w:rsidR="007B2213">
        <w:rPr>
          <w:rStyle w:val="FootnoteReference"/>
          <w:rFonts w:ascii="Times New Roman" w:eastAsia="Times New Roman" w:hAnsi="Times New Roman" w:cs="Times New Roman"/>
          <w:color w:val="222222"/>
          <w:sz w:val="24"/>
          <w:szCs w:val="24"/>
          <w:lang w:eastAsia="en-GB"/>
        </w:rPr>
        <w:footnoteReference w:id="10"/>
      </w:r>
      <w:r w:rsidR="004935FE">
        <w:rPr>
          <w:rFonts w:ascii="Times New Roman" w:eastAsia="Times New Roman" w:hAnsi="Times New Roman" w:cs="Times New Roman"/>
          <w:color w:val="222222"/>
          <w:sz w:val="24"/>
          <w:szCs w:val="24"/>
          <w:lang w:eastAsia="en-GB"/>
        </w:rPr>
        <w:t xml:space="preserve">   </w:t>
      </w:r>
    </w:p>
    <w:p w14:paraId="2254B630" w14:textId="0425BE29" w:rsidR="00C64FDA" w:rsidRDefault="008D617E" w:rsidP="004E48BE">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w:t>
      </w:r>
      <w:r w:rsidR="00B92620">
        <w:rPr>
          <w:rFonts w:ascii="Times New Roman" w:eastAsia="Times New Roman" w:hAnsi="Times New Roman" w:cs="Times New Roman"/>
          <w:color w:val="000000"/>
          <w:sz w:val="24"/>
          <w:szCs w:val="24"/>
          <w:lang w:eastAsia="en-GB"/>
        </w:rPr>
        <w:t>he homes of more substant</w:t>
      </w:r>
      <w:r>
        <w:rPr>
          <w:rFonts w:ascii="Times New Roman" w:eastAsia="Times New Roman" w:hAnsi="Times New Roman" w:cs="Times New Roman"/>
          <w:color w:val="000000"/>
          <w:sz w:val="24"/>
          <w:szCs w:val="24"/>
          <w:lang w:eastAsia="en-GB"/>
        </w:rPr>
        <w:t xml:space="preserve">ial artisans and merchants </w:t>
      </w:r>
      <w:r w:rsidR="00B92620">
        <w:rPr>
          <w:rFonts w:ascii="Times New Roman" w:eastAsia="Times New Roman" w:hAnsi="Times New Roman" w:cs="Times New Roman"/>
          <w:color w:val="000000"/>
          <w:sz w:val="24"/>
          <w:szCs w:val="24"/>
          <w:lang w:eastAsia="en-GB"/>
        </w:rPr>
        <w:t>are most readily represented in extant p</w:t>
      </w:r>
      <w:r>
        <w:rPr>
          <w:rFonts w:ascii="Times New Roman" w:eastAsia="Times New Roman" w:hAnsi="Times New Roman" w:cs="Times New Roman"/>
          <w:color w:val="000000"/>
          <w:sz w:val="24"/>
          <w:szCs w:val="24"/>
          <w:lang w:eastAsia="en-GB"/>
        </w:rPr>
        <w:t>robate inventories for the city. E</w:t>
      </w:r>
      <w:r w:rsidR="003349B1">
        <w:rPr>
          <w:rFonts w:ascii="Times New Roman" w:eastAsia="Times New Roman" w:hAnsi="Times New Roman" w:cs="Times New Roman"/>
          <w:color w:val="000000"/>
          <w:sz w:val="24"/>
          <w:szCs w:val="24"/>
          <w:lang w:eastAsia="en-GB"/>
        </w:rPr>
        <w:t xml:space="preserve">xtant </w:t>
      </w:r>
      <w:r w:rsidR="00B92620">
        <w:rPr>
          <w:rFonts w:ascii="Times New Roman" w:eastAsia="Times New Roman" w:hAnsi="Times New Roman" w:cs="Times New Roman"/>
          <w:color w:val="000000"/>
          <w:sz w:val="24"/>
          <w:szCs w:val="24"/>
          <w:lang w:eastAsia="en-GB"/>
        </w:rPr>
        <w:t xml:space="preserve">structures vary considerably in size and design, </w:t>
      </w:r>
      <w:r>
        <w:rPr>
          <w:rFonts w:ascii="Times New Roman" w:eastAsia="Times New Roman" w:hAnsi="Times New Roman" w:cs="Times New Roman"/>
          <w:color w:val="000000"/>
          <w:sz w:val="24"/>
          <w:szCs w:val="24"/>
          <w:lang w:eastAsia="en-GB"/>
        </w:rPr>
        <w:t xml:space="preserve">but </w:t>
      </w:r>
      <w:r w:rsidR="00B92620">
        <w:rPr>
          <w:rFonts w:ascii="Times New Roman" w:eastAsia="Times New Roman" w:hAnsi="Times New Roman" w:cs="Times New Roman"/>
          <w:color w:val="000000"/>
          <w:sz w:val="24"/>
          <w:szCs w:val="24"/>
          <w:lang w:eastAsia="en-GB"/>
        </w:rPr>
        <w:t>they contain numbers of elements in common.</w:t>
      </w:r>
      <w:r w:rsidR="003349B1">
        <w:rPr>
          <w:rFonts w:ascii="Times New Roman" w:eastAsia="Times New Roman" w:hAnsi="Times New Roman" w:cs="Times New Roman"/>
          <w:color w:val="000000"/>
          <w:sz w:val="24"/>
          <w:szCs w:val="24"/>
          <w:lang w:eastAsia="en-GB"/>
        </w:rPr>
        <w:t xml:space="preserve"> T</w:t>
      </w:r>
      <w:r w:rsidR="00B92620">
        <w:rPr>
          <w:rFonts w:ascii="Times New Roman" w:eastAsia="Times New Roman" w:hAnsi="Times New Roman" w:cs="Times New Roman"/>
          <w:color w:val="000000"/>
          <w:sz w:val="24"/>
          <w:szCs w:val="24"/>
          <w:lang w:eastAsia="en-GB"/>
        </w:rPr>
        <w:t xml:space="preserve">he basic form of the artisanal house comprised </w:t>
      </w:r>
      <w:r w:rsidR="002D20C8">
        <w:rPr>
          <w:rFonts w:ascii="Times New Roman" w:eastAsia="Times New Roman" w:hAnsi="Times New Roman" w:cs="Times New Roman"/>
          <w:color w:val="000000"/>
          <w:sz w:val="24"/>
          <w:szCs w:val="24"/>
          <w:lang w:eastAsia="en-GB"/>
        </w:rPr>
        <w:t>a hall, a kitchen, and one or more upper chambers. Numbers of houses possessed in addition a summer hall or a parlour, terms t</w:t>
      </w:r>
      <w:r w:rsidR="009E23C6">
        <w:rPr>
          <w:rFonts w:ascii="Times New Roman" w:eastAsia="Times New Roman" w:hAnsi="Times New Roman" w:cs="Times New Roman"/>
          <w:color w:val="000000"/>
          <w:sz w:val="24"/>
          <w:szCs w:val="24"/>
          <w:lang w:eastAsia="en-GB"/>
        </w:rPr>
        <w:t>hat appear to</w:t>
      </w:r>
      <w:r w:rsidR="002D20C8">
        <w:rPr>
          <w:rFonts w:ascii="Times New Roman" w:eastAsia="Times New Roman" w:hAnsi="Times New Roman" w:cs="Times New Roman"/>
          <w:color w:val="000000"/>
          <w:sz w:val="24"/>
          <w:szCs w:val="24"/>
          <w:lang w:eastAsia="en-GB"/>
        </w:rPr>
        <w:t xml:space="preserve"> have overlapped. Neither term is especially common in the extant probate inventories</w:t>
      </w:r>
      <w:r w:rsidR="00042DD5">
        <w:rPr>
          <w:rFonts w:ascii="Times New Roman" w:eastAsia="Times New Roman" w:hAnsi="Times New Roman" w:cs="Times New Roman"/>
          <w:color w:val="000000"/>
          <w:sz w:val="24"/>
          <w:szCs w:val="24"/>
          <w:lang w:eastAsia="en-GB"/>
        </w:rPr>
        <w:t xml:space="preserve"> before the last decades</w:t>
      </w:r>
      <w:r w:rsidR="00C83116">
        <w:rPr>
          <w:rFonts w:ascii="Times New Roman" w:eastAsia="Times New Roman" w:hAnsi="Times New Roman" w:cs="Times New Roman"/>
          <w:color w:val="000000"/>
          <w:sz w:val="24"/>
          <w:szCs w:val="24"/>
          <w:lang w:eastAsia="en-GB"/>
        </w:rPr>
        <w:t xml:space="preserve"> of the fifteenth </w:t>
      </w:r>
      <w:r w:rsidR="00C83116">
        <w:rPr>
          <w:rFonts w:ascii="Times New Roman" w:eastAsia="Times New Roman" w:hAnsi="Times New Roman" w:cs="Times New Roman"/>
          <w:color w:val="000000"/>
          <w:sz w:val="24"/>
          <w:szCs w:val="24"/>
          <w:lang w:eastAsia="en-GB"/>
        </w:rPr>
        <w:lastRenderedPageBreak/>
        <w:t>century.</w:t>
      </w:r>
      <w:r w:rsidR="00C83116">
        <w:rPr>
          <w:rStyle w:val="FootnoteReference"/>
          <w:rFonts w:ascii="Times New Roman" w:eastAsia="Times New Roman" w:hAnsi="Times New Roman" w:cs="Times New Roman"/>
          <w:color w:val="000000"/>
          <w:sz w:val="24"/>
          <w:szCs w:val="24"/>
          <w:lang w:eastAsia="en-GB"/>
        </w:rPr>
        <w:footnoteReference w:id="11"/>
      </w:r>
      <w:r w:rsidR="002D20C8">
        <w:rPr>
          <w:rFonts w:ascii="Times New Roman" w:eastAsia="Times New Roman" w:hAnsi="Times New Roman" w:cs="Times New Roman"/>
          <w:color w:val="000000"/>
          <w:sz w:val="24"/>
          <w:szCs w:val="24"/>
          <w:lang w:eastAsia="en-GB"/>
        </w:rPr>
        <w:t xml:space="preserve"> </w:t>
      </w:r>
      <w:r w:rsidR="00DA6141">
        <w:rPr>
          <w:rFonts w:ascii="Times New Roman" w:eastAsia="Times New Roman" w:hAnsi="Times New Roman" w:cs="Times New Roman"/>
          <w:color w:val="000000"/>
          <w:sz w:val="24"/>
          <w:szCs w:val="24"/>
          <w:lang w:eastAsia="en-GB"/>
        </w:rPr>
        <w:t>A summer hall, on the other hand, is no</w:t>
      </w:r>
      <w:r w:rsidR="00042DD5">
        <w:rPr>
          <w:rFonts w:ascii="Times New Roman" w:eastAsia="Times New Roman" w:hAnsi="Times New Roman" w:cs="Times New Roman"/>
          <w:color w:val="000000"/>
          <w:sz w:val="24"/>
          <w:szCs w:val="24"/>
          <w:lang w:eastAsia="en-GB"/>
        </w:rPr>
        <w:t>ticed only in the 1422</w:t>
      </w:r>
      <w:r w:rsidR="00DA6141">
        <w:rPr>
          <w:rFonts w:ascii="Times New Roman" w:eastAsia="Times New Roman" w:hAnsi="Times New Roman" w:cs="Times New Roman"/>
          <w:color w:val="000000"/>
          <w:sz w:val="24"/>
          <w:szCs w:val="24"/>
          <w:lang w:eastAsia="en-GB"/>
        </w:rPr>
        <w:t xml:space="preserve"> inventory of the mer</w:t>
      </w:r>
      <w:r w:rsidR="00042DD5">
        <w:rPr>
          <w:rFonts w:ascii="Times New Roman" w:eastAsia="Times New Roman" w:hAnsi="Times New Roman" w:cs="Times New Roman"/>
          <w:color w:val="000000"/>
          <w:sz w:val="24"/>
          <w:szCs w:val="24"/>
          <w:lang w:eastAsia="en-GB"/>
        </w:rPr>
        <w:t xml:space="preserve">chant William </w:t>
      </w:r>
      <w:proofErr w:type="spellStart"/>
      <w:r w:rsidR="00042DD5">
        <w:rPr>
          <w:rFonts w:ascii="Times New Roman" w:eastAsia="Times New Roman" w:hAnsi="Times New Roman" w:cs="Times New Roman"/>
          <w:color w:val="000000"/>
          <w:sz w:val="24"/>
          <w:szCs w:val="24"/>
          <w:lang w:eastAsia="en-GB"/>
        </w:rPr>
        <w:t>Plovell</w:t>
      </w:r>
      <w:proofErr w:type="spellEnd"/>
      <w:r w:rsidR="00DA6141">
        <w:rPr>
          <w:rFonts w:ascii="Times New Roman" w:eastAsia="Times New Roman" w:hAnsi="Times New Roman" w:cs="Times New Roman"/>
          <w:color w:val="000000"/>
          <w:sz w:val="24"/>
          <w:szCs w:val="24"/>
          <w:lang w:eastAsia="en-GB"/>
        </w:rPr>
        <w:t>.</w:t>
      </w:r>
      <w:r w:rsidR="00DA6141">
        <w:rPr>
          <w:rStyle w:val="FootnoteReference"/>
          <w:rFonts w:ascii="Times New Roman" w:eastAsia="Times New Roman" w:hAnsi="Times New Roman" w:cs="Times New Roman"/>
          <w:color w:val="000000"/>
          <w:sz w:val="24"/>
          <w:szCs w:val="24"/>
          <w:lang w:eastAsia="en-GB"/>
        </w:rPr>
        <w:footnoteReference w:id="12"/>
      </w:r>
      <w:r w:rsidR="002D20C8">
        <w:rPr>
          <w:rFonts w:ascii="Times New Roman" w:eastAsia="Times New Roman" w:hAnsi="Times New Roman" w:cs="Times New Roman"/>
          <w:color w:val="000000"/>
          <w:sz w:val="24"/>
          <w:szCs w:val="24"/>
          <w:lang w:eastAsia="en-GB"/>
        </w:rPr>
        <w:t xml:space="preserve"> </w:t>
      </w:r>
      <w:r w:rsidR="008948B2">
        <w:rPr>
          <w:rFonts w:ascii="Times New Roman" w:eastAsia="Times New Roman" w:hAnsi="Times New Roman" w:cs="Times New Roman"/>
          <w:color w:val="000000"/>
          <w:sz w:val="24"/>
          <w:szCs w:val="24"/>
          <w:lang w:eastAsia="en-GB"/>
        </w:rPr>
        <w:t>Both terms are used in depositions from the Court</w:t>
      </w:r>
      <w:r w:rsidR="00C579C0">
        <w:rPr>
          <w:rFonts w:ascii="Times New Roman" w:eastAsia="Times New Roman" w:hAnsi="Times New Roman" w:cs="Times New Roman"/>
          <w:color w:val="000000"/>
          <w:sz w:val="24"/>
          <w:szCs w:val="24"/>
          <w:lang w:eastAsia="en-GB"/>
        </w:rPr>
        <w:t xml:space="preserve"> of York, though Agnes </w:t>
      </w:r>
      <w:r w:rsidR="008948B2">
        <w:rPr>
          <w:rFonts w:ascii="Times New Roman" w:eastAsia="Times New Roman" w:hAnsi="Times New Roman" w:cs="Times New Roman"/>
          <w:color w:val="000000"/>
          <w:sz w:val="24"/>
          <w:szCs w:val="24"/>
          <w:lang w:eastAsia="en-GB"/>
        </w:rPr>
        <w:t xml:space="preserve">Bolton testified in </w:t>
      </w:r>
      <w:r w:rsidR="00C64FDA">
        <w:rPr>
          <w:rFonts w:ascii="Times New Roman" w:eastAsia="Times New Roman" w:hAnsi="Times New Roman" w:cs="Times New Roman"/>
          <w:color w:val="000000"/>
          <w:sz w:val="24"/>
          <w:szCs w:val="24"/>
          <w:lang w:eastAsia="en-GB"/>
        </w:rPr>
        <w:t xml:space="preserve">1434 </w:t>
      </w:r>
      <w:r w:rsidR="009E23C6">
        <w:rPr>
          <w:rFonts w:ascii="Times New Roman" w:eastAsia="Times New Roman" w:hAnsi="Times New Roman" w:cs="Times New Roman"/>
          <w:color w:val="000000"/>
          <w:sz w:val="24"/>
          <w:szCs w:val="24"/>
          <w:lang w:eastAsia="en-GB"/>
        </w:rPr>
        <w:t>to events located in the ground</w:t>
      </w:r>
      <w:r w:rsidR="00C579C0">
        <w:rPr>
          <w:rFonts w:ascii="Times New Roman" w:eastAsia="Times New Roman" w:hAnsi="Times New Roman" w:cs="Times New Roman"/>
          <w:color w:val="000000"/>
          <w:sz w:val="24"/>
          <w:szCs w:val="24"/>
          <w:lang w:eastAsia="en-GB"/>
        </w:rPr>
        <w:t>-</w:t>
      </w:r>
      <w:r w:rsidR="009E23C6">
        <w:rPr>
          <w:rFonts w:ascii="Times New Roman" w:eastAsia="Times New Roman" w:hAnsi="Times New Roman" w:cs="Times New Roman"/>
          <w:color w:val="000000"/>
          <w:sz w:val="24"/>
          <w:szCs w:val="24"/>
          <w:lang w:eastAsia="en-GB"/>
        </w:rPr>
        <w:t>floor</w:t>
      </w:r>
      <w:r w:rsidR="008948B2">
        <w:rPr>
          <w:rFonts w:ascii="Times New Roman" w:eastAsia="Times New Roman" w:hAnsi="Times New Roman" w:cs="Times New Roman"/>
          <w:color w:val="000000"/>
          <w:sz w:val="24"/>
          <w:szCs w:val="24"/>
          <w:lang w:eastAsia="en-GB"/>
        </w:rPr>
        <w:t xml:space="preserve"> p</w:t>
      </w:r>
      <w:r w:rsidR="00C64FDA">
        <w:rPr>
          <w:rFonts w:ascii="Times New Roman" w:eastAsia="Times New Roman" w:hAnsi="Times New Roman" w:cs="Times New Roman"/>
          <w:color w:val="000000"/>
          <w:sz w:val="24"/>
          <w:szCs w:val="24"/>
          <w:lang w:eastAsia="en-GB"/>
        </w:rPr>
        <w:t>arlour or summer hall (‘</w:t>
      </w:r>
      <w:r w:rsidR="00C64FDA" w:rsidRPr="00C64FDA">
        <w:rPr>
          <w:rFonts w:ascii="Times New Roman" w:eastAsia="Times New Roman" w:hAnsi="Times New Roman" w:cs="Times New Roman"/>
          <w:i/>
          <w:color w:val="000000"/>
          <w:sz w:val="24"/>
          <w:szCs w:val="24"/>
          <w:lang w:eastAsia="en-GB"/>
        </w:rPr>
        <w:t xml:space="preserve">in </w:t>
      </w:r>
      <w:proofErr w:type="spellStart"/>
      <w:r w:rsidR="00C64FDA" w:rsidRPr="00C64FDA">
        <w:rPr>
          <w:rFonts w:ascii="Times New Roman" w:eastAsia="Times New Roman" w:hAnsi="Times New Roman" w:cs="Times New Roman"/>
          <w:i/>
          <w:color w:val="000000"/>
          <w:sz w:val="24"/>
          <w:szCs w:val="24"/>
          <w:lang w:eastAsia="en-GB"/>
        </w:rPr>
        <w:t>quodam</w:t>
      </w:r>
      <w:proofErr w:type="spellEnd"/>
      <w:r w:rsidR="00C64FDA" w:rsidRPr="00C64FDA">
        <w:rPr>
          <w:rFonts w:ascii="Times New Roman" w:eastAsia="Times New Roman" w:hAnsi="Times New Roman" w:cs="Times New Roman"/>
          <w:i/>
          <w:color w:val="000000"/>
          <w:sz w:val="24"/>
          <w:szCs w:val="24"/>
          <w:lang w:eastAsia="en-GB"/>
        </w:rPr>
        <w:t xml:space="preserve"> </w:t>
      </w:r>
      <w:proofErr w:type="spellStart"/>
      <w:r w:rsidR="00C64FDA" w:rsidRPr="00C64FDA">
        <w:rPr>
          <w:rFonts w:ascii="Times New Roman" w:eastAsia="Times New Roman" w:hAnsi="Times New Roman" w:cs="Times New Roman"/>
          <w:i/>
          <w:color w:val="000000"/>
          <w:sz w:val="24"/>
          <w:szCs w:val="24"/>
          <w:lang w:eastAsia="en-GB"/>
        </w:rPr>
        <w:t>bassa</w:t>
      </w:r>
      <w:proofErr w:type="spellEnd"/>
      <w:r w:rsidR="00C64FDA" w:rsidRPr="00C64FDA">
        <w:rPr>
          <w:rFonts w:ascii="Times New Roman" w:eastAsia="Times New Roman" w:hAnsi="Times New Roman" w:cs="Times New Roman"/>
          <w:i/>
          <w:color w:val="000000"/>
          <w:sz w:val="24"/>
          <w:szCs w:val="24"/>
          <w:lang w:eastAsia="en-GB"/>
        </w:rPr>
        <w:t xml:space="preserve"> </w:t>
      </w:r>
      <w:proofErr w:type="spellStart"/>
      <w:r w:rsidR="00C64FDA" w:rsidRPr="00C64FDA">
        <w:rPr>
          <w:rFonts w:ascii="Times New Roman" w:eastAsia="Times New Roman" w:hAnsi="Times New Roman" w:cs="Times New Roman"/>
          <w:i/>
          <w:color w:val="000000"/>
          <w:sz w:val="24"/>
          <w:szCs w:val="24"/>
          <w:lang w:eastAsia="en-GB"/>
        </w:rPr>
        <w:t>parlura</w:t>
      </w:r>
      <w:proofErr w:type="spellEnd"/>
      <w:r w:rsidR="00C64FDA" w:rsidRPr="00C64FDA">
        <w:rPr>
          <w:rFonts w:ascii="Times New Roman" w:eastAsia="Times New Roman" w:hAnsi="Times New Roman" w:cs="Times New Roman"/>
          <w:i/>
          <w:color w:val="000000"/>
          <w:sz w:val="24"/>
          <w:szCs w:val="24"/>
          <w:lang w:eastAsia="en-GB"/>
        </w:rPr>
        <w:t xml:space="preserve"> </w:t>
      </w:r>
      <w:proofErr w:type="spellStart"/>
      <w:r w:rsidR="00C64FDA" w:rsidRPr="00C64FDA">
        <w:rPr>
          <w:rFonts w:ascii="Times New Roman" w:eastAsia="Times New Roman" w:hAnsi="Times New Roman" w:cs="Times New Roman"/>
          <w:i/>
          <w:color w:val="000000"/>
          <w:sz w:val="24"/>
          <w:szCs w:val="24"/>
          <w:lang w:eastAsia="en-GB"/>
        </w:rPr>
        <w:t>sive</w:t>
      </w:r>
      <w:proofErr w:type="spellEnd"/>
      <w:r w:rsidR="00C64FDA" w:rsidRPr="00C64FDA">
        <w:rPr>
          <w:rFonts w:ascii="Times New Roman" w:eastAsia="Times New Roman" w:hAnsi="Times New Roman" w:cs="Times New Roman"/>
          <w:i/>
          <w:color w:val="000000"/>
          <w:sz w:val="24"/>
          <w:szCs w:val="24"/>
          <w:lang w:eastAsia="en-GB"/>
        </w:rPr>
        <w:t xml:space="preserve"> </w:t>
      </w:r>
      <w:proofErr w:type="spellStart"/>
      <w:r w:rsidR="00C64FDA" w:rsidRPr="00C64FDA">
        <w:rPr>
          <w:rFonts w:ascii="Times New Roman" w:eastAsia="Times New Roman" w:hAnsi="Times New Roman" w:cs="Times New Roman"/>
          <w:i/>
          <w:color w:val="000000"/>
          <w:sz w:val="24"/>
          <w:szCs w:val="24"/>
          <w:lang w:eastAsia="en-GB"/>
        </w:rPr>
        <w:t>aula</w:t>
      </w:r>
      <w:proofErr w:type="spellEnd"/>
      <w:r w:rsidR="00C64FDA" w:rsidRPr="00C64FDA">
        <w:rPr>
          <w:rFonts w:ascii="Times New Roman" w:eastAsia="Times New Roman" w:hAnsi="Times New Roman" w:cs="Times New Roman"/>
          <w:i/>
          <w:color w:val="000000"/>
          <w:sz w:val="24"/>
          <w:szCs w:val="24"/>
          <w:lang w:eastAsia="en-GB"/>
        </w:rPr>
        <w:t xml:space="preserve"> </w:t>
      </w:r>
      <w:proofErr w:type="spellStart"/>
      <w:r w:rsidR="00C64FDA" w:rsidRPr="00C64FDA">
        <w:rPr>
          <w:rFonts w:ascii="Times New Roman" w:eastAsia="Times New Roman" w:hAnsi="Times New Roman" w:cs="Times New Roman"/>
          <w:i/>
          <w:color w:val="000000"/>
          <w:sz w:val="24"/>
          <w:szCs w:val="24"/>
          <w:lang w:eastAsia="en-GB"/>
        </w:rPr>
        <w:t>estimali</w:t>
      </w:r>
      <w:proofErr w:type="spellEnd"/>
      <w:r w:rsidR="00C579C0">
        <w:rPr>
          <w:rFonts w:ascii="Times New Roman" w:eastAsia="Times New Roman" w:hAnsi="Times New Roman" w:cs="Times New Roman"/>
          <w:color w:val="000000"/>
          <w:sz w:val="24"/>
          <w:szCs w:val="24"/>
          <w:lang w:eastAsia="en-GB"/>
        </w:rPr>
        <w:t>’) of her</w:t>
      </w:r>
      <w:r w:rsidR="00C64FDA">
        <w:rPr>
          <w:rFonts w:ascii="Times New Roman" w:eastAsia="Times New Roman" w:hAnsi="Times New Roman" w:cs="Times New Roman"/>
          <w:color w:val="000000"/>
          <w:sz w:val="24"/>
          <w:szCs w:val="24"/>
          <w:lang w:eastAsia="en-GB"/>
        </w:rPr>
        <w:t xml:space="preserve"> </w:t>
      </w:r>
      <w:proofErr w:type="spellStart"/>
      <w:r w:rsidR="00C64FDA">
        <w:rPr>
          <w:rFonts w:ascii="Times New Roman" w:eastAsia="Times New Roman" w:hAnsi="Times New Roman" w:cs="Times New Roman"/>
          <w:color w:val="000000"/>
          <w:sz w:val="24"/>
          <w:szCs w:val="24"/>
          <w:lang w:eastAsia="en-GB"/>
        </w:rPr>
        <w:t>Coppergate</w:t>
      </w:r>
      <w:proofErr w:type="spellEnd"/>
      <w:r w:rsidR="00C64FDA">
        <w:rPr>
          <w:rFonts w:ascii="Times New Roman" w:eastAsia="Times New Roman" w:hAnsi="Times New Roman" w:cs="Times New Roman"/>
          <w:color w:val="000000"/>
          <w:sz w:val="24"/>
          <w:szCs w:val="24"/>
          <w:lang w:eastAsia="en-GB"/>
        </w:rPr>
        <w:t xml:space="preserve"> home, a usage that might imply similarity or congruence of usage. Her hus</w:t>
      </w:r>
      <w:r w:rsidR="009E23C6">
        <w:rPr>
          <w:rFonts w:ascii="Times New Roman" w:eastAsia="Times New Roman" w:hAnsi="Times New Roman" w:cs="Times New Roman"/>
          <w:color w:val="000000"/>
          <w:sz w:val="24"/>
          <w:szCs w:val="24"/>
          <w:lang w:eastAsia="en-GB"/>
        </w:rPr>
        <w:t>band, however, talked of a ground</w:t>
      </w:r>
      <w:r w:rsidR="00C579C0">
        <w:rPr>
          <w:rFonts w:ascii="Times New Roman" w:eastAsia="Times New Roman" w:hAnsi="Times New Roman" w:cs="Times New Roman"/>
          <w:color w:val="000000"/>
          <w:sz w:val="24"/>
          <w:szCs w:val="24"/>
          <w:lang w:eastAsia="en-GB"/>
        </w:rPr>
        <w:t>-</w:t>
      </w:r>
      <w:r w:rsidR="009E23C6">
        <w:rPr>
          <w:rFonts w:ascii="Times New Roman" w:eastAsia="Times New Roman" w:hAnsi="Times New Roman" w:cs="Times New Roman"/>
          <w:color w:val="000000"/>
          <w:sz w:val="24"/>
          <w:szCs w:val="24"/>
          <w:lang w:eastAsia="en-GB"/>
        </w:rPr>
        <w:t>floor</w:t>
      </w:r>
      <w:r w:rsidR="00C64FDA">
        <w:rPr>
          <w:rFonts w:ascii="Times New Roman" w:eastAsia="Times New Roman" w:hAnsi="Times New Roman" w:cs="Times New Roman"/>
          <w:color w:val="000000"/>
          <w:sz w:val="24"/>
          <w:szCs w:val="24"/>
          <w:lang w:eastAsia="en-GB"/>
        </w:rPr>
        <w:t xml:space="preserve"> room (‘</w:t>
      </w:r>
      <w:r w:rsidR="00C64FDA" w:rsidRPr="00C64FDA">
        <w:rPr>
          <w:rFonts w:ascii="Times New Roman" w:eastAsia="Times New Roman" w:hAnsi="Times New Roman" w:cs="Times New Roman"/>
          <w:i/>
          <w:color w:val="000000"/>
          <w:sz w:val="24"/>
          <w:szCs w:val="24"/>
          <w:lang w:eastAsia="en-GB"/>
        </w:rPr>
        <w:t>camera</w:t>
      </w:r>
      <w:r w:rsidR="00C64FDA">
        <w:rPr>
          <w:rFonts w:ascii="Times New Roman" w:eastAsia="Times New Roman" w:hAnsi="Times New Roman" w:cs="Times New Roman"/>
          <w:color w:val="000000"/>
          <w:sz w:val="24"/>
          <w:szCs w:val="24"/>
          <w:lang w:eastAsia="en-GB"/>
        </w:rPr>
        <w:t>’) or summer hall.</w:t>
      </w:r>
      <w:r w:rsidR="00C64FDA">
        <w:rPr>
          <w:rStyle w:val="FootnoteReference"/>
          <w:rFonts w:ascii="Times New Roman" w:eastAsia="Times New Roman" w:hAnsi="Times New Roman" w:cs="Times New Roman"/>
          <w:color w:val="000000"/>
          <w:sz w:val="24"/>
          <w:szCs w:val="24"/>
          <w:lang w:eastAsia="en-GB"/>
        </w:rPr>
        <w:footnoteReference w:id="13"/>
      </w:r>
      <w:r w:rsidR="00BC1ED5">
        <w:rPr>
          <w:rFonts w:ascii="Times New Roman" w:eastAsia="Times New Roman" w:hAnsi="Times New Roman" w:cs="Times New Roman"/>
          <w:color w:val="000000"/>
          <w:sz w:val="24"/>
          <w:szCs w:val="24"/>
          <w:lang w:eastAsia="en-GB"/>
        </w:rPr>
        <w:t xml:space="preserve"> </w:t>
      </w:r>
    </w:p>
    <w:p w14:paraId="26DE07EF" w14:textId="4E0A2776" w:rsidR="00E01745" w:rsidRDefault="007A3EF9" w:rsidP="004D2D09">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Some</w:t>
      </w:r>
      <w:r w:rsidR="00C64FDA">
        <w:rPr>
          <w:rFonts w:ascii="Times New Roman" w:eastAsia="Times New Roman" w:hAnsi="Times New Roman" w:cs="Times New Roman"/>
          <w:color w:val="000000"/>
          <w:sz w:val="24"/>
          <w:szCs w:val="24"/>
          <w:lang w:eastAsia="en-GB"/>
        </w:rPr>
        <w:t xml:space="preserve"> further spaces </w:t>
      </w:r>
      <w:r w:rsidR="00FC79CB">
        <w:rPr>
          <w:rFonts w:ascii="Times New Roman" w:eastAsia="Times New Roman" w:hAnsi="Times New Roman" w:cs="Times New Roman"/>
          <w:color w:val="000000"/>
          <w:sz w:val="24"/>
          <w:szCs w:val="24"/>
          <w:lang w:eastAsia="en-GB"/>
        </w:rPr>
        <w:t xml:space="preserve">sometimes </w:t>
      </w:r>
      <w:r w:rsidR="00340D48">
        <w:rPr>
          <w:rFonts w:ascii="Times New Roman" w:eastAsia="Times New Roman" w:hAnsi="Times New Roman" w:cs="Times New Roman"/>
          <w:color w:val="000000"/>
          <w:sz w:val="24"/>
          <w:szCs w:val="24"/>
          <w:lang w:eastAsia="en-GB"/>
        </w:rPr>
        <w:t>belonging</w:t>
      </w:r>
      <w:r w:rsidR="00C64FDA">
        <w:rPr>
          <w:rFonts w:ascii="Times New Roman" w:eastAsia="Times New Roman" w:hAnsi="Times New Roman" w:cs="Times New Roman"/>
          <w:color w:val="000000"/>
          <w:sz w:val="24"/>
          <w:szCs w:val="24"/>
          <w:lang w:eastAsia="en-GB"/>
        </w:rPr>
        <w:t xml:space="preserve"> to the house</w:t>
      </w:r>
      <w:r w:rsidR="00FC79CB">
        <w:rPr>
          <w:rFonts w:ascii="Times New Roman" w:eastAsia="Times New Roman" w:hAnsi="Times New Roman" w:cs="Times New Roman"/>
          <w:color w:val="000000"/>
          <w:sz w:val="24"/>
          <w:szCs w:val="24"/>
          <w:lang w:eastAsia="en-GB"/>
        </w:rPr>
        <w:t xml:space="preserve"> should be noted. G</w:t>
      </w:r>
      <w:r w:rsidR="00C579C0">
        <w:rPr>
          <w:rFonts w:ascii="Times New Roman" w:eastAsia="Times New Roman" w:hAnsi="Times New Roman" w:cs="Times New Roman"/>
          <w:color w:val="000000"/>
          <w:sz w:val="24"/>
          <w:szCs w:val="24"/>
          <w:lang w:eastAsia="en-GB"/>
        </w:rPr>
        <w:t>arden</w:t>
      </w:r>
      <w:r w:rsidR="00FC79CB">
        <w:rPr>
          <w:rFonts w:ascii="Times New Roman" w:eastAsia="Times New Roman" w:hAnsi="Times New Roman" w:cs="Times New Roman"/>
          <w:color w:val="000000"/>
          <w:sz w:val="24"/>
          <w:szCs w:val="24"/>
          <w:lang w:eastAsia="en-GB"/>
        </w:rPr>
        <w:t>s</w:t>
      </w:r>
      <w:r w:rsidR="00C579C0">
        <w:rPr>
          <w:rFonts w:ascii="Times New Roman" w:eastAsia="Times New Roman" w:hAnsi="Times New Roman" w:cs="Times New Roman"/>
          <w:color w:val="000000"/>
          <w:sz w:val="24"/>
          <w:szCs w:val="24"/>
          <w:lang w:eastAsia="en-GB"/>
        </w:rPr>
        <w:t xml:space="preserve">, </w:t>
      </w:r>
      <w:r w:rsidR="00C64FDA">
        <w:rPr>
          <w:rFonts w:ascii="Times New Roman" w:eastAsia="Times New Roman" w:hAnsi="Times New Roman" w:cs="Times New Roman"/>
          <w:color w:val="000000"/>
          <w:sz w:val="24"/>
          <w:szCs w:val="24"/>
          <w:lang w:eastAsia="en-GB"/>
        </w:rPr>
        <w:t xml:space="preserve">though external, must </w:t>
      </w:r>
      <w:r w:rsidR="000D3EE1">
        <w:rPr>
          <w:rFonts w:ascii="Times New Roman" w:eastAsia="Times New Roman" w:hAnsi="Times New Roman" w:cs="Times New Roman"/>
          <w:color w:val="000000"/>
          <w:sz w:val="24"/>
          <w:szCs w:val="24"/>
          <w:lang w:eastAsia="en-GB"/>
        </w:rPr>
        <w:t>nevertheless be seen as integral</w:t>
      </w:r>
      <w:r w:rsidR="00FC79CB" w:rsidRPr="00FC79CB">
        <w:rPr>
          <w:rFonts w:ascii="Times New Roman" w:eastAsia="Times New Roman" w:hAnsi="Times New Roman" w:cs="Times New Roman"/>
          <w:color w:val="000000"/>
          <w:sz w:val="24"/>
          <w:szCs w:val="24"/>
          <w:lang w:eastAsia="en-GB"/>
        </w:rPr>
        <w:t xml:space="preserve"> </w:t>
      </w:r>
      <w:r w:rsidR="00FC79CB">
        <w:rPr>
          <w:rFonts w:ascii="Times New Roman" w:eastAsia="Times New Roman" w:hAnsi="Times New Roman" w:cs="Times New Roman"/>
          <w:color w:val="000000"/>
          <w:sz w:val="24"/>
          <w:szCs w:val="24"/>
          <w:lang w:eastAsia="en-GB"/>
        </w:rPr>
        <w:t>to the house</w:t>
      </w:r>
      <w:r w:rsidR="00340D48">
        <w:rPr>
          <w:rFonts w:ascii="Times New Roman" w:eastAsia="Times New Roman" w:hAnsi="Times New Roman" w:cs="Times New Roman"/>
          <w:color w:val="000000"/>
          <w:sz w:val="24"/>
          <w:szCs w:val="24"/>
          <w:lang w:eastAsia="en-GB"/>
        </w:rPr>
        <w:t xml:space="preserve">. </w:t>
      </w:r>
      <w:r w:rsidR="00FC79CB">
        <w:rPr>
          <w:rFonts w:ascii="Times New Roman" w:eastAsia="Times New Roman" w:hAnsi="Times New Roman" w:cs="Times New Roman"/>
          <w:color w:val="000000"/>
          <w:sz w:val="24"/>
          <w:szCs w:val="24"/>
          <w:lang w:eastAsia="en-GB"/>
        </w:rPr>
        <w:t>They</w:t>
      </w:r>
      <w:r w:rsidR="009E169C">
        <w:rPr>
          <w:rFonts w:ascii="Times New Roman" w:eastAsia="Times New Roman" w:hAnsi="Times New Roman" w:cs="Times New Roman"/>
          <w:color w:val="000000"/>
          <w:sz w:val="24"/>
          <w:szCs w:val="24"/>
          <w:lang w:eastAsia="en-GB"/>
        </w:rPr>
        <w:t xml:space="preserve"> are some</w:t>
      </w:r>
      <w:r w:rsidR="00E01745">
        <w:rPr>
          <w:rFonts w:ascii="Times New Roman" w:eastAsia="Times New Roman" w:hAnsi="Times New Roman" w:cs="Times New Roman"/>
          <w:color w:val="000000"/>
          <w:sz w:val="24"/>
          <w:szCs w:val="24"/>
          <w:lang w:eastAsia="en-GB"/>
        </w:rPr>
        <w:t>times noticed in cause paper depositions since they were a common venue for the exchange of verbal contracts to marry.</w:t>
      </w:r>
      <w:r w:rsidR="00DF5A0E">
        <w:rPr>
          <w:rStyle w:val="FootnoteReference"/>
          <w:rFonts w:ascii="Times New Roman" w:eastAsia="Times New Roman" w:hAnsi="Times New Roman" w:cs="Times New Roman"/>
          <w:color w:val="000000"/>
          <w:sz w:val="24"/>
          <w:szCs w:val="24"/>
          <w:lang w:eastAsia="en-GB"/>
        </w:rPr>
        <w:footnoteReference w:id="14"/>
      </w:r>
      <w:r w:rsidR="00E01745">
        <w:rPr>
          <w:rFonts w:ascii="Times New Roman" w:eastAsia="Times New Roman" w:hAnsi="Times New Roman" w:cs="Times New Roman"/>
          <w:color w:val="000000"/>
          <w:sz w:val="24"/>
          <w:szCs w:val="24"/>
          <w:lang w:eastAsia="en-GB"/>
        </w:rPr>
        <w:t xml:space="preserve"> Gardens are scarcely noticed in inv</w:t>
      </w:r>
      <w:r w:rsidR="009E23C6">
        <w:rPr>
          <w:rFonts w:ascii="Times New Roman" w:eastAsia="Times New Roman" w:hAnsi="Times New Roman" w:cs="Times New Roman"/>
          <w:color w:val="000000"/>
          <w:sz w:val="24"/>
          <w:szCs w:val="24"/>
          <w:lang w:eastAsia="en-GB"/>
        </w:rPr>
        <w:t xml:space="preserve">entories, probably </w:t>
      </w:r>
      <w:r w:rsidR="00E01745">
        <w:rPr>
          <w:rFonts w:ascii="Times New Roman" w:eastAsia="Times New Roman" w:hAnsi="Times New Roman" w:cs="Times New Roman"/>
          <w:color w:val="000000"/>
          <w:sz w:val="24"/>
          <w:szCs w:val="24"/>
          <w:lang w:eastAsia="en-GB"/>
        </w:rPr>
        <w:t>because they did not cont</w:t>
      </w:r>
      <w:r w:rsidR="009E169C">
        <w:rPr>
          <w:rFonts w:ascii="Times New Roman" w:eastAsia="Times New Roman" w:hAnsi="Times New Roman" w:cs="Times New Roman"/>
          <w:color w:val="000000"/>
          <w:sz w:val="24"/>
          <w:szCs w:val="24"/>
          <w:lang w:eastAsia="en-GB"/>
        </w:rPr>
        <w:t>ain moveable goods of any</w:t>
      </w:r>
      <w:r w:rsidR="00E01745">
        <w:rPr>
          <w:rFonts w:ascii="Times New Roman" w:eastAsia="Times New Roman" w:hAnsi="Times New Roman" w:cs="Times New Roman"/>
          <w:color w:val="000000"/>
          <w:sz w:val="24"/>
          <w:szCs w:val="24"/>
          <w:lang w:eastAsia="en-GB"/>
        </w:rPr>
        <w:t xml:space="preserve"> valu</w:t>
      </w:r>
      <w:r w:rsidR="00932F53">
        <w:rPr>
          <w:rFonts w:ascii="Times New Roman" w:eastAsia="Times New Roman" w:hAnsi="Times New Roman" w:cs="Times New Roman"/>
          <w:color w:val="000000"/>
          <w:sz w:val="24"/>
          <w:szCs w:val="24"/>
          <w:lang w:eastAsia="en-GB"/>
        </w:rPr>
        <w:t>e</w:t>
      </w:r>
      <w:r w:rsidR="008558BC">
        <w:rPr>
          <w:rFonts w:ascii="Times New Roman" w:eastAsia="Times New Roman" w:hAnsi="Times New Roman" w:cs="Times New Roman"/>
          <w:color w:val="000000"/>
          <w:sz w:val="24"/>
          <w:szCs w:val="24"/>
          <w:lang w:eastAsia="en-GB"/>
        </w:rPr>
        <w:t>.</w:t>
      </w:r>
      <w:r w:rsidR="00E01745">
        <w:rPr>
          <w:rFonts w:ascii="Times New Roman" w:eastAsia="Times New Roman" w:hAnsi="Times New Roman" w:cs="Times New Roman"/>
          <w:color w:val="000000"/>
          <w:sz w:val="24"/>
          <w:szCs w:val="24"/>
          <w:lang w:eastAsia="en-GB"/>
        </w:rPr>
        <w:t xml:space="preserve"> Gardens are, however, recorde</w:t>
      </w:r>
      <w:r w:rsidR="009E169C">
        <w:rPr>
          <w:rFonts w:ascii="Times New Roman" w:eastAsia="Times New Roman" w:hAnsi="Times New Roman" w:cs="Times New Roman"/>
          <w:color w:val="000000"/>
          <w:sz w:val="24"/>
          <w:szCs w:val="24"/>
          <w:lang w:eastAsia="en-GB"/>
        </w:rPr>
        <w:t>d in two</w:t>
      </w:r>
      <w:r w:rsidR="00E01745">
        <w:rPr>
          <w:rFonts w:ascii="Times New Roman" w:eastAsia="Times New Roman" w:hAnsi="Times New Roman" w:cs="Times New Roman"/>
          <w:color w:val="000000"/>
          <w:sz w:val="24"/>
          <w:szCs w:val="24"/>
          <w:lang w:eastAsia="en-GB"/>
        </w:rPr>
        <w:t xml:space="preserve"> </w:t>
      </w:r>
      <w:r w:rsidR="00B67286">
        <w:rPr>
          <w:rFonts w:ascii="Times New Roman" w:eastAsia="Times New Roman" w:hAnsi="Times New Roman" w:cs="Times New Roman"/>
          <w:color w:val="000000"/>
          <w:sz w:val="24"/>
          <w:szCs w:val="24"/>
          <w:lang w:eastAsia="en-GB"/>
        </w:rPr>
        <w:t>Beverley</w:t>
      </w:r>
      <w:r w:rsidR="00B67286">
        <w:rPr>
          <w:rFonts w:ascii="Times New Roman" w:eastAsia="Times New Roman" w:hAnsi="Times New Roman" w:cs="Times New Roman"/>
          <w:color w:val="000000"/>
          <w:sz w:val="24"/>
          <w:szCs w:val="24"/>
          <w:lang w:eastAsia="en-GB"/>
        </w:rPr>
        <w:t xml:space="preserve"> inventories</w:t>
      </w:r>
      <w:r w:rsidR="008558BC">
        <w:rPr>
          <w:rFonts w:ascii="Times New Roman" w:eastAsia="Times New Roman" w:hAnsi="Times New Roman" w:cs="Times New Roman"/>
          <w:color w:val="000000"/>
          <w:sz w:val="24"/>
          <w:szCs w:val="24"/>
          <w:lang w:eastAsia="en-GB"/>
        </w:rPr>
        <w:t xml:space="preserve">. That of the mason, John </w:t>
      </w:r>
      <w:proofErr w:type="spellStart"/>
      <w:r w:rsidR="008558BC">
        <w:rPr>
          <w:rFonts w:ascii="Times New Roman" w:eastAsia="Times New Roman" w:hAnsi="Times New Roman" w:cs="Times New Roman"/>
          <w:color w:val="000000"/>
          <w:sz w:val="24"/>
          <w:szCs w:val="24"/>
          <w:lang w:eastAsia="en-GB"/>
        </w:rPr>
        <w:t>Cadeby</w:t>
      </w:r>
      <w:proofErr w:type="spellEnd"/>
      <w:r w:rsidR="008558BC">
        <w:rPr>
          <w:rFonts w:ascii="Times New Roman" w:eastAsia="Times New Roman" w:hAnsi="Times New Roman" w:cs="Times New Roman"/>
          <w:color w:val="000000"/>
          <w:sz w:val="24"/>
          <w:szCs w:val="24"/>
          <w:lang w:eastAsia="en-GB"/>
        </w:rPr>
        <w:t xml:space="preserve"> </w:t>
      </w:r>
      <w:r w:rsidR="00A05895">
        <w:rPr>
          <w:rFonts w:ascii="Times New Roman" w:eastAsia="Times New Roman" w:hAnsi="Times New Roman" w:cs="Times New Roman"/>
          <w:color w:val="000000"/>
          <w:sz w:val="24"/>
          <w:szCs w:val="24"/>
          <w:lang w:eastAsia="en-GB"/>
        </w:rPr>
        <w:t>included chickens</w:t>
      </w:r>
      <w:r w:rsidR="009E169C">
        <w:rPr>
          <w:rFonts w:ascii="Times New Roman" w:eastAsia="Times New Roman" w:hAnsi="Times New Roman" w:cs="Times New Roman"/>
          <w:color w:val="000000"/>
          <w:sz w:val="24"/>
          <w:szCs w:val="24"/>
          <w:lang w:eastAsia="en-GB"/>
        </w:rPr>
        <w:t xml:space="preserve"> and ducks, but also</w:t>
      </w:r>
      <w:r w:rsidR="00A05895">
        <w:rPr>
          <w:rFonts w:ascii="Times New Roman" w:eastAsia="Times New Roman" w:hAnsi="Times New Roman" w:cs="Times New Roman"/>
          <w:color w:val="000000"/>
          <w:sz w:val="24"/>
          <w:szCs w:val="24"/>
          <w:lang w:eastAsia="en-GB"/>
        </w:rPr>
        <w:t xml:space="preserve"> tables and trestles which might suggest its use as an outdoor seating area for the retail of ale since </w:t>
      </w:r>
      <w:proofErr w:type="spellStart"/>
      <w:r w:rsidR="00A05895">
        <w:rPr>
          <w:rFonts w:ascii="Times New Roman" w:eastAsia="Times New Roman" w:hAnsi="Times New Roman" w:cs="Times New Roman"/>
          <w:color w:val="000000"/>
          <w:sz w:val="24"/>
          <w:szCs w:val="24"/>
          <w:lang w:eastAsia="en-GB"/>
        </w:rPr>
        <w:t>Cadeby</w:t>
      </w:r>
      <w:proofErr w:type="spellEnd"/>
      <w:r w:rsidR="00A05895">
        <w:rPr>
          <w:rFonts w:ascii="Times New Roman" w:eastAsia="Times New Roman" w:hAnsi="Times New Roman" w:cs="Times New Roman"/>
          <w:color w:val="000000"/>
          <w:sz w:val="24"/>
          <w:szCs w:val="24"/>
          <w:lang w:eastAsia="en-GB"/>
        </w:rPr>
        <w:t>, or more probably his wife</w:t>
      </w:r>
      <w:r w:rsidR="009E169C">
        <w:rPr>
          <w:rFonts w:ascii="Times New Roman" w:eastAsia="Times New Roman" w:hAnsi="Times New Roman" w:cs="Times New Roman"/>
          <w:color w:val="000000"/>
          <w:sz w:val="24"/>
          <w:szCs w:val="24"/>
          <w:lang w:eastAsia="en-GB"/>
        </w:rPr>
        <w:t>, engaged in large-</w:t>
      </w:r>
      <w:r w:rsidR="00A05895">
        <w:rPr>
          <w:rFonts w:ascii="Times New Roman" w:eastAsia="Times New Roman" w:hAnsi="Times New Roman" w:cs="Times New Roman"/>
          <w:color w:val="000000"/>
          <w:sz w:val="24"/>
          <w:szCs w:val="24"/>
          <w:lang w:eastAsia="en-GB"/>
        </w:rPr>
        <w:t>scale</w:t>
      </w:r>
      <w:r w:rsidR="009E169C" w:rsidRPr="009E169C">
        <w:rPr>
          <w:rFonts w:ascii="Times New Roman" w:eastAsia="Times New Roman" w:hAnsi="Times New Roman" w:cs="Times New Roman"/>
          <w:color w:val="000000"/>
          <w:sz w:val="24"/>
          <w:szCs w:val="24"/>
          <w:lang w:eastAsia="en-GB"/>
        </w:rPr>
        <w:t xml:space="preserve"> </w:t>
      </w:r>
      <w:r w:rsidR="009E169C">
        <w:rPr>
          <w:rFonts w:ascii="Times New Roman" w:eastAsia="Times New Roman" w:hAnsi="Times New Roman" w:cs="Times New Roman"/>
          <w:color w:val="000000"/>
          <w:sz w:val="24"/>
          <w:szCs w:val="24"/>
          <w:lang w:eastAsia="en-GB"/>
        </w:rPr>
        <w:t>brewing</w:t>
      </w:r>
      <w:r w:rsidR="00E01745">
        <w:rPr>
          <w:rFonts w:ascii="Times New Roman" w:eastAsia="Times New Roman" w:hAnsi="Times New Roman" w:cs="Times New Roman"/>
          <w:color w:val="000000"/>
          <w:sz w:val="24"/>
          <w:szCs w:val="24"/>
          <w:lang w:eastAsia="en-GB"/>
        </w:rPr>
        <w:t>.</w:t>
      </w:r>
      <w:r w:rsidR="00E01745">
        <w:rPr>
          <w:rStyle w:val="FootnoteReference"/>
          <w:rFonts w:ascii="Times New Roman" w:eastAsia="Times New Roman" w:hAnsi="Times New Roman" w:cs="Times New Roman"/>
          <w:color w:val="000000"/>
          <w:sz w:val="24"/>
          <w:szCs w:val="24"/>
          <w:lang w:eastAsia="en-GB"/>
        </w:rPr>
        <w:footnoteReference w:id="15"/>
      </w:r>
      <w:r w:rsidR="00E01745">
        <w:rPr>
          <w:rFonts w:ascii="Times New Roman" w:eastAsia="Times New Roman" w:hAnsi="Times New Roman" w:cs="Times New Roman"/>
          <w:color w:val="000000"/>
          <w:sz w:val="24"/>
          <w:szCs w:val="24"/>
          <w:lang w:eastAsia="en-GB"/>
        </w:rPr>
        <w:t xml:space="preserve"> </w:t>
      </w:r>
      <w:r w:rsidR="001679DF">
        <w:rPr>
          <w:rFonts w:ascii="Times New Roman" w:eastAsia="Times New Roman" w:hAnsi="Times New Roman" w:cs="Times New Roman"/>
          <w:color w:val="000000"/>
          <w:sz w:val="24"/>
          <w:szCs w:val="24"/>
          <w:lang w:eastAsia="en-GB"/>
        </w:rPr>
        <w:t xml:space="preserve">Ducks and chickens are listed </w:t>
      </w:r>
      <w:r w:rsidR="009E169C">
        <w:rPr>
          <w:rFonts w:ascii="Times New Roman" w:eastAsia="Times New Roman" w:hAnsi="Times New Roman" w:cs="Times New Roman"/>
          <w:color w:val="000000"/>
          <w:sz w:val="24"/>
          <w:szCs w:val="24"/>
          <w:lang w:eastAsia="en-GB"/>
        </w:rPr>
        <w:t>in</w:t>
      </w:r>
      <w:r w:rsidR="001679DF">
        <w:rPr>
          <w:rFonts w:ascii="Times New Roman" w:eastAsia="Times New Roman" w:hAnsi="Times New Roman" w:cs="Times New Roman"/>
          <w:color w:val="000000"/>
          <w:sz w:val="24"/>
          <w:szCs w:val="24"/>
          <w:lang w:eastAsia="en-GB"/>
        </w:rPr>
        <w:t xml:space="preserve"> </w:t>
      </w:r>
      <w:r w:rsidR="009E169C">
        <w:rPr>
          <w:rFonts w:ascii="Times New Roman" w:eastAsia="Times New Roman" w:hAnsi="Times New Roman" w:cs="Times New Roman"/>
          <w:color w:val="000000"/>
          <w:sz w:val="24"/>
          <w:szCs w:val="24"/>
          <w:lang w:eastAsia="en-GB"/>
        </w:rPr>
        <w:t>kitchen entries of</w:t>
      </w:r>
      <w:r w:rsidR="00BD5E15">
        <w:rPr>
          <w:rFonts w:ascii="Times New Roman" w:eastAsia="Times New Roman" w:hAnsi="Times New Roman" w:cs="Times New Roman"/>
          <w:color w:val="000000"/>
          <w:sz w:val="24"/>
          <w:szCs w:val="24"/>
          <w:lang w:eastAsia="en-GB"/>
        </w:rPr>
        <w:t xml:space="preserve"> the inventories</w:t>
      </w:r>
      <w:r w:rsidR="001679DF">
        <w:rPr>
          <w:rFonts w:ascii="Times New Roman" w:eastAsia="Times New Roman" w:hAnsi="Times New Roman" w:cs="Times New Roman"/>
          <w:color w:val="000000"/>
          <w:sz w:val="24"/>
          <w:szCs w:val="24"/>
          <w:lang w:eastAsia="en-GB"/>
        </w:rPr>
        <w:t xml:space="preserve"> of the York mason</w:t>
      </w:r>
      <w:r w:rsidR="00BD5E15">
        <w:rPr>
          <w:rFonts w:ascii="Times New Roman" w:eastAsia="Times New Roman" w:hAnsi="Times New Roman" w:cs="Times New Roman"/>
          <w:color w:val="000000"/>
          <w:sz w:val="24"/>
          <w:szCs w:val="24"/>
          <w:lang w:eastAsia="en-GB"/>
        </w:rPr>
        <w:t>s</w:t>
      </w:r>
      <w:r w:rsidR="001679DF">
        <w:rPr>
          <w:rFonts w:ascii="Times New Roman" w:eastAsia="Times New Roman" w:hAnsi="Times New Roman" w:cs="Times New Roman"/>
          <w:color w:val="000000"/>
          <w:sz w:val="24"/>
          <w:szCs w:val="24"/>
          <w:lang w:eastAsia="en-GB"/>
        </w:rPr>
        <w:t xml:space="preserve">, Robert de </w:t>
      </w:r>
      <w:proofErr w:type="spellStart"/>
      <w:r w:rsidR="001679DF">
        <w:rPr>
          <w:rFonts w:ascii="Times New Roman" w:eastAsia="Times New Roman" w:hAnsi="Times New Roman" w:cs="Times New Roman"/>
          <w:color w:val="000000"/>
          <w:sz w:val="24"/>
          <w:szCs w:val="24"/>
          <w:lang w:eastAsia="en-GB"/>
        </w:rPr>
        <w:t>Crackall</w:t>
      </w:r>
      <w:proofErr w:type="spellEnd"/>
      <w:r w:rsidR="00BD5E15">
        <w:rPr>
          <w:rFonts w:ascii="Times New Roman" w:eastAsia="Times New Roman" w:hAnsi="Times New Roman" w:cs="Times New Roman"/>
          <w:color w:val="000000"/>
          <w:sz w:val="24"/>
          <w:szCs w:val="24"/>
          <w:lang w:eastAsia="en-GB"/>
        </w:rPr>
        <w:t xml:space="preserve"> and Hugh Grantham. Grantham also had a cow and calf so listed.</w:t>
      </w:r>
      <w:r w:rsidR="00A05895">
        <w:rPr>
          <w:rFonts w:ascii="Times New Roman" w:eastAsia="Times New Roman" w:hAnsi="Times New Roman" w:cs="Times New Roman"/>
          <w:color w:val="000000"/>
          <w:sz w:val="24"/>
          <w:szCs w:val="24"/>
          <w:lang w:eastAsia="en-GB"/>
        </w:rPr>
        <w:t xml:space="preserve"> </w:t>
      </w:r>
      <w:r w:rsidR="00BD5E15">
        <w:rPr>
          <w:rFonts w:ascii="Times New Roman" w:eastAsia="Times New Roman" w:hAnsi="Times New Roman" w:cs="Times New Roman"/>
          <w:color w:val="000000"/>
          <w:sz w:val="24"/>
          <w:szCs w:val="24"/>
          <w:lang w:eastAsia="en-GB"/>
        </w:rPr>
        <w:t>S</w:t>
      </w:r>
      <w:r w:rsidR="00CB7E7F">
        <w:rPr>
          <w:rFonts w:ascii="Times New Roman" w:eastAsia="Times New Roman" w:hAnsi="Times New Roman" w:cs="Times New Roman"/>
          <w:color w:val="000000"/>
          <w:sz w:val="24"/>
          <w:szCs w:val="24"/>
          <w:lang w:eastAsia="en-GB"/>
        </w:rPr>
        <w:t xml:space="preserve">everal </w:t>
      </w:r>
      <w:r w:rsidR="001679DF">
        <w:rPr>
          <w:rFonts w:ascii="Times New Roman" w:eastAsia="Times New Roman" w:hAnsi="Times New Roman" w:cs="Times New Roman"/>
          <w:color w:val="000000"/>
          <w:sz w:val="24"/>
          <w:szCs w:val="24"/>
          <w:lang w:eastAsia="en-GB"/>
        </w:rPr>
        <w:t>inventories list</w:t>
      </w:r>
      <w:r w:rsidR="00CB7E7F">
        <w:rPr>
          <w:rFonts w:ascii="Times New Roman" w:eastAsia="Times New Roman" w:hAnsi="Times New Roman" w:cs="Times New Roman"/>
          <w:color w:val="000000"/>
          <w:sz w:val="24"/>
          <w:szCs w:val="24"/>
          <w:lang w:eastAsia="en-GB"/>
        </w:rPr>
        <w:t xml:space="preserve"> stables and horses</w:t>
      </w:r>
      <w:r w:rsidR="000B0CB2">
        <w:rPr>
          <w:rFonts w:ascii="Times New Roman" w:eastAsia="Times New Roman" w:hAnsi="Times New Roman" w:cs="Times New Roman"/>
          <w:color w:val="000000"/>
          <w:sz w:val="24"/>
          <w:szCs w:val="24"/>
          <w:lang w:eastAsia="en-GB"/>
        </w:rPr>
        <w:t>, the primary means of transport for those with sufficient means</w:t>
      </w:r>
      <w:r w:rsidR="00CB7E7F">
        <w:rPr>
          <w:rFonts w:ascii="Times New Roman" w:eastAsia="Times New Roman" w:hAnsi="Times New Roman" w:cs="Times New Roman"/>
          <w:color w:val="000000"/>
          <w:sz w:val="24"/>
          <w:szCs w:val="24"/>
          <w:lang w:eastAsia="en-GB"/>
        </w:rPr>
        <w:t xml:space="preserve">. </w:t>
      </w:r>
      <w:proofErr w:type="spellStart"/>
      <w:r w:rsidR="009E169C">
        <w:rPr>
          <w:rFonts w:ascii="Times New Roman" w:eastAsia="Times New Roman" w:hAnsi="Times New Roman" w:cs="Times New Roman"/>
          <w:color w:val="000000"/>
          <w:sz w:val="24"/>
          <w:szCs w:val="24"/>
          <w:lang w:eastAsia="en-GB"/>
        </w:rPr>
        <w:t>B</w:t>
      </w:r>
      <w:r w:rsidR="000B0CB2">
        <w:rPr>
          <w:rFonts w:ascii="Times New Roman" w:eastAsia="Times New Roman" w:hAnsi="Times New Roman" w:cs="Times New Roman"/>
          <w:color w:val="000000"/>
          <w:sz w:val="24"/>
          <w:szCs w:val="24"/>
          <w:lang w:eastAsia="en-GB"/>
        </w:rPr>
        <w:t>urgage</w:t>
      </w:r>
      <w:proofErr w:type="spellEnd"/>
      <w:r w:rsidR="000B0CB2">
        <w:rPr>
          <w:rFonts w:ascii="Times New Roman" w:eastAsia="Times New Roman" w:hAnsi="Times New Roman" w:cs="Times New Roman"/>
          <w:color w:val="000000"/>
          <w:sz w:val="24"/>
          <w:szCs w:val="24"/>
          <w:lang w:eastAsia="en-GB"/>
        </w:rPr>
        <w:t xml:space="preserve"> plots </w:t>
      </w:r>
      <w:r w:rsidR="009E169C">
        <w:rPr>
          <w:rFonts w:ascii="Times New Roman" w:eastAsia="Times New Roman" w:hAnsi="Times New Roman" w:cs="Times New Roman"/>
          <w:color w:val="000000"/>
          <w:sz w:val="24"/>
          <w:szCs w:val="24"/>
          <w:lang w:eastAsia="en-GB"/>
        </w:rPr>
        <w:t xml:space="preserve">perhaps </w:t>
      </w:r>
      <w:r w:rsidR="000B0CB2">
        <w:rPr>
          <w:rFonts w:ascii="Times New Roman" w:eastAsia="Times New Roman" w:hAnsi="Times New Roman" w:cs="Times New Roman"/>
          <w:color w:val="000000"/>
          <w:sz w:val="24"/>
          <w:szCs w:val="24"/>
          <w:lang w:eastAsia="en-GB"/>
        </w:rPr>
        <w:t xml:space="preserve">provided </w:t>
      </w:r>
      <w:r w:rsidR="009E169C">
        <w:rPr>
          <w:rFonts w:ascii="Times New Roman" w:eastAsia="Times New Roman" w:hAnsi="Times New Roman" w:cs="Times New Roman"/>
          <w:color w:val="000000"/>
          <w:sz w:val="24"/>
          <w:szCs w:val="24"/>
          <w:lang w:eastAsia="en-GB"/>
        </w:rPr>
        <w:t xml:space="preserve">space </w:t>
      </w:r>
      <w:r w:rsidR="000B0CB2">
        <w:rPr>
          <w:rFonts w:ascii="Times New Roman" w:eastAsia="Times New Roman" w:hAnsi="Times New Roman" w:cs="Times New Roman"/>
          <w:color w:val="000000"/>
          <w:sz w:val="24"/>
          <w:szCs w:val="24"/>
          <w:lang w:eastAsia="en-GB"/>
        </w:rPr>
        <w:t xml:space="preserve">located to the rear of houses </w:t>
      </w:r>
      <w:r w:rsidR="009E169C">
        <w:rPr>
          <w:rFonts w:ascii="Times New Roman" w:eastAsia="Times New Roman" w:hAnsi="Times New Roman" w:cs="Times New Roman"/>
          <w:color w:val="000000"/>
          <w:sz w:val="24"/>
          <w:szCs w:val="24"/>
          <w:lang w:eastAsia="en-GB"/>
        </w:rPr>
        <w:t xml:space="preserve">that </w:t>
      </w:r>
      <w:r w:rsidR="000B0CB2">
        <w:rPr>
          <w:rFonts w:ascii="Times New Roman" w:eastAsia="Times New Roman" w:hAnsi="Times New Roman" w:cs="Times New Roman"/>
          <w:color w:val="000000"/>
          <w:sz w:val="24"/>
          <w:szCs w:val="24"/>
          <w:lang w:eastAsia="en-GB"/>
        </w:rPr>
        <w:t>m</w:t>
      </w:r>
      <w:r w:rsidR="009E169C">
        <w:rPr>
          <w:rFonts w:ascii="Times New Roman" w:eastAsia="Times New Roman" w:hAnsi="Times New Roman" w:cs="Times New Roman"/>
          <w:color w:val="000000"/>
          <w:sz w:val="24"/>
          <w:szCs w:val="24"/>
          <w:lang w:eastAsia="en-GB"/>
        </w:rPr>
        <w:t>ight have been used</w:t>
      </w:r>
      <w:r w:rsidR="000B0CB2">
        <w:rPr>
          <w:rFonts w:ascii="Times New Roman" w:eastAsia="Times New Roman" w:hAnsi="Times New Roman" w:cs="Times New Roman"/>
          <w:color w:val="000000"/>
          <w:sz w:val="24"/>
          <w:szCs w:val="24"/>
          <w:lang w:eastAsia="en-GB"/>
        </w:rPr>
        <w:t xml:space="preserve"> for grazing. </w:t>
      </w:r>
      <w:r w:rsidR="009E169C">
        <w:rPr>
          <w:rFonts w:ascii="Times New Roman" w:eastAsia="Times New Roman" w:hAnsi="Times New Roman" w:cs="Times New Roman"/>
          <w:color w:val="000000"/>
          <w:sz w:val="24"/>
          <w:szCs w:val="24"/>
          <w:lang w:eastAsia="en-GB"/>
        </w:rPr>
        <w:t xml:space="preserve">John </w:t>
      </w:r>
      <w:proofErr w:type="spellStart"/>
      <w:r w:rsidR="009E169C">
        <w:rPr>
          <w:rFonts w:ascii="Times New Roman" w:eastAsia="Times New Roman" w:hAnsi="Times New Roman" w:cs="Times New Roman"/>
          <w:color w:val="000000"/>
          <w:sz w:val="24"/>
          <w:szCs w:val="24"/>
          <w:lang w:eastAsia="en-GB"/>
        </w:rPr>
        <w:t>Stubbes</w:t>
      </w:r>
      <w:proofErr w:type="spellEnd"/>
      <w:r w:rsidR="009E169C">
        <w:rPr>
          <w:rFonts w:ascii="Times New Roman" w:eastAsia="Times New Roman" w:hAnsi="Times New Roman" w:cs="Times New Roman"/>
          <w:color w:val="000000"/>
          <w:sz w:val="24"/>
          <w:szCs w:val="24"/>
          <w:lang w:eastAsia="en-GB"/>
        </w:rPr>
        <w:t xml:space="preserve">, a </w:t>
      </w:r>
      <w:r w:rsidR="00A821FC">
        <w:rPr>
          <w:rFonts w:ascii="Times New Roman" w:eastAsia="Times New Roman" w:hAnsi="Times New Roman" w:cs="Times New Roman"/>
          <w:color w:val="000000"/>
          <w:sz w:val="24"/>
          <w:szCs w:val="24"/>
          <w:lang w:eastAsia="en-GB"/>
        </w:rPr>
        <w:t xml:space="preserve">singularly prosperous barber, kept a cow in addition to a horse, both itemised </w:t>
      </w:r>
      <w:r w:rsidR="009E169C">
        <w:rPr>
          <w:rFonts w:ascii="Times New Roman" w:eastAsia="Times New Roman" w:hAnsi="Times New Roman" w:cs="Times New Roman"/>
          <w:color w:val="000000"/>
          <w:sz w:val="24"/>
          <w:szCs w:val="24"/>
          <w:lang w:eastAsia="en-GB"/>
        </w:rPr>
        <w:t xml:space="preserve">under the heading of stable. </w:t>
      </w:r>
      <w:r w:rsidR="00A821FC">
        <w:rPr>
          <w:rFonts w:ascii="Times New Roman" w:eastAsia="Times New Roman" w:hAnsi="Times New Roman" w:cs="Times New Roman"/>
          <w:color w:val="000000"/>
          <w:sz w:val="24"/>
          <w:szCs w:val="24"/>
          <w:lang w:eastAsia="en-GB"/>
        </w:rPr>
        <w:t xml:space="preserve">William </w:t>
      </w:r>
      <w:proofErr w:type="spellStart"/>
      <w:r w:rsidR="00A821FC">
        <w:rPr>
          <w:rFonts w:ascii="Times New Roman" w:eastAsia="Times New Roman" w:hAnsi="Times New Roman" w:cs="Times New Roman"/>
          <w:color w:val="000000"/>
          <w:sz w:val="24"/>
          <w:szCs w:val="24"/>
          <w:lang w:eastAsia="en-GB"/>
        </w:rPr>
        <w:t>Coltman</w:t>
      </w:r>
      <w:proofErr w:type="spellEnd"/>
      <w:r w:rsidR="00A821FC">
        <w:rPr>
          <w:rFonts w:ascii="Times New Roman" w:eastAsia="Times New Roman" w:hAnsi="Times New Roman" w:cs="Times New Roman"/>
          <w:color w:val="000000"/>
          <w:sz w:val="24"/>
          <w:szCs w:val="24"/>
          <w:lang w:eastAsia="en-GB"/>
        </w:rPr>
        <w:t>, brewer, likewise possessed a cow, but apparently no horse, in association with a stable</w:t>
      </w:r>
      <w:r w:rsidR="000B51D8">
        <w:rPr>
          <w:rFonts w:ascii="Times New Roman" w:eastAsia="Times New Roman" w:hAnsi="Times New Roman" w:cs="Times New Roman"/>
          <w:color w:val="000000"/>
          <w:sz w:val="24"/>
          <w:szCs w:val="24"/>
          <w:lang w:eastAsia="en-GB"/>
        </w:rPr>
        <w:t xml:space="preserve">. Thomas </w:t>
      </w:r>
      <w:proofErr w:type="spellStart"/>
      <w:r w:rsidR="000B51D8">
        <w:rPr>
          <w:rFonts w:ascii="Times New Roman" w:eastAsia="Times New Roman" w:hAnsi="Times New Roman" w:cs="Times New Roman"/>
          <w:color w:val="000000"/>
          <w:sz w:val="24"/>
          <w:szCs w:val="24"/>
          <w:lang w:eastAsia="en-GB"/>
        </w:rPr>
        <w:t>Ovedo’s</w:t>
      </w:r>
      <w:proofErr w:type="spellEnd"/>
      <w:r w:rsidR="000B51D8">
        <w:rPr>
          <w:rFonts w:ascii="Times New Roman" w:eastAsia="Times New Roman" w:hAnsi="Times New Roman" w:cs="Times New Roman"/>
          <w:color w:val="000000"/>
          <w:sz w:val="24"/>
          <w:szCs w:val="24"/>
          <w:lang w:eastAsia="en-GB"/>
        </w:rPr>
        <w:t xml:space="preserve"> inventory has lost its headings, but a cow and probably a horse were listed in what was presumably a stable</w:t>
      </w:r>
      <w:r w:rsidR="00A821FC">
        <w:rPr>
          <w:rFonts w:ascii="Times New Roman" w:eastAsia="Times New Roman" w:hAnsi="Times New Roman" w:cs="Times New Roman"/>
          <w:color w:val="000000"/>
          <w:sz w:val="24"/>
          <w:szCs w:val="24"/>
          <w:lang w:eastAsia="en-GB"/>
        </w:rPr>
        <w:t>.</w:t>
      </w:r>
      <w:r w:rsidR="00A821FC">
        <w:rPr>
          <w:rStyle w:val="FootnoteReference"/>
          <w:rFonts w:ascii="Times New Roman" w:eastAsia="Times New Roman" w:hAnsi="Times New Roman" w:cs="Times New Roman"/>
          <w:color w:val="000000"/>
          <w:sz w:val="24"/>
          <w:szCs w:val="24"/>
          <w:lang w:eastAsia="en-GB"/>
        </w:rPr>
        <w:footnoteReference w:id="16"/>
      </w:r>
    </w:p>
    <w:p w14:paraId="2EE33404" w14:textId="1809BF51" w:rsidR="00D24DB5" w:rsidRDefault="007A3EF9" w:rsidP="004D2D09">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w:t>
      </w:r>
      <w:r w:rsidR="004839BB">
        <w:rPr>
          <w:rFonts w:ascii="Times New Roman" w:eastAsia="Times New Roman" w:hAnsi="Times New Roman" w:cs="Times New Roman"/>
          <w:color w:val="000000"/>
          <w:sz w:val="24"/>
          <w:szCs w:val="24"/>
          <w:lang w:eastAsia="en-GB"/>
        </w:rPr>
        <w:t xml:space="preserve">other space </w:t>
      </w:r>
      <w:r>
        <w:rPr>
          <w:rFonts w:ascii="Times New Roman" w:eastAsia="Times New Roman" w:hAnsi="Times New Roman" w:cs="Times New Roman"/>
          <w:color w:val="000000"/>
          <w:sz w:val="24"/>
          <w:szCs w:val="24"/>
          <w:lang w:eastAsia="en-GB"/>
        </w:rPr>
        <w:t>common to most artisanal houses is the shop or workshop.</w:t>
      </w:r>
      <w:r w:rsidR="003349B1">
        <w:rPr>
          <w:rStyle w:val="FootnoteReference"/>
          <w:rFonts w:ascii="Times New Roman" w:eastAsia="Times New Roman" w:hAnsi="Times New Roman" w:cs="Times New Roman"/>
          <w:color w:val="000000"/>
          <w:sz w:val="24"/>
          <w:szCs w:val="24"/>
          <w:lang w:eastAsia="en-GB"/>
        </w:rPr>
        <w:footnoteReference w:id="17"/>
      </w:r>
      <w:r>
        <w:rPr>
          <w:rFonts w:ascii="Times New Roman" w:eastAsia="Times New Roman" w:hAnsi="Times New Roman" w:cs="Times New Roman"/>
          <w:color w:val="000000"/>
          <w:sz w:val="24"/>
          <w:szCs w:val="24"/>
          <w:lang w:eastAsia="en-GB"/>
        </w:rPr>
        <w:t xml:space="preserve"> </w:t>
      </w:r>
      <w:r w:rsidR="007B453B">
        <w:rPr>
          <w:rFonts w:ascii="Times New Roman" w:eastAsia="Times New Roman" w:hAnsi="Times New Roman" w:cs="Times New Roman"/>
          <w:color w:val="000000"/>
          <w:sz w:val="24"/>
          <w:szCs w:val="24"/>
          <w:lang w:eastAsia="en-GB"/>
        </w:rPr>
        <w:t xml:space="preserve">This may often have represented an extension of the hall and the demarcation between the two may </w:t>
      </w:r>
      <w:r w:rsidR="007B453B">
        <w:rPr>
          <w:rFonts w:ascii="Times New Roman" w:eastAsia="Times New Roman" w:hAnsi="Times New Roman" w:cs="Times New Roman"/>
          <w:color w:val="000000"/>
          <w:sz w:val="24"/>
          <w:szCs w:val="24"/>
          <w:lang w:eastAsia="en-GB"/>
        </w:rPr>
        <w:lastRenderedPageBreak/>
        <w:t>often have been slight.</w:t>
      </w:r>
      <w:r w:rsidR="007B453B">
        <w:rPr>
          <w:rStyle w:val="FootnoteReference"/>
          <w:rFonts w:ascii="Times New Roman" w:eastAsia="Times New Roman" w:hAnsi="Times New Roman" w:cs="Times New Roman"/>
          <w:color w:val="000000"/>
          <w:sz w:val="24"/>
          <w:szCs w:val="24"/>
          <w:lang w:eastAsia="en-GB"/>
        </w:rPr>
        <w:footnoteReference w:id="18"/>
      </w:r>
      <w:r w:rsidR="007B453B">
        <w:rPr>
          <w:rFonts w:ascii="Times New Roman" w:eastAsia="Times New Roman" w:hAnsi="Times New Roman" w:cs="Times New Roman"/>
          <w:color w:val="000000"/>
          <w:sz w:val="24"/>
          <w:szCs w:val="24"/>
          <w:lang w:eastAsia="en-GB"/>
        </w:rPr>
        <w:t xml:space="preserve"> </w:t>
      </w:r>
      <w:r w:rsidRPr="007B453B">
        <w:rPr>
          <w:rFonts w:ascii="Times New Roman" w:eastAsia="Times New Roman" w:hAnsi="Times New Roman" w:cs="Times New Roman"/>
          <w:color w:val="000000"/>
          <w:sz w:val="24"/>
          <w:szCs w:val="24"/>
          <w:lang w:eastAsia="en-GB"/>
        </w:rPr>
        <w:t>The</w:t>
      </w:r>
      <w:r>
        <w:rPr>
          <w:rFonts w:ascii="Times New Roman" w:eastAsia="Times New Roman" w:hAnsi="Times New Roman" w:cs="Times New Roman"/>
          <w:color w:val="000000"/>
          <w:sz w:val="24"/>
          <w:szCs w:val="24"/>
          <w:lang w:eastAsia="en-GB"/>
        </w:rPr>
        <w:t xml:space="preserve"> remain</w:t>
      </w:r>
      <w:r w:rsidR="007B453B">
        <w:rPr>
          <w:rFonts w:ascii="Times New Roman" w:eastAsia="Times New Roman" w:hAnsi="Times New Roman" w:cs="Times New Roman"/>
          <w:color w:val="000000"/>
          <w:sz w:val="24"/>
          <w:szCs w:val="24"/>
          <w:lang w:eastAsia="en-GB"/>
        </w:rPr>
        <w:t xml:space="preserve">s of original shopfronts </w:t>
      </w:r>
      <w:r w:rsidR="00BC25F1">
        <w:rPr>
          <w:rFonts w:ascii="Times New Roman" w:eastAsia="Times New Roman" w:hAnsi="Times New Roman" w:cs="Times New Roman"/>
          <w:color w:val="000000"/>
          <w:sz w:val="24"/>
          <w:szCs w:val="24"/>
          <w:lang w:eastAsia="en-GB"/>
        </w:rPr>
        <w:t>survive on several</w:t>
      </w:r>
      <w:r>
        <w:rPr>
          <w:rFonts w:ascii="Times New Roman" w:eastAsia="Times New Roman" w:hAnsi="Times New Roman" w:cs="Times New Roman"/>
          <w:color w:val="000000"/>
          <w:sz w:val="24"/>
          <w:szCs w:val="24"/>
          <w:lang w:eastAsia="en-GB"/>
        </w:rPr>
        <w:t xml:space="preserve"> former butchers’ houses down York’s Shambles. </w:t>
      </w:r>
      <w:r w:rsidR="002D0E45">
        <w:rPr>
          <w:rFonts w:ascii="Times New Roman" w:eastAsia="Times New Roman" w:hAnsi="Times New Roman" w:cs="Times New Roman"/>
          <w:color w:val="000000"/>
          <w:sz w:val="24"/>
          <w:szCs w:val="24"/>
          <w:lang w:eastAsia="en-GB"/>
        </w:rPr>
        <w:t>Shops ar</w:t>
      </w:r>
      <w:r w:rsidR="004839BB">
        <w:rPr>
          <w:rFonts w:ascii="Times New Roman" w:eastAsia="Times New Roman" w:hAnsi="Times New Roman" w:cs="Times New Roman"/>
          <w:color w:val="000000"/>
          <w:sz w:val="24"/>
          <w:szCs w:val="24"/>
          <w:lang w:eastAsia="en-GB"/>
        </w:rPr>
        <w:t xml:space="preserve">e described in the </w:t>
      </w:r>
      <w:r w:rsidR="002D0E45">
        <w:rPr>
          <w:rFonts w:ascii="Times New Roman" w:eastAsia="Times New Roman" w:hAnsi="Times New Roman" w:cs="Times New Roman"/>
          <w:color w:val="000000"/>
          <w:sz w:val="24"/>
          <w:szCs w:val="24"/>
          <w:lang w:eastAsia="en-GB"/>
        </w:rPr>
        <w:t>inventories of a b</w:t>
      </w:r>
      <w:r w:rsidR="00FD59E3">
        <w:rPr>
          <w:rFonts w:ascii="Times New Roman" w:eastAsia="Times New Roman" w:hAnsi="Times New Roman" w:cs="Times New Roman"/>
          <w:color w:val="000000"/>
          <w:sz w:val="24"/>
          <w:szCs w:val="24"/>
          <w:lang w:eastAsia="en-GB"/>
        </w:rPr>
        <w:t>arber</w:t>
      </w:r>
      <w:r w:rsidR="002D0E45">
        <w:rPr>
          <w:rFonts w:ascii="Times New Roman" w:eastAsia="Times New Roman" w:hAnsi="Times New Roman" w:cs="Times New Roman"/>
          <w:color w:val="000000"/>
          <w:sz w:val="24"/>
          <w:szCs w:val="24"/>
          <w:lang w:eastAsia="en-GB"/>
        </w:rPr>
        <w:t>,</w:t>
      </w:r>
      <w:r w:rsidR="00FD59E3">
        <w:rPr>
          <w:rFonts w:ascii="Times New Roman" w:eastAsia="Times New Roman" w:hAnsi="Times New Roman" w:cs="Times New Roman"/>
          <w:color w:val="000000"/>
          <w:sz w:val="24"/>
          <w:szCs w:val="24"/>
          <w:lang w:eastAsia="en-GB"/>
        </w:rPr>
        <w:t xml:space="preserve"> </w:t>
      </w:r>
      <w:r w:rsidR="002D0E45">
        <w:rPr>
          <w:rFonts w:ascii="Times New Roman" w:eastAsia="Times New Roman" w:hAnsi="Times New Roman" w:cs="Times New Roman"/>
          <w:color w:val="000000"/>
          <w:sz w:val="24"/>
          <w:szCs w:val="24"/>
          <w:lang w:eastAsia="en-GB"/>
        </w:rPr>
        <w:t>a</w:t>
      </w:r>
      <w:r w:rsidR="000E609B">
        <w:rPr>
          <w:rFonts w:ascii="Times New Roman" w:eastAsia="Times New Roman" w:hAnsi="Times New Roman" w:cs="Times New Roman"/>
          <w:color w:val="000000"/>
          <w:sz w:val="24"/>
          <w:szCs w:val="24"/>
          <w:lang w:eastAsia="en-GB"/>
        </w:rPr>
        <w:t xml:space="preserve"> girdler</w:t>
      </w:r>
      <w:r w:rsidR="002D0E45">
        <w:rPr>
          <w:rFonts w:ascii="Times New Roman" w:eastAsia="Times New Roman" w:hAnsi="Times New Roman" w:cs="Times New Roman"/>
          <w:color w:val="000000"/>
          <w:sz w:val="24"/>
          <w:szCs w:val="24"/>
          <w:lang w:eastAsia="en-GB"/>
        </w:rPr>
        <w:t>, a</w:t>
      </w:r>
      <w:r w:rsidR="000E609B">
        <w:rPr>
          <w:rFonts w:ascii="Times New Roman" w:eastAsia="Times New Roman" w:hAnsi="Times New Roman" w:cs="Times New Roman"/>
          <w:color w:val="000000"/>
          <w:sz w:val="24"/>
          <w:szCs w:val="24"/>
          <w:lang w:eastAsia="en-GB"/>
        </w:rPr>
        <w:t xml:space="preserve"> </w:t>
      </w:r>
      <w:proofErr w:type="spellStart"/>
      <w:r w:rsidR="00FD59E3">
        <w:rPr>
          <w:rFonts w:ascii="Times New Roman" w:eastAsia="Times New Roman" w:hAnsi="Times New Roman" w:cs="Times New Roman"/>
          <w:color w:val="000000"/>
          <w:sz w:val="24"/>
          <w:szCs w:val="24"/>
          <w:lang w:eastAsia="en-GB"/>
        </w:rPr>
        <w:t>pewterer</w:t>
      </w:r>
      <w:proofErr w:type="spellEnd"/>
      <w:r w:rsidR="002D0E45">
        <w:rPr>
          <w:rFonts w:ascii="Times New Roman" w:eastAsia="Times New Roman" w:hAnsi="Times New Roman" w:cs="Times New Roman"/>
          <w:color w:val="000000"/>
          <w:sz w:val="24"/>
          <w:szCs w:val="24"/>
          <w:lang w:eastAsia="en-GB"/>
        </w:rPr>
        <w:t>, a</w:t>
      </w:r>
      <w:r w:rsidR="00FD59E3">
        <w:rPr>
          <w:rFonts w:ascii="Times New Roman" w:eastAsia="Times New Roman" w:hAnsi="Times New Roman" w:cs="Times New Roman"/>
          <w:color w:val="000000"/>
          <w:sz w:val="24"/>
          <w:szCs w:val="24"/>
          <w:lang w:eastAsia="en-GB"/>
        </w:rPr>
        <w:t xml:space="preserve"> </w:t>
      </w:r>
      <w:r w:rsidR="000E609B">
        <w:rPr>
          <w:rFonts w:ascii="Times New Roman" w:eastAsia="Times New Roman" w:hAnsi="Times New Roman" w:cs="Times New Roman"/>
          <w:color w:val="000000"/>
          <w:sz w:val="24"/>
          <w:szCs w:val="24"/>
          <w:lang w:eastAsia="en-GB"/>
        </w:rPr>
        <w:t>skinner</w:t>
      </w:r>
      <w:r w:rsidR="002D0E45">
        <w:rPr>
          <w:rFonts w:ascii="Times New Roman" w:eastAsia="Times New Roman" w:hAnsi="Times New Roman" w:cs="Times New Roman"/>
          <w:color w:val="000000"/>
          <w:sz w:val="24"/>
          <w:szCs w:val="24"/>
          <w:lang w:eastAsia="en-GB"/>
        </w:rPr>
        <w:t>, a</w:t>
      </w:r>
      <w:r w:rsidR="000E609B">
        <w:rPr>
          <w:rFonts w:ascii="Times New Roman" w:eastAsia="Times New Roman" w:hAnsi="Times New Roman" w:cs="Times New Roman"/>
          <w:color w:val="000000"/>
          <w:sz w:val="24"/>
          <w:szCs w:val="24"/>
          <w:lang w:eastAsia="en-GB"/>
        </w:rPr>
        <w:t xml:space="preserve"> stringer</w:t>
      </w:r>
      <w:r w:rsidR="002D0E45">
        <w:rPr>
          <w:rFonts w:ascii="Times New Roman" w:eastAsia="Times New Roman" w:hAnsi="Times New Roman" w:cs="Times New Roman"/>
          <w:color w:val="000000"/>
          <w:sz w:val="24"/>
          <w:szCs w:val="24"/>
          <w:lang w:eastAsia="en-GB"/>
        </w:rPr>
        <w:t>, and a</w:t>
      </w:r>
      <w:r w:rsidR="00FD59E3">
        <w:rPr>
          <w:rFonts w:ascii="Times New Roman" w:eastAsia="Times New Roman" w:hAnsi="Times New Roman" w:cs="Times New Roman"/>
          <w:color w:val="000000"/>
          <w:sz w:val="24"/>
          <w:szCs w:val="24"/>
          <w:lang w:eastAsia="en-GB"/>
        </w:rPr>
        <w:t xml:space="preserve"> tailor </w:t>
      </w:r>
      <w:r w:rsidR="002D0E45">
        <w:rPr>
          <w:rFonts w:ascii="Times New Roman" w:eastAsia="Times New Roman" w:hAnsi="Times New Roman" w:cs="Times New Roman"/>
          <w:color w:val="000000"/>
          <w:sz w:val="24"/>
          <w:szCs w:val="24"/>
          <w:lang w:eastAsia="en-GB"/>
        </w:rPr>
        <w:t xml:space="preserve">respectively. </w:t>
      </w:r>
      <w:r w:rsidR="00BC25F1">
        <w:rPr>
          <w:rFonts w:ascii="Times New Roman" w:eastAsia="Times New Roman" w:hAnsi="Times New Roman" w:cs="Times New Roman"/>
          <w:color w:val="000000"/>
          <w:sz w:val="24"/>
          <w:szCs w:val="24"/>
          <w:lang w:eastAsia="en-GB"/>
        </w:rPr>
        <w:t>I</w:t>
      </w:r>
      <w:r w:rsidR="002D0E45">
        <w:rPr>
          <w:rFonts w:ascii="Times New Roman" w:eastAsia="Times New Roman" w:hAnsi="Times New Roman" w:cs="Times New Roman"/>
          <w:color w:val="000000"/>
          <w:sz w:val="24"/>
          <w:szCs w:val="24"/>
          <w:lang w:eastAsia="en-GB"/>
        </w:rPr>
        <w:t>t is likely that these served as retail spaces as well as – in most instances at le</w:t>
      </w:r>
      <w:r w:rsidR="006B09A1">
        <w:rPr>
          <w:rFonts w:ascii="Times New Roman" w:eastAsia="Times New Roman" w:hAnsi="Times New Roman" w:cs="Times New Roman"/>
          <w:color w:val="000000"/>
          <w:sz w:val="24"/>
          <w:szCs w:val="24"/>
          <w:lang w:eastAsia="en-GB"/>
        </w:rPr>
        <w:t xml:space="preserve">ast – work spaces and that they consequently would </w:t>
      </w:r>
      <w:r w:rsidR="002D0E45">
        <w:rPr>
          <w:rFonts w:ascii="Times New Roman" w:eastAsia="Times New Roman" w:hAnsi="Times New Roman" w:cs="Times New Roman"/>
          <w:color w:val="000000"/>
          <w:sz w:val="24"/>
          <w:szCs w:val="24"/>
          <w:lang w:eastAsia="en-GB"/>
        </w:rPr>
        <w:t xml:space="preserve">usually have opened onto the street. </w:t>
      </w:r>
      <w:r w:rsidR="006B09A1">
        <w:rPr>
          <w:rFonts w:ascii="Times New Roman" w:eastAsia="Times New Roman" w:hAnsi="Times New Roman" w:cs="Times New Roman"/>
          <w:color w:val="000000"/>
          <w:sz w:val="24"/>
          <w:szCs w:val="24"/>
          <w:lang w:eastAsia="en-GB"/>
        </w:rPr>
        <w:t>However,</w:t>
      </w:r>
      <w:r w:rsidR="002D0E45">
        <w:rPr>
          <w:rFonts w:ascii="Times New Roman" w:eastAsia="Times New Roman" w:hAnsi="Times New Roman" w:cs="Times New Roman"/>
          <w:color w:val="000000"/>
          <w:sz w:val="24"/>
          <w:szCs w:val="24"/>
          <w:lang w:eastAsia="en-GB"/>
        </w:rPr>
        <w:t xml:space="preserve"> the workshop listed in</w:t>
      </w:r>
      <w:r w:rsidR="006B09A1">
        <w:rPr>
          <w:rFonts w:ascii="Times New Roman" w:eastAsia="Times New Roman" w:hAnsi="Times New Roman" w:cs="Times New Roman"/>
          <w:color w:val="000000"/>
          <w:sz w:val="24"/>
          <w:szCs w:val="24"/>
          <w:lang w:eastAsia="en-GB"/>
        </w:rPr>
        <w:t xml:space="preserve">, John </w:t>
      </w:r>
      <w:proofErr w:type="spellStart"/>
      <w:r w:rsidR="006B09A1">
        <w:rPr>
          <w:rFonts w:ascii="Times New Roman" w:eastAsia="Times New Roman" w:hAnsi="Times New Roman" w:cs="Times New Roman"/>
          <w:color w:val="000000"/>
          <w:sz w:val="24"/>
          <w:szCs w:val="24"/>
          <w:lang w:eastAsia="en-GB"/>
        </w:rPr>
        <w:t>Collan</w:t>
      </w:r>
      <w:proofErr w:type="spellEnd"/>
      <w:r w:rsidR="006B09A1">
        <w:rPr>
          <w:rFonts w:ascii="Times New Roman" w:eastAsia="Times New Roman" w:hAnsi="Times New Roman" w:cs="Times New Roman"/>
          <w:color w:val="000000"/>
          <w:sz w:val="24"/>
          <w:szCs w:val="24"/>
          <w:lang w:eastAsia="en-GB"/>
        </w:rPr>
        <w:t>,</w:t>
      </w:r>
      <w:r w:rsidR="002D0E45">
        <w:rPr>
          <w:rFonts w:ascii="Times New Roman" w:eastAsia="Times New Roman" w:hAnsi="Times New Roman" w:cs="Times New Roman"/>
          <w:color w:val="000000"/>
          <w:sz w:val="24"/>
          <w:szCs w:val="24"/>
          <w:lang w:eastAsia="en-GB"/>
        </w:rPr>
        <w:t xml:space="preserve"> </w:t>
      </w:r>
      <w:r w:rsidR="006B09A1">
        <w:rPr>
          <w:rFonts w:ascii="Times New Roman" w:eastAsia="Times New Roman" w:hAnsi="Times New Roman" w:cs="Times New Roman"/>
          <w:color w:val="000000"/>
          <w:sz w:val="24"/>
          <w:szCs w:val="24"/>
          <w:lang w:eastAsia="en-GB"/>
        </w:rPr>
        <w:t xml:space="preserve">goldsmith’s </w:t>
      </w:r>
      <w:r w:rsidR="002D0E45">
        <w:rPr>
          <w:rFonts w:ascii="Times New Roman" w:eastAsia="Times New Roman" w:hAnsi="Times New Roman" w:cs="Times New Roman"/>
          <w:color w:val="000000"/>
          <w:sz w:val="24"/>
          <w:szCs w:val="24"/>
          <w:lang w:eastAsia="en-GB"/>
        </w:rPr>
        <w:t>inventory of 1490 was</w:t>
      </w:r>
      <w:r w:rsidR="006B09A1">
        <w:rPr>
          <w:rFonts w:ascii="Times New Roman" w:eastAsia="Times New Roman" w:hAnsi="Times New Roman" w:cs="Times New Roman"/>
          <w:color w:val="000000"/>
          <w:sz w:val="24"/>
          <w:szCs w:val="24"/>
          <w:lang w:eastAsia="en-GB"/>
        </w:rPr>
        <w:t xml:space="preserve"> probably not </w:t>
      </w:r>
      <w:r w:rsidR="002E70B2">
        <w:rPr>
          <w:rFonts w:ascii="Times New Roman" w:eastAsia="Times New Roman" w:hAnsi="Times New Roman" w:cs="Times New Roman"/>
          <w:color w:val="000000"/>
          <w:sz w:val="24"/>
          <w:szCs w:val="24"/>
          <w:lang w:eastAsia="en-GB"/>
        </w:rPr>
        <w:t xml:space="preserve">accessible from the street, but followed the </w:t>
      </w:r>
      <w:r w:rsidR="002E70B2" w:rsidRPr="0010666B">
        <w:rPr>
          <w:rFonts w:ascii="Times New Roman" w:eastAsia="Times New Roman" w:hAnsi="Times New Roman" w:cs="Times New Roman"/>
          <w:color w:val="000000"/>
          <w:sz w:val="24"/>
          <w:szCs w:val="24"/>
          <w:lang w:eastAsia="en-GB"/>
        </w:rPr>
        <w:t>pattern outlined by</w:t>
      </w:r>
      <w:r w:rsidR="002E70B2">
        <w:rPr>
          <w:rFonts w:ascii="Times New Roman" w:eastAsia="Times New Roman" w:hAnsi="Times New Roman" w:cs="Times New Roman"/>
          <w:color w:val="000000"/>
          <w:sz w:val="24"/>
          <w:szCs w:val="24"/>
          <w:lang w:eastAsia="en-GB"/>
        </w:rPr>
        <w:t xml:space="preserve"> </w:t>
      </w:r>
      <w:r w:rsidR="0010666B">
        <w:rPr>
          <w:rFonts w:ascii="Times New Roman" w:eastAsia="Times New Roman" w:hAnsi="Times New Roman" w:cs="Times New Roman"/>
          <w:color w:val="000000"/>
          <w:sz w:val="24"/>
          <w:szCs w:val="24"/>
          <w:lang w:eastAsia="en-GB"/>
        </w:rPr>
        <w:t xml:space="preserve">David Clark </w:t>
      </w:r>
      <w:r w:rsidR="002E70B2">
        <w:rPr>
          <w:rFonts w:ascii="Times New Roman" w:eastAsia="Times New Roman" w:hAnsi="Times New Roman" w:cs="Times New Roman"/>
          <w:color w:val="000000"/>
          <w:sz w:val="24"/>
          <w:szCs w:val="24"/>
          <w:lang w:eastAsia="en-GB"/>
        </w:rPr>
        <w:t>whereby customers</w:t>
      </w:r>
      <w:r w:rsidR="006B09A1">
        <w:rPr>
          <w:rFonts w:ascii="Times New Roman" w:eastAsia="Times New Roman" w:hAnsi="Times New Roman" w:cs="Times New Roman"/>
          <w:color w:val="000000"/>
          <w:sz w:val="24"/>
          <w:szCs w:val="24"/>
          <w:lang w:eastAsia="en-GB"/>
        </w:rPr>
        <w:t xml:space="preserve"> would be invited in</w:t>
      </w:r>
      <w:r w:rsidR="002E70B2">
        <w:rPr>
          <w:rFonts w:ascii="Times New Roman" w:eastAsia="Times New Roman" w:hAnsi="Times New Roman" w:cs="Times New Roman"/>
          <w:color w:val="000000"/>
          <w:sz w:val="24"/>
          <w:szCs w:val="24"/>
          <w:lang w:eastAsia="en-GB"/>
        </w:rPr>
        <w:t xml:space="preserve"> by arrangement</w:t>
      </w:r>
      <w:r w:rsidR="006B09A1">
        <w:rPr>
          <w:rFonts w:ascii="Times New Roman" w:eastAsia="Times New Roman" w:hAnsi="Times New Roman" w:cs="Times New Roman"/>
          <w:color w:val="000000"/>
          <w:sz w:val="24"/>
          <w:szCs w:val="24"/>
          <w:lang w:eastAsia="en-GB"/>
        </w:rPr>
        <w:t>.</w:t>
      </w:r>
      <w:r w:rsidR="00EA6BDB">
        <w:rPr>
          <w:rStyle w:val="FootnoteReference"/>
          <w:rFonts w:ascii="Times New Roman" w:eastAsia="Times New Roman" w:hAnsi="Times New Roman" w:cs="Times New Roman"/>
          <w:color w:val="000000"/>
          <w:sz w:val="24"/>
          <w:szCs w:val="24"/>
          <w:lang w:eastAsia="en-GB"/>
        </w:rPr>
        <w:footnoteReference w:id="19"/>
      </w:r>
      <w:r w:rsidR="002E70B2">
        <w:rPr>
          <w:rFonts w:ascii="Times New Roman" w:eastAsia="Times New Roman" w:hAnsi="Times New Roman" w:cs="Times New Roman"/>
          <w:color w:val="000000"/>
          <w:sz w:val="24"/>
          <w:szCs w:val="24"/>
          <w:lang w:eastAsia="en-GB"/>
        </w:rPr>
        <w:t xml:space="preserve"> </w:t>
      </w:r>
      <w:r w:rsidR="006B09A1">
        <w:rPr>
          <w:rFonts w:ascii="Times New Roman" w:eastAsia="Times New Roman" w:hAnsi="Times New Roman" w:cs="Times New Roman"/>
          <w:color w:val="000000"/>
          <w:sz w:val="24"/>
          <w:szCs w:val="24"/>
          <w:lang w:eastAsia="en-GB"/>
        </w:rPr>
        <w:t>T</w:t>
      </w:r>
      <w:r w:rsidR="007F6CF4">
        <w:rPr>
          <w:rFonts w:ascii="Times New Roman" w:eastAsia="Times New Roman" w:hAnsi="Times New Roman" w:cs="Times New Roman"/>
          <w:color w:val="000000"/>
          <w:sz w:val="24"/>
          <w:szCs w:val="24"/>
          <w:lang w:eastAsia="en-GB"/>
        </w:rPr>
        <w:t xml:space="preserve">he same was likely true of Thomas </w:t>
      </w:r>
      <w:proofErr w:type="spellStart"/>
      <w:r w:rsidR="007F6CF4">
        <w:rPr>
          <w:rFonts w:ascii="Times New Roman" w:eastAsia="Times New Roman" w:hAnsi="Times New Roman" w:cs="Times New Roman"/>
          <w:color w:val="000000"/>
          <w:sz w:val="24"/>
          <w:szCs w:val="24"/>
          <w:lang w:eastAsia="en-GB"/>
        </w:rPr>
        <w:t>Gr</w:t>
      </w:r>
      <w:r w:rsidR="006B09A1">
        <w:rPr>
          <w:rFonts w:ascii="Times New Roman" w:eastAsia="Times New Roman" w:hAnsi="Times New Roman" w:cs="Times New Roman"/>
          <w:color w:val="000000"/>
          <w:sz w:val="24"/>
          <w:szCs w:val="24"/>
          <w:lang w:eastAsia="en-GB"/>
        </w:rPr>
        <w:t>yssop</w:t>
      </w:r>
      <w:proofErr w:type="spellEnd"/>
      <w:r w:rsidR="006B09A1">
        <w:rPr>
          <w:rFonts w:ascii="Times New Roman" w:eastAsia="Times New Roman" w:hAnsi="Times New Roman" w:cs="Times New Roman"/>
          <w:color w:val="000000"/>
          <w:sz w:val="24"/>
          <w:szCs w:val="24"/>
          <w:lang w:eastAsia="en-GB"/>
        </w:rPr>
        <w:t xml:space="preserve">, described </w:t>
      </w:r>
      <w:r w:rsidR="007F6CF4">
        <w:rPr>
          <w:rFonts w:ascii="Times New Roman" w:eastAsia="Times New Roman" w:hAnsi="Times New Roman" w:cs="Times New Roman"/>
          <w:color w:val="000000"/>
          <w:sz w:val="24"/>
          <w:szCs w:val="24"/>
          <w:lang w:eastAsia="en-GB"/>
        </w:rPr>
        <w:t>as a chapman, bu</w:t>
      </w:r>
      <w:r w:rsidR="009456D1">
        <w:rPr>
          <w:rFonts w:ascii="Times New Roman" w:eastAsia="Times New Roman" w:hAnsi="Times New Roman" w:cs="Times New Roman"/>
          <w:color w:val="000000"/>
          <w:sz w:val="24"/>
          <w:szCs w:val="24"/>
          <w:lang w:eastAsia="en-GB"/>
        </w:rPr>
        <w:t xml:space="preserve">t whose voluminous stock, </w:t>
      </w:r>
      <w:r w:rsidR="007F6CF4">
        <w:rPr>
          <w:rFonts w:ascii="Times New Roman" w:eastAsia="Times New Roman" w:hAnsi="Times New Roman" w:cs="Times New Roman"/>
          <w:color w:val="000000"/>
          <w:sz w:val="24"/>
          <w:szCs w:val="24"/>
          <w:lang w:eastAsia="en-GB"/>
        </w:rPr>
        <w:t>inc</w:t>
      </w:r>
      <w:r w:rsidR="009456D1">
        <w:rPr>
          <w:rFonts w:ascii="Times New Roman" w:eastAsia="Times New Roman" w:hAnsi="Times New Roman" w:cs="Times New Roman"/>
          <w:color w:val="000000"/>
          <w:sz w:val="24"/>
          <w:szCs w:val="24"/>
          <w:lang w:eastAsia="en-GB"/>
        </w:rPr>
        <w:t>luding</w:t>
      </w:r>
      <w:r w:rsidR="00F75BBC">
        <w:rPr>
          <w:rFonts w:ascii="Times New Roman" w:eastAsia="Times New Roman" w:hAnsi="Times New Roman" w:cs="Times New Roman"/>
          <w:color w:val="000000"/>
          <w:sz w:val="24"/>
          <w:szCs w:val="24"/>
          <w:lang w:eastAsia="en-GB"/>
        </w:rPr>
        <w:t xml:space="preserve"> lengths of cloth, </w:t>
      </w:r>
      <w:r w:rsidR="007F6CF4">
        <w:rPr>
          <w:rFonts w:ascii="Times New Roman" w:eastAsia="Times New Roman" w:hAnsi="Times New Roman" w:cs="Times New Roman"/>
          <w:color w:val="000000"/>
          <w:sz w:val="24"/>
          <w:szCs w:val="24"/>
          <w:lang w:eastAsia="en-GB"/>
        </w:rPr>
        <w:t>spices, caps an</w:t>
      </w:r>
      <w:r w:rsidR="00F75BBC">
        <w:rPr>
          <w:rFonts w:ascii="Times New Roman" w:eastAsia="Times New Roman" w:hAnsi="Times New Roman" w:cs="Times New Roman"/>
          <w:color w:val="000000"/>
          <w:sz w:val="24"/>
          <w:szCs w:val="24"/>
          <w:lang w:eastAsia="en-GB"/>
        </w:rPr>
        <w:t xml:space="preserve">d bonnets, </w:t>
      </w:r>
      <w:r w:rsidR="007F6CF4">
        <w:rPr>
          <w:rFonts w:ascii="Times New Roman" w:eastAsia="Times New Roman" w:hAnsi="Times New Roman" w:cs="Times New Roman"/>
          <w:color w:val="000000"/>
          <w:sz w:val="24"/>
          <w:szCs w:val="24"/>
          <w:lang w:eastAsia="en-GB"/>
        </w:rPr>
        <w:t>gloves</w:t>
      </w:r>
      <w:r w:rsidR="003642D1">
        <w:rPr>
          <w:rFonts w:ascii="Times New Roman" w:eastAsia="Times New Roman" w:hAnsi="Times New Roman" w:cs="Times New Roman"/>
          <w:color w:val="000000"/>
          <w:sz w:val="24"/>
          <w:szCs w:val="24"/>
          <w:lang w:eastAsia="en-GB"/>
        </w:rPr>
        <w:t>, purses and the like suggests he was more akin to a merchant</w:t>
      </w:r>
      <w:r w:rsidR="008F2A3A">
        <w:rPr>
          <w:rFonts w:ascii="Times New Roman" w:eastAsia="Times New Roman" w:hAnsi="Times New Roman" w:cs="Times New Roman"/>
          <w:color w:val="000000"/>
          <w:sz w:val="24"/>
          <w:szCs w:val="24"/>
          <w:lang w:eastAsia="en-GB"/>
        </w:rPr>
        <w:t>.</w:t>
      </w:r>
      <w:r w:rsidR="008A19E5">
        <w:rPr>
          <w:rStyle w:val="FootnoteReference"/>
          <w:rFonts w:ascii="Times New Roman" w:eastAsia="Times New Roman" w:hAnsi="Times New Roman" w:cs="Times New Roman"/>
          <w:color w:val="000000"/>
          <w:sz w:val="24"/>
          <w:szCs w:val="24"/>
          <w:lang w:eastAsia="en-GB"/>
        </w:rPr>
        <w:footnoteReference w:id="20"/>
      </w:r>
      <w:r w:rsidR="008F2A3A">
        <w:rPr>
          <w:rFonts w:ascii="Times New Roman" w:eastAsia="Times New Roman" w:hAnsi="Times New Roman" w:cs="Times New Roman"/>
          <w:color w:val="000000"/>
          <w:sz w:val="24"/>
          <w:szCs w:val="24"/>
          <w:lang w:eastAsia="en-GB"/>
        </w:rPr>
        <w:t xml:space="preserve"> </w:t>
      </w:r>
    </w:p>
    <w:p w14:paraId="5D4F4F46" w14:textId="1AD8E213" w:rsidR="000E609B" w:rsidRDefault="00CB7DFB" w:rsidP="004D2D09">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John Carter</w:t>
      </w:r>
      <w:r w:rsidR="009456D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9456D1">
        <w:rPr>
          <w:rFonts w:ascii="Times New Roman" w:eastAsia="Times New Roman" w:hAnsi="Times New Roman" w:cs="Times New Roman"/>
          <w:color w:val="000000"/>
          <w:sz w:val="24"/>
          <w:szCs w:val="24"/>
          <w:lang w:eastAsia="en-GB"/>
        </w:rPr>
        <w:t>tailor’s</w:t>
      </w:r>
      <w:r w:rsidR="009456D1">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inventory describes workshops for </w:t>
      </w:r>
      <w:r w:rsidR="00F75BBC">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wester</w:t>
      </w:r>
      <w:r w:rsidR="00F75BBC">
        <w:rPr>
          <w:rFonts w:ascii="Times New Roman" w:eastAsia="Times New Roman" w:hAnsi="Times New Roman" w:cs="Times New Roman"/>
          <w:color w:val="000000"/>
          <w:sz w:val="24"/>
          <w:szCs w:val="24"/>
          <w:lang w:eastAsia="en-GB"/>
        </w:rPr>
        <w:t>n’ cloth, i.e. from</w:t>
      </w:r>
      <w:r w:rsidR="00332145">
        <w:rPr>
          <w:rFonts w:ascii="Times New Roman" w:eastAsia="Times New Roman" w:hAnsi="Times New Roman" w:cs="Times New Roman"/>
          <w:color w:val="000000"/>
          <w:sz w:val="24"/>
          <w:szCs w:val="24"/>
          <w:lang w:eastAsia="en-GB"/>
        </w:rPr>
        <w:t xml:space="preserve"> Halifax, Craven, and Kendal</w:t>
      </w:r>
      <w:r>
        <w:rPr>
          <w:rFonts w:ascii="Times New Roman" w:eastAsia="Times New Roman" w:hAnsi="Times New Roman" w:cs="Times New Roman"/>
          <w:color w:val="000000"/>
          <w:sz w:val="24"/>
          <w:szCs w:val="24"/>
          <w:lang w:eastAsia="en-GB"/>
        </w:rPr>
        <w:t xml:space="preserve">, and for </w:t>
      </w:r>
      <w:r w:rsidR="00F75BBC">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southern</w:t>
      </w:r>
      <w:r w:rsidR="00F75BBC">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cloth in addi</w:t>
      </w:r>
      <w:r w:rsidR="009456D1">
        <w:rPr>
          <w:rFonts w:ascii="Times New Roman" w:eastAsia="Times New Roman" w:hAnsi="Times New Roman" w:cs="Times New Roman"/>
          <w:color w:val="000000"/>
          <w:sz w:val="24"/>
          <w:szCs w:val="24"/>
          <w:lang w:eastAsia="en-GB"/>
        </w:rPr>
        <w:t xml:space="preserve">tion to a shop. This last </w:t>
      </w:r>
      <w:r>
        <w:rPr>
          <w:rFonts w:ascii="Times New Roman" w:eastAsia="Times New Roman" w:hAnsi="Times New Roman" w:cs="Times New Roman"/>
          <w:color w:val="000000"/>
          <w:sz w:val="24"/>
          <w:szCs w:val="24"/>
          <w:lang w:eastAsia="en-GB"/>
        </w:rPr>
        <w:t>appear</w:t>
      </w:r>
      <w:r w:rsidR="009456D1">
        <w:rPr>
          <w:rFonts w:ascii="Times New Roman" w:eastAsia="Times New Roman" w:hAnsi="Times New Roman" w:cs="Times New Roman"/>
          <w:color w:val="000000"/>
          <w:sz w:val="24"/>
          <w:szCs w:val="24"/>
          <w:lang w:eastAsia="en-GB"/>
        </w:rPr>
        <w:t>s</w:t>
      </w:r>
      <w:r>
        <w:rPr>
          <w:rFonts w:ascii="Times New Roman" w:eastAsia="Times New Roman" w:hAnsi="Times New Roman" w:cs="Times New Roman"/>
          <w:color w:val="000000"/>
          <w:sz w:val="24"/>
          <w:szCs w:val="24"/>
          <w:lang w:eastAsia="en-GB"/>
        </w:rPr>
        <w:t xml:space="preserve"> to have been </w:t>
      </w:r>
      <w:r w:rsidR="008A19E5">
        <w:rPr>
          <w:rFonts w:ascii="Times New Roman" w:eastAsia="Times New Roman" w:hAnsi="Times New Roman" w:cs="Times New Roman"/>
          <w:color w:val="000000"/>
          <w:sz w:val="24"/>
          <w:szCs w:val="24"/>
          <w:lang w:eastAsia="en-GB"/>
        </w:rPr>
        <w:t xml:space="preserve">both </w:t>
      </w:r>
      <w:r w:rsidR="00F75BBC">
        <w:rPr>
          <w:rFonts w:ascii="Times New Roman" w:eastAsia="Times New Roman" w:hAnsi="Times New Roman" w:cs="Times New Roman"/>
          <w:color w:val="000000"/>
          <w:sz w:val="24"/>
          <w:szCs w:val="24"/>
          <w:lang w:eastAsia="en-GB"/>
        </w:rPr>
        <w:t>a workspace</w:t>
      </w:r>
      <w:r>
        <w:rPr>
          <w:rFonts w:ascii="Times New Roman" w:eastAsia="Times New Roman" w:hAnsi="Times New Roman" w:cs="Times New Roman"/>
          <w:color w:val="000000"/>
          <w:sz w:val="24"/>
          <w:szCs w:val="24"/>
          <w:lang w:eastAsia="en-GB"/>
        </w:rPr>
        <w:t xml:space="preserve"> </w:t>
      </w:r>
      <w:r w:rsidR="008A19E5">
        <w:rPr>
          <w:rFonts w:ascii="Times New Roman" w:eastAsia="Times New Roman" w:hAnsi="Times New Roman" w:cs="Times New Roman"/>
          <w:color w:val="000000"/>
          <w:sz w:val="24"/>
          <w:szCs w:val="24"/>
          <w:lang w:eastAsia="en-GB"/>
        </w:rPr>
        <w:t>and a retail space since it contained sheers for cutting cloth, tables on which cloth might be cut to sh</w:t>
      </w:r>
      <w:r w:rsidR="00F75BBC">
        <w:rPr>
          <w:rFonts w:ascii="Times New Roman" w:eastAsia="Times New Roman" w:hAnsi="Times New Roman" w:cs="Times New Roman"/>
          <w:color w:val="000000"/>
          <w:sz w:val="24"/>
          <w:szCs w:val="24"/>
          <w:lang w:eastAsia="en-GB"/>
        </w:rPr>
        <w:t>ape, but also two long</w:t>
      </w:r>
      <w:r w:rsidR="008A19E5">
        <w:rPr>
          <w:rFonts w:ascii="Times New Roman" w:eastAsia="Times New Roman" w:hAnsi="Times New Roman" w:cs="Times New Roman"/>
          <w:color w:val="000000"/>
          <w:sz w:val="24"/>
          <w:szCs w:val="24"/>
          <w:lang w:eastAsia="en-GB"/>
        </w:rPr>
        <w:t xml:space="preserve"> tables upon which</w:t>
      </w:r>
      <w:r>
        <w:rPr>
          <w:rFonts w:ascii="Times New Roman" w:eastAsia="Times New Roman" w:hAnsi="Times New Roman" w:cs="Times New Roman"/>
          <w:color w:val="000000"/>
          <w:sz w:val="24"/>
          <w:szCs w:val="24"/>
          <w:lang w:eastAsia="en-GB"/>
        </w:rPr>
        <w:t xml:space="preserve"> cloths could </w:t>
      </w:r>
      <w:r w:rsidR="008A19E5">
        <w:rPr>
          <w:rFonts w:ascii="Times New Roman" w:eastAsia="Times New Roman" w:hAnsi="Times New Roman" w:cs="Times New Roman"/>
          <w:color w:val="000000"/>
          <w:sz w:val="24"/>
          <w:szCs w:val="24"/>
          <w:lang w:eastAsia="en-GB"/>
        </w:rPr>
        <w:t xml:space="preserve">perhaps have </w:t>
      </w:r>
      <w:r>
        <w:rPr>
          <w:rFonts w:ascii="Times New Roman" w:eastAsia="Times New Roman" w:hAnsi="Times New Roman" w:cs="Times New Roman"/>
          <w:color w:val="000000"/>
          <w:sz w:val="24"/>
          <w:szCs w:val="24"/>
          <w:lang w:eastAsia="en-GB"/>
        </w:rPr>
        <w:t>be</w:t>
      </w:r>
      <w:r w:rsidR="008A19E5">
        <w:rPr>
          <w:rFonts w:ascii="Times New Roman" w:eastAsia="Times New Roman" w:hAnsi="Times New Roman" w:cs="Times New Roman"/>
          <w:color w:val="000000"/>
          <w:sz w:val="24"/>
          <w:szCs w:val="24"/>
          <w:lang w:eastAsia="en-GB"/>
        </w:rPr>
        <w:t>en</w:t>
      </w:r>
      <w:r>
        <w:rPr>
          <w:rFonts w:ascii="Times New Roman" w:eastAsia="Times New Roman" w:hAnsi="Times New Roman" w:cs="Times New Roman"/>
          <w:color w:val="000000"/>
          <w:sz w:val="24"/>
          <w:szCs w:val="24"/>
          <w:lang w:eastAsia="en-GB"/>
        </w:rPr>
        <w:t xml:space="preserve"> laid out for display</w:t>
      </w:r>
      <w:r w:rsidR="00F75BBC">
        <w:rPr>
          <w:rFonts w:ascii="Times New Roman" w:eastAsia="Times New Roman" w:hAnsi="Times New Roman" w:cs="Times New Roman"/>
          <w:color w:val="000000"/>
          <w:sz w:val="24"/>
          <w:szCs w:val="24"/>
          <w:lang w:eastAsia="en-GB"/>
        </w:rPr>
        <w:t xml:space="preserve">. Unlike the </w:t>
      </w:r>
      <w:r w:rsidR="008A19E5">
        <w:rPr>
          <w:rFonts w:ascii="Times New Roman" w:eastAsia="Times New Roman" w:hAnsi="Times New Roman" w:cs="Times New Roman"/>
          <w:color w:val="000000"/>
          <w:sz w:val="24"/>
          <w:szCs w:val="24"/>
          <w:lang w:eastAsia="en-GB"/>
        </w:rPr>
        <w:t>workshops</w:t>
      </w:r>
      <w:r w:rsidR="009456D1">
        <w:rPr>
          <w:rFonts w:ascii="Times New Roman" w:eastAsia="Times New Roman" w:hAnsi="Times New Roman" w:cs="Times New Roman"/>
          <w:color w:val="000000"/>
          <w:sz w:val="24"/>
          <w:szCs w:val="24"/>
          <w:lang w:eastAsia="en-GB"/>
        </w:rPr>
        <w:t>,</w:t>
      </w:r>
      <w:r w:rsidR="008A19E5">
        <w:rPr>
          <w:rFonts w:ascii="Times New Roman" w:eastAsia="Times New Roman" w:hAnsi="Times New Roman" w:cs="Times New Roman"/>
          <w:color w:val="000000"/>
          <w:sz w:val="24"/>
          <w:szCs w:val="24"/>
          <w:lang w:eastAsia="en-GB"/>
        </w:rPr>
        <w:t xml:space="preserve"> it appears not to have been a place fo</w:t>
      </w:r>
      <w:r w:rsidR="00F75BBC">
        <w:rPr>
          <w:rFonts w:ascii="Times New Roman" w:eastAsia="Times New Roman" w:hAnsi="Times New Roman" w:cs="Times New Roman"/>
          <w:color w:val="000000"/>
          <w:sz w:val="24"/>
          <w:szCs w:val="24"/>
          <w:lang w:eastAsia="en-GB"/>
        </w:rPr>
        <w:t xml:space="preserve">r storing cloth </w:t>
      </w:r>
      <w:r w:rsidR="008A19E5">
        <w:rPr>
          <w:rFonts w:ascii="Times New Roman" w:eastAsia="Times New Roman" w:hAnsi="Times New Roman" w:cs="Times New Roman"/>
          <w:color w:val="000000"/>
          <w:sz w:val="24"/>
          <w:szCs w:val="24"/>
          <w:lang w:eastAsia="en-GB"/>
        </w:rPr>
        <w:t xml:space="preserve">since only comparatively small measures of inexpensive canvas and painted cloth </w:t>
      </w:r>
      <w:r w:rsidR="00CF6370">
        <w:rPr>
          <w:rFonts w:ascii="Times New Roman" w:eastAsia="Times New Roman" w:hAnsi="Times New Roman" w:cs="Times New Roman"/>
          <w:color w:val="000000"/>
          <w:sz w:val="24"/>
          <w:szCs w:val="24"/>
          <w:lang w:eastAsia="en-GB"/>
        </w:rPr>
        <w:t>are noticed</w:t>
      </w:r>
      <w:r w:rsidR="003642D1">
        <w:rPr>
          <w:rFonts w:ascii="Times New Roman" w:eastAsia="Times New Roman" w:hAnsi="Times New Roman" w:cs="Times New Roman"/>
          <w:color w:val="000000"/>
          <w:sz w:val="24"/>
          <w:szCs w:val="24"/>
          <w:lang w:eastAsia="en-GB"/>
        </w:rPr>
        <w:t>.</w:t>
      </w:r>
      <w:r w:rsidR="003642D1">
        <w:rPr>
          <w:rStyle w:val="FootnoteReference"/>
          <w:rFonts w:ascii="Times New Roman" w:eastAsia="Times New Roman" w:hAnsi="Times New Roman" w:cs="Times New Roman"/>
          <w:color w:val="000000"/>
          <w:sz w:val="24"/>
          <w:szCs w:val="24"/>
          <w:lang w:eastAsia="en-GB"/>
        </w:rPr>
        <w:footnoteReference w:id="21"/>
      </w:r>
      <w:r w:rsidR="007F6CF4">
        <w:rPr>
          <w:rFonts w:ascii="Times New Roman" w:eastAsia="Times New Roman" w:hAnsi="Times New Roman" w:cs="Times New Roman"/>
          <w:color w:val="000000"/>
          <w:sz w:val="24"/>
          <w:szCs w:val="24"/>
          <w:lang w:eastAsia="en-GB"/>
        </w:rPr>
        <w:t xml:space="preserve"> </w:t>
      </w:r>
      <w:r w:rsidR="003B0DD9">
        <w:rPr>
          <w:rFonts w:ascii="Times New Roman" w:eastAsia="Times New Roman" w:hAnsi="Times New Roman" w:cs="Times New Roman"/>
          <w:color w:val="000000"/>
          <w:sz w:val="24"/>
          <w:szCs w:val="24"/>
          <w:lang w:eastAsia="en-GB"/>
        </w:rPr>
        <w:t xml:space="preserve">The shoemaker, William </w:t>
      </w:r>
      <w:proofErr w:type="spellStart"/>
      <w:r w:rsidR="003B0DD9">
        <w:rPr>
          <w:rFonts w:ascii="Times New Roman" w:eastAsia="Times New Roman" w:hAnsi="Times New Roman" w:cs="Times New Roman"/>
          <w:color w:val="000000"/>
          <w:sz w:val="24"/>
          <w:szCs w:val="24"/>
          <w:lang w:eastAsia="en-GB"/>
        </w:rPr>
        <w:t>Coltman’s</w:t>
      </w:r>
      <w:proofErr w:type="spellEnd"/>
      <w:r w:rsidR="003B0DD9">
        <w:rPr>
          <w:rFonts w:ascii="Times New Roman" w:eastAsia="Times New Roman" w:hAnsi="Times New Roman" w:cs="Times New Roman"/>
          <w:color w:val="000000"/>
          <w:sz w:val="24"/>
          <w:szCs w:val="24"/>
          <w:lang w:eastAsia="en-GB"/>
        </w:rPr>
        <w:t xml:space="preserve"> shop contained both tools and stock in </w:t>
      </w:r>
      <w:r w:rsidR="00332145">
        <w:rPr>
          <w:rFonts w:ascii="Times New Roman" w:eastAsia="Times New Roman" w:hAnsi="Times New Roman" w:cs="Times New Roman"/>
          <w:color w:val="000000"/>
          <w:sz w:val="24"/>
          <w:szCs w:val="24"/>
          <w:lang w:eastAsia="en-GB"/>
        </w:rPr>
        <w:t>the form of pairs of men’s, women’s</w:t>
      </w:r>
      <w:r w:rsidR="003B0DD9">
        <w:rPr>
          <w:rFonts w:ascii="Times New Roman" w:eastAsia="Times New Roman" w:hAnsi="Times New Roman" w:cs="Times New Roman"/>
          <w:color w:val="000000"/>
          <w:sz w:val="24"/>
          <w:szCs w:val="24"/>
          <w:lang w:eastAsia="en-GB"/>
        </w:rPr>
        <w:t xml:space="preserve">, </w:t>
      </w:r>
      <w:r w:rsidR="00332145">
        <w:rPr>
          <w:rFonts w:ascii="Times New Roman" w:eastAsia="Times New Roman" w:hAnsi="Times New Roman" w:cs="Times New Roman"/>
          <w:color w:val="000000"/>
          <w:sz w:val="24"/>
          <w:szCs w:val="24"/>
          <w:lang w:eastAsia="en-GB"/>
        </w:rPr>
        <w:t>and children’s shoes as well as boots</w:t>
      </w:r>
      <w:r w:rsidR="003B0DD9">
        <w:rPr>
          <w:rFonts w:ascii="Times New Roman" w:eastAsia="Times New Roman" w:hAnsi="Times New Roman" w:cs="Times New Roman"/>
          <w:color w:val="000000"/>
          <w:sz w:val="24"/>
          <w:szCs w:val="24"/>
          <w:lang w:eastAsia="en-GB"/>
        </w:rPr>
        <w:t xml:space="preserve"> and slippers. </w:t>
      </w:r>
      <w:r w:rsidR="009456D1">
        <w:rPr>
          <w:rFonts w:ascii="Times New Roman" w:eastAsia="Times New Roman" w:hAnsi="Times New Roman" w:cs="Times New Roman"/>
          <w:color w:val="000000"/>
          <w:sz w:val="24"/>
          <w:szCs w:val="24"/>
          <w:lang w:eastAsia="en-GB"/>
        </w:rPr>
        <w:t xml:space="preserve">The inventory of </w:t>
      </w:r>
      <w:r w:rsidR="00D24DB5" w:rsidRPr="00C535C0">
        <w:rPr>
          <w:rFonts w:ascii="Times New Roman" w:eastAsia="Times New Roman" w:hAnsi="Times New Roman" w:cs="Times New Roman"/>
          <w:color w:val="000000"/>
          <w:sz w:val="24"/>
          <w:szCs w:val="24"/>
          <w:lang w:eastAsia="en-GB"/>
        </w:rPr>
        <w:t>Thomas Catton, weaver, lacks headings, but the space containing his two looms is readily identifiable as his workshop.</w:t>
      </w:r>
      <w:r w:rsidR="00C535C0">
        <w:rPr>
          <w:rStyle w:val="FootnoteReference"/>
          <w:rFonts w:ascii="Times New Roman" w:eastAsia="Times New Roman" w:hAnsi="Times New Roman" w:cs="Times New Roman"/>
          <w:color w:val="000000"/>
          <w:sz w:val="24"/>
          <w:szCs w:val="24"/>
          <w:lang w:eastAsia="en-GB"/>
        </w:rPr>
        <w:footnoteReference w:id="22"/>
      </w:r>
      <w:r w:rsidR="00D24DB5">
        <w:rPr>
          <w:rFonts w:ascii="Times New Roman" w:eastAsia="Times New Roman" w:hAnsi="Times New Roman" w:cs="Times New Roman"/>
          <w:color w:val="000000"/>
          <w:sz w:val="24"/>
          <w:szCs w:val="24"/>
          <w:lang w:eastAsia="en-GB"/>
        </w:rPr>
        <w:t xml:space="preserve"> </w:t>
      </w:r>
      <w:r w:rsidR="00CF6370">
        <w:rPr>
          <w:rFonts w:ascii="Times New Roman" w:eastAsia="Times New Roman" w:hAnsi="Times New Roman" w:cs="Times New Roman"/>
          <w:color w:val="000000"/>
          <w:sz w:val="24"/>
          <w:szCs w:val="24"/>
          <w:lang w:eastAsia="en-GB"/>
        </w:rPr>
        <w:t>Shops or workshops</w:t>
      </w:r>
      <w:r w:rsidR="00F75BBC">
        <w:rPr>
          <w:rFonts w:ascii="Times New Roman" w:eastAsia="Times New Roman" w:hAnsi="Times New Roman" w:cs="Times New Roman"/>
          <w:color w:val="000000"/>
          <w:sz w:val="24"/>
          <w:szCs w:val="24"/>
          <w:lang w:eastAsia="en-GB"/>
        </w:rPr>
        <w:t>,</w:t>
      </w:r>
      <w:r w:rsidR="00CF6370">
        <w:rPr>
          <w:rFonts w:ascii="Times New Roman" w:eastAsia="Times New Roman" w:hAnsi="Times New Roman" w:cs="Times New Roman"/>
          <w:color w:val="000000"/>
          <w:sz w:val="24"/>
          <w:szCs w:val="24"/>
          <w:lang w:eastAsia="en-GB"/>
        </w:rPr>
        <w:t xml:space="preserve"> </w:t>
      </w:r>
      <w:r w:rsidR="00F75BBC">
        <w:rPr>
          <w:rFonts w:ascii="Times New Roman" w:eastAsia="Times New Roman" w:hAnsi="Times New Roman" w:cs="Times New Roman"/>
          <w:color w:val="000000"/>
          <w:sz w:val="24"/>
          <w:szCs w:val="24"/>
          <w:lang w:eastAsia="en-GB"/>
        </w:rPr>
        <w:t xml:space="preserve">usually described by street, </w:t>
      </w:r>
      <w:r w:rsidR="00CF6370">
        <w:rPr>
          <w:rFonts w:ascii="Times New Roman" w:eastAsia="Times New Roman" w:hAnsi="Times New Roman" w:cs="Times New Roman"/>
          <w:color w:val="000000"/>
          <w:sz w:val="24"/>
          <w:szCs w:val="24"/>
          <w:lang w:eastAsia="en-GB"/>
        </w:rPr>
        <w:t>are</w:t>
      </w:r>
      <w:r w:rsidR="00F75BBC">
        <w:rPr>
          <w:rFonts w:ascii="Times New Roman" w:eastAsia="Times New Roman" w:hAnsi="Times New Roman" w:cs="Times New Roman"/>
          <w:color w:val="000000"/>
          <w:sz w:val="24"/>
          <w:szCs w:val="24"/>
          <w:lang w:eastAsia="en-GB"/>
        </w:rPr>
        <w:t xml:space="preserve"> also noticed </w:t>
      </w:r>
      <w:r w:rsidR="00CF6370">
        <w:rPr>
          <w:rFonts w:ascii="Times New Roman" w:eastAsia="Times New Roman" w:hAnsi="Times New Roman" w:cs="Times New Roman"/>
          <w:color w:val="000000"/>
          <w:sz w:val="24"/>
          <w:szCs w:val="24"/>
          <w:lang w:eastAsia="en-GB"/>
        </w:rPr>
        <w:t>in depositions</w:t>
      </w:r>
      <w:r w:rsidR="00F75BBC">
        <w:rPr>
          <w:rFonts w:ascii="Times New Roman" w:eastAsia="Times New Roman" w:hAnsi="Times New Roman" w:cs="Times New Roman"/>
          <w:color w:val="000000"/>
          <w:sz w:val="24"/>
          <w:szCs w:val="24"/>
          <w:lang w:eastAsia="en-GB"/>
        </w:rPr>
        <w:t xml:space="preserve">. </w:t>
      </w:r>
      <w:r w:rsidR="003E0576">
        <w:rPr>
          <w:rFonts w:ascii="Times New Roman" w:eastAsia="Times New Roman" w:hAnsi="Times New Roman" w:cs="Times New Roman"/>
          <w:color w:val="000000"/>
          <w:sz w:val="24"/>
          <w:szCs w:val="24"/>
          <w:lang w:eastAsia="en-GB"/>
        </w:rPr>
        <w:t>Thus we find shops locate</w:t>
      </w:r>
      <w:r w:rsidR="00094B79">
        <w:rPr>
          <w:rFonts w:ascii="Times New Roman" w:eastAsia="Times New Roman" w:hAnsi="Times New Roman" w:cs="Times New Roman"/>
          <w:color w:val="000000"/>
          <w:sz w:val="24"/>
          <w:szCs w:val="24"/>
          <w:lang w:eastAsia="en-GB"/>
        </w:rPr>
        <w:t xml:space="preserve">d in </w:t>
      </w:r>
      <w:proofErr w:type="spellStart"/>
      <w:r w:rsidR="00094B79">
        <w:rPr>
          <w:rFonts w:ascii="Times New Roman" w:eastAsia="Times New Roman" w:hAnsi="Times New Roman" w:cs="Times New Roman"/>
          <w:color w:val="000000"/>
          <w:sz w:val="24"/>
          <w:szCs w:val="24"/>
          <w:lang w:eastAsia="en-GB"/>
        </w:rPr>
        <w:t>Fossgate</w:t>
      </w:r>
      <w:proofErr w:type="spellEnd"/>
      <w:r w:rsidR="00094B79">
        <w:rPr>
          <w:rFonts w:ascii="Times New Roman" w:eastAsia="Times New Roman" w:hAnsi="Times New Roman" w:cs="Times New Roman"/>
          <w:color w:val="000000"/>
          <w:sz w:val="24"/>
          <w:szCs w:val="24"/>
          <w:lang w:eastAsia="en-GB"/>
        </w:rPr>
        <w:t xml:space="preserve">, </w:t>
      </w:r>
      <w:proofErr w:type="spellStart"/>
      <w:r w:rsidR="00094B79">
        <w:rPr>
          <w:rFonts w:ascii="Times New Roman" w:eastAsia="Times New Roman" w:hAnsi="Times New Roman" w:cs="Times New Roman"/>
          <w:color w:val="000000"/>
          <w:sz w:val="24"/>
          <w:szCs w:val="24"/>
          <w:lang w:eastAsia="en-GB"/>
        </w:rPr>
        <w:t>Girdlergate</w:t>
      </w:r>
      <w:proofErr w:type="spellEnd"/>
      <w:r w:rsidR="00094B79">
        <w:rPr>
          <w:rFonts w:ascii="Times New Roman" w:eastAsia="Times New Roman" w:hAnsi="Times New Roman" w:cs="Times New Roman"/>
          <w:color w:val="000000"/>
          <w:sz w:val="24"/>
          <w:szCs w:val="24"/>
          <w:lang w:eastAsia="en-GB"/>
        </w:rPr>
        <w:t xml:space="preserve">, </w:t>
      </w:r>
      <w:r w:rsidR="003E0576" w:rsidRPr="007A54FD">
        <w:rPr>
          <w:rFonts w:ascii="Times New Roman" w:eastAsia="Times New Roman" w:hAnsi="Times New Roman" w:cs="Times New Roman"/>
          <w:color w:val="000000"/>
          <w:sz w:val="24"/>
          <w:szCs w:val="24"/>
          <w:lang w:eastAsia="en-GB"/>
        </w:rPr>
        <w:t>Micklegate</w:t>
      </w:r>
      <w:r w:rsidR="00094B79" w:rsidRPr="007A54FD">
        <w:rPr>
          <w:rFonts w:ascii="Times New Roman" w:eastAsia="Times New Roman" w:hAnsi="Times New Roman" w:cs="Times New Roman"/>
          <w:color w:val="000000"/>
          <w:sz w:val="24"/>
          <w:szCs w:val="24"/>
          <w:lang w:eastAsia="en-GB"/>
        </w:rPr>
        <w:t xml:space="preserve">, and </w:t>
      </w:r>
      <w:proofErr w:type="spellStart"/>
      <w:r w:rsidR="00094B79" w:rsidRPr="007A54FD">
        <w:rPr>
          <w:rFonts w:ascii="Times New Roman" w:eastAsia="Times New Roman" w:hAnsi="Times New Roman" w:cs="Times New Roman"/>
          <w:color w:val="000000"/>
          <w:sz w:val="24"/>
          <w:szCs w:val="24"/>
          <w:lang w:eastAsia="en-GB"/>
        </w:rPr>
        <w:t>Petergate</w:t>
      </w:r>
      <w:proofErr w:type="spellEnd"/>
      <w:r w:rsidR="003E0576" w:rsidRPr="007A54FD">
        <w:rPr>
          <w:rFonts w:ascii="Times New Roman" w:eastAsia="Times New Roman" w:hAnsi="Times New Roman" w:cs="Times New Roman"/>
          <w:color w:val="000000"/>
          <w:sz w:val="24"/>
          <w:szCs w:val="24"/>
          <w:lang w:eastAsia="en-GB"/>
        </w:rPr>
        <w:t>.</w:t>
      </w:r>
      <w:r w:rsidR="003E0576">
        <w:rPr>
          <w:rStyle w:val="FootnoteReference"/>
          <w:rFonts w:ascii="Times New Roman" w:eastAsia="Times New Roman" w:hAnsi="Times New Roman" w:cs="Times New Roman"/>
          <w:color w:val="000000"/>
          <w:sz w:val="24"/>
          <w:szCs w:val="24"/>
          <w:lang w:eastAsia="en-GB"/>
        </w:rPr>
        <w:footnoteReference w:id="23"/>
      </w:r>
      <w:r w:rsidR="00B162AB">
        <w:rPr>
          <w:rFonts w:ascii="Times New Roman" w:eastAsia="Times New Roman" w:hAnsi="Times New Roman" w:cs="Times New Roman"/>
          <w:color w:val="000000"/>
          <w:sz w:val="24"/>
          <w:szCs w:val="24"/>
          <w:lang w:eastAsia="en-GB"/>
        </w:rPr>
        <w:t xml:space="preserve"> </w:t>
      </w:r>
    </w:p>
    <w:p w14:paraId="46A117C1" w14:textId="6F3468A6" w:rsidR="002C6560" w:rsidRPr="00A50D4F" w:rsidRDefault="00115217" w:rsidP="00A50D4F">
      <w:pPr>
        <w:spacing w:line="36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A spac</w:t>
      </w:r>
      <w:r w:rsidR="00F75BBC">
        <w:rPr>
          <w:rFonts w:ascii="Times New Roman" w:eastAsia="Times New Roman" w:hAnsi="Times New Roman" w:cs="Times New Roman"/>
          <w:color w:val="000000"/>
          <w:sz w:val="24"/>
          <w:szCs w:val="24"/>
          <w:lang w:eastAsia="en-GB"/>
        </w:rPr>
        <w:t xml:space="preserve">e </w:t>
      </w:r>
      <w:r>
        <w:rPr>
          <w:rFonts w:ascii="Times New Roman" w:eastAsia="Times New Roman" w:hAnsi="Times New Roman" w:cs="Times New Roman"/>
          <w:color w:val="000000"/>
          <w:sz w:val="24"/>
          <w:szCs w:val="24"/>
          <w:lang w:eastAsia="en-GB"/>
        </w:rPr>
        <w:t>regularly found in</w:t>
      </w:r>
      <w:r w:rsidR="003E057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both deposition evidence and</w:t>
      </w:r>
      <w:r w:rsidR="00F75BBC">
        <w:rPr>
          <w:rFonts w:ascii="Times New Roman" w:eastAsia="Times New Roman" w:hAnsi="Times New Roman" w:cs="Times New Roman"/>
          <w:color w:val="000000"/>
          <w:sz w:val="24"/>
          <w:szCs w:val="24"/>
          <w:lang w:eastAsia="en-GB"/>
        </w:rPr>
        <w:t xml:space="preserve"> </w:t>
      </w:r>
      <w:r w:rsidR="003E0576">
        <w:rPr>
          <w:rFonts w:ascii="Times New Roman" w:eastAsia="Times New Roman" w:hAnsi="Times New Roman" w:cs="Times New Roman"/>
          <w:color w:val="000000"/>
          <w:sz w:val="24"/>
          <w:szCs w:val="24"/>
          <w:lang w:eastAsia="en-GB"/>
        </w:rPr>
        <w:t>probate inventories is the cellar</w:t>
      </w:r>
      <w:r w:rsidR="00365694">
        <w:rPr>
          <w:rFonts w:ascii="Times New Roman" w:eastAsia="Times New Roman" w:hAnsi="Times New Roman" w:cs="Times New Roman"/>
          <w:color w:val="000000"/>
          <w:sz w:val="24"/>
          <w:szCs w:val="24"/>
          <w:lang w:eastAsia="en-GB"/>
        </w:rPr>
        <w:t xml:space="preserve"> or </w:t>
      </w:r>
      <w:r>
        <w:rPr>
          <w:rFonts w:ascii="Times New Roman" w:eastAsia="Times New Roman" w:hAnsi="Times New Roman" w:cs="Times New Roman"/>
          <w:color w:val="000000"/>
          <w:sz w:val="24"/>
          <w:szCs w:val="24"/>
          <w:lang w:eastAsia="en-GB"/>
        </w:rPr>
        <w:t>store room (</w:t>
      </w:r>
      <w:proofErr w:type="spellStart"/>
      <w:r w:rsidRPr="00115217">
        <w:rPr>
          <w:rFonts w:ascii="Times New Roman" w:eastAsia="Times New Roman" w:hAnsi="Times New Roman" w:cs="Times New Roman"/>
          <w:i/>
          <w:color w:val="000000"/>
          <w:sz w:val="24"/>
          <w:szCs w:val="24"/>
          <w:lang w:eastAsia="en-GB"/>
        </w:rPr>
        <w:t>cellarium</w:t>
      </w:r>
      <w:proofErr w:type="spellEnd"/>
      <w:r>
        <w:rPr>
          <w:rFonts w:ascii="Times New Roman" w:eastAsia="Times New Roman" w:hAnsi="Times New Roman" w:cs="Times New Roman"/>
          <w:color w:val="000000"/>
          <w:sz w:val="24"/>
          <w:szCs w:val="24"/>
          <w:lang w:eastAsia="en-GB"/>
        </w:rPr>
        <w:t>)</w:t>
      </w:r>
      <w:r w:rsidR="003E0576">
        <w:rPr>
          <w:rFonts w:ascii="Times New Roman" w:eastAsia="Times New Roman" w:hAnsi="Times New Roman" w:cs="Times New Roman"/>
          <w:color w:val="000000"/>
          <w:sz w:val="24"/>
          <w:szCs w:val="24"/>
          <w:lang w:eastAsia="en-GB"/>
        </w:rPr>
        <w:t>.</w:t>
      </w:r>
      <w:r>
        <w:rPr>
          <w:rStyle w:val="FootnoteReference"/>
          <w:rFonts w:ascii="Times New Roman" w:eastAsia="Times New Roman" w:hAnsi="Times New Roman" w:cs="Times New Roman"/>
          <w:color w:val="000000"/>
          <w:sz w:val="24"/>
          <w:szCs w:val="24"/>
          <w:lang w:eastAsia="en-GB"/>
        </w:rPr>
        <w:footnoteReference w:id="24"/>
      </w:r>
      <w:r w:rsidR="003E0576">
        <w:rPr>
          <w:rFonts w:ascii="Times New Roman" w:eastAsia="Times New Roman" w:hAnsi="Times New Roman" w:cs="Times New Roman"/>
          <w:color w:val="000000"/>
          <w:sz w:val="24"/>
          <w:szCs w:val="24"/>
          <w:lang w:eastAsia="en-GB"/>
        </w:rPr>
        <w:t xml:space="preserve"> </w:t>
      </w:r>
      <w:r w:rsidR="00365694">
        <w:rPr>
          <w:rFonts w:ascii="Times New Roman" w:eastAsia="Times New Roman" w:hAnsi="Times New Roman" w:cs="Times New Roman"/>
          <w:color w:val="000000"/>
          <w:sz w:val="24"/>
          <w:szCs w:val="24"/>
          <w:lang w:eastAsia="en-GB"/>
        </w:rPr>
        <w:t>R</w:t>
      </w:r>
      <w:r w:rsidR="00223F3A">
        <w:rPr>
          <w:rFonts w:ascii="Times New Roman" w:eastAsia="Times New Roman" w:hAnsi="Times New Roman" w:cs="Times New Roman"/>
          <w:color w:val="000000"/>
          <w:sz w:val="24"/>
          <w:szCs w:val="24"/>
          <w:lang w:eastAsia="en-GB"/>
        </w:rPr>
        <w:t>ooms described as cellars are found in three different ca</w:t>
      </w:r>
      <w:r w:rsidR="00F75BBC">
        <w:rPr>
          <w:rFonts w:ascii="Times New Roman" w:eastAsia="Times New Roman" w:hAnsi="Times New Roman" w:cs="Times New Roman"/>
          <w:color w:val="000000"/>
          <w:sz w:val="24"/>
          <w:szCs w:val="24"/>
          <w:lang w:eastAsia="en-GB"/>
        </w:rPr>
        <w:t>ses</w:t>
      </w:r>
      <w:r w:rsidR="00836604">
        <w:rPr>
          <w:rFonts w:ascii="Times New Roman" w:eastAsia="Times New Roman" w:hAnsi="Times New Roman" w:cs="Times New Roman"/>
          <w:color w:val="000000"/>
          <w:sz w:val="24"/>
          <w:szCs w:val="24"/>
          <w:lang w:eastAsia="en-GB"/>
        </w:rPr>
        <w:t>. A</w:t>
      </w:r>
      <w:r w:rsidR="00C62168">
        <w:rPr>
          <w:rFonts w:ascii="Times New Roman" w:eastAsia="Times New Roman" w:hAnsi="Times New Roman" w:cs="Times New Roman"/>
          <w:color w:val="000000"/>
          <w:sz w:val="24"/>
          <w:szCs w:val="24"/>
          <w:lang w:eastAsia="en-GB"/>
        </w:rPr>
        <w:t xml:space="preserve"> 1372 deposition of </w:t>
      </w:r>
      <w:r w:rsidR="00836604">
        <w:rPr>
          <w:rFonts w:ascii="Times New Roman" w:eastAsia="Times New Roman" w:hAnsi="Times New Roman" w:cs="Times New Roman"/>
          <w:color w:val="000000"/>
          <w:sz w:val="24"/>
          <w:szCs w:val="24"/>
          <w:lang w:eastAsia="en-GB"/>
        </w:rPr>
        <w:t>the apprentice John de Wald</w:t>
      </w:r>
      <w:r w:rsidR="00C62168">
        <w:rPr>
          <w:rFonts w:ascii="Times New Roman" w:eastAsia="Times New Roman" w:hAnsi="Times New Roman" w:cs="Times New Roman"/>
          <w:color w:val="000000"/>
          <w:sz w:val="24"/>
          <w:szCs w:val="24"/>
          <w:lang w:eastAsia="en-GB"/>
        </w:rPr>
        <w:t xml:space="preserve"> described how the </w:t>
      </w:r>
      <w:r w:rsidR="007A54FD">
        <w:rPr>
          <w:rFonts w:ascii="Times New Roman" w:eastAsia="Times New Roman" w:hAnsi="Times New Roman" w:cs="Times New Roman"/>
          <w:color w:val="000000"/>
          <w:sz w:val="24"/>
          <w:szCs w:val="24"/>
          <w:lang w:eastAsia="en-GB"/>
        </w:rPr>
        <w:t>children</w:t>
      </w:r>
      <w:r w:rsidR="00C62168">
        <w:rPr>
          <w:rFonts w:ascii="Times New Roman" w:eastAsia="Times New Roman" w:hAnsi="Times New Roman" w:cs="Times New Roman"/>
          <w:color w:val="000000"/>
          <w:sz w:val="24"/>
          <w:szCs w:val="24"/>
          <w:lang w:eastAsia="en-GB"/>
        </w:rPr>
        <w:t xml:space="preserve"> of the </w:t>
      </w:r>
      <w:r w:rsidR="00C62168">
        <w:rPr>
          <w:rFonts w:ascii="Times New Roman" w:eastAsia="Times New Roman" w:hAnsi="Times New Roman" w:cs="Times New Roman"/>
          <w:color w:val="000000"/>
          <w:sz w:val="24"/>
          <w:szCs w:val="24"/>
          <w:lang w:eastAsia="en-GB"/>
        </w:rPr>
        <w:lastRenderedPageBreak/>
        <w:t>household slept ‘in a cellar below</w:t>
      </w:r>
      <w:r w:rsidR="004D2D09">
        <w:rPr>
          <w:rFonts w:ascii="Times New Roman" w:eastAsia="Times New Roman" w:hAnsi="Times New Roman" w:cs="Times New Roman"/>
          <w:color w:val="000000"/>
          <w:sz w:val="24"/>
          <w:szCs w:val="24"/>
          <w:lang w:eastAsia="en-GB"/>
        </w:rPr>
        <w:t xml:space="preserve"> the aforesaid chamber</w:t>
      </w:r>
      <w:r w:rsidR="00C62168">
        <w:rPr>
          <w:rFonts w:ascii="Times New Roman" w:eastAsia="Times New Roman" w:hAnsi="Times New Roman" w:cs="Times New Roman"/>
          <w:color w:val="000000"/>
          <w:sz w:val="24"/>
          <w:szCs w:val="24"/>
          <w:lang w:eastAsia="en-GB"/>
        </w:rPr>
        <w:t>’ (‘</w:t>
      </w:r>
      <w:r w:rsidR="00C62168" w:rsidRPr="004D2D09">
        <w:rPr>
          <w:rFonts w:ascii="Times New Roman" w:eastAsia="Times New Roman" w:hAnsi="Times New Roman" w:cs="Times New Roman"/>
          <w:i/>
          <w:color w:val="000000"/>
          <w:sz w:val="24"/>
          <w:szCs w:val="24"/>
          <w:lang w:eastAsia="en-GB"/>
        </w:rPr>
        <w:t xml:space="preserve">in </w:t>
      </w:r>
      <w:proofErr w:type="spellStart"/>
      <w:r w:rsidR="004D2D09" w:rsidRPr="004D2D09">
        <w:rPr>
          <w:rFonts w:ascii="Times New Roman" w:eastAsia="Times New Roman" w:hAnsi="Times New Roman" w:cs="Times New Roman"/>
          <w:i/>
          <w:color w:val="000000"/>
          <w:sz w:val="24"/>
          <w:szCs w:val="24"/>
          <w:lang w:eastAsia="en-GB"/>
        </w:rPr>
        <w:t>c</w:t>
      </w:r>
      <w:r w:rsidR="00C62168" w:rsidRPr="004D2D09">
        <w:rPr>
          <w:rFonts w:ascii="Times New Roman" w:eastAsia="Times New Roman" w:hAnsi="Times New Roman" w:cs="Times New Roman"/>
          <w:i/>
          <w:color w:val="000000"/>
          <w:sz w:val="24"/>
          <w:szCs w:val="24"/>
          <w:lang w:eastAsia="en-GB"/>
        </w:rPr>
        <w:t>ellario</w:t>
      </w:r>
      <w:proofErr w:type="spellEnd"/>
      <w:r w:rsidR="00C62168" w:rsidRPr="004D2D09">
        <w:rPr>
          <w:rFonts w:ascii="Times New Roman" w:eastAsia="Times New Roman" w:hAnsi="Times New Roman" w:cs="Times New Roman"/>
          <w:i/>
          <w:color w:val="000000"/>
          <w:sz w:val="24"/>
          <w:szCs w:val="24"/>
          <w:lang w:eastAsia="en-GB"/>
        </w:rPr>
        <w:t xml:space="preserve"> sub</w:t>
      </w:r>
      <w:r w:rsidR="004D2D09" w:rsidRPr="004D2D09">
        <w:rPr>
          <w:rFonts w:ascii="Times New Roman" w:eastAsia="Times New Roman" w:hAnsi="Times New Roman" w:cs="Times New Roman"/>
          <w:i/>
          <w:color w:val="000000"/>
          <w:sz w:val="24"/>
          <w:szCs w:val="24"/>
          <w:lang w:eastAsia="en-GB"/>
        </w:rPr>
        <w:t xml:space="preserve"> camera </w:t>
      </w:r>
      <w:proofErr w:type="spellStart"/>
      <w:r w:rsidR="004D2D09" w:rsidRPr="004D2D09">
        <w:rPr>
          <w:rFonts w:ascii="Times New Roman" w:eastAsia="Times New Roman" w:hAnsi="Times New Roman" w:cs="Times New Roman"/>
          <w:i/>
          <w:color w:val="000000"/>
          <w:sz w:val="24"/>
          <w:szCs w:val="24"/>
          <w:lang w:eastAsia="en-GB"/>
        </w:rPr>
        <w:t>predicta</w:t>
      </w:r>
      <w:proofErr w:type="spellEnd"/>
      <w:r w:rsidR="00C62168">
        <w:rPr>
          <w:rFonts w:ascii="Times New Roman" w:eastAsia="Times New Roman" w:hAnsi="Times New Roman" w:cs="Times New Roman"/>
          <w:color w:val="000000"/>
          <w:sz w:val="24"/>
          <w:szCs w:val="24"/>
          <w:lang w:eastAsia="en-GB"/>
        </w:rPr>
        <w:t xml:space="preserve">’) </w:t>
      </w:r>
      <w:r w:rsidR="004D2D09">
        <w:rPr>
          <w:rFonts w:ascii="Times New Roman" w:eastAsia="Times New Roman" w:hAnsi="Times New Roman" w:cs="Times New Roman"/>
          <w:color w:val="000000"/>
          <w:sz w:val="24"/>
          <w:szCs w:val="24"/>
          <w:lang w:eastAsia="en-GB"/>
        </w:rPr>
        <w:t xml:space="preserve">being </w:t>
      </w:r>
      <w:r w:rsidR="00C62168">
        <w:rPr>
          <w:rFonts w:ascii="Times New Roman" w:eastAsia="Times New Roman" w:hAnsi="Times New Roman" w:cs="Times New Roman"/>
          <w:color w:val="000000"/>
          <w:sz w:val="24"/>
          <w:szCs w:val="24"/>
          <w:lang w:eastAsia="en-GB"/>
        </w:rPr>
        <w:t xml:space="preserve">the chamber occupied by his mistress in </w:t>
      </w:r>
      <w:proofErr w:type="spellStart"/>
      <w:r w:rsidR="00C62168">
        <w:rPr>
          <w:rFonts w:ascii="Times New Roman" w:eastAsia="Times New Roman" w:hAnsi="Times New Roman" w:cs="Times New Roman"/>
          <w:color w:val="000000"/>
          <w:sz w:val="24"/>
          <w:szCs w:val="24"/>
          <w:lang w:eastAsia="en-GB"/>
        </w:rPr>
        <w:t>Walmgate</w:t>
      </w:r>
      <w:proofErr w:type="spellEnd"/>
      <w:r w:rsidR="00C62168">
        <w:rPr>
          <w:rFonts w:ascii="Times New Roman" w:eastAsia="Times New Roman" w:hAnsi="Times New Roman" w:cs="Times New Roman"/>
          <w:color w:val="000000"/>
          <w:sz w:val="24"/>
          <w:szCs w:val="24"/>
          <w:lang w:eastAsia="en-GB"/>
        </w:rPr>
        <w:t>.</w:t>
      </w:r>
      <w:r w:rsidR="00C62168">
        <w:rPr>
          <w:rStyle w:val="FootnoteReference"/>
          <w:rFonts w:ascii="Times New Roman" w:eastAsia="Times New Roman" w:hAnsi="Times New Roman" w:cs="Times New Roman"/>
          <w:color w:val="000000"/>
          <w:sz w:val="24"/>
          <w:szCs w:val="24"/>
          <w:lang w:eastAsia="en-GB"/>
        </w:rPr>
        <w:footnoteReference w:id="25"/>
      </w:r>
      <w:r w:rsidR="00F84EDF">
        <w:rPr>
          <w:rFonts w:ascii="Times New Roman" w:eastAsia="Times New Roman" w:hAnsi="Times New Roman" w:cs="Times New Roman"/>
          <w:color w:val="000000"/>
          <w:sz w:val="24"/>
          <w:szCs w:val="24"/>
          <w:lang w:eastAsia="en-GB"/>
        </w:rPr>
        <w:t xml:space="preserve"> Another deposition</w:t>
      </w:r>
      <w:r w:rsidR="004D2D09">
        <w:rPr>
          <w:rFonts w:ascii="Times New Roman" w:eastAsia="Times New Roman" w:hAnsi="Times New Roman" w:cs="Times New Roman"/>
          <w:color w:val="000000"/>
          <w:sz w:val="24"/>
          <w:szCs w:val="24"/>
          <w:lang w:eastAsia="en-GB"/>
        </w:rPr>
        <w:t xml:space="preserve"> dated </w:t>
      </w:r>
      <w:r w:rsidR="009456D1">
        <w:rPr>
          <w:rFonts w:ascii="Times New Roman" w:eastAsia="Times New Roman" w:hAnsi="Times New Roman" w:cs="Times New Roman"/>
          <w:color w:val="000000"/>
          <w:sz w:val="24"/>
          <w:szCs w:val="24"/>
          <w:lang w:eastAsia="en-GB"/>
        </w:rPr>
        <w:t>1438-9 describes</w:t>
      </w:r>
      <w:r w:rsidR="004D2D09">
        <w:rPr>
          <w:rFonts w:ascii="Times New Roman" w:eastAsia="Times New Roman" w:hAnsi="Times New Roman" w:cs="Times New Roman"/>
          <w:color w:val="000000"/>
          <w:sz w:val="24"/>
          <w:szCs w:val="24"/>
          <w:lang w:eastAsia="en-GB"/>
        </w:rPr>
        <w:t xml:space="preserve"> ‘</w:t>
      </w:r>
      <w:r w:rsidR="004D2D09">
        <w:rPr>
          <w:rFonts w:ascii="Times New Roman" w:hAnsi="Times New Roman" w:cs="Times New Roman"/>
          <w:sz w:val="24"/>
          <w:szCs w:val="24"/>
        </w:rPr>
        <w:t xml:space="preserve">a certain small cellar located next to the … parlour’. </w:t>
      </w:r>
      <w:r w:rsidR="00827671">
        <w:rPr>
          <w:rFonts w:ascii="Times New Roman" w:hAnsi="Times New Roman" w:cs="Times New Roman"/>
          <w:sz w:val="24"/>
          <w:szCs w:val="24"/>
        </w:rPr>
        <w:t>T</w:t>
      </w:r>
      <w:r w:rsidR="0059422B">
        <w:rPr>
          <w:rFonts w:ascii="Times New Roman" w:hAnsi="Times New Roman" w:cs="Times New Roman"/>
          <w:sz w:val="24"/>
          <w:szCs w:val="24"/>
        </w:rPr>
        <w:t xml:space="preserve">he cellar was located in front </w:t>
      </w:r>
      <w:r w:rsidR="00827671">
        <w:rPr>
          <w:rFonts w:ascii="Times New Roman" w:hAnsi="Times New Roman" w:cs="Times New Roman"/>
          <w:sz w:val="24"/>
          <w:szCs w:val="24"/>
        </w:rPr>
        <w:t>of the entranc</w:t>
      </w:r>
      <w:r w:rsidR="00F84EDF">
        <w:rPr>
          <w:rFonts w:ascii="Times New Roman" w:hAnsi="Times New Roman" w:cs="Times New Roman"/>
          <w:sz w:val="24"/>
          <w:szCs w:val="24"/>
        </w:rPr>
        <w:t>e to the parlour. A</w:t>
      </w:r>
      <w:r w:rsidR="00827671">
        <w:rPr>
          <w:rFonts w:ascii="Times New Roman" w:hAnsi="Times New Roman" w:cs="Times New Roman"/>
          <w:sz w:val="24"/>
          <w:szCs w:val="24"/>
        </w:rPr>
        <w:t xml:space="preserve"> connec</w:t>
      </w:r>
      <w:r w:rsidR="00F84EDF">
        <w:rPr>
          <w:rFonts w:ascii="Times New Roman" w:hAnsi="Times New Roman" w:cs="Times New Roman"/>
          <w:sz w:val="24"/>
          <w:szCs w:val="24"/>
        </w:rPr>
        <w:t xml:space="preserve">ting grill </w:t>
      </w:r>
      <w:r w:rsidR="00827671">
        <w:rPr>
          <w:rFonts w:ascii="Times New Roman" w:hAnsi="Times New Roman" w:cs="Times New Roman"/>
          <w:sz w:val="24"/>
          <w:szCs w:val="24"/>
        </w:rPr>
        <w:t>gave sight from the cellar into</w:t>
      </w:r>
      <w:r w:rsidR="00F84EDF">
        <w:rPr>
          <w:rFonts w:ascii="Times New Roman" w:hAnsi="Times New Roman" w:cs="Times New Roman"/>
          <w:sz w:val="24"/>
          <w:szCs w:val="24"/>
        </w:rPr>
        <w:t xml:space="preserve"> the parlour, though its</w:t>
      </w:r>
      <w:r w:rsidR="00827671">
        <w:rPr>
          <w:rFonts w:ascii="Times New Roman" w:hAnsi="Times New Roman" w:cs="Times New Roman"/>
          <w:sz w:val="24"/>
          <w:szCs w:val="24"/>
        </w:rPr>
        <w:t xml:space="preserve"> main function was probably ventilation.</w:t>
      </w:r>
      <w:r w:rsidR="00827671">
        <w:rPr>
          <w:rStyle w:val="FootnoteReference"/>
          <w:rFonts w:ascii="Times New Roman" w:hAnsi="Times New Roman" w:cs="Times New Roman"/>
          <w:sz w:val="24"/>
          <w:szCs w:val="24"/>
        </w:rPr>
        <w:footnoteReference w:id="26"/>
      </w:r>
      <w:r w:rsidR="0059422B">
        <w:rPr>
          <w:rFonts w:ascii="Times New Roman" w:hAnsi="Times New Roman" w:cs="Times New Roman"/>
          <w:sz w:val="24"/>
          <w:szCs w:val="24"/>
        </w:rPr>
        <w:t xml:space="preserve"> The final example </w:t>
      </w:r>
      <w:r w:rsidR="00836604">
        <w:rPr>
          <w:rFonts w:ascii="Times New Roman" w:hAnsi="Times New Roman" w:cs="Times New Roman"/>
          <w:sz w:val="24"/>
          <w:szCs w:val="24"/>
        </w:rPr>
        <w:t xml:space="preserve">noted is a ‘small cellar’ </w:t>
      </w:r>
      <w:r w:rsidR="0059422B">
        <w:rPr>
          <w:rFonts w:ascii="Times New Roman" w:hAnsi="Times New Roman" w:cs="Times New Roman"/>
          <w:sz w:val="24"/>
          <w:szCs w:val="24"/>
        </w:rPr>
        <w:t>patently used to store ale since when Agnes Barbou</w:t>
      </w:r>
      <w:r w:rsidR="00F84EDF">
        <w:rPr>
          <w:rFonts w:ascii="Times New Roman" w:hAnsi="Times New Roman" w:cs="Times New Roman"/>
          <w:sz w:val="24"/>
          <w:szCs w:val="24"/>
        </w:rPr>
        <w:t xml:space="preserve">r was asked </w:t>
      </w:r>
      <w:r w:rsidR="0059422B">
        <w:rPr>
          <w:rFonts w:ascii="Times New Roman" w:hAnsi="Times New Roman" w:cs="Times New Roman"/>
          <w:sz w:val="24"/>
          <w:szCs w:val="24"/>
        </w:rPr>
        <w:t>for ale, she went to the cellar to return with a cup of ale.</w:t>
      </w:r>
      <w:r w:rsidR="0059422B">
        <w:rPr>
          <w:rStyle w:val="FootnoteReference"/>
          <w:rFonts w:ascii="Times New Roman" w:hAnsi="Times New Roman" w:cs="Times New Roman"/>
          <w:sz w:val="24"/>
          <w:szCs w:val="24"/>
        </w:rPr>
        <w:footnoteReference w:id="27"/>
      </w:r>
      <w:r w:rsidR="0059422B">
        <w:rPr>
          <w:rFonts w:ascii="Times New Roman" w:hAnsi="Times New Roman" w:cs="Times New Roman"/>
          <w:sz w:val="24"/>
          <w:szCs w:val="24"/>
        </w:rPr>
        <w:t xml:space="preserve"> </w:t>
      </w:r>
      <w:r>
        <w:rPr>
          <w:rFonts w:ascii="Times New Roman" w:hAnsi="Times New Roman" w:cs="Times New Roman"/>
          <w:sz w:val="24"/>
          <w:szCs w:val="24"/>
        </w:rPr>
        <w:t>Cella</w:t>
      </w:r>
      <w:r w:rsidR="00A50D4F">
        <w:rPr>
          <w:rFonts w:ascii="Times New Roman" w:hAnsi="Times New Roman" w:cs="Times New Roman"/>
          <w:sz w:val="24"/>
          <w:szCs w:val="24"/>
        </w:rPr>
        <w:t xml:space="preserve">rs </w:t>
      </w:r>
      <w:r w:rsidR="007C17E9">
        <w:rPr>
          <w:rFonts w:ascii="Times New Roman" w:hAnsi="Times New Roman" w:cs="Times New Roman"/>
          <w:sz w:val="24"/>
          <w:szCs w:val="24"/>
        </w:rPr>
        <w:t xml:space="preserve">are </w:t>
      </w:r>
      <w:r w:rsidR="00836604">
        <w:rPr>
          <w:rFonts w:ascii="Times New Roman" w:hAnsi="Times New Roman" w:cs="Times New Roman"/>
          <w:sz w:val="24"/>
          <w:szCs w:val="24"/>
        </w:rPr>
        <w:t xml:space="preserve">also </w:t>
      </w:r>
      <w:r w:rsidR="00A50D4F">
        <w:rPr>
          <w:rFonts w:ascii="Times New Roman" w:hAnsi="Times New Roman" w:cs="Times New Roman"/>
          <w:sz w:val="24"/>
          <w:szCs w:val="24"/>
        </w:rPr>
        <w:t xml:space="preserve">noted in probate inventories. </w:t>
      </w:r>
      <w:r w:rsidR="00F84EDF">
        <w:rPr>
          <w:rFonts w:ascii="Times New Roman" w:hAnsi="Times New Roman" w:cs="Times New Roman"/>
          <w:sz w:val="24"/>
          <w:szCs w:val="24"/>
        </w:rPr>
        <w:t xml:space="preserve">A wine cellar is listed in </w:t>
      </w:r>
      <w:r w:rsidR="00836604">
        <w:rPr>
          <w:rFonts w:ascii="Times New Roman" w:hAnsi="Times New Roman" w:cs="Times New Roman"/>
          <w:sz w:val="24"/>
          <w:szCs w:val="24"/>
        </w:rPr>
        <w:t xml:space="preserve">Robert </w:t>
      </w:r>
      <w:proofErr w:type="spellStart"/>
      <w:r w:rsidR="00836604">
        <w:rPr>
          <w:rFonts w:ascii="Times New Roman" w:hAnsi="Times New Roman" w:cs="Times New Roman"/>
          <w:sz w:val="24"/>
          <w:szCs w:val="24"/>
        </w:rPr>
        <w:t>Talkan’s</w:t>
      </w:r>
      <w:proofErr w:type="spellEnd"/>
      <w:r w:rsidR="00836604">
        <w:rPr>
          <w:rFonts w:ascii="Times New Roman" w:hAnsi="Times New Roman" w:cs="Times New Roman"/>
          <w:sz w:val="24"/>
          <w:szCs w:val="24"/>
        </w:rPr>
        <w:t xml:space="preserve"> inventory.</w:t>
      </w:r>
      <w:r w:rsidR="00836604">
        <w:rPr>
          <w:rStyle w:val="FootnoteReference"/>
          <w:rFonts w:ascii="Times New Roman" w:hAnsi="Times New Roman" w:cs="Times New Roman"/>
          <w:sz w:val="24"/>
          <w:szCs w:val="24"/>
        </w:rPr>
        <w:footnoteReference w:id="28"/>
      </w:r>
      <w:r w:rsidR="00836604">
        <w:rPr>
          <w:rFonts w:ascii="Times New Roman" w:hAnsi="Times New Roman" w:cs="Times New Roman"/>
          <w:sz w:val="24"/>
          <w:szCs w:val="24"/>
        </w:rPr>
        <w:t xml:space="preserve"> </w:t>
      </w:r>
      <w:r w:rsidR="002C6560">
        <w:rPr>
          <w:rFonts w:ascii="Times New Roman" w:hAnsi="Times New Roman" w:cs="Times New Roman"/>
          <w:sz w:val="24"/>
          <w:szCs w:val="24"/>
        </w:rPr>
        <w:t xml:space="preserve">Robert </w:t>
      </w:r>
      <w:proofErr w:type="spellStart"/>
      <w:r w:rsidR="002C6560">
        <w:rPr>
          <w:rFonts w:ascii="Times New Roman" w:hAnsi="Times New Roman" w:cs="Times New Roman"/>
          <w:sz w:val="24"/>
          <w:szCs w:val="24"/>
        </w:rPr>
        <w:t>Crakall’s</w:t>
      </w:r>
      <w:proofErr w:type="spellEnd"/>
      <w:r w:rsidR="002C6560">
        <w:rPr>
          <w:rFonts w:ascii="Times New Roman" w:hAnsi="Times New Roman" w:cs="Times New Roman"/>
          <w:sz w:val="24"/>
          <w:szCs w:val="24"/>
        </w:rPr>
        <w:t xml:space="preserve"> </w:t>
      </w:r>
      <w:r w:rsidR="00F84EDF">
        <w:rPr>
          <w:rFonts w:ascii="Times New Roman" w:hAnsi="Times New Roman" w:cs="Times New Roman"/>
          <w:sz w:val="24"/>
          <w:szCs w:val="24"/>
        </w:rPr>
        <w:t xml:space="preserve">cellar </w:t>
      </w:r>
      <w:r w:rsidR="002C6560">
        <w:rPr>
          <w:rFonts w:ascii="Times New Roman" w:hAnsi="Times New Roman" w:cs="Times New Roman"/>
          <w:sz w:val="24"/>
          <w:szCs w:val="24"/>
        </w:rPr>
        <w:t>served as a store</w:t>
      </w:r>
      <w:r w:rsidR="00F84EDF">
        <w:rPr>
          <w:rFonts w:ascii="Times New Roman" w:hAnsi="Times New Roman" w:cs="Times New Roman"/>
          <w:sz w:val="24"/>
          <w:szCs w:val="24"/>
        </w:rPr>
        <w:t xml:space="preserve"> for ale, but also for valuables</w:t>
      </w:r>
      <w:r w:rsidR="002C6560">
        <w:rPr>
          <w:rFonts w:ascii="Times New Roman" w:hAnsi="Times New Roman" w:cs="Times New Roman"/>
          <w:sz w:val="24"/>
          <w:szCs w:val="24"/>
        </w:rPr>
        <w:t xml:space="preserve"> inclu</w:t>
      </w:r>
      <w:r w:rsidR="00A50D4F">
        <w:rPr>
          <w:rFonts w:ascii="Times New Roman" w:hAnsi="Times New Roman" w:cs="Times New Roman"/>
          <w:sz w:val="24"/>
          <w:szCs w:val="24"/>
        </w:rPr>
        <w:t>ding silver plate and spoons. Similar items of value are found elsewhere together with napery.</w:t>
      </w:r>
      <w:r w:rsidR="00A50D4F">
        <w:rPr>
          <w:rStyle w:val="FootnoteReference"/>
          <w:rFonts w:ascii="Times New Roman" w:hAnsi="Times New Roman" w:cs="Times New Roman"/>
          <w:sz w:val="24"/>
          <w:szCs w:val="24"/>
        </w:rPr>
        <w:footnoteReference w:id="29"/>
      </w:r>
      <w:r w:rsidR="00836604" w:rsidRPr="00836604">
        <w:rPr>
          <w:rFonts w:ascii="Times New Roman" w:hAnsi="Times New Roman" w:cs="Times New Roman"/>
          <w:sz w:val="24"/>
          <w:szCs w:val="24"/>
        </w:rPr>
        <w:t xml:space="preserve"> </w:t>
      </w:r>
      <w:r w:rsidR="00194257">
        <w:rPr>
          <w:rFonts w:ascii="Times New Roman" w:eastAsia="Times New Roman" w:hAnsi="Times New Roman" w:cs="Times New Roman"/>
          <w:color w:val="000000"/>
          <w:sz w:val="24"/>
          <w:szCs w:val="24"/>
          <w:lang w:eastAsia="en-GB"/>
        </w:rPr>
        <w:t>In the low-lying and flood-prone city of York, the presence of underground cellars would be perhaps slightly</w:t>
      </w:r>
      <w:r w:rsidR="00194257">
        <w:rPr>
          <w:rFonts w:ascii="Times New Roman" w:eastAsia="Times New Roman" w:hAnsi="Times New Roman" w:cs="Times New Roman"/>
          <w:color w:val="000000"/>
          <w:sz w:val="24"/>
          <w:szCs w:val="24"/>
          <w:lang w:eastAsia="en-GB"/>
        </w:rPr>
        <w:t xml:space="preserve"> surprising</w:t>
      </w:r>
      <w:r w:rsidR="00194257">
        <w:rPr>
          <w:rFonts w:ascii="Times New Roman" w:eastAsia="Times New Roman" w:hAnsi="Times New Roman" w:cs="Times New Roman"/>
          <w:color w:val="000000"/>
          <w:sz w:val="24"/>
          <w:szCs w:val="24"/>
          <w:lang w:eastAsia="en-GB"/>
        </w:rPr>
        <w:t xml:space="preserve">. </w:t>
      </w:r>
      <w:r w:rsidR="00836604">
        <w:rPr>
          <w:rFonts w:ascii="Times New Roman" w:hAnsi="Times New Roman" w:cs="Times New Roman"/>
          <w:sz w:val="24"/>
          <w:szCs w:val="24"/>
        </w:rPr>
        <w:t xml:space="preserve">It may be that cellar storage spaces </w:t>
      </w:r>
      <w:r w:rsidR="0007772B">
        <w:rPr>
          <w:rFonts w:ascii="Times New Roman" w:hAnsi="Times New Roman" w:cs="Times New Roman"/>
          <w:sz w:val="24"/>
          <w:szCs w:val="24"/>
        </w:rPr>
        <w:t xml:space="preserve">sometimes </w:t>
      </w:r>
      <w:r w:rsidR="00836604">
        <w:rPr>
          <w:rFonts w:ascii="Times New Roman" w:hAnsi="Times New Roman" w:cs="Times New Roman"/>
          <w:sz w:val="24"/>
          <w:szCs w:val="24"/>
        </w:rPr>
        <w:t>represent comparatively shallow excavations taking the floor below ground level, but not necessarily creating entirely subterranean spaces.</w:t>
      </w:r>
      <w:r w:rsidR="00194257">
        <w:rPr>
          <w:rStyle w:val="FootnoteReference"/>
          <w:rFonts w:ascii="Times New Roman" w:eastAsia="Times New Roman" w:hAnsi="Times New Roman" w:cs="Times New Roman"/>
          <w:color w:val="000000"/>
          <w:sz w:val="24"/>
          <w:szCs w:val="24"/>
          <w:lang w:eastAsia="en-GB"/>
        </w:rPr>
        <w:footnoteReference w:id="30"/>
      </w:r>
      <w:r w:rsidR="00836604">
        <w:rPr>
          <w:rFonts w:ascii="Times New Roman" w:hAnsi="Times New Roman" w:cs="Times New Roman"/>
          <w:sz w:val="24"/>
          <w:szCs w:val="24"/>
        </w:rPr>
        <w:t xml:space="preserve"> The grill linking the cellar with the parlour was implicitly at eye level suggesting that the floor level was only some </w:t>
      </w:r>
      <w:r w:rsidR="0007772B">
        <w:rPr>
          <w:rFonts w:ascii="Times New Roman" w:hAnsi="Times New Roman" w:cs="Times New Roman"/>
          <w:sz w:val="24"/>
          <w:szCs w:val="24"/>
        </w:rPr>
        <w:t xml:space="preserve">four or </w:t>
      </w:r>
      <w:r w:rsidR="00836604">
        <w:rPr>
          <w:rFonts w:ascii="Times New Roman" w:hAnsi="Times New Roman" w:cs="Times New Roman"/>
          <w:sz w:val="24"/>
          <w:szCs w:val="24"/>
        </w:rPr>
        <w:t>five feet below ground.</w:t>
      </w:r>
    </w:p>
    <w:p w14:paraId="2D193376" w14:textId="531EF48D" w:rsidR="00613FAB" w:rsidRDefault="001A33EE" w:rsidP="001F6A14">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Several</w:t>
      </w:r>
      <w:r w:rsidR="000F60B9">
        <w:rPr>
          <w:rFonts w:ascii="Times New Roman" w:eastAsia="Times New Roman" w:hAnsi="Times New Roman" w:cs="Times New Roman"/>
          <w:color w:val="000000"/>
          <w:sz w:val="24"/>
          <w:szCs w:val="24"/>
          <w:lang w:eastAsia="en-GB"/>
        </w:rPr>
        <w:t xml:space="preserve"> inventories describe </w:t>
      </w:r>
      <w:proofErr w:type="spellStart"/>
      <w:r w:rsidR="000F60B9">
        <w:rPr>
          <w:rFonts w:ascii="Times New Roman" w:eastAsia="Times New Roman" w:hAnsi="Times New Roman" w:cs="Times New Roman"/>
          <w:color w:val="000000"/>
          <w:sz w:val="24"/>
          <w:szCs w:val="24"/>
          <w:lang w:eastAsia="en-GB"/>
        </w:rPr>
        <w:t>brewhouses</w:t>
      </w:r>
      <w:proofErr w:type="spellEnd"/>
      <w:r w:rsidR="000F60B9">
        <w:rPr>
          <w:rFonts w:ascii="Times New Roman" w:eastAsia="Times New Roman" w:hAnsi="Times New Roman" w:cs="Times New Roman"/>
          <w:color w:val="000000"/>
          <w:sz w:val="24"/>
          <w:szCs w:val="24"/>
          <w:lang w:eastAsia="en-GB"/>
        </w:rPr>
        <w:t xml:space="preserve">, </w:t>
      </w:r>
      <w:proofErr w:type="spellStart"/>
      <w:r w:rsidR="000F60B9">
        <w:rPr>
          <w:rFonts w:ascii="Times New Roman" w:eastAsia="Times New Roman" w:hAnsi="Times New Roman" w:cs="Times New Roman"/>
          <w:color w:val="000000"/>
          <w:sz w:val="24"/>
          <w:szCs w:val="24"/>
          <w:lang w:eastAsia="en-GB"/>
        </w:rPr>
        <w:t>gilehouses</w:t>
      </w:r>
      <w:proofErr w:type="spellEnd"/>
      <w:r w:rsidR="001423B1">
        <w:rPr>
          <w:rFonts w:ascii="Times New Roman" w:eastAsia="Times New Roman" w:hAnsi="Times New Roman" w:cs="Times New Roman"/>
          <w:color w:val="000000"/>
          <w:sz w:val="24"/>
          <w:szCs w:val="24"/>
          <w:lang w:eastAsia="en-GB"/>
        </w:rPr>
        <w:t xml:space="preserve"> –</w:t>
      </w:r>
      <w:r w:rsidR="00217084">
        <w:rPr>
          <w:rFonts w:ascii="Times New Roman" w:eastAsia="Times New Roman" w:hAnsi="Times New Roman" w:cs="Times New Roman"/>
          <w:color w:val="000000"/>
          <w:sz w:val="24"/>
          <w:szCs w:val="24"/>
          <w:lang w:eastAsia="en-GB"/>
        </w:rPr>
        <w:t xml:space="preserve"> for</w:t>
      </w:r>
      <w:r w:rsidR="004F66D0">
        <w:rPr>
          <w:rFonts w:ascii="Times New Roman" w:eastAsia="Times New Roman" w:hAnsi="Times New Roman" w:cs="Times New Roman"/>
          <w:color w:val="000000"/>
          <w:sz w:val="24"/>
          <w:szCs w:val="24"/>
          <w:lang w:eastAsia="en-GB"/>
        </w:rPr>
        <w:t xml:space="preserve"> the </w:t>
      </w:r>
      <w:r w:rsidR="000F60B9">
        <w:rPr>
          <w:rFonts w:ascii="Times New Roman" w:eastAsia="Times New Roman" w:hAnsi="Times New Roman" w:cs="Times New Roman"/>
          <w:color w:val="000000"/>
          <w:sz w:val="24"/>
          <w:szCs w:val="24"/>
          <w:lang w:eastAsia="en-GB"/>
        </w:rPr>
        <w:t>fermenti</w:t>
      </w:r>
      <w:r w:rsidR="00217084">
        <w:rPr>
          <w:rFonts w:ascii="Times New Roman" w:eastAsia="Times New Roman" w:hAnsi="Times New Roman" w:cs="Times New Roman"/>
          <w:color w:val="000000"/>
          <w:sz w:val="24"/>
          <w:szCs w:val="24"/>
          <w:lang w:eastAsia="en-GB"/>
        </w:rPr>
        <w:t xml:space="preserve">ng </w:t>
      </w:r>
      <w:r w:rsidR="004F66D0">
        <w:rPr>
          <w:rFonts w:ascii="Times New Roman" w:eastAsia="Times New Roman" w:hAnsi="Times New Roman" w:cs="Times New Roman"/>
          <w:color w:val="000000"/>
          <w:sz w:val="24"/>
          <w:szCs w:val="24"/>
          <w:lang w:eastAsia="en-GB"/>
        </w:rPr>
        <w:t xml:space="preserve">of </w:t>
      </w:r>
      <w:r w:rsidR="00217084">
        <w:rPr>
          <w:rFonts w:ascii="Times New Roman" w:eastAsia="Times New Roman" w:hAnsi="Times New Roman" w:cs="Times New Roman"/>
          <w:color w:val="000000"/>
          <w:sz w:val="24"/>
          <w:szCs w:val="24"/>
          <w:lang w:eastAsia="en-GB"/>
        </w:rPr>
        <w:t>wort for brewing</w:t>
      </w:r>
      <w:r w:rsidR="000F60B9">
        <w:rPr>
          <w:rFonts w:ascii="Times New Roman" w:eastAsia="Times New Roman" w:hAnsi="Times New Roman" w:cs="Times New Roman"/>
          <w:color w:val="000000"/>
          <w:sz w:val="24"/>
          <w:szCs w:val="24"/>
          <w:lang w:eastAsia="en-GB"/>
        </w:rPr>
        <w:t>, and</w:t>
      </w:r>
      <w:r w:rsidR="00836604">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in a few instances</w:t>
      </w:r>
      <w:r w:rsidR="00836604">
        <w:rPr>
          <w:rFonts w:ascii="Times New Roman" w:eastAsia="Times New Roman" w:hAnsi="Times New Roman" w:cs="Times New Roman"/>
          <w:color w:val="000000"/>
          <w:sz w:val="24"/>
          <w:szCs w:val="24"/>
          <w:lang w:eastAsia="en-GB"/>
        </w:rPr>
        <w:t>,</w:t>
      </w:r>
      <w:r w:rsidR="000F60B9">
        <w:rPr>
          <w:rFonts w:ascii="Times New Roman" w:eastAsia="Times New Roman" w:hAnsi="Times New Roman" w:cs="Times New Roman"/>
          <w:color w:val="000000"/>
          <w:sz w:val="24"/>
          <w:szCs w:val="24"/>
          <w:lang w:eastAsia="en-GB"/>
        </w:rPr>
        <w:t xml:space="preserve"> </w:t>
      </w:r>
      <w:proofErr w:type="spellStart"/>
      <w:r w:rsidR="000F60B9">
        <w:rPr>
          <w:rFonts w:ascii="Times New Roman" w:eastAsia="Times New Roman" w:hAnsi="Times New Roman" w:cs="Times New Roman"/>
          <w:color w:val="000000"/>
          <w:sz w:val="24"/>
          <w:szCs w:val="24"/>
          <w:lang w:eastAsia="en-GB"/>
        </w:rPr>
        <w:t>bakehouses</w:t>
      </w:r>
      <w:proofErr w:type="spellEnd"/>
      <w:r w:rsidR="000F60B9">
        <w:rPr>
          <w:rFonts w:ascii="Times New Roman" w:eastAsia="Times New Roman" w:hAnsi="Times New Roman" w:cs="Times New Roman"/>
          <w:color w:val="000000"/>
          <w:sz w:val="24"/>
          <w:szCs w:val="24"/>
          <w:lang w:eastAsia="en-GB"/>
        </w:rPr>
        <w:t>.</w:t>
      </w:r>
      <w:r w:rsidR="00B64846">
        <w:rPr>
          <w:rStyle w:val="FootnoteReference"/>
          <w:rFonts w:ascii="Times New Roman" w:eastAsia="Times New Roman" w:hAnsi="Times New Roman" w:cs="Times New Roman"/>
          <w:color w:val="000000"/>
          <w:sz w:val="24"/>
          <w:szCs w:val="24"/>
          <w:lang w:eastAsia="en-GB"/>
        </w:rPr>
        <w:footnoteReference w:id="31"/>
      </w:r>
      <w:r w:rsidR="000F60B9">
        <w:rPr>
          <w:rFonts w:ascii="Times New Roman" w:eastAsia="Times New Roman" w:hAnsi="Times New Roman" w:cs="Times New Roman"/>
          <w:color w:val="000000"/>
          <w:sz w:val="24"/>
          <w:szCs w:val="24"/>
          <w:lang w:eastAsia="en-GB"/>
        </w:rPr>
        <w:t xml:space="preserve"> </w:t>
      </w:r>
      <w:r w:rsidR="00241935">
        <w:rPr>
          <w:rFonts w:ascii="Times New Roman" w:eastAsia="Times New Roman" w:hAnsi="Times New Roman" w:cs="Times New Roman"/>
          <w:color w:val="000000"/>
          <w:sz w:val="24"/>
          <w:szCs w:val="24"/>
          <w:lang w:eastAsia="en-GB"/>
        </w:rPr>
        <w:t>These</w:t>
      </w:r>
      <w:r w:rsidR="000F60B9">
        <w:rPr>
          <w:rFonts w:ascii="Times New Roman" w:eastAsia="Times New Roman" w:hAnsi="Times New Roman" w:cs="Times New Roman"/>
          <w:color w:val="000000"/>
          <w:sz w:val="24"/>
          <w:szCs w:val="24"/>
          <w:lang w:eastAsia="en-GB"/>
        </w:rPr>
        <w:t xml:space="preserve"> were presuma</w:t>
      </w:r>
      <w:r w:rsidR="00217084">
        <w:rPr>
          <w:rFonts w:ascii="Times New Roman" w:eastAsia="Times New Roman" w:hAnsi="Times New Roman" w:cs="Times New Roman"/>
          <w:color w:val="000000"/>
          <w:sz w:val="24"/>
          <w:szCs w:val="24"/>
          <w:lang w:eastAsia="en-GB"/>
        </w:rPr>
        <w:t>bly adjacent or i</w:t>
      </w:r>
      <w:r w:rsidR="000F60B9">
        <w:rPr>
          <w:rFonts w:ascii="Times New Roman" w:eastAsia="Times New Roman" w:hAnsi="Times New Roman" w:cs="Times New Roman"/>
          <w:color w:val="000000"/>
          <w:sz w:val="24"/>
          <w:szCs w:val="24"/>
          <w:lang w:eastAsia="en-GB"/>
        </w:rPr>
        <w:t>n close proximity to the main house, but physi</w:t>
      </w:r>
      <w:r w:rsidR="00046F84">
        <w:rPr>
          <w:rFonts w:ascii="Times New Roman" w:eastAsia="Times New Roman" w:hAnsi="Times New Roman" w:cs="Times New Roman"/>
          <w:color w:val="000000"/>
          <w:sz w:val="24"/>
          <w:szCs w:val="24"/>
          <w:lang w:eastAsia="en-GB"/>
        </w:rPr>
        <w:t xml:space="preserve">cally separate as was </w:t>
      </w:r>
      <w:r w:rsidR="000F60B9">
        <w:rPr>
          <w:rFonts w:ascii="Times New Roman" w:eastAsia="Times New Roman" w:hAnsi="Times New Roman" w:cs="Times New Roman"/>
          <w:color w:val="000000"/>
          <w:sz w:val="24"/>
          <w:szCs w:val="24"/>
          <w:lang w:eastAsia="en-GB"/>
        </w:rPr>
        <w:t xml:space="preserve">the case in respect of grander houses. </w:t>
      </w:r>
      <w:r w:rsidR="00046F84">
        <w:rPr>
          <w:rFonts w:ascii="Times New Roman" w:eastAsia="Times New Roman" w:hAnsi="Times New Roman" w:cs="Times New Roman"/>
          <w:color w:val="000000"/>
          <w:sz w:val="24"/>
          <w:szCs w:val="24"/>
          <w:lang w:eastAsia="en-GB"/>
        </w:rPr>
        <w:t>Sometim</w:t>
      </w:r>
      <w:r w:rsidR="00AF55D5">
        <w:rPr>
          <w:rFonts w:ascii="Times New Roman" w:eastAsia="Times New Roman" w:hAnsi="Times New Roman" w:cs="Times New Roman"/>
          <w:color w:val="000000"/>
          <w:sz w:val="24"/>
          <w:szCs w:val="24"/>
          <w:lang w:eastAsia="en-GB"/>
        </w:rPr>
        <w:t xml:space="preserve">es these constituted the working spaces of </w:t>
      </w:r>
      <w:r w:rsidR="00836604">
        <w:rPr>
          <w:rFonts w:ascii="Times New Roman" w:eastAsia="Times New Roman" w:hAnsi="Times New Roman" w:cs="Times New Roman"/>
          <w:color w:val="000000"/>
          <w:sz w:val="24"/>
          <w:szCs w:val="24"/>
          <w:lang w:eastAsia="en-GB"/>
        </w:rPr>
        <w:t xml:space="preserve">a </w:t>
      </w:r>
      <w:r w:rsidR="00AF55D5">
        <w:rPr>
          <w:rFonts w:ascii="Times New Roman" w:eastAsia="Times New Roman" w:hAnsi="Times New Roman" w:cs="Times New Roman"/>
          <w:color w:val="000000"/>
          <w:sz w:val="24"/>
          <w:szCs w:val="24"/>
          <w:lang w:eastAsia="en-GB"/>
        </w:rPr>
        <w:t>householder in respect of h</w:t>
      </w:r>
      <w:r w:rsidR="00B64846">
        <w:rPr>
          <w:rFonts w:ascii="Times New Roman" w:eastAsia="Times New Roman" w:hAnsi="Times New Roman" w:cs="Times New Roman"/>
          <w:color w:val="000000"/>
          <w:sz w:val="24"/>
          <w:szCs w:val="24"/>
          <w:lang w:eastAsia="en-GB"/>
        </w:rPr>
        <w:t xml:space="preserve">is </w:t>
      </w:r>
      <w:r w:rsidR="00836604">
        <w:rPr>
          <w:rFonts w:ascii="Times New Roman" w:eastAsia="Times New Roman" w:hAnsi="Times New Roman" w:cs="Times New Roman"/>
          <w:color w:val="000000"/>
          <w:sz w:val="24"/>
          <w:szCs w:val="24"/>
          <w:lang w:eastAsia="en-GB"/>
        </w:rPr>
        <w:t xml:space="preserve">(or her) </w:t>
      </w:r>
      <w:r w:rsidR="00B64846">
        <w:rPr>
          <w:rFonts w:ascii="Times New Roman" w:eastAsia="Times New Roman" w:hAnsi="Times New Roman" w:cs="Times New Roman"/>
          <w:color w:val="000000"/>
          <w:sz w:val="24"/>
          <w:szCs w:val="24"/>
          <w:lang w:eastAsia="en-GB"/>
        </w:rPr>
        <w:t>craft as brewer or as baker. The baker</w:t>
      </w:r>
      <w:r w:rsidR="009D48AA">
        <w:rPr>
          <w:rFonts w:ascii="Times New Roman" w:eastAsia="Times New Roman" w:hAnsi="Times New Roman" w:cs="Times New Roman"/>
          <w:color w:val="000000"/>
          <w:sz w:val="24"/>
          <w:szCs w:val="24"/>
          <w:lang w:eastAsia="en-GB"/>
        </w:rPr>
        <w:t>,</w:t>
      </w:r>
      <w:r w:rsidR="00B64846">
        <w:rPr>
          <w:rFonts w:ascii="Times New Roman" w:eastAsia="Times New Roman" w:hAnsi="Times New Roman" w:cs="Times New Roman"/>
          <w:color w:val="000000"/>
          <w:sz w:val="24"/>
          <w:szCs w:val="24"/>
          <w:lang w:eastAsia="en-GB"/>
        </w:rPr>
        <w:t xml:space="preserve"> Thomas </w:t>
      </w:r>
      <w:proofErr w:type="spellStart"/>
      <w:r w:rsidR="00B64846">
        <w:rPr>
          <w:rFonts w:ascii="Times New Roman" w:eastAsia="Times New Roman" w:hAnsi="Times New Roman" w:cs="Times New Roman"/>
          <w:color w:val="000000"/>
          <w:sz w:val="24"/>
          <w:szCs w:val="24"/>
          <w:lang w:eastAsia="en-GB"/>
        </w:rPr>
        <w:t>Overdo</w:t>
      </w:r>
      <w:r w:rsidR="009D48AA">
        <w:rPr>
          <w:rFonts w:ascii="Times New Roman" w:eastAsia="Times New Roman" w:hAnsi="Times New Roman" w:cs="Times New Roman"/>
          <w:color w:val="000000"/>
          <w:sz w:val="24"/>
          <w:szCs w:val="24"/>
          <w:lang w:eastAsia="en-GB"/>
        </w:rPr>
        <w:t>’s</w:t>
      </w:r>
      <w:proofErr w:type="spellEnd"/>
      <w:r w:rsidR="009D48AA">
        <w:rPr>
          <w:rFonts w:ascii="Times New Roman" w:eastAsia="Times New Roman" w:hAnsi="Times New Roman" w:cs="Times New Roman"/>
          <w:color w:val="000000"/>
          <w:sz w:val="24"/>
          <w:szCs w:val="24"/>
          <w:lang w:eastAsia="en-GB"/>
        </w:rPr>
        <w:t xml:space="preserve"> inventory has los</w:t>
      </w:r>
      <w:r w:rsidR="00E1567F">
        <w:rPr>
          <w:rFonts w:ascii="Times New Roman" w:eastAsia="Times New Roman" w:hAnsi="Times New Roman" w:cs="Times New Roman"/>
          <w:color w:val="000000"/>
          <w:sz w:val="24"/>
          <w:szCs w:val="24"/>
          <w:lang w:eastAsia="en-GB"/>
        </w:rPr>
        <w:t xml:space="preserve">t its headings, but </w:t>
      </w:r>
      <w:r w:rsidR="009D48AA">
        <w:rPr>
          <w:rFonts w:ascii="Times New Roman" w:eastAsia="Times New Roman" w:hAnsi="Times New Roman" w:cs="Times New Roman"/>
          <w:color w:val="000000"/>
          <w:sz w:val="24"/>
          <w:szCs w:val="24"/>
          <w:lang w:eastAsia="en-GB"/>
        </w:rPr>
        <w:t xml:space="preserve">had separate spaces for brewing and </w:t>
      </w:r>
      <w:r w:rsidR="00E1567F">
        <w:rPr>
          <w:rFonts w:ascii="Times New Roman" w:eastAsia="Times New Roman" w:hAnsi="Times New Roman" w:cs="Times New Roman"/>
          <w:color w:val="000000"/>
          <w:sz w:val="24"/>
          <w:szCs w:val="24"/>
          <w:lang w:eastAsia="en-GB"/>
        </w:rPr>
        <w:t>for baking</w:t>
      </w:r>
      <w:r w:rsidR="009D48AA">
        <w:rPr>
          <w:rFonts w:ascii="Times New Roman" w:eastAsia="Times New Roman" w:hAnsi="Times New Roman" w:cs="Times New Roman"/>
          <w:color w:val="000000"/>
          <w:sz w:val="24"/>
          <w:szCs w:val="24"/>
          <w:lang w:eastAsia="en-GB"/>
        </w:rPr>
        <w:t>.</w:t>
      </w:r>
      <w:r w:rsidR="009D48AA">
        <w:rPr>
          <w:rStyle w:val="FootnoteReference"/>
          <w:rFonts w:ascii="Times New Roman" w:eastAsia="Times New Roman" w:hAnsi="Times New Roman" w:cs="Times New Roman"/>
          <w:color w:val="000000"/>
          <w:sz w:val="24"/>
          <w:szCs w:val="24"/>
          <w:lang w:eastAsia="en-GB"/>
        </w:rPr>
        <w:footnoteReference w:id="32"/>
      </w:r>
      <w:r w:rsidR="00217084">
        <w:rPr>
          <w:rFonts w:ascii="Times New Roman" w:eastAsia="Times New Roman" w:hAnsi="Times New Roman" w:cs="Times New Roman"/>
          <w:color w:val="000000"/>
          <w:sz w:val="24"/>
          <w:szCs w:val="24"/>
          <w:lang w:eastAsia="en-GB"/>
        </w:rPr>
        <w:t xml:space="preserve"> </w:t>
      </w:r>
      <w:r w:rsidR="001F6A14">
        <w:rPr>
          <w:rFonts w:ascii="Times New Roman" w:eastAsia="Times New Roman" w:hAnsi="Times New Roman" w:cs="Times New Roman"/>
          <w:color w:val="000000"/>
          <w:sz w:val="24"/>
          <w:szCs w:val="24"/>
          <w:lang w:eastAsia="en-GB"/>
        </w:rPr>
        <w:t xml:space="preserve">William </w:t>
      </w:r>
      <w:proofErr w:type="spellStart"/>
      <w:r w:rsidR="001F6A14">
        <w:rPr>
          <w:rFonts w:ascii="Times New Roman" w:eastAsia="Times New Roman" w:hAnsi="Times New Roman" w:cs="Times New Roman"/>
          <w:color w:val="000000"/>
          <w:sz w:val="24"/>
          <w:szCs w:val="24"/>
          <w:lang w:eastAsia="en-GB"/>
        </w:rPr>
        <w:t>Coltman</w:t>
      </w:r>
      <w:proofErr w:type="spellEnd"/>
      <w:r w:rsidR="001F6A14">
        <w:rPr>
          <w:rFonts w:ascii="Times New Roman" w:eastAsia="Times New Roman" w:hAnsi="Times New Roman" w:cs="Times New Roman"/>
          <w:color w:val="000000"/>
          <w:sz w:val="24"/>
          <w:szCs w:val="24"/>
          <w:lang w:eastAsia="en-GB"/>
        </w:rPr>
        <w:t xml:space="preserve">, brewer, </w:t>
      </w:r>
      <w:r w:rsidR="008E35ED">
        <w:rPr>
          <w:rFonts w:ascii="Times New Roman" w:eastAsia="Times New Roman" w:hAnsi="Times New Roman" w:cs="Times New Roman"/>
          <w:color w:val="000000"/>
          <w:sz w:val="24"/>
          <w:szCs w:val="24"/>
          <w:lang w:eastAsia="en-GB"/>
        </w:rPr>
        <w:t xml:space="preserve">who </w:t>
      </w:r>
      <w:r w:rsidR="001F6A14">
        <w:rPr>
          <w:rFonts w:ascii="Times New Roman" w:eastAsia="Times New Roman" w:hAnsi="Times New Roman" w:cs="Times New Roman"/>
          <w:color w:val="000000"/>
          <w:sz w:val="24"/>
          <w:szCs w:val="24"/>
          <w:lang w:eastAsia="en-GB"/>
        </w:rPr>
        <w:t xml:space="preserve">possessed a </w:t>
      </w:r>
      <w:proofErr w:type="spellStart"/>
      <w:r w:rsidR="001F6A14">
        <w:rPr>
          <w:rFonts w:ascii="Times New Roman" w:eastAsia="Times New Roman" w:hAnsi="Times New Roman" w:cs="Times New Roman"/>
          <w:color w:val="000000"/>
          <w:sz w:val="24"/>
          <w:szCs w:val="24"/>
          <w:lang w:eastAsia="en-GB"/>
        </w:rPr>
        <w:t>gi</w:t>
      </w:r>
      <w:r w:rsidR="00E1567F">
        <w:rPr>
          <w:rFonts w:ascii="Times New Roman" w:eastAsia="Times New Roman" w:hAnsi="Times New Roman" w:cs="Times New Roman"/>
          <w:color w:val="000000"/>
          <w:sz w:val="24"/>
          <w:szCs w:val="24"/>
          <w:lang w:eastAsia="en-GB"/>
        </w:rPr>
        <w:t>lehouse</w:t>
      </w:r>
      <w:proofErr w:type="spellEnd"/>
      <w:r w:rsidR="00E1567F">
        <w:rPr>
          <w:rFonts w:ascii="Times New Roman" w:eastAsia="Times New Roman" w:hAnsi="Times New Roman" w:cs="Times New Roman"/>
          <w:color w:val="000000"/>
          <w:sz w:val="24"/>
          <w:szCs w:val="24"/>
          <w:lang w:eastAsia="en-GB"/>
        </w:rPr>
        <w:t xml:space="preserve"> containing </w:t>
      </w:r>
      <w:r w:rsidR="008E35ED">
        <w:rPr>
          <w:rFonts w:ascii="Times New Roman" w:eastAsia="Times New Roman" w:hAnsi="Times New Roman" w:cs="Times New Roman"/>
          <w:color w:val="000000"/>
          <w:sz w:val="24"/>
          <w:szCs w:val="24"/>
          <w:lang w:eastAsia="en-GB"/>
        </w:rPr>
        <w:t xml:space="preserve">brewing equipment, </w:t>
      </w:r>
      <w:r w:rsidR="00A478AA">
        <w:rPr>
          <w:rFonts w:ascii="Times New Roman" w:eastAsia="Times New Roman" w:hAnsi="Times New Roman" w:cs="Times New Roman"/>
          <w:color w:val="000000"/>
          <w:sz w:val="24"/>
          <w:szCs w:val="24"/>
          <w:lang w:eastAsia="en-GB"/>
        </w:rPr>
        <w:t>additionally</w:t>
      </w:r>
      <w:r w:rsidR="001F6A14">
        <w:rPr>
          <w:rFonts w:ascii="Times New Roman" w:eastAsia="Times New Roman" w:hAnsi="Times New Roman" w:cs="Times New Roman"/>
          <w:color w:val="000000"/>
          <w:sz w:val="24"/>
          <w:szCs w:val="24"/>
          <w:lang w:eastAsia="en-GB"/>
        </w:rPr>
        <w:t xml:space="preserve"> had a </w:t>
      </w:r>
      <w:proofErr w:type="spellStart"/>
      <w:r w:rsidR="001F6A14">
        <w:rPr>
          <w:rFonts w:ascii="Times New Roman" w:eastAsia="Times New Roman" w:hAnsi="Times New Roman" w:cs="Times New Roman"/>
          <w:color w:val="000000"/>
          <w:sz w:val="24"/>
          <w:szCs w:val="24"/>
          <w:lang w:eastAsia="en-GB"/>
        </w:rPr>
        <w:t>bulting</w:t>
      </w:r>
      <w:proofErr w:type="spellEnd"/>
      <w:r>
        <w:rPr>
          <w:rFonts w:ascii="Times New Roman" w:eastAsia="Times New Roman" w:hAnsi="Times New Roman" w:cs="Times New Roman"/>
          <w:color w:val="000000"/>
          <w:sz w:val="24"/>
          <w:szCs w:val="24"/>
          <w:lang w:eastAsia="en-GB"/>
        </w:rPr>
        <w:t>-</w:t>
      </w:r>
      <w:r w:rsidR="00217084">
        <w:rPr>
          <w:rFonts w:ascii="Times New Roman" w:eastAsia="Times New Roman" w:hAnsi="Times New Roman" w:cs="Times New Roman"/>
          <w:color w:val="000000"/>
          <w:sz w:val="24"/>
          <w:szCs w:val="24"/>
          <w:lang w:eastAsia="en-GB"/>
        </w:rPr>
        <w:t xml:space="preserve">house </w:t>
      </w:r>
      <w:r w:rsidR="001F6A14">
        <w:rPr>
          <w:rFonts w:ascii="Times New Roman" w:eastAsia="Times New Roman" w:hAnsi="Times New Roman" w:cs="Times New Roman"/>
          <w:color w:val="000000"/>
          <w:sz w:val="24"/>
          <w:szCs w:val="24"/>
          <w:lang w:eastAsia="en-GB"/>
        </w:rPr>
        <w:t>for the sifting of</w:t>
      </w:r>
      <w:r w:rsidR="00E1567F">
        <w:rPr>
          <w:rFonts w:ascii="Times New Roman" w:eastAsia="Times New Roman" w:hAnsi="Times New Roman" w:cs="Times New Roman"/>
          <w:color w:val="000000"/>
          <w:sz w:val="24"/>
          <w:szCs w:val="24"/>
          <w:lang w:eastAsia="en-GB"/>
        </w:rPr>
        <w:t xml:space="preserve"> flour, but also for preparing bread since it</w:t>
      </w:r>
      <w:r w:rsidR="001F6A14">
        <w:rPr>
          <w:rFonts w:ascii="Times New Roman" w:eastAsia="Times New Roman" w:hAnsi="Times New Roman" w:cs="Times New Roman"/>
          <w:color w:val="000000"/>
          <w:sz w:val="24"/>
          <w:szCs w:val="24"/>
          <w:lang w:eastAsia="en-GB"/>
        </w:rPr>
        <w:t xml:space="preserve"> contained dough troughs and tables.</w:t>
      </w:r>
      <w:r w:rsidR="00055C87">
        <w:rPr>
          <w:rStyle w:val="FootnoteReference"/>
          <w:rFonts w:ascii="Times New Roman" w:eastAsia="Times New Roman" w:hAnsi="Times New Roman" w:cs="Times New Roman"/>
          <w:color w:val="000000"/>
          <w:sz w:val="24"/>
          <w:szCs w:val="24"/>
          <w:lang w:eastAsia="en-GB"/>
        </w:rPr>
        <w:footnoteReference w:id="33"/>
      </w:r>
      <w:r w:rsidR="00E1567F">
        <w:rPr>
          <w:rFonts w:ascii="Times New Roman" w:eastAsia="Times New Roman" w:hAnsi="Times New Roman" w:cs="Times New Roman"/>
          <w:color w:val="000000"/>
          <w:sz w:val="24"/>
          <w:szCs w:val="24"/>
          <w:lang w:eastAsia="en-GB"/>
        </w:rPr>
        <w:t xml:space="preserve"> I</w:t>
      </w:r>
      <w:r w:rsidR="001356DF">
        <w:rPr>
          <w:rFonts w:ascii="Times New Roman" w:eastAsia="Times New Roman" w:hAnsi="Times New Roman" w:cs="Times New Roman"/>
          <w:color w:val="000000"/>
          <w:sz w:val="24"/>
          <w:szCs w:val="24"/>
          <w:lang w:eastAsia="en-GB"/>
        </w:rPr>
        <w:t xml:space="preserve">n </w:t>
      </w:r>
      <w:r w:rsidR="001356DF">
        <w:rPr>
          <w:rFonts w:ascii="Times New Roman" w:eastAsia="Times New Roman" w:hAnsi="Times New Roman" w:cs="Times New Roman"/>
          <w:color w:val="000000"/>
          <w:sz w:val="24"/>
          <w:szCs w:val="24"/>
          <w:lang w:eastAsia="en-GB"/>
        </w:rPr>
        <w:lastRenderedPageBreak/>
        <w:t xml:space="preserve">both instances </w:t>
      </w:r>
      <w:r w:rsidR="00055C87">
        <w:rPr>
          <w:rFonts w:ascii="Times New Roman" w:eastAsia="Times New Roman" w:hAnsi="Times New Roman" w:cs="Times New Roman"/>
          <w:color w:val="000000"/>
          <w:sz w:val="24"/>
          <w:szCs w:val="24"/>
          <w:lang w:eastAsia="en-GB"/>
        </w:rPr>
        <w:t xml:space="preserve">these men </w:t>
      </w:r>
      <w:r w:rsidR="00E1567F">
        <w:rPr>
          <w:rFonts w:ascii="Times New Roman" w:eastAsia="Times New Roman" w:hAnsi="Times New Roman" w:cs="Times New Roman"/>
          <w:color w:val="000000"/>
          <w:sz w:val="24"/>
          <w:szCs w:val="24"/>
          <w:lang w:eastAsia="en-GB"/>
        </w:rPr>
        <w:t xml:space="preserve">likely </w:t>
      </w:r>
      <w:r w:rsidR="00055C87">
        <w:rPr>
          <w:rFonts w:ascii="Times New Roman" w:eastAsia="Times New Roman" w:hAnsi="Times New Roman" w:cs="Times New Roman"/>
          <w:color w:val="000000"/>
          <w:sz w:val="24"/>
          <w:szCs w:val="24"/>
          <w:lang w:eastAsia="en-GB"/>
        </w:rPr>
        <w:t>retailed ale and</w:t>
      </w:r>
      <w:r w:rsidR="00E1567F">
        <w:rPr>
          <w:rFonts w:ascii="Times New Roman" w:eastAsia="Times New Roman" w:hAnsi="Times New Roman" w:cs="Times New Roman"/>
          <w:color w:val="000000"/>
          <w:sz w:val="24"/>
          <w:szCs w:val="24"/>
          <w:lang w:eastAsia="en-GB"/>
        </w:rPr>
        <w:t xml:space="preserve"> bread regardless of the </w:t>
      </w:r>
      <w:r w:rsidR="00055C87">
        <w:rPr>
          <w:rFonts w:ascii="Times New Roman" w:eastAsia="Times New Roman" w:hAnsi="Times New Roman" w:cs="Times New Roman"/>
          <w:color w:val="000000"/>
          <w:sz w:val="24"/>
          <w:szCs w:val="24"/>
          <w:lang w:eastAsia="en-GB"/>
        </w:rPr>
        <w:t xml:space="preserve">occupational designation attributed to them. </w:t>
      </w:r>
    </w:p>
    <w:p w14:paraId="3AD8025F" w14:textId="35CB7C9D" w:rsidR="00402620" w:rsidRDefault="00E1567F" w:rsidP="00613FA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w:t>
      </w:r>
      <w:r w:rsidR="0049666A">
        <w:rPr>
          <w:rFonts w:ascii="Times New Roman" w:eastAsia="Times New Roman" w:hAnsi="Times New Roman" w:cs="Times New Roman"/>
          <w:color w:val="000000"/>
          <w:sz w:val="24"/>
          <w:szCs w:val="24"/>
          <w:lang w:eastAsia="en-GB"/>
        </w:rPr>
        <w:t>parate provision for brewing is documented i</w:t>
      </w:r>
      <w:r w:rsidR="00613FAB">
        <w:rPr>
          <w:rFonts w:ascii="Times New Roman" w:eastAsia="Times New Roman" w:hAnsi="Times New Roman" w:cs="Times New Roman"/>
          <w:color w:val="000000"/>
          <w:sz w:val="24"/>
          <w:szCs w:val="24"/>
          <w:lang w:eastAsia="en-GB"/>
        </w:rPr>
        <w:t xml:space="preserve">n respect of </w:t>
      </w:r>
      <w:r>
        <w:rPr>
          <w:rFonts w:ascii="Times New Roman" w:eastAsia="Times New Roman" w:hAnsi="Times New Roman" w:cs="Times New Roman"/>
          <w:color w:val="000000"/>
          <w:sz w:val="24"/>
          <w:szCs w:val="24"/>
          <w:lang w:eastAsia="en-GB"/>
        </w:rPr>
        <w:t xml:space="preserve">two </w:t>
      </w:r>
      <w:r w:rsidR="00613FAB">
        <w:rPr>
          <w:rFonts w:ascii="Times New Roman" w:eastAsia="Times New Roman" w:hAnsi="Times New Roman" w:cs="Times New Roman"/>
          <w:color w:val="000000"/>
          <w:sz w:val="24"/>
          <w:szCs w:val="24"/>
          <w:lang w:eastAsia="en-GB"/>
        </w:rPr>
        <w:t>m</w:t>
      </w:r>
      <w:r w:rsidR="0065293B">
        <w:rPr>
          <w:rFonts w:ascii="Times New Roman" w:eastAsia="Times New Roman" w:hAnsi="Times New Roman" w:cs="Times New Roman"/>
          <w:color w:val="000000"/>
          <w:sz w:val="24"/>
          <w:szCs w:val="24"/>
          <w:lang w:eastAsia="en-GB"/>
        </w:rPr>
        <w:t xml:space="preserve">asons’ households. Another </w:t>
      </w:r>
      <w:r w:rsidR="00613FAB">
        <w:rPr>
          <w:rFonts w:ascii="Times New Roman" w:eastAsia="Times New Roman" w:hAnsi="Times New Roman" w:cs="Times New Roman"/>
          <w:color w:val="000000"/>
          <w:sz w:val="24"/>
          <w:szCs w:val="24"/>
          <w:lang w:eastAsia="en-GB"/>
        </w:rPr>
        <w:t xml:space="preserve">example is found in the case of the Beverley mason, John </w:t>
      </w:r>
      <w:proofErr w:type="spellStart"/>
      <w:r w:rsidR="00613FAB">
        <w:rPr>
          <w:rFonts w:ascii="Times New Roman" w:eastAsia="Times New Roman" w:hAnsi="Times New Roman" w:cs="Times New Roman"/>
          <w:color w:val="000000"/>
          <w:sz w:val="24"/>
          <w:szCs w:val="24"/>
          <w:lang w:eastAsia="en-GB"/>
        </w:rPr>
        <w:t>Cadeby</w:t>
      </w:r>
      <w:proofErr w:type="spellEnd"/>
      <w:r w:rsidR="00613FAB">
        <w:rPr>
          <w:rFonts w:ascii="Times New Roman" w:eastAsia="Times New Roman" w:hAnsi="Times New Roman" w:cs="Times New Roman"/>
          <w:color w:val="000000"/>
          <w:sz w:val="24"/>
          <w:szCs w:val="24"/>
          <w:lang w:eastAsia="en-GB"/>
        </w:rPr>
        <w:t>.</w:t>
      </w:r>
      <w:r w:rsidR="008E35ED">
        <w:rPr>
          <w:rStyle w:val="FootnoteReference"/>
          <w:rFonts w:ascii="Times New Roman" w:eastAsia="Times New Roman" w:hAnsi="Times New Roman" w:cs="Times New Roman"/>
          <w:color w:val="000000"/>
          <w:sz w:val="24"/>
          <w:szCs w:val="24"/>
          <w:lang w:eastAsia="en-GB"/>
        </w:rPr>
        <w:footnoteReference w:id="34"/>
      </w:r>
      <w:r w:rsidR="00613FAB">
        <w:rPr>
          <w:rFonts w:ascii="Times New Roman" w:eastAsia="Times New Roman" w:hAnsi="Times New Roman" w:cs="Times New Roman"/>
          <w:color w:val="000000"/>
          <w:sz w:val="24"/>
          <w:szCs w:val="24"/>
          <w:lang w:eastAsia="en-GB"/>
        </w:rPr>
        <w:t xml:space="preserve"> In all th</w:t>
      </w:r>
      <w:r w:rsidR="00163710">
        <w:rPr>
          <w:rFonts w:ascii="Times New Roman" w:eastAsia="Times New Roman" w:hAnsi="Times New Roman" w:cs="Times New Roman"/>
          <w:color w:val="000000"/>
          <w:sz w:val="24"/>
          <w:szCs w:val="24"/>
          <w:lang w:eastAsia="en-GB"/>
        </w:rPr>
        <w:t xml:space="preserve">ree cases </w:t>
      </w:r>
      <w:r w:rsidR="0049666A">
        <w:rPr>
          <w:rFonts w:ascii="Times New Roman" w:eastAsia="Times New Roman" w:hAnsi="Times New Roman" w:cs="Times New Roman"/>
          <w:color w:val="000000"/>
          <w:sz w:val="24"/>
          <w:szCs w:val="24"/>
          <w:lang w:eastAsia="en-GB"/>
        </w:rPr>
        <w:t xml:space="preserve">their wives </w:t>
      </w:r>
      <w:r w:rsidR="00163710">
        <w:rPr>
          <w:rFonts w:ascii="Times New Roman" w:eastAsia="Times New Roman" w:hAnsi="Times New Roman" w:cs="Times New Roman"/>
          <w:color w:val="000000"/>
          <w:sz w:val="24"/>
          <w:szCs w:val="24"/>
          <w:lang w:eastAsia="en-GB"/>
        </w:rPr>
        <w:t xml:space="preserve">probably </w:t>
      </w:r>
      <w:r w:rsidR="0049666A">
        <w:rPr>
          <w:rFonts w:ascii="Times New Roman" w:eastAsia="Times New Roman" w:hAnsi="Times New Roman" w:cs="Times New Roman"/>
          <w:color w:val="000000"/>
          <w:sz w:val="24"/>
          <w:szCs w:val="24"/>
          <w:lang w:eastAsia="en-GB"/>
        </w:rPr>
        <w:t>ran commercial brewing busi</w:t>
      </w:r>
      <w:r w:rsidR="00163710">
        <w:rPr>
          <w:rFonts w:ascii="Times New Roman" w:eastAsia="Times New Roman" w:hAnsi="Times New Roman" w:cs="Times New Roman"/>
          <w:color w:val="000000"/>
          <w:sz w:val="24"/>
          <w:szCs w:val="24"/>
          <w:lang w:eastAsia="en-GB"/>
        </w:rPr>
        <w:t>nesses</w:t>
      </w:r>
      <w:r w:rsidR="006C7B00">
        <w:rPr>
          <w:rFonts w:ascii="Times New Roman" w:eastAsia="Times New Roman" w:hAnsi="Times New Roman" w:cs="Times New Roman"/>
          <w:color w:val="000000"/>
          <w:sz w:val="24"/>
          <w:szCs w:val="24"/>
          <w:lang w:eastAsia="en-GB"/>
        </w:rPr>
        <w:t xml:space="preserve">. This was </w:t>
      </w:r>
      <w:r w:rsidR="0049666A">
        <w:rPr>
          <w:rFonts w:ascii="Times New Roman" w:eastAsia="Times New Roman" w:hAnsi="Times New Roman" w:cs="Times New Roman"/>
          <w:color w:val="000000"/>
          <w:sz w:val="24"/>
          <w:szCs w:val="24"/>
          <w:lang w:eastAsia="en-GB"/>
        </w:rPr>
        <w:t>true of Hugh Grantham and his wife Agnes</w:t>
      </w:r>
      <w:r w:rsidR="0065293B">
        <w:rPr>
          <w:rFonts w:ascii="Times New Roman" w:eastAsia="Times New Roman" w:hAnsi="Times New Roman" w:cs="Times New Roman"/>
          <w:color w:val="000000"/>
          <w:sz w:val="24"/>
          <w:szCs w:val="24"/>
          <w:lang w:eastAsia="en-GB"/>
        </w:rPr>
        <w:t>:</w:t>
      </w:r>
      <w:r w:rsidR="00163710">
        <w:rPr>
          <w:rFonts w:ascii="Times New Roman" w:eastAsia="Times New Roman" w:hAnsi="Times New Roman" w:cs="Times New Roman"/>
          <w:color w:val="000000"/>
          <w:sz w:val="24"/>
          <w:szCs w:val="24"/>
          <w:lang w:eastAsia="en-GB"/>
        </w:rPr>
        <w:t xml:space="preserve"> a matrimonial case </w:t>
      </w:r>
      <w:r w:rsidR="001356DF">
        <w:rPr>
          <w:rFonts w:ascii="Times New Roman" w:eastAsia="Times New Roman" w:hAnsi="Times New Roman" w:cs="Times New Roman"/>
          <w:color w:val="000000"/>
          <w:sz w:val="24"/>
          <w:szCs w:val="24"/>
          <w:lang w:eastAsia="en-GB"/>
        </w:rPr>
        <w:t xml:space="preserve">from </w:t>
      </w:r>
      <w:r w:rsidR="0049666A">
        <w:rPr>
          <w:rFonts w:ascii="Times New Roman" w:eastAsia="Times New Roman" w:hAnsi="Times New Roman" w:cs="Times New Roman"/>
          <w:color w:val="000000"/>
          <w:sz w:val="24"/>
          <w:szCs w:val="24"/>
          <w:lang w:eastAsia="en-GB"/>
        </w:rPr>
        <w:t xml:space="preserve">only months after his death </w:t>
      </w:r>
      <w:r w:rsidR="0065293B">
        <w:rPr>
          <w:rFonts w:ascii="Times New Roman" w:eastAsia="Times New Roman" w:hAnsi="Times New Roman" w:cs="Times New Roman"/>
          <w:color w:val="000000"/>
          <w:sz w:val="24"/>
          <w:szCs w:val="24"/>
          <w:lang w:eastAsia="en-GB"/>
        </w:rPr>
        <w:t xml:space="preserve">documents </w:t>
      </w:r>
      <w:r w:rsidR="0049666A">
        <w:rPr>
          <w:rFonts w:ascii="Times New Roman" w:eastAsia="Times New Roman" w:hAnsi="Times New Roman" w:cs="Times New Roman"/>
          <w:color w:val="000000"/>
          <w:sz w:val="24"/>
          <w:szCs w:val="24"/>
          <w:lang w:eastAsia="en-GB"/>
        </w:rPr>
        <w:t>that A</w:t>
      </w:r>
      <w:r w:rsidR="0065293B">
        <w:rPr>
          <w:rFonts w:ascii="Times New Roman" w:eastAsia="Times New Roman" w:hAnsi="Times New Roman" w:cs="Times New Roman"/>
          <w:color w:val="000000"/>
          <w:sz w:val="24"/>
          <w:szCs w:val="24"/>
          <w:lang w:eastAsia="en-GB"/>
        </w:rPr>
        <w:t>gnes employed</w:t>
      </w:r>
      <w:r w:rsidR="0049666A">
        <w:rPr>
          <w:rFonts w:ascii="Times New Roman" w:eastAsia="Times New Roman" w:hAnsi="Times New Roman" w:cs="Times New Roman"/>
          <w:color w:val="000000"/>
          <w:sz w:val="24"/>
          <w:szCs w:val="24"/>
          <w:lang w:eastAsia="en-GB"/>
        </w:rPr>
        <w:t xml:space="preserve"> female servants </w:t>
      </w:r>
      <w:r w:rsidR="0065293B">
        <w:rPr>
          <w:rFonts w:ascii="Times New Roman" w:eastAsia="Times New Roman" w:hAnsi="Times New Roman" w:cs="Times New Roman"/>
          <w:color w:val="000000"/>
          <w:sz w:val="24"/>
          <w:szCs w:val="24"/>
          <w:lang w:eastAsia="en-GB"/>
        </w:rPr>
        <w:t>in her brewing business</w:t>
      </w:r>
      <w:r w:rsidR="001356DF">
        <w:rPr>
          <w:rFonts w:ascii="Times New Roman" w:eastAsia="Times New Roman" w:hAnsi="Times New Roman" w:cs="Times New Roman"/>
          <w:color w:val="000000"/>
          <w:sz w:val="24"/>
          <w:szCs w:val="24"/>
          <w:lang w:eastAsia="en-GB"/>
        </w:rPr>
        <w:t>, supplying</w:t>
      </w:r>
      <w:r w:rsidR="0049666A">
        <w:rPr>
          <w:rFonts w:ascii="Times New Roman" w:eastAsia="Times New Roman" w:hAnsi="Times New Roman" w:cs="Times New Roman"/>
          <w:color w:val="000000"/>
          <w:sz w:val="24"/>
          <w:szCs w:val="24"/>
          <w:lang w:eastAsia="en-GB"/>
        </w:rPr>
        <w:t xml:space="preserve"> </w:t>
      </w:r>
      <w:r w:rsidR="0049666A" w:rsidRPr="005C63BA">
        <w:rPr>
          <w:rFonts w:ascii="Times New Roman" w:eastAsia="Times New Roman" w:hAnsi="Times New Roman" w:cs="Times New Roman"/>
          <w:i/>
          <w:color w:val="000000"/>
          <w:sz w:val="24"/>
          <w:szCs w:val="24"/>
          <w:lang w:eastAsia="en-GB"/>
        </w:rPr>
        <w:t>inter alia</w:t>
      </w:r>
      <w:r w:rsidR="0049666A">
        <w:rPr>
          <w:rFonts w:ascii="Times New Roman" w:eastAsia="Times New Roman" w:hAnsi="Times New Roman" w:cs="Times New Roman"/>
          <w:color w:val="000000"/>
          <w:sz w:val="24"/>
          <w:szCs w:val="24"/>
          <w:lang w:eastAsia="en-GB"/>
        </w:rPr>
        <w:t xml:space="preserve"> the household of the master of St Leonard’s hospital</w:t>
      </w:r>
      <w:r w:rsidR="006C7B00">
        <w:rPr>
          <w:rFonts w:ascii="Times New Roman" w:eastAsia="Times New Roman" w:hAnsi="Times New Roman" w:cs="Times New Roman"/>
          <w:color w:val="000000"/>
          <w:sz w:val="24"/>
          <w:szCs w:val="24"/>
          <w:lang w:eastAsia="en-GB"/>
        </w:rPr>
        <w:t>.</w:t>
      </w:r>
      <w:r w:rsidR="00163710">
        <w:rPr>
          <w:rStyle w:val="FootnoteReference"/>
          <w:rFonts w:ascii="Times New Roman" w:eastAsia="Times New Roman" w:hAnsi="Times New Roman" w:cs="Times New Roman"/>
          <w:color w:val="000000"/>
          <w:sz w:val="24"/>
          <w:szCs w:val="24"/>
          <w:lang w:eastAsia="en-GB"/>
        </w:rPr>
        <w:footnoteReference w:id="35"/>
      </w:r>
      <w:r w:rsidR="006C7B00">
        <w:rPr>
          <w:rFonts w:ascii="Times New Roman" w:eastAsia="Times New Roman" w:hAnsi="Times New Roman" w:cs="Times New Roman"/>
          <w:color w:val="000000"/>
          <w:sz w:val="24"/>
          <w:szCs w:val="24"/>
          <w:lang w:eastAsia="en-GB"/>
        </w:rPr>
        <w:t xml:space="preserve"> </w:t>
      </w:r>
      <w:r w:rsidR="00163710">
        <w:rPr>
          <w:rFonts w:ascii="Times New Roman" w:eastAsia="Times New Roman" w:hAnsi="Times New Roman" w:cs="Times New Roman"/>
          <w:color w:val="000000"/>
          <w:sz w:val="24"/>
          <w:szCs w:val="24"/>
          <w:lang w:eastAsia="en-GB"/>
        </w:rPr>
        <w:t>T</w:t>
      </w:r>
      <w:r w:rsidR="001A33EE">
        <w:rPr>
          <w:rFonts w:ascii="Times New Roman" w:eastAsia="Times New Roman" w:hAnsi="Times New Roman" w:cs="Times New Roman"/>
          <w:color w:val="000000"/>
          <w:sz w:val="24"/>
          <w:szCs w:val="24"/>
          <w:lang w:eastAsia="en-GB"/>
        </w:rPr>
        <w:t>he small number of other instances where separate accommodation for brewing is</w:t>
      </w:r>
      <w:r w:rsidR="00163710">
        <w:rPr>
          <w:rFonts w:ascii="Times New Roman" w:eastAsia="Times New Roman" w:hAnsi="Times New Roman" w:cs="Times New Roman"/>
          <w:color w:val="000000"/>
          <w:sz w:val="24"/>
          <w:szCs w:val="24"/>
          <w:lang w:eastAsia="en-GB"/>
        </w:rPr>
        <w:t xml:space="preserve"> recorded were</w:t>
      </w:r>
      <w:r w:rsidR="001A33EE">
        <w:rPr>
          <w:rFonts w:ascii="Times New Roman" w:eastAsia="Times New Roman" w:hAnsi="Times New Roman" w:cs="Times New Roman"/>
          <w:color w:val="000000"/>
          <w:sz w:val="24"/>
          <w:szCs w:val="24"/>
          <w:lang w:eastAsia="en-GB"/>
        </w:rPr>
        <w:t xml:space="preserve"> likely for domestic consumption.</w:t>
      </w:r>
      <w:r w:rsidR="001A33EE">
        <w:rPr>
          <w:rStyle w:val="FootnoteReference"/>
          <w:rFonts w:ascii="Times New Roman" w:eastAsia="Times New Roman" w:hAnsi="Times New Roman" w:cs="Times New Roman"/>
          <w:color w:val="000000"/>
          <w:sz w:val="24"/>
          <w:szCs w:val="24"/>
          <w:lang w:eastAsia="en-GB"/>
        </w:rPr>
        <w:footnoteReference w:id="36"/>
      </w:r>
      <w:r w:rsidR="001A33EE">
        <w:rPr>
          <w:rFonts w:ascii="Times New Roman" w:eastAsia="Times New Roman" w:hAnsi="Times New Roman" w:cs="Times New Roman"/>
          <w:color w:val="000000"/>
          <w:sz w:val="24"/>
          <w:szCs w:val="24"/>
          <w:lang w:eastAsia="en-GB"/>
        </w:rPr>
        <w:t xml:space="preserve"> </w:t>
      </w:r>
      <w:r w:rsidR="00402620">
        <w:rPr>
          <w:rFonts w:ascii="Times New Roman" w:eastAsia="Times New Roman" w:hAnsi="Times New Roman" w:cs="Times New Roman"/>
          <w:color w:val="000000"/>
          <w:sz w:val="24"/>
          <w:szCs w:val="24"/>
          <w:lang w:eastAsia="en-GB"/>
        </w:rPr>
        <w:t xml:space="preserve">The example of </w:t>
      </w:r>
      <w:r w:rsidR="004A3A55">
        <w:rPr>
          <w:rFonts w:ascii="Times New Roman" w:eastAsia="Times New Roman" w:hAnsi="Times New Roman" w:cs="Times New Roman"/>
          <w:color w:val="000000"/>
          <w:sz w:val="24"/>
          <w:szCs w:val="24"/>
          <w:lang w:eastAsia="en-GB"/>
        </w:rPr>
        <w:t xml:space="preserve">John </w:t>
      </w:r>
      <w:proofErr w:type="spellStart"/>
      <w:r w:rsidR="004A3A55">
        <w:rPr>
          <w:rFonts w:ascii="Times New Roman" w:eastAsia="Times New Roman" w:hAnsi="Times New Roman" w:cs="Times New Roman"/>
          <w:color w:val="000000"/>
          <w:sz w:val="24"/>
          <w:szCs w:val="24"/>
          <w:lang w:eastAsia="en-GB"/>
        </w:rPr>
        <w:t>Stubbes</w:t>
      </w:r>
      <w:proofErr w:type="spellEnd"/>
      <w:r w:rsidR="004A3A55">
        <w:rPr>
          <w:rFonts w:ascii="Times New Roman" w:eastAsia="Times New Roman" w:hAnsi="Times New Roman" w:cs="Times New Roman"/>
          <w:color w:val="000000"/>
          <w:sz w:val="24"/>
          <w:szCs w:val="24"/>
          <w:lang w:eastAsia="en-GB"/>
        </w:rPr>
        <w:t xml:space="preserve"> is un</w:t>
      </w:r>
      <w:r w:rsidR="00163710">
        <w:rPr>
          <w:rFonts w:ascii="Times New Roman" w:eastAsia="Times New Roman" w:hAnsi="Times New Roman" w:cs="Times New Roman"/>
          <w:color w:val="000000"/>
          <w:sz w:val="24"/>
          <w:szCs w:val="24"/>
          <w:lang w:eastAsia="en-GB"/>
        </w:rPr>
        <w:t xml:space="preserve">usual in that </w:t>
      </w:r>
      <w:r w:rsidR="00124307">
        <w:rPr>
          <w:rFonts w:ascii="Times New Roman" w:eastAsia="Times New Roman" w:hAnsi="Times New Roman" w:cs="Times New Roman"/>
          <w:color w:val="000000"/>
          <w:sz w:val="24"/>
          <w:szCs w:val="24"/>
          <w:lang w:eastAsia="en-GB"/>
        </w:rPr>
        <w:t xml:space="preserve">he </w:t>
      </w:r>
      <w:r w:rsidR="00163710">
        <w:rPr>
          <w:rFonts w:ascii="Times New Roman" w:eastAsia="Times New Roman" w:hAnsi="Times New Roman" w:cs="Times New Roman"/>
          <w:color w:val="000000"/>
          <w:sz w:val="24"/>
          <w:szCs w:val="24"/>
          <w:lang w:eastAsia="en-GB"/>
        </w:rPr>
        <w:t xml:space="preserve">likely </w:t>
      </w:r>
      <w:r w:rsidR="00124307">
        <w:rPr>
          <w:rFonts w:ascii="Times New Roman" w:eastAsia="Times New Roman" w:hAnsi="Times New Roman" w:cs="Times New Roman"/>
          <w:color w:val="000000"/>
          <w:sz w:val="24"/>
          <w:szCs w:val="24"/>
          <w:lang w:eastAsia="en-GB"/>
        </w:rPr>
        <w:t>ran a hostelry alongside his busine</w:t>
      </w:r>
      <w:r w:rsidR="00761783">
        <w:rPr>
          <w:rFonts w:ascii="Times New Roman" w:eastAsia="Times New Roman" w:hAnsi="Times New Roman" w:cs="Times New Roman"/>
          <w:color w:val="000000"/>
          <w:sz w:val="24"/>
          <w:szCs w:val="24"/>
          <w:lang w:eastAsia="en-GB"/>
        </w:rPr>
        <w:t xml:space="preserve">ss as a barber. His shop </w:t>
      </w:r>
      <w:r w:rsidR="00124307">
        <w:rPr>
          <w:rFonts w:ascii="Times New Roman" w:eastAsia="Times New Roman" w:hAnsi="Times New Roman" w:cs="Times New Roman"/>
          <w:color w:val="000000"/>
          <w:sz w:val="24"/>
          <w:szCs w:val="24"/>
          <w:lang w:eastAsia="en-GB"/>
        </w:rPr>
        <w:t xml:space="preserve">contained chairs, razors, basins and the like, </w:t>
      </w:r>
      <w:r w:rsidR="00761783">
        <w:rPr>
          <w:rFonts w:ascii="Times New Roman" w:eastAsia="Times New Roman" w:hAnsi="Times New Roman" w:cs="Times New Roman"/>
          <w:color w:val="000000"/>
          <w:sz w:val="24"/>
          <w:szCs w:val="24"/>
          <w:lang w:eastAsia="en-GB"/>
        </w:rPr>
        <w:t xml:space="preserve">and </w:t>
      </w:r>
      <w:r w:rsidR="00124307">
        <w:rPr>
          <w:rFonts w:ascii="Times New Roman" w:eastAsia="Times New Roman" w:hAnsi="Times New Roman" w:cs="Times New Roman"/>
          <w:color w:val="000000"/>
          <w:sz w:val="24"/>
          <w:szCs w:val="24"/>
          <w:lang w:eastAsia="en-GB"/>
        </w:rPr>
        <w:t xml:space="preserve">his house </w:t>
      </w:r>
      <w:r w:rsidR="0065293B">
        <w:rPr>
          <w:rFonts w:ascii="Times New Roman" w:eastAsia="Times New Roman" w:hAnsi="Times New Roman" w:cs="Times New Roman"/>
          <w:color w:val="000000"/>
          <w:sz w:val="24"/>
          <w:szCs w:val="24"/>
          <w:lang w:eastAsia="en-GB"/>
        </w:rPr>
        <w:t>boast</w:t>
      </w:r>
      <w:r w:rsidR="007E708E">
        <w:rPr>
          <w:rFonts w:ascii="Times New Roman" w:eastAsia="Times New Roman" w:hAnsi="Times New Roman" w:cs="Times New Roman"/>
          <w:color w:val="000000"/>
          <w:sz w:val="24"/>
          <w:szCs w:val="24"/>
          <w:lang w:eastAsia="en-GB"/>
        </w:rPr>
        <w:t xml:space="preserve">ed an unusual </w:t>
      </w:r>
      <w:r w:rsidR="00124307">
        <w:rPr>
          <w:rFonts w:ascii="Times New Roman" w:eastAsia="Times New Roman" w:hAnsi="Times New Roman" w:cs="Times New Roman"/>
          <w:color w:val="000000"/>
          <w:sz w:val="24"/>
          <w:szCs w:val="24"/>
          <w:lang w:eastAsia="en-GB"/>
        </w:rPr>
        <w:t xml:space="preserve">number of furnished chambers, including a chamber above the </w:t>
      </w:r>
      <w:proofErr w:type="spellStart"/>
      <w:r w:rsidR="00036D2D">
        <w:rPr>
          <w:rFonts w:ascii="Times New Roman" w:eastAsia="Times New Roman" w:hAnsi="Times New Roman" w:cs="Times New Roman"/>
          <w:color w:val="000000"/>
          <w:sz w:val="24"/>
          <w:szCs w:val="24"/>
          <w:lang w:eastAsia="en-GB"/>
        </w:rPr>
        <w:t>bulting</w:t>
      </w:r>
      <w:proofErr w:type="spellEnd"/>
      <w:r w:rsidR="00036D2D">
        <w:rPr>
          <w:rFonts w:ascii="Times New Roman" w:eastAsia="Times New Roman" w:hAnsi="Times New Roman" w:cs="Times New Roman"/>
          <w:color w:val="000000"/>
          <w:sz w:val="24"/>
          <w:szCs w:val="24"/>
          <w:lang w:eastAsia="en-GB"/>
        </w:rPr>
        <w:t>-house containing</w:t>
      </w:r>
      <w:r w:rsidR="00124307">
        <w:rPr>
          <w:rFonts w:ascii="Times New Roman" w:eastAsia="Times New Roman" w:hAnsi="Times New Roman" w:cs="Times New Roman"/>
          <w:color w:val="000000"/>
          <w:sz w:val="24"/>
          <w:szCs w:val="24"/>
          <w:lang w:eastAsia="en-GB"/>
        </w:rPr>
        <w:t xml:space="preserve"> beds and bedding</w:t>
      </w:r>
      <w:r w:rsidR="007E708E">
        <w:rPr>
          <w:rFonts w:ascii="Times New Roman" w:eastAsia="Times New Roman" w:hAnsi="Times New Roman" w:cs="Times New Roman"/>
          <w:color w:val="000000"/>
          <w:sz w:val="24"/>
          <w:szCs w:val="24"/>
          <w:lang w:eastAsia="en-GB"/>
        </w:rPr>
        <w:t xml:space="preserve"> with</w:t>
      </w:r>
      <w:r w:rsidR="00036D2D">
        <w:rPr>
          <w:rFonts w:ascii="Times New Roman" w:eastAsia="Times New Roman" w:hAnsi="Times New Roman" w:cs="Times New Roman"/>
          <w:color w:val="000000"/>
          <w:sz w:val="24"/>
          <w:szCs w:val="24"/>
          <w:lang w:eastAsia="en-GB"/>
        </w:rPr>
        <w:t xml:space="preserve"> three feather beds</w:t>
      </w:r>
      <w:r w:rsidR="00124307">
        <w:rPr>
          <w:rFonts w:ascii="Times New Roman" w:eastAsia="Times New Roman" w:hAnsi="Times New Roman" w:cs="Times New Roman"/>
          <w:color w:val="000000"/>
          <w:sz w:val="24"/>
          <w:szCs w:val="24"/>
          <w:lang w:eastAsia="en-GB"/>
        </w:rPr>
        <w:t>. Atypically for a chamber, this room also contained tables and trestles</w:t>
      </w:r>
      <w:r w:rsidR="00C07878">
        <w:rPr>
          <w:rFonts w:ascii="Times New Roman" w:eastAsia="Times New Roman" w:hAnsi="Times New Roman" w:cs="Times New Roman"/>
          <w:color w:val="000000"/>
          <w:sz w:val="24"/>
          <w:szCs w:val="24"/>
          <w:lang w:eastAsia="en-GB"/>
        </w:rPr>
        <w:t xml:space="preserve">. That </w:t>
      </w:r>
      <w:proofErr w:type="spellStart"/>
      <w:r w:rsidR="00C07878">
        <w:rPr>
          <w:rFonts w:ascii="Times New Roman" w:eastAsia="Times New Roman" w:hAnsi="Times New Roman" w:cs="Times New Roman"/>
          <w:color w:val="000000"/>
          <w:sz w:val="24"/>
          <w:szCs w:val="24"/>
          <w:lang w:eastAsia="en-GB"/>
        </w:rPr>
        <w:t>Stubbes</w:t>
      </w:r>
      <w:proofErr w:type="spellEnd"/>
      <w:r w:rsidR="00C07878">
        <w:rPr>
          <w:rFonts w:ascii="Times New Roman" w:eastAsia="Times New Roman" w:hAnsi="Times New Roman" w:cs="Times New Roman"/>
          <w:color w:val="000000"/>
          <w:sz w:val="24"/>
          <w:szCs w:val="24"/>
          <w:lang w:eastAsia="en-GB"/>
        </w:rPr>
        <w:t xml:space="preserve">’ wife </w:t>
      </w:r>
      <w:r w:rsidR="00613FAB">
        <w:rPr>
          <w:rFonts w:ascii="Times New Roman" w:eastAsia="Times New Roman" w:hAnsi="Times New Roman" w:cs="Times New Roman"/>
          <w:color w:val="000000"/>
          <w:sz w:val="24"/>
          <w:szCs w:val="24"/>
          <w:lang w:eastAsia="en-GB"/>
        </w:rPr>
        <w:t>had particular responsibility for th</w:t>
      </w:r>
      <w:r w:rsidR="00761783">
        <w:rPr>
          <w:rFonts w:ascii="Times New Roman" w:eastAsia="Times New Roman" w:hAnsi="Times New Roman" w:cs="Times New Roman"/>
          <w:color w:val="000000"/>
          <w:sz w:val="24"/>
          <w:szCs w:val="24"/>
          <w:lang w:eastAsia="en-GB"/>
        </w:rPr>
        <w:t>e hostelry side of the business</w:t>
      </w:r>
      <w:r w:rsidR="00C07878">
        <w:rPr>
          <w:rFonts w:ascii="Times New Roman" w:eastAsia="Times New Roman" w:hAnsi="Times New Roman" w:cs="Times New Roman"/>
          <w:color w:val="000000"/>
          <w:sz w:val="24"/>
          <w:szCs w:val="24"/>
          <w:lang w:eastAsia="en-GB"/>
        </w:rPr>
        <w:t xml:space="preserve"> </w:t>
      </w:r>
      <w:r w:rsidR="00613FAB">
        <w:rPr>
          <w:rFonts w:ascii="Times New Roman" w:eastAsia="Times New Roman" w:hAnsi="Times New Roman" w:cs="Times New Roman"/>
          <w:color w:val="000000"/>
          <w:sz w:val="24"/>
          <w:szCs w:val="24"/>
          <w:lang w:eastAsia="en-GB"/>
        </w:rPr>
        <w:t>can only be surmised</w:t>
      </w:r>
      <w:r w:rsidR="00091C1A">
        <w:rPr>
          <w:rFonts w:ascii="Times New Roman" w:eastAsia="Times New Roman" w:hAnsi="Times New Roman" w:cs="Times New Roman"/>
          <w:color w:val="000000"/>
          <w:sz w:val="24"/>
          <w:szCs w:val="24"/>
          <w:lang w:eastAsia="en-GB"/>
        </w:rPr>
        <w:t>.</w:t>
      </w:r>
      <w:r w:rsidR="00091C1A">
        <w:rPr>
          <w:rStyle w:val="FootnoteReference"/>
          <w:rFonts w:ascii="Times New Roman" w:eastAsia="Times New Roman" w:hAnsi="Times New Roman" w:cs="Times New Roman"/>
          <w:color w:val="000000"/>
          <w:sz w:val="24"/>
          <w:szCs w:val="24"/>
          <w:lang w:eastAsia="en-GB"/>
        </w:rPr>
        <w:footnoteReference w:id="37"/>
      </w:r>
      <w:r w:rsidR="00124307">
        <w:rPr>
          <w:rFonts w:ascii="Times New Roman" w:eastAsia="Times New Roman" w:hAnsi="Times New Roman" w:cs="Times New Roman"/>
          <w:color w:val="000000"/>
          <w:sz w:val="24"/>
          <w:szCs w:val="24"/>
          <w:lang w:eastAsia="en-GB"/>
        </w:rPr>
        <w:t xml:space="preserve"> </w:t>
      </w:r>
    </w:p>
    <w:p w14:paraId="0BDFBB73" w14:textId="77777777" w:rsidR="00D24DB5" w:rsidRDefault="003532A2" w:rsidP="00613FA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presence of structures </w:t>
      </w:r>
      <w:r w:rsidR="00D717F5">
        <w:rPr>
          <w:rFonts w:ascii="Times New Roman" w:eastAsia="Times New Roman" w:hAnsi="Times New Roman" w:cs="Times New Roman"/>
          <w:color w:val="000000"/>
          <w:sz w:val="24"/>
          <w:szCs w:val="24"/>
          <w:lang w:eastAsia="en-GB"/>
        </w:rPr>
        <w:t xml:space="preserve">integral to the main house, such as </w:t>
      </w:r>
      <w:r>
        <w:rPr>
          <w:rFonts w:ascii="Times New Roman" w:eastAsia="Times New Roman" w:hAnsi="Times New Roman" w:cs="Times New Roman"/>
          <w:color w:val="000000"/>
          <w:sz w:val="24"/>
          <w:szCs w:val="24"/>
          <w:lang w:eastAsia="en-GB"/>
        </w:rPr>
        <w:t>the shop or workshop, or probably</w:t>
      </w:r>
      <w:r w:rsidR="00D717F5">
        <w:rPr>
          <w:rFonts w:ascii="Times New Roman" w:eastAsia="Times New Roman" w:hAnsi="Times New Roman" w:cs="Times New Roman"/>
          <w:color w:val="000000"/>
          <w:sz w:val="24"/>
          <w:szCs w:val="24"/>
          <w:lang w:eastAsia="en-GB"/>
        </w:rPr>
        <w:t xml:space="preserve"> separate, such as </w:t>
      </w:r>
      <w:proofErr w:type="spellStart"/>
      <w:r w:rsidR="00D717F5">
        <w:rPr>
          <w:rFonts w:ascii="Times New Roman" w:eastAsia="Times New Roman" w:hAnsi="Times New Roman" w:cs="Times New Roman"/>
          <w:color w:val="000000"/>
          <w:sz w:val="24"/>
          <w:szCs w:val="24"/>
          <w:lang w:eastAsia="en-GB"/>
        </w:rPr>
        <w:t>brewhouses</w:t>
      </w:r>
      <w:proofErr w:type="spellEnd"/>
      <w:r w:rsidR="00D717F5">
        <w:rPr>
          <w:rFonts w:ascii="Times New Roman" w:eastAsia="Times New Roman" w:hAnsi="Times New Roman" w:cs="Times New Roman"/>
          <w:color w:val="000000"/>
          <w:sz w:val="24"/>
          <w:szCs w:val="24"/>
          <w:lang w:eastAsia="en-GB"/>
        </w:rPr>
        <w:t xml:space="preserve"> and stables</w:t>
      </w:r>
      <w:r>
        <w:rPr>
          <w:rFonts w:ascii="Times New Roman" w:eastAsia="Times New Roman" w:hAnsi="Times New Roman" w:cs="Times New Roman"/>
          <w:color w:val="000000"/>
          <w:sz w:val="24"/>
          <w:szCs w:val="24"/>
          <w:lang w:eastAsia="en-GB"/>
        </w:rPr>
        <w:t>,</w:t>
      </w:r>
      <w:r w:rsidR="007E708E">
        <w:rPr>
          <w:rFonts w:ascii="Times New Roman" w:eastAsia="Times New Roman" w:hAnsi="Times New Roman" w:cs="Times New Roman"/>
          <w:color w:val="000000"/>
          <w:sz w:val="24"/>
          <w:szCs w:val="24"/>
          <w:lang w:eastAsia="en-GB"/>
        </w:rPr>
        <w:t xml:space="preserve"> is </w:t>
      </w:r>
      <w:r w:rsidR="00D717F5">
        <w:rPr>
          <w:rFonts w:ascii="Times New Roman" w:eastAsia="Times New Roman" w:hAnsi="Times New Roman" w:cs="Times New Roman"/>
          <w:color w:val="000000"/>
          <w:sz w:val="24"/>
          <w:szCs w:val="24"/>
          <w:lang w:eastAsia="en-GB"/>
        </w:rPr>
        <w:t>physical manifestation of the artisanal and mercantile</w:t>
      </w:r>
      <w:r w:rsidR="007E708E">
        <w:rPr>
          <w:rFonts w:ascii="Times New Roman" w:eastAsia="Times New Roman" w:hAnsi="Times New Roman" w:cs="Times New Roman"/>
          <w:color w:val="000000"/>
          <w:sz w:val="24"/>
          <w:szCs w:val="24"/>
          <w:lang w:eastAsia="en-GB"/>
        </w:rPr>
        <w:t xml:space="preserve"> house as both work place and </w:t>
      </w:r>
      <w:r w:rsidR="00005A2F">
        <w:rPr>
          <w:rFonts w:ascii="Times New Roman" w:eastAsia="Times New Roman" w:hAnsi="Times New Roman" w:cs="Times New Roman"/>
          <w:color w:val="000000"/>
          <w:sz w:val="24"/>
          <w:szCs w:val="24"/>
          <w:lang w:eastAsia="en-GB"/>
        </w:rPr>
        <w:t>domestic space. Although modern</w:t>
      </w:r>
      <w:r>
        <w:rPr>
          <w:rFonts w:ascii="Times New Roman" w:eastAsia="Times New Roman" w:hAnsi="Times New Roman" w:cs="Times New Roman"/>
          <w:color w:val="000000"/>
          <w:sz w:val="24"/>
          <w:szCs w:val="24"/>
          <w:lang w:eastAsia="en-GB"/>
        </w:rPr>
        <w:t xml:space="preserve"> </w:t>
      </w:r>
      <w:r w:rsidR="00B85C7B">
        <w:rPr>
          <w:rFonts w:ascii="Times New Roman" w:eastAsia="Times New Roman" w:hAnsi="Times New Roman" w:cs="Times New Roman"/>
          <w:color w:val="000000"/>
          <w:sz w:val="24"/>
          <w:szCs w:val="24"/>
          <w:lang w:eastAsia="en-GB"/>
        </w:rPr>
        <w:t xml:space="preserve">technology has permitted a </w:t>
      </w:r>
      <w:r w:rsidR="00005A2F">
        <w:rPr>
          <w:rFonts w:ascii="Times New Roman" w:eastAsia="Times New Roman" w:hAnsi="Times New Roman" w:cs="Times New Roman"/>
          <w:color w:val="000000"/>
          <w:sz w:val="24"/>
          <w:szCs w:val="24"/>
          <w:lang w:eastAsia="en-GB"/>
        </w:rPr>
        <w:t xml:space="preserve">modest </w:t>
      </w:r>
      <w:r w:rsidR="00B85C7B">
        <w:rPr>
          <w:rFonts w:ascii="Times New Roman" w:eastAsia="Times New Roman" w:hAnsi="Times New Roman" w:cs="Times New Roman"/>
          <w:color w:val="000000"/>
          <w:sz w:val="24"/>
          <w:szCs w:val="24"/>
          <w:lang w:eastAsia="en-GB"/>
        </w:rPr>
        <w:t>degree of home</w:t>
      </w:r>
      <w:r>
        <w:rPr>
          <w:rFonts w:ascii="Times New Roman" w:eastAsia="Times New Roman" w:hAnsi="Times New Roman" w:cs="Times New Roman"/>
          <w:color w:val="000000"/>
          <w:sz w:val="24"/>
          <w:szCs w:val="24"/>
          <w:lang w:eastAsia="en-GB"/>
        </w:rPr>
        <w:t xml:space="preserve"> working, </w:t>
      </w:r>
      <w:r w:rsidR="00005A2F">
        <w:rPr>
          <w:rFonts w:ascii="Times New Roman" w:eastAsia="Times New Roman" w:hAnsi="Times New Roman" w:cs="Times New Roman"/>
          <w:color w:val="000000"/>
          <w:sz w:val="24"/>
          <w:szCs w:val="24"/>
          <w:lang w:eastAsia="en-GB"/>
        </w:rPr>
        <w:t>t</w:t>
      </w:r>
      <w:r w:rsidR="0003499D">
        <w:rPr>
          <w:rFonts w:ascii="Times New Roman" w:eastAsia="Times New Roman" w:hAnsi="Times New Roman" w:cs="Times New Roman"/>
          <w:color w:val="000000"/>
          <w:sz w:val="24"/>
          <w:szCs w:val="24"/>
          <w:lang w:eastAsia="en-GB"/>
        </w:rPr>
        <w:t xml:space="preserve">he </w:t>
      </w:r>
      <w:r w:rsidR="00B85C7B">
        <w:rPr>
          <w:rFonts w:ascii="Times New Roman" w:eastAsia="Times New Roman" w:hAnsi="Times New Roman" w:cs="Times New Roman"/>
          <w:color w:val="000000"/>
          <w:sz w:val="24"/>
          <w:szCs w:val="24"/>
          <w:lang w:eastAsia="en-GB"/>
        </w:rPr>
        <w:t>process of industrialisation and the separation of</w:t>
      </w:r>
      <w:r>
        <w:rPr>
          <w:rFonts w:ascii="Times New Roman" w:eastAsia="Times New Roman" w:hAnsi="Times New Roman" w:cs="Times New Roman"/>
          <w:color w:val="000000"/>
          <w:sz w:val="24"/>
          <w:szCs w:val="24"/>
          <w:lang w:eastAsia="en-GB"/>
        </w:rPr>
        <w:t xml:space="preserve"> workplace and </w:t>
      </w:r>
      <w:proofErr w:type="spellStart"/>
      <w:r>
        <w:rPr>
          <w:rFonts w:ascii="Times New Roman" w:eastAsia="Times New Roman" w:hAnsi="Times New Roman" w:cs="Times New Roman"/>
          <w:color w:val="000000"/>
          <w:sz w:val="24"/>
          <w:szCs w:val="24"/>
          <w:lang w:eastAsia="en-GB"/>
        </w:rPr>
        <w:t>homeplace</w:t>
      </w:r>
      <w:proofErr w:type="spellEnd"/>
      <w:r>
        <w:rPr>
          <w:rFonts w:ascii="Times New Roman" w:eastAsia="Times New Roman" w:hAnsi="Times New Roman" w:cs="Times New Roman"/>
          <w:color w:val="000000"/>
          <w:sz w:val="24"/>
          <w:szCs w:val="24"/>
          <w:lang w:eastAsia="en-GB"/>
        </w:rPr>
        <w:t xml:space="preserve"> makes it hard </w:t>
      </w:r>
      <w:r w:rsidR="00B85C7B">
        <w:rPr>
          <w:rFonts w:ascii="Times New Roman" w:eastAsia="Times New Roman" w:hAnsi="Times New Roman" w:cs="Times New Roman"/>
          <w:color w:val="000000"/>
          <w:sz w:val="24"/>
          <w:szCs w:val="24"/>
          <w:lang w:eastAsia="en-GB"/>
        </w:rPr>
        <w:t>to comprehend the duality</w:t>
      </w:r>
      <w:r>
        <w:rPr>
          <w:rFonts w:ascii="Times New Roman" w:eastAsia="Times New Roman" w:hAnsi="Times New Roman" w:cs="Times New Roman"/>
          <w:color w:val="000000"/>
          <w:sz w:val="24"/>
          <w:szCs w:val="24"/>
          <w:lang w:eastAsia="en-GB"/>
        </w:rPr>
        <w:t xml:space="preserve"> of</w:t>
      </w:r>
      <w:r w:rsidR="00B85C7B">
        <w:rPr>
          <w:rFonts w:ascii="Times New Roman" w:eastAsia="Times New Roman" w:hAnsi="Times New Roman" w:cs="Times New Roman"/>
          <w:color w:val="000000"/>
          <w:sz w:val="24"/>
          <w:szCs w:val="24"/>
          <w:lang w:eastAsia="en-GB"/>
        </w:rPr>
        <w:t xml:space="preserve"> the domestic and the economic in the pre-modern, pre-industrial era. This, however, was a cultural n</w:t>
      </w:r>
      <w:r w:rsidR="0060782B">
        <w:rPr>
          <w:rFonts w:ascii="Times New Roman" w:eastAsia="Times New Roman" w:hAnsi="Times New Roman" w:cs="Times New Roman"/>
          <w:color w:val="000000"/>
          <w:sz w:val="24"/>
          <w:szCs w:val="24"/>
          <w:lang w:eastAsia="en-GB"/>
        </w:rPr>
        <w:t>orm for the more privileged member</w:t>
      </w:r>
      <w:r w:rsidR="0003499D">
        <w:rPr>
          <w:rFonts w:ascii="Times New Roman" w:eastAsia="Times New Roman" w:hAnsi="Times New Roman" w:cs="Times New Roman"/>
          <w:color w:val="000000"/>
          <w:sz w:val="24"/>
          <w:szCs w:val="24"/>
          <w:lang w:eastAsia="en-GB"/>
        </w:rPr>
        <w:t xml:space="preserve">s of urban society, </w:t>
      </w:r>
      <w:r w:rsidR="00B85C7B">
        <w:rPr>
          <w:rFonts w:ascii="Times New Roman" w:eastAsia="Times New Roman" w:hAnsi="Times New Roman" w:cs="Times New Roman"/>
          <w:color w:val="000000"/>
          <w:sz w:val="24"/>
          <w:szCs w:val="24"/>
          <w:lang w:eastAsia="en-GB"/>
        </w:rPr>
        <w:t>who ow</w:t>
      </w:r>
      <w:r w:rsidR="00005A2F">
        <w:rPr>
          <w:rFonts w:ascii="Times New Roman" w:eastAsia="Times New Roman" w:hAnsi="Times New Roman" w:cs="Times New Roman"/>
          <w:color w:val="000000"/>
          <w:sz w:val="24"/>
          <w:szCs w:val="24"/>
          <w:lang w:eastAsia="en-GB"/>
        </w:rPr>
        <w:t>ned their own businesses and</w:t>
      </w:r>
      <w:r w:rsidR="00B85C7B">
        <w:rPr>
          <w:rFonts w:ascii="Times New Roman" w:eastAsia="Times New Roman" w:hAnsi="Times New Roman" w:cs="Times New Roman"/>
          <w:color w:val="000000"/>
          <w:sz w:val="24"/>
          <w:szCs w:val="24"/>
          <w:lang w:eastAsia="en-GB"/>
        </w:rPr>
        <w:t xml:space="preserve"> – in the case of male and some widowed fe</w:t>
      </w:r>
      <w:r w:rsidR="0060782B">
        <w:rPr>
          <w:rFonts w:ascii="Times New Roman" w:eastAsia="Times New Roman" w:hAnsi="Times New Roman" w:cs="Times New Roman"/>
          <w:color w:val="000000"/>
          <w:sz w:val="24"/>
          <w:szCs w:val="24"/>
          <w:lang w:eastAsia="en-GB"/>
        </w:rPr>
        <w:t xml:space="preserve">male householders – enjoyed </w:t>
      </w:r>
      <w:r w:rsidR="00B85C7B">
        <w:rPr>
          <w:rFonts w:ascii="Times New Roman" w:eastAsia="Times New Roman" w:hAnsi="Times New Roman" w:cs="Times New Roman"/>
          <w:color w:val="000000"/>
          <w:sz w:val="24"/>
          <w:szCs w:val="24"/>
          <w:lang w:eastAsia="en-GB"/>
        </w:rPr>
        <w:t>privilege</w:t>
      </w:r>
      <w:r w:rsidR="0060782B">
        <w:rPr>
          <w:rFonts w:ascii="Times New Roman" w:eastAsia="Times New Roman" w:hAnsi="Times New Roman" w:cs="Times New Roman"/>
          <w:color w:val="000000"/>
          <w:sz w:val="24"/>
          <w:szCs w:val="24"/>
          <w:lang w:eastAsia="en-GB"/>
        </w:rPr>
        <w:t xml:space="preserve">s </w:t>
      </w:r>
      <w:r w:rsidR="00B85C7B">
        <w:rPr>
          <w:rFonts w:ascii="Times New Roman" w:eastAsia="Times New Roman" w:hAnsi="Times New Roman" w:cs="Times New Roman"/>
          <w:color w:val="000000"/>
          <w:sz w:val="24"/>
          <w:szCs w:val="24"/>
          <w:lang w:eastAsia="en-GB"/>
        </w:rPr>
        <w:t xml:space="preserve">as burgesses or citizens. </w:t>
      </w:r>
      <w:r w:rsidR="00614A66">
        <w:rPr>
          <w:rFonts w:ascii="Times New Roman" w:eastAsia="Times New Roman" w:hAnsi="Times New Roman" w:cs="Times New Roman"/>
          <w:color w:val="000000"/>
          <w:sz w:val="24"/>
          <w:szCs w:val="24"/>
          <w:lang w:eastAsia="en-GB"/>
        </w:rPr>
        <w:t>I have recently ar</w:t>
      </w:r>
      <w:r w:rsidR="00B85C7B">
        <w:rPr>
          <w:rFonts w:ascii="Times New Roman" w:eastAsia="Times New Roman" w:hAnsi="Times New Roman" w:cs="Times New Roman"/>
          <w:color w:val="000000"/>
          <w:sz w:val="24"/>
          <w:szCs w:val="24"/>
          <w:lang w:eastAsia="en-GB"/>
        </w:rPr>
        <w:t xml:space="preserve">gued that this duality of purpose was essential to the identity of bourgeois wives as co-workers, business partners, household managers, sexual partners, and mothers. That wives would assist their husbands in their craft </w:t>
      </w:r>
      <w:r w:rsidR="0081302B">
        <w:rPr>
          <w:rFonts w:ascii="Times New Roman" w:eastAsia="Times New Roman" w:hAnsi="Times New Roman" w:cs="Times New Roman"/>
          <w:color w:val="000000"/>
          <w:sz w:val="24"/>
          <w:szCs w:val="24"/>
          <w:lang w:eastAsia="en-GB"/>
        </w:rPr>
        <w:lastRenderedPageBreak/>
        <w:t xml:space="preserve">was </w:t>
      </w:r>
      <w:r w:rsidR="00005A2F">
        <w:rPr>
          <w:rFonts w:ascii="Times New Roman" w:eastAsia="Times New Roman" w:hAnsi="Times New Roman" w:cs="Times New Roman"/>
          <w:color w:val="000000"/>
          <w:sz w:val="24"/>
          <w:szCs w:val="24"/>
          <w:lang w:eastAsia="en-GB"/>
        </w:rPr>
        <w:t>s</w:t>
      </w:r>
      <w:r w:rsidR="00B85C7B">
        <w:rPr>
          <w:rFonts w:ascii="Times New Roman" w:eastAsia="Times New Roman" w:hAnsi="Times New Roman" w:cs="Times New Roman"/>
          <w:color w:val="000000"/>
          <w:sz w:val="24"/>
          <w:szCs w:val="24"/>
          <w:lang w:eastAsia="en-GB"/>
        </w:rPr>
        <w:t>uch a commonplace that it is hardly documented</w:t>
      </w:r>
      <w:r w:rsidR="0081302B">
        <w:rPr>
          <w:rFonts w:ascii="Times New Roman" w:eastAsia="Times New Roman" w:hAnsi="Times New Roman" w:cs="Times New Roman"/>
          <w:color w:val="000000"/>
          <w:sz w:val="24"/>
          <w:szCs w:val="24"/>
          <w:lang w:eastAsia="en-GB"/>
        </w:rPr>
        <w:t>, but the capacity of wives to run well-ordered households, to supervise servants, to ensure guests were suitably l</w:t>
      </w:r>
      <w:r w:rsidR="0060782B">
        <w:rPr>
          <w:rFonts w:ascii="Times New Roman" w:eastAsia="Times New Roman" w:hAnsi="Times New Roman" w:cs="Times New Roman"/>
          <w:color w:val="000000"/>
          <w:sz w:val="24"/>
          <w:szCs w:val="24"/>
          <w:lang w:eastAsia="en-GB"/>
        </w:rPr>
        <w:t xml:space="preserve">ooked after, and </w:t>
      </w:r>
      <w:r w:rsidR="0081302B">
        <w:rPr>
          <w:rFonts w:ascii="Times New Roman" w:eastAsia="Times New Roman" w:hAnsi="Times New Roman" w:cs="Times New Roman"/>
          <w:color w:val="000000"/>
          <w:sz w:val="24"/>
          <w:szCs w:val="24"/>
          <w:lang w:eastAsia="en-GB"/>
        </w:rPr>
        <w:t>that hus</w:t>
      </w:r>
      <w:r w:rsidR="00005A2F">
        <w:rPr>
          <w:rFonts w:ascii="Times New Roman" w:eastAsia="Times New Roman" w:hAnsi="Times New Roman" w:cs="Times New Roman"/>
          <w:color w:val="000000"/>
          <w:sz w:val="24"/>
          <w:szCs w:val="24"/>
          <w:lang w:eastAsia="en-GB"/>
        </w:rPr>
        <w:t>bands were satisfied in bed was</w:t>
      </w:r>
      <w:r w:rsidR="0081302B">
        <w:rPr>
          <w:rFonts w:ascii="Times New Roman" w:eastAsia="Times New Roman" w:hAnsi="Times New Roman" w:cs="Times New Roman"/>
          <w:color w:val="000000"/>
          <w:sz w:val="24"/>
          <w:szCs w:val="24"/>
          <w:lang w:eastAsia="en-GB"/>
        </w:rPr>
        <w:t xml:space="preserve"> as much a contribution to the economic well-being and reputati</w:t>
      </w:r>
      <w:r w:rsidR="00005A2F">
        <w:rPr>
          <w:rFonts w:ascii="Times New Roman" w:eastAsia="Times New Roman" w:hAnsi="Times New Roman" w:cs="Times New Roman"/>
          <w:color w:val="000000"/>
          <w:sz w:val="24"/>
          <w:szCs w:val="24"/>
          <w:lang w:eastAsia="en-GB"/>
        </w:rPr>
        <w:t>on of the household as it was</w:t>
      </w:r>
      <w:r w:rsidR="0081302B">
        <w:rPr>
          <w:rFonts w:ascii="Times New Roman" w:eastAsia="Times New Roman" w:hAnsi="Times New Roman" w:cs="Times New Roman"/>
          <w:color w:val="000000"/>
          <w:sz w:val="24"/>
          <w:szCs w:val="24"/>
          <w:lang w:eastAsia="en-GB"/>
        </w:rPr>
        <w:t xml:space="preserve"> about domestic harmony.</w:t>
      </w:r>
      <w:r w:rsidR="00697FBA">
        <w:rPr>
          <w:rStyle w:val="FootnoteReference"/>
          <w:rFonts w:ascii="Times New Roman" w:eastAsia="Times New Roman" w:hAnsi="Times New Roman" w:cs="Times New Roman"/>
          <w:color w:val="000000"/>
          <w:sz w:val="24"/>
          <w:szCs w:val="24"/>
          <w:lang w:eastAsia="en-GB"/>
        </w:rPr>
        <w:footnoteReference w:id="38"/>
      </w:r>
      <w:r w:rsidR="0030419F">
        <w:rPr>
          <w:rFonts w:ascii="Times New Roman" w:eastAsia="Times New Roman" w:hAnsi="Times New Roman" w:cs="Times New Roman"/>
          <w:color w:val="000000"/>
          <w:sz w:val="24"/>
          <w:szCs w:val="24"/>
          <w:lang w:eastAsia="en-GB"/>
        </w:rPr>
        <w:t xml:space="preserve"> O</w:t>
      </w:r>
      <w:r w:rsidR="00E30B06">
        <w:rPr>
          <w:rFonts w:ascii="Times New Roman" w:eastAsia="Times New Roman" w:hAnsi="Times New Roman" w:cs="Times New Roman"/>
          <w:color w:val="000000"/>
          <w:sz w:val="24"/>
          <w:szCs w:val="24"/>
          <w:lang w:eastAsia="en-GB"/>
        </w:rPr>
        <w:t>nly to the modern mind do these occupy separate categories.</w:t>
      </w:r>
    </w:p>
    <w:p w14:paraId="2126E274" w14:textId="2E1A2262" w:rsidR="00313512" w:rsidRDefault="00697FBA" w:rsidP="00613FA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This distinctive duality that characterised the pre-modern bourgeois h</w:t>
      </w:r>
      <w:r w:rsidR="004C6BFC">
        <w:rPr>
          <w:rFonts w:ascii="Times New Roman" w:eastAsia="Times New Roman" w:hAnsi="Times New Roman" w:cs="Times New Roman"/>
          <w:color w:val="000000"/>
          <w:sz w:val="24"/>
          <w:szCs w:val="24"/>
          <w:lang w:eastAsia="en-GB"/>
        </w:rPr>
        <w:t>ouse can be explored using</w:t>
      </w:r>
      <w:r>
        <w:rPr>
          <w:rFonts w:ascii="Times New Roman" w:eastAsia="Times New Roman" w:hAnsi="Times New Roman" w:cs="Times New Roman"/>
          <w:color w:val="000000"/>
          <w:sz w:val="24"/>
          <w:szCs w:val="24"/>
          <w:lang w:eastAsia="en-GB"/>
        </w:rPr>
        <w:t xml:space="preserve"> </w:t>
      </w:r>
      <w:r w:rsidR="0030419F">
        <w:rPr>
          <w:rFonts w:ascii="Times New Roman" w:eastAsia="Times New Roman" w:hAnsi="Times New Roman" w:cs="Times New Roman"/>
          <w:color w:val="000000"/>
          <w:sz w:val="24"/>
          <w:szCs w:val="24"/>
          <w:lang w:eastAsia="en-GB"/>
        </w:rPr>
        <w:t>probate inven</w:t>
      </w:r>
      <w:r w:rsidR="004C6BFC">
        <w:rPr>
          <w:rFonts w:ascii="Times New Roman" w:eastAsia="Times New Roman" w:hAnsi="Times New Roman" w:cs="Times New Roman"/>
          <w:color w:val="000000"/>
          <w:sz w:val="24"/>
          <w:szCs w:val="24"/>
          <w:lang w:eastAsia="en-GB"/>
        </w:rPr>
        <w:t>tories and depositions</w:t>
      </w:r>
      <w:r>
        <w:rPr>
          <w:rFonts w:ascii="Times New Roman" w:eastAsia="Times New Roman" w:hAnsi="Times New Roman" w:cs="Times New Roman"/>
          <w:color w:val="000000"/>
          <w:sz w:val="24"/>
          <w:szCs w:val="24"/>
          <w:lang w:eastAsia="en-GB"/>
        </w:rPr>
        <w:t xml:space="preserve">. The material cultural evidence offered by probate </w:t>
      </w:r>
      <w:r w:rsidR="004C6BFC">
        <w:rPr>
          <w:rFonts w:ascii="Times New Roman" w:eastAsia="Times New Roman" w:hAnsi="Times New Roman" w:cs="Times New Roman"/>
          <w:color w:val="000000"/>
          <w:sz w:val="24"/>
          <w:szCs w:val="24"/>
          <w:lang w:eastAsia="en-GB"/>
        </w:rPr>
        <w:t xml:space="preserve">inventories provides clues </w:t>
      </w:r>
      <w:r>
        <w:rPr>
          <w:rFonts w:ascii="Times New Roman" w:eastAsia="Times New Roman" w:hAnsi="Times New Roman" w:cs="Times New Roman"/>
          <w:color w:val="000000"/>
          <w:sz w:val="24"/>
          <w:szCs w:val="24"/>
          <w:lang w:eastAsia="en-GB"/>
        </w:rPr>
        <w:t xml:space="preserve">to </w:t>
      </w:r>
      <w:r w:rsidRPr="004C6BFC">
        <w:rPr>
          <w:rFonts w:ascii="Times New Roman" w:eastAsia="Times New Roman" w:hAnsi="Times New Roman" w:cs="Times New Roman"/>
          <w:color w:val="000000"/>
          <w:sz w:val="24"/>
          <w:szCs w:val="24"/>
          <w:lang w:eastAsia="en-GB"/>
        </w:rPr>
        <w:t>the fun</w:t>
      </w:r>
      <w:r w:rsidR="00BD19C9" w:rsidRPr="004C6BFC">
        <w:rPr>
          <w:rFonts w:ascii="Times New Roman" w:eastAsia="Times New Roman" w:hAnsi="Times New Roman" w:cs="Times New Roman"/>
          <w:color w:val="000000"/>
          <w:sz w:val="24"/>
          <w:szCs w:val="24"/>
          <w:lang w:eastAsia="en-GB"/>
        </w:rPr>
        <w:t>ction and</w:t>
      </w:r>
      <w:r w:rsidR="00BD19C9">
        <w:rPr>
          <w:rFonts w:ascii="Times New Roman" w:eastAsia="Times New Roman" w:hAnsi="Times New Roman" w:cs="Times New Roman"/>
          <w:color w:val="000000"/>
          <w:sz w:val="24"/>
          <w:szCs w:val="24"/>
          <w:lang w:eastAsia="en-GB"/>
        </w:rPr>
        <w:t xml:space="preserve"> use of the </w:t>
      </w:r>
      <w:r>
        <w:rPr>
          <w:rFonts w:ascii="Times New Roman" w:eastAsia="Times New Roman" w:hAnsi="Times New Roman" w:cs="Times New Roman"/>
          <w:color w:val="000000"/>
          <w:sz w:val="24"/>
          <w:szCs w:val="24"/>
          <w:lang w:eastAsia="en-GB"/>
        </w:rPr>
        <w:t>spaces such as halls</w:t>
      </w:r>
      <w:r w:rsidR="004C6BFC">
        <w:rPr>
          <w:rFonts w:ascii="Times New Roman" w:eastAsia="Times New Roman" w:hAnsi="Times New Roman" w:cs="Times New Roman"/>
          <w:color w:val="000000"/>
          <w:sz w:val="24"/>
          <w:szCs w:val="24"/>
          <w:lang w:eastAsia="en-GB"/>
        </w:rPr>
        <w:t>, chambers, and shops</w:t>
      </w:r>
      <w:r>
        <w:rPr>
          <w:rFonts w:ascii="Times New Roman" w:eastAsia="Times New Roman" w:hAnsi="Times New Roman" w:cs="Times New Roman"/>
          <w:color w:val="000000"/>
          <w:sz w:val="24"/>
          <w:szCs w:val="24"/>
          <w:lang w:eastAsia="en-GB"/>
        </w:rPr>
        <w:t>. It is, however, the evidence of depositions that</w:t>
      </w:r>
      <w:r w:rsidR="003F55DE">
        <w:rPr>
          <w:rFonts w:ascii="Times New Roman" w:eastAsia="Times New Roman" w:hAnsi="Times New Roman" w:cs="Times New Roman"/>
          <w:color w:val="000000"/>
          <w:sz w:val="24"/>
          <w:szCs w:val="24"/>
          <w:lang w:eastAsia="en-GB"/>
        </w:rPr>
        <w:t xml:space="preserve"> provides </w:t>
      </w:r>
      <w:r>
        <w:rPr>
          <w:rFonts w:ascii="Times New Roman" w:eastAsia="Times New Roman" w:hAnsi="Times New Roman" w:cs="Times New Roman"/>
          <w:color w:val="000000"/>
          <w:sz w:val="24"/>
          <w:szCs w:val="24"/>
          <w:lang w:eastAsia="en-GB"/>
        </w:rPr>
        <w:t xml:space="preserve">evidence for the dynamic use of space and thus </w:t>
      </w:r>
      <w:r w:rsidR="003F55DE">
        <w:rPr>
          <w:rFonts w:ascii="Times New Roman" w:eastAsia="Times New Roman" w:hAnsi="Times New Roman" w:cs="Times New Roman"/>
          <w:color w:val="000000"/>
          <w:sz w:val="24"/>
          <w:szCs w:val="24"/>
          <w:lang w:eastAsia="en-GB"/>
        </w:rPr>
        <w:t xml:space="preserve">begins to allow us to ask </w:t>
      </w:r>
      <w:r>
        <w:rPr>
          <w:rFonts w:ascii="Times New Roman" w:eastAsia="Times New Roman" w:hAnsi="Times New Roman" w:cs="Times New Roman"/>
          <w:color w:val="000000"/>
          <w:sz w:val="24"/>
          <w:szCs w:val="24"/>
          <w:lang w:eastAsia="en-GB"/>
        </w:rPr>
        <w:t xml:space="preserve">how houses function as lived spaces, even to explore how far </w:t>
      </w:r>
      <w:r w:rsidR="006A1C5B">
        <w:rPr>
          <w:rFonts w:ascii="Times New Roman" w:eastAsia="Times New Roman" w:hAnsi="Times New Roman" w:cs="Times New Roman"/>
          <w:color w:val="000000"/>
          <w:sz w:val="24"/>
          <w:szCs w:val="24"/>
          <w:lang w:eastAsia="en-GB"/>
        </w:rPr>
        <w:t xml:space="preserve">those who inhabited these </w:t>
      </w:r>
      <w:r>
        <w:rPr>
          <w:rFonts w:ascii="Times New Roman" w:eastAsia="Times New Roman" w:hAnsi="Times New Roman" w:cs="Times New Roman"/>
          <w:color w:val="000000"/>
          <w:sz w:val="24"/>
          <w:szCs w:val="24"/>
          <w:lang w:eastAsia="en-GB"/>
        </w:rPr>
        <w:t xml:space="preserve">houses may have </w:t>
      </w:r>
      <w:r w:rsidR="006A1C5B">
        <w:rPr>
          <w:rFonts w:ascii="Times New Roman" w:eastAsia="Times New Roman" w:hAnsi="Times New Roman" w:cs="Times New Roman"/>
          <w:color w:val="000000"/>
          <w:sz w:val="24"/>
          <w:szCs w:val="24"/>
          <w:lang w:eastAsia="en-GB"/>
        </w:rPr>
        <w:t xml:space="preserve">invested in them emotionally and so thought of them as more than simply buildings, but as homes. There is here an implicit tension between </w:t>
      </w:r>
      <w:r w:rsidR="003F55DE">
        <w:rPr>
          <w:rFonts w:ascii="Times New Roman" w:eastAsia="Times New Roman" w:hAnsi="Times New Roman" w:cs="Times New Roman"/>
          <w:color w:val="000000"/>
          <w:sz w:val="24"/>
          <w:szCs w:val="24"/>
          <w:lang w:eastAsia="en-GB"/>
        </w:rPr>
        <w:t>firstly</w:t>
      </w:r>
      <w:r w:rsidR="00313512">
        <w:rPr>
          <w:rFonts w:ascii="Times New Roman" w:eastAsia="Times New Roman" w:hAnsi="Times New Roman" w:cs="Times New Roman"/>
          <w:color w:val="000000"/>
          <w:sz w:val="24"/>
          <w:szCs w:val="24"/>
          <w:lang w:eastAsia="en-GB"/>
        </w:rPr>
        <w:t xml:space="preserve"> </w:t>
      </w:r>
      <w:r w:rsidR="006A1C5B">
        <w:rPr>
          <w:rFonts w:ascii="Times New Roman" w:eastAsia="Times New Roman" w:hAnsi="Times New Roman" w:cs="Times New Roman"/>
          <w:color w:val="000000"/>
          <w:sz w:val="24"/>
          <w:szCs w:val="24"/>
          <w:lang w:eastAsia="en-GB"/>
        </w:rPr>
        <w:t xml:space="preserve">an understanding of the house as both economic and domestic space where the distinction between the two </w:t>
      </w:r>
      <w:r w:rsidR="00313512">
        <w:rPr>
          <w:rFonts w:ascii="Times New Roman" w:eastAsia="Times New Roman" w:hAnsi="Times New Roman" w:cs="Times New Roman"/>
          <w:color w:val="000000"/>
          <w:sz w:val="24"/>
          <w:szCs w:val="24"/>
          <w:lang w:eastAsia="en-GB"/>
        </w:rPr>
        <w:t xml:space="preserve">is both </w:t>
      </w:r>
      <w:r w:rsidR="003F55DE">
        <w:rPr>
          <w:rFonts w:ascii="Times New Roman" w:eastAsia="Times New Roman" w:hAnsi="Times New Roman" w:cs="Times New Roman"/>
          <w:color w:val="000000"/>
          <w:sz w:val="24"/>
          <w:szCs w:val="24"/>
          <w:lang w:eastAsia="en-GB"/>
        </w:rPr>
        <w:t>fluid and fuzzy and secondly</w:t>
      </w:r>
      <w:r w:rsidR="00313512">
        <w:rPr>
          <w:rFonts w:ascii="Times New Roman" w:eastAsia="Times New Roman" w:hAnsi="Times New Roman" w:cs="Times New Roman"/>
          <w:color w:val="000000"/>
          <w:sz w:val="24"/>
          <w:szCs w:val="24"/>
          <w:lang w:eastAsia="en-GB"/>
        </w:rPr>
        <w:t xml:space="preserve"> of the house as a vehicle for bourgeois values </w:t>
      </w:r>
      <w:r w:rsidR="00313512" w:rsidRPr="003F55DE">
        <w:rPr>
          <w:rFonts w:ascii="Times New Roman" w:eastAsia="Times New Roman" w:hAnsi="Times New Roman" w:cs="Times New Roman"/>
          <w:color w:val="000000"/>
          <w:sz w:val="24"/>
          <w:szCs w:val="24"/>
          <w:lang w:eastAsia="en-GB"/>
        </w:rPr>
        <w:t>of domesticity and conjugality</w:t>
      </w:r>
      <w:r w:rsidR="00313512">
        <w:rPr>
          <w:rFonts w:ascii="Times New Roman" w:eastAsia="Times New Roman" w:hAnsi="Times New Roman" w:cs="Times New Roman"/>
          <w:color w:val="000000"/>
          <w:sz w:val="24"/>
          <w:szCs w:val="24"/>
          <w:lang w:eastAsia="en-GB"/>
        </w:rPr>
        <w:t>.</w:t>
      </w:r>
      <w:r w:rsidR="003F55DE">
        <w:rPr>
          <w:rStyle w:val="FootnoteReference"/>
          <w:rFonts w:ascii="Times New Roman" w:eastAsia="Times New Roman" w:hAnsi="Times New Roman" w:cs="Times New Roman"/>
          <w:color w:val="000000"/>
          <w:sz w:val="24"/>
          <w:szCs w:val="24"/>
          <w:lang w:eastAsia="en-GB"/>
        </w:rPr>
        <w:footnoteReference w:id="39"/>
      </w:r>
      <w:r w:rsidR="00313512">
        <w:rPr>
          <w:rFonts w:ascii="Times New Roman" w:eastAsia="Times New Roman" w:hAnsi="Times New Roman" w:cs="Times New Roman"/>
          <w:color w:val="000000"/>
          <w:sz w:val="24"/>
          <w:szCs w:val="24"/>
          <w:lang w:eastAsia="en-GB"/>
        </w:rPr>
        <w:t xml:space="preserve"> </w:t>
      </w:r>
      <w:r w:rsidR="00B17D96">
        <w:rPr>
          <w:rFonts w:ascii="Times New Roman" w:eastAsia="Times New Roman" w:hAnsi="Times New Roman" w:cs="Times New Roman"/>
          <w:color w:val="000000"/>
          <w:sz w:val="24"/>
          <w:szCs w:val="24"/>
          <w:lang w:eastAsia="en-GB"/>
        </w:rPr>
        <w:t>Our exploration of this problematic will focus particularly on the spatial dynamics and daily rhythms of the house and it constituent rooms, but also on the dynamics of power and gender</w:t>
      </w:r>
      <w:r w:rsidR="00B079C0">
        <w:rPr>
          <w:rFonts w:ascii="Times New Roman" w:eastAsia="Times New Roman" w:hAnsi="Times New Roman" w:cs="Times New Roman"/>
          <w:color w:val="000000"/>
          <w:sz w:val="24"/>
          <w:szCs w:val="24"/>
          <w:lang w:eastAsia="en-GB"/>
        </w:rPr>
        <w:t xml:space="preserve"> that were played out between the four walls.</w:t>
      </w:r>
      <w:bookmarkStart w:id="2" w:name="_GoBack"/>
      <w:bookmarkEnd w:id="2"/>
    </w:p>
    <w:p w14:paraId="269F7B82" w14:textId="6F0EC7C7" w:rsidR="00BA5DAD" w:rsidRPr="00BA5DAD" w:rsidRDefault="00BA5DAD" w:rsidP="00BA5DAD">
      <w:pPr>
        <w:spacing w:line="360" w:lineRule="auto"/>
        <w:rPr>
          <w:rFonts w:ascii="Times New Roman" w:eastAsia="Times New Roman" w:hAnsi="Times New Roman" w:cs="Times New Roman"/>
          <w:i/>
          <w:color w:val="000000"/>
          <w:sz w:val="24"/>
          <w:szCs w:val="24"/>
          <w:lang w:eastAsia="en-GB"/>
        </w:rPr>
      </w:pPr>
      <w:r w:rsidRPr="00BA5DAD">
        <w:rPr>
          <w:rFonts w:ascii="Times New Roman" w:eastAsia="Times New Roman" w:hAnsi="Times New Roman" w:cs="Times New Roman"/>
          <w:i/>
          <w:color w:val="000000"/>
          <w:sz w:val="24"/>
          <w:szCs w:val="24"/>
          <w:lang w:eastAsia="en-GB"/>
        </w:rPr>
        <w:t>Shops and Workshops</w:t>
      </w:r>
    </w:p>
    <w:p w14:paraId="6BCA2E0A" w14:textId="37AF2BA6" w:rsidR="00697FBA" w:rsidRDefault="00C94518" w:rsidP="007D607C">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central function of the shop or workshop as the location of both manufacture and retail</w:t>
      </w:r>
      <w:r w:rsidR="005142E0">
        <w:rPr>
          <w:rFonts w:ascii="Times New Roman" w:eastAsia="Times New Roman" w:hAnsi="Times New Roman" w:cs="Times New Roman"/>
          <w:color w:val="000000"/>
          <w:sz w:val="24"/>
          <w:szCs w:val="24"/>
          <w:lang w:eastAsia="en-GB"/>
        </w:rPr>
        <w:t xml:space="preserve"> is apparent </w:t>
      </w:r>
      <w:r w:rsidR="006677B9">
        <w:rPr>
          <w:rFonts w:ascii="Times New Roman" w:eastAsia="Times New Roman" w:hAnsi="Times New Roman" w:cs="Times New Roman"/>
          <w:color w:val="000000"/>
          <w:sz w:val="24"/>
          <w:szCs w:val="24"/>
          <w:lang w:eastAsia="en-GB"/>
        </w:rPr>
        <w:t xml:space="preserve">from the presence of tools, stock and </w:t>
      </w:r>
      <w:r w:rsidR="00A474EA">
        <w:rPr>
          <w:rFonts w:ascii="Times New Roman" w:eastAsia="Times New Roman" w:hAnsi="Times New Roman" w:cs="Times New Roman"/>
          <w:color w:val="000000"/>
          <w:sz w:val="24"/>
          <w:szCs w:val="24"/>
          <w:lang w:eastAsia="en-GB"/>
        </w:rPr>
        <w:t>furnishings. Thomas Baker,</w:t>
      </w:r>
      <w:r w:rsidR="00ED0024">
        <w:rPr>
          <w:rFonts w:ascii="Times New Roman" w:eastAsia="Times New Roman" w:hAnsi="Times New Roman" w:cs="Times New Roman"/>
          <w:color w:val="000000"/>
          <w:sz w:val="24"/>
          <w:szCs w:val="24"/>
          <w:lang w:eastAsia="en-GB"/>
        </w:rPr>
        <w:t xml:space="preserve"> stringer</w:t>
      </w:r>
      <w:r w:rsidR="002638F1">
        <w:rPr>
          <w:rFonts w:ascii="Times New Roman" w:eastAsia="Times New Roman" w:hAnsi="Times New Roman" w:cs="Times New Roman"/>
          <w:color w:val="000000"/>
          <w:sz w:val="24"/>
          <w:szCs w:val="24"/>
          <w:lang w:eastAsia="en-GB"/>
        </w:rPr>
        <w:t>’s</w:t>
      </w:r>
      <w:r w:rsidR="002638F1" w:rsidRPr="002638F1">
        <w:rPr>
          <w:rFonts w:ascii="Times New Roman" w:eastAsia="Times New Roman" w:hAnsi="Times New Roman" w:cs="Times New Roman"/>
          <w:color w:val="000000"/>
          <w:sz w:val="24"/>
          <w:szCs w:val="24"/>
          <w:lang w:eastAsia="en-GB"/>
        </w:rPr>
        <w:t xml:space="preserve"> </w:t>
      </w:r>
      <w:r w:rsidR="002638F1">
        <w:rPr>
          <w:rFonts w:ascii="Times New Roman" w:eastAsia="Times New Roman" w:hAnsi="Times New Roman" w:cs="Times New Roman"/>
          <w:color w:val="000000"/>
          <w:sz w:val="24"/>
          <w:szCs w:val="24"/>
          <w:lang w:eastAsia="en-GB"/>
        </w:rPr>
        <w:t>shop</w:t>
      </w:r>
      <w:r w:rsidR="00ED0024">
        <w:rPr>
          <w:rFonts w:ascii="Times New Roman" w:eastAsia="Times New Roman" w:hAnsi="Times New Roman" w:cs="Times New Roman"/>
          <w:color w:val="000000"/>
          <w:sz w:val="24"/>
          <w:szCs w:val="24"/>
          <w:lang w:eastAsia="en-GB"/>
        </w:rPr>
        <w:t xml:space="preserve"> contained a chest for stock and a quantity of bow </w:t>
      </w:r>
      <w:r w:rsidR="005142E0">
        <w:rPr>
          <w:rFonts w:ascii="Times New Roman" w:eastAsia="Times New Roman" w:hAnsi="Times New Roman" w:cs="Times New Roman"/>
          <w:color w:val="000000"/>
          <w:sz w:val="24"/>
          <w:szCs w:val="24"/>
          <w:lang w:eastAsia="en-GB"/>
        </w:rPr>
        <w:t xml:space="preserve">strings, but also </w:t>
      </w:r>
      <w:r w:rsidR="00ED0024">
        <w:rPr>
          <w:rFonts w:ascii="Times New Roman" w:eastAsia="Times New Roman" w:hAnsi="Times New Roman" w:cs="Times New Roman"/>
          <w:color w:val="000000"/>
          <w:sz w:val="24"/>
          <w:szCs w:val="24"/>
          <w:lang w:eastAsia="en-GB"/>
        </w:rPr>
        <w:t xml:space="preserve">hemp used in the making of strings and some tables which presumably served as work surfaces. </w:t>
      </w:r>
      <w:r w:rsidR="007D607C">
        <w:rPr>
          <w:rFonts w:ascii="Times New Roman" w:eastAsia="Times New Roman" w:hAnsi="Times New Roman" w:cs="Times New Roman"/>
          <w:color w:val="000000"/>
          <w:sz w:val="24"/>
          <w:szCs w:val="24"/>
          <w:lang w:eastAsia="en-GB"/>
        </w:rPr>
        <w:t xml:space="preserve">The </w:t>
      </w:r>
      <w:proofErr w:type="spellStart"/>
      <w:r w:rsidR="007D607C">
        <w:rPr>
          <w:rFonts w:ascii="Times New Roman" w:eastAsia="Times New Roman" w:hAnsi="Times New Roman" w:cs="Times New Roman"/>
          <w:color w:val="000000"/>
          <w:sz w:val="24"/>
          <w:szCs w:val="24"/>
          <w:lang w:eastAsia="en-GB"/>
        </w:rPr>
        <w:t>gol</w:t>
      </w:r>
      <w:r w:rsidR="00E91272">
        <w:rPr>
          <w:rFonts w:ascii="Times New Roman" w:eastAsia="Times New Roman" w:hAnsi="Times New Roman" w:cs="Times New Roman"/>
          <w:color w:val="000000"/>
          <w:sz w:val="24"/>
          <w:szCs w:val="24"/>
          <w:lang w:eastAsia="en-GB"/>
        </w:rPr>
        <w:t>dsmithing</w:t>
      </w:r>
      <w:proofErr w:type="spellEnd"/>
      <w:r w:rsidR="00E91272">
        <w:rPr>
          <w:rFonts w:ascii="Times New Roman" w:eastAsia="Times New Roman" w:hAnsi="Times New Roman" w:cs="Times New Roman"/>
          <w:color w:val="000000"/>
          <w:sz w:val="24"/>
          <w:szCs w:val="24"/>
          <w:lang w:eastAsia="en-GB"/>
        </w:rPr>
        <w:t xml:space="preserve"> workshop of John </w:t>
      </w:r>
      <w:proofErr w:type="spellStart"/>
      <w:r w:rsidR="00E91272">
        <w:rPr>
          <w:rFonts w:ascii="Times New Roman" w:eastAsia="Times New Roman" w:hAnsi="Times New Roman" w:cs="Times New Roman"/>
          <w:color w:val="000000"/>
          <w:sz w:val="24"/>
          <w:szCs w:val="24"/>
          <w:lang w:eastAsia="en-GB"/>
        </w:rPr>
        <w:t>Collan</w:t>
      </w:r>
      <w:proofErr w:type="spellEnd"/>
      <w:r w:rsidR="00506A80">
        <w:rPr>
          <w:rFonts w:ascii="Times New Roman" w:eastAsia="Times New Roman" w:hAnsi="Times New Roman" w:cs="Times New Roman"/>
          <w:color w:val="000000"/>
          <w:sz w:val="24"/>
          <w:szCs w:val="24"/>
          <w:lang w:eastAsia="en-GB"/>
        </w:rPr>
        <w:t xml:space="preserve"> contained </w:t>
      </w:r>
      <w:r w:rsidR="007D607C">
        <w:rPr>
          <w:rFonts w:ascii="Times New Roman" w:eastAsia="Times New Roman" w:hAnsi="Times New Roman" w:cs="Times New Roman"/>
          <w:color w:val="000000"/>
          <w:sz w:val="24"/>
          <w:szCs w:val="24"/>
          <w:lang w:eastAsia="en-GB"/>
        </w:rPr>
        <w:t xml:space="preserve">specialist tools including anvils, hammers, rivets, tongs, </w:t>
      </w:r>
      <w:r w:rsidR="00802519">
        <w:rPr>
          <w:rFonts w:ascii="Times New Roman" w:eastAsia="Times New Roman" w:hAnsi="Times New Roman" w:cs="Times New Roman"/>
          <w:color w:val="000000"/>
          <w:sz w:val="24"/>
          <w:szCs w:val="24"/>
          <w:lang w:eastAsia="en-GB"/>
        </w:rPr>
        <w:t>and scales,</w:t>
      </w:r>
      <w:r w:rsidR="007D607C">
        <w:rPr>
          <w:rFonts w:ascii="Times New Roman" w:eastAsia="Times New Roman" w:hAnsi="Times New Roman" w:cs="Times New Roman"/>
          <w:color w:val="000000"/>
          <w:sz w:val="24"/>
          <w:szCs w:val="24"/>
          <w:lang w:eastAsia="en-GB"/>
        </w:rPr>
        <w:t xml:space="preserve"> </w:t>
      </w:r>
      <w:r w:rsidR="008E41C9">
        <w:rPr>
          <w:rFonts w:ascii="Times New Roman" w:eastAsia="Times New Roman" w:hAnsi="Times New Roman" w:cs="Times New Roman"/>
          <w:color w:val="000000"/>
          <w:sz w:val="24"/>
          <w:szCs w:val="24"/>
          <w:lang w:eastAsia="en-GB"/>
        </w:rPr>
        <w:t>working spaces in the form of tables and desks, but a</w:t>
      </w:r>
      <w:r w:rsidR="00506A80">
        <w:rPr>
          <w:rFonts w:ascii="Times New Roman" w:eastAsia="Times New Roman" w:hAnsi="Times New Roman" w:cs="Times New Roman"/>
          <w:color w:val="000000"/>
          <w:sz w:val="24"/>
          <w:szCs w:val="24"/>
          <w:lang w:eastAsia="en-GB"/>
        </w:rPr>
        <w:t xml:space="preserve">lso </w:t>
      </w:r>
      <w:r w:rsidR="00121AB3">
        <w:rPr>
          <w:rFonts w:ascii="Times New Roman" w:eastAsia="Times New Roman" w:hAnsi="Times New Roman" w:cs="Times New Roman"/>
          <w:color w:val="000000"/>
          <w:sz w:val="24"/>
          <w:szCs w:val="24"/>
          <w:lang w:eastAsia="en-GB"/>
        </w:rPr>
        <w:t>raw materials such as</w:t>
      </w:r>
      <w:r w:rsidR="008E41C9">
        <w:rPr>
          <w:rFonts w:ascii="Times New Roman" w:eastAsia="Times New Roman" w:hAnsi="Times New Roman" w:cs="Times New Roman"/>
          <w:color w:val="000000"/>
          <w:sz w:val="24"/>
          <w:szCs w:val="24"/>
          <w:lang w:eastAsia="en-GB"/>
        </w:rPr>
        <w:t xml:space="preserve"> pearls, maple wood, and gold leaf</w:t>
      </w:r>
      <w:r w:rsidR="00CC07C4">
        <w:rPr>
          <w:rFonts w:ascii="Times New Roman" w:eastAsia="Times New Roman" w:hAnsi="Times New Roman" w:cs="Times New Roman"/>
          <w:color w:val="000000"/>
          <w:sz w:val="24"/>
          <w:szCs w:val="24"/>
          <w:lang w:eastAsia="en-GB"/>
        </w:rPr>
        <w:t xml:space="preserve"> together with a few items</w:t>
      </w:r>
      <w:r w:rsidR="008E41C9">
        <w:rPr>
          <w:rFonts w:ascii="Times New Roman" w:eastAsia="Times New Roman" w:hAnsi="Times New Roman" w:cs="Times New Roman"/>
          <w:color w:val="000000"/>
          <w:sz w:val="24"/>
          <w:szCs w:val="24"/>
          <w:lang w:eastAsia="en-GB"/>
        </w:rPr>
        <w:t xml:space="preserve"> of stock</w:t>
      </w:r>
      <w:r w:rsidR="00506A80">
        <w:rPr>
          <w:rFonts w:ascii="Times New Roman" w:eastAsia="Times New Roman" w:hAnsi="Times New Roman" w:cs="Times New Roman"/>
          <w:color w:val="000000"/>
          <w:sz w:val="24"/>
          <w:szCs w:val="24"/>
          <w:lang w:eastAsia="en-GB"/>
        </w:rPr>
        <w:t xml:space="preserve">, perhaps </w:t>
      </w:r>
      <w:r w:rsidR="00121AB3">
        <w:rPr>
          <w:rFonts w:ascii="Times New Roman" w:eastAsia="Times New Roman" w:hAnsi="Times New Roman" w:cs="Times New Roman"/>
          <w:color w:val="000000"/>
          <w:sz w:val="24"/>
          <w:szCs w:val="24"/>
          <w:lang w:eastAsia="en-GB"/>
        </w:rPr>
        <w:t xml:space="preserve">uncollected </w:t>
      </w:r>
      <w:r w:rsidR="00506A80">
        <w:rPr>
          <w:rFonts w:ascii="Times New Roman" w:eastAsia="Times New Roman" w:hAnsi="Times New Roman" w:cs="Times New Roman"/>
          <w:color w:val="000000"/>
          <w:sz w:val="24"/>
          <w:szCs w:val="24"/>
          <w:lang w:eastAsia="en-GB"/>
        </w:rPr>
        <w:t>commission</w:t>
      </w:r>
      <w:r w:rsidR="00121AB3">
        <w:rPr>
          <w:rFonts w:ascii="Times New Roman" w:eastAsia="Times New Roman" w:hAnsi="Times New Roman" w:cs="Times New Roman"/>
          <w:color w:val="000000"/>
          <w:sz w:val="24"/>
          <w:szCs w:val="24"/>
          <w:lang w:eastAsia="en-GB"/>
        </w:rPr>
        <w:t>s</w:t>
      </w:r>
      <w:r w:rsidR="00CC07C4">
        <w:rPr>
          <w:rFonts w:ascii="Times New Roman" w:eastAsia="Times New Roman" w:hAnsi="Times New Roman" w:cs="Times New Roman"/>
          <w:color w:val="000000"/>
          <w:sz w:val="24"/>
          <w:szCs w:val="24"/>
          <w:lang w:eastAsia="en-GB"/>
        </w:rPr>
        <w:t>,</w:t>
      </w:r>
      <w:r w:rsidR="008E41C9">
        <w:rPr>
          <w:rFonts w:ascii="Times New Roman" w:eastAsia="Times New Roman" w:hAnsi="Times New Roman" w:cs="Times New Roman"/>
          <w:color w:val="000000"/>
          <w:sz w:val="24"/>
          <w:szCs w:val="24"/>
          <w:lang w:eastAsia="en-GB"/>
        </w:rPr>
        <w:t xml:space="preserve"> including a </w:t>
      </w:r>
      <w:r w:rsidR="00CC07C4">
        <w:rPr>
          <w:rFonts w:ascii="Times New Roman" w:eastAsia="Times New Roman" w:hAnsi="Times New Roman" w:cs="Times New Roman"/>
          <w:color w:val="000000"/>
          <w:sz w:val="24"/>
          <w:szCs w:val="24"/>
          <w:lang w:eastAsia="en-GB"/>
        </w:rPr>
        <w:t xml:space="preserve">silver </w:t>
      </w:r>
      <w:proofErr w:type="spellStart"/>
      <w:r w:rsidR="00CC07C4">
        <w:rPr>
          <w:rFonts w:ascii="Times New Roman" w:eastAsia="Times New Roman" w:hAnsi="Times New Roman" w:cs="Times New Roman"/>
          <w:color w:val="000000"/>
          <w:sz w:val="24"/>
          <w:szCs w:val="24"/>
          <w:lang w:eastAsia="en-GB"/>
        </w:rPr>
        <w:t>pax</w:t>
      </w:r>
      <w:proofErr w:type="spellEnd"/>
      <w:r w:rsidR="00CC07C4">
        <w:rPr>
          <w:rFonts w:ascii="Times New Roman" w:eastAsia="Times New Roman" w:hAnsi="Times New Roman" w:cs="Times New Roman"/>
          <w:color w:val="000000"/>
          <w:sz w:val="24"/>
          <w:szCs w:val="24"/>
          <w:lang w:eastAsia="en-GB"/>
        </w:rPr>
        <w:t xml:space="preserve"> and a </w:t>
      </w:r>
      <w:r w:rsidR="008E41C9">
        <w:rPr>
          <w:rFonts w:ascii="Times New Roman" w:eastAsia="Times New Roman" w:hAnsi="Times New Roman" w:cs="Times New Roman"/>
          <w:color w:val="000000"/>
          <w:sz w:val="24"/>
          <w:szCs w:val="24"/>
          <w:lang w:eastAsia="en-GB"/>
        </w:rPr>
        <w:t xml:space="preserve">silver bow and arrow with a </w:t>
      </w:r>
      <w:r w:rsidR="008E41C9">
        <w:rPr>
          <w:rFonts w:ascii="Times New Roman" w:eastAsia="Times New Roman" w:hAnsi="Times New Roman" w:cs="Times New Roman"/>
          <w:color w:val="000000"/>
          <w:sz w:val="24"/>
          <w:szCs w:val="24"/>
          <w:lang w:eastAsia="en-GB"/>
        </w:rPr>
        <w:lastRenderedPageBreak/>
        <w:t>sma</w:t>
      </w:r>
      <w:r w:rsidR="00121AB3">
        <w:rPr>
          <w:rFonts w:ascii="Times New Roman" w:eastAsia="Times New Roman" w:hAnsi="Times New Roman" w:cs="Times New Roman"/>
          <w:color w:val="000000"/>
          <w:sz w:val="24"/>
          <w:szCs w:val="24"/>
          <w:lang w:eastAsia="en-GB"/>
        </w:rPr>
        <w:t xml:space="preserve">ll gold bell. Robert </w:t>
      </w:r>
      <w:proofErr w:type="spellStart"/>
      <w:r w:rsidR="00121AB3">
        <w:rPr>
          <w:rFonts w:ascii="Times New Roman" w:eastAsia="Times New Roman" w:hAnsi="Times New Roman" w:cs="Times New Roman"/>
          <w:color w:val="000000"/>
          <w:sz w:val="24"/>
          <w:szCs w:val="24"/>
          <w:lang w:eastAsia="en-GB"/>
        </w:rPr>
        <w:t>Fawcette</w:t>
      </w:r>
      <w:proofErr w:type="spellEnd"/>
      <w:r w:rsidR="00121AB3">
        <w:rPr>
          <w:rFonts w:ascii="Times New Roman" w:eastAsia="Times New Roman" w:hAnsi="Times New Roman" w:cs="Times New Roman"/>
          <w:color w:val="000000"/>
          <w:sz w:val="24"/>
          <w:szCs w:val="24"/>
          <w:lang w:eastAsia="en-GB"/>
        </w:rPr>
        <w:t>,</w:t>
      </w:r>
      <w:r w:rsidR="00CC07C4">
        <w:rPr>
          <w:rFonts w:ascii="Times New Roman" w:eastAsia="Times New Roman" w:hAnsi="Times New Roman" w:cs="Times New Roman"/>
          <w:color w:val="000000"/>
          <w:sz w:val="24"/>
          <w:szCs w:val="24"/>
          <w:lang w:eastAsia="en-GB"/>
        </w:rPr>
        <w:t xml:space="preserve"> </w:t>
      </w:r>
      <w:proofErr w:type="spellStart"/>
      <w:r w:rsidR="00CC07C4">
        <w:rPr>
          <w:rFonts w:ascii="Times New Roman" w:eastAsia="Times New Roman" w:hAnsi="Times New Roman" w:cs="Times New Roman"/>
          <w:color w:val="000000"/>
          <w:sz w:val="24"/>
          <w:szCs w:val="24"/>
          <w:lang w:eastAsia="en-GB"/>
        </w:rPr>
        <w:t>pewterer’s</w:t>
      </w:r>
      <w:proofErr w:type="spellEnd"/>
      <w:r w:rsidR="00CC07C4">
        <w:rPr>
          <w:rFonts w:ascii="Times New Roman" w:eastAsia="Times New Roman" w:hAnsi="Times New Roman" w:cs="Times New Roman"/>
          <w:color w:val="000000"/>
          <w:sz w:val="24"/>
          <w:szCs w:val="24"/>
          <w:lang w:eastAsia="en-GB"/>
        </w:rPr>
        <w:t xml:space="preserve"> shop </w:t>
      </w:r>
      <w:r w:rsidR="00B62721">
        <w:rPr>
          <w:rFonts w:ascii="Times New Roman" w:eastAsia="Times New Roman" w:hAnsi="Times New Roman" w:cs="Times New Roman"/>
          <w:color w:val="000000"/>
          <w:sz w:val="24"/>
          <w:szCs w:val="24"/>
          <w:lang w:eastAsia="en-GB"/>
        </w:rPr>
        <w:t>l</w:t>
      </w:r>
      <w:r w:rsidR="002638F1">
        <w:rPr>
          <w:rFonts w:ascii="Times New Roman" w:eastAsia="Times New Roman" w:hAnsi="Times New Roman" w:cs="Times New Roman"/>
          <w:color w:val="000000"/>
          <w:sz w:val="24"/>
          <w:szCs w:val="24"/>
          <w:lang w:eastAsia="en-GB"/>
        </w:rPr>
        <w:t xml:space="preserve">ikewise contained </w:t>
      </w:r>
      <w:r w:rsidR="00B62721">
        <w:rPr>
          <w:rFonts w:ascii="Times New Roman" w:eastAsia="Times New Roman" w:hAnsi="Times New Roman" w:cs="Times New Roman"/>
          <w:color w:val="000000"/>
          <w:sz w:val="24"/>
          <w:szCs w:val="24"/>
          <w:lang w:eastAsia="en-GB"/>
        </w:rPr>
        <w:t>raw pewter and</w:t>
      </w:r>
      <w:r w:rsidR="00C86B44">
        <w:rPr>
          <w:rFonts w:ascii="Times New Roman" w:eastAsia="Times New Roman" w:hAnsi="Times New Roman" w:cs="Times New Roman"/>
          <w:color w:val="000000"/>
          <w:sz w:val="24"/>
          <w:szCs w:val="24"/>
          <w:lang w:eastAsia="en-GB"/>
        </w:rPr>
        <w:t xml:space="preserve"> specialist tools. A</w:t>
      </w:r>
      <w:r w:rsidR="00F4347B">
        <w:rPr>
          <w:rFonts w:ascii="Times New Roman" w:eastAsia="Times New Roman" w:hAnsi="Times New Roman" w:cs="Times New Roman"/>
          <w:color w:val="000000"/>
          <w:sz w:val="24"/>
          <w:szCs w:val="24"/>
          <w:lang w:eastAsia="en-GB"/>
        </w:rPr>
        <w:t xml:space="preserve"> set of </w:t>
      </w:r>
      <w:r w:rsidR="00B62721">
        <w:rPr>
          <w:rFonts w:ascii="Times New Roman" w:eastAsia="Times New Roman" w:hAnsi="Times New Roman" w:cs="Times New Roman"/>
          <w:color w:val="000000"/>
          <w:sz w:val="24"/>
          <w:szCs w:val="24"/>
          <w:lang w:eastAsia="en-GB"/>
        </w:rPr>
        <w:t xml:space="preserve">salt cellars represented </w:t>
      </w:r>
      <w:r w:rsidR="00F4347B">
        <w:rPr>
          <w:rFonts w:ascii="Times New Roman" w:eastAsia="Times New Roman" w:hAnsi="Times New Roman" w:cs="Times New Roman"/>
          <w:color w:val="000000"/>
          <w:sz w:val="24"/>
          <w:szCs w:val="24"/>
          <w:lang w:eastAsia="en-GB"/>
        </w:rPr>
        <w:t>the only items of</w:t>
      </w:r>
      <w:r w:rsidR="00B62721">
        <w:rPr>
          <w:rFonts w:ascii="Times New Roman" w:eastAsia="Times New Roman" w:hAnsi="Times New Roman" w:cs="Times New Roman"/>
          <w:color w:val="000000"/>
          <w:sz w:val="24"/>
          <w:szCs w:val="24"/>
          <w:lang w:eastAsia="en-GB"/>
        </w:rPr>
        <w:t xml:space="preserve"> stock.</w:t>
      </w:r>
      <w:r w:rsidR="00B62721">
        <w:rPr>
          <w:rStyle w:val="FootnoteReference"/>
          <w:rFonts w:ascii="Times New Roman" w:eastAsia="Times New Roman" w:hAnsi="Times New Roman" w:cs="Times New Roman"/>
          <w:color w:val="000000"/>
          <w:sz w:val="24"/>
          <w:szCs w:val="24"/>
          <w:lang w:eastAsia="en-GB"/>
        </w:rPr>
        <w:footnoteReference w:id="40"/>
      </w:r>
      <w:r w:rsidR="00CC07C4">
        <w:rPr>
          <w:rFonts w:ascii="Times New Roman" w:eastAsia="Times New Roman" w:hAnsi="Times New Roman" w:cs="Times New Roman"/>
          <w:color w:val="000000"/>
          <w:sz w:val="24"/>
          <w:szCs w:val="24"/>
          <w:lang w:eastAsia="en-GB"/>
        </w:rPr>
        <w:t xml:space="preserve"> </w:t>
      </w:r>
    </w:p>
    <w:p w14:paraId="465534C9" w14:textId="11B47751" w:rsidR="00902FBA" w:rsidRDefault="00902FBA" w:rsidP="007D607C">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An example of a shop functioning as a retail space is found from the deposition evidence. </w:t>
      </w:r>
      <w:r w:rsidR="001D28BB">
        <w:rPr>
          <w:rFonts w:ascii="Times New Roman" w:eastAsia="Times New Roman" w:hAnsi="Times New Roman" w:cs="Times New Roman"/>
          <w:color w:val="000000"/>
          <w:sz w:val="24"/>
          <w:szCs w:val="24"/>
          <w:lang w:eastAsia="en-GB"/>
        </w:rPr>
        <w:t>Joan</w:t>
      </w:r>
      <w:r w:rsidR="002638F1">
        <w:rPr>
          <w:rFonts w:ascii="Times New Roman" w:eastAsia="Times New Roman" w:hAnsi="Times New Roman" w:cs="Times New Roman"/>
          <w:color w:val="000000"/>
          <w:sz w:val="24"/>
          <w:szCs w:val="24"/>
          <w:lang w:eastAsia="en-GB"/>
        </w:rPr>
        <w:t xml:space="preserve"> </w:t>
      </w:r>
      <w:proofErr w:type="spellStart"/>
      <w:r w:rsidR="002638F1">
        <w:rPr>
          <w:rFonts w:ascii="Times New Roman" w:eastAsia="Times New Roman" w:hAnsi="Times New Roman" w:cs="Times New Roman"/>
          <w:color w:val="000000"/>
          <w:sz w:val="24"/>
          <w:szCs w:val="24"/>
          <w:lang w:eastAsia="en-GB"/>
        </w:rPr>
        <w:t>Scharp</w:t>
      </w:r>
      <w:proofErr w:type="spellEnd"/>
      <w:r w:rsidR="002638F1">
        <w:rPr>
          <w:rFonts w:ascii="Times New Roman" w:eastAsia="Times New Roman" w:hAnsi="Times New Roman" w:cs="Times New Roman"/>
          <w:color w:val="000000"/>
          <w:sz w:val="24"/>
          <w:szCs w:val="24"/>
          <w:lang w:eastAsia="en-GB"/>
        </w:rPr>
        <w:t xml:space="preserve"> testified in 1430 to </w:t>
      </w:r>
      <w:r w:rsidR="007B6073">
        <w:rPr>
          <w:rFonts w:ascii="Times New Roman" w:eastAsia="Times New Roman" w:hAnsi="Times New Roman" w:cs="Times New Roman"/>
          <w:color w:val="000000"/>
          <w:sz w:val="24"/>
          <w:szCs w:val="24"/>
          <w:lang w:eastAsia="en-GB"/>
        </w:rPr>
        <w:t>Margaret Harman</w:t>
      </w:r>
      <w:r w:rsidR="002638F1">
        <w:rPr>
          <w:rFonts w:ascii="Times New Roman" w:eastAsia="Times New Roman" w:hAnsi="Times New Roman" w:cs="Times New Roman"/>
          <w:color w:val="000000"/>
          <w:sz w:val="24"/>
          <w:szCs w:val="24"/>
          <w:lang w:eastAsia="en-GB"/>
        </w:rPr>
        <w:t>’s purchase of</w:t>
      </w:r>
      <w:r w:rsidR="007B6073">
        <w:rPr>
          <w:rFonts w:ascii="Times New Roman" w:eastAsia="Times New Roman" w:hAnsi="Times New Roman" w:cs="Times New Roman"/>
          <w:color w:val="000000"/>
          <w:sz w:val="24"/>
          <w:szCs w:val="24"/>
          <w:lang w:eastAsia="en-GB"/>
        </w:rPr>
        <w:t xml:space="preserve"> a very large quantity of candlewick </w:t>
      </w:r>
      <w:r w:rsidR="00DC29C9">
        <w:rPr>
          <w:rFonts w:ascii="Times New Roman" w:eastAsia="Times New Roman" w:hAnsi="Times New Roman" w:cs="Times New Roman"/>
          <w:color w:val="000000"/>
          <w:sz w:val="24"/>
          <w:szCs w:val="24"/>
          <w:lang w:eastAsia="en-GB"/>
        </w:rPr>
        <w:t xml:space="preserve">worth 23s. 10d. </w:t>
      </w:r>
      <w:r w:rsidR="00F4347B">
        <w:rPr>
          <w:rFonts w:ascii="Times New Roman" w:eastAsia="Times New Roman" w:hAnsi="Times New Roman" w:cs="Times New Roman"/>
          <w:color w:val="000000"/>
          <w:sz w:val="24"/>
          <w:szCs w:val="24"/>
          <w:lang w:eastAsia="en-GB"/>
        </w:rPr>
        <w:t xml:space="preserve">for her </w:t>
      </w:r>
      <w:r w:rsidR="007B6073">
        <w:rPr>
          <w:rFonts w:ascii="Times New Roman" w:eastAsia="Times New Roman" w:hAnsi="Times New Roman" w:cs="Times New Roman"/>
          <w:color w:val="000000"/>
          <w:sz w:val="24"/>
          <w:szCs w:val="24"/>
          <w:lang w:eastAsia="en-GB"/>
        </w:rPr>
        <w:t xml:space="preserve">chandlery business from </w:t>
      </w:r>
      <w:r w:rsidR="001D28BB">
        <w:rPr>
          <w:rFonts w:ascii="Times New Roman" w:eastAsia="Times New Roman" w:hAnsi="Times New Roman" w:cs="Times New Roman"/>
          <w:color w:val="000000"/>
          <w:sz w:val="24"/>
          <w:szCs w:val="24"/>
          <w:lang w:eastAsia="en-GB"/>
        </w:rPr>
        <w:t xml:space="preserve">her master, </w:t>
      </w:r>
      <w:r w:rsidR="007B6073">
        <w:rPr>
          <w:rFonts w:ascii="Times New Roman" w:eastAsia="Times New Roman" w:hAnsi="Times New Roman" w:cs="Times New Roman"/>
          <w:color w:val="000000"/>
          <w:sz w:val="24"/>
          <w:szCs w:val="24"/>
          <w:lang w:eastAsia="en-GB"/>
        </w:rPr>
        <w:t xml:space="preserve">the </w:t>
      </w:r>
      <w:proofErr w:type="spellStart"/>
      <w:r w:rsidR="007B6073">
        <w:rPr>
          <w:rFonts w:ascii="Times New Roman" w:eastAsia="Times New Roman" w:hAnsi="Times New Roman" w:cs="Times New Roman"/>
          <w:color w:val="000000"/>
          <w:sz w:val="24"/>
          <w:szCs w:val="24"/>
          <w:lang w:eastAsia="en-GB"/>
        </w:rPr>
        <w:t>Petergate</w:t>
      </w:r>
      <w:proofErr w:type="spellEnd"/>
      <w:r w:rsidR="007B6073">
        <w:rPr>
          <w:rFonts w:ascii="Times New Roman" w:eastAsia="Times New Roman" w:hAnsi="Times New Roman" w:cs="Times New Roman"/>
          <w:color w:val="000000"/>
          <w:sz w:val="24"/>
          <w:szCs w:val="24"/>
          <w:lang w:eastAsia="en-GB"/>
        </w:rPr>
        <w:t xml:space="preserve"> merchant </w:t>
      </w:r>
      <w:r w:rsidR="001D28BB">
        <w:rPr>
          <w:rFonts w:ascii="Times New Roman" w:eastAsia="Times New Roman" w:hAnsi="Times New Roman" w:cs="Times New Roman"/>
          <w:color w:val="000000"/>
          <w:sz w:val="24"/>
          <w:szCs w:val="24"/>
          <w:lang w:eastAsia="en-GB"/>
        </w:rPr>
        <w:t>Robert Lascelles.</w:t>
      </w:r>
      <w:r w:rsidR="00134B8B">
        <w:rPr>
          <w:rStyle w:val="FootnoteReference"/>
          <w:rFonts w:ascii="Times New Roman" w:eastAsia="Times New Roman" w:hAnsi="Times New Roman" w:cs="Times New Roman"/>
          <w:color w:val="000000"/>
          <w:sz w:val="24"/>
          <w:szCs w:val="24"/>
          <w:lang w:eastAsia="en-GB"/>
        </w:rPr>
        <w:footnoteReference w:id="41"/>
      </w:r>
      <w:r w:rsidR="001D28BB">
        <w:rPr>
          <w:rFonts w:ascii="Times New Roman" w:eastAsia="Times New Roman" w:hAnsi="Times New Roman" w:cs="Times New Roman"/>
          <w:color w:val="000000"/>
          <w:sz w:val="24"/>
          <w:szCs w:val="24"/>
          <w:lang w:eastAsia="en-GB"/>
        </w:rPr>
        <w:t xml:space="preserve"> Present in the shop (‘</w:t>
      </w:r>
      <w:r w:rsidR="00DC29C9">
        <w:rPr>
          <w:rFonts w:ascii="Times New Roman" w:eastAsia="Times New Roman" w:hAnsi="Times New Roman" w:cs="Times New Roman"/>
          <w:i/>
          <w:color w:val="000000"/>
          <w:sz w:val="24"/>
          <w:szCs w:val="24"/>
          <w:lang w:eastAsia="en-GB"/>
        </w:rPr>
        <w:t xml:space="preserve">in </w:t>
      </w:r>
      <w:proofErr w:type="spellStart"/>
      <w:r w:rsidR="00DC29C9">
        <w:rPr>
          <w:rFonts w:ascii="Times New Roman" w:eastAsia="Times New Roman" w:hAnsi="Times New Roman" w:cs="Times New Roman"/>
          <w:i/>
          <w:color w:val="000000"/>
          <w:sz w:val="24"/>
          <w:szCs w:val="24"/>
          <w:lang w:eastAsia="en-GB"/>
        </w:rPr>
        <w:t>s</w:t>
      </w:r>
      <w:r w:rsidR="001D28BB" w:rsidRPr="001D28BB">
        <w:rPr>
          <w:rFonts w:ascii="Times New Roman" w:eastAsia="Times New Roman" w:hAnsi="Times New Roman" w:cs="Times New Roman"/>
          <w:i/>
          <w:color w:val="000000"/>
          <w:sz w:val="24"/>
          <w:szCs w:val="24"/>
          <w:lang w:eastAsia="en-GB"/>
        </w:rPr>
        <w:t>choppa</w:t>
      </w:r>
      <w:proofErr w:type="spellEnd"/>
      <w:r w:rsidR="001D28BB">
        <w:rPr>
          <w:rFonts w:ascii="Times New Roman" w:eastAsia="Times New Roman" w:hAnsi="Times New Roman" w:cs="Times New Roman"/>
          <w:color w:val="000000"/>
          <w:sz w:val="24"/>
          <w:szCs w:val="24"/>
          <w:lang w:eastAsia="en-GB"/>
        </w:rPr>
        <w:t xml:space="preserve">’) </w:t>
      </w:r>
      <w:r w:rsidR="00DC29C9">
        <w:rPr>
          <w:rFonts w:ascii="Times New Roman" w:eastAsia="Times New Roman" w:hAnsi="Times New Roman" w:cs="Times New Roman"/>
          <w:color w:val="000000"/>
          <w:sz w:val="24"/>
          <w:szCs w:val="24"/>
          <w:lang w:eastAsia="en-GB"/>
        </w:rPr>
        <w:t xml:space="preserve">at the time were Joan, Margaret, Robert’s wife Isabel, </w:t>
      </w:r>
      <w:r w:rsidR="00E6210E">
        <w:rPr>
          <w:rFonts w:ascii="Times New Roman" w:eastAsia="Times New Roman" w:hAnsi="Times New Roman" w:cs="Times New Roman"/>
          <w:color w:val="000000"/>
          <w:sz w:val="24"/>
          <w:szCs w:val="24"/>
          <w:lang w:eastAsia="en-GB"/>
        </w:rPr>
        <w:t>and Robert himself. W</w:t>
      </w:r>
      <w:r w:rsidR="00DC29C9">
        <w:rPr>
          <w:rFonts w:ascii="Times New Roman" w:eastAsia="Times New Roman" w:hAnsi="Times New Roman" w:cs="Times New Roman"/>
          <w:color w:val="000000"/>
          <w:sz w:val="24"/>
          <w:szCs w:val="24"/>
          <w:lang w:eastAsia="en-GB"/>
        </w:rPr>
        <w:t xml:space="preserve">e can surmise that another of Robert’s servants, Alice </w:t>
      </w:r>
      <w:proofErr w:type="spellStart"/>
      <w:r w:rsidR="00DC29C9">
        <w:rPr>
          <w:rFonts w:ascii="Times New Roman" w:eastAsia="Times New Roman" w:hAnsi="Times New Roman" w:cs="Times New Roman"/>
          <w:color w:val="000000"/>
          <w:sz w:val="24"/>
          <w:szCs w:val="24"/>
          <w:lang w:eastAsia="en-GB"/>
        </w:rPr>
        <w:t>Bawmburgh</w:t>
      </w:r>
      <w:proofErr w:type="spellEnd"/>
      <w:r w:rsidR="00DC29C9">
        <w:rPr>
          <w:rFonts w:ascii="Times New Roman" w:eastAsia="Times New Roman" w:hAnsi="Times New Roman" w:cs="Times New Roman"/>
          <w:color w:val="000000"/>
          <w:sz w:val="24"/>
          <w:szCs w:val="24"/>
          <w:lang w:eastAsia="en-GB"/>
        </w:rPr>
        <w:t xml:space="preserve"> and Margaret’s own ser</w:t>
      </w:r>
      <w:r w:rsidR="00F4347B">
        <w:rPr>
          <w:rFonts w:ascii="Times New Roman" w:eastAsia="Times New Roman" w:hAnsi="Times New Roman" w:cs="Times New Roman"/>
          <w:color w:val="000000"/>
          <w:sz w:val="24"/>
          <w:szCs w:val="24"/>
          <w:lang w:eastAsia="en-GB"/>
        </w:rPr>
        <w:t>vant, also Margaret were present or nearby</w:t>
      </w:r>
      <w:r w:rsidR="00DC29C9">
        <w:rPr>
          <w:rFonts w:ascii="Times New Roman" w:eastAsia="Times New Roman" w:hAnsi="Times New Roman" w:cs="Times New Roman"/>
          <w:color w:val="000000"/>
          <w:sz w:val="24"/>
          <w:szCs w:val="24"/>
          <w:lang w:eastAsia="en-GB"/>
        </w:rPr>
        <w:t>. Robert and Margaret together weighed the wick presumably using a b</w:t>
      </w:r>
      <w:r w:rsidR="00F4347B">
        <w:rPr>
          <w:rFonts w:ascii="Times New Roman" w:eastAsia="Times New Roman" w:hAnsi="Times New Roman" w:cs="Times New Roman"/>
          <w:color w:val="000000"/>
          <w:sz w:val="24"/>
          <w:szCs w:val="24"/>
          <w:lang w:eastAsia="en-GB"/>
        </w:rPr>
        <w:t xml:space="preserve">alance in the shop. Robert </w:t>
      </w:r>
      <w:r w:rsidR="00DC29C9">
        <w:rPr>
          <w:rFonts w:ascii="Times New Roman" w:eastAsia="Times New Roman" w:hAnsi="Times New Roman" w:cs="Times New Roman"/>
          <w:color w:val="000000"/>
          <w:sz w:val="24"/>
          <w:szCs w:val="24"/>
          <w:lang w:eastAsia="en-GB"/>
        </w:rPr>
        <w:t xml:space="preserve">informed Margaret of the cost, which she later promised </w:t>
      </w:r>
      <w:r w:rsidR="00F4347B">
        <w:rPr>
          <w:rFonts w:ascii="Times New Roman" w:eastAsia="Times New Roman" w:hAnsi="Times New Roman" w:cs="Times New Roman"/>
          <w:color w:val="000000"/>
          <w:sz w:val="24"/>
          <w:szCs w:val="24"/>
          <w:lang w:eastAsia="en-GB"/>
        </w:rPr>
        <w:t xml:space="preserve">to pay </w:t>
      </w:r>
      <w:r w:rsidR="00DC29C9">
        <w:rPr>
          <w:rFonts w:ascii="Times New Roman" w:eastAsia="Times New Roman" w:hAnsi="Times New Roman" w:cs="Times New Roman"/>
          <w:color w:val="000000"/>
          <w:sz w:val="24"/>
          <w:szCs w:val="24"/>
          <w:lang w:eastAsia="en-GB"/>
        </w:rPr>
        <w:t>at Michaelmas. Finally Ali</w:t>
      </w:r>
      <w:r w:rsidR="00F4347B">
        <w:rPr>
          <w:rFonts w:ascii="Times New Roman" w:eastAsia="Times New Roman" w:hAnsi="Times New Roman" w:cs="Times New Roman"/>
          <w:color w:val="000000"/>
          <w:sz w:val="24"/>
          <w:szCs w:val="24"/>
          <w:lang w:eastAsia="en-GB"/>
        </w:rPr>
        <w:t xml:space="preserve">ce </w:t>
      </w:r>
      <w:proofErr w:type="spellStart"/>
      <w:r w:rsidR="00F4347B">
        <w:rPr>
          <w:rFonts w:ascii="Times New Roman" w:eastAsia="Times New Roman" w:hAnsi="Times New Roman" w:cs="Times New Roman"/>
          <w:color w:val="000000"/>
          <w:sz w:val="24"/>
          <w:szCs w:val="24"/>
          <w:lang w:eastAsia="en-GB"/>
        </w:rPr>
        <w:t>Bawmburgh</w:t>
      </w:r>
      <w:proofErr w:type="spellEnd"/>
      <w:r w:rsidR="00F4347B">
        <w:rPr>
          <w:rFonts w:ascii="Times New Roman" w:eastAsia="Times New Roman" w:hAnsi="Times New Roman" w:cs="Times New Roman"/>
          <w:color w:val="000000"/>
          <w:sz w:val="24"/>
          <w:szCs w:val="24"/>
          <w:lang w:eastAsia="en-GB"/>
        </w:rPr>
        <w:t xml:space="preserve"> and Margaret’s </w:t>
      </w:r>
      <w:r w:rsidR="00DC29C9">
        <w:rPr>
          <w:rFonts w:ascii="Times New Roman" w:eastAsia="Times New Roman" w:hAnsi="Times New Roman" w:cs="Times New Roman"/>
          <w:color w:val="000000"/>
          <w:sz w:val="24"/>
          <w:szCs w:val="24"/>
          <w:lang w:eastAsia="en-GB"/>
        </w:rPr>
        <w:t xml:space="preserve">servant, </w:t>
      </w:r>
      <w:r w:rsidR="00F4347B">
        <w:rPr>
          <w:rFonts w:ascii="Times New Roman" w:eastAsia="Times New Roman" w:hAnsi="Times New Roman" w:cs="Times New Roman"/>
          <w:color w:val="000000"/>
          <w:sz w:val="24"/>
          <w:szCs w:val="24"/>
          <w:lang w:eastAsia="en-GB"/>
        </w:rPr>
        <w:t xml:space="preserve">Margaret, together carried the </w:t>
      </w:r>
      <w:r w:rsidR="00DC29C9">
        <w:rPr>
          <w:rFonts w:ascii="Times New Roman" w:eastAsia="Times New Roman" w:hAnsi="Times New Roman" w:cs="Times New Roman"/>
          <w:color w:val="000000"/>
          <w:sz w:val="24"/>
          <w:szCs w:val="24"/>
          <w:lang w:eastAsia="en-GB"/>
        </w:rPr>
        <w:t>candlewick to Margaret’s own house. Implicit fro</w:t>
      </w:r>
      <w:r w:rsidR="00243E60">
        <w:rPr>
          <w:rFonts w:ascii="Times New Roman" w:eastAsia="Times New Roman" w:hAnsi="Times New Roman" w:cs="Times New Roman"/>
          <w:color w:val="000000"/>
          <w:sz w:val="24"/>
          <w:szCs w:val="24"/>
          <w:lang w:eastAsia="en-GB"/>
        </w:rPr>
        <w:t xml:space="preserve">m the case </w:t>
      </w:r>
      <w:r w:rsidR="00DC29C9">
        <w:rPr>
          <w:rFonts w:ascii="Times New Roman" w:eastAsia="Times New Roman" w:hAnsi="Times New Roman" w:cs="Times New Roman"/>
          <w:color w:val="000000"/>
          <w:sz w:val="24"/>
          <w:szCs w:val="24"/>
          <w:lang w:eastAsia="en-GB"/>
        </w:rPr>
        <w:t>is that Ro</w:t>
      </w:r>
      <w:r w:rsidR="00F4347B">
        <w:rPr>
          <w:rFonts w:ascii="Times New Roman" w:eastAsia="Times New Roman" w:hAnsi="Times New Roman" w:cs="Times New Roman"/>
          <w:color w:val="000000"/>
          <w:sz w:val="24"/>
          <w:szCs w:val="24"/>
          <w:lang w:eastAsia="en-GB"/>
        </w:rPr>
        <w:t>bert and Margaret had a</w:t>
      </w:r>
      <w:r w:rsidR="00DC29C9">
        <w:rPr>
          <w:rFonts w:ascii="Times New Roman" w:eastAsia="Times New Roman" w:hAnsi="Times New Roman" w:cs="Times New Roman"/>
          <w:color w:val="000000"/>
          <w:sz w:val="24"/>
          <w:szCs w:val="24"/>
          <w:lang w:eastAsia="en-GB"/>
        </w:rPr>
        <w:t xml:space="preserve"> business relat</w:t>
      </w:r>
      <w:r w:rsidR="00243E60">
        <w:rPr>
          <w:rFonts w:ascii="Times New Roman" w:eastAsia="Times New Roman" w:hAnsi="Times New Roman" w:cs="Times New Roman"/>
          <w:color w:val="000000"/>
          <w:sz w:val="24"/>
          <w:szCs w:val="24"/>
          <w:lang w:eastAsia="en-GB"/>
        </w:rPr>
        <w:t xml:space="preserve">ionship – </w:t>
      </w:r>
      <w:r w:rsidR="00DC29C9">
        <w:rPr>
          <w:rFonts w:ascii="Times New Roman" w:eastAsia="Times New Roman" w:hAnsi="Times New Roman" w:cs="Times New Roman"/>
          <w:color w:val="000000"/>
          <w:sz w:val="24"/>
          <w:szCs w:val="24"/>
          <w:lang w:eastAsia="en-GB"/>
        </w:rPr>
        <w:t xml:space="preserve">Robert </w:t>
      </w:r>
      <w:r w:rsidR="00243E60">
        <w:rPr>
          <w:rFonts w:ascii="Times New Roman" w:eastAsia="Times New Roman" w:hAnsi="Times New Roman" w:cs="Times New Roman"/>
          <w:color w:val="000000"/>
          <w:sz w:val="24"/>
          <w:szCs w:val="24"/>
          <w:lang w:eastAsia="en-GB"/>
        </w:rPr>
        <w:t xml:space="preserve">probably </w:t>
      </w:r>
      <w:r w:rsidR="00DC29C9">
        <w:rPr>
          <w:rFonts w:ascii="Times New Roman" w:eastAsia="Times New Roman" w:hAnsi="Times New Roman" w:cs="Times New Roman"/>
          <w:color w:val="000000"/>
          <w:sz w:val="24"/>
          <w:szCs w:val="24"/>
          <w:lang w:eastAsia="en-GB"/>
        </w:rPr>
        <w:t xml:space="preserve">sold the candles Margaret produced – and this may be why Robert personally weighed the candlewick, but his involvement may also have been a consequence of </w:t>
      </w:r>
      <w:r w:rsidR="00F4347B">
        <w:rPr>
          <w:rFonts w:ascii="Times New Roman" w:eastAsia="Times New Roman" w:hAnsi="Times New Roman" w:cs="Times New Roman"/>
          <w:color w:val="000000"/>
          <w:sz w:val="24"/>
          <w:szCs w:val="24"/>
          <w:lang w:eastAsia="en-GB"/>
        </w:rPr>
        <w:t>the value of the purchase</w:t>
      </w:r>
      <w:r w:rsidR="00940E6E">
        <w:rPr>
          <w:rFonts w:ascii="Times New Roman" w:eastAsia="Times New Roman" w:hAnsi="Times New Roman" w:cs="Times New Roman"/>
          <w:color w:val="000000"/>
          <w:sz w:val="24"/>
          <w:szCs w:val="24"/>
          <w:lang w:eastAsia="en-GB"/>
        </w:rPr>
        <w:t xml:space="preserve">. We may note that his wife, Isabel, was also in the shop at the time as were one and perhaps two of his female servants. </w:t>
      </w:r>
      <w:r w:rsidR="00243E60">
        <w:rPr>
          <w:rFonts w:ascii="Times New Roman" w:eastAsia="Times New Roman" w:hAnsi="Times New Roman" w:cs="Times New Roman"/>
          <w:color w:val="000000"/>
          <w:sz w:val="24"/>
          <w:szCs w:val="24"/>
          <w:lang w:eastAsia="en-GB"/>
        </w:rPr>
        <w:t>M</w:t>
      </w:r>
      <w:r w:rsidR="00940E6E">
        <w:rPr>
          <w:rFonts w:ascii="Times New Roman" w:eastAsia="Times New Roman" w:hAnsi="Times New Roman" w:cs="Times New Roman"/>
          <w:color w:val="000000"/>
          <w:sz w:val="24"/>
          <w:szCs w:val="24"/>
          <w:lang w:eastAsia="en-GB"/>
        </w:rPr>
        <w:t>erchants were particularly inclined to employ female servants presumably because they were valued as shop assistants and perhaps because potential customers preferred to be served by young women.</w:t>
      </w:r>
      <w:r w:rsidR="00940E6E">
        <w:rPr>
          <w:rStyle w:val="FootnoteReference"/>
          <w:rFonts w:ascii="Times New Roman" w:eastAsia="Times New Roman" w:hAnsi="Times New Roman" w:cs="Times New Roman"/>
          <w:color w:val="000000"/>
          <w:sz w:val="24"/>
          <w:szCs w:val="24"/>
          <w:lang w:eastAsia="en-GB"/>
        </w:rPr>
        <w:footnoteReference w:id="42"/>
      </w:r>
      <w:r w:rsidR="00DC29C9">
        <w:rPr>
          <w:rFonts w:ascii="Times New Roman" w:eastAsia="Times New Roman" w:hAnsi="Times New Roman" w:cs="Times New Roman"/>
          <w:color w:val="000000"/>
          <w:sz w:val="24"/>
          <w:szCs w:val="24"/>
          <w:lang w:eastAsia="en-GB"/>
        </w:rPr>
        <w:t xml:space="preserve"> </w:t>
      </w:r>
    </w:p>
    <w:p w14:paraId="4DD6E64D" w14:textId="7F91E586" w:rsidR="00243FAF" w:rsidRDefault="00940E6E" w:rsidP="00050538">
      <w:pPr>
        <w:spacing w:line="36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A </w:t>
      </w:r>
      <w:r w:rsidR="004759ED">
        <w:rPr>
          <w:rFonts w:ascii="Times New Roman" w:eastAsia="Times New Roman" w:hAnsi="Times New Roman" w:cs="Times New Roman"/>
          <w:color w:val="000000"/>
          <w:sz w:val="24"/>
          <w:szCs w:val="24"/>
          <w:lang w:eastAsia="en-GB"/>
        </w:rPr>
        <w:t>case from Scarborough,</w:t>
      </w:r>
      <w:r w:rsidR="00243FAF">
        <w:rPr>
          <w:rFonts w:ascii="Times New Roman" w:eastAsia="Times New Roman" w:hAnsi="Times New Roman" w:cs="Times New Roman"/>
          <w:color w:val="000000"/>
          <w:sz w:val="24"/>
          <w:szCs w:val="24"/>
          <w:lang w:eastAsia="en-GB"/>
        </w:rPr>
        <w:t xml:space="preserve"> provides another vignette of craft activity in the weaver, </w:t>
      </w:r>
      <w:r w:rsidR="00243FAF">
        <w:rPr>
          <w:rFonts w:ascii="Times New Roman" w:hAnsi="Times New Roman" w:cs="Times New Roman"/>
          <w:sz w:val="24"/>
          <w:szCs w:val="24"/>
        </w:rPr>
        <w:t xml:space="preserve">William </w:t>
      </w:r>
      <w:proofErr w:type="spellStart"/>
      <w:r w:rsidR="00243FAF">
        <w:rPr>
          <w:rFonts w:ascii="Times New Roman" w:hAnsi="Times New Roman" w:cs="Times New Roman"/>
          <w:sz w:val="24"/>
          <w:szCs w:val="24"/>
        </w:rPr>
        <w:t>Goddeshelp</w:t>
      </w:r>
      <w:r w:rsidR="00786379">
        <w:rPr>
          <w:rFonts w:ascii="Times New Roman" w:eastAsia="Times New Roman" w:hAnsi="Times New Roman" w:cs="Times New Roman"/>
          <w:color w:val="000000"/>
          <w:sz w:val="24"/>
          <w:szCs w:val="24"/>
          <w:lang w:eastAsia="en-GB"/>
        </w:rPr>
        <w:t>’s</w:t>
      </w:r>
      <w:proofErr w:type="spellEnd"/>
      <w:r w:rsidR="00786379">
        <w:rPr>
          <w:rFonts w:ascii="Times New Roman" w:eastAsia="Times New Roman" w:hAnsi="Times New Roman" w:cs="Times New Roman"/>
          <w:color w:val="000000"/>
          <w:sz w:val="24"/>
          <w:szCs w:val="24"/>
          <w:lang w:eastAsia="en-GB"/>
        </w:rPr>
        <w:t xml:space="preserve"> ‘</w:t>
      </w:r>
      <w:proofErr w:type="spellStart"/>
      <w:r w:rsidR="00786379">
        <w:rPr>
          <w:rFonts w:ascii="Times New Roman" w:eastAsia="Times New Roman" w:hAnsi="Times New Roman" w:cs="Times New Roman"/>
          <w:color w:val="000000"/>
          <w:sz w:val="24"/>
          <w:szCs w:val="24"/>
          <w:lang w:eastAsia="en-GB"/>
        </w:rPr>
        <w:t>warkhous</w:t>
      </w:r>
      <w:proofErr w:type="spellEnd"/>
      <w:r w:rsidR="00786379">
        <w:rPr>
          <w:rFonts w:ascii="Times New Roman" w:eastAsia="Times New Roman" w:hAnsi="Times New Roman" w:cs="Times New Roman"/>
          <w:color w:val="000000"/>
          <w:sz w:val="24"/>
          <w:szCs w:val="24"/>
          <w:lang w:eastAsia="en-GB"/>
        </w:rPr>
        <w:t>’ attached to his</w:t>
      </w:r>
      <w:r w:rsidR="00F511BB">
        <w:rPr>
          <w:rFonts w:ascii="Times New Roman" w:eastAsia="Times New Roman" w:hAnsi="Times New Roman" w:cs="Times New Roman"/>
          <w:color w:val="000000"/>
          <w:sz w:val="24"/>
          <w:szCs w:val="24"/>
          <w:lang w:eastAsia="en-GB"/>
        </w:rPr>
        <w:t xml:space="preserve"> house</w:t>
      </w:r>
      <w:r w:rsidR="004759ED">
        <w:rPr>
          <w:rFonts w:ascii="Times New Roman" w:eastAsia="Times New Roman" w:hAnsi="Times New Roman" w:cs="Times New Roman"/>
          <w:color w:val="000000"/>
          <w:sz w:val="24"/>
          <w:szCs w:val="24"/>
          <w:lang w:eastAsia="en-GB"/>
        </w:rPr>
        <w:t>. W</w:t>
      </w:r>
      <w:r w:rsidR="00243FAF">
        <w:rPr>
          <w:rFonts w:ascii="Times New Roman" w:eastAsia="Times New Roman" w:hAnsi="Times New Roman" w:cs="Times New Roman"/>
          <w:color w:val="000000"/>
          <w:sz w:val="24"/>
          <w:szCs w:val="24"/>
          <w:lang w:eastAsia="en-GB"/>
        </w:rPr>
        <w:t xml:space="preserve">itnesses </w:t>
      </w:r>
      <w:r w:rsidR="00243FAF">
        <w:rPr>
          <w:rFonts w:ascii="Times New Roman" w:hAnsi="Times New Roman" w:cs="Times New Roman"/>
          <w:sz w:val="24"/>
          <w:szCs w:val="24"/>
        </w:rPr>
        <w:t xml:space="preserve">testified to how </w:t>
      </w:r>
      <w:r w:rsidR="00F511BB">
        <w:rPr>
          <w:rFonts w:ascii="Times New Roman" w:hAnsi="Times New Roman" w:cs="Times New Roman"/>
          <w:sz w:val="24"/>
          <w:szCs w:val="24"/>
        </w:rPr>
        <w:t>both female and male workers gathere</w:t>
      </w:r>
      <w:r w:rsidR="004759ED">
        <w:rPr>
          <w:rFonts w:ascii="Times New Roman" w:hAnsi="Times New Roman" w:cs="Times New Roman"/>
          <w:sz w:val="24"/>
          <w:szCs w:val="24"/>
        </w:rPr>
        <w:t>d one morning to</w:t>
      </w:r>
      <w:r w:rsidR="00F511BB">
        <w:rPr>
          <w:rFonts w:ascii="Times New Roman" w:hAnsi="Times New Roman" w:cs="Times New Roman"/>
          <w:sz w:val="24"/>
          <w:szCs w:val="24"/>
        </w:rPr>
        <w:t xml:space="preserve"> </w:t>
      </w:r>
      <w:r w:rsidR="004759ED">
        <w:rPr>
          <w:rFonts w:ascii="Times New Roman" w:hAnsi="Times New Roman" w:cs="Times New Roman"/>
          <w:sz w:val="24"/>
          <w:szCs w:val="24"/>
        </w:rPr>
        <w:t>set</w:t>
      </w:r>
      <w:r w:rsidR="00243FAF">
        <w:rPr>
          <w:rFonts w:ascii="Times New Roman" w:hAnsi="Times New Roman" w:cs="Times New Roman"/>
          <w:sz w:val="24"/>
          <w:szCs w:val="24"/>
        </w:rPr>
        <w:t xml:space="preserve"> up</w:t>
      </w:r>
      <w:r w:rsidR="00676397">
        <w:rPr>
          <w:rFonts w:ascii="Times New Roman" w:hAnsi="Times New Roman" w:cs="Times New Roman"/>
          <w:sz w:val="24"/>
          <w:szCs w:val="24"/>
        </w:rPr>
        <w:t xml:space="preserve"> a</w:t>
      </w:r>
      <w:r w:rsidR="00786379">
        <w:rPr>
          <w:rFonts w:ascii="Times New Roman" w:hAnsi="Times New Roman" w:cs="Times New Roman"/>
          <w:sz w:val="24"/>
          <w:szCs w:val="24"/>
        </w:rPr>
        <w:t xml:space="preserve"> loom against</w:t>
      </w:r>
      <w:r w:rsidR="008064F6">
        <w:rPr>
          <w:rFonts w:ascii="Times New Roman" w:hAnsi="Times New Roman" w:cs="Times New Roman"/>
          <w:sz w:val="24"/>
          <w:szCs w:val="24"/>
        </w:rPr>
        <w:t xml:space="preserve"> weaving</w:t>
      </w:r>
      <w:r w:rsidR="00EB29EE">
        <w:rPr>
          <w:rFonts w:ascii="Times New Roman" w:hAnsi="Times New Roman" w:cs="Times New Roman"/>
          <w:sz w:val="24"/>
          <w:szCs w:val="24"/>
        </w:rPr>
        <w:t xml:space="preserve"> a new cloth</w:t>
      </w:r>
      <w:r w:rsidR="00872D25">
        <w:rPr>
          <w:rFonts w:ascii="Times New Roman" w:hAnsi="Times New Roman" w:cs="Times New Roman"/>
          <w:sz w:val="24"/>
          <w:szCs w:val="24"/>
        </w:rPr>
        <w:t xml:space="preserve">. These included what was probably William’s journeyman, John Bergh, Agnes </w:t>
      </w:r>
      <w:proofErr w:type="spellStart"/>
      <w:r w:rsidR="00872D25">
        <w:rPr>
          <w:rFonts w:ascii="Times New Roman" w:hAnsi="Times New Roman" w:cs="Times New Roman"/>
          <w:sz w:val="24"/>
          <w:szCs w:val="24"/>
        </w:rPr>
        <w:t>Schilbotill</w:t>
      </w:r>
      <w:proofErr w:type="spellEnd"/>
      <w:r w:rsidR="00676397">
        <w:rPr>
          <w:rFonts w:ascii="Times New Roman" w:hAnsi="Times New Roman" w:cs="Times New Roman"/>
          <w:sz w:val="24"/>
          <w:szCs w:val="24"/>
        </w:rPr>
        <w:t>, a widow and householder</w:t>
      </w:r>
      <w:r w:rsidR="00786379">
        <w:rPr>
          <w:rFonts w:ascii="Times New Roman" w:hAnsi="Times New Roman" w:cs="Times New Roman"/>
          <w:sz w:val="24"/>
          <w:szCs w:val="24"/>
        </w:rPr>
        <w:t xml:space="preserve">, Agnes’ </w:t>
      </w:r>
      <w:r w:rsidR="00676397">
        <w:rPr>
          <w:rFonts w:ascii="Times New Roman" w:hAnsi="Times New Roman" w:cs="Times New Roman"/>
          <w:sz w:val="24"/>
          <w:szCs w:val="24"/>
        </w:rPr>
        <w:t xml:space="preserve">servants, Katherine </w:t>
      </w:r>
      <w:proofErr w:type="spellStart"/>
      <w:r w:rsidR="00676397">
        <w:rPr>
          <w:rFonts w:ascii="Times New Roman" w:hAnsi="Times New Roman" w:cs="Times New Roman"/>
          <w:sz w:val="24"/>
          <w:szCs w:val="24"/>
        </w:rPr>
        <w:t>Lorymer</w:t>
      </w:r>
      <w:proofErr w:type="spellEnd"/>
      <w:r w:rsidR="00676397">
        <w:rPr>
          <w:rFonts w:ascii="Times New Roman" w:hAnsi="Times New Roman" w:cs="Times New Roman"/>
          <w:sz w:val="24"/>
          <w:szCs w:val="24"/>
        </w:rPr>
        <w:t xml:space="preserve"> and Alice Burton, and </w:t>
      </w:r>
      <w:r w:rsidR="002020E7">
        <w:rPr>
          <w:rFonts w:ascii="Times New Roman" w:hAnsi="Times New Roman" w:cs="Times New Roman"/>
          <w:sz w:val="24"/>
          <w:szCs w:val="24"/>
        </w:rPr>
        <w:t xml:space="preserve">William </w:t>
      </w:r>
      <w:proofErr w:type="spellStart"/>
      <w:r w:rsidR="002020E7">
        <w:rPr>
          <w:rFonts w:ascii="Times New Roman" w:hAnsi="Times New Roman" w:cs="Times New Roman"/>
          <w:sz w:val="24"/>
          <w:szCs w:val="24"/>
        </w:rPr>
        <w:t>Belet</w:t>
      </w:r>
      <w:proofErr w:type="spellEnd"/>
      <w:r w:rsidR="002020E7">
        <w:rPr>
          <w:rFonts w:ascii="Times New Roman" w:hAnsi="Times New Roman" w:cs="Times New Roman"/>
          <w:sz w:val="24"/>
          <w:szCs w:val="24"/>
        </w:rPr>
        <w:t xml:space="preserve">, a servant of his uncle </w:t>
      </w:r>
      <w:r w:rsidR="00676397">
        <w:rPr>
          <w:rFonts w:ascii="Times New Roman" w:hAnsi="Times New Roman" w:cs="Times New Roman"/>
          <w:sz w:val="24"/>
          <w:szCs w:val="24"/>
        </w:rPr>
        <w:t>William</w:t>
      </w:r>
      <w:r w:rsidR="002020E7">
        <w:rPr>
          <w:rFonts w:ascii="Times New Roman" w:hAnsi="Times New Roman" w:cs="Times New Roman"/>
          <w:sz w:val="24"/>
          <w:szCs w:val="24"/>
        </w:rPr>
        <w:t xml:space="preserve"> Forster</w:t>
      </w:r>
      <w:r w:rsidR="00676397">
        <w:rPr>
          <w:rFonts w:ascii="Times New Roman" w:hAnsi="Times New Roman" w:cs="Times New Roman"/>
          <w:sz w:val="24"/>
          <w:szCs w:val="24"/>
        </w:rPr>
        <w:t>, whom Agnes had asked to come along. It becomes apparent from t</w:t>
      </w:r>
      <w:r w:rsidR="002020E7">
        <w:rPr>
          <w:rFonts w:ascii="Times New Roman" w:hAnsi="Times New Roman" w:cs="Times New Roman"/>
          <w:sz w:val="24"/>
          <w:szCs w:val="24"/>
        </w:rPr>
        <w:t xml:space="preserve">he testimony </w:t>
      </w:r>
      <w:r w:rsidR="00102C7F">
        <w:rPr>
          <w:rFonts w:ascii="Times New Roman" w:hAnsi="Times New Roman" w:cs="Times New Roman"/>
          <w:sz w:val="24"/>
          <w:szCs w:val="24"/>
        </w:rPr>
        <w:t xml:space="preserve">that this </w:t>
      </w:r>
      <w:r w:rsidR="00C72BEC">
        <w:rPr>
          <w:rFonts w:ascii="Times New Roman" w:hAnsi="Times New Roman" w:cs="Times New Roman"/>
          <w:sz w:val="24"/>
          <w:szCs w:val="24"/>
        </w:rPr>
        <w:t xml:space="preserve">preparation, </w:t>
      </w:r>
      <w:r w:rsidR="00786379">
        <w:rPr>
          <w:rFonts w:ascii="Times New Roman" w:hAnsi="Times New Roman" w:cs="Times New Roman"/>
          <w:sz w:val="24"/>
          <w:szCs w:val="24"/>
        </w:rPr>
        <w:t>i</w:t>
      </w:r>
      <w:r w:rsidR="00C72BEC">
        <w:rPr>
          <w:rFonts w:ascii="Times New Roman" w:hAnsi="Times New Roman" w:cs="Times New Roman"/>
          <w:sz w:val="24"/>
          <w:szCs w:val="24"/>
        </w:rPr>
        <w:t>nvolving</w:t>
      </w:r>
      <w:r w:rsidR="00676397">
        <w:rPr>
          <w:rFonts w:ascii="Times New Roman" w:hAnsi="Times New Roman" w:cs="Times New Roman"/>
          <w:sz w:val="24"/>
          <w:szCs w:val="24"/>
        </w:rPr>
        <w:t xml:space="preserve"> a</w:t>
      </w:r>
      <w:r w:rsidR="002020E7">
        <w:rPr>
          <w:rFonts w:ascii="Times New Roman" w:hAnsi="Times New Roman" w:cs="Times New Roman"/>
          <w:sz w:val="24"/>
          <w:szCs w:val="24"/>
        </w:rPr>
        <w:t xml:space="preserve">mong other things weighing </w:t>
      </w:r>
      <w:r w:rsidR="00050538">
        <w:rPr>
          <w:rFonts w:ascii="Times New Roman" w:hAnsi="Times New Roman" w:cs="Times New Roman"/>
          <w:sz w:val="24"/>
          <w:szCs w:val="24"/>
        </w:rPr>
        <w:t xml:space="preserve">white </w:t>
      </w:r>
      <w:r w:rsidR="002020E7">
        <w:rPr>
          <w:rFonts w:ascii="Times New Roman" w:hAnsi="Times New Roman" w:cs="Times New Roman"/>
          <w:sz w:val="24"/>
          <w:szCs w:val="24"/>
        </w:rPr>
        <w:t xml:space="preserve">woollen balls of </w:t>
      </w:r>
      <w:r w:rsidR="00050538">
        <w:rPr>
          <w:rFonts w:ascii="Times New Roman" w:hAnsi="Times New Roman" w:cs="Times New Roman"/>
          <w:sz w:val="24"/>
          <w:szCs w:val="24"/>
        </w:rPr>
        <w:t>yarn</w:t>
      </w:r>
      <w:r w:rsidR="00676397">
        <w:rPr>
          <w:rFonts w:ascii="Times New Roman" w:hAnsi="Times New Roman" w:cs="Times New Roman"/>
          <w:sz w:val="24"/>
          <w:szCs w:val="24"/>
        </w:rPr>
        <w:t xml:space="preserve">, was an event of some importance and the numbers involved </w:t>
      </w:r>
      <w:r w:rsidR="002020E7">
        <w:rPr>
          <w:rFonts w:ascii="Times New Roman" w:hAnsi="Times New Roman" w:cs="Times New Roman"/>
          <w:sz w:val="24"/>
          <w:szCs w:val="24"/>
        </w:rPr>
        <w:t>are atypical. T</w:t>
      </w:r>
      <w:r w:rsidR="001045F1">
        <w:rPr>
          <w:rFonts w:ascii="Times New Roman" w:hAnsi="Times New Roman" w:cs="Times New Roman"/>
          <w:sz w:val="24"/>
          <w:szCs w:val="24"/>
        </w:rPr>
        <w:t xml:space="preserve">his </w:t>
      </w:r>
      <w:r w:rsidR="00050538">
        <w:rPr>
          <w:rFonts w:ascii="Times New Roman" w:hAnsi="Times New Roman" w:cs="Times New Roman"/>
          <w:sz w:val="24"/>
          <w:szCs w:val="24"/>
        </w:rPr>
        <w:t xml:space="preserve">process, which had begun between eight and nine </w:t>
      </w:r>
      <w:r w:rsidR="001045F1">
        <w:rPr>
          <w:rFonts w:ascii="Times New Roman" w:hAnsi="Times New Roman" w:cs="Times New Roman"/>
          <w:sz w:val="24"/>
          <w:szCs w:val="24"/>
        </w:rPr>
        <w:t xml:space="preserve">in the morning </w:t>
      </w:r>
      <w:r w:rsidR="00F43782">
        <w:rPr>
          <w:rFonts w:ascii="Times New Roman" w:hAnsi="Times New Roman" w:cs="Times New Roman"/>
          <w:sz w:val="24"/>
          <w:szCs w:val="24"/>
        </w:rPr>
        <w:t>and carried on unt</w:t>
      </w:r>
      <w:r w:rsidR="009E40B5">
        <w:rPr>
          <w:rFonts w:ascii="Times New Roman" w:hAnsi="Times New Roman" w:cs="Times New Roman"/>
          <w:sz w:val="24"/>
          <w:szCs w:val="24"/>
        </w:rPr>
        <w:t xml:space="preserve">il two in the afternoon </w:t>
      </w:r>
      <w:r w:rsidR="00050538">
        <w:rPr>
          <w:rFonts w:ascii="Times New Roman" w:hAnsi="Times New Roman" w:cs="Times New Roman"/>
          <w:sz w:val="24"/>
          <w:szCs w:val="24"/>
        </w:rPr>
        <w:t>m</w:t>
      </w:r>
      <w:r w:rsidR="00F43782">
        <w:rPr>
          <w:rFonts w:ascii="Times New Roman" w:hAnsi="Times New Roman" w:cs="Times New Roman"/>
          <w:sz w:val="24"/>
          <w:szCs w:val="24"/>
        </w:rPr>
        <w:t xml:space="preserve">orphed </w:t>
      </w:r>
      <w:r w:rsidR="00050538">
        <w:rPr>
          <w:rFonts w:ascii="Times New Roman" w:hAnsi="Times New Roman" w:cs="Times New Roman"/>
          <w:sz w:val="24"/>
          <w:szCs w:val="24"/>
        </w:rPr>
        <w:t xml:space="preserve">into an occasion for drinks and recreation </w:t>
      </w:r>
      <w:r w:rsidR="00050538">
        <w:rPr>
          <w:rFonts w:ascii="Times New Roman" w:hAnsi="Times New Roman" w:cs="Times New Roman"/>
          <w:sz w:val="24"/>
          <w:szCs w:val="24"/>
        </w:rPr>
        <w:lastRenderedPageBreak/>
        <w:t>‘as is the custom among neighbours of the said town of Scarborough’ whenever a loom was so prepared.</w:t>
      </w:r>
      <w:r w:rsidR="00F43782">
        <w:rPr>
          <w:rStyle w:val="FootnoteReference"/>
          <w:rFonts w:ascii="Times New Roman" w:hAnsi="Times New Roman" w:cs="Times New Roman"/>
          <w:sz w:val="24"/>
          <w:szCs w:val="24"/>
        </w:rPr>
        <w:footnoteReference w:id="43"/>
      </w:r>
    </w:p>
    <w:p w14:paraId="484DE54C" w14:textId="1AF3B367" w:rsidR="00F65C97" w:rsidRDefault="00F65C97" w:rsidP="0005053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fluidity between the shop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w:t>
      </w:r>
      <w:r w:rsidR="009E40B5">
        <w:rPr>
          <w:rFonts w:ascii="Times New Roman" w:hAnsi="Times New Roman" w:cs="Times New Roman"/>
          <w:sz w:val="24"/>
          <w:szCs w:val="24"/>
        </w:rPr>
        <w:t xml:space="preserve">orkshop as economic, domestic or </w:t>
      </w:r>
      <w:r>
        <w:rPr>
          <w:rFonts w:ascii="Times New Roman" w:hAnsi="Times New Roman" w:cs="Times New Roman"/>
          <w:sz w:val="24"/>
          <w:szCs w:val="24"/>
        </w:rPr>
        <w:t>social space is suggested from some other depositions from the Court of York. It is apparent that servants or apprentices employed</w:t>
      </w:r>
      <w:r w:rsidR="009E40B5">
        <w:rPr>
          <w:rFonts w:ascii="Times New Roman" w:hAnsi="Times New Roman" w:cs="Times New Roman"/>
          <w:sz w:val="24"/>
          <w:szCs w:val="24"/>
        </w:rPr>
        <w:t xml:space="preserve"> in the workshop might </w:t>
      </w:r>
      <w:r>
        <w:rPr>
          <w:rFonts w:ascii="Times New Roman" w:hAnsi="Times New Roman" w:cs="Times New Roman"/>
          <w:sz w:val="24"/>
          <w:szCs w:val="24"/>
        </w:rPr>
        <w:t xml:space="preserve">have their bed there. </w:t>
      </w:r>
      <w:r w:rsidR="00350AF6">
        <w:rPr>
          <w:rFonts w:ascii="Times New Roman" w:hAnsi="Times New Roman" w:cs="Times New Roman"/>
          <w:sz w:val="24"/>
          <w:szCs w:val="24"/>
        </w:rPr>
        <w:t xml:space="preserve">When defamatory words were supposedly voiced in </w:t>
      </w:r>
      <w:proofErr w:type="spellStart"/>
      <w:r w:rsidR="00350AF6">
        <w:rPr>
          <w:rFonts w:ascii="Times New Roman" w:hAnsi="Times New Roman" w:cs="Times New Roman"/>
          <w:sz w:val="24"/>
          <w:szCs w:val="24"/>
        </w:rPr>
        <w:t>Fossgate</w:t>
      </w:r>
      <w:proofErr w:type="spellEnd"/>
      <w:r w:rsidR="009E40B5">
        <w:rPr>
          <w:rFonts w:ascii="Times New Roman" w:hAnsi="Times New Roman" w:cs="Times New Roman"/>
          <w:sz w:val="24"/>
          <w:szCs w:val="24"/>
        </w:rPr>
        <w:t xml:space="preserve"> </w:t>
      </w:r>
      <w:r w:rsidR="00C86B2F">
        <w:rPr>
          <w:rFonts w:ascii="Times New Roman" w:hAnsi="Times New Roman" w:cs="Times New Roman"/>
          <w:sz w:val="24"/>
          <w:szCs w:val="24"/>
        </w:rPr>
        <w:t xml:space="preserve">in the afternoon or evening of Thursday in Pentecost week, 1465, </w:t>
      </w:r>
      <w:r w:rsidR="00350AF6">
        <w:rPr>
          <w:rFonts w:ascii="Times New Roman" w:hAnsi="Times New Roman" w:cs="Times New Roman"/>
          <w:sz w:val="24"/>
          <w:szCs w:val="24"/>
        </w:rPr>
        <w:t xml:space="preserve">Andrew </w:t>
      </w:r>
      <w:proofErr w:type="spellStart"/>
      <w:r w:rsidR="00DB5498">
        <w:rPr>
          <w:rFonts w:ascii="Times New Roman" w:hAnsi="Times New Roman" w:cs="Times New Roman"/>
          <w:sz w:val="24"/>
          <w:szCs w:val="24"/>
        </w:rPr>
        <w:t>Kynkcorne</w:t>
      </w:r>
      <w:proofErr w:type="spellEnd"/>
      <w:r w:rsidR="00DB5498">
        <w:rPr>
          <w:rFonts w:ascii="Times New Roman" w:hAnsi="Times New Roman" w:cs="Times New Roman"/>
          <w:sz w:val="24"/>
          <w:szCs w:val="24"/>
        </w:rPr>
        <w:t xml:space="preserve"> heard them</w:t>
      </w:r>
      <w:r w:rsidR="00C86B2F">
        <w:rPr>
          <w:rFonts w:ascii="Times New Roman" w:hAnsi="Times New Roman" w:cs="Times New Roman"/>
          <w:sz w:val="24"/>
          <w:szCs w:val="24"/>
        </w:rPr>
        <w:t xml:space="preserve"> ‘lying on his bed by a booth of the shop’ of Robert </w:t>
      </w:r>
      <w:proofErr w:type="spellStart"/>
      <w:r w:rsidR="00B77DB1">
        <w:rPr>
          <w:rFonts w:ascii="Times New Roman" w:hAnsi="Times New Roman" w:cs="Times New Roman"/>
          <w:sz w:val="24"/>
          <w:szCs w:val="24"/>
        </w:rPr>
        <w:t>Lonesdale</w:t>
      </w:r>
      <w:proofErr w:type="spellEnd"/>
      <w:r w:rsidR="00C86B2F">
        <w:rPr>
          <w:rFonts w:ascii="Times New Roman" w:hAnsi="Times New Roman" w:cs="Times New Roman"/>
          <w:sz w:val="24"/>
          <w:szCs w:val="24"/>
        </w:rPr>
        <w:t xml:space="preserve">. </w:t>
      </w:r>
      <w:r w:rsidR="00494A5F">
        <w:rPr>
          <w:rFonts w:ascii="Times New Roman" w:hAnsi="Times New Roman" w:cs="Times New Roman"/>
          <w:sz w:val="24"/>
          <w:szCs w:val="24"/>
        </w:rPr>
        <w:t>The reference to the ‘</w:t>
      </w:r>
      <w:proofErr w:type="spellStart"/>
      <w:r w:rsidR="00494A5F" w:rsidRPr="00494A5F">
        <w:rPr>
          <w:rFonts w:ascii="Times New Roman" w:hAnsi="Times New Roman" w:cs="Times New Roman"/>
          <w:i/>
          <w:sz w:val="24"/>
          <w:szCs w:val="24"/>
        </w:rPr>
        <w:t>stallum</w:t>
      </w:r>
      <w:proofErr w:type="spellEnd"/>
      <w:r w:rsidR="00494A5F">
        <w:rPr>
          <w:rFonts w:ascii="Times New Roman" w:hAnsi="Times New Roman" w:cs="Times New Roman"/>
          <w:sz w:val="24"/>
          <w:szCs w:val="24"/>
        </w:rPr>
        <w:t xml:space="preserve">’, which the </w:t>
      </w:r>
      <w:r w:rsidR="00494A5F" w:rsidRPr="00494A5F">
        <w:rPr>
          <w:rFonts w:ascii="Times New Roman" w:hAnsi="Times New Roman" w:cs="Times New Roman"/>
          <w:i/>
          <w:sz w:val="24"/>
          <w:szCs w:val="24"/>
        </w:rPr>
        <w:t>Dictionary of Medieval Latin from British Sources</w:t>
      </w:r>
      <w:r w:rsidR="00494A5F">
        <w:rPr>
          <w:rFonts w:ascii="Times New Roman" w:hAnsi="Times New Roman" w:cs="Times New Roman"/>
          <w:sz w:val="24"/>
          <w:szCs w:val="24"/>
        </w:rPr>
        <w:t xml:space="preserve"> renders vario</w:t>
      </w:r>
      <w:r w:rsidR="00717839">
        <w:rPr>
          <w:rFonts w:ascii="Times New Roman" w:hAnsi="Times New Roman" w:cs="Times New Roman"/>
          <w:sz w:val="24"/>
          <w:szCs w:val="24"/>
        </w:rPr>
        <w:t xml:space="preserve">usly as </w:t>
      </w:r>
      <w:proofErr w:type="spellStart"/>
      <w:r w:rsidR="00494A5F">
        <w:rPr>
          <w:rFonts w:ascii="Times New Roman" w:hAnsi="Times New Roman" w:cs="Times New Roman"/>
          <w:sz w:val="24"/>
          <w:szCs w:val="24"/>
        </w:rPr>
        <w:t>craftman</w:t>
      </w:r>
      <w:r w:rsidR="00DB5498">
        <w:rPr>
          <w:rFonts w:ascii="Times New Roman" w:hAnsi="Times New Roman" w:cs="Times New Roman"/>
          <w:sz w:val="24"/>
          <w:szCs w:val="24"/>
        </w:rPr>
        <w:t>’s</w:t>
      </w:r>
      <w:proofErr w:type="spellEnd"/>
      <w:r w:rsidR="00DB5498">
        <w:rPr>
          <w:rFonts w:ascii="Times New Roman" w:hAnsi="Times New Roman" w:cs="Times New Roman"/>
          <w:sz w:val="24"/>
          <w:szCs w:val="24"/>
        </w:rPr>
        <w:t xml:space="preserve"> booth, bench or table, </w:t>
      </w:r>
      <w:r w:rsidR="00494A5F">
        <w:rPr>
          <w:rFonts w:ascii="Times New Roman" w:hAnsi="Times New Roman" w:cs="Times New Roman"/>
          <w:sz w:val="24"/>
          <w:szCs w:val="24"/>
        </w:rPr>
        <w:t>suggest</w:t>
      </w:r>
      <w:r w:rsidR="00DB5498">
        <w:rPr>
          <w:rFonts w:ascii="Times New Roman" w:hAnsi="Times New Roman" w:cs="Times New Roman"/>
          <w:sz w:val="24"/>
          <w:szCs w:val="24"/>
        </w:rPr>
        <w:t>s</w:t>
      </w:r>
      <w:r w:rsidR="00494A5F">
        <w:rPr>
          <w:rFonts w:ascii="Times New Roman" w:hAnsi="Times New Roman" w:cs="Times New Roman"/>
          <w:sz w:val="24"/>
          <w:szCs w:val="24"/>
        </w:rPr>
        <w:t xml:space="preserve"> that he had his own space within the shop. </w:t>
      </w:r>
      <w:r w:rsidR="00C86B2F">
        <w:rPr>
          <w:rFonts w:ascii="Times New Roman" w:hAnsi="Times New Roman" w:cs="Times New Roman"/>
          <w:sz w:val="24"/>
          <w:szCs w:val="24"/>
        </w:rPr>
        <w:t xml:space="preserve">His deposition, which gives his age as twenty or more, does not identify him as </w:t>
      </w:r>
      <w:proofErr w:type="spellStart"/>
      <w:r w:rsidR="00C86B2F">
        <w:rPr>
          <w:rFonts w:ascii="Times New Roman" w:hAnsi="Times New Roman" w:cs="Times New Roman"/>
          <w:sz w:val="24"/>
          <w:szCs w:val="24"/>
        </w:rPr>
        <w:t>Lonesdale’s</w:t>
      </w:r>
      <w:proofErr w:type="spellEnd"/>
      <w:r w:rsidR="00C86B2F">
        <w:rPr>
          <w:rFonts w:ascii="Times New Roman" w:hAnsi="Times New Roman" w:cs="Times New Roman"/>
          <w:sz w:val="24"/>
          <w:szCs w:val="24"/>
        </w:rPr>
        <w:t xml:space="preserve"> servant, but implicitly he worked for Lonsdale and was perhaps his apprentice.</w:t>
      </w:r>
      <w:r w:rsidR="00C86B2F">
        <w:rPr>
          <w:rStyle w:val="FootnoteReference"/>
          <w:rFonts w:ascii="Times New Roman" w:hAnsi="Times New Roman" w:cs="Times New Roman"/>
          <w:sz w:val="24"/>
          <w:szCs w:val="24"/>
        </w:rPr>
        <w:footnoteReference w:id="44"/>
      </w:r>
      <w:r w:rsidR="00DB5498">
        <w:rPr>
          <w:rFonts w:ascii="Times New Roman" w:hAnsi="Times New Roman" w:cs="Times New Roman"/>
          <w:sz w:val="24"/>
          <w:szCs w:val="24"/>
        </w:rPr>
        <w:t xml:space="preserve"> </w:t>
      </w:r>
      <w:r w:rsidR="00B77DB1">
        <w:rPr>
          <w:rFonts w:ascii="Times New Roman" w:hAnsi="Times New Roman" w:cs="Times New Roman"/>
          <w:sz w:val="24"/>
          <w:szCs w:val="24"/>
        </w:rPr>
        <w:t xml:space="preserve">Edmund </w:t>
      </w:r>
      <w:proofErr w:type="spellStart"/>
      <w:r w:rsidR="00B77DB1">
        <w:rPr>
          <w:rFonts w:ascii="Times New Roman" w:hAnsi="Times New Roman" w:cs="Times New Roman"/>
          <w:sz w:val="24"/>
          <w:szCs w:val="24"/>
        </w:rPr>
        <w:t>Whipp</w:t>
      </w:r>
      <w:proofErr w:type="spellEnd"/>
      <w:r w:rsidR="00B77DB1">
        <w:rPr>
          <w:rFonts w:ascii="Times New Roman" w:hAnsi="Times New Roman" w:cs="Times New Roman"/>
          <w:sz w:val="24"/>
          <w:szCs w:val="24"/>
        </w:rPr>
        <w:t xml:space="preserve">, </w:t>
      </w:r>
      <w:r w:rsidR="00C86B2F">
        <w:rPr>
          <w:rFonts w:ascii="Times New Roman" w:hAnsi="Times New Roman" w:cs="Times New Roman"/>
          <w:sz w:val="24"/>
          <w:szCs w:val="24"/>
        </w:rPr>
        <w:t>Agnes Bar</w:t>
      </w:r>
      <w:r w:rsidR="00DB5498">
        <w:rPr>
          <w:rFonts w:ascii="Times New Roman" w:hAnsi="Times New Roman" w:cs="Times New Roman"/>
          <w:sz w:val="24"/>
          <w:szCs w:val="24"/>
        </w:rPr>
        <w:t>bour’s servant, testified that</w:t>
      </w:r>
      <w:r w:rsidR="00C86B2F">
        <w:rPr>
          <w:rFonts w:ascii="Times New Roman" w:hAnsi="Times New Roman" w:cs="Times New Roman"/>
          <w:sz w:val="24"/>
          <w:szCs w:val="24"/>
        </w:rPr>
        <w:t xml:space="preserve"> he was present in the shop of Agnes</w:t>
      </w:r>
      <w:r w:rsidR="00B77DB1">
        <w:rPr>
          <w:rFonts w:ascii="Times New Roman" w:hAnsi="Times New Roman" w:cs="Times New Roman"/>
          <w:sz w:val="24"/>
          <w:szCs w:val="24"/>
        </w:rPr>
        <w:t xml:space="preserve">’ mother’s house when </w:t>
      </w:r>
      <w:r w:rsidR="00C86B2F">
        <w:rPr>
          <w:rFonts w:ascii="Times New Roman" w:hAnsi="Times New Roman" w:cs="Times New Roman"/>
          <w:sz w:val="24"/>
          <w:szCs w:val="24"/>
        </w:rPr>
        <w:t>a</w:t>
      </w:r>
      <w:r w:rsidR="00DB5498">
        <w:rPr>
          <w:rFonts w:ascii="Times New Roman" w:hAnsi="Times New Roman" w:cs="Times New Roman"/>
          <w:sz w:val="24"/>
          <w:szCs w:val="24"/>
        </w:rPr>
        <w:t xml:space="preserve"> late-</w:t>
      </w:r>
      <w:r w:rsidR="00B77DB1">
        <w:rPr>
          <w:rFonts w:ascii="Times New Roman" w:hAnsi="Times New Roman" w:cs="Times New Roman"/>
          <w:sz w:val="24"/>
          <w:szCs w:val="24"/>
        </w:rPr>
        <w:t>night visitor called</w:t>
      </w:r>
      <w:r w:rsidR="00717839">
        <w:rPr>
          <w:rFonts w:ascii="Times New Roman" w:hAnsi="Times New Roman" w:cs="Times New Roman"/>
          <w:sz w:val="24"/>
          <w:szCs w:val="24"/>
        </w:rPr>
        <w:t xml:space="preserve">. Implicitly </w:t>
      </w:r>
      <w:r w:rsidR="00C86B2F">
        <w:rPr>
          <w:rFonts w:ascii="Times New Roman" w:hAnsi="Times New Roman" w:cs="Times New Roman"/>
          <w:sz w:val="24"/>
          <w:szCs w:val="24"/>
        </w:rPr>
        <w:t>Edmund slept in his employer’s shop.</w:t>
      </w:r>
      <w:r w:rsidR="00717839">
        <w:rPr>
          <w:rFonts w:ascii="Times New Roman" w:hAnsi="Times New Roman" w:cs="Times New Roman"/>
          <w:sz w:val="24"/>
          <w:szCs w:val="24"/>
        </w:rPr>
        <w:t xml:space="preserve"> A board </w:t>
      </w:r>
      <w:r w:rsidR="00102C7F">
        <w:rPr>
          <w:rFonts w:ascii="Times New Roman" w:hAnsi="Times New Roman" w:cs="Times New Roman"/>
          <w:sz w:val="24"/>
          <w:szCs w:val="24"/>
        </w:rPr>
        <w:t>bed wa</w:t>
      </w:r>
      <w:r w:rsidR="00A50D4F">
        <w:rPr>
          <w:rFonts w:ascii="Times New Roman" w:hAnsi="Times New Roman" w:cs="Times New Roman"/>
          <w:sz w:val="24"/>
          <w:szCs w:val="24"/>
        </w:rPr>
        <w:t>s appraised as part of the co</w:t>
      </w:r>
      <w:r w:rsidR="00717839">
        <w:rPr>
          <w:rFonts w:ascii="Times New Roman" w:hAnsi="Times New Roman" w:cs="Times New Roman"/>
          <w:sz w:val="24"/>
          <w:szCs w:val="24"/>
        </w:rPr>
        <w:t>ntents of</w:t>
      </w:r>
      <w:r w:rsidR="00A50D4F">
        <w:rPr>
          <w:rFonts w:ascii="Times New Roman" w:hAnsi="Times New Roman" w:cs="Times New Roman"/>
          <w:sz w:val="24"/>
          <w:szCs w:val="24"/>
        </w:rPr>
        <w:t xml:space="preserve"> </w:t>
      </w:r>
      <w:r w:rsidR="00717839">
        <w:rPr>
          <w:rFonts w:ascii="Times New Roman" w:hAnsi="Times New Roman" w:cs="Times New Roman"/>
          <w:sz w:val="24"/>
          <w:szCs w:val="24"/>
        </w:rPr>
        <w:t xml:space="preserve">Robert Tankard, girdler’s shop </w:t>
      </w:r>
      <w:r w:rsidR="00A50D4F">
        <w:rPr>
          <w:rFonts w:ascii="Times New Roman" w:hAnsi="Times New Roman" w:cs="Times New Roman"/>
          <w:sz w:val="24"/>
          <w:szCs w:val="24"/>
        </w:rPr>
        <w:t>in 1439.</w:t>
      </w:r>
      <w:r w:rsidR="00A50D4F">
        <w:rPr>
          <w:rStyle w:val="FootnoteReference"/>
          <w:rFonts w:ascii="Times New Roman" w:hAnsi="Times New Roman" w:cs="Times New Roman"/>
          <w:sz w:val="24"/>
          <w:szCs w:val="24"/>
        </w:rPr>
        <w:footnoteReference w:id="45"/>
      </w:r>
    </w:p>
    <w:p w14:paraId="6F627FD4" w14:textId="42EF27FE" w:rsidR="004845D3" w:rsidRDefault="00102C7F" w:rsidP="00350AF6">
      <w:pPr>
        <w:spacing w:line="360" w:lineRule="auto"/>
        <w:rPr>
          <w:rFonts w:ascii="Times New Roman" w:hAnsi="Times New Roman" w:cs="Times New Roman"/>
          <w:sz w:val="24"/>
          <w:szCs w:val="24"/>
        </w:rPr>
      </w:pPr>
      <w:r>
        <w:rPr>
          <w:rFonts w:ascii="Times New Roman" w:hAnsi="Times New Roman" w:cs="Times New Roman"/>
          <w:sz w:val="24"/>
          <w:szCs w:val="24"/>
        </w:rPr>
        <w:tab/>
        <w:t>The shop serv</w:t>
      </w:r>
      <w:r w:rsidR="00C86B2F">
        <w:rPr>
          <w:rFonts w:ascii="Times New Roman" w:hAnsi="Times New Roman" w:cs="Times New Roman"/>
          <w:sz w:val="24"/>
          <w:szCs w:val="24"/>
        </w:rPr>
        <w:t xml:space="preserve">ed not just as a work or retail space and </w:t>
      </w:r>
      <w:r w:rsidR="00494A5F">
        <w:rPr>
          <w:rFonts w:ascii="Times New Roman" w:hAnsi="Times New Roman" w:cs="Times New Roman"/>
          <w:sz w:val="24"/>
          <w:szCs w:val="24"/>
        </w:rPr>
        <w:t>as a sleeping space for employee</w:t>
      </w:r>
      <w:r w:rsidR="00C86B2F">
        <w:rPr>
          <w:rFonts w:ascii="Times New Roman" w:hAnsi="Times New Roman" w:cs="Times New Roman"/>
          <w:sz w:val="24"/>
          <w:szCs w:val="24"/>
        </w:rPr>
        <w:t>s, but perhaps specifically male employees whose physical presence at ni</w:t>
      </w:r>
      <w:r w:rsidR="00616CE1">
        <w:rPr>
          <w:rFonts w:ascii="Times New Roman" w:hAnsi="Times New Roman" w:cs="Times New Roman"/>
          <w:sz w:val="24"/>
          <w:szCs w:val="24"/>
        </w:rPr>
        <w:t xml:space="preserve">ght might function as </w:t>
      </w:r>
      <w:r w:rsidR="00C86B2F">
        <w:rPr>
          <w:rFonts w:ascii="Times New Roman" w:hAnsi="Times New Roman" w:cs="Times New Roman"/>
          <w:sz w:val="24"/>
          <w:szCs w:val="24"/>
        </w:rPr>
        <w:t>security against the theft of tool</w:t>
      </w:r>
      <w:r w:rsidR="00E73170">
        <w:rPr>
          <w:rFonts w:ascii="Times New Roman" w:hAnsi="Times New Roman" w:cs="Times New Roman"/>
          <w:sz w:val="24"/>
          <w:szCs w:val="24"/>
        </w:rPr>
        <w:t xml:space="preserve">s or stock. As </w:t>
      </w:r>
      <w:r w:rsidR="00C86B2F">
        <w:rPr>
          <w:rFonts w:ascii="Times New Roman" w:hAnsi="Times New Roman" w:cs="Times New Roman"/>
          <w:sz w:val="24"/>
          <w:szCs w:val="24"/>
        </w:rPr>
        <w:t>in the case of t</w:t>
      </w:r>
      <w:r w:rsidR="00616CE1">
        <w:rPr>
          <w:rFonts w:ascii="Times New Roman" w:hAnsi="Times New Roman" w:cs="Times New Roman"/>
          <w:sz w:val="24"/>
          <w:szCs w:val="24"/>
        </w:rPr>
        <w:t>he Scarborough weaver</w:t>
      </w:r>
      <w:r w:rsidR="00C86B2F">
        <w:rPr>
          <w:rFonts w:ascii="Times New Roman" w:hAnsi="Times New Roman" w:cs="Times New Roman"/>
          <w:sz w:val="24"/>
          <w:szCs w:val="24"/>
        </w:rPr>
        <w:t xml:space="preserve">, the shop might also function as a social space. </w:t>
      </w:r>
      <w:r w:rsidR="00E73170">
        <w:rPr>
          <w:rFonts w:ascii="Times New Roman" w:hAnsi="Times New Roman" w:cs="Times New Roman"/>
          <w:sz w:val="24"/>
          <w:szCs w:val="24"/>
        </w:rPr>
        <w:t xml:space="preserve">In </w:t>
      </w:r>
      <w:r w:rsidR="00C324C6">
        <w:rPr>
          <w:rFonts w:ascii="Times New Roman" w:hAnsi="Times New Roman" w:cs="Times New Roman"/>
          <w:sz w:val="24"/>
          <w:szCs w:val="24"/>
        </w:rPr>
        <w:t xml:space="preserve">1433 Richard </w:t>
      </w:r>
      <w:proofErr w:type="spellStart"/>
      <w:r w:rsidR="00E73170">
        <w:rPr>
          <w:rFonts w:ascii="Times New Roman" w:hAnsi="Times New Roman" w:cs="Times New Roman"/>
          <w:sz w:val="24"/>
          <w:szCs w:val="24"/>
        </w:rPr>
        <w:t>Meke</w:t>
      </w:r>
      <w:proofErr w:type="spellEnd"/>
      <w:r w:rsidR="00E73170">
        <w:rPr>
          <w:rFonts w:ascii="Times New Roman" w:hAnsi="Times New Roman" w:cs="Times New Roman"/>
          <w:sz w:val="24"/>
          <w:szCs w:val="24"/>
        </w:rPr>
        <w:t xml:space="preserve"> and his wife, Ellen, testifi</w:t>
      </w:r>
      <w:r w:rsidR="00C324C6">
        <w:rPr>
          <w:rFonts w:ascii="Times New Roman" w:hAnsi="Times New Roman" w:cs="Times New Roman"/>
          <w:sz w:val="24"/>
          <w:szCs w:val="24"/>
        </w:rPr>
        <w:t xml:space="preserve">ed how three years earlier they had sat in the </w:t>
      </w:r>
      <w:proofErr w:type="spellStart"/>
      <w:r w:rsidR="00E73170">
        <w:rPr>
          <w:rFonts w:ascii="Times New Roman" w:hAnsi="Times New Roman" w:cs="Times New Roman"/>
          <w:sz w:val="24"/>
          <w:szCs w:val="24"/>
        </w:rPr>
        <w:t>Girdlergate</w:t>
      </w:r>
      <w:proofErr w:type="spellEnd"/>
      <w:r w:rsidR="00E73170">
        <w:rPr>
          <w:rFonts w:ascii="Times New Roman" w:hAnsi="Times New Roman" w:cs="Times New Roman"/>
          <w:sz w:val="24"/>
          <w:szCs w:val="24"/>
        </w:rPr>
        <w:t xml:space="preserve"> </w:t>
      </w:r>
      <w:r w:rsidR="00C324C6">
        <w:rPr>
          <w:rFonts w:ascii="Times New Roman" w:hAnsi="Times New Roman" w:cs="Times New Roman"/>
          <w:sz w:val="24"/>
          <w:szCs w:val="24"/>
        </w:rPr>
        <w:t xml:space="preserve">shop of their neighbour Marjory </w:t>
      </w:r>
      <w:proofErr w:type="spellStart"/>
      <w:r w:rsidR="00C324C6">
        <w:rPr>
          <w:rFonts w:ascii="Times New Roman" w:hAnsi="Times New Roman" w:cs="Times New Roman"/>
          <w:sz w:val="24"/>
          <w:szCs w:val="24"/>
        </w:rPr>
        <w:t>Wadyngton</w:t>
      </w:r>
      <w:proofErr w:type="spellEnd"/>
      <w:r w:rsidR="00E73170">
        <w:rPr>
          <w:rFonts w:ascii="Times New Roman" w:hAnsi="Times New Roman" w:cs="Times New Roman"/>
          <w:sz w:val="24"/>
          <w:szCs w:val="24"/>
        </w:rPr>
        <w:t xml:space="preserve"> </w:t>
      </w:r>
      <w:r w:rsidR="00616CE1">
        <w:rPr>
          <w:rFonts w:ascii="Times New Roman" w:hAnsi="Times New Roman" w:cs="Times New Roman"/>
          <w:sz w:val="24"/>
          <w:szCs w:val="24"/>
        </w:rPr>
        <w:t>together with another man</w:t>
      </w:r>
      <w:r w:rsidR="00E73170">
        <w:rPr>
          <w:rFonts w:ascii="Times New Roman" w:hAnsi="Times New Roman" w:cs="Times New Roman"/>
          <w:sz w:val="24"/>
          <w:szCs w:val="24"/>
        </w:rPr>
        <w:t xml:space="preserve"> when Marjory and Robert</w:t>
      </w:r>
      <w:r w:rsidR="00C324C6">
        <w:rPr>
          <w:rFonts w:ascii="Times New Roman" w:hAnsi="Times New Roman" w:cs="Times New Roman"/>
          <w:sz w:val="24"/>
          <w:szCs w:val="24"/>
        </w:rPr>
        <w:t xml:space="preserve"> contracted</w:t>
      </w:r>
      <w:r w:rsidR="00616CE1">
        <w:rPr>
          <w:rFonts w:ascii="Times New Roman" w:hAnsi="Times New Roman" w:cs="Times New Roman"/>
          <w:sz w:val="24"/>
          <w:szCs w:val="24"/>
        </w:rPr>
        <w:t xml:space="preserve"> marriage</w:t>
      </w:r>
      <w:r w:rsidR="00F746E7">
        <w:rPr>
          <w:rFonts w:ascii="Times New Roman" w:hAnsi="Times New Roman" w:cs="Times New Roman"/>
          <w:sz w:val="24"/>
          <w:szCs w:val="24"/>
        </w:rPr>
        <w:t>.</w:t>
      </w:r>
      <w:r w:rsidR="00F746E7">
        <w:rPr>
          <w:rStyle w:val="FootnoteReference"/>
          <w:rFonts w:ascii="Times New Roman" w:hAnsi="Times New Roman" w:cs="Times New Roman"/>
          <w:sz w:val="24"/>
          <w:szCs w:val="24"/>
        </w:rPr>
        <w:footnoteReference w:id="46"/>
      </w:r>
      <w:r w:rsidR="00F746E7">
        <w:rPr>
          <w:rFonts w:ascii="Times New Roman" w:hAnsi="Times New Roman" w:cs="Times New Roman"/>
          <w:sz w:val="24"/>
          <w:szCs w:val="24"/>
        </w:rPr>
        <w:t xml:space="preserve"> </w:t>
      </w:r>
      <w:r w:rsidR="00616CE1">
        <w:rPr>
          <w:rFonts w:ascii="Times New Roman" w:hAnsi="Times New Roman" w:cs="Times New Roman"/>
          <w:sz w:val="24"/>
          <w:szCs w:val="24"/>
        </w:rPr>
        <w:t xml:space="preserve">John </w:t>
      </w:r>
      <w:proofErr w:type="spellStart"/>
      <w:r w:rsidR="00616CE1">
        <w:rPr>
          <w:rFonts w:ascii="Times New Roman" w:hAnsi="Times New Roman" w:cs="Times New Roman"/>
          <w:sz w:val="24"/>
          <w:szCs w:val="24"/>
        </w:rPr>
        <w:t>Elwald</w:t>
      </w:r>
      <w:proofErr w:type="spellEnd"/>
      <w:r w:rsidR="00616CE1">
        <w:rPr>
          <w:rFonts w:ascii="Times New Roman" w:hAnsi="Times New Roman" w:cs="Times New Roman"/>
          <w:sz w:val="24"/>
          <w:szCs w:val="24"/>
        </w:rPr>
        <w:t>, then a city</w:t>
      </w:r>
      <w:r w:rsidR="00511117">
        <w:rPr>
          <w:rFonts w:ascii="Times New Roman" w:hAnsi="Times New Roman" w:cs="Times New Roman"/>
          <w:sz w:val="24"/>
          <w:szCs w:val="24"/>
        </w:rPr>
        <w:t xml:space="preserve"> chamberlain</w:t>
      </w:r>
      <w:r w:rsidR="006445F9">
        <w:rPr>
          <w:rFonts w:ascii="Times New Roman" w:hAnsi="Times New Roman" w:cs="Times New Roman"/>
          <w:sz w:val="24"/>
          <w:szCs w:val="24"/>
        </w:rPr>
        <w:t xml:space="preserve">, testified </w:t>
      </w:r>
      <w:r w:rsidR="00E73170">
        <w:rPr>
          <w:rFonts w:ascii="Times New Roman" w:hAnsi="Times New Roman" w:cs="Times New Roman"/>
          <w:sz w:val="24"/>
          <w:szCs w:val="24"/>
        </w:rPr>
        <w:t xml:space="preserve">in 1486 </w:t>
      </w:r>
      <w:r w:rsidR="006445F9">
        <w:rPr>
          <w:rFonts w:ascii="Times New Roman" w:hAnsi="Times New Roman" w:cs="Times New Roman"/>
          <w:sz w:val="24"/>
          <w:szCs w:val="24"/>
        </w:rPr>
        <w:t xml:space="preserve">to witnessing a </w:t>
      </w:r>
      <w:r w:rsidR="00616CE1">
        <w:rPr>
          <w:rFonts w:ascii="Times New Roman" w:hAnsi="Times New Roman" w:cs="Times New Roman"/>
          <w:sz w:val="24"/>
          <w:szCs w:val="24"/>
        </w:rPr>
        <w:t xml:space="preserve">like </w:t>
      </w:r>
      <w:r w:rsidR="006445F9">
        <w:rPr>
          <w:rFonts w:ascii="Times New Roman" w:hAnsi="Times New Roman" w:cs="Times New Roman"/>
          <w:sz w:val="24"/>
          <w:szCs w:val="24"/>
        </w:rPr>
        <w:t>contr</w:t>
      </w:r>
      <w:r w:rsidR="00616CE1">
        <w:rPr>
          <w:rFonts w:ascii="Times New Roman" w:hAnsi="Times New Roman" w:cs="Times New Roman"/>
          <w:sz w:val="24"/>
          <w:szCs w:val="24"/>
        </w:rPr>
        <w:t xml:space="preserve">act between Margaret </w:t>
      </w:r>
      <w:proofErr w:type="spellStart"/>
      <w:r w:rsidR="00616CE1">
        <w:rPr>
          <w:rFonts w:ascii="Times New Roman" w:hAnsi="Times New Roman" w:cs="Times New Roman"/>
          <w:sz w:val="24"/>
          <w:szCs w:val="24"/>
        </w:rPr>
        <w:t>Esingwald</w:t>
      </w:r>
      <w:proofErr w:type="spellEnd"/>
      <w:r w:rsidR="00616CE1">
        <w:rPr>
          <w:rFonts w:ascii="Times New Roman" w:hAnsi="Times New Roman" w:cs="Times New Roman"/>
          <w:sz w:val="24"/>
          <w:szCs w:val="24"/>
        </w:rPr>
        <w:t xml:space="preserve"> and William Newton in his own workshop</w:t>
      </w:r>
      <w:r w:rsidR="006445F9">
        <w:rPr>
          <w:rFonts w:ascii="Times New Roman" w:hAnsi="Times New Roman" w:cs="Times New Roman"/>
          <w:sz w:val="24"/>
          <w:szCs w:val="24"/>
        </w:rPr>
        <w:t xml:space="preserve">. Also present was the barber William </w:t>
      </w:r>
      <w:proofErr w:type="spellStart"/>
      <w:r w:rsidR="006445F9">
        <w:rPr>
          <w:rFonts w:ascii="Times New Roman" w:hAnsi="Times New Roman" w:cs="Times New Roman"/>
          <w:sz w:val="24"/>
          <w:szCs w:val="24"/>
        </w:rPr>
        <w:t>Caton</w:t>
      </w:r>
      <w:proofErr w:type="spellEnd"/>
      <w:r w:rsidR="006445F9">
        <w:rPr>
          <w:rFonts w:ascii="Times New Roman" w:hAnsi="Times New Roman" w:cs="Times New Roman"/>
          <w:sz w:val="24"/>
          <w:szCs w:val="24"/>
        </w:rPr>
        <w:t>.</w:t>
      </w:r>
      <w:r w:rsidR="006445F9">
        <w:rPr>
          <w:rStyle w:val="FootnoteReference"/>
          <w:rFonts w:ascii="Times New Roman" w:hAnsi="Times New Roman" w:cs="Times New Roman"/>
          <w:sz w:val="24"/>
          <w:szCs w:val="24"/>
        </w:rPr>
        <w:footnoteReference w:id="47"/>
      </w:r>
      <w:r w:rsidR="006445F9">
        <w:rPr>
          <w:rFonts w:ascii="Times New Roman" w:hAnsi="Times New Roman" w:cs="Times New Roman"/>
          <w:sz w:val="24"/>
          <w:szCs w:val="24"/>
        </w:rPr>
        <w:t xml:space="preserve"> </w:t>
      </w:r>
    </w:p>
    <w:p w14:paraId="30CEE572" w14:textId="149E7AA3" w:rsidR="00F65C97" w:rsidRDefault="00D26857" w:rsidP="004845D3">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John </w:t>
      </w:r>
      <w:proofErr w:type="spellStart"/>
      <w:r>
        <w:rPr>
          <w:rFonts w:ascii="Times New Roman" w:hAnsi="Times New Roman" w:cs="Times New Roman"/>
          <w:sz w:val="24"/>
          <w:szCs w:val="24"/>
        </w:rPr>
        <w:t>Kirkeby</w:t>
      </w:r>
      <w:proofErr w:type="spellEnd"/>
      <w:r>
        <w:rPr>
          <w:rFonts w:ascii="Times New Roman" w:hAnsi="Times New Roman" w:cs="Times New Roman"/>
          <w:sz w:val="24"/>
          <w:szCs w:val="24"/>
        </w:rPr>
        <w:t xml:space="preserve"> visited</w:t>
      </w:r>
      <w:r w:rsidR="00F746E7">
        <w:rPr>
          <w:rFonts w:ascii="Times New Roman" w:hAnsi="Times New Roman" w:cs="Times New Roman"/>
          <w:sz w:val="24"/>
          <w:szCs w:val="24"/>
        </w:rPr>
        <w:t xml:space="preserve"> </w:t>
      </w:r>
      <w:r w:rsidR="00FC5290">
        <w:rPr>
          <w:rFonts w:ascii="Times New Roman" w:hAnsi="Times New Roman" w:cs="Times New Roman"/>
          <w:sz w:val="24"/>
          <w:szCs w:val="24"/>
        </w:rPr>
        <w:t xml:space="preserve">Agnes Barbour </w:t>
      </w:r>
      <w:r w:rsidR="00F746E7">
        <w:rPr>
          <w:rFonts w:ascii="Times New Roman" w:hAnsi="Times New Roman" w:cs="Times New Roman"/>
          <w:sz w:val="24"/>
          <w:szCs w:val="24"/>
        </w:rPr>
        <w:t xml:space="preserve">late at night </w:t>
      </w:r>
      <w:r w:rsidR="00FC5290">
        <w:rPr>
          <w:rFonts w:ascii="Times New Roman" w:hAnsi="Times New Roman" w:cs="Times New Roman"/>
          <w:sz w:val="24"/>
          <w:szCs w:val="24"/>
        </w:rPr>
        <w:t xml:space="preserve">in </w:t>
      </w:r>
      <w:proofErr w:type="spellStart"/>
      <w:r w:rsidR="00FC5290">
        <w:rPr>
          <w:rFonts w:ascii="Times New Roman" w:hAnsi="Times New Roman" w:cs="Times New Roman"/>
          <w:sz w:val="24"/>
          <w:szCs w:val="24"/>
        </w:rPr>
        <w:t>Goodramgate</w:t>
      </w:r>
      <w:proofErr w:type="spellEnd"/>
      <w:r w:rsidR="00DC3D46">
        <w:rPr>
          <w:rFonts w:ascii="Times New Roman" w:hAnsi="Times New Roman" w:cs="Times New Roman"/>
          <w:sz w:val="24"/>
          <w:szCs w:val="24"/>
        </w:rPr>
        <w:t>. Calling</w:t>
      </w:r>
      <w:r>
        <w:rPr>
          <w:rFonts w:ascii="Times New Roman" w:hAnsi="Times New Roman" w:cs="Times New Roman"/>
          <w:sz w:val="24"/>
          <w:szCs w:val="24"/>
        </w:rPr>
        <w:t xml:space="preserve"> he</w:t>
      </w:r>
      <w:r w:rsidR="00DC3D46">
        <w:rPr>
          <w:rFonts w:ascii="Times New Roman" w:hAnsi="Times New Roman" w:cs="Times New Roman"/>
          <w:sz w:val="24"/>
          <w:szCs w:val="24"/>
        </w:rPr>
        <w:t>r downstairs and requesting</w:t>
      </w:r>
      <w:r w:rsidR="00511117">
        <w:rPr>
          <w:rFonts w:ascii="Times New Roman" w:hAnsi="Times New Roman" w:cs="Times New Roman"/>
          <w:sz w:val="24"/>
          <w:szCs w:val="24"/>
        </w:rPr>
        <w:t xml:space="preserve"> ale</w:t>
      </w:r>
      <w:r>
        <w:rPr>
          <w:rFonts w:ascii="Times New Roman" w:hAnsi="Times New Roman" w:cs="Times New Roman"/>
          <w:sz w:val="24"/>
          <w:szCs w:val="24"/>
        </w:rPr>
        <w:t xml:space="preserve">, he went into Agnes’s shop. Edmund </w:t>
      </w:r>
      <w:proofErr w:type="spellStart"/>
      <w:r>
        <w:rPr>
          <w:rFonts w:ascii="Times New Roman" w:hAnsi="Times New Roman" w:cs="Times New Roman"/>
          <w:sz w:val="24"/>
          <w:szCs w:val="24"/>
        </w:rPr>
        <w:t>Whipp</w:t>
      </w:r>
      <w:proofErr w:type="spellEnd"/>
      <w:r>
        <w:rPr>
          <w:rFonts w:ascii="Times New Roman" w:hAnsi="Times New Roman" w:cs="Times New Roman"/>
          <w:sz w:val="24"/>
          <w:szCs w:val="24"/>
        </w:rPr>
        <w:t xml:space="preserve"> and John Rayner, alia</w:t>
      </w:r>
      <w:r w:rsidR="00D31D8C">
        <w:rPr>
          <w:rFonts w:ascii="Times New Roman" w:hAnsi="Times New Roman" w:cs="Times New Roman"/>
          <w:sz w:val="24"/>
          <w:szCs w:val="24"/>
        </w:rPr>
        <w:t>s Barber,</w:t>
      </w:r>
      <w:r>
        <w:rPr>
          <w:rFonts w:ascii="Times New Roman" w:hAnsi="Times New Roman" w:cs="Times New Roman"/>
          <w:sz w:val="24"/>
          <w:szCs w:val="24"/>
        </w:rPr>
        <w:t xml:space="preserve"> both </w:t>
      </w:r>
      <w:r w:rsidR="008624CD">
        <w:rPr>
          <w:rFonts w:ascii="Times New Roman" w:hAnsi="Times New Roman" w:cs="Times New Roman"/>
          <w:sz w:val="24"/>
          <w:szCs w:val="24"/>
        </w:rPr>
        <w:t xml:space="preserve">then </w:t>
      </w:r>
      <w:r w:rsidR="00FC5290">
        <w:rPr>
          <w:rFonts w:ascii="Times New Roman" w:hAnsi="Times New Roman" w:cs="Times New Roman"/>
          <w:sz w:val="24"/>
          <w:szCs w:val="24"/>
        </w:rPr>
        <w:t xml:space="preserve">Agnes’ servants, were already there as were </w:t>
      </w:r>
      <w:r>
        <w:rPr>
          <w:rFonts w:ascii="Times New Roman" w:hAnsi="Times New Roman" w:cs="Times New Roman"/>
          <w:sz w:val="24"/>
          <w:szCs w:val="24"/>
        </w:rPr>
        <w:t xml:space="preserve">Richard </w:t>
      </w:r>
      <w:proofErr w:type="spellStart"/>
      <w:r>
        <w:rPr>
          <w:rFonts w:ascii="Times New Roman" w:hAnsi="Times New Roman" w:cs="Times New Roman"/>
          <w:sz w:val="24"/>
          <w:szCs w:val="24"/>
        </w:rPr>
        <w:t>Langthorne</w:t>
      </w:r>
      <w:proofErr w:type="spellEnd"/>
      <w:r>
        <w:rPr>
          <w:rFonts w:ascii="Times New Roman" w:hAnsi="Times New Roman" w:cs="Times New Roman"/>
          <w:sz w:val="24"/>
          <w:szCs w:val="24"/>
        </w:rPr>
        <w:t xml:space="preserve"> and another man. They were joine</w:t>
      </w:r>
      <w:r w:rsidR="00FC5290">
        <w:rPr>
          <w:rFonts w:ascii="Times New Roman" w:hAnsi="Times New Roman" w:cs="Times New Roman"/>
          <w:sz w:val="24"/>
          <w:szCs w:val="24"/>
        </w:rPr>
        <w:t>d by Agnes with the ale. During</w:t>
      </w:r>
      <w:r w:rsidR="008624CD">
        <w:rPr>
          <w:rFonts w:ascii="Times New Roman" w:hAnsi="Times New Roman" w:cs="Times New Roman"/>
          <w:sz w:val="24"/>
          <w:szCs w:val="24"/>
        </w:rPr>
        <w:t xml:space="preserve"> the</w:t>
      </w:r>
      <w:r w:rsidR="00511117">
        <w:rPr>
          <w:rFonts w:ascii="Times New Roman" w:hAnsi="Times New Roman" w:cs="Times New Roman"/>
          <w:sz w:val="24"/>
          <w:szCs w:val="24"/>
        </w:rPr>
        <w:t xml:space="preserve"> ensuing conversation</w:t>
      </w:r>
      <w:r w:rsidR="00C277E1">
        <w:rPr>
          <w:rFonts w:ascii="Times New Roman" w:hAnsi="Times New Roman" w:cs="Times New Roman"/>
          <w:sz w:val="24"/>
          <w:szCs w:val="24"/>
        </w:rPr>
        <w:t xml:space="preserve">, Agnes reminded </w:t>
      </w:r>
      <w:r w:rsidR="008624CD">
        <w:rPr>
          <w:rFonts w:ascii="Times New Roman" w:hAnsi="Times New Roman" w:cs="Times New Roman"/>
          <w:sz w:val="24"/>
          <w:szCs w:val="24"/>
        </w:rPr>
        <w:t xml:space="preserve">John </w:t>
      </w:r>
      <w:proofErr w:type="spellStart"/>
      <w:r w:rsidR="008624CD">
        <w:rPr>
          <w:rFonts w:ascii="Times New Roman" w:hAnsi="Times New Roman" w:cs="Times New Roman"/>
          <w:sz w:val="24"/>
          <w:szCs w:val="24"/>
        </w:rPr>
        <w:t>Kirkeby</w:t>
      </w:r>
      <w:proofErr w:type="spellEnd"/>
      <w:r w:rsidR="008624CD">
        <w:rPr>
          <w:rFonts w:ascii="Times New Roman" w:hAnsi="Times New Roman" w:cs="Times New Roman"/>
          <w:sz w:val="24"/>
          <w:szCs w:val="24"/>
        </w:rPr>
        <w:t xml:space="preserve"> that he was won</w:t>
      </w:r>
      <w:r w:rsidR="00D31D8C">
        <w:rPr>
          <w:rFonts w:ascii="Times New Roman" w:hAnsi="Times New Roman" w:cs="Times New Roman"/>
          <w:sz w:val="24"/>
          <w:szCs w:val="24"/>
        </w:rPr>
        <w:t>t to call her his wife.</w:t>
      </w:r>
      <w:r w:rsidR="008624CD">
        <w:rPr>
          <w:rFonts w:ascii="Times New Roman" w:hAnsi="Times New Roman" w:cs="Times New Roman"/>
          <w:sz w:val="24"/>
          <w:szCs w:val="24"/>
        </w:rPr>
        <w:t xml:space="preserve"> Jo</w:t>
      </w:r>
      <w:r w:rsidR="00D31D8C">
        <w:rPr>
          <w:rFonts w:ascii="Times New Roman" w:hAnsi="Times New Roman" w:cs="Times New Roman"/>
          <w:sz w:val="24"/>
          <w:szCs w:val="24"/>
        </w:rPr>
        <w:t>hn agreed</w:t>
      </w:r>
      <w:r w:rsidR="00B6575D">
        <w:rPr>
          <w:rFonts w:ascii="Times New Roman" w:hAnsi="Times New Roman" w:cs="Times New Roman"/>
          <w:sz w:val="24"/>
          <w:szCs w:val="24"/>
        </w:rPr>
        <w:t xml:space="preserve"> and </w:t>
      </w:r>
      <w:r w:rsidR="008624CD">
        <w:rPr>
          <w:rFonts w:ascii="Times New Roman" w:hAnsi="Times New Roman" w:cs="Times New Roman"/>
          <w:sz w:val="24"/>
          <w:szCs w:val="24"/>
        </w:rPr>
        <w:t xml:space="preserve">the couple </w:t>
      </w:r>
      <w:r w:rsidR="00B6575D">
        <w:rPr>
          <w:rFonts w:ascii="Times New Roman" w:hAnsi="Times New Roman" w:cs="Times New Roman"/>
          <w:sz w:val="24"/>
          <w:szCs w:val="24"/>
        </w:rPr>
        <w:t xml:space="preserve">then each swore before those present that </w:t>
      </w:r>
      <w:r w:rsidR="00DC3D46">
        <w:rPr>
          <w:rFonts w:ascii="Times New Roman" w:hAnsi="Times New Roman" w:cs="Times New Roman"/>
          <w:sz w:val="24"/>
          <w:szCs w:val="24"/>
        </w:rPr>
        <w:t>we</w:t>
      </w:r>
      <w:r w:rsidR="00644032">
        <w:rPr>
          <w:rFonts w:ascii="Times New Roman" w:hAnsi="Times New Roman" w:cs="Times New Roman"/>
          <w:sz w:val="24"/>
          <w:szCs w:val="24"/>
        </w:rPr>
        <w:t xml:space="preserve">re husband and wife. Agnes </w:t>
      </w:r>
      <w:r w:rsidR="00DC3D46">
        <w:rPr>
          <w:rFonts w:ascii="Times New Roman" w:hAnsi="Times New Roman" w:cs="Times New Roman"/>
          <w:sz w:val="24"/>
          <w:szCs w:val="24"/>
        </w:rPr>
        <w:t>gave John a</w:t>
      </w:r>
      <w:r w:rsidR="00E04F6C">
        <w:rPr>
          <w:rFonts w:ascii="Times New Roman" w:hAnsi="Times New Roman" w:cs="Times New Roman"/>
          <w:sz w:val="24"/>
          <w:szCs w:val="24"/>
        </w:rPr>
        <w:t xml:space="preserve"> ring of silver with gems that she was</w:t>
      </w:r>
      <w:r w:rsidR="00DC3D46">
        <w:rPr>
          <w:rFonts w:ascii="Times New Roman" w:hAnsi="Times New Roman" w:cs="Times New Roman"/>
          <w:sz w:val="24"/>
          <w:szCs w:val="24"/>
        </w:rPr>
        <w:t xml:space="preserve"> wearing. In return he proffered </w:t>
      </w:r>
      <w:r w:rsidR="00E04F6C">
        <w:rPr>
          <w:rFonts w:ascii="Times New Roman" w:hAnsi="Times New Roman" w:cs="Times New Roman"/>
          <w:sz w:val="24"/>
          <w:szCs w:val="24"/>
        </w:rPr>
        <w:t xml:space="preserve">a </w:t>
      </w:r>
      <w:r w:rsidR="00DC3D46">
        <w:rPr>
          <w:rFonts w:ascii="Times New Roman" w:hAnsi="Times New Roman" w:cs="Times New Roman"/>
          <w:sz w:val="24"/>
          <w:szCs w:val="24"/>
        </w:rPr>
        <w:t xml:space="preserve">silver-ornamented </w:t>
      </w:r>
      <w:r w:rsidR="00E04F6C">
        <w:rPr>
          <w:rFonts w:ascii="Times New Roman" w:hAnsi="Times New Roman" w:cs="Times New Roman"/>
          <w:sz w:val="24"/>
          <w:szCs w:val="24"/>
        </w:rPr>
        <w:t xml:space="preserve">strap </w:t>
      </w:r>
      <w:r w:rsidR="00DC3D46">
        <w:rPr>
          <w:rFonts w:ascii="Times New Roman" w:hAnsi="Times New Roman" w:cs="Times New Roman"/>
          <w:sz w:val="24"/>
          <w:szCs w:val="24"/>
        </w:rPr>
        <w:t>from his collar</w:t>
      </w:r>
      <w:r w:rsidR="00E04F6C">
        <w:rPr>
          <w:rFonts w:ascii="Times New Roman" w:hAnsi="Times New Roman" w:cs="Times New Roman"/>
          <w:sz w:val="24"/>
          <w:szCs w:val="24"/>
        </w:rPr>
        <w:t xml:space="preserve">. One </w:t>
      </w:r>
      <w:r w:rsidR="00DC3D46">
        <w:rPr>
          <w:rFonts w:ascii="Times New Roman" w:hAnsi="Times New Roman" w:cs="Times New Roman"/>
          <w:sz w:val="24"/>
          <w:szCs w:val="24"/>
        </w:rPr>
        <w:t xml:space="preserve">of the men there </w:t>
      </w:r>
      <w:r w:rsidR="00E04F6C">
        <w:rPr>
          <w:rFonts w:ascii="Times New Roman" w:hAnsi="Times New Roman" w:cs="Times New Roman"/>
          <w:sz w:val="24"/>
          <w:szCs w:val="24"/>
        </w:rPr>
        <w:t xml:space="preserve">said he wished more than twenty nobles that he were as close to another woman as </w:t>
      </w:r>
      <w:r w:rsidR="00644032">
        <w:rPr>
          <w:rFonts w:ascii="Times New Roman" w:hAnsi="Times New Roman" w:cs="Times New Roman"/>
          <w:sz w:val="24"/>
          <w:szCs w:val="24"/>
        </w:rPr>
        <w:t xml:space="preserve">were </w:t>
      </w:r>
      <w:r w:rsidR="00E04F6C">
        <w:rPr>
          <w:rFonts w:ascii="Times New Roman" w:hAnsi="Times New Roman" w:cs="Times New Roman"/>
          <w:sz w:val="24"/>
          <w:szCs w:val="24"/>
        </w:rPr>
        <w:t>this couple.</w:t>
      </w:r>
      <w:r w:rsidR="00E04F6C">
        <w:rPr>
          <w:rStyle w:val="FootnoteReference"/>
          <w:rFonts w:ascii="Times New Roman" w:hAnsi="Times New Roman" w:cs="Times New Roman"/>
          <w:sz w:val="24"/>
          <w:szCs w:val="24"/>
        </w:rPr>
        <w:footnoteReference w:id="48"/>
      </w:r>
    </w:p>
    <w:p w14:paraId="0C4522F4" w14:textId="2CB8C910" w:rsidR="004845D3" w:rsidRDefault="006445F9" w:rsidP="00DC3D46">
      <w:pPr>
        <w:spacing w:line="360" w:lineRule="auto"/>
        <w:rPr>
          <w:rFonts w:ascii="Times New Roman" w:hAnsi="Times New Roman" w:cs="Times New Roman"/>
          <w:sz w:val="24"/>
          <w:szCs w:val="24"/>
        </w:rPr>
      </w:pPr>
      <w:r>
        <w:rPr>
          <w:rFonts w:ascii="Times New Roman" w:hAnsi="Times New Roman" w:cs="Times New Roman"/>
          <w:sz w:val="24"/>
          <w:szCs w:val="24"/>
        </w:rPr>
        <w:tab/>
      </w:r>
      <w:r w:rsidR="004845D3">
        <w:rPr>
          <w:rFonts w:ascii="Times New Roman" w:hAnsi="Times New Roman" w:cs="Times New Roman"/>
          <w:sz w:val="24"/>
          <w:szCs w:val="24"/>
        </w:rPr>
        <w:t>Whereas the social gat</w:t>
      </w:r>
      <w:r w:rsidR="00C277E1">
        <w:rPr>
          <w:rFonts w:ascii="Times New Roman" w:hAnsi="Times New Roman" w:cs="Times New Roman"/>
          <w:sz w:val="24"/>
          <w:szCs w:val="24"/>
        </w:rPr>
        <w:t>hering in Scarborough went on</w:t>
      </w:r>
      <w:r w:rsidR="004845D3">
        <w:rPr>
          <w:rFonts w:ascii="Times New Roman" w:hAnsi="Times New Roman" w:cs="Times New Roman"/>
          <w:sz w:val="24"/>
          <w:szCs w:val="24"/>
        </w:rPr>
        <w:t xml:space="preserve"> around the actual work</w:t>
      </w:r>
      <w:r w:rsidR="00DC3D46">
        <w:rPr>
          <w:rFonts w:ascii="Times New Roman" w:hAnsi="Times New Roman" w:cs="Times New Roman"/>
          <w:sz w:val="24"/>
          <w:szCs w:val="24"/>
        </w:rPr>
        <w:t xml:space="preserve"> of the workshop, on no</w:t>
      </w:r>
      <w:r w:rsidR="004845D3">
        <w:rPr>
          <w:rFonts w:ascii="Times New Roman" w:hAnsi="Times New Roman" w:cs="Times New Roman"/>
          <w:sz w:val="24"/>
          <w:szCs w:val="24"/>
        </w:rPr>
        <w:t xml:space="preserve"> other occasions just discu</w:t>
      </w:r>
      <w:r w:rsidR="00D31D8C">
        <w:rPr>
          <w:rFonts w:ascii="Times New Roman" w:hAnsi="Times New Roman" w:cs="Times New Roman"/>
          <w:sz w:val="24"/>
          <w:szCs w:val="24"/>
        </w:rPr>
        <w:t xml:space="preserve">ssed are we told why those </w:t>
      </w:r>
      <w:r w:rsidR="004845D3">
        <w:rPr>
          <w:rFonts w:ascii="Times New Roman" w:hAnsi="Times New Roman" w:cs="Times New Roman"/>
          <w:sz w:val="24"/>
          <w:szCs w:val="24"/>
        </w:rPr>
        <w:t>present gathered in the shop rathe</w:t>
      </w:r>
      <w:r w:rsidR="00DC3D46">
        <w:rPr>
          <w:rFonts w:ascii="Times New Roman" w:hAnsi="Times New Roman" w:cs="Times New Roman"/>
          <w:sz w:val="24"/>
          <w:szCs w:val="24"/>
        </w:rPr>
        <w:t xml:space="preserve">r than </w:t>
      </w:r>
      <w:r w:rsidR="00644032">
        <w:rPr>
          <w:rFonts w:ascii="Times New Roman" w:hAnsi="Times New Roman" w:cs="Times New Roman"/>
          <w:sz w:val="24"/>
          <w:szCs w:val="24"/>
        </w:rPr>
        <w:t xml:space="preserve">the hall or </w:t>
      </w:r>
      <w:proofErr w:type="gramStart"/>
      <w:r w:rsidR="004845D3">
        <w:rPr>
          <w:rFonts w:ascii="Times New Roman" w:hAnsi="Times New Roman" w:cs="Times New Roman"/>
          <w:sz w:val="24"/>
          <w:szCs w:val="24"/>
        </w:rPr>
        <w:t>par</w:t>
      </w:r>
      <w:r w:rsidR="00D31D8C">
        <w:rPr>
          <w:rFonts w:ascii="Times New Roman" w:hAnsi="Times New Roman" w:cs="Times New Roman"/>
          <w:sz w:val="24"/>
          <w:szCs w:val="24"/>
        </w:rPr>
        <w:t>lour.</w:t>
      </w:r>
      <w:proofErr w:type="gramEnd"/>
      <w:r w:rsidR="00D31D8C">
        <w:rPr>
          <w:rFonts w:ascii="Times New Roman" w:hAnsi="Times New Roman" w:cs="Times New Roman"/>
          <w:sz w:val="24"/>
          <w:szCs w:val="24"/>
        </w:rPr>
        <w:t xml:space="preserve"> T</w:t>
      </w:r>
      <w:r w:rsidR="004845D3">
        <w:rPr>
          <w:rFonts w:ascii="Times New Roman" w:hAnsi="Times New Roman" w:cs="Times New Roman"/>
          <w:sz w:val="24"/>
          <w:szCs w:val="24"/>
        </w:rPr>
        <w:t xml:space="preserve">he shop </w:t>
      </w:r>
      <w:r w:rsidR="00D31D8C">
        <w:rPr>
          <w:rFonts w:ascii="Times New Roman" w:hAnsi="Times New Roman" w:cs="Times New Roman"/>
          <w:sz w:val="24"/>
          <w:szCs w:val="24"/>
        </w:rPr>
        <w:t xml:space="preserve">perhaps </w:t>
      </w:r>
      <w:r w:rsidR="004845D3">
        <w:rPr>
          <w:rFonts w:ascii="Times New Roman" w:hAnsi="Times New Roman" w:cs="Times New Roman"/>
          <w:sz w:val="24"/>
          <w:szCs w:val="24"/>
        </w:rPr>
        <w:t>offered a more informal social spa</w:t>
      </w:r>
      <w:r w:rsidR="00D31D8C">
        <w:rPr>
          <w:rFonts w:ascii="Times New Roman" w:hAnsi="Times New Roman" w:cs="Times New Roman"/>
          <w:sz w:val="24"/>
          <w:szCs w:val="24"/>
        </w:rPr>
        <w:t xml:space="preserve">ce, especially outside </w:t>
      </w:r>
      <w:r w:rsidR="00DC3D46">
        <w:rPr>
          <w:rFonts w:ascii="Times New Roman" w:hAnsi="Times New Roman" w:cs="Times New Roman"/>
          <w:sz w:val="24"/>
          <w:szCs w:val="24"/>
        </w:rPr>
        <w:t>working hours</w:t>
      </w:r>
      <w:r w:rsidR="004845D3">
        <w:rPr>
          <w:rFonts w:ascii="Times New Roman" w:hAnsi="Times New Roman" w:cs="Times New Roman"/>
          <w:sz w:val="24"/>
          <w:szCs w:val="24"/>
        </w:rPr>
        <w:t>.</w:t>
      </w:r>
      <w:r w:rsidR="001A56C3">
        <w:rPr>
          <w:rStyle w:val="FootnoteReference"/>
          <w:rFonts w:ascii="Times New Roman" w:hAnsi="Times New Roman" w:cs="Times New Roman"/>
          <w:sz w:val="24"/>
          <w:szCs w:val="24"/>
        </w:rPr>
        <w:footnoteReference w:id="49"/>
      </w:r>
      <w:r w:rsidR="004845D3">
        <w:rPr>
          <w:rFonts w:ascii="Times New Roman" w:hAnsi="Times New Roman" w:cs="Times New Roman"/>
          <w:sz w:val="24"/>
          <w:szCs w:val="24"/>
        </w:rPr>
        <w:t xml:space="preserve"> This sense is perhaps reinforced </w:t>
      </w:r>
      <w:r w:rsidR="00F7458D">
        <w:rPr>
          <w:rFonts w:ascii="Times New Roman" w:hAnsi="Times New Roman" w:cs="Times New Roman"/>
          <w:sz w:val="24"/>
          <w:szCs w:val="24"/>
        </w:rPr>
        <w:t>by Maud Kirk’s deposition</w:t>
      </w:r>
      <w:r w:rsidR="001B5293">
        <w:rPr>
          <w:rFonts w:ascii="Times New Roman" w:hAnsi="Times New Roman" w:cs="Times New Roman"/>
          <w:sz w:val="24"/>
          <w:szCs w:val="24"/>
        </w:rPr>
        <w:t xml:space="preserve"> from a </w:t>
      </w:r>
      <w:r w:rsidR="00985A36">
        <w:rPr>
          <w:rFonts w:ascii="Times New Roman" w:hAnsi="Times New Roman" w:cs="Times New Roman"/>
          <w:sz w:val="24"/>
          <w:szCs w:val="24"/>
        </w:rPr>
        <w:t xml:space="preserve">1503 marriage </w:t>
      </w:r>
      <w:r w:rsidR="001B5293">
        <w:rPr>
          <w:rFonts w:ascii="Times New Roman" w:hAnsi="Times New Roman" w:cs="Times New Roman"/>
          <w:sz w:val="24"/>
          <w:szCs w:val="24"/>
        </w:rPr>
        <w:t xml:space="preserve">case that she often </w:t>
      </w:r>
      <w:r w:rsidR="00985A36">
        <w:rPr>
          <w:rFonts w:ascii="Times New Roman" w:hAnsi="Times New Roman" w:cs="Times New Roman"/>
          <w:sz w:val="24"/>
          <w:szCs w:val="24"/>
        </w:rPr>
        <w:t xml:space="preserve">saw </w:t>
      </w:r>
      <w:r w:rsidR="00F7458D">
        <w:rPr>
          <w:rFonts w:ascii="Times New Roman" w:hAnsi="Times New Roman" w:cs="Times New Roman"/>
          <w:sz w:val="24"/>
          <w:szCs w:val="24"/>
        </w:rPr>
        <w:t xml:space="preserve">Hugh </w:t>
      </w:r>
      <w:proofErr w:type="spellStart"/>
      <w:r w:rsidR="00F7458D">
        <w:rPr>
          <w:rFonts w:ascii="Times New Roman" w:hAnsi="Times New Roman" w:cs="Times New Roman"/>
          <w:sz w:val="24"/>
          <w:szCs w:val="24"/>
        </w:rPr>
        <w:t>Manyfold</w:t>
      </w:r>
      <w:proofErr w:type="spellEnd"/>
      <w:r w:rsidR="00F7458D">
        <w:rPr>
          <w:rFonts w:ascii="Times New Roman" w:hAnsi="Times New Roman" w:cs="Times New Roman"/>
          <w:sz w:val="24"/>
          <w:szCs w:val="24"/>
        </w:rPr>
        <w:t xml:space="preserve"> </w:t>
      </w:r>
      <w:r w:rsidR="00DC3D46">
        <w:rPr>
          <w:rFonts w:ascii="Times New Roman" w:hAnsi="Times New Roman" w:cs="Times New Roman"/>
          <w:sz w:val="24"/>
          <w:szCs w:val="24"/>
        </w:rPr>
        <w:t xml:space="preserve">eating and drinking </w:t>
      </w:r>
      <w:r w:rsidR="00F7458D">
        <w:rPr>
          <w:rFonts w:ascii="Times New Roman" w:hAnsi="Times New Roman" w:cs="Times New Roman"/>
          <w:sz w:val="24"/>
          <w:szCs w:val="24"/>
        </w:rPr>
        <w:t>with</w:t>
      </w:r>
      <w:r w:rsidR="001B5293">
        <w:rPr>
          <w:rFonts w:ascii="Times New Roman" w:hAnsi="Times New Roman" w:cs="Times New Roman"/>
          <w:sz w:val="24"/>
          <w:szCs w:val="24"/>
        </w:rPr>
        <w:t xml:space="preserve"> </w:t>
      </w:r>
      <w:r w:rsidR="00644032">
        <w:rPr>
          <w:rFonts w:ascii="Times New Roman" w:hAnsi="Times New Roman" w:cs="Times New Roman"/>
          <w:sz w:val="24"/>
          <w:szCs w:val="24"/>
        </w:rPr>
        <w:t>the widow</w:t>
      </w:r>
      <w:r w:rsidR="00B674AB">
        <w:rPr>
          <w:rFonts w:ascii="Times New Roman" w:hAnsi="Times New Roman" w:cs="Times New Roman"/>
          <w:sz w:val="24"/>
          <w:szCs w:val="24"/>
        </w:rPr>
        <w:t xml:space="preserve"> </w:t>
      </w:r>
      <w:r w:rsidR="001B5293">
        <w:rPr>
          <w:rFonts w:ascii="Times New Roman" w:hAnsi="Times New Roman" w:cs="Times New Roman"/>
          <w:sz w:val="24"/>
          <w:szCs w:val="24"/>
        </w:rPr>
        <w:t xml:space="preserve">Elizabeth Foster </w:t>
      </w:r>
      <w:r w:rsidR="00DC3D46">
        <w:rPr>
          <w:rFonts w:ascii="Times New Roman" w:hAnsi="Times New Roman" w:cs="Times New Roman"/>
          <w:sz w:val="24"/>
          <w:szCs w:val="24"/>
        </w:rPr>
        <w:t>in her</w:t>
      </w:r>
      <w:r w:rsidR="001B5293">
        <w:rPr>
          <w:rFonts w:ascii="Times New Roman" w:hAnsi="Times New Roman" w:cs="Times New Roman"/>
          <w:sz w:val="24"/>
          <w:szCs w:val="24"/>
        </w:rPr>
        <w:t xml:space="preserve"> shop</w:t>
      </w:r>
      <w:r w:rsidR="00B674AB">
        <w:rPr>
          <w:rFonts w:ascii="Times New Roman" w:hAnsi="Times New Roman" w:cs="Times New Roman"/>
          <w:sz w:val="24"/>
          <w:szCs w:val="24"/>
        </w:rPr>
        <w:t xml:space="preserve"> (‘</w:t>
      </w:r>
      <w:r w:rsidR="00B674AB" w:rsidRPr="00B674AB">
        <w:rPr>
          <w:rFonts w:ascii="Times New Roman" w:hAnsi="Times New Roman" w:cs="Times New Roman"/>
          <w:i/>
          <w:sz w:val="24"/>
          <w:szCs w:val="24"/>
        </w:rPr>
        <w:t xml:space="preserve">in </w:t>
      </w:r>
      <w:proofErr w:type="spellStart"/>
      <w:r w:rsidR="00B674AB" w:rsidRPr="00B674AB">
        <w:rPr>
          <w:rFonts w:ascii="Times New Roman" w:hAnsi="Times New Roman" w:cs="Times New Roman"/>
          <w:i/>
          <w:sz w:val="24"/>
          <w:szCs w:val="24"/>
        </w:rPr>
        <w:t>opella</w:t>
      </w:r>
      <w:proofErr w:type="spellEnd"/>
      <w:r w:rsidR="00B674AB" w:rsidRPr="00B674AB">
        <w:rPr>
          <w:rFonts w:ascii="Times New Roman" w:hAnsi="Times New Roman" w:cs="Times New Roman"/>
          <w:i/>
          <w:sz w:val="24"/>
          <w:szCs w:val="24"/>
        </w:rPr>
        <w:t xml:space="preserve"> </w:t>
      </w:r>
      <w:proofErr w:type="spellStart"/>
      <w:r w:rsidR="00B674AB" w:rsidRPr="00B674AB">
        <w:rPr>
          <w:rFonts w:ascii="Times New Roman" w:hAnsi="Times New Roman" w:cs="Times New Roman"/>
          <w:i/>
          <w:sz w:val="24"/>
          <w:szCs w:val="24"/>
        </w:rPr>
        <w:t>dicti</w:t>
      </w:r>
      <w:proofErr w:type="spellEnd"/>
      <w:r w:rsidR="00B674AB">
        <w:rPr>
          <w:rFonts w:ascii="Times New Roman" w:hAnsi="Times New Roman" w:cs="Times New Roman"/>
          <w:sz w:val="24"/>
          <w:szCs w:val="24"/>
        </w:rPr>
        <w:t xml:space="preserve"> [sic] </w:t>
      </w:r>
      <w:proofErr w:type="spellStart"/>
      <w:r w:rsidR="00B674AB" w:rsidRPr="00B674AB">
        <w:rPr>
          <w:rFonts w:ascii="Times New Roman" w:hAnsi="Times New Roman" w:cs="Times New Roman"/>
          <w:i/>
          <w:sz w:val="24"/>
          <w:szCs w:val="24"/>
        </w:rPr>
        <w:t>ffoster</w:t>
      </w:r>
      <w:proofErr w:type="spellEnd"/>
      <w:r w:rsidR="00B674AB">
        <w:rPr>
          <w:rFonts w:ascii="Times New Roman" w:hAnsi="Times New Roman" w:cs="Times New Roman"/>
          <w:sz w:val="24"/>
          <w:szCs w:val="24"/>
        </w:rPr>
        <w:t>’)</w:t>
      </w:r>
      <w:r w:rsidR="001B5293">
        <w:rPr>
          <w:rFonts w:ascii="Times New Roman" w:hAnsi="Times New Roman" w:cs="Times New Roman"/>
          <w:sz w:val="24"/>
          <w:szCs w:val="24"/>
        </w:rPr>
        <w:t>.</w:t>
      </w:r>
      <w:r w:rsidR="00847ABF">
        <w:rPr>
          <w:rFonts w:ascii="Times New Roman" w:hAnsi="Times New Roman" w:cs="Times New Roman"/>
          <w:sz w:val="24"/>
          <w:szCs w:val="24"/>
        </w:rPr>
        <w:t xml:space="preserve"> It is not mad</w:t>
      </w:r>
      <w:r w:rsidR="00F7458D">
        <w:rPr>
          <w:rFonts w:ascii="Times New Roman" w:hAnsi="Times New Roman" w:cs="Times New Roman"/>
          <w:sz w:val="24"/>
          <w:szCs w:val="24"/>
        </w:rPr>
        <w:t xml:space="preserve">e apparent </w:t>
      </w:r>
      <w:r w:rsidR="00847ABF">
        <w:rPr>
          <w:rFonts w:ascii="Times New Roman" w:hAnsi="Times New Roman" w:cs="Times New Roman"/>
          <w:sz w:val="24"/>
          <w:szCs w:val="24"/>
        </w:rPr>
        <w:t>how she came to see the co</w:t>
      </w:r>
      <w:r w:rsidR="00985A36">
        <w:rPr>
          <w:rFonts w:ascii="Times New Roman" w:hAnsi="Times New Roman" w:cs="Times New Roman"/>
          <w:sz w:val="24"/>
          <w:szCs w:val="24"/>
        </w:rPr>
        <w:t>uple in Elizabeth’s shop</w:t>
      </w:r>
      <w:r w:rsidR="00633CC7">
        <w:rPr>
          <w:rFonts w:ascii="Times New Roman" w:hAnsi="Times New Roman" w:cs="Times New Roman"/>
          <w:sz w:val="24"/>
          <w:szCs w:val="24"/>
        </w:rPr>
        <w:t>, but she likely</w:t>
      </w:r>
      <w:r w:rsidR="00DC3D46">
        <w:rPr>
          <w:rFonts w:ascii="Times New Roman" w:hAnsi="Times New Roman" w:cs="Times New Roman"/>
          <w:sz w:val="24"/>
          <w:szCs w:val="24"/>
        </w:rPr>
        <w:t xml:space="preserve"> </w:t>
      </w:r>
      <w:r w:rsidR="00847ABF">
        <w:rPr>
          <w:rFonts w:ascii="Times New Roman" w:hAnsi="Times New Roman" w:cs="Times New Roman"/>
          <w:sz w:val="24"/>
          <w:szCs w:val="24"/>
        </w:rPr>
        <w:t xml:space="preserve">looked through the open shop window. </w:t>
      </w:r>
      <w:r w:rsidR="00F7458D" w:rsidRPr="003F6C34">
        <w:rPr>
          <w:rFonts w:ascii="Times New Roman" w:hAnsi="Times New Roman" w:cs="Times New Roman"/>
          <w:sz w:val="24"/>
          <w:szCs w:val="24"/>
        </w:rPr>
        <w:t xml:space="preserve">This is </w:t>
      </w:r>
      <w:r w:rsidR="00BE5F48" w:rsidRPr="003F6C34">
        <w:rPr>
          <w:rFonts w:ascii="Times New Roman" w:hAnsi="Times New Roman" w:cs="Times New Roman"/>
          <w:sz w:val="24"/>
          <w:szCs w:val="24"/>
        </w:rPr>
        <w:t>the</w:t>
      </w:r>
      <w:r w:rsidR="0087309A" w:rsidRPr="003F6C34">
        <w:rPr>
          <w:rFonts w:ascii="Times New Roman" w:hAnsi="Times New Roman" w:cs="Times New Roman"/>
          <w:sz w:val="24"/>
          <w:szCs w:val="24"/>
        </w:rPr>
        <w:t xml:space="preserve"> implication of one of the art</w:t>
      </w:r>
      <w:r w:rsidR="00F7458D" w:rsidRPr="003F6C34">
        <w:rPr>
          <w:rFonts w:ascii="Times New Roman" w:hAnsi="Times New Roman" w:cs="Times New Roman"/>
          <w:sz w:val="24"/>
          <w:szCs w:val="24"/>
        </w:rPr>
        <w:t>icles in the case which counter</w:t>
      </w:r>
      <w:r w:rsidR="0087309A" w:rsidRPr="003F6C34">
        <w:rPr>
          <w:rFonts w:ascii="Times New Roman" w:hAnsi="Times New Roman" w:cs="Times New Roman"/>
          <w:sz w:val="24"/>
          <w:szCs w:val="24"/>
        </w:rPr>
        <w:t>ed a claim</w:t>
      </w:r>
      <w:r w:rsidR="0087309A">
        <w:rPr>
          <w:rFonts w:ascii="Times New Roman" w:hAnsi="Times New Roman" w:cs="Times New Roman"/>
          <w:sz w:val="24"/>
          <w:szCs w:val="24"/>
        </w:rPr>
        <w:t xml:space="preserve"> that </w:t>
      </w:r>
      <w:r w:rsidR="00DC3D46">
        <w:rPr>
          <w:rFonts w:ascii="Times New Roman" w:hAnsi="Times New Roman" w:cs="Times New Roman"/>
          <w:sz w:val="24"/>
          <w:szCs w:val="24"/>
        </w:rPr>
        <w:t>Elizabeth was ill in bed one</w:t>
      </w:r>
      <w:r w:rsidR="0087309A">
        <w:rPr>
          <w:rFonts w:ascii="Times New Roman" w:hAnsi="Times New Roman" w:cs="Times New Roman"/>
          <w:sz w:val="24"/>
          <w:szCs w:val="24"/>
        </w:rPr>
        <w:t xml:space="preserve"> day and unabl</w:t>
      </w:r>
      <w:r w:rsidR="00F7458D">
        <w:rPr>
          <w:rFonts w:ascii="Times New Roman" w:hAnsi="Times New Roman" w:cs="Times New Roman"/>
          <w:sz w:val="24"/>
          <w:szCs w:val="24"/>
        </w:rPr>
        <w:t>e to go into her shop. It</w:t>
      </w:r>
      <w:r w:rsidR="0087309A">
        <w:rPr>
          <w:rFonts w:ascii="Times New Roman" w:hAnsi="Times New Roman" w:cs="Times New Roman"/>
          <w:sz w:val="24"/>
          <w:szCs w:val="24"/>
        </w:rPr>
        <w:t xml:space="preserve"> argued that Elizabeth was in the shop </w:t>
      </w:r>
      <w:r w:rsidR="00700448">
        <w:rPr>
          <w:rFonts w:ascii="Times New Roman" w:hAnsi="Times New Roman" w:cs="Times New Roman"/>
          <w:sz w:val="24"/>
          <w:szCs w:val="24"/>
        </w:rPr>
        <w:t xml:space="preserve">that day </w:t>
      </w:r>
      <w:r w:rsidR="0087309A">
        <w:rPr>
          <w:rFonts w:ascii="Times New Roman" w:hAnsi="Times New Roman" w:cs="Times New Roman"/>
          <w:sz w:val="24"/>
          <w:szCs w:val="24"/>
        </w:rPr>
        <w:t xml:space="preserve">and </w:t>
      </w:r>
      <w:r w:rsidR="00700448">
        <w:rPr>
          <w:rFonts w:ascii="Times New Roman" w:hAnsi="Times New Roman" w:cs="Times New Roman"/>
          <w:sz w:val="24"/>
          <w:szCs w:val="24"/>
        </w:rPr>
        <w:t xml:space="preserve">had been seen and talked to by </w:t>
      </w:r>
      <w:r w:rsidR="0087309A">
        <w:rPr>
          <w:rFonts w:ascii="Times New Roman" w:hAnsi="Times New Roman" w:cs="Times New Roman"/>
          <w:sz w:val="24"/>
          <w:szCs w:val="24"/>
        </w:rPr>
        <w:t>many (‘</w:t>
      </w:r>
      <w:proofErr w:type="spellStart"/>
      <w:r w:rsidR="0087309A" w:rsidRPr="0087309A">
        <w:rPr>
          <w:rFonts w:ascii="Times New Roman" w:hAnsi="Times New Roman" w:cs="Times New Roman"/>
          <w:i/>
          <w:sz w:val="24"/>
          <w:szCs w:val="24"/>
        </w:rPr>
        <w:t>sepius</w:t>
      </w:r>
      <w:proofErr w:type="spellEnd"/>
      <w:r w:rsidR="0087309A" w:rsidRPr="0087309A">
        <w:rPr>
          <w:rFonts w:ascii="Times New Roman" w:hAnsi="Times New Roman" w:cs="Times New Roman"/>
          <w:i/>
          <w:sz w:val="24"/>
          <w:szCs w:val="24"/>
        </w:rPr>
        <w:t xml:space="preserve"> visa </w:t>
      </w:r>
      <w:proofErr w:type="spellStart"/>
      <w:r w:rsidR="0087309A" w:rsidRPr="0087309A">
        <w:rPr>
          <w:rFonts w:ascii="Times New Roman" w:hAnsi="Times New Roman" w:cs="Times New Roman"/>
          <w:i/>
          <w:sz w:val="24"/>
          <w:szCs w:val="24"/>
        </w:rPr>
        <w:t>fuit</w:t>
      </w:r>
      <w:proofErr w:type="spellEnd"/>
      <w:r w:rsidR="0087309A" w:rsidRPr="0087309A">
        <w:rPr>
          <w:rFonts w:ascii="Times New Roman" w:hAnsi="Times New Roman" w:cs="Times New Roman"/>
          <w:i/>
          <w:sz w:val="24"/>
          <w:szCs w:val="24"/>
        </w:rPr>
        <w:t xml:space="preserve"> et </w:t>
      </w:r>
      <w:proofErr w:type="spellStart"/>
      <w:r w:rsidR="0087309A" w:rsidRPr="0087309A">
        <w:rPr>
          <w:rFonts w:ascii="Times New Roman" w:hAnsi="Times New Roman" w:cs="Times New Roman"/>
          <w:i/>
          <w:sz w:val="24"/>
          <w:szCs w:val="24"/>
        </w:rPr>
        <w:t>allacuta</w:t>
      </w:r>
      <w:proofErr w:type="spellEnd"/>
      <w:r w:rsidR="0087309A" w:rsidRPr="0087309A">
        <w:rPr>
          <w:rFonts w:ascii="Times New Roman" w:hAnsi="Times New Roman" w:cs="Times New Roman"/>
          <w:i/>
          <w:sz w:val="24"/>
          <w:szCs w:val="24"/>
        </w:rPr>
        <w:t xml:space="preserve"> in </w:t>
      </w:r>
      <w:proofErr w:type="spellStart"/>
      <w:r w:rsidR="0087309A" w:rsidRPr="0087309A">
        <w:rPr>
          <w:rFonts w:ascii="Times New Roman" w:hAnsi="Times New Roman" w:cs="Times New Roman"/>
          <w:i/>
          <w:sz w:val="24"/>
          <w:szCs w:val="24"/>
        </w:rPr>
        <w:t>sua</w:t>
      </w:r>
      <w:proofErr w:type="spellEnd"/>
      <w:r w:rsidR="0087309A" w:rsidRPr="0087309A">
        <w:rPr>
          <w:rFonts w:ascii="Times New Roman" w:hAnsi="Times New Roman" w:cs="Times New Roman"/>
          <w:i/>
          <w:sz w:val="24"/>
          <w:szCs w:val="24"/>
        </w:rPr>
        <w:t xml:space="preserve"> </w:t>
      </w:r>
      <w:proofErr w:type="spellStart"/>
      <w:r w:rsidR="0087309A" w:rsidRPr="0087309A">
        <w:rPr>
          <w:rFonts w:ascii="Times New Roman" w:hAnsi="Times New Roman" w:cs="Times New Roman"/>
          <w:i/>
          <w:sz w:val="24"/>
          <w:szCs w:val="24"/>
        </w:rPr>
        <w:t>opella</w:t>
      </w:r>
      <w:proofErr w:type="spellEnd"/>
      <w:r w:rsidR="0087309A">
        <w:rPr>
          <w:rFonts w:ascii="Times New Roman" w:hAnsi="Times New Roman" w:cs="Times New Roman"/>
          <w:sz w:val="24"/>
          <w:szCs w:val="24"/>
        </w:rPr>
        <w:t>’).</w:t>
      </w:r>
      <w:r w:rsidR="00700448">
        <w:rPr>
          <w:rFonts w:ascii="Times New Roman" w:hAnsi="Times New Roman" w:cs="Times New Roman"/>
          <w:sz w:val="24"/>
          <w:szCs w:val="24"/>
        </w:rPr>
        <w:t xml:space="preserve"> In like vein another article</w:t>
      </w:r>
      <w:r w:rsidR="00001C41">
        <w:rPr>
          <w:rFonts w:ascii="Times New Roman" w:hAnsi="Times New Roman" w:cs="Times New Roman"/>
          <w:sz w:val="24"/>
          <w:szCs w:val="24"/>
        </w:rPr>
        <w:t xml:space="preserve"> denies</w:t>
      </w:r>
      <w:r w:rsidR="00A0393F">
        <w:rPr>
          <w:rFonts w:ascii="Times New Roman" w:hAnsi="Times New Roman" w:cs="Times New Roman"/>
          <w:sz w:val="24"/>
          <w:szCs w:val="24"/>
        </w:rPr>
        <w:t xml:space="preserve"> that Thomas Danby could have observed whether Elizabeth w</w:t>
      </w:r>
      <w:r w:rsidR="00F7458D">
        <w:rPr>
          <w:rFonts w:ascii="Times New Roman" w:hAnsi="Times New Roman" w:cs="Times New Roman"/>
          <w:sz w:val="24"/>
          <w:szCs w:val="24"/>
        </w:rPr>
        <w:t>as in her shop or not if he watched</w:t>
      </w:r>
      <w:r w:rsidR="00A0393F">
        <w:rPr>
          <w:rFonts w:ascii="Times New Roman" w:hAnsi="Times New Roman" w:cs="Times New Roman"/>
          <w:sz w:val="24"/>
          <w:szCs w:val="24"/>
        </w:rPr>
        <w:t xml:space="preserve"> from a tavern in </w:t>
      </w:r>
      <w:proofErr w:type="spellStart"/>
      <w:r w:rsidR="00A0393F">
        <w:rPr>
          <w:rFonts w:ascii="Times New Roman" w:hAnsi="Times New Roman" w:cs="Times New Roman"/>
          <w:sz w:val="24"/>
          <w:szCs w:val="24"/>
        </w:rPr>
        <w:t>Petergate</w:t>
      </w:r>
      <w:proofErr w:type="spellEnd"/>
      <w:r w:rsidR="00700448">
        <w:rPr>
          <w:rFonts w:ascii="Times New Roman" w:hAnsi="Times New Roman" w:cs="Times New Roman"/>
          <w:sz w:val="24"/>
          <w:szCs w:val="24"/>
        </w:rPr>
        <w:t xml:space="preserve"> since it was impossible to see at such a distance (‘</w:t>
      </w:r>
      <w:r w:rsidR="00700448" w:rsidRPr="00700448">
        <w:rPr>
          <w:rFonts w:ascii="Times New Roman" w:hAnsi="Times New Roman" w:cs="Times New Roman"/>
          <w:i/>
          <w:sz w:val="24"/>
          <w:szCs w:val="24"/>
        </w:rPr>
        <w:t xml:space="preserve">in </w:t>
      </w:r>
      <w:proofErr w:type="spellStart"/>
      <w:r w:rsidR="00700448" w:rsidRPr="00700448">
        <w:rPr>
          <w:rFonts w:ascii="Times New Roman" w:hAnsi="Times New Roman" w:cs="Times New Roman"/>
          <w:i/>
          <w:sz w:val="24"/>
          <w:szCs w:val="24"/>
        </w:rPr>
        <w:t>tanta</w:t>
      </w:r>
      <w:proofErr w:type="spellEnd"/>
      <w:r w:rsidR="00700448" w:rsidRPr="00700448">
        <w:rPr>
          <w:rFonts w:ascii="Times New Roman" w:hAnsi="Times New Roman" w:cs="Times New Roman"/>
          <w:i/>
          <w:sz w:val="24"/>
          <w:szCs w:val="24"/>
        </w:rPr>
        <w:t xml:space="preserve"> </w:t>
      </w:r>
      <w:proofErr w:type="spellStart"/>
      <w:r w:rsidR="00700448" w:rsidRPr="00700448">
        <w:rPr>
          <w:rFonts w:ascii="Times New Roman" w:hAnsi="Times New Roman" w:cs="Times New Roman"/>
          <w:i/>
          <w:sz w:val="24"/>
          <w:szCs w:val="24"/>
        </w:rPr>
        <w:t>distancia</w:t>
      </w:r>
      <w:proofErr w:type="spellEnd"/>
      <w:r w:rsidR="00700448" w:rsidRPr="00700448">
        <w:rPr>
          <w:rFonts w:ascii="Times New Roman" w:hAnsi="Times New Roman" w:cs="Times New Roman"/>
          <w:i/>
          <w:sz w:val="24"/>
          <w:szCs w:val="24"/>
        </w:rPr>
        <w:t xml:space="preserve"> … </w:t>
      </w:r>
      <w:proofErr w:type="spellStart"/>
      <w:r w:rsidR="00700448" w:rsidRPr="00700448">
        <w:rPr>
          <w:rFonts w:ascii="Times New Roman" w:hAnsi="Times New Roman" w:cs="Times New Roman"/>
          <w:i/>
          <w:sz w:val="24"/>
          <w:szCs w:val="24"/>
        </w:rPr>
        <w:t>impossibile</w:t>
      </w:r>
      <w:proofErr w:type="spellEnd"/>
      <w:r w:rsidR="00700448" w:rsidRPr="00700448">
        <w:rPr>
          <w:rFonts w:ascii="Times New Roman" w:hAnsi="Times New Roman" w:cs="Times New Roman"/>
          <w:i/>
          <w:sz w:val="24"/>
          <w:szCs w:val="24"/>
        </w:rPr>
        <w:t xml:space="preserve"> </w:t>
      </w:r>
      <w:proofErr w:type="spellStart"/>
      <w:r w:rsidR="00700448" w:rsidRPr="00700448">
        <w:rPr>
          <w:rFonts w:ascii="Times New Roman" w:hAnsi="Times New Roman" w:cs="Times New Roman"/>
          <w:i/>
          <w:sz w:val="24"/>
          <w:szCs w:val="24"/>
        </w:rPr>
        <w:t>videre</w:t>
      </w:r>
      <w:proofErr w:type="spellEnd"/>
      <w:r w:rsidR="00700448">
        <w:rPr>
          <w:rFonts w:ascii="Times New Roman" w:hAnsi="Times New Roman" w:cs="Times New Roman"/>
          <w:sz w:val="24"/>
          <w:szCs w:val="24"/>
        </w:rPr>
        <w:t>’).</w:t>
      </w:r>
      <w:r w:rsidR="0087309A">
        <w:rPr>
          <w:rStyle w:val="FootnoteReference"/>
          <w:rFonts w:ascii="Times New Roman" w:hAnsi="Times New Roman" w:cs="Times New Roman"/>
          <w:sz w:val="24"/>
          <w:szCs w:val="24"/>
        </w:rPr>
        <w:footnoteReference w:id="50"/>
      </w:r>
    </w:p>
    <w:p w14:paraId="6A39D90D" w14:textId="29D30033" w:rsidR="00BA5DAD" w:rsidRDefault="00847ABF" w:rsidP="00BA5D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001C41">
        <w:rPr>
          <w:rFonts w:ascii="Times New Roman" w:hAnsi="Times New Roman" w:cs="Times New Roman"/>
          <w:sz w:val="24"/>
          <w:szCs w:val="24"/>
        </w:rPr>
        <w:t xml:space="preserve">shop </w:t>
      </w:r>
      <w:r w:rsidR="00001C41">
        <w:rPr>
          <w:rFonts w:ascii="Times New Roman" w:hAnsi="Times New Roman" w:cs="Times New Roman"/>
          <w:sz w:val="24"/>
          <w:szCs w:val="24"/>
        </w:rPr>
        <w:t xml:space="preserve">window </w:t>
      </w:r>
      <w:r>
        <w:rPr>
          <w:rFonts w:ascii="Times New Roman" w:hAnsi="Times New Roman" w:cs="Times New Roman"/>
          <w:sz w:val="24"/>
          <w:szCs w:val="24"/>
        </w:rPr>
        <w:t>regular</w:t>
      </w:r>
      <w:r w:rsidR="00B30DA0">
        <w:rPr>
          <w:rFonts w:ascii="Times New Roman" w:hAnsi="Times New Roman" w:cs="Times New Roman"/>
          <w:sz w:val="24"/>
          <w:szCs w:val="24"/>
        </w:rPr>
        <w:t xml:space="preserve">ly opened up onto the street </w:t>
      </w:r>
      <w:r>
        <w:rPr>
          <w:rFonts w:ascii="Times New Roman" w:hAnsi="Times New Roman" w:cs="Times New Roman"/>
          <w:sz w:val="24"/>
          <w:szCs w:val="24"/>
        </w:rPr>
        <w:t>making the shop semi-public space so long as the window was ope</w:t>
      </w:r>
      <w:r w:rsidR="00F0205B">
        <w:rPr>
          <w:rFonts w:ascii="Times New Roman" w:hAnsi="Times New Roman" w:cs="Times New Roman"/>
          <w:sz w:val="24"/>
          <w:szCs w:val="24"/>
        </w:rPr>
        <w:t>ned. Conversation could be</w:t>
      </w:r>
      <w:r>
        <w:rPr>
          <w:rFonts w:ascii="Times New Roman" w:hAnsi="Times New Roman" w:cs="Times New Roman"/>
          <w:sz w:val="24"/>
          <w:szCs w:val="24"/>
        </w:rPr>
        <w:t xml:space="preserve"> carried</w:t>
      </w:r>
      <w:r w:rsidR="00001C41">
        <w:rPr>
          <w:rFonts w:ascii="Times New Roman" w:hAnsi="Times New Roman" w:cs="Times New Roman"/>
          <w:sz w:val="24"/>
          <w:szCs w:val="24"/>
        </w:rPr>
        <w:t xml:space="preserve"> on alongside trade </w:t>
      </w:r>
      <w:r>
        <w:rPr>
          <w:rFonts w:ascii="Times New Roman" w:hAnsi="Times New Roman" w:cs="Times New Roman"/>
          <w:sz w:val="24"/>
          <w:szCs w:val="24"/>
        </w:rPr>
        <w:t>as a way of maintaining friendly relations with custom</w:t>
      </w:r>
      <w:r w:rsidR="00881A0F">
        <w:rPr>
          <w:rFonts w:ascii="Times New Roman" w:hAnsi="Times New Roman" w:cs="Times New Roman"/>
          <w:sz w:val="24"/>
          <w:szCs w:val="24"/>
        </w:rPr>
        <w:t>ers, but talk</w:t>
      </w:r>
      <w:r>
        <w:rPr>
          <w:rFonts w:ascii="Times New Roman" w:hAnsi="Times New Roman" w:cs="Times New Roman"/>
          <w:sz w:val="24"/>
          <w:szCs w:val="24"/>
        </w:rPr>
        <w:t xml:space="preserve"> through the open window need not accompany trade. </w:t>
      </w:r>
      <w:r w:rsidR="00BE5F48">
        <w:rPr>
          <w:rFonts w:ascii="Times New Roman" w:hAnsi="Times New Roman" w:cs="Times New Roman"/>
          <w:sz w:val="24"/>
          <w:szCs w:val="24"/>
        </w:rPr>
        <w:t xml:space="preserve">Elizabeth </w:t>
      </w:r>
      <w:proofErr w:type="spellStart"/>
      <w:r w:rsidR="00BE5F48">
        <w:rPr>
          <w:rFonts w:ascii="Times New Roman" w:hAnsi="Times New Roman" w:cs="Times New Roman"/>
          <w:sz w:val="24"/>
          <w:szCs w:val="24"/>
        </w:rPr>
        <w:t>Cok</w:t>
      </w:r>
      <w:proofErr w:type="spellEnd"/>
      <w:r w:rsidR="00BE5F48">
        <w:rPr>
          <w:rFonts w:ascii="Times New Roman" w:hAnsi="Times New Roman" w:cs="Times New Roman"/>
          <w:sz w:val="24"/>
          <w:szCs w:val="24"/>
        </w:rPr>
        <w:t>, widow, deposed how i</w:t>
      </w:r>
      <w:r w:rsidR="00B30DA0">
        <w:rPr>
          <w:rFonts w:ascii="Times New Roman" w:hAnsi="Times New Roman" w:cs="Times New Roman"/>
          <w:sz w:val="24"/>
          <w:szCs w:val="24"/>
        </w:rPr>
        <w:t xml:space="preserve">n </w:t>
      </w:r>
      <w:r w:rsidR="00881A0F">
        <w:rPr>
          <w:rFonts w:ascii="Times New Roman" w:hAnsi="Times New Roman" w:cs="Times New Roman"/>
          <w:sz w:val="24"/>
          <w:szCs w:val="24"/>
        </w:rPr>
        <w:t>Pentecost week</w:t>
      </w:r>
      <w:r w:rsidR="00B30DA0">
        <w:rPr>
          <w:rFonts w:ascii="Times New Roman" w:hAnsi="Times New Roman" w:cs="Times New Roman"/>
          <w:sz w:val="24"/>
          <w:szCs w:val="24"/>
        </w:rPr>
        <w:t xml:space="preserve"> 1465 she stood</w:t>
      </w:r>
      <w:r w:rsidR="00BE5F48">
        <w:rPr>
          <w:rFonts w:ascii="Times New Roman" w:hAnsi="Times New Roman" w:cs="Times New Roman"/>
          <w:sz w:val="24"/>
          <w:szCs w:val="24"/>
        </w:rPr>
        <w:t xml:space="preserve"> outside entrance to Peter </w:t>
      </w:r>
      <w:proofErr w:type="spellStart"/>
      <w:r w:rsidR="00BE5F48">
        <w:rPr>
          <w:rFonts w:ascii="Times New Roman" w:hAnsi="Times New Roman" w:cs="Times New Roman"/>
          <w:sz w:val="24"/>
          <w:szCs w:val="24"/>
        </w:rPr>
        <w:t>Roberd’s</w:t>
      </w:r>
      <w:proofErr w:type="spellEnd"/>
      <w:r w:rsidR="00BE5F48">
        <w:rPr>
          <w:rFonts w:ascii="Times New Roman" w:hAnsi="Times New Roman" w:cs="Times New Roman"/>
          <w:sz w:val="24"/>
          <w:szCs w:val="24"/>
        </w:rPr>
        <w:t xml:space="preserve"> house in </w:t>
      </w:r>
      <w:proofErr w:type="spellStart"/>
      <w:r w:rsidR="00BE5F48">
        <w:rPr>
          <w:rFonts w:ascii="Times New Roman" w:hAnsi="Times New Roman" w:cs="Times New Roman"/>
          <w:sz w:val="24"/>
          <w:szCs w:val="24"/>
        </w:rPr>
        <w:t>Fossgate</w:t>
      </w:r>
      <w:proofErr w:type="spellEnd"/>
      <w:r w:rsidR="00BE5F48">
        <w:rPr>
          <w:rFonts w:ascii="Times New Roman" w:hAnsi="Times New Roman" w:cs="Times New Roman"/>
          <w:sz w:val="24"/>
          <w:szCs w:val="24"/>
        </w:rPr>
        <w:t xml:space="preserve"> talking to his wife Mar</w:t>
      </w:r>
      <w:r w:rsidR="00881A0F">
        <w:rPr>
          <w:rFonts w:ascii="Times New Roman" w:hAnsi="Times New Roman" w:cs="Times New Roman"/>
          <w:sz w:val="24"/>
          <w:szCs w:val="24"/>
        </w:rPr>
        <w:t xml:space="preserve">garet who was </w:t>
      </w:r>
      <w:r w:rsidR="00BE5F48">
        <w:rPr>
          <w:rFonts w:ascii="Times New Roman" w:hAnsi="Times New Roman" w:cs="Times New Roman"/>
          <w:sz w:val="24"/>
          <w:szCs w:val="24"/>
        </w:rPr>
        <w:t>in the shop (‘</w:t>
      </w:r>
      <w:r w:rsidR="00BE5F48" w:rsidRPr="00BE5F48">
        <w:rPr>
          <w:rFonts w:ascii="Times New Roman" w:hAnsi="Times New Roman" w:cs="Times New Roman"/>
          <w:i/>
          <w:sz w:val="24"/>
          <w:szCs w:val="24"/>
        </w:rPr>
        <w:t xml:space="preserve">infra </w:t>
      </w:r>
      <w:proofErr w:type="spellStart"/>
      <w:r w:rsidR="00BE5F48" w:rsidRPr="00BE5F48">
        <w:rPr>
          <w:rFonts w:ascii="Times New Roman" w:hAnsi="Times New Roman" w:cs="Times New Roman"/>
          <w:i/>
          <w:sz w:val="24"/>
          <w:szCs w:val="24"/>
        </w:rPr>
        <w:t>opelle</w:t>
      </w:r>
      <w:proofErr w:type="spellEnd"/>
      <w:r w:rsidR="00BE5F48" w:rsidRPr="00BE5F48">
        <w:rPr>
          <w:rFonts w:ascii="Times New Roman" w:hAnsi="Times New Roman" w:cs="Times New Roman"/>
          <w:i/>
          <w:sz w:val="24"/>
          <w:szCs w:val="24"/>
        </w:rPr>
        <w:t xml:space="preserve"> </w:t>
      </w:r>
      <w:proofErr w:type="spellStart"/>
      <w:r w:rsidR="00BE5F48" w:rsidRPr="00BE5F48">
        <w:rPr>
          <w:rFonts w:ascii="Times New Roman" w:hAnsi="Times New Roman" w:cs="Times New Roman"/>
          <w:i/>
          <w:sz w:val="24"/>
          <w:szCs w:val="24"/>
        </w:rPr>
        <w:t>sive</w:t>
      </w:r>
      <w:proofErr w:type="spellEnd"/>
      <w:r w:rsidR="00BE5F48" w:rsidRPr="00BE5F48">
        <w:rPr>
          <w:rFonts w:ascii="Times New Roman" w:hAnsi="Times New Roman" w:cs="Times New Roman"/>
          <w:i/>
          <w:sz w:val="24"/>
          <w:szCs w:val="24"/>
        </w:rPr>
        <w:t xml:space="preserve"> </w:t>
      </w:r>
      <w:proofErr w:type="spellStart"/>
      <w:r w:rsidR="00BE5F48" w:rsidRPr="00BE5F48">
        <w:rPr>
          <w:rFonts w:ascii="Times New Roman" w:hAnsi="Times New Roman" w:cs="Times New Roman"/>
          <w:i/>
          <w:sz w:val="24"/>
          <w:szCs w:val="24"/>
        </w:rPr>
        <w:t>shoppe</w:t>
      </w:r>
      <w:proofErr w:type="spellEnd"/>
      <w:r w:rsidR="00BE5F48">
        <w:rPr>
          <w:rFonts w:ascii="Times New Roman" w:hAnsi="Times New Roman" w:cs="Times New Roman"/>
          <w:sz w:val="24"/>
          <w:szCs w:val="24"/>
        </w:rPr>
        <w:t>’).</w:t>
      </w:r>
      <w:r w:rsidR="00BE5F48">
        <w:rPr>
          <w:rStyle w:val="FootnoteReference"/>
          <w:rFonts w:ascii="Times New Roman" w:hAnsi="Times New Roman" w:cs="Times New Roman"/>
          <w:sz w:val="24"/>
          <w:szCs w:val="24"/>
        </w:rPr>
        <w:footnoteReference w:id="51"/>
      </w:r>
      <w:r w:rsidR="003B2394">
        <w:rPr>
          <w:rFonts w:ascii="Times New Roman" w:hAnsi="Times New Roman" w:cs="Times New Roman"/>
          <w:sz w:val="24"/>
          <w:szCs w:val="24"/>
        </w:rPr>
        <w:t xml:space="preserve"> Only at night would the shutters of the shop </w:t>
      </w:r>
      <w:r w:rsidR="003B2394">
        <w:rPr>
          <w:rFonts w:ascii="Times New Roman" w:hAnsi="Times New Roman" w:cs="Times New Roman"/>
          <w:sz w:val="24"/>
          <w:szCs w:val="24"/>
        </w:rPr>
        <w:lastRenderedPageBreak/>
        <w:t xml:space="preserve">window be closed to be opened again the following morning. </w:t>
      </w:r>
      <w:r w:rsidR="008454CE">
        <w:rPr>
          <w:rFonts w:ascii="Times New Roman" w:hAnsi="Times New Roman" w:cs="Times New Roman"/>
          <w:sz w:val="24"/>
          <w:szCs w:val="24"/>
        </w:rPr>
        <w:t>Richard York testified in 1467 how</w:t>
      </w:r>
      <w:r w:rsidR="003B2394">
        <w:rPr>
          <w:rFonts w:ascii="Times New Roman" w:hAnsi="Times New Roman" w:cs="Times New Roman"/>
          <w:sz w:val="24"/>
          <w:szCs w:val="24"/>
        </w:rPr>
        <w:t xml:space="preserve"> at dawn one Monday he went outside his house in Micklegate</w:t>
      </w:r>
      <w:r w:rsidR="00C1365B">
        <w:rPr>
          <w:rFonts w:ascii="Times New Roman" w:hAnsi="Times New Roman" w:cs="Times New Roman"/>
          <w:sz w:val="24"/>
          <w:szCs w:val="24"/>
        </w:rPr>
        <w:t xml:space="preserve"> and opened up the window of his shop. S</w:t>
      </w:r>
      <w:r w:rsidR="00F0205B">
        <w:rPr>
          <w:rFonts w:ascii="Times New Roman" w:hAnsi="Times New Roman" w:cs="Times New Roman"/>
          <w:sz w:val="24"/>
          <w:szCs w:val="24"/>
        </w:rPr>
        <w:t xml:space="preserve">ince his deposition concerns </w:t>
      </w:r>
      <w:r w:rsidR="00C1365B">
        <w:rPr>
          <w:rFonts w:ascii="Times New Roman" w:hAnsi="Times New Roman" w:cs="Times New Roman"/>
          <w:sz w:val="24"/>
          <w:szCs w:val="24"/>
        </w:rPr>
        <w:t>the conversation he had whilst in the street, the action of</w:t>
      </w:r>
      <w:r w:rsidR="00F0205B">
        <w:rPr>
          <w:rFonts w:ascii="Times New Roman" w:hAnsi="Times New Roman" w:cs="Times New Roman"/>
          <w:sz w:val="24"/>
          <w:szCs w:val="24"/>
        </w:rPr>
        <w:t xml:space="preserve"> opening the shutters </w:t>
      </w:r>
      <w:r w:rsidR="00C1365B">
        <w:rPr>
          <w:rFonts w:ascii="Times New Roman" w:hAnsi="Times New Roman" w:cs="Times New Roman"/>
          <w:sz w:val="24"/>
          <w:szCs w:val="24"/>
        </w:rPr>
        <w:t>help</w:t>
      </w:r>
      <w:r w:rsidR="00F0205B">
        <w:rPr>
          <w:rFonts w:ascii="Times New Roman" w:hAnsi="Times New Roman" w:cs="Times New Roman"/>
          <w:sz w:val="24"/>
          <w:szCs w:val="24"/>
        </w:rPr>
        <w:t>ed</w:t>
      </w:r>
      <w:r w:rsidR="00C1365B">
        <w:rPr>
          <w:rFonts w:ascii="Times New Roman" w:hAnsi="Times New Roman" w:cs="Times New Roman"/>
          <w:sz w:val="24"/>
          <w:szCs w:val="24"/>
        </w:rPr>
        <w:t xml:space="preserve"> locate the event in time.</w:t>
      </w:r>
      <w:r w:rsidR="00C1365B">
        <w:rPr>
          <w:rStyle w:val="FootnoteReference"/>
          <w:rFonts w:ascii="Times New Roman" w:hAnsi="Times New Roman" w:cs="Times New Roman"/>
          <w:sz w:val="24"/>
          <w:szCs w:val="24"/>
        </w:rPr>
        <w:footnoteReference w:id="52"/>
      </w:r>
    </w:p>
    <w:p w14:paraId="2B334062" w14:textId="24D7E023" w:rsidR="00BA5DAD" w:rsidRPr="00BA5DAD" w:rsidRDefault="00BA5DAD" w:rsidP="00BA5DAD">
      <w:pPr>
        <w:spacing w:line="360" w:lineRule="auto"/>
        <w:rPr>
          <w:rFonts w:ascii="Times New Roman" w:hAnsi="Times New Roman" w:cs="Times New Roman"/>
          <w:i/>
          <w:sz w:val="24"/>
          <w:szCs w:val="24"/>
        </w:rPr>
      </w:pPr>
      <w:r w:rsidRPr="00BA5DAD">
        <w:rPr>
          <w:rFonts w:ascii="Times New Roman" w:hAnsi="Times New Roman" w:cs="Times New Roman"/>
          <w:i/>
          <w:sz w:val="24"/>
          <w:szCs w:val="24"/>
        </w:rPr>
        <w:t>Halls</w:t>
      </w:r>
    </w:p>
    <w:p w14:paraId="5850C0F9" w14:textId="4848C826" w:rsidR="008E6692" w:rsidRDefault="009C1547" w:rsidP="00BA5DA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hall was </w:t>
      </w:r>
      <w:r w:rsidR="00173331">
        <w:rPr>
          <w:rFonts w:ascii="Times New Roman" w:hAnsi="Times New Roman" w:cs="Times New Roman"/>
          <w:sz w:val="24"/>
          <w:szCs w:val="24"/>
        </w:rPr>
        <w:t>the most</w:t>
      </w:r>
      <w:r w:rsidR="005C63BA">
        <w:rPr>
          <w:rFonts w:ascii="Times New Roman" w:hAnsi="Times New Roman" w:cs="Times New Roman"/>
          <w:sz w:val="24"/>
          <w:szCs w:val="24"/>
        </w:rPr>
        <w:t xml:space="preserve"> </w:t>
      </w:r>
      <w:r w:rsidR="00672942">
        <w:rPr>
          <w:rFonts w:ascii="Times New Roman" w:hAnsi="Times New Roman" w:cs="Times New Roman"/>
          <w:sz w:val="24"/>
          <w:szCs w:val="24"/>
        </w:rPr>
        <w:t xml:space="preserve">formal </w:t>
      </w:r>
      <w:r w:rsidR="00173331">
        <w:rPr>
          <w:rFonts w:ascii="Times New Roman" w:hAnsi="Times New Roman" w:cs="Times New Roman"/>
          <w:sz w:val="24"/>
          <w:szCs w:val="24"/>
        </w:rPr>
        <w:t xml:space="preserve">space </w:t>
      </w:r>
      <w:r w:rsidR="00672942">
        <w:rPr>
          <w:rFonts w:ascii="Times New Roman" w:hAnsi="Times New Roman" w:cs="Times New Roman"/>
          <w:sz w:val="24"/>
          <w:szCs w:val="24"/>
        </w:rPr>
        <w:t>within the house</w:t>
      </w:r>
      <w:r w:rsidR="00686181">
        <w:rPr>
          <w:rFonts w:ascii="Times New Roman" w:hAnsi="Times New Roman" w:cs="Times New Roman"/>
          <w:sz w:val="24"/>
          <w:szCs w:val="24"/>
        </w:rPr>
        <w:t>. I</w:t>
      </w:r>
      <w:r w:rsidR="00173331">
        <w:rPr>
          <w:rFonts w:ascii="Times New Roman" w:hAnsi="Times New Roman" w:cs="Times New Roman"/>
          <w:sz w:val="24"/>
          <w:szCs w:val="24"/>
        </w:rPr>
        <w:t>t was into the hall that guests might be invited</w:t>
      </w:r>
      <w:r w:rsidR="00672942">
        <w:rPr>
          <w:rFonts w:ascii="Times New Roman" w:hAnsi="Times New Roman" w:cs="Times New Roman"/>
          <w:sz w:val="24"/>
          <w:szCs w:val="24"/>
        </w:rPr>
        <w:t>. The multiplicity of its us</w:t>
      </w:r>
      <w:r w:rsidR="00614879">
        <w:rPr>
          <w:rFonts w:ascii="Times New Roman" w:hAnsi="Times New Roman" w:cs="Times New Roman"/>
          <w:sz w:val="24"/>
          <w:szCs w:val="24"/>
        </w:rPr>
        <w:t>es is suggested by</w:t>
      </w:r>
      <w:r w:rsidR="00672942">
        <w:rPr>
          <w:rFonts w:ascii="Times New Roman" w:hAnsi="Times New Roman" w:cs="Times New Roman"/>
          <w:sz w:val="24"/>
          <w:szCs w:val="24"/>
        </w:rPr>
        <w:t xml:space="preserve"> probate inventories. </w:t>
      </w:r>
      <w:r w:rsidR="00E055FE">
        <w:rPr>
          <w:rFonts w:ascii="Times New Roman" w:hAnsi="Times New Roman" w:cs="Times New Roman"/>
          <w:sz w:val="24"/>
          <w:szCs w:val="24"/>
        </w:rPr>
        <w:t>It was a living space designed to be both comfortable and attractive. Decorative cloths</w:t>
      </w:r>
      <w:r w:rsidR="00684EC9">
        <w:rPr>
          <w:rFonts w:ascii="Times New Roman" w:hAnsi="Times New Roman" w:cs="Times New Roman"/>
          <w:sz w:val="24"/>
          <w:szCs w:val="24"/>
        </w:rPr>
        <w:t xml:space="preserve"> and tapestry covering</w:t>
      </w:r>
      <w:r w:rsidR="00025D4E">
        <w:rPr>
          <w:rFonts w:ascii="Times New Roman" w:hAnsi="Times New Roman" w:cs="Times New Roman"/>
          <w:sz w:val="24"/>
          <w:szCs w:val="24"/>
        </w:rPr>
        <w:t>s</w:t>
      </w:r>
      <w:r w:rsidR="00684EC9">
        <w:rPr>
          <w:rFonts w:ascii="Times New Roman" w:hAnsi="Times New Roman" w:cs="Times New Roman"/>
          <w:sz w:val="24"/>
          <w:szCs w:val="24"/>
        </w:rPr>
        <w:t xml:space="preserve"> for seats or cloths used as wall hangings</w:t>
      </w:r>
      <w:r w:rsidR="00025D4E">
        <w:rPr>
          <w:rFonts w:ascii="Times New Roman" w:hAnsi="Times New Roman" w:cs="Times New Roman"/>
          <w:sz w:val="24"/>
          <w:szCs w:val="24"/>
        </w:rPr>
        <w:t xml:space="preserve"> </w:t>
      </w:r>
      <w:r w:rsidR="00E055FE">
        <w:rPr>
          <w:rFonts w:ascii="Times New Roman" w:hAnsi="Times New Roman" w:cs="Times New Roman"/>
          <w:sz w:val="24"/>
          <w:szCs w:val="24"/>
        </w:rPr>
        <w:t xml:space="preserve">known </w:t>
      </w:r>
      <w:r w:rsidR="00684EC9">
        <w:rPr>
          <w:rFonts w:ascii="Times New Roman" w:hAnsi="Times New Roman" w:cs="Times New Roman"/>
          <w:sz w:val="24"/>
          <w:szCs w:val="24"/>
        </w:rPr>
        <w:t xml:space="preserve">variously </w:t>
      </w:r>
      <w:r w:rsidR="00E055FE">
        <w:rPr>
          <w:rFonts w:ascii="Times New Roman" w:hAnsi="Times New Roman" w:cs="Times New Roman"/>
          <w:sz w:val="24"/>
          <w:szCs w:val="24"/>
        </w:rPr>
        <w:t xml:space="preserve">as </w:t>
      </w:r>
      <w:proofErr w:type="spellStart"/>
      <w:r w:rsidR="00684EC9">
        <w:rPr>
          <w:rFonts w:ascii="Times New Roman" w:hAnsi="Times New Roman" w:cs="Times New Roman"/>
          <w:sz w:val="24"/>
          <w:szCs w:val="24"/>
        </w:rPr>
        <w:t>costers</w:t>
      </w:r>
      <w:proofErr w:type="spellEnd"/>
      <w:r w:rsidR="00684EC9">
        <w:rPr>
          <w:rFonts w:ascii="Times New Roman" w:hAnsi="Times New Roman" w:cs="Times New Roman"/>
          <w:sz w:val="24"/>
          <w:szCs w:val="24"/>
        </w:rPr>
        <w:t xml:space="preserve">, </w:t>
      </w:r>
      <w:r w:rsidR="00E055FE">
        <w:rPr>
          <w:rFonts w:ascii="Times New Roman" w:hAnsi="Times New Roman" w:cs="Times New Roman"/>
          <w:sz w:val="24"/>
          <w:szCs w:val="24"/>
        </w:rPr>
        <w:t>dos</w:t>
      </w:r>
      <w:r w:rsidR="00025D4E">
        <w:rPr>
          <w:rFonts w:ascii="Times New Roman" w:hAnsi="Times New Roman" w:cs="Times New Roman"/>
          <w:sz w:val="24"/>
          <w:szCs w:val="24"/>
        </w:rPr>
        <w:t>s</w:t>
      </w:r>
      <w:r w:rsidR="00E055FE">
        <w:rPr>
          <w:rFonts w:ascii="Times New Roman" w:hAnsi="Times New Roman" w:cs="Times New Roman"/>
          <w:sz w:val="24"/>
          <w:szCs w:val="24"/>
        </w:rPr>
        <w:t>ers</w:t>
      </w:r>
      <w:r w:rsidR="00025D4E">
        <w:rPr>
          <w:rFonts w:ascii="Times New Roman" w:hAnsi="Times New Roman" w:cs="Times New Roman"/>
          <w:sz w:val="24"/>
          <w:szCs w:val="24"/>
        </w:rPr>
        <w:t xml:space="preserve"> or </w:t>
      </w:r>
      <w:proofErr w:type="spellStart"/>
      <w:r w:rsidR="00025D4E">
        <w:rPr>
          <w:rFonts w:ascii="Times New Roman" w:hAnsi="Times New Roman" w:cs="Times New Roman"/>
          <w:sz w:val="24"/>
          <w:szCs w:val="24"/>
        </w:rPr>
        <w:t>dorsers</w:t>
      </w:r>
      <w:proofErr w:type="spellEnd"/>
      <w:r w:rsidR="00684EC9">
        <w:rPr>
          <w:rFonts w:ascii="Times New Roman" w:hAnsi="Times New Roman" w:cs="Times New Roman"/>
          <w:sz w:val="24"/>
          <w:szCs w:val="24"/>
        </w:rPr>
        <w:t>, and bankers</w:t>
      </w:r>
      <w:r w:rsidR="00E055FE">
        <w:rPr>
          <w:rFonts w:ascii="Times New Roman" w:hAnsi="Times New Roman" w:cs="Times New Roman"/>
          <w:sz w:val="24"/>
          <w:szCs w:val="24"/>
        </w:rPr>
        <w:t xml:space="preserve"> </w:t>
      </w:r>
      <w:r w:rsidR="00614879">
        <w:rPr>
          <w:rFonts w:ascii="Times New Roman" w:hAnsi="Times New Roman" w:cs="Times New Roman"/>
          <w:sz w:val="24"/>
          <w:szCs w:val="24"/>
        </w:rPr>
        <w:t>are a common feature</w:t>
      </w:r>
      <w:r w:rsidR="00E055FE">
        <w:rPr>
          <w:rFonts w:ascii="Times New Roman" w:hAnsi="Times New Roman" w:cs="Times New Roman"/>
          <w:sz w:val="24"/>
          <w:szCs w:val="24"/>
        </w:rPr>
        <w:t>.</w:t>
      </w:r>
      <w:r w:rsidR="00E055FE">
        <w:rPr>
          <w:rStyle w:val="FootnoteReference"/>
          <w:rFonts w:ascii="Times New Roman" w:hAnsi="Times New Roman" w:cs="Times New Roman"/>
          <w:sz w:val="24"/>
          <w:szCs w:val="24"/>
        </w:rPr>
        <w:footnoteReference w:id="53"/>
      </w:r>
      <w:r w:rsidR="00595158">
        <w:rPr>
          <w:rFonts w:ascii="Times New Roman" w:hAnsi="Times New Roman" w:cs="Times New Roman"/>
          <w:sz w:val="24"/>
          <w:szCs w:val="24"/>
        </w:rPr>
        <w:t xml:space="preserve"> Sometimes these formed colour co-ordinated sets. The prosperous girdler, Robert </w:t>
      </w:r>
      <w:proofErr w:type="spellStart"/>
      <w:r w:rsidR="00595158">
        <w:rPr>
          <w:rFonts w:ascii="Times New Roman" w:hAnsi="Times New Roman" w:cs="Times New Roman"/>
          <w:sz w:val="24"/>
          <w:szCs w:val="24"/>
        </w:rPr>
        <w:t>Talkan</w:t>
      </w:r>
      <w:proofErr w:type="spellEnd"/>
      <w:r w:rsidR="00595158">
        <w:rPr>
          <w:rFonts w:ascii="Times New Roman" w:hAnsi="Times New Roman" w:cs="Times New Roman"/>
          <w:sz w:val="24"/>
          <w:szCs w:val="24"/>
        </w:rPr>
        <w:t xml:space="preserve">, </w:t>
      </w:r>
      <w:r w:rsidR="0055184C">
        <w:rPr>
          <w:rFonts w:ascii="Times New Roman" w:hAnsi="Times New Roman" w:cs="Times New Roman"/>
          <w:sz w:val="24"/>
          <w:szCs w:val="24"/>
        </w:rPr>
        <w:t xml:space="preserve">had two different sets of </w:t>
      </w:r>
      <w:proofErr w:type="spellStart"/>
      <w:r w:rsidR="0055184C">
        <w:rPr>
          <w:rFonts w:ascii="Times New Roman" w:hAnsi="Times New Roman" w:cs="Times New Roman"/>
          <w:sz w:val="24"/>
          <w:szCs w:val="24"/>
        </w:rPr>
        <w:t>dorsers</w:t>
      </w:r>
      <w:proofErr w:type="spellEnd"/>
      <w:r w:rsidR="0055184C">
        <w:rPr>
          <w:rFonts w:ascii="Times New Roman" w:hAnsi="Times New Roman" w:cs="Times New Roman"/>
          <w:sz w:val="24"/>
          <w:szCs w:val="24"/>
        </w:rPr>
        <w:t xml:space="preserve">, </w:t>
      </w:r>
      <w:proofErr w:type="spellStart"/>
      <w:r w:rsidR="0055184C">
        <w:rPr>
          <w:rFonts w:ascii="Times New Roman" w:hAnsi="Times New Roman" w:cs="Times New Roman"/>
          <w:sz w:val="24"/>
          <w:szCs w:val="24"/>
        </w:rPr>
        <w:t>costers</w:t>
      </w:r>
      <w:proofErr w:type="spellEnd"/>
      <w:r w:rsidR="0055184C">
        <w:rPr>
          <w:rFonts w:ascii="Times New Roman" w:hAnsi="Times New Roman" w:cs="Times New Roman"/>
          <w:sz w:val="24"/>
          <w:szCs w:val="24"/>
        </w:rPr>
        <w:t xml:space="preserve">, and bankers, which also included cushions, though only a red and blue </w:t>
      </w:r>
      <w:proofErr w:type="spellStart"/>
      <w:r w:rsidR="0055184C">
        <w:rPr>
          <w:rFonts w:ascii="Times New Roman" w:hAnsi="Times New Roman" w:cs="Times New Roman"/>
          <w:sz w:val="24"/>
          <w:szCs w:val="24"/>
        </w:rPr>
        <w:t>dorser</w:t>
      </w:r>
      <w:proofErr w:type="spellEnd"/>
      <w:r w:rsidR="0055184C">
        <w:rPr>
          <w:rFonts w:ascii="Times New Roman" w:hAnsi="Times New Roman" w:cs="Times New Roman"/>
          <w:sz w:val="24"/>
          <w:szCs w:val="24"/>
        </w:rPr>
        <w:t xml:space="preserve"> is described.</w:t>
      </w:r>
      <w:r w:rsidR="0055184C">
        <w:rPr>
          <w:rStyle w:val="FootnoteReference"/>
          <w:rFonts w:ascii="Times New Roman" w:hAnsi="Times New Roman" w:cs="Times New Roman"/>
          <w:sz w:val="24"/>
          <w:szCs w:val="24"/>
        </w:rPr>
        <w:footnoteReference w:id="54"/>
      </w:r>
      <w:r w:rsidR="0055184C">
        <w:rPr>
          <w:rFonts w:ascii="Times New Roman" w:hAnsi="Times New Roman" w:cs="Times New Roman"/>
          <w:sz w:val="24"/>
          <w:szCs w:val="24"/>
        </w:rPr>
        <w:t xml:space="preserve"> </w:t>
      </w:r>
      <w:r w:rsidR="00C72837">
        <w:rPr>
          <w:rFonts w:ascii="Times New Roman" w:hAnsi="Times New Roman" w:cs="Times New Roman"/>
          <w:sz w:val="24"/>
          <w:szCs w:val="24"/>
        </w:rPr>
        <w:t xml:space="preserve">The weaver, Thomas Catton, had a red and green </w:t>
      </w:r>
      <w:proofErr w:type="spellStart"/>
      <w:r w:rsidR="00C72837">
        <w:rPr>
          <w:rFonts w:ascii="Times New Roman" w:hAnsi="Times New Roman" w:cs="Times New Roman"/>
          <w:sz w:val="24"/>
          <w:szCs w:val="24"/>
        </w:rPr>
        <w:t>dorser</w:t>
      </w:r>
      <w:proofErr w:type="spellEnd"/>
      <w:r w:rsidR="00C72837">
        <w:rPr>
          <w:rFonts w:ascii="Times New Roman" w:hAnsi="Times New Roman" w:cs="Times New Roman"/>
          <w:sz w:val="24"/>
          <w:szCs w:val="24"/>
        </w:rPr>
        <w:t xml:space="preserve"> and matching banker. </w:t>
      </w:r>
      <w:r w:rsidR="00154907">
        <w:rPr>
          <w:rFonts w:ascii="Times New Roman" w:hAnsi="Times New Roman" w:cs="Times New Roman"/>
          <w:sz w:val="24"/>
          <w:szCs w:val="24"/>
        </w:rPr>
        <w:t xml:space="preserve">Painted wall hangings are also regularly found. John Carter, a tailor, </w:t>
      </w:r>
      <w:r w:rsidR="005C63BA">
        <w:rPr>
          <w:rFonts w:ascii="Times New Roman" w:hAnsi="Times New Roman" w:cs="Times New Roman"/>
          <w:sz w:val="24"/>
          <w:szCs w:val="24"/>
        </w:rPr>
        <w:t xml:space="preserve">had six painted and one striped hanging. </w:t>
      </w:r>
      <w:r w:rsidR="00841F0F">
        <w:rPr>
          <w:rFonts w:ascii="Times New Roman" w:hAnsi="Times New Roman" w:cs="Times New Roman"/>
          <w:sz w:val="24"/>
          <w:szCs w:val="24"/>
        </w:rPr>
        <w:t>Cushions were</w:t>
      </w:r>
      <w:r w:rsidR="0055184C">
        <w:rPr>
          <w:rFonts w:ascii="Times New Roman" w:hAnsi="Times New Roman" w:cs="Times New Roman"/>
          <w:sz w:val="24"/>
          <w:szCs w:val="24"/>
        </w:rPr>
        <w:t xml:space="preserve"> ubiquitous in the bourgeois hall</w:t>
      </w:r>
      <w:r w:rsidR="00C72837">
        <w:rPr>
          <w:rFonts w:ascii="Times New Roman" w:hAnsi="Times New Roman" w:cs="Times New Roman"/>
          <w:sz w:val="24"/>
          <w:szCs w:val="24"/>
        </w:rPr>
        <w:t xml:space="preserve">. Catton, for example, had thirteen, </w:t>
      </w:r>
      <w:proofErr w:type="spellStart"/>
      <w:r w:rsidR="00C72837">
        <w:rPr>
          <w:rFonts w:ascii="Times New Roman" w:hAnsi="Times New Roman" w:cs="Times New Roman"/>
          <w:sz w:val="24"/>
          <w:szCs w:val="24"/>
        </w:rPr>
        <w:t>Talkan</w:t>
      </w:r>
      <w:proofErr w:type="spellEnd"/>
      <w:r w:rsidR="00C72837">
        <w:rPr>
          <w:rFonts w:ascii="Times New Roman" w:hAnsi="Times New Roman" w:cs="Times New Roman"/>
          <w:sz w:val="24"/>
          <w:szCs w:val="24"/>
        </w:rPr>
        <w:t xml:space="preserve"> exceptionally twenty</w:t>
      </w:r>
      <w:r w:rsidR="0055184C">
        <w:rPr>
          <w:rFonts w:ascii="Times New Roman" w:hAnsi="Times New Roman" w:cs="Times New Roman"/>
          <w:sz w:val="24"/>
          <w:szCs w:val="24"/>
        </w:rPr>
        <w:t>.</w:t>
      </w:r>
      <w:r w:rsidR="0055184C">
        <w:rPr>
          <w:rStyle w:val="FootnoteReference"/>
          <w:rFonts w:ascii="Times New Roman" w:hAnsi="Times New Roman" w:cs="Times New Roman"/>
          <w:sz w:val="24"/>
          <w:szCs w:val="24"/>
        </w:rPr>
        <w:footnoteReference w:id="55"/>
      </w:r>
      <w:r w:rsidR="00C72837">
        <w:rPr>
          <w:rFonts w:ascii="Times New Roman" w:hAnsi="Times New Roman" w:cs="Times New Roman"/>
          <w:sz w:val="24"/>
          <w:szCs w:val="24"/>
        </w:rPr>
        <w:t xml:space="preserve"> </w:t>
      </w:r>
    </w:p>
    <w:p w14:paraId="2D07EC2C" w14:textId="11718152" w:rsidR="00F413C5" w:rsidRDefault="00F413C5" w:rsidP="004845D3">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comparative formality of the hall is suggested </w:t>
      </w:r>
      <w:r w:rsidRPr="00F413C5">
        <w:rPr>
          <w:rFonts w:ascii="Times New Roman" w:hAnsi="Times New Roman" w:cs="Times New Roman"/>
          <w:i/>
          <w:sz w:val="24"/>
          <w:szCs w:val="24"/>
        </w:rPr>
        <w:t>inter alia</w:t>
      </w:r>
      <w:r>
        <w:rPr>
          <w:rFonts w:ascii="Times New Roman" w:hAnsi="Times New Roman" w:cs="Times New Roman"/>
          <w:sz w:val="24"/>
          <w:szCs w:val="24"/>
        </w:rPr>
        <w:t xml:space="preserve"> by it</w:t>
      </w:r>
      <w:r w:rsidR="009B5464">
        <w:rPr>
          <w:rFonts w:ascii="Times New Roman" w:hAnsi="Times New Roman" w:cs="Times New Roman"/>
          <w:sz w:val="24"/>
          <w:szCs w:val="24"/>
        </w:rPr>
        <w:t xml:space="preserve">s use as </w:t>
      </w:r>
      <w:r>
        <w:rPr>
          <w:rFonts w:ascii="Times New Roman" w:hAnsi="Times New Roman" w:cs="Times New Roman"/>
          <w:sz w:val="24"/>
          <w:szCs w:val="24"/>
        </w:rPr>
        <w:t>the setting for mar</w:t>
      </w:r>
      <w:r w:rsidR="003B3CB2">
        <w:rPr>
          <w:rFonts w:ascii="Times New Roman" w:hAnsi="Times New Roman" w:cs="Times New Roman"/>
          <w:sz w:val="24"/>
          <w:szCs w:val="24"/>
        </w:rPr>
        <w:t xml:space="preserve">riage </w:t>
      </w:r>
      <w:r w:rsidR="00122E16">
        <w:rPr>
          <w:rFonts w:ascii="Times New Roman" w:hAnsi="Times New Roman" w:cs="Times New Roman"/>
          <w:sz w:val="24"/>
          <w:szCs w:val="24"/>
        </w:rPr>
        <w:t xml:space="preserve">contracts </w:t>
      </w:r>
      <w:r>
        <w:rPr>
          <w:rFonts w:ascii="Times New Roman" w:hAnsi="Times New Roman" w:cs="Times New Roman"/>
          <w:sz w:val="24"/>
          <w:szCs w:val="24"/>
        </w:rPr>
        <w:t xml:space="preserve">witnessed by kin or by employers in the case of servants. </w:t>
      </w:r>
      <w:r w:rsidR="009B5464">
        <w:rPr>
          <w:rFonts w:ascii="Times New Roman" w:hAnsi="Times New Roman" w:cs="Times New Roman"/>
          <w:sz w:val="24"/>
          <w:szCs w:val="24"/>
        </w:rPr>
        <w:t xml:space="preserve">Thus </w:t>
      </w:r>
      <w:r w:rsidR="004F545F">
        <w:rPr>
          <w:rFonts w:ascii="Times New Roman" w:hAnsi="Times New Roman" w:cs="Times New Roman"/>
          <w:sz w:val="24"/>
          <w:szCs w:val="24"/>
        </w:rPr>
        <w:t xml:space="preserve">John </w:t>
      </w:r>
      <w:proofErr w:type="spellStart"/>
      <w:r w:rsidR="004F545F">
        <w:rPr>
          <w:rFonts w:ascii="Times New Roman" w:hAnsi="Times New Roman" w:cs="Times New Roman"/>
          <w:sz w:val="24"/>
          <w:szCs w:val="24"/>
        </w:rPr>
        <w:t>Kirkeby</w:t>
      </w:r>
      <w:proofErr w:type="spellEnd"/>
      <w:r w:rsidR="004F545F">
        <w:rPr>
          <w:rFonts w:ascii="Times New Roman" w:hAnsi="Times New Roman" w:cs="Times New Roman"/>
          <w:sz w:val="24"/>
          <w:szCs w:val="24"/>
        </w:rPr>
        <w:t xml:space="preserve"> and Margaret </w:t>
      </w:r>
      <w:proofErr w:type="spellStart"/>
      <w:r w:rsidR="004F545F">
        <w:rPr>
          <w:rFonts w:ascii="Times New Roman" w:hAnsi="Times New Roman" w:cs="Times New Roman"/>
          <w:sz w:val="24"/>
          <w:szCs w:val="24"/>
        </w:rPr>
        <w:t>Thweng</w:t>
      </w:r>
      <w:proofErr w:type="spellEnd"/>
      <w:r w:rsidR="004F545F">
        <w:rPr>
          <w:rFonts w:ascii="Times New Roman" w:hAnsi="Times New Roman" w:cs="Times New Roman"/>
          <w:sz w:val="24"/>
          <w:szCs w:val="24"/>
        </w:rPr>
        <w:t xml:space="preserve"> allegedly contracted marriage in the hall of the </w:t>
      </w:r>
      <w:proofErr w:type="spellStart"/>
      <w:r w:rsidR="004F545F">
        <w:rPr>
          <w:rFonts w:ascii="Times New Roman" w:hAnsi="Times New Roman" w:cs="Times New Roman"/>
          <w:sz w:val="24"/>
          <w:szCs w:val="24"/>
        </w:rPr>
        <w:t>Thweng</w:t>
      </w:r>
      <w:proofErr w:type="spellEnd"/>
      <w:r w:rsidR="004F545F">
        <w:rPr>
          <w:rFonts w:ascii="Times New Roman" w:hAnsi="Times New Roman" w:cs="Times New Roman"/>
          <w:sz w:val="24"/>
          <w:szCs w:val="24"/>
        </w:rPr>
        <w:t xml:space="preserve"> family </w:t>
      </w:r>
      <w:r w:rsidR="005C63BA">
        <w:rPr>
          <w:rFonts w:ascii="Times New Roman" w:hAnsi="Times New Roman" w:cs="Times New Roman"/>
          <w:sz w:val="24"/>
          <w:szCs w:val="24"/>
        </w:rPr>
        <w:t xml:space="preserve">house </w:t>
      </w:r>
      <w:r w:rsidR="004F545F">
        <w:rPr>
          <w:rFonts w:ascii="Times New Roman" w:hAnsi="Times New Roman" w:cs="Times New Roman"/>
          <w:sz w:val="24"/>
          <w:szCs w:val="24"/>
        </w:rPr>
        <w:t xml:space="preserve">in the extra-mural parish of St Lawrence on the feast of the dedication, 1435. Margaret’s parents, her brother, and one Richard </w:t>
      </w:r>
      <w:proofErr w:type="spellStart"/>
      <w:r w:rsidR="004F545F">
        <w:rPr>
          <w:rFonts w:ascii="Times New Roman" w:hAnsi="Times New Roman" w:cs="Times New Roman"/>
          <w:sz w:val="24"/>
          <w:szCs w:val="24"/>
        </w:rPr>
        <w:t>Langthorne</w:t>
      </w:r>
      <w:proofErr w:type="spellEnd"/>
      <w:r w:rsidR="004F545F">
        <w:rPr>
          <w:rFonts w:ascii="Times New Roman" w:hAnsi="Times New Roman" w:cs="Times New Roman"/>
          <w:sz w:val="24"/>
          <w:szCs w:val="24"/>
        </w:rPr>
        <w:t xml:space="preserve"> were all present.</w:t>
      </w:r>
      <w:r w:rsidR="004F545F">
        <w:rPr>
          <w:rStyle w:val="FootnoteReference"/>
          <w:rFonts w:ascii="Times New Roman" w:hAnsi="Times New Roman" w:cs="Times New Roman"/>
          <w:sz w:val="24"/>
          <w:szCs w:val="24"/>
        </w:rPr>
        <w:footnoteReference w:id="56"/>
      </w:r>
      <w:r w:rsidR="004F545F">
        <w:rPr>
          <w:rFonts w:ascii="Times New Roman" w:hAnsi="Times New Roman" w:cs="Times New Roman"/>
          <w:sz w:val="24"/>
          <w:szCs w:val="24"/>
        </w:rPr>
        <w:t xml:space="preserve"> </w:t>
      </w:r>
      <w:r w:rsidR="0040011B">
        <w:rPr>
          <w:rFonts w:ascii="Times New Roman" w:hAnsi="Times New Roman" w:cs="Times New Roman"/>
          <w:sz w:val="24"/>
          <w:szCs w:val="24"/>
        </w:rPr>
        <w:t>Alth</w:t>
      </w:r>
      <w:r w:rsidR="003B3CB2">
        <w:rPr>
          <w:rFonts w:ascii="Times New Roman" w:hAnsi="Times New Roman" w:cs="Times New Roman"/>
          <w:sz w:val="24"/>
          <w:szCs w:val="24"/>
        </w:rPr>
        <w:t xml:space="preserve">ough Henry </w:t>
      </w:r>
      <w:proofErr w:type="spellStart"/>
      <w:r w:rsidR="003B3CB2">
        <w:rPr>
          <w:rFonts w:ascii="Times New Roman" w:hAnsi="Times New Roman" w:cs="Times New Roman"/>
          <w:sz w:val="24"/>
          <w:szCs w:val="24"/>
        </w:rPr>
        <w:t>Wadde</w:t>
      </w:r>
      <w:proofErr w:type="spellEnd"/>
      <w:r w:rsidR="003B3CB2">
        <w:rPr>
          <w:rFonts w:ascii="Times New Roman" w:hAnsi="Times New Roman" w:cs="Times New Roman"/>
          <w:sz w:val="24"/>
          <w:szCs w:val="24"/>
        </w:rPr>
        <w:t xml:space="preserve"> contracted</w:t>
      </w:r>
      <w:r w:rsidR="0040011B">
        <w:rPr>
          <w:rFonts w:ascii="Times New Roman" w:hAnsi="Times New Roman" w:cs="Times New Roman"/>
          <w:sz w:val="24"/>
          <w:szCs w:val="24"/>
        </w:rPr>
        <w:t xml:space="preserve"> marriage with Joan Lee in her father’s </w:t>
      </w:r>
      <w:proofErr w:type="spellStart"/>
      <w:r w:rsidR="0040011B">
        <w:rPr>
          <w:rFonts w:ascii="Times New Roman" w:hAnsi="Times New Roman" w:cs="Times New Roman"/>
          <w:sz w:val="24"/>
          <w:szCs w:val="24"/>
        </w:rPr>
        <w:t>gilehouse</w:t>
      </w:r>
      <w:proofErr w:type="spellEnd"/>
      <w:r w:rsidR="0040011B">
        <w:rPr>
          <w:rFonts w:ascii="Times New Roman" w:hAnsi="Times New Roman" w:cs="Times New Roman"/>
          <w:sz w:val="24"/>
          <w:szCs w:val="24"/>
        </w:rPr>
        <w:t xml:space="preserve"> </w:t>
      </w:r>
      <w:r w:rsidR="00626D9E">
        <w:rPr>
          <w:rFonts w:ascii="Times New Roman" w:hAnsi="Times New Roman" w:cs="Times New Roman"/>
          <w:sz w:val="24"/>
          <w:szCs w:val="24"/>
        </w:rPr>
        <w:t xml:space="preserve">in 1509 </w:t>
      </w:r>
      <w:r w:rsidR="0040011B">
        <w:rPr>
          <w:rFonts w:ascii="Times New Roman" w:hAnsi="Times New Roman" w:cs="Times New Roman"/>
          <w:sz w:val="24"/>
          <w:szCs w:val="24"/>
        </w:rPr>
        <w:t xml:space="preserve">with only two women servants for witnesses, the following day he placed a silver ring on her finger in </w:t>
      </w:r>
      <w:r w:rsidR="0040011B">
        <w:rPr>
          <w:rFonts w:ascii="Times New Roman" w:hAnsi="Times New Roman" w:cs="Times New Roman"/>
          <w:sz w:val="24"/>
          <w:szCs w:val="24"/>
        </w:rPr>
        <w:lastRenderedPageBreak/>
        <w:t>the hall of her father’s house.</w:t>
      </w:r>
      <w:r w:rsidR="0040011B">
        <w:rPr>
          <w:rStyle w:val="FootnoteReference"/>
          <w:rFonts w:ascii="Times New Roman" w:hAnsi="Times New Roman" w:cs="Times New Roman"/>
          <w:sz w:val="24"/>
          <w:szCs w:val="24"/>
        </w:rPr>
        <w:footnoteReference w:id="57"/>
      </w:r>
      <w:r w:rsidR="007C3912">
        <w:rPr>
          <w:rFonts w:ascii="Times New Roman" w:hAnsi="Times New Roman" w:cs="Times New Roman"/>
          <w:sz w:val="24"/>
          <w:szCs w:val="24"/>
        </w:rPr>
        <w:t xml:space="preserve"> </w:t>
      </w:r>
      <w:r w:rsidR="00E272A2">
        <w:rPr>
          <w:rFonts w:ascii="Times New Roman" w:hAnsi="Times New Roman" w:cs="Times New Roman"/>
          <w:sz w:val="24"/>
          <w:szCs w:val="24"/>
        </w:rPr>
        <w:t xml:space="preserve">When Robert </w:t>
      </w:r>
      <w:proofErr w:type="spellStart"/>
      <w:r w:rsidR="00E272A2">
        <w:rPr>
          <w:rFonts w:ascii="Times New Roman" w:hAnsi="Times New Roman" w:cs="Times New Roman"/>
          <w:sz w:val="24"/>
          <w:szCs w:val="24"/>
        </w:rPr>
        <w:t>Tavarner</w:t>
      </w:r>
      <w:proofErr w:type="spellEnd"/>
      <w:r w:rsidR="00E272A2">
        <w:rPr>
          <w:rFonts w:ascii="Times New Roman" w:hAnsi="Times New Roman" w:cs="Times New Roman"/>
          <w:sz w:val="24"/>
          <w:szCs w:val="24"/>
        </w:rPr>
        <w:t xml:space="preserve"> contracted Margaret </w:t>
      </w:r>
      <w:proofErr w:type="spellStart"/>
      <w:r w:rsidR="00E272A2">
        <w:rPr>
          <w:rFonts w:ascii="Times New Roman" w:hAnsi="Times New Roman" w:cs="Times New Roman"/>
          <w:sz w:val="24"/>
          <w:szCs w:val="24"/>
        </w:rPr>
        <w:t>Goldsmyth</w:t>
      </w:r>
      <w:proofErr w:type="spellEnd"/>
      <w:r w:rsidR="0040011B">
        <w:rPr>
          <w:rFonts w:ascii="Times New Roman" w:hAnsi="Times New Roman" w:cs="Times New Roman"/>
          <w:sz w:val="24"/>
          <w:szCs w:val="24"/>
        </w:rPr>
        <w:t xml:space="preserve"> in the </w:t>
      </w:r>
      <w:proofErr w:type="spellStart"/>
      <w:r w:rsidR="007C3912">
        <w:rPr>
          <w:rFonts w:ascii="Times New Roman" w:hAnsi="Times New Roman" w:cs="Times New Roman"/>
          <w:sz w:val="24"/>
          <w:szCs w:val="24"/>
        </w:rPr>
        <w:t>Goodramgate</w:t>
      </w:r>
      <w:proofErr w:type="spellEnd"/>
      <w:r w:rsidR="007C3912">
        <w:rPr>
          <w:rFonts w:ascii="Times New Roman" w:hAnsi="Times New Roman" w:cs="Times New Roman"/>
          <w:sz w:val="24"/>
          <w:szCs w:val="24"/>
        </w:rPr>
        <w:t xml:space="preserve"> </w:t>
      </w:r>
      <w:r w:rsidR="0040011B">
        <w:rPr>
          <w:rFonts w:ascii="Times New Roman" w:hAnsi="Times New Roman" w:cs="Times New Roman"/>
          <w:sz w:val="24"/>
          <w:szCs w:val="24"/>
        </w:rPr>
        <w:t xml:space="preserve">house of </w:t>
      </w:r>
      <w:r w:rsidR="003B3CB2">
        <w:rPr>
          <w:rFonts w:ascii="Times New Roman" w:hAnsi="Times New Roman" w:cs="Times New Roman"/>
          <w:sz w:val="24"/>
          <w:szCs w:val="24"/>
        </w:rPr>
        <w:t xml:space="preserve">Robert </w:t>
      </w:r>
      <w:proofErr w:type="spellStart"/>
      <w:r w:rsidR="003B3CB2">
        <w:rPr>
          <w:rFonts w:ascii="Times New Roman" w:hAnsi="Times New Roman" w:cs="Times New Roman"/>
          <w:sz w:val="24"/>
          <w:szCs w:val="24"/>
        </w:rPr>
        <w:t>Stillington</w:t>
      </w:r>
      <w:proofErr w:type="spellEnd"/>
      <w:r w:rsidR="003B3CB2">
        <w:rPr>
          <w:rFonts w:ascii="Times New Roman" w:hAnsi="Times New Roman" w:cs="Times New Roman"/>
          <w:sz w:val="24"/>
          <w:szCs w:val="24"/>
        </w:rPr>
        <w:t xml:space="preserve"> </w:t>
      </w:r>
      <w:r w:rsidR="007C3912">
        <w:rPr>
          <w:rFonts w:ascii="Times New Roman" w:hAnsi="Times New Roman" w:cs="Times New Roman"/>
          <w:sz w:val="24"/>
          <w:szCs w:val="24"/>
        </w:rPr>
        <w:t xml:space="preserve">having eaten together as guests of Robert and his wife, they did so sat on </w:t>
      </w:r>
      <w:r w:rsidR="008C6D56">
        <w:rPr>
          <w:rFonts w:ascii="Times New Roman" w:hAnsi="Times New Roman" w:cs="Times New Roman"/>
          <w:sz w:val="24"/>
          <w:szCs w:val="24"/>
        </w:rPr>
        <w:t>a bench (‘</w:t>
      </w:r>
      <w:proofErr w:type="spellStart"/>
      <w:r w:rsidR="008C6D56" w:rsidRPr="008C6D56">
        <w:rPr>
          <w:rFonts w:ascii="Times New Roman" w:hAnsi="Times New Roman" w:cs="Times New Roman"/>
          <w:i/>
          <w:sz w:val="24"/>
          <w:szCs w:val="24"/>
        </w:rPr>
        <w:t>scannum</w:t>
      </w:r>
      <w:proofErr w:type="spellEnd"/>
      <w:r w:rsidR="008C6D56">
        <w:rPr>
          <w:rFonts w:ascii="Times New Roman" w:hAnsi="Times New Roman" w:cs="Times New Roman"/>
          <w:sz w:val="24"/>
          <w:szCs w:val="24"/>
        </w:rPr>
        <w:t>’) under a window ‘in the front part of the hall’. Robert sat with the couple, but his wife stood at the other end of the hall folding a kerchief.</w:t>
      </w:r>
      <w:r w:rsidR="008C6D56">
        <w:rPr>
          <w:rStyle w:val="FootnoteReference"/>
          <w:rFonts w:ascii="Times New Roman" w:hAnsi="Times New Roman" w:cs="Times New Roman"/>
          <w:sz w:val="24"/>
          <w:szCs w:val="24"/>
        </w:rPr>
        <w:footnoteReference w:id="58"/>
      </w:r>
    </w:p>
    <w:p w14:paraId="23FC140D" w14:textId="6E9B2F4D" w:rsidR="000163BE" w:rsidRDefault="00C72837" w:rsidP="004F367B">
      <w:pPr>
        <w:spacing w:line="360" w:lineRule="auto"/>
        <w:ind w:firstLine="720"/>
        <w:rPr>
          <w:rFonts w:ascii="Times New Roman" w:hAnsi="Times New Roman" w:cs="Times New Roman"/>
          <w:sz w:val="24"/>
          <w:szCs w:val="24"/>
        </w:rPr>
      </w:pPr>
      <w:r>
        <w:rPr>
          <w:rFonts w:ascii="Times New Roman" w:hAnsi="Times New Roman" w:cs="Times New Roman"/>
          <w:sz w:val="24"/>
          <w:szCs w:val="24"/>
        </w:rPr>
        <w:t>Dining was integral to the hall’s function. Tables, benches and ot</w:t>
      </w:r>
      <w:r w:rsidR="00826B5A">
        <w:rPr>
          <w:rFonts w:ascii="Times New Roman" w:hAnsi="Times New Roman" w:cs="Times New Roman"/>
          <w:sz w:val="24"/>
          <w:szCs w:val="24"/>
        </w:rPr>
        <w:t>her seating are always found. Common</w:t>
      </w:r>
      <w:r>
        <w:rPr>
          <w:rFonts w:ascii="Times New Roman" w:hAnsi="Times New Roman" w:cs="Times New Roman"/>
          <w:sz w:val="24"/>
          <w:szCs w:val="24"/>
        </w:rPr>
        <w:t xml:space="preserve"> too are basins and </w:t>
      </w:r>
      <w:r w:rsidRPr="003B3CB2">
        <w:rPr>
          <w:rFonts w:ascii="Times New Roman" w:hAnsi="Times New Roman" w:cs="Times New Roman"/>
          <w:sz w:val="24"/>
          <w:szCs w:val="24"/>
        </w:rPr>
        <w:t>ewers</w:t>
      </w:r>
      <w:r>
        <w:rPr>
          <w:rFonts w:ascii="Times New Roman" w:hAnsi="Times New Roman" w:cs="Times New Roman"/>
          <w:sz w:val="24"/>
          <w:szCs w:val="24"/>
        </w:rPr>
        <w:t>. Catton’s hall contained seven basins and six ewers.</w:t>
      </w:r>
      <w:r w:rsidR="00826B5A">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008E6692">
        <w:rPr>
          <w:rFonts w:ascii="Times New Roman" w:hAnsi="Times New Roman" w:cs="Times New Roman"/>
          <w:sz w:val="24"/>
          <w:szCs w:val="24"/>
        </w:rPr>
        <w:t>We also find candlesticks</w:t>
      </w:r>
      <w:r w:rsidR="00110F6C">
        <w:rPr>
          <w:rFonts w:ascii="Times New Roman" w:hAnsi="Times New Roman" w:cs="Times New Roman"/>
          <w:sz w:val="24"/>
          <w:szCs w:val="24"/>
        </w:rPr>
        <w:t xml:space="preserve"> that imply </w:t>
      </w:r>
      <w:r w:rsidR="00813332">
        <w:rPr>
          <w:rFonts w:ascii="Times New Roman" w:hAnsi="Times New Roman" w:cs="Times New Roman"/>
          <w:sz w:val="24"/>
          <w:szCs w:val="24"/>
        </w:rPr>
        <w:t xml:space="preserve">use </w:t>
      </w:r>
      <w:r w:rsidR="008E6692">
        <w:rPr>
          <w:rFonts w:ascii="Times New Roman" w:hAnsi="Times New Roman" w:cs="Times New Roman"/>
          <w:sz w:val="24"/>
          <w:szCs w:val="24"/>
        </w:rPr>
        <w:t xml:space="preserve">after dark, dishes for keeping food warm, </w:t>
      </w:r>
      <w:r w:rsidR="002251C2">
        <w:rPr>
          <w:rFonts w:ascii="Times New Roman" w:hAnsi="Times New Roman" w:cs="Times New Roman"/>
          <w:sz w:val="24"/>
          <w:szCs w:val="24"/>
        </w:rPr>
        <w:t xml:space="preserve">and </w:t>
      </w:r>
      <w:r w:rsidR="008E6692">
        <w:rPr>
          <w:rFonts w:ascii="Times New Roman" w:hAnsi="Times New Roman" w:cs="Times New Roman"/>
          <w:sz w:val="24"/>
          <w:szCs w:val="24"/>
        </w:rPr>
        <w:t>salt cellars</w:t>
      </w:r>
      <w:r w:rsidR="002251C2">
        <w:rPr>
          <w:rFonts w:ascii="Times New Roman" w:hAnsi="Times New Roman" w:cs="Times New Roman"/>
          <w:sz w:val="24"/>
          <w:szCs w:val="24"/>
        </w:rPr>
        <w:t xml:space="preserve">. </w:t>
      </w:r>
      <w:r w:rsidR="004F367B">
        <w:rPr>
          <w:rFonts w:ascii="Times New Roman" w:hAnsi="Times New Roman" w:cs="Times New Roman"/>
          <w:sz w:val="24"/>
          <w:szCs w:val="24"/>
        </w:rPr>
        <w:t xml:space="preserve">The plurality of provision for hand washing alone suggests that the hall might accommodate guests at meal times as well as just family. </w:t>
      </w:r>
      <w:r w:rsidR="00DE45A8">
        <w:rPr>
          <w:rFonts w:ascii="Times New Roman" w:hAnsi="Times New Roman" w:cs="Times New Roman"/>
          <w:sz w:val="24"/>
          <w:szCs w:val="24"/>
        </w:rPr>
        <w:t>A 1446 case</w:t>
      </w:r>
      <w:r w:rsidR="004F367B">
        <w:rPr>
          <w:rFonts w:ascii="Times New Roman" w:hAnsi="Times New Roman" w:cs="Times New Roman"/>
          <w:sz w:val="24"/>
          <w:szCs w:val="24"/>
        </w:rPr>
        <w:t>, for example,</w:t>
      </w:r>
      <w:r w:rsidR="00DE45A8">
        <w:rPr>
          <w:rFonts w:ascii="Times New Roman" w:hAnsi="Times New Roman" w:cs="Times New Roman"/>
          <w:sz w:val="24"/>
          <w:szCs w:val="24"/>
        </w:rPr>
        <w:t xml:space="preserve"> where Agnes </w:t>
      </w:r>
      <w:r w:rsidR="00110F6C">
        <w:rPr>
          <w:rFonts w:ascii="Times New Roman" w:hAnsi="Times New Roman" w:cs="Times New Roman"/>
          <w:sz w:val="24"/>
          <w:szCs w:val="24"/>
        </w:rPr>
        <w:t xml:space="preserve">Benson petitioned </w:t>
      </w:r>
      <w:r w:rsidR="00DE45A8">
        <w:rPr>
          <w:rFonts w:ascii="Times New Roman" w:hAnsi="Times New Roman" w:cs="Times New Roman"/>
          <w:sz w:val="24"/>
          <w:szCs w:val="24"/>
        </w:rPr>
        <w:t xml:space="preserve">to live apart from her husband, Peter, offers a vignette of a mealtime where </w:t>
      </w:r>
      <w:r w:rsidR="004F367B">
        <w:rPr>
          <w:rFonts w:ascii="Times New Roman" w:hAnsi="Times New Roman" w:cs="Times New Roman"/>
          <w:sz w:val="24"/>
          <w:szCs w:val="24"/>
        </w:rPr>
        <w:t>Agnes and her husband entertained another married couple and their daughter. The two couples and the daughter sat at the table, but Agnes’ son by a previous marriag</w:t>
      </w:r>
      <w:r w:rsidR="00813332">
        <w:rPr>
          <w:rFonts w:ascii="Times New Roman" w:hAnsi="Times New Roman" w:cs="Times New Roman"/>
          <w:sz w:val="24"/>
          <w:szCs w:val="24"/>
        </w:rPr>
        <w:t>e, as was perhaps usual</w:t>
      </w:r>
      <w:r w:rsidR="004F367B">
        <w:rPr>
          <w:rFonts w:ascii="Times New Roman" w:hAnsi="Times New Roman" w:cs="Times New Roman"/>
          <w:sz w:val="24"/>
          <w:szCs w:val="24"/>
        </w:rPr>
        <w:t xml:space="preserve"> with younger children, stood.</w:t>
      </w:r>
      <w:r w:rsidR="004F367B">
        <w:rPr>
          <w:rStyle w:val="FootnoteReference"/>
          <w:rFonts w:ascii="Times New Roman" w:hAnsi="Times New Roman" w:cs="Times New Roman"/>
          <w:sz w:val="24"/>
          <w:szCs w:val="24"/>
        </w:rPr>
        <w:footnoteReference w:id="60"/>
      </w:r>
      <w:r w:rsidR="004F367B">
        <w:rPr>
          <w:rFonts w:ascii="Times New Roman" w:hAnsi="Times New Roman" w:cs="Times New Roman"/>
          <w:sz w:val="24"/>
          <w:szCs w:val="24"/>
        </w:rPr>
        <w:t xml:space="preserve"> </w:t>
      </w:r>
      <w:r w:rsidR="00492505">
        <w:rPr>
          <w:rFonts w:ascii="Times New Roman" w:hAnsi="Times New Roman" w:cs="Times New Roman"/>
          <w:sz w:val="24"/>
          <w:szCs w:val="24"/>
        </w:rPr>
        <w:t xml:space="preserve">The frequent use of trestle tables which might be folded away suggests, however, the potential versatility of the space. </w:t>
      </w:r>
      <w:r w:rsidR="004F367B">
        <w:rPr>
          <w:rFonts w:ascii="Times New Roman" w:hAnsi="Times New Roman" w:cs="Times New Roman"/>
          <w:sz w:val="24"/>
          <w:szCs w:val="24"/>
        </w:rPr>
        <w:t xml:space="preserve">The mason, </w:t>
      </w:r>
      <w:r w:rsidR="00D40C7D">
        <w:rPr>
          <w:rFonts w:ascii="Times New Roman" w:hAnsi="Times New Roman" w:cs="Times New Roman"/>
          <w:sz w:val="24"/>
          <w:szCs w:val="24"/>
        </w:rPr>
        <w:t>Hugh Grantham’s hall included a ‘</w:t>
      </w:r>
      <w:proofErr w:type="spellStart"/>
      <w:r w:rsidR="00D40C7D" w:rsidRPr="00291CEE">
        <w:rPr>
          <w:rFonts w:ascii="Times New Roman" w:hAnsi="Times New Roman" w:cs="Times New Roman"/>
          <w:i/>
          <w:sz w:val="24"/>
          <w:szCs w:val="24"/>
        </w:rPr>
        <w:t>tabeler</w:t>
      </w:r>
      <w:proofErr w:type="spellEnd"/>
      <w:r w:rsidR="00D40C7D" w:rsidRPr="00291CEE">
        <w:rPr>
          <w:rFonts w:ascii="Times New Roman" w:hAnsi="Times New Roman" w:cs="Times New Roman"/>
          <w:i/>
          <w:sz w:val="24"/>
          <w:szCs w:val="24"/>
        </w:rPr>
        <w:t xml:space="preserve"> cum </w:t>
      </w:r>
      <w:proofErr w:type="spellStart"/>
      <w:r w:rsidR="00D40C7D" w:rsidRPr="00291CEE">
        <w:rPr>
          <w:rFonts w:ascii="Times New Roman" w:hAnsi="Times New Roman" w:cs="Times New Roman"/>
          <w:i/>
          <w:sz w:val="24"/>
          <w:szCs w:val="24"/>
        </w:rPr>
        <w:t>menye</w:t>
      </w:r>
      <w:proofErr w:type="spellEnd"/>
      <w:r w:rsidR="0064395A">
        <w:rPr>
          <w:rFonts w:ascii="Times New Roman" w:hAnsi="Times New Roman" w:cs="Times New Roman"/>
          <w:sz w:val="24"/>
          <w:szCs w:val="24"/>
        </w:rPr>
        <w:t xml:space="preserve">’ (gaming board with </w:t>
      </w:r>
      <w:r w:rsidR="00D40C7D">
        <w:rPr>
          <w:rFonts w:ascii="Times New Roman" w:hAnsi="Times New Roman" w:cs="Times New Roman"/>
          <w:sz w:val="24"/>
          <w:szCs w:val="24"/>
        </w:rPr>
        <w:t>pieces</w:t>
      </w:r>
      <w:r w:rsidR="0064395A">
        <w:rPr>
          <w:rFonts w:ascii="Times New Roman" w:hAnsi="Times New Roman" w:cs="Times New Roman"/>
          <w:sz w:val="24"/>
          <w:szCs w:val="24"/>
        </w:rPr>
        <w:t>)</w:t>
      </w:r>
      <w:r w:rsidR="00D40C7D">
        <w:rPr>
          <w:rFonts w:ascii="Times New Roman" w:hAnsi="Times New Roman" w:cs="Times New Roman"/>
          <w:sz w:val="24"/>
          <w:szCs w:val="24"/>
        </w:rPr>
        <w:t xml:space="preserve"> suggesting recreational activity.</w:t>
      </w:r>
      <w:r w:rsidR="00D40C7D">
        <w:rPr>
          <w:rStyle w:val="FootnoteReference"/>
          <w:rFonts w:ascii="Times New Roman" w:hAnsi="Times New Roman" w:cs="Times New Roman"/>
          <w:sz w:val="24"/>
          <w:szCs w:val="24"/>
        </w:rPr>
        <w:footnoteReference w:id="61"/>
      </w:r>
    </w:p>
    <w:p w14:paraId="1899F5D1" w14:textId="36D0215F" w:rsidR="00F43782" w:rsidRDefault="004F367B" w:rsidP="00C324C6">
      <w:p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00111FEB">
        <w:rPr>
          <w:rFonts w:ascii="Times New Roman" w:eastAsia="Times New Roman" w:hAnsi="Times New Roman" w:cs="Times New Roman"/>
          <w:color w:val="000000"/>
          <w:sz w:val="24"/>
          <w:szCs w:val="24"/>
          <w:lang w:eastAsia="en-GB"/>
        </w:rPr>
        <w:t>Grantham’s hall also contained ‘</w:t>
      </w:r>
      <w:proofErr w:type="spellStart"/>
      <w:r w:rsidR="00111FEB" w:rsidRPr="00111FEB">
        <w:rPr>
          <w:rFonts w:ascii="Times New Roman" w:eastAsia="Times New Roman" w:hAnsi="Times New Roman" w:cs="Times New Roman"/>
          <w:i/>
          <w:color w:val="000000"/>
          <w:sz w:val="24"/>
          <w:szCs w:val="24"/>
          <w:lang w:eastAsia="en-GB"/>
        </w:rPr>
        <w:t>ij</w:t>
      </w:r>
      <w:proofErr w:type="spellEnd"/>
      <w:r w:rsidR="00111FEB" w:rsidRPr="00111FEB">
        <w:rPr>
          <w:rFonts w:ascii="Times New Roman" w:eastAsia="Times New Roman" w:hAnsi="Times New Roman" w:cs="Times New Roman"/>
          <w:i/>
          <w:color w:val="000000"/>
          <w:sz w:val="24"/>
          <w:szCs w:val="24"/>
          <w:lang w:eastAsia="en-GB"/>
        </w:rPr>
        <w:t xml:space="preserve"> </w:t>
      </w:r>
      <w:proofErr w:type="spellStart"/>
      <w:r w:rsidR="00111FEB" w:rsidRPr="00111FEB">
        <w:rPr>
          <w:rFonts w:ascii="Times New Roman" w:eastAsia="Times New Roman" w:hAnsi="Times New Roman" w:cs="Times New Roman"/>
          <w:i/>
          <w:color w:val="000000"/>
          <w:sz w:val="24"/>
          <w:szCs w:val="24"/>
          <w:lang w:eastAsia="en-GB"/>
        </w:rPr>
        <w:t>rotis</w:t>
      </w:r>
      <w:proofErr w:type="spellEnd"/>
      <w:r w:rsidR="00111FEB" w:rsidRPr="00111FEB">
        <w:rPr>
          <w:rFonts w:ascii="Times New Roman" w:eastAsia="Times New Roman" w:hAnsi="Times New Roman" w:cs="Times New Roman"/>
          <w:i/>
          <w:color w:val="000000"/>
          <w:sz w:val="24"/>
          <w:szCs w:val="24"/>
          <w:lang w:eastAsia="en-GB"/>
        </w:rPr>
        <w:t xml:space="preserve"> de </w:t>
      </w:r>
      <w:proofErr w:type="spellStart"/>
      <w:r w:rsidR="00111FEB" w:rsidRPr="00111FEB">
        <w:rPr>
          <w:rFonts w:ascii="Times New Roman" w:eastAsia="Times New Roman" w:hAnsi="Times New Roman" w:cs="Times New Roman"/>
          <w:i/>
          <w:color w:val="000000"/>
          <w:sz w:val="24"/>
          <w:szCs w:val="24"/>
          <w:lang w:eastAsia="en-GB"/>
        </w:rPr>
        <w:t>filatione</w:t>
      </w:r>
      <w:proofErr w:type="spellEnd"/>
      <w:r w:rsidR="00111FEB">
        <w:rPr>
          <w:rFonts w:ascii="Times New Roman" w:eastAsia="Times New Roman" w:hAnsi="Times New Roman" w:cs="Times New Roman"/>
          <w:color w:val="000000"/>
          <w:sz w:val="24"/>
          <w:szCs w:val="24"/>
          <w:lang w:eastAsia="en-GB"/>
        </w:rPr>
        <w:t xml:space="preserve">’ or spinning wheels. </w:t>
      </w:r>
      <w:r w:rsidR="00E9064E">
        <w:rPr>
          <w:rFonts w:ascii="Times New Roman" w:eastAsia="Times New Roman" w:hAnsi="Times New Roman" w:cs="Times New Roman"/>
          <w:color w:val="000000"/>
          <w:sz w:val="24"/>
          <w:szCs w:val="24"/>
          <w:lang w:eastAsia="en-GB"/>
        </w:rPr>
        <w:t>The same is true of some</w:t>
      </w:r>
      <w:r w:rsidR="00111FEB">
        <w:rPr>
          <w:rFonts w:ascii="Times New Roman" w:eastAsia="Times New Roman" w:hAnsi="Times New Roman" w:cs="Times New Roman"/>
          <w:color w:val="000000"/>
          <w:sz w:val="24"/>
          <w:szCs w:val="24"/>
          <w:lang w:eastAsia="en-GB"/>
        </w:rPr>
        <w:t xml:space="preserve"> other halls recorded in York probate inventories</w:t>
      </w:r>
      <w:r w:rsidR="00315A97">
        <w:rPr>
          <w:rFonts w:ascii="Times New Roman" w:eastAsia="Times New Roman" w:hAnsi="Times New Roman" w:cs="Times New Roman"/>
          <w:color w:val="000000"/>
          <w:sz w:val="24"/>
          <w:szCs w:val="24"/>
          <w:lang w:eastAsia="en-GB"/>
        </w:rPr>
        <w:t>, often alongside wool cards for carding</w:t>
      </w:r>
      <w:r w:rsidR="00E9064E">
        <w:rPr>
          <w:rFonts w:ascii="Times New Roman" w:eastAsia="Times New Roman" w:hAnsi="Times New Roman" w:cs="Times New Roman"/>
          <w:color w:val="000000"/>
          <w:sz w:val="24"/>
          <w:szCs w:val="24"/>
          <w:lang w:eastAsia="en-GB"/>
        </w:rPr>
        <w:t>.</w:t>
      </w:r>
      <w:r w:rsidR="0099352B">
        <w:rPr>
          <w:rStyle w:val="FootnoteReference"/>
          <w:rFonts w:ascii="Times New Roman" w:eastAsia="Times New Roman" w:hAnsi="Times New Roman" w:cs="Times New Roman"/>
          <w:color w:val="000000"/>
          <w:sz w:val="24"/>
          <w:szCs w:val="24"/>
          <w:lang w:eastAsia="en-GB"/>
        </w:rPr>
        <w:footnoteReference w:id="62"/>
      </w:r>
      <w:r w:rsidR="00E9064E">
        <w:rPr>
          <w:rFonts w:ascii="Times New Roman" w:eastAsia="Times New Roman" w:hAnsi="Times New Roman" w:cs="Times New Roman"/>
          <w:color w:val="000000"/>
          <w:sz w:val="24"/>
          <w:szCs w:val="24"/>
          <w:lang w:eastAsia="en-GB"/>
        </w:rPr>
        <w:t xml:space="preserve"> </w:t>
      </w:r>
      <w:r w:rsidR="00A0795D">
        <w:rPr>
          <w:rFonts w:ascii="Times New Roman" w:eastAsia="Times New Roman" w:hAnsi="Times New Roman" w:cs="Times New Roman"/>
          <w:color w:val="000000"/>
          <w:sz w:val="24"/>
          <w:szCs w:val="24"/>
          <w:lang w:eastAsia="en-GB"/>
        </w:rPr>
        <w:t>From</w:t>
      </w:r>
      <w:r w:rsidR="00FA412B">
        <w:rPr>
          <w:rFonts w:ascii="Times New Roman" w:eastAsia="Times New Roman" w:hAnsi="Times New Roman" w:cs="Times New Roman"/>
          <w:color w:val="000000"/>
          <w:sz w:val="24"/>
          <w:szCs w:val="24"/>
          <w:lang w:eastAsia="en-GB"/>
        </w:rPr>
        <w:t xml:space="preserve"> </w:t>
      </w:r>
      <w:r w:rsidR="0060283C">
        <w:rPr>
          <w:rFonts w:ascii="Times New Roman" w:eastAsia="Times New Roman" w:hAnsi="Times New Roman" w:cs="Times New Roman"/>
          <w:color w:val="000000"/>
          <w:sz w:val="24"/>
          <w:szCs w:val="24"/>
          <w:lang w:eastAsia="en-GB"/>
        </w:rPr>
        <w:t xml:space="preserve">a </w:t>
      </w:r>
      <w:r w:rsidR="00A0795D">
        <w:rPr>
          <w:rFonts w:ascii="Times New Roman" w:eastAsia="Times New Roman" w:hAnsi="Times New Roman" w:cs="Times New Roman"/>
          <w:color w:val="000000"/>
          <w:sz w:val="24"/>
          <w:szCs w:val="24"/>
          <w:lang w:eastAsia="en-GB"/>
        </w:rPr>
        <w:t xml:space="preserve">1372 </w:t>
      </w:r>
      <w:r w:rsidR="0060283C">
        <w:rPr>
          <w:rFonts w:ascii="Times New Roman" w:eastAsia="Times New Roman" w:hAnsi="Times New Roman" w:cs="Times New Roman"/>
          <w:color w:val="000000"/>
          <w:sz w:val="24"/>
          <w:szCs w:val="24"/>
          <w:lang w:eastAsia="en-GB"/>
        </w:rPr>
        <w:t xml:space="preserve">case </w:t>
      </w:r>
      <w:r w:rsidR="00A0795D">
        <w:rPr>
          <w:rFonts w:ascii="Times New Roman" w:eastAsia="Times New Roman" w:hAnsi="Times New Roman" w:cs="Times New Roman"/>
          <w:color w:val="000000"/>
          <w:sz w:val="24"/>
          <w:szCs w:val="24"/>
          <w:lang w:eastAsia="en-GB"/>
        </w:rPr>
        <w:t>we</w:t>
      </w:r>
      <w:r w:rsidR="00111FEB">
        <w:rPr>
          <w:rFonts w:ascii="Times New Roman" w:eastAsia="Times New Roman" w:hAnsi="Times New Roman" w:cs="Times New Roman"/>
          <w:color w:val="000000"/>
          <w:sz w:val="24"/>
          <w:szCs w:val="24"/>
          <w:lang w:eastAsia="en-GB"/>
        </w:rPr>
        <w:t xml:space="preserve"> </w:t>
      </w:r>
      <w:r w:rsidR="00A0795D">
        <w:rPr>
          <w:rFonts w:ascii="Times New Roman" w:eastAsia="Times New Roman" w:hAnsi="Times New Roman" w:cs="Times New Roman"/>
          <w:color w:val="000000"/>
          <w:sz w:val="24"/>
          <w:szCs w:val="24"/>
          <w:lang w:eastAsia="en-GB"/>
        </w:rPr>
        <w:t>learn how Marion, t</w:t>
      </w:r>
      <w:r w:rsidR="00A96EA5">
        <w:rPr>
          <w:rFonts w:ascii="Times New Roman" w:eastAsia="Times New Roman" w:hAnsi="Times New Roman" w:cs="Times New Roman"/>
          <w:color w:val="000000"/>
          <w:sz w:val="24"/>
          <w:szCs w:val="24"/>
          <w:lang w:eastAsia="en-GB"/>
        </w:rPr>
        <w:t xml:space="preserve">he wife of Thomas de </w:t>
      </w:r>
      <w:proofErr w:type="spellStart"/>
      <w:r w:rsidR="00A96EA5">
        <w:rPr>
          <w:rFonts w:ascii="Times New Roman" w:eastAsia="Times New Roman" w:hAnsi="Times New Roman" w:cs="Times New Roman"/>
          <w:color w:val="000000"/>
          <w:sz w:val="24"/>
          <w:szCs w:val="24"/>
          <w:lang w:eastAsia="en-GB"/>
        </w:rPr>
        <w:t>Walde</w:t>
      </w:r>
      <w:proofErr w:type="spellEnd"/>
      <w:r w:rsidR="00A96EA5">
        <w:rPr>
          <w:rFonts w:ascii="Times New Roman" w:eastAsia="Times New Roman" w:hAnsi="Times New Roman" w:cs="Times New Roman"/>
          <w:color w:val="000000"/>
          <w:sz w:val="24"/>
          <w:szCs w:val="24"/>
          <w:lang w:eastAsia="en-GB"/>
        </w:rPr>
        <w:t xml:space="preserve">, </w:t>
      </w:r>
      <w:r w:rsidR="00A0795D">
        <w:rPr>
          <w:rFonts w:ascii="Times New Roman" w:eastAsia="Times New Roman" w:hAnsi="Times New Roman" w:cs="Times New Roman"/>
          <w:color w:val="000000"/>
          <w:sz w:val="24"/>
          <w:szCs w:val="24"/>
          <w:lang w:eastAsia="en-GB"/>
        </w:rPr>
        <w:t>her neighbour Margaret de Burton, a kinswoman of</w:t>
      </w:r>
      <w:r w:rsidR="00A96EA5">
        <w:rPr>
          <w:rFonts w:ascii="Times New Roman" w:eastAsia="Times New Roman" w:hAnsi="Times New Roman" w:cs="Times New Roman"/>
          <w:color w:val="000000"/>
          <w:sz w:val="24"/>
          <w:szCs w:val="24"/>
          <w:lang w:eastAsia="en-GB"/>
        </w:rPr>
        <w:t xml:space="preserve"> Marion’s husband, and</w:t>
      </w:r>
      <w:r w:rsidR="00A0795D">
        <w:rPr>
          <w:rFonts w:ascii="Times New Roman" w:eastAsia="Times New Roman" w:hAnsi="Times New Roman" w:cs="Times New Roman"/>
          <w:color w:val="000000"/>
          <w:sz w:val="24"/>
          <w:szCs w:val="24"/>
          <w:lang w:eastAsia="en-GB"/>
        </w:rPr>
        <w:t xml:space="preserve"> Thomas’ appre</w:t>
      </w:r>
      <w:r w:rsidR="00365587">
        <w:rPr>
          <w:rFonts w:ascii="Times New Roman" w:eastAsia="Times New Roman" w:hAnsi="Times New Roman" w:cs="Times New Roman"/>
          <w:color w:val="000000"/>
          <w:sz w:val="24"/>
          <w:szCs w:val="24"/>
          <w:lang w:eastAsia="en-GB"/>
        </w:rPr>
        <w:t xml:space="preserve">ntice John, also a kinsman, </w:t>
      </w:r>
      <w:r w:rsidR="00A0795D">
        <w:rPr>
          <w:rFonts w:ascii="Times New Roman" w:eastAsia="Times New Roman" w:hAnsi="Times New Roman" w:cs="Times New Roman"/>
          <w:color w:val="000000"/>
          <w:sz w:val="24"/>
          <w:szCs w:val="24"/>
          <w:lang w:eastAsia="en-GB"/>
        </w:rPr>
        <w:t>listened in on a conversation between Thomas and his mistress.</w:t>
      </w:r>
      <w:r w:rsidR="00110F6C">
        <w:rPr>
          <w:rFonts w:ascii="Times New Roman" w:eastAsia="Times New Roman" w:hAnsi="Times New Roman" w:cs="Times New Roman"/>
          <w:color w:val="000000"/>
          <w:sz w:val="24"/>
          <w:szCs w:val="24"/>
          <w:lang w:eastAsia="en-GB"/>
        </w:rPr>
        <w:t xml:space="preserve"> When they heard Thomas enter</w:t>
      </w:r>
      <w:r w:rsidR="00A0795D">
        <w:rPr>
          <w:rFonts w:ascii="Times New Roman" w:eastAsia="Times New Roman" w:hAnsi="Times New Roman" w:cs="Times New Roman"/>
          <w:color w:val="000000"/>
          <w:sz w:val="24"/>
          <w:szCs w:val="24"/>
          <w:lang w:eastAsia="en-GB"/>
        </w:rPr>
        <w:t xml:space="preserve"> th</w:t>
      </w:r>
      <w:r w:rsidR="00A96EA5">
        <w:rPr>
          <w:rFonts w:ascii="Times New Roman" w:eastAsia="Times New Roman" w:hAnsi="Times New Roman" w:cs="Times New Roman"/>
          <w:color w:val="000000"/>
          <w:sz w:val="24"/>
          <w:szCs w:val="24"/>
          <w:lang w:eastAsia="en-GB"/>
        </w:rPr>
        <w:t>e room</w:t>
      </w:r>
      <w:r w:rsidR="00110F6C">
        <w:rPr>
          <w:rFonts w:ascii="Times New Roman" w:eastAsia="Times New Roman" w:hAnsi="Times New Roman" w:cs="Times New Roman"/>
          <w:color w:val="000000"/>
          <w:sz w:val="24"/>
          <w:szCs w:val="24"/>
          <w:lang w:eastAsia="en-GB"/>
        </w:rPr>
        <w:t>,</w:t>
      </w:r>
      <w:r w:rsidR="00A96EA5">
        <w:rPr>
          <w:rFonts w:ascii="Times New Roman" w:eastAsia="Times New Roman" w:hAnsi="Times New Roman" w:cs="Times New Roman"/>
          <w:color w:val="000000"/>
          <w:sz w:val="24"/>
          <w:szCs w:val="24"/>
          <w:lang w:eastAsia="en-GB"/>
        </w:rPr>
        <w:t xml:space="preserve"> Marion and Margaret </w:t>
      </w:r>
      <w:r w:rsidR="00A0795D">
        <w:rPr>
          <w:rFonts w:ascii="Times New Roman" w:eastAsia="Times New Roman" w:hAnsi="Times New Roman" w:cs="Times New Roman"/>
          <w:color w:val="000000"/>
          <w:sz w:val="24"/>
          <w:szCs w:val="24"/>
          <w:lang w:eastAsia="en-GB"/>
        </w:rPr>
        <w:t>hu</w:t>
      </w:r>
      <w:r w:rsidR="00110F6C">
        <w:rPr>
          <w:rFonts w:ascii="Times New Roman" w:eastAsia="Times New Roman" w:hAnsi="Times New Roman" w:cs="Times New Roman"/>
          <w:color w:val="000000"/>
          <w:sz w:val="24"/>
          <w:szCs w:val="24"/>
          <w:lang w:eastAsia="en-GB"/>
        </w:rPr>
        <w:t xml:space="preserve">rried back to spinning wheels </w:t>
      </w:r>
      <w:r w:rsidR="00A0795D">
        <w:rPr>
          <w:rFonts w:ascii="Times New Roman" w:eastAsia="Times New Roman" w:hAnsi="Times New Roman" w:cs="Times New Roman"/>
          <w:color w:val="000000"/>
          <w:sz w:val="24"/>
          <w:szCs w:val="24"/>
          <w:lang w:eastAsia="en-GB"/>
        </w:rPr>
        <w:t>in the hall. John</w:t>
      </w:r>
      <w:r w:rsidR="00315A97">
        <w:rPr>
          <w:rFonts w:ascii="Times New Roman" w:eastAsia="Times New Roman" w:hAnsi="Times New Roman" w:cs="Times New Roman"/>
          <w:color w:val="000000"/>
          <w:sz w:val="24"/>
          <w:szCs w:val="24"/>
          <w:lang w:eastAsia="en-GB"/>
        </w:rPr>
        <w:t xml:space="preserve">, however, ran into the garden. His master chased him and </w:t>
      </w:r>
      <w:r w:rsidR="00A0795D">
        <w:rPr>
          <w:rFonts w:ascii="Times New Roman" w:eastAsia="Times New Roman" w:hAnsi="Times New Roman" w:cs="Times New Roman"/>
          <w:color w:val="000000"/>
          <w:sz w:val="24"/>
          <w:szCs w:val="24"/>
          <w:lang w:eastAsia="en-GB"/>
        </w:rPr>
        <w:t xml:space="preserve">struck </w:t>
      </w:r>
      <w:r w:rsidR="00315A97">
        <w:rPr>
          <w:rFonts w:ascii="Times New Roman" w:eastAsia="Times New Roman" w:hAnsi="Times New Roman" w:cs="Times New Roman"/>
          <w:color w:val="000000"/>
          <w:sz w:val="24"/>
          <w:szCs w:val="24"/>
          <w:lang w:eastAsia="en-GB"/>
        </w:rPr>
        <w:t xml:space="preserve">him </w:t>
      </w:r>
      <w:r w:rsidR="00A0795D">
        <w:rPr>
          <w:rFonts w:ascii="Times New Roman" w:eastAsia="Times New Roman" w:hAnsi="Times New Roman" w:cs="Times New Roman"/>
          <w:color w:val="000000"/>
          <w:sz w:val="24"/>
          <w:szCs w:val="24"/>
          <w:lang w:eastAsia="en-GB"/>
        </w:rPr>
        <w:t xml:space="preserve">on the foot </w:t>
      </w:r>
      <w:r w:rsidR="00315A97">
        <w:rPr>
          <w:rFonts w:ascii="Times New Roman" w:eastAsia="Times New Roman" w:hAnsi="Times New Roman" w:cs="Times New Roman"/>
          <w:color w:val="000000"/>
          <w:sz w:val="24"/>
          <w:szCs w:val="24"/>
          <w:lang w:eastAsia="en-GB"/>
        </w:rPr>
        <w:t>with a staff.</w:t>
      </w:r>
      <w:r w:rsidR="00111FEB">
        <w:rPr>
          <w:rStyle w:val="FootnoteReference"/>
          <w:rFonts w:ascii="Times New Roman" w:eastAsia="Times New Roman" w:hAnsi="Times New Roman" w:cs="Times New Roman"/>
          <w:color w:val="000000"/>
          <w:sz w:val="24"/>
          <w:szCs w:val="24"/>
          <w:lang w:eastAsia="en-GB"/>
        </w:rPr>
        <w:footnoteReference w:id="63"/>
      </w:r>
      <w:r w:rsidR="00315A97">
        <w:rPr>
          <w:rFonts w:ascii="Times New Roman" w:eastAsia="Times New Roman" w:hAnsi="Times New Roman" w:cs="Times New Roman"/>
          <w:color w:val="000000"/>
          <w:sz w:val="24"/>
          <w:szCs w:val="24"/>
          <w:lang w:eastAsia="en-GB"/>
        </w:rPr>
        <w:t xml:space="preserve"> Implicitly the two women were keeping one another company </w:t>
      </w:r>
      <w:r w:rsidR="00A96EA5">
        <w:rPr>
          <w:rFonts w:ascii="Times New Roman" w:eastAsia="Times New Roman" w:hAnsi="Times New Roman" w:cs="Times New Roman"/>
          <w:color w:val="000000"/>
          <w:sz w:val="24"/>
          <w:szCs w:val="24"/>
          <w:lang w:eastAsia="en-GB"/>
        </w:rPr>
        <w:t>whilst spinning</w:t>
      </w:r>
      <w:r w:rsidR="00315A97">
        <w:rPr>
          <w:rFonts w:ascii="Times New Roman" w:eastAsia="Times New Roman" w:hAnsi="Times New Roman" w:cs="Times New Roman"/>
          <w:color w:val="000000"/>
          <w:sz w:val="24"/>
          <w:szCs w:val="24"/>
          <w:lang w:eastAsia="en-GB"/>
        </w:rPr>
        <w:t xml:space="preserve"> woollen yarn. </w:t>
      </w:r>
    </w:p>
    <w:p w14:paraId="65780427" w14:textId="40BC4A8B" w:rsidR="00311FBA" w:rsidRDefault="00A03169" w:rsidP="00C324C6">
      <w:p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ab/>
      </w:r>
      <w:r w:rsidR="00E17A2B">
        <w:rPr>
          <w:rFonts w:ascii="Times New Roman" w:eastAsia="Times New Roman" w:hAnsi="Times New Roman" w:cs="Times New Roman"/>
          <w:color w:val="000000"/>
          <w:sz w:val="24"/>
          <w:szCs w:val="24"/>
          <w:lang w:eastAsia="en-GB"/>
        </w:rPr>
        <w:t xml:space="preserve">The capacity of the hall to function as a dining space was dependent on the </w:t>
      </w:r>
      <w:r w:rsidR="002C726E">
        <w:rPr>
          <w:rFonts w:ascii="Times New Roman" w:eastAsia="Times New Roman" w:hAnsi="Times New Roman" w:cs="Times New Roman"/>
          <w:color w:val="000000"/>
          <w:sz w:val="24"/>
          <w:szCs w:val="24"/>
          <w:lang w:eastAsia="en-GB"/>
        </w:rPr>
        <w:t>presence of the kitchen, a comparatively</w:t>
      </w:r>
      <w:r w:rsidR="008C0D88">
        <w:rPr>
          <w:rFonts w:ascii="Times New Roman" w:eastAsia="Times New Roman" w:hAnsi="Times New Roman" w:cs="Times New Roman"/>
          <w:color w:val="000000"/>
          <w:sz w:val="24"/>
          <w:szCs w:val="24"/>
          <w:lang w:eastAsia="en-GB"/>
        </w:rPr>
        <w:t xml:space="preserve"> ubiquitous and necessary element of the bourgeois </w:t>
      </w:r>
      <w:r w:rsidR="00AB073C">
        <w:rPr>
          <w:rFonts w:ascii="Times New Roman" w:eastAsia="Times New Roman" w:hAnsi="Times New Roman" w:cs="Times New Roman"/>
          <w:color w:val="000000"/>
          <w:sz w:val="24"/>
          <w:szCs w:val="24"/>
          <w:lang w:eastAsia="en-GB"/>
        </w:rPr>
        <w:t>house</w:t>
      </w:r>
      <w:r w:rsidR="00281F38">
        <w:rPr>
          <w:rFonts w:ascii="Times New Roman" w:eastAsia="Times New Roman" w:hAnsi="Times New Roman" w:cs="Times New Roman"/>
          <w:color w:val="000000"/>
          <w:sz w:val="24"/>
          <w:szCs w:val="24"/>
          <w:lang w:eastAsia="en-GB"/>
        </w:rPr>
        <w:t>. It</w:t>
      </w:r>
      <w:r w:rsidR="00AB073C">
        <w:rPr>
          <w:rFonts w:ascii="Times New Roman" w:eastAsia="Times New Roman" w:hAnsi="Times New Roman" w:cs="Times New Roman"/>
          <w:color w:val="000000"/>
          <w:sz w:val="24"/>
          <w:szCs w:val="24"/>
          <w:lang w:eastAsia="en-GB"/>
        </w:rPr>
        <w:t xml:space="preserve"> provide</w:t>
      </w:r>
      <w:r w:rsidR="00281F38">
        <w:rPr>
          <w:rFonts w:ascii="Times New Roman" w:eastAsia="Times New Roman" w:hAnsi="Times New Roman" w:cs="Times New Roman"/>
          <w:color w:val="000000"/>
          <w:sz w:val="24"/>
          <w:szCs w:val="24"/>
          <w:lang w:eastAsia="en-GB"/>
        </w:rPr>
        <w:t>d</w:t>
      </w:r>
      <w:r w:rsidR="00AB073C">
        <w:rPr>
          <w:rFonts w:ascii="Times New Roman" w:eastAsia="Times New Roman" w:hAnsi="Times New Roman" w:cs="Times New Roman"/>
          <w:color w:val="000000"/>
          <w:sz w:val="24"/>
          <w:szCs w:val="24"/>
          <w:lang w:eastAsia="en-GB"/>
        </w:rPr>
        <w:t xml:space="preserve"> </w:t>
      </w:r>
      <w:r w:rsidR="00233CE7">
        <w:rPr>
          <w:rFonts w:ascii="Times New Roman" w:eastAsia="Times New Roman" w:hAnsi="Times New Roman" w:cs="Times New Roman"/>
          <w:color w:val="000000"/>
          <w:sz w:val="24"/>
          <w:szCs w:val="24"/>
          <w:lang w:eastAsia="en-GB"/>
        </w:rPr>
        <w:t xml:space="preserve">daily meals </w:t>
      </w:r>
      <w:r w:rsidR="00AB073C">
        <w:rPr>
          <w:rFonts w:ascii="Times New Roman" w:eastAsia="Times New Roman" w:hAnsi="Times New Roman" w:cs="Times New Roman"/>
          <w:color w:val="000000"/>
          <w:sz w:val="24"/>
          <w:szCs w:val="24"/>
          <w:lang w:eastAsia="en-GB"/>
        </w:rPr>
        <w:t>not</w:t>
      </w:r>
      <w:r w:rsidR="00233CE7">
        <w:rPr>
          <w:rFonts w:ascii="Times New Roman" w:eastAsia="Times New Roman" w:hAnsi="Times New Roman" w:cs="Times New Roman"/>
          <w:color w:val="000000"/>
          <w:sz w:val="24"/>
          <w:szCs w:val="24"/>
          <w:lang w:eastAsia="en-GB"/>
        </w:rPr>
        <w:t xml:space="preserve"> only for </w:t>
      </w:r>
      <w:r w:rsidR="00AB073C">
        <w:rPr>
          <w:rFonts w:ascii="Times New Roman" w:eastAsia="Times New Roman" w:hAnsi="Times New Roman" w:cs="Times New Roman"/>
          <w:color w:val="000000"/>
          <w:sz w:val="24"/>
          <w:szCs w:val="24"/>
          <w:lang w:eastAsia="en-GB"/>
        </w:rPr>
        <w:t>household membe</w:t>
      </w:r>
      <w:r w:rsidR="00EC2198">
        <w:rPr>
          <w:rFonts w:ascii="Times New Roman" w:eastAsia="Times New Roman" w:hAnsi="Times New Roman" w:cs="Times New Roman"/>
          <w:color w:val="000000"/>
          <w:sz w:val="24"/>
          <w:szCs w:val="24"/>
          <w:lang w:eastAsia="en-GB"/>
        </w:rPr>
        <w:t xml:space="preserve">rs including live-in servants, but also day labour or journeymen who would be provided </w:t>
      </w:r>
      <w:r w:rsidR="00233CE7">
        <w:rPr>
          <w:rFonts w:ascii="Times New Roman" w:eastAsia="Times New Roman" w:hAnsi="Times New Roman" w:cs="Times New Roman"/>
          <w:color w:val="000000"/>
          <w:sz w:val="24"/>
          <w:szCs w:val="24"/>
          <w:lang w:eastAsia="en-GB"/>
        </w:rPr>
        <w:t xml:space="preserve">with a midday meal, and </w:t>
      </w:r>
      <w:r w:rsidR="00EC2198">
        <w:rPr>
          <w:rFonts w:ascii="Times New Roman" w:eastAsia="Times New Roman" w:hAnsi="Times New Roman" w:cs="Times New Roman"/>
          <w:color w:val="000000"/>
          <w:sz w:val="24"/>
          <w:szCs w:val="24"/>
          <w:lang w:eastAsia="en-GB"/>
        </w:rPr>
        <w:t>the guests whose entertainment was a facet of bourgeois society.</w:t>
      </w:r>
      <w:r w:rsidR="00224EC0">
        <w:rPr>
          <w:rFonts w:ascii="Times New Roman" w:eastAsia="Times New Roman" w:hAnsi="Times New Roman" w:cs="Times New Roman"/>
          <w:color w:val="000000"/>
          <w:sz w:val="24"/>
          <w:szCs w:val="24"/>
          <w:lang w:eastAsia="en-GB"/>
        </w:rPr>
        <w:t xml:space="preserve"> </w:t>
      </w:r>
      <w:r w:rsidR="00DF63AA">
        <w:rPr>
          <w:rFonts w:ascii="Times New Roman" w:eastAsia="Times New Roman" w:hAnsi="Times New Roman" w:cs="Times New Roman"/>
          <w:color w:val="000000"/>
          <w:sz w:val="24"/>
          <w:szCs w:val="24"/>
          <w:lang w:eastAsia="en-GB"/>
        </w:rPr>
        <w:t>O</w:t>
      </w:r>
      <w:r w:rsidR="00DF63AA">
        <w:rPr>
          <w:rFonts w:ascii="Times New Roman" w:eastAsia="Times New Roman" w:hAnsi="Times New Roman" w:cs="Times New Roman"/>
          <w:color w:val="000000"/>
          <w:sz w:val="24"/>
          <w:szCs w:val="24"/>
          <w:lang w:eastAsia="en-GB"/>
        </w:rPr>
        <w:t>nly in the most prosperous town houses associated particularly with higher clergy</w:t>
      </w:r>
      <w:r w:rsidR="00DF63AA">
        <w:rPr>
          <w:rFonts w:ascii="Times New Roman" w:eastAsia="Times New Roman" w:hAnsi="Times New Roman" w:cs="Times New Roman"/>
          <w:color w:val="000000"/>
          <w:sz w:val="24"/>
          <w:szCs w:val="24"/>
          <w:lang w:eastAsia="en-GB"/>
        </w:rPr>
        <w:t xml:space="preserve"> was t</w:t>
      </w:r>
      <w:r w:rsidR="00224EC0">
        <w:rPr>
          <w:rFonts w:ascii="Times New Roman" w:eastAsia="Times New Roman" w:hAnsi="Times New Roman" w:cs="Times New Roman"/>
          <w:color w:val="000000"/>
          <w:sz w:val="24"/>
          <w:szCs w:val="24"/>
          <w:lang w:eastAsia="en-GB"/>
        </w:rPr>
        <w:t xml:space="preserve">he </w:t>
      </w:r>
      <w:r w:rsidR="00224EC0">
        <w:rPr>
          <w:rFonts w:ascii="Times New Roman" w:eastAsia="Times New Roman" w:hAnsi="Times New Roman" w:cs="Times New Roman"/>
          <w:color w:val="000000"/>
          <w:sz w:val="24"/>
          <w:szCs w:val="24"/>
          <w:lang w:eastAsia="en-GB"/>
        </w:rPr>
        <w:t xml:space="preserve">kitchen associated with buttery and pantry, </w:t>
      </w:r>
      <w:r w:rsidR="00BD4A7E">
        <w:rPr>
          <w:rFonts w:ascii="Times New Roman" w:eastAsia="Times New Roman" w:hAnsi="Times New Roman" w:cs="Times New Roman"/>
          <w:color w:val="000000"/>
          <w:sz w:val="24"/>
          <w:szCs w:val="24"/>
          <w:lang w:eastAsia="en-GB"/>
        </w:rPr>
        <w:t>an arrangement that</w:t>
      </w:r>
      <w:r w:rsidR="00233CE7">
        <w:rPr>
          <w:rFonts w:ascii="Times New Roman" w:eastAsia="Times New Roman" w:hAnsi="Times New Roman" w:cs="Times New Roman"/>
          <w:color w:val="000000"/>
          <w:sz w:val="24"/>
          <w:szCs w:val="24"/>
          <w:lang w:eastAsia="en-GB"/>
        </w:rPr>
        <w:t xml:space="preserve"> suggests the </w:t>
      </w:r>
      <w:r w:rsidR="00BD4A7E">
        <w:rPr>
          <w:rFonts w:ascii="Times New Roman" w:eastAsia="Times New Roman" w:hAnsi="Times New Roman" w:cs="Times New Roman"/>
          <w:color w:val="000000"/>
          <w:sz w:val="24"/>
          <w:szCs w:val="24"/>
          <w:lang w:eastAsia="en-GB"/>
        </w:rPr>
        <w:t>hall, cross passage, and service w</w:t>
      </w:r>
      <w:r w:rsidR="00224EC0">
        <w:rPr>
          <w:rFonts w:ascii="Times New Roman" w:eastAsia="Times New Roman" w:hAnsi="Times New Roman" w:cs="Times New Roman"/>
          <w:color w:val="000000"/>
          <w:sz w:val="24"/>
          <w:szCs w:val="24"/>
          <w:lang w:eastAsia="en-GB"/>
        </w:rPr>
        <w:t xml:space="preserve">ing arrangement of </w:t>
      </w:r>
      <w:r w:rsidR="00DF63AA">
        <w:rPr>
          <w:rFonts w:ascii="Times New Roman" w:eastAsia="Times New Roman" w:hAnsi="Times New Roman" w:cs="Times New Roman"/>
          <w:color w:val="000000"/>
          <w:sz w:val="24"/>
          <w:szCs w:val="24"/>
          <w:lang w:eastAsia="en-GB"/>
        </w:rPr>
        <w:t xml:space="preserve">the </w:t>
      </w:r>
      <w:r w:rsidR="00224EC0">
        <w:rPr>
          <w:rFonts w:ascii="Times New Roman" w:eastAsia="Times New Roman" w:hAnsi="Times New Roman" w:cs="Times New Roman"/>
          <w:color w:val="000000"/>
          <w:sz w:val="24"/>
          <w:szCs w:val="24"/>
          <w:lang w:eastAsia="en-GB"/>
        </w:rPr>
        <w:t>aristocratic</w:t>
      </w:r>
      <w:r w:rsidR="00DF63AA">
        <w:rPr>
          <w:rFonts w:ascii="Times New Roman" w:eastAsia="Times New Roman" w:hAnsi="Times New Roman" w:cs="Times New Roman"/>
          <w:color w:val="000000"/>
          <w:sz w:val="24"/>
          <w:szCs w:val="24"/>
          <w:lang w:eastAsia="en-GB"/>
        </w:rPr>
        <w:t xml:space="preserve"> house</w:t>
      </w:r>
      <w:r w:rsidR="00DF0D6D">
        <w:rPr>
          <w:rFonts w:ascii="Times New Roman" w:eastAsia="Times New Roman" w:hAnsi="Times New Roman" w:cs="Times New Roman"/>
          <w:color w:val="000000"/>
          <w:sz w:val="24"/>
          <w:szCs w:val="24"/>
          <w:lang w:eastAsia="en-GB"/>
        </w:rPr>
        <w:t>.</w:t>
      </w:r>
      <w:r w:rsidR="00BD4A7E">
        <w:rPr>
          <w:rStyle w:val="FootnoteReference"/>
          <w:rFonts w:ascii="Times New Roman" w:eastAsia="Times New Roman" w:hAnsi="Times New Roman" w:cs="Times New Roman"/>
          <w:color w:val="000000"/>
          <w:sz w:val="24"/>
          <w:szCs w:val="24"/>
          <w:lang w:eastAsia="en-GB"/>
        </w:rPr>
        <w:footnoteReference w:id="64"/>
      </w:r>
      <w:r w:rsidR="00DF0D6D">
        <w:rPr>
          <w:rFonts w:ascii="Times New Roman" w:eastAsia="Times New Roman" w:hAnsi="Times New Roman" w:cs="Times New Roman"/>
          <w:color w:val="000000"/>
          <w:sz w:val="24"/>
          <w:szCs w:val="24"/>
          <w:lang w:eastAsia="en-GB"/>
        </w:rPr>
        <w:t xml:space="preserve"> The kitchens recorded appear to be well equippe</w:t>
      </w:r>
      <w:r w:rsidR="007C30CC">
        <w:rPr>
          <w:rFonts w:ascii="Times New Roman" w:eastAsia="Times New Roman" w:hAnsi="Times New Roman" w:cs="Times New Roman"/>
          <w:color w:val="000000"/>
          <w:sz w:val="24"/>
          <w:szCs w:val="24"/>
          <w:lang w:eastAsia="en-GB"/>
        </w:rPr>
        <w:t>d for general cooking tasks. M</w:t>
      </w:r>
      <w:r w:rsidR="00D035EA">
        <w:rPr>
          <w:rFonts w:ascii="Times New Roman" w:eastAsia="Times New Roman" w:hAnsi="Times New Roman" w:cs="Times New Roman"/>
          <w:color w:val="000000"/>
          <w:sz w:val="24"/>
          <w:szCs w:val="24"/>
          <w:lang w:eastAsia="en-GB"/>
        </w:rPr>
        <w:t xml:space="preserve">ost, but not all, provided spits and related utensils for roasting. </w:t>
      </w:r>
      <w:r w:rsidR="007C30CC">
        <w:rPr>
          <w:rFonts w:ascii="Times New Roman" w:eastAsia="Times New Roman" w:hAnsi="Times New Roman" w:cs="Times New Roman"/>
          <w:color w:val="000000"/>
          <w:sz w:val="24"/>
          <w:szCs w:val="24"/>
          <w:lang w:eastAsia="en-GB"/>
        </w:rPr>
        <w:t xml:space="preserve">The capacity to </w:t>
      </w:r>
      <w:r w:rsidR="009252B4">
        <w:rPr>
          <w:rFonts w:ascii="Times New Roman" w:eastAsia="Times New Roman" w:hAnsi="Times New Roman" w:cs="Times New Roman"/>
          <w:color w:val="000000"/>
          <w:sz w:val="24"/>
          <w:szCs w:val="24"/>
          <w:lang w:eastAsia="en-GB"/>
        </w:rPr>
        <w:t>roast meat and poultry such as might be expected for major feasts and entertaining appear</w:t>
      </w:r>
      <w:r w:rsidR="007C30CC">
        <w:rPr>
          <w:rFonts w:ascii="Times New Roman" w:eastAsia="Times New Roman" w:hAnsi="Times New Roman" w:cs="Times New Roman"/>
          <w:color w:val="000000"/>
          <w:sz w:val="24"/>
          <w:szCs w:val="24"/>
          <w:lang w:eastAsia="en-GB"/>
        </w:rPr>
        <w:t>s</w:t>
      </w:r>
      <w:r w:rsidR="009252B4">
        <w:rPr>
          <w:rFonts w:ascii="Times New Roman" w:eastAsia="Times New Roman" w:hAnsi="Times New Roman" w:cs="Times New Roman"/>
          <w:color w:val="000000"/>
          <w:sz w:val="24"/>
          <w:szCs w:val="24"/>
          <w:lang w:eastAsia="en-GB"/>
        </w:rPr>
        <w:t xml:space="preserve"> </w:t>
      </w:r>
      <w:r w:rsidR="007C30CC">
        <w:rPr>
          <w:rFonts w:ascii="Times New Roman" w:eastAsia="Times New Roman" w:hAnsi="Times New Roman" w:cs="Times New Roman"/>
          <w:color w:val="000000"/>
          <w:sz w:val="24"/>
          <w:szCs w:val="24"/>
          <w:lang w:eastAsia="en-GB"/>
        </w:rPr>
        <w:t>to be equated with wealth. T</w:t>
      </w:r>
      <w:r w:rsidR="009252B4" w:rsidRPr="001679DF">
        <w:rPr>
          <w:rFonts w:ascii="Times New Roman" w:eastAsia="Times New Roman" w:hAnsi="Times New Roman" w:cs="Times New Roman"/>
          <w:color w:val="000000"/>
          <w:sz w:val="24"/>
          <w:szCs w:val="24"/>
          <w:lang w:eastAsia="en-GB"/>
        </w:rPr>
        <w:t xml:space="preserve">he </w:t>
      </w:r>
      <w:r w:rsidR="001679DF">
        <w:rPr>
          <w:rFonts w:ascii="Times New Roman" w:eastAsia="Times New Roman" w:hAnsi="Times New Roman" w:cs="Times New Roman"/>
          <w:color w:val="000000"/>
          <w:sz w:val="24"/>
          <w:szCs w:val="24"/>
          <w:lang w:eastAsia="en-GB"/>
        </w:rPr>
        <w:t>well-equipped kitchen of the prosperous mason, Hugh Gr</w:t>
      </w:r>
      <w:r w:rsidR="007C30CC">
        <w:rPr>
          <w:rFonts w:ascii="Times New Roman" w:eastAsia="Times New Roman" w:hAnsi="Times New Roman" w:cs="Times New Roman"/>
          <w:color w:val="000000"/>
          <w:sz w:val="24"/>
          <w:szCs w:val="24"/>
          <w:lang w:eastAsia="en-GB"/>
        </w:rPr>
        <w:t>antham contrasts</w:t>
      </w:r>
      <w:r w:rsidR="001679DF">
        <w:rPr>
          <w:rFonts w:ascii="Times New Roman" w:eastAsia="Times New Roman" w:hAnsi="Times New Roman" w:cs="Times New Roman"/>
          <w:color w:val="000000"/>
          <w:sz w:val="24"/>
          <w:szCs w:val="24"/>
          <w:lang w:eastAsia="en-GB"/>
        </w:rPr>
        <w:t xml:space="preserve"> with the rather Spartan </w:t>
      </w:r>
      <w:r w:rsidR="00311FBA">
        <w:rPr>
          <w:rFonts w:ascii="Times New Roman" w:eastAsia="Times New Roman" w:hAnsi="Times New Roman" w:cs="Times New Roman"/>
          <w:color w:val="000000"/>
          <w:sz w:val="24"/>
          <w:szCs w:val="24"/>
          <w:lang w:eastAsia="en-GB"/>
        </w:rPr>
        <w:t>kitchen – no roasting spits here – of Katherine North, whose total goods were valued at less than t</w:t>
      </w:r>
      <w:r w:rsidR="007C30CC">
        <w:rPr>
          <w:rFonts w:ascii="Times New Roman" w:eastAsia="Times New Roman" w:hAnsi="Times New Roman" w:cs="Times New Roman"/>
          <w:color w:val="000000"/>
          <w:sz w:val="24"/>
          <w:szCs w:val="24"/>
          <w:lang w:eastAsia="en-GB"/>
        </w:rPr>
        <w:t>welve shillings and who probably</w:t>
      </w:r>
      <w:r w:rsidR="00311FBA">
        <w:rPr>
          <w:rFonts w:ascii="Times New Roman" w:eastAsia="Times New Roman" w:hAnsi="Times New Roman" w:cs="Times New Roman"/>
          <w:color w:val="000000"/>
          <w:sz w:val="24"/>
          <w:szCs w:val="24"/>
          <w:lang w:eastAsia="en-GB"/>
        </w:rPr>
        <w:t xml:space="preserve"> made her livelihood </w:t>
      </w:r>
      <w:r w:rsidR="00437407">
        <w:rPr>
          <w:rFonts w:ascii="Times New Roman" w:eastAsia="Times New Roman" w:hAnsi="Times New Roman" w:cs="Times New Roman"/>
          <w:color w:val="000000"/>
          <w:sz w:val="24"/>
          <w:szCs w:val="24"/>
          <w:lang w:eastAsia="en-GB"/>
        </w:rPr>
        <w:t>making</w:t>
      </w:r>
      <w:r w:rsidR="0025039F">
        <w:rPr>
          <w:rFonts w:ascii="Times New Roman" w:eastAsia="Times New Roman" w:hAnsi="Times New Roman" w:cs="Times New Roman"/>
          <w:color w:val="000000"/>
          <w:sz w:val="24"/>
          <w:szCs w:val="24"/>
          <w:lang w:eastAsia="en-GB"/>
        </w:rPr>
        <w:t xml:space="preserve"> cheap clothing</w:t>
      </w:r>
      <w:r w:rsidR="00311FBA">
        <w:rPr>
          <w:rFonts w:ascii="Times New Roman" w:eastAsia="Times New Roman" w:hAnsi="Times New Roman" w:cs="Times New Roman"/>
          <w:color w:val="000000"/>
          <w:sz w:val="24"/>
          <w:szCs w:val="24"/>
          <w:lang w:eastAsia="en-GB"/>
        </w:rPr>
        <w:t xml:space="preserve"> and </w:t>
      </w:r>
      <w:r w:rsidR="0025039F">
        <w:rPr>
          <w:rFonts w:ascii="Times New Roman" w:eastAsia="Times New Roman" w:hAnsi="Times New Roman" w:cs="Times New Roman"/>
          <w:color w:val="000000"/>
          <w:sz w:val="24"/>
          <w:szCs w:val="24"/>
          <w:lang w:eastAsia="en-GB"/>
        </w:rPr>
        <w:t xml:space="preserve">as a </w:t>
      </w:r>
      <w:r w:rsidR="00311FBA" w:rsidRPr="008C18A6">
        <w:rPr>
          <w:rFonts w:ascii="Times New Roman" w:eastAsia="Times New Roman" w:hAnsi="Times New Roman" w:cs="Times New Roman"/>
          <w:color w:val="000000"/>
          <w:sz w:val="24"/>
          <w:szCs w:val="24"/>
          <w:lang w:eastAsia="en-GB"/>
        </w:rPr>
        <w:t>laundress.</w:t>
      </w:r>
      <w:r w:rsidR="00311FBA" w:rsidRPr="008C18A6">
        <w:rPr>
          <w:rStyle w:val="FootnoteReference"/>
          <w:rFonts w:ascii="Times New Roman" w:eastAsia="Times New Roman" w:hAnsi="Times New Roman" w:cs="Times New Roman"/>
          <w:color w:val="000000"/>
          <w:sz w:val="24"/>
          <w:szCs w:val="24"/>
          <w:lang w:eastAsia="en-GB"/>
        </w:rPr>
        <w:footnoteReference w:id="65"/>
      </w:r>
      <w:r w:rsidR="00311FBA">
        <w:rPr>
          <w:rFonts w:ascii="Times New Roman" w:eastAsia="Times New Roman" w:hAnsi="Times New Roman" w:cs="Times New Roman"/>
          <w:color w:val="000000"/>
          <w:sz w:val="24"/>
          <w:szCs w:val="24"/>
          <w:lang w:eastAsia="en-GB"/>
        </w:rPr>
        <w:t xml:space="preserve"> </w:t>
      </w:r>
    </w:p>
    <w:p w14:paraId="484432F8" w14:textId="77777777" w:rsidR="00A03169" w:rsidRDefault="007C30CC" w:rsidP="000F43CE">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w:t>
      </w:r>
      <w:r w:rsidR="008C18A6">
        <w:rPr>
          <w:rFonts w:ascii="Times New Roman" w:eastAsia="Times New Roman" w:hAnsi="Times New Roman" w:cs="Times New Roman"/>
          <w:color w:val="000000"/>
          <w:sz w:val="24"/>
          <w:szCs w:val="24"/>
          <w:lang w:eastAsia="en-GB"/>
        </w:rPr>
        <w:t xml:space="preserve">he toll collector, Thomas </w:t>
      </w:r>
      <w:proofErr w:type="spellStart"/>
      <w:r w:rsidR="008C18A6">
        <w:rPr>
          <w:rFonts w:ascii="Times New Roman" w:eastAsia="Times New Roman" w:hAnsi="Times New Roman" w:cs="Times New Roman"/>
          <w:color w:val="000000"/>
          <w:sz w:val="24"/>
          <w:szCs w:val="24"/>
          <w:lang w:eastAsia="en-GB"/>
        </w:rPr>
        <w:t>Peerson</w:t>
      </w:r>
      <w:r>
        <w:rPr>
          <w:rFonts w:ascii="Times New Roman" w:eastAsia="Times New Roman" w:hAnsi="Times New Roman" w:cs="Times New Roman"/>
          <w:color w:val="000000"/>
          <w:sz w:val="24"/>
          <w:szCs w:val="24"/>
          <w:lang w:eastAsia="en-GB"/>
        </w:rPr>
        <w:t>’s</w:t>
      </w:r>
      <w:proofErr w:type="spellEnd"/>
      <w:r w:rsidR="002C726E">
        <w:rPr>
          <w:rFonts w:ascii="Times New Roman" w:eastAsia="Times New Roman" w:hAnsi="Times New Roman" w:cs="Times New Roman"/>
          <w:color w:val="000000"/>
          <w:sz w:val="24"/>
          <w:szCs w:val="24"/>
          <w:lang w:eastAsia="en-GB"/>
        </w:rPr>
        <w:t xml:space="preserve"> </w:t>
      </w:r>
      <w:r w:rsidR="008C18A6">
        <w:rPr>
          <w:rFonts w:ascii="Times New Roman" w:eastAsia="Times New Roman" w:hAnsi="Times New Roman" w:cs="Times New Roman"/>
          <w:color w:val="000000"/>
          <w:sz w:val="24"/>
          <w:szCs w:val="24"/>
          <w:lang w:eastAsia="en-GB"/>
        </w:rPr>
        <w:t>probate register</w:t>
      </w:r>
      <w:r w:rsidR="002C726E">
        <w:rPr>
          <w:rFonts w:ascii="Times New Roman" w:eastAsia="Times New Roman" w:hAnsi="Times New Roman" w:cs="Times New Roman"/>
          <w:color w:val="000000"/>
          <w:sz w:val="24"/>
          <w:szCs w:val="24"/>
          <w:lang w:eastAsia="en-GB"/>
        </w:rPr>
        <w:t xml:space="preserve"> designate</w:t>
      </w:r>
      <w:r>
        <w:rPr>
          <w:rFonts w:ascii="Times New Roman" w:eastAsia="Times New Roman" w:hAnsi="Times New Roman" w:cs="Times New Roman"/>
          <w:color w:val="000000"/>
          <w:sz w:val="24"/>
          <w:szCs w:val="24"/>
          <w:lang w:eastAsia="en-GB"/>
        </w:rPr>
        <w:t>s</w:t>
      </w:r>
      <w:r w:rsidR="002C726E">
        <w:rPr>
          <w:rFonts w:ascii="Times New Roman" w:eastAsia="Times New Roman" w:hAnsi="Times New Roman" w:cs="Times New Roman"/>
          <w:color w:val="000000"/>
          <w:sz w:val="24"/>
          <w:szCs w:val="24"/>
          <w:lang w:eastAsia="en-GB"/>
        </w:rPr>
        <w:t xml:space="preserve"> no separate kitchen</w:t>
      </w:r>
      <w:r>
        <w:rPr>
          <w:rFonts w:ascii="Times New Roman" w:eastAsia="Times New Roman" w:hAnsi="Times New Roman" w:cs="Times New Roman"/>
          <w:color w:val="000000"/>
          <w:sz w:val="24"/>
          <w:szCs w:val="24"/>
          <w:lang w:eastAsia="en-GB"/>
        </w:rPr>
        <w:t xml:space="preserve">, implying no clear </w:t>
      </w:r>
      <w:r w:rsidR="00BD4A7E">
        <w:rPr>
          <w:rFonts w:ascii="Times New Roman" w:eastAsia="Times New Roman" w:hAnsi="Times New Roman" w:cs="Times New Roman"/>
          <w:color w:val="000000"/>
          <w:sz w:val="24"/>
          <w:szCs w:val="24"/>
          <w:lang w:eastAsia="en-GB"/>
        </w:rPr>
        <w:t>demarcation by means of screens or partitions within the hall</w:t>
      </w:r>
      <w:r w:rsidR="002C726E">
        <w:rPr>
          <w:rFonts w:ascii="Times New Roman" w:eastAsia="Times New Roman" w:hAnsi="Times New Roman" w:cs="Times New Roman"/>
          <w:color w:val="000000"/>
          <w:sz w:val="24"/>
          <w:szCs w:val="24"/>
          <w:lang w:eastAsia="en-GB"/>
        </w:rPr>
        <w:t>.</w:t>
      </w:r>
      <w:r w:rsidR="00BD4A7E">
        <w:rPr>
          <w:rStyle w:val="FootnoteReference"/>
          <w:rFonts w:ascii="Times New Roman" w:eastAsia="Times New Roman" w:hAnsi="Times New Roman" w:cs="Times New Roman"/>
          <w:color w:val="000000"/>
          <w:sz w:val="24"/>
          <w:szCs w:val="24"/>
          <w:lang w:eastAsia="en-GB"/>
        </w:rPr>
        <w:footnoteReference w:id="66"/>
      </w:r>
      <w:r w:rsidR="002C726E">
        <w:rPr>
          <w:rFonts w:ascii="Times New Roman" w:eastAsia="Times New Roman" w:hAnsi="Times New Roman" w:cs="Times New Roman"/>
          <w:color w:val="000000"/>
          <w:sz w:val="24"/>
          <w:szCs w:val="24"/>
          <w:lang w:eastAsia="en-GB"/>
        </w:rPr>
        <w:t xml:space="preserve"> Instead </w:t>
      </w:r>
      <w:r w:rsidR="008C18A6">
        <w:rPr>
          <w:rFonts w:ascii="Times New Roman" w:eastAsia="Times New Roman" w:hAnsi="Times New Roman" w:cs="Times New Roman"/>
          <w:color w:val="000000"/>
          <w:sz w:val="24"/>
          <w:szCs w:val="24"/>
          <w:lang w:eastAsia="en-GB"/>
        </w:rPr>
        <w:t xml:space="preserve">his </w:t>
      </w:r>
      <w:r w:rsidR="002C726E">
        <w:rPr>
          <w:rFonts w:ascii="Times New Roman" w:eastAsia="Times New Roman" w:hAnsi="Times New Roman" w:cs="Times New Roman"/>
          <w:color w:val="000000"/>
          <w:sz w:val="24"/>
          <w:szCs w:val="24"/>
          <w:lang w:eastAsia="en-GB"/>
        </w:rPr>
        <w:t xml:space="preserve">cooking utensils are itemised </w:t>
      </w:r>
      <w:r>
        <w:rPr>
          <w:rFonts w:ascii="Times New Roman" w:eastAsia="Times New Roman" w:hAnsi="Times New Roman" w:cs="Times New Roman"/>
          <w:color w:val="000000"/>
          <w:sz w:val="24"/>
          <w:szCs w:val="24"/>
          <w:lang w:eastAsia="en-GB"/>
        </w:rPr>
        <w:t xml:space="preserve">as part of the hall, which </w:t>
      </w:r>
      <w:r w:rsidR="002C726E">
        <w:rPr>
          <w:rFonts w:ascii="Times New Roman" w:eastAsia="Times New Roman" w:hAnsi="Times New Roman" w:cs="Times New Roman"/>
          <w:color w:val="000000"/>
          <w:sz w:val="24"/>
          <w:szCs w:val="24"/>
          <w:lang w:eastAsia="en-GB"/>
        </w:rPr>
        <w:t>impl</w:t>
      </w:r>
      <w:r>
        <w:rPr>
          <w:rFonts w:ascii="Times New Roman" w:eastAsia="Times New Roman" w:hAnsi="Times New Roman" w:cs="Times New Roman"/>
          <w:color w:val="000000"/>
          <w:sz w:val="24"/>
          <w:szCs w:val="24"/>
          <w:lang w:eastAsia="en-GB"/>
        </w:rPr>
        <w:t>ies</w:t>
      </w:r>
      <w:r w:rsidR="00D035EA">
        <w:rPr>
          <w:rFonts w:ascii="Times New Roman" w:eastAsia="Times New Roman" w:hAnsi="Times New Roman" w:cs="Times New Roman"/>
          <w:color w:val="000000"/>
          <w:sz w:val="24"/>
          <w:szCs w:val="24"/>
          <w:lang w:eastAsia="en-GB"/>
        </w:rPr>
        <w:t xml:space="preserve"> cooking was achieved over </w:t>
      </w:r>
      <w:r w:rsidR="002C726E">
        <w:rPr>
          <w:rFonts w:ascii="Times New Roman" w:eastAsia="Times New Roman" w:hAnsi="Times New Roman" w:cs="Times New Roman"/>
          <w:color w:val="000000"/>
          <w:sz w:val="24"/>
          <w:szCs w:val="24"/>
          <w:lang w:eastAsia="en-GB"/>
        </w:rPr>
        <w:t xml:space="preserve">a </w:t>
      </w:r>
      <w:r w:rsidR="00A47732">
        <w:rPr>
          <w:rFonts w:ascii="Times New Roman" w:eastAsia="Times New Roman" w:hAnsi="Times New Roman" w:cs="Times New Roman"/>
          <w:color w:val="000000"/>
          <w:sz w:val="24"/>
          <w:szCs w:val="24"/>
          <w:lang w:eastAsia="en-GB"/>
        </w:rPr>
        <w:t>hearth in the hall</w:t>
      </w:r>
      <w:r w:rsidR="008C18A6">
        <w:rPr>
          <w:rFonts w:ascii="Times New Roman" w:eastAsia="Times New Roman" w:hAnsi="Times New Roman" w:cs="Times New Roman"/>
          <w:color w:val="000000"/>
          <w:sz w:val="24"/>
          <w:szCs w:val="24"/>
          <w:lang w:eastAsia="en-GB"/>
        </w:rPr>
        <w:t>, which</w:t>
      </w:r>
      <w:r w:rsidR="00F74306">
        <w:rPr>
          <w:rFonts w:ascii="Times New Roman" w:eastAsia="Times New Roman" w:hAnsi="Times New Roman" w:cs="Times New Roman"/>
          <w:color w:val="000000"/>
          <w:sz w:val="24"/>
          <w:szCs w:val="24"/>
          <w:lang w:eastAsia="en-GB"/>
        </w:rPr>
        <w:t xml:space="preserve"> contained </w:t>
      </w:r>
      <w:r w:rsidR="00F74306" w:rsidRPr="005C63BA">
        <w:rPr>
          <w:rFonts w:ascii="Times New Roman" w:eastAsia="Times New Roman" w:hAnsi="Times New Roman" w:cs="Times New Roman"/>
          <w:i/>
          <w:color w:val="000000"/>
          <w:sz w:val="24"/>
          <w:szCs w:val="24"/>
          <w:lang w:eastAsia="en-GB"/>
        </w:rPr>
        <w:t>inter alia</w:t>
      </w:r>
      <w:r w:rsidR="00F74306">
        <w:rPr>
          <w:rFonts w:ascii="Times New Roman" w:eastAsia="Times New Roman" w:hAnsi="Times New Roman" w:cs="Times New Roman"/>
          <w:color w:val="000000"/>
          <w:sz w:val="24"/>
          <w:szCs w:val="24"/>
          <w:lang w:eastAsia="en-GB"/>
        </w:rPr>
        <w:t xml:space="preserve"> seating, tables, cushions, cooking pots, spits, a mortar, spinning wheels and cards. </w:t>
      </w:r>
      <w:proofErr w:type="spellStart"/>
      <w:r w:rsidR="00F74306">
        <w:rPr>
          <w:rFonts w:ascii="Times New Roman" w:eastAsia="Times New Roman" w:hAnsi="Times New Roman" w:cs="Times New Roman"/>
          <w:color w:val="000000"/>
          <w:sz w:val="24"/>
          <w:szCs w:val="24"/>
          <w:lang w:eastAsia="en-GB"/>
        </w:rPr>
        <w:t>Peerson’</w:t>
      </w:r>
      <w:r w:rsidR="008C18A6">
        <w:rPr>
          <w:rFonts w:ascii="Times New Roman" w:eastAsia="Times New Roman" w:hAnsi="Times New Roman" w:cs="Times New Roman"/>
          <w:color w:val="000000"/>
          <w:sz w:val="24"/>
          <w:szCs w:val="24"/>
          <w:lang w:eastAsia="en-GB"/>
        </w:rPr>
        <w:t>s</w:t>
      </w:r>
      <w:proofErr w:type="spellEnd"/>
      <w:r w:rsidR="008C18A6">
        <w:rPr>
          <w:rFonts w:ascii="Times New Roman" w:eastAsia="Times New Roman" w:hAnsi="Times New Roman" w:cs="Times New Roman"/>
          <w:color w:val="000000"/>
          <w:sz w:val="24"/>
          <w:szCs w:val="24"/>
          <w:lang w:eastAsia="en-GB"/>
        </w:rPr>
        <w:t xml:space="preserve"> goods were </w:t>
      </w:r>
      <w:r w:rsidR="00F74306">
        <w:rPr>
          <w:rFonts w:ascii="Times New Roman" w:eastAsia="Times New Roman" w:hAnsi="Times New Roman" w:cs="Times New Roman"/>
          <w:color w:val="000000"/>
          <w:sz w:val="24"/>
          <w:szCs w:val="24"/>
          <w:lang w:eastAsia="en-GB"/>
        </w:rPr>
        <w:t xml:space="preserve">less valuable </w:t>
      </w:r>
      <w:r>
        <w:rPr>
          <w:rFonts w:ascii="Times New Roman" w:eastAsia="Times New Roman" w:hAnsi="Times New Roman" w:cs="Times New Roman"/>
          <w:color w:val="000000"/>
          <w:sz w:val="24"/>
          <w:szCs w:val="24"/>
          <w:lang w:eastAsia="en-GB"/>
        </w:rPr>
        <w:t xml:space="preserve">than was true of </w:t>
      </w:r>
      <w:r w:rsidR="008C18A6">
        <w:rPr>
          <w:rFonts w:ascii="Times New Roman" w:eastAsia="Times New Roman" w:hAnsi="Times New Roman" w:cs="Times New Roman"/>
          <w:color w:val="000000"/>
          <w:sz w:val="24"/>
          <w:szCs w:val="24"/>
          <w:lang w:eastAsia="en-GB"/>
        </w:rPr>
        <w:t>many</w:t>
      </w:r>
      <w:r w:rsidR="00F74306">
        <w:rPr>
          <w:rFonts w:ascii="Times New Roman" w:eastAsia="Times New Roman" w:hAnsi="Times New Roman" w:cs="Times New Roman"/>
          <w:color w:val="000000"/>
          <w:sz w:val="24"/>
          <w:szCs w:val="24"/>
          <w:lang w:eastAsia="en-GB"/>
        </w:rPr>
        <w:t xml:space="preserve"> inventories associated with separate kitchens and is probably more typical of </w:t>
      </w:r>
      <w:r w:rsidR="008C18A6">
        <w:rPr>
          <w:rFonts w:ascii="Times New Roman" w:eastAsia="Times New Roman" w:hAnsi="Times New Roman" w:cs="Times New Roman"/>
          <w:color w:val="000000"/>
          <w:sz w:val="24"/>
          <w:szCs w:val="24"/>
          <w:lang w:eastAsia="en-GB"/>
        </w:rPr>
        <w:t>poorer artisans who are under-</w:t>
      </w:r>
      <w:r>
        <w:rPr>
          <w:rFonts w:ascii="Times New Roman" w:eastAsia="Times New Roman" w:hAnsi="Times New Roman" w:cs="Times New Roman"/>
          <w:color w:val="000000"/>
          <w:sz w:val="24"/>
          <w:szCs w:val="24"/>
          <w:lang w:eastAsia="en-GB"/>
        </w:rPr>
        <w:t xml:space="preserve">represented in the </w:t>
      </w:r>
      <w:r w:rsidR="00F74306">
        <w:rPr>
          <w:rFonts w:ascii="Times New Roman" w:eastAsia="Times New Roman" w:hAnsi="Times New Roman" w:cs="Times New Roman"/>
          <w:color w:val="000000"/>
          <w:sz w:val="24"/>
          <w:szCs w:val="24"/>
          <w:lang w:eastAsia="en-GB"/>
        </w:rPr>
        <w:t>inventory sample.</w:t>
      </w:r>
      <w:r w:rsidR="00F74306">
        <w:rPr>
          <w:rStyle w:val="FootnoteReference"/>
          <w:rFonts w:ascii="Times New Roman" w:eastAsia="Times New Roman" w:hAnsi="Times New Roman" w:cs="Times New Roman"/>
          <w:color w:val="000000"/>
          <w:sz w:val="24"/>
          <w:szCs w:val="24"/>
          <w:lang w:eastAsia="en-GB"/>
        </w:rPr>
        <w:footnoteReference w:id="67"/>
      </w:r>
      <w:r w:rsidR="00F74306">
        <w:rPr>
          <w:rFonts w:ascii="Times New Roman" w:eastAsia="Times New Roman" w:hAnsi="Times New Roman" w:cs="Times New Roman"/>
          <w:color w:val="000000"/>
          <w:sz w:val="24"/>
          <w:szCs w:val="24"/>
          <w:lang w:eastAsia="en-GB"/>
        </w:rPr>
        <w:t xml:space="preserve">  </w:t>
      </w:r>
      <w:r w:rsidR="008C0D88">
        <w:rPr>
          <w:rFonts w:ascii="Times New Roman" w:eastAsia="Times New Roman" w:hAnsi="Times New Roman" w:cs="Times New Roman"/>
          <w:color w:val="000000"/>
          <w:sz w:val="24"/>
          <w:szCs w:val="24"/>
          <w:lang w:eastAsia="en-GB"/>
        </w:rPr>
        <w:t xml:space="preserve"> </w:t>
      </w:r>
    </w:p>
    <w:p w14:paraId="08BE5EDB" w14:textId="2D954D10" w:rsidR="00BA5DAD" w:rsidRPr="00BA5DAD" w:rsidRDefault="00BA5DAD" w:rsidP="00BA5DAD">
      <w:pPr>
        <w:spacing w:line="360" w:lineRule="auto"/>
        <w:rPr>
          <w:rFonts w:ascii="Times New Roman" w:eastAsia="Times New Roman" w:hAnsi="Times New Roman" w:cs="Times New Roman"/>
          <w:i/>
          <w:color w:val="000000"/>
          <w:sz w:val="24"/>
          <w:szCs w:val="24"/>
          <w:lang w:eastAsia="en-GB"/>
        </w:rPr>
      </w:pPr>
      <w:r w:rsidRPr="00BA5DAD">
        <w:rPr>
          <w:rFonts w:ascii="Times New Roman" w:eastAsia="Times New Roman" w:hAnsi="Times New Roman" w:cs="Times New Roman"/>
          <w:i/>
          <w:color w:val="000000"/>
          <w:sz w:val="24"/>
          <w:szCs w:val="24"/>
          <w:lang w:eastAsia="en-GB"/>
        </w:rPr>
        <w:t>Summer Halls and Parlours</w:t>
      </w:r>
    </w:p>
    <w:p w14:paraId="7B643606" w14:textId="454F109D" w:rsidR="00B83C4B" w:rsidRDefault="00044F6F" w:rsidP="00B83C4B">
      <w:p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00B83C4B">
        <w:rPr>
          <w:rFonts w:ascii="Times New Roman" w:eastAsia="Times New Roman" w:hAnsi="Times New Roman" w:cs="Times New Roman"/>
          <w:color w:val="000000"/>
          <w:sz w:val="24"/>
          <w:szCs w:val="24"/>
          <w:lang w:eastAsia="en-GB"/>
        </w:rPr>
        <w:t>Another</w:t>
      </w:r>
      <w:r w:rsidR="001F632C">
        <w:rPr>
          <w:rFonts w:ascii="Times New Roman" w:eastAsia="Times New Roman" w:hAnsi="Times New Roman" w:cs="Times New Roman"/>
          <w:color w:val="000000"/>
          <w:sz w:val="24"/>
          <w:szCs w:val="24"/>
          <w:lang w:eastAsia="en-GB"/>
        </w:rPr>
        <w:t xml:space="preserve"> space noticed in both our </w:t>
      </w:r>
      <w:r w:rsidR="00B83C4B">
        <w:rPr>
          <w:rFonts w:ascii="Times New Roman" w:eastAsia="Times New Roman" w:hAnsi="Times New Roman" w:cs="Times New Roman"/>
          <w:color w:val="000000"/>
          <w:sz w:val="24"/>
          <w:szCs w:val="24"/>
          <w:lang w:eastAsia="en-GB"/>
        </w:rPr>
        <w:t xml:space="preserve">sources is </w:t>
      </w:r>
      <w:r w:rsidR="0011026F">
        <w:rPr>
          <w:rFonts w:ascii="Times New Roman" w:eastAsia="Times New Roman" w:hAnsi="Times New Roman" w:cs="Times New Roman"/>
          <w:color w:val="000000"/>
          <w:sz w:val="24"/>
          <w:szCs w:val="24"/>
          <w:lang w:eastAsia="en-GB"/>
        </w:rPr>
        <w:t>the summer hall or parlour. T</w:t>
      </w:r>
      <w:r w:rsidR="00B83C4B">
        <w:rPr>
          <w:rFonts w:ascii="Times New Roman" w:eastAsia="Times New Roman" w:hAnsi="Times New Roman" w:cs="Times New Roman"/>
          <w:color w:val="000000"/>
          <w:sz w:val="24"/>
          <w:szCs w:val="24"/>
          <w:lang w:eastAsia="en-GB"/>
        </w:rPr>
        <w:t xml:space="preserve">wo different depositions </w:t>
      </w:r>
      <w:r w:rsidR="0011026F">
        <w:rPr>
          <w:rFonts w:ascii="Times New Roman" w:eastAsia="Times New Roman" w:hAnsi="Times New Roman" w:cs="Times New Roman"/>
          <w:color w:val="000000"/>
          <w:sz w:val="24"/>
          <w:szCs w:val="24"/>
          <w:lang w:eastAsia="en-GB"/>
        </w:rPr>
        <w:t xml:space="preserve">equate </w:t>
      </w:r>
      <w:r w:rsidR="00B83C4B">
        <w:rPr>
          <w:rFonts w:ascii="Times New Roman" w:eastAsia="Times New Roman" w:hAnsi="Times New Roman" w:cs="Times New Roman"/>
          <w:color w:val="000000"/>
          <w:sz w:val="24"/>
          <w:szCs w:val="24"/>
          <w:lang w:eastAsia="en-GB"/>
        </w:rPr>
        <w:t xml:space="preserve">the </w:t>
      </w:r>
      <w:r w:rsidR="0011026F">
        <w:rPr>
          <w:rFonts w:ascii="Times New Roman" w:eastAsia="Times New Roman" w:hAnsi="Times New Roman" w:cs="Times New Roman"/>
          <w:color w:val="000000"/>
          <w:sz w:val="24"/>
          <w:szCs w:val="24"/>
          <w:lang w:eastAsia="en-GB"/>
        </w:rPr>
        <w:t xml:space="preserve">summer hall </w:t>
      </w:r>
      <w:r w:rsidR="00B83C4B">
        <w:rPr>
          <w:rFonts w:ascii="Times New Roman" w:eastAsia="Times New Roman" w:hAnsi="Times New Roman" w:cs="Times New Roman"/>
          <w:color w:val="000000"/>
          <w:sz w:val="24"/>
          <w:szCs w:val="24"/>
          <w:lang w:eastAsia="en-GB"/>
        </w:rPr>
        <w:t>with the parlour. For example, Agnes</w:t>
      </w:r>
      <w:r w:rsidR="00FA074B">
        <w:rPr>
          <w:rFonts w:ascii="Times New Roman" w:eastAsia="Times New Roman" w:hAnsi="Times New Roman" w:cs="Times New Roman"/>
          <w:color w:val="000000"/>
          <w:sz w:val="24"/>
          <w:szCs w:val="24"/>
          <w:lang w:eastAsia="en-GB"/>
        </w:rPr>
        <w:t>,</w:t>
      </w:r>
      <w:r w:rsidR="00B83C4B">
        <w:rPr>
          <w:rFonts w:ascii="Times New Roman" w:eastAsia="Times New Roman" w:hAnsi="Times New Roman" w:cs="Times New Roman"/>
          <w:color w:val="000000"/>
          <w:sz w:val="24"/>
          <w:szCs w:val="24"/>
          <w:lang w:eastAsia="en-GB"/>
        </w:rPr>
        <w:t xml:space="preserve"> the wife </w:t>
      </w:r>
      <w:r w:rsidR="00B83C4B">
        <w:rPr>
          <w:rFonts w:ascii="Times New Roman" w:eastAsia="Times New Roman" w:hAnsi="Times New Roman" w:cs="Times New Roman"/>
          <w:color w:val="000000"/>
          <w:sz w:val="24"/>
          <w:szCs w:val="24"/>
          <w:lang w:eastAsia="en-GB"/>
        </w:rPr>
        <w:lastRenderedPageBreak/>
        <w:t xml:space="preserve">of Robert Bolton described marriage </w:t>
      </w:r>
      <w:r w:rsidR="0011026F">
        <w:rPr>
          <w:rFonts w:ascii="Times New Roman" w:eastAsia="Times New Roman" w:hAnsi="Times New Roman" w:cs="Times New Roman"/>
          <w:color w:val="000000"/>
          <w:sz w:val="24"/>
          <w:szCs w:val="24"/>
          <w:lang w:eastAsia="en-GB"/>
        </w:rPr>
        <w:t xml:space="preserve">negotiations </w:t>
      </w:r>
      <w:r w:rsidR="00B83C4B">
        <w:rPr>
          <w:rFonts w:ascii="Times New Roman" w:eastAsia="Times New Roman" w:hAnsi="Times New Roman" w:cs="Times New Roman"/>
          <w:color w:val="000000"/>
          <w:sz w:val="24"/>
          <w:szCs w:val="24"/>
          <w:lang w:eastAsia="en-GB"/>
        </w:rPr>
        <w:t>taking place ‘</w:t>
      </w:r>
      <w:r w:rsidR="00B83C4B" w:rsidRPr="000A72B8">
        <w:rPr>
          <w:rFonts w:ascii="Times New Roman" w:eastAsia="Times New Roman" w:hAnsi="Times New Roman" w:cs="Times New Roman"/>
          <w:i/>
          <w:color w:val="000000"/>
          <w:sz w:val="24"/>
          <w:szCs w:val="24"/>
          <w:lang w:eastAsia="en-GB"/>
        </w:rPr>
        <w:t xml:space="preserve">in </w:t>
      </w:r>
      <w:proofErr w:type="spellStart"/>
      <w:r w:rsidR="00B83C4B" w:rsidRPr="000A72B8">
        <w:rPr>
          <w:rFonts w:ascii="Times New Roman" w:eastAsia="Times New Roman" w:hAnsi="Times New Roman" w:cs="Times New Roman"/>
          <w:i/>
          <w:color w:val="000000"/>
          <w:sz w:val="24"/>
          <w:szCs w:val="24"/>
          <w:lang w:eastAsia="en-GB"/>
        </w:rPr>
        <w:t>quadam</w:t>
      </w:r>
      <w:proofErr w:type="spellEnd"/>
      <w:r w:rsidR="00B83C4B" w:rsidRPr="000A72B8">
        <w:rPr>
          <w:rFonts w:ascii="Times New Roman" w:eastAsia="Times New Roman" w:hAnsi="Times New Roman" w:cs="Times New Roman"/>
          <w:i/>
          <w:color w:val="000000"/>
          <w:sz w:val="24"/>
          <w:szCs w:val="24"/>
          <w:lang w:eastAsia="en-GB"/>
        </w:rPr>
        <w:t xml:space="preserve"> </w:t>
      </w:r>
      <w:proofErr w:type="spellStart"/>
      <w:r w:rsidR="00B83C4B" w:rsidRPr="000A72B8">
        <w:rPr>
          <w:rFonts w:ascii="Times New Roman" w:eastAsia="Times New Roman" w:hAnsi="Times New Roman" w:cs="Times New Roman"/>
          <w:i/>
          <w:color w:val="000000"/>
          <w:sz w:val="24"/>
          <w:szCs w:val="24"/>
          <w:lang w:eastAsia="en-GB"/>
        </w:rPr>
        <w:t>bassa</w:t>
      </w:r>
      <w:proofErr w:type="spellEnd"/>
      <w:r w:rsidR="00B83C4B" w:rsidRPr="000A72B8">
        <w:rPr>
          <w:rFonts w:ascii="Times New Roman" w:eastAsia="Times New Roman" w:hAnsi="Times New Roman" w:cs="Times New Roman"/>
          <w:i/>
          <w:color w:val="000000"/>
          <w:sz w:val="24"/>
          <w:szCs w:val="24"/>
          <w:lang w:eastAsia="en-GB"/>
        </w:rPr>
        <w:t xml:space="preserve"> </w:t>
      </w:r>
      <w:proofErr w:type="spellStart"/>
      <w:r w:rsidR="00B83C4B" w:rsidRPr="000A72B8">
        <w:rPr>
          <w:rFonts w:ascii="Times New Roman" w:eastAsia="Times New Roman" w:hAnsi="Times New Roman" w:cs="Times New Roman"/>
          <w:i/>
          <w:color w:val="000000"/>
          <w:sz w:val="24"/>
          <w:szCs w:val="24"/>
          <w:lang w:eastAsia="en-GB"/>
        </w:rPr>
        <w:t>parlura</w:t>
      </w:r>
      <w:proofErr w:type="spellEnd"/>
      <w:r w:rsidR="00B83C4B" w:rsidRPr="000A72B8">
        <w:rPr>
          <w:rFonts w:ascii="Times New Roman" w:eastAsia="Times New Roman" w:hAnsi="Times New Roman" w:cs="Times New Roman"/>
          <w:i/>
          <w:color w:val="000000"/>
          <w:sz w:val="24"/>
          <w:szCs w:val="24"/>
          <w:lang w:eastAsia="en-GB"/>
        </w:rPr>
        <w:t xml:space="preserve"> </w:t>
      </w:r>
      <w:proofErr w:type="spellStart"/>
      <w:r w:rsidR="00B83C4B" w:rsidRPr="000A72B8">
        <w:rPr>
          <w:rFonts w:ascii="Times New Roman" w:eastAsia="Times New Roman" w:hAnsi="Times New Roman" w:cs="Times New Roman"/>
          <w:i/>
          <w:color w:val="000000"/>
          <w:sz w:val="24"/>
          <w:szCs w:val="24"/>
          <w:lang w:eastAsia="en-GB"/>
        </w:rPr>
        <w:t>sive</w:t>
      </w:r>
      <w:proofErr w:type="spellEnd"/>
      <w:r w:rsidR="00B83C4B" w:rsidRPr="000A72B8">
        <w:rPr>
          <w:rFonts w:ascii="Times New Roman" w:eastAsia="Times New Roman" w:hAnsi="Times New Roman" w:cs="Times New Roman"/>
          <w:i/>
          <w:color w:val="000000"/>
          <w:sz w:val="24"/>
          <w:szCs w:val="24"/>
          <w:lang w:eastAsia="en-GB"/>
        </w:rPr>
        <w:t xml:space="preserve"> </w:t>
      </w:r>
      <w:proofErr w:type="spellStart"/>
      <w:r w:rsidR="00B83C4B" w:rsidRPr="000A72B8">
        <w:rPr>
          <w:rFonts w:ascii="Times New Roman" w:eastAsia="Times New Roman" w:hAnsi="Times New Roman" w:cs="Times New Roman"/>
          <w:i/>
          <w:color w:val="000000"/>
          <w:sz w:val="24"/>
          <w:szCs w:val="24"/>
          <w:lang w:eastAsia="en-GB"/>
        </w:rPr>
        <w:t>aula</w:t>
      </w:r>
      <w:proofErr w:type="spellEnd"/>
      <w:r w:rsidR="00B83C4B" w:rsidRPr="000A72B8">
        <w:rPr>
          <w:rFonts w:ascii="Times New Roman" w:eastAsia="Times New Roman" w:hAnsi="Times New Roman" w:cs="Times New Roman"/>
          <w:i/>
          <w:color w:val="000000"/>
          <w:sz w:val="24"/>
          <w:szCs w:val="24"/>
          <w:lang w:eastAsia="en-GB"/>
        </w:rPr>
        <w:t xml:space="preserve"> </w:t>
      </w:r>
      <w:proofErr w:type="spellStart"/>
      <w:r w:rsidR="00B83C4B" w:rsidRPr="000A72B8">
        <w:rPr>
          <w:rFonts w:ascii="Times New Roman" w:eastAsia="Times New Roman" w:hAnsi="Times New Roman" w:cs="Times New Roman"/>
          <w:i/>
          <w:color w:val="000000"/>
          <w:sz w:val="24"/>
          <w:szCs w:val="24"/>
          <w:lang w:eastAsia="en-GB"/>
        </w:rPr>
        <w:t>estivali</w:t>
      </w:r>
      <w:proofErr w:type="spellEnd"/>
      <w:r w:rsidR="00B83C4B">
        <w:rPr>
          <w:rFonts w:ascii="Times New Roman" w:eastAsia="Times New Roman" w:hAnsi="Times New Roman" w:cs="Times New Roman"/>
          <w:color w:val="000000"/>
          <w:sz w:val="24"/>
          <w:szCs w:val="24"/>
          <w:lang w:eastAsia="en-GB"/>
        </w:rPr>
        <w:t>’.</w:t>
      </w:r>
      <w:r w:rsidR="00B83C4B">
        <w:rPr>
          <w:rStyle w:val="FootnoteReference"/>
          <w:rFonts w:ascii="Times New Roman" w:eastAsia="Times New Roman" w:hAnsi="Times New Roman" w:cs="Times New Roman"/>
          <w:color w:val="000000"/>
          <w:sz w:val="24"/>
          <w:szCs w:val="24"/>
          <w:lang w:eastAsia="en-GB"/>
        </w:rPr>
        <w:footnoteReference w:id="68"/>
      </w:r>
      <w:r w:rsidR="00B83C4B">
        <w:rPr>
          <w:rFonts w:ascii="Times New Roman" w:eastAsia="Times New Roman" w:hAnsi="Times New Roman" w:cs="Times New Roman"/>
          <w:color w:val="000000"/>
          <w:sz w:val="24"/>
          <w:szCs w:val="24"/>
          <w:lang w:eastAsia="en-GB"/>
        </w:rPr>
        <w:t xml:space="preserve"> </w:t>
      </w:r>
      <w:r w:rsidR="006C4DF5">
        <w:rPr>
          <w:rFonts w:ascii="Times New Roman" w:eastAsia="Times New Roman" w:hAnsi="Times New Roman" w:cs="Times New Roman"/>
          <w:color w:val="000000"/>
          <w:sz w:val="24"/>
          <w:szCs w:val="24"/>
          <w:lang w:eastAsia="en-GB"/>
        </w:rPr>
        <w:t xml:space="preserve">The barber, John </w:t>
      </w:r>
      <w:proofErr w:type="spellStart"/>
      <w:r w:rsidR="006C4DF5">
        <w:rPr>
          <w:rFonts w:ascii="Times New Roman" w:eastAsia="Times New Roman" w:hAnsi="Times New Roman" w:cs="Times New Roman"/>
          <w:color w:val="000000"/>
          <w:sz w:val="24"/>
          <w:szCs w:val="24"/>
          <w:lang w:eastAsia="en-GB"/>
        </w:rPr>
        <w:t>Stub</w:t>
      </w:r>
      <w:r w:rsidR="00F56FF1">
        <w:rPr>
          <w:rFonts w:ascii="Times New Roman" w:eastAsia="Times New Roman" w:hAnsi="Times New Roman" w:cs="Times New Roman"/>
          <w:color w:val="000000"/>
          <w:sz w:val="24"/>
          <w:szCs w:val="24"/>
          <w:lang w:eastAsia="en-GB"/>
        </w:rPr>
        <w:t>bes</w:t>
      </w:r>
      <w:proofErr w:type="spellEnd"/>
      <w:r w:rsidR="00F56FF1">
        <w:rPr>
          <w:rFonts w:ascii="Times New Roman" w:eastAsia="Times New Roman" w:hAnsi="Times New Roman" w:cs="Times New Roman"/>
          <w:color w:val="000000"/>
          <w:sz w:val="24"/>
          <w:szCs w:val="24"/>
          <w:lang w:eastAsia="en-GB"/>
        </w:rPr>
        <w:t>’ inventory distinguishes a</w:t>
      </w:r>
      <w:r w:rsidR="006C4DF5">
        <w:rPr>
          <w:rFonts w:ascii="Times New Roman" w:eastAsia="Times New Roman" w:hAnsi="Times New Roman" w:cs="Times New Roman"/>
          <w:color w:val="000000"/>
          <w:sz w:val="24"/>
          <w:szCs w:val="24"/>
          <w:lang w:eastAsia="en-GB"/>
        </w:rPr>
        <w:t xml:space="preserve"> s</w:t>
      </w:r>
      <w:r w:rsidR="00F56FF1">
        <w:rPr>
          <w:rFonts w:ascii="Times New Roman" w:eastAsia="Times New Roman" w:hAnsi="Times New Roman" w:cs="Times New Roman"/>
          <w:color w:val="000000"/>
          <w:sz w:val="24"/>
          <w:szCs w:val="24"/>
          <w:lang w:eastAsia="en-GB"/>
        </w:rPr>
        <w:t>ummer hall from a</w:t>
      </w:r>
      <w:r w:rsidR="006C4DF5">
        <w:rPr>
          <w:rFonts w:ascii="Times New Roman" w:eastAsia="Times New Roman" w:hAnsi="Times New Roman" w:cs="Times New Roman"/>
          <w:color w:val="000000"/>
          <w:sz w:val="24"/>
          <w:szCs w:val="24"/>
          <w:lang w:eastAsia="en-GB"/>
        </w:rPr>
        <w:t xml:space="preserve"> </w:t>
      </w:r>
      <w:r w:rsidR="00F56FF1">
        <w:rPr>
          <w:rFonts w:ascii="Times New Roman" w:eastAsia="Times New Roman" w:hAnsi="Times New Roman" w:cs="Times New Roman"/>
          <w:color w:val="000000"/>
          <w:sz w:val="24"/>
          <w:szCs w:val="24"/>
          <w:lang w:eastAsia="en-GB"/>
        </w:rPr>
        <w:t>‘</w:t>
      </w:r>
      <w:r w:rsidR="006C4DF5">
        <w:rPr>
          <w:rFonts w:ascii="Times New Roman" w:eastAsia="Times New Roman" w:hAnsi="Times New Roman" w:cs="Times New Roman"/>
          <w:color w:val="000000"/>
          <w:sz w:val="24"/>
          <w:szCs w:val="24"/>
          <w:lang w:eastAsia="en-GB"/>
        </w:rPr>
        <w:t>winter hall</w:t>
      </w:r>
      <w:r w:rsidR="00F56FF1">
        <w:rPr>
          <w:rFonts w:ascii="Times New Roman" w:eastAsia="Times New Roman" w:hAnsi="Times New Roman" w:cs="Times New Roman"/>
          <w:color w:val="000000"/>
          <w:sz w:val="24"/>
          <w:szCs w:val="24"/>
          <w:lang w:eastAsia="en-GB"/>
        </w:rPr>
        <w:t>’</w:t>
      </w:r>
      <w:r w:rsidR="00BC1ED5">
        <w:rPr>
          <w:rFonts w:ascii="Times New Roman" w:eastAsia="Times New Roman" w:hAnsi="Times New Roman" w:cs="Times New Roman"/>
          <w:color w:val="000000"/>
          <w:sz w:val="24"/>
          <w:szCs w:val="24"/>
          <w:lang w:eastAsia="en-GB"/>
        </w:rPr>
        <w:t>, a usage that may imply that the former was unheated, whereas a hearth was a prerequisite for regular halls</w:t>
      </w:r>
      <w:r w:rsidR="006C4DF5">
        <w:rPr>
          <w:rFonts w:ascii="Times New Roman" w:eastAsia="Times New Roman" w:hAnsi="Times New Roman" w:cs="Times New Roman"/>
          <w:color w:val="000000"/>
          <w:sz w:val="24"/>
          <w:szCs w:val="24"/>
          <w:lang w:eastAsia="en-GB"/>
        </w:rPr>
        <w:t>.</w:t>
      </w:r>
      <w:r w:rsidR="006C4DF5">
        <w:rPr>
          <w:rStyle w:val="FootnoteReference"/>
          <w:rFonts w:ascii="Times New Roman" w:eastAsia="Times New Roman" w:hAnsi="Times New Roman" w:cs="Times New Roman"/>
          <w:color w:val="000000"/>
          <w:sz w:val="24"/>
          <w:szCs w:val="24"/>
          <w:lang w:eastAsia="en-GB"/>
        </w:rPr>
        <w:footnoteReference w:id="69"/>
      </w:r>
      <w:r w:rsidR="006C4DF5">
        <w:rPr>
          <w:rFonts w:ascii="Times New Roman" w:eastAsia="Times New Roman" w:hAnsi="Times New Roman" w:cs="Times New Roman"/>
          <w:color w:val="000000"/>
          <w:sz w:val="24"/>
          <w:szCs w:val="24"/>
          <w:lang w:eastAsia="en-GB"/>
        </w:rPr>
        <w:t xml:space="preserve"> </w:t>
      </w:r>
      <w:r w:rsidR="00F56FF1">
        <w:rPr>
          <w:rFonts w:ascii="Times New Roman" w:eastAsia="Times New Roman" w:hAnsi="Times New Roman" w:cs="Times New Roman"/>
          <w:color w:val="000000"/>
          <w:sz w:val="24"/>
          <w:szCs w:val="24"/>
          <w:lang w:eastAsia="en-GB"/>
        </w:rPr>
        <w:t xml:space="preserve">There is </w:t>
      </w:r>
      <w:r w:rsidR="00B83C4B">
        <w:rPr>
          <w:rFonts w:ascii="Times New Roman" w:eastAsia="Times New Roman" w:hAnsi="Times New Roman" w:cs="Times New Roman"/>
          <w:color w:val="000000"/>
          <w:sz w:val="24"/>
          <w:szCs w:val="24"/>
          <w:lang w:eastAsia="en-GB"/>
        </w:rPr>
        <w:t>indic</w:t>
      </w:r>
      <w:r w:rsidR="00F56FF1">
        <w:rPr>
          <w:rFonts w:ascii="Times New Roman" w:eastAsia="Times New Roman" w:hAnsi="Times New Roman" w:cs="Times New Roman"/>
          <w:color w:val="000000"/>
          <w:sz w:val="24"/>
          <w:szCs w:val="24"/>
          <w:lang w:eastAsia="en-GB"/>
        </w:rPr>
        <w:t xml:space="preserve">ation that the term parlour had largely displaced </w:t>
      </w:r>
      <w:r w:rsidR="00B83C4B">
        <w:rPr>
          <w:rFonts w:ascii="Times New Roman" w:eastAsia="Times New Roman" w:hAnsi="Times New Roman" w:cs="Times New Roman"/>
          <w:color w:val="000000"/>
          <w:sz w:val="24"/>
          <w:szCs w:val="24"/>
          <w:lang w:eastAsia="en-GB"/>
        </w:rPr>
        <w:t>summer hall by the end of our period.</w:t>
      </w:r>
      <w:r w:rsidR="00C55CF1">
        <w:rPr>
          <w:rStyle w:val="FootnoteReference"/>
          <w:rFonts w:ascii="Times New Roman" w:eastAsia="Times New Roman" w:hAnsi="Times New Roman" w:cs="Times New Roman"/>
          <w:color w:val="000000"/>
          <w:sz w:val="24"/>
          <w:szCs w:val="24"/>
          <w:lang w:eastAsia="en-GB"/>
        </w:rPr>
        <w:footnoteReference w:id="70"/>
      </w:r>
      <w:r w:rsidR="00B83C4B">
        <w:rPr>
          <w:rFonts w:ascii="Times New Roman" w:eastAsia="Times New Roman" w:hAnsi="Times New Roman" w:cs="Times New Roman"/>
          <w:color w:val="000000"/>
          <w:sz w:val="24"/>
          <w:szCs w:val="24"/>
          <w:lang w:eastAsia="en-GB"/>
        </w:rPr>
        <w:t xml:space="preserve"> The furnishing of summer halls or parlours </w:t>
      </w:r>
      <w:r w:rsidR="00F56FF1">
        <w:rPr>
          <w:rFonts w:ascii="Times New Roman" w:eastAsia="Times New Roman" w:hAnsi="Times New Roman" w:cs="Times New Roman"/>
          <w:color w:val="000000"/>
          <w:sz w:val="24"/>
          <w:szCs w:val="24"/>
          <w:lang w:eastAsia="en-GB"/>
        </w:rPr>
        <w:t xml:space="preserve">found in four artisanal </w:t>
      </w:r>
      <w:r w:rsidR="00B83C4B">
        <w:rPr>
          <w:rFonts w:ascii="Times New Roman" w:eastAsia="Times New Roman" w:hAnsi="Times New Roman" w:cs="Times New Roman"/>
          <w:color w:val="000000"/>
          <w:sz w:val="24"/>
          <w:szCs w:val="24"/>
          <w:lang w:eastAsia="en-GB"/>
        </w:rPr>
        <w:t>inventories from York before 1500 offers cl</w:t>
      </w:r>
      <w:r w:rsidR="00FA074B">
        <w:rPr>
          <w:rFonts w:ascii="Times New Roman" w:eastAsia="Times New Roman" w:hAnsi="Times New Roman" w:cs="Times New Roman"/>
          <w:color w:val="000000"/>
          <w:sz w:val="24"/>
          <w:szCs w:val="24"/>
          <w:lang w:eastAsia="en-GB"/>
        </w:rPr>
        <w:t xml:space="preserve">ues as to their usage. All </w:t>
      </w:r>
      <w:r w:rsidR="00B83C4B">
        <w:rPr>
          <w:rFonts w:ascii="Times New Roman" w:eastAsia="Times New Roman" w:hAnsi="Times New Roman" w:cs="Times New Roman"/>
          <w:color w:val="000000"/>
          <w:sz w:val="24"/>
          <w:szCs w:val="24"/>
          <w:lang w:eastAsia="en-GB"/>
        </w:rPr>
        <w:t xml:space="preserve">contain furnishings or utensils that suggest eating as an activity, though the brewer, William </w:t>
      </w:r>
      <w:proofErr w:type="spellStart"/>
      <w:r w:rsidR="00B83C4B">
        <w:rPr>
          <w:rFonts w:ascii="Times New Roman" w:eastAsia="Times New Roman" w:hAnsi="Times New Roman" w:cs="Times New Roman"/>
          <w:color w:val="000000"/>
          <w:sz w:val="24"/>
          <w:szCs w:val="24"/>
          <w:lang w:eastAsia="en-GB"/>
        </w:rPr>
        <w:t>Coltman’s</w:t>
      </w:r>
      <w:proofErr w:type="spellEnd"/>
      <w:r w:rsidR="00B83C4B">
        <w:rPr>
          <w:rFonts w:ascii="Times New Roman" w:eastAsia="Times New Roman" w:hAnsi="Times New Roman" w:cs="Times New Roman"/>
          <w:color w:val="000000"/>
          <w:sz w:val="24"/>
          <w:szCs w:val="24"/>
          <w:lang w:eastAsia="en-GB"/>
        </w:rPr>
        <w:t xml:space="preserve"> contained mostly utensils and n</w:t>
      </w:r>
      <w:r w:rsidR="00FA074B">
        <w:rPr>
          <w:rFonts w:ascii="Times New Roman" w:eastAsia="Times New Roman" w:hAnsi="Times New Roman" w:cs="Times New Roman"/>
          <w:color w:val="000000"/>
          <w:sz w:val="24"/>
          <w:szCs w:val="24"/>
          <w:lang w:eastAsia="en-GB"/>
        </w:rPr>
        <w:t>o tables, but some seating. T</w:t>
      </w:r>
      <w:r w:rsidR="00B83C4B">
        <w:rPr>
          <w:rFonts w:ascii="Times New Roman" w:eastAsia="Times New Roman" w:hAnsi="Times New Roman" w:cs="Times New Roman"/>
          <w:color w:val="000000"/>
          <w:sz w:val="24"/>
          <w:szCs w:val="24"/>
          <w:lang w:eastAsia="en-GB"/>
        </w:rPr>
        <w:t xml:space="preserve">he merchant, William </w:t>
      </w:r>
      <w:proofErr w:type="spellStart"/>
      <w:r w:rsidR="00B83C4B">
        <w:rPr>
          <w:rFonts w:ascii="Times New Roman" w:eastAsia="Times New Roman" w:hAnsi="Times New Roman" w:cs="Times New Roman"/>
          <w:color w:val="000000"/>
          <w:sz w:val="24"/>
          <w:szCs w:val="24"/>
          <w:lang w:eastAsia="en-GB"/>
        </w:rPr>
        <w:t>Plovell’s</w:t>
      </w:r>
      <w:proofErr w:type="spellEnd"/>
      <w:r w:rsidR="00B83C4B">
        <w:rPr>
          <w:rFonts w:ascii="Times New Roman" w:eastAsia="Times New Roman" w:hAnsi="Times New Roman" w:cs="Times New Roman"/>
          <w:color w:val="000000"/>
          <w:sz w:val="24"/>
          <w:szCs w:val="24"/>
          <w:lang w:eastAsia="en-GB"/>
        </w:rPr>
        <w:t xml:space="preserve"> summer hall – the three others are all called parlour – also contained a bed and bedding. John Carter also kept quantities of hemp and equipment for making bow strings </w:t>
      </w:r>
      <w:r w:rsidR="00AE66E8">
        <w:rPr>
          <w:rFonts w:ascii="Times New Roman" w:eastAsia="Times New Roman" w:hAnsi="Times New Roman" w:cs="Times New Roman"/>
          <w:color w:val="000000"/>
          <w:sz w:val="24"/>
          <w:szCs w:val="24"/>
          <w:lang w:eastAsia="en-GB"/>
        </w:rPr>
        <w:t xml:space="preserve">in his </w:t>
      </w:r>
      <w:r w:rsidR="00B83C4B">
        <w:rPr>
          <w:rFonts w:ascii="Times New Roman" w:eastAsia="Times New Roman" w:hAnsi="Times New Roman" w:cs="Times New Roman"/>
          <w:color w:val="000000"/>
          <w:sz w:val="24"/>
          <w:szCs w:val="24"/>
          <w:lang w:eastAsia="en-GB"/>
        </w:rPr>
        <w:t>de</w:t>
      </w:r>
      <w:r w:rsidR="00F56FF1">
        <w:rPr>
          <w:rFonts w:ascii="Times New Roman" w:eastAsia="Times New Roman" w:hAnsi="Times New Roman" w:cs="Times New Roman"/>
          <w:color w:val="000000"/>
          <w:sz w:val="24"/>
          <w:szCs w:val="24"/>
          <w:lang w:eastAsia="en-GB"/>
        </w:rPr>
        <w:t>spite his declared identity of</w:t>
      </w:r>
      <w:r w:rsidR="00B83C4B">
        <w:rPr>
          <w:rFonts w:ascii="Times New Roman" w:eastAsia="Times New Roman" w:hAnsi="Times New Roman" w:cs="Times New Roman"/>
          <w:color w:val="000000"/>
          <w:sz w:val="24"/>
          <w:szCs w:val="24"/>
          <w:lang w:eastAsia="en-GB"/>
        </w:rPr>
        <w:t xml:space="preserve"> tailor.</w:t>
      </w:r>
      <w:r w:rsidR="00B83C4B">
        <w:rPr>
          <w:rStyle w:val="FootnoteReference"/>
          <w:rFonts w:ascii="Times New Roman" w:eastAsia="Times New Roman" w:hAnsi="Times New Roman" w:cs="Times New Roman"/>
          <w:color w:val="000000"/>
          <w:sz w:val="24"/>
          <w:szCs w:val="24"/>
          <w:lang w:eastAsia="en-GB"/>
        </w:rPr>
        <w:footnoteReference w:id="71"/>
      </w:r>
      <w:r w:rsidR="00B83C4B">
        <w:rPr>
          <w:rFonts w:ascii="Times New Roman" w:eastAsia="Times New Roman" w:hAnsi="Times New Roman" w:cs="Times New Roman"/>
          <w:color w:val="000000"/>
          <w:sz w:val="24"/>
          <w:szCs w:val="24"/>
          <w:lang w:eastAsia="en-GB"/>
        </w:rPr>
        <w:t xml:space="preserve"> Implicitly tables and </w:t>
      </w:r>
      <w:r w:rsidR="00F56FF1">
        <w:rPr>
          <w:rFonts w:ascii="Times New Roman" w:eastAsia="Times New Roman" w:hAnsi="Times New Roman" w:cs="Times New Roman"/>
          <w:color w:val="000000"/>
          <w:sz w:val="24"/>
          <w:szCs w:val="24"/>
          <w:lang w:eastAsia="en-GB"/>
        </w:rPr>
        <w:t xml:space="preserve">seating could be moved from hall to </w:t>
      </w:r>
      <w:r w:rsidR="00B83C4B">
        <w:rPr>
          <w:rFonts w:ascii="Times New Roman" w:eastAsia="Times New Roman" w:hAnsi="Times New Roman" w:cs="Times New Roman"/>
          <w:color w:val="000000"/>
          <w:sz w:val="24"/>
          <w:szCs w:val="24"/>
          <w:lang w:eastAsia="en-GB"/>
        </w:rPr>
        <w:t xml:space="preserve">summer hall or parlour if needed, but the </w:t>
      </w:r>
      <w:r w:rsidR="00F56FF1">
        <w:rPr>
          <w:rFonts w:ascii="Times New Roman" w:eastAsia="Times New Roman" w:hAnsi="Times New Roman" w:cs="Times New Roman"/>
          <w:color w:val="000000"/>
          <w:sz w:val="24"/>
          <w:szCs w:val="24"/>
          <w:lang w:eastAsia="en-GB"/>
        </w:rPr>
        <w:t xml:space="preserve">space might also function as </w:t>
      </w:r>
      <w:r w:rsidR="00B83C4B">
        <w:rPr>
          <w:rFonts w:ascii="Times New Roman" w:eastAsia="Times New Roman" w:hAnsi="Times New Roman" w:cs="Times New Roman"/>
          <w:color w:val="000000"/>
          <w:sz w:val="24"/>
          <w:szCs w:val="24"/>
          <w:lang w:eastAsia="en-GB"/>
        </w:rPr>
        <w:t>additional work space, storage space, or spare bedroom.</w:t>
      </w:r>
    </w:p>
    <w:p w14:paraId="4E796D87" w14:textId="4DBD96B5" w:rsidR="007573C2" w:rsidRDefault="00044F6F" w:rsidP="00B83C4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summer hall </w:t>
      </w:r>
      <w:r w:rsidR="000A72B8">
        <w:rPr>
          <w:rFonts w:ascii="Times New Roman" w:eastAsia="Times New Roman" w:hAnsi="Times New Roman" w:cs="Times New Roman"/>
          <w:color w:val="000000"/>
          <w:sz w:val="24"/>
          <w:szCs w:val="24"/>
          <w:lang w:eastAsia="en-GB"/>
        </w:rPr>
        <w:t>is noticed several times in matrimonial cases as a venue for the ex</w:t>
      </w:r>
      <w:r w:rsidR="00DB6781">
        <w:rPr>
          <w:rFonts w:ascii="Times New Roman" w:eastAsia="Times New Roman" w:hAnsi="Times New Roman" w:cs="Times New Roman"/>
          <w:color w:val="000000"/>
          <w:sz w:val="24"/>
          <w:szCs w:val="24"/>
          <w:lang w:eastAsia="en-GB"/>
        </w:rPr>
        <w:t xml:space="preserve">change of words of contract. </w:t>
      </w:r>
      <w:r w:rsidR="00F56FF1">
        <w:rPr>
          <w:rFonts w:ascii="Times New Roman" w:eastAsia="Times New Roman" w:hAnsi="Times New Roman" w:cs="Times New Roman"/>
          <w:color w:val="000000"/>
          <w:sz w:val="24"/>
          <w:szCs w:val="24"/>
          <w:lang w:eastAsia="en-GB"/>
        </w:rPr>
        <w:t>W</w:t>
      </w:r>
      <w:r w:rsidR="000D7FBF">
        <w:rPr>
          <w:rFonts w:ascii="Times New Roman" w:eastAsia="Times New Roman" w:hAnsi="Times New Roman" w:cs="Times New Roman"/>
          <w:color w:val="000000"/>
          <w:sz w:val="24"/>
          <w:szCs w:val="24"/>
          <w:lang w:eastAsia="en-GB"/>
        </w:rPr>
        <w:t xml:space="preserve">e see couples contracting solely in the presence of the householder and his wife in a High </w:t>
      </w:r>
      <w:proofErr w:type="spellStart"/>
      <w:r w:rsidR="000D7FBF">
        <w:rPr>
          <w:rFonts w:ascii="Times New Roman" w:eastAsia="Times New Roman" w:hAnsi="Times New Roman" w:cs="Times New Roman"/>
          <w:color w:val="000000"/>
          <w:sz w:val="24"/>
          <w:szCs w:val="24"/>
          <w:lang w:eastAsia="en-GB"/>
        </w:rPr>
        <w:t>Ousegate</w:t>
      </w:r>
      <w:proofErr w:type="spellEnd"/>
      <w:r w:rsidR="000D7FBF">
        <w:rPr>
          <w:rFonts w:ascii="Times New Roman" w:eastAsia="Times New Roman" w:hAnsi="Times New Roman" w:cs="Times New Roman"/>
          <w:color w:val="000000"/>
          <w:sz w:val="24"/>
          <w:szCs w:val="24"/>
          <w:lang w:eastAsia="en-GB"/>
        </w:rPr>
        <w:t xml:space="preserve"> summer hall in 1435 and </w:t>
      </w:r>
      <w:r w:rsidR="0059696D">
        <w:rPr>
          <w:rFonts w:ascii="Times New Roman" w:eastAsia="Times New Roman" w:hAnsi="Times New Roman" w:cs="Times New Roman"/>
          <w:color w:val="000000"/>
          <w:sz w:val="24"/>
          <w:szCs w:val="24"/>
          <w:lang w:eastAsia="en-GB"/>
        </w:rPr>
        <w:t xml:space="preserve">a </w:t>
      </w:r>
      <w:proofErr w:type="spellStart"/>
      <w:r w:rsidR="000D7FBF">
        <w:rPr>
          <w:rFonts w:ascii="Times New Roman" w:eastAsia="Times New Roman" w:hAnsi="Times New Roman" w:cs="Times New Roman"/>
          <w:color w:val="000000"/>
          <w:sz w:val="24"/>
          <w:szCs w:val="24"/>
          <w:lang w:eastAsia="en-GB"/>
        </w:rPr>
        <w:t>Davygate</w:t>
      </w:r>
      <w:proofErr w:type="spellEnd"/>
      <w:r w:rsidR="000D7FBF">
        <w:rPr>
          <w:rFonts w:ascii="Times New Roman" w:eastAsia="Times New Roman" w:hAnsi="Times New Roman" w:cs="Times New Roman"/>
          <w:color w:val="000000"/>
          <w:sz w:val="24"/>
          <w:szCs w:val="24"/>
          <w:lang w:eastAsia="en-GB"/>
        </w:rPr>
        <w:t xml:space="preserve"> parlour in 1465.</w:t>
      </w:r>
      <w:r w:rsidR="000D7FBF">
        <w:rPr>
          <w:rStyle w:val="FootnoteReference"/>
          <w:rFonts w:ascii="Times New Roman" w:eastAsia="Times New Roman" w:hAnsi="Times New Roman" w:cs="Times New Roman"/>
          <w:color w:val="000000"/>
          <w:sz w:val="24"/>
          <w:szCs w:val="24"/>
          <w:lang w:eastAsia="en-GB"/>
        </w:rPr>
        <w:footnoteReference w:id="72"/>
      </w:r>
      <w:r w:rsidR="00DB6781">
        <w:rPr>
          <w:rFonts w:ascii="Times New Roman" w:eastAsia="Times New Roman" w:hAnsi="Times New Roman" w:cs="Times New Roman"/>
          <w:color w:val="000000"/>
          <w:sz w:val="24"/>
          <w:szCs w:val="24"/>
          <w:lang w:eastAsia="en-GB"/>
        </w:rPr>
        <w:t xml:space="preserve"> </w:t>
      </w:r>
      <w:r w:rsidR="00DE0D57">
        <w:rPr>
          <w:rFonts w:ascii="Times New Roman" w:eastAsia="Times New Roman" w:hAnsi="Times New Roman" w:cs="Times New Roman"/>
          <w:color w:val="000000"/>
          <w:sz w:val="24"/>
          <w:szCs w:val="24"/>
          <w:lang w:eastAsia="en-GB"/>
        </w:rPr>
        <w:t>On an</w:t>
      </w:r>
      <w:r w:rsidR="007B4AF8">
        <w:rPr>
          <w:rFonts w:ascii="Times New Roman" w:eastAsia="Times New Roman" w:hAnsi="Times New Roman" w:cs="Times New Roman"/>
          <w:color w:val="000000"/>
          <w:sz w:val="24"/>
          <w:szCs w:val="24"/>
          <w:lang w:eastAsia="en-GB"/>
        </w:rPr>
        <w:t>other occasion a group</w:t>
      </w:r>
      <w:r w:rsidR="00DE0D57">
        <w:rPr>
          <w:rFonts w:ascii="Times New Roman" w:eastAsia="Times New Roman" w:hAnsi="Times New Roman" w:cs="Times New Roman"/>
          <w:color w:val="000000"/>
          <w:sz w:val="24"/>
          <w:szCs w:val="24"/>
          <w:lang w:eastAsia="en-GB"/>
        </w:rPr>
        <w:t xml:space="preserve">, including the </w:t>
      </w:r>
      <w:r w:rsidR="004B1A52">
        <w:rPr>
          <w:rFonts w:ascii="Times New Roman" w:eastAsia="Times New Roman" w:hAnsi="Times New Roman" w:cs="Times New Roman"/>
          <w:color w:val="000000"/>
          <w:sz w:val="24"/>
          <w:szCs w:val="24"/>
          <w:lang w:eastAsia="en-GB"/>
        </w:rPr>
        <w:t xml:space="preserve">fathers of the </w:t>
      </w:r>
      <w:r w:rsidR="00DE0D57">
        <w:rPr>
          <w:rFonts w:ascii="Times New Roman" w:eastAsia="Times New Roman" w:hAnsi="Times New Roman" w:cs="Times New Roman"/>
          <w:color w:val="000000"/>
          <w:sz w:val="24"/>
          <w:szCs w:val="24"/>
          <w:lang w:eastAsia="en-GB"/>
        </w:rPr>
        <w:t xml:space="preserve">prospective </w:t>
      </w:r>
      <w:r w:rsidR="004B1A52">
        <w:rPr>
          <w:rFonts w:ascii="Times New Roman" w:eastAsia="Times New Roman" w:hAnsi="Times New Roman" w:cs="Times New Roman"/>
          <w:color w:val="000000"/>
          <w:sz w:val="24"/>
          <w:szCs w:val="24"/>
          <w:lang w:eastAsia="en-GB"/>
        </w:rPr>
        <w:t>couple and the bride’s</w:t>
      </w:r>
      <w:r w:rsidR="00DE0D57">
        <w:rPr>
          <w:rFonts w:ascii="Times New Roman" w:eastAsia="Times New Roman" w:hAnsi="Times New Roman" w:cs="Times New Roman"/>
          <w:color w:val="000000"/>
          <w:sz w:val="24"/>
          <w:szCs w:val="24"/>
          <w:lang w:eastAsia="en-GB"/>
        </w:rPr>
        <w:t xml:space="preserve"> uncle</w:t>
      </w:r>
      <w:r w:rsidR="004B1A52">
        <w:rPr>
          <w:rFonts w:ascii="Times New Roman" w:eastAsia="Times New Roman" w:hAnsi="Times New Roman" w:cs="Times New Roman"/>
          <w:color w:val="000000"/>
          <w:sz w:val="24"/>
          <w:szCs w:val="24"/>
          <w:lang w:eastAsia="en-GB"/>
        </w:rPr>
        <w:t>,</w:t>
      </w:r>
      <w:r w:rsidR="00DE0D57">
        <w:rPr>
          <w:rFonts w:ascii="Times New Roman" w:eastAsia="Times New Roman" w:hAnsi="Times New Roman" w:cs="Times New Roman"/>
          <w:color w:val="000000"/>
          <w:sz w:val="24"/>
          <w:szCs w:val="24"/>
          <w:lang w:eastAsia="en-GB"/>
        </w:rPr>
        <w:t xml:space="preserve"> met </w:t>
      </w:r>
      <w:r w:rsidR="006D2628">
        <w:rPr>
          <w:rFonts w:ascii="Times New Roman" w:eastAsia="Times New Roman" w:hAnsi="Times New Roman" w:cs="Times New Roman"/>
          <w:color w:val="000000"/>
          <w:sz w:val="24"/>
          <w:szCs w:val="24"/>
          <w:lang w:eastAsia="en-GB"/>
        </w:rPr>
        <w:t xml:space="preserve">in a York </w:t>
      </w:r>
      <w:proofErr w:type="spellStart"/>
      <w:r w:rsidR="006D2628">
        <w:rPr>
          <w:rFonts w:ascii="Times New Roman" w:eastAsia="Times New Roman" w:hAnsi="Times New Roman" w:cs="Times New Roman"/>
          <w:color w:val="000000"/>
          <w:sz w:val="24"/>
          <w:szCs w:val="24"/>
          <w:lang w:eastAsia="en-GB"/>
        </w:rPr>
        <w:t>combsmith’s</w:t>
      </w:r>
      <w:proofErr w:type="spellEnd"/>
      <w:r w:rsidR="006D2628">
        <w:rPr>
          <w:rFonts w:ascii="Times New Roman" w:eastAsia="Times New Roman" w:hAnsi="Times New Roman" w:cs="Times New Roman"/>
          <w:color w:val="000000"/>
          <w:sz w:val="24"/>
          <w:szCs w:val="24"/>
          <w:lang w:eastAsia="en-GB"/>
        </w:rPr>
        <w:t xml:space="preserve"> parlour to discuss what each family would give the couple.</w:t>
      </w:r>
      <w:r w:rsidR="006D2628">
        <w:rPr>
          <w:rStyle w:val="FootnoteReference"/>
          <w:rFonts w:ascii="Times New Roman" w:eastAsia="Times New Roman" w:hAnsi="Times New Roman" w:cs="Times New Roman"/>
          <w:color w:val="000000"/>
          <w:sz w:val="24"/>
          <w:szCs w:val="24"/>
          <w:lang w:eastAsia="en-GB"/>
        </w:rPr>
        <w:footnoteReference w:id="73"/>
      </w:r>
      <w:r w:rsidR="006D2628">
        <w:rPr>
          <w:rFonts w:ascii="Times New Roman" w:eastAsia="Times New Roman" w:hAnsi="Times New Roman" w:cs="Times New Roman"/>
          <w:color w:val="000000"/>
          <w:sz w:val="24"/>
          <w:szCs w:val="24"/>
          <w:lang w:eastAsia="en-GB"/>
        </w:rPr>
        <w:t xml:space="preserve"> </w:t>
      </w:r>
      <w:r w:rsidR="00DB6781">
        <w:rPr>
          <w:rFonts w:ascii="Times New Roman" w:eastAsia="Times New Roman" w:hAnsi="Times New Roman" w:cs="Times New Roman"/>
          <w:color w:val="000000"/>
          <w:sz w:val="24"/>
          <w:szCs w:val="24"/>
          <w:lang w:eastAsia="en-GB"/>
        </w:rPr>
        <w:t>A</w:t>
      </w:r>
      <w:r w:rsidR="00D60694">
        <w:rPr>
          <w:rFonts w:ascii="Times New Roman" w:eastAsia="Times New Roman" w:hAnsi="Times New Roman" w:cs="Times New Roman"/>
          <w:color w:val="000000"/>
          <w:sz w:val="24"/>
          <w:szCs w:val="24"/>
          <w:lang w:eastAsia="en-GB"/>
        </w:rPr>
        <w:t xml:space="preserve">s the probate inventories </w:t>
      </w:r>
      <w:r w:rsidR="00B83C4B">
        <w:rPr>
          <w:rFonts w:ascii="Times New Roman" w:eastAsia="Times New Roman" w:hAnsi="Times New Roman" w:cs="Times New Roman"/>
          <w:color w:val="000000"/>
          <w:sz w:val="24"/>
          <w:szCs w:val="24"/>
          <w:lang w:eastAsia="en-GB"/>
        </w:rPr>
        <w:t>suggest,</w:t>
      </w:r>
      <w:r w:rsidR="001966F2">
        <w:rPr>
          <w:rFonts w:ascii="Times New Roman" w:eastAsia="Times New Roman" w:hAnsi="Times New Roman" w:cs="Times New Roman"/>
          <w:color w:val="000000"/>
          <w:sz w:val="24"/>
          <w:szCs w:val="24"/>
          <w:lang w:eastAsia="en-GB"/>
        </w:rPr>
        <w:t xml:space="preserve"> the summer hall or parlour</w:t>
      </w:r>
      <w:r w:rsidR="00900A11">
        <w:rPr>
          <w:rFonts w:ascii="Times New Roman" w:eastAsia="Times New Roman" w:hAnsi="Times New Roman" w:cs="Times New Roman"/>
          <w:color w:val="000000"/>
          <w:sz w:val="24"/>
          <w:szCs w:val="24"/>
          <w:lang w:eastAsia="en-GB"/>
        </w:rPr>
        <w:t xml:space="preserve"> might also be used for dining</w:t>
      </w:r>
      <w:r w:rsidR="005009F1">
        <w:rPr>
          <w:rFonts w:ascii="Times New Roman" w:eastAsia="Times New Roman" w:hAnsi="Times New Roman" w:cs="Times New Roman"/>
          <w:color w:val="000000"/>
          <w:sz w:val="24"/>
          <w:szCs w:val="24"/>
          <w:lang w:eastAsia="en-GB"/>
        </w:rPr>
        <w:t xml:space="preserve">. When Margaret Harman and her husband were dined by </w:t>
      </w:r>
      <w:r w:rsidR="007573C2">
        <w:rPr>
          <w:rFonts w:ascii="Times New Roman" w:eastAsia="Times New Roman" w:hAnsi="Times New Roman" w:cs="Times New Roman"/>
          <w:color w:val="000000"/>
          <w:sz w:val="24"/>
          <w:szCs w:val="24"/>
          <w:lang w:eastAsia="en-GB"/>
        </w:rPr>
        <w:t xml:space="preserve">Robert Lascelles, </w:t>
      </w:r>
      <w:r w:rsidR="005009F1">
        <w:rPr>
          <w:rFonts w:ascii="Times New Roman" w:eastAsia="Times New Roman" w:hAnsi="Times New Roman" w:cs="Times New Roman"/>
          <w:color w:val="000000"/>
          <w:sz w:val="24"/>
          <w:szCs w:val="24"/>
          <w:lang w:eastAsia="en-GB"/>
        </w:rPr>
        <w:t>the merchant from whom she h</w:t>
      </w:r>
      <w:r w:rsidR="00900A11">
        <w:rPr>
          <w:rFonts w:ascii="Times New Roman" w:eastAsia="Times New Roman" w:hAnsi="Times New Roman" w:cs="Times New Roman"/>
          <w:color w:val="000000"/>
          <w:sz w:val="24"/>
          <w:szCs w:val="24"/>
          <w:lang w:eastAsia="en-GB"/>
        </w:rPr>
        <w:t xml:space="preserve">ad bought the </w:t>
      </w:r>
      <w:r w:rsidR="005009F1">
        <w:rPr>
          <w:rFonts w:ascii="Times New Roman" w:eastAsia="Times New Roman" w:hAnsi="Times New Roman" w:cs="Times New Roman"/>
          <w:color w:val="000000"/>
          <w:sz w:val="24"/>
          <w:szCs w:val="24"/>
          <w:lang w:eastAsia="en-GB"/>
        </w:rPr>
        <w:t xml:space="preserve">candlewick noted earlier, it was in the summer hall of his </w:t>
      </w:r>
      <w:proofErr w:type="spellStart"/>
      <w:r w:rsidR="005009F1">
        <w:rPr>
          <w:rFonts w:ascii="Times New Roman" w:eastAsia="Times New Roman" w:hAnsi="Times New Roman" w:cs="Times New Roman"/>
          <w:color w:val="000000"/>
          <w:sz w:val="24"/>
          <w:szCs w:val="24"/>
          <w:lang w:eastAsia="en-GB"/>
        </w:rPr>
        <w:t>Petergate</w:t>
      </w:r>
      <w:proofErr w:type="spellEnd"/>
      <w:r w:rsidR="005009F1">
        <w:rPr>
          <w:rFonts w:ascii="Times New Roman" w:eastAsia="Times New Roman" w:hAnsi="Times New Roman" w:cs="Times New Roman"/>
          <w:color w:val="000000"/>
          <w:sz w:val="24"/>
          <w:szCs w:val="24"/>
          <w:lang w:eastAsia="en-GB"/>
        </w:rPr>
        <w:t xml:space="preserve"> home. It may be that the summer hall </w:t>
      </w:r>
      <w:r w:rsidR="007573C2">
        <w:rPr>
          <w:rFonts w:ascii="Times New Roman" w:eastAsia="Times New Roman" w:hAnsi="Times New Roman" w:cs="Times New Roman"/>
          <w:color w:val="000000"/>
          <w:sz w:val="24"/>
          <w:szCs w:val="24"/>
          <w:lang w:eastAsia="en-GB"/>
        </w:rPr>
        <w:t>was usually a smaller</w:t>
      </w:r>
      <w:r w:rsidR="00BE23C1">
        <w:rPr>
          <w:rFonts w:ascii="Times New Roman" w:eastAsia="Times New Roman" w:hAnsi="Times New Roman" w:cs="Times New Roman"/>
          <w:color w:val="000000"/>
          <w:sz w:val="24"/>
          <w:szCs w:val="24"/>
          <w:lang w:eastAsia="en-GB"/>
        </w:rPr>
        <w:t xml:space="preserve"> – the term ‘small’ (‘</w:t>
      </w:r>
      <w:proofErr w:type="spellStart"/>
      <w:r w:rsidR="00BE23C1" w:rsidRPr="00BE23C1">
        <w:rPr>
          <w:rFonts w:ascii="Times New Roman" w:eastAsia="Times New Roman" w:hAnsi="Times New Roman" w:cs="Times New Roman"/>
          <w:i/>
          <w:color w:val="000000"/>
          <w:sz w:val="24"/>
          <w:szCs w:val="24"/>
          <w:lang w:eastAsia="en-GB"/>
        </w:rPr>
        <w:t>parva</w:t>
      </w:r>
      <w:proofErr w:type="spellEnd"/>
      <w:r w:rsidR="00BE23C1">
        <w:rPr>
          <w:rFonts w:ascii="Times New Roman" w:eastAsia="Times New Roman" w:hAnsi="Times New Roman" w:cs="Times New Roman"/>
          <w:color w:val="000000"/>
          <w:sz w:val="24"/>
          <w:szCs w:val="24"/>
          <w:lang w:eastAsia="en-GB"/>
        </w:rPr>
        <w:t>’) is sometimes used –</w:t>
      </w:r>
      <w:r w:rsidR="007573C2">
        <w:rPr>
          <w:rFonts w:ascii="Times New Roman" w:eastAsia="Times New Roman" w:hAnsi="Times New Roman" w:cs="Times New Roman"/>
          <w:color w:val="000000"/>
          <w:sz w:val="24"/>
          <w:szCs w:val="24"/>
          <w:lang w:eastAsia="en-GB"/>
        </w:rPr>
        <w:t xml:space="preserve"> and hence more intimate space than the m</w:t>
      </w:r>
      <w:r w:rsidR="00BE23C1">
        <w:rPr>
          <w:rFonts w:ascii="Times New Roman" w:eastAsia="Times New Roman" w:hAnsi="Times New Roman" w:cs="Times New Roman"/>
          <w:color w:val="000000"/>
          <w:sz w:val="24"/>
          <w:szCs w:val="24"/>
          <w:lang w:eastAsia="en-GB"/>
        </w:rPr>
        <w:t xml:space="preserve">ain hall. </w:t>
      </w:r>
      <w:r w:rsidR="00AE66E8">
        <w:rPr>
          <w:rFonts w:ascii="Times New Roman" w:eastAsia="Times New Roman" w:hAnsi="Times New Roman" w:cs="Times New Roman"/>
          <w:color w:val="000000"/>
          <w:sz w:val="24"/>
          <w:szCs w:val="24"/>
          <w:lang w:eastAsia="en-GB"/>
        </w:rPr>
        <w:t>When</w:t>
      </w:r>
      <w:r w:rsidR="00BE23C1">
        <w:rPr>
          <w:rFonts w:ascii="Times New Roman" w:eastAsia="Times New Roman" w:hAnsi="Times New Roman" w:cs="Times New Roman"/>
          <w:color w:val="000000"/>
          <w:sz w:val="24"/>
          <w:szCs w:val="24"/>
          <w:lang w:eastAsia="en-GB"/>
        </w:rPr>
        <w:t xml:space="preserve">, for example, </w:t>
      </w:r>
      <w:r w:rsidR="00900A11">
        <w:rPr>
          <w:rFonts w:ascii="Times New Roman" w:eastAsia="Times New Roman" w:hAnsi="Times New Roman" w:cs="Times New Roman"/>
          <w:color w:val="000000"/>
          <w:sz w:val="24"/>
          <w:szCs w:val="24"/>
          <w:lang w:eastAsia="en-GB"/>
        </w:rPr>
        <w:t xml:space="preserve">John </w:t>
      </w:r>
      <w:proofErr w:type="spellStart"/>
      <w:r w:rsidR="00900A11">
        <w:rPr>
          <w:rFonts w:ascii="Times New Roman" w:eastAsia="Times New Roman" w:hAnsi="Times New Roman" w:cs="Times New Roman"/>
          <w:color w:val="000000"/>
          <w:sz w:val="24"/>
          <w:szCs w:val="24"/>
          <w:lang w:eastAsia="en-GB"/>
        </w:rPr>
        <w:t>Busford</w:t>
      </w:r>
      <w:proofErr w:type="spellEnd"/>
      <w:r w:rsidR="00900A11">
        <w:rPr>
          <w:rFonts w:ascii="Times New Roman" w:eastAsia="Times New Roman" w:hAnsi="Times New Roman" w:cs="Times New Roman"/>
          <w:color w:val="000000"/>
          <w:sz w:val="24"/>
          <w:szCs w:val="24"/>
          <w:lang w:eastAsia="en-GB"/>
        </w:rPr>
        <w:t xml:space="preserve">, clerk </w:t>
      </w:r>
      <w:r w:rsidR="00A36FD2">
        <w:rPr>
          <w:rFonts w:ascii="Times New Roman" w:eastAsia="Times New Roman" w:hAnsi="Times New Roman" w:cs="Times New Roman"/>
          <w:color w:val="000000"/>
          <w:sz w:val="24"/>
          <w:szCs w:val="24"/>
          <w:lang w:eastAsia="en-GB"/>
        </w:rPr>
        <w:t>visited</w:t>
      </w:r>
      <w:r w:rsidR="00AE66E8">
        <w:rPr>
          <w:rFonts w:ascii="Times New Roman" w:eastAsia="Times New Roman" w:hAnsi="Times New Roman" w:cs="Times New Roman"/>
          <w:color w:val="000000"/>
          <w:sz w:val="24"/>
          <w:szCs w:val="24"/>
          <w:lang w:eastAsia="en-GB"/>
        </w:rPr>
        <w:t xml:space="preserve"> his girlfriend</w:t>
      </w:r>
      <w:r w:rsidR="00BE23C1">
        <w:rPr>
          <w:rFonts w:ascii="Times New Roman" w:eastAsia="Times New Roman" w:hAnsi="Times New Roman" w:cs="Times New Roman"/>
          <w:color w:val="000000"/>
          <w:sz w:val="24"/>
          <w:szCs w:val="24"/>
          <w:lang w:eastAsia="en-GB"/>
        </w:rPr>
        <w:t>, Joan Wright</w:t>
      </w:r>
      <w:r w:rsidR="00AE66E8">
        <w:rPr>
          <w:rFonts w:ascii="Times New Roman" w:eastAsia="Times New Roman" w:hAnsi="Times New Roman" w:cs="Times New Roman"/>
          <w:color w:val="000000"/>
          <w:sz w:val="24"/>
          <w:szCs w:val="24"/>
          <w:lang w:eastAsia="en-GB"/>
        </w:rPr>
        <w:t xml:space="preserve"> </w:t>
      </w:r>
      <w:r w:rsidR="00BE23C1">
        <w:rPr>
          <w:rFonts w:ascii="Times New Roman" w:eastAsia="Times New Roman" w:hAnsi="Times New Roman" w:cs="Times New Roman"/>
          <w:color w:val="000000"/>
          <w:sz w:val="24"/>
          <w:szCs w:val="24"/>
          <w:lang w:eastAsia="en-GB"/>
        </w:rPr>
        <w:t>in her North Street home one Sunday evening, the couple sat together in the small parlour or sum</w:t>
      </w:r>
      <w:r w:rsidR="00900A11">
        <w:rPr>
          <w:rFonts w:ascii="Times New Roman" w:eastAsia="Times New Roman" w:hAnsi="Times New Roman" w:cs="Times New Roman"/>
          <w:color w:val="000000"/>
          <w:sz w:val="24"/>
          <w:szCs w:val="24"/>
          <w:lang w:eastAsia="en-GB"/>
        </w:rPr>
        <w:t xml:space="preserve">mer hall. The </w:t>
      </w:r>
      <w:r w:rsidR="00900A11">
        <w:rPr>
          <w:rFonts w:ascii="Times New Roman" w:eastAsia="Times New Roman" w:hAnsi="Times New Roman" w:cs="Times New Roman"/>
          <w:color w:val="000000"/>
          <w:sz w:val="24"/>
          <w:szCs w:val="24"/>
          <w:lang w:eastAsia="en-GB"/>
        </w:rPr>
        <w:lastRenderedPageBreak/>
        <w:t xml:space="preserve">couple </w:t>
      </w:r>
      <w:r w:rsidR="00BE23C1">
        <w:rPr>
          <w:rFonts w:ascii="Times New Roman" w:eastAsia="Times New Roman" w:hAnsi="Times New Roman" w:cs="Times New Roman"/>
          <w:color w:val="000000"/>
          <w:sz w:val="24"/>
          <w:szCs w:val="24"/>
          <w:lang w:eastAsia="en-GB"/>
        </w:rPr>
        <w:t>exchanged words of marriage spied on by Joan’s mother peering into the room through the grating of the adjoining cellar and her maid, Joan Yarm, listening at the doorway.</w:t>
      </w:r>
      <w:r w:rsidR="00AE66E8">
        <w:rPr>
          <w:rFonts w:ascii="Times New Roman" w:eastAsia="Times New Roman" w:hAnsi="Times New Roman" w:cs="Times New Roman"/>
          <w:color w:val="000000"/>
          <w:sz w:val="24"/>
          <w:szCs w:val="24"/>
          <w:lang w:eastAsia="en-GB"/>
        </w:rPr>
        <w:t xml:space="preserve"> </w:t>
      </w:r>
      <w:r w:rsidR="007573C2">
        <w:rPr>
          <w:rFonts w:ascii="Times New Roman" w:eastAsia="Times New Roman" w:hAnsi="Times New Roman" w:cs="Times New Roman"/>
          <w:color w:val="000000"/>
          <w:sz w:val="24"/>
          <w:szCs w:val="24"/>
          <w:lang w:eastAsia="en-GB"/>
        </w:rPr>
        <w:t>It was also presumably a space best suit</w:t>
      </w:r>
      <w:r w:rsidR="00250F62">
        <w:rPr>
          <w:rFonts w:ascii="Times New Roman" w:eastAsia="Times New Roman" w:hAnsi="Times New Roman" w:cs="Times New Roman"/>
          <w:color w:val="000000"/>
          <w:sz w:val="24"/>
          <w:szCs w:val="24"/>
          <w:lang w:eastAsia="en-GB"/>
        </w:rPr>
        <w:t>ed for use in the summer months;</w:t>
      </w:r>
      <w:r w:rsidR="007573C2">
        <w:rPr>
          <w:rFonts w:ascii="Times New Roman" w:eastAsia="Times New Roman" w:hAnsi="Times New Roman" w:cs="Times New Roman"/>
          <w:color w:val="000000"/>
          <w:sz w:val="24"/>
          <w:szCs w:val="24"/>
          <w:lang w:eastAsia="en-GB"/>
        </w:rPr>
        <w:t xml:space="preserve"> the </w:t>
      </w:r>
      <w:proofErr w:type="spellStart"/>
      <w:r w:rsidR="007573C2">
        <w:rPr>
          <w:rFonts w:ascii="Times New Roman" w:eastAsia="Times New Roman" w:hAnsi="Times New Roman" w:cs="Times New Roman"/>
          <w:color w:val="000000"/>
          <w:sz w:val="24"/>
          <w:szCs w:val="24"/>
          <w:lang w:eastAsia="en-GB"/>
        </w:rPr>
        <w:t>H</w:t>
      </w:r>
      <w:r w:rsidR="004B1A52">
        <w:rPr>
          <w:rFonts w:ascii="Times New Roman" w:eastAsia="Times New Roman" w:hAnsi="Times New Roman" w:cs="Times New Roman"/>
          <w:color w:val="000000"/>
          <w:sz w:val="24"/>
          <w:szCs w:val="24"/>
          <w:lang w:eastAsia="en-GB"/>
        </w:rPr>
        <w:t>armans</w:t>
      </w:r>
      <w:proofErr w:type="spellEnd"/>
      <w:r w:rsidR="004B1A52">
        <w:rPr>
          <w:rFonts w:ascii="Times New Roman" w:eastAsia="Times New Roman" w:hAnsi="Times New Roman" w:cs="Times New Roman"/>
          <w:color w:val="000000"/>
          <w:sz w:val="24"/>
          <w:szCs w:val="24"/>
          <w:lang w:eastAsia="en-GB"/>
        </w:rPr>
        <w:t xml:space="preserve"> were dined </w:t>
      </w:r>
      <w:r w:rsidR="007573C2">
        <w:rPr>
          <w:rFonts w:ascii="Times New Roman" w:eastAsia="Times New Roman" w:hAnsi="Times New Roman" w:cs="Times New Roman"/>
          <w:color w:val="000000"/>
          <w:sz w:val="24"/>
          <w:szCs w:val="24"/>
          <w:lang w:eastAsia="en-GB"/>
        </w:rPr>
        <w:t>in later July.</w:t>
      </w:r>
      <w:r w:rsidR="007573C2">
        <w:rPr>
          <w:rStyle w:val="FootnoteReference"/>
          <w:rFonts w:ascii="Times New Roman" w:eastAsia="Times New Roman" w:hAnsi="Times New Roman" w:cs="Times New Roman"/>
          <w:color w:val="000000"/>
          <w:sz w:val="24"/>
          <w:szCs w:val="24"/>
          <w:lang w:eastAsia="en-GB"/>
        </w:rPr>
        <w:footnoteReference w:id="74"/>
      </w:r>
      <w:r w:rsidR="007573C2">
        <w:rPr>
          <w:rFonts w:ascii="Times New Roman" w:eastAsia="Times New Roman" w:hAnsi="Times New Roman" w:cs="Times New Roman"/>
          <w:color w:val="000000"/>
          <w:sz w:val="24"/>
          <w:szCs w:val="24"/>
          <w:lang w:eastAsia="en-GB"/>
        </w:rPr>
        <w:t xml:space="preserve"> </w:t>
      </w:r>
    </w:p>
    <w:p w14:paraId="53BA338E" w14:textId="2958B923" w:rsidR="00BA5DAD" w:rsidRPr="00BA5DAD" w:rsidRDefault="00BA5DAD" w:rsidP="00BA5DAD">
      <w:pPr>
        <w:spacing w:line="360" w:lineRule="auto"/>
        <w:rPr>
          <w:rFonts w:ascii="Times New Roman" w:eastAsia="Times New Roman" w:hAnsi="Times New Roman" w:cs="Times New Roman"/>
          <w:i/>
          <w:color w:val="000000"/>
          <w:sz w:val="24"/>
          <w:szCs w:val="24"/>
          <w:lang w:eastAsia="en-GB"/>
        </w:rPr>
      </w:pPr>
      <w:r w:rsidRPr="00BA5DAD">
        <w:rPr>
          <w:rFonts w:ascii="Times New Roman" w:eastAsia="Times New Roman" w:hAnsi="Times New Roman" w:cs="Times New Roman"/>
          <w:i/>
          <w:color w:val="000000"/>
          <w:sz w:val="24"/>
          <w:szCs w:val="24"/>
          <w:lang w:eastAsia="en-GB"/>
        </w:rPr>
        <w:t>Chambers</w:t>
      </w:r>
    </w:p>
    <w:p w14:paraId="236BBCDF" w14:textId="4CFE64D1" w:rsidR="001966F2" w:rsidRDefault="00772478" w:rsidP="00B83C4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final sign</w:t>
      </w:r>
      <w:r w:rsidR="004B1A52">
        <w:rPr>
          <w:rFonts w:ascii="Times New Roman" w:eastAsia="Times New Roman" w:hAnsi="Times New Roman" w:cs="Times New Roman"/>
          <w:color w:val="000000"/>
          <w:sz w:val="24"/>
          <w:szCs w:val="24"/>
          <w:lang w:eastAsia="en-GB"/>
        </w:rPr>
        <w:t xml:space="preserve">ificant </w:t>
      </w:r>
      <w:r w:rsidR="00900A11">
        <w:rPr>
          <w:rFonts w:ascii="Times New Roman" w:eastAsia="Times New Roman" w:hAnsi="Times New Roman" w:cs="Times New Roman"/>
          <w:color w:val="000000"/>
          <w:sz w:val="24"/>
          <w:szCs w:val="24"/>
          <w:lang w:eastAsia="en-GB"/>
        </w:rPr>
        <w:t>room type</w:t>
      </w:r>
      <w:r>
        <w:rPr>
          <w:rFonts w:ascii="Times New Roman" w:eastAsia="Times New Roman" w:hAnsi="Times New Roman" w:cs="Times New Roman"/>
          <w:color w:val="000000"/>
          <w:sz w:val="24"/>
          <w:szCs w:val="24"/>
          <w:lang w:eastAsia="en-GB"/>
        </w:rPr>
        <w:t xml:space="preserve"> is the chamber</w:t>
      </w:r>
      <w:r w:rsidR="000F43CE">
        <w:rPr>
          <w:rFonts w:ascii="Times New Roman" w:eastAsia="Times New Roman" w:hAnsi="Times New Roman" w:cs="Times New Roman"/>
          <w:color w:val="000000"/>
          <w:sz w:val="24"/>
          <w:szCs w:val="24"/>
          <w:lang w:eastAsia="en-GB"/>
        </w:rPr>
        <w:t>. In the two or even three-story box-framed houses that were the norm in later medieval Yor</w:t>
      </w:r>
      <w:r w:rsidR="00900A11">
        <w:rPr>
          <w:rFonts w:ascii="Times New Roman" w:eastAsia="Times New Roman" w:hAnsi="Times New Roman" w:cs="Times New Roman"/>
          <w:color w:val="000000"/>
          <w:sz w:val="24"/>
          <w:szCs w:val="24"/>
          <w:lang w:eastAsia="en-GB"/>
        </w:rPr>
        <w:t xml:space="preserve">k, the chamber is usually </w:t>
      </w:r>
      <w:r w:rsidR="000F43CE">
        <w:rPr>
          <w:rFonts w:ascii="Times New Roman" w:eastAsia="Times New Roman" w:hAnsi="Times New Roman" w:cs="Times New Roman"/>
          <w:color w:val="000000"/>
          <w:sz w:val="24"/>
          <w:szCs w:val="24"/>
          <w:lang w:eastAsia="en-GB"/>
        </w:rPr>
        <w:t>understood as a room located on an upper floor. In the few instances that ground-floor chambers</w:t>
      </w:r>
      <w:r w:rsidR="00900A11">
        <w:rPr>
          <w:rFonts w:ascii="Times New Roman" w:eastAsia="Times New Roman" w:hAnsi="Times New Roman" w:cs="Times New Roman"/>
          <w:color w:val="000000"/>
          <w:sz w:val="24"/>
          <w:szCs w:val="24"/>
          <w:lang w:eastAsia="en-GB"/>
        </w:rPr>
        <w:t xml:space="preserve"> are referenced in </w:t>
      </w:r>
      <w:r w:rsidR="000F43CE">
        <w:rPr>
          <w:rFonts w:ascii="Times New Roman" w:eastAsia="Times New Roman" w:hAnsi="Times New Roman" w:cs="Times New Roman"/>
          <w:color w:val="000000"/>
          <w:sz w:val="24"/>
          <w:szCs w:val="24"/>
          <w:lang w:eastAsia="en-GB"/>
        </w:rPr>
        <w:t xml:space="preserve">depositions, they are so distinguished. Thus </w:t>
      </w:r>
      <w:r w:rsidR="00CD3BB2">
        <w:rPr>
          <w:rFonts w:ascii="Times New Roman" w:eastAsia="Times New Roman" w:hAnsi="Times New Roman" w:cs="Times New Roman"/>
          <w:color w:val="000000"/>
          <w:sz w:val="24"/>
          <w:szCs w:val="24"/>
          <w:lang w:eastAsia="en-GB"/>
        </w:rPr>
        <w:t xml:space="preserve">the </w:t>
      </w:r>
      <w:r w:rsidR="00201497">
        <w:rPr>
          <w:rFonts w:ascii="Times New Roman" w:eastAsia="Times New Roman" w:hAnsi="Times New Roman" w:cs="Times New Roman"/>
          <w:color w:val="000000"/>
          <w:sz w:val="24"/>
          <w:szCs w:val="24"/>
          <w:lang w:eastAsia="en-GB"/>
        </w:rPr>
        <w:t xml:space="preserve">room in William </w:t>
      </w:r>
      <w:proofErr w:type="spellStart"/>
      <w:r w:rsidR="00201497">
        <w:rPr>
          <w:rFonts w:ascii="Times New Roman" w:eastAsia="Times New Roman" w:hAnsi="Times New Roman" w:cs="Times New Roman"/>
          <w:color w:val="000000"/>
          <w:sz w:val="24"/>
          <w:szCs w:val="24"/>
          <w:lang w:eastAsia="en-GB"/>
        </w:rPr>
        <w:t>Naburn’s</w:t>
      </w:r>
      <w:proofErr w:type="spellEnd"/>
      <w:r w:rsidR="00201497">
        <w:rPr>
          <w:rFonts w:ascii="Times New Roman" w:eastAsia="Times New Roman" w:hAnsi="Times New Roman" w:cs="Times New Roman"/>
          <w:color w:val="000000"/>
          <w:sz w:val="24"/>
          <w:szCs w:val="24"/>
          <w:lang w:eastAsia="en-GB"/>
        </w:rPr>
        <w:t xml:space="preserve"> house in </w:t>
      </w:r>
      <w:proofErr w:type="spellStart"/>
      <w:r w:rsidR="00201497">
        <w:rPr>
          <w:rFonts w:ascii="Times New Roman" w:eastAsia="Times New Roman" w:hAnsi="Times New Roman" w:cs="Times New Roman"/>
          <w:color w:val="000000"/>
          <w:sz w:val="24"/>
          <w:szCs w:val="24"/>
          <w:lang w:eastAsia="en-GB"/>
        </w:rPr>
        <w:t>Walmgate</w:t>
      </w:r>
      <w:proofErr w:type="spellEnd"/>
      <w:r w:rsidR="00201497">
        <w:rPr>
          <w:rFonts w:ascii="Times New Roman" w:eastAsia="Times New Roman" w:hAnsi="Times New Roman" w:cs="Times New Roman"/>
          <w:color w:val="000000"/>
          <w:sz w:val="24"/>
          <w:szCs w:val="24"/>
          <w:lang w:eastAsia="en-GB"/>
        </w:rPr>
        <w:t xml:space="preserve"> </w:t>
      </w:r>
      <w:r w:rsidR="00AF301A">
        <w:rPr>
          <w:rFonts w:ascii="Times New Roman" w:eastAsia="Times New Roman" w:hAnsi="Times New Roman" w:cs="Times New Roman"/>
          <w:color w:val="000000"/>
          <w:sz w:val="24"/>
          <w:szCs w:val="24"/>
          <w:lang w:eastAsia="en-GB"/>
        </w:rPr>
        <w:t xml:space="preserve">in </w:t>
      </w:r>
      <w:r w:rsidR="00AF301A">
        <w:rPr>
          <w:rFonts w:ascii="Times New Roman" w:eastAsia="Times New Roman" w:hAnsi="Times New Roman" w:cs="Times New Roman"/>
          <w:color w:val="000000"/>
          <w:sz w:val="24"/>
          <w:szCs w:val="24"/>
          <w:lang w:eastAsia="en-GB"/>
        </w:rPr>
        <w:t>which</w:t>
      </w:r>
      <w:r w:rsidR="00201497">
        <w:rPr>
          <w:rFonts w:ascii="Times New Roman" w:eastAsia="Times New Roman" w:hAnsi="Times New Roman" w:cs="Times New Roman"/>
          <w:color w:val="000000"/>
          <w:sz w:val="24"/>
          <w:szCs w:val="24"/>
          <w:lang w:eastAsia="en-GB"/>
        </w:rPr>
        <w:t xml:space="preserve"> his servant John More slept is described as a ‘</w:t>
      </w:r>
      <w:proofErr w:type="spellStart"/>
      <w:r w:rsidR="00201497" w:rsidRPr="00201497">
        <w:rPr>
          <w:rFonts w:ascii="Times New Roman" w:eastAsia="Times New Roman" w:hAnsi="Times New Roman" w:cs="Times New Roman"/>
          <w:i/>
          <w:color w:val="000000"/>
          <w:sz w:val="24"/>
          <w:szCs w:val="24"/>
          <w:lang w:eastAsia="en-GB"/>
        </w:rPr>
        <w:t>bassa</w:t>
      </w:r>
      <w:proofErr w:type="spellEnd"/>
      <w:r w:rsidR="00201497" w:rsidRPr="00201497">
        <w:rPr>
          <w:rFonts w:ascii="Times New Roman" w:eastAsia="Times New Roman" w:hAnsi="Times New Roman" w:cs="Times New Roman"/>
          <w:i/>
          <w:color w:val="000000"/>
          <w:sz w:val="24"/>
          <w:szCs w:val="24"/>
          <w:lang w:eastAsia="en-GB"/>
        </w:rPr>
        <w:t xml:space="preserve"> camera</w:t>
      </w:r>
      <w:r w:rsidR="00201497">
        <w:rPr>
          <w:rFonts w:ascii="Times New Roman" w:eastAsia="Times New Roman" w:hAnsi="Times New Roman" w:cs="Times New Roman"/>
          <w:color w:val="000000"/>
          <w:sz w:val="24"/>
          <w:szCs w:val="24"/>
          <w:lang w:eastAsia="en-GB"/>
        </w:rPr>
        <w:t>’</w:t>
      </w:r>
      <w:r w:rsidR="000F43CE">
        <w:rPr>
          <w:rFonts w:ascii="Times New Roman" w:eastAsia="Times New Roman" w:hAnsi="Times New Roman" w:cs="Times New Roman"/>
          <w:color w:val="000000"/>
          <w:sz w:val="24"/>
          <w:szCs w:val="24"/>
          <w:lang w:eastAsia="en-GB"/>
        </w:rPr>
        <w:t xml:space="preserve"> </w:t>
      </w:r>
      <w:r w:rsidR="00201497">
        <w:rPr>
          <w:rFonts w:ascii="Times New Roman" w:eastAsia="Times New Roman" w:hAnsi="Times New Roman" w:cs="Times New Roman"/>
          <w:color w:val="000000"/>
          <w:sz w:val="24"/>
          <w:szCs w:val="24"/>
          <w:lang w:eastAsia="en-GB"/>
        </w:rPr>
        <w:t>or downstairs room.</w:t>
      </w:r>
      <w:r w:rsidR="002B7857">
        <w:rPr>
          <w:rStyle w:val="FootnoteReference"/>
          <w:rFonts w:ascii="Times New Roman" w:eastAsia="Times New Roman" w:hAnsi="Times New Roman" w:cs="Times New Roman"/>
          <w:color w:val="000000"/>
          <w:sz w:val="24"/>
          <w:szCs w:val="24"/>
          <w:lang w:eastAsia="en-GB"/>
        </w:rPr>
        <w:footnoteReference w:id="75"/>
      </w:r>
      <w:r w:rsidR="00E95BDF">
        <w:rPr>
          <w:rFonts w:ascii="Times New Roman" w:eastAsia="Times New Roman" w:hAnsi="Times New Roman" w:cs="Times New Roman"/>
          <w:color w:val="000000"/>
          <w:sz w:val="24"/>
          <w:szCs w:val="24"/>
          <w:lang w:eastAsia="en-GB"/>
        </w:rPr>
        <w:t xml:space="preserve"> </w:t>
      </w:r>
      <w:r w:rsidR="00996899">
        <w:rPr>
          <w:rFonts w:ascii="Times New Roman" w:eastAsia="Times New Roman" w:hAnsi="Times New Roman" w:cs="Times New Roman"/>
          <w:color w:val="000000"/>
          <w:sz w:val="24"/>
          <w:szCs w:val="24"/>
          <w:lang w:eastAsia="en-GB"/>
        </w:rPr>
        <w:t xml:space="preserve">Most inventories name only one </w:t>
      </w:r>
      <w:r w:rsidR="00996899" w:rsidRPr="00996899">
        <w:rPr>
          <w:rFonts w:ascii="Times New Roman" w:eastAsia="Times New Roman" w:hAnsi="Times New Roman" w:cs="Times New Roman"/>
          <w:i/>
          <w:color w:val="000000"/>
          <w:sz w:val="24"/>
          <w:szCs w:val="24"/>
          <w:lang w:eastAsia="en-GB"/>
        </w:rPr>
        <w:t>camera</w:t>
      </w:r>
      <w:r w:rsidR="00AF301A">
        <w:rPr>
          <w:rFonts w:ascii="Times New Roman" w:eastAsia="Times New Roman" w:hAnsi="Times New Roman" w:cs="Times New Roman"/>
          <w:color w:val="000000"/>
          <w:sz w:val="24"/>
          <w:szCs w:val="24"/>
          <w:lang w:eastAsia="en-GB"/>
        </w:rPr>
        <w:t>, invariably</w:t>
      </w:r>
      <w:r w:rsidR="00996899">
        <w:rPr>
          <w:rFonts w:ascii="Times New Roman" w:eastAsia="Times New Roman" w:hAnsi="Times New Roman" w:cs="Times New Roman"/>
          <w:color w:val="000000"/>
          <w:sz w:val="24"/>
          <w:szCs w:val="24"/>
          <w:lang w:eastAsia="en-GB"/>
        </w:rPr>
        <w:t xml:space="preserve"> </w:t>
      </w:r>
      <w:r w:rsidR="00AF301A">
        <w:rPr>
          <w:rFonts w:ascii="Times New Roman" w:eastAsia="Times New Roman" w:hAnsi="Times New Roman" w:cs="Times New Roman"/>
          <w:color w:val="000000"/>
          <w:sz w:val="24"/>
          <w:szCs w:val="24"/>
          <w:lang w:eastAsia="en-GB"/>
        </w:rPr>
        <w:t xml:space="preserve">identifiable as </w:t>
      </w:r>
      <w:r w:rsidR="00AF301A">
        <w:rPr>
          <w:rFonts w:ascii="Times New Roman" w:eastAsia="Times New Roman" w:hAnsi="Times New Roman" w:cs="Times New Roman"/>
          <w:color w:val="000000"/>
          <w:sz w:val="24"/>
          <w:szCs w:val="24"/>
          <w:lang w:eastAsia="en-GB"/>
        </w:rPr>
        <w:t xml:space="preserve">a </w:t>
      </w:r>
      <w:r w:rsidR="00AF301A">
        <w:rPr>
          <w:rFonts w:ascii="Times New Roman" w:eastAsia="Times New Roman" w:hAnsi="Times New Roman" w:cs="Times New Roman"/>
          <w:color w:val="000000"/>
          <w:sz w:val="24"/>
          <w:szCs w:val="24"/>
          <w:lang w:eastAsia="en-GB"/>
        </w:rPr>
        <w:t>bedroom</w:t>
      </w:r>
      <w:r w:rsidR="00AF301A">
        <w:rPr>
          <w:rFonts w:ascii="Times New Roman" w:eastAsia="Times New Roman" w:hAnsi="Times New Roman" w:cs="Times New Roman"/>
          <w:color w:val="000000"/>
          <w:sz w:val="24"/>
          <w:szCs w:val="24"/>
          <w:lang w:eastAsia="en-GB"/>
        </w:rPr>
        <w:t xml:space="preserve"> from its furnishings</w:t>
      </w:r>
      <w:r w:rsidR="00996899">
        <w:rPr>
          <w:rFonts w:ascii="Times New Roman" w:eastAsia="Times New Roman" w:hAnsi="Times New Roman" w:cs="Times New Roman"/>
          <w:color w:val="000000"/>
          <w:sz w:val="24"/>
          <w:szCs w:val="24"/>
          <w:lang w:eastAsia="en-GB"/>
        </w:rPr>
        <w:t xml:space="preserve">. Where there are a plurality of </w:t>
      </w:r>
      <w:proofErr w:type="spellStart"/>
      <w:r w:rsidR="00E95BDF" w:rsidRPr="00E95BDF">
        <w:rPr>
          <w:rFonts w:ascii="Times New Roman" w:eastAsia="Times New Roman" w:hAnsi="Times New Roman" w:cs="Times New Roman"/>
          <w:i/>
          <w:color w:val="000000"/>
          <w:sz w:val="24"/>
          <w:szCs w:val="24"/>
          <w:lang w:eastAsia="en-GB"/>
        </w:rPr>
        <w:t>camera</w:t>
      </w:r>
      <w:r w:rsidR="00996899">
        <w:rPr>
          <w:rFonts w:ascii="Times New Roman" w:eastAsia="Times New Roman" w:hAnsi="Times New Roman" w:cs="Times New Roman"/>
          <w:i/>
          <w:color w:val="000000"/>
          <w:sz w:val="24"/>
          <w:szCs w:val="24"/>
          <w:lang w:eastAsia="en-GB"/>
        </w:rPr>
        <w:t>e</w:t>
      </w:r>
      <w:proofErr w:type="spellEnd"/>
      <w:r w:rsidR="00996899">
        <w:rPr>
          <w:rFonts w:ascii="Times New Roman" w:eastAsia="Times New Roman" w:hAnsi="Times New Roman" w:cs="Times New Roman"/>
          <w:color w:val="000000"/>
          <w:sz w:val="24"/>
          <w:szCs w:val="24"/>
          <w:lang w:eastAsia="en-GB"/>
        </w:rPr>
        <w:t xml:space="preserve">, </w:t>
      </w:r>
      <w:r w:rsidR="002B7857">
        <w:rPr>
          <w:rFonts w:ascii="Times New Roman" w:eastAsia="Times New Roman" w:hAnsi="Times New Roman" w:cs="Times New Roman"/>
          <w:color w:val="000000"/>
          <w:sz w:val="24"/>
          <w:szCs w:val="24"/>
          <w:lang w:eastAsia="en-GB"/>
        </w:rPr>
        <w:t xml:space="preserve">the term </w:t>
      </w:r>
      <w:r w:rsidR="006D7EC3">
        <w:rPr>
          <w:rFonts w:ascii="Times New Roman" w:eastAsia="Times New Roman" w:hAnsi="Times New Roman" w:cs="Times New Roman"/>
          <w:color w:val="000000"/>
          <w:sz w:val="24"/>
          <w:szCs w:val="24"/>
          <w:lang w:eastAsia="en-GB"/>
        </w:rPr>
        <w:t>is occasionally qualified to distinguish</w:t>
      </w:r>
      <w:r w:rsidR="009718FC">
        <w:rPr>
          <w:rFonts w:ascii="Times New Roman" w:eastAsia="Times New Roman" w:hAnsi="Times New Roman" w:cs="Times New Roman"/>
          <w:color w:val="000000"/>
          <w:sz w:val="24"/>
          <w:szCs w:val="24"/>
          <w:lang w:eastAsia="en-GB"/>
        </w:rPr>
        <w:t xml:space="preserve"> a principal chamber</w:t>
      </w:r>
      <w:r w:rsidR="00953B69">
        <w:rPr>
          <w:rFonts w:ascii="Times New Roman" w:eastAsia="Times New Roman" w:hAnsi="Times New Roman" w:cs="Times New Roman"/>
          <w:color w:val="000000"/>
          <w:sz w:val="24"/>
          <w:szCs w:val="24"/>
          <w:lang w:eastAsia="en-GB"/>
        </w:rPr>
        <w:t xml:space="preserve">. John </w:t>
      </w:r>
      <w:proofErr w:type="spellStart"/>
      <w:r w:rsidR="00953B69">
        <w:rPr>
          <w:rFonts w:ascii="Times New Roman" w:eastAsia="Times New Roman" w:hAnsi="Times New Roman" w:cs="Times New Roman"/>
          <w:color w:val="000000"/>
          <w:sz w:val="24"/>
          <w:szCs w:val="24"/>
          <w:lang w:eastAsia="en-GB"/>
        </w:rPr>
        <w:t>Collan</w:t>
      </w:r>
      <w:proofErr w:type="spellEnd"/>
      <w:r w:rsidR="00953B69">
        <w:rPr>
          <w:rFonts w:ascii="Times New Roman" w:eastAsia="Times New Roman" w:hAnsi="Times New Roman" w:cs="Times New Roman"/>
          <w:color w:val="000000"/>
          <w:sz w:val="24"/>
          <w:szCs w:val="24"/>
          <w:lang w:eastAsia="en-GB"/>
        </w:rPr>
        <w:t>, goldsmith, for example had a ‘great chamber’ and ‘another chamber’</w:t>
      </w:r>
      <w:r w:rsidR="009718FC">
        <w:rPr>
          <w:rFonts w:ascii="Times New Roman" w:eastAsia="Times New Roman" w:hAnsi="Times New Roman" w:cs="Times New Roman"/>
          <w:color w:val="000000"/>
          <w:sz w:val="24"/>
          <w:szCs w:val="24"/>
          <w:lang w:eastAsia="en-GB"/>
        </w:rPr>
        <w:t>. A</w:t>
      </w:r>
      <w:r w:rsidR="00EC2814">
        <w:rPr>
          <w:rFonts w:ascii="Times New Roman" w:eastAsia="Times New Roman" w:hAnsi="Times New Roman" w:cs="Times New Roman"/>
          <w:color w:val="000000"/>
          <w:sz w:val="24"/>
          <w:szCs w:val="24"/>
          <w:lang w:eastAsia="en-GB"/>
        </w:rPr>
        <w:t xml:space="preserve">typically for an artisanal householder, John </w:t>
      </w:r>
      <w:proofErr w:type="spellStart"/>
      <w:r w:rsidR="00EC2814">
        <w:rPr>
          <w:rFonts w:ascii="Times New Roman" w:eastAsia="Times New Roman" w:hAnsi="Times New Roman" w:cs="Times New Roman"/>
          <w:color w:val="000000"/>
          <w:sz w:val="24"/>
          <w:szCs w:val="24"/>
          <w:lang w:eastAsia="en-GB"/>
        </w:rPr>
        <w:t>Stubbes</w:t>
      </w:r>
      <w:proofErr w:type="spellEnd"/>
      <w:r w:rsidR="00EC2814">
        <w:rPr>
          <w:rFonts w:ascii="Times New Roman" w:eastAsia="Times New Roman" w:hAnsi="Times New Roman" w:cs="Times New Roman"/>
          <w:color w:val="000000"/>
          <w:sz w:val="24"/>
          <w:szCs w:val="24"/>
          <w:lang w:eastAsia="en-GB"/>
        </w:rPr>
        <w:t xml:space="preserve">, the </w:t>
      </w:r>
      <w:proofErr w:type="spellStart"/>
      <w:r w:rsidR="00EC2814">
        <w:rPr>
          <w:rFonts w:ascii="Times New Roman" w:eastAsia="Times New Roman" w:hAnsi="Times New Roman" w:cs="Times New Roman"/>
          <w:color w:val="000000"/>
          <w:sz w:val="24"/>
          <w:szCs w:val="24"/>
          <w:lang w:eastAsia="en-GB"/>
        </w:rPr>
        <w:t>Goodramgate</w:t>
      </w:r>
      <w:proofErr w:type="spellEnd"/>
      <w:r w:rsidR="00EC2814">
        <w:rPr>
          <w:rFonts w:ascii="Times New Roman" w:eastAsia="Times New Roman" w:hAnsi="Times New Roman" w:cs="Times New Roman"/>
          <w:color w:val="000000"/>
          <w:sz w:val="24"/>
          <w:szCs w:val="24"/>
          <w:lang w:eastAsia="en-GB"/>
        </w:rPr>
        <w:t xml:space="preserve"> barber is associated with seven </w:t>
      </w:r>
      <w:proofErr w:type="spellStart"/>
      <w:r w:rsidR="00EC2814" w:rsidRPr="00EC2814">
        <w:rPr>
          <w:rFonts w:ascii="Times New Roman" w:eastAsia="Times New Roman" w:hAnsi="Times New Roman" w:cs="Times New Roman"/>
          <w:i/>
          <w:color w:val="000000"/>
          <w:sz w:val="24"/>
          <w:szCs w:val="24"/>
          <w:lang w:eastAsia="en-GB"/>
        </w:rPr>
        <w:t>camerae</w:t>
      </w:r>
      <w:proofErr w:type="spellEnd"/>
      <w:r w:rsidR="009718FC">
        <w:rPr>
          <w:rFonts w:ascii="Times New Roman" w:eastAsia="Times New Roman" w:hAnsi="Times New Roman" w:cs="Times New Roman"/>
          <w:color w:val="000000"/>
          <w:sz w:val="24"/>
          <w:szCs w:val="24"/>
          <w:lang w:eastAsia="en-GB"/>
        </w:rPr>
        <w:t>. One wa</w:t>
      </w:r>
      <w:r w:rsidR="00EC2814">
        <w:rPr>
          <w:rFonts w:ascii="Times New Roman" w:eastAsia="Times New Roman" w:hAnsi="Times New Roman" w:cs="Times New Roman"/>
          <w:color w:val="000000"/>
          <w:sz w:val="24"/>
          <w:szCs w:val="24"/>
          <w:lang w:eastAsia="en-GB"/>
        </w:rPr>
        <w:t xml:space="preserve">s designated the </w:t>
      </w:r>
      <w:r w:rsidR="009A5225">
        <w:rPr>
          <w:rFonts w:ascii="Times New Roman" w:eastAsia="Times New Roman" w:hAnsi="Times New Roman" w:cs="Times New Roman"/>
          <w:color w:val="000000"/>
          <w:sz w:val="24"/>
          <w:szCs w:val="24"/>
          <w:lang w:eastAsia="en-GB"/>
        </w:rPr>
        <w:t>‘</w:t>
      </w:r>
      <w:r w:rsidR="00EC2814">
        <w:rPr>
          <w:rFonts w:ascii="Times New Roman" w:eastAsia="Times New Roman" w:hAnsi="Times New Roman" w:cs="Times New Roman"/>
          <w:color w:val="000000"/>
          <w:sz w:val="24"/>
          <w:szCs w:val="24"/>
          <w:lang w:eastAsia="en-GB"/>
        </w:rPr>
        <w:t>servants’ chamber</w:t>
      </w:r>
      <w:r w:rsidR="009A5225">
        <w:rPr>
          <w:rFonts w:ascii="Times New Roman" w:eastAsia="Times New Roman" w:hAnsi="Times New Roman" w:cs="Times New Roman"/>
          <w:color w:val="000000"/>
          <w:sz w:val="24"/>
          <w:szCs w:val="24"/>
          <w:lang w:eastAsia="en-GB"/>
        </w:rPr>
        <w:t>’</w:t>
      </w:r>
      <w:r w:rsidR="009718FC">
        <w:rPr>
          <w:rFonts w:ascii="Times New Roman" w:eastAsia="Times New Roman" w:hAnsi="Times New Roman" w:cs="Times New Roman"/>
          <w:color w:val="000000"/>
          <w:sz w:val="24"/>
          <w:szCs w:val="24"/>
          <w:lang w:eastAsia="en-GB"/>
        </w:rPr>
        <w:t>, another</w:t>
      </w:r>
      <w:r w:rsidR="00EC2814">
        <w:rPr>
          <w:rFonts w:ascii="Times New Roman" w:eastAsia="Times New Roman" w:hAnsi="Times New Roman" w:cs="Times New Roman"/>
          <w:color w:val="000000"/>
          <w:sz w:val="24"/>
          <w:szCs w:val="24"/>
          <w:lang w:eastAsia="en-GB"/>
        </w:rPr>
        <w:t xml:space="preserve"> as ‘above the </w:t>
      </w:r>
      <w:proofErr w:type="spellStart"/>
      <w:r w:rsidR="00EC2814">
        <w:rPr>
          <w:rFonts w:ascii="Times New Roman" w:eastAsia="Times New Roman" w:hAnsi="Times New Roman" w:cs="Times New Roman"/>
          <w:color w:val="000000"/>
          <w:sz w:val="24"/>
          <w:szCs w:val="24"/>
          <w:lang w:eastAsia="en-GB"/>
        </w:rPr>
        <w:t>boulting</w:t>
      </w:r>
      <w:proofErr w:type="spellEnd"/>
      <w:r w:rsidR="00EC2814">
        <w:rPr>
          <w:rFonts w:ascii="Times New Roman" w:eastAsia="Times New Roman" w:hAnsi="Times New Roman" w:cs="Times New Roman"/>
          <w:color w:val="000000"/>
          <w:sz w:val="24"/>
          <w:szCs w:val="24"/>
          <w:lang w:eastAsia="en-GB"/>
        </w:rPr>
        <w:t xml:space="preserve"> house’. </w:t>
      </w:r>
      <w:r w:rsidR="009A5225">
        <w:rPr>
          <w:rFonts w:ascii="Times New Roman" w:eastAsia="Times New Roman" w:hAnsi="Times New Roman" w:cs="Times New Roman"/>
          <w:color w:val="000000"/>
          <w:sz w:val="24"/>
          <w:szCs w:val="24"/>
          <w:lang w:eastAsia="en-GB"/>
        </w:rPr>
        <w:t>Th</w:t>
      </w:r>
      <w:r w:rsidR="009718FC">
        <w:rPr>
          <w:rFonts w:ascii="Times New Roman" w:eastAsia="Times New Roman" w:hAnsi="Times New Roman" w:cs="Times New Roman"/>
          <w:color w:val="000000"/>
          <w:sz w:val="24"/>
          <w:szCs w:val="24"/>
          <w:lang w:eastAsia="en-GB"/>
        </w:rPr>
        <w:t xml:space="preserve">e ‘servants’ chamber’ is </w:t>
      </w:r>
      <w:r w:rsidR="009A5225">
        <w:rPr>
          <w:rFonts w:ascii="Times New Roman" w:eastAsia="Times New Roman" w:hAnsi="Times New Roman" w:cs="Times New Roman"/>
          <w:color w:val="000000"/>
          <w:sz w:val="24"/>
          <w:szCs w:val="24"/>
          <w:lang w:eastAsia="en-GB"/>
        </w:rPr>
        <w:t xml:space="preserve">described as two rooms above the brewhouse. </w:t>
      </w:r>
      <w:r w:rsidR="00EC2814">
        <w:rPr>
          <w:rFonts w:ascii="Times New Roman" w:eastAsia="Times New Roman" w:hAnsi="Times New Roman" w:cs="Times New Roman"/>
          <w:color w:val="000000"/>
          <w:sz w:val="24"/>
          <w:szCs w:val="24"/>
          <w:lang w:eastAsia="en-GB"/>
        </w:rPr>
        <w:t xml:space="preserve">One of </w:t>
      </w:r>
      <w:proofErr w:type="spellStart"/>
      <w:r w:rsidR="00EC2814">
        <w:rPr>
          <w:rFonts w:ascii="Times New Roman" w:eastAsia="Times New Roman" w:hAnsi="Times New Roman" w:cs="Times New Roman"/>
          <w:color w:val="000000"/>
          <w:sz w:val="24"/>
          <w:szCs w:val="24"/>
          <w:lang w:eastAsia="en-GB"/>
        </w:rPr>
        <w:t>Stubbes</w:t>
      </w:r>
      <w:proofErr w:type="spellEnd"/>
      <w:r w:rsidR="00EC2814">
        <w:rPr>
          <w:rFonts w:ascii="Times New Roman" w:eastAsia="Times New Roman" w:hAnsi="Times New Roman" w:cs="Times New Roman"/>
          <w:color w:val="000000"/>
          <w:sz w:val="24"/>
          <w:szCs w:val="24"/>
          <w:lang w:eastAsia="en-GB"/>
        </w:rPr>
        <w:t>’ chambers</w:t>
      </w:r>
      <w:r w:rsidR="009A5225">
        <w:rPr>
          <w:rFonts w:ascii="Times New Roman" w:eastAsia="Times New Roman" w:hAnsi="Times New Roman" w:cs="Times New Roman"/>
          <w:color w:val="000000"/>
          <w:sz w:val="24"/>
          <w:szCs w:val="24"/>
          <w:lang w:eastAsia="en-GB"/>
        </w:rPr>
        <w:t xml:space="preserve">, which contained quantities of oats and of peas and a miscellany of other items, </w:t>
      </w:r>
      <w:r w:rsidR="00EC2814">
        <w:rPr>
          <w:rFonts w:ascii="Times New Roman" w:eastAsia="Times New Roman" w:hAnsi="Times New Roman" w:cs="Times New Roman"/>
          <w:color w:val="000000"/>
          <w:sz w:val="24"/>
          <w:szCs w:val="24"/>
          <w:lang w:eastAsia="en-GB"/>
        </w:rPr>
        <w:t>was used for storage</w:t>
      </w:r>
      <w:r w:rsidR="009A5225">
        <w:rPr>
          <w:rFonts w:ascii="Times New Roman" w:eastAsia="Times New Roman" w:hAnsi="Times New Roman" w:cs="Times New Roman"/>
          <w:color w:val="000000"/>
          <w:sz w:val="24"/>
          <w:szCs w:val="24"/>
          <w:lang w:eastAsia="en-GB"/>
        </w:rPr>
        <w:t>, but the others were clearly bedrooms providing accommodation for guests at what was evidently a hostelry.</w:t>
      </w:r>
      <w:r w:rsidR="009A5225">
        <w:rPr>
          <w:rStyle w:val="FootnoteReference"/>
          <w:rFonts w:ascii="Times New Roman" w:eastAsia="Times New Roman" w:hAnsi="Times New Roman" w:cs="Times New Roman"/>
          <w:color w:val="000000"/>
          <w:sz w:val="24"/>
          <w:szCs w:val="24"/>
          <w:lang w:eastAsia="en-GB"/>
        </w:rPr>
        <w:footnoteReference w:id="76"/>
      </w:r>
      <w:r w:rsidR="006D7EC3">
        <w:rPr>
          <w:rFonts w:ascii="Times New Roman" w:eastAsia="Times New Roman" w:hAnsi="Times New Roman" w:cs="Times New Roman"/>
          <w:color w:val="000000"/>
          <w:sz w:val="24"/>
          <w:szCs w:val="24"/>
          <w:lang w:eastAsia="en-GB"/>
        </w:rPr>
        <w:t xml:space="preserve"> </w:t>
      </w:r>
    </w:p>
    <w:p w14:paraId="77396EE8" w14:textId="77777777" w:rsidR="00B85DED" w:rsidRDefault="0087482D" w:rsidP="00B83C4B">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w:t>
      </w:r>
      <w:r w:rsidR="00B066A9">
        <w:rPr>
          <w:rFonts w:ascii="Times New Roman" w:eastAsia="Times New Roman" w:hAnsi="Times New Roman" w:cs="Times New Roman"/>
          <w:color w:val="000000"/>
          <w:sz w:val="24"/>
          <w:szCs w:val="24"/>
          <w:lang w:eastAsia="en-GB"/>
        </w:rPr>
        <w:t xml:space="preserve">deposition </w:t>
      </w:r>
      <w:r w:rsidR="009718FC">
        <w:rPr>
          <w:rFonts w:ascii="Times New Roman" w:eastAsia="Times New Roman" w:hAnsi="Times New Roman" w:cs="Times New Roman"/>
          <w:color w:val="000000"/>
          <w:sz w:val="24"/>
          <w:szCs w:val="24"/>
          <w:lang w:eastAsia="en-GB"/>
        </w:rPr>
        <w:t xml:space="preserve">evidence rarely </w:t>
      </w:r>
      <w:r w:rsidR="00B066A9">
        <w:rPr>
          <w:rFonts w:ascii="Times New Roman" w:eastAsia="Times New Roman" w:hAnsi="Times New Roman" w:cs="Times New Roman"/>
          <w:color w:val="000000"/>
          <w:sz w:val="24"/>
          <w:szCs w:val="24"/>
          <w:lang w:eastAsia="en-GB"/>
        </w:rPr>
        <w:t>notice</w:t>
      </w:r>
      <w:r w:rsidR="009718FC">
        <w:rPr>
          <w:rFonts w:ascii="Times New Roman" w:eastAsia="Times New Roman" w:hAnsi="Times New Roman" w:cs="Times New Roman"/>
          <w:color w:val="000000"/>
          <w:sz w:val="24"/>
          <w:szCs w:val="24"/>
          <w:lang w:eastAsia="en-GB"/>
        </w:rPr>
        <w:t>s</w:t>
      </w:r>
      <w:r w:rsidR="00B066A9">
        <w:rPr>
          <w:rFonts w:ascii="Times New Roman" w:eastAsia="Times New Roman" w:hAnsi="Times New Roman" w:cs="Times New Roman"/>
          <w:color w:val="000000"/>
          <w:sz w:val="24"/>
          <w:szCs w:val="24"/>
          <w:lang w:eastAsia="en-GB"/>
        </w:rPr>
        <w:t xml:space="preserve"> chambers</w:t>
      </w:r>
      <w:r w:rsidR="00CD70EF">
        <w:rPr>
          <w:rFonts w:ascii="Times New Roman" w:eastAsia="Times New Roman" w:hAnsi="Times New Roman" w:cs="Times New Roman"/>
          <w:color w:val="000000"/>
          <w:sz w:val="24"/>
          <w:szCs w:val="24"/>
          <w:lang w:eastAsia="en-GB"/>
        </w:rPr>
        <w:t>, th</w:t>
      </w:r>
      <w:r w:rsidR="00C1433D">
        <w:rPr>
          <w:rFonts w:ascii="Times New Roman" w:eastAsia="Times New Roman" w:hAnsi="Times New Roman" w:cs="Times New Roman"/>
          <w:color w:val="000000"/>
          <w:sz w:val="24"/>
          <w:szCs w:val="24"/>
          <w:lang w:eastAsia="en-GB"/>
        </w:rPr>
        <w:t xml:space="preserve">ough references to couples </w:t>
      </w:r>
      <w:r w:rsidR="00CD70EF">
        <w:rPr>
          <w:rFonts w:ascii="Times New Roman" w:eastAsia="Times New Roman" w:hAnsi="Times New Roman" w:cs="Times New Roman"/>
          <w:color w:val="000000"/>
          <w:sz w:val="24"/>
          <w:szCs w:val="24"/>
          <w:lang w:eastAsia="en-GB"/>
        </w:rPr>
        <w:t xml:space="preserve">seen together in beds are to be found. For example Maud </w:t>
      </w:r>
      <w:proofErr w:type="spellStart"/>
      <w:r w:rsidR="00CD70EF">
        <w:rPr>
          <w:rFonts w:ascii="Times New Roman" w:eastAsia="Times New Roman" w:hAnsi="Times New Roman" w:cs="Times New Roman"/>
          <w:color w:val="000000"/>
          <w:sz w:val="24"/>
          <w:szCs w:val="24"/>
          <w:lang w:eastAsia="en-GB"/>
        </w:rPr>
        <w:t>Katersouth</w:t>
      </w:r>
      <w:proofErr w:type="spellEnd"/>
      <w:r w:rsidR="00CD70EF">
        <w:rPr>
          <w:rFonts w:ascii="Times New Roman" w:eastAsia="Times New Roman" w:hAnsi="Times New Roman" w:cs="Times New Roman"/>
          <w:color w:val="000000"/>
          <w:sz w:val="24"/>
          <w:szCs w:val="24"/>
          <w:lang w:eastAsia="en-GB"/>
        </w:rPr>
        <w:t xml:space="preserve"> or </w:t>
      </w:r>
      <w:proofErr w:type="spellStart"/>
      <w:r w:rsidR="00CD70EF">
        <w:rPr>
          <w:rFonts w:ascii="Times New Roman" w:eastAsia="Times New Roman" w:hAnsi="Times New Roman" w:cs="Times New Roman"/>
          <w:color w:val="000000"/>
          <w:sz w:val="24"/>
          <w:szCs w:val="24"/>
          <w:lang w:eastAsia="en-GB"/>
        </w:rPr>
        <w:t>Kat</w:t>
      </w:r>
      <w:r w:rsidR="00BF6742">
        <w:rPr>
          <w:rFonts w:ascii="Times New Roman" w:eastAsia="Times New Roman" w:hAnsi="Times New Roman" w:cs="Times New Roman"/>
          <w:color w:val="000000"/>
          <w:sz w:val="24"/>
          <w:szCs w:val="24"/>
          <w:lang w:eastAsia="en-GB"/>
        </w:rPr>
        <w:t>erforth</w:t>
      </w:r>
      <w:proofErr w:type="spellEnd"/>
      <w:r w:rsidR="00BF6742">
        <w:rPr>
          <w:rFonts w:ascii="Times New Roman" w:eastAsia="Times New Roman" w:hAnsi="Times New Roman" w:cs="Times New Roman"/>
          <w:color w:val="000000"/>
          <w:sz w:val="24"/>
          <w:szCs w:val="24"/>
          <w:lang w:eastAsia="en-GB"/>
        </w:rPr>
        <w:t xml:space="preserve"> and her son witnessed</w:t>
      </w:r>
      <w:r w:rsidR="00CD70EF">
        <w:rPr>
          <w:rFonts w:ascii="Times New Roman" w:eastAsia="Times New Roman" w:hAnsi="Times New Roman" w:cs="Times New Roman"/>
          <w:color w:val="000000"/>
          <w:sz w:val="24"/>
          <w:szCs w:val="24"/>
          <w:lang w:eastAsia="en-GB"/>
        </w:rPr>
        <w:t xml:space="preserve"> a contract of </w:t>
      </w:r>
      <w:r w:rsidR="00BF6742">
        <w:rPr>
          <w:rFonts w:ascii="Times New Roman" w:eastAsia="Times New Roman" w:hAnsi="Times New Roman" w:cs="Times New Roman"/>
          <w:color w:val="000000"/>
          <w:sz w:val="24"/>
          <w:szCs w:val="24"/>
          <w:lang w:eastAsia="en-GB"/>
        </w:rPr>
        <w:t>marriage and saw</w:t>
      </w:r>
      <w:r w:rsidR="0077123C">
        <w:rPr>
          <w:rFonts w:ascii="Times New Roman" w:eastAsia="Times New Roman" w:hAnsi="Times New Roman" w:cs="Times New Roman"/>
          <w:color w:val="000000"/>
          <w:sz w:val="24"/>
          <w:szCs w:val="24"/>
          <w:lang w:eastAsia="en-GB"/>
        </w:rPr>
        <w:t xml:space="preserve"> Maud de </w:t>
      </w:r>
      <w:proofErr w:type="spellStart"/>
      <w:r w:rsidR="0077123C">
        <w:rPr>
          <w:rFonts w:ascii="Times New Roman" w:eastAsia="Times New Roman" w:hAnsi="Times New Roman" w:cs="Times New Roman"/>
          <w:color w:val="000000"/>
          <w:sz w:val="24"/>
          <w:szCs w:val="24"/>
          <w:lang w:eastAsia="en-GB"/>
        </w:rPr>
        <w:t>Bradelay</w:t>
      </w:r>
      <w:proofErr w:type="spellEnd"/>
      <w:r w:rsidR="00CD70EF">
        <w:rPr>
          <w:rFonts w:ascii="Times New Roman" w:eastAsia="Times New Roman" w:hAnsi="Times New Roman" w:cs="Times New Roman"/>
          <w:color w:val="000000"/>
          <w:sz w:val="24"/>
          <w:szCs w:val="24"/>
          <w:lang w:eastAsia="en-GB"/>
        </w:rPr>
        <w:t xml:space="preserve"> join her new husband in bed</w:t>
      </w:r>
      <w:r w:rsidR="0077123C">
        <w:rPr>
          <w:rFonts w:ascii="Times New Roman" w:eastAsia="Times New Roman" w:hAnsi="Times New Roman" w:cs="Times New Roman"/>
          <w:color w:val="000000"/>
          <w:sz w:val="24"/>
          <w:szCs w:val="24"/>
          <w:lang w:eastAsia="en-GB"/>
        </w:rPr>
        <w:t>. Th</w:t>
      </w:r>
      <w:r w:rsidR="00BF6742">
        <w:rPr>
          <w:rFonts w:ascii="Times New Roman" w:eastAsia="Times New Roman" w:hAnsi="Times New Roman" w:cs="Times New Roman"/>
          <w:color w:val="000000"/>
          <w:sz w:val="24"/>
          <w:szCs w:val="24"/>
          <w:lang w:eastAsia="en-GB"/>
        </w:rPr>
        <w:t xml:space="preserve">ey also testified to the </w:t>
      </w:r>
      <w:r w:rsidR="0077123C">
        <w:rPr>
          <w:rFonts w:ascii="Times New Roman" w:eastAsia="Times New Roman" w:hAnsi="Times New Roman" w:cs="Times New Roman"/>
          <w:color w:val="000000"/>
          <w:sz w:val="24"/>
          <w:szCs w:val="24"/>
          <w:lang w:eastAsia="en-GB"/>
        </w:rPr>
        <w:t>couple get</w:t>
      </w:r>
      <w:r w:rsidR="00BF6742">
        <w:rPr>
          <w:rFonts w:ascii="Times New Roman" w:eastAsia="Times New Roman" w:hAnsi="Times New Roman" w:cs="Times New Roman"/>
          <w:color w:val="000000"/>
          <w:sz w:val="24"/>
          <w:szCs w:val="24"/>
          <w:lang w:eastAsia="en-GB"/>
        </w:rPr>
        <w:t>ting</w:t>
      </w:r>
      <w:r w:rsidR="0077123C">
        <w:rPr>
          <w:rFonts w:ascii="Times New Roman" w:eastAsia="Times New Roman" w:hAnsi="Times New Roman" w:cs="Times New Roman"/>
          <w:color w:val="000000"/>
          <w:sz w:val="24"/>
          <w:szCs w:val="24"/>
          <w:lang w:eastAsia="en-GB"/>
        </w:rPr>
        <w:t xml:space="preserve"> up the following dawn and the son deposed that he heard them having sex during the night, but no detail</w:t>
      </w:r>
      <w:r w:rsidR="009E1997">
        <w:rPr>
          <w:rFonts w:ascii="Times New Roman" w:eastAsia="Times New Roman" w:hAnsi="Times New Roman" w:cs="Times New Roman"/>
          <w:color w:val="000000"/>
          <w:sz w:val="24"/>
          <w:szCs w:val="24"/>
          <w:lang w:eastAsia="en-GB"/>
        </w:rPr>
        <w:t xml:space="preserve"> of the location </w:t>
      </w:r>
      <w:r w:rsidR="00C1433D">
        <w:rPr>
          <w:rFonts w:ascii="Times New Roman" w:eastAsia="Times New Roman" w:hAnsi="Times New Roman" w:cs="Times New Roman"/>
          <w:color w:val="000000"/>
          <w:sz w:val="24"/>
          <w:szCs w:val="24"/>
          <w:lang w:eastAsia="en-GB"/>
        </w:rPr>
        <w:t xml:space="preserve">is offered </w:t>
      </w:r>
      <w:r w:rsidR="009E1997">
        <w:rPr>
          <w:rFonts w:ascii="Times New Roman" w:eastAsia="Times New Roman" w:hAnsi="Times New Roman" w:cs="Times New Roman"/>
          <w:color w:val="000000"/>
          <w:sz w:val="24"/>
          <w:szCs w:val="24"/>
          <w:lang w:eastAsia="en-GB"/>
        </w:rPr>
        <w:t>beyond that it was</w:t>
      </w:r>
      <w:r w:rsidR="0077123C">
        <w:rPr>
          <w:rFonts w:ascii="Times New Roman" w:eastAsia="Times New Roman" w:hAnsi="Times New Roman" w:cs="Times New Roman"/>
          <w:color w:val="000000"/>
          <w:sz w:val="24"/>
          <w:szCs w:val="24"/>
          <w:lang w:eastAsia="en-GB"/>
        </w:rPr>
        <w:t xml:space="preserve"> in Maud de </w:t>
      </w:r>
      <w:proofErr w:type="spellStart"/>
      <w:r w:rsidR="0077123C">
        <w:rPr>
          <w:rFonts w:ascii="Times New Roman" w:eastAsia="Times New Roman" w:hAnsi="Times New Roman" w:cs="Times New Roman"/>
          <w:color w:val="000000"/>
          <w:sz w:val="24"/>
          <w:szCs w:val="24"/>
          <w:lang w:eastAsia="en-GB"/>
        </w:rPr>
        <w:t>Bradelay’s</w:t>
      </w:r>
      <w:proofErr w:type="spellEnd"/>
      <w:r w:rsidR="0077123C">
        <w:rPr>
          <w:rFonts w:ascii="Times New Roman" w:eastAsia="Times New Roman" w:hAnsi="Times New Roman" w:cs="Times New Roman"/>
          <w:color w:val="000000"/>
          <w:sz w:val="24"/>
          <w:szCs w:val="24"/>
          <w:lang w:eastAsia="en-GB"/>
        </w:rPr>
        <w:t xml:space="preserve"> house in North Street.</w:t>
      </w:r>
      <w:r w:rsidR="00CD70EF">
        <w:rPr>
          <w:rStyle w:val="FootnoteReference"/>
          <w:rFonts w:ascii="Times New Roman" w:eastAsia="Times New Roman" w:hAnsi="Times New Roman" w:cs="Times New Roman"/>
          <w:color w:val="000000"/>
          <w:sz w:val="24"/>
          <w:szCs w:val="24"/>
          <w:lang w:eastAsia="en-GB"/>
        </w:rPr>
        <w:footnoteReference w:id="77"/>
      </w:r>
      <w:r w:rsidR="009E1997">
        <w:rPr>
          <w:rFonts w:ascii="Times New Roman" w:eastAsia="Times New Roman" w:hAnsi="Times New Roman" w:cs="Times New Roman"/>
          <w:color w:val="000000"/>
          <w:sz w:val="24"/>
          <w:szCs w:val="24"/>
          <w:lang w:eastAsia="en-GB"/>
        </w:rPr>
        <w:t xml:space="preserve"> </w:t>
      </w:r>
      <w:r w:rsidR="00F50A22">
        <w:rPr>
          <w:rFonts w:ascii="Times New Roman" w:eastAsia="Times New Roman" w:hAnsi="Times New Roman" w:cs="Times New Roman"/>
          <w:color w:val="000000"/>
          <w:sz w:val="24"/>
          <w:szCs w:val="24"/>
          <w:lang w:eastAsia="en-GB"/>
        </w:rPr>
        <w:t>More informative is the ex</w:t>
      </w:r>
      <w:r w:rsidR="00BF6742">
        <w:rPr>
          <w:rFonts w:ascii="Times New Roman" w:eastAsia="Times New Roman" w:hAnsi="Times New Roman" w:cs="Times New Roman"/>
          <w:color w:val="000000"/>
          <w:sz w:val="24"/>
          <w:szCs w:val="24"/>
          <w:lang w:eastAsia="en-GB"/>
        </w:rPr>
        <w:t xml:space="preserve">ample of Agnes Grantham </w:t>
      </w:r>
      <w:r w:rsidR="00F50A22">
        <w:rPr>
          <w:rFonts w:ascii="Times New Roman" w:eastAsia="Times New Roman" w:hAnsi="Times New Roman" w:cs="Times New Roman"/>
          <w:color w:val="000000"/>
          <w:sz w:val="24"/>
          <w:szCs w:val="24"/>
          <w:lang w:eastAsia="en-GB"/>
        </w:rPr>
        <w:t xml:space="preserve">given protection in the home of the York draper, William </w:t>
      </w:r>
      <w:proofErr w:type="spellStart"/>
      <w:r w:rsidR="00F50A22">
        <w:rPr>
          <w:rFonts w:ascii="Times New Roman" w:eastAsia="Times New Roman" w:hAnsi="Times New Roman" w:cs="Times New Roman"/>
          <w:color w:val="000000"/>
          <w:sz w:val="24"/>
          <w:szCs w:val="24"/>
          <w:lang w:eastAsia="en-GB"/>
        </w:rPr>
        <w:t>Pountfret</w:t>
      </w:r>
      <w:proofErr w:type="spellEnd"/>
      <w:r w:rsidR="00F50A22">
        <w:rPr>
          <w:rFonts w:ascii="Times New Roman" w:eastAsia="Times New Roman" w:hAnsi="Times New Roman" w:cs="Times New Roman"/>
          <w:color w:val="000000"/>
          <w:sz w:val="24"/>
          <w:szCs w:val="24"/>
          <w:lang w:eastAsia="en-GB"/>
        </w:rPr>
        <w:t xml:space="preserve"> early in the fifteenth century. Agnes shared a room and a bed with </w:t>
      </w:r>
      <w:proofErr w:type="spellStart"/>
      <w:r w:rsidR="00F50A22">
        <w:rPr>
          <w:rFonts w:ascii="Times New Roman" w:eastAsia="Times New Roman" w:hAnsi="Times New Roman" w:cs="Times New Roman"/>
          <w:color w:val="000000"/>
          <w:sz w:val="24"/>
          <w:szCs w:val="24"/>
          <w:lang w:eastAsia="en-GB"/>
        </w:rPr>
        <w:t>Pountfret’s</w:t>
      </w:r>
      <w:proofErr w:type="spellEnd"/>
      <w:r w:rsidR="00F50A22">
        <w:rPr>
          <w:rFonts w:ascii="Times New Roman" w:eastAsia="Times New Roman" w:hAnsi="Times New Roman" w:cs="Times New Roman"/>
          <w:color w:val="000000"/>
          <w:sz w:val="24"/>
          <w:szCs w:val="24"/>
          <w:lang w:eastAsia="en-GB"/>
        </w:rPr>
        <w:t xml:space="preserve"> kinswoman, the </w:t>
      </w:r>
      <w:proofErr w:type="spellStart"/>
      <w:r w:rsidR="00F50A22">
        <w:rPr>
          <w:rFonts w:ascii="Times New Roman" w:eastAsia="Times New Roman" w:hAnsi="Times New Roman" w:cs="Times New Roman"/>
          <w:color w:val="000000"/>
          <w:sz w:val="24"/>
          <w:szCs w:val="24"/>
          <w:lang w:eastAsia="en-GB"/>
        </w:rPr>
        <w:lastRenderedPageBreak/>
        <w:t>vowess</w:t>
      </w:r>
      <w:proofErr w:type="spellEnd"/>
      <w:r w:rsidR="00F50A22">
        <w:rPr>
          <w:rFonts w:ascii="Times New Roman" w:eastAsia="Times New Roman" w:hAnsi="Times New Roman" w:cs="Times New Roman"/>
          <w:color w:val="000000"/>
          <w:sz w:val="24"/>
          <w:szCs w:val="24"/>
          <w:lang w:eastAsia="en-GB"/>
        </w:rPr>
        <w:t xml:space="preserve"> Christiana. </w:t>
      </w:r>
      <w:proofErr w:type="spellStart"/>
      <w:r w:rsidR="00F50A22">
        <w:rPr>
          <w:rFonts w:ascii="Times New Roman" w:eastAsia="Times New Roman" w:hAnsi="Times New Roman" w:cs="Times New Roman"/>
          <w:color w:val="000000"/>
          <w:sz w:val="24"/>
          <w:szCs w:val="24"/>
          <w:lang w:eastAsia="en-GB"/>
        </w:rPr>
        <w:t>Pountfret’s</w:t>
      </w:r>
      <w:proofErr w:type="spellEnd"/>
      <w:r w:rsidR="00F50A22">
        <w:rPr>
          <w:rFonts w:ascii="Times New Roman" w:eastAsia="Times New Roman" w:hAnsi="Times New Roman" w:cs="Times New Roman"/>
          <w:color w:val="000000"/>
          <w:sz w:val="24"/>
          <w:szCs w:val="24"/>
          <w:lang w:eastAsia="en-GB"/>
        </w:rPr>
        <w:t xml:space="preserve"> servant Agnes </w:t>
      </w:r>
      <w:proofErr w:type="spellStart"/>
      <w:r w:rsidR="00F50A22">
        <w:rPr>
          <w:rFonts w:ascii="Times New Roman" w:eastAsia="Times New Roman" w:hAnsi="Times New Roman" w:cs="Times New Roman"/>
          <w:color w:val="000000"/>
          <w:sz w:val="24"/>
          <w:szCs w:val="24"/>
          <w:lang w:eastAsia="en-GB"/>
        </w:rPr>
        <w:t>Kyrkeby</w:t>
      </w:r>
      <w:proofErr w:type="spellEnd"/>
      <w:r w:rsidR="00F50A22">
        <w:rPr>
          <w:rFonts w:ascii="Times New Roman" w:eastAsia="Times New Roman" w:hAnsi="Times New Roman" w:cs="Times New Roman"/>
          <w:color w:val="000000"/>
          <w:sz w:val="24"/>
          <w:szCs w:val="24"/>
          <w:lang w:eastAsia="en-GB"/>
        </w:rPr>
        <w:t xml:space="preserve"> recalled </w:t>
      </w:r>
      <w:r w:rsidR="008E5501">
        <w:rPr>
          <w:rFonts w:ascii="Times New Roman" w:eastAsia="Times New Roman" w:hAnsi="Times New Roman" w:cs="Times New Roman"/>
          <w:color w:val="000000"/>
          <w:sz w:val="24"/>
          <w:szCs w:val="24"/>
          <w:lang w:eastAsia="en-GB"/>
        </w:rPr>
        <w:t>serving her with food and drink, carrying candles for her, and even covering her in bed with the sheets.</w:t>
      </w:r>
      <w:r w:rsidR="008E5501">
        <w:rPr>
          <w:rStyle w:val="FootnoteReference"/>
          <w:rFonts w:ascii="Times New Roman" w:eastAsia="Times New Roman" w:hAnsi="Times New Roman" w:cs="Times New Roman"/>
          <w:color w:val="000000"/>
          <w:sz w:val="24"/>
          <w:szCs w:val="24"/>
          <w:lang w:eastAsia="en-GB"/>
        </w:rPr>
        <w:footnoteReference w:id="78"/>
      </w:r>
      <w:r w:rsidR="008E5501">
        <w:rPr>
          <w:rFonts w:ascii="Times New Roman" w:eastAsia="Times New Roman" w:hAnsi="Times New Roman" w:cs="Times New Roman"/>
          <w:color w:val="000000"/>
          <w:sz w:val="24"/>
          <w:szCs w:val="24"/>
          <w:lang w:eastAsia="en-GB"/>
        </w:rPr>
        <w:t xml:space="preserve"> </w:t>
      </w:r>
      <w:r w:rsidR="003E033E">
        <w:rPr>
          <w:rFonts w:ascii="Times New Roman" w:eastAsia="Times New Roman" w:hAnsi="Times New Roman" w:cs="Times New Roman"/>
          <w:color w:val="000000"/>
          <w:sz w:val="24"/>
          <w:szCs w:val="24"/>
          <w:lang w:eastAsia="en-GB"/>
        </w:rPr>
        <w:t>T</w:t>
      </w:r>
      <w:r w:rsidR="00034143">
        <w:rPr>
          <w:rFonts w:ascii="Times New Roman" w:eastAsia="Times New Roman" w:hAnsi="Times New Roman" w:cs="Times New Roman"/>
          <w:color w:val="000000"/>
          <w:sz w:val="24"/>
          <w:szCs w:val="24"/>
          <w:lang w:eastAsia="en-GB"/>
        </w:rPr>
        <w:t>he most telling example</w:t>
      </w:r>
      <w:r w:rsidR="003E033E">
        <w:rPr>
          <w:rFonts w:ascii="Times New Roman" w:eastAsia="Times New Roman" w:hAnsi="Times New Roman" w:cs="Times New Roman"/>
          <w:color w:val="000000"/>
          <w:sz w:val="24"/>
          <w:szCs w:val="24"/>
          <w:lang w:eastAsia="en-GB"/>
        </w:rPr>
        <w:t xml:space="preserve"> is that found in a </w:t>
      </w:r>
      <w:r w:rsidR="00034143">
        <w:rPr>
          <w:rFonts w:ascii="Times New Roman" w:eastAsia="Times New Roman" w:hAnsi="Times New Roman" w:cs="Times New Roman"/>
          <w:color w:val="000000"/>
          <w:sz w:val="24"/>
          <w:szCs w:val="24"/>
          <w:lang w:eastAsia="en-GB"/>
        </w:rPr>
        <w:t xml:space="preserve">case from 1372 where </w:t>
      </w:r>
      <w:r w:rsidR="00886939">
        <w:rPr>
          <w:rFonts w:ascii="Times New Roman" w:eastAsia="Times New Roman" w:hAnsi="Times New Roman" w:cs="Times New Roman"/>
          <w:color w:val="000000"/>
          <w:sz w:val="24"/>
          <w:szCs w:val="24"/>
          <w:lang w:eastAsia="en-GB"/>
        </w:rPr>
        <w:t xml:space="preserve">testimony was given about an adulterous affair between </w:t>
      </w:r>
      <w:r w:rsidR="00034143">
        <w:rPr>
          <w:rFonts w:ascii="Times New Roman" w:eastAsia="Times New Roman" w:hAnsi="Times New Roman" w:cs="Times New Roman"/>
          <w:color w:val="000000"/>
          <w:sz w:val="24"/>
          <w:szCs w:val="24"/>
          <w:lang w:eastAsia="en-GB"/>
        </w:rPr>
        <w:t xml:space="preserve">the </w:t>
      </w:r>
      <w:proofErr w:type="spellStart"/>
      <w:r w:rsidR="00886939">
        <w:rPr>
          <w:rFonts w:ascii="Times New Roman" w:eastAsia="Times New Roman" w:hAnsi="Times New Roman" w:cs="Times New Roman"/>
          <w:color w:val="000000"/>
          <w:sz w:val="24"/>
          <w:szCs w:val="24"/>
          <w:lang w:eastAsia="en-GB"/>
        </w:rPr>
        <w:t>Walmgate</w:t>
      </w:r>
      <w:proofErr w:type="spellEnd"/>
      <w:r w:rsidR="00886939">
        <w:rPr>
          <w:rFonts w:ascii="Times New Roman" w:eastAsia="Times New Roman" w:hAnsi="Times New Roman" w:cs="Times New Roman"/>
          <w:color w:val="000000"/>
          <w:sz w:val="24"/>
          <w:szCs w:val="24"/>
          <w:lang w:eastAsia="en-GB"/>
        </w:rPr>
        <w:t xml:space="preserve"> </w:t>
      </w:r>
      <w:r w:rsidR="00034143">
        <w:rPr>
          <w:rFonts w:ascii="Times New Roman" w:eastAsia="Times New Roman" w:hAnsi="Times New Roman" w:cs="Times New Roman"/>
          <w:color w:val="000000"/>
          <w:sz w:val="24"/>
          <w:szCs w:val="24"/>
          <w:lang w:eastAsia="en-GB"/>
        </w:rPr>
        <w:t xml:space="preserve">potter (i.e. metal founder), Thomas de </w:t>
      </w:r>
      <w:proofErr w:type="spellStart"/>
      <w:r w:rsidR="00034143">
        <w:rPr>
          <w:rFonts w:ascii="Times New Roman" w:eastAsia="Times New Roman" w:hAnsi="Times New Roman" w:cs="Times New Roman"/>
          <w:color w:val="000000"/>
          <w:sz w:val="24"/>
          <w:szCs w:val="24"/>
          <w:lang w:eastAsia="en-GB"/>
        </w:rPr>
        <w:t>Walde</w:t>
      </w:r>
      <w:proofErr w:type="spellEnd"/>
      <w:r w:rsidR="00034143">
        <w:rPr>
          <w:rFonts w:ascii="Times New Roman" w:eastAsia="Times New Roman" w:hAnsi="Times New Roman" w:cs="Times New Roman"/>
          <w:color w:val="000000"/>
          <w:sz w:val="24"/>
          <w:szCs w:val="24"/>
          <w:lang w:eastAsia="en-GB"/>
        </w:rPr>
        <w:t xml:space="preserve"> </w:t>
      </w:r>
      <w:r w:rsidR="003E033E">
        <w:rPr>
          <w:rFonts w:ascii="Times New Roman" w:eastAsia="Times New Roman" w:hAnsi="Times New Roman" w:cs="Times New Roman"/>
          <w:color w:val="000000"/>
          <w:sz w:val="24"/>
          <w:szCs w:val="24"/>
          <w:lang w:eastAsia="en-GB"/>
        </w:rPr>
        <w:t>and his ex-</w:t>
      </w:r>
      <w:r w:rsidR="00886939">
        <w:rPr>
          <w:rFonts w:ascii="Times New Roman" w:eastAsia="Times New Roman" w:hAnsi="Times New Roman" w:cs="Times New Roman"/>
          <w:color w:val="000000"/>
          <w:sz w:val="24"/>
          <w:szCs w:val="24"/>
          <w:lang w:eastAsia="en-GB"/>
        </w:rPr>
        <w:t xml:space="preserve">servant Joan </w:t>
      </w:r>
      <w:proofErr w:type="spellStart"/>
      <w:r w:rsidR="00886939">
        <w:rPr>
          <w:rFonts w:ascii="Times New Roman" w:eastAsia="Times New Roman" w:hAnsi="Times New Roman" w:cs="Times New Roman"/>
          <w:color w:val="000000"/>
          <w:sz w:val="24"/>
          <w:szCs w:val="24"/>
          <w:lang w:eastAsia="en-GB"/>
        </w:rPr>
        <w:t>Suardby</w:t>
      </w:r>
      <w:proofErr w:type="spellEnd"/>
      <w:r w:rsidR="00886939">
        <w:rPr>
          <w:rFonts w:ascii="Times New Roman" w:eastAsia="Times New Roman" w:hAnsi="Times New Roman" w:cs="Times New Roman"/>
          <w:color w:val="000000"/>
          <w:sz w:val="24"/>
          <w:szCs w:val="24"/>
          <w:lang w:eastAsia="en-GB"/>
        </w:rPr>
        <w:t xml:space="preserve">. </w:t>
      </w:r>
      <w:r w:rsidR="00826CA9">
        <w:rPr>
          <w:rFonts w:ascii="Times New Roman" w:eastAsia="Times New Roman" w:hAnsi="Times New Roman" w:cs="Times New Roman"/>
          <w:color w:val="000000"/>
          <w:sz w:val="24"/>
          <w:szCs w:val="24"/>
          <w:lang w:eastAsia="en-GB"/>
        </w:rPr>
        <w:t>John de Wald, Thomas’ apprentice and kinsman, testifi</w:t>
      </w:r>
      <w:r w:rsidR="003E033E">
        <w:rPr>
          <w:rFonts w:ascii="Times New Roman" w:eastAsia="Times New Roman" w:hAnsi="Times New Roman" w:cs="Times New Roman"/>
          <w:color w:val="000000"/>
          <w:sz w:val="24"/>
          <w:szCs w:val="24"/>
          <w:lang w:eastAsia="en-GB"/>
        </w:rPr>
        <w:t>ed to how whenever Joan visited, she and Thomas</w:t>
      </w:r>
      <w:r w:rsidR="00C1433D">
        <w:rPr>
          <w:rFonts w:ascii="Times New Roman" w:eastAsia="Times New Roman" w:hAnsi="Times New Roman" w:cs="Times New Roman"/>
          <w:color w:val="000000"/>
          <w:sz w:val="24"/>
          <w:szCs w:val="24"/>
          <w:lang w:eastAsia="en-GB"/>
        </w:rPr>
        <w:t xml:space="preserve"> shared a bed. </w:t>
      </w:r>
      <w:r w:rsidR="00826CA9">
        <w:rPr>
          <w:rFonts w:ascii="Times New Roman" w:eastAsia="Times New Roman" w:hAnsi="Times New Roman" w:cs="Times New Roman"/>
          <w:color w:val="000000"/>
          <w:sz w:val="24"/>
          <w:szCs w:val="24"/>
          <w:lang w:eastAsia="en-GB"/>
        </w:rPr>
        <w:t>Thomas’ wife, Marion, thus displaced from the marital bed</w:t>
      </w:r>
      <w:r w:rsidR="00C1433D">
        <w:rPr>
          <w:rFonts w:ascii="Times New Roman" w:eastAsia="Times New Roman" w:hAnsi="Times New Roman" w:cs="Times New Roman"/>
          <w:color w:val="000000"/>
          <w:sz w:val="24"/>
          <w:szCs w:val="24"/>
          <w:lang w:eastAsia="en-GB"/>
        </w:rPr>
        <w:t>,</w:t>
      </w:r>
      <w:r w:rsidR="00826CA9">
        <w:rPr>
          <w:rFonts w:ascii="Times New Roman" w:eastAsia="Times New Roman" w:hAnsi="Times New Roman" w:cs="Times New Roman"/>
          <w:color w:val="000000"/>
          <w:sz w:val="24"/>
          <w:szCs w:val="24"/>
          <w:lang w:eastAsia="en-GB"/>
        </w:rPr>
        <w:t xml:space="preserve"> went downstairs and slept on </w:t>
      </w:r>
      <w:r w:rsidR="00F52442">
        <w:rPr>
          <w:rFonts w:ascii="Times New Roman" w:eastAsia="Times New Roman" w:hAnsi="Times New Roman" w:cs="Times New Roman"/>
          <w:color w:val="000000"/>
          <w:sz w:val="24"/>
          <w:szCs w:val="24"/>
          <w:lang w:eastAsia="en-GB"/>
        </w:rPr>
        <w:t xml:space="preserve">her own </w:t>
      </w:r>
      <w:r w:rsidR="000900B7">
        <w:rPr>
          <w:rFonts w:ascii="Times New Roman" w:eastAsia="Times New Roman" w:hAnsi="Times New Roman" w:cs="Times New Roman"/>
          <w:color w:val="000000"/>
          <w:sz w:val="24"/>
          <w:szCs w:val="24"/>
          <w:lang w:eastAsia="en-GB"/>
        </w:rPr>
        <w:t>(‘</w:t>
      </w:r>
      <w:r w:rsidR="000900B7" w:rsidRPr="000900B7">
        <w:rPr>
          <w:rFonts w:ascii="Times New Roman" w:eastAsia="Times New Roman" w:hAnsi="Times New Roman" w:cs="Times New Roman"/>
          <w:i/>
          <w:color w:val="000000"/>
          <w:sz w:val="24"/>
          <w:szCs w:val="24"/>
          <w:lang w:eastAsia="en-GB"/>
        </w:rPr>
        <w:t>sola</w:t>
      </w:r>
      <w:r w:rsidR="000900B7">
        <w:rPr>
          <w:rFonts w:ascii="Times New Roman" w:eastAsia="Times New Roman" w:hAnsi="Times New Roman" w:cs="Times New Roman"/>
          <w:color w:val="000000"/>
          <w:sz w:val="24"/>
          <w:szCs w:val="24"/>
          <w:lang w:eastAsia="en-GB"/>
        </w:rPr>
        <w:t xml:space="preserve">’) </w:t>
      </w:r>
      <w:r w:rsidR="00F52442">
        <w:rPr>
          <w:rFonts w:ascii="Times New Roman" w:eastAsia="Times New Roman" w:hAnsi="Times New Roman" w:cs="Times New Roman"/>
          <w:color w:val="000000"/>
          <w:sz w:val="24"/>
          <w:szCs w:val="24"/>
          <w:lang w:eastAsia="en-GB"/>
        </w:rPr>
        <w:t xml:space="preserve">in </w:t>
      </w:r>
      <w:r w:rsidR="00826CA9">
        <w:rPr>
          <w:rFonts w:ascii="Times New Roman" w:eastAsia="Times New Roman" w:hAnsi="Times New Roman" w:cs="Times New Roman"/>
          <w:color w:val="000000"/>
          <w:sz w:val="24"/>
          <w:szCs w:val="24"/>
          <w:lang w:eastAsia="en-GB"/>
        </w:rPr>
        <w:t xml:space="preserve">a bed </w:t>
      </w:r>
      <w:r w:rsidR="00F52442">
        <w:rPr>
          <w:rFonts w:ascii="Times New Roman" w:eastAsia="Times New Roman" w:hAnsi="Times New Roman" w:cs="Times New Roman"/>
          <w:color w:val="000000"/>
          <w:sz w:val="24"/>
          <w:szCs w:val="24"/>
          <w:lang w:eastAsia="en-GB"/>
        </w:rPr>
        <w:t xml:space="preserve">in the same </w:t>
      </w:r>
      <w:r w:rsidR="00284E4E">
        <w:rPr>
          <w:rFonts w:ascii="Times New Roman" w:eastAsia="Times New Roman" w:hAnsi="Times New Roman" w:cs="Times New Roman"/>
          <w:color w:val="000000"/>
          <w:sz w:val="24"/>
          <w:szCs w:val="24"/>
          <w:lang w:eastAsia="en-GB"/>
        </w:rPr>
        <w:t>cellar room as their sons and daughters</w:t>
      </w:r>
      <w:r w:rsidR="000900B7">
        <w:rPr>
          <w:rFonts w:ascii="Times New Roman" w:eastAsia="Times New Roman" w:hAnsi="Times New Roman" w:cs="Times New Roman"/>
          <w:color w:val="000000"/>
          <w:sz w:val="24"/>
          <w:szCs w:val="24"/>
          <w:lang w:eastAsia="en-GB"/>
        </w:rPr>
        <w:t>.</w:t>
      </w:r>
      <w:r w:rsidR="000900B7">
        <w:rPr>
          <w:rStyle w:val="FootnoteReference"/>
          <w:rFonts w:ascii="Times New Roman" w:eastAsia="Times New Roman" w:hAnsi="Times New Roman" w:cs="Times New Roman"/>
          <w:color w:val="000000"/>
          <w:sz w:val="24"/>
          <w:szCs w:val="24"/>
          <w:lang w:eastAsia="en-GB"/>
        </w:rPr>
        <w:footnoteReference w:id="79"/>
      </w:r>
      <w:r w:rsidR="000900B7">
        <w:rPr>
          <w:rFonts w:ascii="Times New Roman" w:eastAsia="Times New Roman" w:hAnsi="Times New Roman" w:cs="Times New Roman"/>
          <w:color w:val="000000"/>
          <w:sz w:val="24"/>
          <w:szCs w:val="24"/>
          <w:lang w:eastAsia="en-GB"/>
        </w:rPr>
        <w:t xml:space="preserve"> </w:t>
      </w:r>
    </w:p>
    <w:p w14:paraId="7160A773" w14:textId="549434B7" w:rsidR="00B066A9" w:rsidRDefault="000900B7" w:rsidP="00AF00E1">
      <w:pPr>
        <w:spacing w:line="36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marit</w:t>
      </w:r>
      <w:r w:rsidR="001511F2">
        <w:rPr>
          <w:rFonts w:ascii="Times New Roman" w:eastAsia="Times New Roman" w:hAnsi="Times New Roman" w:cs="Times New Roman"/>
          <w:color w:val="000000"/>
          <w:sz w:val="24"/>
          <w:szCs w:val="24"/>
          <w:lang w:eastAsia="en-GB"/>
        </w:rPr>
        <w:t>al bed, as the</w:t>
      </w:r>
      <w:r w:rsidR="00B85DED">
        <w:rPr>
          <w:rFonts w:ascii="Times New Roman" w:eastAsia="Times New Roman" w:hAnsi="Times New Roman" w:cs="Times New Roman"/>
          <w:color w:val="000000"/>
          <w:sz w:val="24"/>
          <w:szCs w:val="24"/>
          <w:lang w:eastAsia="en-GB"/>
        </w:rPr>
        <w:t xml:space="preserve"> de </w:t>
      </w:r>
      <w:proofErr w:type="spellStart"/>
      <w:r w:rsidR="00B85DED">
        <w:rPr>
          <w:rFonts w:ascii="Times New Roman" w:eastAsia="Times New Roman" w:hAnsi="Times New Roman" w:cs="Times New Roman"/>
          <w:color w:val="000000"/>
          <w:sz w:val="24"/>
          <w:szCs w:val="24"/>
          <w:lang w:eastAsia="en-GB"/>
        </w:rPr>
        <w:t>Walde</w:t>
      </w:r>
      <w:proofErr w:type="spellEnd"/>
      <w:r w:rsidR="00B85DED">
        <w:rPr>
          <w:rFonts w:ascii="Times New Roman" w:eastAsia="Times New Roman" w:hAnsi="Times New Roman" w:cs="Times New Roman"/>
          <w:color w:val="000000"/>
          <w:sz w:val="24"/>
          <w:szCs w:val="24"/>
          <w:lang w:eastAsia="en-GB"/>
        </w:rPr>
        <w:t xml:space="preserve"> case</w:t>
      </w:r>
      <w:r w:rsidR="001511F2">
        <w:rPr>
          <w:rFonts w:ascii="Times New Roman" w:eastAsia="Times New Roman" w:hAnsi="Times New Roman" w:cs="Times New Roman"/>
          <w:color w:val="000000"/>
          <w:sz w:val="24"/>
          <w:szCs w:val="24"/>
          <w:lang w:eastAsia="en-GB"/>
        </w:rPr>
        <w:t xml:space="preserve"> demonstrates, </w:t>
      </w:r>
      <w:r w:rsidR="00933EBE">
        <w:rPr>
          <w:rFonts w:ascii="Times New Roman" w:eastAsia="Times New Roman" w:hAnsi="Times New Roman" w:cs="Times New Roman"/>
          <w:color w:val="000000"/>
          <w:sz w:val="24"/>
          <w:szCs w:val="24"/>
          <w:lang w:eastAsia="en-GB"/>
        </w:rPr>
        <w:t>was</w:t>
      </w:r>
      <w:r>
        <w:rPr>
          <w:rFonts w:ascii="Times New Roman" w:eastAsia="Times New Roman" w:hAnsi="Times New Roman" w:cs="Times New Roman"/>
          <w:color w:val="000000"/>
          <w:sz w:val="24"/>
          <w:szCs w:val="24"/>
          <w:lang w:eastAsia="en-GB"/>
        </w:rPr>
        <w:t xml:space="preserve"> located in the principle chamber. Children – and</w:t>
      </w:r>
      <w:r w:rsidR="001511F2">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as we have seen, servants – might sleep elsewhere, in this instance in </w:t>
      </w:r>
      <w:r w:rsidR="001511F2">
        <w:rPr>
          <w:rFonts w:ascii="Times New Roman" w:eastAsia="Times New Roman" w:hAnsi="Times New Roman" w:cs="Times New Roman"/>
          <w:color w:val="000000"/>
          <w:sz w:val="24"/>
          <w:szCs w:val="24"/>
          <w:lang w:eastAsia="en-GB"/>
        </w:rPr>
        <w:t>a lower level room</w:t>
      </w:r>
      <w:r w:rsidR="00933EBE">
        <w:rPr>
          <w:rFonts w:ascii="Times New Roman" w:eastAsia="Times New Roman" w:hAnsi="Times New Roman" w:cs="Times New Roman"/>
          <w:color w:val="000000"/>
          <w:sz w:val="24"/>
          <w:szCs w:val="24"/>
          <w:lang w:eastAsia="en-GB"/>
        </w:rPr>
        <w:t>. The same was true of servants who might sleep in the shop or in anoth</w:t>
      </w:r>
      <w:r w:rsidR="00C1433D">
        <w:rPr>
          <w:rFonts w:ascii="Times New Roman" w:eastAsia="Times New Roman" w:hAnsi="Times New Roman" w:cs="Times New Roman"/>
          <w:color w:val="000000"/>
          <w:sz w:val="24"/>
          <w:szCs w:val="24"/>
          <w:lang w:eastAsia="en-GB"/>
        </w:rPr>
        <w:t xml:space="preserve">er </w:t>
      </w:r>
      <w:r w:rsidR="001511F2">
        <w:rPr>
          <w:rFonts w:ascii="Times New Roman" w:eastAsia="Times New Roman" w:hAnsi="Times New Roman" w:cs="Times New Roman"/>
          <w:color w:val="000000"/>
          <w:sz w:val="24"/>
          <w:szCs w:val="24"/>
          <w:lang w:eastAsia="en-GB"/>
        </w:rPr>
        <w:t xml:space="preserve">multi-purpose </w:t>
      </w:r>
      <w:r w:rsidR="00C1433D">
        <w:rPr>
          <w:rFonts w:ascii="Times New Roman" w:eastAsia="Times New Roman" w:hAnsi="Times New Roman" w:cs="Times New Roman"/>
          <w:color w:val="000000"/>
          <w:sz w:val="24"/>
          <w:szCs w:val="24"/>
          <w:lang w:eastAsia="en-GB"/>
        </w:rPr>
        <w:t>ground-</w:t>
      </w:r>
      <w:r w:rsidR="00933EBE">
        <w:rPr>
          <w:rFonts w:ascii="Times New Roman" w:eastAsia="Times New Roman" w:hAnsi="Times New Roman" w:cs="Times New Roman"/>
          <w:color w:val="000000"/>
          <w:sz w:val="24"/>
          <w:szCs w:val="24"/>
          <w:lang w:eastAsia="en-GB"/>
        </w:rPr>
        <w:t>floor space, perhaps in part to provide security for stock and tools</w:t>
      </w:r>
      <w:r>
        <w:rPr>
          <w:rFonts w:ascii="Times New Roman" w:eastAsia="Times New Roman" w:hAnsi="Times New Roman" w:cs="Times New Roman"/>
          <w:color w:val="000000"/>
          <w:sz w:val="24"/>
          <w:szCs w:val="24"/>
          <w:lang w:eastAsia="en-GB"/>
        </w:rPr>
        <w:t xml:space="preserve">. </w:t>
      </w:r>
      <w:r w:rsidR="00B85DED">
        <w:rPr>
          <w:rFonts w:ascii="Times New Roman" w:eastAsia="Times New Roman" w:hAnsi="Times New Roman" w:cs="Times New Roman"/>
          <w:color w:val="000000"/>
          <w:sz w:val="24"/>
          <w:szCs w:val="24"/>
          <w:lang w:eastAsia="en-GB"/>
        </w:rPr>
        <w:t>The inventory evidence</w:t>
      </w:r>
      <w:r w:rsidR="001511F2">
        <w:rPr>
          <w:rFonts w:ascii="Times New Roman" w:eastAsia="Times New Roman" w:hAnsi="Times New Roman" w:cs="Times New Roman"/>
          <w:color w:val="000000"/>
          <w:sz w:val="24"/>
          <w:szCs w:val="24"/>
          <w:lang w:eastAsia="en-GB"/>
        </w:rPr>
        <w:t>, however,</w:t>
      </w:r>
      <w:r w:rsidR="009131C5">
        <w:rPr>
          <w:rFonts w:ascii="Times New Roman" w:eastAsia="Times New Roman" w:hAnsi="Times New Roman" w:cs="Times New Roman"/>
          <w:color w:val="000000"/>
          <w:sz w:val="24"/>
          <w:szCs w:val="24"/>
          <w:lang w:eastAsia="en-GB"/>
        </w:rPr>
        <w:t xml:space="preserve"> </w:t>
      </w:r>
      <w:r w:rsidR="002B2D3E">
        <w:rPr>
          <w:rFonts w:ascii="Times New Roman" w:eastAsia="Times New Roman" w:hAnsi="Times New Roman" w:cs="Times New Roman"/>
          <w:color w:val="000000"/>
          <w:sz w:val="24"/>
          <w:szCs w:val="24"/>
          <w:lang w:eastAsia="en-GB"/>
        </w:rPr>
        <w:t>rarely records beds and bedding outside the single chamber</w:t>
      </w:r>
      <w:r w:rsidR="001511F2">
        <w:rPr>
          <w:rFonts w:ascii="Times New Roman" w:eastAsia="Times New Roman" w:hAnsi="Times New Roman" w:cs="Times New Roman"/>
          <w:color w:val="000000"/>
          <w:sz w:val="24"/>
          <w:szCs w:val="24"/>
          <w:lang w:eastAsia="en-GB"/>
        </w:rPr>
        <w:t xml:space="preserve"> regularly</w:t>
      </w:r>
      <w:r w:rsidR="002B2D3E">
        <w:rPr>
          <w:rFonts w:ascii="Times New Roman" w:eastAsia="Times New Roman" w:hAnsi="Times New Roman" w:cs="Times New Roman"/>
          <w:color w:val="000000"/>
          <w:sz w:val="24"/>
          <w:szCs w:val="24"/>
          <w:lang w:eastAsia="en-GB"/>
        </w:rPr>
        <w:t xml:space="preserve"> foun</w:t>
      </w:r>
      <w:r w:rsidR="001511F2">
        <w:rPr>
          <w:rFonts w:ascii="Times New Roman" w:eastAsia="Times New Roman" w:hAnsi="Times New Roman" w:cs="Times New Roman"/>
          <w:color w:val="000000"/>
          <w:sz w:val="24"/>
          <w:szCs w:val="24"/>
          <w:lang w:eastAsia="en-GB"/>
        </w:rPr>
        <w:t>d in the inventory sample</w:t>
      </w:r>
      <w:r w:rsidR="00D360C0">
        <w:rPr>
          <w:rFonts w:ascii="Times New Roman" w:eastAsia="Times New Roman" w:hAnsi="Times New Roman" w:cs="Times New Roman"/>
          <w:color w:val="000000"/>
          <w:sz w:val="24"/>
          <w:szCs w:val="24"/>
          <w:lang w:eastAsia="en-GB"/>
        </w:rPr>
        <w:t>.</w:t>
      </w:r>
      <w:r w:rsidR="00E01A9C">
        <w:rPr>
          <w:rStyle w:val="FootnoteReference"/>
          <w:rFonts w:ascii="Times New Roman" w:eastAsia="Times New Roman" w:hAnsi="Times New Roman" w:cs="Times New Roman"/>
          <w:color w:val="000000"/>
          <w:sz w:val="24"/>
          <w:szCs w:val="24"/>
          <w:lang w:eastAsia="en-GB"/>
        </w:rPr>
        <w:footnoteReference w:id="80"/>
      </w:r>
      <w:r w:rsidR="00D360C0">
        <w:rPr>
          <w:rFonts w:ascii="Times New Roman" w:eastAsia="Times New Roman" w:hAnsi="Times New Roman" w:cs="Times New Roman"/>
          <w:color w:val="000000"/>
          <w:sz w:val="24"/>
          <w:szCs w:val="24"/>
          <w:lang w:eastAsia="en-GB"/>
        </w:rPr>
        <w:t xml:space="preserve"> Unusually Thomas Overdo, baker, had three chambers</w:t>
      </w:r>
      <w:r w:rsidR="00772C2D">
        <w:rPr>
          <w:rFonts w:ascii="Times New Roman" w:eastAsia="Times New Roman" w:hAnsi="Times New Roman" w:cs="Times New Roman"/>
          <w:color w:val="000000"/>
          <w:sz w:val="24"/>
          <w:szCs w:val="24"/>
          <w:lang w:eastAsia="en-GB"/>
        </w:rPr>
        <w:t>,</w:t>
      </w:r>
      <w:r w:rsidR="00D360C0">
        <w:rPr>
          <w:rFonts w:ascii="Times New Roman" w:eastAsia="Times New Roman" w:hAnsi="Times New Roman" w:cs="Times New Roman"/>
          <w:color w:val="000000"/>
          <w:sz w:val="24"/>
          <w:szCs w:val="24"/>
          <w:lang w:eastAsia="en-GB"/>
        </w:rPr>
        <w:t xml:space="preserve"> of which </w:t>
      </w:r>
      <w:r w:rsidR="00772C2D">
        <w:rPr>
          <w:rFonts w:ascii="Times New Roman" w:eastAsia="Times New Roman" w:hAnsi="Times New Roman" w:cs="Times New Roman"/>
          <w:color w:val="000000"/>
          <w:sz w:val="24"/>
          <w:szCs w:val="24"/>
          <w:lang w:eastAsia="en-GB"/>
        </w:rPr>
        <w:t xml:space="preserve">one </w:t>
      </w:r>
      <w:r w:rsidR="00D360C0">
        <w:rPr>
          <w:rFonts w:ascii="Times New Roman" w:eastAsia="Times New Roman" w:hAnsi="Times New Roman" w:cs="Times New Roman"/>
          <w:color w:val="000000"/>
          <w:sz w:val="24"/>
          <w:szCs w:val="24"/>
          <w:lang w:eastAsia="en-GB"/>
        </w:rPr>
        <w:t>included two pairs of servants’ sheets.</w:t>
      </w:r>
      <w:r w:rsidR="00D360C0">
        <w:rPr>
          <w:rStyle w:val="FootnoteReference"/>
          <w:rFonts w:ascii="Times New Roman" w:eastAsia="Times New Roman" w:hAnsi="Times New Roman" w:cs="Times New Roman"/>
          <w:color w:val="000000"/>
          <w:sz w:val="24"/>
          <w:szCs w:val="24"/>
          <w:lang w:eastAsia="en-GB"/>
        </w:rPr>
        <w:footnoteReference w:id="81"/>
      </w:r>
      <w:r w:rsidR="00B365FC">
        <w:rPr>
          <w:rFonts w:ascii="Times New Roman" w:eastAsia="Times New Roman" w:hAnsi="Times New Roman" w:cs="Times New Roman"/>
          <w:color w:val="000000"/>
          <w:sz w:val="24"/>
          <w:szCs w:val="24"/>
          <w:lang w:eastAsia="en-GB"/>
        </w:rPr>
        <w:t xml:space="preserve"> </w:t>
      </w:r>
      <w:r w:rsidR="001562AB">
        <w:rPr>
          <w:rFonts w:ascii="Times New Roman" w:eastAsia="Times New Roman" w:hAnsi="Times New Roman" w:cs="Times New Roman"/>
          <w:color w:val="000000"/>
          <w:sz w:val="24"/>
          <w:szCs w:val="24"/>
          <w:lang w:eastAsia="en-GB"/>
        </w:rPr>
        <w:t xml:space="preserve">A second or even third chamber thus might provide dedicated space for servants, perhaps facilitating separate accommodation for female servants, but also providing the possibility of guest accommodation. </w:t>
      </w:r>
      <w:r w:rsidR="00D360C0">
        <w:rPr>
          <w:rFonts w:ascii="Times New Roman" w:eastAsia="Times New Roman" w:hAnsi="Times New Roman" w:cs="Times New Roman"/>
          <w:color w:val="000000"/>
          <w:sz w:val="24"/>
          <w:szCs w:val="24"/>
          <w:lang w:eastAsia="en-GB"/>
        </w:rPr>
        <w:t>P</w:t>
      </w:r>
      <w:r w:rsidR="006E6671">
        <w:rPr>
          <w:rFonts w:ascii="Times New Roman" w:eastAsia="Times New Roman" w:hAnsi="Times New Roman" w:cs="Times New Roman"/>
          <w:color w:val="000000"/>
          <w:sz w:val="24"/>
          <w:szCs w:val="24"/>
          <w:lang w:eastAsia="en-GB"/>
        </w:rPr>
        <w:t>lural beds are sometimes</w:t>
      </w:r>
      <w:r w:rsidR="002B2D3E">
        <w:rPr>
          <w:rFonts w:ascii="Times New Roman" w:eastAsia="Times New Roman" w:hAnsi="Times New Roman" w:cs="Times New Roman"/>
          <w:color w:val="000000"/>
          <w:sz w:val="24"/>
          <w:szCs w:val="24"/>
          <w:lang w:eastAsia="en-GB"/>
        </w:rPr>
        <w:t xml:space="preserve"> r</w:t>
      </w:r>
      <w:r w:rsidR="00DD1EB5">
        <w:rPr>
          <w:rFonts w:ascii="Times New Roman" w:eastAsia="Times New Roman" w:hAnsi="Times New Roman" w:cs="Times New Roman"/>
          <w:color w:val="000000"/>
          <w:sz w:val="24"/>
          <w:szCs w:val="24"/>
          <w:lang w:eastAsia="en-GB"/>
        </w:rPr>
        <w:t xml:space="preserve">ecorded within the one chamber </w:t>
      </w:r>
      <w:r w:rsidR="006E6671">
        <w:rPr>
          <w:rFonts w:ascii="Times New Roman" w:eastAsia="Times New Roman" w:hAnsi="Times New Roman" w:cs="Times New Roman"/>
          <w:color w:val="000000"/>
          <w:sz w:val="24"/>
          <w:szCs w:val="24"/>
          <w:lang w:eastAsia="en-GB"/>
        </w:rPr>
        <w:t>suggest</w:t>
      </w:r>
      <w:r w:rsidR="00DD1EB5">
        <w:rPr>
          <w:rFonts w:ascii="Times New Roman" w:eastAsia="Times New Roman" w:hAnsi="Times New Roman" w:cs="Times New Roman"/>
          <w:color w:val="000000"/>
          <w:sz w:val="24"/>
          <w:szCs w:val="24"/>
          <w:lang w:eastAsia="en-GB"/>
        </w:rPr>
        <w:t>ing</w:t>
      </w:r>
      <w:r w:rsidR="006E6671">
        <w:rPr>
          <w:rFonts w:ascii="Times New Roman" w:eastAsia="Times New Roman" w:hAnsi="Times New Roman" w:cs="Times New Roman"/>
          <w:color w:val="000000"/>
          <w:sz w:val="24"/>
          <w:szCs w:val="24"/>
          <w:lang w:eastAsia="en-GB"/>
        </w:rPr>
        <w:t xml:space="preserve"> that numbers of household members and not just the master and mistress of the househol</w:t>
      </w:r>
      <w:r w:rsidR="00772C2D">
        <w:rPr>
          <w:rFonts w:ascii="Times New Roman" w:eastAsia="Times New Roman" w:hAnsi="Times New Roman" w:cs="Times New Roman"/>
          <w:color w:val="000000"/>
          <w:sz w:val="24"/>
          <w:szCs w:val="24"/>
          <w:lang w:eastAsia="en-GB"/>
        </w:rPr>
        <w:t xml:space="preserve">d slept in the one chamber. </w:t>
      </w:r>
      <w:r w:rsidR="006E6671">
        <w:rPr>
          <w:rFonts w:ascii="Times New Roman" w:eastAsia="Times New Roman" w:hAnsi="Times New Roman" w:cs="Times New Roman"/>
          <w:color w:val="000000"/>
          <w:sz w:val="24"/>
          <w:szCs w:val="24"/>
          <w:lang w:eastAsia="en-GB"/>
        </w:rPr>
        <w:t>Hugh Grantham</w:t>
      </w:r>
      <w:r w:rsidR="00772C2D">
        <w:rPr>
          <w:rFonts w:ascii="Times New Roman" w:eastAsia="Times New Roman" w:hAnsi="Times New Roman" w:cs="Times New Roman"/>
          <w:color w:val="000000"/>
          <w:sz w:val="24"/>
          <w:szCs w:val="24"/>
          <w:lang w:eastAsia="en-GB"/>
        </w:rPr>
        <w:t>’s</w:t>
      </w:r>
      <w:r w:rsidR="006E6671">
        <w:rPr>
          <w:rFonts w:ascii="Times New Roman" w:eastAsia="Times New Roman" w:hAnsi="Times New Roman" w:cs="Times New Roman"/>
          <w:color w:val="000000"/>
          <w:sz w:val="24"/>
          <w:szCs w:val="24"/>
          <w:lang w:eastAsia="en-GB"/>
        </w:rPr>
        <w:t xml:space="preserve"> </w:t>
      </w:r>
      <w:r w:rsidR="00772C2D">
        <w:rPr>
          <w:rFonts w:ascii="Times New Roman" w:eastAsia="Times New Roman" w:hAnsi="Times New Roman" w:cs="Times New Roman"/>
          <w:color w:val="000000"/>
          <w:sz w:val="24"/>
          <w:szCs w:val="24"/>
          <w:lang w:eastAsia="en-GB"/>
        </w:rPr>
        <w:t xml:space="preserve">inventory </w:t>
      </w:r>
      <w:r w:rsidR="00DD1EB5">
        <w:rPr>
          <w:rFonts w:ascii="Times New Roman" w:eastAsia="Times New Roman" w:hAnsi="Times New Roman" w:cs="Times New Roman"/>
          <w:color w:val="000000"/>
          <w:sz w:val="24"/>
          <w:szCs w:val="24"/>
          <w:lang w:eastAsia="en-GB"/>
        </w:rPr>
        <w:t>document</w:t>
      </w:r>
      <w:r w:rsidR="006E6671">
        <w:rPr>
          <w:rFonts w:ascii="Times New Roman" w:eastAsia="Times New Roman" w:hAnsi="Times New Roman" w:cs="Times New Roman"/>
          <w:color w:val="000000"/>
          <w:sz w:val="24"/>
          <w:szCs w:val="24"/>
          <w:lang w:eastAsia="en-GB"/>
        </w:rPr>
        <w:t xml:space="preserve">s </w:t>
      </w:r>
      <w:r w:rsidR="00AF00E1">
        <w:rPr>
          <w:rFonts w:ascii="Times New Roman" w:eastAsia="Times New Roman" w:hAnsi="Times New Roman" w:cs="Times New Roman"/>
          <w:color w:val="000000"/>
          <w:sz w:val="24"/>
          <w:szCs w:val="24"/>
          <w:lang w:eastAsia="en-GB"/>
        </w:rPr>
        <w:t>a plentiful supply of bed linen in the fo</w:t>
      </w:r>
      <w:r w:rsidR="00772C2D">
        <w:rPr>
          <w:rFonts w:ascii="Times New Roman" w:eastAsia="Times New Roman" w:hAnsi="Times New Roman" w:cs="Times New Roman"/>
          <w:color w:val="000000"/>
          <w:sz w:val="24"/>
          <w:szCs w:val="24"/>
          <w:lang w:eastAsia="en-GB"/>
        </w:rPr>
        <w:t>rm of sheets and pillows. His</w:t>
      </w:r>
      <w:r w:rsidR="00AF00E1">
        <w:rPr>
          <w:rFonts w:ascii="Times New Roman" w:eastAsia="Times New Roman" w:hAnsi="Times New Roman" w:cs="Times New Roman"/>
          <w:color w:val="000000"/>
          <w:sz w:val="24"/>
          <w:szCs w:val="24"/>
          <w:lang w:eastAsia="en-GB"/>
        </w:rPr>
        <w:t xml:space="preserve"> cham</w:t>
      </w:r>
      <w:r w:rsidR="00772C2D">
        <w:rPr>
          <w:rFonts w:ascii="Times New Roman" w:eastAsia="Times New Roman" w:hAnsi="Times New Roman" w:cs="Times New Roman"/>
          <w:color w:val="000000"/>
          <w:sz w:val="24"/>
          <w:szCs w:val="24"/>
          <w:lang w:eastAsia="en-GB"/>
        </w:rPr>
        <w:t>ber was</w:t>
      </w:r>
      <w:r w:rsidR="00AF00E1">
        <w:rPr>
          <w:rFonts w:ascii="Times New Roman" w:eastAsia="Times New Roman" w:hAnsi="Times New Roman" w:cs="Times New Roman"/>
          <w:color w:val="000000"/>
          <w:sz w:val="24"/>
          <w:szCs w:val="24"/>
          <w:lang w:eastAsia="en-GB"/>
        </w:rPr>
        <w:t xml:space="preserve"> well equipped with chests</w:t>
      </w:r>
      <w:r w:rsidR="00772C2D">
        <w:rPr>
          <w:rFonts w:ascii="Times New Roman" w:eastAsia="Times New Roman" w:hAnsi="Times New Roman" w:cs="Times New Roman"/>
          <w:color w:val="000000"/>
          <w:sz w:val="24"/>
          <w:szCs w:val="24"/>
          <w:lang w:eastAsia="en-GB"/>
        </w:rPr>
        <w:t xml:space="preserve">, </w:t>
      </w:r>
      <w:proofErr w:type="gramStart"/>
      <w:r w:rsidR="00772C2D">
        <w:rPr>
          <w:rFonts w:ascii="Times New Roman" w:eastAsia="Times New Roman" w:hAnsi="Times New Roman" w:cs="Times New Roman"/>
          <w:color w:val="000000"/>
          <w:sz w:val="24"/>
          <w:szCs w:val="24"/>
          <w:lang w:eastAsia="en-GB"/>
        </w:rPr>
        <w:t>an</w:t>
      </w:r>
      <w:proofErr w:type="gramEnd"/>
      <w:r w:rsidR="00772C2D">
        <w:rPr>
          <w:rFonts w:ascii="Times New Roman" w:eastAsia="Times New Roman" w:hAnsi="Times New Roman" w:cs="Times New Roman"/>
          <w:color w:val="000000"/>
          <w:sz w:val="24"/>
          <w:szCs w:val="24"/>
          <w:lang w:eastAsia="en-GB"/>
        </w:rPr>
        <w:t xml:space="preserve"> ubiquitous feature of </w:t>
      </w:r>
      <w:r w:rsidR="00AF00E1">
        <w:rPr>
          <w:rFonts w:ascii="Times New Roman" w:eastAsia="Times New Roman" w:hAnsi="Times New Roman" w:cs="Times New Roman"/>
          <w:color w:val="000000"/>
          <w:sz w:val="24"/>
          <w:szCs w:val="24"/>
          <w:lang w:eastAsia="en-GB"/>
        </w:rPr>
        <w:t>chambers, but only one actual wooden</w:t>
      </w:r>
      <w:r w:rsidR="00772C2D">
        <w:rPr>
          <w:rFonts w:ascii="Times New Roman" w:eastAsia="Times New Roman" w:hAnsi="Times New Roman" w:cs="Times New Roman"/>
          <w:color w:val="000000"/>
          <w:sz w:val="24"/>
          <w:szCs w:val="24"/>
          <w:lang w:eastAsia="en-GB"/>
        </w:rPr>
        <w:t xml:space="preserve"> bed is recorded. A</w:t>
      </w:r>
      <w:r w:rsidR="00DD1EB5">
        <w:rPr>
          <w:rFonts w:ascii="Times New Roman" w:eastAsia="Times New Roman" w:hAnsi="Times New Roman" w:cs="Times New Roman"/>
          <w:color w:val="000000"/>
          <w:sz w:val="24"/>
          <w:szCs w:val="24"/>
          <w:lang w:eastAsia="en-GB"/>
        </w:rPr>
        <w:t>t</w:t>
      </w:r>
      <w:r w:rsidR="00AF00E1">
        <w:rPr>
          <w:rFonts w:ascii="Times New Roman" w:eastAsia="Times New Roman" w:hAnsi="Times New Roman" w:cs="Times New Roman"/>
          <w:color w:val="000000"/>
          <w:sz w:val="24"/>
          <w:szCs w:val="24"/>
          <w:lang w:eastAsia="en-GB"/>
        </w:rPr>
        <w:t xml:space="preserve"> his death Hugh was living with his wife Agnes, quite proba</w:t>
      </w:r>
      <w:r w:rsidR="00DD1EB5">
        <w:rPr>
          <w:rFonts w:ascii="Times New Roman" w:eastAsia="Times New Roman" w:hAnsi="Times New Roman" w:cs="Times New Roman"/>
          <w:color w:val="000000"/>
          <w:sz w:val="24"/>
          <w:szCs w:val="24"/>
          <w:lang w:eastAsia="en-GB"/>
        </w:rPr>
        <w:t>bly their son</w:t>
      </w:r>
      <w:r w:rsidR="00FF4EA9">
        <w:rPr>
          <w:rFonts w:ascii="Times New Roman" w:eastAsia="Times New Roman" w:hAnsi="Times New Roman" w:cs="Times New Roman"/>
          <w:color w:val="000000"/>
          <w:sz w:val="24"/>
          <w:szCs w:val="24"/>
          <w:lang w:eastAsia="en-GB"/>
        </w:rPr>
        <w:t xml:space="preserve"> and one or</w:t>
      </w:r>
      <w:r w:rsidR="00AF00E1">
        <w:rPr>
          <w:rFonts w:ascii="Times New Roman" w:eastAsia="Times New Roman" w:hAnsi="Times New Roman" w:cs="Times New Roman"/>
          <w:color w:val="000000"/>
          <w:sz w:val="24"/>
          <w:szCs w:val="24"/>
          <w:lang w:eastAsia="en-GB"/>
        </w:rPr>
        <w:t xml:space="preserve"> more female servants</w:t>
      </w:r>
      <w:r w:rsidR="00FF4EA9">
        <w:rPr>
          <w:rFonts w:ascii="Times New Roman" w:eastAsia="Times New Roman" w:hAnsi="Times New Roman" w:cs="Times New Roman"/>
          <w:color w:val="000000"/>
          <w:sz w:val="24"/>
          <w:szCs w:val="24"/>
          <w:lang w:eastAsia="en-GB"/>
        </w:rPr>
        <w:t>.</w:t>
      </w:r>
      <w:r w:rsidR="00FF4EA9">
        <w:rPr>
          <w:rStyle w:val="FootnoteReference"/>
          <w:rFonts w:ascii="Times New Roman" w:eastAsia="Times New Roman" w:hAnsi="Times New Roman" w:cs="Times New Roman"/>
          <w:color w:val="000000"/>
          <w:sz w:val="24"/>
          <w:szCs w:val="24"/>
          <w:lang w:eastAsia="en-GB"/>
        </w:rPr>
        <w:footnoteReference w:id="82"/>
      </w:r>
      <w:r w:rsidR="00FF4EA9">
        <w:rPr>
          <w:rFonts w:ascii="Times New Roman" w:eastAsia="Times New Roman" w:hAnsi="Times New Roman" w:cs="Times New Roman"/>
          <w:color w:val="000000"/>
          <w:sz w:val="24"/>
          <w:szCs w:val="24"/>
          <w:lang w:eastAsia="en-GB"/>
        </w:rPr>
        <w:t xml:space="preserve"> Three </w:t>
      </w:r>
      <w:r w:rsidR="005F70B9">
        <w:rPr>
          <w:rFonts w:ascii="Times New Roman" w:eastAsia="Times New Roman" w:hAnsi="Times New Roman" w:cs="Times New Roman"/>
          <w:color w:val="000000"/>
          <w:sz w:val="24"/>
          <w:szCs w:val="24"/>
          <w:lang w:eastAsia="en-GB"/>
        </w:rPr>
        <w:t xml:space="preserve">overlapping </w:t>
      </w:r>
      <w:r w:rsidR="00FF4EA9">
        <w:rPr>
          <w:rFonts w:ascii="Times New Roman" w:eastAsia="Times New Roman" w:hAnsi="Times New Roman" w:cs="Times New Roman"/>
          <w:color w:val="000000"/>
          <w:sz w:val="24"/>
          <w:szCs w:val="24"/>
          <w:lang w:eastAsia="en-GB"/>
        </w:rPr>
        <w:t xml:space="preserve">possibilities arise. </w:t>
      </w:r>
      <w:r w:rsidR="005F70B9">
        <w:rPr>
          <w:rFonts w:ascii="Times New Roman" w:eastAsia="Times New Roman" w:hAnsi="Times New Roman" w:cs="Times New Roman"/>
          <w:color w:val="000000"/>
          <w:sz w:val="24"/>
          <w:szCs w:val="24"/>
          <w:lang w:eastAsia="en-GB"/>
        </w:rPr>
        <w:t>One is that a</w:t>
      </w:r>
      <w:r w:rsidR="00DD1EB5">
        <w:rPr>
          <w:rFonts w:ascii="Times New Roman" w:eastAsia="Times New Roman" w:hAnsi="Times New Roman" w:cs="Times New Roman"/>
          <w:color w:val="000000"/>
          <w:sz w:val="24"/>
          <w:szCs w:val="24"/>
          <w:lang w:eastAsia="en-GB"/>
        </w:rPr>
        <w:t xml:space="preserve">ll </w:t>
      </w:r>
      <w:r w:rsidR="005F70B9">
        <w:rPr>
          <w:rFonts w:ascii="Times New Roman" w:eastAsia="Times New Roman" w:hAnsi="Times New Roman" w:cs="Times New Roman"/>
          <w:color w:val="000000"/>
          <w:sz w:val="24"/>
          <w:szCs w:val="24"/>
          <w:lang w:eastAsia="en-GB"/>
        </w:rPr>
        <w:t>slept in the chamber, but only Hugh and Agnes slept on bedding contained within a physical bed</w:t>
      </w:r>
      <w:r w:rsidR="00DD1EB5">
        <w:rPr>
          <w:rFonts w:ascii="Times New Roman" w:eastAsia="Times New Roman" w:hAnsi="Times New Roman" w:cs="Times New Roman"/>
          <w:color w:val="000000"/>
          <w:sz w:val="24"/>
          <w:szCs w:val="24"/>
          <w:lang w:eastAsia="en-GB"/>
        </w:rPr>
        <w:t xml:space="preserve"> with curtains</w:t>
      </w:r>
      <w:r w:rsidR="005F70B9">
        <w:rPr>
          <w:rFonts w:ascii="Times New Roman" w:eastAsia="Times New Roman" w:hAnsi="Times New Roman" w:cs="Times New Roman"/>
          <w:color w:val="000000"/>
          <w:sz w:val="24"/>
          <w:szCs w:val="24"/>
          <w:lang w:eastAsia="en-GB"/>
        </w:rPr>
        <w:t xml:space="preserve">, the others making do with </w:t>
      </w:r>
      <w:r w:rsidR="00DD1EB5">
        <w:rPr>
          <w:rFonts w:ascii="Times New Roman" w:eastAsia="Times New Roman" w:hAnsi="Times New Roman" w:cs="Times New Roman"/>
          <w:color w:val="000000"/>
          <w:sz w:val="24"/>
          <w:szCs w:val="24"/>
          <w:lang w:eastAsia="en-GB"/>
        </w:rPr>
        <w:t>paillasses</w:t>
      </w:r>
      <w:r w:rsidR="005F70B9">
        <w:rPr>
          <w:rFonts w:ascii="Times New Roman" w:eastAsia="Times New Roman" w:hAnsi="Times New Roman" w:cs="Times New Roman"/>
          <w:color w:val="000000"/>
          <w:sz w:val="24"/>
          <w:szCs w:val="24"/>
          <w:lang w:eastAsia="en-GB"/>
        </w:rPr>
        <w:t xml:space="preserve"> of virtually no value and so unrecorded in the inventory.</w:t>
      </w:r>
      <w:r w:rsidR="00BB7641">
        <w:rPr>
          <w:rFonts w:ascii="Times New Roman" w:eastAsia="Times New Roman" w:hAnsi="Times New Roman" w:cs="Times New Roman"/>
          <w:color w:val="000000"/>
          <w:sz w:val="24"/>
          <w:szCs w:val="24"/>
          <w:lang w:eastAsia="en-GB"/>
        </w:rPr>
        <w:t xml:space="preserve"> A second is that </w:t>
      </w:r>
      <w:r w:rsidR="00DD1EB5">
        <w:rPr>
          <w:rFonts w:ascii="Times New Roman" w:eastAsia="Times New Roman" w:hAnsi="Times New Roman" w:cs="Times New Roman"/>
          <w:color w:val="000000"/>
          <w:sz w:val="24"/>
          <w:szCs w:val="24"/>
          <w:lang w:eastAsia="en-GB"/>
        </w:rPr>
        <w:t>paillasses</w:t>
      </w:r>
      <w:r w:rsidR="00BB7641">
        <w:rPr>
          <w:rFonts w:ascii="Times New Roman" w:eastAsia="Times New Roman" w:hAnsi="Times New Roman" w:cs="Times New Roman"/>
          <w:color w:val="000000"/>
          <w:sz w:val="24"/>
          <w:szCs w:val="24"/>
          <w:lang w:eastAsia="en-GB"/>
        </w:rPr>
        <w:t xml:space="preserve"> were</w:t>
      </w:r>
      <w:r w:rsidR="005F70B9">
        <w:rPr>
          <w:rFonts w:ascii="Times New Roman" w:eastAsia="Times New Roman" w:hAnsi="Times New Roman" w:cs="Times New Roman"/>
          <w:color w:val="000000"/>
          <w:sz w:val="24"/>
          <w:szCs w:val="24"/>
          <w:lang w:eastAsia="en-GB"/>
        </w:rPr>
        <w:t xml:space="preserve"> put out at night </w:t>
      </w:r>
      <w:r w:rsidR="00BD5E15">
        <w:rPr>
          <w:rFonts w:ascii="Times New Roman" w:eastAsia="Times New Roman" w:hAnsi="Times New Roman" w:cs="Times New Roman"/>
          <w:color w:val="000000"/>
          <w:sz w:val="24"/>
          <w:szCs w:val="24"/>
          <w:lang w:eastAsia="en-GB"/>
        </w:rPr>
        <w:t>elsewhere in the house, perhaps providing for the female servants to sleep separately.</w:t>
      </w:r>
      <w:r w:rsidR="00CF202B">
        <w:rPr>
          <w:rStyle w:val="FootnoteReference"/>
          <w:rFonts w:ascii="Times New Roman" w:eastAsia="Times New Roman" w:hAnsi="Times New Roman" w:cs="Times New Roman"/>
          <w:color w:val="000000"/>
          <w:sz w:val="24"/>
          <w:szCs w:val="24"/>
          <w:lang w:eastAsia="en-GB"/>
        </w:rPr>
        <w:footnoteReference w:id="83"/>
      </w:r>
      <w:r w:rsidR="00BD5E15">
        <w:rPr>
          <w:rFonts w:ascii="Times New Roman" w:eastAsia="Times New Roman" w:hAnsi="Times New Roman" w:cs="Times New Roman"/>
          <w:color w:val="000000"/>
          <w:sz w:val="24"/>
          <w:szCs w:val="24"/>
          <w:lang w:eastAsia="en-GB"/>
        </w:rPr>
        <w:t xml:space="preserve"> A third is that there </w:t>
      </w:r>
      <w:r w:rsidR="00BB7641">
        <w:rPr>
          <w:rFonts w:ascii="Times New Roman" w:eastAsia="Times New Roman" w:hAnsi="Times New Roman" w:cs="Times New Roman"/>
          <w:color w:val="000000"/>
          <w:sz w:val="24"/>
          <w:szCs w:val="24"/>
          <w:lang w:eastAsia="en-GB"/>
        </w:rPr>
        <w:t xml:space="preserve">were </w:t>
      </w:r>
      <w:r w:rsidR="00BD5E15">
        <w:rPr>
          <w:rFonts w:ascii="Times New Roman" w:eastAsia="Times New Roman" w:hAnsi="Times New Roman" w:cs="Times New Roman"/>
          <w:color w:val="000000"/>
          <w:sz w:val="24"/>
          <w:szCs w:val="24"/>
          <w:lang w:eastAsia="en-GB"/>
        </w:rPr>
        <w:t>more solid bed fram</w:t>
      </w:r>
      <w:r w:rsidR="00BB7641">
        <w:rPr>
          <w:rFonts w:ascii="Times New Roman" w:eastAsia="Times New Roman" w:hAnsi="Times New Roman" w:cs="Times New Roman"/>
          <w:color w:val="000000"/>
          <w:sz w:val="24"/>
          <w:szCs w:val="24"/>
          <w:lang w:eastAsia="en-GB"/>
        </w:rPr>
        <w:t xml:space="preserve">es, but these were deemed </w:t>
      </w:r>
      <w:r w:rsidR="00BD5E15">
        <w:rPr>
          <w:rFonts w:ascii="Times New Roman" w:eastAsia="Times New Roman" w:hAnsi="Times New Roman" w:cs="Times New Roman"/>
          <w:color w:val="000000"/>
          <w:sz w:val="24"/>
          <w:szCs w:val="24"/>
          <w:lang w:eastAsia="en-GB"/>
        </w:rPr>
        <w:lastRenderedPageBreak/>
        <w:t xml:space="preserve">the personal </w:t>
      </w:r>
      <w:r w:rsidR="00BD5E15" w:rsidRPr="000D3EAD">
        <w:rPr>
          <w:rFonts w:ascii="Times New Roman" w:eastAsia="Times New Roman" w:hAnsi="Times New Roman" w:cs="Times New Roman"/>
          <w:color w:val="000000"/>
          <w:sz w:val="24"/>
          <w:szCs w:val="24"/>
          <w:lang w:eastAsia="en-GB"/>
        </w:rPr>
        <w:t>bel</w:t>
      </w:r>
      <w:r w:rsidR="00BB7641" w:rsidRPr="000D3EAD">
        <w:rPr>
          <w:rFonts w:ascii="Times New Roman" w:eastAsia="Times New Roman" w:hAnsi="Times New Roman" w:cs="Times New Roman"/>
          <w:color w:val="000000"/>
          <w:sz w:val="24"/>
          <w:szCs w:val="24"/>
          <w:lang w:eastAsia="en-GB"/>
        </w:rPr>
        <w:t>ongings of the users and so un</w:t>
      </w:r>
      <w:r w:rsidR="00BD5E15" w:rsidRPr="000D3EAD">
        <w:rPr>
          <w:rFonts w:ascii="Times New Roman" w:eastAsia="Times New Roman" w:hAnsi="Times New Roman" w:cs="Times New Roman"/>
          <w:color w:val="000000"/>
          <w:sz w:val="24"/>
          <w:szCs w:val="24"/>
          <w:lang w:eastAsia="en-GB"/>
        </w:rPr>
        <w:t>recorded.</w:t>
      </w:r>
      <w:r w:rsidR="00ED455F">
        <w:rPr>
          <w:rFonts w:ascii="Times New Roman" w:eastAsia="Times New Roman" w:hAnsi="Times New Roman" w:cs="Times New Roman"/>
          <w:color w:val="000000"/>
          <w:sz w:val="24"/>
          <w:szCs w:val="24"/>
          <w:lang w:eastAsia="en-GB"/>
        </w:rPr>
        <w:t xml:space="preserve"> In the light of the deposition evidence that servants and children might sleep downstairs, these two last seem the more likely.</w:t>
      </w:r>
    </w:p>
    <w:p w14:paraId="2404D9A5" w14:textId="77777777" w:rsidR="00B066A9" w:rsidRDefault="00B066A9" w:rsidP="00B83C4B">
      <w:pPr>
        <w:spacing w:line="360" w:lineRule="auto"/>
        <w:ind w:firstLine="720"/>
        <w:rPr>
          <w:rFonts w:ascii="Times New Roman" w:eastAsia="Times New Roman" w:hAnsi="Times New Roman" w:cs="Times New Roman"/>
          <w:color w:val="000000"/>
          <w:sz w:val="24"/>
          <w:szCs w:val="24"/>
          <w:lang w:eastAsia="en-GB"/>
        </w:rPr>
      </w:pPr>
    </w:p>
    <w:p w14:paraId="691E53F3" w14:textId="27456E01" w:rsidR="00754B2B" w:rsidRDefault="006F73E6" w:rsidP="006F73E6">
      <w:pPr>
        <w:spacing w:line="360" w:lineRule="auto"/>
        <w:rPr>
          <w:rFonts w:ascii="Times New Roman" w:hAnsi="Times New Roman" w:cs="Times New Roman"/>
          <w:sz w:val="24"/>
          <w:szCs w:val="24"/>
        </w:rPr>
      </w:pPr>
      <w:r>
        <w:rPr>
          <w:rFonts w:ascii="Times New Roman" w:hAnsi="Times New Roman" w:cs="Times New Roman"/>
          <w:sz w:val="24"/>
          <w:szCs w:val="24"/>
        </w:rPr>
        <w:tab/>
        <w:t>Testimony from the ecclesiastical Court of York does much to illu</w:t>
      </w:r>
      <w:r w:rsidR="00814D68">
        <w:rPr>
          <w:rFonts w:ascii="Times New Roman" w:hAnsi="Times New Roman" w:cs="Times New Roman"/>
          <w:sz w:val="24"/>
          <w:szCs w:val="24"/>
        </w:rPr>
        <w:t>minate the way spaces were used, although their focus was on specific moments, particularly when couples allegedly exchanged words signifying marri</w:t>
      </w:r>
      <w:r w:rsidR="00914663">
        <w:rPr>
          <w:rFonts w:ascii="Times New Roman" w:hAnsi="Times New Roman" w:cs="Times New Roman"/>
          <w:sz w:val="24"/>
          <w:szCs w:val="24"/>
        </w:rPr>
        <w:t>age</w:t>
      </w:r>
      <w:r w:rsidR="00814D68">
        <w:rPr>
          <w:rFonts w:ascii="Times New Roman" w:hAnsi="Times New Roman" w:cs="Times New Roman"/>
          <w:sz w:val="24"/>
          <w:szCs w:val="24"/>
        </w:rPr>
        <w:t xml:space="preserve">. </w:t>
      </w:r>
      <w:r w:rsidR="00B365FC">
        <w:rPr>
          <w:rFonts w:ascii="Times New Roman" w:hAnsi="Times New Roman" w:cs="Times New Roman"/>
          <w:sz w:val="24"/>
          <w:szCs w:val="24"/>
        </w:rPr>
        <w:t xml:space="preserve">Much everyday activity is largely unnoticed. We occasionally glimpse women servants at their duties in the house. In </w:t>
      </w:r>
      <w:r w:rsidR="00914663">
        <w:rPr>
          <w:rFonts w:ascii="Times New Roman" w:hAnsi="Times New Roman" w:cs="Times New Roman"/>
          <w:sz w:val="24"/>
          <w:szCs w:val="24"/>
        </w:rPr>
        <w:t xml:space="preserve">one case a </w:t>
      </w:r>
      <w:r w:rsidR="00727A2B">
        <w:rPr>
          <w:rFonts w:ascii="Times New Roman" w:hAnsi="Times New Roman" w:cs="Times New Roman"/>
          <w:sz w:val="24"/>
          <w:szCs w:val="24"/>
        </w:rPr>
        <w:t xml:space="preserve">furious husband </w:t>
      </w:r>
      <w:r w:rsidR="00F14B1F">
        <w:rPr>
          <w:rFonts w:ascii="Times New Roman" w:hAnsi="Times New Roman" w:cs="Times New Roman"/>
          <w:sz w:val="24"/>
          <w:szCs w:val="24"/>
        </w:rPr>
        <w:t>discover</w:t>
      </w:r>
      <w:r w:rsidR="00727A2B">
        <w:rPr>
          <w:rFonts w:ascii="Times New Roman" w:hAnsi="Times New Roman" w:cs="Times New Roman"/>
          <w:sz w:val="24"/>
          <w:szCs w:val="24"/>
        </w:rPr>
        <w:t>s</w:t>
      </w:r>
      <w:r w:rsidR="00F14B1F">
        <w:rPr>
          <w:rFonts w:ascii="Times New Roman" w:hAnsi="Times New Roman" w:cs="Times New Roman"/>
          <w:sz w:val="24"/>
          <w:szCs w:val="24"/>
        </w:rPr>
        <w:t xml:space="preserve"> in the morning that the pewter vessels used to entertain guests the previous</w:t>
      </w:r>
      <w:r w:rsidR="00B365FC">
        <w:rPr>
          <w:rFonts w:ascii="Times New Roman" w:hAnsi="Times New Roman" w:cs="Times New Roman"/>
          <w:sz w:val="24"/>
          <w:szCs w:val="24"/>
        </w:rPr>
        <w:t xml:space="preserve"> </w:t>
      </w:r>
      <w:r w:rsidR="00F14B1F">
        <w:rPr>
          <w:rFonts w:ascii="Times New Roman" w:hAnsi="Times New Roman" w:cs="Times New Roman"/>
          <w:sz w:val="24"/>
          <w:szCs w:val="24"/>
        </w:rPr>
        <w:t>evening remained unwashed because his wife had dismissed the servants after the meal was served.</w:t>
      </w:r>
      <w:r w:rsidR="00F14B1F">
        <w:rPr>
          <w:rStyle w:val="FootnoteReference"/>
          <w:rFonts w:ascii="Times New Roman" w:hAnsi="Times New Roman" w:cs="Times New Roman"/>
          <w:sz w:val="24"/>
          <w:szCs w:val="24"/>
        </w:rPr>
        <w:footnoteReference w:id="84"/>
      </w:r>
      <w:r w:rsidR="00B365FC">
        <w:rPr>
          <w:rFonts w:ascii="Times New Roman" w:hAnsi="Times New Roman" w:cs="Times New Roman"/>
          <w:sz w:val="24"/>
          <w:szCs w:val="24"/>
        </w:rPr>
        <w:t xml:space="preserve"> </w:t>
      </w:r>
      <w:r w:rsidR="00914663">
        <w:rPr>
          <w:rFonts w:ascii="Times New Roman" w:hAnsi="Times New Roman" w:cs="Times New Roman"/>
          <w:sz w:val="24"/>
          <w:szCs w:val="24"/>
        </w:rPr>
        <w:t>A</w:t>
      </w:r>
      <w:r w:rsidR="003B4005">
        <w:rPr>
          <w:rFonts w:ascii="Times New Roman" w:hAnsi="Times New Roman" w:cs="Times New Roman"/>
          <w:sz w:val="24"/>
          <w:szCs w:val="24"/>
        </w:rPr>
        <w:t xml:space="preserve"> male journeyman testified to having to fetch water from the river in the temporary absence of the f</w:t>
      </w:r>
      <w:r w:rsidR="00914663">
        <w:rPr>
          <w:rFonts w:ascii="Times New Roman" w:hAnsi="Times New Roman" w:cs="Times New Roman"/>
          <w:sz w:val="24"/>
          <w:szCs w:val="24"/>
        </w:rPr>
        <w:t>emale servant, but</w:t>
      </w:r>
      <w:r w:rsidR="00B365FC">
        <w:rPr>
          <w:rFonts w:ascii="Times New Roman" w:hAnsi="Times New Roman" w:cs="Times New Roman"/>
          <w:sz w:val="24"/>
          <w:szCs w:val="24"/>
        </w:rPr>
        <w:t xml:space="preserve"> the labour of male servants in</w:t>
      </w:r>
      <w:r w:rsidR="00914663">
        <w:rPr>
          <w:rFonts w:ascii="Times New Roman" w:hAnsi="Times New Roman" w:cs="Times New Roman"/>
          <w:sz w:val="24"/>
          <w:szCs w:val="24"/>
        </w:rPr>
        <w:t>side</w:t>
      </w:r>
      <w:r w:rsidR="00B365FC">
        <w:rPr>
          <w:rFonts w:ascii="Times New Roman" w:hAnsi="Times New Roman" w:cs="Times New Roman"/>
          <w:sz w:val="24"/>
          <w:szCs w:val="24"/>
        </w:rPr>
        <w:t xml:space="preserve"> the workshop </w:t>
      </w:r>
      <w:r w:rsidR="003B4005">
        <w:rPr>
          <w:rFonts w:ascii="Times New Roman" w:hAnsi="Times New Roman" w:cs="Times New Roman"/>
          <w:sz w:val="24"/>
          <w:szCs w:val="24"/>
        </w:rPr>
        <w:t>is almost invisible.</w:t>
      </w:r>
      <w:r w:rsidR="001D278C">
        <w:rPr>
          <w:rStyle w:val="FootnoteReference"/>
          <w:rFonts w:ascii="Times New Roman" w:hAnsi="Times New Roman" w:cs="Times New Roman"/>
          <w:sz w:val="24"/>
          <w:szCs w:val="24"/>
        </w:rPr>
        <w:footnoteReference w:id="85"/>
      </w:r>
      <w:r w:rsidR="00914663">
        <w:rPr>
          <w:rFonts w:ascii="Times New Roman" w:hAnsi="Times New Roman" w:cs="Times New Roman"/>
          <w:sz w:val="24"/>
          <w:szCs w:val="24"/>
        </w:rPr>
        <w:t xml:space="preserve"> Children</w:t>
      </w:r>
      <w:r w:rsidR="003B4005">
        <w:rPr>
          <w:rFonts w:ascii="Times New Roman" w:hAnsi="Times New Roman" w:cs="Times New Roman"/>
          <w:sz w:val="24"/>
          <w:szCs w:val="24"/>
        </w:rPr>
        <w:t xml:space="preserve"> too young to give te</w:t>
      </w:r>
      <w:r w:rsidR="00914663">
        <w:rPr>
          <w:rFonts w:ascii="Times New Roman" w:hAnsi="Times New Roman" w:cs="Times New Roman"/>
          <w:sz w:val="24"/>
          <w:szCs w:val="24"/>
        </w:rPr>
        <w:t>stimony within the Church court</w:t>
      </w:r>
      <w:r w:rsidR="003B4005">
        <w:rPr>
          <w:rFonts w:ascii="Times New Roman" w:hAnsi="Times New Roman" w:cs="Times New Roman"/>
          <w:sz w:val="24"/>
          <w:szCs w:val="24"/>
        </w:rPr>
        <w:t xml:space="preserve"> are likewise </w:t>
      </w:r>
      <w:r w:rsidR="00914663">
        <w:rPr>
          <w:rFonts w:ascii="Times New Roman" w:hAnsi="Times New Roman" w:cs="Times New Roman"/>
          <w:sz w:val="24"/>
          <w:szCs w:val="24"/>
        </w:rPr>
        <w:t xml:space="preserve">largely unseen, though the husband </w:t>
      </w:r>
      <w:r w:rsidR="003B4005">
        <w:rPr>
          <w:rFonts w:ascii="Times New Roman" w:hAnsi="Times New Roman" w:cs="Times New Roman"/>
          <w:sz w:val="24"/>
          <w:szCs w:val="24"/>
        </w:rPr>
        <w:t xml:space="preserve">angry at the </w:t>
      </w:r>
      <w:r w:rsidR="00914663">
        <w:rPr>
          <w:rFonts w:ascii="Times New Roman" w:hAnsi="Times New Roman" w:cs="Times New Roman"/>
          <w:sz w:val="24"/>
          <w:szCs w:val="24"/>
        </w:rPr>
        <w:t xml:space="preserve">lack of washing up was the </w:t>
      </w:r>
      <w:r w:rsidR="003B4005">
        <w:rPr>
          <w:rFonts w:ascii="Times New Roman" w:hAnsi="Times New Roman" w:cs="Times New Roman"/>
          <w:sz w:val="24"/>
          <w:szCs w:val="24"/>
        </w:rPr>
        <w:t>man who fell out with his wife because her young</w:t>
      </w:r>
      <w:r w:rsidR="00754B2B">
        <w:rPr>
          <w:rFonts w:ascii="Times New Roman" w:hAnsi="Times New Roman" w:cs="Times New Roman"/>
          <w:sz w:val="24"/>
          <w:szCs w:val="24"/>
        </w:rPr>
        <w:t xml:space="preserve"> son by a previous marriage </w:t>
      </w:r>
      <w:r w:rsidR="003B4005">
        <w:rPr>
          <w:rFonts w:ascii="Times New Roman" w:hAnsi="Times New Roman" w:cs="Times New Roman"/>
          <w:sz w:val="24"/>
          <w:szCs w:val="24"/>
        </w:rPr>
        <w:t>stood at the dinner table</w:t>
      </w:r>
      <w:r w:rsidR="00754B2B">
        <w:rPr>
          <w:rFonts w:ascii="Times New Roman" w:hAnsi="Times New Roman" w:cs="Times New Roman"/>
          <w:sz w:val="24"/>
          <w:szCs w:val="24"/>
        </w:rPr>
        <w:t xml:space="preserve"> when the household dined</w:t>
      </w:r>
      <w:r w:rsidR="003B4005">
        <w:rPr>
          <w:rFonts w:ascii="Times New Roman" w:hAnsi="Times New Roman" w:cs="Times New Roman"/>
          <w:sz w:val="24"/>
          <w:szCs w:val="24"/>
        </w:rPr>
        <w:t xml:space="preserve">. </w:t>
      </w:r>
      <w:r w:rsidR="00914663">
        <w:rPr>
          <w:rFonts w:ascii="Times New Roman" w:hAnsi="Times New Roman" w:cs="Times New Roman"/>
          <w:sz w:val="24"/>
          <w:szCs w:val="24"/>
        </w:rPr>
        <w:t>Household devotions are</w:t>
      </w:r>
      <w:r w:rsidR="00754B2B">
        <w:rPr>
          <w:rFonts w:ascii="Times New Roman" w:hAnsi="Times New Roman" w:cs="Times New Roman"/>
          <w:sz w:val="24"/>
          <w:szCs w:val="24"/>
        </w:rPr>
        <w:t xml:space="preserve"> unreported</w:t>
      </w:r>
      <w:r w:rsidR="00597D90">
        <w:rPr>
          <w:rFonts w:ascii="Times New Roman" w:hAnsi="Times New Roman" w:cs="Times New Roman"/>
          <w:sz w:val="24"/>
          <w:szCs w:val="24"/>
        </w:rPr>
        <w:t>. So is personal hygiene</w:t>
      </w:r>
      <w:r w:rsidR="00754B2B">
        <w:rPr>
          <w:rFonts w:ascii="Times New Roman" w:hAnsi="Times New Roman" w:cs="Times New Roman"/>
          <w:sz w:val="24"/>
          <w:szCs w:val="24"/>
        </w:rPr>
        <w:t>.</w:t>
      </w:r>
      <w:r w:rsidR="00B05CD5">
        <w:rPr>
          <w:rFonts w:ascii="Times New Roman" w:hAnsi="Times New Roman" w:cs="Times New Roman"/>
          <w:sz w:val="24"/>
          <w:szCs w:val="24"/>
        </w:rPr>
        <w:t xml:space="preserve"> </w:t>
      </w:r>
      <w:r w:rsidR="003B4005">
        <w:rPr>
          <w:rFonts w:ascii="Times New Roman" w:hAnsi="Times New Roman" w:cs="Times New Roman"/>
          <w:sz w:val="24"/>
          <w:szCs w:val="24"/>
        </w:rPr>
        <w:t>Sex</w:t>
      </w:r>
      <w:r w:rsidR="00754B2B">
        <w:rPr>
          <w:rFonts w:ascii="Times New Roman" w:hAnsi="Times New Roman" w:cs="Times New Roman"/>
          <w:sz w:val="24"/>
          <w:szCs w:val="24"/>
        </w:rPr>
        <w:t>, however,</w:t>
      </w:r>
      <w:r w:rsidR="003B4005">
        <w:rPr>
          <w:rFonts w:ascii="Times New Roman" w:hAnsi="Times New Roman" w:cs="Times New Roman"/>
          <w:sz w:val="24"/>
          <w:szCs w:val="24"/>
        </w:rPr>
        <w:t xml:space="preserve"> i</w:t>
      </w:r>
      <w:r w:rsidR="00914663">
        <w:rPr>
          <w:rFonts w:ascii="Times New Roman" w:hAnsi="Times New Roman" w:cs="Times New Roman"/>
          <w:sz w:val="24"/>
          <w:szCs w:val="24"/>
        </w:rPr>
        <w:t xml:space="preserve">s noticed periodically as </w:t>
      </w:r>
      <w:r w:rsidR="003B4005">
        <w:rPr>
          <w:rFonts w:ascii="Times New Roman" w:hAnsi="Times New Roman" w:cs="Times New Roman"/>
          <w:sz w:val="24"/>
          <w:szCs w:val="24"/>
        </w:rPr>
        <w:t xml:space="preserve">future contracts of marriage – </w:t>
      </w:r>
      <w:r w:rsidR="001D278C">
        <w:rPr>
          <w:rFonts w:ascii="Times New Roman" w:hAnsi="Times New Roman" w:cs="Times New Roman"/>
          <w:sz w:val="24"/>
          <w:szCs w:val="24"/>
        </w:rPr>
        <w:t>“</w:t>
      </w:r>
      <w:r w:rsidR="003B4005">
        <w:rPr>
          <w:rFonts w:ascii="Times New Roman" w:hAnsi="Times New Roman" w:cs="Times New Roman"/>
          <w:sz w:val="24"/>
          <w:szCs w:val="24"/>
        </w:rPr>
        <w:t>I will marry you</w:t>
      </w:r>
      <w:r w:rsidR="001D278C">
        <w:rPr>
          <w:rFonts w:ascii="Times New Roman" w:hAnsi="Times New Roman" w:cs="Times New Roman"/>
          <w:sz w:val="24"/>
          <w:szCs w:val="24"/>
        </w:rPr>
        <w:t>”</w:t>
      </w:r>
      <w:r w:rsidR="003B4005">
        <w:rPr>
          <w:rFonts w:ascii="Times New Roman" w:hAnsi="Times New Roman" w:cs="Times New Roman"/>
          <w:sz w:val="24"/>
          <w:szCs w:val="24"/>
        </w:rPr>
        <w:t xml:space="preserve"> etc. – we</w:t>
      </w:r>
      <w:r w:rsidR="001D278C">
        <w:rPr>
          <w:rFonts w:ascii="Times New Roman" w:hAnsi="Times New Roman" w:cs="Times New Roman"/>
          <w:sz w:val="24"/>
          <w:szCs w:val="24"/>
        </w:rPr>
        <w:t>re rendered</w:t>
      </w:r>
      <w:r w:rsidR="00914663">
        <w:rPr>
          <w:rFonts w:ascii="Times New Roman" w:hAnsi="Times New Roman" w:cs="Times New Roman"/>
          <w:sz w:val="24"/>
          <w:szCs w:val="24"/>
        </w:rPr>
        <w:t xml:space="preserve"> </w:t>
      </w:r>
      <w:r w:rsidR="003B4005">
        <w:rPr>
          <w:rFonts w:ascii="Times New Roman" w:hAnsi="Times New Roman" w:cs="Times New Roman"/>
          <w:sz w:val="24"/>
          <w:szCs w:val="24"/>
        </w:rPr>
        <w:t xml:space="preserve">binding if the couple subsequently consummated the relationship, though couples in bed became less visible over the course of our period implicitly because </w:t>
      </w:r>
      <w:r w:rsidR="00B05CD5">
        <w:rPr>
          <w:rFonts w:ascii="Times New Roman" w:hAnsi="Times New Roman" w:cs="Times New Roman"/>
          <w:sz w:val="24"/>
          <w:szCs w:val="24"/>
        </w:rPr>
        <w:t>of a growing fashion for bed hangings, screens</w:t>
      </w:r>
      <w:r w:rsidR="00914663">
        <w:rPr>
          <w:rFonts w:ascii="Times New Roman" w:hAnsi="Times New Roman" w:cs="Times New Roman"/>
          <w:sz w:val="24"/>
          <w:szCs w:val="24"/>
        </w:rPr>
        <w:t xml:space="preserve"> and </w:t>
      </w:r>
      <w:r w:rsidR="00B05CD5">
        <w:rPr>
          <w:rFonts w:ascii="Times New Roman" w:hAnsi="Times New Roman" w:cs="Times New Roman"/>
          <w:sz w:val="24"/>
          <w:szCs w:val="24"/>
        </w:rPr>
        <w:t>separate chambers</w:t>
      </w:r>
      <w:r w:rsidR="002E7696">
        <w:rPr>
          <w:rFonts w:ascii="Times New Roman" w:hAnsi="Times New Roman" w:cs="Times New Roman"/>
          <w:sz w:val="24"/>
          <w:szCs w:val="24"/>
        </w:rPr>
        <w:t>. I ha</w:t>
      </w:r>
      <w:r w:rsidR="003A0351">
        <w:rPr>
          <w:rFonts w:ascii="Times New Roman" w:hAnsi="Times New Roman" w:cs="Times New Roman"/>
          <w:sz w:val="24"/>
          <w:szCs w:val="24"/>
        </w:rPr>
        <w:t>ve elsewhere remarked that this probably had implications for who might see each other naked in the family home and for the degree to which sexual activity was hidden from others</w:t>
      </w:r>
      <w:r w:rsidR="00B05CD5">
        <w:rPr>
          <w:rFonts w:ascii="Times New Roman" w:hAnsi="Times New Roman" w:cs="Times New Roman"/>
          <w:sz w:val="24"/>
          <w:szCs w:val="24"/>
        </w:rPr>
        <w:t>.</w:t>
      </w:r>
      <w:r w:rsidR="001D278C">
        <w:rPr>
          <w:rStyle w:val="FootnoteReference"/>
          <w:rFonts w:ascii="Times New Roman" w:hAnsi="Times New Roman" w:cs="Times New Roman"/>
          <w:sz w:val="24"/>
          <w:szCs w:val="24"/>
        </w:rPr>
        <w:footnoteReference w:id="86"/>
      </w:r>
      <w:r w:rsidR="003A0351">
        <w:rPr>
          <w:rFonts w:ascii="Times New Roman" w:hAnsi="Times New Roman" w:cs="Times New Roman"/>
          <w:sz w:val="24"/>
          <w:szCs w:val="24"/>
        </w:rPr>
        <w:t xml:space="preserve"> It may have implications for the understanding of beds and chambers as both private and intimate spaces.</w:t>
      </w:r>
    </w:p>
    <w:p w14:paraId="4B877648" w14:textId="02FAA36F" w:rsidR="004438FF" w:rsidRDefault="00754B2B" w:rsidP="006F73E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Despite these lacunae, a bigger picture is possible. </w:t>
      </w:r>
      <w:r w:rsidR="00312BBB">
        <w:rPr>
          <w:rFonts w:ascii="Times New Roman" w:hAnsi="Times New Roman" w:cs="Times New Roman"/>
          <w:sz w:val="24"/>
          <w:szCs w:val="24"/>
        </w:rPr>
        <w:t>Artisanal and mer</w:t>
      </w:r>
      <w:r w:rsidR="00A91465">
        <w:rPr>
          <w:rFonts w:ascii="Times New Roman" w:hAnsi="Times New Roman" w:cs="Times New Roman"/>
          <w:sz w:val="24"/>
          <w:szCs w:val="24"/>
        </w:rPr>
        <w:t xml:space="preserve">cantile houses are </w:t>
      </w:r>
      <w:r w:rsidR="00312BBB">
        <w:rPr>
          <w:rFonts w:ascii="Times New Roman" w:hAnsi="Times New Roman" w:cs="Times New Roman"/>
          <w:sz w:val="24"/>
          <w:szCs w:val="24"/>
        </w:rPr>
        <w:t>distinctive in their provision of a plurality of rooms including hall, kitchen, chamber and shop / works</w:t>
      </w:r>
      <w:r w:rsidR="00A91465">
        <w:rPr>
          <w:rFonts w:ascii="Times New Roman" w:hAnsi="Times New Roman" w:cs="Times New Roman"/>
          <w:sz w:val="24"/>
          <w:szCs w:val="24"/>
        </w:rPr>
        <w:t>hop – and probably</w:t>
      </w:r>
      <w:r w:rsidR="00312BBB">
        <w:rPr>
          <w:rFonts w:ascii="Times New Roman" w:hAnsi="Times New Roman" w:cs="Times New Roman"/>
          <w:sz w:val="24"/>
          <w:szCs w:val="24"/>
        </w:rPr>
        <w:t xml:space="preserve"> a garden. </w:t>
      </w:r>
      <w:r w:rsidR="00A91465">
        <w:rPr>
          <w:rFonts w:ascii="Times New Roman" w:hAnsi="Times New Roman" w:cs="Times New Roman"/>
          <w:sz w:val="24"/>
          <w:szCs w:val="24"/>
        </w:rPr>
        <w:t xml:space="preserve">They are </w:t>
      </w:r>
      <w:r w:rsidR="006D1E13">
        <w:rPr>
          <w:rFonts w:ascii="Times New Roman" w:hAnsi="Times New Roman" w:cs="Times New Roman"/>
          <w:sz w:val="24"/>
          <w:szCs w:val="24"/>
        </w:rPr>
        <w:t>distinct in their comparative comfort</w:t>
      </w:r>
      <w:r w:rsidR="00312BBB">
        <w:rPr>
          <w:rFonts w:ascii="Times New Roman" w:hAnsi="Times New Roman" w:cs="Times New Roman"/>
          <w:sz w:val="24"/>
          <w:szCs w:val="24"/>
        </w:rPr>
        <w:t xml:space="preserve"> </w:t>
      </w:r>
      <w:r w:rsidR="006D1E13">
        <w:rPr>
          <w:rFonts w:ascii="Times New Roman" w:hAnsi="Times New Roman" w:cs="Times New Roman"/>
          <w:sz w:val="24"/>
          <w:szCs w:val="24"/>
        </w:rPr>
        <w:t>and provision of furnishings when compared to even prosperous peasant houses and implicitly the more modest accommodation of most York residents</w:t>
      </w:r>
      <w:r w:rsidR="00970818">
        <w:rPr>
          <w:rFonts w:ascii="Times New Roman" w:hAnsi="Times New Roman" w:cs="Times New Roman"/>
          <w:sz w:val="24"/>
          <w:szCs w:val="24"/>
        </w:rPr>
        <w:t>.</w:t>
      </w:r>
      <w:r w:rsidR="00970818">
        <w:rPr>
          <w:rStyle w:val="FootnoteReference"/>
          <w:rFonts w:ascii="Times New Roman" w:hAnsi="Times New Roman" w:cs="Times New Roman"/>
          <w:sz w:val="24"/>
          <w:szCs w:val="24"/>
        </w:rPr>
        <w:footnoteReference w:id="87"/>
      </w:r>
      <w:r w:rsidR="00970818">
        <w:rPr>
          <w:rFonts w:ascii="Times New Roman" w:hAnsi="Times New Roman" w:cs="Times New Roman"/>
          <w:sz w:val="24"/>
          <w:szCs w:val="24"/>
        </w:rPr>
        <w:t xml:space="preserve"> Merchants and craftsmen</w:t>
      </w:r>
      <w:r w:rsidR="00A91465">
        <w:rPr>
          <w:rFonts w:ascii="Times New Roman" w:hAnsi="Times New Roman" w:cs="Times New Roman"/>
          <w:sz w:val="24"/>
          <w:szCs w:val="24"/>
        </w:rPr>
        <w:t xml:space="preserve"> </w:t>
      </w:r>
      <w:r w:rsidR="00080F95">
        <w:rPr>
          <w:rFonts w:ascii="Times New Roman" w:hAnsi="Times New Roman" w:cs="Times New Roman"/>
          <w:sz w:val="24"/>
          <w:szCs w:val="24"/>
        </w:rPr>
        <w:t>tended to enjoy much greater stabi</w:t>
      </w:r>
      <w:r w:rsidR="00A91465">
        <w:rPr>
          <w:rFonts w:ascii="Times New Roman" w:hAnsi="Times New Roman" w:cs="Times New Roman"/>
          <w:sz w:val="24"/>
          <w:szCs w:val="24"/>
        </w:rPr>
        <w:t xml:space="preserve">lity of tenure compared to </w:t>
      </w:r>
      <w:r w:rsidR="00080F95">
        <w:rPr>
          <w:rFonts w:ascii="Times New Roman" w:hAnsi="Times New Roman" w:cs="Times New Roman"/>
          <w:sz w:val="24"/>
          <w:szCs w:val="24"/>
        </w:rPr>
        <w:t>poorer inhabitants, some of whom rented rooms in shared accommodation and almost none</w:t>
      </w:r>
      <w:r w:rsidR="00A91465">
        <w:rPr>
          <w:rFonts w:ascii="Times New Roman" w:hAnsi="Times New Roman" w:cs="Times New Roman"/>
          <w:sz w:val="24"/>
          <w:szCs w:val="24"/>
        </w:rPr>
        <w:t xml:space="preserve"> of whom would have engaged </w:t>
      </w:r>
      <w:r w:rsidR="00080F95">
        <w:rPr>
          <w:rFonts w:ascii="Times New Roman" w:hAnsi="Times New Roman" w:cs="Times New Roman"/>
          <w:sz w:val="24"/>
          <w:szCs w:val="24"/>
        </w:rPr>
        <w:t xml:space="preserve">live-in </w:t>
      </w:r>
      <w:r w:rsidR="00080F95">
        <w:rPr>
          <w:rFonts w:ascii="Times New Roman" w:hAnsi="Times New Roman" w:cs="Times New Roman"/>
          <w:sz w:val="24"/>
          <w:szCs w:val="24"/>
        </w:rPr>
        <w:lastRenderedPageBreak/>
        <w:t>adolescent and young adult se</w:t>
      </w:r>
      <w:r w:rsidR="00A91465">
        <w:rPr>
          <w:rFonts w:ascii="Times New Roman" w:hAnsi="Times New Roman" w:cs="Times New Roman"/>
          <w:sz w:val="24"/>
          <w:szCs w:val="24"/>
        </w:rPr>
        <w:t>rvants and apprentices so</w:t>
      </w:r>
      <w:r w:rsidR="00080F95">
        <w:rPr>
          <w:rFonts w:ascii="Times New Roman" w:hAnsi="Times New Roman" w:cs="Times New Roman"/>
          <w:sz w:val="24"/>
          <w:szCs w:val="24"/>
        </w:rPr>
        <w:t xml:space="preserve"> ubiquitous in artisanal and mercantile houses.</w:t>
      </w:r>
      <w:r w:rsidR="001D278C">
        <w:rPr>
          <w:rStyle w:val="FootnoteReference"/>
          <w:rFonts w:ascii="Times New Roman" w:hAnsi="Times New Roman" w:cs="Times New Roman"/>
          <w:sz w:val="24"/>
          <w:szCs w:val="24"/>
        </w:rPr>
        <w:footnoteReference w:id="88"/>
      </w:r>
      <w:r w:rsidR="004C7B1E">
        <w:rPr>
          <w:rFonts w:ascii="Times New Roman" w:hAnsi="Times New Roman" w:cs="Times New Roman"/>
          <w:sz w:val="24"/>
          <w:szCs w:val="24"/>
        </w:rPr>
        <w:t xml:space="preserve"> </w:t>
      </w:r>
      <w:r w:rsidR="001D278C">
        <w:rPr>
          <w:rFonts w:ascii="Times New Roman" w:hAnsi="Times New Roman" w:cs="Times New Roman"/>
          <w:sz w:val="24"/>
          <w:szCs w:val="24"/>
        </w:rPr>
        <w:t xml:space="preserve">Their houses </w:t>
      </w:r>
      <w:r w:rsidR="00597D90">
        <w:rPr>
          <w:rFonts w:ascii="Times New Roman" w:hAnsi="Times New Roman" w:cs="Times New Roman"/>
          <w:sz w:val="24"/>
          <w:szCs w:val="24"/>
        </w:rPr>
        <w:t>tended</w:t>
      </w:r>
      <w:r w:rsidR="0092648A">
        <w:rPr>
          <w:rFonts w:ascii="Times New Roman" w:hAnsi="Times New Roman" w:cs="Times New Roman"/>
          <w:sz w:val="24"/>
          <w:szCs w:val="24"/>
        </w:rPr>
        <w:t xml:space="preserve"> to be </w:t>
      </w:r>
      <w:r w:rsidR="001D278C">
        <w:rPr>
          <w:rFonts w:ascii="Times New Roman" w:hAnsi="Times New Roman" w:cs="Times New Roman"/>
          <w:sz w:val="24"/>
          <w:szCs w:val="24"/>
        </w:rPr>
        <w:t xml:space="preserve">on the more principle streets and not on infill sites such as churchyards. </w:t>
      </w:r>
      <w:r w:rsidR="004C7B1E">
        <w:rPr>
          <w:rFonts w:ascii="Times New Roman" w:hAnsi="Times New Roman" w:cs="Times New Roman"/>
          <w:sz w:val="24"/>
          <w:szCs w:val="24"/>
        </w:rPr>
        <w:t>Both male and female servants supported the business of the workshop, the apprentice perha</w:t>
      </w:r>
      <w:r w:rsidR="0092648A">
        <w:rPr>
          <w:rFonts w:ascii="Times New Roman" w:hAnsi="Times New Roman" w:cs="Times New Roman"/>
          <w:sz w:val="24"/>
          <w:szCs w:val="24"/>
        </w:rPr>
        <w:t>ps even sleeping there</w:t>
      </w:r>
      <w:r w:rsidR="004C7B1E">
        <w:rPr>
          <w:rFonts w:ascii="Times New Roman" w:hAnsi="Times New Roman" w:cs="Times New Roman"/>
          <w:sz w:val="24"/>
          <w:szCs w:val="24"/>
        </w:rPr>
        <w:t xml:space="preserve"> at night. Women servants might serve customers in the shop or across the counter opening</w:t>
      </w:r>
      <w:r w:rsidR="0092648A">
        <w:rPr>
          <w:rFonts w:ascii="Times New Roman" w:hAnsi="Times New Roman" w:cs="Times New Roman"/>
          <w:sz w:val="24"/>
          <w:szCs w:val="24"/>
        </w:rPr>
        <w:t xml:space="preserve"> onto the street. They</w:t>
      </w:r>
      <w:r w:rsidR="004C7B1E">
        <w:rPr>
          <w:rFonts w:ascii="Times New Roman" w:hAnsi="Times New Roman" w:cs="Times New Roman"/>
          <w:sz w:val="24"/>
          <w:szCs w:val="24"/>
        </w:rPr>
        <w:t xml:space="preserve"> were also actively involved in domestic tasks, fetching water, fetching food, cle</w:t>
      </w:r>
      <w:r w:rsidR="0092648A">
        <w:rPr>
          <w:rFonts w:ascii="Times New Roman" w:hAnsi="Times New Roman" w:cs="Times New Roman"/>
          <w:sz w:val="24"/>
          <w:szCs w:val="24"/>
        </w:rPr>
        <w:t xml:space="preserve">aning, lighting candles, and </w:t>
      </w:r>
      <w:r w:rsidR="004C7B1E">
        <w:rPr>
          <w:rFonts w:ascii="Times New Roman" w:hAnsi="Times New Roman" w:cs="Times New Roman"/>
          <w:sz w:val="24"/>
          <w:szCs w:val="24"/>
        </w:rPr>
        <w:t>doubt</w:t>
      </w:r>
      <w:r w:rsidR="0092648A">
        <w:rPr>
          <w:rFonts w:ascii="Times New Roman" w:hAnsi="Times New Roman" w:cs="Times New Roman"/>
          <w:sz w:val="24"/>
          <w:szCs w:val="24"/>
        </w:rPr>
        <w:t>less</w:t>
      </w:r>
      <w:r w:rsidR="004C7B1E">
        <w:rPr>
          <w:rFonts w:ascii="Times New Roman" w:hAnsi="Times New Roman" w:cs="Times New Roman"/>
          <w:sz w:val="24"/>
          <w:szCs w:val="24"/>
        </w:rPr>
        <w:t xml:space="preserve"> helping with cooking activities or washing and dressing young children. </w:t>
      </w:r>
    </w:p>
    <w:p w14:paraId="26D17C4D" w14:textId="294C1930" w:rsidR="00833874" w:rsidRDefault="00BE056F" w:rsidP="006F73E6">
      <w:pPr>
        <w:spacing w:line="360" w:lineRule="auto"/>
        <w:rPr>
          <w:rFonts w:ascii="Times New Roman" w:hAnsi="Times New Roman" w:cs="Times New Roman"/>
          <w:sz w:val="24"/>
          <w:szCs w:val="24"/>
        </w:rPr>
      </w:pPr>
      <w:r>
        <w:rPr>
          <w:rFonts w:ascii="Times New Roman" w:hAnsi="Times New Roman" w:cs="Times New Roman"/>
          <w:sz w:val="24"/>
          <w:szCs w:val="24"/>
        </w:rPr>
        <w:tab/>
        <w:t>The comfortably furnished artisanal or mercantile home was the focus of daily life. The kitchen provided food through the day, catering for</w:t>
      </w:r>
      <w:r w:rsidR="0092648A">
        <w:rPr>
          <w:rFonts w:ascii="Times New Roman" w:hAnsi="Times New Roman" w:cs="Times New Roman"/>
          <w:sz w:val="24"/>
          <w:szCs w:val="24"/>
        </w:rPr>
        <w:t xml:space="preserve"> </w:t>
      </w:r>
      <w:r w:rsidR="00727A2B">
        <w:rPr>
          <w:rFonts w:ascii="Times New Roman" w:hAnsi="Times New Roman" w:cs="Times New Roman"/>
          <w:sz w:val="24"/>
          <w:szCs w:val="24"/>
        </w:rPr>
        <w:t>both household servants and</w:t>
      </w:r>
      <w:r>
        <w:rPr>
          <w:rFonts w:ascii="Times New Roman" w:hAnsi="Times New Roman" w:cs="Times New Roman"/>
          <w:sz w:val="24"/>
          <w:szCs w:val="24"/>
        </w:rPr>
        <w:t xml:space="preserve"> family. Journeymen were fed in the middle of day on work days, but guests might be invited to dine periodicall</w:t>
      </w:r>
      <w:r w:rsidR="0092648A">
        <w:rPr>
          <w:rFonts w:ascii="Times New Roman" w:hAnsi="Times New Roman" w:cs="Times New Roman"/>
          <w:sz w:val="24"/>
          <w:szCs w:val="24"/>
        </w:rPr>
        <w:t>y such as on feast days.</w:t>
      </w:r>
      <w:r w:rsidR="00226E15">
        <w:rPr>
          <w:rStyle w:val="FootnoteReference"/>
          <w:rFonts w:ascii="Times New Roman" w:hAnsi="Times New Roman" w:cs="Times New Roman"/>
          <w:sz w:val="24"/>
          <w:szCs w:val="24"/>
        </w:rPr>
        <w:footnoteReference w:id="89"/>
      </w:r>
      <w:r w:rsidR="0092648A">
        <w:rPr>
          <w:rFonts w:ascii="Times New Roman" w:hAnsi="Times New Roman" w:cs="Times New Roman"/>
          <w:sz w:val="24"/>
          <w:szCs w:val="24"/>
        </w:rPr>
        <w:t xml:space="preserve"> T</w:t>
      </w:r>
      <w:r>
        <w:rPr>
          <w:rFonts w:ascii="Times New Roman" w:hAnsi="Times New Roman" w:cs="Times New Roman"/>
          <w:sz w:val="24"/>
          <w:szCs w:val="24"/>
        </w:rPr>
        <w:t>his contrasts with poorer inhabitants whose accommodation</w:t>
      </w:r>
      <w:r w:rsidR="0092648A">
        <w:rPr>
          <w:rFonts w:ascii="Times New Roman" w:hAnsi="Times New Roman" w:cs="Times New Roman"/>
          <w:sz w:val="24"/>
          <w:szCs w:val="24"/>
        </w:rPr>
        <w:t xml:space="preserve"> did not necessarily allow</w:t>
      </w:r>
      <w:r>
        <w:rPr>
          <w:rFonts w:ascii="Times New Roman" w:hAnsi="Times New Roman" w:cs="Times New Roman"/>
          <w:sz w:val="24"/>
          <w:szCs w:val="24"/>
        </w:rPr>
        <w:t xml:space="preserve"> the preparation of hot food and whose entertainment was focused on the ale house.</w:t>
      </w:r>
      <w:r w:rsidR="00226E15">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During the working day, the shop or workshop was the focus of much activity. Wives might socialise through the shop window, both parents and servants would be around to watch over childre</w:t>
      </w:r>
      <w:r w:rsidR="0092648A">
        <w:rPr>
          <w:rFonts w:ascii="Times New Roman" w:hAnsi="Times New Roman" w:cs="Times New Roman"/>
          <w:sz w:val="24"/>
          <w:szCs w:val="24"/>
        </w:rPr>
        <w:t>n. A</w:t>
      </w:r>
      <w:r>
        <w:rPr>
          <w:rFonts w:ascii="Times New Roman" w:hAnsi="Times New Roman" w:cs="Times New Roman"/>
          <w:sz w:val="24"/>
          <w:szCs w:val="24"/>
        </w:rPr>
        <w:t xml:space="preserve"> degree of familiarity, cooperation, even perhaps of affection </w:t>
      </w:r>
      <w:r w:rsidR="0092648A">
        <w:rPr>
          <w:rFonts w:ascii="Times New Roman" w:hAnsi="Times New Roman" w:cs="Times New Roman"/>
          <w:sz w:val="24"/>
          <w:szCs w:val="24"/>
        </w:rPr>
        <w:t xml:space="preserve">would necessarily develop </w:t>
      </w:r>
      <w:r>
        <w:rPr>
          <w:rFonts w:ascii="Times New Roman" w:hAnsi="Times New Roman" w:cs="Times New Roman"/>
          <w:sz w:val="24"/>
          <w:szCs w:val="24"/>
        </w:rPr>
        <w:t>between the various members of the household meeting together in the workshop. Only masons’ households conspicuously deviate from this model since the mason’</w:t>
      </w:r>
      <w:r w:rsidR="00833874">
        <w:rPr>
          <w:rFonts w:ascii="Times New Roman" w:hAnsi="Times New Roman" w:cs="Times New Roman"/>
          <w:sz w:val="24"/>
          <w:szCs w:val="24"/>
        </w:rPr>
        <w:t xml:space="preserve">s trade necessarily took him out of the house to where his skills </w:t>
      </w:r>
      <w:r w:rsidR="0092648A">
        <w:rPr>
          <w:rFonts w:ascii="Times New Roman" w:hAnsi="Times New Roman" w:cs="Times New Roman"/>
          <w:sz w:val="24"/>
          <w:szCs w:val="24"/>
        </w:rPr>
        <w:t xml:space="preserve">were in demand. This would </w:t>
      </w:r>
      <w:r w:rsidR="00833874">
        <w:rPr>
          <w:rFonts w:ascii="Times New Roman" w:hAnsi="Times New Roman" w:cs="Times New Roman"/>
          <w:sz w:val="24"/>
          <w:szCs w:val="24"/>
        </w:rPr>
        <w:t xml:space="preserve">explain the prominence </w:t>
      </w:r>
      <w:r w:rsidR="002640E0">
        <w:rPr>
          <w:rFonts w:ascii="Times New Roman" w:hAnsi="Times New Roman" w:cs="Times New Roman"/>
          <w:sz w:val="24"/>
          <w:szCs w:val="24"/>
        </w:rPr>
        <w:t xml:space="preserve">of separate occupations for </w:t>
      </w:r>
      <w:r w:rsidR="002640E0">
        <w:rPr>
          <w:rFonts w:ascii="Times New Roman" w:hAnsi="Times New Roman" w:cs="Times New Roman"/>
          <w:sz w:val="24"/>
          <w:szCs w:val="24"/>
        </w:rPr>
        <w:t>masons</w:t>
      </w:r>
      <w:r w:rsidR="002640E0">
        <w:rPr>
          <w:rFonts w:ascii="Times New Roman" w:hAnsi="Times New Roman" w:cs="Times New Roman"/>
          <w:sz w:val="24"/>
          <w:szCs w:val="24"/>
        </w:rPr>
        <w:t>’</w:t>
      </w:r>
      <w:r w:rsidR="002640E0">
        <w:rPr>
          <w:rFonts w:ascii="Times New Roman" w:hAnsi="Times New Roman" w:cs="Times New Roman"/>
          <w:sz w:val="24"/>
          <w:szCs w:val="24"/>
        </w:rPr>
        <w:t xml:space="preserve"> </w:t>
      </w:r>
      <w:r w:rsidR="002640E0">
        <w:rPr>
          <w:rFonts w:ascii="Times New Roman" w:hAnsi="Times New Roman" w:cs="Times New Roman"/>
          <w:sz w:val="24"/>
          <w:szCs w:val="24"/>
        </w:rPr>
        <w:t>wives</w:t>
      </w:r>
      <w:r w:rsidR="00833874">
        <w:rPr>
          <w:rFonts w:ascii="Times New Roman" w:hAnsi="Times New Roman" w:cs="Times New Roman"/>
          <w:sz w:val="24"/>
          <w:szCs w:val="24"/>
        </w:rPr>
        <w:t xml:space="preserve"> who might be involved in commercial brewing and, on a more modest scale, the rearing of poultry.</w:t>
      </w:r>
      <w:r w:rsidR="00226E15">
        <w:rPr>
          <w:rStyle w:val="FootnoteReference"/>
          <w:rFonts w:ascii="Times New Roman" w:hAnsi="Times New Roman" w:cs="Times New Roman"/>
          <w:sz w:val="24"/>
          <w:szCs w:val="24"/>
        </w:rPr>
        <w:footnoteReference w:id="91"/>
      </w:r>
    </w:p>
    <w:p w14:paraId="4D9A6F23" w14:textId="0E8EA0B6" w:rsidR="00DD3ECE" w:rsidRDefault="00ED402E" w:rsidP="006F73E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regular advent of day labour, the encounters at the shop window, the invitation in of customers to inspect the merchants’ wares, the ubiquitous presence of one or two or sometimes more teenaged or young adult live-in servants or apprentices, and the periodic entertainment of guests so necessary in a cash-starved culture where trade depended on trust, all served to make the house </w:t>
      </w:r>
      <w:r w:rsidR="00FD425A">
        <w:rPr>
          <w:rFonts w:ascii="Times New Roman" w:hAnsi="Times New Roman" w:cs="Times New Roman"/>
          <w:sz w:val="24"/>
          <w:szCs w:val="24"/>
        </w:rPr>
        <w:t>a busy and very permeable space.</w:t>
      </w:r>
      <w:r w:rsidR="004E2779">
        <w:rPr>
          <w:rStyle w:val="FootnoteReference"/>
          <w:rFonts w:ascii="Times New Roman" w:hAnsi="Times New Roman" w:cs="Times New Roman"/>
          <w:sz w:val="24"/>
          <w:szCs w:val="24"/>
        </w:rPr>
        <w:footnoteReference w:id="92"/>
      </w:r>
      <w:r w:rsidR="00FD425A">
        <w:rPr>
          <w:rFonts w:ascii="Times New Roman" w:hAnsi="Times New Roman" w:cs="Times New Roman"/>
          <w:sz w:val="24"/>
          <w:szCs w:val="24"/>
        </w:rPr>
        <w:t xml:space="preserve"> However, this superficial impression obscures more subtle patterns. We can discern different parts of the house, even </w:t>
      </w:r>
      <w:r w:rsidR="00FD425A">
        <w:rPr>
          <w:rFonts w:ascii="Times New Roman" w:hAnsi="Times New Roman" w:cs="Times New Roman"/>
          <w:sz w:val="24"/>
          <w:szCs w:val="24"/>
        </w:rPr>
        <w:lastRenderedPageBreak/>
        <w:t xml:space="preserve">different times of day, where </w:t>
      </w:r>
      <w:r w:rsidR="004E2779">
        <w:rPr>
          <w:rFonts w:ascii="Times New Roman" w:hAnsi="Times New Roman" w:cs="Times New Roman"/>
          <w:sz w:val="24"/>
          <w:szCs w:val="24"/>
        </w:rPr>
        <w:t xml:space="preserve">and when </w:t>
      </w:r>
      <w:r w:rsidR="00FD425A">
        <w:rPr>
          <w:rFonts w:ascii="Times New Roman" w:hAnsi="Times New Roman" w:cs="Times New Roman"/>
          <w:sz w:val="24"/>
          <w:szCs w:val="24"/>
        </w:rPr>
        <w:t xml:space="preserve">space </w:t>
      </w:r>
      <w:r w:rsidR="001304EF">
        <w:rPr>
          <w:rFonts w:ascii="Times New Roman" w:hAnsi="Times New Roman" w:cs="Times New Roman"/>
          <w:sz w:val="24"/>
          <w:szCs w:val="24"/>
        </w:rPr>
        <w:t xml:space="preserve">had particular meanings </w:t>
      </w:r>
      <w:r w:rsidR="00FD425A">
        <w:rPr>
          <w:rFonts w:ascii="Times New Roman" w:hAnsi="Times New Roman" w:cs="Times New Roman"/>
          <w:sz w:val="24"/>
          <w:szCs w:val="24"/>
        </w:rPr>
        <w:t xml:space="preserve">associated with particular social relations. </w:t>
      </w:r>
      <w:r w:rsidR="001C199F">
        <w:rPr>
          <w:rFonts w:ascii="Times New Roman" w:hAnsi="Times New Roman" w:cs="Times New Roman"/>
          <w:sz w:val="24"/>
          <w:szCs w:val="24"/>
        </w:rPr>
        <w:t>Perhaps the busiest space was the artisanal shop. We see</w:t>
      </w:r>
      <w:r w:rsidR="001304EF">
        <w:rPr>
          <w:rFonts w:ascii="Times New Roman" w:hAnsi="Times New Roman" w:cs="Times New Roman"/>
          <w:sz w:val="24"/>
          <w:szCs w:val="24"/>
        </w:rPr>
        <w:t xml:space="preserve"> this most clearly, if </w:t>
      </w:r>
      <w:r w:rsidR="001C199F">
        <w:rPr>
          <w:rFonts w:ascii="Times New Roman" w:hAnsi="Times New Roman" w:cs="Times New Roman"/>
          <w:sz w:val="24"/>
          <w:szCs w:val="24"/>
        </w:rPr>
        <w:t>atypically, in th</w:t>
      </w:r>
      <w:r w:rsidR="001304EF">
        <w:rPr>
          <w:rFonts w:ascii="Times New Roman" w:hAnsi="Times New Roman" w:cs="Times New Roman"/>
          <w:sz w:val="24"/>
          <w:szCs w:val="24"/>
        </w:rPr>
        <w:t>e Scarborough weaver’s shop</w:t>
      </w:r>
      <w:r w:rsidR="00402192">
        <w:rPr>
          <w:rFonts w:ascii="Times New Roman" w:hAnsi="Times New Roman" w:cs="Times New Roman"/>
          <w:sz w:val="24"/>
          <w:szCs w:val="24"/>
        </w:rPr>
        <w:t>.</w:t>
      </w:r>
      <w:r w:rsidR="001304EF">
        <w:rPr>
          <w:rFonts w:ascii="Times New Roman" w:hAnsi="Times New Roman" w:cs="Times New Roman"/>
          <w:sz w:val="24"/>
          <w:szCs w:val="24"/>
        </w:rPr>
        <w:t xml:space="preserve"> W</w:t>
      </w:r>
      <w:r w:rsidR="001C199F">
        <w:rPr>
          <w:rFonts w:ascii="Times New Roman" w:hAnsi="Times New Roman" w:cs="Times New Roman"/>
          <w:sz w:val="24"/>
          <w:szCs w:val="24"/>
        </w:rPr>
        <w:t>e may not</w:t>
      </w:r>
      <w:r w:rsidR="001304EF">
        <w:rPr>
          <w:rFonts w:ascii="Times New Roman" w:hAnsi="Times New Roman" w:cs="Times New Roman"/>
          <w:sz w:val="24"/>
          <w:szCs w:val="24"/>
        </w:rPr>
        <w:t xml:space="preserve">e </w:t>
      </w:r>
      <w:r w:rsidR="001C199F">
        <w:rPr>
          <w:rFonts w:ascii="Times New Roman" w:hAnsi="Times New Roman" w:cs="Times New Roman"/>
          <w:sz w:val="24"/>
          <w:szCs w:val="24"/>
        </w:rPr>
        <w:t xml:space="preserve">that even outside working hours that the apprentice barber, his mistress, her fiancé and other visitors gathered in the barber’s shop to drink ale and chat. </w:t>
      </w:r>
      <w:r w:rsidR="001304EF">
        <w:rPr>
          <w:rFonts w:ascii="Times New Roman" w:hAnsi="Times New Roman" w:cs="Times New Roman"/>
          <w:sz w:val="24"/>
          <w:szCs w:val="24"/>
        </w:rPr>
        <w:t xml:space="preserve">Both master and </w:t>
      </w:r>
      <w:r w:rsidR="004E2779">
        <w:rPr>
          <w:rFonts w:ascii="Times New Roman" w:hAnsi="Times New Roman" w:cs="Times New Roman"/>
          <w:sz w:val="24"/>
          <w:szCs w:val="24"/>
        </w:rPr>
        <w:t>mistr</w:t>
      </w:r>
      <w:r w:rsidR="001304EF">
        <w:rPr>
          <w:rFonts w:ascii="Times New Roman" w:hAnsi="Times New Roman" w:cs="Times New Roman"/>
          <w:sz w:val="24"/>
          <w:szCs w:val="24"/>
        </w:rPr>
        <w:t>ess might be found there</w:t>
      </w:r>
      <w:r w:rsidR="004E2779">
        <w:rPr>
          <w:rFonts w:ascii="Times New Roman" w:hAnsi="Times New Roman" w:cs="Times New Roman"/>
          <w:sz w:val="24"/>
          <w:szCs w:val="24"/>
        </w:rPr>
        <w:t xml:space="preserve"> alongside apprentices and other servants, perhaps also younger children. </w:t>
      </w:r>
      <w:r w:rsidR="001304EF">
        <w:rPr>
          <w:rFonts w:ascii="Times New Roman" w:hAnsi="Times New Roman" w:cs="Times New Roman"/>
          <w:sz w:val="24"/>
          <w:szCs w:val="24"/>
        </w:rPr>
        <w:t xml:space="preserve">The hall was another busy space because </w:t>
      </w:r>
      <w:r w:rsidR="001C199F">
        <w:rPr>
          <w:rFonts w:ascii="Times New Roman" w:hAnsi="Times New Roman" w:cs="Times New Roman"/>
          <w:sz w:val="24"/>
          <w:szCs w:val="24"/>
        </w:rPr>
        <w:t>used through the day as a place for the family to eat – employees may have eaten in the shop – for guests to be entertained, for the women of the household to sit</w:t>
      </w:r>
      <w:r w:rsidR="001304EF">
        <w:rPr>
          <w:rFonts w:ascii="Times New Roman" w:hAnsi="Times New Roman" w:cs="Times New Roman"/>
          <w:sz w:val="24"/>
          <w:szCs w:val="24"/>
        </w:rPr>
        <w:t xml:space="preserve"> and spin, but probably also </w:t>
      </w:r>
      <w:r w:rsidR="001C199F">
        <w:rPr>
          <w:rFonts w:ascii="Times New Roman" w:hAnsi="Times New Roman" w:cs="Times New Roman"/>
          <w:sz w:val="24"/>
          <w:szCs w:val="24"/>
        </w:rPr>
        <w:t xml:space="preserve">converse as they worked, </w:t>
      </w:r>
      <w:r w:rsidR="004E2779">
        <w:rPr>
          <w:rFonts w:ascii="Times New Roman" w:hAnsi="Times New Roman" w:cs="Times New Roman"/>
          <w:sz w:val="24"/>
          <w:szCs w:val="24"/>
        </w:rPr>
        <w:t xml:space="preserve">and </w:t>
      </w:r>
      <w:r w:rsidR="001C199F">
        <w:rPr>
          <w:rFonts w:ascii="Times New Roman" w:hAnsi="Times New Roman" w:cs="Times New Roman"/>
          <w:sz w:val="24"/>
          <w:szCs w:val="24"/>
        </w:rPr>
        <w:t>for socialising in the evening and on holidays. This was primarily family space, particularly in the evening, and it was space into which guests might be invited.</w:t>
      </w:r>
    </w:p>
    <w:p w14:paraId="38A67166" w14:textId="11FCAE15" w:rsidR="00ED402E" w:rsidRDefault="00DD3ECE" w:rsidP="006F73E6">
      <w:pPr>
        <w:spacing w:line="360" w:lineRule="auto"/>
        <w:rPr>
          <w:rFonts w:ascii="Times New Roman" w:hAnsi="Times New Roman" w:cs="Times New Roman"/>
          <w:sz w:val="24"/>
          <w:szCs w:val="24"/>
        </w:rPr>
      </w:pPr>
      <w:r>
        <w:rPr>
          <w:rFonts w:ascii="Times New Roman" w:hAnsi="Times New Roman" w:cs="Times New Roman"/>
          <w:sz w:val="24"/>
          <w:szCs w:val="24"/>
        </w:rPr>
        <w:tab/>
      </w:r>
      <w:r w:rsidR="00FC3FC9">
        <w:rPr>
          <w:rFonts w:ascii="Times New Roman" w:hAnsi="Times New Roman" w:cs="Times New Roman"/>
          <w:sz w:val="24"/>
          <w:szCs w:val="24"/>
        </w:rPr>
        <w:t>Off-duty</w:t>
      </w:r>
      <w:r w:rsidR="00FC3FC9" w:rsidRPr="004B728E">
        <w:rPr>
          <w:rFonts w:ascii="Times New Roman" w:hAnsi="Times New Roman" w:cs="Times New Roman"/>
          <w:sz w:val="24"/>
          <w:szCs w:val="24"/>
        </w:rPr>
        <w:t xml:space="preserve"> </w:t>
      </w:r>
      <w:r w:rsidR="00FC3FC9">
        <w:rPr>
          <w:rFonts w:ascii="Times New Roman" w:hAnsi="Times New Roman" w:cs="Times New Roman"/>
          <w:sz w:val="24"/>
          <w:szCs w:val="24"/>
        </w:rPr>
        <w:t>s</w:t>
      </w:r>
      <w:r w:rsidRPr="004B728E">
        <w:rPr>
          <w:rFonts w:ascii="Times New Roman" w:hAnsi="Times New Roman" w:cs="Times New Roman"/>
          <w:sz w:val="24"/>
          <w:szCs w:val="24"/>
        </w:rPr>
        <w:t xml:space="preserve">ervants might </w:t>
      </w:r>
      <w:r w:rsidR="00FC3FC9">
        <w:rPr>
          <w:rFonts w:ascii="Times New Roman" w:hAnsi="Times New Roman" w:cs="Times New Roman"/>
          <w:sz w:val="24"/>
          <w:szCs w:val="24"/>
        </w:rPr>
        <w:t>socialise</w:t>
      </w:r>
      <w:r w:rsidR="001304EF">
        <w:rPr>
          <w:rFonts w:ascii="Times New Roman" w:hAnsi="Times New Roman" w:cs="Times New Roman"/>
          <w:sz w:val="24"/>
          <w:szCs w:val="24"/>
        </w:rPr>
        <w:t>, but neither with their employers nor</w:t>
      </w:r>
      <w:r w:rsidRPr="004B728E">
        <w:rPr>
          <w:rFonts w:ascii="Times New Roman" w:hAnsi="Times New Roman" w:cs="Times New Roman"/>
          <w:sz w:val="24"/>
          <w:szCs w:val="24"/>
        </w:rPr>
        <w:t xml:space="preserve"> in the hall. Often the alehouse was a venue for relaxing, for meeting friends, and probably for</w:t>
      </w:r>
      <w:r>
        <w:rPr>
          <w:rFonts w:ascii="Times New Roman" w:hAnsi="Times New Roman" w:cs="Times New Roman"/>
          <w:sz w:val="24"/>
          <w:szCs w:val="24"/>
        </w:rPr>
        <w:t xml:space="preserve"> courtship. Occasionally young men st</w:t>
      </w:r>
      <w:r w:rsidR="00FC3FC9">
        <w:rPr>
          <w:rFonts w:ascii="Times New Roman" w:hAnsi="Times New Roman" w:cs="Times New Roman"/>
          <w:sz w:val="24"/>
          <w:szCs w:val="24"/>
        </w:rPr>
        <w:t>ayed out so late that</w:t>
      </w:r>
      <w:r>
        <w:rPr>
          <w:rFonts w:ascii="Times New Roman" w:hAnsi="Times New Roman" w:cs="Times New Roman"/>
          <w:sz w:val="24"/>
          <w:szCs w:val="24"/>
        </w:rPr>
        <w:t xml:space="preserve"> their master had locked them out by the time</w:t>
      </w:r>
      <w:r w:rsidR="001304EF">
        <w:rPr>
          <w:rFonts w:ascii="Times New Roman" w:hAnsi="Times New Roman" w:cs="Times New Roman"/>
          <w:sz w:val="24"/>
          <w:szCs w:val="24"/>
        </w:rPr>
        <w:t xml:space="preserve"> they made their way home. We also </w:t>
      </w:r>
      <w:r w:rsidR="00FC3FC9">
        <w:rPr>
          <w:rFonts w:ascii="Times New Roman" w:hAnsi="Times New Roman" w:cs="Times New Roman"/>
          <w:sz w:val="24"/>
          <w:szCs w:val="24"/>
        </w:rPr>
        <w:t xml:space="preserve">find </w:t>
      </w:r>
      <w:r>
        <w:rPr>
          <w:rFonts w:ascii="Times New Roman" w:hAnsi="Times New Roman" w:cs="Times New Roman"/>
          <w:sz w:val="24"/>
          <w:szCs w:val="24"/>
        </w:rPr>
        <w:t>servants socialising in their employers’</w:t>
      </w:r>
      <w:r w:rsidR="00E13854">
        <w:rPr>
          <w:rFonts w:ascii="Times New Roman" w:hAnsi="Times New Roman" w:cs="Times New Roman"/>
          <w:sz w:val="24"/>
          <w:szCs w:val="24"/>
        </w:rPr>
        <w:t xml:space="preserve"> house and in spaces over which they had some sense of ownership</w:t>
      </w:r>
      <w:r w:rsidR="002F7456">
        <w:rPr>
          <w:rFonts w:ascii="Times New Roman" w:hAnsi="Times New Roman" w:cs="Times New Roman"/>
          <w:sz w:val="24"/>
          <w:szCs w:val="24"/>
        </w:rPr>
        <w:t>.</w:t>
      </w:r>
      <w:r w:rsidR="004B728E">
        <w:rPr>
          <w:rStyle w:val="FootnoteReference"/>
          <w:rFonts w:ascii="Times New Roman" w:hAnsi="Times New Roman" w:cs="Times New Roman"/>
          <w:sz w:val="24"/>
          <w:szCs w:val="24"/>
        </w:rPr>
        <w:footnoteReference w:id="93"/>
      </w:r>
      <w:r w:rsidR="002F7456">
        <w:rPr>
          <w:rFonts w:ascii="Times New Roman" w:hAnsi="Times New Roman" w:cs="Times New Roman"/>
          <w:sz w:val="24"/>
          <w:szCs w:val="24"/>
        </w:rPr>
        <w:t xml:space="preserve"> </w:t>
      </w:r>
      <w:r w:rsidR="001304EF">
        <w:rPr>
          <w:rFonts w:ascii="Times New Roman" w:hAnsi="Times New Roman" w:cs="Times New Roman"/>
          <w:sz w:val="24"/>
          <w:szCs w:val="24"/>
        </w:rPr>
        <w:t>A</w:t>
      </w:r>
      <w:r w:rsidR="009E2044">
        <w:rPr>
          <w:rFonts w:ascii="Times New Roman" w:hAnsi="Times New Roman" w:cs="Times New Roman"/>
          <w:sz w:val="24"/>
          <w:szCs w:val="24"/>
        </w:rPr>
        <w:t xml:space="preserve"> 1464</w:t>
      </w:r>
      <w:r w:rsidR="0070674A">
        <w:rPr>
          <w:rFonts w:ascii="Times New Roman" w:hAnsi="Times New Roman" w:cs="Times New Roman"/>
          <w:sz w:val="24"/>
          <w:szCs w:val="24"/>
        </w:rPr>
        <w:t xml:space="preserve"> matrimonial</w:t>
      </w:r>
      <w:r w:rsidR="001304EF">
        <w:rPr>
          <w:rFonts w:ascii="Times New Roman" w:hAnsi="Times New Roman" w:cs="Times New Roman"/>
          <w:sz w:val="24"/>
          <w:szCs w:val="24"/>
        </w:rPr>
        <w:t xml:space="preserve"> case shows</w:t>
      </w:r>
      <w:r w:rsidR="00FC3FC9">
        <w:rPr>
          <w:rFonts w:ascii="Times New Roman" w:hAnsi="Times New Roman" w:cs="Times New Roman"/>
          <w:sz w:val="24"/>
          <w:szCs w:val="24"/>
        </w:rPr>
        <w:t xml:space="preserve"> some</w:t>
      </w:r>
      <w:r w:rsidR="009E2044">
        <w:rPr>
          <w:rFonts w:ascii="Times New Roman" w:hAnsi="Times New Roman" w:cs="Times New Roman"/>
          <w:sz w:val="24"/>
          <w:szCs w:val="24"/>
        </w:rPr>
        <w:t xml:space="preserve"> young </w:t>
      </w:r>
      <w:r w:rsidR="001304EF">
        <w:rPr>
          <w:rFonts w:ascii="Times New Roman" w:hAnsi="Times New Roman" w:cs="Times New Roman"/>
          <w:sz w:val="24"/>
          <w:szCs w:val="24"/>
        </w:rPr>
        <w:t xml:space="preserve">friends meeting in a ground-floor parlour in the </w:t>
      </w:r>
      <w:proofErr w:type="spellStart"/>
      <w:r w:rsidR="001304EF">
        <w:rPr>
          <w:rFonts w:ascii="Times New Roman" w:hAnsi="Times New Roman" w:cs="Times New Roman"/>
          <w:sz w:val="24"/>
          <w:szCs w:val="24"/>
        </w:rPr>
        <w:t>Walmgate</w:t>
      </w:r>
      <w:proofErr w:type="spellEnd"/>
      <w:r w:rsidR="001304EF">
        <w:rPr>
          <w:rFonts w:ascii="Times New Roman" w:hAnsi="Times New Roman" w:cs="Times New Roman"/>
          <w:sz w:val="24"/>
          <w:szCs w:val="24"/>
        </w:rPr>
        <w:t xml:space="preserve"> home of William </w:t>
      </w:r>
      <w:proofErr w:type="spellStart"/>
      <w:r w:rsidR="001304EF">
        <w:rPr>
          <w:rFonts w:ascii="Times New Roman" w:hAnsi="Times New Roman" w:cs="Times New Roman"/>
          <w:sz w:val="24"/>
          <w:szCs w:val="24"/>
        </w:rPr>
        <w:t>Naburn</w:t>
      </w:r>
      <w:proofErr w:type="spellEnd"/>
      <w:r w:rsidR="001304EF">
        <w:rPr>
          <w:rFonts w:ascii="Times New Roman" w:hAnsi="Times New Roman" w:cs="Times New Roman"/>
          <w:sz w:val="24"/>
          <w:szCs w:val="24"/>
        </w:rPr>
        <w:t xml:space="preserve"> in the early afternoon of a holiday</w:t>
      </w:r>
      <w:r w:rsidR="007F554B">
        <w:rPr>
          <w:rFonts w:ascii="Times New Roman" w:hAnsi="Times New Roman" w:cs="Times New Roman"/>
          <w:sz w:val="24"/>
          <w:szCs w:val="24"/>
        </w:rPr>
        <w:t>. Margaret Beverley and Nicholas Chandler leaned against a standing chest in the parlour in the presence of Isabella Rayner, a teenage servant f</w:t>
      </w:r>
      <w:r w:rsidR="00FC3FC9">
        <w:rPr>
          <w:rFonts w:ascii="Times New Roman" w:hAnsi="Times New Roman" w:cs="Times New Roman"/>
          <w:sz w:val="24"/>
          <w:szCs w:val="24"/>
        </w:rPr>
        <w:t>rom a neighbouring house.</w:t>
      </w:r>
      <w:r w:rsidR="007F554B">
        <w:rPr>
          <w:rFonts w:ascii="Times New Roman" w:hAnsi="Times New Roman" w:cs="Times New Roman"/>
          <w:sz w:val="24"/>
          <w:szCs w:val="24"/>
        </w:rPr>
        <w:t xml:space="preserve"> Richard Tunstall stretched out on his bed resting in the room next door</w:t>
      </w:r>
      <w:r w:rsidR="009E2044">
        <w:rPr>
          <w:rFonts w:ascii="Times New Roman" w:hAnsi="Times New Roman" w:cs="Times New Roman"/>
          <w:sz w:val="24"/>
          <w:szCs w:val="24"/>
        </w:rPr>
        <w:t xml:space="preserve"> </w:t>
      </w:r>
      <w:r w:rsidR="007F554B">
        <w:rPr>
          <w:rFonts w:ascii="Times New Roman" w:hAnsi="Times New Roman" w:cs="Times New Roman"/>
          <w:sz w:val="24"/>
          <w:szCs w:val="24"/>
        </w:rPr>
        <w:t>listening in to the conversation.</w:t>
      </w:r>
      <w:r w:rsidR="007F554B">
        <w:rPr>
          <w:rStyle w:val="FootnoteReference"/>
          <w:rFonts w:ascii="Times New Roman" w:hAnsi="Times New Roman" w:cs="Times New Roman"/>
          <w:sz w:val="24"/>
          <w:szCs w:val="24"/>
        </w:rPr>
        <w:footnoteReference w:id="94"/>
      </w:r>
      <w:r w:rsidR="007F554B">
        <w:rPr>
          <w:rFonts w:ascii="Times New Roman" w:hAnsi="Times New Roman" w:cs="Times New Roman"/>
          <w:sz w:val="24"/>
          <w:szCs w:val="24"/>
        </w:rPr>
        <w:t xml:space="preserve"> </w:t>
      </w:r>
      <w:r w:rsidR="002F7456">
        <w:rPr>
          <w:rFonts w:ascii="Times New Roman" w:hAnsi="Times New Roman" w:cs="Times New Roman"/>
          <w:sz w:val="24"/>
          <w:szCs w:val="24"/>
        </w:rPr>
        <w:t>In a</w:t>
      </w:r>
      <w:r w:rsidR="00181CD0">
        <w:rPr>
          <w:rFonts w:ascii="Times New Roman" w:hAnsi="Times New Roman" w:cs="Times New Roman"/>
          <w:sz w:val="24"/>
          <w:szCs w:val="24"/>
        </w:rPr>
        <w:t>nother</w:t>
      </w:r>
      <w:r w:rsidR="002F7456">
        <w:rPr>
          <w:rFonts w:ascii="Times New Roman" w:hAnsi="Times New Roman" w:cs="Times New Roman"/>
          <w:sz w:val="24"/>
          <w:szCs w:val="24"/>
        </w:rPr>
        <w:t xml:space="preserve"> </w:t>
      </w:r>
      <w:r w:rsidR="00E13854">
        <w:rPr>
          <w:rFonts w:ascii="Times New Roman" w:hAnsi="Times New Roman" w:cs="Times New Roman"/>
          <w:sz w:val="24"/>
          <w:szCs w:val="24"/>
        </w:rPr>
        <w:t>case</w:t>
      </w:r>
      <w:r w:rsidR="00FC3FC9">
        <w:rPr>
          <w:rFonts w:ascii="Times New Roman" w:hAnsi="Times New Roman" w:cs="Times New Roman"/>
          <w:sz w:val="24"/>
          <w:szCs w:val="24"/>
        </w:rPr>
        <w:t xml:space="preserve"> from</w:t>
      </w:r>
      <w:r w:rsidR="002F7456">
        <w:rPr>
          <w:rFonts w:ascii="Times New Roman" w:hAnsi="Times New Roman" w:cs="Times New Roman"/>
          <w:sz w:val="24"/>
          <w:szCs w:val="24"/>
        </w:rPr>
        <w:t xml:space="preserve"> 1509, Henry </w:t>
      </w:r>
      <w:proofErr w:type="spellStart"/>
      <w:r w:rsidR="002F7456">
        <w:rPr>
          <w:rFonts w:ascii="Times New Roman" w:hAnsi="Times New Roman" w:cs="Times New Roman"/>
          <w:sz w:val="24"/>
          <w:szCs w:val="24"/>
        </w:rPr>
        <w:t>Wode</w:t>
      </w:r>
      <w:proofErr w:type="spellEnd"/>
      <w:r w:rsidR="002F7456">
        <w:rPr>
          <w:rFonts w:ascii="Times New Roman" w:hAnsi="Times New Roman" w:cs="Times New Roman"/>
          <w:sz w:val="24"/>
          <w:szCs w:val="24"/>
        </w:rPr>
        <w:t xml:space="preserve"> and Joan Lee met up together in the </w:t>
      </w:r>
      <w:proofErr w:type="spellStart"/>
      <w:r w:rsidR="002F7456">
        <w:rPr>
          <w:rFonts w:ascii="Times New Roman" w:hAnsi="Times New Roman" w:cs="Times New Roman"/>
          <w:sz w:val="24"/>
          <w:szCs w:val="24"/>
        </w:rPr>
        <w:t>gilehouse</w:t>
      </w:r>
      <w:proofErr w:type="spellEnd"/>
      <w:r w:rsidR="002F7456">
        <w:rPr>
          <w:rFonts w:ascii="Times New Roman" w:hAnsi="Times New Roman" w:cs="Times New Roman"/>
          <w:sz w:val="24"/>
          <w:szCs w:val="24"/>
        </w:rPr>
        <w:t xml:space="preserve"> of her father’s house</w:t>
      </w:r>
      <w:r w:rsidR="0070674A">
        <w:rPr>
          <w:rFonts w:ascii="Times New Roman" w:hAnsi="Times New Roman" w:cs="Times New Roman"/>
          <w:sz w:val="24"/>
          <w:szCs w:val="24"/>
        </w:rPr>
        <w:t xml:space="preserve"> where Joan Wales and Joan Rawson were working. According to Rawson, Henry sat himself on the side of the </w:t>
      </w:r>
      <w:proofErr w:type="spellStart"/>
      <w:r w:rsidR="0070674A">
        <w:rPr>
          <w:rFonts w:ascii="Times New Roman" w:hAnsi="Times New Roman" w:cs="Times New Roman"/>
          <w:sz w:val="24"/>
          <w:szCs w:val="24"/>
        </w:rPr>
        <w:t>gilevat</w:t>
      </w:r>
      <w:proofErr w:type="spellEnd"/>
      <w:r w:rsidR="0070674A">
        <w:rPr>
          <w:rFonts w:ascii="Times New Roman" w:hAnsi="Times New Roman" w:cs="Times New Roman"/>
          <w:sz w:val="24"/>
          <w:szCs w:val="24"/>
        </w:rPr>
        <w:t>.</w:t>
      </w:r>
      <w:r w:rsidR="0070674A">
        <w:rPr>
          <w:rStyle w:val="FootnoteReference"/>
          <w:rFonts w:ascii="Times New Roman" w:hAnsi="Times New Roman" w:cs="Times New Roman"/>
          <w:sz w:val="24"/>
          <w:szCs w:val="24"/>
        </w:rPr>
        <w:footnoteReference w:id="95"/>
      </w:r>
      <w:r w:rsidR="0070674A">
        <w:rPr>
          <w:rFonts w:ascii="Times New Roman" w:hAnsi="Times New Roman" w:cs="Times New Roman"/>
          <w:sz w:val="24"/>
          <w:szCs w:val="24"/>
        </w:rPr>
        <w:t xml:space="preserve"> </w:t>
      </w:r>
    </w:p>
    <w:p w14:paraId="64592E2B" w14:textId="7F5E6EC8" w:rsidR="00FF640D" w:rsidRDefault="00F10D1A" w:rsidP="006F73E6">
      <w:pPr>
        <w:spacing w:line="360" w:lineRule="auto"/>
        <w:rPr>
          <w:rFonts w:ascii="Times New Roman" w:hAnsi="Times New Roman" w:cs="Times New Roman"/>
          <w:sz w:val="24"/>
          <w:szCs w:val="24"/>
        </w:rPr>
      </w:pPr>
      <w:r>
        <w:rPr>
          <w:rFonts w:ascii="Times New Roman" w:hAnsi="Times New Roman" w:cs="Times New Roman"/>
          <w:sz w:val="24"/>
          <w:szCs w:val="24"/>
        </w:rPr>
        <w:tab/>
      </w:r>
      <w:r w:rsidR="00181CD0">
        <w:rPr>
          <w:rFonts w:ascii="Times New Roman" w:hAnsi="Times New Roman" w:cs="Times New Roman"/>
          <w:sz w:val="24"/>
          <w:szCs w:val="24"/>
        </w:rPr>
        <w:t xml:space="preserve">Church court </w:t>
      </w:r>
      <w:r w:rsidR="00FC3FC9">
        <w:rPr>
          <w:rFonts w:ascii="Times New Roman" w:hAnsi="Times New Roman" w:cs="Times New Roman"/>
          <w:sz w:val="24"/>
          <w:szCs w:val="24"/>
        </w:rPr>
        <w:t>depositions regularly take us</w:t>
      </w:r>
      <w:r w:rsidR="00181CD0">
        <w:rPr>
          <w:rFonts w:ascii="Times New Roman" w:hAnsi="Times New Roman" w:cs="Times New Roman"/>
          <w:sz w:val="24"/>
          <w:szCs w:val="24"/>
        </w:rPr>
        <w:t xml:space="preserve"> into the shop, the hall, and the summer hall or parlour. We also occasionally witness</w:t>
      </w:r>
      <w:r w:rsidR="00FC3FC9">
        <w:rPr>
          <w:rFonts w:ascii="Times New Roman" w:hAnsi="Times New Roman" w:cs="Times New Roman"/>
          <w:sz w:val="24"/>
          <w:szCs w:val="24"/>
        </w:rPr>
        <w:t xml:space="preserve"> contracts of marriages </w:t>
      </w:r>
      <w:r w:rsidR="00181CD0">
        <w:rPr>
          <w:rFonts w:ascii="Times New Roman" w:hAnsi="Times New Roman" w:cs="Times New Roman"/>
          <w:sz w:val="24"/>
          <w:szCs w:val="24"/>
        </w:rPr>
        <w:t>in gardens.</w:t>
      </w:r>
      <w:r w:rsidR="00181CD0">
        <w:rPr>
          <w:rStyle w:val="FootnoteReference"/>
          <w:rFonts w:ascii="Times New Roman" w:hAnsi="Times New Roman" w:cs="Times New Roman"/>
          <w:sz w:val="24"/>
          <w:szCs w:val="24"/>
        </w:rPr>
        <w:footnoteReference w:id="96"/>
      </w:r>
      <w:r w:rsidR="00181CD0">
        <w:rPr>
          <w:rFonts w:ascii="Times New Roman" w:hAnsi="Times New Roman" w:cs="Times New Roman"/>
          <w:sz w:val="24"/>
          <w:szCs w:val="24"/>
        </w:rPr>
        <w:t xml:space="preserve"> Rarely, however, do we penetrate the deeper spa</w:t>
      </w:r>
      <w:r w:rsidR="00FC3FC9">
        <w:rPr>
          <w:rFonts w:ascii="Times New Roman" w:hAnsi="Times New Roman" w:cs="Times New Roman"/>
          <w:sz w:val="24"/>
          <w:szCs w:val="24"/>
        </w:rPr>
        <w:t>ce of the house.</w:t>
      </w:r>
      <w:r w:rsidR="00B0033E">
        <w:rPr>
          <w:rStyle w:val="FootnoteReference"/>
          <w:rFonts w:ascii="Times New Roman" w:hAnsi="Times New Roman" w:cs="Times New Roman"/>
          <w:sz w:val="24"/>
          <w:szCs w:val="24"/>
        </w:rPr>
        <w:footnoteReference w:id="97"/>
      </w:r>
      <w:r w:rsidR="00FC3FC9">
        <w:rPr>
          <w:rFonts w:ascii="Times New Roman" w:hAnsi="Times New Roman" w:cs="Times New Roman"/>
          <w:sz w:val="24"/>
          <w:szCs w:val="24"/>
        </w:rPr>
        <w:t xml:space="preserve"> Once</w:t>
      </w:r>
      <w:r w:rsidR="00181CD0">
        <w:rPr>
          <w:rFonts w:ascii="Times New Roman" w:hAnsi="Times New Roman" w:cs="Times New Roman"/>
          <w:sz w:val="24"/>
          <w:szCs w:val="24"/>
        </w:rPr>
        <w:t xml:space="preserve"> we glimpse servants caught in compromising circumstances by their master in an upper room of his house </w:t>
      </w:r>
      <w:r w:rsidR="00FD63B3">
        <w:rPr>
          <w:rFonts w:ascii="Times New Roman" w:hAnsi="Times New Roman" w:cs="Times New Roman"/>
          <w:sz w:val="24"/>
          <w:szCs w:val="24"/>
        </w:rPr>
        <w:t>‘</w:t>
      </w:r>
      <w:r w:rsidR="00181CD0">
        <w:rPr>
          <w:rFonts w:ascii="Times New Roman" w:hAnsi="Times New Roman" w:cs="Times New Roman"/>
          <w:sz w:val="24"/>
          <w:szCs w:val="24"/>
        </w:rPr>
        <w:t xml:space="preserve">where </w:t>
      </w:r>
      <w:r w:rsidR="00FD63B3">
        <w:rPr>
          <w:rFonts w:ascii="Times New Roman" w:hAnsi="Times New Roman" w:cs="Times New Roman"/>
          <w:sz w:val="24"/>
          <w:szCs w:val="24"/>
        </w:rPr>
        <w:t xml:space="preserve">hay </w:t>
      </w:r>
      <w:r w:rsidR="00FD63B3">
        <w:rPr>
          <w:rFonts w:ascii="Times New Roman" w:hAnsi="Times New Roman" w:cs="Times New Roman"/>
          <w:sz w:val="24"/>
          <w:szCs w:val="24"/>
        </w:rPr>
        <w:lastRenderedPageBreak/>
        <w:t>lies’.</w:t>
      </w:r>
      <w:r w:rsidR="00FD63B3">
        <w:rPr>
          <w:rStyle w:val="FootnoteReference"/>
          <w:rFonts w:ascii="Times New Roman" w:hAnsi="Times New Roman" w:cs="Times New Roman"/>
          <w:sz w:val="24"/>
          <w:szCs w:val="24"/>
        </w:rPr>
        <w:footnoteReference w:id="98"/>
      </w:r>
      <w:r w:rsidR="00FD63B3">
        <w:rPr>
          <w:rFonts w:ascii="Times New Roman" w:hAnsi="Times New Roman" w:cs="Times New Roman"/>
          <w:sz w:val="24"/>
          <w:szCs w:val="24"/>
        </w:rPr>
        <w:t xml:space="preserve"> </w:t>
      </w:r>
      <w:r w:rsidR="00FC3FC9">
        <w:rPr>
          <w:rFonts w:ascii="Times New Roman" w:hAnsi="Times New Roman" w:cs="Times New Roman"/>
          <w:sz w:val="24"/>
          <w:szCs w:val="24"/>
        </w:rPr>
        <w:t>A</w:t>
      </w:r>
      <w:r w:rsidR="0040088C">
        <w:rPr>
          <w:rFonts w:ascii="Times New Roman" w:hAnsi="Times New Roman" w:cs="Times New Roman"/>
          <w:sz w:val="24"/>
          <w:szCs w:val="24"/>
        </w:rPr>
        <w:t xml:space="preserve">nother </w:t>
      </w:r>
      <w:r w:rsidR="00FC3FC9">
        <w:rPr>
          <w:rFonts w:ascii="Times New Roman" w:hAnsi="Times New Roman" w:cs="Times New Roman"/>
          <w:sz w:val="24"/>
          <w:szCs w:val="24"/>
        </w:rPr>
        <w:t xml:space="preserve">time </w:t>
      </w:r>
      <w:r w:rsidR="0040088C">
        <w:rPr>
          <w:rFonts w:ascii="Times New Roman" w:hAnsi="Times New Roman" w:cs="Times New Roman"/>
          <w:sz w:val="24"/>
          <w:szCs w:val="24"/>
        </w:rPr>
        <w:t xml:space="preserve">Alice </w:t>
      </w:r>
      <w:proofErr w:type="spellStart"/>
      <w:r w:rsidR="0040088C">
        <w:rPr>
          <w:rFonts w:ascii="Times New Roman" w:hAnsi="Times New Roman" w:cs="Times New Roman"/>
          <w:sz w:val="24"/>
          <w:szCs w:val="24"/>
        </w:rPr>
        <w:t>Camplay</w:t>
      </w:r>
      <w:proofErr w:type="spellEnd"/>
      <w:r w:rsidR="0040088C">
        <w:rPr>
          <w:rFonts w:ascii="Times New Roman" w:hAnsi="Times New Roman" w:cs="Times New Roman"/>
          <w:sz w:val="24"/>
          <w:szCs w:val="24"/>
        </w:rPr>
        <w:t xml:space="preserve"> called </w:t>
      </w:r>
      <w:r w:rsidR="00F227FB">
        <w:rPr>
          <w:rFonts w:ascii="Times New Roman" w:hAnsi="Times New Roman" w:cs="Times New Roman"/>
          <w:sz w:val="24"/>
          <w:szCs w:val="24"/>
        </w:rPr>
        <w:t>for Agnes Horsley, whom she knew</w:t>
      </w:r>
      <w:r w:rsidR="0040088C">
        <w:rPr>
          <w:rFonts w:ascii="Times New Roman" w:hAnsi="Times New Roman" w:cs="Times New Roman"/>
          <w:sz w:val="24"/>
          <w:szCs w:val="24"/>
        </w:rPr>
        <w:t xml:space="preserve"> was spending the night with her lover, Master Thomas Cleveland, in his lodgings in </w:t>
      </w:r>
      <w:proofErr w:type="spellStart"/>
      <w:r w:rsidR="0040088C">
        <w:rPr>
          <w:rFonts w:ascii="Times New Roman" w:hAnsi="Times New Roman" w:cs="Times New Roman"/>
          <w:sz w:val="24"/>
          <w:szCs w:val="24"/>
        </w:rPr>
        <w:t>Ogleforth</w:t>
      </w:r>
      <w:proofErr w:type="spellEnd"/>
      <w:r w:rsidR="0040088C">
        <w:rPr>
          <w:rFonts w:ascii="Times New Roman" w:hAnsi="Times New Roman" w:cs="Times New Roman"/>
          <w:sz w:val="24"/>
          <w:szCs w:val="24"/>
        </w:rPr>
        <w:t>. Thomas answered the door in his bare feet and Alice made her way upstairs to where she found Agnes lying naked in Thomas’ single bed.</w:t>
      </w:r>
      <w:r w:rsidR="0040088C">
        <w:rPr>
          <w:rStyle w:val="FootnoteReference"/>
          <w:rFonts w:ascii="Times New Roman" w:hAnsi="Times New Roman" w:cs="Times New Roman"/>
          <w:sz w:val="24"/>
          <w:szCs w:val="24"/>
        </w:rPr>
        <w:footnoteReference w:id="99"/>
      </w:r>
      <w:r w:rsidR="00F227FB">
        <w:rPr>
          <w:rFonts w:ascii="Times New Roman" w:hAnsi="Times New Roman" w:cs="Times New Roman"/>
          <w:sz w:val="24"/>
          <w:szCs w:val="24"/>
        </w:rPr>
        <w:t xml:space="preserve"> </w:t>
      </w:r>
      <w:r w:rsidR="00DA5C3E">
        <w:rPr>
          <w:rFonts w:ascii="Times New Roman" w:hAnsi="Times New Roman" w:cs="Times New Roman"/>
          <w:sz w:val="24"/>
          <w:szCs w:val="24"/>
        </w:rPr>
        <w:t xml:space="preserve">When Margaret </w:t>
      </w:r>
      <w:proofErr w:type="spellStart"/>
      <w:r w:rsidR="00DA5C3E">
        <w:rPr>
          <w:rFonts w:ascii="Times New Roman" w:hAnsi="Times New Roman" w:cs="Times New Roman"/>
          <w:sz w:val="24"/>
          <w:szCs w:val="24"/>
        </w:rPr>
        <w:t>Whitell</w:t>
      </w:r>
      <w:proofErr w:type="spellEnd"/>
      <w:r w:rsidR="00DA5C3E">
        <w:rPr>
          <w:rFonts w:ascii="Times New Roman" w:hAnsi="Times New Roman" w:cs="Times New Roman"/>
          <w:sz w:val="24"/>
          <w:szCs w:val="24"/>
        </w:rPr>
        <w:t xml:space="preserve"> turned to Richard Den to persu</w:t>
      </w:r>
      <w:r w:rsidR="0016772F">
        <w:rPr>
          <w:rFonts w:ascii="Times New Roman" w:hAnsi="Times New Roman" w:cs="Times New Roman"/>
          <w:sz w:val="24"/>
          <w:szCs w:val="24"/>
        </w:rPr>
        <w:t xml:space="preserve">ade John </w:t>
      </w:r>
      <w:proofErr w:type="spellStart"/>
      <w:r w:rsidR="0016772F">
        <w:rPr>
          <w:rFonts w:ascii="Times New Roman" w:hAnsi="Times New Roman" w:cs="Times New Roman"/>
          <w:sz w:val="24"/>
          <w:szCs w:val="24"/>
        </w:rPr>
        <w:t>Beaumond</w:t>
      </w:r>
      <w:proofErr w:type="spellEnd"/>
      <w:r w:rsidR="0016772F">
        <w:rPr>
          <w:rFonts w:ascii="Times New Roman" w:hAnsi="Times New Roman" w:cs="Times New Roman"/>
          <w:sz w:val="24"/>
          <w:szCs w:val="24"/>
        </w:rPr>
        <w:t>, skinner,</w:t>
      </w:r>
      <w:r w:rsidR="00DA5C3E">
        <w:rPr>
          <w:rFonts w:ascii="Times New Roman" w:hAnsi="Times New Roman" w:cs="Times New Roman"/>
          <w:sz w:val="24"/>
          <w:szCs w:val="24"/>
        </w:rPr>
        <w:t xml:space="preserve"> </w:t>
      </w:r>
      <w:r w:rsidR="0016772F">
        <w:rPr>
          <w:rFonts w:ascii="Times New Roman" w:hAnsi="Times New Roman" w:cs="Times New Roman"/>
          <w:sz w:val="24"/>
          <w:szCs w:val="24"/>
        </w:rPr>
        <w:t>her abusive lover</w:t>
      </w:r>
      <w:r w:rsidR="00DA5C3E">
        <w:rPr>
          <w:rFonts w:ascii="Times New Roman" w:hAnsi="Times New Roman" w:cs="Times New Roman"/>
          <w:sz w:val="24"/>
          <w:szCs w:val="24"/>
        </w:rPr>
        <w:t xml:space="preserve"> to mend his ways, Den turned up at night with a group of men and women. The women knocked on the door claiming that Margaret’s </w:t>
      </w:r>
      <w:r w:rsidR="00FF640D">
        <w:rPr>
          <w:rFonts w:ascii="Times New Roman" w:hAnsi="Times New Roman" w:cs="Times New Roman"/>
          <w:sz w:val="24"/>
          <w:szCs w:val="24"/>
        </w:rPr>
        <w:t xml:space="preserve">young </w:t>
      </w:r>
      <w:r w:rsidR="00DA5C3E">
        <w:rPr>
          <w:rFonts w:ascii="Times New Roman" w:hAnsi="Times New Roman" w:cs="Times New Roman"/>
          <w:sz w:val="24"/>
          <w:szCs w:val="24"/>
        </w:rPr>
        <w:t>daughter was seriously ill. Margaret answered the door and the men rushed in brandishing</w:t>
      </w:r>
      <w:r w:rsidR="008A593A">
        <w:rPr>
          <w:rFonts w:ascii="Times New Roman" w:hAnsi="Times New Roman" w:cs="Times New Roman"/>
          <w:sz w:val="24"/>
          <w:szCs w:val="24"/>
        </w:rPr>
        <w:t xml:space="preserve"> an axe and a swo</w:t>
      </w:r>
      <w:r w:rsidR="00F75F2B">
        <w:rPr>
          <w:rFonts w:ascii="Times New Roman" w:hAnsi="Times New Roman" w:cs="Times New Roman"/>
          <w:sz w:val="24"/>
          <w:szCs w:val="24"/>
        </w:rPr>
        <w:t>rd. Guided by a candle they</w:t>
      </w:r>
      <w:r w:rsidR="00373B0B">
        <w:rPr>
          <w:rFonts w:ascii="Times New Roman" w:hAnsi="Times New Roman" w:cs="Times New Roman"/>
          <w:sz w:val="24"/>
          <w:szCs w:val="24"/>
        </w:rPr>
        <w:t xml:space="preserve"> discovered John lying naked in </w:t>
      </w:r>
      <w:r w:rsidR="00F75F2B">
        <w:rPr>
          <w:rFonts w:ascii="Times New Roman" w:hAnsi="Times New Roman" w:cs="Times New Roman"/>
          <w:sz w:val="24"/>
          <w:szCs w:val="24"/>
        </w:rPr>
        <w:t>M</w:t>
      </w:r>
      <w:r w:rsidR="00373B0B">
        <w:rPr>
          <w:rFonts w:ascii="Times New Roman" w:hAnsi="Times New Roman" w:cs="Times New Roman"/>
          <w:sz w:val="24"/>
          <w:szCs w:val="24"/>
        </w:rPr>
        <w:t>a</w:t>
      </w:r>
      <w:r w:rsidR="00F75F2B">
        <w:rPr>
          <w:rFonts w:ascii="Times New Roman" w:hAnsi="Times New Roman" w:cs="Times New Roman"/>
          <w:sz w:val="24"/>
          <w:szCs w:val="24"/>
        </w:rPr>
        <w:t>rgaret’s bed with a</w:t>
      </w:r>
      <w:r w:rsidR="00373B0B">
        <w:rPr>
          <w:rFonts w:ascii="Times New Roman" w:hAnsi="Times New Roman" w:cs="Times New Roman"/>
          <w:sz w:val="24"/>
          <w:szCs w:val="24"/>
        </w:rPr>
        <w:t xml:space="preserve"> </w:t>
      </w:r>
      <w:r w:rsidR="00F75F2B">
        <w:rPr>
          <w:rFonts w:ascii="Times New Roman" w:hAnsi="Times New Roman" w:cs="Times New Roman"/>
          <w:sz w:val="24"/>
          <w:szCs w:val="24"/>
        </w:rPr>
        <w:t>dagger</w:t>
      </w:r>
      <w:r>
        <w:rPr>
          <w:rFonts w:ascii="Times New Roman" w:hAnsi="Times New Roman" w:cs="Times New Roman"/>
          <w:sz w:val="24"/>
          <w:szCs w:val="24"/>
        </w:rPr>
        <w:t xml:space="preserve"> lying </w:t>
      </w:r>
      <w:r w:rsidR="0016772F">
        <w:rPr>
          <w:rFonts w:ascii="Times New Roman" w:hAnsi="Times New Roman" w:cs="Times New Roman"/>
          <w:sz w:val="24"/>
          <w:szCs w:val="24"/>
        </w:rPr>
        <w:t>on a</w:t>
      </w:r>
      <w:r w:rsidR="00F75F2B">
        <w:rPr>
          <w:rFonts w:ascii="Times New Roman" w:hAnsi="Times New Roman" w:cs="Times New Roman"/>
          <w:sz w:val="24"/>
          <w:szCs w:val="24"/>
        </w:rPr>
        <w:t xml:space="preserve"> chest</w:t>
      </w:r>
      <w:r w:rsidR="00373B0B">
        <w:rPr>
          <w:rFonts w:ascii="Times New Roman" w:hAnsi="Times New Roman" w:cs="Times New Roman"/>
          <w:sz w:val="24"/>
          <w:szCs w:val="24"/>
        </w:rPr>
        <w:t xml:space="preserve"> by the bed.</w:t>
      </w:r>
      <w:r w:rsidR="00FF640D">
        <w:rPr>
          <w:rStyle w:val="FootnoteReference"/>
          <w:rFonts w:ascii="Times New Roman" w:hAnsi="Times New Roman" w:cs="Times New Roman"/>
          <w:sz w:val="24"/>
          <w:szCs w:val="24"/>
        </w:rPr>
        <w:footnoteReference w:id="100"/>
      </w:r>
      <w:r w:rsidR="00FF640D">
        <w:rPr>
          <w:rFonts w:ascii="Times New Roman" w:hAnsi="Times New Roman" w:cs="Times New Roman"/>
          <w:sz w:val="24"/>
          <w:szCs w:val="24"/>
        </w:rPr>
        <w:t xml:space="preserve"> </w:t>
      </w:r>
    </w:p>
    <w:p w14:paraId="4C4D18D6" w14:textId="7EDCC119" w:rsidR="008D0130" w:rsidRDefault="00FF640D" w:rsidP="00FF640D">
      <w:pPr>
        <w:spacing w:line="360" w:lineRule="auto"/>
        <w:ind w:firstLine="720"/>
        <w:rPr>
          <w:rFonts w:ascii="Times New Roman" w:hAnsi="Times New Roman" w:cs="Times New Roman"/>
          <w:sz w:val="24"/>
          <w:szCs w:val="24"/>
        </w:rPr>
      </w:pPr>
      <w:r>
        <w:rPr>
          <w:rFonts w:ascii="Times New Roman" w:hAnsi="Times New Roman" w:cs="Times New Roman"/>
          <w:sz w:val="24"/>
          <w:szCs w:val="24"/>
        </w:rPr>
        <w:t>We have here a sense of the violation of personal and intima</w:t>
      </w:r>
      <w:r w:rsidR="008D0130">
        <w:rPr>
          <w:rFonts w:ascii="Times New Roman" w:hAnsi="Times New Roman" w:cs="Times New Roman"/>
          <w:sz w:val="24"/>
          <w:szCs w:val="24"/>
        </w:rPr>
        <w:t xml:space="preserve">te space. The same is true </w:t>
      </w:r>
      <w:r w:rsidR="0016772F">
        <w:rPr>
          <w:rFonts w:ascii="Times New Roman" w:hAnsi="Times New Roman" w:cs="Times New Roman"/>
          <w:sz w:val="24"/>
          <w:szCs w:val="24"/>
        </w:rPr>
        <w:t xml:space="preserve">of </w:t>
      </w:r>
      <w:r w:rsidR="008D0130">
        <w:rPr>
          <w:rFonts w:ascii="Times New Roman" w:hAnsi="Times New Roman" w:cs="Times New Roman"/>
          <w:sz w:val="24"/>
          <w:szCs w:val="24"/>
        </w:rPr>
        <w:t xml:space="preserve">Marion de </w:t>
      </w:r>
      <w:proofErr w:type="spellStart"/>
      <w:r w:rsidR="008D0130">
        <w:rPr>
          <w:rFonts w:ascii="Times New Roman" w:hAnsi="Times New Roman" w:cs="Times New Roman"/>
          <w:sz w:val="24"/>
          <w:szCs w:val="24"/>
        </w:rPr>
        <w:t>Walde</w:t>
      </w:r>
      <w:r w:rsidR="0016772F">
        <w:rPr>
          <w:rFonts w:ascii="Times New Roman" w:hAnsi="Times New Roman" w:cs="Times New Roman"/>
          <w:sz w:val="24"/>
          <w:szCs w:val="24"/>
        </w:rPr>
        <w:t>’s</w:t>
      </w:r>
      <w:proofErr w:type="spellEnd"/>
      <w:r w:rsidR="0016772F">
        <w:rPr>
          <w:rFonts w:ascii="Times New Roman" w:hAnsi="Times New Roman" w:cs="Times New Roman"/>
          <w:sz w:val="24"/>
          <w:szCs w:val="24"/>
        </w:rPr>
        <w:t xml:space="preserve"> displacement</w:t>
      </w:r>
      <w:r w:rsidR="008D0130">
        <w:rPr>
          <w:rFonts w:ascii="Times New Roman" w:hAnsi="Times New Roman" w:cs="Times New Roman"/>
          <w:sz w:val="24"/>
          <w:szCs w:val="24"/>
        </w:rPr>
        <w:t xml:space="preserve"> fro</w:t>
      </w:r>
      <w:r w:rsidR="0016772F">
        <w:rPr>
          <w:rFonts w:ascii="Times New Roman" w:hAnsi="Times New Roman" w:cs="Times New Roman"/>
          <w:sz w:val="24"/>
          <w:szCs w:val="24"/>
        </w:rPr>
        <w:t>m her marital bed in the upper</w:t>
      </w:r>
      <w:r w:rsidR="008D0130">
        <w:rPr>
          <w:rFonts w:ascii="Times New Roman" w:hAnsi="Times New Roman" w:cs="Times New Roman"/>
          <w:sz w:val="24"/>
          <w:szCs w:val="24"/>
        </w:rPr>
        <w:t xml:space="preserve"> chamber by he</w:t>
      </w:r>
      <w:r w:rsidR="00F36B4C">
        <w:rPr>
          <w:rFonts w:ascii="Times New Roman" w:hAnsi="Times New Roman" w:cs="Times New Roman"/>
          <w:sz w:val="24"/>
          <w:szCs w:val="24"/>
        </w:rPr>
        <w:t xml:space="preserve">r husband’s former servant – </w:t>
      </w:r>
      <w:r w:rsidR="008D0130">
        <w:rPr>
          <w:rFonts w:ascii="Times New Roman" w:hAnsi="Times New Roman" w:cs="Times New Roman"/>
          <w:sz w:val="24"/>
          <w:szCs w:val="24"/>
        </w:rPr>
        <w:t>implicitly a younger woman – and lover</w:t>
      </w:r>
      <w:r w:rsidR="0016772F">
        <w:rPr>
          <w:rFonts w:ascii="Times New Roman" w:hAnsi="Times New Roman" w:cs="Times New Roman"/>
          <w:sz w:val="24"/>
          <w:szCs w:val="24"/>
        </w:rPr>
        <w:t>. In general, however, what went</w:t>
      </w:r>
      <w:r w:rsidR="008D0130">
        <w:rPr>
          <w:rFonts w:ascii="Times New Roman" w:hAnsi="Times New Roman" w:cs="Times New Roman"/>
          <w:sz w:val="24"/>
          <w:szCs w:val="24"/>
        </w:rPr>
        <w:t xml:space="preserve"> on in upper-floor chambers is in</w:t>
      </w:r>
      <w:r w:rsidR="0016772F">
        <w:rPr>
          <w:rFonts w:ascii="Times New Roman" w:hAnsi="Times New Roman" w:cs="Times New Roman"/>
          <w:sz w:val="24"/>
          <w:szCs w:val="24"/>
        </w:rPr>
        <w:t>visible in depositions</w:t>
      </w:r>
      <w:r w:rsidR="008D0130">
        <w:rPr>
          <w:rFonts w:ascii="Times New Roman" w:hAnsi="Times New Roman" w:cs="Times New Roman"/>
          <w:sz w:val="24"/>
          <w:szCs w:val="24"/>
        </w:rPr>
        <w:t>. The reason is fairly simple. The instance actions relating to marriage, breach of promise, and defamation used here required witnesses for one or other party to testify to what they had seen and heard. The pre</w:t>
      </w:r>
      <w:r w:rsidR="00DF5E6D">
        <w:rPr>
          <w:rFonts w:ascii="Times New Roman" w:hAnsi="Times New Roman" w:cs="Times New Roman"/>
          <w:sz w:val="24"/>
          <w:szCs w:val="24"/>
        </w:rPr>
        <w:t>-modern house provided much</w:t>
      </w:r>
      <w:r w:rsidR="008D0130">
        <w:rPr>
          <w:rFonts w:ascii="Times New Roman" w:hAnsi="Times New Roman" w:cs="Times New Roman"/>
          <w:sz w:val="24"/>
          <w:szCs w:val="24"/>
        </w:rPr>
        <w:t xml:space="preserve"> opportunity for conversations </w:t>
      </w:r>
      <w:r w:rsidR="00DF5E6D">
        <w:rPr>
          <w:rFonts w:ascii="Times New Roman" w:hAnsi="Times New Roman" w:cs="Times New Roman"/>
          <w:sz w:val="24"/>
          <w:szCs w:val="24"/>
        </w:rPr>
        <w:t xml:space="preserve">to be overheard or </w:t>
      </w:r>
      <w:r w:rsidR="008D0130">
        <w:rPr>
          <w:rFonts w:ascii="Times New Roman" w:hAnsi="Times New Roman" w:cs="Times New Roman"/>
          <w:sz w:val="24"/>
          <w:szCs w:val="24"/>
        </w:rPr>
        <w:t xml:space="preserve">parties </w:t>
      </w:r>
      <w:r w:rsidR="00DF5E6D">
        <w:rPr>
          <w:rFonts w:ascii="Times New Roman" w:hAnsi="Times New Roman" w:cs="Times New Roman"/>
          <w:sz w:val="24"/>
          <w:szCs w:val="24"/>
        </w:rPr>
        <w:t>to be spied upon. We see this</w:t>
      </w:r>
      <w:r w:rsidR="008D0130">
        <w:rPr>
          <w:rFonts w:ascii="Times New Roman" w:hAnsi="Times New Roman" w:cs="Times New Roman"/>
          <w:sz w:val="24"/>
          <w:szCs w:val="24"/>
        </w:rPr>
        <w:t xml:space="preserve"> in the case of the mot</w:t>
      </w:r>
      <w:r w:rsidR="00633B25">
        <w:rPr>
          <w:rFonts w:ascii="Times New Roman" w:hAnsi="Times New Roman" w:cs="Times New Roman"/>
          <w:sz w:val="24"/>
          <w:szCs w:val="24"/>
        </w:rPr>
        <w:t>her and servant listening or</w:t>
      </w:r>
      <w:r w:rsidR="008D0130">
        <w:rPr>
          <w:rFonts w:ascii="Times New Roman" w:hAnsi="Times New Roman" w:cs="Times New Roman"/>
          <w:sz w:val="24"/>
          <w:szCs w:val="24"/>
        </w:rPr>
        <w:t xml:space="preserve"> peeping in on the daughter and</w:t>
      </w:r>
      <w:r w:rsidR="00DF5E6D">
        <w:rPr>
          <w:rFonts w:ascii="Times New Roman" w:hAnsi="Times New Roman" w:cs="Times New Roman"/>
          <w:sz w:val="24"/>
          <w:szCs w:val="24"/>
        </w:rPr>
        <w:t xml:space="preserve"> her young man in the parlour</w:t>
      </w:r>
      <w:r w:rsidR="00633B25">
        <w:rPr>
          <w:rFonts w:ascii="Times New Roman" w:hAnsi="Times New Roman" w:cs="Times New Roman"/>
          <w:sz w:val="24"/>
          <w:szCs w:val="24"/>
        </w:rPr>
        <w:t>,</w:t>
      </w:r>
      <w:r w:rsidR="00DF5E6D">
        <w:rPr>
          <w:rFonts w:ascii="Times New Roman" w:hAnsi="Times New Roman" w:cs="Times New Roman"/>
          <w:sz w:val="24"/>
          <w:szCs w:val="24"/>
        </w:rPr>
        <w:t xml:space="preserve"> or of </w:t>
      </w:r>
      <w:r w:rsidR="008D0130">
        <w:rPr>
          <w:rFonts w:ascii="Times New Roman" w:hAnsi="Times New Roman" w:cs="Times New Roman"/>
          <w:sz w:val="24"/>
          <w:szCs w:val="24"/>
        </w:rPr>
        <w:t>the wife, her friend, and the apprentice</w:t>
      </w:r>
      <w:r w:rsidR="00633B25">
        <w:rPr>
          <w:rFonts w:ascii="Times New Roman" w:hAnsi="Times New Roman" w:cs="Times New Roman"/>
          <w:sz w:val="24"/>
          <w:szCs w:val="24"/>
        </w:rPr>
        <w:t>, eavesdropping</w:t>
      </w:r>
      <w:r w:rsidR="008D0130">
        <w:rPr>
          <w:rFonts w:ascii="Times New Roman" w:hAnsi="Times New Roman" w:cs="Times New Roman"/>
          <w:sz w:val="24"/>
          <w:szCs w:val="24"/>
        </w:rPr>
        <w:t xml:space="preserve"> on the adulterous husband and his lover. </w:t>
      </w:r>
      <w:r w:rsidR="00633B25">
        <w:rPr>
          <w:rFonts w:ascii="Times New Roman" w:hAnsi="Times New Roman" w:cs="Times New Roman"/>
          <w:sz w:val="24"/>
          <w:szCs w:val="24"/>
        </w:rPr>
        <w:t>That said, what went on</w:t>
      </w:r>
      <w:r w:rsidR="008D0130">
        <w:rPr>
          <w:rFonts w:ascii="Times New Roman" w:hAnsi="Times New Roman" w:cs="Times New Roman"/>
          <w:sz w:val="24"/>
          <w:szCs w:val="24"/>
        </w:rPr>
        <w:t xml:space="preserve"> in the upper chamber or behind bed curtains was not readily observed or overheard and so could not be testifi</w:t>
      </w:r>
      <w:r w:rsidR="00DF5E6D">
        <w:rPr>
          <w:rFonts w:ascii="Times New Roman" w:hAnsi="Times New Roman" w:cs="Times New Roman"/>
          <w:sz w:val="24"/>
          <w:szCs w:val="24"/>
        </w:rPr>
        <w:t>ed to. T</w:t>
      </w:r>
      <w:r w:rsidR="008D0130">
        <w:rPr>
          <w:rFonts w:ascii="Times New Roman" w:hAnsi="Times New Roman" w:cs="Times New Roman"/>
          <w:sz w:val="24"/>
          <w:szCs w:val="24"/>
        </w:rPr>
        <w:t>he chamber a</w:t>
      </w:r>
      <w:r w:rsidR="00DF5E6D">
        <w:rPr>
          <w:rFonts w:ascii="Times New Roman" w:hAnsi="Times New Roman" w:cs="Times New Roman"/>
          <w:sz w:val="24"/>
          <w:szCs w:val="24"/>
        </w:rPr>
        <w:t>ppear</w:t>
      </w:r>
      <w:r w:rsidR="008D0130">
        <w:rPr>
          <w:rFonts w:ascii="Times New Roman" w:hAnsi="Times New Roman" w:cs="Times New Roman"/>
          <w:sz w:val="24"/>
          <w:szCs w:val="24"/>
        </w:rPr>
        <w:t xml:space="preserve">s </w:t>
      </w:r>
      <w:r w:rsidR="00DF5E6D">
        <w:rPr>
          <w:rFonts w:ascii="Times New Roman" w:hAnsi="Times New Roman" w:cs="Times New Roman"/>
          <w:sz w:val="24"/>
          <w:szCs w:val="24"/>
        </w:rPr>
        <w:t xml:space="preserve">a </w:t>
      </w:r>
      <w:r w:rsidR="008D0130">
        <w:rPr>
          <w:rFonts w:ascii="Times New Roman" w:hAnsi="Times New Roman" w:cs="Times New Roman"/>
          <w:sz w:val="24"/>
          <w:szCs w:val="24"/>
        </w:rPr>
        <w:t>more private and intimate space than any other part of the house.</w:t>
      </w:r>
      <w:r w:rsidR="001A56C3">
        <w:rPr>
          <w:rStyle w:val="FootnoteReference"/>
          <w:rFonts w:ascii="Times New Roman" w:hAnsi="Times New Roman" w:cs="Times New Roman"/>
          <w:sz w:val="24"/>
          <w:szCs w:val="24"/>
        </w:rPr>
        <w:footnoteReference w:id="101"/>
      </w:r>
    </w:p>
    <w:p w14:paraId="44BEB530" w14:textId="77777777" w:rsidR="003B3A55" w:rsidRDefault="008D0130" w:rsidP="00FF640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chamber may have been a place where private devotions took place. </w:t>
      </w:r>
      <w:r w:rsidR="00E90B94">
        <w:rPr>
          <w:rFonts w:ascii="Times New Roman" w:hAnsi="Times New Roman" w:cs="Times New Roman"/>
          <w:sz w:val="24"/>
          <w:szCs w:val="24"/>
        </w:rPr>
        <w:t xml:space="preserve">It </w:t>
      </w:r>
      <w:r>
        <w:rPr>
          <w:rFonts w:ascii="Times New Roman" w:hAnsi="Times New Roman" w:cs="Times New Roman"/>
          <w:sz w:val="24"/>
          <w:szCs w:val="24"/>
        </w:rPr>
        <w:t xml:space="preserve">provided a space where wives could converse privately, argue with, or even challenge their husbands. Above all it was the </w:t>
      </w:r>
      <w:r w:rsidR="00E90B94">
        <w:rPr>
          <w:rFonts w:ascii="Times New Roman" w:hAnsi="Times New Roman" w:cs="Times New Roman"/>
          <w:sz w:val="24"/>
          <w:szCs w:val="24"/>
        </w:rPr>
        <w:t>locus of the marital bed,</w:t>
      </w:r>
      <w:r>
        <w:rPr>
          <w:rFonts w:ascii="Times New Roman" w:hAnsi="Times New Roman" w:cs="Times New Roman"/>
          <w:sz w:val="24"/>
          <w:szCs w:val="24"/>
        </w:rPr>
        <w:t xml:space="preserve"> the </w:t>
      </w:r>
      <w:r w:rsidR="000F177D">
        <w:rPr>
          <w:rFonts w:ascii="Times New Roman" w:hAnsi="Times New Roman" w:cs="Times New Roman"/>
          <w:sz w:val="24"/>
          <w:szCs w:val="24"/>
        </w:rPr>
        <w:t xml:space="preserve">sole </w:t>
      </w:r>
      <w:r>
        <w:rPr>
          <w:rFonts w:ascii="Times New Roman" w:hAnsi="Times New Roman" w:cs="Times New Roman"/>
          <w:sz w:val="24"/>
          <w:szCs w:val="24"/>
        </w:rPr>
        <w:t xml:space="preserve">place were sexual relations might take </w:t>
      </w:r>
      <w:r>
        <w:rPr>
          <w:rFonts w:ascii="Times New Roman" w:hAnsi="Times New Roman" w:cs="Times New Roman"/>
          <w:sz w:val="24"/>
          <w:szCs w:val="24"/>
        </w:rPr>
        <w:lastRenderedPageBreak/>
        <w:t>place and indeed were expected.</w:t>
      </w:r>
      <w:r w:rsidR="000F177D">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All others who slept under the same roof shared with someone of the same sex or </w:t>
      </w:r>
      <w:r w:rsidR="00E90B94">
        <w:rPr>
          <w:rFonts w:ascii="Times New Roman" w:hAnsi="Times New Roman" w:cs="Times New Roman"/>
          <w:sz w:val="24"/>
          <w:szCs w:val="24"/>
        </w:rPr>
        <w:t xml:space="preserve">slept </w:t>
      </w:r>
      <w:r>
        <w:rPr>
          <w:rFonts w:ascii="Times New Roman" w:hAnsi="Times New Roman" w:cs="Times New Roman"/>
          <w:sz w:val="24"/>
          <w:szCs w:val="24"/>
        </w:rPr>
        <w:t>on their own. Only the master of the house and his wife were permitted to have sex. Such servants who fornicated did so outside of the house or only surreptitiously and – as the app</w:t>
      </w:r>
      <w:r w:rsidR="00E90B94">
        <w:rPr>
          <w:rFonts w:ascii="Times New Roman" w:hAnsi="Times New Roman" w:cs="Times New Roman"/>
          <w:sz w:val="24"/>
          <w:szCs w:val="24"/>
        </w:rPr>
        <w:t xml:space="preserve">rentice </w:t>
      </w:r>
      <w:r>
        <w:rPr>
          <w:rFonts w:ascii="Times New Roman" w:hAnsi="Times New Roman" w:cs="Times New Roman"/>
          <w:sz w:val="24"/>
          <w:szCs w:val="24"/>
        </w:rPr>
        <w:t>found with a fellow servant in the upper room with the hay found to his cost – riskily. His irate master</w:t>
      </w:r>
      <w:r w:rsidR="00E90B94">
        <w:rPr>
          <w:rFonts w:ascii="Times New Roman" w:hAnsi="Times New Roman" w:cs="Times New Roman"/>
          <w:sz w:val="24"/>
          <w:szCs w:val="24"/>
        </w:rPr>
        <w:t xml:space="preserve"> </w:t>
      </w:r>
      <w:r>
        <w:rPr>
          <w:rFonts w:ascii="Times New Roman" w:hAnsi="Times New Roman" w:cs="Times New Roman"/>
          <w:sz w:val="24"/>
          <w:szCs w:val="24"/>
        </w:rPr>
        <w:t>made hi</w:t>
      </w:r>
      <w:r w:rsidR="00E90B94">
        <w:rPr>
          <w:rFonts w:ascii="Times New Roman" w:hAnsi="Times New Roman" w:cs="Times New Roman"/>
          <w:sz w:val="24"/>
          <w:szCs w:val="24"/>
        </w:rPr>
        <w:t>m marry the young woman rather than go to</w:t>
      </w:r>
      <w:r>
        <w:rPr>
          <w:rFonts w:ascii="Times New Roman" w:hAnsi="Times New Roman" w:cs="Times New Roman"/>
          <w:sz w:val="24"/>
          <w:szCs w:val="24"/>
        </w:rPr>
        <w:t xml:space="preserve"> prison</w:t>
      </w:r>
      <w:r w:rsidR="00E90B94" w:rsidRPr="00E90B94">
        <w:rPr>
          <w:rFonts w:ascii="Times New Roman" w:hAnsi="Times New Roman" w:cs="Times New Roman"/>
          <w:sz w:val="24"/>
          <w:szCs w:val="24"/>
        </w:rPr>
        <w:t xml:space="preserve"> </w:t>
      </w:r>
      <w:r w:rsidR="00E90B94">
        <w:rPr>
          <w:rFonts w:ascii="Times New Roman" w:hAnsi="Times New Roman" w:cs="Times New Roman"/>
          <w:sz w:val="24"/>
          <w:szCs w:val="24"/>
        </w:rPr>
        <w:t>for breaching his oath as an apprentice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t>
      </w:r>
    </w:p>
    <w:p w14:paraId="6339DE68" w14:textId="77777777" w:rsidR="007F5C25" w:rsidRDefault="003B3A55" w:rsidP="00FF640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spatial dynamics of the house are clearly linked to power dynamics. The medieval household was both patriarchal and hierarchica</w:t>
      </w:r>
      <w:r w:rsidR="003E5749">
        <w:rPr>
          <w:rFonts w:ascii="Times New Roman" w:hAnsi="Times New Roman" w:cs="Times New Roman"/>
          <w:sz w:val="24"/>
          <w:szCs w:val="24"/>
        </w:rPr>
        <w:t xml:space="preserve">l. It was the master who as householder </w:t>
      </w:r>
      <w:r>
        <w:rPr>
          <w:rFonts w:ascii="Times New Roman" w:hAnsi="Times New Roman" w:cs="Times New Roman"/>
          <w:sz w:val="24"/>
          <w:szCs w:val="24"/>
        </w:rPr>
        <w:t>exercise</w:t>
      </w:r>
      <w:r w:rsidR="003E5749">
        <w:rPr>
          <w:rFonts w:ascii="Times New Roman" w:hAnsi="Times New Roman" w:cs="Times New Roman"/>
          <w:sz w:val="24"/>
          <w:szCs w:val="24"/>
        </w:rPr>
        <w:t>d</w:t>
      </w:r>
      <w:r>
        <w:rPr>
          <w:rFonts w:ascii="Times New Roman" w:hAnsi="Times New Roman" w:cs="Times New Roman"/>
          <w:sz w:val="24"/>
          <w:szCs w:val="24"/>
        </w:rPr>
        <w:t xml:space="preserve"> au</w:t>
      </w:r>
      <w:r w:rsidR="00F94C8E">
        <w:rPr>
          <w:rFonts w:ascii="Times New Roman" w:hAnsi="Times New Roman" w:cs="Times New Roman"/>
          <w:sz w:val="24"/>
          <w:szCs w:val="24"/>
        </w:rPr>
        <w:t xml:space="preserve">thority over his </w:t>
      </w:r>
      <w:proofErr w:type="spellStart"/>
      <w:r w:rsidR="00F94C8E">
        <w:rPr>
          <w:rFonts w:ascii="Times New Roman" w:hAnsi="Times New Roman" w:cs="Times New Roman"/>
          <w:sz w:val="24"/>
          <w:szCs w:val="24"/>
        </w:rPr>
        <w:t>mesnie</w:t>
      </w:r>
      <w:proofErr w:type="spellEnd"/>
      <w:r w:rsidR="00F94C8E">
        <w:rPr>
          <w:rFonts w:ascii="Times New Roman" w:hAnsi="Times New Roman" w:cs="Times New Roman"/>
          <w:sz w:val="24"/>
          <w:szCs w:val="24"/>
        </w:rPr>
        <w:t>, that is to say</w:t>
      </w:r>
      <w:r>
        <w:rPr>
          <w:rFonts w:ascii="Times New Roman" w:hAnsi="Times New Roman" w:cs="Times New Roman"/>
          <w:sz w:val="24"/>
          <w:szCs w:val="24"/>
        </w:rPr>
        <w:t xml:space="preserve"> his wife, his children, and his servants</w:t>
      </w:r>
      <w:r w:rsidR="0093096F">
        <w:rPr>
          <w:rFonts w:ascii="Times New Roman" w:hAnsi="Times New Roman" w:cs="Times New Roman"/>
          <w:sz w:val="24"/>
          <w:szCs w:val="24"/>
        </w:rPr>
        <w:t xml:space="preserve">. He </w:t>
      </w:r>
      <w:r w:rsidR="00F94C8E">
        <w:rPr>
          <w:rFonts w:ascii="Times New Roman" w:hAnsi="Times New Roman" w:cs="Times New Roman"/>
          <w:sz w:val="24"/>
          <w:szCs w:val="24"/>
        </w:rPr>
        <w:t xml:space="preserve">it was who </w:t>
      </w:r>
      <w:r w:rsidR="0093096F">
        <w:rPr>
          <w:rFonts w:ascii="Times New Roman" w:hAnsi="Times New Roman" w:cs="Times New Roman"/>
          <w:sz w:val="24"/>
          <w:szCs w:val="24"/>
        </w:rPr>
        <w:t>directed the activity of the workshop, presided over the dinner table and hosted gu</w:t>
      </w:r>
      <w:r w:rsidR="00F94C8E">
        <w:rPr>
          <w:rFonts w:ascii="Times New Roman" w:hAnsi="Times New Roman" w:cs="Times New Roman"/>
          <w:sz w:val="24"/>
          <w:szCs w:val="24"/>
        </w:rPr>
        <w:t xml:space="preserve">ests in the hall, and </w:t>
      </w:r>
      <w:r w:rsidR="0093096F">
        <w:rPr>
          <w:rFonts w:ascii="Times New Roman" w:hAnsi="Times New Roman" w:cs="Times New Roman"/>
          <w:sz w:val="24"/>
          <w:szCs w:val="24"/>
        </w:rPr>
        <w:t xml:space="preserve">who expected sex of his wife in the marital bed each night. </w:t>
      </w:r>
      <w:r w:rsidR="00343169">
        <w:rPr>
          <w:rFonts w:ascii="Times New Roman" w:hAnsi="Times New Roman" w:cs="Times New Roman"/>
          <w:sz w:val="24"/>
          <w:szCs w:val="24"/>
        </w:rPr>
        <w:t>He reg</w:t>
      </w:r>
      <w:r w:rsidR="003E5749">
        <w:rPr>
          <w:rFonts w:ascii="Times New Roman" w:hAnsi="Times New Roman" w:cs="Times New Roman"/>
          <w:sz w:val="24"/>
          <w:szCs w:val="24"/>
        </w:rPr>
        <w:t>ulated access to the house. I</w:t>
      </w:r>
      <w:r w:rsidR="00343169">
        <w:rPr>
          <w:rFonts w:ascii="Times New Roman" w:hAnsi="Times New Roman" w:cs="Times New Roman"/>
          <w:sz w:val="24"/>
          <w:szCs w:val="24"/>
        </w:rPr>
        <w:t xml:space="preserve">t was he who locked the front door at night and it was he shuttered and </w:t>
      </w:r>
      <w:proofErr w:type="spellStart"/>
      <w:r w:rsidR="00343169">
        <w:rPr>
          <w:rFonts w:ascii="Times New Roman" w:hAnsi="Times New Roman" w:cs="Times New Roman"/>
          <w:sz w:val="24"/>
          <w:szCs w:val="24"/>
        </w:rPr>
        <w:t>unshuttered</w:t>
      </w:r>
      <w:proofErr w:type="spellEnd"/>
      <w:r w:rsidR="00343169">
        <w:rPr>
          <w:rFonts w:ascii="Times New Roman" w:hAnsi="Times New Roman" w:cs="Times New Roman"/>
          <w:sz w:val="24"/>
          <w:szCs w:val="24"/>
        </w:rPr>
        <w:t xml:space="preserve"> the shop </w:t>
      </w:r>
      <w:r w:rsidR="003E5749">
        <w:rPr>
          <w:rFonts w:ascii="Times New Roman" w:hAnsi="Times New Roman" w:cs="Times New Roman"/>
          <w:sz w:val="24"/>
          <w:szCs w:val="24"/>
        </w:rPr>
        <w:t xml:space="preserve">window at the beginning and </w:t>
      </w:r>
      <w:r w:rsidR="00343169">
        <w:rPr>
          <w:rFonts w:ascii="Times New Roman" w:hAnsi="Times New Roman" w:cs="Times New Roman"/>
          <w:sz w:val="24"/>
          <w:szCs w:val="24"/>
        </w:rPr>
        <w:t>end of the working day.</w:t>
      </w:r>
      <w:r>
        <w:rPr>
          <w:rFonts w:ascii="Times New Roman" w:hAnsi="Times New Roman" w:cs="Times New Roman"/>
          <w:sz w:val="24"/>
          <w:szCs w:val="24"/>
        </w:rPr>
        <w:t xml:space="preserve"> </w:t>
      </w:r>
      <w:r w:rsidR="007F5C25">
        <w:rPr>
          <w:rFonts w:ascii="Times New Roman" w:hAnsi="Times New Roman" w:cs="Times New Roman"/>
          <w:sz w:val="24"/>
          <w:szCs w:val="24"/>
        </w:rPr>
        <w:t xml:space="preserve">The master’s authority was, however, </w:t>
      </w:r>
      <w:r w:rsidR="00F94C8E">
        <w:rPr>
          <w:rFonts w:ascii="Times New Roman" w:hAnsi="Times New Roman" w:cs="Times New Roman"/>
          <w:sz w:val="24"/>
          <w:szCs w:val="24"/>
        </w:rPr>
        <w:t xml:space="preserve">mediated. His wife enjoyed </w:t>
      </w:r>
      <w:r w:rsidR="007F5C25">
        <w:rPr>
          <w:rFonts w:ascii="Times New Roman" w:hAnsi="Times New Roman" w:cs="Times New Roman"/>
          <w:sz w:val="24"/>
          <w:szCs w:val="24"/>
        </w:rPr>
        <w:t xml:space="preserve">delegated </w:t>
      </w:r>
      <w:r w:rsidR="003E5749">
        <w:rPr>
          <w:rFonts w:ascii="Times New Roman" w:hAnsi="Times New Roman" w:cs="Times New Roman"/>
          <w:sz w:val="24"/>
          <w:szCs w:val="24"/>
        </w:rPr>
        <w:t xml:space="preserve">authority </w:t>
      </w:r>
      <w:r w:rsidR="007F5C25">
        <w:rPr>
          <w:rFonts w:ascii="Times New Roman" w:hAnsi="Times New Roman" w:cs="Times New Roman"/>
          <w:sz w:val="24"/>
          <w:szCs w:val="24"/>
        </w:rPr>
        <w:t>as household manager and she carried the keys of her office. In her husband’s absence, she directed the workshop.</w:t>
      </w:r>
      <w:r w:rsidR="00F94C8E">
        <w:rPr>
          <w:rStyle w:val="FootnoteReference"/>
          <w:rFonts w:ascii="Times New Roman" w:hAnsi="Times New Roman" w:cs="Times New Roman"/>
          <w:sz w:val="24"/>
          <w:szCs w:val="24"/>
        </w:rPr>
        <w:footnoteReference w:id="104"/>
      </w:r>
      <w:r w:rsidR="007F5C25">
        <w:rPr>
          <w:rFonts w:ascii="Times New Roman" w:hAnsi="Times New Roman" w:cs="Times New Roman"/>
          <w:sz w:val="24"/>
          <w:szCs w:val="24"/>
        </w:rPr>
        <w:t xml:space="preserve"> The success of the household indeed rested or fell on the success of the partnership between the master and his wife.</w:t>
      </w:r>
    </w:p>
    <w:p w14:paraId="3E16322B" w14:textId="1E64F799" w:rsidR="00321023" w:rsidRDefault="007F5C25" w:rsidP="00FF640D">
      <w:pPr>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In thinking about the medieval art</w:t>
      </w:r>
      <w:r w:rsidR="003E5749">
        <w:rPr>
          <w:rFonts w:ascii="Times New Roman" w:hAnsi="Times New Roman" w:cs="Times New Roman"/>
          <w:sz w:val="24"/>
          <w:szCs w:val="24"/>
        </w:rPr>
        <w:t xml:space="preserve">isanal or mercantile house as </w:t>
      </w:r>
      <w:r>
        <w:rPr>
          <w:rFonts w:ascii="Times New Roman" w:hAnsi="Times New Roman" w:cs="Times New Roman"/>
          <w:sz w:val="24"/>
          <w:szCs w:val="24"/>
        </w:rPr>
        <w:t xml:space="preserve">home we introduce a </w:t>
      </w:r>
      <w:r w:rsidR="003E5749">
        <w:rPr>
          <w:rFonts w:ascii="Times New Roman" w:hAnsi="Times New Roman" w:cs="Times New Roman"/>
          <w:sz w:val="24"/>
          <w:szCs w:val="24"/>
        </w:rPr>
        <w:t xml:space="preserve">concept freighted with </w:t>
      </w:r>
      <w:r>
        <w:rPr>
          <w:rFonts w:ascii="Times New Roman" w:hAnsi="Times New Roman" w:cs="Times New Roman"/>
          <w:sz w:val="24"/>
          <w:szCs w:val="24"/>
        </w:rPr>
        <w:t>resonances</w:t>
      </w:r>
      <w:r w:rsidR="00D4593C">
        <w:rPr>
          <w:rFonts w:ascii="Times New Roman" w:hAnsi="Times New Roman" w:cs="Times New Roman"/>
          <w:sz w:val="24"/>
          <w:szCs w:val="24"/>
        </w:rPr>
        <w:t xml:space="preserve"> which are necessarily historically contingent. The late medieval usage of ‘home’</w:t>
      </w:r>
      <w:r w:rsidR="003E5749">
        <w:rPr>
          <w:rFonts w:ascii="Times New Roman" w:hAnsi="Times New Roman" w:cs="Times New Roman"/>
          <w:sz w:val="24"/>
          <w:szCs w:val="24"/>
        </w:rPr>
        <w:t xml:space="preserve"> tends to be to signify the place</w:t>
      </w:r>
      <w:r w:rsidR="00D4593C">
        <w:rPr>
          <w:rFonts w:ascii="Times New Roman" w:hAnsi="Times New Roman" w:cs="Times New Roman"/>
          <w:sz w:val="24"/>
          <w:szCs w:val="24"/>
        </w:rPr>
        <w:t xml:space="preserve"> a person – or even a thing – normally belongs. Some London churchwardens’ accounts record </w:t>
      </w:r>
      <w:r w:rsidR="00D4593C">
        <w:rPr>
          <w:rFonts w:ascii="Times New Roman" w:eastAsia="Times New Roman" w:hAnsi="Times New Roman" w:cs="Times New Roman"/>
          <w:color w:val="000000"/>
          <w:sz w:val="24"/>
          <w:szCs w:val="24"/>
          <w:lang w:eastAsia="en-GB"/>
        </w:rPr>
        <w:t>a payment</w:t>
      </w:r>
      <w:r w:rsidR="00D4593C" w:rsidRPr="00052FBD">
        <w:rPr>
          <w:rFonts w:ascii="Times New Roman" w:eastAsia="Times New Roman" w:hAnsi="Times New Roman" w:cs="Times New Roman"/>
          <w:color w:val="000000"/>
          <w:sz w:val="24"/>
          <w:szCs w:val="24"/>
          <w:lang w:eastAsia="en-GB"/>
        </w:rPr>
        <w:t xml:space="preserve"> </w:t>
      </w:r>
      <w:r w:rsidR="00D4593C">
        <w:rPr>
          <w:rFonts w:ascii="Times New Roman" w:eastAsia="Times New Roman" w:hAnsi="Times New Roman" w:cs="Times New Roman"/>
          <w:color w:val="000000"/>
          <w:sz w:val="24"/>
          <w:szCs w:val="24"/>
          <w:lang w:eastAsia="en-GB"/>
        </w:rPr>
        <w:t>‘</w:t>
      </w:r>
      <w:r w:rsidR="00D4593C" w:rsidRPr="00052FBD">
        <w:rPr>
          <w:rFonts w:ascii="Times New Roman" w:eastAsia="Times New Roman" w:hAnsi="Times New Roman" w:cs="Times New Roman"/>
          <w:color w:val="000000"/>
          <w:sz w:val="24"/>
          <w:szCs w:val="24"/>
          <w:lang w:eastAsia="en-GB"/>
        </w:rPr>
        <w:t xml:space="preserve">for </w:t>
      </w:r>
      <w:proofErr w:type="spellStart"/>
      <w:r w:rsidR="00D4593C" w:rsidRPr="00052FBD">
        <w:rPr>
          <w:rFonts w:ascii="Times New Roman" w:eastAsia="Times New Roman" w:hAnsi="Times New Roman" w:cs="Times New Roman"/>
          <w:color w:val="000000"/>
          <w:sz w:val="24"/>
          <w:szCs w:val="24"/>
          <w:lang w:eastAsia="en-GB"/>
        </w:rPr>
        <w:t>fecchyng</w:t>
      </w:r>
      <w:proofErr w:type="spellEnd"/>
      <w:r w:rsidR="00D4593C" w:rsidRPr="00052FBD">
        <w:rPr>
          <w:rFonts w:ascii="Times New Roman" w:eastAsia="Times New Roman" w:hAnsi="Times New Roman" w:cs="Times New Roman"/>
          <w:color w:val="000000"/>
          <w:sz w:val="24"/>
          <w:szCs w:val="24"/>
          <w:lang w:eastAsia="en-GB"/>
        </w:rPr>
        <w:t xml:space="preserve"> home of </w:t>
      </w:r>
      <w:proofErr w:type="spellStart"/>
      <w:r w:rsidR="00D4593C" w:rsidRPr="00052FBD">
        <w:rPr>
          <w:rFonts w:ascii="Times New Roman" w:eastAsia="Times New Roman" w:hAnsi="Times New Roman" w:cs="Times New Roman"/>
          <w:color w:val="000000"/>
          <w:sz w:val="24"/>
          <w:szCs w:val="24"/>
          <w:lang w:eastAsia="en-GB"/>
        </w:rPr>
        <w:t>þe</w:t>
      </w:r>
      <w:proofErr w:type="spellEnd"/>
      <w:r w:rsidR="00D4593C" w:rsidRPr="00052FBD">
        <w:rPr>
          <w:rFonts w:ascii="Times New Roman" w:eastAsia="Times New Roman" w:hAnsi="Times New Roman" w:cs="Times New Roman"/>
          <w:color w:val="000000"/>
          <w:sz w:val="24"/>
          <w:szCs w:val="24"/>
          <w:lang w:eastAsia="en-GB"/>
        </w:rPr>
        <w:t xml:space="preserve"> same </w:t>
      </w:r>
      <w:proofErr w:type="spellStart"/>
      <w:r w:rsidR="00D4593C" w:rsidRPr="00052FBD">
        <w:rPr>
          <w:rFonts w:ascii="Times New Roman" w:eastAsia="Times New Roman" w:hAnsi="Times New Roman" w:cs="Times New Roman"/>
          <w:color w:val="000000"/>
          <w:sz w:val="24"/>
          <w:szCs w:val="24"/>
          <w:lang w:eastAsia="en-GB"/>
        </w:rPr>
        <w:t>crosse</w:t>
      </w:r>
      <w:proofErr w:type="spellEnd"/>
      <w:r w:rsidR="00D4593C">
        <w:rPr>
          <w:rFonts w:ascii="Times New Roman" w:eastAsia="Times New Roman" w:hAnsi="Times New Roman" w:cs="Times New Roman"/>
          <w:color w:val="000000"/>
          <w:sz w:val="24"/>
          <w:szCs w:val="24"/>
          <w:lang w:eastAsia="en-GB"/>
        </w:rPr>
        <w:t>’, that is transporting a newly crafted cross to the church it was to be set up in.</w:t>
      </w:r>
      <w:r w:rsidR="00D4593C">
        <w:rPr>
          <w:rStyle w:val="FootnoteReference"/>
          <w:rFonts w:ascii="Times New Roman" w:eastAsia="Times New Roman" w:hAnsi="Times New Roman" w:cs="Times New Roman"/>
          <w:color w:val="000000"/>
          <w:sz w:val="24"/>
          <w:szCs w:val="24"/>
          <w:lang w:eastAsia="en-GB"/>
        </w:rPr>
        <w:footnoteReference w:id="105"/>
      </w:r>
      <w:r w:rsidR="00D4593C">
        <w:rPr>
          <w:rFonts w:ascii="Times New Roman" w:eastAsia="Times New Roman" w:hAnsi="Times New Roman" w:cs="Times New Roman"/>
          <w:color w:val="000000"/>
          <w:sz w:val="24"/>
          <w:szCs w:val="24"/>
          <w:lang w:eastAsia="en-GB"/>
        </w:rPr>
        <w:t xml:space="preserve"> The adverb ‘homely’ perhaps brings us closer to the emoti</w:t>
      </w:r>
      <w:r w:rsidR="006104ED">
        <w:rPr>
          <w:rFonts w:ascii="Times New Roman" w:eastAsia="Times New Roman" w:hAnsi="Times New Roman" w:cs="Times New Roman"/>
          <w:color w:val="000000"/>
          <w:sz w:val="24"/>
          <w:szCs w:val="24"/>
          <w:lang w:eastAsia="en-GB"/>
        </w:rPr>
        <w:t xml:space="preserve">onality we invest in home. </w:t>
      </w:r>
      <w:r w:rsidR="00D4593C">
        <w:rPr>
          <w:rFonts w:ascii="Times New Roman" w:eastAsia="Times New Roman" w:hAnsi="Times New Roman" w:cs="Times New Roman"/>
          <w:color w:val="000000"/>
          <w:sz w:val="24"/>
          <w:szCs w:val="24"/>
          <w:lang w:eastAsia="en-GB"/>
        </w:rPr>
        <w:t>Nicholas Love described Mary at the marriage feast in Cana as ‘</w:t>
      </w:r>
      <w:r w:rsidR="00D4593C" w:rsidRPr="00B938BD">
        <w:rPr>
          <w:rFonts w:ascii="Times New Roman" w:hAnsi="Times New Roman" w:cs="Times New Roman"/>
          <w:color w:val="000000"/>
          <w:sz w:val="24"/>
          <w:szCs w:val="24"/>
          <w:shd w:val="clear" w:color="auto" w:fill="FFFFFF"/>
        </w:rPr>
        <w:t xml:space="preserve">homely as in </w:t>
      </w:r>
      <w:proofErr w:type="spellStart"/>
      <w:r w:rsidR="00D4593C" w:rsidRPr="00B938BD">
        <w:rPr>
          <w:rFonts w:ascii="Times New Roman" w:hAnsi="Times New Roman" w:cs="Times New Roman"/>
          <w:color w:val="000000"/>
          <w:sz w:val="24"/>
          <w:szCs w:val="24"/>
          <w:shd w:val="clear" w:color="auto" w:fill="FFFFFF"/>
        </w:rPr>
        <w:t>hir</w:t>
      </w:r>
      <w:proofErr w:type="spellEnd"/>
      <w:r w:rsidR="00D4593C" w:rsidRPr="00B938BD">
        <w:rPr>
          <w:rFonts w:ascii="Times New Roman" w:hAnsi="Times New Roman" w:cs="Times New Roman"/>
          <w:color w:val="000000"/>
          <w:sz w:val="24"/>
          <w:szCs w:val="24"/>
          <w:shd w:val="clear" w:color="auto" w:fill="FFFFFF"/>
        </w:rPr>
        <w:t xml:space="preserve"> </w:t>
      </w:r>
      <w:proofErr w:type="spellStart"/>
      <w:r w:rsidR="00D4593C">
        <w:rPr>
          <w:rFonts w:ascii="Times New Roman" w:hAnsi="Times New Roman" w:cs="Times New Roman"/>
          <w:color w:val="000000"/>
          <w:sz w:val="24"/>
          <w:szCs w:val="24"/>
          <w:shd w:val="clear" w:color="auto" w:fill="FFFFFF"/>
        </w:rPr>
        <w:t>owne</w:t>
      </w:r>
      <w:proofErr w:type="spellEnd"/>
      <w:r w:rsidR="00D4593C">
        <w:rPr>
          <w:rFonts w:ascii="Times New Roman" w:hAnsi="Times New Roman" w:cs="Times New Roman"/>
          <w:color w:val="000000"/>
          <w:sz w:val="24"/>
          <w:szCs w:val="24"/>
          <w:shd w:val="clear" w:color="auto" w:fill="FFFFFF"/>
        </w:rPr>
        <w:t xml:space="preserve"> </w:t>
      </w:r>
      <w:proofErr w:type="spellStart"/>
      <w:r w:rsidR="00D4593C">
        <w:rPr>
          <w:rFonts w:ascii="Times New Roman" w:hAnsi="Times New Roman" w:cs="Times New Roman"/>
          <w:color w:val="000000"/>
          <w:sz w:val="24"/>
          <w:szCs w:val="24"/>
          <w:shd w:val="clear" w:color="auto" w:fill="FFFFFF"/>
        </w:rPr>
        <w:t>hous</w:t>
      </w:r>
      <w:proofErr w:type="spellEnd"/>
      <w:r w:rsidR="00D4593C">
        <w:rPr>
          <w:rFonts w:ascii="Times New Roman" w:hAnsi="Times New Roman" w:cs="Times New Roman"/>
          <w:color w:val="000000"/>
          <w:sz w:val="24"/>
          <w:szCs w:val="24"/>
          <w:shd w:val="clear" w:color="auto" w:fill="FFFFFF"/>
        </w:rPr>
        <w:t xml:space="preserve"> / </w:t>
      </w:r>
      <w:proofErr w:type="spellStart"/>
      <w:r w:rsidR="00D4593C">
        <w:rPr>
          <w:rFonts w:ascii="Times New Roman" w:hAnsi="Times New Roman" w:cs="Times New Roman"/>
          <w:color w:val="000000"/>
          <w:sz w:val="24"/>
          <w:szCs w:val="24"/>
          <w:shd w:val="clear" w:color="auto" w:fill="FFFFFF"/>
        </w:rPr>
        <w:t>ordeynynge</w:t>
      </w:r>
      <w:proofErr w:type="spellEnd"/>
      <w:r w:rsidR="00D4593C">
        <w:rPr>
          <w:rFonts w:ascii="Times New Roman" w:hAnsi="Times New Roman" w:cs="Times New Roman"/>
          <w:color w:val="000000"/>
          <w:sz w:val="24"/>
          <w:szCs w:val="24"/>
          <w:shd w:val="clear" w:color="auto" w:fill="FFFFFF"/>
        </w:rPr>
        <w:t xml:space="preserve"> and </w:t>
      </w:r>
      <w:proofErr w:type="spellStart"/>
      <w:r w:rsidR="00D4593C">
        <w:rPr>
          <w:rFonts w:ascii="Times New Roman" w:hAnsi="Times New Roman" w:cs="Times New Roman"/>
          <w:color w:val="000000"/>
          <w:sz w:val="24"/>
          <w:szCs w:val="24"/>
          <w:shd w:val="clear" w:color="auto" w:fill="FFFFFF"/>
        </w:rPr>
        <w:t>mynistrynge</w:t>
      </w:r>
      <w:proofErr w:type="spellEnd"/>
      <w:r w:rsidR="00D4593C">
        <w:rPr>
          <w:rFonts w:ascii="Times New Roman" w:hAnsi="Times New Roman" w:cs="Times New Roman"/>
          <w:color w:val="000000"/>
          <w:sz w:val="24"/>
          <w:szCs w:val="24"/>
          <w:shd w:val="clear" w:color="auto" w:fill="FFFFFF"/>
        </w:rPr>
        <w:t xml:space="preserve"> as </w:t>
      </w:r>
      <w:proofErr w:type="spellStart"/>
      <w:r w:rsidR="00D4593C">
        <w:rPr>
          <w:rFonts w:ascii="Times New Roman" w:hAnsi="Times New Roman" w:cs="Times New Roman"/>
          <w:color w:val="000000"/>
          <w:sz w:val="24"/>
          <w:szCs w:val="24"/>
          <w:shd w:val="clear" w:color="auto" w:fill="FFFFFF"/>
        </w:rPr>
        <w:t>maistress</w:t>
      </w:r>
      <w:r w:rsidR="00D4593C" w:rsidRPr="00B938BD">
        <w:rPr>
          <w:rFonts w:ascii="Times New Roman" w:hAnsi="Times New Roman" w:cs="Times New Roman"/>
          <w:color w:val="000000"/>
          <w:sz w:val="24"/>
          <w:szCs w:val="24"/>
          <w:shd w:val="clear" w:color="auto" w:fill="FFFFFF"/>
        </w:rPr>
        <w:t>e</w:t>
      </w:r>
      <w:proofErr w:type="spellEnd"/>
      <w:r w:rsidR="00D4593C" w:rsidRPr="00B938BD">
        <w:rPr>
          <w:rFonts w:ascii="Times New Roman" w:hAnsi="Times New Roman" w:cs="Times New Roman"/>
          <w:color w:val="000000"/>
          <w:sz w:val="24"/>
          <w:szCs w:val="24"/>
          <w:shd w:val="clear" w:color="auto" w:fill="FFFFFF"/>
        </w:rPr>
        <w:t xml:space="preserve"> </w:t>
      </w:r>
      <w:proofErr w:type="spellStart"/>
      <w:r w:rsidR="00D4593C" w:rsidRPr="00B938BD">
        <w:rPr>
          <w:rFonts w:ascii="Times New Roman" w:hAnsi="Times New Roman" w:cs="Times New Roman"/>
          <w:color w:val="000000"/>
          <w:sz w:val="24"/>
          <w:szCs w:val="24"/>
          <w:shd w:val="clear" w:color="auto" w:fill="FFFFFF"/>
        </w:rPr>
        <w:t>therof</w:t>
      </w:r>
      <w:proofErr w:type="spellEnd"/>
      <w:r w:rsidR="00D4593C">
        <w:rPr>
          <w:rFonts w:ascii="Times New Roman" w:hAnsi="Times New Roman" w:cs="Times New Roman"/>
          <w:color w:val="000000"/>
          <w:sz w:val="24"/>
          <w:szCs w:val="24"/>
          <w:shd w:val="clear" w:color="auto" w:fill="FFFFFF"/>
        </w:rPr>
        <w:t>’.</w:t>
      </w:r>
      <w:r w:rsidR="00D4593C">
        <w:rPr>
          <w:rStyle w:val="FootnoteReference"/>
          <w:rFonts w:ascii="Times New Roman" w:hAnsi="Times New Roman" w:cs="Times New Roman"/>
          <w:color w:val="000000"/>
          <w:sz w:val="24"/>
          <w:szCs w:val="24"/>
          <w:shd w:val="clear" w:color="auto" w:fill="FFFFFF"/>
        </w:rPr>
        <w:footnoteReference w:id="106"/>
      </w:r>
      <w:r w:rsidR="00CA7681">
        <w:rPr>
          <w:rFonts w:ascii="Times New Roman" w:hAnsi="Times New Roman" w:cs="Times New Roman"/>
          <w:color w:val="000000"/>
          <w:sz w:val="24"/>
          <w:szCs w:val="24"/>
          <w:shd w:val="clear" w:color="auto" w:fill="FFFFFF"/>
        </w:rPr>
        <w:t xml:space="preserve"> The bourgeois house frequently provided the couple who stood as master and mistress over th</w:t>
      </w:r>
      <w:r w:rsidR="006104ED">
        <w:rPr>
          <w:rFonts w:ascii="Times New Roman" w:hAnsi="Times New Roman" w:cs="Times New Roman"/>
          <w:color w:val="000000"/>
          <w:sz w:val="24"/>
          <w:szCs w:val="24"/>
          <w:shd w:val="clear" w:color="auto" w:fill="FFFFFF"/>
        </w:rPr>
        <w:t xml:space="preserve">eir households with </w:t>
      </w:r>
      <w:r w:rsidR="00CA7681">
        <w:rPr>
          <w:rFonts w:ascii="Times New Roman" w:hAnsi="Times New Roman" w:cs="Times New Roman"/>
          <w:color w:val="000000"/>
          <w:sz w:val="24"/>
          <w:szCs w:val="24"/>
          <w:shd w:val="clear" w:color="auto" w:fill="FFFFFF"/>
        </w:rPr>
        <w:t xml:space="preserve">a degree of stability of tenure that many, perhaps most other residents lacked. It was a space that couples </w:t>
      </w:r>
      <w:r w:rsidR="00CA7681">
        <w:rPr>
          <w:rFonts w:ascii="Times New Roman" w:hAnsi="Times New Roman" w:cs="Times New Roman"/>
          <w:color w:val="000000"/>
          <w:sz w:val="24"/>
          <w:szCs w:val="24"/>
          <w:shd w:val="clear" w:color="auto" w:fill="FFFFFF"/>
        </w:rPr>
        <w:lastRenderedPageBreak/>
        <w:t xml:space="preserve">invested in, buying furniture and furnishings, wall hangings, beds and bedding, kitchen utensils, silver spoons, and increasingly over our period pewter plates. These possessions were designed to create an attractive and comfortable environment. Wives took pride in managing </w:t>
      </w:r>
      <w:r w:rsidR="003606F1">
        <w:rPr>
          <w:rFonts w:ascii="Times New Roman" w:hAnsi="Times New Roman" w:cs="Times New Roman"/>
          <w:color w:val="000000"/>
          <w:sz w:val="24"/>
          <w:szCs w:val="24"/>
          <w:shd w:val="clear" w:color="auto" w:fill="FFFFFF"/>
        </w:rPr>
        <w:t xml:space="preserve">such </w:t>
      </w:r>
      <w:r w:rsidR="00CA7681">
        <w:rPr>
          <w:rFonts w:ascii="Times New Roman" w:hAnsi="Times New Roman" w:cs="Times New Roman"/>
          <w:color w:val="000000"/>
          <w:sz w:val="24"/>
          <w:szCs w:val="24"/>
          <w:shd w:val="clear" w:color="auto" w:fill="FFFFFF"/>
        </w:rPr>
        <w:t xml:space="preserve">possessions and itemising them in their wills. </w:t>
      </w:r>
      <w:r w:rsidR="00F225C6">
        <w:rPr>
          <w:rFonts w:ascii="Times New Roman" w:hAnsi="Times New Roman" w:cs="Times New Roman"/>
          <w:color w:val="000000"/>
          <w:sz w:val="24"/>
          <w:szCs w:val="24"/>
          <w:shd w:val="clear" w:color="auto" w:fill="FFFFFF"/>
        </w:rPr>
        <w:t>Their contribution to family economy and even their direct earning through brewing</w:t>
      </w:r>
      <w:r w:rsidR="006104ED">
        <w:rPr>
          <w:rFonts w:ascii="Times New Roman" w:hAnsi="Times New Roman" w:cs="Times New Roman"/>
          <w:color w:val="000000"/>
          <w:sz w:val="24"/>
          <w:szCs w:val="24"/>
          <w:shd w:val="clear" w:color="auto" w:fill="FFFFFF"/>
        </w:rPr>
        <w:t>, spinning and the like may</w:t>
      </w:r>
      <w:r w:rsidR="00F225C6">
        <w:rPr>
          <w:rFonts w:ascii="Times New Roman" w:hAnsi="Times New Roman" w:cs="Times New Roman"/>
          <w:color w:val="000000"/>
          <w:sz w:val="24"/>
          <w:szCs w:val="24"/>
          <w:shd w:val="clear" w:color="auto" w:fill="FFFFFF"/>
        </w:rPr>
        <w:t xml:space="preserve"> have allowed them some voice in purchasing priorities.</w:t>
      </w:r>
      <w:r w:rsidR="00F225C6">
        <w:rPr>
          <w:rStyle w:val="FootnoteReference"/>
          <w:rFonts w:ascii="Times New Roman" w:hAnsi="Times New Roman" w:cs="Times New Roman"/>
          <w:color w:val="000000"/>
          <w:sz w:val="24"/>
          <w:szCs w:val="24"/>
          <w:shd w:val="clear" w:color="auto" w:fill="FFFFFF"/>
        </w:rPr>
        <w:footnoteReference w:id="107"/>
      </w:r>
      <w:r w:rsidR="00F225C6">
        <w:rPr>
          <w:rFonts w:ascii="Times New Roman" w:hAnsi="Times New Roman" w:cs="Times New Roman"/>
          <w:color w:val="000000"/>
          <w:sz w:val="24"/>
          <w:szCs w:val="24"/>
          <w:shd w:val="clear" w:color="auto" w:fill="FFFFFF"/>
        </w:rPr>
        <w:t xml:space="preserve"> Work was done to make houses homely. Women</w:t>
      </w:r>
      <w:r w:rsidR="006104ED">
        <w:rPr>
          <w:rFonts w:ascii="Times New Roman" w:hAnsi="Times New Roman" w:cs="Times New Roman"/>
          <w:color w:val="000000"/>
          <w:sz w:val="24"/>
          <w:szCs w:val="24"/>
          <w:shd w:val="clear" w:color="auto" w:fill="FFFFFF"/>
        </w:rPr>
        <w:t xml:space="preserve"> servants helped </w:t>
      </w:r>
      <w:r w:rsidR="00F225C6">
        <w:rPr>
          <w:rFonts w:ascii="Times New Roman" w:hAnsi="Times New Roman" w:cs="Times New Roman"/>
          <w:color w:val="000000"/>
          <w:sz w:val="24"/>
          <w:szCs w:val="24"/>
          <w:shd w:val="clear" w:color="auto" w:fill="FFFFFF"/>
        </w:rPr>
        <w:t>clean, washed up after meals, fetched candles, lighted fires, served at table, did shopping, ran errands. Wives managed. Good housekeeping was a virtue.</w:t>
      </w:r>
      <w:r w:rsidR="00970818">
        <w:rPr>
          <w:rStyle w:val="FootnoteReference"/>
          <w:rFonts w:ascii="Times New Roman" w:hAnsi="Times New Roman" w:cs="Times New Roman"/>
          <w:color w:val="000000"/>
          <w:sz w:val="24"/>
          <w:szCs w:val="24"/>
          <w:shd w:val="clear" w:color="auto" w:fill="FFFFFF"/>
        </w:rPr>
        <w:footnoteReference w:id="108"/>
      </w:r>
      <w:r w:rsidR="00F225C6">
        <w:rPr>
          <w:rFonts w:ascii="Times New Roman" w:hAnsi="Times New Roman" w:cs="Times New Roman"/>
          <w:color w:val="000000"/>
          <w:sz w:val="24"/>
          <w:szCs w:val="24"/>
          <w:shd w:val="clear" w:color="auto" w:fill="FFFFFF"/>
        </w:rPr>
        <w:t xml:space="preserve"> </w:t>
      </w:r>
      <w:r w:rsidR="00CA7681">
        <w:rPr>
          <w:rFonts w:ascii="Times New Roman" w:hAnsi="Times New Roman" w:cs="Times New Roman"/>
          <w:color w:val="000000"/>
          <w:sz w:val="24"/>
          <w:szCs w:val="24"/>
          <w:shd w:val="clear" w:color="auto" w:fill="FFFFFF"/>
        </w:rPr>
        <w:t xml:space="preserve">We may not have the cult of the domestic such as has been vividly described </w:t>
      </w:r>
      <w:r w:rsidR="00321023">
        <w:rPr>
          <w:rFonts w:ascii="Times New Roman" w:hAnsi="Times New Roman" w:cs="Times New Roman"/>
          <w:color w:val="000000"/>
          <w:sz w:val="24"/>
          <w:szCs w:val="24"/>
          <w:shd w:val="clear" w:color="auto" w:fill="FFFFFF"/>
        </w:rPr>
        <w:t xml:space="preserve">of the bourgeoisie </w:t>
      </w:r>
      <w:r w:rsidR="00CA7681">
        <w:rPr>
          <w:rFonts w:ascii="Times New Roman" w:hAnsi="Times New Roman" w:cs="Times New Roman"/>
          <w:color w:val="000000"/>
          <w:sz w:val="24"/>
          <w:szCs w:val="24"/>
          <w:shd w:val="clear" w:color="auto" w:fill="FFFFFF"/>
        </w:rPr>
        <w:t>in the nineteen</w:t>
      </w:r>
      <w:r w:rsidR="00321023">
        <w:rPr>
          <w:rFonts w:ascii="Times New Roman" w:hAnsi="Times New Roman" w:cs="Times New Roman"/>
          <w:color w:val="000000"/>
          <w:sz w:val="24"/>
          <w:szCs w:val="24"/>
          <w:shd w:val="clear" w:color="auto" w:fill="FFFFFF"/>
        </w:rPr>
        <w:t xml:space="preserve">th-century </w:t>
      </w:r>
      <w:proofErr w:type="spellStart"/>
      <w:r w:rsidR="00321023">
        <w:rPr>
          <w:rFonts w:ascii="Times New Roman" w:hAnsi="Times New Roman" w:cs="Times New Roman"/>
          <w:color w:val="000000"/>
          <w:sz w:val="24"/>
          <w:szCs w:val="24"/>
          <w:shd w:val="clear" w:color="auto" w:fill="FFFFFF"/>
        </w:rPr>
        <w:t>Bürgert</w:t>
      </w:r>
      <w:r w:rsidR="00CA7681">
        <w:rPr>
          <w:rFonts w:ascii="Times New Roman" w:hAnsi="Times New Roman" w:cs="Times New Roman"/>
          <w:color w:val="000000"/>
          <w:sz w:val="24"/>
          <w:szCs w:val="24"/>
          <w:shd w:val="clear" w:color="auto" w:fill="FFFFFF"/>
        </w:rPr>
        <w:t>um</w:t>
      </w:r>
      <w:proofErr w:type="spellEnd"/>
      <w:r w:rsidR="00321023">
        <w:rPr>
          <w:rFonts w:ascii="Times New Roman" w:hAnsi="Times New Roman" w:cs="Times New Roman"/>
          <w:color w:val="000000"/>
          <w:sz w:val="24"/>
          <w:szCs w:val="24"/>
          <w:shd w:val="clear" w:color="auto" w:fill="FFFFFF"/>
        </w:rPr>
        <w:t>, but at play were similar processes of using material culture to signify a settled and secure identit</w:t>
      </w:r>
      <w:r w:rsidR="00A1747C">
        <w:rPr>
          <w:rFonts w:ascii="Times New Roman" w:hAnsi="Times New Roman" w:cs="Times New Roman"/>
          <w:color w:val="000000"/>
          <w:sz w:val="24"/>
          <w:szCs w:val="24"/>
          <w:shd w:val="clear" w:color="auto" w:fill="FFFFFF"/>
        </w:rPr>
        <w:t>y that belies the fact that most</w:t>
      </w:r>
      <w:r w:rsidR="00321023">
        <w:rPr>
          <w:rFonts w:ascii="Times New Roman" w:hAnsi="Times New Roman" w:cs="Times New Roman"/>
          <w:color w:val="000000"/>
          <w:sz w:val="24"/>
          <w:szCs w:val="24"/>
          <w:shd w:val="clear" w:color="auto" w:fill="FFFFFF"/>
        </w:rPr>
        <w:t xml:space="preserve"> citizens were of migrant stock and family lines seem often to have been short-lived.</w:t>
      </w:r>
      <w:r w:rsidR="00321023">
        <w:rPr>
          <w:rStyle w:val="FootnoteReference"/>
          <w:rFonts w:ascii="Times New Roman" w:hAnsi="Times New Roman" w:cs="Times New Roman"/>
          <w:color w:val="000000"/>
          <w:sz w:val="24"/>
          <w:szCs w:val="24"/>
          <w:shd w:val="clear" w:color="auto" w:fill="FFFFFF"/>
        </w:rPr>
        <w:footnoteReference w:id="109"/>
      </w:r>
      <w:r w:rsidR="00321023">
        <w:rPr>
          <w:rFonts w:ascii="Times New Roman" w:hAnsi="Times New Roman" w:cs="Times New Roman"/>
          <w:color w:val="000000"/>
          <w:sz w:val="24"/>
          <w:szCs w:val="24"/>
          <w:shd w:val="clear" w:color="auto" w:fill="FFFFFF"/>
        </w:rPr>
        <w:t xml:space="preserve"> </w:t>
      </w:r>
    </w:p>
    <w:p w14:paraId="748F7528" w14:textId="64A93748" w:rsidR="00173331" w:rsidRDefault="00A1747C" w:rsidP="00F225C6">
      <w:pPr>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Our analysis suggests</w:t>
      </w:r>
      <w:r w:rsidR="007777A6">
        <w:rPr>
          <w:rFonts w:ascii="Times New Roman" w:hAnsi="Times New Roman" w:cs="Times New Roman"/>
          <w:color w:val="000000"/>
          <w:sz w:val="24"/>
          <w:szCs w:val="24"/>
          <w:shd w:val="clear" w:color="auto" w:fill="FFFFFF"/>
        </w:rPr>
        <w:t xml:space="preserve"> three broad element</w:t>
      </w:r>
      <w:r w:rsidR="00F225C6">
        <w:rPr>
          <w:rFonts w:ascii="Times New Roman" w:hAnsi="Times New Roman" w:cs="Times New Roman"/>
          <w:color w:val="000000"/>
          <w:sz w:val="24"/>
          <w:szCs w:val="24"/>
          <w:shd w:val="clear" w:color="auto" w:fill="FFFFFF"/>
        </w:rPr>
        <w:t>s of the house characterised by different power and gender dynamics, associated with different h</w:t>
      </w:r>
      <w:r>
        <w:rPr>
          <w:rFonts w:ascii="Times New Roman" w:hAnsi="Times New Roman" w:cs="Times New Roman"/>
          <w:color w:val="000000"/>
          <w:sz w:val="24"/>
          <w:szCs w:val="24"/>
          <w:shd w:val="clear" w:color="auto" w:fill="FFFFFF"/>
        </w:rPr>
        <w:t>ousehold members, and with</w:t>
      </w:r>
      <w:r w:rsidR="00F225C6">
        <w:rPr>
          <w:rFonts w:ascii="Times New Roman" w:hAnsi="Times New Roman" w:cs="Times New Roman"/>
          <w:color w:val="000000"/>
          <w:sz w:val="24"/>
          <w:szCs w:val="24"/>
          <w:shd w:val="clear" w:color="auto" w:fill="FFFFFF"/>
        </w:rPr>
        <w:t xml:space="preserve"> differing levels of privacy and intimacy. The first, t</w:t>
      </w:r>
      <w:r w:rsidR="00321023">
        <w:rPr>
          <w:rFonts w:ascii="Times New Roman" w:hAnsi="Times New Roman" w:cs="Times New Roman"/>
          <w:color w:val="000000"/>
          <w:sz w:val="24"/>
          <w:szCs w:val="24"/>
          <w:shd w:val="clear" w:color="auto" w:fill="FFFFFF"/>
        </w:rPr>
        <w:t>he shop</w:t>
      </w:r>
      <w:r>
        <w:rPr>
          <w:rFonts w:ascii="Times New Roman" w:hAnsi="Times New Roman" w:cs="Times New Roman"/>
          <w:color w:val="000000"/>
          <w:sz w:val="24"/>
          <w:szCs w:val="24"/>
          <w:shd w:val="clear" w:color="auto" w:fill="FFFFFF"/>
        </w:rPr>
        <w:t xml:space="preserve"> or workshop, though </w:t>
      </w:r>
      <w:r w:rsidR="00321023">
        <w:rPr>
          <w:rFonts w:ascii="Times New Roman" w:hAnsi="Times New Roman" w:cs="Times New Roman"/>
          <w:color w:val="000000"/>
          <w:sz w:val="24"/>
          <w:szCs w:val="24"/>
          <w:shd w:val="clear" w:color="auto" w:fill="FFFFFF"/>
        </w:rPr>
        <w:t xml:space="preserve">integral to the identity and economic success of the householder and his wife and physically </w:t>
      </w:r>
      <w:r>
        <w:rPr>
          <w:rFonts w:ascii="Times New Roman" w:hAnsi="Times New Roman" w:cs="Times New Roman"/>
          <w:color w:val="000000"/>
          <w:sz w:val="24"/>
          <w:szCs w:val="24"/>
          <w:shd w:val="clear" w:color="auto" w:fill="FFFFFF"/>
        </w:rPr>
        <w:t xml:space="preserve">part of the house, </w:t>
      </w:r>
      <w:r w:rsidR="00321023">
        <w:rPr>
          <w:rFonts w:ascii="Times New Roman" w:hAnsi="Times New Roman" w:cs="Times New Roman"/>
          <w:color w:val="000000"/>
          <w:sz w:val="24"/>
          <w:szCs w:val="24"/>
          <w:shd w:val="clear" w:color="auto" w:fill="FFFFFF"/>
        </w:rPr>
        <w:t xml:space="preserve">represents a distinct </w:t>
      </w:r>
      <w:r>
        <w:rPr>
          <w:rFonts w:ascii="Times New Roman" w:hAnsi="Times New Roman" w:cs="Times New Roman"/>
          <w:color w:val="000000"/>
          <w:sz w:val="24"/>
          <w:szCs w:val="24"/>
          <w:shd w:val="clear" w:color="auto" w:fill="FFFFFF"/>
        </w:rPr>
        <w:t xml:space="preserve">spatial element. This </w:t>
      </w:r>
      <w:r w:rsidR="00321023">
        <w:rPr>
          <w:rFonts w:ascii="Times New Roman" w:hAnsi="Times New Roman" w:cs="Times New Roman"/>
          <w:color w:val="000000"/>
          <w:sz w:val="24"/>
          <w:szCs w:val="24"/>
          <w:shd w:val="clear" w:color="auto" w:fill="FFFFFF"/>
        </w:rPr>
        <w:t xml:space="preserve">was </w:t>
      </w:r>
      <w:r w:rsidR="00F8598A">
        <w:rPr>
          <w:rFonts w:ascii="Times New Roman" w:hAnsi="Times New Roman" w:cs="Times New Roman"/>
          <w:color w:val="000000"/>
          <w:sz w:val="24"/>
          <w:szCs w:val="24"/>
          <w:shd w:val="clear" w:color="auto" w:fill="FFFFFF"/>
        </w:rPr>
        <w:t>in some ways the realm of the apprentice, who might sleep in the shop at night. During the day the shop was open to the public. Conversations were held through the window. Passers-by could look in and see who was present and what was going on. T</w:t>
      </w:r>
      <w:r w:rsidR="00F225C6">
        <w:rPr>
          <w:rFonts w:ascii="Times New Roman" w:hAnsi="Times New Roman" w:cs="Times New Roman"/>
          <w:color w:val="000000"/>
          <w:sz w:val="24"/>
          <w:szCs w:val="24"/>
          <w:shd w:val="clear" w:color="auto" w:fill="FFFFFF"/>
        </w:rPr>
        <w:t>he second, t</w:t>
      </w:r>
      <w:r w:rsidR="00F8598A">
        <w:rPr>
          <w:rFonts w:ascii="Times New Roman" w:hAnsi="Times New Roman" w:cs="Times New Roman"/>
          <w:color w:val="000000"/>
          <w:sz w:val="24"/>
          <w:szCs w:val="24"/>
          <w:shd w:val="clear" w:color="auto" w:fill="FFFFFF"/>
        </w:rPr>
        <w:t>he hall, the kitchen, the parlour or summer ha</w:t>
      </w:r>
      <w:r>
        <w:rPr>
          <w:rFonts w:ascii="Times New Roman" w:hAnsi="Times New Roman" w:cs="Times New Roman"/>
          <w:color w:val="000000"/>
          <w:sz w:val="24"/>
          <w:szCs w:val="24"/>
          <w:shd w:val="clear" w:color="auto" w:fill="FFFFFF"/>
        </w:rPr>
        <w:t>ll were less readily visible or</w:t>
      </w:r>
      <w:r w:rsidR="00F8598A">
        <w:rPr>
          <w:rFonts w:ascii="Times New Roman" w:hAnsi="Times New Roman" w:cs="Times New Roman"/>
          <w:color w:val="000000"/>
          <w:sz w:val="24"/>
          <w:szCs w:val="24"/>
          <w:shd w:val="clear" w:color="auto" w:fill="FFFFFF"/>
        </w:rPr>
        <w:t xml:space="preserve"> accessible. The mistress of the house</w:t>
      </w:r>
      <w:r>
        <w:rPr>
          <w:rFonts w:ascii="Times New Roman" w:hAnsi="Times New Roman" w:cs="Times New Roman"/>
          <w:color w:val="000000"/>
          <w:sz w:val="24"/>
          <w:szCs w:val="24"/>
          <w:shd w:val="clear" w:color="auto" w:fill="FFFFFF"/>
        </w:rPr>
        <w:t xml:space="preserve"> presided over housekeeping, directing</w:t>
      </w:r>
      <w:r w:rsidR="00F8598A">
        <w:rPr>
          <w:rFonts w:ascii="Times New Roman" w:hAnsi="Times New Roman" w:cs="Times New Roman"/>
          <w:color w:val="000000"/>
          <w:sz w:val="24"/>
          <w:szCs w:val="24"/>
          <w:shd w:val="clear" w:color="auto" w:fill="FFFFFF"/>
        </w:rPr>
        <w:t xml:space="preserve"> the woman servant or servants to assist at preparing meals, to serve at table, to wash the dishes, to keep the floors and the table linen clean, to see to the fire and the lighting of candles. </w:t>
      </w:r>
      <w:r w:rsidR="00F8350E">
        <w:rPr>
          <w:rFonts w:ascii="Times New Roman" w:hAnsi="Times New Roman" w:cs="Times New Roman"/>
          <w:color w:val="000000"/>
          <w:sz w:val="24"/>
          <w:szCs w:val="24"/>
          <w:shd w:val="clear" w:color="auto" w:fill="FFFFFF"/>
        </w:rPr>
        <w:t>During much of the day the hall was proba</w:t>
      </w:r>
      <w:r>
        <w:rPr>
          <w:rFonts w:ascii="Times New Roman" w:hAnsi="Times New Roman" w:cs="Times New Roman"/>
          <w:color w:val="000000"/>
          <w:sz w:val="24"/>
          <w:szCs w:val="24"/>
          <w:shd w:val="clear" w:color="auto" w:fill="FFFFFF"/>
        </w:rPr>
        <w:t>bly the mistress’s domain. I</w:t>
      </w:r>
      <w:r w:rsidR="00F8350E">
        <w:rPr>
          <w:rFonts w:ascii="Times New Roman" w:hAnsi="Times New Roman" w:cs="Times New Roman"/>
          <w:color w:val="000000"/>
          <w:sz w:val="24"/>
          <w:szCs w:val="24"/>
          <w:shd w:val="clear" w:color="auto" w:fill="FFFFFF"/>
        </w:rPr>
        <w:t xml:space="preserve">n the evening and at meal times her husband would have the principle seat and would host </w:t>
      </w:r>
      <w:r w:rsidR="00173331">
        <w:rPr>
          <w:rFonts w:ascii="Times New Roman" w:hAnsi="Times New Roman" w:cs="Times New Roman"/>
          <w:color w:val="000000"/>
          <w:sz w:val="24"/>
          <w:szCs w:val="24"/>
          <w:shd w:val="clear" w:color="auto" w:fill="FFFFFF"/>
        </w:rPr>
        <w:t>any guests at dinner.</w:t>
      </w:r>
      <w:r w:rsidR="00390730">
        <w:rPr>
          <w:rStyle w:val="FootnoteReference"/>
          <w:rFonts w:ascii="Times New Roman" w:hAnsi="Times New Roman" w:cs="Times New Roman"/>
          <w:color w:val="000000"/>
          <w:sz w:val="24"/>
          <w:szCs w:val="24"/>
          <w:shd w:val="clear" w:color="auto" w:fill="FFFFFF"/>
        </w:rPr>
        <w:footnoteReference w:id="110"/>
      </w:r>
      <w:r w:rsidR="00173331">
        <w:rPr>
          <w:rFonts w:ascii="Times New Roman" w:hAnsi="Times New Roman" w:cs="Times New Roman"/>
          <w:color w:val="000000"/>
          <w:sz w:val="24"/>
          <w:szCs w:val="24"/>
          <w:shd w:val="clear" w:color="auto" w:fill="FFFFFF"/>
        </w:rPr>
        <w:t xml:space="preserve"> </w:t>
      </w:r>
    </w:p>
    <w:p w14:paraId="3E8E820F" w14:textId="23DDD0DC" w:rsidR="00451510" w:rsidRDefault="00586A7C" w:rsidP="00FF640D">
      <w:pPr>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F225C6">
        <w:rPr>
          <w:rFonts w:ascii="Times New Roman" w:hAnsi="Times New Roman" w:cs="Times New Roman"/>
          <w:color w:val="000000"/>
          <w:sz w:val="24"/>
          <w:szCs w:val="24"/>
          <w:shd w:val="clear" w:color="auto" w:fill="FFFFFF"/>
        </w:rPr>
        <w:t xml:space="preserve">he final space of </w:t>
      </w:r>
      <w:r>
        <w:rPr>
          <w:rFonts w:ascii="Times New Roman" w:hAnsi="Times New Roman" w:cs="Times New Roman"/>
          <w:color w:val="000000"/>
          <w:sz w:val="24"/>
          <w:szCs w:val="24"/>
          <w:shd w:val="clear" w:color="auto" w:fill="FFFFFF"/>
        </w:rPr>
        <w:t>the chamber offered</w:t>
      </w:r>
      <w:r w:rsidR="00173331">
        <w:rPr>
          <w:rFonts w:ascii="Times New Roman" w:hAnsi="Times New Roman" w:cs="Times New Roman"/>
          <w:color w:val="000000"/>
          <w:sz w:val="24"/>
          <w:szCs w:val="24"/>
          <w:shd w:val="clear" w:color="auto" w:fill="FFFFFF"/>
        </w:rPr>
        <w:t xml:space="preserve"> a rather higher degree of privacy a</w:t>
      </w:r>
      <w:r>
        <w:rPr>
          <w:rFonts w:ascii="Times New Roman" w:hAnsi="Times New Roman" w:cs="Times New Roman"/>
          <w:color w:val="000000"/>
          <w:sz w:val="24"/>
          <w:szCs w:val="24"/>
          <w:shd w:val="clear" w:color="auto" w:fill="FFFFFF"/>
        </w:rPr>
        <w:t xml:space="preserve">nd indeed intimacy </w:t>
      </w:r>
      <w:r w:rsidR="00173331">
        <w:rPr>
          <w:rFonts w:ascii="Times New Roman" w:hAnsi="Times New Roman" w:cs="Times New Roman"/>
          <w:color w:val="000000"/>
          <w:sz w:val="24"/>
          <w:szCs w:val="24"/>
          <w:shd w:val="clear" w:color="auto" w:fill="FFFFFF"/>
        </w:rPr>
        <w:t xml:space="preserve">for the householder and his wife. Probate evidence suggests that the principle </w:t>
      </w:r>
      <w:r w:rsidR="00173331">
        <w:rPr>
          <w:rFonts w:ascii="Times New Roman" w:hAnsi="Times New Roman" w:cs="Times New Roman"/>
          <w:color w:val="000000"/>
          <w:sz w:val="24"/>
          <w:szCs w:val="24"/>
          <w:shd w:val="clear" w:color="auto" w:fill="FFFFFF"/>
        </w:rPr>
        <w:lastRenderedPageBreak/>
        <w:t>chamber was often a plac</w:t>
      </w:r>
      <w:r>
        <w:rPr>
          <w:rFonts w:ascii="Times New Roman" w:hAnsi="Times New Roman" w:cs="Times New Roman"/>
          <w:color w:val="000000"/>
          <w:sz w:val="24"/>
          <w:szCs w:val="24"/>
          <w:shd w:val="clear" w:color="auto" w:fill="FFFFFF"/>
        </w:rPr>
        <w:t>e of some comfort. C</w:t>
      </w:r>
      <w:r w:rsidR="000335C3">
        <w:rPr>
          <w:rFonts w:ascii="Times New Roman" w:hAnsi="Times New Roman" w:cs="Times New Roman"/>
          <w:color w:val="000000"/>
          <w:sz w:val="24"/>
          <w:szCs w:val="24"/>
          <w:shd w:val="clear" w:color="auto" w:fill="FFFFFF"/>
        </w:rPr>
        <w:t>omparatively more wealth was invested</w:t>
      </w:r>
      <w:r w:rsidR="00173331">
        <w:rPr>
          <w:rFonts w:ascii="Times New Roman" w:hAnsi="Times New Roman" w:cs="Times New Roman"/>
          <w:color w:val="000000"/>
          <w:sz w:val="24"/>
          <w:szCs w:val="24"/>
          <w:shd w:val="clear" w:color="auto" w:fill="FFFFFF"/>
        </w:rPr>
        <w:t xml:space="preserve"> in linen sheets, coverlets, bed curtains, hangings, and feather ma</w:t>
      </w:r>
      <w:r w:rsidR="000335C3">
        <w:rPr>
          <w:rFonts w:ascii="Times New Roman" w:hAnsi="Times New Roman" w:cs="Times New Roman"/>
          <w:color w:val="000000"/>
          <w:sz w:val="24"/>
          <w:szCs w:val="24"/>
          <w:shd w:val="clear" w:color="auto" w:fill="FFFFFF"/>
        </w:rPr>
        <w:t>ttresses as well as wooden beds than was true of pe</w:t>
      </w:r>
      <w:r>
        <w:rPr>
          <w:rFonts w:ascii="Times New Roman" w:hAnsi="Times New Roman" w:cs="Times New Roman"/>
          <w:color w:val="000000"/>
          <w:sz w:val="24"/>
          <w:szCs w:val="24"/>
          <w:shd w:val="clear" w:color="auto" w:fill="FFFFFF"/>
        </w:rPr>
        <w:t>asant households. As</w:t>
      </w:r>
      <w:r w:rsidR="000335C3">
        <w:rPr>
          <w:rFonts w:ascii="Times New Roman" w:hAnsi="Times New Roman" w:cs="Times New Roman"/>
          <w:color w:val="000000"/>
          <w:sz w:val="24"/>
          <w:szCs w:val="24"/>
          <w:shd w:val="clear" w:color="auto" w:fill="FFFFFF"/>
        </w:rPr>
        <w:t xml:space="preserve"> a spac</w:t>
      </w:r>
      <w:r w:rsidR="00D56B41">
        <w:rPr>
          <w:rFonts w:ascii="Times New Roman" w:hAnsi="Times New Roman" w:cs="Times New Roman"/>
          <w:color w:val="000000"/>
          <w:sz w:val="24"/>
          <w:szCs w:val="24"/>
          <w:shd w:val="clear" w:color="auto" w:fill="FFFFFF"/>
        </w:rPr>
        <w:t xml:space="preserve">e </w:t>
      </w:r>
      <w:r w:rsidR="000335C3">
        <w:rPr>
          <w:rFonts w:ascii="Times New Roman" w:hAnsi="Times New Roman" w:cs="Times New Roman"/>
          <w:color w:val="000000"/>
          <w:sz w:val="24"/>
          <w:szCs w:val="24"/>
          <w:shd w:val="clear" w:color="auto" w:fill="FFFFFF"/>
        </w:rPr>
        <w:t>primaril</w:t>
      </w:r>
      <w:r>
        <w:rPr>
          <w:rFonts w:ascii="Times New Roman" w:hAnsi="Times New Roman" w:cs="Times New Roman"/>
          <w:color w:val="000000"/>
          <w:sz w:val="24"/>
          <w:szCs w:val="24"/>
          <w:shd w:val="clear" w:color="auto" w:fill="FFFFFF"/>
        </w:rPr>
        <w:t>y enjoyed by the couple, this i</w:t>
      </w:r>
      <w:r w:rsidR="000335C3">
        <w:rPr>
          <w:rFonts w:ascii="Times New Roman" w:hAnsi="Times New Roman" w:cs="Times New Roman"/>
          <w:color w:val="000000"/>
          <w:sz w:val="24"/>
          <w:szCs w:val="24"/>
          <w:shd w:val="clear" w:color="auto" w:fill="FFFFFF"/>
        </w:rPr>
        <w:t xml:space="preserve">s in effect an investment in </w:t>
      </w:r>
      <w:r w:rsidR="00F225C6">
        <w:rPr>
          <w:rFonts w:ascii="Times New Roman" w:hAnsi="Times New Roman" w:cs="Times New Roman"/>
          <w:color w:val="000000"/>
          <w:sz w:val="24"/>
          <w:szCs w:val="24"/>
          <w:shd w:val="clear" w:color="auto" w:fill="FFFFFF"/>
        </w:rPr>
        <w:t xml:space="preserve">the conjugal relationship. It was here the couple could </w:t>
      </w:r>
      <w:r>
        <w:rPr>
          <w:rFonts w:ascii="Times New Roman" w:hAnsi="Times New Roman" w:cs="Times New Roman"/>
          <w:color w:val="000000"/>
          <w:sz w:val="24"/>
          <w:szCs w:val="24"/>
          <w:shd w:val="clear" w:color="auto" w:fill="FFFFFF"/>
        </w:rPr>
        <w:t xml:space="preserve">speak </w:t>
      </w:r>
      <w:r w:rsidR="00F225C6">
        <w:rPr>
          <w:rFonts w:ascii="Times New Roman" w:hAnsi="Times New Roman" w:cs="Times New Roman"/>
          <w:color w:val="000000"/>
          <w:sz w:val="24"/>
          <w:szCs w:val="24"/>
          <w:shd w:val="clear" w:color="auto" w:fill="FFFFFF"/>
        </w:rPr>
        <w:t>witho</w:t>
      </w:r>
      <w:r>
        <w:rPr>
          <w:rFonts w:ascii="Times New Roman" w:hAnsi="Times New Roman" w:cs="Times New Roman"/>
          <w:color w:val="000000"/>
          <w:sz w:val="24"/>
          <w:szCs w:val="24"/>
          <w:shd w:val="clear" w:color="auto" w:fill="FFFFFF"/>
        </w:rPr>
        <w:t>ut servants listening in. W</w:t>
      </w:r>
      <w:r w:rsidR="00F225C6">
        <w:rPr>
          <w:rFonts w:ascii="Times New Roman" w:hAnsi="Times New Roman" w:cs="Times New Roman"/>
          <w:color w:val="000000"/>
          <w:sz w:val="24"/>
          <w:szCs w:val="24"/>
          <w:shd w:val="clear" w:color="auto" w:fill="FFFFFF"/>
        </w:rPr>
        <w:t>ives could question or reprimand their husbands. Here private devotions might be performed. Here the couple had regular sexual relations and conceived their children. Something of the</w:t>
      </w:r>
      <w:r>
        <w:rPr>
          <w:rFonts w:ascii="Times New Roman" w:hAnsi="Times New Roman" w:cs="Times New Roman"/>
          <w:color w:val="000000"/>
          <w:sz w:val="24"/>
          <w:szCs w:val="24"/>
          <w:shd w:val="clear" w:color="auto" w:fill="FFFFFF"/>
        </w:rPr>
        <w:t xml:space="preserve"> wider cultural meanings of bed and</w:t>
      </w:r>
      <w:r w:rsidR="00F225C6">
        <w:rPr>
          <w:rFonts w:ascii="Times New Roman" w:hAnsi="Times New Roman" w:cs="Times New Roman"/>
          <w:color w:val="000000"/>
          <w:sz w:val="24"/>
          <w:szCs w:val="24"/>
          <w:shd w:val="clear" w:color="auto" w:fill="FFFFFF"/>
        </w:rPr>
        <w:t xml:space="preserve"> chamber have recently been brilliantly essayed by Hollie Morgan.</w:t>
      </w:r>
      <w:r w:rsidR="00F225C6">
        <w:rPr>
          <w:rStyle w:val="FootnoteReference"/>
          <w:rFonts w:ascii="Times New Roman" w:hAnsi="Times New Roman" w:cs="Times New Roman"/>
          <w:color w:val="000000"/>
          <w:sz w:val="24"/>
          <w:szCs w:val="24"/>
          <w:shd w:val="clear" w:color="auto" w:fill="FFFFFF"/>
        </w:rPr>
        <w:footnoteReference w:id="111"/>
      </w:r>
      <w:r w:rsidR="00F225C6">
        <w:rPr>
          <w:rFonts w:ascii="Times New Roman" w:hAnsi="Times New Roman" w:cs="Times New Roman"/>
          <w:color w:val="000000"/>
          <w:sz w:val="24"/>
          <w:szCs w:val="24"/>
          <w:shd w:val="clear" w:color="auto" w:fill="FFFFFF"/>
        </w:rPr>
        <w:t xml:space="preserve"> The thesis here is that the chamber symbolised the union of husband and wife. The bourgeois values of conjugality that sustained the later medieval artisanal and mercantile household where wives were as much partners and workmate</w:t>
      </w:r>
      <w:r w:rsidR="00D92060">
        <w:rPr>
          <w:rFonts w:ascii="Times New Roman" w:hAnsi="Times New Roman" w:cs="Times New Roman"/>
          <w:color w:val="000000"/>
          <w:sz w:val="24"/>
          <w:szCs w:val="24"/>
          <w:shd w:val="clear" w:color="auto" w:fill="FFFFFF"/>
        </w:rPr>
        <w:t>s as they were subordinates is played out in a space that allowed wives a voice and – in theory at least – and a degree of sexual equality.</w:t>
      </w:r>
      <w:r w:rsidR="00D92060">
        <w:rPr>
          <w:rStyle w:val="FootnoteReference"/>
          <w:rFonts w:ascii="Times New Roman" w:hAnsi="Times New Roman" w:cs="Times New Roman"/>
          <w:color w:val="000000"/>
          <w:sz w:val="24"/>
          <w:szCs w:val="24"/>
          <w:shd w:val="clear" w:color="auto" w:fill="FFFFFF"/>
        </w:rPr>
        <w:footnoteReference w:id="112"/>
      </w:r>
      <w:r w:rsidR="00D92060">
        <w:rPr>
          <w:rFonts w:ascii="Times New Roman" w:hAnsi="Times New Roman" w:cs="Times New Roman"/>
          <w:color w:val="000000"/>
          <w:sz w:val="24"/>
          <w:szCs w:val="24"/>
          <w:shd w:val="clear" w:color="auto" w:fill="FFFFFF"/>
        </w:rPr>
        <w:t xml:space="preserve"> </w:t>
      </w:r>
    </w:p>
    <w:p w14:paraId="7C203D1B" w14:textId="77777777" w:rsidR="007777A6" w:rsidRDefault="007777A6" w:rsidP="00FF640D">
      <w:pPr>
        <w:spacing w:line="360" w:lineRule="auto"/>
        <w:ind w:firstLine="720"/>
        <w:rPr>
          <w:rFonts w:ascii="Times New Roman" w:hAnsi="Times New Roman" w:cs="Times New Roman"/>
          <w:color w:val="000000"/>
          <w:sz w:val="24"/>
          <w:szCs w:val="24"/>
          <w:shd w:val="clear" w:color="auto" w:fill="FFFFFF"/>
        </w:rPr>
      </w:pPr>
    </w:p>
    <w:p w14:paraId="7BD535D5" w14:textId="2A7B5F68" w:rsidR="00BE056F" w:rsidRDefault="002F57D5" w:rsidP="00943DC8">
      <w:pPr>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451510" w:rsidRPr="007777A6">
        <w:rPr>
          <w:rFonts w:ascii="Times New Roman" w:hAnsi="Times New Roman" w:cs="Times New Roman"/>
          <w:color w:val="000000"/>
          <w:sz w:val="24"/>
          <w:szCs w:val="24"/>
          <w:shd w:val="clear" w:color="auto" w:fill="FFFFFF"/>
        </w:rPr>
        <w:t>he substantial artisanal and mercantile houses of later med</w:t>
      </w:r>
      <w:r w:rsidR="007777A6">
        <w:rPr>
          <w:rFonts w:ascii="Times New Roman" w:hAnsi="Times New Roman" w:cs="Times New Roman"/>
          <w:color w:val="000000"/>
          <w:sz w:val="24"/>
          <w:szCs w:val="24"/>
          <w:shd w:val="clear" w:color="auto" w:fill="FFFFFF"/>
        </w:rPr>
        <w:t>ieval York comprised three</w:t>
      </w:r>
      <w:r w:rsidR="00451510" w:rsidRPr="007777A6">
        <w:rPr>
          <w:rFonts w:ascii="Times New Roman" w:hAnsi="Times New Roman" w:cs="Times New Roman"/>
          <w:color w:val="000000"/>
          <w:sz w:val="24"/>
          <w:szCs w:val="24"/>
          <w:shd w:val="clear" w:color="auto" w:fill="FFFFFF"/>
        </w:rPr>
        <w:t xml:space="preserve"> common elements</w:t>
      </w:r>
      <w:r w:rsidR="007777A6">
        <w:rPr>
          <w:rFonts w:ascii="Times New Roman" w:hAnsi="Times New Roman" w:cs="Times New Roman"/>
          <w:color w:val="000000"/>
          <w:sz w:val="24"/>
          <w:szCs w:val="24"/>
          <w:shd w:val="clear" w:color="auto" w:fill="FFFFFF"/>
        </w:rPr>
        <w:t xml:space="preserve">, viz. </w:t>
      </w:r>
      <w:r w:rsidR="00943DC8">
        <w:rPr>
          <w:rFonts w:ascii="Times New Roman" w:hAnsi="Times New Roman" w:cs="Times New Roman"/>
          <w:color w:val="000000"/>
          <w:sz w:val="24"/>
          <w:szCs w:val="24"/>
          <w:shd w:val="clear" w:color="auto" w:fill="FFFFFF"/>
        </w:rPr>
        <w:t xml:space="preserve">chamber, </w:t>
      </w:r>
      <w:proofErr w:type="gramStart"/>
      <w:r w:rsidR="007777A6">
        <w:rPr>
          <w:rFonts w:ascii="Times New Roman" w:hAnsi="Times New Roman" w:cs="Times New Roman"/>
          <w:color w:val="000000"/>
          <w:sz w:val="24"/>
          <w:szCs w:val="24"/>
          <w:shd w:val="clear" w:color="auto" w:fill="FFFFFF"/>
        </w:rPr>
        <w:t>hall</w:t>
      </w:r>
      <w:proofErr w:type="gramEnd"/>
      <w:r w:rsidR="007777A6">
        <w:rPr>
          <w:rFonts w:ascii="Times New Roman" w:hAnsi="Times New Roman" w:cs="Times New Roman"/>
          <w:color w:val="000000"/>
          <w:sz w:val="24"/>
          <w:szCs w:val="24"/>
          <w:shd w:val="clear" w:color="auto" w:fill="FFFFFF"/>
        </w:rPr>
        <w:t xml:space="preserve">, </w:t>
      </w:r>
      <w:r w:rsidR="00943DC8">
        <w:rPr>
          <w:rFonts w:ascii="Times New Roman" w:hAnsi="Times New Roman" w:cs="Times New Roman"/>
          <w:color w:val="000000"/>
          <w:sz w:val="24"/>
          <w:szCs w:val="24"/>
          <w:shd w:val="clear" w:color="auto" w:fill="FFFFFF"/>
        </w:rPr>
        <w:t>shop</w:t>
      </w:r>
      <w:r w:rsidR="00727A2B">
        <w:rPr>
          <w:rFonts w:ascii="Times New Roman" w:hAnsi="Times New Roman" w:cs="Times New Roman"/>
          <w:color w:val="000000"/>
          <w:sz w:val="24"/>
          <w:szCs w:val="24"/>
          <w:shd w:val="clear" w:color="auto" w:fill="FFFFFF"/>
        </w:rPr>
        <w:t xml:space="preserve"> (see figure 1)</w:t>
      </w:r>
      <w:r w:rsidR="006526D2">
        <w:rPr>
          <w:rFonts w:ascii="Times New Roman" w:hAnsi="Times New Roman" w:cs="Times New Roman"/>
          <w:color w:val="000000"/>
          <w:sz w:val="24"/>
          <w:szCs w:val="24"/>
          <w:shd w:val="clear" w:color="auto" w:fill="FFFFFF"/>
        </w:rPr>
        <w:t>.</w:t>
      </w:r>
      <w:r w:rsidR="00B015DE">
        <w:rPr>
          <w:rStyle w:val="FootnoteReference"/>
          <w:rFonts w:ascii="Times New Roman" w:hAnsi="Times New Roman" w:cs="Times New Roman"/>
          <w:color w:val="000000"/>
          <w:sz w:val="24"/>
          <w:szCs w:val="24"/>
          <w:shd w:val="clear" w:color="auto" w:fill="FFFFFF"/>
        </w:rPr>
        <w:footnoteReference w:id="113"/>
      </w:r>
      <w:r w:rsidR="006526D2">
        <w:rPr>
          <w:rFonts w:ascii="Times New Roman" w:hAnsi="Times New Roman" w:cs="Times New Roman"/>
          <w:color w:val="000000"/>
          <w:sz w:val="24"/>
          <w:szCs w:val="24"/>
          <w:shd w:val="clear" w:color="auto" w:fill="FFFFFF"/>
        </w:rPr>
        <w:t xml:space="preserve"> In this respect York probably shares similarities with other larger urban centres </w:t>
      </w:r>
      <w:r w:rsidR="00EC54AE">
        <w:rPr>
          <w:rFonts w:ascii="Times New Roman" w:hAnsi="Times New Roman" w:cs="Times New Roman"/>
          <w:color w:val="000000"/>
          <w:sz w:val="24"/>
          <w:szCs w:val="24"/>
          <w:shd w:val="clear" w:color="auto" w:fill="FFFFFF"/>
        </w:rPr>
        <w:t xml:space="preserve">in England and north-western Europe </w:t>
      </w:r>
      <w:r w:rsidR="006526D2">
        <w:rPr>
          <w:rFonts w:ascii="Times New Roman" w:hAnsi="Times New Roman" w:cs="Times New Roman"/>
          <w:color w:val="000000"/>
          <w:sz w:val="24"/>
          <w:szCs w:val="24"/>
          <w:shd w:val="clear" w:color="auto" w:fill="FFFFFF"/>
        </w:rPr>
        <w:t xml:space="preserve">such as </w:t>
      </w:r>
      <w:r w:rsidR="00EC54AE">
        <w:rPr>
          <w:rFonts w:ascii="Times New Roman" w:hAnsi="Times New Roman" w:cs="Times New Roman"/>
          <w:color w:val="000000"/>
          <w:sz w:val="24"/>
          <w:szCs w:val="24"/>
          <w:shd w:val="clear" w:color="auto" w:fill="FFFFFF"/>
        </w:rPr>
        <w:t xml:space="preserve">Bristol or </w:t>
      </w:r>
      <w:r w:rsidR="006526D2">
        <w:rPr>
          <w:rFonts w:ascii="Times New Roman" w:hAnsi="Times New Roman" w:cs="Times New Roman"/>
          <w:color w:val="000000"/>
          <w:sz w:val="24"/>
          <w:szCs w:val="24"/>
          <w:shd w:val="clear" w:color="auto" w:fill="FFFFFF"/>
        </w:rPr>
        <w:t>Bruges</w:t>
      </w:r>
      <w:r w:rsidR="00451510" w:rsidRPr="007777A6">
        <w:rPr>
          <w:rFonts w:ascii="Times New Roman" w:hAnsi="Times New Roman" w:cs="Times New Roman"/>
          <w:color w:val="000000"/>
          <w:sz w:val="24"/>
          <w:szCs w:val="24"/>
          <w:shd w:val="clear" w:color="auto" w:fill="FFFFFF"/>
        </w:rPr>
        <w:t>.</w:t>
      </w:r>
      <w:r w:rsidR="00E81411">
        <w:rPr>
          <w:rStyle w:val="FootnoteReference"/>
          <w:rFonts w:ascii="Times New Roman" w:hAnsi="Times New Roman" w:cs="Times New Roman"/>
          <w:color w:val="000000"/>
          <w:sz w:val="24"/>
          <w:szCs w:val="24"/>
          <w:shd w:val="clear" w:color="auto" w:fill="FFFFFF"/>
        </w:rPr>
        <w:footnoteReference w:id="114"/>
      </w:r>
      <w:r w:rsidR="00451510" w:rsidRPr="007777A6">
        <w:rPr>
          <w:rFonts w:ascii="Times New Roman" w:hAnsi="Times New Roman" w:cs="Times New Roman"/>
          <w:color w:val="000000"/>
          <w:sz w:val="24"/>
          <w:szCs w:val="24"/>
          <w:shd w:val="clear" w:color="auto" w:fill="FFFFFF"/>
        </w:rPr>
        <w:t xml:space="preserve"> The</w:t>
      </w:r>
      <w:r w:rsidR="00D92060" w:rsidRPr="007777A6">
        <w:rPr>
          <w:rFonts w:ascii="Times New Roman" w:hAnsi="Times New Roman" w:cs="Times New Roman"/>
          <w:color w:val="000000"/>
          <w:sz w:val="24"/>
          <w:szCs w:val="24"/>
          <w:shd w:val="clear" w:color="auto" w:fill="FFFFFF"/>
        </w:rPr>
        <w:t xml:space="preserve"> chamber was as comfortably furnished and aesthetically</w:t>
      </w:r>
      <w:r w:rsidR="00D92060">
        <w:rPr>
          <w:rFonts w:ascii="Times New Roman" w:hAnsi="Times New Roman" w:cs="Times New Roman"/>
          <w:color w:val="000000"/>
          <w:sz w:val="24"/>
          <w:szCs w:val="24"/>
          <w:shd w:val="clear" w:color="auto" w:fill="FFFFFF"/>
        </w:rPr>
        <w:t xml:space="preserve"> pleasing as the hall</w:t>
      </w:r>
      <w:r w:rsidR="00451510">
        <w:rPr>
          <w:rFonts w:ascii="Times New Roman" w:hAnsi="Times New Roman" w:cs="Times New Roman"/>
          <w:color w:val="000000"/>
          <w:sz w:val="24"/>
          <w:szCs w:val="24"/>
          <w:shd w:val="clear" w:color="auto" w:fill="FFFFFF"/>
        </w:rPr>
        <w:t>. The hall allowed the householder to project a sense of worth an</w:t>
      </w:r>
      <w:r w:rsidR="007777A6">
        <w:rPr>
          <w:rFonts w:ascii="Times New Roman" w:hAnsi="Times New Roman" w:cs="Times New Roman"/>
          <w:color w:val="000000"/>
          <w:sz w:val="24"/>
          <w:szCs w:val="24"/>
          <w:shd w:val="clear" w:color="auto" w:fill="FFFFFF"/>
        </w:rPr>
        <w:t>d stability to guests. T</w:t>
      </w:r>
      <w:r w:rsidR="00451510">
        <w:rPr>
          <w:rFonts w:ascii="Times New Roman" w:hAnsi="Times New Roman" w:cs="Times New Roman"/>
          <w:color w:val="000000"/>
          <w:sz w:val="24"/>
          <w:szCs w:val="24"/>
          <w:shd w:val="clear" w:color="auto" w:fill="FFFFFF"/>
        </w:rPr>
        <w:t xml:space="preserve">he chamber was a more intimate space in which couples might </w:t>
      </w:r>
      <w:r>
        <w:rPr>
          <w:rFonts w:ascii="Times New Roman" w:hAnsi="Times New Roman" w:cs="Times New Roman"/>
          <w:color w:val="000000"/>
          <w:sz w:val="24"/>
          <w:szCs w:val="24"/>
          <w:shd w:val="clear" w:color="auto" w:fill="FFFFFF"/>
        </w:rPr>
        <w:t xml:space="preserve">converse, </w:t>
      </w:r>
      <w:r w:rsidR="00451510">
        <w:rPr>
          <w:rFonts w:ascii="Times New Roman" w:hAnsi="Times New Roman" w:cs="Times New Roman"/>
          <w:color w:val="000000"/>
          <w:sz w:val="24"/>
          <w:szCs w:val="24"/>
          <w:shd w:val="clear" w:color="auto" w:fill="FFFFFF"/>
        </w:rPr>
        <w:t>arg</w:t>
      </w:r>
      <w:r w:rsidR="00A3547C">
        <w:rPr>
          <w:rFonts w:ascii="Times New Roman" w:hAnsi="Times New Roman" w:cs="Times New Roman"/>
          <w:color w:val="000000"/>
          <w:sz w:val="24"/>
          <w:szCs w:val="24"/>
          <w:shd w:val="clear" w:color="auto" w:fill="FFFFFF"/>
        </w:rPr>
        <w:t>ue, pray, make love, and find companionship</w:t>
      </w:r>
      <w:r w:rsidR="00451510">
        <w:rPr>
          <w:rFonts w:ascii="Times New Roman" w:hAnsi="Times New Roman" w:cs="Times New Roman"/>
          <w:color w:val="000000"/>
          <w:sz w:val="24"/>
          <w:szCs w:val="24"/>
          <w:shd w:val="clear" w:color="auto" w:fill="FFFFFF"/>
        </w:rPr>
        <w:t xml:space="preserve">. Both were </w:t>
      </w:r>
      <w:r w:rsidR="00A3547C">
        <w:rPr>
          <w:rFonts w:ascii="Times New Roman" w:hAnsi="Times New Roman" w:cs="Times New Roman"/>
          <w:color w:val="000000"/>
          <w:sz w:val="24"/>
          <w:szCs w:val="24"/>
          <w:shd w:val="clear" w:color="auto" w:fill="FFFFFF"/>
        </w:rPr>
        <w:t xml:space="preserve">spaces </w:t>
      </w:r>
      <w:r w:rsidR="00D92060">
        <w:rPr>
          <w:rFonts w:ascii="Times New Roman" w:hAnsi="Times New Roman" w:cs="Times New Roman"/>
          <w:color w:val="000000"/>
          <w:sz w:val="24"/>
          <w:szCs w:val="24"/>
          <w:shd w:val="clear" w:color="auto" w:fill="FFFFFF"/>
        </w:rPr>
        <w:t>to be enjoyed</w:t>
      </w:r>
      <w:r w:rsidR="0084258B">
        <w:rPr>
          <w:rFonts w:ascii="Times New Roman" w:hAnsi="Times New Roman" w:cs="Times New Roman"/>
          <w:color w:val="000000"/>
          <w:sz w:val="24"/>
          <w:szCs w:val="24"/>
          <w:shd w:val="clear" w:color="auto" w:fill="FFFFFF"/>
        </w:rPr>
        <w:t xml:space="preserve"> by the master and mistress. More functional </w:t>
      </w:r>
      <w:r w:rsidR="00451510">
        <w:rPr>
          <w:rFonts w:ascii="Times New Roman" w:hAnsi="Times New Roman" w:cs="Times New Roman"/>
          <w:color w:val="000000"/>
          <w:sz w:val="24"/>
          <w:szCs w:val="24"/>
          <w:shd w:val="clear" w:color="auto" w:fill="FFFFFF"/>
        </w:rPr>
        <w:t>was the shop, which might literally serve as a window onto the householder’</w:t>
      </w:r>
      <w:r w:rsidR="00A3547C">
        <w:rPr>
          <w:rFonts w:ascii="Times New Roman" w:hAnsi="Times New Roman" w:cs="Times New Roman"/>
          <w:color w:val="000000"/>
          <w:sz w:val="24"/>
          <w:szCs w:val="24"/>
          <w:shd w:val="clear" w:color="auto" w:fill="FFFFFF"/>
        </w:rPr>
        <w:t xml:space="preserve">s identity as a craftsman or craftswoman. The husband might command servants and apprentices here just as his wife might direct female servants in the kitchen or the hall. Here then gender and power relations were played out on a daily basis. </w:t>
      </w:r>
      <w:r w:rsidR="00A3547C">
        <w:rPr>
          <w:rFonts w:ascii="Times New Roman" w:hAnsi="Times New Roman" w:cs="Times New Roman"/>
          <w:color w:val="000000"/>
          <w:sz w:val="24"/>
          <w:szCs w:val="24"/>
          <w:shd w:val="clear" w:color="auto" w:fill="FFFFFF"/>
        </w:rPr>
        <w:lastRenderedPageBreak/>
        <w:t>Although the</w:t>
      </w:r>
      <w:r w:rsidR="007777A6">
        <w:rPr>
          <w:rFonts w:ascii="Times New Roman" w:hAnsi="Times New Roman" w:cs="Times New Roman"/>
          <w:color w:val="000000"/>
          <w:sz w:val="24"/>
          <w:szCs w:val="24"/>
          <w:shd w:val="clear" w:color="auto" w:fill="FFFFFF"/>
        </w:rPr>
        <w:t xml:space="preserve"> household, comprised </w:t>
      </w:r>
      <w:r w:rsidR="00A3547C">
        <w:rPr>
          <w:rFonts w:ascii="Times New Roman" w:hAnsi="Times New Roman" w:cs="Times New Roman"/>
          <w:color w:val="000000"/>
          <w:sz w:val="24"/>
          <w:szCs w:val="24"/>
          <w:shd w:val="clear" w:color="auto" w:fill="FFFFFF"/>
        </w:rPr>
        <w:t>of apprentices and servants who might be around for several years or who might depart after just one, and of children who would quickly grow up and go into service by their early teens, changed year by year, some sense of c</w:t>
      </w:r>
      <w:r w:rsidR="00943DC8">
        <w:rPr>
          <w:rFonts w:ascii="Times New Roman" w:hAnsi="Times New Roman" w:cs="Times New Roman"/>
          <w:color w:val="000000"/>
          <w:sz w:val="24"/>
          <w:szCs w:val="24"/>
          <w:shd w:val="clear" w:color="auto" w:fill="FFFFFF"/>
        </w:rPr>
        <w:t xml:space="preserve">ollective identity was </w:t>
      </w:r>
      <w:r w:rsidR="00A3547C">
        <w:rPr>
          <w:rFonts w:ascii="Times New Roman" w:hAnsi="Times New Roman" w:cs="Times New Roman"/>
          <w:color w:val="000000"/>
          <w:sz w:val="24"/>
          <w:szCs w:val="24"/>
          <w:shd w:val="clear" w:color="auto" w:fill="FFFFFF"/>
        </w:rPr>
        <w:t xml:space="preserve">forged through the repeated daily interactions. The house was the theatre in which these interactions were </w:t>
      </w:r>
      <w:r w:rsidR="00943DC8">
        <w:rPr>
          <w:rFonts w:ascii="Times New Roman" w:hAnsi="Times New Roman" w:cs="Times New Roman"/>
          <w:color w:val="000000"/>
          <w:sz w:val="24"/>
          <w:szCs w:val="24"/>
          <w:shd w:val="clear" w:color="auto" w:fill="FFFFFF"/>
        </w:rPr>
        <w:t xml:space="preserve">played out and given meaning. The house was also a home, </w:t>
      </w:r>
      <w:r w:rsidR="00A3547C">
        <w:rPr>
          <w:rFonts w:ascii="Times New Roman" w:hAnsi="Times New Roman" w:cs="Times New Roman"/>
          <w:color w:val="000000"/>
          <w:sz w:val="24"/>
          <w:szCs w:val="24"/>
          <w:shd w:val="clear" w:color="auto" w:fill="FFFFFF"/>
        </w:rPr>
        <w:t>not so much f</w:t>
      </w:r>
      <w:r w:rsidR="00943DC8">
        <w:rPr>
          <w:rFonts w:ascii="Times New Roman" w:hAnsi="Times New Roman" w:cs="Times New Roman"/>
          <w:color w:val="000000"/>
          <w:sz w:val="24"/>
          <w:szCs w:val="24"/>
          <w:shd w:val="clear" w:color="auto" w:fill="FFFFFF"/>
        </w:rPr>
        <w:t>or the transitory servants, but</w:t>
      </w:r>
      <w:r w:rsidR="00A3547C">
        <w:rPr>
          <w:rFonts w:ascii="Times New Roman" w:hAnsi="Times New Roman" w:cs="Times New Roman"/>
          <w:color w:val="000000"/>
          <w:sz w:val="24"/>
          <w:szCs w:val="24"/>
          <w:shd w:val="clear" w:color="auto" w:fill="FFFFFF"/>
        </w:rPr>
        <w:t xml:space="preserve"> for the master and mistress who invested in its furnishings, took pride in the craft or trade their pursued from its</w:t>
      </w:r>
      <w:r w:rsidR="00F15E64">
        <w:rPr>
          <w:rFonts w:ascii="Times New Roman" w:hAnsi="Times New Roman" w:cs="Times New Roman"/>
          <w:color w:val="000000"/>
          <w:sz w:val="24"/>
          <w:szCs w:val="24"/>
          <w:shd w:val="clear" w:color="auto" w:fill="FFFFFF"/>
        </w:rPr>
        <w:t xml:space="preserve"> premises, and whose very identity as citizens and householders the building served to project.</w:t>
      </w:r>
      <w:r w:rsidR="00A3547C">
        <w:rPr>
          <w:rFonts w:ascii="Times New Roman" w:hAnsi="Times New Roman" w:cs="Times New Roman"/>
          <w:color w:val="000000"/>
          <w:sz w:val="24"/>
          <w:szCs w:val="24"/>
          <w:shd w:val="clear" w:color="auto" w:fill="FFFFFF"/>
        </w:rPr>
        <w:t xml:space="preserve"> </w:t>
      </w:r>
    </w:p>
    <w:p w14:paraId="3D7F247D" w14:textId="77777777" w:rsidR="00727A2B" w:rsidRDefault="00727A2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51A7AFD8" w14:textId="77777777" w:rsidR="00727A2B" w:rsidRDefault="00727A2B" w:rsidP="00727A2B">
      <w:r>
        <w:rPr>
          <w:noProof/>
          <w:lang w:eastAsia="en-GB"/>
        </w:rPr>
        <w:lastRenderedPageBreak/>
        <mc:AlternateContent>
          <mc:Choice Requires="wps">
            <w:drawing>
              <wp:anchor distT="45720" distB="45720" distL="114300" distR="114300" simplePos="0" relativeHeight="251660288" behindDoc="0" locked="0" layoutInCell="1" allowOverlap="1" wp14:anchorId="4E98446B" wp14:editId="4285A506">
                <wp:simplePos x="0" y="0"/>
                <wp:positionH relativeFrom="margin">
                  <wp:align>left</wp:align>
                </wp:positionH>
                <wp:positionV relativeFrom="paragraph">
                  <wp:posOffset>270510</wp:posOffset>
                </wp:positionV>
                <wp:extent cx="1722755" cy="356235"/>
                <wp:effectExtent l="0" t="0" r="107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292" cy="356235"/>
                        </a:xfrm>
                        <a:prstGeom prst="rect">
                          <a:avLst/>
                        </a:prstGeom>
                        <a:solidFill>
                          <a:srgbClr val="FFFFFF"/>
                        </a:solidFill>
                        <a:ln w="9525">
                          <a:solidFill>
                            <a:srgbClr val="000000"/>
                          </a:solidFill>
                          <a:miter lim="800000"/>
                          <a:headEnd/>
                          <a:tailEnd/>
                        </a:ln>
                      </wps:spPr>
                      <wps:txbx>
                        <w:txbxContent>
                          <w:p w14:paraId="02D22660" w14:textId="77777777" w:rsidR="002607B0" w:rsidRPr="00080F00" w:rsidRDefault="002607B0" w:rsidP="00727A2B">
                            <w:pPr>
                              <w:rPr>
                                <w:sz w:val="32"/>
                                <w:szCs w:val="32"/>
                              </w:rPr>
                            </w:pPr>
                            <w:proofErr w:type="gramStart"/>
                            <w:r>
                              <w:rPr>
                                <w:sz w:val="32"/>
                                <w:szCs w:val="32"/>
                              </w:rPr>
                              <w:t>customers</w:t>
                            </w:r>
                            <w:proofErr w:type="gramEnd"/>
                            <w:r>
                              <w:rPr>
                                <w:sz w:val="32"/>
                                <w:szCs w:val="32"/>
                              </w:rPr>
                              <w:t xml:space="preserve"> /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8446B" id="_x0000_t202" coordsize="21600,21600" o:spt="202" path="m,l,21600r21600,l21600,xe">
                <v:stroke joinstyle="miter"/>
                <v:path gradientshapeok="t" o:connecttype="rect"/>
              </v:shapetype>
              <v:shape id="Text Box 2" o:spid="_x0000_s1026" type="#_x0000_t202" style="position:absolute;margin-left:0;margin-top:21.3pt;width:135.65pt;height:28.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">
                <v:textbox>
                  <w:txbxContent>
                    <w:p w14:paraId="02D22660" w14:textId="77777777" w:rsidR="002607B0" w:rsidRPr="00080F00" w:rsidRDefault="002607B0" w:rsidP="00727A2B">
                      <w:pPr>
                        <w:rPr>
                          <w:sz w:val="32"/>
                          <w:szCs w:val="32"/>
                        </w:rPr>
                      </w:pPr>
                      <w:proofErr w:type="gramStart"/>
                      <w:r>
                        <w:rPr>
                          <w:sz w:val="32"/>
                          <w:szCs w:val="32"/>
                        </w:rPr>
                        <w:t>customers</w:t>
                      </w:r>
                      <w:proofErr w:type="gramEnd"/>
                      <w:r>
                        <w:rPr>
                          <w:sz w:val="32"/>
                          <w:szCs w:val="32"/>
                        </w:rPr>
                        <w:t xml:space="preserve"> / public</w:t>
                      </w:r>
                    </w:p>
                  </w:txbxContent>
                </v:textbox>
                <w10:wrap type="square" anchorx="margin"/>
              </v:shape>
            </w:pict>
          </mc:Fallback>
        </mc:AlternateContent>
      </w:r>
      <w:r w:rsidRPr="00080F00">
        <w:rPr>
          <w:noProof/>
          <w:lang w:eastAsia="en-GB"/>
        </w:rPr>
        <mc:AlternateContent>
          <mc:Choice Requires="wps">
            <w:drawing>
              <wp:anchor distT="45720" distB="45720" distL="114300" distR="114300" simplePos="0" relativeHeight="251664384" behindDoc="0" locked="0" layoutInCell="1" allowOverlap="1" wp14:anchorId="1C189D17" wp14:editId="774F40E3">
                <wp:simplePos x="0" y="0"/>
                <wp:positionH relativeFrom="column">
                  <wp:posOffset>4711700</wp:posOffset>
                </wp:positionH>
                <wp:positionV relativeFrom="paragraph">
                  <wp:posOffset>285750</wp:posOffset>
                </wp:positionV>
                <wp:extent cx="748030" cy="376555"/>
                <wp:effectExtent l="0" t="0" r="1397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76555"/>
                        </a:xfrm>
                        <a:prstGeom prst="rect">
                          <a:avLst/>
                        </a:prstGeom>
                        <a:solidFill>
                          <a:srgbClr val="FFFFFF"/>
                        </a:solidFill>
                        <a:ln w="9525">
                          <a:solidFill>
                            <a:srgbClr val="000000"/>
                          </a:solidFill>
                          <a:miter lim="800000"/>
                          <a:headEnd/>
                          <a:tailEnd/>
                        </a:ln>
                      </wps:spPr>
                      <wps:txbx>
                        <w:txbxContent>
                          <w:p w14:paraId="2F297A8B" w14:textId="77777777" w:rsidR="002607B0" w:rsidRPr="00080F00" w:rsidRDefault="002607B0" w:rsidP="00727A2B">
                            <w:pPr>
                              <w:rPr>
                                <w:sz w:val="32"/>
                                <w:szCs w:val="32"/>
                              </w:rPr>
                            </w:pPr>
                            <w:proofErr w:type="gramStart"/>
                            <w:r>
                              <w:rPr>
                                <w:sz w:val="32"/>
                                <w:szCs w:val="32"/>
                              </w:rPr>
                              <w:t>guests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89D17" id="_x0000_s1027" type="#_x0000_t202" style="position:absolute;margin-left:371pt;margin-top:22.5pt;width:58.9pt;height:2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hSJQIAAEs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">
                <v:textbox>
                  <w:txbxContent>
                    <w:p w14:paraId="2F297A8B" w14:textId="77777777" w:rsidR="002607B0" w:rsidRPr="00080F00" w:rsidRDefault="002607B0" w:rsidP="00727A2B">
                      <w:pPr>
                        <w:rPr>
                          <w:sz w:val="32"/>
                          <w:szCs w:val="32"/>
                        </w:rPr>
                      </w:pPr>
                      <w:proofErr w:type="gramStart"/>
                      <w:r>
                        <w:rPr>
                          <w:sz w:val="32"/>
                          <w:szCs w:val="32"/>
                        </w:rPr>
                        <w:t>guests</w:t>
                      </w:r>
                      <w:proofErr w:type="gramEnd"/>
                    </w:p>
                  </w:txbxContent>
                </v:textbox>
                <w10:wrap type="square"/>
              </v:shape>
            </w:pict>
          </mc:Fallback>
        </mc:AlternateContent>
      </w:r>
      <w:r w:rsidRPr="00080F00">
        <w:t xml:space="preserve"> </w:t>
      </w:r>
    </w:p>
    <w:p w14:paraId="2911C28B" w14:textId="77777777" w:rsidR="00727A2B" w:rsidRDefault="00727A2B" w:rsidP="00727A2B">
      <w:r>
        <w:rPr>
          <w:noProof/>
          <w:lang w:eastAsia="en-GB"/>
        </w:rPr>
        <mc:AlternateContent>
          <mc:Choice Requires="wps">
            <w:drawing>
              <wp:anchor distT="0" distB="0" distL="114300" distR="114300" simplePos="0" relativeHeight="251663360" behindDoc="0" locked="0" layoutInCell="1" allowOverlap="1" wp14:anchorId="367933E2" wp14:editId="62C842D6">
                <wp:simplePos x="0" y="0"/>
                <wp:positionH relativeFrom="column">
                  <wp:posOffset>1612265</wp:posOffset>
                </wp:positionH>
                <wp:positionV relativeFrom="paragraph">
                  <wp:posOffset>2381752</wp:posOffset>
                </wp:positionV>
                <wp:extent cx="728505" cy="165798"/>
                <wp:effectExtent l="0" t="0" r="71755" b="81915"/>
                <wp:wrapNone/>
                <wp:docPr id="11" name="Straight Arrow Connector 11"/>
                <wp:cNvGraphicFramePr/>
                <a:graphic xmlns:a="http://schemas.openxmlformats.org/drawingml/2006/main">
                  <a:graphicData uri="http://schemas.microsoft.com/office/word/2010/wordprocessingShape">
                    <wps:wsp>
                      <wps:cNvCnPr/>
                      <wps:spPr>
                        <a:xfrm>
                          <a:off x="0" y="0"/>
                          <a:ext cx="728505" cy="16579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318E76" id="_x0000_t32" coordsize="21600,21600" o:spt="32" o:oned="t" path="m,l21600,21600e" filled="f">
                <v:path arrowok="t" fillok="f" o:connecttype="none"/>
                <o:lock v:ext="edit" shapetype="t"/>
              </v:shapetype>
              <v:shape id="Straight Arrow Connector 11" o:spid="_x0000_s1026" type="#_x0000_t32" style="position:absolute;margin-left:126.95pt;margin-top:187.55pt;width:57.35pt;height:13.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" strokecolor="black [3200]">
                <v:stroke endarrow="block"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7B8EE80" wp14:editId="4CA26769">
                <wp:simplePos x="0" y="0"/>
                <wp:positionH relativeFrom="column">
                  <wp:posOffset>4511458</wp:posOffset>
                </wp:positionH>
                <wp:positionV relativeFrom="paragraph">
                  <wp:posOffset>377043</wp:posOffset>
                </wp:positionV>
                <wp:extent cx="602901" cy="2502039"/>
                <wp:effectExtent l="57150" t="0" r="26035" b="50800"/>
                <wp:wrapNone/>
                <wp:docPr id="13" name="Straight Arrow Connector 13"/>
                <wp:cNvGraphicFramePr/>
                <a:graphic xmlns:a="http://schemas.openxmlformats.org/drawingml/2006/main">
                  <a:graphicData uri="http://schemas.microsoft.com/office/word/2010/wordprocessingShape">
                    <wps:wsp>
                      <wps:cNvCnPr/>
                      <wps:spPr>
                        <a:xfrm flipH="1">
                          <a:off x="0" y="0"/>
                          <a:ext cx="602901" cy="2502039"/>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D23096" id="Straight Arrow Connector 13" o:spid="_x0000_s1026" type="#_x0000_t32" style="position:absolute;margin-left:355.25pt;margin-top:29.7pt;width:47.45pt;height:197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" strokecolor="black [3200]">
                <v:stroke endarrow="block" joinstyle="miter"/>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D6608DB" wp14:editId="1E6E67A4">
                <wp:simplePos x="0" y="0"/>
                <wp:positionH relativeFrom="column">
                  <wp:posOffset>612607</wp:posOffset>
                </wp:positionH>
                <wp:positionV relativeFrom="paragraph">
                  <wp:posOffset>333326</wp:posOffset>
                </wp:positionV>
                <wp:extent cx="1551933" cy="1110622"/>
                <wp:effectExtent l="0" t="0" r="67945" b="51435"/>
                <wp:wrapNone/>
                <wp:docPr id="8" name="Straight Arrow Connector 8"/>
                <wp:cNvGraphicFramePr/>
                <a:graphic xmlns:a="http://schemas.openxmlformats.org/drawingml/2006/main">
                  <a:graphicData uri="http://schemas.microsoft.com/office/word/2010/wordprocessingShape">
                    <wps:wsp>
                      <wps:cNvCnPr/>
                      <wps:spPr>
                        <a:xfrm>
                          <a:off x="0" y="0"/>
                          <a:ext cx="1551933" cy="111062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B4358" id="Straight Arrow Connector 8" o:spid="_x0000_s1026" type="#_x0000_t32" style="position:absolute;margin-left:48.25pt;margin-top:26.25pt;width:122.2pt;height:8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" strokecolor="black [3200]">
                <v:stroke endarrow="block" joinstyle="miter"/>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C8ACD42" wp14:editId="43F105D0">
                <wp:simplePos x="0" y="0"/>
                <wp:positionH relativeFrom="column">
                  <wp:posOffset>2708031</wp:posOffset>
                </wp:positionH>
                <wp:positionV relativeFrom="paragraph">
                  <wp:posOffset>2477547</wp:posOffset>
                </wp:positionV>
                <wp:extent cx="406958" cy="1713244"/>
                <wp:effectExtent l="0" t="0" r="50800" b="58420"/>
                <wp:wrapNone/>
                <wp:docPr id="10" name="Straight Arrow Connector 10"/>
                <wp:cNvGraphicFramePr/>
                <a:graphic xmlns:a="http://schemas.openxmlformats.org/drawingml/2006/main">
                  <a:graphicData uri="http://schemas.microsoft.com/office/word/2010/wordprocessingShape">
                    <wps:wsp>
                      <wps:cNvCnPr/>
                      <wps:spPr>
                        <a:xfrm>
                          <a:off x="0" y="0"/>
                          <a:ext cx="406958" cy="171324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B56C9" id="Straight Arrow Connector 10" o:spid="_x0000_s1026" type="#_x0000_t32" style="position:absolute;margin-left:213.25pt;margin-top:195.1pt;width:32.05pt;height:134.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" strokecolor="black [3200]">
                <v:stroke endarrow="block" joinstyle="miter"/>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078D62E" wp14:editId="06BD5F7B">
                <wp:simplePos x="0" y="0"/>
                <wp:positionH relativeFrom="column">
                  <wp:posOffset>2753247</wp:posOffset>
                </wp:positionH>
                <wp:positionV relativeFrom="paragraph">
                  <wp:posOffset>2186145</wp:posOffset>
                </wp:positionV>
                <wp:extent cx="1210827" cy="170821"/>
                <wp:effectExtent l="0" t="57150" r="8890" b="19685"/>
                <wp:wrapNone/>
                <wp:docPr id="9" name="Straight Arrow Connector 9"/>
                <wp:cNvGraphicFramePr/>
                <a:graphic xmlns:a="http://schemas.openxmlformats.org/drawingml/2006/main">
                  <a:graphicData uri="http://schemas.microsoft.com/office/word/2010/wordprocessingShape">
                    <wps:wsp>
                      <wps:cNvCnPr/>
                      <wps:spPr>
                        <a:xfrm flipV="1">
                          <a:off x="0" y="0"/>
                          <a:ext cx="1210827" cy="17082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35A70" id="Straight Arrow Connector 9" o:spid="_x0000_s1026" type="#_x0000_t32" style="position:absolute;margin-left:216.8pt;margin-top:172.15pt;width:95.35pt;height:13.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" strokecolor="black [3200]">
                <v:stroke endarrow="block" joinstyle="miter"/>
              </v:shape>
            </w:pict>
          </mc:Fallback>
        </mc:AlternateContent>
      </w:r>
      <w:r>
        <w:rPr>
          <w:noProof/>
          <w:lang w:eastAsia="en-GB"/>
        </w:rPr>
        <w:t xml:space="preserve"> </w:t>
      </w:r>
      <w:r>
        <w:rPr>
          <w:noProof/>
          <w:lang w:eastAsia="en-GB"/>
        </w:rPr>
        <w:drawing>
          <wp:inline distT="0" distB="0" distL="0" distR="0" wp14:anchorId="2A04B113" wp14:editId="1109F302">
            <wp:extent cx="5752682" cy="6525895"/>
            <wp:effectExtent l="0" t="0" r="0" b="4635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080F00">
        <w:t xml:space="preserve"> </w:t>
      </w:r>
    </w:p>
    <w:p w14:paraId="29611681" w14:textId="77777777" w:rsidR="00727A2B" w:rsidRPr="00080F00" w:rsidRDefault="00727A2B" w:rsidP="00727A2B">
      <w:pPr>
        <w:rPr>
          <w:sz w:val="32"/>
          <w:szCs w:val="32"/>
        </w:rPr>
      </w:pPr>
      <w:r>
        <w:rPr>
          <w:sz w:val="32"/>
          <w:szCs w:val="32"/>
        </w:rPr>
        <w:t>Figure 1. Schematic representation of three elements of the late medieval artisanal and mercantile house.</w:t>
      </w:r>
    </w:p>
    <w:p w14:paraId="0CA91BB2" w14:textId="77777777" w:rsidR="00727A2B" w:rsidRPr="00B938BD" w:rsidRDefault="00727A2B" w:rsidP="00943DC8">
      <w:pPr>
        <w:spacing w:line="360" w:lineRule="auto"/>
        <w:ind w:firstLine="720"/>
        <w:rPr>
          <w:rFonts w:ascii="Times New Roman" w:hAnsi="Times New Roman" w:cs="Times New Roman"/>
          <w:sz w:val="24"/>
          <w:szCs w:val="24"/>
        </w:rPr>
      </w:pPr>
    </w:p>
    <w:sectPr w:rsidR="00727A2B" w:rsidRPr="00B938B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na Boeles Rowland" w:date="2017-12-05T11:53:00Z" w:initials="AB">
    <w:p w14:paraId="1F541258" w14:textId="31B60166" w:rsidR="002607B0" w:rsidRDefault="002607B0">
      <w:pPr>
        <w:pStyle w:val="CommentText"/>
      </w:pPr>
      <w:r>
        <w:rPr>
          <w:rStyle w:val="CommentReference"/>
        </w:rPr>
        <w:annotationRef/>
      </w:r>
      <w:r>
        <w:t xml:space="preserve">Perhaps an image could be inserted at the start of the piece? </w:t>
      </w:r>
    </w:p>
    <w:p w14:paraId="68E09A54" w14:textId="77777777" w:rsidR="002607B0" w:rsidRDefault="002607B0">
      <w:pPr>
        <w:pStyle w:val="CommentText"/>
      </w:pPr>
    </w:p>
  </w:comment>
  <w:comment w:id="1" w:author="Jeremy Goldberg" w:date="2017-12-22T23:05:00Z" w:initials="JG">
    <w:p w14:paraId="0B8D7324" w14:textId="04DE7A5F" w:rsidR="002607B0" w:rsidRDefault="002607B0">
      <w:pPr>
        <w:pStyle w:val="CommentText"/>
      </w:pPr>
      <w:r>
        <w:rPr>
          <w:rStyle w:val="CommentReference"/>
        </w:rPr>
        <w:annotationRef/>
      </w:r>
      <w:r>
        <w:t>There is a nice image of a street of timber-framed buildings available on Wikimedia Commons at</w:t>
      </w:r>
    </w:p>
    <w:p w14:paraId="5C1AA2A5" w14:textId="77777777" w:rsidR="002607B0" w:rsidRDefault="002607B0">
      <w:pPr>
        <w:pStyle w:val="CommentText"/>
      </w:pPr>
    </w:p>
    <w:p w14:paraId="66094D99" w14:textId="0967192D" w:rsidR="002607B0" w:rsidRDefault="00AC7D2D">
      <w:pPr>
        <w:pStyle w:val="CommentText"/>
      </w:pPr>
      <w:hyperlink r:id="rId1" w:history="1">
        <w:r w:rsidR="002607B0" w:rsidRPr="00100649">
          <w:rPr>
            <w:rStyle w:val="Hyperlink"/>
          </w:rPr>
          <w:t>https://upload.wikimedia.org/wikipedia/commons/1/13/Water_Street%2C_Lavenham-geograph-1846448.jpg</w:t>
        </w:r>
      </w:hyperlink>
    </w:p>
    <w:p w14:paraId="09C61496" w14:textId="77777777" w:rsidR="002607B0" w:rsidRDefault="002607B0">
      <w:pPr>
        <w:pStyle w:val="CommentText"/>
      </w:pPr>
    </w:p>
    <w:p w14:paraId="7A5BBEF8" w14:textId="6369199A" w:rsidR="002607B0" w:rsidRDefault="002607B0">
      <w:pPr>
        <w:pStyle w:val="CommentText"/>
      </w:pPr>
      <w:r>
        <w:rPr>
          <w:noProof/>
          <w:lang w:eastAsia="en-GB"/>
        </w:rPr>
        <w:drawing>
          <wp:inline distT="0" distB="0" distL="0" distR="0" wp14:anchorId="16EDA92A" wp14:editId="5EEC9870">
            <wp:extent cx="1530000" cy="1152000"/>
            <wp:effectExtent l="0" t="0" r="0" b="0"/>
            <wp:docPr id="1" name="Picture 1" descr="https://upload.wikimedia.org/wikipedia/commons/1/13/Water_Street%2C_Lavenham-geograph-184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3/Water_Street%2C_Lavenham-geograph-184644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000" cy="1152000"/>
                    </a:xfrm>
                    <a:prstGeom prst="rect">
                      <a:avLst/>
                    </a:prstGeom>
                    <a:noFill/>
                    <a:ln>
                      <a:noFill/>
                    </a:ln>
                  </pic:spPr>
                </pic:pic>
              </a:graphicData>
            </a:graphic>
          </wp:inline>
        </w:drawing>
      </w:r>
    </w:p>
    <w:p w14:paraId="7FC582A7" w14:textId="77777777" w:rsidR="002607B0" w:rsidRDefault="002607B0">
      <w:pPr>
        <w:pStyle w:val="CommentText"/>
      </w:pPr>
    </w:p>
    <w:p w14:paraId="57323628" w14:textId="1E045B95" w:rsidR="002607B0" w:rsidRDefault="002607B0">
      <w:pPr>
        <w:pStyle w:val="CommentText"/>
      </w:pPr>
      <w:r>
        <w:t xml:space="preserve">Alternatively there is this Wikimedia Commons picture of Lady Row, </w:t>
      </w:r>
      <w:proofErr w:type="spellStart"/>
      <w:r>
        <w:t>Goodramgate</w:t>
      </w:r>
      <w:proofErr w:type="spellEnd"/>
      <w:r>
        <w:t>, York</w:t>
      </w:r>
    </w:p>
    <w:p w14:paraId="3BD2B8B2" w14:textId="77777777" w:rsidR="002607B0" w:rsidRDefault="002607B0">
      <w:pPr>
        <w:pStyle w:val="CommentText"/>
      </w:pPr>
    </w:p>
    <w:p w14:paraId="283A3195" w14:textId="58E280D1" w:rsidR="002607B0" w:rsidRDefault="00AC7D2D">
      <w:pPr>
        <w:pStyle w:val="CommentText"/>
      </w:pPr>
      <w:hyperlink r:id="rId3" w:history="1">
        <w:r w:rsidR="002607B0" w:rsidRPr="00E74BE4">
          <w:rPr>
            <w:rStyle w:val="Hyperlink"/>
          </w:rPr>
          <w:t>https://upload.wikimedia.org/wikipedia/commons/8/80/Lady_Row%2C_Goodramgate_-_geograph.org.uk_-_676090.jpg</w:t>
        </w:r>
      </w:hyperlink>
    </w:p>
    <w:p w14:paraId="0A0A8DA1" w14:textId="77777777" w:rsidR="002607B0" w:rsidRDefault="002607B0">
      <w:pPr>
        <w:pStyle w:val="CommentText"/>
      </w:pPr>
    </w:p>
    <w:p w14:paraId="0474C53F" w14:textId="7A14A742" w:rsidR="002607B0" w:rsidRDefault="002607B0">
      <w:pPr>
        <w:pStyle w:val="CommentText"/>
      </w:pPr>
      <w:r>
        <w:rPr>
          <w:noProof/>
          <w:lang w:eastAsia="en-GB"/>
        </w:rPr>
        <w:drawing>
          <wp:inline distT="0" distB="0" distL="0" distR="0" wp14:anchorId="196A2505" wp14:editId="069D291E">
            <wp:extent cx="1648800" cy="1378800"/>
            <wp:effectExtent l="0" t="0" r="8890" b="0"/>
            <wp:docPr id="2" name="Picture 2" descr="https://upload.wikimedia.org/wikipedia/commons/8/80/Lady_Row%2C_Goodramgate_-_geograph.org.uk_-_676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0/Lady_Row%2C_Goodramgate_-_geograph.org.uk_-_67609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8800" cy="137880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09A54" w15:done="0"/>
  <w15:commentEx w15:paraId="0474C5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E84D" w14:textId="77777777" w:rsidR="00AC7D2D" w:rsidRDefault="00AC7D2D" w:rsidP="00C83116">
      <w:pPr>
        <w:spacing w:after="0" w:line="240" w:lineRule="auto"/>
      </w:pPr>
      <w:r>
        <w:separator/>
      </w:r>
    </w:p>
  </w:endnote>
  <w:endnote w:type="continuationSeparator" w:id="0">
    <w:p w14:paraId="279A9363" w14:textId="77777777" w:rsidR="00AC7D2D" w:rsidRDefault="00AC7D2D" w:rsidP="00C8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3098C" w14:textId="77777777" w:rsidR="00AC7D2D" w:rsidRDefault="00AC7D2D" w:rsidP="00C83116">
      <w:pPr>
        <w:spacing w:after="0" w:line="240" w:lineRule="auto"/>
      </w:pPr>
      <w:r>
        <w:separator/>
      </w:r>
    </w:p>
  </w:footnote>
  <w:footnote w:type="continuationSeparator" w:id="0">
    <w:p w14:paraId="6EA77E7F" w14:textId="77777777" w:rsidR="00AC7D2D" w:rsidRDefault="00AC7D2D" w:rsidP="00C83116">
      <w:pPr>
        <w:spacing w:after="0" w:line="240" w:lineRule="auto"/>
      </w:pPr>
      <w:r>
        <w:continuationSeparator/>
      </w:r>
    </w:p>
  </w:footnote>
  <w:footnote w:id="1">
    <w:p w14:paraId="30E21B85" w14:textId="0B9C480D" w:rsidR="002607B0" w:rsidRPr="00AC7B73" w:rsidRDefault="002607B0">
      <w:pPr>
        <w:pStyle w:val="FootnoteText"/>
      </w:pPr>
      <w:r>
        <w:rPr>
          <w:rStyle w:val="FootnoteReference"/>
        </w:rPr>
        <w:footnoteRef/>
      </w:r>
      <w:r>
        <w:t xml:space="preserve"> The literature is extensive. See for example Jane Grenville, </w:t>
      </w:r>
      <w:r w:rsidRPr="00F369E0">
        <w:rPr>
          <w:i/>
        </w:rPr>
        <w:t>Medieval Housing</w:t>
      </w:r>
      <w:r>
        <w:t xml:space="preserve"> (London, 1997); John Schofield, </w:t>
      </w:r>
      <w:r w:rsidRPr="00E87362">
        <w:rPr>
          <w:i/>
        </w:rPr>
        <w:t>Medieval London Houses</w:t>
      </w:r>
      <w:r>
        <w:t xml:space="preserve"> (New Haven, 2003); Anthony </w:t>
      </w:r>
      <w:proofErr w:type="spellStart"/>
      <w:r>
        <w:t>Quiney</w:t>
      </w:r>
      <w:proofErr w:type="spellEnd"/>
      <w:r>
        <w:t xml:space="preserve">, </w:t>
      </w:r>
      <w:r w:rsidRPr="00AC7B73">
        <w:rPr>
          <w:i/>
        </w:rPr>
        <w:t>Town Houses of Medieval Britain</w:t>
      </w:r>
      <w:r>
        <w:t xml:space="preserve"> (New Haven, 2003); Matthew Johnson, </w:t>
      </w:r>
      <w:r w:rsidRPr="00AC7B73">
        <w:rPr>
          <w:i/>
        </w:rPr>
        <w:t>English Houses 1300-1800: Vernacular Architecture, Social Life</w:t>
      </w:r>
      <w:r>
        <w:rPr>
          <w:i/>
        </w:rPr>
        <w:t xml:space="preserve"> </w:t>
      </w:r>
      <w:r>
        <w:t>(Harlow, 2010).</w:t>
      </w:r>
    </w:p>
  </w:footnote>
  <w:footnote w:id="2">
    <w:p w14:paraId="0FDF0F98" w14:textId="5983D742" w:rsidR="00B17D96" w:rsidRDefault="00B17D96">
      <w:pPr>
        <w:pStyle w:val="FootnoteText"/>
      </w:pPr>
      <w:r>
        <w:rPr>
          <w:rStyle w:val="FootnoteReference"/>
        </w:rPr>
        <w:footnoteRef/>
      </w:r>
      <w:r>
        <w:t xml:space="preserve"> </w:t>
      </w:r>
      <w:r>
        <w:t xml:space="preserve">For a discussion of contemporary understandings of house as home see Alison Blunt and Robyn Dowling, </w:t>
      </w:r>
      <w:r w:rsidRPr="00705D5A">
        <w:rPr>
          <w:i/>
        </w:rPr>
        <w:t>Home</w:t>
      </w:r>
      <w:r>
        <w:t xml:space="preserve"> (Abingdon, 2006), 88-132.</w:t>
      </w:r>
    </w:p>
  </w:footnote>
  <w:footnote w:id="3">
    <w:p w14:paraId="6D46943B" w14:textId="0584D03A" w:rsidR="002607B0" w:rsidRDefault="002607B0">
      <w:pPr>
        <w:pStyle w:val="FootnoteText"/>
      </w:pPr>
      <w:r>
        <w:rPr>
          <w:rStyle w:val="FootnoteReference"/>
        </w:rPr>
        <w:footnoteRef/>
      </w:r>
      <w:r>
        <w:t xml:space="preserve"> P.J.P. Goldberg, </w:t>
      </w:r>
      <w:r w:rsidRPr="00E0140A">
        <w:rPr>
          <w:i/>
        </w:rPr>
        <w:t>Women, Work, and Life Cycle in a Medieval Economy: Women in York and Yorkshire c</w:t>
      </w:r>
      <w:r>
        <w:rPr>
          <w:i/>
        </w:rPr>
        <w:t>.</w:t>
      </w:r>
      <w:r w:rsidRPr="00E0140A">
        <w:rPr>
          <w:i/>
        </w:rPr>
        <w:t xml:space="preserve"> 1300-1520</w:t>
      </w:r>
      <w:r>
        <w:t xml:space="preserve"> (Oxford, 1992), 77.</w:t>
      </w:r>
    </w:p>
  </w:footnote>
  <w:footnote w:id="4">
    <w:p w14:paraId="47B1903F" w14:textId="5334E8B5" w:rsidR="002607B0" w:rsidRPr="00681C78" w:rsidRDefault="002607B0">
      <w:pPr>
        <w:pStyle w:val="FootnoteText"/>
      </w:pPr>
      <w:r>
        <w:rPr>
          <w:rStyle w:val="FootnoteReference"/>
        </w:rPr>
        <w:footnoteRef/>
      </w:r>
      <w:r>
        <w:t xml:space="preserve"> P.M. </w:t>
      </w:r>
      <w:proofErr w:type="spellStart"/>
      <w:r>
        <w:t>Tillott</w:t>
      </w:r>
      <w:proofErr w:type="spellEnd"/>
      <w:r>
        <w:t xml:space="preserve">, ed., </w:t>
      </w:r>
      <w:r w:rsidRPr="00681C78">
        <w:rPr>
          <w:i/>
        </w:rPr>
        <w:t>A History of the County of York: the City of York</w:t>
      </w:r>
      <w:r w:rsidRPr="00681C78">
        <w:t xml:space="preserve"> </w:t>
      </w:r>
      <w:r>
        <w:t>(London, 1961), 84-91.</w:t>
      </w:r>
    </w:p>
  </w:footnote>
  <w:footnote w:id="5">
    <w:p w14:paraId="01F7A1A0" w14:textId="2FD044F7" w:rsidR="002607B0" w:rsidRPr="001775E8" w:rsidRDefault="002607B0" w:rsidP="001775E8">
      <w:pPr>
        <w:pStyle w:val="NoSpacing"/>
        <w:rPr>
          <w:sz w:val="20"/>
          <w:szCs w:val="20"/>
        </w:rPr>
      </w:pPr>
      <w:r w:rsidRPr="001775E8">
        <w:rPr>
          <w:rStyle w:val="FootnoteReference"/>
          <w:sz w:val="20"/>
          <w:szCs w:val="20"/>
        </w:rPr>
        <w:footnoteRef/>
      </w:r>
      <w:r w:rsidRPr="001775E8">
        <w:t xml:space="preserve"> </w:t>
      </w:r>
      <w:r w:rsidRPr="001775E8">
        <w:rPr>
          <w:sz w:val="20"/>
          <w:szCs w:val="20"/>
        </w:rPr>
        <w:t xml:space="preserve">Jenny Kermode, </w:t>
      </w:r>
      <w:r w:rsidRPr="001775E8">
        <w:rPr>
          <w:rStyle w:val="fn"/>
          <w:rFonts w:cs="Arial"/>
          <w:i/>
          <w:color w:val="333333"/>
          <w:sz w:val="20"/>
          <w:szCs w:val="20"/>
        </w:rPr>
        <w:t>Medieval Merchants</w:t>
      </w:r>
      <w:r w:rsidRPr="001775E8">
        <w:rPr>
          <w:i/>
          <w:sz w:val="20"/>
          <w:szCs w:val="20"/>
        </w:rPr>
        <w:t>: </w:t>
      </w:r>
      <w:r w:rsidRPr="001775E8">
        <w:rPr>
          <w:rStyle w:val="Subtitle1"/>
          <w:rFonts w:cs="Arial"/>
          <w:bCs/>
          <w:i/>
          <w:color w:val="333333"/>
          <w:sz w:val="20"/>
          <w:szCs w:val="20"/>
        </w:rPr>
        <w:t>York, Beverley and Hull in the Later Middle Ages</w:t>
      </w:r>
      <w:r>
        <w:rPr>
          <w:rStyle w:val="Subtitle1"/>
          <w:rFonts w:cs="Arial"/>
          <w:bCs/>
          <w:color w:val="333333"/>
          <w:sz w:val="20"/>
          <w:szCs w:val="20"/>
        </w:rPr>
        <w:t xml:space="preserve"> (Cambridge, 2002), </w:t>
      </w:r>
      <w:proofErr w:type="spellStart"/>
      <w:r>
        <w:rPr>
          <w:rStyle w:val="Subtitle1"/>
          <w:rFonts w:cs="Arial"/>
          <w:bCs/>
          <w:color w:val="333333"/>
          <w:sz w:val="20"/>
          <w:szCs w:val="20"/>
        </w:rPr>
        <w:t>ch.</w:t>
      </w:r>
      <w:proofErr w:type="spellEnd"/>
      <w:r>
        <w:rPr>
          <w:rStyle w:val="Subtitle1"/>
          <w:rFonts w:cs="Arial"/>
          <w:bCs/>
          <w:color w:val="333333"/>
          <w:sz w:val="20"/>
          <w:szCs w:val="20"/>
        </w:rPr>
        <w:t xml:space="preserve"> 5. </w:t>
      </w:r>
    </w:p>
  </w:footnote>
  <w:footnote w:id="6">
    <w:p w14:paraId="14001759" w14:textId="0F684F5E" w:rsidR="002607B0" w:rsidRPr="00734594" w:rsidRDefault="002607B0" w:rsidP="001775E8">
      <w:pPr>
        <w:pStyle w:val="NoSpacing"/>
        <w:rPr>
          <w:sz w:val="20"/>
          <w:szCs w:val="20"/>
        </w:rPr>
      </w:pPr>
      <w:r w:rsidRPr="001775E8">
        <w:rPr>
          <w:rStyle w:val="FootnoteReference"/>
          <w:sz w:val="20"/>
          <w:szCs w:val="20"/>
        </w:rPr>
        <w:footnoteRef/>
      </w:r>
      <w:r w:rsidRPr="001775E8">
        <w:rPr>
          <w:sz w:val="20"/>
          <w:szCs w:val="20"/>
        </w:rPr>
        <w:t xml:space="preserve"> </w:t>
      </w:r>
      <w:r>
        <w:rPr>
          <w:sz w:val="20"/>
          <w:szCs w:val="20"/>
        </w:rPr>
        <w:t xml:space="preserve">Of 332 extant files (excluding appeals) for the period 1300-1500, 134 (some 40 per cent) are matrimonial cases. Tithe cases are the next largest category at 44 (13.2 per cent), followed by testamentary (37), defamation (36), breach of faith (28), and violation of church rights (27). There are a further 201 appeals, of which a significant proportion are also matrimonial. </w:t>
      </w:r>
      <w:r w:rsidRPr="001775E8">
        <w:rPr>
          <w:rFonts w:eastAsia="Times New Roman" w:cs="Times New Roman"/>
          <w:color w:val="222222"/>
          <w:sz w:val="20"/>
          <w:szCs w:val="20"/>
          <w:lang w:eastAsia="en-GB"/>
        </w:rPr>
        <w:t>Ideally we</w:t>
      </w:r>
      <w:r w:rsidRPr="004E48BE">
        <w:rPr>
          <w:rFonts w:eastAsia="Times New Roman" w:cs="Times New Roman"/>
          <w:color w:val="222222"/>
          <w:lang w:eastAsia="en-GB"/>
        </w:rPr>
        <w:t xml:space="preserve"> </w:t>
      </w:r>
      <w:r w:rsidRPr="001775E8">
        <w:rPr>
          <w:rFonts w:eastAsia="Times New Roman" w:cs="Times New Roman"/>
          <w:color w:val="222222"/>
          <w:sz w:val="20"/>
          <w:szCs w:val="20"/>
          <w:lang w:eastAsia="en-GB"/>
        </w:rPr>
        <w:t>would use property deeds to map these sources onto extant buildings</w:t>
      </w:r>
      <w:r>
        <w:rPr>
          <w:rFonts w:eastAsia="Times New Roman" w:cs="Times New Roman"/>
          <w:color w:val="222222"/>
          <w:sz w:val="20"/>
          <w:szCs w:val="20"/>
          <w:lang w:eastAsia="en-GB"/>
        </w:rPr>
        <w:t>, but this</w:t>
      </w:r>
      <w:r w:rsidRPr="001775E8">
        <w:rPr>
          <w:rFonts w:eastAsia="Times New Roman" w:cs="Times New Roman"/>
          <w:color w:val="222222"/>
          <w:sz w:val="20"/>
          <w:szCs w:val="20"/>
          <w:lang w:eastAsia="en-GB"/>
        </w:rPr>
        <w:t xml:space="preserve"> is beyond the scope of this article.</w:t>
      </w:r>
      <w:r>
        <w:rPr>
          <w:rFonts w:eastAsia="Times New Roman" w:cs="Times New Roman"/>
          <w:color w:val="222222"/>
          <w:sz w:val="20"/>
          <w:szCs w:val="20"/>
          <w:lang w:eastAsia="en-GB"/>
        </w:rPr>
        <w:t xml:space="preserve"> I</w:t>
      </w:r>
      <w:r w:rsidRPr="001775E8">
        <w:rPr>
          <w:rFonts w:eastAsia="Times New Roman" w:cs="Times New Roman"/>
          <w:color w:val="222222"/>
          <w:sz w:val="20"/>
          <w:szCs w:val="20"/>
          <w:lang w:eastAsia="en-GB"/>
        </w:rPr>
        <w:t>t is n</w:t>
      </w:r>
      <w:r>
        <w:rPr>
          <w:rFonts w:eastAsia="Times New Roman" w:cs="Times New Roman"/>
          <w:color w:val="222222"/>
          <w:sz w:val="20"/>
          <w:szCs w:val="20"/>
          <w:lang w:eastAsia="en-GB"/>
        </w:rPr>
        <w:t xml:space="preserve">ot at all clear whether </w:t>
      </w:r>
      <w:r w:rsidRPr="001775E8">
        <w:rPr>
          <w:rFonts w:eastAsia="Times New Roman" w:cs="Times New Roman"/>
          <w:color w:val="222222"/>
          <w:sz w:val="20"/>
          <w:szCs w:val="20"/>
          <w:lang w:eastAsia="en-GB"/>
        </w:rPr>
        <w:t>any inventories or Church court cases in fact relate to extant structures</w:t>
      </w:r>
      <w:r>
        <w:rPr>
          <w:rFonts w:eastAsia="Times New Roman" w:cs="Times New Roman"/>
          <w:color w:val="222222"/>
          <w:sz w:val="20"/>
          <w:szCs w:val="20"/>
          <w:lang w:eastAsia="en-GB"/>
        </w:rPr>
        <w:t>.</w:t>
      </w:r>
      <w:r w:rsidRPr="001775E8">
        <w:rPr>
          <w:rFonts w:eastAsia="Times New Roman" w:cs="Times New Roman"/>
          <w:color w:val="222222"/>
          <w:sz w:val="20"/>
          <w:szCs w:val="20"/>
          <w:lang w:eastAsia="en-GB"/>
        </w:rPr>
        <w:t xml:space="preserve"> </w:t>
      </w:r>
    </w:p>
  </w:footnote>
  <w:footnote w:id="7">
    <w:p w14:paraId="628C68DB" w14:textId="41F01F5B" w:rsidR="002607B0" w:rsidRDefault="002607B0">
      <w:pPr>
        <w:pStyle w:val="FootnoteText"/>
      </w:pPr>
      <w:r>
        <w:rPr>
          <w:rStyle w:val="FootnoteReference"/>
        </w:rPr>
        <w:footnoteRef/>
      </w:r>
      <w:r>
        <w:t xml:space="preserve"> I have here used published translations by Philip </w:t>
      </w:r>
      <w:proofErr w:type="spellStart"/>
      <w:r>
        <w:t>Stell</w:t>
      </w:r>
      <w:proofErr w:type="spellEnd"/>
      <w:r>
        <w:t xml:space="preserve"> together with some transcriptions made by James </w:t>
      </w:r>
      <w:proofErr w:type="spellStart"/>
      <w:r>
        <w:t>Raine</w:t>
      </w:r>
      <w:proofErr w:type="spellEnd"/>
      <w:r>
        <w:t xml:space="preserve">. Some inexpensive items, particularly wooden </w:t>
      </w:r>
      <w:r w:rsidR="0085167B">
        <w:t xml:space="preserve">and ceramic </w:t>
      </w:r>
      <w:r>
        <w:t xml:space="preserve">items, were probably excluded from the appraisal: Philip </w:t>
      </w:r>
      <w:proofErr w:type="spellStart"/>
      <w:r>
        <w:t>Stell</w:t>
      </w:r>
      <w:proofErr w:type="spellEnd"/>
      <w:r>
        <w:t xml:space="preserve">, trans., </w:t>
      </w:r>
      <w:r w:rsidRPr="00DF2581">
        <w:rPr>
          <w:i/>
        </w:rPr>
        <w:t>Probate Inventories of the York Diocese, 1300-1500</w:t>
      </w:r>
      <w:r>
        <w:t xml:space="preserve">, The Archaeology of York: Historical Sources for York Archaeology after AD1100, 2/3 (York, 2006); </w:t>
      </w:r>
      <w:r w:rsidRPr="00B57905">
        <w:t xml:space="preserve">James </w:t>
      </w:r>
      <w:proofErr w:type="spellStart"/>
      <w:r w:rsidRPr="00B57905">
        <w:t>Raine</w:t>
      </w:r>
      <w:proofErr w:type="spellEnd"/>
      <w:r w:rsidRPr="00B57905">
        <w:t xml:space="preserve">, ed., </w:t>
      </w:r>
      <w:proofErr w:type="spellStart"/>
      <w:r w:rsidRPr="00B57905">
        <w:rPr>
          <w:i/>
        </w:rPr>
        <w:t>Testamenta</w:t>
      </w:r>
      <w:proofErr w:type="spellEnd"/>
      <w:r w:rsidRPr="00B57905">
        <w:rPr>
          <w:i/>
        </w:rPr>
        <w:t xml:space="preserve"> </w:t>
      </w:r>
      <w:proofErr w:type="spellStart"/>
      <w:r w:rsidRPr="00B57905">
        <w:rPr>
          <w:i/>
        </w:rPr>
        <w:t>Eboracensia</w:t>
      </w:r>
      <w:proofErr w:type="spellEnd"/>
      <w:r w:rsidRPr="00B57905">
        <w:t>, 6 volumes, Surtees Society, 4, 30, 45, 53, 79, 106 (1836-1902),</w:t>
      </w:r>
      <w:r>
        <w:t xml:space="preserve"> iii and iv.</w:t>
      </w:r>
      <w:r w:rsidR="00E26E44">
        <w:t xml:space="preserve"> For t</w:t>
      </w:r>
      <w:r w:rsidR="00EA605C">
        <w:t>he value of inventories for understanding the u</w:t>
      </w:r>
      <w:r w:rsidR="00E26E44">
        <w:t>se of space s</w:t>
      </w:r>
      <w:r w:rsidR="00EA605C">
        <w:t xml:space="preserve">ee for example </w:t>
      </w:r>
      <w:r w:rsidR="00E26E44">
        <w:t xml:space="preserve">P.J.P. Goldberg, ‘The fashioning of bourgeois domesticity in later medieval England: a material culture perspective’, in </w:t>
      </w:r>
      <w:r w:rsidR="00E26E44">
        <w:t xml:space="preserve">Maryanne </w:t>
      </w:r>
      <w:proofErr w:type="spellStart"/>
      <w:r w:rsidR="00E26E44">
        <w:t>Kowaleski</w:t>
      </w:r>
      <w:proofErr w:type="spellEnd"/>
      <w:r w:rsidR="00E26E44">
        <w:t xml:space="preserve"> and </w:t>
      </w:r>
      <w:r w:rsidR="00E26E44">
        <w:t xml:space="preserve">P.J.P. </w:t>
      </w:r>
      <w:r w:rsidR="00E26E44">
        <w:t xml:space="preserve">Goldberg, eds., </w:t>
      </w:r>
      <w:r w:rsidR="00E26E44" w:rsidRPr="003F6C34">
        <w:rPr>
          <w:i/>
        </w:rPr>
        <w:t>Medieval Domesticity</w:t>
      </w:r>
      <w:r w:rsidR="00E26E44">
        <w:t xml:space="preserve">, </w:t>
      </w:r>
      <w:r w:rsidR="003E4DC1">
        <w:t>124-44</w:t>
      </w:r>
      <w:r w:rsidR="00E26E44">
        <w:t xml:space="preserve">; </w:t>
      </w:r>
      <w:r w:rsidR="00EA605C" w:rsidRPr="002E534F">
        <w:t>Christopher Dyer, ‘</w:t>
      </w:r>
      <w:r w:rsidR="00EA605C">
        <w:t>Living in peasant h</w:t>
      </w:r>
      <w:r w:rsidR="00EA605C" w:rsidRPr="002E534F">
        <w:t>o</w:t>
      </w:r>
      <w:r w:rsidR="00EA605C">
        <w:t>u</w:t>
      </w:r>
      <w:r w:rsidR="00EA605C" w:rsidRPr="002E534F">
        <w:t xml:space="preserve">ses in late medieval England’, </w:t>
      </w:r>
      <w:r w:rsidR="00EA605C" w:rsidRPr="002E534F">
        <w:rPr>
          <w:i/>
        </w:rPr>
        <w:t>Vernacular Architecture</w:t>
      </w:r>
      <w:r w:rsidR="00EA605C" w:rsidRPr="002E534F">
        <w:t>, 44 (2013),</w:t>
      </w:r>
      <w:r w:rsidR="00F53E1D">
        <w:t xml:space="preserve"> 19-27</w:t>
      </w:r>
      <w:r w:rsidR="00DD37DA">
        <w:t xml:space="preserve">. </w:t>
      </w:r>
      <w:r w:rsidR="00142384">
        <w:t xml:space="preserve">See also Barbara A. </w:t>
      </w:r>
      <w:proofErr w:type="spellStart"/>
      <w:r w:rsidR="00142384">
        <w:t>Hanawalt</w:t>
      </w:r>
      <w:proofErr w:type="spellEnd"/>
      <w:r w:rsidR="00142384">
        <w:t xml:space="preserve">, </w:t>
      </w:r>
      <w:r w:rsidR="00142384" w:rsidRPr="00142384">
        <w:rPr>
          <w:i/>
        </w:rPr>
        <w:t xml:space="preserve">Growing Up in Medieval London: The Experience of Childhood in History </w:t>
      </w:r>
      <w:r w:rsidR="00142384" w:rsidRPr="00CF4B9A">
        <w:t>(New York, 1993)</w:t>
      </w:r>
      <w:r w:rsidR="00CF4B9A">
        <w:t>, 25-6; Maurice Howard, ‘</w:t>
      </w:r>
      <w:r w:rsidR="00CF4B9A" w:rsidRPr="00CF4B9A">
        <w:t>Inventories, Surveys and the Hi</w:t>
      </w:r>
      <w:r w:rsidR="00CF4B9A">
        <w:t xml:space="preserve">story of Great Houses 1480-1640’, </w:t>
      </w:r>
      <w:r w:rsidR="00CF4B9A" w:rsidRPr="00CF4B9A">
        <w:rPr>
          <w:i/>
        </w:rPr>
        <w:t>Architectural History</w:t>
      </w:r>
      <w:r w:rsidR="00CF4B9A">
        <w:t xml:space="preserve">, </w:t>
      </w:r>
      <w:r w:rsidR="00CF4B9A" w:rsidRPr="00CF4B9A">
        <w:t>41</w:t>
      </w:r>
      <w:r w:rsidR="00CF4B9A">
        <w:t xml:space="preserve"> (1998), </w:t>
      </w:r>
      <w:r w:rsidR="00CF4B9A" w:rsidRPr="00CF4B9A">
        <w:t>14-29</w:t>
      </w:r>
      <w:r w:rsidR="00CF4B9A">
        <w:t>.</w:t>
      </w:r>
    </w:p>
  </w:footnote>
  <w:footnote w:id="8">
    <w:p w14:paraId="3F9F7AE4" w14:textId="77777777" w:rsidR="002607B0" w:rsidRPr="00B57905" w:rsidRDefault="002607B0" w:rsidP="00390730">
      <w:pPr>
        <w:pStyle w:val="FootnoteText"/>
      </w:pPr>
      <w:r>
        <w:rPr>
          <w:rStyle w:val="FootnoteReference"/>
        </w:rPr>
        <w:footnoteRef/>
      </w:r>
      <w:r>
        <w:t xml:space="preserve"> Only persons below canonical majority were debarred from testifying, though there was some preference for </w:t>
      </w:r>
      <w:r w:rsidRPr="00B57905">
        <w:t>older and for male witnesses.</w:t>
      </w:r>
    </w:p>
  </w:footnote>
  <w:footnote w:id="9">
    <w:p w14:paraId="5E4D1797" w14:textId="5A2E7C50" w:rsidR="002607B0" w:rsidRPr="00390730" w:rsidRDefault="002607B0" w:rsidP="00390730">
      <w:pPr>
        <w:shd w:val="clear" w:color="auto" w:fill="FFFFFF"/>
        <w:spacing w:after="0" w:line="240" w:lineRule="auto"/>
        <w:rPr>
          <w:rFonts w:eastAsia="Times New Roman" w:cstheme="minorHAnsi"/>
          <w:b/>
          <w:bCs/>
          <w:color w:val="0A0A0A"/>
          <w:sz w:val="20"/>
          <w:szCs w:val="20"/>
          <w:lang w:eastAsia="en-GB"/>
        </w:rPr>
      </w:pPr>
      <w:r w:rsidRPr="00390730">
        <w:rPr>
          <w:rStyle w:val="FootnoteReference"/>
          <w:sz w:val="20"/>
          <w:szCs w:val="20"/>
        </w:rPr>
        <w:footnoteRef/>
      </w:r>
      <w:r w:rsidR="0082312F" w:rsidRPr="00390730">
        <w:rPr>
          <w:sz w:val="20"/>
          <w:szCs w:val="20"/>
        </w:rPr>
        <w:t xml:space="preserve"> Shannon </w:t>
      </w:r>
      <w:proofErr w:type="spellStart"/>
      <w:r w:rsidRPr="00390730">
        <w:rPr>
          <w:sz w:val="20"/>
          <w:szCs w:val="20"/>
        </w:rPr>
        <w:t>McSheffrey</w:t>
      </w:r>
      <w:proofErr w:type="spellEnd"/>
      <w:r w:rsidR="0082312F" w:rsidRPr="00390730">
        <w:rPr>
          <w:sz w:val="20"/>
          <w:szCs w:val="20"/>
        </w:rPr>
        <w:t xml:space="preserve"> talks in terms of ‘story’ and ‘narrative’</w:t>
      </w:r>
      <w:r w:rsidR="008D3194" w:rsidRPr="00390730">
        <w:rPr>
          <w:sz w:val="20"/>
          <w:szCs w:val="20"/>
        </w:rPr>
        <w:t xml:space="preserve"> where each case generates two competing narratives. The more important point is that the incidental spatial detail etc. has to be credible</w:t>
      </w:r>
      <w:r w:rsidR="00390730" w:rsidRPr="00390730">
        <w:rPr>
          <w:sz w:val="20"/>
          <w:szCs w:val="20"/>
        </w:rPr>
        <w:t xml:space="preserve"> irrespective of its specific historicity. See Shannon </w:t>
      </w:r>
      <w:proofErr w:type="spellStart"/>
      <w:r w:rsidR="00390730" w:rsidRPr="00390730">
        <w:rPr>
          <w:sz w:val="20"/>
          <w:szCs w:val="20"/>
        </w:rPr>
        <w:t>McSheffrey</w:t>
      </w:r>
      <w:proofErr w:type="spellEnd"/>
      <w:r w:rsidR="00390730" w:rsidRPr="00390730">
        <w:rPr>
          <w:sz w:val="20"/>
          <w:szCs w:val="20"/>
        </w:rPr>
        <w:t xml:space="preserve">, </w:t>
      </w:r>
      <w:r w:rsidR="00390730" w:rsidRPr="00390730">
        <w:rPr>
          <w:rFonts w:eastAsia="Times New Roman" w:cstheme="minorHAnsi"/>
          <w:bCs/>
          <w:i/>
          <w:color w:val="0A0A0A"/>
          <w:sz w:val="20"/>
          <w:szCs w:val="20"/>
          <w:lang w:eastAsia="en-GB"/>
        </w:rPr>
        <w:t>Marriage, Sex, and Civic Culture in Late Medieval London</w:t>
      </w:r>
      <w:r w:rsidR="00390730">
        <w:rPr>
          <w:rFonts w:eastAsia="Times New Roman" w:cstheme="minorHAnsi"/>
          <w:bCs/>
          <w:color w:val="0A0A0A"/>
          <w:sz w:val="20"/>
          <w:szCs w:val="20"/>
          <w:lang w:eastAsia="en-GB"/>
        </w:rPr>
        <w:t xml:space="preserve"> (Philadelphia, 2006), 131-2.</w:t>
      </w:r>
    </w:p>
  </w:footnote>
  <w:footnote w:id="10">
    <w:p w14:paraId="47D25CBD" w14:textId="4A87BDFF" w:rsidR="007B2213" w:rsidRDefault="007B2213">
      <w:pPr>
        <w:pStyle w:val="FootnoteText"/>
      </w:pPr>
      <w:r>
        <w:rPr>
          <w:rStyle w:val="FootnoteReference"/>
        </w:rPr>
        <w:footnoteRef/>
      </w:r>
      <w:r>
        <w:t xml:space="preserve"> </w:t>
      </w:r>
      <w:proofErr w:type="spellStart"/>
      <w:r>
        <w:t>McSheffrey</w:t>
      </w:r>
      <w:proofErr w:type="spellEnd"/>
      <w:r>
        <w:t xml:space="preserve"> uses late fifteenth-century depositions from the London Consistory to think about the use of space in respect of courtship and marriage: </w:t>
      </w:r>
      <w:r>
        <w:t xml:space="preserve">Shannon </w:t>
      </w:r>
      <w:proofErr w:type="spellStart"/>
      <w:r>
        <w:t>McSheffrey</w:t>
      </w:r>
      <w:proofErr w:type="spellEnd"/>
      <w:r>
        <w:t xml:space="preserve">, ‘Place, space, and situation: public and private in the making of marriage in late-medieval London’, </w:t>
      </w:r>
      <w:r w:rsidRPr="002967E1">
        <w:rPr>
          <w:i/>
        </w:rPr>
        <w:t>Speculum</w:t>
      </w:r>
      <w:r>
        <w:t>, 79 (2004),</w:t>
      </w:r>
      <w:r>
        <w:t xml:space="preserve"> 960-90.</w:t>
      </w:r>
      <w:r w:rsidR="008460D7">
        <w:t xml:space="preserve"> For a slightly later era some use of deposition material informs Tara </w:t>
      </w:r>
      <w:proofErr w:type="spellStart"/>
      <w:r w:rsidR="008460D7">
        <w:t>Hamling</w:t>
      </w:r>
      <w:proofErr w:type="spellEnd"/>
      <w:r w:rsidR="008460D7">
        <w:t xml:space="preserve"> and Catherine Richardson, </w:t>
      </w:r>
      <w:r w:rsidR="008460D7" w:rsidRPr="008460D7">
        <w:rPr>
          <w:i/>
        </w:rPr>
        <w:t>A Day at Home in Early Modern Europe</w:t>
      </w:r>
      <w:r w:rsidR="008460D7">
        <w:t xml:space="preserve"> (New Haven, 2017), especially 19, 50-1.</w:t>
      </w:r>
    </w:p>
  </w:footnote>
  <w:footnote w:id="11">
    <w:p w14:paraId="643A54CB" w14:textId="77777777" w:rsidR="002607B0" w:rsidRPr="00B57905" w:rsidRDefault="002607B0" w:rsidP="00390730">
      <w:pPr>
        <w:pStyle w:val="NoSpacing"/>
        <w:rPr>
          <w:sz w:val="20"/>
          <w:szCs w:val="20"/>
        </w:rPr>
      </w:pPr>
      <w:r w:rsidRPr="00B57905">
        <w:rPr>
          <w:rStyle w:val="FootnoteReference"/>
          <w:sz w:val="20"/>
          <w:szCs w:val="20"/>
        </w:rPr>
        <w:footnoteRef/>
      </w:r>
      <w:r w:rsidRPr="00B57905">
        <w:rPr>
          <w:sz w:val="20"/>
          <w:szCs w:val="20"/>
        </w:rPr>
        <w:t xml:space="preserve"> </w:t>
      </w:r>
      <w:proofErr w:type="spellStart"/>
      <w:r w:rsidRPr="00B57905">
        <w:rPr>
          <w:sz w:val="20"/>
          <w:szCs w:val="20"/>
        </w:rPr>
        <w:t>Stell</w:t>
      </w:r>
      <w:proofErr w:type="spellEnd"/>
      <w:r w:rsidRPr="00B57905">
        <w:rPr>
          <w:sz w:val="20"/>
          <w:szCs w:val="20"/>
        </w:rPr>
        <w:t xml:space="preserve">, trans., </w:t>
      </w:r>
      <w:r w:rsidRPr="00B57905">
        <w:rPr>
          <w:i/>
          <w:sz w:val="20"/>
          <w:szCs w:val="20"/>
        </w:rPr>
        <w:t>Probate Inventories</w:t>
      </w:r>
      <w:r w:rsidRPr="00B57905">
        <w:rPr>
          <w:sz w:val="20"/>
          <w:szCs w:val="20"/>
        </w:rPr>
        <w:t>, 645, 649, 658;</w:t>
      </w:r>
      <w:r w:rsidRPr="00BD38FD">
        <w:rPr>
          <w:i/>
        </w:rPr>
        <w:t xml:space="preserve"> </w:t>
      </w:r>
      <w:proofErr w:type="spellStart"/>
      <w:r w:rsidRPr="00BD38FD">
        <w:rPr>
          <w:i/>
        </w:rPr>
        <w:t>Testamenta</w:t>
      </w:r>
      <w:proofErr w:type="spellEnd"/>
      <w:r w:rsidRPr="00BD38FD">
        <w:rPr>
          <w:i/>
        </w:rPr>
        <w:t xml:space="preserve"> </w:t>
      </w:r>
      <w:proofErr w:type="spellStart"/>
      <w:r w:rsidRPr="00BD38FD">
        <w:rPr>
          <w:i/>
        </w:rPr>
        <w:t>Eboracensia</w:t>
      </w:r>
      <w:proofErr w:type="spellEnd"/>
      <w:r w:rsidRPr="00B57905">
        <w:rPr>
          <w:sz w:val="20"/>
          <w:szCs w:val="20"/>
        </w:rPr>
        <w:t xml:space="preserve">, </w:t>
      </w:r>
      <w:proofErr w:type="gramStart"/>
      <w:r w:rsidRPr="00B57905">
        <w:rPr>
          <w:sz w:val="20"/>
          <w:szCs w:val="20"/>
        </w:rPr>
        <w:t>iv</w:t>
      </w:r>
      <w:proofErr w:type="gramEnd"/>
      <w:r w:rsidRPr="00B57905">
        <w:rPr>
          <w:sz w:val="20"/>
          <w:szCs w:val="20"/>
        </w:rPr>
        <w:t>, 56-7.</w:t>
      </w:r>
    </w:p>
  </w:footnote>
  <w:footnote w:id="12">
    <w:p w14:paraId="2CD3D307" w14:textId="77777777" w:rsidR="002607B0" w:rsidRDefault="002607B0">
      <w:pPr>
        <w:pStyle w:val="FootnoteText"/>
      </w:pPr>
      <w:r w:rsidRPr="00B57905">
        <w:rPr>
          <w:rStyle w:val="FootnoteReference"/>
        </w:rPr>
        <w:footnoteRef/>
      </w:r>
      <w:r w:rsidRPr="00B57905">
        <w:t xml:space="preserve"> </w:t>
      </w:r>
      <w:proofErr w:type="spellStart"/>
      <w:r w:rsidRPr="00B57905">
        <w:t>Stell</w:t>
      </w:r>
      <w:proofErr w:type="spellEnd"/>
      <w:r w:rsidRPr="00B57905">
        <w:t xml:space="preserve">, trans., </w:t>
      </w:r>
      <w:r w:rsidRPr="00B57905">
        <w:rPr>
          <w:i/>
        </w:rPr>
        <w:t>Probate</w:t>
      </w:r>
      <w:r w:rsidRPr="00DF2581">
        <w:rPr>
          <w:i/>
        </w:rPr>
        <w:t xml:space="preserve"> Inventories</w:t>
      </w:r>
      <w:r>
        <w:t>, 534.</w:t>
      </w:r>
    </w:p>
  </w:footnote>
  <w:footnote w:id="13">
    <w:p w14:paraId="555380DE" w14:textId="77777777" w:rsidR="002607B0" w:rsidRDefault="002607B0">
      <w:pPr>
        <w:pStyle w:val="FootnoteText"/>
      </w:pPr>
      <w:r>
        <w:rPr>
          <w:rStyle w:val="FootnoteReference"/>
        </w:rPr>
        <w:footnoteRef/>
      </w:r>
      <w:r>
        <w:t xml:space="preserve"> York, </w:t>
      </w:r>
      <w:proofErr w:type="spellStart"/>
      <w:r>
        <w:t>Borthwick</w:t>
      </w:r>
      <w:proofErr w:type="spellEnd"/>
      <w:r>
        <w:t xml:space="preserve"> Institute for Archives (hereafter BI), CP.F.114.</w:t>
      </w:r>
    </w:p>
  </w:footnote>
  <w:footnote w:id="14">
    <w:p w14:paraId="76C120A7" w14:textId="1EB7516D" w:rsidR="002607B0" w:rsidRDefault="002607B0">
      <w:pPr>
        <w:pStyle w:val="FootnoteText"/>
      </w:pPr>
      <w:r w:rsidRPr="00A2716A">
        <w:rPr>
          <w:rStyle w:val="FootnoteReference"/>
        </w:rPr>
        <w:footnoteRef/>
      </w:r>
      <w:r>
        <w:t xml:space="preserve"> Shannon </w:t>
      </w:r>
      <w:proofErr w:type="spellStart"/>
      <w:r>
        <w:t>McSheffrey</w:t>
      </w:r>
      <w:proofErr w:type="spellEnd"/>
      <w:r>
        <w:t>, ‘Place, space, and situation</w:t>
      </w:r>
      <w:r w:rsidR="007B2213">
        <w:t>’,</w:t>
      </w:r>
      <w:r>
        <w:t xml:space="preserve"> 976-7.</w:t>
      </w:r>
    </w:p>
  </w:footnote>
  <w:footnote w:id="15">
    <w:p w14:paraId="7F83AFDE"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560, 662.</w:t>
      </w:r>
    </w:p>
  </w:footnote>
  <w:footnote w:id="16">
    <w:p w14:paraId="79FED513" w14:textId="77777777" w:rsidR="002607B0" w:rsidRDefault="002607B0">
      <w:pPr>
        <w:pStyle w:val="FootnoteText"/>
      </w:pPr>
      <w:r>
        <w:rPr>
          <w:rStyle w:val="FootnoteReference"/>
        </w:rPr>
        <w:footnoteRef/>
      </w:r>
      <w:r>
        <w:t xml:space="preserve"> </w:t>
      </w:r>
      <w:proofErr w:type="gramStart"/>
      <w:r>
        <w:t>Ibid.,</w:t>
      </w:r>
      <w:proofErr w:type="gramEnd"/>
      <w:r>
        <w:t xml:space="preserve"> 494 (</w:t>
      </w:r>
      <w:proofErr w:type="spellStart"/>
      <w:r>
        <w:t>Crakall</w:t>
      </w:r>
      <w:proofErr w:type="spellEnd"/>
      <w:r>
        <w:t>), 551, 557, 567 (Overdo), 572, 581 (</w:t>
      </w:r>
      <w:proofErr w:type="spellStart"/>
      <w:r>
        <w:t>Stubbes</w:t>
      </w:r>
      <w:proofErr w:type="spellEnd"/>
      <w:r>
        <w:t>), 615, 646 (</w:t>
      </w:r>
      <w:proofErr w:type="spellStart"/>
      <w:r>
        <w:t>Coltman</w:t>
      </w:r>
      <w:proofErr w:type="spellEnd"/>
      <w:r>
        <w:t xml:space="preserve">); </w:t>
      </w:r>
      <w:proofErr w:type="spellStart"/>
      <w:r>
        <w:rPr>
          <w:i/>
        </w:rPr>
        <w:t>Testamenta</w:t>
      </w:r>
      <w:proofErr w:type="spellEnd"/>
      <w:r>
        <w:rPr>
          <w:i/>
        </w:rPr>
        <w:t xml:space="preserve"> </w:t>
      </w:r>
      <w:proofErr w:type="spellStart"/>
      <w:r w:rsidRPr="00BD38FD">
        <w:rPr>
          <w:i/>
        </w:rPr>
        <w:t>Eboracensia</w:t>
      </w:r>
      <w:proofErr w:type="spellEnd"/>
      <w:r>
        <w:t>,</w:t>
      </w:r>
      <w:r>
        <w:rPr>
          <w:i/>
        </w:rPr>
        <w:t xml:space="preserve"> </w:t>
      </w:r>
      <w:r w:rsidRPr="00BD38FD">
        <w:rPr>
          <w:i/>
        </w:rPr>
        <w:t>iii</w:t>
      </w:r>
      <w:r>
        <w:t xml:space="preserve">, 49 (Grantham). The opening of </w:t>
      </w:r>
      <w:proofErr w:type="spellStart"/>
      <w:r>
        <w:t>Overdo’s</w:t>
      </w:r>
      <w:proofErr w:type="spellEnd"/>
      <w:r>
        <w:t xml:space="preserve"> entry is lost, but a bridle and saddle are listed.</w:t>
      </w:r>
    </w:p>
  </w:footnote>
  <w:footnote w:id="17">
    <w:p w14:paraId="40413CCD" w14:textId="77777777" w:rsidR="002607B0" w:rsidRDefault="002607B0">
      <w:pPr>
        <w:pStyle w:val="FootnoteText"/>
      </w:pPr>
      <w:r>
        <w:rPr>
          <w:rStyle w:val="FootnoteReference"/>
        </w:rPr>
        <w:footnoteRef/>
      </w:r>
      <w:r>
        <w:t xml:space="preserve"> Tanners, metal founders, and some other crafts probably had detached work spaces. Building craftsmen, including masons, had no need of domestic workshops.</w:t>
      </w:r>
    </w:p>
  </w:footnote>
  <w:footnote w:id="18">
    <w:p w14:paraId="21C66AE7" w14:textId="77777777" w:rsidR="002607B0" w:rsidRDefault="002607B0">
      <w:pPr>
        <w:pStyle w:val="FootnoteText"/>
      </w:pPr>
      <w:r>
        <w:rPr>
          <w:rStyle w:val="FootnoteReference"/>
        </w:rPr>
        <w:footnoteRef/>
      </w:r>
      <w:r>
        <w:t xml:space="preserve"> William </w:t>
      </w:r>
      <w:proofErr w:type="spellStart"/>
      <w:r>
        <w:t>Plovell’s</w:t>
      </w:r>
      <w:proofErr w:type="spellEnd"/>
      <w:r>
        <w:t xml:space="preserve"> inventory lists a </w:t>
      </w:r>
      <w:proofErr w:type="spellStart"/>
      <w:r>
        <w:t>ware</w:t>
      </w:r>
      <w:proofErr w:type="spellEnd"/>
      <w:r>
        <w:t xml:space="preserve"> chest and a coffer ‘in the shop’ after a list of </w:t>
      </w:r>
      <w:proofErr w:type="spellStart"/>
      <w:r>
        <w:t>moveables</w:t>
      </w:r>
      <w:proofErr w:type="spellEnd"/>
      <w:r>
        <w:t xml:space="preserve"> associated with the hall: </w:t>
      </w:r>
      <w:proofErr w:type="spellStart"/>
      <w:r>
        <w:t>Stell</w:t>
      </w:r>
      <w:proofErr w:type="spellEnd"/>
      <w:r>
        <w:t xml:space="preserve">, trans., </w:t>
      </w:r>
      <w:r w:rsidRPr="00DF2581">
        <w:rPr>
          <w:i/>
        </w:rPr>
        <w:t>Probate Inventories</w:t>
      </w:r>
      <w:r>
        <w:t xml:space="preserve">, 534. More substantial partitions between the shop and the main body of the house may have been erected from the late </w:t>
      </w:r>
      <w:r w:rsidRPr="001D6862">
        <w:t>fifteenth century</w:t>
      </w:r>
      <w:r>
        <w:t xml:space="preserve">.  </w:t>
      </w:r>
    </w:p>
  </w:footnote>
  <w:footnote w:id="19">
    <w:p w14:paraId="3D2F5CB2" w14:textId="1D5B59C1"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551, 553, 557, 582, 614, 650; </w:t>
      </w:r>
      <w:proofErr w:type="spellStart"/>
      <w:r w:rsidRPr="00BD38FD">
        <w:rPr>
          <w:i/>
        </w:rPr>
        <w:t>Testamenta</w:t>
      </w:r>
      <w:proofErr w:type="spellEnd"/>
      <w:r w:rsidRPr="00BD38FD">
        <w:rPr>
          <w:i/>
        </w:rPr>
        <w:t xml:space="preserve"> </w:t>
      </w:r>
      <w:proofErr w:type="spellStart"/>
      <w:r w:rsidRPr="00BD38FD">
        <w:rPr>
          <w:i/>
        </w:rPr>
        <w:t>Eboracensia</w:t>
      </w:r>
      <w:proofErr w:type="spellEnd"/>
      <w:r>
        <w:t xml:space="preserve">, </w:t>
      </w:r>
      <w:proofErr w:type="gramStart"/>
      <w:r>
        <w:t>iv</w:t>
      </w:r>
      <w:proofErr w:type="gramEnd"/>
      <w:r>
        <w:t>, 58-9 (</w:t>
      </w:r>
      <w:proofErr w:type="spellStart"/>
      <w:r>
        <w:t>Collan</w:t>
      </w:r>
      <w:proofErr w:type="spellEnd"/>
      <w:r>
        <w:t xml:space="preserve">); David </w:t>
      </w:r>
      <w:r w:rsidRPr="00523230">
        <w:t>Clark</w:t>
      </w:r>
      <w:r>
        <w:t>, ‘</w:t>
      </w:r>
      <w:r w:rsidRPr="00523230">
        <w:rPr>
          <w:lang w:val="en"/>
        </w:rPr>
        <w:t xml:space="preserve">The Shop </w:t>
      </w:r>
      <w:r>
        <w:rPr>
          <w:lang w:val="en"/>
        </w:rPr>
        <w:t>W</w:t>
      </w:r>
      <w:r w:rsidRPr="00523230">
        <w:rPr>
          <w:lang w:val="en"/>
        </w:rPr>
        <w:t>ithin? An Analysis of the Architectural Evidence for Medieval Shops</w:t>
      </w:r>
      <w:r>
        <w:rPr>
          <w:lang w:val="en"/>
        </w:rPr>
        <w:t xml:space="preserve">’, </w:t>
      </w:r>
      <w:r w:rsidRPr="00523230">
        <w:rPr>
          <w:i/>
          <w:lang w:val="en"/>
        </w:rPr>
        <w:t>Architectural History</w:t>
      </w:r>
      <w:r>
        <w:rPr>
          <w:lang w:val="en"/>
        </w:rPr>
        <w:t xml:space="preserve"> 43 (2000),</w:t>
      </w:r>
      <w:r w:rsidRPr="00523230">
        <w:rPr>
          <w:lang w:val="en"/>
        </w:rPr>
        <w:t xml:space="preserve"> 58</w:t>
      </w:r>
      <w:r>
        <w:rPr>
          <w:lang w:val="en"/>
        </w:rPr>
        <w:t>–</w:t>
      </w:r>
      <w:r w:rsidRPr="00523230">
        <w:rPr>
          <w:lang w:val="en"/>
        </w:rPr>
        <w:t>87</w:t>
      </w:r>
      <w:r>
        <w:rPr>
          <w:lang w:val="en"/>
        </w:rPr>
        <w:t>.</w:t>
      </w:r>
    </w:p>
  </w:footnote>
  <w:footnote w:id="20">
    <w:p w14:paraId="53FFDF02" w14:textId="5D7C3C4D"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569-71; </w:t>
      </w:r>
      <w:r w:rsidRPr="00CB0D7E">
        <w:rPr>
          <w:i/>
        </w:rPr>
        <w:t xml:space="preserve">Middle English Dictionary </w:t>
      </w:r>
      <w:r w:rsidRPr="00CB0D7E">
        <w:t>(hereafter</w:t>
      </w:r>
      <w:r w:rsidRPr="00CB0D7E">
        <w:rPr>
          <w:i/>
        </w:rPr>
        <w:t xml:space="preserve"> MED</w:t>
      </w:r>
      <w:r>
        <w:t xml:space="preserve">), </w:t>
      </w:r>
      <w:r w:rsidRPr="008A19E5">
        <w:t xml:space="preserve">under </w:t>
      </w:r>
      <w:r w:rsidRPr="008A19E5">
        <w:rPr>
          <w:rStyle w:val="Strong"/>
          <w:b w:val="0"/>
          <w:color w:val="000000"/>
          <w:shd w:val="clear" w:color="auto" w:fill="FFFFFF"/>
        </w:rPr>
        <w:t>chap-man</w:t>
      </w:r>
      <w:r>
        <w:rPr>
          <w:color w:val="000000"/>
          <w:shd w:val="clear" w:color="auto" w:fill="FFFFFF"/>
        </w:rPr>
        <w:t> (n.), 1a.</w:t>
      </w:r>
    </w:p>
  </w:footnote>
  <w:footnote w:id="21">
    <w:p w14:paraId="1A1B2752"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649-50. </w:t>
      </w:r>
    </w:p>
  </w:footnote>
  <w:footnote w:id="22">
    <w:p w14:paraId="1EC0353B" w14:textId="77777777" w:rsidR="002607B0" w:rsidRDefault="002607B0" w:rsidP="00C535C0">
      <w:pPr>
        <w:pStyle w:val="FootnoteText"/>
      </w:pPr>
      <w:r>
        <w:rPr>
          <w:rStyle w:val="FootnoteReference"/>
        </w:rPr>
        <w:footnoteRef/>
      </w:r>
      <w:r>
        <w:t xml:space="preserve"> </w:t>
      </w:r>
      <w:proofErr w:type="gramStart"/>
      <w:r>
        <w:t>Ibid.,</w:t>
      </w:r>
      <w:proofErr w:type="gramEnd"/>
      <w:r>
        <w:t xml:space="preserve"> 522, 658.</w:t>
      </w:r>
    </w:p>
  </w:footnote>
  <w:footnote w:id="23">
    <w:p w14:paraId="4EC6D400" w14:textId="77777777" w:rsidR="002607B0" w:rsidRDefault="002607B0">
      <w:pPr>
        <w:pStyle w:val="FootnoteText"/>
      </w:pPr>
      <w:r>
        <w:rPr>
          <w:rStyle w:val="FootnoteReference"/>
        </w:rPr>
        <w:footnoteRef/>
      </w:r>
      <w:r>
        <w:t xml:space="preserve"> These tend to be principle streets: BI, CP.F.103, 174, 244, </w:t>
      </w:r>
      <w:proofErr w:type="gramStart"/>
      <w:r>
        <w:t>335</w:t>
      </w:r>
      <w:proofErr w:type="gramEnd"/>
      <w:r>
        <w:t>.</w:t>
      </w:r>
    </w:p>
  </w:footnote>
  <w:footnote w:id="24">
    <w:p w14:paraId="3CBFED5A" w14:textId="77777777" w:rsidR="002607B0" w:rsidRDefault="002607B0">
      <w:pPr>
        <w:pStyle w:val="FootnoteText"/>
      </w:pPr>
      <w:r>
        <w:rPr>
          <w:rStyle w:val="FootnoteReference"/>
        </w:rPr>
        <w:footnoteRef/>
      </w:r>
      <w:r>
        <w:t xml:space="preserve"> </w:t>
      </w:r>
      <w:r w:rsidRPr="00C535C0">
        <w:rPr>
          <w:i/>
        </w:rPr>
        <w:t>Dictionary of Medieval Latin from British Sources</w:t>
      </w:r>
      <w:r>
        <w:t xml:space="preserve"> (hereafter </w:t>
      </w:r>
      <w:r w:rsidRPr="00C535C0">
        <w:rPr>
          <w:i/>
        </w:rPr>
        <w:t>DMLBS</w:t>
      </w:r>
      <w:r>
        <w:t xml:space="preserve">), under </w:t>
      </w:r>
      <w:proofErr w:type="spellStart"/>
      <w:r w:rsidRPr="00115217">
        <w:rPr>
          <w:i/>
        </w:rPr>
        <w:t>cellarium</w:t>
      </w:r>
      <w:proofErr w:type="spellEnd"/>
      <w:r>
        <w:t xml:space="preserve">, 1. </w:t>
      </w:r>
    </w:p>
  </w:footnote>
  <w:footnote w:id="25">
    <w:p w14:paraId="2A015802" w14:textId="77777777" w:rsidR="002607B0" w:rsidRDefault="002607B0">
      <w:pPr>
        <w:pStyle w:val="FootnoteText"/>
      </w:pPr>
      <w:r>
        <w:rPr>
          <w:rStyle w:val="FootnoteReference"/>
        </w:rPr>
        <w:footnoteRef/>
      </w:r>
      <w:r>
        <w:t xml:space="preserve"> BI, CP.E.111.</w:t>
      </w:r>
    </w:p>
  </w:footnote>
  <w:footnote w:id="26">
    <w:p w14:paraId="109A150E" w14:textId="77777777" w:rsidR="002607B0" w:rsidRDefault="002607B0">
      <w:pPr>
        <w:pStyle w:val="FootnoteText"/>
      </w:pPr>
      <w:r>
        <w:rPr>
          <w:rStyle w:val="FootnoteReference"/>
        </w:rPr>
        <w:footnoteRef/>
      </w:r>
      <w:r>
        <w:t xml:space="preserve"> BI, CP.F.181.</w:t>
      </w:r>
    </w:p>
  </w:footnote>
  <w:footnote w:id="27">
    <w:p w14:paraId="022662C7" w14:textId="77777777" w:rsidR="002607B0" w:rsidRDefault="002607B0">
      <w:pPr>
        <w:pStyle w:val="FootnoteText"/>
      </w:pPr>
      <w:r>
        <w:rPr>
          <w:rStyle w:val="FootnoteReference"/>
        </w:rPr>
        <w:footnoteRef/>
      </w:r>
      <w:r>
        <w:t xml:space="preserve"> BI, CP.F.182.</w:t>
      </w:r>
    </w:p>
  </w:footnote>
  <w:footnote w:id="28">
    <w:p w14:paraId="15A8119C" w14:textId="77777777" w:rsidR="002607B0" w:rsidRDefault="002607B0" w:rsidP="00836604">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524. Other than for some high-status clerical households, this is the only cellar noticed in York probate inventories before 1500.</w:t>
      </w:r>
    </w:p>
  </w:footnote>
  <w:footnote w:id="29">
    <w:p w14:paraId="6BB852AE"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494, 507; </w:t>
      </w:r>
      <w:proofErr w:type="spellStart"/>
      <w:r w:rsidRPr="007F1249">
        <w:rPr>
          <w:i/>
        </w:rPr>
        <w:t>Testamenta</w:t>
      </w:r>
      <w:proofErr w:type="spellEnd"/>
      <w:r w:rsidRPr="007F1249">
        <w:rPr>
          <w:i/>
        </w:rPr>
        <w:t xml:space="preserve"> </w:t>
      </w:r>
      <w:proofErr w:type="spellStart"/>
      <w:r w:rsidRPr="007F1249">
        <w:rPr>
          <w:i/>
        </w:rPr>
        <w:t>Eboracensia</w:t>
      </w:r>
      <w:proofErr w:type="spellEnd"/>
      <w:r>
        <w:t>, iii, 48, 88. A storeroom (‘</w:t>
      </w:r>
      <w:proofErr w:type="spellStart"/>
      <w:r w:rsidRPr="007C17E9">
        <w:rPr>
          <w:i/>
        </w:rPr>
        <w:t>promtuarius</w:t>
      </w:r>
      <w:proofErr w:type="spellEnd"/>
      <w:r>
        <w:t xml:space="preserve">’) is described in the inventory of John </w:t>
      </w:r>
      <w:proofErr w:type="spellStart"/>
      <w:r>
        <w:t>Collan</w:t>
      </w:r>
      <w:proofErr w:type="spellEnd"/>
      <w:r>
        <w:t xml:space="preserve">, goldsmith: </w:t>
      </w:r>
      <w:proofErr w:type="spellStart"/>
      <w:r w:rsidRPr="007F1249">
        <w:rPr>
          <w:i/>
        </w:rPr>
        <w:t>Testamenta</w:t>
      </w:r>
      <w:proofErr w:type="spellEnd"/>
      <w:r w:rsidRPr="007F1249">
        <w:rPr>
          <w:i/>
        </w:rPr>
        <w:t xml:space="preserve"> </w:t>
      </w:r>
      <w:proofErr w:type="spellStart"/>
      <w:r w:rsidRPr="007F1249">
        <w:rPr>
          <w:i/>
        </w:rPr>
        <w:t>Eboracensia</w:t>
      </w:r>
      <w:proofErr w:type="spellEnd"/>
      <w:r>
        <w:t>, iv, 57-8</w:t>
      </w:r>
    </w:p>
  </w:footnote>
  <w:footnote w:id="30">
    <w:p w14:paraId="6272C851" w14:textId="04346847" w:rsidR="00194257" w:rsidRPr="00365694" w:rsidRDefault="00194257" w:rsidP="00194257">
      <w:pPr>
        <w:pStyle w:val="FootnoteText"/>
      </w:pPr>
      <w:r>
        <w:rPr>
          <w:rStyle w:val="FootnoteReference"/>
        </w:rPr>
        <w:footnoteRef/>
      </w:r>
      <w:r>
        <w:t xml:space="preserve"> The Middle English noun could refer to a store room, sometimes specifically for wine etc., but also for a specifically underground space and, more rarely and confusingly, as another term for solar: </w:t>
      </w:r>
      <w:r w:rsidRPr="00365694">
        <w:rPr>
          <w:i/>
        </w:rPr>
        <w:t>MED</w:t>
      </w:r>
      <w:r>
        <w:t xml:space="preserve">, </w:t>
      </w:r>
      <w:r w:rsidRPr="00365694">
        <w:rPr>
          <w:rFonts w:cstheme="minorHAnsi"/>
        </w:rPr>
        <w:t xml:space="preserve">under </w:t>
      </w:r>
      <w:proofErr w:type="spellStart"/>
      <w:r w:rsidRPr="00365694">
        <w:rPr>
          <w:rStyle w:val="Strong"/>
          <w:rFonts w:cstheme="minorHAnsi"/>
          <w:b w:val="0"/>
          <w:color w:val="000000"/>
          <w:shd w:val="clear" w:color="auto" w:fill="FFFFFF"/>
        </w:rPr>
        <w:t>celē̆r</w:t>
      </w:r>
      <w:proofErr w:type="spellEnd"/>
      <w:r w:rsidRPr="00365694">
        <w:rPr>
          <w:rFonts w:cstheme="minorHAnsi"/>
          <w:color w:val="000000"/>
          <w:shd w:val="clear" w:color="auto" w:fill="FFFFFF"/>
        </w:rPr>
        <w:t> (n</w:t>
      </w:r>
      <w:proofErr w:type="gramStart"/>
      <w:r w:rsidRPr="00365694">
        <w:rPr>
          <w:rFonts w:cstheme="minorHAnsi"/>
          <w:color w:val="000000"/>
          <w:shd w:val="clear" w:color="auto" w:fill="FFFFFF"/>
        </w:rPr>
        <w:t>.(</w:t>
      </w:r>
      <w:proofErr w:type="gramEnd"/>
      <w:r w:rsidRPr="00365694">
        <w:rPr>
          <w:rFonts w:cstheme="minorHAnsi"/>
          <w:color w:val="000000"/>
          <w:shd w:val="clear" w:color="auto" w:fill="FFFFFF"/>
        </w:rPr>
        <w:t>1))</w:t>
      </w:r>
      <w:r>
        <w:rPr>
          <w:rFonts w:cstheme="minorHAnsi"/>
          <w:color w:val="000000"/>
          <w:shd w:val="clear" w:color="auto" w:fill="FFFFFF"/>
        </w:rPr>
        <w:t>. Dyer writing of peasant houses notes that ‘</w:t>
      </w:r>
      <w:proofErr w:type="spellStart"/>
      <w:r>
        <w:rPr>
          <w:rFonts w:cstheme="minorHAnsi"/>
          <w:color w:val="000000"/>
          <w:shd w:val="clear" w:color="auto" w:fill="FFFFFF"/>
        </w:rPr>
        <w:t>celers</w:t>
      </w:r>
      <w:proofErr w:type="spellEnd"/>
      <w:r>
        <w:rPr>
          <w:rFonts w:cstheme="minorHAnsi"/>
          <w:color w:val="000000"/>
          <w:shd w:val="clear" w:color="auto" w:fill="FFFFFF"/>
        </w:rPr>
        <w:t xml:space="preserve"> may have been located on the first floor’, but this observat</w:t>
      </w:r>
      <w:r w:rsidR="00761783">
        <w:rPr>
          <w:rFonts w:cstheme="minorHAnsi"/>
          <w:color w:val="000000"/>
          <w:shd w:val="clear" w:color="auto" w:fill="FFFFFF"/>
        </w:rPr>
        <w:t>ion is apparently unreferenced:</w:t>
      </w:r>
      <w:r>
        <w:rPr>
          <w:rFonts w:cstheme="minorHAnsi"/>
          <w:color w:val="000000"/>
          <w:shd w:val="clear" w:color="auto" w:fill="FFFFFF"/>
        </w:rPr>
        <w:t xml:space="preserve"> Dyer, ‘Living in Peasant Houses’, 23. </w:t>
      </w:r>
    </w:p>
  </w:footnote>
  <w:footnote w:id="31">
    <w:p w14:paraId="1948D938" w14:textId="77777777" w:rsidR="002607B0" w:rsidRDefault="002607B0">
      <w:pPr>
        <w:pStyle w:val="FootnoteText"/>
      </w:pPr>
      <w:r>
        <w:rPr>
          <w:rStyle w:val="FootnoteReference"/>
        </w:rPr>
        <w:footnoteRef/>
      </w:r>
      <w:r>
        <w:t xml:space="preserve"> MED, under </w:t>
      </w:r>
      <w:proofErr w:type="spellStart"/>
      <w:r w:rsidRPr="00B64846">
        <w:rPr>
          <w:rStyle w:val="Strong"/>
          <w:b w:val="0"/>
          <w:color w:val="000000"/>
          <w:shd w:val="clear" w:color="auto" w:fill="FFFFFF"/>
        </w:rPr>
        <w:t>gīle</w:t>
      </w:r>
      <w:proofErr w:type="spellEnd"/>
      <w:r w:rsidRPr="00B64846">
        <w:rPr>
          <w:color w:val="000000"/>
          <w:shd w:val="clear" w:color="auto" w:fill="FFFFFF"/>
        </w:rPr>
        <w:t> (n.</w:t>
      </w:r>
      <w:r>
        <w:rPr>
          <w:color w:val="000000"/>
          <w:shd w:val="clear" w:color="auto" w:fill="FFFFFF"/>
        </w:rPr>
        <w:t xml:space="preserve"> </w:t>
      </w:r>
      <w:r w:rsidRPr="00B64846">
        <w:rPr>
          <w:color w:val="000000"/>
          <w:shd w:val="clear" w:color="auto" w:fill="FFFFFF"/>
        </w:rPr>
        <w:t>(2)), c.</w:t>
      </w:r>
    </w:p>
  </w:footnote>
  <w:footnote w:id="32">
    <w:p w14:paraId="1AC20480"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566</w:t>
      </w:r>
    </w:p>
  </w:footnote>
  <w:footnote w:id="33">
    <w:p w14:paraId="20335D19" w14:textId="77777777" w:rsidR="002607B0" w:rsidRDefault="002607B0">
      <w:pPr>
        <w:pStyle w:val="FootnoteText"/>
      </w:pPr>
      <w:r>
        <w:rPr>
          <w:rStyle w:val="FootnoteReference"/>
        </w:rPr>
        <w:footnoteRef/>
      </w:r>
      <w:r>
        <w:t xml:space="preserve"> MED, under </w:t>
      </w:r>
      <w:proofErr w:type="spellStart"/>
      <w:r w:rsidRPr="00055C87">
        <w:rPr>
          <w:rStyle w:val="Strong"/>
          <w:b w:val="0"/>
          <w:color w:val="000000"/>
          <w:shd w:val="clear" w:color="auto" w:fill="FFFFFF"/>
        </w:rPr>
        <w:t>bulting</w:t>
      </w:r>
      <w:proofErr w:type="spellEnd"/>
      <w:r w:rsidRPr="00055C87">
        <w:rPr>
          <w:color w:val="000000"/>
          <w:shd w:val="clear" w:color="auto" w:fill="FFFFFF"/>
        </w:rPr>
        <w:t> (</w:t>
      </w:r>
      <w:proofErr w:type="spellStart"/>
      <w:r w:rsidRPr="00055C87">
        <w:rPr>
          <w:color w:val="000000"/>
          <w:shd w:val="clear" w:color="auto" w:fill="FFFFFF"/>
        </w:rPr>
        <w:t>ger.</w:t>
      </w:r>
      <w:proofErr w:type="spellEnd"/>
      <w:r w:rsidRPr="00055C87">
        <w:rPr>
          <w:color w:val="000000"/>
          <w:shd w:val="clear" w:color="auto" w:fill="FFFFFF"/>
        </w:rPr>
        <w:t>), 2c;</w:t>
      </w:r>
      <w:r>
        <w:t xml:space="preserve"> </w:t>
      </w:r>
      <w:proofErr w:type="spellStart"/>
      <w:r>
        <w:t>Stell</w:t>
      </w:r>
      <w:proofErr w:type="spellEnd"/>
      <w:r>
        <w:t xml:space="preserve">, trans., </w:t>
      </w:r>
      <w:r w:rsidRPr="00DF2581">
        <w:rPr>
          <w:i/>
        </w:rPr>
        <w:t>Probate Inventories</w:t>
      </w:r>
      <w:r>
        <w:t>, 646</w:t>
      </w:r>
    </w:p>
  </w:footnote>
  <w:footnote w:id="34">
    <w:p w14:paraId="7BA80F4E" w14:textId="75CF4908" w:rsidR="002607B0" w:rsidRDefault="002607B0">
      <w:pPr>
        <w:pStyle w:val="FootnoteText"/>
      </w:pPr>
      <w:r w:rsidRPr="00DD0313">
        <w:rPr>
          <w:rStyle w:val="FootnoteReference"/>
        </w:rPr>
        <w:footnoteRef/>
      </w:r>
      <w:r>
        <w:t xml:space="preserve"> </w:t>
      </w:r>
      <w:proofErr w:type="spellStart"/>
      <w:r w:rsidR="00DD0313">
        <w:t>Stell</w:t>
      </w:r>
      <w:proofErr w:type="spellEnd"/>
      <w:r w:rsidR="00DD0313">
        <w:t xml:space="preserve">, trans., </w:t>
      </w:r>
      <w:r w:rsidR="00DD0313" w:rsidRPr="00DF2581">
        <w:rPr>
          <w:i/>
        </w:rPr>
        <w:t>Probate Inventories</w:t>
      </w:r>
      <w:r w:rsidR="00DD0313">
        <w:t xml:space="preserve">, 494; </w:t>
      </w:r>
      <w:proofErr w:type="spellStart"/>
      <w:r w:rsidR="00C1078D" w:rsidRPr="007F1249">
        <w:rPr>
          <w:i/>
        </w:rPr>
        <w:t>Testamenta</w:t>
      </w:r>
      <w:proofErr w:type="spellEnd"/>
      <w:r w:rsidR="00C1078D" w:rsidRPr="007F1249">
        <w:rPr>
          <w:i/>
        </w:rPr>
        <w:t xml:space="preserve"> </w:t>
      </w:r>
      <w:proofErr w:type="spellStart"/>
      <w:r w:rsidR="00C1078D" w:rsidRPr="007F1249">
        <w:rPr>
          <w:i/>
        </w:rPr>
        <w:t>Eboracensia</w:t>
      </w:r>
      <w:proofErr w:type="spellEnd"/>
      <w:r w:rsidR="00C1078D">
        <w:t>, iii, 49, 100</w:t>
      </w:r>
    </w:p>
  </w:footnote>
  <w:footnote w:id="35">
    <w:p w14:paraId="6D873D34" w14:textId="192E5466" w:rsidR="002607B0" w:rsidRDefault="002607B0">
      <w:pPr>
        <w:pStyle w:val="FootnoteText"/>
      </w:pPr>
      <w:r>
        <w:rPr>
          <w:rStyle w:val="FootnoteReference"/>
        </w:rPr>
        <w:footnoteRef/>
      </w:r>
      <w:r>
        <w:t xml:space="preserve"> Jeremy Goldberg, </w:t>
      </w:r>
      <w:r w:rsidRPr="00DA74AB">
        <w:rPr>
          <w:i/>
        </w:rPr>
        <w:t xml:space="preserve">Communal Discord, Child Abduction, and Rape in the Later </w:t>
      </w:r>
      <w:proofErr w:type="gramStart"/>
      <w:r w:rsidRPr="00DA74AB">
        <w:rPr>
          <w:i/>
        </w:rPr>
        <w:t>Middle</w:t>
      </w:r>
      <w:proofErr w:type="gramEnd"/>
      <w:r w:rsidRPr="00DA74AB">
        <w:rPr>
          <w:i/>
        </w:rPr>
        <w:t xml:space="preserve"> Ages</w:t>
      </w:r>
      <w:r>
        <w:t xml:space="preserve"> (New York, 2008), </w:t>
      </w:r>
      <w:proofErr w:type="spellStart"/>
      <w:r>
        <w:t>ch.</w:t>
      </w:r>
      <w:proofErr w:type="spellEnd"/>
      <w:r>
        <w:t xml:space="preserve"> 8.</w:t>
      </w:r>
    </w:p>
  </w:footnote>
  <w:footnote w:id="36">
    <w:p w14:paraId="7843EBC6" w14:textId="77B8FB3A" w:rsidR="002607B0" w:rsidRDefault="002607B0">
      <w:pPr>
        <w:pStyle w:val="FootnoteText"/>
      </w:pPr>
      <w:r>
        <w:rPr>
          <w:rStyle w:val="FootnoteReference"/>
        </w:rPr>
        <w:footnoteRef/>
      </w:r>
      <w:r>
        <w:t xml:space="preserve"> The prosperous girdler, Thomas </w:t>
      </w:r>
      <w:proofErr w:type="spellStart"/>
      <w:r>
        <w:t>Talkan</w:t>
      </w:r>
      <w:proofErr w:type="spellEnd"/>
      <w:r>
        <w:t xml:space="preserve">, who had a brewhouse cum </w:t>
      </w:r>
      <w:proofErr w:type="spellStart"/>
      <w:r>
        <w:t>gilehouse</w:t>
      </w:r>
      <w:proofErr w:type="spellEnd"/>
      <w:r>
        <w:t xml:space="preserve"> and a wine cellar, the similarly prosperous skinner, Roger de Burton, and the merchant, William </w:t>
      </w:r>
      <w:proofErr w:type="spellStart"/>
      <w:r>
        <w:t>Plovell</w:t>
      </w:r>
      <w:proofErr w:type="spellEnd"/>
      <w:r>
        <w:t xml:space="preserve">: </w:t>
      </w:r>
      <w:proofErr w:type="spellStart"/>
      <w:r>
        <w:t>Stell</w:t>
      </w:r>
      <w:proofErr w:type="spellEnd"/>
      <w:r>
        <w:t xml:space="preserve">, trans., </w:t>
      </w:r>
      <w:r w:rsidRPr="00DF2581">
        <w:rPr>
          <w:i/>
        </w:rPr>
        <w:t>Probate Inventories</w:t>
      </w:r>
      <w:r>
        <w:t xml:space="preserve">, 524, 535, 551, 559; </w:t>
      </w:r>
    </w:p>
  </w:footnote>
  <w:footnote w:id="37">
    <w:p w14:paraId="60B8FCBE" w14:textId="123FEE69" w:rsidR="002607B0" w:rsidRPr="004F1F01" w:rsidRDefault="002607B0" w:rsidP="004F1F01">
      <w:pPr>
        <w:pStyle w:val="NoSpacing"/>
        <w:rPr>
          <w:sz w:val="20"/>
          <w:szCs w:val="20"/>
        </w:rPr>
      </w:pPr>
      <w:r w:rsidRPr="004F1F01">
        <w:rPr>
          <w:rStyle w:val="FootnoteReference"/>
          <w:sz w:val="20"/>
          <w:szCs w:val="20"/>
        </w:rPr>
        <w:footnoteRef/>
      </w:r>
      <w:r w:rsidRPr="004F1F01">
        <w:rPr>
          <w:sz w:val="20"/>
          <w:szCs w:val="20"/>
        </w:rPr>
        <w:t xml:space="preserve"> </w:t>
      </w:r>
      <w:proofErr w:type="spellStart"/>
      <w:r w:rsidRPr="004F1F01">
        <w:rPr>
          <w:sz w:val="20"/>
          <w:szCs w:val="20"/>
        </w:rPr>
        <w:t>Stell</w:t>
      </w:r>
      <w:proofErr w:type="spellEnd"/>
      <w:r w:rsidRPr="004F1F01">
        <w:rPr>
          <w:sz w:val="20"/>
          <w:szCs w:val="20"/>
        </w:rPr>
        <w:t xml:space="preserve">, trans., </w:t>
      </w:r>
      <w:r w:rsidRPr="004F1F01">
        <w:rPr>
          <w:i/>
          <w:sz w:val="20"/>
          <w:szCs w:val="20"/>
        </w:rPr>
        <w:t>Probate Inventories</w:t>
      </w:r>
      <w:r w:rsidR="00DE6CD2">
        <w:rPr>
          <w:sz w:val="20"/>
          <w:szCs w:val="20"/>
        </w:rPr>
        <w:t xml:space="preserve">, 581; </w:t>
      </w:r>
      <w:r w:rsidRPr="00DD45D4">
        <w:rPr>
          <w:sz w:val="20"/>
          <w:szCs w:val="20"/>
        </w:rPr>
        <w:t xml:space="preserve">P.J.P. Goldberg, ‘Household and the Organisation of Labour in Late Medieval Towns: some English Evidence’, in Myriam </w:t>
      </w:r>
      <w:proofErr w:type="spellStart"/>
      <w:r w:rsidRPr="00DD45D4">
        <w:rPr>
          <w:sz w:val="20"/>
          <w:szCs w:val="20"/>
        </w:rPr>
        <w:t>Carlier</w:t>
      </w:r>
      <w:proofErr w:type="spellEnd"/>
      <w:r w:rsidRPr="00DD45D4">
        <w:rPr>
          <w:sz w:val="20"/>
          <w:szCs w:val="20"/>
        </w:rPr>
        <w:t xml:space="preserve"> and Tim </w:t>
      </w:r>
      <w:proofErr w:type="spellStart"/>
      <w:r w:rsidRPr="00DD45D4">
        <w:rPr>
          <w:sz w:val="20"/>
          <w:szCs w:val="20"/>
        </w:rPr>
        <w:t>Soens</w:t>
      </w:r>
      <w:proofErr w:type="spellEnd"/>
      <w:r w:rsidRPr="00DD45D4">
        <w:rPr>
          <w:sz w:val="20"/>
          <w:szCs w:val="20"/>
        </w:rPr>
        <w:t xml:space="preserve">, eds., </w:t>
      </w:r>
      <w:proofErr w:type="gramStart"/>
      <w:r w:rsidRPr="00DD45D4">
        <w:rPr>
          <w:i/>
          <w:sz w:val="20"/>
          <w:szCs w:val="20"/>
        </w:rPr>
        <w:t>The</w:t>
      </w:r>
      <w:proofErr w:type="gramEnd"/>
      <w:r w:rsidRPr="00DD45D4">
        <w:rPr>
          <w:i/>
          <w:sz w:val="20"/>
          <w:szCs w:val="20"/>
        </w:rPr>
        <w:t xml:space="preserve"> Household in Late Medieval Cities: Italy and </w:t>
      </w:r>
      <w:proofErr w:type="spellStart"/>
      <w:r w:rsidRPr="00DD45D4">
        <w:rPr>
          <w:i/>
          <w:sz w:val="20"/>
          <w:szCs w:val="20"/>
        </w:rPr>
        <w:t>Northwestern</w:t>
      </w:r>
      <w:proofErr w:type="spellEnd"/>
      <w:r w:rsidRPr="00DD45D4">
        <w:rPr>
          <w:i/>
          <w:sz w:val="20"/>
          <w:szCs w:val="20"/>
        </w:rPr>
        <w:t xml:space="preserve"> Europe Compared</w:t>
      </w:r>
      <w:r w:rsidRPr="00DD45D4">
        <w:rPr>
          <w:sz w:val="20"/>
          <w:szCs w:val="20"/>
        </w:rPr>
        <w:t xml:space="preserve"> (Leuven, 2001), </w:t>
      </w:r>
      <w:r w:rsidRPr="00DE6CD2">
        <w:rPr>
          <w:sz w:val="20"/>
          <w:szCs w:val="20"/>
        </w:rPr>
        <w:t>63-5</w:t>
      </w:r>
      <w:r w:rsidRPr="00DD45D4">
        <w:rPr>
          <w:sz w:val="20"/>
          <w:szCs w:val="20"/>
        </w:rPr>
        <w:t>.</w:t>
      </w:r>
    </w:p>
  </w:footnote>
  <w:footnote w:id="38">
    <w:p w14:paraId="33C501EE" w14:textId="30984F77" w:rsidR="002607B0" w:rsidRPr="004F1F01" w:rsidRDefault="002607B0" w:rsidP="004F1F01">
      <w:pPr>
        <w:pStyle w:val="NoSpacing"/>
        <w:rPr>
          <w:rFonts w:ascii="Helvetica" w:hAnsi="Helvetica"/>
          <w:color w:val="999999"/>
          <w:sz w:val="20"/>
          <w:szCs w:val="20"/>
        </w:rPr>
      </w:pPr>
      <w:r w:rsidRPr="004F1F01">
        <w:rPr>
          <w:rStyle w:val="FootnoteReference"/>
          <w:sz w:val="20"/>
          <w:szCs w:val="20"/>
        </w:rPr>
        <w:footnoteRef/>
      </w:r>
      <w:r w:rsidRPr="004F1F01">
        <w:rPr>
          <w:sz w:val="20"/>
          <w:szCs w:val="20"/>
        </w:rPr>
        <w:t xml:space="preserve"> P.J.P. Goldberg, ‘</w:t>
      </w:r>
      <w:r w:rsidRPr="004F1F01">
        <w:rPr>
          <w:rFonts w:cstheme="minorHAnsi"/>
          <w:sz w:val="20"/>
          <w:szCs w:val="20"/>
        </w:rPr>
        <w:t>Home Work: The Bourgeois Wife in Later Medieval England’</w:t>
      </w:r>
      <w:r w:rsidRPr="004F1F01">
        <w:rPr>
          <w:sz w:val="20"/>
          <w:szCs w:val="20"/>
        </w:rPr>
        <w:t xml:space="preserve"> in</w:t>
      </w:r>
      <w:r w:rsidRPr="004F1F01">
        <w:rPr>
          <w:rFonts w:ascii="Helvetica" w:hAnsi="Helvetica"/>
          <w:b/>
          <w:bCs/>
          <w:color w:val="999999"/>
          <w:sz w:val="20"/>
          <w:szCs w:val="20"/>
        </w:rPr>
        <w:t> </w:t>
      </w:r>
      <w:proofErr w:type="spellStart"/>
      <w:r w:rsidR="00AC7D2D">
        <w:fldChar w:fldCharType="begin"/>
      </w:r>
      <w:r w:rsidR="00AC7D2D">
        <w:instrText xml:space="preserve"> HYPERLINK "https://www.routledge.com/products/search?author=Merridee%20L.%20Bailey" \o "search for all books by Merridee L. Bailey" </w:instrText>
      </w:r>
      <w:r w:rsidR="00AC7D2D">
        <w:fldChar w:fldCharType="separate"/>
      </w:r>
      <w:r w:rsidRPr="004F1F01">
        <w:rPr>
          <w:rStyle w:val="Hyperlink"/>
          <w:color w:val="333333"/>
          <w:sz w:val="20"/>
          <w:szCs w:val="20"/>
          <w:u w:val="none"/>
        </w:rPr>
        <w:t>Merridee</w:t>
      </w:r>
      <w:proofErr w:type="spellEnd"/>
      <w:r w:rsidRPr="004F1F01">
        <w:rPr>
          <w:rStyle w:val="Hyperlink"/>
          <w:color w:val="333333"/>
          <w:sz w:val="20"/>
          <w:szCs w:val="20"/>
          <w:u w:val="none"/>
        </w:rPr>
        <w:t xml:space="preserve"> L. Bailey</w:t>
      </w:r>
      <w:r w:rsidR="00AC7D2D">
        <w:rPr>
          <w:rStyle w:val="Hyperlink"/>
          <w:color w:val="333333"/>
          <w:sz w:val="20"/>
          <w:szCs w:val="20"/>
          <w:u w:val="none"/>
        </w:rPr>
        <w:fldChar w:fldCharType="end"/>
      </w:r>
      <w:r w:rsidRPr="004F1F01">
        <w:rPr>
          <w:b/>
          <w:bCs/>
          <w:color w:val="999999"/>
          <w:sz w:val="20"/>
          <w:szCs w:val="20"/>
        </w:rPr>
        <w:t>, </w:t>
      </w:r>
      <w:hyperlink r:id="rId1" w:tooltip="search for all books by Tania M. Colwell" w:history="1">
        <w:r w:rsidRPr="004F1F01">
          <w:rPr>
            <w:rStyle w:val="Hyperlink"/>
            <w:color w:val="333333"/>
            <w:sz w:val="20"/>
            <w:szCs w:val="20"/>
            <w:u w:val="none"/>
          </w:rPr>
          <w:t>Tania M. Colwell</w:t>
        </w:r>
      </w:hyperlink>
      <w:r w:rsidRPr="004F1F01">
        <w:rPr>
          <w:b/>
          <w:bCs/>
          <w:color w:val="999999"/>
          <w:sz w:val="20"/>
          <w:szCs w:val="20"/>
        </w:rPr>
        <w:t>, </w:t>
      </w:r>
      <w:hyperlink r:id="rId2" w:tooltip="search for all books by Julie Hotchin" w:history="1">
        <w:r w:rsidRPr="004F1F01">
          <w:rPr>
            <w:rStyle w:val="Hyperlink"/>
            <w:color w:val="333333"/>
            <w:sz w:val="20"/>
            <w:szCs w:val="20"/>
            <w:u w:val="none"/>
          </w:rPr>
          <w:t xml:space="preserve">Julie </w:t>
        </w:r>
        <w:proofErr w:type="spellStart"/>
        <w:r w:rsidRPr="004F1F01">
          <w:rPr>
            <w:rStyle w:val="Hyperlink"/>
            <w:color w:val="333333"/>
            <w:sz w:val="20"/>
            <w:szCs w:val="20"/>
            <w:u w:val="none"/>
          </w:rPr>
          <w:t>Hotchin</w:t>
        </w:r>
        <w:proofErr w:type="spellEnd"/>
      </w:hyperlink>
      <w:r w:rsidRPr="004F1F01">
        <w:rPr>
          <w:sz w:val="20"/>
          <w:szCs w:val="20"/>
        </w:rPr>
        <w:t xml:space="preserve">, </w:t>
      </w:r>
      <w:proofErr w:type="spellStart"/>
      <w:r w:rsidRPr="004F1F01">
        <w:rPr>
          <w:sz w:val="20"/>
          <w:szCs w:val="20"/>
        </w:rPr>
        <w:t>eds</w:t>
      </w:r>
      <w:proofErr w:type="spellEnd"/>
      <w:r w:rsidRPr="004F1F01">
        <w:rPr>
          <w:sz w:val="20"/>
          <w:szCs w:val="20"/>
        </w:rPr>
        <w:t>,</w:t>
      </w:r>
      <w:r w:rsidRPr="004F1F01">
        <w:rPr>
          <w:rFonts w:ascii="Helvetica" w:hAnsi="Helvetica"/>
          <w:sz w:val="20"/>
          <w:szCs w:val="20"/>
        </w:rPr>
        <w:t xml:space="preserve"> </w:t>
      </w:r>
      <w:r w:rsidRPr="004F1F01">
        <w:rPr>
          <w:i/>
          <w:sz w:val="20"/>
          <w:szCs w:val="20"/>
        </w:rPr>
        <w:t xml:space="preserve">Women and Work in Premodern Europe: Experiences, </w:t>
      </w:r>
      <w:r w:rsidR="00DE6CD2">
        <w:rPr>
          <w:i/>
          <w:sz w:val="20"/>
          <w:szCs w:val="20"/>
        </w:rPr>
        <w:t>Relationships and Cultural Represen</w:t>
      </w:r>
      <w:r w:rsidRPr="004F1F01">
        <w:rPr>
          <w:i/>
          <w:sz w:val="20"/>
          <w:szCs w:val="20"/>
        </w:rPr>
        <w:t>tation</w:t>
      </w:r>
      <w:r w:rsidR="00DE6CD2">
        <w:rPr>
          <w:i/>
          <w:sz w:val="20"/>
          <w:szCs w:val="20"/>
        </w:rPr>
        <w:t>, c. 1100-1800</w:t>
      </w:r>
      <w:r w:rsidR="00DD0313">
        <w:rPr>
          <w:sz w:val="20"/>
          <w:szCs w:val="20"/>
        </w:rPr>
        <w:t xml:space="preserve"> (Abingdon, </w:t>
      </w:r>
      <w:r>
        <w:rPr>
          <w:sz w:val="20"/>
          <w:szCs w:val="20"/>
        </w:rPr>
        <w:t>2018)</w:t>
      </w:r>
      <w:r w:rsidR="00DD0313">
        <w:rPr>
          <w:sz w:val="20"/>
          <w:szCs w:val="20"/>
        </w:rPr>
        <w:t xml:space="preserve">, </w:t>
      </w:r>
      <w:r w:rsidR="00DE6CD2">
        <w:rPr>
          <w:sz w:val="20"/>
          <w:szCs w:val="20"/>
        </w:rPr>
        <w:t>124-43</w:t>
      </w:r>
      <w:r>
        <w:rPr>
          <w:sz w:val="20"/>
          <w:szCs w:val="20"/>
        </w:rPr>
        <w:t>.</w:t>
      </w:r>
    </w:p>
  </w:footnote>
  <w:footnote w:id="39">
    <w:p w14:paraId="27E7D96F" w14:textId="0F884ACD" w:rsidR="002607B0" w:rsidRDefault="002607B0">
      <w:pPr>
        <w:pStyle w:val="FootnoteText"/>
      </w:pPr>
      <w:r>
        <w:rPr>
          <w:rStyle w:val="FootnoteReference"/>
        </w:rPr>
        <w:footnoteRef/>
      </w:r>
      <w:r>
        <w:t xml:space="preserve"> Felicity </w:t>
      </w:r>
      <w:proofErr w:type="spellStart"/>
      <w:r>
        <w:t>Riddy</w:t>
      </w:r>
      <w:proofErr w:type="spellEnd"/>
      <w:r>
        <w:t>, ‘“</w:t>
      </w:r>
      <w:proofErr w:type="spellStart"/>
      <w:r>
        <w:t>Burgeis</w:t>
      </w:r>
      <w:proofErr w:type="spellEnd"/>
      <w:r>
        <w:t xml:space="preserve">” domesticity in late medieval England’, in Maryanne </w:t>
      </w:r>
      <w:proofErr w:type="spellStart"/>
      <w:r>
        <w:t>Kowaleski</w:t>
      </w:r>
      <w:proofErr w:type="spellEnd"/>
      <w:r>
        <w:t xml:space="preserve"> and P.J.P. Goldberg, </w:t>
      </w:r>
      <w:r w:rsidRPr="007F0B54">
        <w:rPr>
          <w:i/>
        </w:rPr>
        <w:t>Medieval Domesticity: House, Housing and Household in Medieval England</w:t>
      </w:r>
      <w:r>
        <w:t xml:space="preserve"> (Cambridge, 2008), 14-36.</w:t>
      </w:r>
    </w:p>
  </w:footnote>
  <w:footnote w:id="40">
    <w:p w14:paraId="048D463A"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553, 614; </w:t>
      </w:r>
      <w:proofErr w:type="spellStart"/>
      <w:r w:rsidRPr="00BD38FD">
        <w:rPr>
          <w:i/>
        </w:rPr>
        <w:t>Testamenta</w:t>
      </w:r>
      <w:proofErr w:type="spellEnd"/>
      <w:r w:rsidRPr="00BD38FD">
        <w:rPr>
          <w:i/>
        </w:rPr>
        <w:t xml:space="preserve"> </w:t>
      </w:r>
      <w:proofErr w:type="spellStart"/>
      <w:r w:rsidRPr="00BD38FD">
        <w:rPr>
          <w:i/>
        </w:rPr>
        <w:t>Eboracensia</w:t>
      </w:r>
      <w:proofErr w:type="spellEnd"/>
      <w:r>
        <w:t xml:space="preserve">, </w:t>
      </w:r>
      <w:proofErr w:type="gramStart"/>
      <w:r>
        <w:t>iv</w:t>
      </w:r>
      <w:proofErr w:type="gramEnd"/>
      <w:r>
        <w:t>, 58-9.</w:t>
      </w:r>
    </w:p>
  </w:footnote>
  <w:footnote w:id="41">
    <w:p w14:paraId="3ACBDCD0" w14:textId="7AAA4B19" w:rsidR="002607B0" w:rsidRDefault="002607B0">
      <w:pPr>
        <w:pStyle w:val="FootnoteText"/>
      </w:pPr>
      <w:r>
        <w:rPr>
          <w:rStyle w:val="FootnoteReference"/>
        </w:rPr>
        <w:footnoteRef/>
      </w:r>
      <w:r>
        <w:t xml:space="preserve"> Assuming the wick cost about 1d. </w:t>
      </w:r>
      <w:proofErr w:type="gramStart"/>
      <w:r>
        <w:t>a</w:t>
      </w:r>
      <w:proofErr w:type="gramEnd"/>
      <w:r>
        <w:t xml:space="preserve"> pound weight, 23s. 10d. worth represents some 130kg: J.E.T. Rogers, </w:t>
      </w:r>
      <w:r w:rsidRPr="00940E6E">
        <w:rPr>
          <w:i/>
        </w:rPr>
        <w:t>A History of Agriculture and Prices in England, vol. III, 1401-1582</w:t>
      </w:r>
      <w:r>
        <w:t xml:space="preserve"> (Oxford, 1882), 549-50.</w:t>
      </w:r>
    </w:p>
  </w:footnote>
  <w:footnote w:id="42">
    <w:p w14:paraId="39E2E4D0" w14:textId="77777777" w:rsidR="002607B0" w:rsidRDefault="002607B0">
      <w:pPr>
        <w:pStyle w:val="FootnoteText"/>
      </w:pPr>
      <w:r>
        <w:rPr>
          <w:rStyle w:val="FootnoteReference"/>
        </w:rPr>
        <w:footnoteRef/>
      </w:r>
      <w:r>
        <w:t xml:space="preserve"> Goldberg, </w:t>
      </w:r>
      <w:r w:rsidRPr="001775E8">
        <w:rPr>
          <w:i/>
        </w:rPr>
        <w:t>Women, Work, and Life Cycle</w:t>
      </w:r>
      <w:r>
        <w:t>, 186-202.</w:t>
      </w:r>
    </w:p>
  </w:footnote>
  <w:footnote w:id="43">
    <w:p w14:paraId="5070E3D1" w14:textId="77777777" w:rsidR="002607B0" w:rsidRDefault="002607B0">
      <w:pPr>
        <w:pStyle w:val="FootnoteText"/>
      </w:pPr>
      <w:r>
        <w:rPr>
          <w:rStyle w:val="FootnoteReference"/>
        </w:rPr>
        <w:footnoteRef/>
      </w:r>
      <w:r>
        <w:t xml:space="preserve"> BI, CP.F.113, depositions of John </w:t>
      </w:r>
      <w:proofErr w:type="spellStart"/>
      <w:r>
        <w:t>Colstan</w:t>
      </w:r>
      <w:proofErr w:type="spellEnd"/>
      <w:r>
        <w:t xml:space="preserve">, John Bergh, William </w:t>
      </w:r>
      <w:proofErr w:type="spellStart"/>
      <w:r>
        <w:t>Belot</w:t>
      </w:r>
      <w:proofErr w:type="spellEnd"/>
      <w:r>
        <w:t xml:space="preserve">, Katherine </w:t>
      </w:r>
      <w:proofErr w:type="spellStart"/>
      <w:r>
        <w:t>Lorymer</w:t>
      </w:r>
      <w:proofErr w:type="spellEnd"/>
      <w:r>
        <w:t xml:space="preserve">, and Alice Burton. The testimony demonstrates Agnes’ continuous presence at William </w:t>
      </w:r>
      <w:proofErr w:type="spellStart"/>
      <w:r>
        <w:t>Goddeshelp’s</w:t>
      </w:r>
      <w:proofErr w:type="spellEnd"/>
      <w:r>
        <w:t xml:space="preserve"> house that morning. We may question the historicity of the events described, but we can be reasonably confident that the testimony is credible and so reflective of social practice. </w:t>
      </w:r>
    </w:p>
  </w:footnote>
  <w:footnote w:id="44">
    <w:p w14:paraId="15E0A41E" w14:textId="77777777" w:rsidR="002607B0" w:rsidRPr="00494A5F" w:rsidRDefault="002607B0">
      <w:pPr>
        <w:pStyle w:val="FootnoteText"/>
      </w:pPr>
      <w:r>
        <w:rPr>
          <w:rStyle w:val="FootnoteReference"/>
        </w:rPr>
        <w:footnoteRef/>
      </w:r>
      <w:r>
        <w:t xml:space="preserve"> </w:t>
      </w:r>
      <w:r w:rsidRPr="00C86B2F">
        <w:rPr>
          <w:rFonts w:cs="Times New Roman"/>
        </w:rPr>
        <w:t xml:space="preserve">‘… </w:t>
      </w:r>
      <w:proofErr w:type="spellStart"/>
      <w:r w:rsidRPr="00C86B2F">
        <w:rPr>
          <w:rFonts w:cs="Times New Roman"/>
          <w:i/>
        </w:rPr>
        <w:t>reclinatus</w:t>
      </w:r>
      <w:proofErr w:type="spellEnd"/>
      <w:r w:rsidRPr="00C86B2F">
        <w:rPr>
          <w:rFonts w:cs="Times New Roman"/>
          <w:i/>
        </w:rPr>
        <w:t xml:space="preserve"> super </w:t>
      </w:r>
      <w:proofErr w:type="spellStart"/>
      <w:r w:rsidRPr="00C86B2F">
        <w:rPr>
          <w:rFonts w:cs="Times New Roman"/>
          <w:i/>
        </w:rPr>
        <w:t>cubitum</w:t>
      </w:r>
      <w:proofErr w:type="spellEnd"/>
      <w:r w:rsidRPr="00C86B2F">
        <w:rPr>
          <w:rFonts w:cs="Times New Roman"/>
          <w:i/>
        </w:rPr>
        <w:t xml:space="preserve"> </w:t>
      </w:r>
      <w:proofErr w:type="spellStart"/>
      <w:r w:rsidRPr="00C86B2F">
        <w:rPr>
          <w:rFonts w:cs="Times New Roman"/>
          <w:i/>
        </w:rPr>
        <w:t>suum</w:t>
      </w:r>
      <w:proofErr w:type="spellEnd"/>
      <w:r w:rsidRPr="00C86B2F">
        <w:rPr>
          <w:rFonts w:cs="Times New Roman"/>
          <w:i/>
        </w:rPr>
        <w:t xml:space="preserve"> </w:t>
      </w:r>
      <w:proofErr w:type="spellStart"/>
      <w:r w:rsidRPr="00C86B2F">
        <w:rPr>
          <w:rFonts w:cs="Times New Roman"/>
          <w:i/>
        </w:rPr>
        <w:t>ad</w:t>
      </w:r>
      <w:proofErr w:type="spellEnd"/>
      <w:r w:rsidRPr="00C86B2F">
        <w:rPr>
          <w:rFonts w:cs="Times New Roman"/>
          <w:i/>
        </w:rPr>
        <w:t xml:space="preserve"> </w:t>
      </w:r>
      <w:proofErr w:type="spellStart"/>
      <w:r w:rsidRPr="00C86B2F">
        <w:rPr>
          <w:rFonts w:cs="Times New Roman"/>
          <w:i/>
        </w:rPr>
        <w:t>stallum</w:t>
      </w:r>
      <w:proofErr w:type="spellEnd"/>
      <w:r w:rsidRPr="00C86B2F">
        <w:rPr>
          <w:rFonts w:cs="Times New Roman"/>
          <w:i/>
        </w:rPr>
        <w:t xml:space="preserve"> </w:t>
      </w:r>
      <w:proofErr w:type="spellStart"/>
      <w:r w:rsidRPr="00C86B2F">
        <w:rPr>
          <w:rFonts w:cs="Times New Roman"/>
          <w:i/>
        </w:rPr>
        <w:t>opelle</w:t>
      </w:r>
      <w:proofErr w:type="spellEnd"/>
      <w:r w:rsidRPr="00C86B2F">
        <w:rPr>
          <w:rFonts w:cs="Times New Roman"/>
        </w:rPr>
        <w:t>’: BI, CP.F.335</w:t>
      </w:r>
      <w:r>
        <w:rPr>
          <w:rFonts w:cs="Times New Roman"/>
        </w:rPr>
        <w:t xml:space="preserve">; </w:t>
      </w:r>
      <w:r w:rsidRPr="00494A5F">
        <w:rPr>
          <w:rFonts w:cs="Times New Roman"/>
          <w:i/>
        </w:rPr>
        <w:t>D</w:t>
      </w:r>
      <w:r>
        <w:rPr>
          <w:rFonts w:cs="Times New Roman"/>
          <w:i/>
        </w:rPr>
        <w:t>MLBS</w:t>
      </w:r>
      <w:r w:rsidRPr="00494A5F">
        <w:rPr>
          <w:rFonts w:cs="Times New Roman"/>
        </w:rPr>
        <w:t xml:space="preserve">, under </w:t>
      </w:r>
      <w:proofErr w:type="spellStart"/>
      <w:r w:rsidRPr="00494A5F">
        <w:rPr>
          <w:rFonts w:cs="Times New Roman"/>
          <w:i/>
        </w:rPr>
        <w:t>stallus</w:t>
      </w:r>
      <w:proofErr w:type="spellEnd"/>
      <w:r w:rsidRPr="00494A5F">
        <w:rPr>
          <w:rFonts w:cs="Times New Roman"/>
          <w:i/>
        </w:rPr>
        <w:t xml:space="preserve">, </w:t>
      </w:r>
      <w:proofErr w:type="spellStart"/>
      <w:r w:rsidRPr="00494A5F">
        <w:rPr>
          <w:rFonts w:cs="Times New Roman"/>
          <w:i/>
        </w:rPr>
        <w:t>stalla</w:t>
      </w:r>
      <w:proofErr w:type="spellEnd"/>
      <w:r w:rsidRPr="00494A5F">
        <w:rPr>
          <w:rFonts w:cs="Times New Roman"/>
          <w:i/>
        </w:rPr>
        <w:t xml:space="preserve">, </w:t>
      </w:r>
      <w:proofErr w:type="spellStart"/>
      <w:r w:rsidRPr="00494A5F">
        <w:rPr>
          <w:rFonts w:cs="Times New Roman"/>
          <w:i/>
        </w:rPr>
        <w:t>stallum</w:t>
      </w:r>
      <w:proofErr w:type="spellEnd"/>
      <w:r w:rsidRPr="00494A5F">
        <w:rPr>
          <w:rFonts w:cs="Times New Roman"/>
        </w:rPr>
        <w:t>, 2.</w:t>
      </w:r>
      <w:r>
        <w:rPr>
          <w:rFonts w:cs="Times New Roman"/>
        </w:rPr>
        <w:t xml:space="preserve"> Deponents only routinely describe blood, marriage or employment ties to the litigants. There is no significance in the omission of </w:t>
      </w:r>
      <w:proofErr w:type="spellStart"/>
      <w:r>
        <w:rPr>
          <w:rFonts w:cs="Times New Roman"/>
        </w:rPr>
        <w:t>Kynkcorne’s</w:t>
      </w:r>
      <w:proofErr w:type="spellEnd"/>
      <w:r>
        <w:rPr>
          <w:rFonts w:cs="Times New Roman"/>
        </w:rPr>
        <w:t xml:space="preserve"> tie to </w:t>
      </w:r>
      <w:proofErr w:type="spellStart"/>
      <w:r>
        <w:rPr>
          <w:rFonts w:cs="Times New Roman"/>
        </w:rPr>
        <w:t>Lonesdale</w:t>
      </w:r>
      <w:proofErr w:type="spellEnd"/>
      <w:r>
        <w:rPr>
          <w:rFonts w:cs="Times New Roman"/>
        </w:rPr>
        <w:t xml:space="preserve"> from his deposition.</w:t>
      </w:r>
    </w:p>
  </w:footnote>
  <w:footnote w:id="45">
    <w:p w14:paraId="6604C88C" w14:textId="77777777" w:rsidR="002607B0" w:rsidRDefault="002607B0">
      <w:pPr>
        <w:pStyle w:val="FootnoteText"/>
      </w:pPr>
      <w:r>
        <w:rPr>
          <w:rStyle w:val="FootnoteReference"/>
        </w:rPr>
        <w:footnoteRef/>
      </w:r>
      <w:r>
        <w:t xml:space="preserve"> CP.F.182; </w:t>
      </w:r>
      <w:proofErr w:type="spellStart"/>
      <w:r>
        <w:t>Stell</w:t>
      </w:r>
      <w:proofErr w:type="spellEnd"/>
      <w:r>
        <w:t xml:space="preserve">, trans., </w:t>
      </w:r>
      <w:r w:rsidRPr="00DF2581">
        <w:rPr>
          <w:i/>
        </w:rPr>
        <w:t>Probate Inventories</w:t>
      </w:r>
      <w:r>
        <w:t xml:space="preserve">, 557; </w:t>
      </w:r>
      <w:proofErr w:type="spellStart"/>
      <w:r w:rsidRPr="00BD38FD">
        <w:rPr>
          <w:i/>
        </w:rPr>
        <w:t>Testamenta</w:t>
      </w:r>
      <w:proofErr w:type="spellEnd"/>
      <w:r w:rsidRPr="00BD38FD">
        <w:rPr>
          <w:i/>
        </w:rPr>
        <w:t xml:space="preserve"> </w:t>
      </w:r>
      <w:proofErr w:type="spellStart"/>
      <w:r w:rsidRPr="00BD38FD">
        <w:rPr>
          <w:i/>
        </w:rPr>
        <w:t>Eboracensia</w:t>
      </w:r>
      <w:proofErr w:type="spellEnd"/>
      <w:r>
        <w:t xml:space="preserve">, iii, 97. </w:t>
      </w:r>
      <w:r w:rsidRPr="007B453B">
        <w:t>Such beds may well have</w:t>
      </w:r>
      <w:r>
        <w:t xml:space="preserve"> been fairly common, but if seen as the </w:t>
      </w:r>
      <w:r w:rsidRPr="00B77DB1">
        <w:rPr>
          <w:i/>
        </w:rPr>
        <w:t>de facto</w:t>
      </w:r>
      <w:r>
        <w:t xml:space="preserve"> property of the employees would not be appraised in probate inventories.  </w:t>
      </w:r>
    </w:p>
  </w:footnote>
  <w:footnote w:id="46">
    <w:p w14:paraId="608E7ECB" w14:textId="77777777" w:rsidR="002607B0" w:rsidRDefault="002607B0" w:rsidP="00F746E7">
      <w:pPr>
        <w:pStyle w:val="FootnoteText"/>
      </w:pPr>
      <w:r w:rsidRPr="00C86B2F">
        <w:rPr>
          <w:rStyle w:val="FootnoteReference"/>
        </w:rPr>
        <w:footnoteRef/>
      </w:r>
      <w:r w:rsidRPr="00C86B2F">
        <w:t xml:space="preserve"> BI, </w:t>
      </w:r>
      <w:r w:rsidRPr="00C86B2F">
        <w:rPr>
          <w:rFonts w:cs="Times New Roman"/>
        </w:rPr>
        <w:t>CP.F.182</w:t>
      </w:r>
      <w:r>
        <w:rPr>
          <w:rFonts w:cs="Times New Roman"/>
        </w:rPr>
        <w:t>.</w:t>
      </w:r>
    </w:p>
  </w:footnote>
  <w:footnote w:id="47">
    <w:p w14:paraId="55A32D14" w14:textId="77777777" w:rsidR="002607B0" w:rsidRDefault="002607B0">
      <w:pPr>
        <w:pStyle w:val="FootnoteText"/>
      </w:pPr>
      <w:r>
        <w:rPr>
          <w:rStyle w:val="FootnoteReference"/>
        </w:rPr>
        <w:footnoteRef/>
      </w:r>
      <w:r>
        <w:t xml:space="preserve"> BI, CP.F.269. </w:t>
      </w:r>
      <w:proofErr w:type="spellStart"/>
      <w:r>
        <w:t>Elwald’s</w:t>
      </w:r>
      <w:proofErr w:type="spellEnd"/>
      <w:r>
        <w:t xml:space="preserve"> house is not located.</w:t>
      </w:r>
    </w:p>
  </w:footnote>
  <w:footnote w:id="48">
    <w:p w14:paraId="7005315A" w14:textId="77777777" w:rsidR="002607B0" w:rsidRDefault="002607B0">
      <w:pPr>
        <w:pStyle w:val="FootnoteText"/>
      </w:pPr>
      <w:r>
        <w:rPr>
          <w:rStyle w:val="FootnoteReference"/>
        </w:rPr>
        <w:footnoteRef/>
      </w:r>
      <w:r>
        <w:t xml:space="preserve"> BI, CP.F.182. The noble was a gold coin worth 6s. 8d. (a third of a pound sterling).</w:t>
      </w:r>
    </w:p>
  </w:footnote>
  <w:footnote w:id="49">
    <w:p w14:paraId="4C59187D" w14:textId="10E5EE88" w:rsidR="002607B0" w:rsidRDefault="002607B0">
      <w:pPr>
        <w:pStyle w:val="FootnoteText"/>
      </w:pPr>
      <w:r>
        <w:rPr>
          <w:rStyle w:val="FootnoteReference"/>
        </w:rPr>
        <w:footnoteRef/>
      </w:r>
      <w:r>
        <w:t xml:space="preserve"> </w:t>
      </w:r>
      <w:proofErr w:type="spellStart"/>
      <w:r>
        <w:t>McSheffrey</w:t>
      </w:r>
      <w:proofErr w:type="spellEnd"/>
      <w:r>
        <w:t xml:space="preserve"> observes that shops were occasionally used as the venue for contracts of marriages, but on non-work days: </w:t>
      </w:r>
      <w:proofErr w:type="spellStart"/>
      <w:r>
        <w:t>McSheffr</w:t>
      </w:r>
      <w:r w:rsidR="002967E1">
        <w:t>ey</w:t>
      </w:r>
      <w:proofErr w:type="spellEnd"/>
      <w:r w:rsidR="002967E1">
        <w:t>, ‘</w:t>
      </w:r>
      <w:r w:rsidR="002967E1">
        <w:t>Place, Space, and Situation</w:t>
      </w:r>
      <w:r>
        <w:t>’, 975.</w:t>
      </w:r>
    </w:p>
  </w:footnote>
  <w:footnote w:id="50">
    <w:p w14:paraId="124348C7" w14:textId="77777777" w:rsidR="002607B0" w:rsidRDefault="002607B0" w:rsidP="0087309A">
      <w:pPr>
        <w:pStyle w:val="FootnoteText"/>
      </w:pPr>
      <w:r>
        <w:rPr>
          <w:rStyle w:val="FootnoteReference"/>
        </w:rPr>
        <w:footnoteRef/>
      </w:r>
      <w:r>
        <w:t xml:space="preserve"> BI, CP.G.8.</w:t>
      </w:r>
    </w:p>
  </w:footnote>
  <w:footnote w:id="51">
    <w:p w14:paraId="3A4BB02B" w14:textId="77777777" w:rsidR="002607B0" w:rsidRDefault="002607B0">
      <w:pPr>
        <w:pStyle w:val="FootnoteText"/>
      </w:pPr>
      <w:r>
        <w:rPr>
          <w:rStyle w:val="FootnoteReference"/>
        </w:rPr>
        <w:footnoteRef/>
      </w:r>
      <w:r>
        <w:t xml:space="preserve"> BI, CP.F.335.</w:t>
      </w:r>
    </w:p>
  </w:footnote>
  <w:footnote w:id="52">
    <w:p w14:paraId="04B22C1B" w14:textId="77777777" w:rsidR="002607B0" w:rsidRDefault="002607B0" w:rsidP="00025D4E">
      <w:pPr>
        <w:pStyle w:val="FootnoteText"/>
      </w:pPr>
      <w:r>
        <w:rPr>
          <w:rStyle w:val="FootnoteReference"/>
        </w:rPr>
        <w:footnoteRef/>
      </w:r>
      <w:r>
        <w:t xml:space="preserve"> BI, CP.F.244.</w:t>
      </w:r>
    </w:p>
  </w:footnote>
  <w:footnote w:id="53">
    <w:p w14:paraId="4252AA0D" w14:textId="562A6687" w:rsidR="002607B0" w:rsidRPr="002B23BD" w:rsidRDefault="002607B0" w:rsidP="0055184C">
      <w:pPr>
        <w:pStyle w:val="Heading1"/>
        <w:shd w:val="clear" w:color="auto" w:fill="FFFFFF"/>
        <w:spacing w:before="0" w:beforeAutospacing="0" w:after="60" w:afterAutospacing="0"/>
        <w:rPr>
          <w:rFonts w:asciiTheme="minorHAnsi" w:hAnsiTheme="minorHAnsi" w:cstheme="minorHAnsi"/>
          <w:b w:val="0"/>
          <w:bCs w:val="0"/>
          <w:color w:val="CC2127"/>
          <w:sz w:val="20"/>
          <w:szCs w:val="20"/>
        </w:rPr>
      </w:pPr>
      <w:r w:rsidRPr="00025D4E">
        <w:rPr>
          <w:rStyle w:val="FootnoteReference"/>
          <w:rFonts w:asciiTheme="minorHAnsi" w:hAnsiTheme="minorHAnsi"/>
          <w:b w:val="0"/>
          <w:sz w:val="20"/>
          <w:szCs w:val="20"/>
        </w:rPr>
        <w:footnoteRef/>
      </w:r>
      <w:r w:rsidRPr="00025D4E">
        <w:rPr>
          <w:rFonts w:asciiTheme="minorHAnsi" w:hAnsiTheme="minorHAnsi"/>
          <w:b w:val="0"/>
          <w:sz w:val="20"/>
          <w:szCs w:val="20"/>
        </w:rPr>
        <w:t xml:space="preserve"> </w:t>
      </w:r>
      <w:r w:rsidRPr="00025D4E">
        <w:rPr>
          <w:rFonts w:asciiTheme="minorHAnsi" w:hAnsiTheme="minorHAnsi"/>
          <w:b w:val="0"/>
          <w:i/>
          <w:sz w:val="20"/>
          <w:szCs w:val="20"/>
        </w:rPr>
        <w:t>MED</w:t>
      </w:r>
      <w:r w:rsidRPr="00025D4E">
        <w:rPr>
          <w:rFonts w:asciiTheme="minorHAnsi" w:hAnsiTheme="minorHAnsi"/>
          <w:b w:val="0"/>
          <w:sz w:val="20"/>
          <w:szCs w:val="20"/>
        </w:rPr>
        <w:t xml:space="preserve">, under </w:t>
      </w:r>
      <w:proofErr w:type="spellStart"/>
      <w:r w:rsidRPr="00684EC9">
        <w:rPr>
          <w:rStyle w:val="Strong"/>
          <w:rFonts w:asciiTheme="minorHAnsi" w:hAnsiTheme="minorHAnsi"/>
          <w:color w:val="000000"/>
          <w:sz w:val="20"/>
          <w:szCs w:val="20"/>
          <w:shd w:val="clear" w:color="auto" w:fill="FFFFFF"/>
        </w:rPr>
        <w:t>cō̆ster</w:t>
      </w:r>
      <w:proofErr w:type="spellEnd"/>
      <w:r w:rsidRPr="00684EC9">
        <w:rPr>
          <w:rFonts w:asciiTheme="minorHAnsi" w:hAnsiTheme="minorHAnsi"/>
          <w:color w:val="000000"/>
          <w:sz w:val="20"/>
          <w:szCs w:val="20"/>
          <w:shd w:val="clear" w:color="auto" w:fill="FFFFFF"/>
        </w:rPr>
        <w:t> </w:t>
      </w:r>
      <w:r>
        <w:rPr>
          <w:rFonts w:asciiTheme="minorHAnsi" w:hAnsiTheme="minorHAnsi"/>
          <w:b w:val="0"/>
          <w:color w:val="000000"/>
          <w:sz w:val="20"/>
          <w:szCs w:val="20"/>
          <w:shd w:val="clear" w:color="auto" w:fill="FFFFFF"/>
        </w:rPr>
        <w:t>(n. 1</w:t>
      </w:r>
      <w:r w:rsidRPr="00684EC9">
        <w:rPr>
          <w:rFonts w:asciiTheme="minorHAnsi" w:hAnsiTheme="minorHAnsi"/>
          <w:b w:val="0"/>
          <w:color w:val="000000"/>
          <w:sz w:val="20"/>
          <w:szCs w:val="20"/>
          <w:shd w:val="clear" w:color="auto" w:fill="FFFFFF"/>
        </w:rPr>
        <w:t>)</w:t>
      </w:r>
      <w:r>
        <w:rPr>
          <w:rStyle w:val="Strong"/>
          <w:rFonts w:asciiTheme="minorHAnsi" w:hAnsiTheme="minorHAnsi"/>
          <w:color w:val="000000"/>
          <w:sz w:val="20"/>
          <w:szCs w:val="20"/>
          <w:shd w:val="clear" w:color="auto" w:fill="FFFFFF"/>
        </w:rPr>
        <w:t xml:space="preserve">, </w:t>
      </w:r>
      <w:proofErr w:type="spellStart"/>
      <w:r w:rsidRPr="00025D4E">
        <w:rPr>
          <w:rStyle w:val="Strong"/>
          <w:rFonts w:asciiTheme="minorHAnsi" w:hAnsiTheme="minorHAnsi"/>
          <w:color w:val="000000"/>
          <w:sz w:val="20"/>
          <w:szCs w:val="20"/>
          <w:shd w:val="clear" w:color="auto" w:fill="FFFFFF"/>
        </w:rPr>
        <w:t>dō̆ser</w:t>
      </w:r>
      <w:proofErr w:type="spellEnd"/>
      <w:r w:rsidRPr="00025D4E">
        <w:rPr>
          <w:rFonts w:asciiTheme="minorHAnsi" w:hAnsiTheme="minorHAnsi"/>
          <w:b w:val="0"/>
          <w:color w:val="000000"/>
          <w:sz w:val="20"/>
          <w:szCs w:val="20"/>
          <w:shd w:val="clear" w:color="auto" w:fill="FFFFFF"/>
        </w:rPr>
        <w:t> (n.), 1</w:t>
      </w:r>
      <w:r>
        <w:rPr>
          <w:rFonts w:asciiTheme="minorHAnsi" w:hAnsiTheme="minorHAnsi"/>
          <w:b w:val="0"/>
          <w:color w:val="000000"/>
          <w:sz w:val="20"/>
          <w:szCs w:val="20"/>
          <w:shd w:val="clear" w:color="auto" w:fill="FFFFFF"/>
        </w:rPr>
        <w:t xml:space="preserve">, </w:t>
      </w:r>
      <w:proofErr w:type="spellStart"/>
      <w:r w:rsidRPr="00684EC9">
        <w:rPr>
          <w:rStyle w:val="Strong"/>
          <w:rFonts w:asciiTheme="minorHAnsi" w:hAnsiTheme="minorHAnsi"/>
          <w:color w:val="000000"/>
          <w:sz w:val="20"/>
          <w:szCs w:val="20"/>
          <w:shd w:val="clear" w:color="auto" w:fill="FFFFFF"/>
        </w:rPr>
        <w:t>bankēr</w:t>
      </w:r>
      <w:proofErr w:type="spellEnd"/>
      <w:r w:rsidRPr="00684EC9">
        <w:rPr>
          <w:rFonts w:asciiTheme="minorHAnsi" w:hAnsiTheme="minorHAnsi"/>
          <w:color w:val="000000"/>
          <w:sz w:val="20"/>
          <w:szCs w:val="20"/>
          <w:shd w:val="clear" w:color="auto" w:fill="FFFFFF"/>
        </w:rPr>
        <w:t> </w:t>
      </w:r>
      <w:r w:rsidRPr="00684EC9">
        <w:rPr>
          <w:rFonts w:asciiTheme="minorHAnsi" w:hAnsiTheme="minorHAnsi"/>
          <w:b w:val="0"/>
          <w:color w:val="000000"/>
          <w:sz w:val="20"/>
          <w:szCs w:val="20"/>
          <w:shd w:val="clear" w:color="auto" w:fill="FFFFFF"/>
        </w:rPr>
        <w:t>(n.)</w:t>
      </w:r>
      <w:r w:rsidRPr="00025D4E">
        <w:rPr>
          <w:rFonts w:asciiTheme="minorHAnsi" w:hAnsiTheme="minorHAnsi"/>
          <w:b w:val="0"/>
          <w:color w:val="000000"/>
          <w:sz w:val="20"/>
          <w:szCs w:val="20"/>
          <w:shd w:val="clear" w:color="auto" w:fill="FFFFFF"/>
        </w:rPr>
        <w:t xml:space="preserve">; </w:t>
      </w:r>
      <w:r w:rsidRPr="00B23A1C">
        <w:rPr>
          <w:rFonts w:asciiTheme="minorHAnsi" w:hAnsiTheme="minorHAnsi"/>
          <w:b w:val="0"/>
          <w:i/>
          <w:color w:val="000000"/>
          <w:sz w:val="20"/>
          <w:szCs w:val="20"/>
          <w:shd w:val="clear" w:color="auto" w:fill="FFFFFF"/>
        </w:rPr>
        <w:t>OED</w:t>
      </w:r>
      <w:r w:rsidRPr="00025D4E">
        <w:rPr>
          <w:rFonts w:asciiTheme="minorHAnsi" w:hAnsiTheme="minorHAnsi"/>
          <w:b w:val="0"/>
          <w:color w:val="000000"/>
          <w:sz w:val="20"/>
          <w:szCs w:val="20"/>
          <w:shd w:val="clear" w:color="auto" w:fill="FFFFFF"/>
        </w:rPr>
        <w:t>, under</w:t>
      </w:r>
      <w:r>
        <w:rPr>
          <w:rFonts w:asciiTheme="minorHAnsi" w:hAnsiTheme="minorHAnsi"/>
          <w:b w:val="0"/>
          <w:color w:val="000000"/>
          <w:sz w:val="20"/>
          <w:szCs w:val="20"/>
          <w:shd w:val="clear" w:color="auto" w:fill="FFFFFF"/>
        </w:rPr>
        <w:t xml:space="preserve"> </w:t>
      </w:r>
      <w:proofErr w:type="spellStart"/>
      <w:r>
        <w:rPr>
          <w:rFonts w:asciiTheme="minorHAnsi" w:hAnsiTheme="minorHAnsi"/>
          <w:b w:val="0"/>
          <w:color w:val="000000"/>
          <w:sz w:val="20"/>
          <w:szCs w:val="20"/>
          <w:shd w:val="clear" w:color="auto" w:fill="FFFFFF"/>
        </w:rPr>
        <w:t>coster</w:t>
      </w:r>
      <w:proofErr w:type="spellEnd"/>
      <w:r>
        <w:rPr>
          <w:rFonts w:asciiTheme="minorHAnsi" w:hAnsiTheme="minorHAnsi"/>
          <w:b w:val="0"/>
          <w:color w:val="000000"/>
          <w:sz w:val="20"/>
          <w:szCs w:val="20"/>
          <w:shd w:val="clear" w:color="auto" w:fill="FFFFFF"/>
        </w:rPr>
        <w:t xml:space="preserve"> (n.</w:t>
      </w:r>
      <w:r w:rsidRPr="00684EC9">
        <w:rPr>
          <w:rFonts w:asciiTheme="minorHAnsi" w:hAnsiTheme="minorHAnsi"/>
          <w:b w:val="0"/>
          <w:color w:val="000000"/>
          <w:sz w:val="20"/>
          <w:szCs w:val="20"/>
          <w:shd w:val="clear" w:color="auto" w:fill="FFFFFF"/>
        </w:rPr>
        <w:t xml:space="preserve"> 1</w:t>
      </w:r>
      <w:r>
        <w:rPr>
          <w:rFonts w:asciiTheme="minorHAnsi" w:hAnsiTheme="minorHAnsi"/>
          <w:b w:val="0"/>
          <w:color w:val="000000"/>
          <w:sz w:val="20"/>
          <w:szCs w:val="20"/>
          <w:shd w:val="clear" w:color="auto" w:fill="FFFFFF"/>
        </w:rPr>
        <w:t>)</w:t>
      </w:r>
      <w:r w:rsidRPr="00684EC9">
        <w:rPr>
          <w:rFonts w:asciiTheme="minorHAnsi" w:hAnsiTheme="minorHAnsi"/>
          <w:b w:val="0"/>
          <w:color w:val="000000"/>
          <w:sz w:val="20"/>
          <w:szCs w:val="20"/>
          <w:shd w:val="clear" w:color="auto" w:fill="FFFFFF"/>
        </w:rPr>
        <w:t>,</w:t>
      </w:r>
      <w:r>
        <w:rPr>
          <w:rFonts w:asciiTheme="minorHAnsi" w:hAnsiTheme="minorHAnsi"/>
          <w:color w:val="000000"/>
          <w:sz w:val="20"/>
          <w:szCs w:val="20"/>
          <w:shd w:val="clear" w:color="auto" w:fill="FFFFFF"/>
        </w:rPr>
        <w:t xml:space="preserve"> </w:t>
      </w:r>
      <w:r w:rsidRPr="00025D4E">
        <w:rPr>
          <w:rFonts w:asciiTheme="minorHAnsi" w:hAnsiTheme="minorHAnsi"/>
          <w:b w:val="0"/>
          <w:bCs w:val="0"/>
          <w:sz w:val="20"/>
          <w:szCs w:val="20"/>
        </w:rPr>
        <w:t>dosser</w:t>
      </w:r>
      <w:r>
        <w:rPr>
          <w:rFonts w:asciiTheme="minorHAnsi" w:hAnsiTheme="minorHAnsi"/>
          <w:b w:val="0"/>
          <w:bCs w:val="0"/>
          <w:sz w:val="20"/>
          <w:szCs w:val="20"/>
        </w:rPr>
        <w:t> /</w:t>
      </w:r>
      <w:r w:rsidRPr="00025D4E">
        <w:rPr>
          <w:rFonts w:asciiTheme="minorHAnsi" w:hAnsiTheme="minorHAnsi"/>
          <w:b w:val="0"/>
          <w:bCs w:val="0"/>
          <w:sz w:val="20"/>
          <w:szCs w:val="20"/>
        </w:rPr>
        <w:t> </w:t>
      </w:r>
      <w:proofErr w:type="spellStart"/>
      <w:r w:rsidRPr="00025D4E">
        <w:rPr>
          <w:rFonts w:asciiTheme="minorHAnsi" w:hAnsiTheme="minorHAnsi"/>
          <w:b w:val="0"/>
          <w:bCs w:val="0"/>
          <w:sz w:val="20"/>
          <w:szCs w:val="20"/>
        </w:rPr>
        <w:t>dorser</w:t>
      </w:r>
      <w:proofErr w:type="spellEnd"/>
      <w:r>
        <w:rPr>
          <w:rFonts w:asciiTheme="minorHAnsi" w:hAnsiTheme="minorHAnsi"/>
          <w:b w:val="0"/>
          <w:bCs w:val="0"/>
          <w:sz w:val="20"/>
          <w:szCs w:val="20"/>
        </w:rPr>
        <w:t xml:space="preserve"> (</w:t>
      </w:r>
      <w:r>
        <w:rPr>
          <w:rFonts w:asciiTheme="minorHAnsi" w:hAnsiTheme="minorHAnsi"/>
          <w:b w:val="0"/>
          <w:bCs w:val="0"/>
          <w:iCs/>
          <w:sz w:val="20"/>
          <w:szCs w:val="20"/>
        </w:rPr>
        <w:t>n. 1), 1, banker (n. 1).</w:t>
      </w:r>
      <w:r w:rsidR="002B23BD">
        <w:rPr>
          <w:rFonts w:asciiTheme="minorHAnsi" w:hAnsiTheme="minorHAnsi"/>
          <w:b w:val="0"/>
          <w:bCs w:val="0"/>
          <w:iCs/>
          <w:sz w:val="20"/>
          <w:szCs w:val="20"/>
        </w:rPr>
        <w:t xml:space="preserve"> Dyer observes from a sample of mostly later fifteenth-century and moderately well-to-do peasant inventories that ‘</w:t>
      </w:r>
      <w:r w:rsidR="002B23BD" w:rsidRPr="002B23BD">
        <w:rPr>
          <w:rFonts w:asciiTheme="minorHAnsi" w:hAnsiTheme="minorHAnsi" w:cstheme="minorHAnsi"/>
          <w:b w:val="0"/>
          <w:sz w:val="20"/>
          <w:szCs w:val="20"/>
        </w:rPr>
        <w:t>eating and drinking, conversation and entertainment were concentrated in the hall</w:t>
      </w:r>
      <w:r w:rsidR="002B23BD">
        <w:rPr>
          <w:rFonts w:asciiTheme="minorHAnsi" w:hAnsiTheme="minorHAnsi" w:cstheme="minorHAnsi"/>
          <w:b w:val="0"/>
          <w:sz w:val="20"/>
          <w:szCs w:val="20"/>
        </w:rPr>
        <w:t>’: Dyer, ‘Living in Peasant Houses’, 22.</w:t>
      </w:r>
    </w:p>
  </w:footnote>
  <w:footnote w:id="54">
    <w:p w14:paraId="78528EEF"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523.</w:t>
      </w:r>
    </w:p>
  </w:footnote>
  <w:footnote w:id="55">
    <w:p w14:paraId="12425B57" w14:textId="1ACC6907" w:rsidR="002607B0" w:rsidRDefault="002607B0">
      <w:pPr>
        <w:pStyle w:val="FootnoteText"/>
      </w:pPr>
      <w:r>
        <w:rPr>
          <w:rStyle w:val="FootnoteReference"/>
        </w:rPr>
        <w:footnoteRef/>
      </w:r>
      <w:r w:rsidR="00E26E44">
        <w:t xml:space="preserve"> </w:t>
      </w:r>
      <w:r>
        <w:t xml:space="preserve">Goldberg, ‘The fashioning of bourgeois domesticity’, 126-7, 132-3; </w:t>
      </w:r>
      <w:proofErr w:type="spellStart"/>
      <w:r>
        <w:t>Stell</w:t>
      </w:r>
      <w:proofErr w:type="spellEnd"/>
      <w:r>
        <w:t xml:space="preserve">, trans., </w:t>
      </w:r>
      <w:r w:rsidRPr="00DF2581">
        <w:rPr>
          <w:i/>
        </w:rPr>
        <w:t>Probate Inventories</w:t>
      </w:r>
      <w:r>
        <w:t>, 521, 523, 648.</w:t>
      </w:r>
    </w:p>
  </w:footnote>
  <w:footnote w:id="56">
    <w:p w14:paraId="16B6DD78" w14:textId="1A135284" w:rsidR="002607B0" w:rsidRDefault="002607B0">
      <w:pPr>
        <w:pStyle w:val="FootnoteText"/>
      </w:pPr>
      <w:r>
        <w:rPr>
          <w:rStyle w:val="FootnoteReference"/>
        </w:rPr>
        <w:footnoteRef/>
      </w:r>
      <w:r>
        <w:t xml:space="preserve"> BI, CP.F.182. </w:t>
      </w:r>
      <w:proofErr w:type="spellStart"/>
      <w:r>
        <w:t>McSheffrey</w:t>
      </w:r>
      <w:proofErr w:type="spellEnd"/>
      <w:r>
        <w:t xml:space="preserve"> likewise notices that halls were the ‘most common venue’ for contracts of marriage in later fifteenth-century London, especially where numbers of witnesses were present: </w:t>
      </w:r>
      <w:proofErr w:type="spellStart"/>
      <w:r>
        <w:t>McSheffrey</w:t>
      </w:r>
      <w:proofErr w:type="spellEnd"/>
      <w:r>
        <w:t>, ‘Space, Place, and Situation’, 975.</w:t>
      </w:r>
    </w:p>
  </w:footnote>
  <w:footnote w:id="57">
    <w:p w14:paraId="005AF54D" w14:textId="77777777" w:rsidR="002607B0" w:rsidRDefault="002607B0">
      <w:pPr>
        <w:pStyle w:val="FootnoteText"/>
      </w:pPr>
      <w:r>
        <w:rPr>
          <w:rStyle w:val="FootnoteReference"/>
        </w:rPr>
        <w:footnoteRef/>
      </w:r>
      <w:r>
        <w:t xml:space="preserve"> BI, CP.G.40. The pertinent deposition merely reports the giving of the ring which perhaps suggests it was unwitnessed. Nevertheless the symbolism of the action and location add strength to the testimony around the contract itself.</w:t>
      </w:r>
    </w:p>
  </w:footnote>
  <w:footnote w:id="58">
    <w:p w14:paraId="3C8140FF" w14:textId="77777777" w:rsidR="002607B0" w:rsidRDefault="002607B0">
      <w:pPr>
        <w:pStyle w:val="FootnoteText"/>
      </w:pPr>
      <w:r>
        <w:rPr>
          <w:rStyle w:val="FootnoteReference"/>
        </w:rPr>
        <w:footnoteRef/>
      </w:r>
      <w:r>
        <w:t xml:space="preserve"> BI, CP.F.108; </w:t>
      </w:r>
      <w:r w:rsidRPr="001F3127">
        <w:rPr>
          <w:i/>
        </w:rPr>
        <w:t>DMLBS</w:t>
      </w:r>
      <w:r>
        <w:t xml:space="preserve">, under </w:t>
      </w:r>
      <w:proofErr w:type="spellStart"/>
      <w:r w:rsidRPr="001F3127">
        <w:rPr>
          <w:i/>
        </w:rPr>
        <w:t>scamnum</w:t>
      </w:r>
      <w:proofErr w:type="spellEnd"/>
      <w:r>
        <w:t>, 1.</w:t>
      </w:r>
    </w:p>
  </w:footnote>
  <w:footnote w:id="59">
    <w:p w14:paraId="45A74F0E"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521.</w:t>
      </w:r>
    </w:p>
  </w:footnote>
  <w:footnote w:id="60">
    <w:p w14:paraId="3E909AD6" w14:textId="77777777" w:rsidR="002607B0" w:rsidRDefault="002607B0">
      <w:pPr>
        <w:pStyle w:val="FootnoteText"/>
      </w:pPr>
      <w:r>
        <w:rPr>
          <w:rStyle w:val="FootnoteReference"/>
        </w:rPr>
        <w:footnoteRef/>
      </w:r>
      <w:r>
        <w:t xml:space="preserve"> A violent argument followed when Peter demanded that the boy leave the table: BI, CP.F.235.</w:t>
      </w:r>
    </w:p>
  </w:footnote>
  <w:footnote w:id="61">
    <w:p w14:paraId="4C90D9E9" w14:textId="77777777" w:rsidR="002607B0" w:rsidRDefault="002607B0">
      <w:pPr>
        <w:pStyle w:val="FootnoteText"/>
      </w:pPr>
      <w:r>
        <w:rPr>
          <w:rStyle w:val="FootnoteReference"/>
        </w:rPr>
        <w:footnoteRef/>
      </w:r>
      <w:r>
        <w:t xml:space="preserve"> </w:t>
      </w:r>
      <w:r w:rsidRPr="001775E8">
        <w:rPr>
          <w:i/>
        </w:rPr>
        <w:t>MED</w:t>
      </w:r>
      <w:r>
        <w:t xml:space="preserve">, under </w:t>
      </w:r>
      <w:proofErr w:type="spellStart"/>
      <w:r w:rsidRPr="00D40C7D">
        <w:rPr>
          <w:rStyle w:val="Strong"/>
          <w:b w:val="0"/>
          <w:color w:val="000000"/>
          <w:shd w:val="clear" w:color="auto" w:fill="FFFFFF"/>
        </w:rPr>
        <w:t>meinē</w:t>
      </w:r>
      <w:proofErr w:type="spellEnd"/>
      <w:r w:rsidRPr="00D40C7D">
        <w:rPr>
          <w:rStyle w:val="Strong"/>
          <w:b w:val="0"/>
          <w:color w:val="000000"/>
          <w:shd w:val="clear" w:color="auto" w:fill="FFFFFF"/>
        </w:rPr>
        <w:t>̣</w:t>
      </w:r>
      <w:r w:rsidRPr="00D40C7D">
        <w:rPr>
          <w:color w:val="000000"/>
          <w:shd w:val="clear" w:color="auto" w:fill="FFFFFF"/>
        </w:rPr>
        <w:t> (n.), 4</w:t>
      </w:r>
      <w:r>
        <w:rPr>
          <w:color w:val="000000"/>
          <w:shd w:val="clear" w:color="auto" w:fill="FFFFFF"/>
        </w:rPr>
        <w:t xml:space="preserve">; </w:t>
      </w:r>
      <w:proofErr w:type="spellStart"/>
      <w:r>
        <w:rPr>
          <w:i/>
          <w:color w:val="000000"/>
          <w:shd w:val="clear" w:color="auto" w:fill="FFFFFF"/>
        </w:rPr>
        <w:t>Testamenta</w:t>
      </w:r>
      <w:proofErr w:type="spellEnd"/>
      <w:r>
        <w:rPr>
          <w:i/>
          <w:color w:val="000000"/>
          <w:shd w:val="clear" w:color="auto" w:fill="FFFFFF"/>
        </w:rPr>
        <w:t xml:space="preserve"> </w:t>
      </w:r>
      <w:proofErr w:type="spellStart"/>
      <w:r>
        <w:rPr>
          <w:i/>
          <w:color w:val="000000"/>
          <w:shd w:val="clear" w:color="auto" w:fill="FFFFFF"/>
        </w:rPr>
        <w:t>Eboracensia</w:t>
      </w:r>
      <w:proofErr w:type="spellEnd"/>
      <w:r>
        <w:rPr>
          <w:i/>
          <w:color w:val="000000"/>
          <w:shd w:val="clear" w:color="auto" w:fill="FFFFFF"/>
        </w:rPr>
        <w:t xml:space="preserve">, </w:t>
      </w:r>
      <w:r>
        <w:rPr>
          <w:color w:val="000000"/>
          <w:shd w:val="clear" w:color="auto" w:fill="FFFFFF"/>
        </w:rPr>
        <w:t>iii, 48. A Wakefield marriage case records that after the couple had contracted they went into the hall and ‘</w:t>
      </w:r>
      <w:proofErr w:type="spellStart"/>
      <w:r w:rsidRPr="004F367B">
        <w:rPr>
          <w:i/>
          <w:color w:val="000000"/>
          <w:shd w:val="clear" w:color="auto" w:fill="FFFFFF"/>
        </w:rPr>
        <w:t>recrearunt</w:t>
      </w:r>
      <w:proofErr w:type="spellEnd"/>
      <w:r>
        <w:rPr>
          <w:color w:val="000000"/>
          <w:shd w:val="clear" w:color="auto" w:fill="FFFFFF"/>
        </w:rPr>
        <w:t>’: BI, CP.F.265</w:t>
      </w:r>
    </w:p>
  </w:footnote>
  <w:footnote w:id="62">
    <w:p w14:paraId="6C049523" w14:textId="50FAD5FD" w:rsidR="002607B0" w:rsidRDefault="002607B0">
      <w:pPr>
        <w:pStyle w:val="FootnoteText"/>
      </w:pPr>
      <w:r>
        <w:rPr>
          <w:rStyle w:val="FootnoteReference"/>
        </w:rPr>
        <w:footnoteRef/>
      </w:r>
      <w:r>
        <w:t xml:space="preserve"> </w:t>
      </w:r>
      <w:proofErr w:type="spellStart"/>
      <w:r>
        <w:rPr>
          <w:i/>
          <w:color w:val="000000"/>
          <w:shd w:val="clear" w:color="auto" w:fill="FFFFFF"/>
        </w:rPr>
        <w:t>Testamenta</w:t>
      </w:r>
      <w:proofErr w:type="spellEnd"/>
      <w:r>
        <w:rPr>
          <w:i/>
          <w:color w:val="000000"/>
          <w:shd w:val="clear" w:color="auto" w:fill="FFFFFF"/>
        </w:rPr>
        <w:t xml:space="preserve"> </w:t>
      </w:r>
      <w:proofErr w:type="spellStart"/>
      <w:r>
        <w:rPr>
          <w:i/>
          <w:color w:val="000000"/>
          <w:shd w:val="clear" w:color="auto" w:fill="FFFFFF"/>
        </w:rPr>
        <w:t>Eboracensia</w:t>
      </w:r>
      <w:proofErr w:type="spellEnd"/>
      <w:r>
        <w:rPr>
          <w:i/>
          <w:color w:val="000000"/>
          <w:shd w:val="clear" w:color="auto" w:fill="FFFFFF"/>
        </w:rPr>
        <w:t xml:space="preserve">, </w:t>
      </w:r>
      <w:r>
        <w:rPr>
          <w:color w:val="000000"/>
          <w:shd w:val="clear" w:color="auto" w:fill="FFFFFF"/>
        </w:rPr>
        <w:t xml:space="preserve">iii, 48; </w:t>
      </w:r>
      <w:proofErr w:type="spellStart"/>
      <w:r>
        <w:t>Stell</w:t>
      </w:r>
      <w:proofErr w:type="spellEnd"/>
      <w:r>
        <w:t xml:space="preserve">, trans., </w:t>
      </w:r>
      <w:r w:rsidRPr="00DF2581">
        <w:rPr>
          <w:i/>
        </w:rPr>
        <w:t>Probate Inventories</w:t>
      </w:r>
      <w:r>
        <w:t>,</w:t>
      </w:r>
      <w:r>
        <w:rPr>
          <w:color w:val="000000"/>
          <w:shd w:val="clear" w:color="auto" w:fill="FFFFFF"/>
        </w:rPr>
        <w:t xml:space="preserve"> 534, 610, 617; BI, CP.E.111.</w:t>
      </w:r>
      <w:r w:rsidR="0085167B">
        <w:rPr>
          <w:color w:val="000000"/>
          <w:shd w:val="clear" w:color="auto" w:fill="FFFFFF"/>
        </w:rPr>
        <w:t xml:space="preserve"> Cf. Dyer, ‘Living in Peasant Houses’, 22.</w:t>
      </w:r>
    </w:p>
  </w:footnote>
  <w:footnote w:id="63">
    <w:p w14:paraId="06DA4339" w14:textId="77777777" w:rsidR="002607B0" w:rsidRDefault="002607B0">
      <w:pPr>
        <w:pStyle w:val="FootnoteText"/>
      </w:pPr>
      <w:r>
        <w:rPr>
          <w:rStyle w:val="FootnoteReference"/>
        </w:rPr>
        <w:footnoteRef/>
      </w:r>
      <w:r>
        <w:t xml:space="preserve"> BI, CP.E.111.</w:t>
      </w:r>
    </w:p>
  </w:footnote>
  <w:footnote w:id="64">
    <w:p w14:paraId="7E519D92" w14:textId="422C4E80" w:rsidR="002607B0" w:rsidRDefault="002607B0">
      <w:pPr>
        <w:pStyle w:val="FootnoteText"/>
      </w:pPr>
      <w:r>
        <w:rPr>
          <w:rStyle w:val="FootnoteReference"/>
        </w:rPr>
        <w:footnoteRef/>
      </w:r>
      <w:r>
        <w:t xml:space="preserve"> </w:t>
      </w:r>
      <w:r w:rsidR="00C66C00">
        <w:t xml:space="preserve">An exception is the merchant, William </w:t>
      </w:r>
      <w:proofErr w:type="spellStart"/>
      <w:r w:rsidR="00C66C00">
        <w:t>Plovell</w:t>
      </w:r>
      <w:proofErr w:type="spellEnd"/>
      <w:r w:rsidR="00C66C00">
        <w:t>, whose inventory is dated 1422</w:t>
      </w:r>
      <w:r w:rsidR="00494356">
        <w:t xml:space="preserve">: </w:t>
      </w:r>
      <w:proofErr w:type="spellStart"/>
      <w:r w:rsidR="00494356">
        <w:t>Stell</w:t>
      </w:r>
      <w:proofErr w:type="spellEnd"/>
      <w:r w:rsidR="00494356">
        <w:t xml:space="preserve">, trans., </w:t>
      </w:r>
      <w:r w:rsidR="00494356" w:rsidRPr="00DF2581">
        <w:rPr>
          <w:i/>
        </w:rPr>
        <w:t>Probate Inventories</w:t>
      </w:r>
      <w:r w:rsidR="00494356">
        <w:t xml:space="preserve">, </w:t>
      </w:r>
      <w:r w:rsidR="00494356">
        <w:t xml:space="preserve">534. Sarah Pearson likewise notes the lack of evidence for such service rooms in town houses: Sarah Pearson, ‘The Provision of Services in Medieval Houses in Kent’, </w:t>
      </w:r>
      <w:r w:rsidR="00494356" w:rsidRPr="00494356">
        <w:rPr>
          <w:i/>
        </w:rPr>
        <w:t>Vernacular Architecture</w:t>
      </w:r>
      <w:r w:rsidR="00494356">
        <w:t xml:space="preserve">, 43 (2012), </w:t>
      </w:r>
      <w:r w:rsidR="002F57D5">
        <w:t>44</w:t>
      </w:r>
      <w:r w:rsidR="00494356">
        <w:t xml:space="preserve">. See also </w:t>
      </w:r>
      <w:r>
        <w:t xml:space="preserve">Grenville, </w:t>
      </w:r>
      <w:r w:rsidRPr="000E6405">
        <w:rPr>
          <w:i/>
        </w:rPr>
        <w:t>Medieval Housing</w:t>
      </w:r>
      <w:r w:rsidR="00494356">
        <w:t>, 93-7.</w:t>
      </w:r>
    </w:p>
  </w:footnote>
  <w:footnote w:id="65">
    <w:p w14:paraId="1C16EF44" w14:textId="77777777" w:rsidR="002607B0" w:rsidRDefault="002607B0">
      <w:pPr>
        <w:pStyle w:val="FootnoteText"/>
      </w:pPr>
      <w:r>
        <w:rPr>
          <w:rStyle w:val="FootnoteReference"/>
        </w:rPr>
        <w:footnoteRef/>
      </w:r>
      <w:r>
        <w:t xml:space="preserve"> Katherine North’s inventory lists a quantity of harden (cheap flax or hemp cloth), harden shirts, yarn, and a table and form in her chamber. She was also owed 1s. 4d. for washing a priest’s shirts: </w:t>
      </w:r>
      <w:proofErr w:type="spellStart"/>
      <w:r>
        <w:t>Stell</w:t>
      </w:r>
      <w:proofErr w:type="spellEnd"/>
      <w:r>
        <w:t xml:space="preserve">, trans., </w:t>
      </w:r>
      <w:r w:rsidRPr="00DF2581">
        <w:rPr>
          <w:i/>
        </w:rPr>
        <w:t>Probate Inventories</w:t>
      </w:r>
      <w:r>
        <w:t xml:space="preserve">, 617. </w:t>
      </w:r>
    </w:p>
  </w:footnote>
  <w:footnote w:id="66">
    <w:p w14:paraId="36E5B5AE" w14:textId="36B24A20" w:rsidR="002607B0" w:rsidRDefault="002607B0">
      <w:pPr>
        <w:pStyle w:val="FootnoteText"/>
      </w:pPr>
      <w:r>
        <w:rPr>
          <w:rStyle w:val="FootnoteReference"/>
        </w:rPr>
        <w:footnoteRef/>
      </w:r>
      <w:r>
        <w:t xml:space="preserve"> Detached kitchens seem more a rural than urban phenomenon: Sarah Pearson, </w:t>
      </w:r>
      <w:r w:rsidRPr="00D60694">
        <w:rPr>
          <w:i/>
        </w:rPr>
        <w:t>The Medieval Houses of Kent: An Historical Analysis</w:t>
      </w:r>
      <w:r>
        <w:t xml:space="preserve"> (Swindon, 1994), 104-7; Nat </w:t>
      </w:r>
      <w:proofErr w:type="spellStart"/>
      <w:r>
        <w:t>Alcock</w:t>
      </w:r>
      <w:proofErr w:type="spellEnd"/>
      <w:r>
        <w:t xml:space="preserve"> and Dan Mills, </w:t>
      </w:r>
      <w:r w:rsidRPr="006D3FD3">
        <w:rPr>
          <w:i/>
        </w:rPr>
        <w:t>The Medieval Peasant House in Midland England</w:t>
      </w:r>
      <w:r>
        <w:t xml:space="preserve"> (Oxford, 2013), 34-35, 128, 159;</w:t>
      </w:r>
      <w:r w:rsidRPr="000E6405">
        <w:t xml:space="preserve"> </w:t>
      </w:r>
      <w:r>
        <w:t xml:space="preserve">Sara Pennell, </w:t>
      </w:r>
      <w:r w:rsidRPr="001F632C">
        <w:rPr>
          <w:i/>
        </w:rPr>
        <w:t>The Birth of the English Kitchen, 1600-1850</w:t>
      </w:r>
      <w:r>
        <w:t xml:space="preserve"> (London, 2016), 8, 41-2.</w:t>
      </w:r>
    </w:p>
  </w:footnote>
  <w:footnote w:id="67">
    <w:p w14:paraId="2577B3F9" w14:textId="1EA2ACA3"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610.</w:t>
      </w:r>
      <w:r w:rsidR="0085167B">
        <w:t xml:space="preserve"> Cf. </w:t>
      </w:r>
      <w:r w:rsidR="00941F79">
        <w:t xml:space="preserve">Helen Clarke, Sarah Pearson, Mavis Mate and Keith </w:t>
      </w:r>
      <w:proofErr w:type="spellStart"/>
      <w:r w:rsidR="00941F79">
        <w:t>Parfit</w:t>
      </w:r>
      <w:proofErr w:type="spellEnd"/>
      <w:r w:rsidR="00941F79">
        <w:t xml:space="preserve">, </w:t>
      </w:r>
      <w:r w:rsidR="00941F79" w:rsidRPr="00941F79">
        <w:rPr>
          <w:i/>
        </w:rPr>
        <w:t>Sandwich</w:t>
      </w:r>
      <w:r w:rsidR="00941F79">
        <w:rPr>
          <w:i/>
        </w:rPr>
        <w:t>: The ‘complete medieval town in England’</w:t>
      </w:r>
      <w:r w:rsidR="00941F79">
        <w:t xml:space="preserve"> (Oxford, 2010), 258; </w:t>
      </w:r>
      <w:r w:rsidR="0085167B">
        <w:t xml:space="preserve">Dyer, ‘Living in Peasant Houses’, 22. </w:t>
      </w:r>
    </w:p>
  </w:footnote>
  <w:footnote w:id="68">
    <w:p w14:paraId="7C40102D" w14:textId="01970CEC" w:rsidR="002607B0" w:rsidRDefault="002607B0" w:rsidP="00B83C4B">
      <w:pPr>
        <w:pStyle w:val="FootnoteText"/>
      </w:pPr>
      <w:r>
        <w:rPr>
          <w:rStyle w:val="FootnoteReference"/>
        </w:rPr>
        <w:footnoteRef/>
      </w:r>
      <w:r>
        <w:t xml:space="preserve"> ‘</w:t>
      </w:r>
      <w:proofErr w:type="gramStart"/>
      <w:r>
        <w:t>in</w:t>
      </w:r>
      <w:proofErr w:type="gramEnd"/>
      <w:r>
        <w:t xml:space="preserve"> a ground floor parlour or summer hall’: BI, CP.F.114. Another case refers to ‘a small parlour or summer hall’: BI. CP.F.181. </w:t>
      </w:r>
      <w:proofErr w:type="spellStart"/>
      <w:r>
        <w:t>McSheffrey</w:t>
      </w:r>
      <w:proofErr w:type="spellEnd"/>
      <w:r>
        <w:t xml:space="preserve"> notes a ‘</w:t>
      </w:r>
      <w:proofErr w:type="spellStart"/>
      <w:r>
        <w:t>somer</w:t>
      </w:r>
      <w:proofErr w:type="spellEnd"/>
      <w:r>
        <w:t xml:space="preserve"> parlour’ in a late fifteenth-century London marriage case: </w:t>
      </w:r>
      <w:proofErr w:type="spellStart"/>
      <w:r>
        <w:t>McSheffrey</w:t>
      </w:r>
      <w:proofErr w:type="spellEnd"/>
      <w:r>
        <w:t xml:space="preserve">, ‘Place, Space, and Situation’, 964  </w:t>
      </w:r>
    </w:p>
  </w:footnote>
  <w:footnote w:id="69">
    <w:p w14:paraId="40B97B72" w14:textId="1D7BA21F"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579.</w:t>
      </w:r>
    </w:p>
  </w:footnote>
  <w:footnote w:id="70">
    <w:p w14:paraId="26C189E0" w14:textId="77777777" w:rsidR="002607B0" w:rsidRDefault="002607B0">
      <w:pPr>
        <w:pStyle w:val="FootnoteText"/>
      </w:pPr>
      <w:r>
        <w:rPr>
          <w:rStyle w:val="FootnoteReference"/>
        </w:rPr>
        <w:footnoteRef/>
      </w:r>
      <w:r>
        <w:t xml:space="preserve"> Walter Hilton (?) in his </w:t>
      </w:r>
      <w:r w:rsidRPr="000342E7">
        <w:rPr>
          <w:i/>
          <w:color w:val="000000"/>
          <w:shd w:val="clear" w:color="auto" w:fill="FFFFFF"/>
        </w:rPr>
        <w:t>Commentary on Qui Habitat</w:t>
      </w:r>
      <w:r>
        <w:t xml:space="preserve"> uses summer hall in metaphorical contrast to the hall or winter hall: ‘</w:t>
      </w:r>
      <w:r w:rsidRPr="000342E7">
        <w:rPr>
          <w:color w:val="000000"/>
          <w:shd w:val="clear" w:color="auto" w:fill="FFFFFF"/>
        </w:rPr>
        <w:t xml:space="preserve">He </w:t>
      </w:r>
      <w:proofErr w:type="spellStart"/>
      <w:r w:rsidRPr="000342E7">
        <w:rPr>
          <w:color w:val="000000"/>
          <w:shd w:val="clear" w:color="auto" w:fill="FFFFFF"/>
        </w:rPr>
        <w:t>þat</w:t>
      </w:r>
      <w:proofErr w:type="spellEnd"/>
      <w:r w:rsidRPr="000342E7">
        <w:rPr>
          <w:color w:val="000000"/>
          <w:shd w:val="clear" w:color="auto" w:fill="FFFFFF"/>
        </w:rPr>
        <w:t xml:space="preserve"> is not planted in </w:t>
      </w:r>
      <w:proofErr w:type="spellStart"/>
      <w:r w:rsidRPr="000342E7">
        <w:rPr>
          <w:color w:val="000000"/>
          <w:shd w:val="clear" w:color="auto" w:fill="FFFFFF"/>
        </w:rPr>
        <w:t>þe</w:t>
      </w:r>
      <w:proofErr w:type="spellEnd"/>
      <w:r w:rsidRPr="000342E7">
        <w:rPr>
          <w:color w:val="000000"/>
          <w:shd w:val="clear" w:color="auto" w:fill="FFFFFF"/>
        </w:rPr>
        <w:t xml:space="preserve"> </w:t>
      </w:r>
      <w:proofErr w:type="spellStart"/>
      <w:r w:rsidRPr="000342E7">
        <w:rPr>
          <w:color w:val="000000"/>
          <w:shd w:val="clear" w:color="auto" w:fill="FFFFFF"/>
        </w:rPr>
        <w:t>wynter</w:t>
      </w:r>
      <w:proofErr w:type="spellEnd"/>
      <w:r w:rsidRPr="000342E7">
        <w:rPr>
          <w:color w:val="000000"/>
          <w:shd w:val="clear" w:color="auto" w:fill="FFFFFF"/>
        </w:rPr>
        <w:t xml:space="preserve"> </w:t>
      </w:r>
      <w:proofErr w:type="spellStart"/>
      <w:r w:rsidRPr="000342E7">
        <w:rPr>
          <w:color w:val="000000"/>
          <w:shd w:val="clear" w:color="auto" w:fill="FFFFFF"/>
        </w:rPr>
        <w:t>halle</w:t>
      </w:r>
      <w:proofErr w:type="spellEnd"/>
      <w:r w:rsidRPr="000342E7">
        <w:rPr>
          <w:color w:val="000000"/>
          <w:shd w:val="clear" w:color="auto" w:fill="FFFFFF"/>
        </w:rPr>
        <w:t xml:space="preserve">, </w:t>
      </w:r>
      <w:proofErr w:type="spellStart"/>
      <w:r w:rsidRPr="000342E7">
        <w:rPr>
          <w:color w:val="000000"/>
          <w:shd w:val="clear" w:color="auto" w:fill="FFFFFF"/>
        </w:rPr>
        <w:t>þat</w:t>
      </w:r>
      <w:proofErr w:type="spellEnd"/>
      <w:r w:rsidRPr="000342E7">
        <w:rPr>
          <w:color w:val="000000"/>
          <w:shd w:val="clear" w:color="auto" w:fill="FFFFFF"/>
        </w:rPr>
        <w:t xml:space="preserve"> is, </w:t>
      </w:r>
      <w:proofErr w:type="spellStart"/>
      <w:r w:rsidRPr="000342E7">
        <w:rPr>
          <w:color w:val="000000"/>
          <w:shd w:val="clear" w:color="auto" w:fill="FFFFFF"/>
        </w:rPr>
        <w:t>holi</w:t>
      </w:r>
      <w:proofErr w:type="spellEnd"/>
      <w:r w:rsidRPr="000342E7">
        <w:rPr>
          <w:color w:val="000000"/>
          <w:shd w:val="clear" w:color="auto" w:fill="FFFFFF"/>
        </w:rPr>
        <w:t xml:space="preserve"> </w:t>
      </w:r>
      <w:proofErr w:type="spellStart"/>
      <w:r w:rsidRPr="000342E7">
        <w:rPr>
          <w:color w:val="000000"/>
          <w:shd w:val="clear" w:color="auto" w:fill="FFFFFF"/>
        </w:rPr>
        <w:t>chirche</w:t>
      </w:r>
      <w:proofErr w:type="spellEnd"/>
      <w:r>
        <w:rPr>
          <w:color w:val="000000"/>
          <w:shd w:val="clear" w:color="auto" w:fill="FFFFFF"/>
        </w:rPr>
        <w:t xml:space="preserve"> .</w:t>
      </w:r>
      <w:r w:rsidRPr="000342E7">
        <w:rPr>
          <w:color w:val="000000"/>
          <w:shd w:val="clear" w:color="auto" w:fill="FFFFFF"/>
        </w:rPr>
        <w:t>..</w:t>
      </w:r>
      <w:r>
        <w:rPr>
          <w:color w:val="000000"/>
          <w:shd w:val="clear" w:color="auto" w:fill="FFFFFF"/>
        </w:rPr>
        <w:t xml:space="preserve"> </w:t>
      </w:r>
      <w:r w:rsidRPr="000342E7">
        <w:rPr>
          <w:color w:val="000000"/>
          <w:shd w:val="clear" w:color="auto" w:fill="FFFFFF"/>
        </w:rPr>
        <w:t xml:space="preserve">and </w:t>
      </w:r>
      <w:proofErr w:type="spellStart"/>
      <w:r w:rsidRPr="000342E7">
        <w:rPr>
          <w:color w:val="000000"/>
          <w:shd w:val="clear" w:color="auto" w:fill="FFFFFF"/>
        </w:rPr>
        <w:t>lyuen</w:t>
      </w:r>
      <w:proofErr w:type="spellEnd"/>
      <w:r w:rsidRPr="000342E7">
        <w:rPr>
          <w:color w:val="000000"/>
          <w:shd w:val="clear" w:color="auto" w:fill="FFFFFF"/>
        </w:rPr>
        <w:t xml:space="preserve"> in </w:t>
      </w:r>
      <w:proofErr w:type="spellStart"/>
      <w:r w:rsidRPr="000342E7">
        <w:rPr>
          <w:color w:val="000000"/>
          <w:shd w:val="clear" w:color="auto" w:fill="FFFFFF"/>
        </w:rPr>
        <w:t>dedly</w:t>
      </w:r>
      <w:proofErr w:type="spellEnd"/>
      <w:r w:rsidRPr="000342E7">
        <w:rPr>
          <w:color w:val="000000"/>
          <w:shd w:val="clear" w:color="auto" w:fill="FFFFFF"/>
        </w:rPr>
        <w:t xml:space="preserve"> </w:t>
      </w:r>
      <w:proofErr w:type="spellStart"/>
      <w:r w:rsidRPr="000342E7">
        <w:rPr>
          <w:color w:val="000000"/>
          <w:shd w:val="clear" w:color="auto" w:fill="FFFFFF"/>
        </w:rPr>
        <w:t>synne</w:t>
      </w:r>
      <w:proofErr w:type="spellEnd"/>
      <w:r w:rsidRPr="000342E7">
        <w:rPr>
          <w:color w:val="000000"/>
          <w:shd w:val="clear" w:color="auto" w:fill="FFFFFF"/>
        </w:rPr>
        <w:t xml:space="preserve">, </w:t>
      </w:r>
      <w:proofErr w:type="spellStart"/>
      <w:r w:rsidRPr="000342E7">
        <w:rPr>
          <w:color w:val="000000"/>
          <w:shd w:val="clear" w:color="auto" w:fill="FFFFFF"/>
        </w:rPr>
        <w:t>þei</w:t>
      </w:r>
      <w:proofErr w:type="spellEnd"/>
      <w:r w:rsidRPr="000342E7">
        <w:rPr>
          <w:color w:val="000000"/>
          <w:shd w:val="clear" w:color="auto" w:fill="FFFFFF"/>
        </w:rPr>
        <w:t xml:space="preserve"> </w:t>
      </w:r>
      <w:proofErr w:type="spellStart"/>
      <w:r w:rsidRPr="000342E7">
        <w:rPr>
          <w:color w:val="000000"/>
          <w:shd w:val="clear" w:color="auto" w:fill="FFFFFF"/>
        </w:rPr>
        <w:t>schal</w:t>
      </w:r>
      <w:proofErr w:type="spellEnd"/>
      <w:r w:rsidRPr="000342E7">
        <w:rPr>
          <w:color w:val="000000"/>
          <w:shd w:val="clear" w:color="auto" w:fill="FFFFFF"/>
        </w:rPr>
        <w:t xml:space="preserve"> not </w:t>
      </w:r>
      <w:proofErr w:type="spellStart"/>
      <w:r w:rsidRPr="000342E7">
        <w:rPr>
          <w:color w:val="000000"/>
          <w:shd w:val="clear" w:color="auto" w:fill="FFFFFF"/>
        </w:rPr>
        <w:t>florisschen</w:t>
      </w:r>
      <w:proofErr w:type="spellEnd"/>
      <w:r w:rsidRPr="000342E7">
        <w:rPr>
          <w:color w:val="000000"/>
          <w:shd w:val="clear" w:color="auto" w:fill="FFFFFF"/>
        </w:rPr>
        <w:t xml:space="preserve"> in </w:t>
      </w:r>
      <w:proofErr w:type="spellStart"/>
      <w:r w:rsidRPr="000342E7">
        <w:rPr>
          <w:color w:val="000000"/>
          <w:shd w:val="clear" w:color="auto" w:fill="FFFFFF"/>
        </w:rPr>
        <w:t>þe</w:t>
      </w:r>
      <w:proofErr w:type="spellEnd"/>
      <w:r w:rsidRPr="000342E7">
        <w:rPr>
          <w:color w:val="000000"/>
          <w:shd w:val="clear" w:color="auto" w:fill="FFFFFF"/>
        </w:rPr>
        <w:t xml:space="preserve"> </w:t>
      </w:r>
      <w:proofErr w:type="spellStart"/>
      <w:r w:rsidRPr="000342E7">
        <w:rPr>
          <w:color w:val="000000"/>
          <w:shd w:val="clear" w:color="auto" w:fill="FFFFFF"/>
        </w:rPr>
        <w:t>somer</w:t>
      </w:r>
      <w:proofErr w:type="spellEnd"/>
      <w:r w:rsidRPr="000342E7">
        <w:rPr>
          <w:color w:val="000000"/>
          <w:shd w:val="clear" w:color="auto" w:fill="FFFFFF"/>
        </w:rPr>
        <w:t xml:space="preserve"> </w:t>
      </w:r>
      <w:proofErr w:type="spellStart"/>
      <w:r w:rsidRPr="000342E7">
        <w:rPr>
          <w:color w:val="000000"/>
          <w:shd w:val="clear" w:color="auto" w:fill="FFFFFF"/>
        </w:rPr>
        <w:t>h</w:t>
      </w:r>
      <w:r>
        <w:rPr>
          <w:color w:val="000000"/>
          <w:shd w:val="clear" w:color="auto" w:fill="FFFFFF"/>
        </w:rPr>
        <w:t>alle</w:t>
      </w:r>
      <w:proofErr w:type="spellEnd"/>
      <w:r>
        <w:rPr>
          <w:color w:val="000000"/>
          <w:shd w:val="clear" w:color="auto" w:fill="FFFFFF"/>
        </w:rPr>
        <w:t xml:space="preserve">, </w:t>
      </w:r>
      <w:proofErr w:type="spellStart"/>
      <w:r>
        <w:rPr>
          <w:color w:val="000000"/>
          <w:shd w:val="clear" w:color="auto" w:fill="FFFFFF"/>
        </w:rPr>
        <w:t>þat</w:t>
      </w:r>
      <w:proofErr w:type="spellEnd"/>
      <w:r>
        <w:rPr>
          <w:color w:val="000000"/>
          <w:shd w:val="clear" w:color="auto" w:fill="FFFFFF"/>
        </w:rPr>
        <w:t xml:space="preserve"> is, </w:t>
      </w:r>
      <w:proofErr w:type="spellStart"/>
      <w:r>
        <w:rPr>
          <w:color w:val="000000"/>
          <w:shd w:val="clear" w:color="auto" w:fill="FFFFFF"/>
        </w:rPr>
        <w:t>þe</w:t>
      </w:r>
      <w:proofErr w:type="spellEnd"/>
      <w:r>
        <w:rPr>
          <w:color w:val="000000"/>
          <w:shd w:val="clear" w:color="auto" w:fill="FFFFFF"/>
        </w:rPr>
        <w:t xml:space="preserve"> </w:t>
      </w:r>
      <w:proofErr w:type="spellStart"/>
      <w:r>
        <w:rPr>
          <w:color w:val="000000"/>
          <w:shd w:val="clear" w:color="auto" w:fill="FFFFFF"/>
        </w:rPr>
        <w:t>blis</w:t>
      </w:r>
      <w:proofErr w:type="spellEnd"/>
      <w:r>
        <w:rPr>
          <w:color w:val="000000"/>
          <w:shd w:val="clear" w:color="auto" w:fill="FFFFFF"/>
        </w:rPr>
        <w:t xml:space="preserve"> of </w:t>
      </w:r>
      <w:proofErr w:type="spellStart"/>
      <w:r>
        <w:rPr>
          <w:color w:val="000000"/>
          <w:shd w:val="clear" w:color="auto" w:fill="FFFFFF"/>
        </w:rPr>
        <w:t>heuene</w:t>
      </w:r>
      <w:proofErr w:type="spellEnd"/>
      <w:r>
        <w:rPr>
          <w:color w:val="000000"/>
          <w:shd w:val="clear" w:color="auto" w:fill="FFFFFF"/>
        </w:rPr>
        <w:t xml:space="preserve">’, quoted in </w:t>
      </w:r>
      <w:r w:rsidRPr="001775E8">
        <w:rPr>
          <w:i/>
        </w:rPr>
        <w:t>MED</w:t>
      </w:r>
      <w:r>
        <w:t xml:space="preserve">, under </w:t>
      </w:r>
      <w:proofErr w:type="spellStart"/>
      <w:r w:rsidRPr="004C60F9">
        <w:rPr>
          <w:rStyle w:val="Strong"/>
          <w:b w:val="0"/>
          <w:color w:val="000000"/>
          <w:shd w:val="clear" w:color="auto" w:fill="FFFFFF"/>
        </w:rPr>
        <w:t>hal</w:t>
      </w:r>
      <w:proofErr w:type="spellEnd"/>
      <w:r w:rsidRPr="004C60F9">
        <w:rPr>
          <w:rStyle w:val="Strong"/>
          <w:b w:val="0"/>
          <w:color w:val="000000"/>
          <w:shd w:val="clear" w:color="auto" w:fill="FFFFFF"/>
        </w:rPr>
        <w:t>(le</w:t>
      </w:r>
      <w:r w:rsidRPr="004C60F9">
        <w:rPr>
          <w:color w:val="000000"/>
          <w:shd w:val="clear" w:color="auto" w:fill="FFFFFF"/>
        </w:rPr>
        <w:t> (n.), 1b</w:t>
      </w:r>
      <w:r>
        <w:rPr>
          <w:color w:val="000000"/>
          <w:shd w:val="clear" w:color="auto" w:fill="FFFFFF"/>
        </w:rPr>
        <w:t xml:space="preserve">. See also </w:t>
      </w:r>
      <w:r w:rsidRPr="000E6405">
        <w:rPr>
          <w:i/>
          <w:color w:val="000000"/>
          <w:shd w:val="clear" w:color="auto" w:fill="FFFFFF"/>
        </w:rPr>
        <w:t>MED</w:t>
      </w:r>
      <w:r>
        <w:rPr>
          <w:color w:val="000000"/>
          <w:shd w:val="clear" w:color="auto" w:fill="FFFFFF"/>
        </w:rPr>
        <w:t xml:space="preserve">, under </w:t>
      </w:r>
      <w:proofErr w:type="spellStart"/>
      <w:r w:rsidRPr="004C60F9">
        <w:rPr>
          <w:rStyle w:val="Strong"/>
          <w:b w:val="0"/>
          <w:color w:val="000000"/>
          <w:shd w:val="clear" w:color="auto" w:fill="FFFFFF"/>
        </w:rPr>
        <w:t>parlǒur</w:t>
      </w:r>
      <w:proofErr w:type="spellEnd"/>
      <w:r w:rsidRPr="004C60F9">
        <w:rPr>
          <w:color w:val="000000"/>
          <w:shd w:val="clear" w:color="auto" w:fill="FFFFFF"/>
        </w:rPr>
        <w:t> (n.), 1a</w:t>
      </w:r>
      <w:r>
        <w:t xml:space="preserve">; </w:t>
      </w:r>
      <w:r w:rsidRPr="001775E8">
        <w:rPr>
          <w:i/>
        </w:rPr>
        <w:t>OED</w:t>
      </w:r>
      <w:r>
        <w:t xml:space="preserve">, under summer hall (n.), parlour (n.), 2b. The </w:t>
      </w:r>
      <w:r w:rsidRPr="004C60F9">
        <w:rPr>
          <w:i/>
        </w:rPr>
        <w:t>Oxford English Dictionary</w:t>
      </w:r>
      <w:r>
        <w:t xml:space="preserve"> distinguishes the use of parlour in respect of non-aristocratic houses as a later usage offering a 1448 example as its earliest usage. Both our sources use parlour rather than summer hall by the later fifteenth century. </w:t>
      </w:r>
    </w:p>
  </w:footnote>
  <w:footnote w:id="71">
    <w:p w14:paraId="69D31876" w14:textId="77777777" w:rsidR="002607B0" w:rsidRDefault="002607B0" w:rsidP="00B83C4B">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534, 645, 649, 658.</w:t>
      </w:r>
    </w:p>
  </w:footnote>
  <w:footnote w:id="72">
    <w:p w14:paraId="625E48A6" w14:textId="77777777" w:rsidR="002607B0" w:rsidRDefault="002607B0">
      <w:pPr>
        <w:pStyle w:val="FootnoteText"/>
      </w:pPr>
      <w:r>
        <w:rPr>
          <w:rStyle w:val="FootnoteReference"/>
        </w:rPr>
        <w:footnoteRef/>
      </w:r>
      <w:r>
        <w:t xml:space="preserve"> BI, CP.F.115, 208. </w:t>
      </w:r>
    </w:p>
  </w:footnote>
  <w:footnote w:id="73">
    <w:p w14:paraId="5615E3B7" w14:textId="77777777" w:rsidR="002607B0" w:rsidRDefault="002607B0">
      <w:pPr>
        <w:pStyle w:val="FootnoteText"/>
      </w:pPr>
      <w:r>
        <w:rPr>
          <w:rStyle w:val="FootnoteReference"/>
        </w:rPr>
        <w:footnoteRef/>
      </w:r>
      <w:r>
        <w:t xml:space="preserve"> BI, CP.F.114.</w:t>
      </w:r>
    </w:p>
  </w:footnote>
  <w:footnote w:id="74">
    <w:p w14:paraId="20CDD466" w14:textId="77777777" w:rsidR="002607B0" w:rsidRDefault="002607B0" w:rsidP="007573C2">
      <w:pPr>
        <w:pStyle w:val="FootnoteText"/>
      </w:pPr>
      <w:r>
        <w:rPr>
          <w:rStyle w:val="FootnoteReference"/>
        </w:rPr>
        <w:footnoteRef/>
      </w:r>
      <w:r>
        <w:t xml:space="preserve"> BI, CP.F.174.</w:t>
      </w:r>
    </w:p>
  </w:footnote>
  <w:footnote w:id="75">
    <w:p w14:paraId="135A1CA2" w14:textId="77777777" w:rsidR="002607B0" w:rsidRDefault="002607B0" w:rsidP="002B7857">
      <w:pPr>
        <w:pStyle w:val="FootnoteText"/>
      </w:pPr>
      <w:r>
        <w:rPr>
          <w:rStyle w:val="FootnoteReference"/>
        </w:rPr>
        <w:footnoteRef/>
      </w:r>
      <w:r>
        <w:t xml:space="preserve"> BI, CP.F.203.</w:t>
      </w:r>
    </w:p>
  </w:footnote>
  <w:footnote w:id="76">
    <w:p w14:paraId="03092296"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xml:space="preserve">, </w:t>
      </w:r>
      <w:r w:rsidRPr="009A5225">
        <w:rPr>
          <w:rFonts w:eastAsia="Times New Roman" w:cs="Times New Roman"/>
          <w:color w:val="000000"/>
          <w:lang w:eastAsia="en-GB"/>
        </w:rPr>
        <w:t>580-1, 614, 645</w:t>
      </w:r>
      <w:r>
        <w:rPr>
          <w:rFonts w:eastAsia="Times New Roman" w:cs="Times New Roman"/>
          <w:color w:val="000000"/>
          <w:lang w:eastAsia="en-GB"/>
        </w:rPr>
        <w:t>.</w:t>
      </w:r>
    </w:p>
  </w:footnote>
  <w:footnote w:id="77">
    <w:p w14:paraId="10807CA8" w14:textId="4EF2A47D" w:rsidR="002607B0" w:rsidRDefault="002607B0">
      <w:pPr>
        <w:pStyle w:val="FootnoteText"/>
      </w:pPr>
      <w:r>
        <w:rPr>
          <w:rStyle w:val="FootnoteReference"/>
        </w:rPr>
        <w:footnoteRef/>
      </w:r>
      <w:r>
        <w:t xml:space="preserve"> Jeremy </w:t>
      </w:r>
      <w:r w:rsidRPr="007E4FA7">
        <w:t>Goldberg</w:t>
      </w:r>
      <w:r>
        <w:t xml:space="preserve">, ‘John </w:t>
      </w:r>
      <w:proofErr w:type="spellStart"/>
      <w:r>
        <w:t>Skathelok’s</w:t>
      </w:r>
      <w:proofErr w:type="spellEnd"/>
      <w:r>
        <w:t xml:space="preserve"> Dick: Voyeurism and “Pornography” in Late Medieval England’, in Nicola McDonald, ed., </w:t>
      </w:r>
      <w:r w:rsidRPr="007E4FA7">
        <w:rPr>
          <w:i/>
        </w:rPr>
        <w:t>Medieval Obscenities</w:t>
      </w:r>
      <w:r>
        <w:t xml:space="preserve"> (Woodbridge, 2007), 113-15; P.J.P. </w:t>
      </w:r>
      <w:r w:rsidRPr="00481742">
        <w:t>Goldberg</w:t>
      </w:r>
      <w:r>
        <w:t xml:space="preserve">, ed. and trans., </w:t>
      </w:r>
      <w:r w:rsidRPr="00C429AA">
        <w:rPr>
          <w:i/>
        </w:rPr>
        <w:t>Women in England</w:t>
      </w:r>
      <w:r>
        <w:rPr>
          <w:i/>
        </w:rPr>
        <w:t xml:space="preserve"> c. 1275-1525 </w:t>
      </w:r>
      <w:r>
        <w:t>(Manchester, 1995), 156-7.</w:t>
      </w:r>
    </w:p>
  </w:footnote>
  <w:footnote w:id="78">
    <w:p w14:paraId="2C3AFA4C" w14:textId="77777777" w:rsidR="002607B0" w:rsidRDefault="002607B0">
      <w:pPr>
        <w:pStyle w:val="FootnoteText"/>
      </w:pPr>
      <w:r>
        <w:rPr>
          <w:rStyle w:val="FootnoteReference"/>
        </w:rPr>
        <w:footnoteRef/>
      </w:r>
      <w:r>
        <w:t xml:space="preserve"> Goldberg, ed. and trans., </w:t>
      </w:r>
      <w:r w:rsidRPr="00C429AA">
        <w:rPr>
          <w:i/>
        </w:rPr>
        <w:t>Women in England</w:t>
      </w:r>
      <w:r>
        <w:t>, 153-4.</w:t>
      </w:r>
    </w:p>
  </w:footnote>
  <w:footnote w:id="79">
    <w:p w14:paraId="6DA1081A" w14:textId="77777777" w:rsidR="002607B0" w:rsidRPr="000900B7" w:rsidRDefault="002607B0">
      <w:pPr>
        <w:pStyle w:val="FootnoteText"/>
      </w:pPr>
      <w:r>
        <w:rPr>
          <w:rStyle w:val="FootnoteReference"/>
        </w:rPr>
        <w:footnoteRef/>
      </w:r>
      <w:r>
        <w:t xml:space="preserve"> </w:t>
      </w:r>
      <w:r w:rsidRPr="000900B7">
        <w:rPr>
          <w:rFonts w:eastAsia="Times New Roman" w:cs="Times New Roman"/>
          <w:color w:val="000000"/>
          <w:lang w:eastAsia="en-GB"/>
        </w:rPr>
        <w:t>‘</w:t>
      </w:r>
      <w:proofErr w:type="spellStart"/>
      <w:proofErr w:type="gramStart"/>
      <w:r w:rsidRPr="000900B7">
        <w:rPr>
          <w:rFonts w:eastAsia="Times New Roman" w:cs="Times New Roman"/>
          <w:i/>
          <w:color w:val="000000"/>
          <w:lang w:eastAsia="en-GB"/>
        </w:rPr>
        <w:t>iacuit</w:t>
      </w:r>
      <w:proofErr w:type="spellEnd"/>
      <w:proofErr w:type="gramEnd"/>
      <w:r w:rsidRPr="000900B7">
        <w:rPr>
          <w:rFonts w:eastAsia="Times New Roman" w:cs="Times New Roman"/>
          <w:i/>
          <w:color w:val="000000"/>
          <w:lang w:eastAsia="en-GB"/>
        </w:rPr>
        <w:t xml:space="preserve"> sola in </w:t>
      </w:r>
      <w:proofErr w:type="spellStart"/>
      <w:r w:rsidRPr="000900B7">
        <w:rPr>
          <w:rFonts w:eastAsia="Times New Roman" w:cs="Times New Roman"/>
          <w:i/>
          <w:color w:val="000000"/>
          <w:lang w:eastAsia="en-GB"/>
        </w:rPr>
        <w:t>alio</w:t>
      </w:r>
      <w:proofErr w:type="spellEnd"/>
      <w:r w:rsidRPr="000900B7">
        <w:rPr>
          <w:rFonts w:eastAsia="Times New Roman" w:cs="Times New Roman"/>
          <w:i/>
          <w:color w:val="000000"/>
          <w:lang w:eastAsia="en-GB"/>
        </w:rPr>
        <w:t xml:space="preserve"> </w:t>
      </w:r>
      <w:proofErr w:type="spellStart"/>
      <w:r w:rsidRPr="000900B7">
        <w:rPr>
          <w:rFonts w:eastAsia="Times New Roman" w:cs="Times New Roman"/>
          <w:i/>
          <w:color w:val="000000"/>
          <w:lang w:eastAsia="en-GB"/>
        </w:rPr>
        <w:t>lecto</w:t>
      </w:r>
      <w:proofErr w:type="spellEnd"/>
      <w:r w:rsidRPr="000900B7">
        <w:rPr>
          <w:rFonts w:eastAsia="Times New Roman" w:cs="Times New Roman"/>
          <w:i/>
          <w:color w:val="000000"/>
          <w:lang w:eastAsia="en-GB"/>
        </w:rPr>
        <w:t xml:space="preserve"> </w:t>
      </w:r>
      <w:proofErr w:type="spellStart"/>
      <w:r w:rsidRPr="000900B7">
        <w:rPr>
          <w:rFonts w:eastAsia="Times New Roman" w:cs="Times New Roman"/>
          <w:i/>
          <w:color w:val="000000"/>
          <w:lang w:eastAsia="en-GB"/>
        </w:rPr>
        <w:t>prope</w:t>
      </w:r>
      <w:proofErr w:type="spellEnd"/>
      <w:r w:rsidRPr="000900B7">
        <w:rPr>
          <w:rFonts w:eastAsia="Times New Roman" w:cs="Times New Roman"/>
          <w:i/>
          <w:color w:val="000000"/>
          <w:lang w:eastAsia="en-GB"/>
        </w:rPr>
        <w:t xml:space="preserve"> in </w:t>
      </w:r>
      <w:proofErr w:type="spellStart"/>
      <w:r w:rsidRPr="000900B7">
        <w:rPr>
          <w:rFonts w:eastAsia="Times New Roman" w:cs="Times New Roman"/>
          <w:i/>
          <w:color w:val="000000"/>
          <w:lang w:eastAsia="en-GB"/>
        </w:rPr>
        <w:t>eadem</w:t>
      </w:r>
      <w:proofErr w:type="spellEnd"/>
      <w:r w:rsidRPr="000900B7">
        <w:rPr>
          <w:rFonts w:eastAsia="Times New Roman" w:cs="Times New Roman"/>
          <w:i/>
          <w:color w:val="000000"/>
          <w:lang w:eastAsia="en-GB"/>
        </w:rPr>
        <w:t xml:space="preserve"> camera </w:t>
      </w:r>
      <w:proofErr w:type="spellStart"/>
      <w:r w:rsidRPr="000900B7">
        <w:rPr>
          <w:rFonts w:eastAsia="Times New Roman" w:cs="Times New Roman"/>
          <w:i/>
          <w:color w:val="000000"/>
          <w:lang w:eastAsia="en-GB"/>
        </w:rPr>
        <w:t>filii</w:t>
      </w:r>
      <w:proofErr w:type="spellEnd"/>
      <w:r w:rsidRPr="000900B7">
        <w:rPr>
          <w:rFonts w:eastAsia="Times New Roman" w:cs="Times New Roman"/>
          <w:i/>
          <w:color w:val="000000"/>
          <w:lang w:eastAsia="en-GB"/>
        </w:rPr>
        <w:t xml:space="preserve"> et </w:t>
      </w:r>
      <w:proofErr w:type="spellStart"/>
      <w:r w:rsidRPr="000900B7">
        <w:rPr>
          <w:rFonts w:eastAsia="Times New Roman" w:cs="Times New Roman"/>
          <w:i/>
          <w:color w:val="000000"/>
          <w:lang w:eastAsia="en-GB"/>
        </w:rPr>
        <w:t>filie</w:t>
      </w:r>
      <w:proofErr w:type="spellEnd"/>
      <w:r w:rsidRPr="000900B7">
        <w:rPr>
          <w:rFonts w:eastAsia="Times New Roman" w:cs="Times New Roman"/>
          <w:i/>
          <w:color w:val="000000"/>
          <w:lang w:eastAsia="en-GB"/>
        </w:rPr>
        <w:t xml:space="preserve"> </w:t>
      </w:r>
      <w:proofErr w:type="spellStart"/>
      <w:r w:rsidRPr="000900B7">
        <w:rPr>
          <w:rFonts w:eastAsia="Times New Roman" w:cs="Times New Roman"/>
          <w:i/>
          <w:color w:val="000000"/>
          <w:lang w:eastAsia="en-GB"/>
        </w:rPr>
        <w:t>domicelle</w:t>
      </w:r>
      <w:proofErr w:type="spellEnd"/>
      <w:r w:rsidRPr="000900B7">
        <w:rPr>
          <w:rFonts w:eastAsia="Times New Roman" w:cs="Times New Roman"/>
          <w:i/>
          <w:color w:val="000000"/>
          <w:lang w:eastAsia="en-GB"/>
        </w:rPr>
        <w:t xml:space="preserve"> </w:t>
      </w:r>
      <w:proofErr w:type="spellStart"/>
      <w:r w:rsidRPr="000900B7">
        <w:rPr>
          <w:rFonts w:eastAsia="Times New Roman" w:cs="Times New Roman"/>
          <w:i/>
          <w:color w:val="000000"/>
          <w:lang w:eastAsia="en-GB"/>
        </w:rPr>
        <w:t>eorumdem</w:t>
      </w:r>
      <w:proofErr w:type="spellEnd"/>
      <w:r w:rsidRPr="000900B7">
        <w:rPr>
          <w:rFonts w:eastAsia="Times New Roman" w:cs="Times New Roman"/>
          <w:i/>
          <w:color w:val="000000"/>
          <w:lang w:eastAsia="en-GB"/>
        </w:rPr>
        <w:t xml:space="preserve"> </w:t>
      </w:r>
      <w:proofErr w:type="spellStart"/>
      <w:r w:rsidRPr="000900B7">
        <w:rPr>
          <w:rFonts w:eastAsia="Times New Roman" w:cs="Times New Roman"/>
          <w:i/>
          <w:color w:val="000000"/>
          <w:lang w:eastAsia="en-GB"/>
        </w:rPr>
        <w:t>iac</w:t>
      </w:r>
      <w:r>
        <w:rPr>
          <w:rFonts w:eastAsia="Times New Roman" w:cs="Times New Roman"/>
          <w:i/>
          <w:color w:val="000000"/>
          <w:lang w:eastAsia="en-GB"/>
        </w:rPr>
        <w:t>u</w:t>
      </w:r>
      <w:r w:rsidRPr="000900B7">
        <w:rPr>
          <w:rFonts w:eastAsia="Times New Roman" w:cs="Times New Roman"/>
          <w:i/>
          <w:color w:val="000000"/>
          <w:lang w:eastAsia="en-GB"/>
        </w:rPr>
        <w:t>erunt</w:t>
      </w:r>
      <w:proofErr w:type="spellEnd"/>
      <w:r w:rsidRPr="000900B7">
        <w:rPr>
          <w:rFonts w:eastAsia="Times New Roman" w:cs="Times New Roman"/>
          <w:i/>
          <w:color w:val="000000"/>
          <w:lang w:eastAsia="en-GB"/>
        </w:rPr>
        <w:t xml:space="preserve"> in </w:t>
      </w:r>
      <w:proofErr w:type="spellStart"/>
      <w:r w:rsidRPr="000900B7">
        <w:rPr>
          <w:rFonts w:eastAsia="Times New Roman" w:cs="Times New Roman"/>
          <w:i/>
          <w:color w:val="000000"/>
          <w:lang w:eastAsia="en-GB"/>
        </w:rPr>
        <w:t>celario</w:t>
      </w:r>
      <w:proofErr w:type="spellEnd"/>
      <w:r w:rsidRPr="000900B7">
        <w:rPr>
          <w:rFonts w:eastAsia="Times New Roman" w:cs="Times New Roman"/>
          <w:i/>
          <w:color w:val="000000"/>
          <w:lang w:eastAsia="en-GB"/>
        </w:rPr>
        <w:t xml:space="preserve"> sub camera </w:t>
      </w:r>
      <w:proofErr w:type="spellStart"/>
      <w:r w:rsidRPr="000900B7">
        <w:rPr>
          <w:rFonts w:eastAsia="Times New Roman" w:cs="Times New Roman"/>
          <w:i/>
          <w:color w:val="000000"/>
          <w:lang w:eastAsia="en-GB"/>
        </w:rPr>
        <w:t>predicta</w:t>
      </w:r>
      <w:proofErr w:type="spellEnd"/>
      <w:r w:rsidRPr="000900B7">
        <w:rPr>
          <w:rFonts w:eastAsia="Times New Roman" w:cs="Times New Roman"/>
          <w:color w:val="000000"/>
          <w:lang w:eastAsia="en-GB"/>
        </w:rPr>
        <w:t>’: BI, CP.E.111</w:t>
      </w:r>
      <w:r>
        <w:rPr>
          <w:rFonts w:eastAsia="Times New Roman" w:cs="Times New Roman"/>
          <w:color w:val="000000"/>
          <w:lang w:eastAsia="en-GB"/>
        </w:rPr>
        <w:t>.</w:t>
      </w:r>
    </w:p>
  </w:footnote>
  <w:footnote w:id="80">
    <w:p w14:paraId="53A97F5C" w14:textId="48EB0107" w:rsidR="00E01A9C" w:rsidRDefault="00E01A9C">
      <w:pPr>
        <w:pStyle w:val="FootnoteText"/>
      </w:pPr>
      <w:r>
        <w:rPr>
          <w:rStyle w:val="FootnoteReference"/>
        </w:rPr>
        <w:footnoteRef/>
      </w:r>
      <w:r>
        <w:t xml:space="preserve"> Dyer has made a like observation</w:t>
      </w:r>
      <w:r w:rsidR="00CF202B">
        <w:t xml:space="preserve"> for peasant housing</w:t>
      </w:r>
      <w:r>
        <w:t>: Dyer, ‘Living in Peasant Houses’, 24.</w:t>
      </w:r>
    </w:p>
  </w:footnote>
  <w:footnote w:id="81">
    <w:p w14:paraId="55C0CD1F" w14:textId="77777777" w:rsidR="002607B0" w:rsidRDefault="002607B0">
      <w:pPr>
        <w:pStyle w:val="FootnoteText"/>
      </w:pPr>
      <w:r>
        <w:rPr>
          <w:rStyle w:val="FootnoteReference"/>
        </w:rPr>
        <w:footnoteRef/>
      </w:r>
      <w:r>
        <w:t xml:space="preserve"> </w:t>
      </w:r>
      <w:proofErr w:type="spellStart"/>
      <w:r>
        <w:t>Stell</w:t>
      </w:r>
      <w:proofErr w:type="spellEnd"/>
      <w:r>
        <w:t xml:space="preserve">, trans., </w:t>
      </w:r>
      <w:r w:rsidRPr="00DF2581">
        <w:rPr>
          <w:i/>
        </w:rPr>
        <w:t>Probate Inventories</w:t>
      </w:r>
      <w:r>
        <w:t>, 566.</w:t>
      </w:r>
    </w:p>
  </w:footnote>
  <w:footnote w:id="82">
    <w:p w14:paraId="608A0BE1" w14:textId="77777777" w:rsidR="002607B0" w:rsidRDefault="002607B0">
      <w:pPr>
        <w:pStyle w:val="FootnoteText"/>
      </w:pPr>
      <w:r>
        <w:rPr>
          <w:rStyle w:val="FootnoteReference"/>
        </w:rPr>
        <w:footnoteRef/>
      </w:r>
      <w:r>
        <w:t xml:space="preserve"> </w:t>
      </w:r>
      <w:proofErr w:type="spellStart"/>
      <w:r>
        <w:rPr>
          <w:i/>
        </w:rPr>
        <w:t>Testamenta</w:t>
      </w:r>
      <w:proofErr w:type="spellEnd"/>
      <w:r>
        <w:rPr>
          <w:i/>
        </w:rPr>
        <w:t xml:space="preserve"> </w:t>
      </w:r>
      <w:proofErr w:type="spellStart"/>
      <w:r>
        <w:rPr>
          <w:i/>
        </w:rPr>
        <w:t>Eboracensia</w:t>
      </w:r>
      <w:proofErr w:type="spellEnd"/>
      <w:r>
        <w:rPr>
          <w:i/>
        </w:rPr>
        <w:t xml:space="preserve">, </w:t>
      </w:r>
      <w:r>
        <w:t xml:space="preserve">iii, 47-53; Goldberg, </w:t>
      </w:r>
      <w:r w:rsidRPr="00C429AA">
        <w:rPr>
          <w:i/>
        </w:rPr>
        <w:t>Communal Discord</w:t>
      </w:r>
      <w:r>
        <w:t xml:space="preserve">, </w:t>
      </w:r>
      <w:proofErr w:type="spellStart"/>
      <w:r>
        <w:t>ch.</w:t>
      </w:r>
      <w:proofErr w:type="spellEnd"/>
      <w:r>
        <w:t xml:space="preserve"> 8.</w:t>
      </w:r>
    </w:p>
  </w:footnote>
  <w:footnote w:id="83">
    <w:p w14:paraId="54B73D47" w14:textId="274CD097" w:rsidR="00CF202B" w:rsidRDefault="00CF202B">
      <w:pPr>
        <w:pStyle w:val="FootnoteText"/>
      </w:pPr>
      <w:r>
        <w:rPr>
          <w:rStyle w:val="FootnoteReference"/>
        </w:rPr>
        <w:footnoteRef/>
      </w:r>
      <w:r>
        <w:t xml:space="preserve"> Cf. Dyer, ‘Living in Peasant Houses’, 22.</w:t>
      </w:r>
    </w:p>
  </w:footnote>
  <w:footnote w:id="84">
    <w:p w14:paraId="2AF6ACFA" w14:textId="77777777" w:rsidR="002607B0" w:rsidRDefault="002607B0">
      <w:pPr>
        <w:pStyle w:val="FootnoteText"/>
      </w:pPr>
      <w:r>
        <w:rPr>
          <w:rStyle w:val="FootnoteReference"/>
        </w:rPr>
        <w:footnoteRef/>
      </w:r>
      <w:r>
        <w:t xml:space="preserve"> BI, CP.F.371.</w:t>
      </w:r>
    </w:p>
  </w:footnote>
  <w:footnote w:id="85">
    <w:p w14:paraId="5456BE6C" w14:textId="77777777" w:rsidR="002607B0" w:rsidRDefault="002607B0">
      <w:pPr>
        <w:pStyle w:val="FootnoteText"/>
      </w:pPr>
      <w:r>
        <w:rPr>
          <w:rStyle w:val="FootnoteReference"/>
        </w:rPr>
        <w:footnoteRef/>
      </w:r>
      <w:r>
        <w:t xml:space="preserve"> Goldberg, ed. and trans., </w:t>
      </w:r>
      <w:r w:rsidRPr="00C429AA">
        <w:rPr>
          <w:i/>
        </w:rPr>
        <w:t>Women in England</w:t>
      </w:r>
      <w:r>
        <w:t>, 105.</w:t>
      </w:r>
    </w:p>
  </w:footnote>
  <w:footnote w:id="86">
    <w:p w14:paraId="1ED419A4" w14:textId="473A218C" w:rsidR="002607B0" w:rsidRDefault="002607B0">
      <w:pPr>
        <w:pStyle w:val="FootnoteText"/>
      </w:pPr>
      <w:r>
        <w:rPr>
          <w:rStyle w:val="FootnoteReference"/>
        </w:rPr>
        <w:footnoteRef/>
      </w:r>
      <w:r>
        <w:t xml:space="preserve"> </w:t>
      </w:r>
      <w:r w:rsidRPr="00A222FE">
        <w:t>Goldberg</w:t>
      </w:r>
      <w:r>
        <w:t xml:space="preserve">, ‘John </w:t>
      </w:r>
      <w:proofErr w:type="spellStart"/>
      <w:r>
        <w:t>Skathelok’s</w:t>
      </w:r>
      <w:proofErr w:type="spellEnd"/>
      <w:r>
        <w:t xml:space="preserve"> Dick’, 114-16.</w:t>
      </w:r>
    </w:p>
  </w:footnote>
  <w:footnote w:id="87">
    <w:p w14:paraId="2F3F1200" w14:textId="15B6D06A" w:rsidR="002607B0" w:rsidRDefault="002607B0">
      <w:pPr>
        <w:pStyle w:val="FootnoteText"/>
      </w:pPr>
      <w:r w:rsidRPr="004B724C">
        <w:rPr>
          <w:rStyle w:val="FootnoteReference"/>
        </w:rPr>
        <w:footnoteRef/>
      </w:r>
      <w:r>
        <w:t xml:space="preserve"> </w:t>
      </w:r>
      <w:r w:rsidR="004B724C">
        <w:t xml:space="preserve">Goldberg, ‘The fashioning of bourgeois domesticity’. </w:t>
      </w:r>
    </w:p>
  </w:footnote>
  <w:footnote w:id="88">
    <w:p w14:paraId="49E86B57" w14:textId="77777777" w:rsidR="002607B0" w:rsidRDefault="002607B0">
      <w:pPr>
        <w:pStyle w:val="FootnoteText"/>
      </w:pPr>
      <w:r>
        <w:rPr>
          <w:rStyle w:val="FootnoteReference"/>
        </w:rPr>
        <w:footnoteRef/>
      </w:r>
      <w:r>
        <w:t xml:space="preserve"> Goldberg, </w:t>
      </w:r>
      <w:r w:rsidRPr="00862993">
        <w:rPr>
          <w:i/>
        </w:rPr>
        <w:t>Women, Work, and Life Cycle</w:t>
      </w:r>
      <w:r>
        <w:t>, 163-4, 299.</w:t>
      </w:r>
    </w:p>
  </w:footnote>
  <w:footnote w:id="89">
    <w:p w14:paraId="0AAB7375" w14:textId="1DA54BB4" w:rsidR="002607B0" w:rsidRDefault="002607B0">
      <w:pPr>
        <w:pStyle w:val="FootnoteText"/>
      </w:pPr>
      <w:r>
        <w:rPr>
          <w:rStyle w:val="FootnoteReference"/>
        </w:rPr>
        <w:footnoteRef/>
      </w:r>
      <w:r>
        <w:t xml:space="preserve"> </w:t>
      </w:r>
      <w:r w:rsidR="00AF49D8">
        <w:t xml:space="preserve">Steven A. Epstein, </w:t>
      </w:r>
      <w:r w:rsidR="00AF49D8" w:rsidRPr="00AF49D8">
        <w:rPr>
          <w:i/>
        </w:rPr>
        <w:t xml:space="preserve">Wage </w:t>
      </w:r>
      <w:proofErr w:type="spellStart"/>
      <w:r w:rsidR="00AF49D8" w:rsidRPr="00AF49D8">
        <w:rPr>
          <w:i/>
        </w:rPr>
        <w:t>Labor</w:t>
      </w:r>
      <w:proofErr w:type="spellEnd"/>
      <w:r w:rsidR="00AF49D8" w:rsidRPr="00AF49D8">
        <w:rPr>
          <w:i/>
        </w:rPr>
        <w:t xml:space="preserve"> and Guilds in Medieval Europe</w:t>
      </w:r>
      <w:r w:rsidR="00AF49D8">
        <w:t xml:space="preserve"> (Chapel Hill, NC, 1991), 189</w:t>
      </w:r>
      <w:r w:rsidR="000E198E">
        <w:t>.</w:t>
      </w:r>
    </w:p>
  </w:footnote>
  <w:footnote w:id="90">
    <w:p w14:paraId="50620B89" w14:textId="3EF63C7B" w:rsidR="002607B0" w:rsidRDefault="002607B0">
      <w:pPr>
        <w:pStyle w:val="FootnoteText"/>
      </w:pPr>
      <w:r>
        <w:rPr>
          <w:rStyle w:val="FootnoteReference"/>
        </w:rPr>
        <w:footnoteRef/>
      </w:r>
      <w:r>
        <w:t xml:space="preserve"> </w:t>
      </w:r>
      <w:proofErr w:type="spellStart"/>
      <w:r w:rsidR="00244CB7">
        <w:t>McSheffrey</w:t>
      </w:r>
      <w:proofErr w:type="spellEnd"/>
      <w:r w:rsidR="00244CB7">
        <w:t xml:space="preserve"> notes how alehouses were used inter alia as venues both for courtship and for the contract of marriage: </w:t>
      </w:r>
      <w:proofErr w:type="spellStart"/>
      <w:r w:rsidR="00244CB7">
        <w:t>McSheffrey</w:t>
      </w:r>
      <w:proofErr w:type="spellEnd"/>
      <w:r w:rsidR="00244CB7">
        <w:t>, ‘Space, Place, and Situation’,</w:t>
      </w:r>
      <w:r w:rsidR="00244CB7">
        <w:t xml:space="preserve"> 982.</w:t>
      </w:r>
    </w:p>
  </w:footnote>
  <w:footnote w:id="91">
    <w:p w14:paraId="2C39BF6C" w14:textId="73525A6D" w:rsidR="002607B0" w:rsidRDefault="002607B0">
      <w:pPr>
        <w:pStyle w:val="FootnoteText"/>
      </w:pPr>
      <w:r>
        <w:rPr>
          <w:rStyle w:val="FootnoteReference"/>
        </w:rPr>
        <w:footnoteRef/>
      </w:r>
      <w:r>
        <w:t xml:space="preserve"> </w:t>
      </w:r>
      <w:r w:rsidR="00BB70E9">
        <w:t xml:space="preserve">Goldberg, </w:t>
      </w:r>
      <w:r w:rsidR="00A85042">
        <w:t>‘Home Work’, 129-31.</w:t>
      </w:r>
    </w:p>
  </w:footnote>
  <w:footnote w:id="92">
    <w:p w14:paraId="746ABC5F" w14:textId="5999DDBF" w:rsidR="002607B0" w:rsidRDefault="002607B0">
      <w:pPr>
        <w:pStyle w:val="FootnoteText"/>
      </w:pPr>
      <w:r>
        <w:rPr>
          <w:rStyle w:val="FootnoteReference"/>
        </w:rPr>
        <w:footnoteRef/>
      </w:r>
      <w:r>
        <w:t xml:space="preserve"> Gervase Rosser, ‘Crafts, Guilds and the Negotiation of Work in t</w:t>
      </w:r>
      <w:r w:rsidRPr="00B05A50">
        <w:t>he Medieval Town</w:t>
      </w:r>
      <w:r>
        <w:t xml:space="preserve">’, </w:t>
      </w:r>
      <w:r w:rsidRPr="00B05A50">
        <w:rPr>
          <w:i/>
        </w:rPr>
        <w:t>Past and Present</w:t>
      </w:r>
      <w:r>
        <w:t xml:space="preserve">, 154 (February, 1997), 3-31; Goldberg, </w:t>
      </w:r>
      <w:r w:rsidRPr="00B05A50">
        <w:rPr>
          <w:i/>
        </w:rPr>
        <w:t>Women, Work, and Life Cycle</w:t>
      </w:r>
      <w:r>
        <w:t xml:space="preserve">, 180-1; </w:t>
      </w:r>
      <w:proofErr w:type="spellStart"/>
      <w:r>
        <w:t>McSheffrey</w:t>
      </w:r>
      <w:proofErr w:type="spellEnd"/>
      <w:r>
        <w:t>, ‘Space, Place, and Situation’, 978.</w:t>
      </w:r>
    </w:p>
  </w:footnote>
  <w:footnote w:id="93">
    <w:p w14:paraId="3DC98B90" w14:textId="25AF0E6F" w:rsidR="002607B0" w:rsidRPr="00B1420D" w:rsidRDefault="002607B0">
      <w:pPr>
        <w:pStyle w:val="FootnoteText"/>
      </w:pPr>
      <w:r>
        <w:rPr>
          <w:rStyle w:val="FootnoteReference"/>
        </w:rPr>
        <w:footnoteRef/>
      </w:r>
      <w:r>
        <w:t xml:space="preserve"> P.J.P. Goldberg ‘</w:t>
      </w:r>
      <w:hyperlink r:id="rId3" w:history="1">
        <w:r w:rsidRPr="00B1420D">
          <w:rPr>
            <w:rStyle w:val="Hyperlink"/>
            <w:color w:val="auto"/>
            <w:u w:val="none"/>
            <w:shd w:val="clear" w:color="auto" w:fill="FFFFFF"/>
          </w:rPr>
          <w:t>Desperately Seeking the Single Man in Later Medieval England</w:t>
        </w:r>
      </w:hyperlink>
      <w:r>
        <w:t xml:space="preserve">’, in </w:t>
      </w:r>
      <w:r w:rsidRPr="00B1420D">
        <w:rPr>
          <w:rFonts w:cs="Arial"/>
          <w:shd w:val="clear" w:color="auto" w:fill="FFFFFF"/>
        </w:rPr>
        <w:t xml:space="preserve">Julie De Groot, Isabelle </w:t>
      </w:r>
      <w:proofErr w:type="spellStart"/>
      <w:r w:rsidRPr="00B1420D">
        <w:rPr>
          <w:rFonts w:cs="Arial"/>
          <w:shd w:val="clear" w:color="auto" w:fill="FFFFFF"/>
        </w:rPr>
        <w:t>Devos</w:t>
      </w:r>
      <w:proofErr w:type="spellEnd"/>
      <w:r w:rsidRPr="00B1420D">
        <w:rPr>
          <w:rFonts w:cs="Arial"/>
          <w:shd w:val="clear" w:color="auto" w:fill="FFFFFF"/>
        </w:rPr>
        <w:t xml:space="preserve"> and Ariadne Schmidt, </w:t>
      </w:r>
      <w:proofErr w:type="spellStart"/>
      <w:r w:rsidRPr="00B1420D">
        <w:rPr>
          <w:rFonts w:cs="Arial"/>
          <w:shd w:val="clear" w:color="auto" w:fill="FFFFFF"/>
        </w:rPr>
        <w:t>eds</w:t>
      </w:r>
      <w:proofErr w:type="spellEnd"/>
      <w:r w:rsidRPr="00B1420D">
        <w:rPr>
          <w:rFonts w:cs="Arial"/>
          <w:shd w:val="clear" w:color="auto" w:fill="FFFFFF"/>
        </w:rPr>
        <w:t xml:space="preserve">, </w:t>
      </w:r>
      <w:r w:rsidRPr="00B1420D">
        <w:rPr>
          <w:rFonts w:cs="Arial"/>
          <w:i/>
          <w:shd w:val="clear" w:color="auto" w:fill="FFFFFF"/>
        </w:rPr>
        <w:t>Single Life and the City 1200-1900</w:t>
      </w:r>
      <w:r>
        <w:rPr>
          <w:rFonts w:cs="Arial"/>
          <w:i/>
          <w:color w:val="494848"/>
          <w:shd w:val="clear" w:color="auto" w:fill="FFFFFF"/>
        </w:rPr>
        <w:t xml:space="preserve"> </w:t>
      </w:r>
      <w:r>
        <w:rPr>
          <w:rFonts w:cs="Arial"/>
          <w:color w:val="494848"/>
          <w:shd w:val="clear" w:color="auto" w:fill="FFFFFF"/>
        </w:rPr>
        <w:t>(</w:t>
      </w:r>
      <w:proofErr w:type="spellStart"/>
      <w:r>
        <w:rPr>
          <w:rFonts w:cs="Arial"/>
          <w:color w:val="494848"/>
          <w:shd w:val="clear" w:color="auto" w:fill="FFFFFF"/>
        </w:rPr>
        <w:t>Houndsmills</w:t>
      </w:r>
      <w:proofErr w:type="spellEnd"/>
      <w:r>
        <w:rPr>
          <w:rFonts w:cs="Arial"/>
          <w:color w:val="494848"/>
          <w:shd w:val="clear" w:color="auto" w:fill="FFFFFF"/>
        </w:rPr>
        <w:t>, 2015), 117-37.</w:t>
      </w:r>
    </w:p>
  </w:footnote>
  <w:footnote w:id="94">
    <w:p w14:paraId="77FBE14F" w14:textId="77777777" w:rsidR="002607B0" w:rsidRDefault="002607B0">
      <w:pPr>
        <w:pStyle w:val="FootnoteText"/>
      </w:pPr>
      <w:r>
        <w:rPr>
          <w:rStyle w:val="FootnoteReference"/>
        </w:rPr>
        <w:footnoteRef/>
      </w:r>
      <w:r>
        <w:t xml:space="preserve"> The day was the patronal feast of the parish of St Denys [Denis], </w:t>
      </w:r>
      <w:proofErr w:type="spellStart"/>
      <w:r>
        <w:t>Walmgate</w:t>
      </w:r>
      <w:proofErr w:type="spellEnd"/>
      <w:r>
        <w:t>: BI, CP.F.203.</w:t>
      </w:r>
    </w:p>
  </w:footnote>
  <w:footnote w:id="95">
    <w:p w14:paraId="14FF9747" w14:textId="77777777" w:rsidR="002607B0" w:rsidRDefault="002607B0">
      <w:pPr>
        <w:pStyle w:val="FootnoteText"/>
      </w:pPr>
      <w:r>
        <w:rPr>
          <w:rStyle w:val="FootnoteReference"/>
        </w:rPr>
        <w:footnoteRef/>
      </w:r>
      <w:r>
        <w:t xml:space="preserve"> BI, CP.G.40.</w:t>
      </w:r>
    </w:p>
  </w:footnote>
  <w:footnote w:id="96">
    <w:p w14:paraId="2C5B30C6" w14:textId="77777777" w:rsidR="002607B0" w:rsidRDefault="002607B0">
      <w:pPr>
        <w:pStyle w:val="FootnoteText"/>
      </w:pPr>
      <w:r>
        <w:rPr>
          <w:rStyle w:val="FootnoteReference"/>
        </w:rPr>
        <w:footnoteRef/>
      </w:r>
      <w:r>
        <w:t xml:space="preserve"> BI, CP.E.111, 242, 248; F.36.</w:t>
      </w:r>
    </w:p>
  </w:footnote>
  <w:footnote w:id="97">
    <w:p w14:paraId="3B52247D" w14:textId="40A270EE" w:rsidR="002607B0" w:rsidRDefault="002607B0">
      <w:pPr>
        <w:pStyle w:val="FootnoteText"/>
      </w:pPr>
      <w:r>
        <w:rPr>
          <w:rStyle w:val="FootnoteReference"/>
        </w:rPr>
        <w:footnoteRef/>
      </w:r>
      <w:r>
        <w:t xml:space="preserve"> The term ‘deeper space’ relates to access analysis, viz. the spaces accessed only by passing through a plurality of entrance ways or where access is controlled. In this sense upper floor rooms represent deep space since access to the upper level is controlled. </w:t>
      </w:r>
    </w:p>
  </w:footnote>
  <w:footnote w:id="98">
    <w:p w14:paraId="416AD553" w14:textId="77777777" w:rsidR="002607B0" w:rsidRDefault="002607B0">
      <w:pPr>
        <w:pStyle w:val="FootnoteText"/>
      </w:pPr>
      <w:r>
        <w:rPr>
          <w:rStyle w:val="FootnoteReference"/>
        </w:rPr>
        <w:footnoteRef/>
      </w:r>
      <w:r>
        <w:t xml:space="preserve"> Goldberg, ed. and trans., </w:t>
      </w:r>
      <w:r w:rsidRPr="00862993">
        <w:rPr>
          <w:i/>
        </w:rPr>
        <w:t>Women in England</w:t>
      </w:r>
      <w:r>
        <w:t>, 110.</w:t>
      </w:r>
    </w:p>
  </w:footnote>
  <w:footnote w:id="99">
    <w:p w14:paraId="3A86B03D" w14:textId="77777777" w:rsidR="002607B0" w:rsidRDefault="002607B0">
      <w:pPr>
        <w:pStyle w:val="FootnoteText"/>
      </w:pPr>
      <w:r>
        <w:rPr>
          <w:rStyle w:val="FootnoteReference"/>
        </w:rPr>
        <w:footnoteRef/>
      </w:r>
      <w:r>
        <w:t xml:space="preserve"> Thomas undressed again and joined Agnes in the bed: BI, CP.F.63.</w:t>
      </w:r>
    </w:p>
  </w:footnote>
  <w:footnote w:id="100">
    <w:p w14:paraId="5C23DAE4" w14:textId="77777777" w:rsidR="002607B0" w:rsidRDefault="002607B0">
      <w:pPr>
        <w:pStyle w:val="FootnoteText"/>
      </w:pPr>
      <w:r>
        <w:rPr>
          <w:rStyle w:val="FootnoteReference"/>
        </w:rPr>
        <w:footnoteRef/>
      </w:r>
      <w:r>
        <w:t xml:space="preserve"> BI, CP.F.75.</w:t>
      </w:r>
    </w:p>
  </w:footnote>
  <w:footnote w:id="101">
    <w:p w14:paraId="75E8DEAE" w14:textId="66C8F794" w:rsidR="002607B0" w:rsidRDefault="002607B0">
      <w:pPr>
        <w:pStyle w:val="FootnoteText"/>
      </w:pPr>
      <w:r>
        <w:rPr>
          <w:rStyle w:val="FootnoteReference"/>
        </w:rPr>
        <w:footnoteRef/>
      </w:r>
      <w:r>
        <w:t xml:space="preserve"> </w:t>
      </w:r>
      <w:proofErr w:type="spellStart"/>
      <w:r>
        <w:t>McSheffrey</w:t>
      </w:r>
      <w:proofErr w:type="spellEnd"/>
      <w:r>
        <w:t>, citing John Schofield’s access analysis (</w:t>
      </w:r>
      <w:proofErr w:type="spellStart"/>
      <w:r>
        <w:t>see n</w:t>
      </w:r>
      <w:proofErr w:type="spellEnd"/>
      <w:r>
        <w:t xml:space="preserve">. 92 above) of late medieval London houses, notes that the parlour and the garden have been identified as the ‘most private’ spaces associated with the house, but Schofield’s dependence on early modern survey evidence does not allow for upper floors to be considered. In fact </w:t>
      </w:r>
      <w:proofErr w:type="spellStart"/>
      <w:r>
        <w:t>McSheffrey</w:t>
      </w:r>
      <w:proofErr w:type="spellEnd"/>
      <w:r>
        <w:t xml:space="preserve"> suggests from her analysis of late fifteenth-century London matrimonial cases that chambers were rarely used as venues for contracts because of the their ‘associations with intimacy and sexuality’: </w:t>
      </w:r>
      <w:proofErr w:type="spellStart"/>
      <w:r>
        <w:t>McSheffrey</w:t>
      </w:r>
      <w:proofErr w:type="spellEnd"/>
      <w:r>
        <w:t>, ‘Space, Place, and Situation’, 976-7; John Schofield, ‘Social Perceptions</w:t>
      </w:r>
      <w:r w:rsidRPr="008855C3">
        <w:rPr>
          <w:rFonts w:ascii="Arial" w:hAnsi="Arial" w:cs="Arial"/>
          <w:color w:val="545454"/>
        </w:rPr>
        <w:t xml:space="preserve"> </w:t>
      </w:r>
      <w:r w:rsidRPr="008855C3">
        <w:rPr>
          <w:rStyle w:val="st1"/>
          <w:rFonts w:cs="Arial"/>
        </w:rPr>
        <w:t>of Space in Me</w:t>
      </w:r>
      <w:r>
        <w:rPr>
          <w:rStyle w:val="st1"/>
          <w:rFonts w:cs="Arial"/>
        </w:rPr>
        <w:t>dieval and Tudor London Houses’,</w:t>
      </w:r>
      <w:r w:rsidRPr="008855C3">
        <w:rPr>
          <w:rStyle w:val="st1"/>
          <w:rFonts w:cs="Arial"/>
        </w:rPr>
        <w:t xml:space="preserve"> in </w:t>
      </w:r>
      <w:r>
        <w:rPr>
          <w:rStyle w:val="st1"/>
          <w:rFonts w:cs="Arial"/>
        </w:rPr>
        <w:t xml:space="preserve">Martin </w:t>
      </w:r>
      <w:proofErr w:type="spellStart"/>
      <w:r>
        <w:rPr>
          <w:rStyle w:val="st1"/>
          <w:rFonts w:cs="Arial"/>
        </w:rPr>
        <w:t>Locock</w:t>
      </w:r>
      <w:proofErr w:type="spellEnd"/>
      <w:r>
        <w:rPr>
          <w:rStyle w:val="st1"/>
          <w:rFonts w:cs="Arial"/>
        </w:rPr>
        <w:t xml:space="preserve">, ed., </w:t>
      </w:r>
      <w:r w:rsidRPr="008855C3">
        <w:rPr>
          <w:rStyle w:val="st1"/>
          <w:rFonts w:cs="Arial"/>
          <w:i/>
        </w:rPr>
        <w:t xml:space="preserve">Meaningful Architecture: </w:t>
      </w:r>
      <w:r w:rsidRPr="008855C3">
        <w:rPr>
          <w:rStyle w:val="Emphasis"/>
          <w:rFonts w:cs="Arial"/>
          <w:b w:val="0"/>
          <w:i/>
        </w:rPr>
        <w:t>Social</w:t>
      </w:r>
      <w:r w:rsidRPr="008855C3">
        <w:rPr>
          <w:rStyle w:val="st1"/>
          <w:rFonts w:cs="Arial"/>
          <w:i/>
        </w:rPr>
        <w:t xml:space="preserve"> Interpretations of Buildings</w:t>
      </w:r>
      <w:r w:rsidRPr="008855C3">
        <w:rPr>
          <w:rStyle w:val="st1"/>
          <w:rFonts w:cs="Arial"/>
        </w:rPr>
        <w:t xml:space="preserve">, ed. </w:t>
      </w:r>
      <w:r>
        <w:rPr>
          <w:rStyle w:val="st1"/>
          <w:rFonts w:cs="Arial"/>
        </w:rPr>
        <w:t xml:space="preserve">Martin </w:t>
      </w:r>
      <w:proofErr w:type="spellStart"/>
      <w:r>
        <w:rPr>
          <w:rStyle w:val="st1"/>
          <w:rFonts w:cs="Arial"/>
        </w:rPr>
        <w:t>Locock</w:t>
      </w:r>
      <w:proofErr w:type="spellEnd"/>
      <w:r>
        <w:rPr>
          <w:rStyle w:val="st1"/>
          <w:rFonts w:cs="Arial"/>
        </w:rPr>
        <w:t xml:space="preserve"> (Aldershot, 1994),</w:t>
      </w:r>
      <w:r>
        <w:t xml:space="preserve"> 202.</w:t>
      </w:r>
    </w:p>
  </w:footnote>
  <w:footnote w:id="102">
    <w:p w14:paraId="669148A6" w14:textId="77777777" w:rsidR="002607B0" w:rsidRDefault="002607B0">
      <w:pPr>
        <w:pStyle w:val="FootnoteText"/>
      </w:pPr>
      <w:r>
        <w:rPr>
          <w:rStyle w:val="FootnoteReference"/>
        </w:rPr>
        <w:footnoteRef/>
      </w:r>
      <w:r>
        <w:t xml:space="preserve"> Cf. the Knight of the Tower’s advice to wives to reprimand their husbands: </w:t>
      </w:r>
      <w:r>
        <w:rPr>
          <w:rFonts w:cstheme="minorHAnsi"/>
        </w:rPr>
        <w:t xml:space="preserve">William Caxton, trans., </w:t>
      </w:r>
      <w:r w:rsidRPr="00BE7036">
        <w:rPr>
          <w:rFonts w:cstheme="minorHAnsi"/>
          <w:i/>
        </w:rPr>
        <w:t>The Book of the Knight of the Tower</w:t>
      </w:r>
      <w:r>
        <w:rPr>
          <w:rFonts w:cstheme="minorHAnsi"/>
        </w:rPr>
        <w:t xml:space="preserve">, ed. M.Y. Offord, </w:t>
      </w:r>
      <w:r w:rsidRPr="00BE7036">
        <w:rPr>
          <w:rFonts w:cstheme="minorHAnsi"/>
        </w:rPr>
        <w:t>Early English Text Society</w:t>
      </w:r>
      <w:r>
        <w:rPr>
          <w:rFonts w:cstheme="minorHAnsi"/>
        </w:rPr>
        <w:t xml:space="preserve"> S.S. 2 (1971), </w:t>
      </w:r>
      <w:r w:rsidRPr="005D16C7">
        <w:rPr>
          <w:rFonts w:cstheme="minorHAnsi"/>
        </w:rPr>
        <w:t>35</w:t>
      </w:r>
      <w:r>
        <w:rPr>
          <w:rFonts w:cstheme="minorHAnsi"/>
        </w:rPr>
        <w:t>; Goldberg, ‘Home Work’.</w:t>
      </w:r>
    </w:p>
  </w:footnote>
  <w:footnote w:id="103">
    <w:p w14:paraId="6E9CF0C1" w14:textId="77777777" w:rsidR="002607B0" w:rsidRDefault="002607B0">
      <w:pPr>
        <w:pStyle w:val="FootnoteText"/>
      </w:pPr>
      <w:r>
        <w:rPr>
          <w:rStyle w:val="FootnoteReference"/>
        </w:rPr>
        <w:footnoteRef/>
      </w:r>
      <w:r>
        <w:t xml:space="preserve"> Goldberg, ed. and trans., </w:t>
      </w:r>
      <w:r w:rsidRPr="00862993">
        <w:rPr>
          <w:i/>
        </w:rPr>
        <w:t>Women in England</w:t>
      </w:r>
      <w:r>
        <w:t>, 110-14.</w:t>
      </w:r>
    </w:p>
  </w:footnote>
  <w:footnote w:id="104">
    <w:p w14:paraId="15CCFDE6" w14:textId="0C09E01E" w:rsidR="002607B0" w:rsidRDefault="002607B0">
      <w:pPr>
        <w:pStyle w:val="FootnoteText"/>
      </w:pPr>
      <w:r>
        <w:rPr>
          <w:rStyle w:val="FootnoteReference"/>
        </w:rPr>
        <w:footnoteRef/>
      </w:r>
      <w:r>
        <w:t xml:space="preserve"> ‘</w:t>
      </w:r>
      <w:r w:rsidRPr="005D16C7">
        <w:rPr>
          <w:rFonts w:cstheme="minorHAnsi"/>
        </w:rPr>
        <w:t xml:space="preserve">How the Good </w:t>
      </w:r>
      <w:proofErr w:type="spellStart"/>
      <w:r w:rsidRPr="005D16C7">
        <w:rPr>
          <w:rFonts w:cstheme="minorHAnsi"/>
        </w:rPr>
        <w:t>Wijf</w:t>
      </w:r>
      <w:proofErr w:type="spellEnd"/>
      <w:r w:rsidRPr="005D16C7">
        <w:rPr>
          <w:rFonts w:cstheme="minorHAnsi"/>
        </w:rPr>
        <w:t xml:space="preserve"> </w:t>
      </w:r>
      <w:proofErr w:type="spellStart"/>
      <w:r w:rsidRPr="005D16C7">
        <w:rPr>
          <w:rFonts w:cstheme="minorHAnsi"/>
        </w:rPr>
        <w:t>tauƷt</w:t>
      </w:r>
      <w:proofErr w:type="spellEnd"/>
      <w:r w:rsidRPr="005D16C7">
        <w:rPr>
          <w:rFonts w:cstheme="minorHAnsi"/>
        </w:rPr>
        <w:t xml:space="preserve"> </w:t>
      </w:r>
      <w:proofErr w:type="spellStart"/>
      <w:r w:rsidRPr="005D16C7">
        <w:rPr>
          <w:rFonts w:cstheme="minorHAnsi"/>
        </w:rPr>
        <w:t>Hir</w:t>
      </w:r>
      <w:proofErr w:type="spellEnd"/>
      <w:r w:rsidRPr="005D16C7">
        <w:rPr>
          <w:rFonts w:cstheme="minorHAnsi"/>
        </w:rPr>
        <w:t xml:space="preserve"> </w:t>
      </w:r>
      <w:proofErr w:type="spellStart"/>
      <w:r w:rsidRPr="005D16C7">
        <w:rPr>
          <w:rFonts w:cstheme="minorHAnsi"/>
        </w:rPr>
        <w:t>DouƷtir</w:t>
      </w:r>
      <w:proofErr w:type="spellEnd"/>
      <w:r>
        <w:rPr>
          <w:rFonts w:cstheme="minorHAnsi"/>
        </w:rPr>
        <w:t xml:space="preserve">’, in </w:t>
      </w:r>
      <w:r w:rsidRPr="00634F9F">
        <w:rPr>
          <w:rFonts w:cstheme="minorHAnsi"/>
          <w:i/>
        </w:rPr>
        <w:t xml:space="preserve">The </w:t>
      </w:r>
      <w:proofErr w:type="spellStart"/>
      <w:r w:rsidRPr="00634F9F">
        <w:rPr>
          <w:rFonts w:cstheme="minorHAnsi"/>
          <w:i/>
        </w:rPr>
        <w:t>Babees</w:t>
      </w:r>
      <w:proofErr w:type="spellEnd"/>
      <w:r w:rsidRPr="00634F9F">
        <w:rPr>
          <w:rFonts w:cstheme="minorHAnsi"/>
          <w:i/>
        </w:rPr>
        <w:t xml:space="preserve"> Book</w:t>
      </w:r>
      <w:r>
        <w:rPr>
          <w:rFonts w:cstheme="minorHAnsi"/>
        </w:rPr>
        <w:t>, ed. Frederick J. Furnivall, Early English Text Society O.S. 32 (London, 1868), 41-2, ll. 102-34;</w:t>
      </w:r>
      <w:r w:rsidRPr="001A390A">
        <w:t xml:space="preserve"> </w:t>
      </w:r>
      <w:r>
        <w:t>Goldberg, ‘Home Work’.</w:t>
      </w:r>
    </w:p>
  </w:footnote>
  <w:footnote w:id="105">
    <w:p w14:paraId="743515AD" w14:textId="77777777" w:rsidR="002607B0" w:rsidRPr="00D4593C" w:rsidRDefault="002607B0" w:rsidP="00CA7681">
      <w:pPr>
        <w:pStyle w:val="NoSpacing"/>
      </w:pPr>
      <w:r w:rsidRPr="00CA7681">
        <w:rPr>
          <w:rStyle w:val="FootnoteReference"/>
          <w:sz w:val="20"/>
          <w:szCs w:val="20"/>
        </w:rPr>
        <w:footnoteRef/>
      </w:r>
      <w:r w:rsidRPr="00CA7681">
        <w:rPr>
          <w:sz w:val="20"/>
          <w:szCs w:val="20"/>
        </w:rPr>
        <w:t xml:space="preserve"> </w:t>
      </w:r>
      <w:r>
        <w:rPr>
          <w:sz w:val="20"/>
          <w:szCs w:val="20"/>
          <w:shd w:val="clear" w:color="auto" w:fill="FFFFFF"/>
        </w:rPr>
        <w:t>Henry</w:t>
      </w:r>
      <w:r w:rsidRPr="00F369E0">
        <w:rPr>
          <w:sz w:val="20"/>
          <w:szCs w:val="20"/>
          <w:shd w:val="clear" w:color="auto" w:fill="FFFFFF"/>
        </w:rPr>
        <w:t xml:space="preserve"> </w:t>
      </w:r>
      <w:proofErr w:type="spellStart"/>
      <w:r w:rsidRPr="00F369E0">
        <w:rPr>
          <w:sz w:val="20"/>
          <w:szCs w:val="20"/>
          <w:shd w:val="clear" w:color="auto" w:fill="FFFFFF"/>
        </w:rPr>
        <w:t>Littlehales</w:t>
      </w:r>
      <w:proofErr w:type="spellEnd"/>
      <w:r w:rsidRPr="00CA7681">
        <w:rPr>
          <w:sz w:val="20"/>
          <w:szCs w:val="20"/>
          <w:shd w:val="clear" w:color="auto" w:fill="FFFFFF"/>
        </w:rPr>
        <w:t xml:space="preserve">, ed., </w:t>
      </w:r>
      <w:r w:rsidRPr="00CA7681">
        <w:rPr>
          <w:i/>
          <w:sz w:val="20"/>
          <w:szCs w:val="20"/>
          <w:shd w:val="clear" w:color="auto" w:fill="FFFFFF"/>
        </w:rPr>
        <w:t>Medieval Records of a London City Church: Churchwardens' Accounts and Memoranda</w:t>
      </w:r>
      <w:r>
        <w:rPr>
          <w:sz w:val="20"/>
          <w:szCs w:val="20"/>
          <w:shd w:val="clear" w:color="auto" w:fill="FFFFFF"/>
        </w:rPr>
        <w:t xml:space="preserve">, </w:t>
      </w:r>
      <w:r w:rsidRPr="00F369E0">
        <w:rPr>
          <w:color w:val="000000"/>
          <w:sz w:val="20"/>
          <w:szCs w:val="20"/>
          <w:shd w:val="clear" w:color="auto" w:fill="FFFFFF"/>
        </w:rPr>
        <w:t>EETS</w:t>
      </w:r>
      <w:r>
        <w:rPr>
          <w:color w:val="000000"/>
          <w:sz w:val="20"/>
          <w:szCs w:val="20"/>
          <w:shd w:val="clear" w:color="auto" w:fill="FFFFFF"/>
        </w:rPr>
        <w:t>, OS 125, 128 (1904-</w:t>
      </w:r>
      <w:r w:rsidRPr="00F369E0">
        <w:rPr>
          <w:color w:val="000000"/>
          <w:sz w:val="20"/>
          <w:szCs w:val="20"/>
          <w:shd w:val="clear" w:color="auto" w:fill="FFFFFF"/>
        </w:rPr>
        <w:t>5)</w:t>
      </w:r>
      <w:r w:rsidRPr="00F369E0">
        <w:rPr>
          <w:sz w:val="20"/>
          <w:szCs w:val="20"/>
          <w:shd w:val="clear" w:color="auto" w:fill="FFFFFF"/>
        </w:rPr>
        <w:t>,</w:t>
      </w:r>
      <w:r w:rsidRPr="00CA7681">
        <w:rPr>
          <w:sz w:val="20"/>
          <w:szCs w:val="20"/>
          <w:shd w:val="clear" w:color="auto" w:fill="FFFFFF"/>
        </w:rPr>
        <w:t xml:space="preserve"> 71</w:t>
      </w:r>
      <w:r>
        <w:rPr>
          <w:sz w:val="20"/>
          <w:szCs w:val="20"/>
          <w:shd w:val="clear" w:color="auto" w:fill="FFFFFF"/>
        </w:rPr>
        <w:t>.</w:t>
      </w:r>
    </w:p>
  </w:footnote>
  <w:footnote w:id="106">
    <w:p w14:paraId="338D85BC" w14:textId="2606989E" w:rsidR="002607B0" w:rsidRDefault="002607B0" w:rsidP="00CA7681">
      <w:pPr>
        <w:pStyle w:val="FootnoteText"/>
      </w:pPr>
      <w:r>
        <w:rPr>
          <w:rStyle w:val="FootnoteReference"/>
        </w:rPr>
        <w:footnoteRef/>
      </w:r>
      <w:r>
        <w:t xml:space="preserve"> Nicholas Love, </w:t>
      </w:r>
      <w:proofErr w:type="spellStart"/>
      <w:r w:rsidRPr="00030C53">
        <w:rPr>
          <w:i/>
        </w:rPr>
        <w:t>Mirrour</w:t>
      </w:r>
      <w:proofErr w:type="spellEnd"/>
      <w:r w:rsidRPr="00030C53">
        <w:rPr>
          <w:i/>
        </w:rPr>
        <w:t xml:space="preserve"> of the blessed </w:t>
      </w:r>
      <w:proofErr w:type="spellStart"/>
      <w:r w:rsidRPr="00030C53">
        <w:rPr>
          <w:i/>
        </w:rPr>
        <w:t>lyf</w:t>
      </w:r>
      <w:proofErr w:type="spellEnd"/>
      <w:r w:rsidRPr="00030C53">
        <w:rPr>
          <w:i/>
        </w:rPr>
        <w:t xml:space="preserve"> of Jesu Christ</w:t>
      </w:r>
      <w:r>
        <w:t>, ed. Lawrence F. Powell (Oxford, 1908), 104.</w:t>
      </w:r>
    </w:p>
  </w:footnote>
  <w:footnote w:id="107">
    <w:p w14:paraId="575048C0" w14:textId="77777777" w:rsidR="002607B0" w:rsidRDefault="002607B0">
      <w:pPr>
        <w:pStyle w:val="FootnoteText"/>
      </w:pPr>
      <w:r>
        <w:rPr>
          <w:rStyle w:val="FootnoteReference"/>
        </w:rPr>
        <w:footnoteRef/>
      </w:r>
      <w:r>
        <w:t xml:space="preserve"> Goldberg, ‘The fashioning of bourgeois domesticity’, 137-8.</w:t>
      </w:r>
    </w:p>
  </w:footnote>
  <w:footnote w:id="108">
    <w:p w14:paraId="6FF7CD4D" w14:textId="40C52B70" w:rsidR="002607B0" w:rsidRDefault="002607B0">
      <w:pPr>
        <w:pStyle w:val="FootnoteText"/>
      </w:pPr>
      <w:r w:rsidRPr="002967E1">
        <w:rPr>
          <w:rStyle w:val="FootnoteReference"/>
        </w:rPr>
        <w:footnoteRef/>
      </w:r>
      <w:r>
        <w:t xml:space="preserve"> </w:t>
      </w:r>
      <w:r w:rsidR="002967E1">
        <w:t>Goldberg, ‘Home Work’</w:t>
      </w:r>
      <w:r w:rsidR="002967E1">
        <w:t>.</w:t>
      </w:r>
    </w:p>
  </w:footnote>
  <w:footnote w:id="109">
    <w:p w14:paraId="3E03C438" w14:textId="77777777" w:rsidR="002607B0" w:rsidRDefault="002607B0">
      <w:pPr>
        <w:pStyle w:val="FootnoteText"/>
      </w:pPr>
      <w:r>
        <w:rPr>
          <w:rStyle w:val="FootnoteReference"/>
        </w:rPr>
        <w:footnoteRef/>
      </w:r>
      <w:r>
        <w:t xml:space="preserve"> Jason </w:t>
      </w:r>
      <w:proofErr w:type="spellStart"/>
      <w:r>
        <w:t>Tebbe</w:t>
      </w:r>
      <w:proofErr w:type="spellEnd"/>
      <w:r>
        <w:t>,</w:t>
      </w:r>
      <w:r w:rsidRPr="00321023">
        <w:t> </w:t>
      </w:r>
      <w:r>
        <w:t>‘</w:t>
      </w:r>
      <w:r w:rsidRPr="00321023">
        <w:t xml:space="preserve">Landscapes of Remembrance: Home and Memory in the Nineteenth-Century </w:t>
      </w:r>
      <w:proofErr w:type="spellStart"/>
      <w:r w:rsidRPr="00321023">
        <w:t>Bürgertum</w:t>
      </w:r>
      <w:proofErr w:type="spellEnd"/>
      <w:r>
        <w:t>’</w:t>
      </w:r>
      <w:r w:rsidRPr="00321023">
        <w:t xml:space="preserve">, </w:t>
      </w:r>
      <w:r w:rsidRPr="00321023">
        <w:rPr>
          <w:i/>
        </w:rPr>
        <w:t>Journal of Family History</w:t>
      </w:r>
      <w:r>
        <w:t>, 33</w:t>
      </w:r>
      <w:r w:rsidRPr="00321023">
        <w:t xml:space="preserve"> </w:t>
      </w:r>
      <w:r w:rsidRPr="005B2EDF">
        <w:t>(A</w:t>
      </w:r>
      <w:r>
        <w:t xml:space="preserve">pril, </w:t>
      </w:r>
      <w:r w:rsidRPr="00321023">
        <w:t>2008</w:t>
      </w:r>
      <w:r>
        <w:t>),</w:t>
      </w:r>
      <w:r w:rsidRPr="00321023">
        <w:t xml:space="preserve"> 195-215</w:t>
      </w:r>
      <w:r>
        <w:t>.</w:t>
      </w:r>
    </w:p>
  </w:footnote>
  <w:footnote w:id="110">
    <w:p w14:paraId="4ABAC309" w14:textId="7699BD08" w:rsidR="00390730" w:rsidRDefault="00390730">
      <w:pPr>
        <w:pStyle w:val="FootnoteText"/>
      </w:pPr>
      <w:r>
        <w:rPr>
          <w:rStyle w:val="FootnoteReference"/>
        </w:rPr>
        <w:footnoteRef/>
      </w:r>
      <w:r>
        <w:t xml:space="preserve"> The association of the aristocratic hall with the masculine may not translate to more egalitarian bourgeois </w:t>
      </w:r>
      <w:r w:rsidR="00063E2B">
        <w:t xml:space="preserve">hall. Cf. Gail Ashton, </w:t>
      </w:r>
      <w:r w:rsidR="00063E2B" w:rsidRPr="00063E2B">
        <w:rPr>
          <w:i/>
        </w:rPr>
        <w:t>Medieval English Romance in Context</w:t>
      </w:r>
      <w:r w:rsidR="00063E2B">
        <w:t xml:space="preserve"> (London, 2010), 102</w:t>
      </w:r>
      <w:r w:rsidR="002967E1">
        <w:t xml:space="preserve">; </w:t>
      </w:r>
      <w:proofErr w:type="spellStart"/>
      <w:r w:rsidR="002967E1">
        <w:t>McSheffrey</w:t>
      </w:r>
      <w:proofErr w:type="spellEnd"/>
      <w:r w:rsidR="002967E1">
        <w:t>, ‘Place, Space, and Situation</w:t>
      </w:r>
      <w:r w:rsidR="002967E1">
        <w:t>’.</w:t>
      </w:r>
      <w:r>
        <w:t xml:space="preserve"> </w:t>
      </w:r>
    </w:p>
  </w:footnote>
  <w:footnote w:id="111">
    <w:p w14:paraId="318B6359" w14:textId="1F83703C" w:rsidR="002607B0" w:rsidRPr="005B2EDF" w:rsidRDefault="002607B0" w:rsidP="005B2EDF">
      <w:pPr>
        <w:pStyle w:val="NoSpacing"/>
        <w:rPr>
          <w:sz w:val="20"/>
          <w:szCs w:val="20"/>
        </w:rPr>
      </w:pPr>
      <w:r w:rsidRPr="005B2EDF">
        <w:rPr>
          <w:rStyle w:val="FootnoteReference"/>
          <w:sz w:val="20"/>
          <w:szCs w:val="20"/>
        </w:rPr>
        <w:footnoteRef/>
      </w:r>
      <w:r w:rsidRPr="005B2EDF">
        <w:rPr>
          <w:sz w:val="20"/>
          <w:szCs w:val="20"/>
        </w:rPr>
        <w:t xml:space="preserve"> Hollie Morgan, </w:t>
      </w:r>
      <w:r w:rsidRPr="005B2EDF">
        <w:rPr>
          <w:rStyle w:val="fn"/>
          <w:rFonts w:cs="Arial"/>
          <w:i/>
          <w:color w:val="333333"/>
          <w:sz w:val="20"/>
          <w:szCs w:val="20"/>
        </w:rPr>
        <w:t>Beds and Chambers in Late Medieval England</w:t>
      </w:r>
      <w:r w:rsidRPr="005B2EDF">
        <w:rPr>
          <w:i/>
          <w:sz w:val="20"/>
          <w:szCs w:val="20"/>
        </w:rPr>
        <w:t>: </w:t>
      </w:r>
      <w:r w:rsidRPr="005B2EDF">
        <w:rPr>
          <w:rStyle w:val="Subtitle1"/>
          <w:rFonts w:cs="Arial"/>
          <w:bCs/>
          <w:i/>
          <w:color w:val="333333"/>
          <w:sz w:val="20"/>
          <w:szCs w:val="20"/>
        </w:rPr>
        <w:t>Readings, Representations and Realities</w:t>
      </w:r>
      <w:r>
        <w:rPr>
          <w:rStyle w:val="Subtitle1"/>
          <w:rFonts w:cs="Arial"/>
          <w:bCs/>
          <w:i/>
          <w:color w:val="333333"/>
          <w:sz w:val="20"/>
          <w:szCs w:val="20"/>
        </w:rPr>
        <w:t xml:space="preserve"> </w:t>
      </w:r>
      <w:r>
        <w:rPr>
          <w:rStyle w:val="Subtitle1"/>
          <w:rFonts w:cs="Arial"/>
          <w:bCs/>
          <w:color w:val="333333"/>
          <w:sz w:val="20"/>
          <w:szCs w:val="20"/>
        </w:rPr>
        <w:t>(Woodbridge, 2017).</w:t>
      </w:r>
    </w:p>
  </w:footnote>
  <w:footnote w:id="112">
    <w:p w14:paraId="4B6F205A" w14:textId="77777777" w:rsidR="002607B0" w:rsidRPr="005B2EDF" w:rsidRDefault="002607B0" w:rsidP="005B2EDF">
      <w:pPr>
        <w:pStyle w:val="NoSpacing"/>
        <w:rPr>
          <w:sz w:val="20"/>
          <w:szCs w:val="20"/>
        </w:rPr>
      </w:pPr>
      <w:r w:rsidRPr="005B2EDF">
        <w:rPr>
          <w:rStyle w:val="FootnoteReference"/>
          <w:sz w:val="20"/>
          <w:szCs w:val="20"/>
        </w:rPr>
        <w:footnoteRef/>
      </w:r>
      <w:r w:rsidRPr="005B2EDF">
        <w:rPr>
          <w:sz w:val="20"/>
          <w:szCs w:val="20"/>
        </w:rPr>
        <w:t xml:space="preserve"> Goldberg, ‘Home Work’.</w:t>
      </w:r>
    </w:p>
  </w:footnote>
  <w:footnote w:id="113">
    <w:p w14:paraId="5A07D133" w14:textId="418134D4" w:rsidR="00B015DE" w:rsidRDefault="00B015DE">
      <w:pPr>
        <w:pStyle w:val="FootnoteText"/>
      </w:pPr>
      <w:r>
        <w:rPr>
          <w:rStyle w:val="FootnoteReference"/>
        </w:rPr>
        <w:footnoteRef/>
      </w:r>
      <w:r>
        <w:t xml:space="preserve"> Such houses also made provision for cooking, either in a separate kitchen or in a space contained by the hall.</w:t>
      </w:r>
    </w:p>
  </w:footnote>
  <w:footnote w:id="114">
    <w:p w14:paraId="630E9F96" w14:textId="5F1F7DFF" w:rsidR="00E81411" w:rsidRDefault="00E81411" w:rsidP="00EC54AE">
      <w:pPr>
        <w:pStyle w:val="FootnoteText"/>
        <w:jc w:val="both"/>
      </w:pPr>
      <w:r>
        <w:rPr>
          <w:rStyle w:val="FootnoteReference"/>
        </w:rPr>
        <w:footnoteRef/>
      </w:r>
      <w:r>
        <w:t xml:space="preserve"> </w:t>
      </w:r>
      <w:r w:rsidR="002F57D5">
        <w:t xml:space="preserve">Cf. </w:t>
      </w:r>
      <w:r w:rsidR="00494356">
        <w:t xml:space="preserve">Pearson, ‘The Provision of Services’, </w:t>
      </w:r>
      <w:r w:rsidR="002F57D5">
        <w:t xml:space="preserve">38-9, </w:t>
      </w:r>
      <w:r w:rsidR="00EC54AE">
        <w:t>44</w:t>
      </w:r>
      <w:r w:rsidR="00FA2B4F">
        <w:t xml:space="preserve">; </w:t>
      </w:r>
      <w:proofErr w:type="spellStart"/>
      <w:r w:rsidR="00FA2B4F">
        <w:t>Quiney</w:t>
      </w:r>
      <w:proofErr w:type="spellEnd"/>
      <w:r w:rsidR="00FA2B4F">
        <w:t xml:space="preserve">, </w:t>
      </w:r>
      <w:r w:rsidR="00FA2B4F" w:rsidRPr="00FA2B4F">
        <w:rPr>
          <w:i/>
        </w:rPr>
        <w:t>Town Houses of Medieval Britain</w:t>
      </w:r>
      <w:r w:rsidR="00FA2B4F">
        <w:t>, 245-54;</w:t>
      </w:r>
      <w:r w:rsidR="005D1913">
        <w:t xml:space="preserve"> </w:t>
      </w:r>
      <w:r w:rsidR="00827A1E">
        <w:t xml:space="preserve">Roger H. Leech, </w:t>
      </w:r>
      <w:r w:rsidR="00827A1E" w:rsidRPr="00B015DE">
        <w:rPr>
          <w:i/>
        </w:rPr>
        <w:t>The Town House in Medieval and Early Modern Bristol</w:t>
      </w:r>
      <w:r w:rsidR="00827A1E">
        <w:t xml:space="preserve"> (Swindon, 2014), </w:t>
      </w:r>
      <w:r w:rsidR="00B015DE">
        <w:t>117-23</w:t>
      </w:r>
      <w:r w:rsidR="00212358">
        <w:t xml:space="preserve">; Philippe </w:t>
      </w:r>
      <w:proofErr w:type="spellStart"/>
      <w:r w:rsidR="00212358">
        <w:t>Contamine</w:t>
      </w:r>
      <w:proofErr w:type="spellEnd"/>
      <w:r w:rsidR="00212358">
        <w:t xml:space="preserve">, ‘Peasant Hearth to Papal Palace: The Fourteenth and Fifteenth Centuries’, in Georges </w:t>
      </w:r>
      <w:proofErr w:type="spellStart"/>
      <w:r w:rsidR="00212358">
        <w:t>Duby</w:t>
      </w:r>
      <w:proofErr w:type="spellEnd"/>
      <w:r w:rsidR="00212358">
        <w:t xml:space="preserve">, ed., </w:t>
      </w:r>
      <w:r w:rsidR="00212358" w:rsidRPr="00212358">
        <w:rPr>
          <w:i/>
        </w:rPr>
        <w:t>A History of Private Life: Revelations of the Medieval World</w:t>
      </w:r>
      <w:r w:rsidR="00212358">
        <w:t xml:space="preserve"> (Cambridge, Mass., 1988), 462-3</w:t>
      </w:r>
      <w:r w:rsidR="00B015DE">
        <w:t xml:space="preserve">; </w:t>
      </w:r>
      <w:r w:rsidR="00EC54AE">
        <w:t>Julie de Groot, ‘At Home in Renaissance Bruges: Material and Domestic Culture in a City in Decline, 1438-1600’ (PhD thesis, University of Antwerp, 2017). Shops and workshops tended not be associated with living accommodation in late medieval Florence</w:t>
      </w:r>
      <w:r w:rsidR="00212358">
        <w:t xml:space="preserve"> or</w:t>
      </w:r>
      <w:r w:rsidR="008A3387">
        <w:t xml:space="preserve"> Genoa</w:t>
      </w:r>
      <w:r w:rsidR="00EC54AE">
        <w:t xml:space="preserve">: </w:t>
      </w:r>
      <w:r w:rsidR="008A3387">
        <w:t xml:space="preserve">Sandra </w:t>
      </w:r>
      <w:proofErr w:type="spellStart"/>
      <w:r w:rsidR="008A3387">
        <w:t>Cavallo</w:t>
      </w:r>
      <w:proofErr w:type="spellEnd"/>
      <w:r w:rsidR="008A3387">
        <w:t xml:space="preserve">, ‘The artisan’s </w:t>
      </w:r>
      <w:r w:rsidR="008A3387" w:rsidRPr="008A3387">
        <w:rPr>
          <w:i/>
        </w:rPr>
        <w:t>casa</w:t>
      </w:r>
      <w:r w:rsidR="008A3387">
        <w:t xml:space="preserve">’, in Marta </w:t>
      </w:r>
      <w:proofErr w:type="spellStart"/>
      <w:r w:rsidR="008A3387">
        <w:t>Ajmar-Wollheim</w:t>
      </w:r>
      <w:proofErr w:type="spellEnd"/>
      <w:r w:rsidR="008A3387">
        <w:t xml:space="preserve"> and Flora Dennis, </w:t>
      </w:r>
      <w:proofErr w:type="spellStart"/>
      <w:r w:rsidR="008A3387">
        <w:t>eds</w:t>
      </w:r>
      <w:proofErr w:type="spellEnd"/>
      <w:r w:rsidR="008A3387">
        <w:t xml:space="preserve">, </w:t>
      </w:r>
      <w:r w:rsidR="008A3387" w:rsidRPr="00B015DE">
        <w:rPr>
          <w:i/>
        </w:rPr>
        <w:t>At Home in Renaissance Italy</w:t>
      </w:r>
      <w:r w:rsidR="008A3387">
        <w:t xml:space="preserve"> (London, 2006),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FFB"/>
    <w:multiLevelType w:val="multilevel"/>
    <w:tmpl w:val="DC7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y Goldberg">
    <w15:presenceInfo w15:providerId="Windows Live" w15:userId="480d90cb3c5b2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75"/>
    <w:rsid w:val="00001C41"/>
    <w:rsid w:val="00005A2F"/>
    <w:rsid w:val="000163BE"/>
    <w:rsid w:val="00023D28"/>
    <w:rsid w:val="00025D4E"/>
    <w:rsid w:val="00030462"/>
    <w:rsid w:val="00030C53"/>
    <w:rsid w:val="000335C3"/>
    <w:rsid w:val="00034143"/>
    <w:rsid w:val="000342E7"/>
    <w:rsid w:val="0003499D"/>
    <w:rsid w:val="00036D2D"/>
    <w:rsid w:val="00042DD5"/>
    <w:rsid w:val="00044654"/>
    <w:rsid w:val="00044F6F"/>
    <w:rsid w:val="0004637C"/>
    <w:rsid w:val="00046F84"/>
    <w:rsid w:val="00047E70"/>
    <w:rsid w:val="00050538"/>
    <w:rsid w:val="00052FBD"/>
    <w:rsid w:val="00055C87"/>
    <w:rsid w:val="00063541"/>
    <w:rsid w:val="00063E2B"/>
    <w:rsid w:val="00065C0C"/>
    <w:rsid w:val="0007772B"/>
    <w:rsid w:val="00080F95"/>
    <w:rsid w:val="000900B7"/>
    <w:rsid w:val="00091C1A"/>
    <w:rsid w:val="00094433"/>
    <w:rsid w:val="00094B79"/>
    <w:rsid w:val="000A72B8"/>
    <w:rsid w:val="000B0CB2"/>
    <w:rsid w:val="000B51D8"/>
    <w:rsid w:val="000C6E3D"/>
    <w:rsid w:val="000D3EAD"/>
    <w:rsid w:val="000D3EE1"/>
    <w:rsid w:val="000D7FBF"/>
    <w:rsid w:val="000E198E"/>
    <w:rsid w:val="000E609B"/>
    <w:rsid w:val="000E6405"/>
    <w:rsid w:val="000F177D"/>
    <w:rsid w:val="000F43CE"/>
    <w:rsid w:val="000F60B9"/>
    <w:rsid w:val="000F70F0"/>
    <w:rsid w:val="0010236A"/>
    <w:rsid w:val="00102C7F"/>
    <w:rsid w:val="001045F1"/>
    <w:rsid w:val="0010666B"/>
    <w:rsid w:val="0011026F"/>
    <w:rsid w:val="00110F6C"/>
    <w:rsid w:val="00111D6D"/>
    <w:rsid w:val="00111FEB"/>
    <w:rsid w:val="001131FC"/>
    <w:rsid w:val="00115217"/>
    <w:rsid w:val="00121AB3"/>
    <w:rsid w:val="00122E16"/>
    <w:rsid w:val="00124307"/>
    <w:rsid w:val="00127729"/>
    <w:rsid w:val="001304EF"/>
    <w:rsid w:val="00134B8B"/>
    <w:rsid w:val="001356DF"/>
    <w:rsid w:val="00136631"/>
    <w:rsid w:val="00142384"/>
    <w:rsid w:val="001423B1"/>
    <w:rsid w:val="00145A37"/>
    <w:rsid w:val="00145E1C"/>
    <w:rsid w:val="0014763A"/>
    <w:rsid w:val="001511F2"/>
    <w:rsid w:val="00154907"/>
    <w:rsid w:val="001562AB"/>
    <w:rsid w:val="00163710"/>
    <w:rsid w:val="0016772F"/>
    <w:rsid w:val="001679DF"/>
    <w:rsid w:val="00173331"/>
    <w:rsid w:val="00176D84"/>
    <w:rsid w:val="001775E8"/>
    <w:rsid w:val="00181CD0"/>
    <w:rsid w:val="00182549"/>
    <w:rsid w:val="00194257"/>
    <w:rsid w:val="001966F2"/>
    <w:rsid w:val="001A1DEB"/>
    <w:rsid w:val="001A33EE"/>
    <w:rsid w:val="001A390A"/>
    <w:rsid w:val="001A56C3"/>
    <w:rsid w:val="001B0D65"/>
    <w:rsid w:val="001B5293"/>
    <w:rsid w:val="001C199F"/>
    <w:rsid w:val="001C33F4"/>
    <w:rsid w:val="001D278C"/>
    <w:rsid w:val="001D28BB"/>
    <w:rsid w:val="001D6862"/>
    <w:rsid w:val="001E07A8"/>
    <w:rsid w:val="001E4F5E"/>
    <w:rsid w:val="001F3127"/>
    <w:rsid w:val="001F5E4C"/>
    <w:rsid w:val="001F632C"/>
    <w:rsid w:val="001F6A14"/>
    <w:rsid w:val="001F7C33"/>
    <w:rsid w:val="00201497"/>
    <w:rsid w:val="002020E7"/>
    <w:rsid w:val="00205E3B"/>
    <w:rsid w:val="00210BD3"/>
    <w:rsid w:val="00212358"/>
    <w:rsid w:val="002139F4"/>
    <w:rsid w:val="00217084"/>
    <w:rsid w:val="00223F3A"/>
    <w:rsid w:val="00224EC0"/>
    <w:rsid w:val="002251C2"/>
    <w:rsid w:val="00226E15"/>
    <w:rsid w:val="00233B97"/>
    <w:rsid w:val="00233CE7"/>
    <w:rsid w:val="002360C1"/>
    <w:rsid w:val="00241935"/>
    <w:rsid w:val="00243E60"/>
    <w:rsid w:val="00243FAF"/>
    <w:rsid w:val="0024409B"/>
    <w:rsid w:val="002446F9"/>
    <w:rsid w:val="00244CB7"/>
    <w:rsid w:val="0025039F"/>
    <w:rsid w:val="00250F62"/>
    <w:rsid w:val="00253E65"/>
    <w:rsid w:val="002607B0"/>
    <w:rsid w:val="002638F1"/>
    <w:rsid w:val="002640E0"/>
    <w:rsid w:val="00281F38"/>
    <w:rsid w:val="00284E4E"/>
    <w:rsid w:val="00287136"/>
    <w:rsid w:val="00291CEE"/>
    <w:rsid w:val="00292A32"/>
    <w:rsid w:val="002967E1"/>
    <w:rsid w:val="002A574A"/>
    <w:rsid w:val="002B23BD"/>
    <w:rsid w:val="002B2D3E"/>
    <w:rsid w:val="002B669A"/>
    <w:rsid w:val="002B7857"/>
    <w:rsid w:val="002C2769"/>
    <w:rsid w:val="002C6560"/>
    <w:rsid w:val="002C726E"/>
    <w:rsid w:val="002D0C43"/>
    <w:rsid w:val="002D0E45"/>
    <w:rsid w:val="002D20C8"/>
    <w:rsid w:val="002E70B2"/>
    <w:rsid w:val="002E7696"/>
    <w:rsid w:val="002F1BF7"/>
    <w:rsid w:val="002F3F5E"/>
    <w:rsid w:val="002F57D5"/>
    <w:rsid w:val="002F7456"/>
    <w:rsid w:val="0030419F"/>
    <w:rsid w:val="00311FBA"/>
    <w:rsid w:val="00312BBB"/>
    <w:rsid w:val="00313512"/>
    <w:rsid w:val="00315A97"/>
    <w:rsid w:val="00321023"/>
    <w:rsid w:val="00332145"/>
    <w:rsid w:val="003349B1"/>
    <w:rsid w:val="00340D48"/>
    <w:rsid w:val="0034211A"/>
    <w:rsid w:val="00343169"/>
    <w:rsid w:val="00346854"/>
    <w:rsid w:val="00350AF6"/>
    <w:rsid w:val="00352C59"/>
    <w:rsid w:val="003532A2"/>
    <w:rsid w:val="00357C10"/>
    <w:rsid w:val="003606F1"/>
    <w:rsid w:val="003642D1"/>
    <w:rsid w:val="00365587"/>
    <w:rsid w:val="00365694"/>
    <w:rsid w:val="0037072F"/>
    <w:rsid w:val="00373B0B"/>
    <w:rsid w:val="00390730"/>
    <w:rsid w:val="003934C8"/>
    <w:rsid w:val="003A0351"/>
    <w:rsid w:val="003A3D29"/>
    <w:rsid w:val="003B0DD9"/>
    <w:rsid w:val="003B2394"/>
    <w:rsid w:val="003B3A55"/>
    <w:rsid w:val="003B3CB2"/>
    <w:rsid w:val="003B4005"/>
    <w:rsid w:val="003E033E"/>
    <w:rsid w:val="003E0576"/>
    <w:rsid w:val="003E4DC1"/>
    <w:rsid w:val="003E5749"/>
    <w:rsid w:val="003F373C"/>
    <w:rsid w:val="003F55DE"/>
    <w:rsid w:val="003F6C34"/>
    <w:rsid w:val="0040011B"/>
    <w:rsid w:val="0040088C"/>
    <w:rsid w:val="00402192"/>
    <w:rsid w:val="00402620"/>
    <w:rsid w:val="00414CFE"/>
    <w:rsid w:val="00436FB2"/>
    <w:rsid w:val="00437407"/>
    <w:rsid w:val="00440C7E"/>
    <w:rsid w:val="004438FF"/>
    <w:rsid w:val="00451510"/>
    <w:rsid w:val="004620BD"/>
    <w:rsid w:val="00470280"/>
    <w:rsid w:val="004759ED"/>
    <w:rsid w:val="00481742"/>
    <w:rsid w:val="004839BB"/>
    <w:rsid w:val="004845D3"/>
    <w:rsid w:val="00484DAE"/>
    <w:rsid w:val="00491101"/>
    <w:rsid w:val="00492505"/>
    <w:rsid w:val="004935FE"/>
    <w:rsid w:val="00494356"/>
    <w:rsid w:val="00494A5F"/>
    <w:rsid w:val="0049666A"/>
    <w:rsid w:val="004A0E38"/>
    <w:rsid w:val="004A3A55"/>
    <w:rsid w:val="004B1A52"/>
    <w:rsid w:val="004B3CCF"/>
    <w:rsid w:val="004B724C"/>
    <w:rsid w:val="004B728E"/>
    <w:rsid w:val="004C60F9"/>
    <w:rsid w:val="004C6BFC"/>
    <w:rsid w:val="004C7B1E"/>
    <w:rsid w:val="004D2D09"/>
    <w:rsid w:val="004D7EB4"/>
    <w:rsid w:val="004E2779"/>
    <w:rsid w:val="004E31F2"/>
    <w:rsid w:val="004E48BE"/>
    <w:rsid w:val="004F1F01"/>
    <w:rsid w:val="004F367B"/>
    <w:rsid w:val="004F545F"/>
    <w:rsid w:val="004F66D0"/>
    <w:rsid w:val="005009F1"/>
    <w:rsid w:val="00501077"/>
    <w:rsid w:val="00506904"/>
    <w:rsid w:val="00506A80"/>
    <w:rsid w:val="00511117"/>
    <w:rsid w:val="005142E0"/>
    <w:rsid w:val="00515420"/>
    <w:rsid w:val="005308E6"/>
    <w:rsid w:val="0055184C"/>
    <w:rsid w:val="00557BD5"/>
    <w:rsid w:val="00560170"/>
    <w:rsid w:val="00565C96"/>
    <w:rsid w:val="00586A7C"/>
    <w:rsid w:val="0058706C"/>
    <w:rsid w:val="0059422B"/>
    <w:rsid w:val="00595158"/>
    <w:rsid w:val="00595AD8"/>
    <w:rsid w:val="0059696D"/>
    <w:rsid w:val="00597D90"/>
    <w:rsid w:val="005A6711"/>
    <w:rsid w:val="005B2EDF"/>
    <w:rsid w:val="005B68AB"/>
    <w:rsid w:val="005C2F5C"/>
    <w:rsid w:val="005C36E8"/>
    <w:rsid w:val="005C63BA"/>
    <w:rsid w:val="005D0C13"/>
    <w:rsid w:val="005D1913"/>
    <w:rsid w:val="005E2F03"/>
    <w:rsid w:val="005F5F84"/>
    <w:rsid w:val="005F70B9"/>
    <w:rsid w:val="0060283C"/>
    <w:rsid w:val="0060782B"/>
    <w:rsid w:val="006104ED"/>
    <w:rsid w:val="00613FAB"/>
    <w:rsid w:val="00614879"/>
    <w:rsid w:val="00614A66"/>
    <w:rsid w:val="00616CE1"/>
    <w:rsid w:val="0062491A"/>
    <w:rsid w:val="00626D9E"/>
    <w:rsid w:val="00633B25"/>
    <w:rsid w:val="00633CC7"/>
    <w:rsid w:val="0064395A"/>
    <w:rsid w:val="00644032"/>
    <w:rsid w:val="006445F9"/>
    <w:rsid w:val="006525E7"/>
    <w:rsid w:val="006526D2"/>
    <w:rsid w:val="0065293B"/>
    <w:rsid w:val="00654324"/>
    <w:rsid w:val="00662A9B"/>
    <w:rsid w:val="006677B9"/>
    <w:rsid w:val="00672942"/>
    <w:rsid w:val="0067397B"/>
    <w:rsid w:val="00676397"/>
    <w:rsid w:val="006818DA"/>
    <w:rsid w:val="00681C78"/>
    <w:rsid w:val="00684EC9"/>
    <w:rsid w:val="00686181"/>
    <w:rsid w:val="00690727"/>
    <w:rsid w:val="00697FBA"/>
    <w:rsid w:val="006A0B69"/>
    <w:rsid w:val="006A1C5B"/>
    <w:rsid w:val="006B09A1"/>
    <w:rsid w:val="006C4DF5"/>
    <w:rsid w:val="006C7B00"/>
    <w:rsid w:val="006D1E13"/>
    <w:rsid w:val="006D2628"/>
    <w:rsid w:val="006D2B5F"/>
    <w:rsid w:val="006D2DA2"/>
    <w:rsid w:val="006D3FD3"/>
    <w:rsid w:val="006D7EC3"/>
    <w:rsid w:val="006E02D2"/>
    <w:rsid w:val="006E0AE8"/>
    <w:rsid w:val="006E53BF"/>
    <w:rsid w:val="006E6671"/>
    <w:rsid w:val="006E7E48"/>
    <w:rsid w:val="006F73E6"/>
    <w:rsid w:val="00700448"/>
    <w:rsid w:val="00705D5A"/>
    <w:rsid w:val="0070674A"/>
    <w:rsid w:val="00713A12"/>
    <w:rsid w:val="00717839"/>
    <w:rsid w:val="00727A2B"/>
    <w:rsid w:val="00734594"/>
    <w:rsid w:val="00754B2B"/>
    <w:rsid w:val="007573C2"/>
    <w:rsid w:val="00761783"/>
    <w:rsid w:val="0077123C"/>
    <w:rsid w:val="00772478"/>
    <w:rsid w:val="00772C2D"/>
    <w:rsid w:val="00775BFF"/>
    <w:rsid w:val="007777A6"/>
    <w:rsid w:val="00784062"/>
    <w:rsid w:val="00786379"/>
    <w:rsid w:val="00787A3F"/>
    <w:rsid w:val="0079191D"/>
    <w:rsid w:val="0079316D"/>
    <w:rsid w:val="00794BB3"/>
    <w:rsid w:val="007A323B"/>
    <w:rsid w:val="007A3A9F"/>
    <w:rsid w:val="007A3EF9"/>
    <w:rsid w:val="007A54FD"/>
    <w:rsid w:val="007B2131"/>
    <w:rsid w:val="007B2213"/>
    <w:rsid w:val="007B3F80"/>
    <w:rsid w:val="007B453B"/>
    <w:rsid w:val="007B4AF8"/>
    <w:rsid w:val="007B6073"/>
    <w:rsid w:val="007C17E9"/>
    <w:rsid w:val="007C30CC"/>
    <w:rsid w:val="007C3912"/>
    <w:rsid w:val="007D1AC8"/>
    <w:rsid w:val="007D607C"/>
    <w:rsid w:val="007E4FA7"/>
    <w:rsid w:val="007E708E"/>
    <w:rsid w:val="007F0B54"/>
    <w:rsid w:val="007F1249"/>
    <w:rsid w:val="007F554B"/>
    <w:rsid w:val="007F5C25"/>
    <w:rsid w:val="007F6CF4"/>
    <w:rsid w:val="00802519"/>
    <w:rsid w:val="008064F6"/>
    <w:rsid w:val="00807867"/>
    <w:rsid w:val="008107B8"/>
    <w:rsid w:val="0081302B"/>
    <w:rsid w:val="00813332"/>
    <w:rsid w:val="00814D68"/>
    <w:rsid w:val="0082312F"/>
    <w:rsid w:val="00826B5A"/>
    <w:rsid w:val="00826CA9"/>
    <w:rsid w:val="00827671"/>
    <w:rsid w:val="00827A1E"/>
    <w:rsid w:val="00832166"/>
    <w:rsid w:val="00833874"/>
    <w:rsid w:val="00836604"/>
    <w:rsid w:val="00841188"/>
    <w:rsid w:val="00841F0F"/>
    <w:rsid w:val="0084258B"/>
    <w:rsid w:val="008454CE"/>
    <w:rsid w:val="008460D7"/>
    <w:rsid w:val="00847ABF"/>
    <w:rsid w:val="0085167B"/>
    <w:rsid w:val="00853BAA"/>
    <w:rsid w:val="008558BC"/>
    <w:rsid w:val="008577F8"/>
    <w:rsid w:val="00861C53"/>
    <w:rsid w:val="008624CD"/>
    <w:rsid w:val="00862993"/>
    <w:rsid w:val="00870DF8"/>
    <w:rsid w:val="00872D25"/>
    <w:rsid w:val="0087309A"/>
    <w:rsid w:val="0087482D"/>
    <w:rsid w:val="00875CC7"/>
    <w:rsid w:val="00881A0F"/>
    <w:rsid w:val="008855C3"/>
    <w:rsid w:val="00886939"/>
    <w:rsid w:val="008948B2"/>
    <w:rsid w:val="008A19E5"/>
    <w:rsid w:val="008A3387"/>
    <w:rsid w:val="008A593A"/>
    <w:rsid w:val="008A7139"/>
    <w:rsid w:val="008B0745"/>
    <w:rsid w:val="008B4667"/>
    <w:rsid w:val="008B69FC"/>
    <w:rsid w:val="008C0D88"/>
    <w:rsid w:val="008C18A6"/>
    <w:rsid w:val="008C50C0"/>
    <w:rsid w:val="008C6D56"/>
    <w:rsid w:val="008D0130"/>
    <w:rsid w:val="008D1294"/>
    <w:rsid w:val="008D3194"/>
    <w:rsid w:val="008D617E"/>
    <w:rsid w:val="008E35ED"/>
    <w:rsid w:val="008E41C9"/>
    <w:rsid w:val="008E5501"/>
    <w:rsid w:val="008E6692"/>
    <w:rsid w:val="008E76DD"/>
    <w:rsid w:val="008F2A3A"/>
    <w:rsid w:val="008F3E64"/>
    <w:rsid w:val="00900A11"/>
    <w:rsid w:val="00902FBA"/>
    <w:rsid w:val="00912B30"/>
    <w:rsid w:val="009131C5"/>
    <w:rsid w:val="00914663"/>
    <w:rsid w:val="00914C13"/>
    <w:rsid w:val="0091794B"/>
    <w:rsid w:val="009252B4"/>
    <w:rsid w:val="0092648A"/>
    <w:rsid w:val="0093096F"/>
    <w:rsid w:val="00931A29"/>
    <w:rsid w:val="00932F53"/>
    <w:rsid w:val="00933EBE"/>
    <w:rsid w:val="00940E6E"/>
    <w:rsid w:val="00941F79"/>
    <w:rsid w:val="00943DC8"/>
    <w:rsid w:val="00945369"/>
    <w:rsid w:val="009456D1"/>
    <w:rsid w:val="00946355"/>
    <w:rsid w:val="00947708"/>
    <w:rsid w:val="00953B69"/>
    <w:rsid w:val="009573ED"/>
    <w:rsid w:val="00963DCB"/>
    <w:rsid w:val="00970818"/>
    <w:rsid w:val="009718FC"/>
    <w:rsid w:val="009730B9"/>
    <w:rsid w:val="00981A20"/>
    <w:rsid w:val="00981AE1"/>
    <w:rsid w:val="00983F67"/>
    <w:rsid w:val="00985A36"/>
    <w:rsid w:val="0099352B"/>
    <w:rsid w:val="00996899"/>
    <w:rsid w:val="009A2514"/>
    <w:rsid w:val="009A5225"/>
    <w:rsid w:val="009A5F4D"/>
    <w:rsid w:val="009B25F8"/>
    <w:rsid w:val="009B5464"/>
    <w:rsid w:val="009B7423"/>
    <w:rsid w:val="009C1547"/>
    <w:rsid w:val="009C30C6"/>
    <w:rsid w:val="009C3C05"/>
    <w:rsid w:val="009C60E4"/>
    <w:rsid w:val="009D48AA"/>
    <w:rsid w:val="009E169C"/>
    <w:rsid w:val="009E1997"/>
    <w:rsid w:val="009E2044"/>
    <w:rsid w:val="009E23C6"/>
    <w:rsid w:val="009E40B5"/>
    <w:rsid w:val="009E46BC"/>
    <w:rsid w:val="00A03169"/>
    <w:rsid w:val="00A0393F"/>
    <w:rsid w:val="00A05895"/>
    <w:rsid w:val="00A0795D"/>
    <w:rsid w:val="00A1747C"/>
    <w:rsid w:val="00A222FE"/>
    <w:rsid w:val="00A2716A"/>
    <w:rsid w:val="00A3547C"/>
    <w:rsid w:val="00A36FD2"/>
    <w:rsid w:val="00A46FC0"/>
    <w:rsid w:val="00A474EA"/>
    <w:rsid w:val="00A47732"/>
    <w:rsid w:val="00A478AA"/>
    <w:rsid w:val="00A50D4F"/>
    <w:rsid w:val="00A60DC4"/>
    <w:rsid w:val="00A6197B"/>
    <w:rsid w:val="00A66D95"/>
    <w:rsid w:val="00A731BE"/>
    <w:rsid w:val="00A75832"/>
    <w:rsid w:val="00A75DDC"/>
    <w:rsid w:val="00A778B2"/>
    <w:rsid w:val="00A821FC"/>
    <w:rsid w:val="00A83A17"/>
    <w:rsid w:val="00A85042"/>
    <w:rsid w:val="00A85764"/>
    <w:rsid w:val="00A8668B"/>
    <w:rsid w:val="00A91465"/>
    <w:rsid w:val="00A933B8"/>
    <w:rsid w:val="00A9398E"/>
    <w:rsid w:val="00A96EA5"/>
    <w:rsid w:val="00AA712A"/>
    <w:rsid w:val="00AB073C"/>
    <w:rsid w:val="00AB5BF2"/>
    <w:rsid w:val="00AC4FE5"/>
    <w:rsid w:val="00AC7B73"/>
    <w:rsid w:val="00AC7D2D"/>
    <w:rsid w:val="00AD4311"/>
    <w:rsid w:val="00AD4D46"/>
    <w:rsid w:val="00AD7CA9"/>
    <w:rsid w:val="00AE2A33"/>
    <w:rsid w:val="00AE66E8"/>
    <w:rsid w:val="00AF00E1"/>
    <w:rsid w:val="00AF301A"/>
    <w:rsid w:val="00AF49D8"/>
    <w:rsid w:val="00AF55D5"/>
    <w:rsid w:val="00AF5837"/>
    <w:rsid w:val="00B0033E"/>
    <w:rsid w:val="00B015DE"/>
    <w:rsid w:val="00B05A50"/>
    <w:rsid w:val="00B05CD5"/>
    <w:rsid w:val="00B066A9"/>
    <w:rsid w:val="00B079C0"/>
    <w:rsid w:val="00B1420D"/>
    <w:rsid w:val="00B162AB"/>
    <w:rsid w:val="00B16864"/>
    <w:rsid w:val="00B17D96"/>
    <w:rsid w:val="00B23A1C"/>
    <w:rsid w:val="00B30DA0"/>
    <w:rsid w:val="00B365FC"/>
    <w:rsid w:val="00B51EBC"/>
    <w:rsid w:val="00B57905"/>
    <w:rsid w:val="00B62721"/>
    <w:rsid w:val="00B64699"/>
    <w:rsid w:val="00B64846"/>
    <w:rsid w:val="00B6575D"/>
    <w:rsid w:val="00B67286"/>
    <w:rsid w:val="00B674AB"/>
    <w:rsid w:val="00B67D66"/>
    <w:rsid w:val="00B72575"/>
    <w:rsid w:val="00B73F03"/>
    <w:rsid w:val="00B75751"/>
    <w:rsid w:val="00B77DB1"/>
    <w:rsid w:val="00B80EDD"/>
    <w:rsid w:val="00B837D1"/>
    <w:rsid w:val="00B83C4B"/>
    <w:rsid w:val="00B85C7B"/>
    <w:rsid w:val="00B85DED"/>
    <w:rsid w:val="00B92620"/>
    <w:rsid w:val="00B938BD"/>
    <w:rsid w:val="00B95704"/>
    <w:rsid w:val="00BA5DAD"/>
    <w:rsid w:val="00BB1EF6"/>
    <w:rsid w:val="00BB70E9"/>
    <w:rsid w:val="00BB7641"/>
    <w:rsid w:val="00BC1ED5"/>
    <w:rsid w:val="00BC25F1"/>
    <w:rsid w:val="00BC3AE3"/>
    <w:rsid w:val="00BC4678"/>
    <w:rsid w:val="00BD19C9"/>
    <w:rsid w:val="00BD38FD"/>
    <w:rsid w:val="00BD4A7E"/>
    <w:rsid w:val="00BD5E15"/>
    <w:rsid w:val="00BE056F"/>
    <w:rsid w:val="00BE23C1"/>
    <w:rsid w:val="00BE5F48"/>
    <w:rsid w:val="00BF6742"/>
    <w:rsid w:val="00C03F06"/>
    <w:rsid w:val="00C0751C"/>
    <w:rsid w:val="00C07878"/>
    <w:rsid w:val="00C079C9"/>
    <w:rsid w:val="00C1078D"/>
    <w:rsid w:val="00C1365B"/>
    <w:rsid w:val="00C1433D"/>
    <w:rsid w:val="00C17372"/>
    <w:rsid w:val="00C277E1"/>
    <w:rsid w:val="00C324C6"/>
    <w:rsid w:val="00C429AA"/>
    <w:rsid w:val="00C43750"/>
    <w:rsid w:val="00C458A8"/>
    <w:rsid w:val="00C535C0"/>
    <w:rsid w:val="00C546AF"/>
    <w:rsid w:val="00C55CF1"/>
    <w:rsid w:val="00C579C0"/>
    <w:rsid w:val="00C62168"/>
    <w:rsid w:val="00C64FDA"/>
    <w:rsid w:val="00C66C00"/>
    <w:rsid w:val="00C72837"/>
    <w:rsid w:val="00C72BEC"/>
    <w:rsid w:val="00C75CAB"/>
    <w:rsid w:val="00C83116"/>
    <w:rsid w:val="00C842DF"/>
    <w:rsid w:val="00C85017"/>
    <w:rsid w:val="00C86B2F"/>
    <w:rsid w:val="00C86B44"/>
    <w:rsid w:val="00C90A9E"/>
    <w:rsid w:val="00C94518"/>
    <w:rsid w:val="00CA7681"/>
    <w:rsid w:val="00CB0D7E"/>
    <w:rsid w:val="00CB7DFB"/>
    <w:rsid w:val="00CB7E7F"/>
    <w:rsid w:val="00CC07C4"/>
    <w:rsid w:val="00CC1ED2"/>
    <w:rsid w:val="00CD3BB2"/>
    <w:rsid w:val="00CD70EF"/>
    <w:rsid w:val="00CD7367"/>
    <w:rsid w:val="00CE0576"/>
    <w:rsid w:val="00CE22B1"/>
    <w:rsid w:val="00CE5EBD"/>
    <w:rsid w:val="00CF202B"/>
    <w:rsid w:val="00CF2DEE"/>
    <w:rsid w:val="00CF4B9A"/>
    <w:rsid w:val="00CF6370"/>
    <w:rsid w:val="00CF7C65"/>
    <w:rsid w:val="00D01DC2"/>
    <w:rsid w:val="00D035EA"/>
    <w:rsid w:val="00D07BD4"/>
    <w:rsid w:val="00D12FB2"/>
    <w:rsid w:val="00D24DB5"/>
    <w:rsid w:val="00D26857"/>
    <w:rsid w:val="00D30456"/>
    <w:rsid w:val="00D31D8C"/>
    <w:rsid w:val="00D360C0"/>
    <w:rsid w:val="00D40C7D"/>
    <w:rsid w:val="00D4593C"/>
    <w:rsid w:val="00D56B41"/>
    <w:rsid w:val="00D57B62"/>
    <w:rsid w:val="00D60694"/>
    <w:rsid w:val="00D6549B"/>
    <w:rsid w:val="00D717F5"/>
    <w:rsid w:val="00D779E1"/>
    <w:rsid w:val="00D8329F"/>
    <w:rsid w:val="00D92060"/>
    <w:rsid w:val="00D96A4F"/>
    <w:rsid w:val="00DA15DE"/>
    <w:rsid w:val="00DA5C3E"/>
    <w:rsid w:val="00DA6141"/>
    <w:rsid w:val="00DA66B1"/>
    <w:rsid w:val="00DA74AB"/>
    <w:rsid w:val="00DB5498"/>
    <w:rsid w:val="00DB6781"/>
    <w:rsid w:val="00DB7D64"/>
    <w:rsid w:val="00DC29C9"/>
    <w:rsid w:val="00DC3D46"/>
    <w:rsid w:val="00DD0313"/>
    <w:rsid w:val="00DD1EB5"/>
    <w:rsid w:val="00DD37DA"/>
    <w:rsid w:val="00DD3ECE"/>
    <w:rsid w:val="00DD45D4"/>
    <w:rsid w:val="00DE0D57"/>
    <w:rsid w:val="00DE45A8"/>
    <w:rsid w:val="00DE6CAC"/>
    <w:rsid w:val="00DE6CD2"/>
    <w:rsid w:val="00DE7400"/>
    <w:rsid w:val="00DE78CA"/>
    <w:rsid w:val="00DF0D6D"/>
    <w:rsid w:val="00DF2581"/>
    <w:rsid w:val="00DF5A0E"/>
    <w:rsid w:val="00DF5E6D"/>
    <w:rsid w:val="00DF63AA"/>
    <w:rsid w:val="00E0140A"/>
    <w:rsid w:val="00E01745"/>
    <w:rsid w:val="00E01A9C"/>
    <w:rsid w:val="00E04F6C"/>
    <w:rsid w:val="00E055FE"/>
    <w:rsid w:val="00E13854"/>
    <w:rsid w:val="00E1567F"/>
    <w:rsid w:val="00E17A2B"/>
    <w:rsid w:val="00E2158E"/>
    <w:rsid w:val="00E26E44"/>
    <w:rsid w:val="00E272A2"/>
    <w:rsid w:val="00E3018A"/>
    <w:rsid w:val="00E30B06"/>
    <w:rsid w:val="00E32920"/>
    <w:rsid w:val="00E338D9"/>
    <w:rsid w:val="00E365EE"/>
    <w:rsid w:val="00E6210E"/>
    <w:rsid w:val="00E64C9B"/>
    <w:rsid w:val="00E6608C"/>
    <w:rsid w:val="00E73170"/>
    <w:rsid w:val="00E81411"/>
    <w:rsid w:val="00E87362"/>
    <w:rsid w:val="00E9064E"/>
    <w:rsid w:val="00E90B94"/>
    <w:rsid w:val="00E91272"/>
    <w:rsid w:val="00E95BDF"/>
    <w:rsid w:val="00E96671"/>
    <w:rsid w:val="00EA605C"/>
    <w:rsid w:val="00EA6BDB"/>
    <w:rsid w:val="00EA7846"/>
    <w:rsid w:val="00EB29EE"/>
    <w:rsid w:val="00EB336C"/>
    <w:rsid w:val="00EC2198"/>
    <w:rsid w:val="00EC2814"/>
    <w:rsid w:val="00EC54AE"/>
    <w:rsid w:val="00EC5DC6"/>
    <w:rsid w:val="00ED0024"/>
    <w:rsid w:val="00ED402E"/>
    <w:rsid w:val="00ED455F"/>
    <w:rsid w:val="00EE6834"/>
    <w:rsid w:val="00EF6139"/>
    <w:rsid w:val="00F0205B"/>
    <w:rsid w:val="00F05330"/>
    <w:rsid w:val="00F10D1A"/>
    <w:rsid w:val="00F14B1F"/>
    <w:rsid w:val="00F15E64"/>
    <w:rsid w:val="00F225C6"/>
    <w:rsid w:val="00F227FB"/>
    <w:rsid w:val="00F23FE1"/>
    <w:rsid w:val="00F325B7"/>
    <w:rsid w:val="00F369E0"/>
    <w:rsid w:val="00F36B4C"/>
    <w:rsid w:val="00F36C0E"/>
    <w:rsid w:val="00F413C5"/>
    <w:rsid w:val="00F42067"/>
    <w:rsid w:val="00F4347B"/>
    <w:rsid w:val="00F43782"/>
    <w:rsid w:val="00F50A22"/>
    <w:rsid w:val="00F511BB"/>
    <w:rsid w:val="00F52442"/>
    <w:rsid w:val="00F53E1D"/>
    <w:rsid w:val="00F56FF1"/>
    <w:rsid w:val="00F57E55"/>
    <w:rsid w:val="00F65C97"/>
    <w:rsid w:val="00F74306"/>
    <w:rsid w:val="00F7458D"/>
    <w:rsid w:val="00F746E7"/>
    <w:rsid w:val="00F75BBC"/>
    <w:rsid w:val="00F75F2B"/>
    <w:rsid w:val="00F76B66"/>
    <w:rsid w:val="00F8350E"/>
    <w:rsid w:val="00F84EDF"/>
    <w:rsid w:val="00F8598A"/>
    <w:rsid w:val="00F90D93"/>
    <w:rsid w:val="00F94C8E"/>
    <w:rsid w:val="00F9504C"/>
    <w:rsid w:val="00FA074B"/>
    <w:rsid w:val="00FA2B4F"/>
    <w:rsid w:val="00FA412B"/>
    <w:rsid w:val="00FA6A47"/>
    <w:rsid w:val="00FB05C8"/>
    <w:rsid w:val="00FB1817"/>
    <w:rsid w:val="00FC3FC9"/>
    <w:rsid w:val="00FC5290"/>
    <w:rsid w:val="00FC5762"/>
    <w:rsid w:val="00FC79CB"/>
    <w:rsid w:val="00FD425A"/>
    <w:rsid w:val="00FD44C1"/>
    <w:rsid w:val="00FD59E3"/>
    <w:rsid w:val="00FD63B3"/>
    <w:rsid w:val="00FE0052"/>
    <w:rsid w:val="00FE3CCF"/>
    <w:rsid w:val="00FE7F50"/>
    <w:rsid w:val="00FF4EA9"/>
    <w:rsid w:val="00FF64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B174F"/>
  <w15:docId w15:val="{95F29F95-D234-4655-9417-FEDF1BE3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5D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F1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F1F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6D84"/>
    <w:rPr>
      <w:sz w:val="16"/>
      <w:szCs w:val="16"/>
    </w:rPr>
  </w:style>
  <w:style w:type="paragraph" w:styleId="CommentText">
    <w:name w:val="annotation text"/>
    <w:basedOn w:val="Normal"/>
    <w:link w:val="CommentTextChar"/>
    <w:uiPriority w:val="99"/>
    <w:semiHidden/>
    <w:unhideWhenUsed/>
    <w:rsid w:val="00176D84"/>
    <w:pPr>
      <w:spacing w:line="240" w:lineRule="auto"/>
    </w:pPr>
    <w:rPr>
      <w:sz w:val="20"/>
      <w:szCs w:val="20"/>
    </w:rPr>
  </w:style>
  <w:style w:type="character" w:customStyle="1" w:styleId="CommentTextChar">
    <w:name w:val="Comment Text Char"/>
    <w:basedOn w:val="DefaultParagraphFont"/>
    <w:link w:val="CommentText"/>
    <w:uiPriority w:val="99"/>
    <w:semiHidden/>
    <w:rsid w:val="00176D84"/>
    <w:rPr>
      <w:sz w:val="20"/>
      <w:szCs w:val="20"/>
    </w:rPr>
  </w:style>
  <w:style w:type="paragraph" w:styleId="CommentSubject">
    <w:name w:val="annotation subject"/>
    <w:basedOn w:val="CommentText"/>
    <w:next w:val="CommentText"/>
    <w:link w:val="CommentSubjectChar"/>
    <w:uiPriority w:val="99"/>
    <w:semiHidden/>
    <w:unhideWhenUsed/>
    <w:rsid w:val="00176D84"/>
    <w:rPr>
      <w:b/>
      <w:bCs/>
    </w:rPr>
  </w:style>
  <w:style w:type="character" w:customStyle="1" w:styleId="CommentSubjectChar">
    <w:name w:val="Comment Subject Char"/>
    <w:basedOn w:val="CommentTextChar"/>
    <w:link w:val="CommentSubject"/>
    <w:uiPriority w:val="99"/>
    <w:semiHidden/>
    <w:rsid w:val="00176D84"/>
    <w:rPr>
      <w:b/>
      <w:bCs/>
      <w:sz w:val="20"/>
      <w:szCs w:val="20"/>
    </w:rPr>
  </w:style>
  <w:style w:type="paragraph" w:styleId="BalloonText">
    <w:name w:val="Balloon Text"/>
    <w:basedOn w:val="Normal"/>
    <w:link w:val="BalloonTextChar"/>
    <w:uiPriority w:val="99"/>
    <w:semiHidden/>
    <w:unhideWhenUsed/>
    <w:rsid w:val="00176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84"/>
    <w:rPr>
      <w:rFonts w:ascii="Segoe UI" w:hAnsi="Segoe UI" w:cs="Segoe UI"/>
      <w:sz w:val="18"/>
      <w:szCs w:val="18"/>
    </w:rPr>
  </w:style>
  <w:style w:type="character" w:customStyle="1" w:styleId="pbtext">
    <w:name w:val="pbtext"/>
    <w:basedOn w:val="DefaultParagraphFont"/>
    <w:rsid w:val="00A6197B"/>
  </w:style>
  <w:style w:type="character" w:customStyle="1" w:styleId="hilite1">
    <w:name w:val="hilite1"/>
    <w:basedOn w:val="DefaultParagraphFont"/>
    <w:rsid w:val="00A83A17"/>
  </w:style>
  <w:style w:type="paragraph" w:styleId="FootnoteText">
    <w:name w:val="footnote text"/>
    <w:basedOn w:val="Normal"/>
    <w:link w:val="FootnoteTextChar"/>
    <w:uiPriority w:val="99"/>
    <w:semiHidden/>
    <w:unhideWhenUsed/>
    <w:rsid w:val="00C83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116"/>
    <w:rPr>
      <w:sz w:val="20"/>
      <w:szCs w:val="20"/>
    </w:rPr>
  </w:style>
  <w:style w:type="character" w:styleId="FootnoteReference">
    <w:name w:val="footnote reference"/>
    <w:basedOn w:val="DefaultParagraphFont"/>
    <w:uiPriority w:val="99"/>
    <w:unhideWhenUsed/>
    <w:rsid w:val="00C83116"/>
    <w:rPr>
      <w:vertAlign w:val="superscript"/>
    </w:rPr>
  </w:style>
  <w:style w:type="character" w:styleId="Strong">
    <w:name w:val="Strong"/>
    <w:basedOn w:val="DefaultParagraphFont"/>
    <w:uiPriority w:val="22"/>
    <w:qFormat/>
    <w:rsid w:val="008A19E5"/>
    <w:rPr>
      <w:b/>
      <w:bCs/>
    </w:rPr>
  </w:style>
  <w:style w:type="character" w:customStyle="1" w:styleId="Heading1Char">
    <w:name w:val="Heading 1 Char"/>
    <w:basedOn w:val="DefaultParagraphFont"/>
    <w:link w:val="Heading1"/>
    <w:uiPriority w:val="9"/>
    <w:rsid w:val="00025D4E"/>
    <w:rPr>
      <w:rFonts w:ascii="Times New Roman" w:eastAsia="Times New Roman" w:hAnsi="Times New Roman" w:cs="Times New Roman"/>
      <w:b/>
      <w:bCs/>
      <w:kern w:val="36"/>
      <w:sz w:val="48"/>
      <w:szCs w:val="48"/>
      <w:lang w:eastAsia="en-GB"/>
    </w:rPr>
  </w:style>
  <w:style w:type="character" w:customStyle="1" w:styleId="hwsect">
    <w:name w:val="hwsect"/>
    <w:basedOn w:val="DefaultParagraphFont"/>
    <w:rsid w:val="00025D4E"/>
  </w:style>
  <w:style w:type="character" w:customStyle="1" w:styleId="hw">
    <w:name w:val="hw"/>
    <w:basedOn w:val="DefaultParagraphFont"/>
    <w:rsid w:val="00025D4E"/>
  </w:style>
  <w:style w:type="character" w:customStyle="1" w:styleId="ps">
    <w:name w:val="ps"/>
    <w:basedOn w:val="DefaultParagraphFont"/>
    <w:rsid w:val="00025D4E"/>
  </w:style>
  <w:style w:type="paragraph" w:styleId="Header">
    <w:name w:val="header"/>
    <w:basedOn w:val="Normal"/>
    <w:link w:val="HeaderChar"/>
    <w:uiPriority w:val="99"/>
    <w:unhideWhenUsed/>
    <w:rsid w:val="007F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25"/>
  </w:style>
  <w:style w:type="paragraph" w:styleId="Footer">
    <w:name w:val="footer"/>
    <w:basedOn w:val="Normal"/>
    <w:link w:val="FooterChar"/>
    <w:uiPriority w:val="99"/>
    <w:unhideWhenUsed/>
    <w:rsid w:val="007F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25"/>
  </w:style>
  <w:style w:type="paragraph" w:styleId="NoSpacing">
    <w:name w:val="No Spacing"/>
    <w:uiPriority w:val="1"/>
    <w:qFormat/>
    <w:rsid w:val="00CA7681"/>
    <w:pPr>
      <w:spacing w:after="0" w:line="240" w:lineRule="auto"/>
    </w:pPr>
  </w:style>
  <w:style w:type="character" w:styleId="Hyperlink">
    <w:name w:val="Hyperlink"/>
    <w:basedOn w:val="DefaultParagraphFont"/>
    <w:uiPriority w:val="99"/>
    <w:unhideWhenUsed/>
    <w:rsid w:val="00321023"/>
    <w:rPr>
      <w:color w:val="0000FF"/>
      <w:u w:val="single"/>
    </w:rPr>
  </w:style>
  <w:style w:type="character" w:customStyle="1" w:styleId="fn">
    <w:name w:val="fn"/>
    <w:basedOn w:val="DefaultParagraphFont"/>
    <w:rsid w:val="001775E8"/>
  </w:style>
  <w:style w:type="character" w:customStyle="1" w:styleId="Subtitle1">
    <w:name w:val="Subtitle1"/>
    <w:basedOn w:val="DefaultParagraphFont"/>
    <w:rsid w:val="001775E8"/>
  </w:style>
  <w:style w:type="character" w:customStyle="1" w:styleId="Heading2Char">
    <w:name w:val="Heading 2 Char"/>
    <w:basedOn w:val="DefaultParagraphFont"/>
    <w:link w:val="Heading2"/>
    <w:uiPriority w:val="9"/>
    <w:semiHidden/>
    <w:rsid w:val="004F1F0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F1F01"/>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8855C3"/>
    <w:rPr>
      <w:b/>
      <w:bCs/>
      <w:i w:val="0"/>
      <w:iCs w:val="0"/>
    </w:rPr>
  </w:style>
  <w:style w:type="character" w:customStyle="1" w:styleId="st1">
    <w:name w:val="st1"/>
    <w:basedOn w:val="DefaultParagraphFont"/>
    <w:rsid w:val="0088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546">
      <w:bodyDiv w:val="1"/>
      <w:marLeft w:val="0"/>
      <w:marRight w:val="0"/>
      <w:marTop w:val="0"/>
      <w:marBottom w:val="0"/>
      <w:divBdr>
        <w:top w:val="none" w:sz="0" w:space="0" w:color="auto"/>
        <w:left w:val="none" w:sz="0" w:space="0" w:color="auto"/>
        <w:bottom w:val="none" w:sz="0" w:space="0" w:color="auto"/>
        <w:right w:val="none" w:sz="0" w:space="0" w:color="auto"/>
      </w:divBdr>
    </w:div>
    <w:div w:id="613560935">
      <w:bodyDiv w:val="1"/>
      <w:marLeft w:val="0"/>
      <w:marRight w:val="0"/>
      <w:marTop w:val="0"/>
      <w:marBottom w:val="0"/>
      <w:divBdr>
        <w:top w:val="none" w:sz="0" w:space="0" w:color="auto"/>
        <w:left w:val="none" w:sz="0" w:space="0" w:color="auto"/>
        <w:bottom w:val="none" w:sz="0" w:space="0" w:color="auto"/>
        <w:right w:val="none" w:sz="0" w:space="0" w:color="auto"/>
      </w:divBdr>
    </w:div>
    <w:div w:id="693506810">
      <w:bodyDiv w:val="1"/>
      <w:marLeft w:val="0"/>
      <w:marRight w:val="0"/>
      <w:marTop w:val="0"/>
      <w:marBottom w:val="0"/>
      <w:divBdr>
        <w:top w:val="none" w:sz="0" w:space="0" w:color="auto"/>
        <w:left w:val="none" w:sz="0" w:space="0" w:color="auto"/>
        <w:bottom w:val="none" w:sz="0" w:space="0" w:color="auto"/>
        <w:right w:val="none" w:sz="0" w:space="0" w:color="auto"/>
      </w:divBdr>
    </w:div>
    <w:div w:id="878399818">
      <w:bodyDiv w:val="1"/>
      <w:marLeft w:val="0"/>
      <w:marRight w:val="0"/>
      <w:marTop w:val="0"/>
      <w:marBottom w:val="0"/>
      <w:divBdr>
        <w:top w:val="none" w:sz="0" w:space="0" w:color="auto"/>
        <w:left w:val="none" w:sz="0" w:space="0" w:color="auto"/>
        <w:bottom w:val="none" w:sz="0" w:space="0" w:color="auto"/>
        <w:right w:val="none" w:sz="0" w:space="0" w:color="auto"/>
      </w:divBdr>
    </w:div>
    <w:div w:id="1025717974">
      <w:bodyDiv w:val="1"/>
      <w:marLeft w:val="0"/>
      <w:marRight w:val="0"/>
      <w:marTop w:val="0"/>
      <w:marBottom w:val="0"/>
      <w:divBdr>
        <w:top w:val="none" w:sz="0" w:space="0" w:color="auto"/>
        <w:left w:val="none" w:sz="0" w:space="0" w:color="auto"/>
        <w:bottom w:val="none" w:sz="0" w:space="0" w:color="auto"/>
        <w:right w:val="none" w:sz="0" w:space="0" w:color="auto"/>
      </w:divBdr>
      <w:divsChild>
        <w:div w:id="1900749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839176">
              <w:marLeft w:val="0"/>
              <w:marRight w:val="0"/>
              <w:marTop w:val="0"/>
              <w:marBottom w:val="0"/>
              <w:divBdr>
                <w:top w:val="none" w:sz="0" w:space="0" w:color="auto"/>
                <w:left w:val="none" w:sz="0" w:space="0" w:color="auto"/>
                <w:bottom w:val="none" w:sz="0" w:space="0" w:color="auto"/>
                <w:right w:val="none" w:sz="0" w:space="0" w:color="auto"/>
              </w:divBdr>
              <w:divsChild>
                <w:div w:id="1379672493">
                  <w:marLeft w:val="0"/>
                  <w:marRight w:val="0"/>
                  <w:marTop w:val="0"/>
                  <w:marBottom w:val="0"/>
                  <w:divBdr>
                    <w:top w:val="none" w:sz="0" w:space="0" w:color="auto"/>
                    <w:left w:val="none" w:sz="0" w:space="0" w:color="auto"/>
                    <w:bottom w:val="none" w:sz="0" w:space="0" w:color="auto"/>
                    <w:right w:val="none" w:sz="0" w:space="0" w:color="auto"/>
                  </w:divBdr>
                  <w:divsChild>
                    <w:div w:id="5143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7146">
      <w:bodyDiv w:val="1"/>
      <w:marLeft w:val="0"/>
      <w:marRight w:val="0"/>
      <w:marTop w:val="0"/>
      <w:marBottom w:val="0"/>
      <w:divBdr>
        <w:top w:val="none" w:sz="0" w:space="0" w:color="auto"/>
        <w:left w:val="none" w:sz="0" w:space="0" w:color="auto"/>
        <w:bottom w:val="none" w:sz="0" w:space="0" w:color="auto"/>
        <w:right w:val="none" w:sz="0" w:space="0" w:color="auto"/>
      </w:divBdr>
    </w:div>
    <w:div w:id="1684699298">
      <w:bodyDiv w:val="1"/>
      <w:marLeft w:val="0"/>
      <w:marRight w:val="0"/>
      <w:marTop w:val="0"/>
      <w:marBottom w:val="0"/>
      <w:divBdr>
        <w:top w:val="none" w:sz="0" w:space="0" w:color="auto"/>
        <w:left w:val="none" w:sz="0" w:space="0" w:color="auto"/>
        <w:bottom w:val="none" w:sz="0" w:space="0" w:color="auto"/>
        <w:right w:val="none" w:sz="0" w:space="0" w:color="auto"/>
      </w:divBdr>
    </w:div>
    <w:div w:id="18200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pload.wikimedia.org/wikipedia/commons/8/80/Lady_Row%2C_Goodramgate_-_geograph.org.uk_-_676090.jpg" TargetMode="External"/><Relationship Id="rId2" Type="http://schemas.openxmlformats.org/officeDocument/2006/relationships/image" Target="media/image1.jpeg"/><Relationship Id="rId1" Type="http://schemas.openxmlformats.org/officeDocument/2006/relationships/hyperlink" Target="https://upload.wikimedia.org/wikipedia/commons/1/13/Water_Street%2C_Lavenham-geograph-1846448.jpg" TargetMode="External"/><Relationship Id="rId4" Type="http://schemas.openxmlformats.org/officeDocument/2006/relationships/image" Target="media/image2.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21142784/Desperately_Seeking_the_Single_Man_in_Later_Medieval_England" TargetMode="External"/><Relationship Id="rId2" Type="http://schemas.openxmlformats.org/officeDocument/2006/relationships/hyperlink" Target="https://www.routledge.com/products/search?author=Julie%20Hotchin" TargetMode="External"/><Relationship Id="rId1" Type="http://schemas.openxmlformats.org/officeDocument/2006/relationships/hyperlink" Target="https://www.routledge.com/products/search?author=Tania%20M.%20Colwel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F92518-1F64-4BE8-9313-EDB6070ACAAA}" type="doc">
      <dgm:prSet loTypeId="urn:microsoft.com/office/officeart/2005/8/layout/venn1" loCatId="relationship" qsTypeId="urn:microsoft.com/office/officeart/2005/8/quickstyle/simple3" qsCatId="simple" csTypeId="urn:microsoft.com/office/officeart/2005/8/colors/accent1_2" csCatId="accent1" phldr="1"/>
      <dgm:spPr/>
    </dgm:pt>
    <dgm:pt modelId="{C81E1AFF-6D08-4791-AD45-8047D7BD7383}">
      <dgm:prSet phldrT="[Text]" custT="1"/>
      <dgm:spPr/>
      <dgm:t>
        <a:bodyPr/>
        <a:lstStyle/>
        <a:p>
          <a:endParaRPr lang="en-GB" sz="1600"/>
        </a:p>
        <a:p>
          <a:endParaRPr lang="en-GB" sz="1600"/>
        </a:p>
        <a:p>
          <a:endParaRPr lang="en-GB" sz="1600"/>
        </a:p>
        <a:p>
          <a:r>
            <a:rPr lang="en-GB" sz="1600" b="1"/>
            <a:t>CHAMBER</a:t>
          </a:r>
        </a:p>
        <a:p>
          <a:endParaRPr lang="en-GB" sz="1600"/>
        </a:p>
        <a:p>
          <a:r>
            <a:rPr lang="en-GB" sz="1600"/>
            <a:t>master</a:t>
          </a:r>
        </a:p>
        <a:p>
          <a:r>
            <a:rPr lang="en-GB" sz="1600"/>
            <a:t>wife</a:t>
          </a:r>
        </a:p>
      </dgm:t>
    </dgm:pt>
    <dgm:pt modelId="{4F0A6D4B-83EA-4F13-97D0-CB90E72B7204}" type="parTrans" cxnId="{20AFC485-2193-49A3-AE12-E7F30BEEFC36}">
      <dgm:prSet/>
      <dgm:spPr/>
      <dgm:t>
        <a:bodyPr/>
        <a:lstStyle/>
        <a:p>
          <a:endParaRPr lang="en-GB"/>
        </a:p>
      </dgm:t>
    </dgm:pt>
    <dgm:pt modelId="{271D719D-E151-4EEA-BCE3-ED7866174F0C}" type="sibTrans" cxnId="{20AFC485-2193-49A3-AE12-E7F30BEEFC36}">
      <dgm:prSet/>
      <dgm:spPr/>
      <dgm:t>
        <a:bodyPr/>
        <a:lstStyle/>
        <a:p>
          <a:endParaRPr lang="en-GB"/>
        </a:p>
      </dgm:t>
    </dgm:pt>
    <dgm:pt modelId="{5152395A-47C6-4414-BB1D-53D5487E9D5F}">
      <dgm:prSet phldrT="[Text]" custT="1"/>
      <dgm:spPr/>
      <dgm:t>
        <a:bodyPr/>
        <a:lstStyle/>
        <a:p>
          <a:r>
            <a:rPr lang="en-GB" sz="1600" b="1"/>
            <a:t>HALL</a:t>
          </a:r>
        </a:p>
        <a:p>
          <a:r>
            <a:rPr lang="en-GB" sz="1600"/>
            <a:t>     Evening</a:t>
          </a:r>
        </a:p>
        <a:p>
          <a:r>
            <a:rPr lang="en-GB" sz="1600"/>
            <a:t>    master</a:t>
          </a:r>
        </a:p>
        <a:p>
          <a:r>
            <a:rPr lang="en-GB" sz="1600"/>
            <a:t>wife</a:t>
          </a:r>
        </a:p>
        <a:p>
          <a:r>
            <a:rPr lang="en-GB" sz="1600"/>
            <a:t>    guests</a:t>
          </a:r>
        </a:p>
      </dgm:t>
    </dgm:pt>
    <dgm:pt modelId="{79B7F0F9-CDA8-45E9-9689-75924D333E7F}" type="parTrans" cxnId="{A24B23C6-2A99-4BDF-BED1-7B10EE14A531}">
      <dgm:prSet/>
      <dgm:spPr/>
      <dgm:t>
        <a:bodyPr/>
        <a:lstStyle/>
        <a:p>
          <a:endParaRPr lang="en-GB"/>
        </a:p>
      </dgm:t>
    </dgm:pt>
    <dgm:pt modelId="{C37A8F91-F952-4209-AA3C-126F2A83EDE9}" type="sibTrans" cxnId="{A24B23C6-2A99-4BDF-BED1-7B10EE14A531}">
      <dgm:prSet/>
      <dgm:spPr/>
      <dgm:t>
        <a:bodyPr/>
        <a:lstStyle/>
        <a:p>
          <a:endParaRPr lang="en-GB"/>
        </a:p>
      </dgm:t>
    </dgm:pt>
    <dgm:pt modelId="{D89CA6A0-8E9F-44A3-8D3A-59A614326612}">
      <dgm:prSet phldrT="[Text]" custT="1"/>
      <dgm:spPr/>
      <dgm:t>
        <a:bodyPr lIns="0" rIns="0"/>
        <a:lstStyle/>
        <a:p>
          <a:r>
            <a:rPr lang="en-GB" sz="1600" b="1">
              <a:ln>
                <a:noFill/>
              </a:ln>
            </a:rPr>
            <a:t>SHOP</a:t>
          </a:r>
        </a:p>
        <a:p>
          <a:r>
            <a:rPr lang="en-GB" sz="1600">
              <a:ln>
                <a:noFill/>
              </a:ln>
            </a:rPr>
            <a:t>Evening / Night        Day</a:t>
          </a:r>
        </a:p>
        <a:p>
          <a:r>
            <a:rPr lang="en-GB" sz="1600">
              <a:ln>
                <a:noFill/>
              </a:ln>
            </a:rPr>
            <a:t>apprentice         servants</a:t>
          </a:r>
        </a:p>
        <a:p>
          <a:r>
            <a:rPr lang="en-GB" sz="1600">
              <a:ln>
                <a:noFill/>
              </a:ln>
            </a:rPr>
            <a:t>                               master</a:t>
          </a:r>
        </a:p>
        <a:p>
          <a:r>
            <a:rPr lang="en-GB" sz="1600">
              <a:ln>
                <a:noFill/>
              </a:ln>
            </a:rPr>
            <a:t>                                    wife</a:t>
          </a:r>
        </a:p>
      </dgm:t>
    </dgm:pt>
    <dgm:pt modelId="{5BB65EE6-1242-4A2E-A359-110AB3012F27}" type="parTrans" cxnId="{4C97BA8D-C4D9-4FBD-B4FF-8D094B52B6F4}">
      <dgm:prSet/>
      <dgm:spPr/>
      <dgm:t>
        <a:bodyPr/>
        <a:lstStyle/>
        <a:p>
          <a:endParaRPr lang="en-GB"/>
        </a:p>
      </dgm:t>
    </dgm:pt>
    <dgm:pt modelId="{4B8BC05B-6DFC-41C8-B588-F891D2897A3B}" type="sibTrans" cxnId="{4C97BA8D-C4D9-4FBD-B4FF-8D094B52B6F4}">
      <dgm:prSet/>
      <dgm:spPr/>
      <dgm:t>
        <a:bodyPr/>
        <a:lstStyle/>
        <a:p>
          <a:endParaRPr lang="en-GB"/>
        </a:p>
      </dgm:t>
    </dgm:pt>
    <dgm:pt modelId="{FF2A8456-B11E-45D4-9A70-13E59A6CBD42}" type="pres">
      <dgm:prSet presAssocID="{EEF92518-1F64-4BE8-9313-EDB6070ACAAA}" presName="compositeShape" presStyleCnt="0">
        <dgm:presLayoutVars>
          <dgm:chMax val="7"/>
          <dgm:dir/>
          <dgm:resizeHandles val="exact"/>
        </dgm:presLayoutVars>
      </dgm:prSet>
      <dgm:spPr/>
    </dgm:pt>
    <dgm:pt modelId="{389CAC93-DB58-4EFB-8A6E-3D444E869010}" type="pres">
      <dgm:prSet presAssocID="{C81E1AFF-6D08-4791-AD45-8047D7BD7383}" presName="circ1" presStyleLbl="vennNode1" presStyleIdx="0" presStyleCnt="3" custLinFactNeighborX="-300" custLinFactNeighborY="78911"/>
      <dgm:spPr/>
      <dgm:t>
        <a:bodyPr/>
        <a:lstStyle/>
        <a:p>
          <a:endParaRPr lang="en-GB"/>
        </a:p>
      </dgm:t>
    </dgm:pt>
    <dgm:pt modelId="{8BDAADD4-D1E2-4FA9-80BE-1A809AE9C89C}" type="pres">
      <dgm:prSet presAssocID="{C81E1AFF-6D08-4791-AD45-8047D7BD7383}" presName="circ1Tx" presStyleLbl="revTx" presStyleIdx="0" presStyleCnt="0">
        <dgm:presLayoutVars>
          <dgm:chMax val="0"/>
          <dgm:chPref val="0"/>
          <dgm:bulletEnabled val="1"/>
        </dgm:presLayoutVars>
      </dgm:prSet>
      <dgm:spPr/>
      <dgm:t>
        <a:bodyPr/>
        <a:lstStyle/>
        <a:p>
          <a:endParaRPr lang="en-GB"/>
        </a:p>
      </dgm:t>
    </dgm:pt>
    <dgm:pt modelId="{51929A8C-6150-4C5C-9250-B02843DF5189}" type="pres">
      <dgm:prSet presAssocID="{5152395A-47C6-4414-BB1D-53D5487E9D5F}" presName="circ2" presStyleLbl="vennNode1" presStyleIdx="1" presStyleCnt="3" custLinFactNeighborX="-13081" custLinFactNeighborY="-75632"/>
      <dgm:spPr/>
      <dgm:t>
        <a:bodyPr/>
        <a:lstStyle/>
        <a:p>
          <a:endParaRPr lang="en-GB"/>
        </a:p>
      </dgm:t>
    </dgm:pt>
    <dgm:pt modelId="{4103D5CE-E92D-4C17-96BB-33E4A04C357F}" type="pres">
      <dgm:prSet presAssocID="{5152395A-47C6-4414-BB1D-53D5487E9D5F}" presName="circ2Tx" presStyleLbl="revTx" presStyleIdx="0" presStyleCnt="0">
        <dgm:presLayoutVars>
          <dgm:chMax val="0"/>
          <dgm:chPref val="0"/>
          <dgm:bulletEnabled val="1"/>
        </dgm:presLayoutVars>
      </dgm:prSet>
      <dgm:spPr/>
      <dgm:t>
        <a:bodyPr/>
        <a:lstStyle/>
        <a:p>
          <a:endParaRPr lang="en-GB"/>
        </a:p>
      </dgm:t>
    </dgm:pt>
    <dgm:pt modelId="{A7842238-2E1C-42D9-9CC2-D9B0E2465A07}" type="pres">
      <dgm:prSet presAssocID="{D89CA6A0-8E9F-44A3-8D3A-59A614326612}" presName="circ3" presStyleLbl="vennNode1" presStyleIdx="2" presStyleCnt="3" custLinFactNeighborX="11276" custLinFactNeighborY="-75332"/>
      <dgm:spPr/>
      <dgm:t>
        <a:bodyPr/>
        <a:lstStyle/>
        <a:p>
          <a:endParaRPr lang="en-GB"/>
        </a:p>
      </dgm:t>
    </dgm:pt>
    <dgm:pt modelId="{08F3CFDE-DC65-485D-8416-FD0FE3919B89}" type="pres">
      <dgm:prSet presAssocID="{D89CA6A0-8E9F-44A3-8D3A-59A614326612}" presName="circ3Tx" presStyleLbl="revTx" presStyleIdx="0" presStyleCnt="0">
        <dgm:presLayoutVars>
          <dgm:chMax val="0"/>
          <dgm:chPref val="0"/>
          <dgm:bulletEnabled val="1"/>
        </dgm:presLayoutVars>
      </dgm:prSet>
      <dgm:spPr/>
      <dgm:t>
        <a:bodyPr/>
        <a:lstStyle/>
        <a:p>
          <a:endParaRPr lang="en-GB"/>
        </a:p>
      </dgm:t>
    </dgm:pt>
  </dgm:ptLst>
  <dgm:cxnLst>
    <dgm:cxn modelId="{92DB50D4-2386-4ED4-9177-B4D0E46BED7A}" type="presOf" srcId="{5152395A-47C6-4414-BB1D-53D5487E9D5F}" destId="{4103D5CE-E92D-4C17-96BB-33E4A04C357F}" srcOrd="1" destOrd="0" presId="urn:microsoft.com/office/officeart/2005/8/layout/venn1"/>
    <dgm:cxn modelId="{A24B23C6-2A99-4BDF-BED1-7B10EE14A531}" srcId="{EEF92518-1F64-4BE8-9313-EDB6070ACAAA}" destId="{5152395A-47C6-4414-BB1D-53D5487E9D5F}" srcOrd="1" destOrd="0" parTransId="{79B7F0F9-CDA8-45E9-9689-75924D333E7F}" sibTransId="{C37A8F91-F952-4209-AA3C-126F2A83EDE9}"/>
    <dgm:cxn modelId="{4C97BA8D-C4D9-4FBD-B4FF-8D094B52B6F4}" srcId="{EEF92518-1F64-4BE8-9313-EDB6070ACAAA}" destId="{D89CA6A0-8E9F-44A3-8D3A-59A614326612}" srcOrd="2" destOrd="0" parTransId="{5BB65EE6-1242-4A2E-A359-110AB3012F27}" sibTransId="{4B8BC05B-6DFC-41C8-B588-F891D2897A3B}"/>
    <dgm:cxn modelId="{3D89F1FE-5D5A-4AD4-AA96-08569D02EF2C}" type="presOf" srcId="{C81E1AFF-6D08-4791-AD45-8047D7BD7383}" destId="{389CAC93-DB58-4EFB-8A6E-3D444E869010}" srcOrd="0" destOrd="0" presId="urn:microsoft.com/office/officeart/2005/8/layout/venn1"/>
    <dgm:cxn modelId="{11415610-18A5-486E-AD8F-3AB10B5A1342}" type="presOf" srcId="{D89CA6A0-8E9F-44A3-8D3A-59A614326612}" destId="{08F3CFDE-DC65-485D-8416-FD0FE3919B89}" srcOrd="1" destOrd="0" presId="urn:microsoft.com/office/officeart/2005/8/layout/venn1"/>
    <dgm:cxn modelId="{20AFC485-2193-49A3-AE12-E7F30BEEFC36}" srcId="{EEF92518-1F64-4BE8-9313-EDB6070ACAAA}" destId="{C81E1AFF-6D08-4791-AD45-8047D7BD7383}" srcOrd="0" destOrd="0" parTransId="{4F0A6D4B-83EA-4F13-97D0-CB90E72B7204}" sibTransId="{271D719D-E151-4EEA-BCE3-ED7866174F0C}"/>
    <dgm:cxn modelId="{CE72211F-4BAD-4313-BCE2-04C79922921F}" type="presOf" srcId="{EEF92518-1F64-4BE8-9313-EDB6070ACAAA}" destId="{FF2A8456-B11E-45D4-9A70-13E59A6CBD42}" srcOrd="0" destOrd="0" presId="urn:microsoft.com/office/officeart/2005/8/layout/venn1"/>
    <dgm:cxn modelId="{2E78F27C-2675-4443-8C38-8551330935CC}" type="presOf" srcId="{D89CA6A0-8E9F-44A3-8D3A-59A614326612}" destId="{A7842238-2E1C-42D9-9CC2-D9B0E2465A07}" srcOrd="0" destOrd="0" presId="urn:microsoft.com/office/officeart/2005/8/layout/venn1"/>
    <dgm:cxn modelId="{91A3C8FE-0983-4E44-AA07-9DBB9B6B8CEA}" type="presOf" srcId="{C81E1AFF-6D08-4791-AD45-8047D7BD7383}" destId="{8BDAADD4-D1E2-4FA9-80BE-1A809AE9C89C}" srcOrd="1" destOrd="0" presId="urn:microsoft.com/office/officeart/2005/8/layout/venn1"/>
    <dgm:cxn modelId="{E8ABD09D-F879-48CF-8AA6-9B8E9274F5D6}" type="presOf" srcId="{5152395A-47C6-4414-BB1D-53D5487E9D5F}" destId="{51929A8C-6150-4C5C-9250-B02843DF5189}" srcOrd="0" destOrd="0" presId="urn:microsoft.com/office/officeart/2005/8/layout/venn1"/>
    <dgm:cxn modelId="{FA9EF94A-6FBC-425F-8277-C62D6FA30E2F}" type="presParOf" srcId="{FF2A8456-B11E-45D4-9A70-13E59A6CBD42}" destId="{389CAC93-DB58-4EFB-8A6E-3D444E869010}" srcOrd="0" destOrd="0" presId="urn:microsoft.com/office/officeart/2005/8/layout/venn1"/>
    <dgm:cxn modelId="{316F4971-2D6F-461C-B9AC-37F083ED686E}" type="presParOf" srcId="{FF2A8456-B11E-45D4-9A70-13E59A6CBD42}" destId="{8BDAADD4-D1E2-4FA9-80BE-1A809AE9C89C}" srcOrd="1" destOrd="0" presId="urn:microsoft.com/office/officeart/2005/8/layout/venn1"/>
    <dgm:cxn modelId="{AE463D7E-BE54-4B4D-842A-DCF09B2A71ED}" type="presParOf" srcId="{FF2A8456-B11E-45D4-9A70-13E59A6CBD42}" destId="{51929A8C-6150-4C5C-9250-B02843DF5189}" srcOrd="2" destOrd="0" presId="urn:microsoft.com/office/officeart/2005/8/layout/venn1"/>
    <dgm:cxn modelId="{90CF0A7C-7E8F-411B-895F-A190A98A73A5}" type="presParOf" srcId="{FF2A8456-B11E-45D4-9A70-13E59A6CBD42}" destId="{4103D5CE-E92D-4C17-96BB-33E4A04C357F}" srcOrd="3" destOrd="0" presId="urn:microsoft.com/office/officeart/2005/8/layout/venn1"/>
    <dgm:cxn modelId="{A669FFDB-57FA-4D4B-985C-97B08EA52DE0}" type="presParOf" srcId="{FF2A8456-B11E-45D4-9A70-13E59A6CBD42}" destId="{A7842238-2E1C-42D9-9CC2-D9B0E2465A07}" srcOrd="4" destOrd="0" presId="urn:microsoft.com/office/officeart/2005/8/layout/venn1"/>
    <dgm:cxn modelId="{B0920E32-9EC3-40A0-8642-BE2474217AD0}" type="presParOf" srcId="{FF2A8456-B11E-45D4-9A70-13E59A6CBD42}" destId="{08F3CFDE-DC65-485D-8416-FD0FE3919B89}"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CAC93-DB58-4EFB-8A6E-3D444E869010}">
      <dsp:nvSpPr>
        <dsp:cNvPr id="0" name=""/>
        <dsp:cNvSpPr/>
      </dsp:nvSpPr>
      <dsp:spPr>
        <a:xfrm>
          <a:off x="1195644" y="3184550"/>
          <a:ext cx="3341344" cy="3341344"/>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p>
        <a:p>
          <a:pPr lvl="0" algn="ctr" defTabSz="711200">
            <a:lnSpc>
              <a:spcPct val="90000"/>
            </a:lnSpc>
            <a:spcBef>
              <a:spcPct val="0"/>
            </a:spcBef>
            <a:spcAft>
              <a:spcPct val="35000"/>
            </a:spcAft>
          </a:pPr>
          <a:endParaRPr lang="en-GB" sz="1600" kern="1200"/>
        </a:p>
        <a:p>
          <a:pPr lvl="0" algn="ctr" defTabSz="711200">
            <a:lnSpc>
              <a:spcPct val="90000"/>
            </a:lnSpc>
            <a:spcBef>
              <a:spcPct val="0"/>
            </a:spcBef>
            <a:spcAft>
              <a:spcPct val="35000"/>
            </a:spcAft>
          </a:pPr>
          <a:endParaRPr lang="en-GB" sz="1600" kern="1200"/>
        </a:p>
        <a:p>
          <a:pPr lvl="0" algn="ctr" defTabSz="711200">
            <a:lnSpc>
              <a:spcPct val="90000"/>
            </a:lnSpc>
            <a:spcBef>
              <a:spcPct val="0"/>
            </a:spcBef>
            <a:spcAft>
              <a:spcPct val="35000"/>
            </a:spcAft>
          </a:pPr>
          <a:r>
            <a:rPr lang="en-GB" sz="1600" b="1" kern="1200"/>
            <a:t>CHAMBER</a:t>
          </a:r>
        </a:p>
        <a:p>
          <a:pPr lvl="0" algn="ctr" defTabSz="711200">
            <a:lnSpc>
              <a:spcPct val="90000"/>
            </a:lnSpc>
            <a:spcBef>
              <a:spcPct val="0"/>
            </a:spcBef>
            <a:spcAft>
              <a:spcPct val="35000"/>
            </a:spcAft>
          </a:pPr>
          <a:endParaRPr lang="en-GB" sz="1600" kern="1200"/>
        </a:p>
        <a:p>
          <a:pPr lvl="0" algn="ctr" defTabSz="711200">
            <a:lnSpc>
              <a:spcPct val="90000"/>
            </a:lnSpc>
            <a:spcBef>
              <a:spcPct val="0"/>
            </a:spcBef>
            <a:spcAft>
              <a:spcPct val="35000"/>
            </a:spcAft>
          </a:pPr>
          <a:r>
            <a:rPr lang="en-GB" sz="1600" kern="1200"/>
            <a:t>master</a:t>
          </a:r>
        </a:p>
        <a:p>
          <a:pPr lvl="0" algn="ctr" defTabSz="711200">
            <a:lnSpc>
              <a:spcPct val="90000"/>
            </a:lnSpc>
            <a:spcBef>
              <a:spcPct val="0"/>
            </a:spcBef>
            <a:spcAft>
              <a:spcPct val="35000"/>
            </a:spcAft>
          </a:pPr>
          <a:r>
            <a:rPr lang="en-GB" sz="1600" kern="1200"/>
            <a:t>wife</a:t>
          </a:r>
        </a:p>
      </dsp:txBody>
      <dsp:txXfrm>
        <a:off x="1641157" y="3769285"/>
        <a:ext cx="2450319" cy="1503605"/>
      </dsp:txXfrm>
    </dsp:sp>
    <dsp:sp modelId="{51929A8C-6150-4C5C-9250-B02843DF5189}">
      <dsp:nvSpPr>
        <dsp:cNvPr id="0" name=""/>
        <dsp:cNvSpPr/>
      </dsp:nvSpPr>
      <dsp:spPr>
        <a:xfrm>
          <a:off x="1974255" y="109319"/>
          <a:ext cx="3341344" cy="3341344"/>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GB" sz="1600" b="1" kern="1200"/>
            <a:t>HALL</a:t>
          </a:r>
        </a:p>
        <a:p>
          <a:pPr lvl="0" algn="ctr" defTabSz="711200">
            <a:lnSpc>
              <a:spcPct val="90000"/>
            </a:lnSpc>
            <a:spcBef>
              <a:spcPct val="0"/>
            </a:spcBef>
            <a:spcAft>
              <a:spcPct val="35000"/>
            </a:spcAft>
          </a:pPr>
          <a:r>
            <a:rPr lang="en-GB" sz="1600" kern="1200"/>
            <a:t>     Evening</a:t>
          </a:r>
        </a:p>
        <a:p>
          <a:pPr lvl="0" algn="ctr" defTabSz="711200">
            <a:lnSpc>
              <a:spcPct val="90000"/>
            </a:lnSpc>
            <a:spcBef>
              <a:spcPct val="0"/>
            </a:spcBef>
            <a:spcAft>
              <a:spcPct val="35000"/>
            </a:spcAft>
          </a:pPr>
          <a:r>
            <a:rPr lang="en-GB" sz="1600" kern="1200"/>
            <a:t>    master</a:t>
          </a:r>
        </a:p>
        <a:p>
          <a:pPr lvl="0" algn="ctr" defTabSz="711200">
            <a:lnSpc>
              <a:spcPct val="90000"/>
            </a:lnSpc>
            <a:spcBef>
              <a:spcPct val="0"/>
            </a:spcBef>
            <a:spcAft>
              <a:spcPct val="35000"/>
            </a:spcAft>
          </a:pPr>
          <a:r>
            <a:rPr lang="en-GB" sz="1600" kern="1200"/>
            <a:t>wife</a:t>
          </a:r>
        </a:p>
        <a:p>
          <a:pPr lvl="0" algn="ctr" defTabSz="711200">
            <a:lnSpc>
              <a:spcPct val="90000"/>
            </a:lnSpc>
            <a:spcBef>
              <a:spcPct val="0"/>
            </a:spcBef>
            <a:spcAft>
              <a:spcPct val="35000"/>
            </a:spcAft>
          </a:pPr>
          <a:r>
            <a:rPr lang="en-GB" sz="1600" kern="1200"/>
            <a:t>    guests</a:t>
          </a:r>
        </a:p>
      </dsp:txBody>
      <dsp:txXfrm>
        <a:off x="2996150" y="972500"/>
        <a:ext cx="2004806" cy="1837739"/>
      </dsp:txXfrm>
    </dsp:sp>
    <dsp:sp modelId="{A7842238-2E1C-42D9-9CC2-D9B0E2465A07}">
      <dsp:nvSpPr>
        <dsp:cNvPr id="0" name=""/>
        <dsp:cNvSpPr/>
      </dsp:nvSpPr>
      <dsp:spPr>
        <a:xfrm>
          <a:off x="376770" y="119343"/>
          <a:ext cx="3341344" cy="3341344"/>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GB" sz="1600" b="1" kern="1200">
              <a:ln>
                <a:noFill/>
              </a:ln>
            </a:rPr>
            <a:t>SHOP</a:t>
          </a:r>
        </a:p>
        <a:p>
          <a:pPr lvl="0" algn="ctr" defTabSz="711200">
            <a:lnSpc>
              <a:spcPct val="90000"/>
            </a:lnSpc>
            <a:spcBef>
              <a:spcPct val="0"/>
            </a:spcBef>
            <a:spcAft>
              <a:spcPct val="35000"/>
            </a:spcAft>
          </a:pPr>
          <a:r>
            <a:rPr lang="en-GB" sz="1600" kern="1200">
              <a:ln>
                <a:noFill/>
              </a:ln>
            </a:rPr>
            <a:t>Evening / Night        Day</a:t>
          </a:r>
        </a:p>
        <a:p>
          <a:pPr lvl="0" algn="ctr" defTabSz="711200">
            <a:lnSpc>
              <a:spcPct val="90000"/>
            </a:lnSpc>
            <a:spcBef>
              <a:spcPct val="0"/>
            </a:spcBef>
            <a:spcAft>
              <a:spcPct val="35000"/>
            </a:spcAft>
          </a:pPr>
          <a:r>
            <a:rPr lang="en-GB" sz="1600" kern="1200">
              <a:ln>
                <a:noFill/>
              </a:ln>
            </a:rPr>
            <a:t>apprentice         servants</a:t>
          </a:r>
        </a:p>
        <a:p>
          <a:pPr lvl="0" algn="ctr" defTabSz="711200">
            <a:lnSpc>
              <a:spcPct val="90000"/>
            </a:lnSpc>
            <a:spcBef>
              <a:spcPct val="0"/>
            </a:spcBef>
            <a:spcAft>
              <a:spcPct val="35000"/>
            </a:spcAft>
          </a:pPr>
          <a:r>
            <a:rPr lang="en-GB" sz="1600" kern="1200">
              <a:ln>
                <a:noFill/>
              </a:ln>
            </a:rPr>
            <a:t>                               master</a:t>
          </a:r>
        </a:p>
        <a:p>
          <a:pPr lvl="0" algn="ctr" defTabSz="711200">
            <a:lnSpc>
              <a:spcPct val="90000"/>
            </a:lnSpc>
            <a:spcBef>
              <a:spcPct val="0"/>
            </a:spcBef>
            <a:spcAft>
              <a:spcPct val="35000"/>
            </a:spcAft>
          </a:pPr>
          <a:r>
            <a:rPr lang="en-GB" sz="1600" kern="1200">
              <a:ln>
                <a:noFill/>
              </a:ln>
            </a:rPr>
            <a:t>                                    wife</a:t>
          </a:r>
        </a:p>
      </dsp:txBody>
      <dsp:txXfrm>
        <a:off x="691413" y="982524"/>
        <a:ext cx="2004806" cy="183773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5FF2-432D-48E3-9594-6C9C96F4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7629</Words>
  <Characters>43488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Goldberg</dc:creator>
  <cp:keywords/>
  <dc:description/>
  <cp:lastModifiedBy>Jeremy Goldberg</cp:lastModifiedBy>
  <cp:revision>2</cp:revision>
  <dcterms:created xsi:type="dcterms:W3CDTF">2018-08-05T14:13:00Z</dcterms:created>
  <dcterms:modified xsi:type="dcterms:W3CDTF">2018-08-05T14:13:00Z</dcterms:modified>
</cp:coreProperties>
</file>