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DACA0F" w14:textId="69DDC992" w:rsidR="00DA59BE" w:rsidRDefault="000F3E1F" w:rsidP="00453751">
      <w:pPr>
        <w:spacing w:line="480" w:lineRule="auto"/>
        <w:rPr>
          <w:sz w:val="24"/>
          <w:szCs w:val="24"/>
        </w:rPr>
      </w:pPr>
      <w:r w:rsidRPr="000F3E1F">
        <w:rPr>
          <w:b/>
          <w:sz w:val="24"/>
          <w:szCs w:val="24"/>
        </w:rPr>
        <w:t>Title:</w:t>
      </w:r>
      <w:r>
        <w:rPr>
          <w:sz w:val="24"/>
          <w:szCs w:val="24"/>
        </w:rPr>
        <w:t xml:space="preserve"> Broken Childhoods: </w:t>
      </w:r>
      <w:r w:rsidR="009F1022">
        <w:rPr>
          <w:sz w:val="24"/>
          <w:szCs w:val="24"/>
        </w:rPr>
        <w:t xml:space="preserve">Rural and Urban </w:t>
      </w:r>
      <w:r w:rsidR="002A1CA3">
        <w:rPr>
          <w:sz w:val="24"/>
          <w:szCs w:val="24"/>
        </w:rPr>
        <w:t>Non-Adult</w:t>
      </w:r>
      <w:r w:rsidR="009F1022">
        <w:rPr>
          <w:sz w:val="24"/>
          <w:szCs w:val="24"/>
        </w:rPr>
        <w:t xml:space="preserve"> Health during the Industrial Revolution in Northern England</w:t>
      </w:r>
      <w:r>
        <w:rPr>
          <w:sz w:val="24"/>
          <w:szCs w:val="24"/>
        </w:rPr>
        <w:t xml:space="preserve"> (</w:t>
      </w:r>
      <w:r w:rsidR="007C11D9">
        <w:rPr>
          <w:sz w:val="24"/>
          <w:szCs w:val="24"/>
        </w:rPr>
        <w:t>Eighteenth-Nineteenth</w:t>
      </w:r>
      <w:r>
        <w:rPr>
          <w:sz w:val="24"/>
          <w:szCs w:val="24"/>
        </w:rPr>
        <w:t xml:space="preserve"> Centuries).</w:t>
      </w:r>
    </w:p>
    <w:p w14:paraId="692B295C" w14:textId="77777777" w:rsidR="000F3E1F" w:rsidRDefault="000F3E1F" w:rsidP="00453751">
      <w:pPr>
        <w:spacing w:line="480" w:lineRule="auto"/>
        <w:rPr>
          <w:sz w:val="24"/>
          <w:szCs w:val="24"/>
        </w:rPr>
      </w:pPr>
    </w:p>
    <w:p w14:paraId="6B971F70" w14:textId="2A5FDB98" w:rsidR="0053063E" w:rsidRDefault="000F3E1F" w:rsidP="00453751">
      <w:pPr>
        <w:spacing w:line="480" w:lineRule="auto"/>
        <w:rPr>
          <w:sz w:val="24"/>
          <w:szCs w:val="24"/>
          <w:vertAlign w:val="superscript"/>
        </w:rPr>
      </w:pPr>
      <w:r w:rsidRPr="000F3E1F">
        <w:rPr>
          <w:b/>
          <w:sz w:val="24"/>
          <w:szCs w:val="24"/>
        </w:rPr>
        <w:t>Authors:</w:t>
      </w:r>
      <w:r>
        <w:rPr>
          <w:sz w:val="24"/>
          <w:szCs w:val="24"/>
        </w:rPr>
        <w:t xml:space="preserve"> </w:t>
      </w:r>
      <w:r w:rsidR="0053063E">
        <w:rPr>
          <w:sz w:val="24"/>
          <w:szCs w:val="24"/>
        </w:rPr>
        <w:t>*Rebecca L. Gowland</w:t>
      </w:r>
      <w:proofErr w:type="gramStart"/>
      <w:r w:rsidR="0053063E">
        <w:rPr>
          <w:sz w:val="24"/>
          <w:szCs w:val="24"/>
          <w:vertAlign w:val="superscript"/>
        </w:rPr>
        <w:t xml:space="preserve">1  </w:t>
      </w:r>
      <w:r w:rsidR="0053063E">
        <w:rPr>
          <w:sz w:val="24"/>
          <w:szCs w:val="24"/>
        </w:rPr>
        <w:t>,</w:t>
      </w:r>
      <w:proofErr w:type="gramEnd"/>
      <w:r w:rsidR="0053063E">
        <w:rPr>
          <w:sz w:val="24"/>
          <w:szCs w:val="24"/>
        </w:rPr>
        <w:t xml:space="preserve"> </w:t>
      </w:r>
      <w:proofErr w:type="spellStart"/>
      <w:r w:rsidR="0053063E">
        <w:rPr>
          <w:sz w:val="24"/>
          <w:szCs w:val="24"/>
        </w:rPr>
        <w:t>Anwen</w:t>
      </w:r>
      <w:proofErr w:type="spellEnd"/>
      <w:r w:rsidR="0053063E">
        <w:rPr>
          <w:sz w:val="24"/>
          <w:szCs w:val="24"/>
        </w:rPr>
        <w:t xml:space="preserve"> Caffell</w:t>
      </w:r>
      <w:r w:rsidR="0053063E">
        <w:rPr>
          <w:sz w:val="24"/>
          <w:szCs w:val="24"/>
          <w:vertAlign w:val="superscript"/>
        </w:rPr>
        <w:t>1,2</w:t>
      </w:r>
      <w:r w:rsidR="0053063E">
        <w:rPr>
          <w:sz w:val="24"/>
          <w:szCs w:val="24"/>
        </w:rPr>
        <w:t xml:space="preserve"> , Sophie Newman</w:t>
      </w:r>
      <w:r w:rsidR="0053063E">
        <w:rPr>
          <w:sz w:val="24"/>
          <w:szCs w:val="24"/>
          <w:vertAlign w:val="superscript"/>
        </w:rPr>
        <w:t>1</w:t>
      </w:r>
      <w:r w:rsidR="0053063E">
        <w:rPr>
          <w:sz w:val="24"/>
          <w:szCs w:val="24"/>
        </w:rPr>
        <w:t>, Alysa Levene</w:t>
      </w:r>
      <w:r w:rsidR="0053063E">
        <w:rPr>
          <w:sz w:val="24"/>
          <w:szCs w:val="24"/>
          <w:vertAlign w:val="superscript"/>
        </w:rPr>
        <w:t>3</w:t>
      </w:r>
      <w:r w:rsidR="0053063E">
        <w:rPr>
          <w:sz w:val="24"/>
          <w:szCs w:val="24"/>
        </w:rPr>
        <w:t xml:space="preserve">, </w:t>
      </w:r>
      <w:proofErr w:type="spellStart"/>
      <w:r w:rsidR="0053063E">
        <w:rPr>
          <w:sz w:val="24"/>
          <w:szCs w:val="24"/>
        </w:rPr>
        <w:t>Malin</w:t>
      </w:r>
      <w:proofErr w:type="spellEnd"/>
      <w:r w:rsidR="0053063E">
        <w:rPr>
          <w:sz w:val="24"/>
          <w:szCs w:val="24"/>
        </w:rPr>
        <w:t xml:space="preserve"> Holst</w:t>
      </w:r>
      <w:r w:rsidR="0053063E">
        <w:rPr>
          <w:sz w:val="24"/>
          <w:szCs w:val="24"/>
          <w:vertAlign w:val="superscript"/>
        </w:rPr>
        <w:t>2,4</w:t>
      </w:r>
    </w:p>
    <w:p w14:paraId="4C24AD64" w14:textId="416D72E5" w:rsidR="0053063E" w:rsidRDefault="0053063E" w:rsidP="00453751">
      <w:pPr>
        <w:spacing w:line="480" w:lineRule="auto"/>
        <w:rPr>
          <w:sz w:val="24"/>
          <w:szCs w:val="24"/>
        </w:rPr>
      </w:pPr>
      <w:r>
        <w:rPr>
          <w:sz w:val="24"/>
          <w:szCs w:val="24"/>
          <w:vertAlign w:val="superscript"/>
        </w:rPr>
        <w:t xml:space="preserve">1 </w:t>
      </w:r>
      <w:r>
        <w:rPr>
          <w:sz w:val="24"/>
          <w:szCs w:val="24"/>
        </w:rPr>
        <w:t>Department of Archaeology, Durham University, South Road, Durham, DH1 3LE, UK</w:t>
      </w:r>
    </w:p>
    <w:p w14:paraId="2846DBDD" w14:textId="55B2CB03" w:rsidR="0053063E" w:rsidRDefault="0053063E" w:rsidP="00453751">
      <w:pPr>
        <w:spacing w:line="480" w:lineRule="auto"/>
        <w:rPr>
          <w:sz w:val="24"/>
          <w:szCs w:val="24"/>
        </w:rPr>
      </w:pPr>
      <w:r>
        <w:rPr>
          <w:sz w:val="24"/>
          <w:szCs w:val="24"/>
          <w:vertAlign w:val="superscript"/>
        </w:rPr>
        <w:t>2</w:t>
      </w:r>
      <w:r w:rsidR="000F3E1F">
        <w:rPr>
          <w:sz w:val="24"/>
          <w:szCs w:val="24"/>
        </w:rPr>
        <w:t xml:space="preserve"> York Osteoarchaeology Ltd,</w:t>
      </w:r>
      <w:r w:rsidR="000F3E1F" w:rsidRPr="000F3E1F">
        <w:rPr>
          <w:rFonts w:ascii="Arial" w:hAnsi="Arial" w:cs="Arial"/>
          <w:color w:val="222222"/>
          <w:sz w:val="20"/>
          <w:szCs w:val="20"/>
          <w:shd w:val="clear" w:color="auto" w:fill="FFFFFF"/>
        </w:rPr>
        <w:t xml:space="preserve"> </w:t>
      </w:r>
      <w:r w:rsidR="000F3E1F" w:rsidRPr="000F3E1F">
        <w:rPr>
          <w:sz w:val="24"/>
          <w:szCs w:val="24"/>
        </w:rPr>
        <w:t>75 Main St, Bishop Wilton, York</w:t>
      </w:r>
      <w:r w:rsidR="000F3E1F">
        <w:rPr>
          <w:sz w:val="24"/>
          <w:szCs w:val="24"/>
        </w:rPr>
        <w:t>,</w:t>
      </w:r>
      <w:r w:rsidR="000F3E1F" w:rsidRPr="000F3E1F">
        <w:rPr>
          <w:sz w:val="24"/>
          <w:szCs w:val="24"/>
        </w:rPr>
        <w:t xml:space="preserve"> YO42 1SR</w:t>
      </w:r>
      <w:r w:rsidR="000F3E1F">
        <w:rPr>
          <w:sz w:val="24"/>
          <w:szCs w:val="24"/>
        </w:rPr>
        <w:t>, UK</w:t>
      </w:r>
    </w:p>
    <w:p w14:paraId="2AD82AFA" w14:textId="287BE4E4" w:rsidR="0053063E" w:rsidRDefault="0053063E" w:rsidP="00453751">
      <w:pPr>
        <w:spacing w:line="480" w:lineRule="auto"/>
        <w:rPr>
          <w:sz w:val="24"/>
          <w:szCs w:val="24"/>
        </w:rPr>
      </w:pPr>
      <w:r>
        <w:rPr>
          <w:sz w:val="24"/>
          <w:szCs w:val="24"/>
          <w:vertAlign w:val="superscript"/>
        </w:rPr>
        <w:t xml:space="preserve">3 </w:t>
      </w:r>
      <w:r>
        <w:rPr>
          <w:sz w:val="24"/>
          <w:szCs w:val="24"/>
        </w:rPr>
        <w:t xml:space="preserve">Oxford Brookes University, </w:t>
      </w:r>
      <w:r w:rsidRPr="0053063E">
        <w:t>School of History, Philosophy and Culture</w:t>
      </w:r>
      <w:r>
        <w:t xml:space="preserve">, </w:t>
      </w:r>
      <w:r w:rsidRPr="0053063E">
        <w:rPr>
          <w:sz w:val="24"/>
          <w:szCs w:val="24"/>
        </w:rPr>
        <w:t>Faculty of Humanities and Social Sciences</w:t>
      </w:r>
      <w:r w:rsidR="000F3E1F">
        <w:rPr>
          <w:sz w:val="24"/>
          <w:szCs w:val="24"/>
        </w:rPr>
        <w:t xml:space="preserve">, </w:t>
      </w:r>
      <w:proofErr w:type="spellStart"/>
      <w:r w:rsidR="000F3E1F" w:rsidRPr="000F3E1F">
        <w:rPr>
          <w:sz w:val="24"/>
          <w:szCs w:val="24"/>
        </w:rPr>
        <w:t>Tonge</w:t>
      </w:r>
      <w:proofErr w:type="spellEnd"/>
      <w:r w:rsidR="000F3E1F" w:rsidRPr="000F3E1F">
        <w:rPr>
          <w:sz w:val="24"/>
          <w:szCs w:val="24"/>
        </w:rPr>
        <w:t xml:space="preserve"> Building, Oxford</w:t>
      </w:r>
      <w:r w:rsidR="000F3E1F">
        <w:rPr>
          <w:sz w:val="24"/>
          <w:szCs w:val="24"/>
        </w:rPr>
        <w:t>,</w:t>
      </w:r>
      <w:r w:rsidR="000F3E1F" w:rsidRPr="000F3E1F">
        <w:rPr>
          <w:sz w:val="24"/>
          <w:szCs w:val="24"/>
        </w:rPr>
        <w:t xml:space="preserve"> OX3 0BP</w:t>
      </w:r>
      <w:r w:rsidR="000F3E1F">
        <w:rPr>
          <w:sz w:val="24"/>
          <w:szCs w:val="24"/>
        </w:rPr>
        <w:t>, UK</w:t>
      </w:r>
    </w:p>
    <w:p w14:paraId="1BE24330" w14:textId="134E7A55" w:rsidR="0053063E" w:rsidRPr="0053063E" w:rsidRDefault="0053063E" w:rsidP="00453751">
      <w:pPr>
        <w:spacing w:line="480" w:lineRule="auto"/>
      </w:pPr>
      <w:r>
        <w:rPr>
          <w:sz w:val="24"/>
          <w:szCs w:val="24"/>
          <w:vertAlign w:val="superscript"/>
        </w:rPr>
        <w:t xml:space="preserve">4 </w:t>
      </w:r>
      <w:r>
        <w:rPr>
          <w:sz w:val="24"/>
          <w:szCs w:val="24"/>
        </w:rPr>
        <w:t xml:space="preserve">Department of Archaeology, University of York, </w:t>
      </w:r>
      <w:r w:rsidR="000F3E1F" w:rsidRPr="000F3E1F">
        <w:rPr>
          <w:sz w:val="24"/>
          <w:szCs w:val="24"/>
        </w:rPr>
        <w:t>Kings Manor and Principals House, University of York, Exhibition Square, York YO1 7EP</w:t>
      </w:r>
    </w:p>
    <w:p w14:paraId="13C5487B" w14:textId="6E33AFB6" w:rsidR="0053063E" w:rsidRDefault="000F3E1F" w:rsidP="00453751">
      <w:pPr>
        <w:spacing w:line="480" w:lineRule="auto"/>
        <w:ind w:left="360"/>
        <w:rPr>
          <w:sz w:val="24"/>
          <w:szCs w:val="24"/>
        </w:rPr>
      </w:pPr>
      <w:r>
        <w:rPr>
          <w:sz w:val="24"/>
          <w:szCs w:val="24"/>
        </w:rPr>
        <w:t>*</w:t>
      </w:r>
      <w:r w:rsidRPr="000F3E1F">
        <w:rPr>
          <w:sz w:val="24"/>
          <w:szCs w:val="24"/>
        </w:rPr>
        <w:t>Corresponding author</w:t>
      </w:r>
    </w:p>
    <w:p w14:paraId="4FE8CC48" w14:textId="3A4D03F5" w:rsidR="000F3E1F" w:rsidRDefault="000F3E1F" w:rsidP="00453751">
      <w:pPr>
        <w:spacing w:line="480" w:lineRule="auto"/>
        <w:ind w:left="360"/>
        <w:rPr>
          <w:sz w:val="24"/>
          <w:szCs w:val="24"/>
        </w:rPr>
      </w:pPr>
      <w:r>
        <w:rPr>
          <w:sz w:val="24"/>
          <w:szCs w:val="24"/>
        </w:rPr>
        <w:t xml:space="preserve">Email: </w:t>
      </w:r>
      <w:hyperlink r:id="rId6" w:history="1">
        <w:r w:rsidRPr="001E2C50">
          <w:rPr>
            <w:rStyle w:val="Hyperlink"/>
            <w:sz w:val="24"/>
            <w:szCs w:val="24"/>
          </w:rPr>
          <w:t>Rebecca.gowland@dur.ac.uk</w:t>
        </w:r>
      </w:hyperlink>
    </w:p>
    <w:p w14:paraId="64DEBD80" w14:textId="379DB182" w:rsidR="000F3E1F" w:rsidRDefault="000F3E1F" w:rsidP="00453751">
      <w:pPr>
        <w:spacing w:line="480" w:lineRule="auto"/>
        <w:ind w:left="360"/>
        <w:rPr>
          <w:sz w:val="24"/>
          <w:szCs w:val="24"/>
        </w:rPr>
      </w:pPr>
      <w:r>
        <w:rPr>
          <w:sz w:val="24"/>
          <w:szCs w:val="24"/>
        </w:rPr>
        <w:t>Tel: (+44) 191 3341110</w:t>
      </w:r>
    </w:p>
    <w:p w14:paraId="2C99C67F" w14:textId="77777777" w:rsidR="000F3E1F" w:rsidRDefault="000F3E1F" w:rsidP="00453751">
      <w:pPr>
        <w:spacing w:line="480" w:lineRule="auto"/>
        <w:rPr>
          <w:sz w:val="24"/>
          <w:szCs w:val="24"/>
        </w:rPr>
      </w:pPr>
    </w:p>
    <w:p w14:paraId="2260D140" w14:textId="77E087FE" w:rsidR="000F3E1F" w:rsidRPr="000F3E1F" w:rsidRDefault="000F3E1F" w:rsidP="00453751">
      <w:pPr>
        <w:spacing w:line="480" w:lineRule="auto"/>
        <w:rPr>
          <w:sz w:val="24"/>
          <w:szCs w:val="24"/>
        </w:rPr>
      </w:pPr>
      <w:r>
        <w:rPr>
          <w:b/>
          <w:sz w:val="24"/>
          <w:szCs w:val="24"/>
        </w:rPr>
        <w:t xml:space="preserve">Keywords: </w:t>
      </w:r>
      <w:r w:rsidR="007C11D9">
        <w:rPr>
          <w:sz w:val="24"/>
          <w:szCs w:val="24"/>
        </w:rPr>
        <w:t xml:space="preserve">child </w:t>
      </w:r>
      <w:proofErr w:type="spellStart"/>
      <w:r w:rsidR="007C11D9">
        <w:rPr>
          <w:sz w:val="24"/>
          <w:szCs w:val="24"/>
        </w:rPr>
        <w:t>labo</w:t>
      </w:r>
      <w:r>
        <w:rPr>
          <w:sz w:val="24"/>
          <w:szCs w:val="24"/>
        </w:rPr>
        <w:t>r</w:t>
      </w:r>
      <w:proofErr w:type="spellEnd"/>
      <w:r>
        <w:rPr>
          <w:sz w:val="24"/>
          <w:szCs w:val="24"/>
        </w:rPr>
        <w:t>, growth, metabolic disease</w:t>
      </w:r>
    </w:p>
    <w:p w14:paraId="08A371D4" w14:textId="7FABEF14" w:rsidR="000F3E1F" w:rsidRDefault="000F3E1F" w:rsidP="00453751">
      <w:pPr>
        <w:spacing w:line="480" w:lineRule="auto"/>
        <w:rPr>
          <w:sz w:val="24"/>
          <w:szCs w:val="24"/>
          <w:vertAlign w:val="superscript"/>
        </w:rPr>
      </w:pPr>
      <w:r>
        <w:rPr>
          <w:sz w:val="24"/>
          <w:szCs w:val="24"/>
          <w:vertAlign w:val="superscript"/>
        </w:rPr>
        <w:br w:type="page"/>
      </w:r>
    </w:p>
    <w:p w14:paraId="01FFBCD1" w14:textId="77777777" w:rsidR="0053063E" w:rsidRPr="0053063E" w:rsidRDefault="0053063E" w:rsidP="00453751">
      <w:pPr>
        <w:spacing w:line="480" w:lineRule="auto"/>
        <w:rPr>
          <w:sz w:val="24"/>
          <w:szCs w:val="24"/>
          <w:vertAlign w:val="superscript"/>
        </w:rPr>
      </w:pPr>
    </w:p>
    <w:p w14:paraId="74BF2CC7" w14:textId="78E87820" w:rsidR="00B9190C" w:rsidRDefault="000F3E1F" w:rsidP="00453751">
      <w:pPr>
        <w:spacing w:line="480" w:lineRule="auto"/>
        <w:rPr>
          <w:b/>
          <w:sz w:val="24"/>
          <w:szCs w:val="24"/>
        </w:rPr>
      </w:pPr>
      <w:r>
        <w:rPr>
          <w:b/>
          <w:sz w:val="24"/>
          <w:szCs w:val="24"/>
        </w:rPr>
        <w:t>Abstract</w:t>
      </w:r>
    </w:p>
    <w:p w14:paraId="1F014AAC" w14:textId="4FF3CCDE" w:rsidR="000F3E1F" w:rsidRPr="000F3E1F" w:rsidRDefault="000F3E1F" w:rsidP="00453751">
      <w:pPr>
        <w:spacing w:line="480" w:lineRule="auto"/>
        <w:rPr>
          <w:sz w:val="24"/>
          <w:szCs w:val="24"/>
        </w:rPr>
      </w:pPr>
      <w:r>
        <w:rPr>
          <w:sz w:val="24"/>
          <w:szCs w:val="24"/>
        </w:rPr>
        <w:t xml:space="preserve">During the </w:t>
      </w:r>
      <w:r w:rsidR="007C11D9">
        <w:rPr>
          <w:sz w:val="24"/>
          <w:szCs w:val="24"/>
        </w:rPr>
        <w:t>eighteenth</w:t>
      </w:r>
      <w:r w:rsidRPr="000F3E1F">
        <w:rPr>
          <w:sz w:val="24"/>
          <w:szCs w:val="24"/>
        </w:rPr>
        <w:t xml:space="preserve"> and </w:t>
      </w:r>
      <w:r w:rsidR="007C11D9">
        <w:rPr>
          <w:sz w:val="24"/>
          <w:szCs w:val="24"/>
        </w:rPr>
        <w:t>nineteenth</w:t>
      </w:r>
      <w:r w:rsidRPr="000F3E1F">
        <w:rPr>
          <w:sz w:val="24"/>
          <w:szCs w:val="24"/>
        </w:rPr>
        <w:t> centuries</w:t>
      </w:r>
      <w:r>
        <w:rPr>
          <w:sz w:val="24"/>
          <w:szCs w:val="24"/>
        </w:rPr>
        <w:t xml:space="preserve"> England underwent </w:t>
      </w:r>
      <w:r w:rsidR="00453751">
        <w:rPr>
          <w:sz w:val="24"/>
          <w:szCs w:val="24"/>
        </w:rPr>
        <w:t xml:space="preserve">a period of </w:t>
      </w:r>
      <w:r>
        <w:rPr>
          <w:sz w:val="24"/>
          <w:szCs w:val="24"/>
        </w:rPr>
        <w:t>rapid urbani</w:t>
      </w:r>
      <w:r w:rsidR="007C11D9">
        <w:rPr>
          <w:sz w:val="24"/>
          <w:szCs w:val="24"/>
        </w:rPr>
        <w:t>z</w:t>
      </w:r>
      <w:r>
        <w:rPr>
          <w:sz w:val="24"/>
          <w:szCs w:val="24"/>
        </w:rPr>
        <w:t>ation and industriali</w:t>
      </w:r>
      <w:r w:rsidR="007C11D9">
        <w:rPr>
          <w:sz w:val="24"/>
          <w:szCs w:val="24"/>
        </w:rPr>
        <w:t>z</w:t>
      </w:r>
      <w:r>
        <w:rPr>
          <w:sz w:val="24"/>
          <w:szCs w:val="24"/>
        </w:rPr>
        <w:t xml:space="preserve">ation. The </w:t>
      </w:r>
      <w:r w:rsidR="001942EE">
        <w:rPr>
          <w:sz w:val="24"/>
          <w:szCs w:val="24"/>
        </w:rPr>
        <w:t xml:space="preserve">detrimental </w:t>
      </w:r>
      <w:r>
        <w:rPr>
          <w:sz w:val="24"/>
          <w:szCs w:val="24"/>
        </w:rPr>
        <w:t>effects of urban living co</w:t>
      </w:r>
      <w:r w:rsidR="007C11D9">
        <w:rPr>
          <w:sz w:val="24"/>
          <w:szCs w:val="24"/>
        </w:rPr>
        <w:t xml:space="preserve">nditions and child factory </w:t>
      </w:r>
      <w:proofErr w:type="spellStart"/>
      <w:r w:rsidR="007C11D9">
        <w:rPr>
          <w:sz w:val="24"/>
          <w:szCs w:val="24"/>
        </w:rPr>
        <w:t>labo</w:t>
      </w:r>
      <w:r>
        <w:rPr>
          <w:sz w:val="24"/>
          <w:szCs w:val="24"/>
        </w:rPr>
        <w:t>r</w:t>
      </w:r>
      <w:proofErr w:type="spellEnd"/>
      <w:r>
        <w:rPr>
          <w:sz w:val="24"/>
          <w:szCs w:val="24"/>
        </w:rPr>
        <w:t xml:space="preserve"> </w:t>
      </w:r>
      <w:r w:rsidR="00E21035">
        <w:rPr>
          <w:sz w:val="24"/>
          <w:szCs w:val="24"/>
        </w:rPr>
        <w:t>on the health of children</w:t>
      </w:r>
      <w:r w:rsidR="00453751">
        <w:rPr>
          <w:sz w:val="24"/>
          <w:szCs w:val="24"/>
        </w:rPr>
        <w:t xml:space="preserve"> during this time</w:t>
      </w:r>
      <w:r w:rsidR="00E21035">
        <w:rPr>
          <w:sz w:val="24"/>
          <w:szCs w:val="24"/>
        </w:rPr>
        <w:t xml:space="preserve"> </w:t>
      </w:r>
      <w:r w:rsidR="001942EE">
        <w:rPr>
          <w:sz w:val="24"/>
          <w:szCs w:val="24"/>
        </w:rPr>
        <w:t xml:space="preserve">has been the subject of </w:t>
      </w:r>
      <w:r>
        <w:rPr>
          <w:sz w:val="24"/>
          <w:szCs w:val="24"/>
        </w:rPr>
        <w:t>considerable debate and investigation</w:t>
      </w:r>
      <w:r w:rsidR="00A670C6">
        <w:rPr>
          <w:sz w:val="24"/>
          <w:szCs w:val="24"/>
        </w:rPr>
        <w:t xml:space="preserve"> by historians</w:t>
      </w:r>
      <w:r>
        <w:rPr>
          <w:sz w:val="24"/>
          <w:szCs w:val="24"/>
        </w:rPr>
        <w:t xml:space="preserve">. It </w:t>
      </w:r>
      <w:r w:rsidR="00A670C6">
        <w:rPr>
          <w:sz w:val="24"/>
          <w:szCs w:val="24"/>
        </w:rPr>
        <w:t>is</w:t>
      </w:r>
      <w:r w:rsidR="00453751">
        <w:rPr>
          <w:sz w:val="24"/>
          <w:szCs w:val="24"/>
        </w:rPr>
        <w:t xml:space="preserve"> generally </w:t>
      </w:r>
      <w:r w:rsidR="00A670C6">
        <w:rPr>
          <w:sz w:val="24"/>
          <w:szCs w:val="24"/>
        </w:rPr>
        <w:t>understood</w:t>
      </w:r>
      <w:r w:rsidR="00453751">
        <w:rPr>
          <w:sz w:val="24"/>
          <w:szCs w:val="24"/>
        </w:rPr>
        <w:t xml:space="preserve"> </w:t>
      </w:r>
      <w:r>
        <w:rPr>
          <w:sz w:val="24"/>
          <w:szCs w:val="24"/>
        </w:rPr>
        <w:t xml:space="preserve">that </w:t>
      </w:r>
      <w:r w:rsidR="009F25F4">
        <w:rPr>
          <w:sz w:val="24"/>
          <w:szCs w:val="24"/>
        </w:rPr>
        <w:t xml:space="preserve">growing up in </w:t>
      </w:r>
      <w:r>
        <w:rPr>
          <w:sz w:val="24"/>
          <w:szCs w:val="24"/>
        </w:rPr>
        <w:t xml:space="preserve">a </w:t>
      </w:r>
      <w:r w:rsidR="001942EE">
        <w:rPr>
          <w:sz w:val="24"/>
          <w:szCs w:val="24"/>
        </w:rPr>
        <w:t>rural</w:t>
      </w:r>
      <w:r w:rsidR="009F25F4">
        <w:rPr>
          <w:sz w:val="24"/>
          <w:szCs w:val="24"/>
        </w:rPr>
        <w:t xml:space="preserve"> environment</w:t>
      </w:r>
      <w:r w:rsidR="00A670C6">
        <w:rPr>
          <w:sz w:val="24"/>
          <w:szCs w:val="24"/>
        </w:rPr>
        <w:t xml:space="preserve"> </w:t>
      </w:r>
      <w:r>
        <w:rPr>
          <w:sz w:val="24"/>
          <w:szCs w:val="24"/>
        </w:rPr>
        <w:t xml:space="preserve">was more conducive to </w:t>
      </w:r>
      <w:r w:rsidR="00E21035">
        <w:rPr>
          <w:sz w:val="24"/>
          <w:szCs w:val="24"/>
        </w:rPr>
        <w:t xml:space="preserve">healthy growth and development than </w:t>
      </w:r>
      <w:r w:rsidR="009F25F4">
        <w:rPr>
          <w:sz w:val="24"/>
          <w:szCs w:val="24"/>
        </w:rPr>
        <w:t>within an industrial town</w:t>
      </w:r>
      <w:r w:rsidR="001942EE">
        <w:rPr>
          <w:sz w:val="24"/>
          <w:szCs w:val="24"/>
        </w:rPr>
        <w:t xml:space="preserve">. This study presents the first direct comparison of the </w:t>
      </w:r>
      <w:r w:rsidRPr="000F3E1F">
        <w:rPr>
          <w:sz w:val="24"/>
          <w:szCs w:val="24"/>
        </w:rPr>
        <w:t xml:space="preserve">bioarchaeological </w:t>
      </w:r>
      <w:r w:rsidR="001942EE">
        <w:rPr>
          <w:sz w:val="24"/>
          <w:szCs w:val="24"/>
        </w:rPr>
        <w:t>evidence for non-adult health from</w:t>
      </w:r>
      <w:r w:rsidR="00937A46">
        <w:rPr>
          <w:sz w:val="24"/>
          <w:szCs w:val="24"/>
        </w:rPr>
        <w:t xml:space="preserve"> </w:t>
      </w:r>
      <w:r w:rsidR="001942EE">
        <w:rPr>
          <w:sz w:val="24"/>
          <w:szCs w:val="24"/>
        </w:rPr>
        <w:t xml:space="preserve">contemporaneous </w:t>
      </w:r>
      <w:r w:rsidRPr="000F3E1F">
        <w:rPr>
          <w:sz w:val="24"/>
          <w:szCs w:val="24"/>
        </w:rPr>
        <w:t xml:space="preserve">urban and rural </w:t>
      </w:r>
      <w:r w:rsidR="001942EE">
        <w:rPr>
          <w:sz w:val="24"/>
          <w:szCs w:val="24"/>
        </w:rPr>
        <w:t>site</w:t>
      </w:r>
      <w:r w:rsidR="00C300AD">
        <w:rPr>
          <w:sz w:val="24"/>
          <w:szCs w:val="24"/>
        </w:rPr>
        <w:t>s</w:t>
      </w:r>
      <w:r w:rsidR="001942EE">
        <w:rPr>
          <w:sz w:val="24"/>
          <w:szCs w:val="24"/>
        </w:rPr>
        <w:t xml:space="preserve"> from the </w:t>
      </w:r>
      <w:r w:rsidR="007C11D9">
        <w:rPr>
          <w:sz w:val="24"/>
          <w:szCs w:val="24"/>
        </w:rPr>
        <w:t>n</w:t>
      </w:r>
      <w:r w:rsidRPr="000F3E1F">
        <w:rPr>
          <w:sz w:val="24"/>
          <w:szCs w:val="24"/>
        </w:rPr>
        <w:t>orth of England</w:t>
      </w:r>
      <w:r w:rsidR="001942EE">
        <w:rPr>
          <w:sz w:val="24"/>
          <w:szCs w:val="24"/>
        </w:rPr>
        <w:t xml:space="preserve">. </w:t>
      </w:r>
      <w:r w:rsidR="00937A46">
        <w:rPr>
          <w:sz w:val="24"/>
          <w:szCs w:val="24"/>
        </w:rPr>
        <w:t xml:space="preserve">Rural </w:t>
      </w:r>
      <w:r w:rsidR="00095591">
        <w:rPr>
          <w:sz w:val="24"/>
          <w:szCs w:val="24"/>
        </w:rPr>
        <w:t xml:space="preserve">skeletal </w:t>
      </w:r>
      <w:r w:rsidR="00937A46">
        <w:rPr>
          <w:sz w:val="24"/>
          <w:szCs w:val="24"/>
        </w:rPr>
        <w:t xml:space="preserve">assemblages from this period are rare and most published studies are biased towards urban sites in the south of the country. </w:t>
      </w:r>
      <w:r w:rsidR="009F25F4">
        <w:rPr>
          <w:sz w:val="24"/>
          <w:szCs w:val="24"/>
        </w:rPr>
        <w:t>Contrary to expectations, r</w:t>
      </w:r>
      <w:r w:rsidR="001942EE">
        <w:rPr>
          <w:sz w:val="24"/>
          <w:szCs w:val="24"/>
        </w:rPr>
        <w:t xml:space="preserve">esults </w:t>
      </w:r>
      <w:r w:rsidR="009F25F4">
        <w:rPr>
          <w:sz w:val="24"/>
          <w:szCs w:val="24"/>
        </w:rPr>
        <w:t>revealed</w:t>
      </w:r>
      <w:r w:rsidR="001942EE">
        <w:rPr>
          <w:sz w:val="24"/>
          <w:szCs w:val="24"/>
        </w:rPr>
        <w:t xml:space="preserve"> </w:t>
      </w:r>
      <w:r w:rsidR="009F25F4">
        <w:rPr>
          <w:sz w:val="24"/>
          <w:szCs w:val="24"/>
        </w:rPr>
        <w:t>e</w:t>
      </w:r>
      <w:r w:rsidRPr="000F3E1F">
        <w:rPr>
          <w:sz w:val="24"/>
          <w:szCs w:val="24"/>
        </w:rPr>
        <w:t xml:space="preserve">qual prevalence rates of metabolic </w:t>
      </w:r>
      <w:r w:rsidR="001942EE">
        <w:rPr>
          <w:sz w:val="24"/>
          <w:szCs w:val="24"/>
        </w:rPr>
        <w:t>and dental disease</w:t>
      </w:r>
      <w:r w:rsidRPr="000F3E1F">
        <w:rPr>
          <w:sz w:val="24"/>
          <w:szCs w:val="24"/>
        </w:rPr>
        <w:t xml:space="preserve"> at both</w:t>
      </w:r>
      <w:r w:rsidR="001942EE">
        <w:rPr>
          <w:sz w:val="24"/>
          <w:szCs w:val="24"/>
        </w:rPr>
        <w:t xml:space="preserve"> sites, but skeletons from</w:t>
      </w:r>
      <w:r w:rsidRPr="000F3E1F">
        <w:rPr>
          <w:sz w:val="24"/>
          <w:szCs w:val="24"/>
        </w:rPr>
        <w:t xml:space="preserve"> the rural site </w:t>
      </w:r>
      <w:r w:rsidR="009F25F4">
        <w:rPr>
          <w:sz w:val="24"/>
          <w:szCs w:val="24"/>
        </w:rPr>
        <w:t>had</w:t>
      </w:r>
      <w:r w:rsidRPr="000F3E1F">
        <w:rPr>
          <w:sz w:val="24"/>
          <w:szCs w:val="24"/>
        </w:rPr>
        <w:t xml:space="preserve"> greater </w:t>
      </w:r>
      <w:r w:rsidR="009F25F4">
        <w:rPr>
          <w:sz w:val="24"/>
          <w:szCs w:val="24"/>
        </w:rPr>
        <w:t xml:space="preserve">evidence of </w:t>
      </w:r>
      <w:r w:rsidRPr="000F3E1F">
        <w:rPr>
          <w:sz w:val="24"/>
          <w:szCs w:val="24"/>
        </w:rPr>
        <w:t xml:space="preserve">growth disruption and respiratory disease. </w:t>
      </w:r>
      <w:r w:rsidR="00937A46">
        <w:rPr>
          <w:sz w:val="24"/>
          <w:szCs w:val="24"/>
        </w:rPr>
        <w:t xml:space="preserve">Evidence for specific infectious disease and medical care in response to trauma were also identified. </w:t>
      </w:r>
      <w:r w:rsidRPr="000F3E1F">
        <w:rPr>
          <w:sz w:val="24"/>
          <w:szCs w:val="24"/>
        </w:rPr>
        <w:t xml:space="preserve">Our </w:t>
      </w:r>
      <w:r w:rsidR="00453751">
        <w:rPr>
          <w:sz w:val="24"/>
          <w:szCs w:val="24"/>
        </w:rPr>
        <w:t>interpretations</w:t>
      </w:r>
      <w:r w:rsidRPr="000F3E1F">
        <w:rPr>
          <w:sz w:val="24"/>
          <w:szCs w:val="24"/>
        </w:rPr>
        <w:t xml:space="preserve"> of rural/urban health during this period must take into account the dire consequences of </w:t>
      </w:r>
      <w:r w:rsidR="001942EE">
        <w:rPr>
          <w:sz w:val="24"/>
          <w:szCs w:val="24"/>
        </w:rPr>
        <w:t xml:space="preserve">social inequalities and economic migration. There is a tendency for </w:t>
      </w:r>
      <w:r w:rsidR="00937A46">
        <w:rPr>
          <w:sz w:val="24"/>
          <w:szCs w:val="24"/>
        </w:rPr>
        <w:t>the latter to be</w:t>
      </w:r>
      <w:r w:rsidR="001942EE">
        <w:rPr>
          <w:sz w:val="24"/>
          <w:szCs w:val="24"/>
        </w:rPr>
        <w:t xml:space="preserve"> </w:t>
      </w:r>
      <w:r w:rsidR="00453751">
        <w:rPr>
          <w:sz w:val="24"/>
          <w:szCs w:val="24"/>
        </w:rPr>
        <w:t>characteri</w:t>
      </w:r>
      <w:r w:rsidR="007C11D9">
        <w:rPr>
          <w:sz w:val="24"/>
          <w:szCs w:val="24"/>
        </w:rPr>
        <w:t>z</w:t>
      </w:r>
      <w:r w:rsidR="00453751">
        <w:rPr>
          <w:sz w:val="24"/>
          <w:szCs w:val="24"/>
        </w:rPr>
        <w:t>ed as</w:t>
      </w:r>
      <w:r w:rsidR="001942EE">
        <w:rPr>
          <w:sz w:val="24"/>
          <w:szCs w:val="24"/>
        </w:rPr>
        <w:t xml:space="preserve"> </w:t>
      </w:r>
      <w:proofErr w:type="spellStart"/>
      <w:r w:rsidR="001942EE">
        <w:rPr>
          <w:sz w:val="24"/>
          <w:szCs w:val="24"/>
        </w:rPr>
        <w:t>uni</w:t>
      </w:r>
      <w:proofErr w:type="spellEnd"/>
      <w:r w:rsidR="001942EE">
        <w:rPr>
          <w:sz w:val="24"/>
          <w:szCs w:val="24"/>
        </w:rPr>
        <w:t xml:space="preserve">-directional </w:t>
      </w:r>
      <w:r w:rsidR="001942EE">
        <w:rPr>
          <w:rFonts w:cstheme="minorHAnsi"/>
          <w:sz w:val="24"/>
          <w:szCs w:val="24"/>
        </w:rPr>
        <w:t>‒</w:t>
      </w:r>
      <w:r w:rsidR="001942EE">
        <w:rPr>
          <w:sz w:val="24"/>
          <w:szCs w:val="24"/>
        </w:rPr>
        <w:t xml:space="preserve"> from </w:t>
      </w:r>
      <w:r w:rsidR="00453751">
        <w:rPr>
          <w:sz w:val="24"/>
          <w:szCs w:val="24"/>
        </w:rPr>
        <w:t>country</w:t>
      </w:r>
      <w:r w:rsidR="001942EE">
        <w:rPr>
          <w:sz w:val="24"/>
          <w:szCs w:val="24"/>
        </w:rPr>
        <w:t xml:space="preserve"> to </w:t>
      </w:r>
      <w:r w:rsidR="00453751">
        <w:rPr>
          <w:sz w:val="24"/>
          <w:szCs w:val="24"/>
        </w:rPr>
        <w:t>town</w:t>
      </w:r>
      <w:r w:rsidR="001942EE">
        <w:rPr>
          <w:sz w:val="24"/>
          <w:szCs w:val="24"/>
        </w:rPr>
        <w:t xml:space="preserve"> </w:t>
      </w:r>
      <w:r w:rsidR="001942EE">
        <w:rPr>
          <w:rFonts w:cstheme="minorHAnsi"/>
          <w:sz w:val="24"/>
          <w:szCs w:val="24"/>
        </w:rPr>
        <w:t>‒</w:t>
      </w:r>
      <w:r w:rsidR="001942EE">
        <w:rPr>
          <w:sz w:val="24"/>
          <w:szCs w:val="24"/>
        </w:rPr>
        <w:t xml:space="preserve"> without due consideration of rural i</w:t>
      </w:r>
      <w:r w:rsidR="00453751">
        <w:rPr>
          <w:sz w:val="24"/>
          <w:szCs w:val="24"/>
        </w:rPr>
        <w:t>ndustry</w:t>
      </w:r>
      <w:r w:rsidR="001942EE">
        <w:rPr>
          <w:sz w:val="24"/>
          <w:szCs w:val="24"/>
        </w:rPr>
        <w:t xml:space="preserve"> and child migrant workers.</w:t>
      </w:r>
    </w:p>
    <w:p w14:paraId="28239A70" w14:textId="095561BC" w:rsidR="000F3E1F" w:rsidRDefault="000F3E1F" w:rsidP="00453751">
      <w:pPr>
        <w:spacing w:line="480" w:lineRule="auto"/>
        <w:rPr>
          <w:b/>
          <w:sz w:val="24"/>
          <w:szCs w:val="24"/>
        </w:rPr>
      </w:pPr>
      <w:r>
        <w:rPr>
          <w:b/>
          <w:sz w:val="24"/>
          <w:szCs w:val="24"/>
        </w:rPr>
        <w:br w:type="page"/>
      </w:r>
    </w:p>
    <w:p w14:paraId="2B931163" w14:textId="77777777" w:rsidR="000F3E1F" w:rsidRDefault="000F3E1F" w:rsidP="00453751">
      <w:pPr>
        <w:spacing w:line="480" w:lineRule="auto"/>
        <w:rPr>
          <w:b/>
          <w:sz w:val="24"/>
          <w:szCs w:val="24"/>
        </w:rPr>
      </w:pPr>
    </w:p>
    <w:p w14:paraId="3F4A5B78" w14:textId="530DB85C" w:rsidR="003D6C1C" w:rsidRDefault="002728C8" w:rsidP="00453751">
      <w:pPr>
        <w:spacing w:before="100" w:after="100" w:line="480" w:lineRule="auto"/>
        <w:rPr>
          <w:rFonts w:cstheme="minorHAnsi"/>
          <w:sz w:val="24"/>
          <w:szCs w:val="24"/>
        </w:rPr>
      </w:pPr>
      <w:r w:rsidRPr="00126647">
        <w:rPr>
          <w:rFonts w:cs="Arial"/>
          <w:sz w:val="24"/>
          <w:szCs w:val="24"/>
        </w:rPr>
        <w:t xml:space="preserve">The </w:t>
      </w:r>
      <w:r w:rsidR="007C11D9">
        <w:rPr>
          <w:rFonts w:cs="Arial"/>
          <w:sz w:val="24"/>
          <w:szCs w:val="24"/>
        </w:rPr>
        <w:t>eighteenth</w:t>
      </w:r>
      <w:r w:rsidRPr="00126647">
        <w:rPr>
          <w:rFonts w:cs="Arial"/>
          <w:sz w:val="24"/>
          <w:szCs w:val="24"/>
        </w:rPr>
        <w:t xml:space="preserve"> and </w:t>
      </w:r>
      <w:r w:rsidR="007C11D9">
        <w:rPr>
          <w:rFonts w:cs="Arial"/>
          <w:sz w:val="24"/>
          <w:szCs w:val="24"/>
        </w:rPr>
        <w:t>nineteenth</w:t>
      </w:r>
      <w:r w:rsidRPr="00126647">
        <w:rPr>
          <w:rFonts w:cs="Arial"/>
          <w:sz w:val="24"/>
          <w:szCs w:val="24"/>
        </w:rPr>
        <w:t xml:space="preserve"> centuries in Britain </w:t>
      </w:r>
      <w:r w:rsidR="007C11D9">
        <w:rPr>
          <w:rFonts w:cs="Arial"/>
          <w:sz w:val="24"/>
          <w:szCs w:val="24"/>
        </w:rPr>
        <w:t>were</w:t>
      </w:r>
      <w:r w:rsidR="007552FF" w:rsidRPr="00126647">
        <w:rPr>
          <w:rFonts w:cs="Arial"/>
          <w:sz w:val="24"/>
          <w:szCs w:val="24"/>
        </w:rPr>
        <w:t xml:space="preserve"> a period of rapid urbanization</w:t>
      </w:r>
      <w:r w:rsidR="005B139D">
        <w:rPr>
          <w:rFonts w:cs="Arial"/>
          <w:sz w:val="24"/>
          <w:szCs w:val="24"/>
        </w:rPr>
        <w:t xml:space="preserve"> and industrializ</w:t>
      </w:r>
      <w:r w:rsidR="00E76122" w:rsidRPr="00126647">
        <w:rPr>
          <w:rFonts w:cs="Arial"/>
          <w:sz w:val="24"/>
          <w:szCs w:val="24"/>
        </w:rPr>
        <w:t>ation</w:t>
      </w:r>
      <w:r w:rsidR="005139FF">
        <w:rPr>
          <w:rFonts w:cs="Arial"/>
          <w:sz w:val="24"/>
          <w:szCs w:val="24"/>
        </w:rPr>
        <w:t xml:space="preserve">; from </w:t>
      </w:r>
      <w:r w:rsidR="007C11D9">
        <w:rPr>
          <w:rFonts w:cs="Arial"/>
          <w:sz w:val="24"/>
          <w:szCs w:val="24"/>
        </w:rPr>
        <w:t xml:space="preserve">A.D. </w:t>
      </w:r>
      <w:r w:rsidR="005139FF">
        <w:rPr>
          <w:rFonts w:cs="Arial"/>
          <w:sz w:val="24"/>
          <w:szCs w:val="24"/>
        </w:rPr>
        <w:t xml:space="preserve">1801 to 1901 </w:t>
      </w:r>
      <w:r w:rsidR="00420091" w:rsidRPr="00126647">
        <w:rPr>
          <w:rFonts w:cs="Arial"/>
          <w:sz w:val="24"/>
          <w:szCs w:val="24"/>
        </w:rPr>
        <w:t xml:space="preserve">the proportion of people living in </w:t>
      </w:r>
      <w:r w:rsidR="005B139D">
        <w:rPr>
          <w:rFonts w:cs="Arial"/>
          <w:sz w:val="24"/>
          <w:szCs w:val="24"/>
        </w:rPr>
        <w:t>towns</w:t>
      </w:r>
      <w:r w:rsidR="005139FF">
        <w:rPr>
          <w:rFonts w:cs="Arial"/>
          <w:sz w:val="24"/>
          <w:szCs w:val="24"/>
        </w:rPr>
        <w:t xml:space="preserve"> </w:t>
      </w:r>
      <w:r w:rsidR="00420091" w:rsidRPr="00126647">
        <w:rPr>
          <w:rFonts w:cs="Arial"/>
          <w:sz w:val="24"/>
          <w:szCs w:val="24"/>
        </w:rPr>
        <w:t>increased from one-fifth to four-fifths</w:t>
      </w:r>
      <w:r w:rsidR="005B139D">
        <w:rPr>
          <w:rFonts w:cs="Arial"/>
          <w:sz w:val="24"/>
          <w:szCs w:val="24"/>
        </w:rPr>
        <w:t xml:space="preserve"> (</w:t>
      </w:r>
      <w:r w:rsidR="005139FF">
        <w:rPr>
          <w:rFonts w:cs="Arial"/>
          <w:sz w:val="24"/>
          <w:szCs w:val="24"/>
        </w:rPr>
        <w:t>Wohl</w:t>
      </w:r>
      <w:r w:rsidR="00080451">
        <w:rPr>
          <w:rFonts w:cs="Arial"/>
          <w:sz w:val="24"/>
          <w:szCs w:val="24"/>
        </w:rPr>
        <w:t xml:space="preserve"> 1983</w:t>
      </w:r>
      <w:r w:rsidR="005139FF">
        <w:rPr>
          <w:rFonts w:cs="Arial"/>
          <w:sz w:val="24"/>
          <w:szCs w:val="24"/>
        </w:rPr>
        <w:t xml:space="preserve">). </w:t>
      </w:r>
      <w:r w:rsidR="00DB350A">
        <w:rPr>
          <w:rFonts w:cs="Arial"/>
          <w:sz w:val="24"/>
          <w:szCs w:val="24"/>
        </w:rPr>
        <w:t>By</w:t>
      </w:r>
      <w:r w:rsidR="00741C0C" w:rsidRPr="00741C0C">
        <w:rPr>
          <w:rFonts w:cs="Arial"/>
          <w:sz w:val="24"/>
          <w:szCs w:val="24"/>
        </w:rPr>
        <w:t xml:space="preserve"> the mid-nineteenth century, almost half of the total population of England was under 20 years of age: </w:t>
      </w:r>
      <w:r w:rsidR="007C11D9">
        <w:rPr>
          <w:rFonts w:cs="Arial"/>
          <w:sz w:val="24"/>
          <w:szCs w:val="24"/>
        </w:rPr>
        <w:t>“</w:t>
      </w:r>
      <w:r w:rsidR="00741C0C" w:rsidRPr="00741C0C">
        <w:rPr>
          <w:rFonts w:cs="Arial"/>
          <w:sz w:val="24"/>
          <w:szCs w:val="24"/>
        </w:rPr>
        <w:t xml:space="preserve">England was </w:t>
      </w:r>
      <w:r w:rsidR="009F1022">
        <w:rPr>
          <w:rFonts w:cs="Arial"/>
          <w:sz w:val="24"/>
          <w:szCs w:val="24"/>
        </w:rPr>
        <w:t>awash with children</w:t>
      </w:r>
      <w:r w:rsidR="007C11D9">
        <w:rPr>
          <w:rFonts w:cs="Arial"/>
          <w:sz w:val="24"/>
          <w:szCs w:val="24"/>
        </w:rPr>
        <w:t>”</w:t>
      </w:r>
      <w:r w:rsidR="009F1022">
        <w:rPr>
          <w:rFonts w:cs="Arial"/>
          <w:sz w:val="24"/>
          <w:szCs w:val="24"/>
        </w:rPr>
        <w:t xml:space="preserve"> (Humphries</w:t>
      </w:r>
      <w:r w:rsidR="00741C0C" w:rsidRPr="00741C0C">
        <w:rPr>
          <w:rFonts w:cs="Arial"/>
          <w:sz w:val="24"/>
          <w:szCs w:val="24"/>
        </w:rPr>
        <w:t xml:space="preserve"> </w:t>
      </w:r>
      <w:r w:rsidR="009F1022">
        <w:rPr>
          <w:rFonts w:cs="Arial"/>
          <w:sz w:val="24"/>
          <w:szCs w:val="24"/>
        </w:rPr>
        <w:t>2013:</w:t>
      </w:r>
      <w:r w:rsidR="005139FF">
        <w:rPr>
          <w:rFonts w:cs="Arial"/>
          <w:sz w:val="24"/>
          <w:szCs w:val="24"/>
        </w:rPr>
        <w:t xml:space="preserve"> </w:t>
      </w:r>
      <w:r w:rsidR="00741C0C" w:rsidRPr="00741C0C">
        <w:rPr>
          <w:rFonts w:cs="Arial"/>
          <w:sz w:val="24"/>
          <w:szCs w:val="24"/>
        </w:rPr>
        <w:t xml:space="preserve">115).  </w:t>
      </w:r>
      <w:r w:rsidR="007F5A51">
        <w:rPr>
          <w:rFonts w:cs="Arial"/>
          <w:sz w:val="24"/>
          <w:szCs w:val="24"/>
        </w:rPr>
        <w:t xml:space="preserve">Traditionally, children from </w:t>
      </w:r>
      <w:r w:rsidR="00741C0C" w:rsidRPr="00741C0C">
        <w:rPr>
          <w:rFonts w:cs="Arial"/>
          <w:sz w:val="24"/>
          <w:szCs w:val="24"/>
        </w:rPr>
        <w:t xml:space="preserve">poorer families will always </w:t>
      </w:r>
      <w:r w:rsidR="00DB350A">
        <w:rPr>
          <w:rFonts w:cs="Arial"/>
          <w:sz w:val="24"/>
          <w:szCs w:val="24"/>
        </w:rPr>
        <w:t xml:space="preserve">have </w:t>
      </w:r>
      <w:r w:rsidR="007F5A51">
        <w:rPr>
          <w:rFonts w:cs="Arial"/>
          <w:sz w:val="24"/>
          <w:szCs w:val="24"/>
        </w:rPr>
        <w:t xml:space="preserve">had to </w:t>
      </w:r>
      <w:r w:rsidR="00741C0C" w:rsidRPr="00741C0C">
        <w:rPr>
          <w:rFonts w:cs="Arial"/>
          <w:sz w:val="24"/>
          <w:szCs w:val="24"/>
        </w:rPr>
        <w:t>work, either within the domestic context</w:t>
      </w:r>
      <w:r w:rsidR="00A42CCE">
        <w:rPr>
          <w:rFonts w:cs="Arial"/>
          <w:sz w:val="24"/>
          <w:szCs w:val="24"/>
        </w:rPr>
        <w:t>,</w:t>
      </w:r>
      <w:r w:rsidR="00741C0C" w:rsidRPr="00741C0C">
        <w:rPr>
          <w:rFonts w:cs="Arial"/>
          <w:sz w:val="24"/>
          <w:szCs w:val="24"/>
        </w:rPr>
        <w:t xml:space="preserve"> or as apprentices</w:t>
      </w:r>
      <w:r w:rsidR="007C11D9">
        <w:rPr>
          <w:rFonts w:cs="Arial"/>
          <w:sz w:val="24"/>
          <w:szCs w:val="24"/>
        </w:rPr>
        <w:t xml:space="preserve"> and labo</w:t>
      </w:r>
      <w:r w:rsidR="00A42CCE">
        <w:rPr>
          <w:rFonts w:cs="Arial"/>
          <w:sz w:val="24"/>
          <w:szCs w:val="24"/>
        </w:rPr>
        <w:t>rers</w:t>
      </w:r>
      <w:r w:rsidR="00741C0C" w:rsidRPr="00741C0C">
        <w:rPr>
          <w:rFonts w:cs="Arial"/>
          <w:sz w:val="24"/>
          <w:szCs w:val="24"/>
        </w:rPr>
        <w:t>. What changed with the industrial revolution was the nature of that work</w:t>
      </w:r>
      <w:r w:rsidR="00DB350A">
        <w:rPr>
          <w:rFonts w:cs="Arial"/>
          <w:sz w:val="24"/>
          <w:szCs w:val="24"/>
        </w:rPr>
        <w:t xml:space="preserve">, with </w:t>
      </w:r>
      <w:r w:rsidR="00A42CCE">
        <w:rPr>
          <w:rFonts w:cs="Arial"/>
          <w:sz w:val="24"/>
          <w:szCs w:val="24"/>
        </w:rPr>
        <w:t>a dramatic</w:t>
      </w:r>
      <w:r w:rsidR="00DB350A">
        <w:rPr>
          <w:rFonts w:cs="Arial"/>
          <w:sz w:val="24"/>
          <w:szCs w:val="24"/>
        </w:rPr>
        <w:t xml:space="preserve"> </w:t>
      </w:r>
      <w:r w:rsidR="00A42CCE">
        <w:rPr>
          <w:rFonts w:cs="Arial"/>
          <w:sz w:val="24"/>
          <w:szCs w:val="24"/>
        </w:rPr>
        <w:t>increase in</w:t>
      </w:r>
      <w:r w:rsidR="00DB350A">
        <w:rPr>
          <w:rFonts w:cs="Arial"/>
          <w:sz w:val="24"/>
          <w:szCs w:val="24"/>
        </w:rPr>
        <w:t xml:space="preserve"> </w:t>
      </w:r>
      <w:r w:rsidR="000F243E">
        <w:rPr>
          <w:rFonts w:cs="Arial"/>
          <w:sz w:val="24"/>
          <w:szCs w:val="24"/>
        </w:rPr>
        <w:t xml:space="preserve">non-domestic </w:t>
      </w:r>
      <w:proofErr w:type="spellStart"/>
      <w:r w:rsidR="007C11D9">
        <w:rPr>
          <w:rFonts w:cs="Arial"/>
          <w:sz w:val="24"/>
          <w:szCs w:val="24"/>
        </w:rPr>
        <w:t>labo</w:t>
      </w:r>
      <w:r w:rsidR="00DB350A">
        <w:rPr>
          <w:rFonts w:cs="Arial"/>
          <w:sz w:val="24"/>
          <w:szCs w:val="24"/>
        </w:rPr>
        <w:t>r</w:t>
      </w:r>
      <w:proofErr w:type="spellEnd"/>
      <w:r w:rsidR="003D6C1C">
        <w:rPr>
          <w:rFonts w:cs="Arial"/>
          <w:sz w:val="24"/>
          <w:szCs w:val="24"/>
        </w:rPr>
        <w:t xml:space="preserve"> by women and children</w:t>
      </w:r>
      <w:r w:rsidR="00DB350A">
        <w:rPr>
          <w:rFonts w:cs="Arial"/>
          <w:sz w:val="24"/>
          <w:szCs w:val="24"/>
        </w:rPr>
        <w:t xml:space="preserve"> </w:t>
      </w:r>
      <w:r w:rsidR="00741C0C" w:rsidRPr="00741C0C">
        <w:rPr>
          <w:rFonts w:cs="Arial"/>
          <w:sz w:val="24"/>
          <w:szCs w:val="24"/>
        </w:rPr>
        <w:t xml:space="preserve">(Goose and </w:t>
      </w:r>
      <w:proofErr w:type="spellStart"/>
      <w:r w:rsidR="00741C0C" w:rsidRPr="00741C0C">
        <w:rPr>
          <w:rFonts w:cs="Arial"/>
          <w:sz w:val="24"/>
          <w:szCs w:val="24"/>
        </w:rPr>
        <w:t>Honeyman</w:t>
      </w:r>
      <w:proofErr w:type="spellEnd"/>
      <w:r w:rsidR="00741C0C" w:rsidRPr="00741C0C">
        <w:rPr>
          <w:rFonts w:cs="Arial"/>
          <w:sz w:val="24"/>
          <w:szCs w:val="24"/>
        </w:rPr>
        <w:t xml:space="preserve"> 20</w:t>
      </w:r>
      <w:r w:rsidR="005139FF">
        <w:rPr>
          <w:rFonts w:cs="Arial"/>
          <w:sz w:val="24"/>
          <w:szCs w:val="24"/>
        </w:rPr>
        <w:t>13</w:t>
      </w:r>
      <w:r w:rsidR="009F1022">
        <w:rPr>
          <w:rFonts w:cs="Arial"/>
          <w:sz w:val="24"/>
          <w:szCs w:val="24"/>
        </w:rPr>
        <w:t>:</w:t>
      </w:r>
      <w:r w:rsidR="00741C0C" w:rsidRPr="00741C0C">
        <w:rPr>
          <w:rFonts w:cs="Arial"/>
          <w:sz w:val="24"/>
          <w:szCs w:val="24"/>
        </w:rPr>
        <w:t xml:space="preserve"> </w:t>
      </w:r>
      <w:r w:rsidR="005139FF">
        <w:rPr>
          <w:rFonts w:cs="Arial"/>
          <w:sz w:val="24"/>
          <w:szCs w:val="24"/>
        </w:rPr>
        <w:t>4</w:t>
      </w:r>
      <w:r w:rsidR="00741C0C" w:rsidRPr="00741C0C">
        <w:rPr>
          <w:rFonts w:cs="Arial"/>
          <w:sz w:val="24"/>
          <w:szCs w:val="24"/>
        </w:rPr>
        <w:t>).</w:t>
      </w:r>
      <w:r w:rsidR="00741C0C">
        <w:rPr>
          <w:rFonts w:cs="Arial"/>
          <w:sz w:val="24"/>
          <w:szCs w:val="24"/>
        </w:rPr>
        <w:t xml:space="preserve"> </w:t>
      </w:r>
      <w:r w:rsidR="00BA6FA1">
        <w:rPr>
          <w:rFonts w:cs="Arial"/>
          <w:sz w:val="24"/>
          <w:szCs w:val="24"/>
        </w:rPr>
        <w:t>C</w:t>
      </w:r>
      <w:r w:rsidR="00741C0C" w:rsidRPr="00741C0C">
        <w:rPr>
          <w:rFonts w:cs="Arial"/>
          <w:sz w:val="24"/>
          <w:szCs w:val="24"/>
        </w:rPr>
        <w:t xml:space="preserve">hildren of the </w:t>
      </w:r>
      <w:r w:rsidR="00DB350A">
        <w:rPr>
          <w:rFonts w:cs="Arial"/>
          <w:sz w:val="24"/>
          <w:szCs w:val="24"/>
        </w:rPr>
        <w:t xml:space="preserve">urban </w:t>
      </w:r>
      <w:r w:rsidR="00741C0C" w:rsidRPr="00741C0C">
        <w:rPr>
          <w:rFonts w:cs="Arial"/>
          <w:sz w:val="24"/>
          <w:szCs w:val="24"/>
        </w:rPr>
        <w:t xml:space="preserve">poor in the </w:t>
      </w:r>
      <w:r w:rsidR="007C11D9">
        <w:rPr>
          <w:rFonts w:cs="Arial"/>
          <w:sz w:val="24"/>
          <w:szCs w:val="24"/>
        </w:rPr>
        <w:t>eighteenth</w:t>
      </w:r>
      <w:r w:rsidR="00BA6FA1">
        <w:rPr>
          <w:rFonts w:cs="Arial"/>
          <w:sz w:val="24"/>
          <w:szCs w:val="24"/>
        </w:rPr>
        <w:t xml:space="preserve"> and </w:t>
      </w:r>
      <w:r w:rsidR="007C11D9">
        <w:rPr>
          <w:rFonts w:cs="Arial"/>
          <w:sz w:val="24"/>
          <w:szCs w:val="24"/>
        </w:rPr>
        <w:t>nineteenth</w:t>
      </w:r>
      <w:r w:rsidR="00BA6FA1">
        <w:rPr>
          <w:rFonts w:cs="Arial"/>
          <w:sz w:val="24"/>
          <w:szCs w:val="24"/>
        </w:rPr>
        <w:t xml:space="preserve"> centuries</w:t>
      </w:r>
      <w:r w:rsidR="007C11D9">
        <w:rPr>
          <w:rFonts w:cs="Arial"/>
          <w:sz w:val="24"/>
          <w:szCs w:val="24"/>
        </w:rPr>
        <w:t xml:space="preserve"> have long been conceptualiz</w:t>
      </w:r>
      <w:r w:rsidR="00741C0C" w:rsidRPr="00741C0C">
        <w:rPr>
          <w:rFonts w:cs="Arial"/>
          <w:sz w:val="24"/>
          <w:szCs w:val="24"/>
        </w:rPr>
        <w:t>ed as the passive, exploited, victims of an insatiable industrial machine</w:t>
      </w:r>
      <w:r w:rsidR="00C15D8E">
        <w:rPr>
          <w:rFonts w:cs="Arial"/>
          <w:sz w:val="24"/>
          <w:szCs w:val="24"/>
        </w:rPr>
        <w:t xml:space="preserve">, whose </w:t>
      </w:r>
      <w:proofErr w:type="gramStart"/>
      <w:r w:rsidR="00C15D8E">
        <w:rPr>
          <w:rFonts w:cs="Arial"/>
          <w:sz w:val="24"/>
          <w:szCs w:val="24"/>
        </w:rPr>
        <w:t>wa</w:t>
      </w:r>
      <w:r w:rsidR="00C032BD">
        <w:rPr>
          <w:rFonts w:cs="Arial"/>
          <w:sz w:val="24"/>
          <w:szCs w:val="24"/>
        </w:rPr>
        <w:t>n</w:t>
      </w:r>
      <w:r w:rsidR="00C15D8E">
        <w:rPr>
          <w:rFonts w:cs="Arial"/>
          <w:sz w:val="24"/>
          <w:szCs w:val="24"/>
        </w:rPr>
        <w:t>ts</w:t>
      </w:r>
      <w:proofErr w:type="gramEnd"/>
      <w:r w:rsidR="00C15D8E">
        <w:rPr>
          <w:rFonts w:cs="Arial"/>
          <w:sz w:val="24"/>
          <w:szCs w:val="24"/>
        </w:rPr>
        <w:t xml:space="preserve"> and needs were overlooked by a </w:t>
      </w:r>
      <w:r w:rsidR="00BA6FA1" w:rsidRPr="007C11D9">
        <w:rPr>
          <w:rFonts w:cs="Arial"/>
          <w:sz w:val="24"/>
          <w:szCs w:val="24"/>
        </w:rPr>
        <w:t>laissez-faire</w:t>
      </w:r>
      <w:r w:rsidR="00BA6FA1">
        <w:rPr>
          <w:rFonts w:cs="Arial"/>
          <w:sz w:val="24"/>
          <w:szCs w:val="24"/>
        </w:rPr>
        <w:t xml:space="preserve"> </w:t>
      </w:r>
      <w:r w:rsidR="00C15D8E">
        <w:rPr>
          <w:rFonts w:cs="Arial"/>
          <w:sz w:val="24"/>
          <w:szCs w:val="24"/>
        </w:rPr>
        <w:t xml:space="preserve">society </w:t>
      </w:r>
      <w:r w:rsidR="00741C0C" w:rsidRPr="00741C0C">
        <w:rPr>
          <w:rFonts w:cs="Arial"/>
          <w:sz w:val="24"/>
          <w:szCs w:val="24"/>
        </w:rPr>
        <w:t>focussed on economy and Empire</w:t>
      </w:r>
      <w:r w:rsidR="00816B02">
        <w:rPr>
          <w:rFonts w:cs="Arial"/>
          <w:sz w:val="24"/>
          <w:szCs w:val="24"/>
        </w:rPr>
        <w:t xml:space="preserve"> (Gowland 2015b</w:t>
      </w:r>
      <w:r w:rsidR="0088109F">
        <w:rPr>
          <w:rFonts w:cs="Arial"/>
          <w:sz w:val="24"/>
          <w:szCs w:val="24"/>
        </w:rPr>
        <w:t>)</w:t>
      </w:r>
      <w:r w:rsidR="00C15D8E">
        <w:rPr>
          <w:rFonts w:cs="Arial"/>
          <w:sz w:val="24"/>
          <w:szCs w:val="24"/>
        </w:rPr>
        <w:t xml:space="preserve">. </w:t>
      </w:r>
      <w:r w:rsidR="0060232E">
        <w:rPr>
          <w:rFonts w:cs="Arial"/>
          <w:sz w:val="24"/>
          <w:szCs w:val="24"/>
        </w:rPr>
        <w:t xml:space="preserve">In a speech to the House of Lords in 1873, </w:t>
      </w:r>
      <w:r w:rsidR="003D6C1C">
        <w:rPr>
          <w:rFonts w:cs="Arial"/>
          <w:sz w:val="24"/>
          <w:szCs w:val="24"/>
        </w:rPr>
        <w:t>Lord</w:t>
      </w:r>
      <w:r w:rsidR="0060232E">
        <w:rPr>
          <w:rFonts w:cs="Arial"/>
          <w:sz w:val="24"/>
          <w:szCs w:val="24"/>
        </w:rPr>
        <w:t xml:space="preserve"> Shaftesbury famously </w:t>
      </w:r>
      <w:r w:rsidR="000F243E">
        <w:rPr>
          <w:rFonts w:cs="Arial"/>
          <w:sz w:val="24"/>
          <w:szCs w:val="24"/>
        </w:rPr>
        <w:t>described</w:t>
      </w:r>
      <w:r w:rsidR="0060232E">
        <w:rPr>
          <w:rFonts w:cs="Arial"/>
          <w:sz w:val="24"/>
          <w:szCs w:val="24"/>
        </w:rPr>
        <w:t xml:space="preserve"> </w:t>
      </w:r>
      <w:r w:rsidR="0054402E">
        <w:rPr>
          <w:rFonts w:cs="Arial"/>
          <w:sz w:val="24"/>
          <w:szCs w:val="24"/>
        </w:rPr>
        <w:t>children leaving the factory gates</w:t>
      </w:r>
      <w:r w:rsidR="007E5E01">
        <w:rPr>
          <w:rFonts w:cs="Arial"/>
          <w:sz w:val="24"/>
          <w:szCs w:val="24"/>
        </w:rPr>
        <w:t xml:space="preserve"> </w:t>
      </w:r>
      <w:r w:rsidR="007C11D9">
        <w:rPr>
          <w:rFonts w:cs="Arial"/>
          <w:sz w:val="24"/>
          <w:szCs w:val="24"/>
        </w:rPr>
        <w:t>during the earlier part of the nineteenth</w:t>
      </w:r>
      <w:r w:rsidR="007E5E01">
        <w:rPr>
          <w:rFonts w:cs="Arial"/>
          <w:sz w:val="24"/>
          <w:szCs w:val="24"/>
        </w:rPr>
        <w:t xml:space="preserve"> century</w:t>
      </w:r>
      <w:r w:rsidR="0054402E">
        <w:rPr>
          <w:rFonts w:cs="Arial"/>
          <w:sz w:val="24"/>
          <w:szCs w:val="24"/>
        </w:rPr>
        <w:t xml:space="preserve"> </w:t>
      </w:r>
      <w:r w:rsidR="000F243E">
        <w:rPr>
          <w:rFonts w:cs="Arial"/>
          <w:sz w:val="24"/>
          <w:szCs w:val="24"/>
        </w:rPr>
        <w:t>as</w:t>
      </w:r>
      <w:r w:rsidR="0060232E">
        <w:rPr>
          <w:rFonts w:cs="Arial"/>
          <w:sz w:val="24"/>
          <w:szCs w:val="24"/>
        </w:rPr>
        <w:t xml:space="preserve"> </w:t>
      </w:r>
      <w:r w:rsidR="007C11D9">
        <w:rPr>
          <w:rFonts w:cs="Arial"/>
          <w:sz w:val="24"/>
          <w:szCs w:val="24"/>
        </w:rPr>
        <w:t>“</w:t>
      </w:r>
      <w:r w:rsidR="0060232E" w:rsidRPr="009F25F4">
        <w:rPr>
          <w:rFonts w:cs="Arial"/>
          <w:sz w:val="24"/>
          <w:szCs w:val="24"/>
        </w:rPr>
        <w:t>a set of sad, dejected, cadaverous creatures… the sight was most piteous, the deformities incredible. They seemed to me, such were their crooked shapes, like a mass of crooked alphabets</w:t>
      </w:r>
      <w:r w:rsidR="007C11D9">
        <w:rPr>
          <w:rFonts w:cs="Arial"/>
          <w:sz w:val="24"/>
          <w:szCs w:val="24"/>
        </w:rPr>
        <w:t>”</w:t>
      </w:r>
      <w:r w:rsidR="0060232E">
        <w:rPr>
          <w:rFonts w:cs="Arial"/>
          <w:sz w:val="24"/>
          <w:szCs w:val="24"/>
        </w:rPr>
        <w:t xml:space="preserve">. </w:t>
      </w:r>
      <w:r w:rsidR="003D6C1C">
        <w:rPr>
          <w:rFonts w:cs="Arial"/>
          <w:sz w:val="24"/>
          <w:szCs w:val="24"/>
        </w:rPr>
        <w:t xml:space="preserve"> </w:t>
      </w:r>
      <w:r w:rsidR="00741C0C" w:rsidRPr="00741C0C">
        <w:rPr>
          <w:rFonts w:cs="Arial"/>
          <w:sz w:val="24"/>
          <w:szCs w:val="24"/>
        </w:rPr>
        <w:t xml:space="preserve">This </w:t>
      </w:r>
      <w:r w:rsidR="00080451">
        <w:rPr>
          <w:rFonts w:cs="Arial"/>
          <w:sz w:val="24"/>
          <w:szCs w:val="24"/>
        </w:rPr>
        <w:t>account is</w:t>
      </w:r>
      <w:r w:rsidR="00741C0C" w:rsidRPr="00741C0C">
        <w:rPr>
          <w:rFonts w:cs="Arial"/>
          <w:sz w:val="24"/>
          <w:szCs w:val="24"/>
        </w:rPr>
        <w:t xml:space="preserve"> borne out by</w:t>
      </w:r>
      <w:r w:rsidR="0060232E">
        <w:rPr>
          <w:rFonts w:cs="Arial"/>
          <w:sz w:val="24"/>
          <w:szCs w:val="24"/>
        </w:rPr>
        <w:t xml:space="preserve"> numerous</w:t>
      </w:r>
      <w:r w:rsidR="00741C0C" w:rsidRPr="00741C0C">
        <w:rPr>
          <w:rFonts w:cs="Arial"/>
          <w:sz w:val="24"/>
          <w:szCs w:val="24"/>
        </w:rPr>
        <w:t xml:space="preserve"> </w:t>
      </w:r>
      <w:r w:rsidR="00080451">
        <w:rPr>
          <w:rFonts w:cs="Arial"/>
          <w:sz w:val="24"/>
          <w:szCs w:val="24"/>
        </w:rPr>
        <w:t xml:space="preserve">other </w:t>
      </w:r>
      <w:r w:rsidR="00741C0C" w:rsidRPr="00741C0C">
        <w:rPr>
          <w:rFonts w:cs="Arial"/>
          <w:sz w:val="24"/>
          <w:szCs w:val="24"/>
        </w:rPr>
        <w:t>descriptions of working class</w:t>
      </w:r>
      <w:r w:rsidR="0060232E">
        <w:rPr>
          <w:rFonts w:cs="Arial"/>
          <w:sz w:val="24"/>
          <w:szCs w:val="24"/>
        </w:rPr>
        <w:t>, urban,</w:t>
      </w:r>
      <w:r w:rsidR="00741C0C" w:rsidRPr="00741C0C">
        <w:rPr>
          <w:rFonts w:cs="Arial"/>
          <w:sz w:val="24"/>
          <w:szCs w:val="24"/>
        </w:rPr>
        <w:t xml:space="preserve"> children </w:t>
      </w:r>
      <w:r w:rsidR="002A3BE4">
        <w:rPr>
          <w:rFonts w:cs="Arial"/>
          <w:sz w:val="24"/>
          <w:szCs w:val="24"/>
        </w:rPr>
        <w:t xml:space="preserve">at this time </w:t>
      </w:r>
      <w:r w:rsidR="00080451">
        <w:rPr>
          <w:rFonts w:cs="Arial"/>
          <w:sz w:val="24"/>
          <w:szCs w:val="24"/>
        </w:rPr>
        <w:t xml:space="preserve">(e.g. </w:t>
      </w:r>
      <w:r w:rsidR="007C11D9" w:rsidRPr="007C11D9">
        <w:rPr>
          <w:rFonts w:cs="Arial"/>
          <w:sz w:val="24"/>
          <w:szCs w:val="24"/>
        </w:rPr>
        <w:t>Engels 1950</w:t>
      </w:r>
      <w:r w:rsidR="007C11D9">
        <w:rPr>
          <w:rFonts w:cs="Arial"/>
          <w:sz w:val="24"/>
          <w:szCs w:val="24"/>
        </w:rPr>
        <w:t xml:space="preserve">; </w:t>
      </w:r>
      <w:r w:rsidR="00580993">
        <w:rPr>
          <w:rFonts w:cs="Arial"/>
          <w:sz w:val="24"/>
          <w:szCs w:val="24"/>
        </w:rPr>
        <w:t>Gaskell 1833</w:t>
      </w:r>
      <w:r w:rsidR="00080451">
        <w:rPr>
          <w:rFonts w:cs="Arial"/>
          <w:sz w:val="24"/>
          <w:szCs w:val="24"/>
        </w:rPr>
        <w:t>)</w:t>
      </w:r>
      <w:r w:rsidR="00741C0C" w:rsidRPr="00741C0C">
        <w:rPr>
          <w:rFonts w:cs="Arial"/>
          <w:sz w:val="24"/>
          <w:szCs w:val="24"/>
        </w:rPr>
        <w:t>.</w:t>
      </w:r>
      <w:r w:rsidR="00741C0C">
        <w:rPr>
          <w:rFonts w:cs="Arial"/>
          <w:sz w:val="24"/>
          <w:szCs w:val="24"/>
        </w:rPr>
        <w:t xml:space="preserve"> </w:t>
      </w:r>
      <w:r w:rsidR="00364E3F" w:rsidRPr="00364E3F">
        <w:rPr>
          <w:rFonts w:cs="Arial"/>
          <w:sz w:val="24"/>
          <w:szCs w:val="24"/>
        </w:rPr>
        <w:t xml:space="preserve">By contrast the rural environment </w:t>
      </w:r>
      <w:r w:rsidR="002A3BE4">
        <w:rPr>
          <w:rFonts w:cs="Arial"/>
          <w:sz w:val="24"/>
          <w:szCs w:val="24"/>
        </w:rPr>
        <w:t xml:space="preserve">during this period </w:t>
      </w:r>
      <w:r w:rsidR="00C15D8E">
        <w:rPr>
          <w:rFonts w:cs="Arial"/>
          <w:sz w:val="24"/>
          <w:szCs w:val="24"/>
        </w:rPr>
        <w:t>was</w:t>
      </w:r>
      <w:r w:rsidR="00364E3F" w:rsidRPr="00364E3F">
        <w:rPr>
          <w:rFonts w:cs="Arial"/>
          <w:sz w:val="24"/>
          <w:szCs w:val="24"/>
        </w:rPr>
        <w:t xml:space="preserve"> </w:t>
      </w:r>
      <w:r w:rsidR="00DB350A">
        <w:rPr>
          <w:rFonts w:cs="Arial"/>
          <w:sz w:val="24"/>
          <w:szCs w:val="24"/>
        </w:rPr>
        <w:t>conceptuali</w:t>
      </w:r>
      <w:r w:rsidR="007C11D9">
        <w:rPr>
          <w:rFonts w:cs="Arial"/>
          <w:sz w:val="24"/>
          <w:szCs w:val="24"/>
        </w:rPr>
        <w:t>z</w:t>
      </w:r>
      <w:r w:rsidR="00DB350A">
        <w:rPr>
          <w:rFonts w:cs="Arial"/>
          <w:sz w:val="24"/>
          <w:szCs w:val="24"/>
        </w:rPr>
        <w:t>ed as</w:t>
      </w:r>
      <w:r w:rsidR="00364E3F" w:rsidRPr="00364E3F">
        <w:rPr>
          <w:rFonts w:cs="Arial"/>
          <w:sz w:val="24"/>
          <w:szCs w:val="24"/>
        </w:rPr>
        <w:t xml:space="preserve"> much healthier for children</w:t>
      </w:r>
      <w:r w:rsidR="007E5E01">
        <w:rPr>
          <w:rFonts w:cs="Arial"/>
          <w:sz w:val="24"/>
          <w:szCs w:val="24"/>
        </w:rPr>
        <w:t>; fresh</w:t>
      </w:r>
      <w:r w:rsidR="000F243E">
        <w:rPr>
          <w:rFonts w:cs="Arial"/>
          <w:sz w:val="24"/>
          <w:szCs w:val="24"/>
        </w:rPr>
        <w:t>,</w:t>
      </w:r>
      <w:r w:rsidR="007E5E01">
        <w:rPr>
          <w:rFonts w:cs="Arial"/>
          <w:sz w:val="24"/>
          <w:szCs w:val="24"/>
        </w:rPr>
        <w:t xml:space="preserve"> </w:t>
      </w:r>
      <w:r w:rsidR="007E5E01" w:rsidRPr="00095591">
        <w:rPr>
          <w:rFonts w:cs="Arial"/>
          <w:sz w:val="24"/>
          <w:szCs w:val="24"/>
        </w:rPr>
        <w:t>unpolluted air</w:t>
      </w:r>
      <w:r w:rsidR="00DB350A" w:rsidRPr="00095591">
        <w:rPr>
          <w:rFonts w:cs="Arial"/>
          <w:sz w:val="24"/>
          <w:szCs w:val="24"/>
        </w:rPr>
        <w:t xml:space="preserve">, </w:t>
      </w:r>
      <w:r w:rsidR="007E5E01" w:rsidRPr="00095591">
        <w:rPr>
          <w:rFonts w:cs="Arial"/>
          <w:sz w:val="24"/>
          <w:szCs w:val="24"/>
        </w:rPr>
        <w:t xml:space="preserve">with plenty of sunshine, </w:t>
      </w:r>
      <w:r w:rsidR="000F243E" w:rsidRPr="00095591">
        <w:rPr>
          <w:rFonts w:cs="Arial"/>
          <w:sz w:val="24"/>
          <w:szCs w:val="24"/>
        </w:rPr>
        <w:t>a</w:t>
      </w:r>
      <w:r w:rsidR="007E5E01" w:rsidRPr="00095591">
        <w:rPr>
          <w:rFonts w:cs="Arial"/>
          <w:sz w:val="24"/>
          <w:szCs w:val="24"/>
        </w:rPr>
        <w:t xml:space="preserve"> more </w:t>
      </w:r>
      <w:r w:rsidR="000F243E" w:rsidRPr="00095591">
        <w:rPr>
          <w:rFonts w:cs="Arial"/>
          <w:sz w:val="24"/>
          <w:szCs w:val="24"/>
        </w:rPr>
        <w:t>varied</w:t>
      </w:r>
      <w:r w:rsidR="007E5E01" w:rsidRPr="00095591">
        <w:rPr>
          <w:rFonts w:cs="Arial"/>
          <w:sz w:val="24"/>
          <w:szCs w:val="24"/>
        </w:rPr>
        <w:t xml:space="preserve"> diet, less overcrowding and better sanitation. </w:t>
      </w:r>
      <w:r w:rsidR="006E10E3" w:rsidRPr="00095591">
        <w:rPr>
          <w:rFonts w:cstheme="minorHAnsi"/>
          <w:sz w:val="24"/>
          <w:szCs w:val="24"/>
        </w:rPr>
        <w:t>As Gaskell</w:t>
      </w:r>
      <w:r w:rsidR="00BA0682" w:rsidRPr="00095591">
        <w:rPr>
          <w:rFonts w:cstheme="minorHAnsi"/>
          <w:sz w:val="24"/>
          <w:szCs w:val="24"/>
        </w:rPr>
        <w:t xml:space="preserve"> </w:t>
      </w:r>
      <w:r w:rsidR="003B6C14" w:rsidRPr="00095591">
        <w:rPr>
          <w:rFonts w:cstheme="minorHAnsi"/>
          <w:sz w:val="24"/>
          <w:szCs w:val="24"/>
        </w:rPr>
        <w:t>(1833</w:t>
      </w:r>
      <w:r w:rsidR="009F1022" w:rsidRPr="00095591">
        <w:rPr>
          <w:rFonts w:cstheme="minorHAnsi"/>
          <w:sz w:val="24"/>
          <w:szCs w:val="24"/>
        </w:rPr>
        <w:t>:</w:t>
      </w:r>
      <w:r w:rsidR="006E10E3" w:rsidRPr="00095591">
        <w:rPr>
          <w:rFonts w:cstheme="minorHAnsi"/>
          <w:sz w:val="24"/>
          <w:szCs w:val="24"/>
        </w:rPr>
        <w:t xml:space="preserve"> 200</w:t>
      </w:r>
      <w:r w:rsidR="00BA0682" w:rsidRPr="00095591">
        <w:rPr>
          <w:rFonts w:cstheme="minorHAnsi"/>
          <w:sz w:val="24"/>
          <w:szCs w:val="24"/>
        </w:rPr>
        <w:t>) observed</w:t>
      </w:r>
      <w:r w:rsidR="003D6C1C" w:rsidRPr="00095591">
        <w:rPr>
          <w:rFonts w:cstheme="minorHAnsi"/>
          <w:sz w:val="24"/>
          <w:szCs w:val="24"/>
        </w:rPr>
        <w:t>:</w:t>
      </w:r>
      <w:r w:rsidR="00BB31BF">
        <w:rPr>
          <w:rFonts w:cstheme="minorHAnsi"/>
          <w:sz w:val="24"/>
          <w:szCs w:val="24"/>
        </w:rPr>
        <w:t xml:space="preserve"> </w:t>
      </w:r>
      <w:r w:rsidR="007C11D9">
        <w:rPr>
          <w:rFonts w:cstheme="minorHAnsi"/>
          <w:sz w:val="24"/>
          <w:szCs w:val="24"/>
        </w:rPr>
        <w:t>“</w:t>
      </w:r>
      <w:r w:rsidR="00D94A6D" w:rsidRPr="009F25F4">
        <w:rPr>
          <w:rFonts w:cstheme="minorHAnsi"/>
          <w:sz w:val="24"/>
          <w:szCs w:val="24"/>
        </w:rPr>
        <w:t xml:space="preserve">A child from an agricultural district, eight or nine years old, blooming with rosy health, full of vitality, is transported to a crowded town … it is exposed to </w:t>
      </w:r>
      <w:proofErr w:type="spellStart"/>
      <w:r w:rsidR="00D94A6D" w:rsidRPr="009F25F4">
        <w:rPr>
          <w:rFonts w:cstheme="minorHAnsi"/>
          <w:sz w:val="24"/>
          <w:szCs w:val="24"/>
        </w:rPr>
        <w:t>miasmatic</w:t>
      </w:r>
      <w:proofErr w:type="spellEnd"/>
      <w:r w:rsidR="00D94A6D" w:rsidRPr="009F25F4">
        <w:rPr>
          <w:rFonts w:cstheme="minorHAnsi"/>
          <w:sz w:val="24"/>
          <w:szCs w:val="24"/>
        </w:rPr>
        <w:t xml:space="preserve"> evaporations, shut up in a narrow street, its home is damp and </w:t>
      </w:r>
      <w:r w:rsidR="00D94A6D" w:rsidRPr="009F25F4">
        <w:rPr>
          <w:rFonts w:cstheme="minorHAnsi"/>
          <w:sz w:val="24"/>
          <w:szCs w:val="24"/>
        </w:rPr>
        <w:lastRenderedPageBreak/>
        <w:t>cold, its food poor an</w:t>
      </w:r>
      <w:r w:rsidR="00DB540F" w:rsidRPr="009F25F4">
        <w:rPr>
          <w:rFonts w:cstheme="minorHAnsi"/>
          <w:sz w:val="24"/>
          <w:szCs w:val="24"/>
        </w:rPr>
        <w:t>d badly cooked</w:t>
      </w:r>
      <w:r w:rsidR="00D94A6D" w:rsidRPr="009F25F4">
        <w:rPr>
          <w:rFonts w:cstheme="minorHAnsi"/>
          <w:sz w:val="24"/>
          <w:szCs w:val="24"/>
        </w:rPr>
        <w:t>: in a few months, from the force of these circumstances, the Hebe-looking child has become pallid</w:t>
      </w:r>
      <w:r w:rsidR="007C11D9">
        <w:rPr>
          <w:rFonts w:cstheme="minorHAnsi"/>
          <w:sz w:val="24"/>
          <w:szCs w:val="24"/>
        </w:rPr>
        <w:t>”</w:t>
      </w:r>
      <w:r w:rsidR="00D94A6D" w:rsidRPr="009F25F4">
        <w:rPr>
          <w:rFonts w:cstheme="minorHAnsi"/>
          <w:sz w:val="24"/>
          <w:szCs w:val="24"/>
        </w:rPr>
        <w:t xml:space="preserve">. </w:t>
      </w:r>
    </w:p>
    <w:p w14:paraId="667C5E55" w14:textId="77777777" w:rsidR="00BB31BF" w:rsidRPr="009F25F4" w:rsidRDefault="00BB31BF" w:rsidP="00453751">
      <w:pPr>
        <w:spacing w:before="100" w:after="100" w:line="480" w:lineRule="auto"/>
        <w:rPr>
          <w:rFonts w:cstheme="minorHAnsi"/>
          <w:sz w:val="24"/>
          <w:szCs w:val="24"/>
        </w:rPr>
      </w:pPr>
    </w:p>
    <w:p w14:paraId="04836CFC" w14:textId="3DAE4AB5" w:rsidR="00B442AF" w:rsidRDefault="003D6C1C" w:rsidP="00453751">
      <w:pPr>
        <w:spacing w:before="100" w:after="100" w:line="480" w:lineRule="auto"/>
        <w:rPr>
          <w:rFonts w:cstheme="minorHAnsi"/>
          <w:sz w:val="24"/>
          <w:szCs w:val="24"/>
        </w:rPr>
      </w:pPr>
      <w:r w:rsidRPr="009F25F4">
        <w:rPr>
          <w:rFonts w:cstheme="minorHAnsi"/>
          <w:sz w:val="24"/>
          <w:szCs w:val="24"/>
        </w:rPr>
        <w:t xml:space="preserve">These sentiments </w:t>
      </w:r>
      <w:r w:rsidR="009F25F4" w:rsidRPr="009F25F4">
        <w:rPr>
          <w:rFonts w:cstheme="minorHAnsi"/>
          <w:sz w:val="24"/>
          <w:szCs w:val="24"/>
        </w:rPr>
        <w:t>were</w:t>
      </w:r>
      <w:r w:rsidRPr="009F25F4">
        <w:rPr>
          <w:rFonts w:cstheme="minorHAnsi"/>
          <w:sz w:val="24"/>
          <w:szCs w:val="24"/>
        </w:rPr>
        <w:t xml:space="preserve"> echoed by the </w:t>
      </w:r>
      <w:r w:rsidR="007C11D9">
        <w:rPr>
          <w:rFonts w:cstheme="minorHAnsi"/>
          <w:sz w:val="24"/>
          <w:szCs w:val="24"/>
        </w:rPr>
        <w:t>nineteenth</w:t>
      </w:r>
      <w:r w:rsidRPr="009F25F4">
        <w:rPr>
          <w:rFonts w:cstheme="minorHAnsi"/>
          <w:sz w:val="24"/>
          <w:szCs w:val="24"/>
        </w:rPr>
        <w:t xml:space="preserve"> century physician Francis Sharp</w:t>
      </w:r>
      <w:r w:rsidR="007C11D9">
        <w:rPr>
          <w:rFonts w:cstheme="minorHAnsi"/>
          <w:sz w:val="24"/>
          <w:szCs w:val="24"/>
        </w:rPr>
        <w:t xml:space="preserve"> (in the </w:t>
      </w:r>
      <w:r w:rsidR="00580993" w:rsidRPr="007C11D9">
        <w:rPr>
          <w:rFonts w:cstheme="minorHAnsi"/>
          <w:i/>
          <w:sz w:val="24"/>
          <w:szCs w:val="24"/>
        </w:rPr>
        <w:t>Reports from the Commissioners</w:t>
      </w:r>
      <w:r w:rsidR="007C11D9">
        <w:rPr>
          <w:rFonts w:cstheme="minorHAnsi"/>
          <w:i/>
          <w:sz w:val="24"/>
          <w:szCs w:val="24"/>
        </w:rPr>
        <w:t xml:space="preserve"> 1833</w:t>
      </w:r>
      <w:r w:rsidR="00580993" w:rsidRPr="009F25F4">
        <w:rPr>
          <w:rFonts w:cstheme="minorHAnsi"/>
          <w:sz w:val="24"/>
          <w:szCs w:val="24"/>
        </w:rPr>
        <w:t>)</w:t>
      </w:r>
      <w:r w:rsidRPr="009F25F4">
        <w:rPr>
          <w:rFonts w:cstheme="minorHAnsi"/>
          <w:sz w:val="24"/>
          <w:szCs w:val="24"/>
        </w:rPr>
        <w:t>, who moved from a rural practice near Scarborough</w:t>
      </w:r>
      <w:r w:rsidR="000F243E" w:rsidRPr="009F25F4">
        <w:rPr>
          <w:rFonts w:cstheme="minorHAnsi"/>
          <w:sz w:val="24"/>
          <w:szCs w:val="24"/>
        </w:rPr>
        <w:t>,</w:t>
      </w:r>
      <w:r w:rsidRPr="009F25F4">
        <w:rPr>
          <w:rFonts w:cstheme="minorHAnsi"/>
          <w:sz w:val="24"/>
          <w:szCs w:val="24"/>
        </w:rPr>
        <w:t xml:space="preserve"> North Yorkshire</w:t>
      </w:r>
      <w:r w:rsidR="000F243E" w:rsidRPr="009F25F4">
        <w:rPr>
          <w:rFonts w:cstheme="minorHAnsi"/>
          <w:sz w:val="24"/>
          <w:szCs w:val="24"/>
        </w:rPr>
        <w:t>,</w:t>
      </w:r>
      <w:r w:rsidRPr="009F25F4">
        <w:rPr>
          <w:rFonts w:cstheme="minorHAnsi"/>
          <w:sz w:val="24"/>
          <w:szCs w:val="24"/>
        </w:rPr>
        <w:t xml:space="preserve"> to work </w:t>
      </w:r>
      <w:r w:rsidR="000F243E" w:rsidRPr="009F25F4">
        <w:rPr>
          <w:rFonts w:cstheme="minorHAnsi"/>
          <w:sz w:val="24"/>
          <w:szCs w:val="24"/>
        </w:rPr>
        <w:t>in the city of Leeds</w:t>
      </w:r>
      <w:r w:rsidRPr="009F25F4">
        <w:rPr>
          <w:rFonts w:cstheme="minorHAnsi"/>
          <w:sz w:val="24"/>
          <w:szCs w:val="24"/>
        </w:rPr>
        <w:t>:</w:t>
      </w:r>
      <w:r w:rsidR="00B442AF">
        <w:rPr>
          <w:rFonts w:cstheme="minorHAnsi"/>
          <w:sz w:val="24"/>
          <w:szCs w:val="24"/>
        </w:rPr>
        <w:t xml:space="preserve"> </w:t>
      </w:r>
      <w:r w:rsidRPr="009F25F4">
        <w:rPr>
          <w:rFonts w:cstheme="minorHAnsi"/>
          <w:sz w:val="24"/>
          <w:szCs w:val="24"/>
        </w:rPr>
        <w:t>“</w:t>
      </w:r>
      <w:r w:rsidR="00196D9D" w:rsidRPr="009F25F4">
        <w:rPr>
          <w:rFonts w:cstheme="minorHAnsi"/>
          <w:iCs/>
          <w:sz w:val="24"/>
          <w:szCs w:val="24"/>
        </w:rPr>
        <w:t>T</w:t>
      </w:r>
      <w:r w:rsidRPr="009F25F4">
        <w:rPr>
          <w:rFonts w:cstheme="minorHAnsi"/>
          <w:iCs/>
          <w:sz w:val="24"/>
          <w:szCs w:val="24"/>
        </w:rPr>
        <w:t xml:space="preserve">he general appearance of the children </w:t>
      </w:r>
      <w:r w:rsidR="00196D9D" w:rsidRPr="009F25F4">
        <w:rPr>
          <w:rFonts w:cstheme="minorHAnsi"/>
          <w:iCs/>
          <w:sz w:val="24"/>
          <w:szCs w:val="24"/>
        </w:rPr>
        <w:t>in Leeds immediately struck me as much more pallid, and also the firmness of the fibre as much inferior to what I had seen in Scarborough and the adjacent country…</w:t>
      </w:r>
      <w:r w:rsidRPr="009F25F4">
        <w:rPr>
          <w:rFonts w:cstheme="minorHAnsi"/>
          <w:iCs/>
          <w:sz w:val="24"/>
          <w:szCs w:val="24"/>
        </w:rPr>
        <w:t xml:space="preserve">  If</w:t>
      </w:r>
      <w:r w:rsidR="00196D9D" w:rsidRPr="009F25F4">
        <w:rPr>
          <w:rFonts w:cstheme="minorHAnsi"/>
          <w:iCs/>
          <w:sz w:val="24"/>
          <w:szCs w:val="24"/>
        </w:rPr>
        <w:t xml:space="preserve"> it were not for the individuals who join the mills from the country the factory people would soon be deteriorated”</w:t>
      </w:r>
      <w:r w:rsidR="00196D9D" w:rsidRPr="009F25F4">
        <w:rPr>
          <w:rFonts w:cstheme="minorHAnsi"/>
          <w:i/>
          <w:iCs/>
          <w:sz w:val="24"/>
          <w:szCs w:val="24"/>
        </w:rPr>
        <w:t>.</w:t>
      </w:r>
      <w:r w:rsidR="00B442AF">
        <w:rPr>
          <w:rFonts w:cstheme="minorHAnsi"/>
          <w:sz w:val="24"/>
          <w:szCs w:val="24"/>
        </w:rPr>
        <w:t xml:space="preserve"> </w:t>
      </w:r>
    </w:p>
    <w:p w14:paraId="472FB6E5" w14:textId="77777777" w:rsidR="00B442AF" w:rsidRDefault="00B442AF" w:rsidP="00453751">
      <w:pPr>
        <w:spacing w:before="100" w:after="100" w:line="480" w:lineRule="auto"/>
        <w:rPr>
          <w:rFonts w:cstheme="minorHAnsi"/>
          <w:sz w:val="24"/>
          <w:szCs w:val="24"/>
        </w:rPr>
      </w:pPr>
    </w:p>
    <w:p w14:paraId="0B085BB2" w14:textId="3A06487E" w:rsidR="00C3564D" w:rsidRPr="00F87002" w:rsidRDefault="00196D9D" w:rsidP="00C3564D">
      <w:pPr>
        <w:spacing w:before="100" w:after="100" w:line="480" w:lineRule="auto"/>
        <w:rPr>
          <w:rFonts w:cstheme="minorHAnsi"/>
          <w:i/>
          <w:iCs/>
          <w:sz w:val="24"/>
          <w:szCs w:val="24"/>
          <w:lang w:val="en-US"/>
        </w:rPr>
      </w:pPr>
      <w:r w:rsidRPr="009F25F4">
        <w:rPr>
          <w:rFonts w:cstheme="minorHAnsi"/>
          <w:sz w:val="24"/>
          <w:szCs w:val="24"/>
        </w:rPr>
        <w:t>T</w:t>
      </w:r>
      <w:r w:rsidR="003D6C1C" w:rsidRPr="009F25F4">
        <w:rPr>
          <w:rFonts w:cstheme="minorHAnsi"/>
          <w:sz w:val="24"/>
          <w:szCs w:val="24"/>
        </w:rPr>
        <w:t xml:space="preserve">here was a general anxiety that </w:t>
      </w:r>
      <w:r w:rsidR="00580993" w:rsidRPr="009F25F4">
        <w:rPr>
          <w:rFonts w:cstheme="minorHAnsi"/>
          <w:sz w:val="24"/>
          <w:szCs w:val="24"/>
        </w:rPr>
        <w:t>urban childhoods</w:t>
      </w:r>
      <w:r w:rsidR="009F1022" w:rsidRPr="009F25F4">
        <w:rPr>
          <w:rFonts w:cstheme="minorHAnsi"/>
          <w:sz w:val="24"/>
          <w:szCs w:val="24"/>
        </w:rPr>
        <w:t>, particularly when</w:t>
      </w:r>
      <w:r w:rsidR="002A3BE4" w:rsidRPr="009F25F4">
        <w:rPr>
          <w:rFonts w:cstheme="minorHAnsi"/>
          <w:sz w:val="24"/>
          <w:szCs w:val="24"/>
        </w:rPr>
        <w:t xml:space="preserve"> spent </w:t>
      </w:r>
      <w:r w:rsidR="007C11D9">
        <w:rPr>
          <w:rFonts w:cstheme="minorHAnsi"/>
          <w:sz w:val="24"/>
          <w:szCs w:val="24"/>
        </w:rPr>
        <w:t xml:space="preserve">undertaking factory </w:t>
      </w:r>
      <w:proofErr w:type="spellStart"/>
      <w:r w:rsidR="007C11D9">
        <w:rPr>
          <w:rFonts w:cstheme="minorHAnsi"/>
          <w:sz w:val="24"/>
          <w:szCs w:val="24"/>
        </w:rPr>
        <w:t>labo</w:t>
      </w:r>
      <w:r w:rsidR="009F1022" w:rsidRPr="009F25F4">
        <w:rPr>
          <w:rFonts w:cstheme="minorHAnsi"/>
          <w:sz w:val="24"/>
          <w:szCs w:val="24"/>
        </w:rPr>
        <w:t>r</w:t>
      </w:r>
      <w:proofErr w:type="spellEnd"/>
      <w:r w:rsidR="009F1022" w:rsidRPr="009F25F4">
        <w:rPr>
          <w:rFonts w:cstheme="minorHAnsi"/>
          <w:sz w:val="24"/>
          <w:szCs w:val="24"/>
        </w:rPr>
        <w:t xml:space="preserve">, </w:t>
      </w:r>
      <w:r w:rsidRPr="009F25F4">
        <w:rPr>
          <w:rFonts w:cstheme="minorHAnsi"/>
          <w:sz w:val="24"/>
          <w:szCs w:val="24"/>
        </w:rPr>
        <w:t>would result in the eventual</w:t>
      </w:r>
      <w:r w:rsidR="003D6C1C" w:rsidRPr="009F25F4">
        <w:rPr>
          <w:rFonts w:cstheme="minorHAnsi"/>
          <w:sz w:val="24"/>
          <w:szCs w:val="24"/>
        </w:rPr>
        <w:t xml:space="preserve"> physiologi</w:t>
      </w:r>
      <w:r w:rsidR="00770EFE" w:rsidRPr="009F25F4">
        <w:rPr>
          <w:rFonts w:cstheme="minorHAnsi"/>
          <w:sz w:val="24"/>
          <w:szCs w:val="24"/>
        </w:rPr>
        <w:t>cal deterioration of the nation</w:t>
      </w:r>
      <w:r w:rsidR="00080451" w:rsidRPr="009F25F4">
        <w:rPr>
          <w:rFonts w:cstheme="minorHAnsi"/>
          <w:sz w:val="24"/>
          <w:szCs w:val="24"/>
        </w:rPr>
        <w:t xml:space="preserve">. </w:t>
      </w:r>
      <w:r w:rsidR="003D6C1C" w:rsidRPr="009F25F4">
        <w:rPr>
          <w:rFonts w:cstheme="minorHAnsi"/>
          <w:sz w:val="24"/>
          <w:szCs w:val="24"/>
        </w:rPr>
        <w:t xml:space="preserve">These concerns sparked </w:t>
      </w:r>
      <w:proofErr w:type="gramStart"/>
      <w:r w:rsidR="003D6C1C" w:rsidRPr="009F25F4">
        <w:rPr>
          <w:rFonts w:cstheme="minorHAnsi"/>
          <w:sz w:val="24"/>
          <w:szCs w:val="24"/>
        </w:rPr>
        <w:t>a number of</w:t>
      </w:r>
      <w:proofErr w:type="gramEnd"/>
      <w:r w:rsidR="003D6C1C" w:rsidRPr="009F25F4">
        <w:rPr>
          <w:rFonts w:cstheme="minorHAnsi"/>
          <w:sz w:val="24"/>
          <w:szCs w:val="24"/>
        </w:rPr>
        <w:t xml:space="preserve"> enquiries into the health</w:t>
      </w:r>
      <w:r w:rsidR="009F1022" w:rsidRPr="009F25F4">
        <w:rPr>
          <w:rFonts w:cstheme="minorHAnsi"/>
          <w:sz w:val="24"/>
          <w:szCs w:val="24"/>
        </w:rPr>
        <w:t xml:space="preserve"> of urban and factory children and a vast amount of </w:t>
      </w:r>
      <w:r w:rsidR="00BD3DCA" w:rsidRPr="009F25F4">
        <w:rPr>
          <w:rFonts w:cstheme="minorHAnsi"/>
          <w:sz w:val="24"/>
          <w:szCs w:val="24"/>
        </w:rPr>
        <w:t xml:space="preserve">qualitative and </w:t>
      </w:r>
      <w:r w:rsidR="00BA0682" w:rsidRPr="009F25F4">
        <w:rPr>
          <w:rFonts w:cstheme="minorHAnsi"/>
          <w:sz w:val="24"/>
          <w:szCs w:val="24"/>
        </w:rPr>
        <w:t>anthropometric data</w:t>
      </w:r>
      <w:r w:rsidR="002A3BE4" w:rsidRPr="009F25F4">
        <w:rPr>
          <w:rFonts w:cstheme="minorHAnsi"/>
          <w:sz w:val="24"/>
          <w:szCs w:val="24"/>
        </w:rPr>
        <w:t xml:space="preserve"> </w:t>
      </w:r>
      <w:r w:rsidR="009F1022" w:rsidRPr="009F25F4">
        <w:rPr>
          <w:rFonts w:cstheme="minorHAnsi"/>
          <w:sz w:val="24"/>
          <w:szCs w:val="24"/>
        </w:rPr>
        <w:t xml:space="preserve">was commissioned </w:t>
      </w:r>
      <w:r w:rsidR="002A3BE4" w:rsidRPr="009F25F4">
        <w:rPr>
          <w:rFonts w:cstheme="minorHAnsi"/>
          <w:sz w:val="24"/>
          <w:szCs w:val="24"/>
        </w:rPr>
        <w:t>from across the country</w:t>
      </w:r>
      <w:r w:rsidRPr="009F25F4">
        <w:rPr>
          <w:rFonts w:cstheme="minorHAnsi"/>
          <w:sz w:val="24"/>
          <w:szCs w:val="24"/>
        </w:rPr>
        <w:t xml:space="preserve"> (</w:t>
      </w:r>
      <w:r w:rsidRPr="009F25F4">
        <w:rPr>
          <w:rFonts w:cstheme="minorHAnsi"/>
          <w:i/>
          <w:sz w:val="24"/>
          <w:szCs w:val="24"/>
        </w:rPr>
        <w:t>Reports from the Commissioners 1833</w:t>
      </w:r>
      <w:r w:rsidRPr="009F25F4">
        <w:rPr>
          <w:rFonts w:cstheme="minorHAnsi"/>
          <w:sz w:val="24"/>
          <w:szCs w:val="24"/>
        </w:rPr>
        <w:t>)</w:t>
      </w:r>
      <w:r w:rsidR="007C11D9">
        <w:rPr>
          <w:rFonts w:cstheme="minorHAnsi"/>
          <w:sz w:val="24"/>
          <w:szCs w:val="24"/>
        </w:rPr>
        <w:t xml:space="preserve">. The results of these </w:t>
      </w:r>
      <w:proofErr w:type="spellStart"/>
      <w:r w:rsidR="007C11D9">
        <w:rPr>
          <w:rFonts w:cstheme="minorHAnsi"/>
          <w:sz w:val="24"/>
          <w:szCs w:val="24"/>
        </w:rPr>
        <w:t>endeavo</w:t>
      </w:r>
      <w:r w:rsidR="00924596" w:rsidRPr="009F25F4">
        <w:rPr>
          <w:rFonts w:cstheme="minorHAnsi"/>
          <w:sz w:val="24"/>
          <w:szCs w:val="24"/>
        </w:rPr>
        <w:t>rs</w:t>
      </w:r>
      <w:proofErr w:type="spellEnd"/>
      <w:r w:rsidR="00924596" w:rsidRPr="009F25F4">
        <w:rPr>
          <w:rFonts w:cstheme="minorHAnsi"/>
          <w:sz w:val="24"/>
          <w:szCs w:val="24"/>
        </w:rPr>
        <w:t xml:space="preserve"> </w:t>
      </w:r>
      <w:r w:rsidR="00EE3CEC" w:rsidRPr="009F25F4">
        <w:rPr>
          <w:rFonts w:cstheme="minorHAnsi"/>
          <w:sz w:val="24"/>
          <w:szCs w:val="24"/>
        </w:rPr>
        <w:t>ind</w:t>
      </w:r>
      <w:r w:rsidR="00BD3DCA" w:rsidRPr="009F25F4">
        <w:rPr>
          <w:rFonts w:cstheme="minorHAnsi"/>
          <w:sz w:val="24"/>
          <w:szCs w:val="24"/>
        </w:rPr>
        <w:t>icated that rural children were, as suspected, on average 3cm tall</w:t>
      </w:r>
      <w:r w:rsidR="00EE3CEC" w:rsidRPr="009F25F4">
        <w:rPr>
          <w:rFonts w:cstheme="minorHAnsi"/>
          <w:sz w:val="24"/>
          <w:szCs w:val="24"/>
        </w:rPr>
        <w:t>er than their urban counterparts</w:t>
      </w:r>
      <w:r w:rsidR="00453751" w:rsidRPr="009F25F4">
        <w:rPr>
          <w:rFonts w:cstheme="minorHAnsi"/>
          <w:sz w:val="24"/>
          <w:szCs w:val="24"/>
        </w:rPr>
        <w:t xml:space="preserve"> (Kirby 2013)</w:t>
      </w:r>
      <w:r w:rsidR="003D6C1C" w:rsidRPr="009F25F4">
        <w:rPr>
          <w:rFonts w:cstheme="minorHAnsi"/>
          <w:sz w:val="24"/>
          <w:szCs w:val="24"/>
        </w:rPr>
        <w:t xml:space="preserve">. </w:t>
      </w:r>
      <w:r w:rsidR="00924596" w:rsidRPr="009F25F4">
        <w:rPr>
          <w:rFonts w:cstheme="minorHAnsi"/>
          <w:sz w:val="24"/>
          <w:szCs w:val="24"/>
        </w:rPr>
        <w:t xml:space="preserve">It </w:t>
      </w:r>
      <w:r w:rsidR="0060232E" w:rsidRPr="009F25F4">
        <w:rPr>
          <w:rFonts w:cstheme="minorHAnsi"/>
          <w:sz w:val="24"/>
          <w:szCs w:val="24"/>
        </w:rPr>
        <w:t>was</w:t>
      </w:r>
      <w:r w:rsidR="00BD3DCA" w:rsidRPr="009F25F4">
        <w:rPr>
          <w:rFonts w:cstheme="minorHAnsi"/>
          <w:sz w:val="24"/>
          <w:szCs w:val="24"/>
        </w:rPr>
        <w:t xml:space="preserve"> concluded</w:t>
      </w:r>
      <w:r w:rsidR="00924596" w:rsidRPr="009F25F4">
        <w:rPr>
          <w:rFonts w:cstheme="minorHAnsi"/>
          <w:sz w:val="24"/>
          <w:szCs w:val="24"/>
        </w:rPr>
        <w:t>, however,</w:t>
      </w:r>
      <w:r w:rsidR="0060232E" w:rsidRPr="009F25F4">
        <w:rPr>
          <w:rFonts w:cstheme="minorHAnsi"/>
          <w:sz w:val="24"/>
          <w:szCs w:val="24"/>
        </w:rPr>
        <w:t xml:space="preserve"> </w:t>
      </w:r>
      <w:r w:rsidR="00BD3DCA" w:rsidRPr="009F25F4">
        <w:rPr>
          <w:rFonts w:cstheme="minorHAnsi"/>
          <w:sz w:val="24"/>
          <w:szCs w:val="24"/>
        </w:rPr>
        <w:t xml:space="preserve">that </w:t>
      </w:r>
      <w:r w:rsidR="007C11D9">
        <w:rPr>
          <w:rFonts w:cstheme="minorHAnsi"/>
          <w:sz w:val="24"/>
          <w:szCs w:val="24"/>
        </w:rPr>
        <w:t xml:space="preserve">factory </w:t>
      </w:r>
      <w:proofErr w:type="spellStart"/>
      <w:r w:rsidR="007C11D9">
        <w:rPr>
          <w:rFonts w:cstheme="minorHAnsi"/>
          <w:sz w:val="24"/>
          <w:szCs w:val="24"/>
        </w:rPr>
        <w:t>labo</w:t>
      </w:r>
      <w:r w:rsidR="0060232E" w:rsidRPr="009F25F4">
        <w:rPr>
          <w:rFonts w:cstheme="minorHAnsi"/>
          <w:sz w:val="24"/>
          <w:szCs w:val="24"/>
        </w:rPr>
        <w:t>r</w:t>
      </w:r>
      <w:proofErr w:type="spellEnd"/>
      <w:r w:rsidR="0060232E" w:rsidRPr="009F25F4">
        <w:rPr>
          <w:rFonts w:cstheme="minorHAnsi"/>
          <w:sz w:val="24"/>
          <w:szCs w:val="24"/>
        </w:rPr>
        <w:t xml:space="preserve"> </w:t>
      </w:r>
      <w:r w:rsidR="00BD3DCA" w:rsidRPr="009F25F4">
        <w:rPr>
          <w:rFonts w:cstheme="minorHAnsi"/>
          <w:sz w:val="24"/>
          <w:szCs w:val="24"/>
        </w:rPr>
        <w:t xml:space="preserve">per se </w:t>
      </w:r>
      <w:r w:rsidR="0060232E" w:rsidRPr="009F25F4">
        <w:rPr>
          <w:rFonts w:cstheme="minorHAnsi"/>
          <w:sz w:val="24"/>
          <w:szCs w:val="24"/>
        </w:rPr>
        <w:t xml:space="preserve">was </w:t>
      </w:r>
      <w:r w:rsidR="00BD3DCA" w:rsidRPr="009F25F4">
        <w:rPr>
          <w:rFonts w:cstheme="minorHAnsi"/>
          <w:sz w:val="24"/>
          <w:szCs w:val="24"/>
        </w:rPr>
        <w:t xml:space="preserve">not responsible for </w:t>
      </w:r>
      <w:r w:rsidR="0060232E" w:rsidRPr="009F25F4">
        <w:rPr>
          <w:rFonts w:cstheme="minorHAnsi"/>
          <w:sz w:val="24"/>
          <w:szCs w:val="24"/>
        </w:rPr>
        <w:t xml:space="preserve">the ‘stinted’ growth and low life expectancy, but </w:t>
      </w:r>
      <w:r w:rsidR="00BD3DCA" w:rsidRPr="009F25F4">
        <w:rPr>
          <w:rFonts w:cstheme="minorHAnsi"/>
          <w:sz w:val="24"/>
          <w:szCs w:val="24"/>
        </w:rPr>
        <w:t>rather insalubrious urba</w:t>
      </w:r>
      <w:r w:rsidR="0060232E" w:rsidRPr="009F25F4">
        <w:rPr>
          <w:rFonts w:cstheme="minorHAnsi"/>
          <w:sz w:val="24"/>
          <w:szCs w:val="24"/>
        </w:rPr>
        <w:t xml:space="preserve">n conditions </w:t>
      </w:r>
      <w:r w:rsidR="00BD3DCA" w:rsidRPr="009F25F4">
        <w:rPr>
          <w:rFonts w:cstheme="minorHAnsi"/>
          <w:sz w:val="24"/>
          <w:szCs w:val="24"/>
        </w:rPr>
        <w:t>more generally, combined with the perceived lowly habits and morality of the poor</w:t>
      </w:r>
      <w:r w:rsidRPr="009F25F4">
        <w:rPr>
          <w:rFonts w:cstheme="minorHAnsi"/>
          <w:sz w:val="24"/>
          <w:szCs w:val="24"/>
        </w:rPr>
        <w:t xml:space="preserve"> (Chadwick 1842)</w:t>
      </w:r>
      <w:r w:rsidR="0060232E" w:rsidRPr="009F25F4">
        <w:rPr>
          <w:rFonts w:cstheme="minorHAnsi"/>
          <w:sz w:val="24"/>
          <w:szCs w:val="24"/>
        </w:rPr>
        <w:t>. There are numerous descriptions of the filthy, overcrowded, insanitary, polluted living conditions in m</w:t>
      </w:r>
      <w:r w:rsidR="00BD3DCA" w:rsidRPr="009F25F4">
        <w:rPr>
          <w:rFonts w:cstheme="minorHAnsi"/>
          <w:sz w:val="24"/>
          <w:szCs w:val="24"/>
        </w:rPr>
        <w:t>any of the poorer slum areas. So-called ‘b</w:t>
      </w:r>
      <w:r w:rsidR="0060232E" w:rsidRPr="009F25F4">
        <w:rPr>
          <w:rFonts w:cstheme="minorHAnsi"/>
          <w:sz w:val="24"/>
          <w:szCs w:val="24"/>
        </w:rPr>
        <w:t>ack-to-back</w:t>
      </w:r>
      <w:r w:rsidR="00BD3DCA" w:rsidRPr="009F25F4">
        <w:rPr>
          <w:rFonts w:cstheme="minorHAnsi"/>
          <w:sz w:val="24"/>
          <w:szCs w:val="24"/>
        </w:rPr>
        <w:t>’</w:t>
      </w:r>
      <w:r w:rsidR="0060232E" w:rsidRPr="009F25F4">
        <w:rPr>
          <w:rFonts w:cstheme="minorHAnsi"/>
          <w:sz w:val="24"/>
          <w:szCs w:val="24"/>
        </w:rPr>
        <w:t xml:space="preserve"> housing in cities such as Bradford and Leeds also allowed very little natural light into the rooms, and this </w:t>
      </w:r>
      <w:r w:rsidR="0060232E" w:rsidRPr="009F25F4">
        <w:rPr>
          <w:rFonts w:cstheme="minorHAnsi"/>
          <w:sz w:val="24"/>
          <w:szCs w:val="24"/>
        </w:rPr>
        <w:lastRenderedPageBreak/>
        <w:t>combined with severe air pollution meant that exposure to sunshine</w:t>
      </w:r>
      <w:r w:rsidR="00080451" w:rsidRPr="009F25F4">
        <w:rPr>
          <w:rFonts w:cstheme="minorHAnsi"/>
          <w:sz w:val="24"/>
          <w:szCs w:val="24"/>
        </w:rPr>
        <w:t xml:space="preserve">, vital for proper </w:t>
      </w:r>
      <w:r w:rsidR="005A485D">
        <w:rPr>
          <w:rFonts w:cstheme="minorHAnsi"/>
          <w:sz w:val="24"/>
          <w:szCs w:val="24"/>
        </w:rPr>
        <w:t>mineraliz</w:t>
      </w:r>
      <w:r w:rsidR="00080451" w:rsidRPr="009F25F4">
        <w:rPr>
          <w:rFonts w:cstheme="minorHAnsi"/>
          <w:sz w:val="24"/>
          <w:szCs w:val="24"/>
        </w:rPr>
        <w:t>ation of the bones and immune function</w:t>
      </w:r>
      <w:r w:rsidR="00B442AF">
        <w:rPr>
          <w:rFonts w:cstheme="minorHAnsi"/>
          <w:sz w:val="24"/>
          <w:szCs w:val="24"/>
        </w:rPr>
        <w:t xml:space="preserve"> in growing children</w:t>
      </w:r>
      <w:r w:rsidR="00080451" w:rsidRPr="009F25F4">
        <w:rPr>
          <w:rFonts w:cstheme="minorHAnsi"/>
          <w:sz w:val="24"/>
          <w:szCs w:val="24"/>
        </w:rPr>
        <w:t>,</w:t>
      </w:r>
      <w:r w:rsidR="0060232E" w:rsidRPr="009F25F4">
        <w:rPr>
          <w:rFonts w:cstheme="minorHAnsi"/>
          <w:sz w:val="24"/>
          <w:szCs w:val="24"/>
        </w:rPr>
        <w:t xml:space="preserve"> was limited</w:t>
      </w:r>
      <w:r w:rsidR="00EF5469" w:rsidRPr="009F25F4">
        <w:rPr>
          <w:rFonts w:cstheme="minorHAnsi"/>
          <w:sz w:val="24"/>
          <w:szCs w:val="24"/>
        </w:rPr>
        <w:t xml:space="preserve"> (</w:t>
      </w:r>
      <w:proofErr w:type="spellStart"/>
      <w:r w:rsidR="00EF5469" w:rsidRPr="009F25F4">
        <w:rPr>
          <w:rFonts w:cstheme="minorHAnsi"/>
          <w:sz w:val="24"/>
          <w:szCs w:val="24"/>
        </w:rPr>
        <w:t>Brimblecombe</w:t>
      </w:r>
      <w:proofErr w:type="spellEnd"/>
      <w:r w:rsidR="00EF5469" w:rsidRPr="009F25F4">
        <w:rPr>
          <w:rFonts w:cstheme="minorHAnsi"/>
          <w:sz w:val="24"/>
          <w:szCs w:val="24"/>
        </w:rPr>
        <w:t xml:space="preserve"> 1978; Hudson 1992). </w:t>
      </w:r>
      <w:r w:rsidR="0060232E" w:rsidRPr="009F25F4">
        <w:rPr>
          <w:rFonts w:cstheme="minorHAnsi"/>
          <w:sz w:val="24"/>
          <w:szCs w:val="24"/>
        </w:rPr>
        <w:t xml:space="preserve"> </w:t>
      </w:r>
      <w:r w:rsidR="00BD3DCA" w:rsidRPr="009F25F4">
        <w:rPr>
          <w:rFonts w:cstheme="minorHAnsi"/>
          <w:sz w:val="24"/>
          <w:szCs w:val="24"/>
        </w:rPr>
        <w:t>However, some contemporary accounts of rural life also point to inadequate and over-crowded houses, as well as polluted water supplies spr</w:t>
      </w:r>
      <w:r w:rsidR="00080451" w:rsidRPr="009F25F4">
        <w:rPr>
          <w:rFonts w:cstheme="minorHAnsi"/>
          <w:sz w:val="24"/>
          <w:szCs w:val="24"/>
        </w:rPr>
        <w:t xml:space="preserve">eading diseases such as typhus </w:t>
      </w:r>
      <w:r w:rsidRPr="009F25F4">
        <w:rPr>
          <w:rFonts w:cstheme="minorHAnsi"/>
          <w:sz w:val="24"/>
          <w:szCs w:val="24"/>
        </w:rPr>
        <w:t xml:space="preserve">(Wilkes </w:t>
      </w:r>
      <w:r w:rsidR="00EF5469" w:rsidRPr="009F25F4">
        <w:rPr>
          <w:rFonts w:cstheme="minorHAnsi"/>
          <w:sz w:val="24"/>
          <w:szCs w:val="24"/>
        </w:rPr>
        <w:t>2011).</w:t>
      </w:r>
      <w:r w:rsidR="00B442AF">
        <w:rPr>
          <w:rFonts w:cstheme="minorHAnsi"/>
          <w:sz w:val="24"/>
          <w:szCs w:val="24"/>
        </w:rPr>
        <w:t xml:space="preserve"> </w:t>
      </w:r>
      <w:r w:rsidR="00C3564D" w:rsidRPr="00C3564D">
        <w:rPr>
          <w:rFonts w:cstheme="minorHAnsi"/>
          <w:sz w:val="24"/>
          <w:szCs w:val="24"/>
          <w:lang w:val="en-US"/>
        </w:rPr>
        <w:t xml:space="preserve">The </w:t>
      </w:r>
      <w:r w:rsidR="00C3564D">
        <w:rPr>
          <w:rFonts w:cstheme="minorHAnsi"/>
          <w:sz w:val="24"/>
          <w:szCs w:val="24"/>
          <w:lang w:val="en-US"/>
        </w:rPr>
        <w:t>nineteenth</w:t>
      </w:r>
      <w:r w:rsidR="00C3564D" w:rsidRPr="00C3564D">
        <w:rPr>
          <w:rFonts w:cstheme="minorHAnsi"/>
          <w:sz w:val="24"/>
          <w:szCs w:val="24"/>
          <w:lang w:val="en-US"/>
        </w:rPr>
        <w:t xml:space="preserve"> century epidemiologist William Farr felt that there was an often “fanatical” fixation on the declining conditions of urban </w:t>
      </w:r>
      <w:r w:rsidR="00C3564D">
        <w:rPr>
          <w:rFonts w:cstheme="minorHAnsi"/>
          <w:sz w:val="24"/>
          <w:szCs w:val="24"/>
          <w:lang w:val="en-US"/>
        </w:rPr>
        <w:t>centers</w:t>
      </w:r>
      <w:r w:rsidR="00C3564D" w:rsidRPr="00C3564D">
        <w:rPr>
          <w:rFonts w:cstheme="minorHAnsi"/>
          <w:sz w:val="24"/>
          <w:szCs w:val="24"/>
          <w:lang w:val="en-US"/>
        </w:rPr>
        <w:t>, stating that ‘epidemics desolated the country as well as towns, though to less extent...’ (</w:t>
      </w:r>
      <w:r w:rsidR="00EA5EB1">
        <w:rPr>
          <w:rFonts w:cstheme="minorHAnsi"/>
          <w:sz w:val="24"/>
          <w:szCs w:val="24"/>
          <w:lang w:val="en-US"/>
        </w:rPr>
        <w:t xml:space="preserve">quoted in </w:t>
      </w:r>
      <w:r w:rsidR="00C3564D" w:rsidRPr="00C3564D">
        <w:rPr>
          <w:rFonts w:cstheme="minorHAnsi"/>
          <w:sz w:val="24"/>
          <w:szCs w:val="24"/>
          <w:lang w:val="en-US"/>
        </w:rPr>
        <w:t>Young and Handcock 1956; 771). Rural populations were also highly susceptible to periods of food shortages and crop failures, and a series of poor harvests could result in poverty and famine (</w:t>
      </w:r>
      <w:proofErr w:type="spellStart"/>
      <w:r w:rsidR="00C3564D" w:rsidRPr="00C3564D">
        <w:rPr>
          <w:rFonts w:cstheme="minorHAnsi"/>
          <w:sz w:val="24"/>
          <w:szCs w:val="24"/>
          <w:lang w:val="en-US"/>
        </w:rPr>
        <w:t>Bogin</w:t>
      </w:r>
      <w:proofErr w:type="spellEnd"/>
      <w:r w:rsidR="00C3564D" w:rsidRPr="00C3564D">
        <w:rPr>
          <w:rFonts w:cstheme="minorHAnsi"/>
          <w:sz w:val="24"/>
          <w:szCs w:val="24"/>
          <w:lang w:val="en-US"/>
        </w:rPr>
        <w:t xml:space="preserve"> 1999).</w:t>
      </w:r>
      <w:r w:rsidR="00F87002">
        <w:rPr>
          <w:rFonts w:cstheme="minorHAnsi"/>
          <w:sz w:val="24"/>
          <w:szCs w:val="24"/>
        </w:rPr>
        <w:t xml:space="preserve"> Alfred Ireson</w:t>
      </w:r>
      <w:r w:rsidR="00EA5EB1">
        <w:rPr>
          <w:rFonts w:cstheme="minorHAnsi"/>
          <w:sz w:val="24"/>
          <w:szCs w:val="24"/>
        </w:rPr>
        <w:t>,</w:t>
      </w:r>
      <w:r w:rsidR="00F87002">
        <w:rPr>
          <w:rFonts w:cstheme="minorHAnsi"/>
          <w:sz w:val="24"/>
          <w:szCs w:val="24"/>
        </w:rPr>
        <w:t xml:space="preserve"> who was born in 1856</w:t>
      </w:r>
      <w:r w:rsidR="00EA5EB1">
        <w:rPr>
          <w:rFonts w:cstheme="minorHAnsi"/>
          <w:sz w:val="24"/>
          <w:szCs w:val="24"/>
        </w:rPr>
        <w:t>,</w:t>
      </w:r>
      <w:r w:rsidR="00F87002">
        <w:rPr>
          <w:rFonts w:cstheme="minorHAnsi"/>
          <w:sz w:val="24"/>
          <w:szCs w:val="24"/>
        </w:rPr>
        <w:t xml:space="preserve"> described rural life during this period as</w:t>
      </w:r>
      <w:r w:rsidR="00C3564D" w:rsidRPr="00C3564D">
        <w:rPr>
          <w:rFonts w:cstheme="minorHAnsi"/>
          <w:i/>
          <w:iCs/>
          <w:sz w:val="24"/>
          <w:szCs w:val="24"/>
          <w:lang w:val="en-US"/>
        </w:rPr>
        <w:t xml:space="preserve"> </w:t>
      </w:r>
      <w:r w:rsidR="00C3564D" w:rsidRPr="00EA5EB1">
        <w:rPr>
          <w:rFonts w:cstheme="minorHAnsi"/>
          <w:iCs/>
          <w:sz w:val="24"/>
          <w:szCs w:val="24"/>
          <w:lang w:val="en-US"/>
        </w:rPr>
        <w:t>“a time of trial and difficulty. The agricultural workers had long hours, they pay barely enough to keep body and soul together. The condition of the children in many cases was pitiable. Rough food and clothes; everything depended on the skill and character of the mother”</w:t>
      </w:r>
      <w:r w:rsidR="00C3564D" w:rsidRPr="00C3564D">
        <w:rPr>
          <w:rFonts w:cstheme="minorHAnsi"/>
          <w:i/>
          <w:iCs/>
          <w:sz w:val="24"/>
          <w:szCs w:val="24"/>
          <w:lang w:val="en-US"/>
        </w:rPr>
        <w:t xml:space="preserve"> </w:t>
      </w:r>
      <w:r w:rsidR="00C3564D" w:rsidRPr="00F87002">
        <w:rPr>
          <w:rFonts w:cstheme="minorHAnsi"/>
          <w:iCs/>
          <w:sz w:val="24"/>
          <w:szCs w:val="24"/>
          <w:lang w:val="en-US"/>
        </w:rPr>
        <w:t>(quoted in Burnett 1984: 83)</w:t>
      </w:r>
      <w:r w:rsidR="00C3564D" w:rsidRPr="00C3564D">
        <w:rPr>
          <w:rFonts w:cstheme="minorHAnsi"/>
          <w:i/>
          <w:iCs/>
          <w:sz w:val="24"/>
          <w:szCs w:val="24"/>
          <w:lang w:val="en-US"/>
        </w:rPr>
        <w:t>.</w:t>
      </w:r>
      <w:r w:rsidR="00F87002">
        <w:rPr>
          <w:rFonts w:cstheme="minorHAnsi"/>
          <w:i/>
          <w:iCs/>
          <w:sz w:val="24"/>
          <w:szCs w:val="24"/>
          <w:lang w:val="en-US"/>
        </w:rPr>
        <w:t xml:space="preserve"> </w:t>
      </w:r>
      <w:r w:rsidR="00C3564D" w:rsidRPr="00C3564D">
        <w:rPr>
          <w:rFonts w:cstheme="minorHAnsi"/>
          <w:sz w:val="24"/>
          <w:szCs w:val="24"/>
          <w:lang w:val="en-US"/>
        </w:rPr>
        <w:t xml:space="preserve">While protective measures </w:t>
      </w:r>
      <w:r w:rsidR="00F87002">
        <w:rPr>
          <w:rFonts w:cstheme="minorHAnsi"/>
          <w:sz w:val="24"/>
          <w:szCs w:val="24"/>
          <w:lang w:val="en-US"/>
        </w:rPr>
        <w:t>regarding child labor in</w:t>
      </w:r>
      <w:r w:rsidR="00C3564D" w:rsidRPr="00C3564D">
        <w:rPr>
          <w:rFonts w:cstheme="minorHAnsi"/>
          <w:sz w:val="24"/>
          <w:szCs w:val="24"/>
          <w:lang w:val="en-US"/>
        </w:rPr>
        <w:t xml:space="preserve"> factories</w:t>
      </w:r>
      <w:r w:rsidR="00F87002">
        <w:rPr>
          <w:rFonts w:cstheme="minorHAnsi"/>
          <w:sz w:val="24"/>
          <w:szCs w:val="24"/>
          <w:lang w:val="en-US"/>
        </w:rPr>
        <w:t xml:space="preserve"> were instigated</w:t>
      </w:r>
      <w:r w:rsidR="00C3564D" w:rsidRPr="00C3564D">
        <w:rPr>
          <w:rFonts w:cstheme="minorHAnsi"/>
          <w:sz w:val="24"/>
          <w:szCs w:val="24"/>
          <w:lang w:val="en-US"/>
        </w:rPr>
        <w:t>, those working within agriculture and rural cottage industries were overlooked until the Education Act of 1876</w:t>
      </w:r>
      <w:r w:rsidR="00F87002">
        <w:rPr>
          <w:rFonts w:cstheme="minorHAnsi"/>
          <w:sz w:val="24"/>
          <w:szCs w:val="24"/>
          <w:lang w:val="en-US"/>
        </w:rPr>
        <w:t>,</w:t>
      </w:r>
      <w:r w:rsidR="00C3564D" w:rsidRPr="00C3564D">
        <w:rPr>
          <w:rFonts w:cstheme="minorHAnsi"/>
          <w:sz w:val="24"/>
          <w:szCs w:val="24"/>
          <w:lang w:val="en-US"/>
        </w:rPr>
        <w:t xml:space="preserve"> which </w:t>
      </w:r>
      <w:r w:rsidR="00C3564D">
        <w:rPr>
          <w:rFonts w:cstheme="minorHAnsi"/>
          <w:sz w:val="24"/>
          <w:szCs w:val="24"/>
          <w:lang w:val="en-US"/>
        </w:rPr>
        <w:t xml:space="preserve">decreed </w:t>
      </w:r>
      <w:r w:rsidR="00C3564D" w:rsidRPr="00C3564D">
        <w:rPr>
          <w:rFonts w:cstheme="minorHAnsi"/>
          <w:sz w:val="24"/>
          <w:szCs w:val="24"/>
          <w:lang w:val="en-US"/>
        </w:rPr>
        <w:t xml:space="preserve">that children under 10 years of age could </w:t>
      </w:r>
      <w:r w:rsidR="00C3564D">
        <w:rPr>
          <w:rFonts w:cstheme="minorHAnsi"/>
          <w:sz w:val="24"/>
          <w:szCs w:val="24"/>
          <w:lang w:val="en-US"/>
        </w:rPr>
        <w:t>no longer</w:t>
      </w:r>
      <w:r w:rsidR="00C3564D" w:rsidRPr="00C3564D">
        <w:rPr>
          <w:rFonts w:cstheme="minorHAnsi"/>
          <w:sz w:val="24"/>
          <w:szCs w:val="24"/>
          <w:lang w:val="en-US"/>
        </w:rPr>
        <w:t xml:space="preserve"> be employed in agricultural work (Burnett 1984; Pinchbeck and Hewitt 1973).</w:t>
      </w:r>
    </w:p>
    <w:p w14:paraId="7FC9B869" w14:textId="6213E7F0" w:rsidR="00B442AF" w:rsidRPr="009F25F4" w:rsidRDefault="00B442AF" w:rsidP="00453751">
      <w:pPr>
        <w:spacing w:before="100" w:after="100" w:line="480" w:lineRule="auto"/>
        <w:rPr>
          <w:rFonts w:cstheme="minorHAnsi"/>
          <w:sz w:val="24"/>
          <w:szCs w:val="24"/>
        </w:rPr>
      </w:pPr>
    </w:p>
    <w:p w14:paraId="52E77891" w14:textId="12FBBBBB" w:rsidR="00080451" w:rsidRPr="009F25F4" w:rsidRDefault="00080451" w:rsidP="00453751">
      <w:pPr>
        <w:spacing w:before="100" w:after="100" w:line="480" w:lineRule="auto"/>
        <w:rPr>
          <w:rFonts w:cstheme="minorHAnsi"/>
          <w:sz w:val="24"/>
          <w:szCs w:val="24"/>
        </w:rPr>
      </w:pPr>
      <w:r w:rsidRPr="009F25F4">
        <w:rPr>
          <w:rFonts w:cstheme="minorHAnsi"/>
          <w:sz w:val="24"/>
          <w:szCs w:val="24"/>
        </w:rPr>
        <w:t xml:space="preserve">The </w:t>
      </w:r>
      <w:proofErr w:type="gramStart"/>
      <w:r w:rsidRPr="009F25F4">
        <w:rPr>
          <w:rFonts w:cstheme="minorHAnsi"/>
          <w:sz w:val="24"/>
          <w:szCs w:val="24"/>
        </w:rPr>
        <w:t>vast majority</w:t>
      </w:r>
      <w:proofErr w:type="gramEnd"/>
      <w:r w:rsidRPr="009F25F4">
        <w:rPr>
          <w:rFonts w:cstheme="minorHAnsi"/>
          <w:sz w:val="24"/>
          <w:szCs w:val="24"/>
        </w:rPr>
        <w:t xml:space="preserve"> of research concerning</w:t>
      </w:r>
      <w:r w:rsidR="00095662" w:rsidRPr="009F25F4">
        <w:rPr>
          <w:rFonts w:cstheme="minorHAnsi"/>
          <w:sz w:val="24"/>
          <w:szCs w:val="24"/>
        </w:rPr>
        <w:t xml:space="preserve"> childhood</w:t>
      </w:r>
      <w:r w:rsidR="00BD3DCA" w:rsidRPr="009F25F4">
        <w:rPr>
          <w:rFonts w:cstheme="minorHAnsi"/>
          <w:sz w:val="24"/>
          <w:szCs w:val="24"/>
        </w:rPr>
        <w:t xml:space="preserve"> health during this period </w:t>
      </w:r>
      <w:r w:rsidR="00F87002">
        <w:rPr>
          <w:rFonts w:cstheme="minorHAnsi"/>
          <w:sz w:val="24"/>
          <w:szCs w:val="24"/>
        </w:rPr>
        <w:t>is</w:t>
      </w:r>
      <w:r w:rsidR="00BD3DCA" w:rsidRPr="009F25F4">
        <w:rPr>
          <w:rFonts w:cstheme="minorHAnsi"/>
          <w:sz w:val="24"/>
          <w:szCs w:val="24"/>
        </w:rPr>
        <w:t xml:space="preserve"> derived from historical </w:t>
      </w:r>
      <w:r w:rsidR="00F5283D" w:rsidRPr="009F25F4">
        <w:rPr>
          <w:rFonts w:cstheme="minorHAnsi"/>
          <w:sz w:val="24"/>
          <w:szCs w:val="24"/>
        </w:rPr>
        <w:t xml:space="preserve">data and </w:t>
      </w:r>
      <w:r w:rsidR="00BD3DCA" w:rsidRPr="009F25F4">
        <w:rPr>
          <w:rFonts w:cstheme="minorHAnsi"/>
          <w:sz w:val="24"/>
          <w:szCs w:val="24"/>
        </w:rPr>
        <w:t>records</w:t>
      </w:r>
      <w:r w:rsidR="00F5283D" w:rsidRPr="009F25F4">
        <w:rPr>
          <w:rFonts w:cstheme="minorHAnsi"/>
          <w:sz w:val="24"/>
          <w:szCs w:val="24"/>
        </w:rPr>
        <w:t xml:space="preserve"> (Kirby 2013)</w:t>
      </w:r>
      <w:r w:rsidR="00BD3DCA" w:rsidRPr="009F25F4">
        <w:rPr>
          <w:rFonts w:cstheme="minorHAnsi"/>
          <w:sz w:val="24"/>
          <w:szCs w:val="24"/>
        </w:rPr>
        <w:t xml:space="preserve">. </w:t>
      </w:r>
      <w:r w:rsidR="002A3BE4" w:rsidRPr="009F25F4">
        <w:rPr>
          <w:rFonts w:cstheme="minorHAnsi"/>
          <w:sz w:val="24"/>
          <w:szCs w:val="24"/>
        </w:rPr>
        <w:t xml:space="preserve">Whilst </w:t>
      </w:r>
      <w:r w:rsidR="00F5283D" w:rsidRPr="009F25F4">
        <w:rPr>
          <w:rFonts w:cstheme="minorHAnsi"/>
          <w:sz w:val="24"/>
          <w:szCs w:val="24"/>
        </w:rPr>
        <w:t xml:space="preserve">these are </w:t>
      </w:r>
      <w:r w:rsidR="002A3BE4" w:rsidRPr="009F25F4">
        <w:rPr>
          <w:rFonts w:cstheme="minorHAnsi"/>
          <w:sz w:val="24"/>
          <w:szCs w:val="24"/>
        </w:rPr>
        <w:t xml:space="preserve">extremely valuable, </w:t>
      </w:r>
      <w:r w:rsidR="0097540D" w:rsidRPr="009F25F4">
        <w:rPr>
          <w:rFonts w:cstheme="minorHAnsi"/>
          <w:sz w:val="24"/>
          <w:szCs w:val="24"/>
        </w:rPr>
        <w:t xml:space="preserve">some of </w:t>
      </w:r>
      <w:r w:rsidR="00F5283D" w:rsidRPr="009F25F4">
        <w:rPr>
          <w:rFonts w:cstheme="minorHAnsi"/>
          <w:sz w:val="24"/>
          <w:szCs w:val="24"/>
        </w:rPr>
        <w:t>the qualitative reports</w:t>
      </w:r>
      <w:r w:rsidR="00EF5469" w:rsidRPr="009F25F4">
        <w:rPr>
          <w:rFonts w:cstheme="minorHAnsi"/>
          <w:sz w:val="24"/>
          <w:szCs w:val="24"/>
        </w:rPr>
        <w:t xml:space="preserve"> </w:t>
      </w:r>
      <w:r w:rsidR="00580993" w:rsidRPr="009F25F4">
        <w:rPr>
          <w:rFonts w:cstheme="minorHAnsi"/>
          <w:sz w:val="24"/>
          <w:szCs w:val="24"/>
        </w:rPr>
        <w:t>depict</w:t>
      </w:r>
      <w:r w:rsidR="002A3BE4" w:rsidRPr="009F25F4">
        <w:rPr>
          <w:rFonts w:cstheme="minorHAnsi"/>
          <w:sz w:val="24"/>
          <w:szCs w:val="24"/>
        </w:rPr>
        <w:t xml:space="preserve"> partisan viewpoints</w:t>
      </w:r>
      <w:r w:rsidR="00EF5469" w:rsidRPr="009F25F4">
        <w:rPr>
          <w:rFonts w:cstheme="minorHAnsi"/>
          <w:sz w:val="24"/>
          <w:szCs w:val="24"/>
        </w:rPr>
        <w:t xml:space="preserve"> and political polemics</w:t>
      </w:r>
      <w:r w:rsidR="002A3BE4" w:rsidRPr="009F25F4">
        <w:rPr>
          <w:rFonts w:cstheme="minorHAnsi"/>
          <w:sz w:val="24"/>
          <w:szCs w:val="24"/>
        </w:rPr>
        <w:t xml:space="preserve"> rather than objective observation</w:t>
      </w:r>
      <w:r w:rsidR="007E67DE" w:rsidRPr="009F25F4">
        <w:rPr>
          <w:rFonts w:cstheme="minorHAnsi"/>
          <w:sz w:val="24"/>
          <w:szCs w:val="24"/>
        </w:rPr>
        <w:t xml:space="preserve"> (e.g. Engels 1</w:t>
      </w:r>
      <w:r w:rsidR="00FA7DD1">
        <w:rPr>
          <w:rFonts w:cstheme="minorHAnsi"/>
          <w:sz w:val="24"/>
          <w:szCs w:val="24"/>
        </w:rPr>
        <w:t>950</w:t>
      </w:r>
      <w:r w:rsidR="007E67DE" w:rsidRPr="009F25F4">
        <w:rPr>
          <w:rFonts w:cstheme="minorHAnsi"/>
          <w:sz w:val="24"/>
          <w:szCs w:val="24"/>
        </w:rPr>
        <w:t>)</w:t>
      </w:r>
      <w:r w:rsidR="002A3BE4" w:rsidRPr="009F25F4">
        <w:rPr>
          <w:rFonts w:cstheme="minorHAnsi"/>
          <w:sz w:val="24"/>
          <w:szCs w:val="24"/>
        </w:rPr>
        <w:t xml:space="preserve">. </w:t>
      </w:r>
      <w:r w:rsidR="00E11313" w:rsidRPr="009F25F4">
        <w:rPr>
          <w:rFonts w:cstheme="minorHAnsi"/>
          <w:sz w:val="24"/>
          <w:szCs w:val="24"/>
        </w:rPr>
        <w:t xml:space="preserve">Recent excavations of cemeteries from </w:t>
      </w:r>
      <w:r w:rsidR="00095662" w:rsidRPr="009F25F4">
        <w:rPr>
          <w:rFonts w:cstheme="minorHAnsi"/>
          <w:sz w:val="24"/>
          <w:szCs w:val="24"/>
        </w:rPr>
        <w:t xml:space="preserve">the </w:t>
      </w:r>
      <w:r w:rsidR="005A485D">
        <w:rPr>
          <w:rFonts w:cstheme="minorHAnsi"/>
          <w:sz w:val="24"/>
          <w:szCs w:val="24"/>
        </w:rPr>
        <w:t>eighteenth</w:t>
      </w:r>
      <w:r w:rsidR="00095662" w:rsidRPr="009F25F4">
        <w:rPr>
          <w:rFonts w:cstheme="minorHAnsi"/>
          <w:sz w:val="24"/>
          <w:szCs w:val="24"/>
        </w:rPr>
        <w:t xml:space="preserve"> and </w:t>
      </w:r>
      <w:r w:rsidR="005A485D">
        <w:rPr>
          <w:rFonts w:cstheme="minorHAnsi"/>
          <w:sz w:val="24"/>
          <w:szCs w:val="24"/>
        </w:rPr>
        <w:lastRenderedPageBreak/>
        <w:t>nineteenth</w:t>
      </w:r>
      <w:r w:rsidR="00095662" w:rsidRPr="009F25F4">
        <w:rPr>
          <w:rFonts w:cstheme="minorHAnsi"/>
          <w:sz w:val="24"/>
          <w:szCs w:val="24"/>
        </w:rPr>
        <w:t xml:space="preserve"> centuries </w:t>
      </w:r>
      <w:r w:rsidR="00E11313" w:rsidRPr="009F25F4">
        <w:rPr>
          <w:rFonts w:cstheme="minorHAnsi"/>
          <w:sz w:val="24"/>
          <w:szCs w:val="24"/>
        </w:rPr>
        <w:t xml:space="preserve">have highlighted the </w:t>
      </w:r>
      <w:r w:rsidR="00095662" w:rsidRPr="009F25F4">
        <w:rPr>
          <w:rFonts w:cstheme="minorHAnsi"/>
          <w:sz w:val="24"/>
          <w:szCs w:val="24"/>
        </w:rPr>
        <w:t xml:space="preserve">important </w:t>
      </w:r>
      <w:r w:rsidR="00E11313" w:rsidRPr="009F25F4">
        <w:rPr>
          <w:rFonts w:cstheme="minorHAnsi"/>
          <w:sz w:val="24"/>
          <w:szCs w:val="24"/>
        </w:rPr>
        <w:t xml:space="preserve">contribution of bioarchaeological evidence for examining the </w:t>
      </w:r>
      <w:r w:rsidR="00E11313" w:rsidRPr="009F25F4">
        <w:rPr>
          <w:rFonts w:cstheme="minorHAnsi"/>
          <w:i/>
          <w:sz w:val="24"/>
          <w:szCs w:val="24"/>
        </w:rPr>
        <w:t>direct</w:t>
      </w:r>
      <w:r w:rsidR="00E11313" w:rsidRPr="009F25F4">
        <w:rPr>
          <w:rFonts w:cstheme="minorHAnsi"/>
          <w:sz w:val="24"/>
          <w:szCs w:val="24"/>
        </w:rPr>
        <w:t xml:space="preserve"> physiological impact of these environments on chi</w:t>
      </w:r>
      <w:r w:rsidR="00CC2ADD" w:rsidRPr="009F25F4">
        <w:rPr>
          <w:rFonts w:cstheme="minorHAnsi"/>
          <w:sz w:val="24"/>
          <w:szCs w:val="24"/>
        </w:rPr>
        <w:t xml:space="preserve">ldren living at the time (e.g. </w:t>
      </w:r>
      <w:proofErr w:type="spellStart"/>
      <w:r w:rsidR="00CC2ADD" w:rsidRPr="009F25F4">
        <w:rPr>
          <w:rFonts w:cstheme="minorHAnsi"/>
          <w:sz w:val="24"/>
          <w:szCs w:val="24"/>
        </w:rPr>
        <w:t>Brickley</w:t>
      </w:r>
      <w:proofErr w:type="spellEnd"/>
      <w:r w:rsidR="00CC2ADD" w:rsidRPr="009F25F4">
        <w:rPr>
          <w:rFonts w:cstheme="minorHAnsi"/>
          <w:sz w:val="24"/>
          <w:szCs w:val="24"/>
        </w:rPr>
        <w:t xml:space="preserve"> and Miles 1999</w:t>
      </w:r>
      <w:r w:rsidR="00F5283D" w:rsidRPr="009F25F4">
        <w:rPr>
          <w:rFonts w:cstheme="minorHAnsi"/>
          <w:sz w:val="24"/>
          <w:szCs w:val="24"/>
        </w:rPr>
        <w:t>;</w:t>
      </w:r>
      <w:r w:rsidR="00CC2ADD" w:rsidRPr="009F25F4">
        <w:rPr>
          <w:rFonts w:cstheme="minorHAnsi"/>
          <w:sz w:val="24"/>
          <w:szCs w:val="24"/>
        </w:rPr>
        <w:t xml:space="preserve"> </w:t>
      </w:r>
      <w:proofErr w:type="spellStart"/>
      <w:r w:rsidR="005A485D" w:rsidRPr="005A485D">
        <w:rPr>
          <w:rFonts w:cstheme="minorHAnsi"/>
          <w:sz w:val="24"/>
          <w:szCs w:val="24"/>
        </w:rPr>
        <w:t>DeWitte</w:t>
      </w:r>
      <w:proofErr w:type="spellEnd"/>
      <w:r w:rsidR="005A485D" w:rsidRPr="005A485D">
        <w:rPr>
          <w:rFonts w:cstheme="minorHAnsi"/>
          <w:sz w:val="24"/>
          <w:szCs w:val="24"/>
        </w:rPr>
        <w:t xml:space="preserve"> </w:t>
      </w:r>
      <w:r w:rsidR="005A485D">
        <w:rPr>
          <w:rFonts w:cstheme="minorHAnsi"/>
          <w:sz w:val="24"/>
          <w:szCs w:val="24"/>
        </w:rPr>
        <w:t>et al.</w:t>
      </w:r>
      <w:r w:rsidR="005A485D" w:rsidRPr="005A485D">
        <w:rPr>
          <w:rFonts w:cstheme="minorHAnsi"/>
          <w:sz w:val="24"/>
          <w:szCs w:val="24"/>
        </w:rPr>
        <w:t xml:space="preserve"> 2015; </w:t>
      </w:r>
      <w:r w:rsidR="00EA5EB1">
        <w:rPr>
          <w:rFonts w:cstheme="minorHAnsi"/>
          <w:sz w:val="24"/>
          <w:szCs w:val="24"/>
        </w:rPr>
        <w:t xml:space="preserve">Geber 2016; </w:t>
      </w:r>
      <w:r w:rsidR="00E11313" w:rsidRPr="009F25F4">
        <w:rPr>
          <w:rFonts w:cstheme="minorHAnsi"/>
          <w:sz w:val="24"/>
          <w:szCs w:val="24"/>
        </w:rPr>
        <w:t xml:space="preserve">Lewis </w:t>
      </w:r>
      <w:r w:rsidR="00EF5469" w:rsidRPr="009F25F4">
        <w:rPr>
          <w:rFonts w:cstheme="minorHAnsi"/>
          <w:sz w:val="24"/>
          <w:szCs w:val="24"/>
        </w:rPr>
        <w:t>2002</w:t>
      </w:r>
      <w:r w:rsidR="00F5283D" w:rsidRPr="009F25F4">
        <w:rPr>
          <w:rFonts w:cstheme="minorHAnsi"/>
          <w:sz w:val="24"/>
          <w:szCs w:val="24"/>
        </w:rPr>
        <w:t xml:space="preserve">; </w:t>
      </w:r>
      <w:r w:rsidR="00E11313" w:rsidRPr="009F25F4">
        <w:rPr>
          <w:rFonts w:cstheme="minorHAnsi"/>
          <w:sz w:val="24"/>
          <w:szCs w:val="24"/>
        </w:rPr>
        <w:t>Mays et al.</w:t>
      </w:r>
      <w:r w:rsidR="00F5283D" w:rsidRPr="009F25F4">
        <w:rPr>
          <w:rFonts w:cstheme="minorHAnsi"/>
          <w:sz w:val="24"/>
          <w:szCs w:val="24"/>
        </w:rPr>
        <w:t xml:space="preserve"> 2009;</w:t>
      </w:r>
      <w:r w:rsidR="00CC2ADD" w:rsidRPr="009F25F4">
        <w:rPr>
          <w:rFonts w:cstheme="minorHAnsi"/>
          <w:sz w:val="24"/>
          <w:szCs w:val="24"/>
        </w:rPr>
        <w:t xml:space="preserve"> </w:t>
      </w:r>
      <w:r w:rsidRPr="009F25F4">
        <w:rPr>
          <w:rFonts w:cstheme="minorHAnsi"/>
          <w:sz w:val="24"/>
          <w:szCs w:val="24"/>
        </w:rPr>
        <w:t>Newman and</w:t>
      </w:r>
      <w:r w:rsidR="00DB540F" w:rsidRPr="009F25F4">
        <w:rPr>
          <w:rFonts w:cstheme="minorHAnsi"/>
          <w:sz w:val="24"/>
          <w:szCs w:val="24"/>
        </w:rPr>
        <w:t xml:space="preserve"> </w:t>
      </w:r>
      <w:proofErr w:type="spellStart"/>
      <w:r w:rsidRPr="009F25F4">
        <w:rPr>
          <w:rFonts w:cstheme="minorHAnsi"/>
          <w:sz w:val="24"/>
          <w:szCs w:val="24"/>
        </w:rPr>
        <w:t>Gowland</w:t>
      </w:r>
      <w:proofErr w:type="spellEnd"/>
      <w:r w:rsidRPr="009F25F4">
        <w:rPr>
          <w:rFonts w:cstheme="minorHAnsi"/>
          <w:sz w:val="24"/>
          <w:szCs w:val="24"/>
        </w:rPr>
        <w:t xml:space="preserve"> 2016</w:t>
      </w:r>
      <w:r w:rsidR="005A485D">
        <w:rPr>
          <w:rFonts w:cstheme="minorHAnsi"/>
          <w:sz w:val="24"/>
          <w:szCs w:val="24"/>
        </w:rPr>
        <w:t>;</w:t>
      </w:r>
      <w:r w:rsidR="005A485D" w:rsidRPr="005A485D">
        <w:rPr>
          <w:rFonts w:cstheme="minorHAnsi"/>
          <w:sz w:val="24"/>
          <w:szCs w:val="24"/>
        </w:rPr>
        <w:t xml:space="preserve"> </w:t>
      </w:r>
      <w:proofErr w:type="spellStart"/>
      <w:r w:rsidR="005A485D" w:rsidRPr="005A485D">
        <w:rPr>
          <w:rFonts w:cstheme="minorHAnsi"/>
          <w:sz w:val="24"/>
          <w:szCs w:val="24"/>
        </w:rPr>
        <w:t>Pinhasi</w:t>
      </w:r>
      <w:proofErr w:type="spellEnd"/>
      <w:r w:rsidR="005A485D" w:rsidRPr="005A485D">
        <w:rPr>
          <w:rFonts w:cstheme="minorHAnsi"/>
          <w:sz w:val="24"/>
          <w:szCs w:val="24"/>
        </w:rPr>
        <w:t xml:space="preserve"> et al. 2006</w:t>
      </w:r>
      <w:r w:rsidR="00E11313" w:rsidRPr="005A485D">
        <w:rPr>
          <w:rFonts w:cstheme="minorHAnsi"/>
          <w:sz w:val="24"/>
          <w:szCs w:val="24"/>
        </w:rPr>
        <w:t>)</w:t>
      </w:r>
      <w:r w:rsidR="00E11313" w:rsidRPr="009F25F4">
        <w:rPr>
          <w:rFonts w:cstheme="minorHAnsi"/>
          <w:sz w:val="24"/>
          <w:szCs w:val="24"/>
        </w:rPr>
        <w:t xml:space="preserve">. </w:t>
      </w:r>
      <w:r w:rsidR="00095662" w:rsidRPr="009F25F4">
        <w:rPr>
          <w:rFonts w:cstheme="minorHAnsi"/>
          <w:sz w:val="24"/>
          <w:szCs w:val="24"/>
        </w:rPr>
        <w:t xml:space="preserve">Childhood growth and morbidity is multidimensional in </w:t>
      </w:r>
      <w:proofErr w:type="spellStart"/>
      <w:r w:rsidR="00095662" w:rsidRPr="009F25F4">
        <w:rPr>
          <w:rFonts w:cstheme="minorHAnsi"/>
          <w:sz w:val="24"/>
          <w:szCs w:val="24"/>
        </w:rPr>
        <w:t>etiology</w:t>
      </w:r>
      <w:proofErr w:type="spellEnd"/>
      <w:r w:rsidR="00095662" w:rsidRPr="009F25F4">
        <w:rPr>
          <w:rFonts w:cstheme="minorHAnsi"/>
          <w:sz w:val="24"/>
          <w:szCs w:val="24"/>
        </w:rPr>
        <w:t>, but is widely documented as being a sensitive indicator of socio-eco</w:t>
      </w:r>
      <w:r w:rsidRPr="009F25F4">
        <w:rPr>
          <w:rFonts w:cstheme="minorHAnsi"/>
          <w:sz w:val="24"/>
          <w:szCs w:val="24"/>
        </w:rPr>
        <w:t xml:space="preserve">nomic environment (Lewis 2007). </w:t>
      </w:r>
      <w:r w:rsidR="00580993" w:rsidRPr="009F25F4">
        <w:rPr>
          <w:rFonts w:cstheme="minorHAnsi"/>
          <w:sz w:val="24"/>
          <w:szCs w:val="24"/>
        </w:rPr>
        <w:t>Recent bioarchaeological analyse</w:t>
      </w:r>
      <w:r w:rsidRPr="009F25F4">
        <w:rPr>
          <w:rFonts w:cstheme="minorHAnsi"/>
          <w:sz w:val="24"/>
          <w:szCs w:val="24"/>
        </w:rPr>
        <w:t xml:space="preserve">s </w:t>
      </w:r>
      <w:r w:rsidR="00E11313" w:rsidRPr="009F25F4">
        <w:rPr>
          <w:rFonts w:cstheme="minorHAnsi"/>
          <w:sz w:val="24"/>
          <w:szCs w:val="24"/>
        </w:rPr>
        <w:t xml:space="preserve">have been </w:t>
      </w:r>
      <w:r w:rsidRPr="009F25F4">
        <w:rPr>
          <w:rFonts w:cstheme="minorHAnsi"/>
          <w:sz w:val="24"/>
          <w:szCs w:val="24"/>
        </w:rPr>
        <w:t>strongly biased towards urban population samples</w:t>
      </w:r>
      <w:r w:rsidR="00E11313" w:rsidRPr="009F25F4">
        <w:rPr>
          <w:rFonts w:cstheme="minorHAnsi"/>
          <w:sz w:val="24"/>
          <w:szCs w:val="24"/>
        </w:rPr>
        <w:t xml:space="preserve">, </w:t>
      </w:r>
      <w:r w:rsidR="00580993" w:rsidRPr="009F25F4">
        <w:rPr>
          <w:rFonts w:cstheme="minorHAnsi"/>
          <w:sz w:val="24"/>
          <w:szCs w:val="24"/>
        </w:rPr>
        <w:t>because</w:t>
      </w:r>
      <w:r w:rsidR="00E11313" w:rsidRPr="009F25F4">
        <w:rPr>
          <w:rFonts w:cstheme="minorHAnsi"/>
          <w:sz w:val="24"/>
          <w:szCs w:val="24"/>
        </w:rPr>
        <w:t xml:space="preserve"> so few rural sites</w:t>
      </w:r>
      <w:r w:rsidRPr="009F25F4">
        <w:rPr>
          <w:rFonts w:cstheme="minorHAnsi"/>
          <w:sz w:val="24"/>
          <w:szCs w:val="24"/>
        </w:rPr>
        <w:t xml:space="preserve"> dating to this period</w:t>
      </w:r>
      <w:r w:rsidR="00E11313" w:rsidRPr="009F25F4">
        <w:rPr>
          <w:rFonts w:cstheme="minorHAnsi"/>
          <w:sz w:val="24"/>
          <w:szCs w:val="24"/>
        </w:rPr>
        <w:t xml:space="preserve"> h</w:t>
      </w:r>
      <w:r w:rsidR="00F5283D" w:rsidRPr="009F25F4">
        <w:rPr>
          <w:rFonts w:cstheme="minorHAnsi"/>
          <w:sz w:val="24"/>
          <w:szCs w:val="24"/>
        </w:rPr>
        <w:t>ave been excavated. Mays et al.</w:t>
      </w:r>
      <w:r w:rsidR="00E11313" w:rsidRPr="009F25F4">
        <w:rPr>
          <w:rFonts w:cstheme="minorHAnsi"/>
          <w:sz w:val="24"/>
          <w:szCs w:val="24"/>
        </w:rPr>
        <w:t xml:space="preserve"> (2008) </w:t>
      </w:r>
      <w:r w:rsidR="00580993" w:rsidRPr="009F25F4">
        <w:rPr>
          <w:rFonts w:cstheme="minorHAnsi"/>
          <w:sz w:val="24"/>
          <w:szCs w:val="24"/>
        </w:rPr>
        <w:t>provide</w:t>
      </w:r>
      <w:r w:rsidR="002A3BE4" w:rsidRPr="009F25F4">
        <w:rPr>
          <w:rFonts w:cstheme="minorHAnsi"/>
          <w:sz w:val="24"/>
          <w:szCs w:val="24"/>
        </w:rPr>
        <w:t xml:space="preserve"> a valuable comparison of</w:t>
      </w:r>
      <w:r w:rsidR="00E11313" w:rsidRPr="009F25F4">
        <w:rPr>
          <w:rFonts w:cstheme="minorHAnsi"/>
          <w:sz w:val="24"/>
          <w:szCs w:val="24"/>
        </w:rPr>
        <w:t xml:space="preserve"> urban Birmin</w:t>
      </w:r>
      <w:r w:rsidR="00095662" w:rsidRPr="009F25F4">
        <w:rPr>
          <w:rFonts w:cstheme="minorHAnsi"/>
          <w:sz w:val="24"/>
          <w:szCs w:val="24"/>
        </w:rPr>
        <w:t xml:space="preserve">gham with rural </w:t>
      </w:r>
      <w:proofErr w:type="spellStart"/>
      <w:r w:rsidR="00095662" w:rsidRPr="009F25F4">
        <w:rPr>
          <w:rFonts w:cstheme="minorHAnsi"/>
          <w:sz w:val="24"/>
          <w:szCs w:val="24"/>
        </w:rPr>
        <w:t>Wharram</w:t>
      </w:r>
      <w:proofErr w:type="spellEnd"/>
      <w:r w:rsidR="00095662" w:rsidRPr="009F25F4">
        <w:rPr>
          <w:rFonts w:cstheme="minorHAnsi"/>
          <w:sz w:val="24"/>
          <w:szCs w:val="24"/>
        </w:rPr>
        <w:t xml:space="preserve"> Percy, but t</w:t>
      </w:r>
      <w:r w:rsidR="00E11313" w:rsidRPr="009F25F4">
        <w:rPr>
          <w:rFonts w:cstheme="minorHAnsi"/>
          <w:sz w:val="24"/>
          <w:szCs w:val="24"/>
        </w:rPr>
        <w:t>he latter site was in use for a millennium and predominantly medieval</w:t>
      </w:r>
      <w:r w:rsidR="00095662" w:rsidRPr="009F25F4">
        <w:rPr>
          <w:rFonts w:cstheme="minorHAnsi"/>
          <w:sz w:val="24"/>
          <w:szCs w:val="24"/>
        </w:rPr>
        <w:t>,</w:t>
      </w:r>
      <w:r w:rsidR="00E11313" w:rsidRPr="009F25F4">
        <w:rPr>
          <w:rFonts w:cstheme="minorHAnsi"/>
          <w:sz w:val="24"/>
          <w:szCs w:val="24"/>
        </w:rPr>
        <w:t xml:space="preserve"> thus lacking chronological </w:t>
      </w:r>
      <w:r w:rsidR="002A3BE4" w:rsidRPr="009F25F4">
        <w:rPr>
          <w:rFonts w:cstheme="minorHAnsi"/>
          <w:sz w:val="24"/>
          <w:szCs w:val="24"/>
        </w:rPr>
        <w:t>resolution</w:t>
      </w:r>
      <w:r w:rsidR="00E11313" w:rsidRPr="009F25F4">
        <w:rPr>
          <w:rFonts w:cstheme="minorHAnsi"/>
          <w:sz w:val="24"/>
          <w:szCs w:val="24"/>
        </w:rPr>
        <w:t>.</w:t>
      </w:r>
      <w:r w:rsidR="002A3BE4" w:rsidRPr="009F25F4">
        <w:rPr>
          <w:rFonts w:cstheme="minorHAnsi"/>
          <w:sz w:val="24"/>
          <w:szCs w:val="24"/>
        </w:rPr>
        <w:t xml:space="preserve"> </w:t>
      </w:r>
      <w:r w:rsidR="00F5283D" w:rsidRPr="009F25F4">
        <w:rPr>
          <w:rFonts w:cstheme="minorHAnsi"/>
          <w:sz w:val="24"/>
          <w:szCs w:val="24"/>
        </w:rPr>
        <w:t>This is important, because r</w:t>
      </w:r>
      <w:r w:rsidR="00095662" w:rsidRPr="009F25F4">
        <w:rPr>
          <w:rFonts w:cstheme="minorHAnsi"/>
          <w:sz w:val="24"/>
          <w:szCs w:val="24"/>
        </w:rPr>
        <w:t>ural</w:t>
      </w:r>
      <w:r w:rsidR="00E11313" w:rsidRPr="009F25F4">
        <w:rPr>
          <w:rFonts w:cstheme="minorHAnsi"/>
          <w:sz w:val="24"/>
          <w:szCs w:val="24"/>
        </w:rPr>
        <w:t xml:space="preserve"> lifeways were not static and unchanging </w:t>
      </w:r>
      <w:r w:rsidR="00095662" w:rsidRPr="009F25F4">
        <w:rPr>
          <w:rFonts w:cstheme="minorHAnsi"/>
          <w:sz w:val="24"/>
          <w:szCs w:val="24"/>
        </w:rPr>
        <w:t>across the last millennium</w:t>
      </w:r>
      <w:r w:rsidR="00C9139F" w:rsidRPr="009F25F4">
        <w:rPr>
          <w:rFonts w:cstheme="minorHAnsi"/>
          <w:sz w:val="24"/>
          <w:szCs w:val="24"/>
        </w:rPr>
        <w:t xml:space="preserve">; </w:t>
      </w:r>
      <w:r w:rsidR="00E11313" w:rsidRPr="009F25F4">
        <w:rPr>
          <w:rFonts w:cstheme="minorHAnsi"/>
          <w:sz w:val="24"/>
          <w:szCs w:val="24"/>
        </w:rPr>
        <w:t xml:space="preserve">rural industry also </w:t>
      </w:r>
      <w:r w:rsidR="007E67DE" w:rsidRPr="009F25F4">
        <w:rPr>
          <w:rFonts w:cstheme="minorHAnsi"/>
          <w:sz w:val="24"/>
          <w:szCs w:val="24"/>
        </w:rPr>
        <w:t>developed</w:t>
      </w:r>
      <w:r w:rsidR="00E11313" w:rsidRPr="009F25F4">
        <w:rPr>
          <w:rFonts w:cstheme="minorHAnsi"/>
          <w:sz w:val="24"/>
          <w:szCs w:val="24"/>
        </w:rPr>
        <w:t xml:space="preserve"> apace during the late </w:t>
      </w:r>
      <w:r w:rsidR="005A485D">
        <w:rPr>
          <w:rFonts w:cstheme="minorHAnsi"/>
          <w:sz w:val="24"/>
          <w:szCs w:val="24"/>
        </w:rPr>
        <w:t>eighteenth</w:t>
      </w:r>
      <w:r w:rsidR="00E11313" w:rsidRPr="009F25F4">
        <w:rPr>
          <w:rFonts w:cstheme="minorHAnsi"/>
          <w:sz w:val="24"/>
          <w:szCs w:val="24"/>
        </w:rPr>
        <w:t xml:space="preserve"> and early </w:t>
      </w:r>
      <w:r w:rsidR="005A485D">
        <w:rPr>
          <w:rFonts w:cstheme="minorHAnsi"/>
          <w:sz w:val="24"/>
          <w:szCs w:val="24"/>
        </w:rPr>
        <w:t>nineteenth</w:t>
      </w:r>
      <w:r w:rsidR="00E11313" w:rsidRPr="009F25F4">
        <w:rPr>
          <w:rFonts w:cstheme="minorHAnsi"/>
          <w:sz w:val="24"/>
          <w:szCs w:val="24"/>
        </w:rPr>
        <w:t xml:space="preserve"> centuries.</w:t>
      </w:r>
      <w:r w:rsidR="00BD3DCA" w:rsidRPr="009F25F4">
        <w:rPr>
          <w:rFonts w:cstheme="minorHAnsi"/>
          <w:sz w:val="24"/>
          <w:szCs w:val="24"/>
        </w:rPr>
        <w:t xml:space="preserve"> </w:t>
      </w:r>
    </w:p>
    <w:p w14:paraId="73454CFD" w14:textId="77777777" w:rsidR="00C9139F" w:rsidRPr="009F25F4" w:rsidRDefault="00C9139F" w:rsidP="00453751">
      <w:pPr>
        <w:spacing w:before="100" w:after="100" w:line="480" w:lineRule="auto"/>
        <w:rPr>
          <w:rFonts w:cstheme="minorHAnsi"/>
          <w:sz w:val="24"/>
          <w:szCs w:val="24"/>
        </w:rPr>
      </w:pPr>
    </w:p>
    <w:p w14:paraId="00EA6BEC" w14:textId="57CCDA01" w:rsidR="00E11313" w:rsidRPr="009F25F4" w:rsidRDefault="00BD3DCA" w:rsidP="00453751">
      <w:pPr>
        <w:spacing w:before="100" w:after="100" w:line="480" w:lineRule="auto"/>
        <w:rPr>
          <w:rFonts w:cstheme="minorHAnsi"/>
          <w:sz w:val="24"/>
          <w:szCs w:val="24"/>
        </w:rPr>
      </w:pPr>
      <w:r w:rsidRPr="009F25F4">
        <w:rPr>
          <w:rFonts w:cstheme="minorHAnsi"/>
          <w:sz w:val="24"/>
          <w:szCs w:val="24"/>
        </w:rPr>
        <w:t xml:space="preserve">The aim of this study </w:t>
      </w:r>
      <w:r w:rsidR="007E67DE" w:rsidRPr="009F25F4">
        <w:rPr>
          <w:rFonts w:cstheme="minorHAnsi"/>
          <w:sz w:val="24"/>
          <w:szCs w:val="24"/>
        </w:rPr>
        <w:t>was</w:t>
      </w:r>
      <w:r w:rsidRPr="009F25F4">
        <w:rPr>
          <w:rFonts w:cstheme="minorHAnsi"/>
          <w:sz w:val="24"/>
          <w:szCs w:val="24"/>
        </w:rPr>
        <w:t xml:space="preserve"> to compare and contrast rural and urban skeletal </w:t>
      </w:r>
      <w:r w:rsidR="00095591">
        <w:rPr>
          <w:rFonts w:cstheme="minorHAnsi"/>
          <w:sz w:val="24"/>
          <w:szCs w:val="24"/>
        </w:rPr>
        <w:t>evidence</w:t>
      </w:r>
      <w:r w:rsidRPr="009F25F4">
        <w:rPr>
          <w:rFonts w:cstheme="minorHAnsi"/>
          <w:sz w:val="24"/>
          <w:szCs w:val="24"/>
        </w:rPr>
        <w:t xml:space="preserve"> for </w:t>
      </w:r>
      <w:r w:rsidR="00DA59BE" w:rsidRPr="009F25F4">
        <w:rPr>
          <w:rFonts w:cstheme="minorHAnsi"/>
          <w:sz w:val="24"/>
          <w:szCs w:val="24"/>
        </w:rPr>
        <w:t xml:space="preserve">the </w:t>
      </w:r>
      <w:r w:rsidRPr="009F25F4">
        <w:rPr>
          <w:rFonts w:cstheme="minorHAnsi"/>
          <w:sz w:val="24"/>
          <w:szCs w:val="24"/>
        </w:rPr>
        <w:t xml:space="preserve">health and mortality of </w:t>
      </w:r>
      <w:r w:rsidR="00B442AF">
        <w:rPr>
          <w:rFonts w:cstheme="minorHAnsi"/>
          <w:sz w:val="24"/>
          <w:szCs w:val="24"/>
        </w:rPr>
        <w:t>children from two sites in the n</w:t>
      </w:r>
      <w:r w:rsidRPr="009F25F4">
        <w:rPr>
          <w:rFonts w:cstheme="minorHAnsi"/>
          <w:sz w:val="24"/>
          <w:szCs w:val="24"/>
        </w:rPr>
        <w:t xml:space="preserve">orth of England in order to </w:t>
      </w:r>
      <w:r w:rsidR="00DA59BE" w:rsidRPr="009F25F4">
        <w:rPr>
          <w:rFonts w:cstheme="minorHAnsi"/>
          <w:sz w:val="24"/>
          <w:szCs w:val="24"/>
        </w:rPr>
        <w:t>assess</w:t>
      </w:r>
      <w:r w:rsidRPr="009F25F4">
        <w:rPr>
          <w:rFonts w:cstheme="minorHAnsi"/>
          <w:sz w:val="24"/>
          <w:szCs w:val="24"/>
        </w:rPr>
        <w:t xml:space="preserve"> </w:t>
      </w:r>
      <w:r w:rsidR="00095662" w:rsidRPr="009F25F4">
        <w:rPr>
          <w:rFonts w:cstheme="minorHAnsi"/>
          <w:sz w:val="24"/>
          <w:szCs w:val="24"/>
        </w:rPr>
        <w:t xml:space="preserve">the </w:t>
      </w:r>
      <w:r w:rsidR="00B442AF">
        <w:rPr>
          <w:rFonts w:cstheme="minorHAnsi"/>
          <w:sz w:val="24"/>
          <w:szCs w:val="24"/>
        </w:rPr>
        <w:t xml:space="preserve">historically accepted </w:t>
      </w:r>
      <w:r w:rsidR="00095662" w:rsidRPr="009F25F4">
        <w:rPr>
          <w:rFonts w:cstheme="minorHAnsi"/>
          <w:sz w:val="24"/>
          <w:szCs w:val="24"/>
        </w:rPr>
        <w:t xml:space="preserve">idea </w:t>
      </w:r>
      <w:r w:rsidRPr="009F25F4">
        <w:rPr>
          <w:rFonts w:cstheme="minorHAnsi"/>
          <w:sz w:val="24"/>
          <w:szCs w:val="24"/>
        </w:rPr>
        <w:t xml:space="preserve">that rural </w:t>
      </w:r>
      <w:r w:rsidR="00DA59BE" w:rsidRPr="009F25F4">
        <w:rPr>
          <w:rFonts w:cstheme="minorHAnsi"/>
          <w:sz w:val="24"/>
          <w:szCs w:val="24"/>
        </w:rPr>
        <w:t>environments</w:t>
      </w:r>
      <w:r w:rsidRPr="009F25F4">
        <w:rPr>
          <w:rFonts w:cstheme="minorHAnsi"/>
          <w:sz w:val="24"/>
          <w:szCs w:val="24"/>
        </w:rPr>
        <w:t xml:space="preserve"> were </w:t>
      </w:r>
      <w:r w:rsidR="00DA59BE" w:rsidRPr="009F25F4">
        <w:rPr>
          <w:rFonts w:cstheme="minorHAnsi"/>
          <w:sz w:val="24"/>
          <w:szCs w:val="24"/>
        </w:rPr>
        <w:t xml:space="preserve">more conducive to </w:t>
      </w:r>
      <w:r w:rsidR="002A3BE4" w:rsidRPr="009F25F4">
        <w:rPr>
          <w:rFonts w:cstheme="minorHAnsi"/>
          <w:sz w:val="24"/>
          <w:szCs w:val="24"/>
        </w:rPr>
        <w:t xml:space="preserve">better </w:t>
      </w:r>
      <w:r w:rsidR="00DA59BE" w:rsidRPr="009F25F4">
        <w:rPr>
          <w:rFonts w:cstheme="minorHAnsi"/>
          <w:sz w:val="24"/>
          <w:szCs w:val="24"/>
        </w:rPr>
        <w:t>childhood health</w:t>
      </w:r>
      <w:r w:rsidRPr="009F25F4">
        <w:rPr>
          <w:rFonts w:cstheme="minorHAnsi"/>
          <w:sz w:val="24"/>
          <w:szCs w:val="24"/>
        </w:rPr>
        <w:t>.</w:t>
      </w:r>
      <w:r w:rsidR="00095662" w:rsidRPr="009F25F4">
        <w:rPr>
          <w:rFonts w:cstheme="minorHAnsi"/>
          <w:sz w:val="24"/>
          <w:szCs w:val="24"/>
        </w:rPr>
        <w:t xml:space="preserve"> </w:t>
      </w:r>
      <w:r w:rsidR="00095591">
        <w:rPr>
          <w:rFonts w:cstheme="minorHAnsi"/>
          <w:sz w:val="24"/>
          <w:szCs w:val="24"/>
        </w:rPr>
        <w:t>This research provides</w:t>
      </w:r>
      <w:r w:rsidR="00C9139F" w:rsidRPr="009F25F4">
        <w:rPr>
          <w:rFonts w:cstheme="minorHAnsi"/>
          <w:sz w:val="24"/>
          <w:szCs w:val="24"/>
        </w:rPr>
        <w:t xml:space="preserve"> </w:t>
      </w:r>
      <w:r w:rsidR="007E67DE" w:rsidRPr="009F25F4">
        <w:rPr>
          <w:rFonts w:cstheme="minorHAnsi"/>
          <w:sz w:val="24"/>
          <w:szCs w:val="24"/>
        </w:rPr>
        <w:t>a rare insight</w:t>
      </w:r>
      <w:r w:rsidR="00C9139F" w:rsidRPr="009F25F4">
        <w:rPr>
          <w:rFonts w:cstheme="minorHAnsi"/>
          <w:sz w:val="24"/>
          <w:szCs w:val="24"/>
        </w:rPr>
        <w:t xml:space="preserve"> into a rural post-medieval assemblage </w:t>
      </w:r>
      <w:r w:rsidR="007E67DE" w:rsidRPr="009F25F4">
        <w:rPr>
          <w:rFonts w:cstheme="minorHAnsi"/>
          <w:sz w:val="24"/>
          <w:szCs w:val="24"/>
        </w:rPr>
        <w:t xml:space="preserve">(now reburied) </w:t>
      </w:r>
      <w:r w:rsidR="00C9139F" w:rsidRPr="009F25F4">
        <w:rPr>
          <w:rFonts w:cstheme="minorHAnsi"/>
          <w:sz w:val="24"/>
          <w:szCs w:val="24"/>
        </w:rPr>
        <w:t xml:space="preserve">and thus </w:t>
      </w:r>
      <w:r w:rsidR="00095662" w:rsidRPr="009F25F4">
        <w:rPr>
          <w:rFonts w:cstheme="minorHAnsi"/>
          <w:sz w:val="24"/>
          <w:szCs w:val="24"/>
        </w:rPr>
        <w:t xml:space="preserve">also </w:t>
      </w:r>
      <w:r w:rsidR="00EE3CEC" w:rsidRPr="009F25F4">
        <w:rPr>
          <w:rFonts w:cstheme="minorHAnsi"/>
          <w:sz w:val="24"/>
          <w:szCs w:val="24"/>
        </w:rPr>
        <w:t xml:space="preserve">serves to enrich the existing corpus of bioarchaeological knowledge for this period, which </w:t>
      </w:r>
      <w:r w:rsidR="00DA59BE" w:rsidRPr="009F25F4">
        <w:rPr>
          <w:rFonts w:cstheme="minorHAnsi"/>
          <w:sz w:val="24"/>
          <w:szCs w:val="24"/>
        </w:rPr>
        <w:t>has</w:t>
      </w:r>
      <w:r w:rsidR="00EE3CEC" w:rsidRPr="009F25F4">
        <w:rPr>
          <w:rFonts w:cstheme="minorHAnsi"/>
          <w:sz w:val="24"/>
          <w:szCs w:val="24"/>
        </w:rPr>
        <w:t xml:space="preserve"> </w:t>
      </w:r>
      <w:r w:rsidR="00095591">
        <w:rPr>
          <w:rFonts w:cstheme="minorHAnsi"/>
          <w:sz w:val="24"/>
          <w:szCs w:val="24"/>
        </w:rPr>
        <w:t xml:space="preserve">so far </w:t>
      </w:r>
      <w:r w:rsidR="00DA59BE" w:rsidRPr="009F25F4">
        <w:rPr>
          <w:rFonts w:cstheme="minorHAnsi"/>
          <w:sz w:val="24"/>
          <w:szCs w:val="24"/>
        </w:rPr>
        <w:t>been</w:t>
      </w:r>
      <w:r w:rsidR="00EE3CEC" w:rsidRPr="009F25F4">
        <w:rPr>
          <w:rFonts w:cstheme="minorHAnsi"/>
          <w:sz w:val="24"/>
          <w:szCs w:val="24"/>
        </w:rPr>
        <w:t xml:space="preserve"> </w:t>
      </w:r>
      <w:r w:rsidR="00580993" w:rsidRPr="009F25F4">
        <w:rPr>
          <w:rFonts w:cstheme="minorHAnsi"/>
          <w:sz w:val="24"/>
          <w:szCs w:val="24"/>
        </w:rPr>
        <w:t>largely confined to</w:t>
      </w:r>
      <w:r w:rsidR="00EE3CEC" w:rsidRPr="009F25F4">
        <w:rPr>
          <w:rFonts w:cstheme="minorHAnsi"/>
          <w:sz w:val="24"/>
          <w:szCs w:val="24"/>
        </w:rPr>
        <w:t xml:space="preserve"> urban sites</w:t>
      </w:r>
      <w:r w:rsidR="00C9139F" w:rsidRPr="009F25F4">
        <w:rPr>
          <w:rFonts w:cstheme="minorHAnsi"/>
          <w:sz w:val="24"/>
          <w:szCs w:val="24"/>
        </w:rPr>
        <w:t xml:space="preserve">. </w:t>
      </w:r>
      <w:r w:rsidR="00062B6D" w:rsidRPr="009F25F4">
        <w:rPr>
          <w:rFonts w:cstheme="minorHAnsi"/>
          <w:sz w:val="24"/>
          <w:szCs w:val="24"/>
        </w:rPr>
        <w:t>This analysis of sites from the</w:t>
      </w:r>
      <w:r w:rsidR="00C9139F" w:rsidRPr="009F25F4">
        <w:rPr>
          <w:rFonts w:cstheme="minorHAnsi"/>
          <w:sz w:val="24"/>
          <w:szCs w:val="24"/>
        </w:rPr>
        <w:t xml:space="preserve"> north of England </w:t>
      </w:r>
      <w:r w:rsidR="00062B6D" w:rsidRPr="009F25F4">
        <w:rPr>
          <w:rFonts w:cstheme="minorHAnsi"/>
          <w:sz w:val="24"/>
          <w:szCs w:val="24"/>
        </w:rPr>
        <w:t>also</w:t>
      </w:r>
      <w:r w:rsidR="00C9139F" w:rsidRPr="009F25F4">
        <w:rPr>
          <w:rFonts w:cstheme="minorHAnsi"/>
          <w:sz w:val="24"/>
          <w:szCs w:val="24"/>
        </w:rPr>
        <w:t xml:space="preserve"> provide</w:t>
      </w:r>
      <w:r w:rsidR="00062B6D" w:rsidRPr="009F25F4">
        <w:rPr>
          <w:rFonts w:cstheme="minorHAnsi"/>
          <w:sz w:val="24"/>
          <w:szCs w:val="24"/>
        </w:rPr>
        <w:t>s</w:t>
      </w:r>
      <w:r w:rsidR="00C9139F" w:rsidRPr="009F25F4">
        <w:rPr>
          <w:rFonts w:cstheme="minorHAnsi"/>
          <w:sz w:val="24"/>
          <w:szCs w:val="24"/>
        </w:rPr>
        <w:t xml:space="preserve"> </w:t>
      </w:r>
      <w:r w:rsidR="00062B6D" w:rsidRPr="009F25F4">
        <w:rPr>
          <w:rFonts w:cstheme="minorHAnsi"/>
          <w:sz w:val="24"/>
          <w:szCs w:val="24"/>
        </w:rPr>
        <w:t xml:space="preserve">an important comparative data-set given the </w:t>
      </w:r>
      <w:r w:rsidR="007E67DE" w:rsidRPr="009F25F4">
        <w:rPr>
          <w:rFonts w:cstheme="minorHAnsi"/>
          <w:sz w:val="24"/>
          <w:szCs w:val="24"/>
        </w:rPr>
        <w:t>current bias towards</w:t>
      </w:r>
      <w:r w:rsidR="00062B6D" w:rsidRPr="009F25F4">
        <w:rPr>
          <w:rFonts w:cstheme="minorHAnsi"/>
          <w:sz w:val="24"/>
          <w:szCs w:val="24"/>
        </w:rPr>
        <w:t xml:space="preserve"> sites from the</w:t>
      </w:r>
      <w:r w:rsidR="00C9139F" w:rsidRPr="009F25F4">
        <w:rPr>
          <w:rFonts w:cstheme="minorHAnsi"/>
          <w:sz w:val="24"/>
          <w:szCs w:val="24"/>
        </w:rPr>
        <w:t xml:space="preserve"> south </w:t>
      </w:r>
      <w:r w:rsidR="00062B6D" w:rsidRPr="009F25F4">
        <w:rPr>
          <w:rFonts w:cstheme="minorHAnsi"/>
          <w:sz w:val="24"/>
          <w:szCs w:val="24"/>
        </w:rPr>
        <w:t>and midlands</w:t>
      </w:r>
      <w:r w:rsidR="00C9139F" w:rsidRPr="009F25F4">
        <w:rPr>
          <w:rFonts w:cstheme="minorHAnsi"/>
          <w:sz w:val="24"/>
          <w:szCs w:val="24"/>
        </w:rPr>
        <w:t xml:space="preserve">. </w:t>
      </w:r>
      <w:r w:rsidR="00EE3CEC" w:rsidRPr="009F25F4">
        <w:rPr>
          <w:rFonts w:cstheme="minorHAnsi"/>
          <w:sz w:val="24"/>
          <w:szCs w:val="24"/>
        </w:rPr>
        <w:t xml:space="preserve">The bioarchaeological data will be </w:t>
      </w:r>
      <w:r w:rsidR="00EE3CEC" w:rsidRPr="009F25F4">
        <w:rPr>
          <w:rFonts w:cstheme="minorHAnsi"/>
          <w:sz w:val="24"/>
          <w:szCs w:val="24"/>
        </w:rPr>
        <w:lastRenderedPageBreak/>
        <w:t>integrated wi</w:t>
      </w:r>
      <w:r w:rsidR="00C9139F" w:rsidRPr="009F25F4">
        <w:rPr>
          <w:rFonts w:cstheme="minorHAnsi"/>
          <w:sz w:val="24"/>
          <w:szCs w:val="24"/>
        </w:rPr>
        <w:t>th existing historical evidence</w:t>
      </w:r>
      <w:r w:rsidR="00EE3CEC" w:rsidRPr="009F25F4">
        <w:rPr>
          <w:rFonts w:cstheme="minorHAnsi"/>
          <w:sz w:val="24"/>
          <w:szCs w:val="24"/>
        </w:rPr>
        <w:t xml:space="preserve"> to obtain a richer understanding of living and working conditions in both environments. </w:t>
      </w:r>
    </w:p>
    <w:p w14:paraId="46B9A3EB" w14:textId="77777777" w:rsidR="00BA0682" w:rsidRDefault="00BA0682" w:rsidP="00453751">
      <w:pPr>
        <w:spacing w:before="100" w:after="100" w:line="480" w:lineRule="auto"/>
        <w:rPr>
          <w:rFonts w:cs="Arial"/>
          <w:sz w:val="24"/>
          <w:szCs w:val="24"/>
        </w:rPr>
      </w:pPr>
    </w:p>
    <w:p w14:paraId="2D83E0E7" w14:textId="317207DB" w:rsidR="002A1CA3" w:rsidRDefault="00741C0C" w:rsidP="00453751">
      <w:pPr>
        <w:spacing w:line="480" w:lineRule="auto"/>
        <w:rPr>
          <w:b/>
          <w:sz w:val="24"/>
          <w:szCs w:val="24"/>
        </w:rPr>
      </w:pPr>
      <w:r>
        <w:rPr>
          <w:b/>
          <w:sz w:val="24"/>
          <w:szCs w:val="24"/>
        </w:rPr>
        <w:t>Materials</w:t>
      </w:r>
    </w:p>
    <w:p w14:paraId="3757D2E3" w14:textId="39154ECA" w:rsidR="002A1CA3" w:rsidRDefault="00041291" w:rsidP="00453751">
      <w:pPr>
        <w:spacing w:line="480" w:lineRule="auto"/>
        <w:rPr>
          <w:rFonts w:cs="Arial"/>
          <w:sz w:val="24"/>
          <w:szCs w:val="24"/>
          <w:lang w:val="en-US"/>
        </w:rPr>
      </w:pPr>
      <w:r>
        <w:rPr>
          <w:rFonts w:cs="Arial"/>
          <w:sz w:val="24"/>
          <w:szCs w:val="24"/>
          <w:lang w:val="en-US"/>
        </w:rPr>
        <w:t>Skeletal remains were analyz</w:t>
      </w:r>
      <w:r w:rsidR="00ED77DF" w:rsidRPr="00ED77DF">
        <w:rPr>
          <w:rFonts w:cs="Arial"/>
          <w:sz w:val="24"/>
          <w:szCs w:val="24"/>
          <w:lang w:val="en-US"/>
        </w:rPr>
        <w:t>ed from the rural churchyard of St Michael and St Lawrence, Fewston, North Yorkshire and the urban site of Coach Lane, North Shields</w:t>
      </w:r>
      <w:r w:rsidR="00095662">
        <w:rPr>
          <w:rFonts w:cs="Arial"/>
          <w:sz w:val="24"/>
          <w:szCs w:val="24"/>
          <w:lang w:val="en-US"/>
        </w:rPr>
        <w:t xml:space="preserve">, </w:t>
      </w:r>
      <w:proofErr w:type="spellStart"/>
      <w:r w:rsidR="00095662">
        <w:rPr>
          <w:rFonts w:cs="Arial"/>
          <w:sz w:val="24"/>
          <w:szCs w:val="24"/>
          <w:lang w:val="en-US"/>
        </w:rPr>
        <w:t>Tyneside</w:t>
      </w:r>
      <w:proofErr w:type="spellEnd"/>
      <w:r w:rsidR="00062B6D">
        <w:rPr>
          <w:rFonts w:cs="Arial"/>
          <w:sz w:val="24"/>
          <w:szCs w:val="24"/>
          <w:lang w:val="en-US"/>
        </w:rPr>
        <w:t xml:space="preserve"> (Fig</w:t>
      </w:r>
      <w:r w:rsidR="00653A35">
        <w:rPr>
          <w:rFonts w:cs="Arial"/>
          <w:sz w:val="24"/>
          <w:szCs w:val="24"/>
          <w:lang w:val="en-US"/>
        </w:rPr>
        <w:t>.</w:t>
      </w:r>
      <w:r w:rsidR="00ED77DF" w:rsidRPr="00ED77DF">
        <w:rPr>
          <w:rFonts w:cs="Arial"/>
          <w:sz w:val="24"/>
          <w:szCs w:val="24"/>
          <w:lang w:val="en-US"/>
        </w:rPr>
        <w:t xml:space="preserve"> 1).</w:t>
      </w:r>
    </w:p>
    <w:p w14:paraId="017C693D" w14:textId="77777777" w:rsidR="005A485D" w:rsidRPr="00ED77DF" w:rsidRDefault="005A485D" w:rsidP="00453751">
      <w:pPr>
        <w:spacing w:line="480" w:lineRule="auto"/>
        <w:rPr>
          <w:rFonts w:cs="Arial"/>
          <w:sz w:val="24"/>
          <w:szCs w:val="24"/>
          <w:lang w:val="en-US"/>
        </w:rPr>
      </w:pPr>
    </w:p>
    <w:p w14:paraId="34D49B82" w14:textId="59196E3A" w:rsidR="00ED77DF" w:rsidRPr="005A485D" w:rsidRDefault="00ED77DF" w:rsidP="00453751">
      <w:pPr>
        <w:spacing w:line="480" w:lineRule="auto"/>
        <w:rPr>
          <w:rFonts w:cs="Arial"/>
          <w:sz w:val="24"/>
          <w:szCs w:val="24"/>
          <w:lang w:val="en-US"/>
        </w:rPr>
      </w:pPr>
      <w:r w:rsidRPr="005A485D">
        <w:rPr>
          <w:rFonts w:cs="Arial"/>
          <w:sz w:val="24"/>
          <w:szCs w:val="24"/>
          <w:lang w:val="en-US"/>
        </w:rPr>
        <w:t>Fewston, North Yorkshire</w:t>
      </w:r>
    </w:p>
    <w:p w14:paraId="4ACB6168" w14:textId="3BF99C0D" w:rsidR="005C591A" w:rsidRDefault="009E4FF5" w:rsidP="00453751">
      <w:pPr>
        <w:spacing w:line="480" w:lineRule="auto"/>
        <w:rPr>
          <w:rFonts w:cs="Arial"/>
          <w:sz w:val="24"/>
          <w:szCs w:val="24"/>
          <w:lang w:val="en-US"/>
        </w:rPr>
      </w:pPr>
      <w:r w:rsidRPr="00126647">
        <w:rPr>
          <w:rFonts w:cs="Arial"/>
          <w:sz w:val="24"/>
          <w:szCs w:val="24"/>
          <w:lang w:val="en-US"/>
        </w:rPr>
        <w:t xml:space="preserve">Fewston is </w:t>
      </w:r>
      <w:r w:rsidR="00C65553">
        <w:rPr>
          <w:rFonts w:cs="Arial"/>
          <w:sz w:val="24"/>
          <w:szCs w:val="24"/>
          <w:lang w:val="en-US"/>
        </w:rPr>
        <w:t xml:space="preserve">a small village </w:t>
      </w:r>
      <w:r w:rsidRPr="00126647">
        <w:rPr>
          <w:rFonts w:cs="Arial"/>
          <w:sz w:val="24"/>
          <w:szCs w:val="24"/>
          <w:lang w:val="en-US"/>
        </w:rPr>
        <w:t xml:space="preserve">located </w:t>
      </w:r>
      <w:r w:rsidR="005C591A">
        <w:rPr>
          <w:rFonts w:cs="Arial"/>
          <w:sz w:val="24"/>
          <w:szCs w:val="24"/>
          <w:lang w:val="en-US"/>
        </w:rPr>
        <w:t xml:space="preserve">in the Washburn Valley, </w:t>
      </w:r>
      <w:r w:rsidRPr="00126647">
        <w:rPr>
          <w:rFonts w:cs="Arial"/>
          <w:sz w:val="24"/>
          <w:szCs w:val="24"/>
          <w:lang w:val="en-US"/>
        </w:rPr>
        <w:t>near Ha</w:t>
      </w:r>
      <w:r w:rsidR="00741C0C">
        <w:rPr>
          <w:rFonts w:cs="Arial"/>
          <w:sz w:val="24"/>
          <w:szCs w:val="24"/>
          <w:lang w:val="en-US"/>
        </w:rPr>
        <w:t xml:space="preserve">rrogate in North Yorkshire. </w:t>
      </w:r>
      <w:r w:rsidR="00C65553">
        <w:rPr>
          <w:rFonts w:cs="Arial"/>
          <w:sz w:val="24"/>
          <w:szCs w:val="24"/>
          <w:lang w:val="en-US"/>
        </w:rPr>
        <w:t xml:space="preserve">The </w:t>
      </w:r>
      <w:r w:rsidRPr="00126647">
        <w:rPr>
          <w:rFonts w:cs="Arial"/>
          <w:sz w:val="24"/>
          <w:szCs w:val="24"/>
          <w:lang w:val="en-US"/>
        </w:rPr>
        <w:t xml:space="preserve">skeletal assemblage </w:t>
      </w:r>
      <w:r w:rsidR="00E11313">
        <w:rPr>
          <w:rFonts w:cs="Arial"/>
          <w:sz w:val="24"/>
          <w:szCs w:val="24"/>
          <w:lang w:val="en-US"/>
        </w:rPr>
        <w:t xml:space="preserve">was </w:t>
      </w:r>
      <w:r w:rsidR="006D6DD8">
        <w:rPr>
          <w:rFonts w:cs="Arial"/>
          <w:sz w:val="24"/>
          <w:szCs w:val="24"/>
          <w:lang w:val="en-US"/>
        </w:rPr>
        <w:t xml:space="preserve">excavated </w:t>
      </w:r>
      <w:r w:rsidR="00C65553">
        <w:rPr>
          <w:rFonts w:cs="Arial"/>
          <w:sz w:val="24"/>
          <w:szCs w:val="24"/>
          <w:lang w:val="en-US"/>
        </w:rPr>
        <w:t>from the parish church</w:t>
      </w:r>
      <w:r w:rsidR="00857613">
        <w:rPr>
          <w:rFonts w:cs="Arial"/>
          <w:sz w:val="24"/>
          <w:szCs w:val="24"/>
          <w:lang w:val="en-US"/>
        </w:rPr>
        <w:t>yard</w:t>
      </w:r>
      <w:r w:rsidR="00C65553">
        <w:rPr>
          <w:rFonts w:cs="Arial"/>
          <w:sz w:val="24"/>
          <w:szCs w:val="24"/>
          <w:lang w:val="en-US"/>
        </w:rPr>
        <w:t xml:space="preserve"> </w:t>
      </w:r>
      <w:r w:rsidR="0071159F">
        <w:rPr>
          <w:rFonts w:cs="Arial"/>
          <w:sz w:val="24"/>
          <w:szCs w:val="24"/>
          <w:lang w:val="en-US"/>
        </w:rPr>
        <w:t xml:space="preserve">in advance of building work </w:t>
      </w:r>
      <w:r w:rsidR="006D6DD8">
        <w:rPr>
          <w:rFonts w:cs="Arial"/>
          <w:sz w:val="24"/>
          <w:szCs w:val="24"/>
          <w:lang w:val="en-US"/>
        </w:rPr>
        <w:t xml:space="preserve">by John </w:t>
      </w:r>
      <w:proofErr w:type="spellStart"/>
      <w:r w:rsidR="006D6DD8">
        <w:rPr>
          <w:rFonts w:cs="Arial"/>
          <w:sz w:val="24"/>
          <w:szCs w:val="24"/>
          <w:lang w:val="en-US"/>
        </w:rPr>
        <w:t>Buglass</w:t>
      </w:r>
      <w:proofErr w:type="spellEnd"/>
      <w:r w:rsidR="006D6DD8">
        <w:rPr>
          <w:rFonts w:cs="Arial"/>
          <w:sz w:val="24"/>
          <w:szCs w:val="24"/>
          <w:lang w:val="en-US"/>
        </w:rPr>
        <w:t xml:space="preserve"> Archaeological Services in 2009-2010 (</w:t>
      </w:r>
      <w:proofErr w:type="spellStart"/>
      <w:r w:rsidR="003F4160">
        <w:rPr>
          <w:rFonts w:cs="Arial"/>
          <w:sz w:val="24"/>
          <w:szCs w:val="24"/>
          <w:lang w:val="en-US"/>
        </w:rPr>
        <w:t>Buglass</w:t>
      </w:r>
      <w:proofErr w:type="spellEnd"/>
      <w:r w:rsidR="003F4160">
        <w:rPr>
          <w:rFonts w:cs="Arial"/>
          <w:sz w:val="24"/>
          <w:szCs w:val="24"/>
          <w:lang w:val="en-US"/>
        </w:rPr>
        <w:t xml:space="preserve"> 2009; </w:t>
      </w:r>
      <w:proofErr w:type="spellStart"/>
      <w:r w:rsidR="005C673C">
        <w:rPr>
          <w:rFonts w:cs="Arial"/>
          <w:sz w:val="24"/>
          <w:szCs w:val="24"/>
          <w:lang w:val="en-US"/>
        </w:rPr>
        <w:t>Caffell</w:t>
      </w:r>
      <w:proofErr w:type="spellEnd"/>
      <w:r w:rsidR="005C673C">
        <w:rPr>
          <w:rFonts w:cs="Arial"/>
          <w:sz w:val="24"/>
          <w:szCs w:val="24"/>
          <w:lang w:val="en-US"/>
        </w:rPr>
        <w:t xml:space="preserve"> and Holst 2010</w:t>
      </w:r>
      <w:r w:rsidR="00E11313">
        <w:rPr>
          <w:rFonts w:cs="Arial"/>
          <w:sz w:val="24"/>
          <w:szCs w:val="24"/>
          <w:lang w:val="en-US"/>
        </w:rPr>
        <w:t>) and was reburied in September 2016. This assemblage is exceptional for several reasons:</w:t>
      </w:r>
      <w:r w:rsidR="00741C0C">
        <w:rPr>
          <w:rFonts w:cs="Arial"/>
          <w:sz w:val="24"/>
          <w:szCs w:val="24"/>
          <w:lang w:val="en-US"/>
        </w:rPr>
        <w:t xml:space="preserve"> </w:t>
      </w:r>
    </w:p>
    <w:p w14:paraId="7764A640" w14:textId="0131E817" w:rsidR="005C591A" w:rsidRDefault="005C591A" w:rsidP="00453751">
      <w:pPr>
        <w:spacing w:line="480" w:lineRule="auto"/>
        <w:rPr>
          <w:rFonts w:cs="Arial"/>
          <w:sz w:val="24"/>
          <w:szCs w:val="24"/>
          <w:lang w:val="en-US"/>
        </w:rPr>
      </w:pPr>
      <w:r>
        <w:rPr>
          <w:rFonts w:cs="Arial"/>
          <w:sz w:val="24"/>
          <w:szCs w:val="24"/>
          <w:lang w:val="en-US"/>
        </w:rPr>
        <w:t xml:space="preserve">1) It is </w:t>
      </w:r>
      <w:r w:rsidR="009E4FF5" w:rsidRPr="00126647">
        <w:rPr>
          <w:rFonts w:cs="Arial"/>
          <w:sz w:val="24"/>
          <w:szCs w:val="24"/>
          <w:lang w:val="en-US"/>
        </w:rPr>
        <w:t xml:space="preserve">one of </w:t>
      </w:r>
      <w:r w:rsidR="00035514">
        <w:rPr>
          <w:rFonts w:cs="Arial"/>
          <w:sz w:val="24"/>
          <w:szCs w:val="24"/>
          <w:lang w:val="en-US"/>
        </w:rPr>
        <w:t>only a</w:t>
      </w:r>
      <w:r w:rsidR="004D04A8">
        <w:rPr>
          <w:rFonts w:cs="Arial"/>
          <w:sz w:val="24"/>
          <w:szCs w:val="24"/>
          <w:lang w:val="en-US"/>
        </w:rPr>
        <w:t xml:space="preserve"> </w:t>
      </w:r>
      <w:r w:rsidR="009E4FF5" w:rsidRPr="00126647">
        <w:rPr>
          <w:rFonts w:cs="Arial"/>
          <w:sz w:val="24"/>
          <w:szCs w:val="24"/>
          <w:lang w:val="en-US"/>
        </w:rPr>
        <w:t xml:space="preserve">few </w:t>
      </w:r>
      <w:r w:rsidR="00857613">
        <w:rPr>
          <w:rFonts w:cs="Arial"/>
          <w:sz w:val="24"/>
          <w:szCs w:val="24"/>
          <w:lang w:val="en-US"/>
        </w:rPr>
        <w:t xml:space="preserve">predominantly </w:t>
      </w:r>
      <w:r w:rsidR="009E4FF5" w:rsidRPr="00126647">
        <w:rPr>
          <w:rFonts w:cs="Arial"/>
          <w:sz w:val="24"/>
          <w:szCs w:val="24"/>
          <w:lang w:val="en-US"/>
        </w:rPr>
        <w:t xml:space="preserve">post-medieval </w:t>
      </w:r>
      <w:r w:rsidR="00DF6758" w:rsidRPr="00126647">
        <w:rPr>
          <w:rFonts w:cs="Arial"/>
          <w:sz w:val="24"/>
          <w:szCs w:val="24"/>
          <w:lang w:val="en-US"/>
        </w:rPr>
        <w:t xml:space="preserve">rural </w:t>
      </w:r>
      <w:r w:rsidR="009E4FF5" w:rsidRPr="00126647">
        <w:rPr>
          <w:rFonts w:cs="Arial"/>
          <w:sz w:val="24"/>
          <w:szCs w:val="24"/>
          <w:lang w:val="en-US"/>
        </w:rPr>
        <w:t>skeletal coll</w:t>
      </w:r>
      <w:r w:rsidR="00B442AF">
        <w:rPr>
          <w:rFonts w:cs="Arial"/>
          <w:sz w:val="24"/>
          <w:szCs w:val="24"/>
          <w:lang w:val="en-US"/>
        </w:rPr>
        <w:t>ections.</w:t>
      </w:r>
    </w:p>
    <w:p w14:paraId="2F915015" w14:textId="35AED9AD" w:rsidR="005C591A" w:rsidRDefault="005C591A" w:rsidP="00453751">
      <w:pPr>
        <w:spacing w:line="480" w:lineRule="auto"/>
        <w:rPr>
          <w:rFonts w:cs="Arial"/>
          <w:sz w:val="24"/>
          <w:szCs w:val="24"/>
          <w:lang w:val="en-US"/>
        </w:rPr>
      </w:pPr>
      <w:r>
        <w:rPr>
          <w:rFonts w:cs="Arial"/>
          <w:sz w:val="24"/>
          <w:szCs w:val="24"/>
          <w:lang w:val="en-US"/>
        </w:rPr>
        <w:t xml:space="preserve">2) </w:t>
      </w:r>
      <w:r w:rsidR="00864F63">
        <w:rPr>
          <w:rFonts w:cs="Arial"/>
          <w:sz w:val="24"/>
          <w:szCs w:val="24"/>
          <w:lang w:val="en-US"/>
        </w:rPr>
        <w:t>Twenty</w:t>
      </w:r>
      <w:r w:rsidR="00095662">
        <w:rPr>
          <w:rFonts w:cs="Arial"/>
          <w:sz w:val="24"/>
          <w:szCs w:val="24"/>
          <w:lang w:val="en-US"/>
        </w:rPr>
        <w:t>-one</w:t>
      </w:r>
      <w:r w:rsidR="00741C0C">
        <w:rPr>
          <w:rFonts w:cs="Arial"/>
          <w:sz w:val="24"/>
          <w:szCs w:val="24"/>
          <w:lang w:val="en-US"/>
        </w:rPr>
        <w:t xml:space="preserve"> </w:t>
      </w:r>
      <w:r w:rsidR="00095662">
        <w:rPr>
          <w:rFonts w:cs="Arial"/>
          <w:sz w:val="24"/>
          <w:szCs w:val="24"/>
          <w:lang w:val="en-US"/>
        </w:rPr>
        <w:t xml:space="preserve">of the excavated </w:t>
      </w:r>
      <w:r w:rsidR="009E4FF5" w:rsidRPr="00126647">
        <w:rPr>
          <w:rFonts w:cs="Arial"/>
          <w:sz w:val="24"/>
          <w:szCs w:val="24"/>
          <w:lang w:val="en-US"/>
        </w:rPr>
        <w:t>individuals</w:t>
      </w:r>
      <w:r>
        <w:rPr>
          <w:rFonts w:cs="Arial"/>
          <w:sz w:val="24"/>
          <w:szCs w:val="24"/>
          <w:lang w:val="en-US"/>
        </w:rPr>
        <w:t xml:space="preserve"> </w:t>
      </w:r>
      <w:r w:rsidR="00095662">
        <w:rPr>
          <w:rFonts w:cs="Arial"/>
          <w:sz w:val="24"/>
          <w:szCs w:val="24"/>
          <w:lang w:val="en-US"/>
        </w:rPr>
        <w:t xml:space="preserve">were confidently identified </w:t>
      </w:r>
      <w:r>
        <w:rPr>
          <w:rFonts w:cs="Arial"/>
          <w:sz w:val="24"/>
          <w:szCs w:val="24"/>
          <w:lang w:val="en-US"/>
        </w:rPr>
        <w:t>based on coffin plates and grave monuments</w:t>
      </w:r>
      <w:r w:rsidR="00B442AF">
        <w:rPr>
          <w:rFonts w:cs="Arial"/>
          <w:sz w:val="24"/>
          <w:szCs w:val="24"/>
          <w:lang w:val="en-US"/>
        </w:rPr>
        <w:t>.</w:t>
      </w:r>
    </w:p>
    <w:p w14:paraId="74BA116A" w14:textId="12C8433A" w:rsidR="005C591A" w:rsidRDefault="00095662" w:rsidP="00453751">
      <w:pPr>
        <w:spacing w:line="480" w:lineRule="auto"/>
        <w:rPr>
          <w:rFonts w:cs="Arial"/>
          <w:sz w:val="24"/>
          <w:szCs w:val="24"/>
          <w:lang w:val="en-US"/>
        </w:rPr>
      </w:pPr>
      <w:r>
        <w:rPr>
          <w:rFonts w:cs="Arial"/>
          <w:sz w:val="24"/>
          <w:szCs w:val="24"/>
          <w:lang w:val="en-US"/>
        </w:rPr>
        <w:t xml:space="preserve">3) </w:t>
      </w:r>
      <w:r w:rsidR="00864F63">
        <w:rPr>
          <w:rFonts w:cs="Arial"/>
          <w:sz w:val="24"/>
          <w:szCs w:val="24"/>
          <w:lang w:val="en-US"/>
        </w:rPr>
        <w:t>Diaries</w:t>
      </w:r>
      <w:r w:rsidR="009E4FF5" w:rsidRPr="00126647">
        <w:rPr>
          <w:rFonts w:cs="Arial"/>
          <w:sz w:val="24"/>
          <w:szCs w:val="24"/>
          <w:lang w:val="en-US"/>
        </w:rPr>
        <w:t xml:space="preserve"> </w:t>
      </w:r>
      <w:r w:rsidR="005C591A">
        <w:rPr>
          <w:rFonts w:cs="Arial"/>
          <w:sz w:val="24"/>
          <w:szCs w:val="24"/>
          <w:lang w:val="en-US"/>
        </w:rPr>
        <w:t>of</w:t>
      </w:r>
      <w:r w:rsidR="0094156B">
        <w:rPr>
          <w:rFonts w:cs="Arial"/>
          <w:sz w:val="24"/>
          <w:szCs w:val="24"/>
          <w:lang w:val="en-US"/>
        </w:rPr>
        <w:t xml:space="preserve"> John Dickinson,</w:t>
      </w:r>
      <w:r w:rsidR="005C591A">
        <w:rPr>
          <w:rFonts w:cs="Arial"/>
          <w:sz w:val="24"/>
          <w:szCs w:val="24"/>
          <w:lang w:val="en-US"/>
        </w:rPr>
        <w:t xml:space="preserve"> a </w:t>
      </w:r>
      <w:r>
        <w:rPr>
          <w:rFonts w:cs="Arial"/>
          <w:sz w:val="24"/>
          <w:szCs w:val="24"/>
          <w:lang w:val="en-US"/>
        </w:rPr>
        <w:t xml:space="preserve">late </w:t>
      </w:r>
      <w:r w:rsidR="005A485D">
        <w:rPr>
          <w:rFonts w:cs="Arial"/>
          <w:sz w:val="24"/>
          <w:szCs w:val="24"/>
          <w:lang w:val="en-US"/>
        </w:rPr>
        <w:t>nineteenth</w:t>
      </w:r>
      <w:r w:rsidR="005C591A">
        <w:rPr>
          <w:rFonts w:cs="Arial"/>
          <w:sz w:val="24"/>
          <w:szCs w:val="24"/>
          <w:lang w:val="en-US"/>
        </w:rPr>
        <w:t xml:space="preserve"> century</w:t>
      </w:r>
      <w:r w:rsidR="0094156B">
        <w:rPr>
          <w:rFonts w:cs="Arial"/>
          <w:sz w:val="24"/>
          <w:szCs w:val="24"/>
          <w:lang w:val="en-US"/>
        </w:rPr>
        <w:t xml:space="preserve"> </w:t>
      </w:r>
      <w:r w:rsidR="005C591A">
        <w:rPr>
          <w:rFonts w:cs="Arial"/>
          <w:sz w:val="24"/>
          <w:szCs w:val="24"/>
          <w:lang w:val="en-US"/>
        </w:rPr>
        <w:t>resident</w:t>
      </w:r>
      <w:r w:rsidR="0094156B">
        <w:rPr>
          <w:rFonts w:cs="Arial"/>
          <w:sz w:val="24"/>
          <w:szCs w:val="24"/>
          <w:lang w:val="en-US"/>
        </w:rPr>
        <w:t xml:space="preserve"> of the adj</w:t>
      </w:r>
      <w:r>
        <w:rPr>
          <w:rFonts w:cs="Arial"/>
          <w:sz w:val="24"/>
          <w:szCs w:val="24"/>
          <w:lang w:val="en-US"/>
        </w:rPr>
        <w:t xml:space="preserve">acent village of Greater </w:t>
      </w:r>
      <w:proofErr w:type="spellStart"/>
      <w:r>
        <w:rPr>
          <w:rFonts w:cs="Arial"/>
          <w:sz w:val="24"/>
          <w:szCs w:val="24"/>
          <w:lang w:val="en-US"/>
        </w:rPr>
        <w:t>Timble</w:t>
      </w:r>
      <w:proofErr w:type="spellEnd"/>
      <w:r w:rsidR="00095591">
        <w:rPr>
          <w:rFonts w:cs="Arial"/>
          <w:sz w:val="24"/>
          <w:szCs w:val="24"/>
          <w:lang w:val="en-US"/>
        </w:rPr>
        <w:t>,</w:t>
      </w:r>
      <w:r w:rsidR="00035514">
        <w:rPr>
          <w:rFonts w:cs="Arial"/>
          <w:sz w:val="24"/>
          <w:szCs w:val="24"/>
          <w:lang w:val="en-US"/>
        </w:rPr>
        <w:t xml:space="preserve"> </w:t>
      </w:r>
      <w:r w:rsidR="0094156B">
        <w:rPr>
          <w:rFonts w:cs="Arial"/>
          <w:sz w:val="24"/>
          <w:szCs w:val="24"/>
          <w:lang w:val="en-US"/>
        </w:rPr>
        <w:t xml:space="preserve">provide </w:t>
      </w:r>
      <w:r w:rsidR="005C591A">
        <w:rPr>
          <w:rFonts w:cs="Arial"/>
          <w:sz w:val="24"/>
          <w:szCs w:val="24"/>
          <w:lang w:val="en-US"/>
        </w:rPr>
        <w:t xml:space="preserve">important historical insights into </w:t>
      </w:r>
      <w:r w:rsidR="009E4FF5" w:rsidRPr="00126647">
        <w:rPr>
          <w:rFonts w:cs="Arial"/>
          <w:sz w:val="24"/>
          <w:szCs w:val="24"/>
          <w:lang w:val="en-US"/>
        </w:rPr>
        <w:t>everyday life</w:t>
      </w:r>
      <w:r w:rsidR="005C591A">
        <w:rPr>
          <w:rFonts w:cs="Arial"/>
          <w:sz w:val="24"/>
          <w:szCs w:val="24"/>
          <w:lang w:val="en-US"/>
        </w:rPr>
        <w:t xml:space="preserve"> in the Washburn Valley</w:t>
      </w:r>
      <w:r w:rsidR="009E4FF5" w:rsidRPr="00126647">
        <w:rPr>
          <w:rFonts w:cs="Arial"/>
          <w:sz w:val="24"/>
          <w:szCs w:val="24"/>
          <w:lang w:val="en-US"/>
        </w:rPr>
        <w:t xml:space="preserve">. </w:t>
      </w:r>
      <w:r w:rsidR="000F0881">
        <w:rPr>
          <w:rFonts w:cs="Arial"/>
          <w:sz w:val="24"/>
          <w:szCs w:val="24"/>
          <w:lang w:val="en-US"/>
        </w:rPr>
        <w:t xml:space="preserve">The </w:t>
      </w:r>
      <w:r w:rsidR="005A485D">
        <w:rPr>
          <w:rFonts w:cs="Arial"/>
          <w:sz w:val="24"/>
          <w:szCs w:val="24"/>
          <w:lang w:val="en-US"/>
        </w:rPr>
        <w:t>diaries</w:t>
      </w:r>
      <w:r w:rsidR="000F0881">
        <w:rPr>
          <w:rFonts w:cs="Arial"/>
          <w:sz w:val="24"/>
          <w:szCs w:val="24"/>
          <w:lang w:val="en-US"/>
        </w:rPr>
        <w:t xml:space="preserve"> also </w:t>
      </w:r>
      <w:r w:rsidR="00095591">
        <w:rPr>
          <w:rFonts w:cs="Arial"/>
          <w:sz w:val="24"/>
          <w:szCs w:val="24"/>
          <w:lang w:val="en-US"/>
        </w:rPr>
        <w:t>refer</w:t>
      </w:r>
      <w:r w:rsidR="0094156B">
        <w:rPr>
          <w:rFonts w:cs="Arial"/>
          <w:sz w:val="24"/>
          <w:szCs w:val="24"/>
          <w:lang w:val="en-US"/>
        </w:rPr>
        <w:t xml:space="preserve"> to</w:t>
      </w:r>
      <w:r w:rsidR="000F0881">
        <w:rPr>
          <w:rFonts w:cs="Arial"/>
          <w:sz w:val="24"/>
          <w:szCs w:val="24"/>
          <w:lang w:val="en-US"/>
        </w:rPr>
        <w:t xml:space="preserve"> a number of the </w:t>
      </w:r>
      <w:r w:rsidR="0094156B">
        <w:rPr>
          <w:rFonts w:cs="Arial"/>
          <w:sz w:val="24"/>
          <w:szCs w:val="24"/>
          <w:lang w:val="en-US"/>
        </w:rPr>
        <w:t>identified</w:t>
      </w:r>
      <w:r w:rsidR="000F0881">
        <w:rPr>
          <w:rFonts w:cs="Arial"/>
          <w:sz w:val="24"/>
          <w:szCs w:val="24"/>
          <w:lang w:val="en-US"/>
        </w:rPr>
        <w:t xml:space="preserve"> individuals </w:t>
      </w:r>
      <w:r w:rsidR="0094156B">
        <w:rPr>
          <w:rFonts w:cs="Arial"/>
          <w:sz w:val="24"/>
          <w:szCs w:val="24"/>
          <w:lang w:val="en-US"/>
        </w:rPr>
        <w:t>within the skeletal assemblage, thus providing</w:t>
      </w:r>
      <w:r>
        <w:rPr>
          <w:rFonts w:cs="Arial"/>
          <w:sz w:val="24"/>
          <w:szCs w:val="24"/>
          <w:lang w:val="en-US"/>
        </w:rPr>
        <w:t xml:space="preserve"> unique </w:t>
      </w:r>
      <w:r w:rsidR="005C673C">
        <w:rPr>
          <w:rFonts w:cs="Arial"/>
          <w:sz w:val="24"/>
          <w:szCs w:val="24"/>
          <w:lang w:val="en-US"/>
        </w:rPr>
        <w:t>personal insights</w:t>
      </w:r>
      <w:r w:rsidR="0094156B">
        <w:rPr>
          <w:rFonts w:cs="Arial"/>
          <w:sz w:val="24"/>
          <w:szCs w:val="24"/>
          <w:lang w:val="en-US"/>
        </w:rPr>
        <w:t>.</w:t>
      </w:r>
    </w:p>
    <w:p w14:paraId="3F42278E" w14:textId="77777777" w:rsidR="002A1CA3" w:rsidRDefault="002A1CA3" w:rsidP="00453751">
      <w:pPr>
        <w:spacing w:line="480" w:lineRule="auto"/>
        <w:rPr>
          <w:rFonts w:cs="Arial"/>
          <w:sz w:val="24"/>
          <w:szCs w:val="24"/>
          <w:lang w:val="en-US"/>
        </w:rPr>
      </w:pPr>
    </w:p>
    <w:p w14:paraId="2E38679A" w14:textId="77777777" w:rsidR="00667B2D" w:rsidRDefault="00054617" w:rsidP="00453751">
      <w:pPr>
        <w:spacing w:line="480" w:lineRule="auto"/>
        <w:rPr>
          <w:rFonts w:cs="Arial"/>
          <w:sz w:val="24"/>
          <w:szCs w:val="24"/>
        </w:rPr>
      </w:pPr>
      <w:r>
        <w:rPr>
          <w:rFonts w:cs="Arial"/>
          <w:sz w:val="24"/>
          <w:szCs w:val="24"/>
          <w:lang w:val="en-US"/>
        </w:rPr>
        <w:lastRenderedPageBreak/>
        <w:t xml:space="preserve">The Church of St Michael and St Lawrence </w:t>
      </w:r>
      <w:r w:rsidR="00095591">
        <w:rPr>
          <w:rFonts w:cs="Arial"/>
          <w:sz w:val="24"/>
          <w:szCs w:val="24"/>
          <w:lang w:val="en-US"/>
        </w:rPr>
        <w:t xml:space="preserve">in Fewston </w:t>
      </w:r>
      <w:r>
        <w:rPr>
          <w:rFonts w:cs="Arial"/>
          <w:sz w:val="24"/>
          <w:szCs w:val="24"/>
          <w:lang w:val="en-US"/>
        </w:rPr>
        <w:t xml:space="preserve">was </w:t>
      </w:r>
      <w:r w:rsidR="00095591">
        <w:rPr>
          <w:rFonts w:cs="Arial"/>
          <w:sz w:val="24"/>
          <w:szCs w:val="24"/>
          <w:lang w:val="en-US"/>
        </w:rPr>
        <w:t>re</w:t>
      </w:r>
      <w:r>
        <w:rPr>
          <w:rFonts w:cs="Arial"/>
          <w:sz w:val="24"/>
          <w:szCs w:val="24"/>
          <w:lang w:val="en-US"/>
        </w:rPr>
        <w:t xml:space="preserve">built in </w:t>
      </w:r>
      <w:r w:rsidR="005A485D">
        <w:rPr>
          <w:rFonts w:cs="Arial"/>
          <w:sz w:val="24"/>
          <w:szCs w:val="24"/>
          <w:lang w:val="en-US"/>
        </w:rPr>
        <w:t>A.D.</w:t>
      </w:r>
      <w:r w:rsidR="003F4160">
        <w:rPr>
          <w:rFonts w:cs="Arial"/>
          <w:sz w:val="24"/>
          <w:szCs w:val="24"/>
          <w:lang w:val="en-US"/>
        </w:rPr>
        <w:t xml:space="preserve"> </w:t>
      </w:r>
      <w:r w:rsidR="0094156B">
        <w:rPr>
          <w:rFonts w:cs="Arial"/>
          <w:sz w:val="24"/>
          <w:szCs w:val="24"/>
          <w:lang w:val="en-US"/>
        </w:rPr>
        <w:t>1</w:t>
      </w:r>
      <w:r w:rsidR="003F4160">
        <w:rPr>
          <w:rFonts w:cs="Arial"/>
          <w:sz w:val="24"/>
          <w:szCs w:val="24"/>
          <w:lang w:val="en-US"/>
        </w:rPr>
        <w:t>697</w:t>
      </w:r>
      <w:r>
        <w:rPr>
          <w:rFonts w:cs="Arial"/>
          <w:sz w:val="24"/>
          <w:szCs w:val="24"/>
          <w:lang w:val="en-US"/>
        </w:rPr>
        <w:t xml:space="preserve">, </w:t>
      </w:r>
      <w:r w:rsidR="003F4160">
        <w:rPr>
          <w:rFonts w:cs="Arial"/>
          <w:sz w:val="24"/>
          <w:szCs w:val="24"/>
          <w:lang w:val="en-US"/>
        </w:rPr>
        <w:t>most of the medieval church having been destroyed in a fire (</w:t>
      </w:r>
      <w:proofErr w:type="spellStart"/>
      <w:r w:rsidR="003F4160">
        <w:rPr>
          <w:rFonts w:cs="Arial"/>
          <w:sz w:val="24"/>
          <w:szCs w:val="24"/>
          <w:lang w:val="en-US"/>
        </w:rPr>
        <w:t>Alred</w:t>
      </w:r>
      <w:proofErr w:type="spellEnd"/>
      <w:r w:rsidR="003F4160">
        <w:rPr>
          <w:rFonts w:cs="Arial"/>
          <w:sz w:val="24"/>
          <w:szCs w:val="24"/>
          <w:lang w:val="en-US"/>
        </w:rPr>
        <w:t xml:space="preserve"> 1997: 67). T</w:t>
      </w:r>
      <w:r w:rsidR="00C90751">
        <w:rPr>
          <w:rFonts w:cs="Arial"/>
          <w:sz w:val="24"/>
          <w:szCs w:val="24"/>
          <w:lang w:val="en-US"/>
        </w:rPr>
        <w:t xml:space="preserve">he graveyard would have been in use from at least the </w:t>
      </w:r>
      <w:r w:rsidR="003F4160">
        <w:rPr>
          <w:rFonts w:cs="Arial"/>
          <w:sz w:val="24"/>
          <w:szCs w:val="24"/>
          <w:lang w:val="en-US"/>
        </w:rPr>
        <w:t>fourteenth</w:t>
      </w:r>
      <w:r w:rsidR="00C90751">
        <w:rPr>
          <w:rFonts w:cs="Arial"/>
          <w:sz w:val="24"/>
          <w:szCs w:val="24"/>
          <w:lang w:val="en-US"/>
        </w:rPr>
        <w:t xml:space="preserve"> century, and some of the </w:t>
      </w:r>
      <w:r w:rsidR="007E67DE">
        <w:rPr>
          <w:rFonts w:cs="Arial"/>
          <w:sz w:val="24"/>
          <w:szCs w:val="24"/>
          <w:lang w:val="en-US"/>
        </w:rPr>
        <w:t xml:space="preserve">excavated </w:t>
      </w:r>
      <w:r w:rsidR="00C90751">
        <w:rPr>
          <w:rFonts w:cs="Arial"/>
          <w:sz w:val="24"/>
          <w:szCs w:val="24"/>
          <w:lang w:val="en-US"/>
        </w:rPr>
        <w:t>skeletons could date to the medieval period</w:t>
      </w:r>
      <w:r w:rsidR="003B016E">
        <w:rPr>
          <w:rFonts w:cs="Arial"/>
          <w:sz w:val="24"/>
          <w:szCs w:val="24"/>
          <w:lang w:val="en-US"/>
        </w:rPr>
        <w:t xml:space="preserve">. </w:t>
      </w:r>
      <w:r w:rsidR="00E11313">
        <w:rPr>
          <w:rFonts w:cs="Arial"/>
          <w:sz w:val="24"/>
          <w:szCs w:val="24"/>
          <w:lang w:val="en-US"/>
        </w:rPr>
        <w:t>Only</w:t>
      </w:r>
      <w:r w:rsidR="000A0178">
        <w:rPr>
          <w:rFonts w:cs="Arial"/>
          <w:sz w:val="24"/>
          <w:szCs w:val="24"/>
          <w:lang w:val="en-US"/>
        </w:rPr>
        <w:t xml:space="preserve"> a </w:t>
      </w:r>
      <w:r w:rsidR="00E11313">
        <w:rPr>
          <w:rFonts w:cs="Arial"/>
          <w:sz w:val="24"/>
          <w:szCs w:val="24"/>
          <w:lang w:val="en-US"/>
        </w:rPr>
        <w:t xml:space="preserve">relatively </w:t>
      </w:r>
      <w:r w:rsidR="000A0178">
        <w:rPr>
          <w:rFonts w:cs="Arial"/>
          <w:sz w:val="24"/>
          <w:szCs w:val="24"/>
          <w:lang w:val="en-US"/>
        </w:rPr>
        <w:t xml:space="preserve">small area </w:t>
      </w:r>
      <w:r w:rsidR="00062B6D">
        <w:rPr>
          <w:rFonts w:cs="Arial"/>
          <w:sz w:val="24"/>
          <w:szCs w:val="24"/>
          <w:lang w:val="en-US"/>
        </w:rPr>
        <w:t xml:space="preserve">(approximately </w:t>
      </w:r>
      <w:r w:rsidR="00C90751">
        <w:rPr>
          <w:rFonts w:cs="Arial"/>
          <w:sz w:val="24"/>
          <w:szCs w:val="24"/>
          <w:lang w:val="en-US"/>
        </w:rPr>
        <w:t>300 m</w:t>
      </w:r>
      <w:r w:rsidR="00D521E7" w:rsidRPr="000638F7">
        <w:rPr>
          <w:rFonts w:cs="Arial"/>
          <w:sz w:val="24"/>
          <w:szCs w:val="24"/>
          <w:vertAlign w:val="superscript"/>
          <w:lang w:val="en-US"/>
        </w:rPr>
        <w:t>2</w:t>
      </w:r>
      <w:r w:rsidR="00095662">
        <w:rPr>
          <w:rFonts w:cs="Arial"/>
          <w:sz w:val="24"/>
          <w:szCs w:val="24"/>
          <w:lang w:val="en-US"/>
        </w:rPr>
        <w:t xml:space="preserve">), however, </w:t>
      </w:r>
      <w:r w:rsidR="000A0178">
        <w:rPr>
          <w:rFonts w:cs="Arial"/>
          <w:sz w:val="24"/>
          <w:szCs w:val="24"/>
          <w:lang w:val="en-US"/>
        </w:rPr>
        <w:t xml:space="preserve">was </w:t>
      </w:r>
      <w:r w:rsidR="00DB4DBC">
        <w:rPr>
          <w:rFonts w:cs="Arial"/>
          <w:sz w:val="24"/>
          <w:szCs w:val="24"/>
          <w:lang w:val="en-US"/>
        </w:rPr>
        <w:t xml:space="preserve">subject to </w:t>
      </w:r>
      <w:r w:rsidR="000A0178">
        <w:rPr>
          <w:rFonts w:cs="Arial"/>
          <w:sz w:val="24"/>
          <w:szCs w:val="24"/>
          <w:lang w:val="en-US"/>
        </w:rPr>
        <w:t>excavat</w:t>
      </w:r>
      <w:r w:rsidR="00DB4DBC">
        <w:rPr>
          <w:rFonts w:cs="Arial"/>
          <w:sz w:val="24"/>
          <w:szCs w:val="24"/>
          <w:lang w:val="en-US"/>
        </w:rPr>
        <w:t>ion</w:t>
      </w:r>
      <w:r w:rsidR="000A0178">
        <w:rPr>
          <w:rFonts w:cs="Arial"/>
          <w:sz w:val="24"/>
          <w:szCs w:val="24"/>
          <w:lang w:val="en-US"/>
        </w:rPr>
        <w:t xml:space="preserve"> and </w:t>
      </w:r>
      <w:r w:rsidR="00DB4DBC">
        <w:rPr>
          <w:rFonts w:cs="Arial"/>
          <w:sz w:val="24"/>
          <w:szCs w:val="24"/>
          <w:lang w:val="en-US"/>
        </w:rPr>
        <w:t xml:space="preserve">coffin plates and headstones indicated that the </w:t>
      </w:r>
      <w:r w:rsidR="00C90751">
        <w:rPr>
          <w:rFonts w:cs="Arial"/>
          <w:sz w:val="24"/>
          <w:szCs w:val="24"/>
          <w:lang w:val="en-US"/>
        </w:rPr>
        <w:t xml:space="preserve">better-surviving </w:t>
      </w:r>
      <w:r w:rsidR="00DB4DBC">
        <w:rPr>
          <w:rFonts w:cs="Arial"/>
          <w:sz w:val="24"/>
          <w:szCs w:val="24"/>
          <w:lang w:val="en-US"/>
        </w:rPr>
        <w:t xml:space="preserve">burials in this </w:t>
      </w:r>
      <w:r w:rsidR="000A0178">
        <w:rPr>
          <w:rFonts w:cs="Arial"/>
          <w:sz w:val="24"/>
          <w:szCs w:val="24"/>
          <w:lang w:val="en-US"/>
        </w:rPr>
        <w:t xml:space="preserve">location were predominantly of </w:t>
      </w:r>
      <w:r w:rsidR="003F4160">
        <w:rPr>
          <w:rFonts w:cs="Arial"/>
          <w:sz w:val="24"/>
          <w:szCs w:val="24"/>
          <w:lang w:val="en-US"/>
        </w:rPr>
        <w:t>nineteenth</w:t>
      </w:r>
      <w:r w:rsidR="000A0178">
        <w:rPr>
          <w:rFonts w:cs="Arial"/>
          <w:sz w:val="24"/>
          <w:szCs w:val="24"/>
          <w:lang w:val="en-US"/>
        </w:rPr>
        <w:t xml:space="preserve"> century date. </w:t>
      </w:r>
      <w:r w:rsidR="00C90751">
        <w:rPr>
          <w:rFonts w:cs="Arial"/>
          <w:sz w:val="24"/>
          <w:szCs w:val="24"/>
          <w:lang w:val="en-US"/>
        </w:rPr>
        <w:t xml:space="preserve">The cemetery closed in </w:t>
      </w:r>
      <w:r w:rsidR="003F4160">
        <w:rPr>
          <w:rFonts w:cs="Arial"/>
          <w:sz w:val="24"/>
          <w:szCs w:val="24"/>
          <w:lang w:val="en-US"/>
        </w:rPr>
        <w:t xml:space="preserve">A.D. </w:t>
      </w:r>
      <w:r w:rsidR="00C90751">
        <w:rPr>
          <w:rFonts w:cs="Arial"/>
          <w:sz w:val="24"/>
          <w:szCs w:val="24"/>
          <w:lang w:val="en-US"/>
        </w:rPr>
        <w:t>1896, although two individuals who died in the early 20</w:t>
      </w:r>
      <w:r w:rsidR="00D521E7" w:rsidRPr="000638F7">
        <w:rPr>
          <w:rFonts w:cs="Arial"/>
          <w:sz w:val="24"/>
          <w:szCs w:val="24"/>
          <w:vertAlign w:val="superscript"/>
          <w:lang w:val="en-US"/>
        </w:rPr>
        <w:t>th</w:t>
      </w:r>
      <w:r w:rsidR="00C90751">
        <w:rPr>
          <w:rFonts w:cs="Arial"/>
          <w:sz w:val="24"/>
          <w:szCs w:val="24"/>
          <w:lang w:val="en-US"/>
        </w:rPr>
        <w:t xml:space="preserve"> </w:t>
      </w:r>
      <w:r w:rsidR="0094156B">
        <w:rPr>
          <w:rFonts w:cs="Arial"/>
          <w:sz w:val="24"/>
          <w:szCs w:val="24"/>
          <w:lang w:val="en-US"/>
        </w:rPr>
        <w:t>century</w:t>
      </w:r>
      <w:r w:rsidR="00C90751">
        <w:rPr>
          <w:rFonts w:cs="Arial"/>
          <w:sz w:val="24"/>
          <w:szCs w:val="24"/>
          <w:lang w:val="en-US"/>
        </w:rPr>
        <w:t xml:space="preserve"> </w:t>
      </w:r>
      <w:r w:rsidR="007E67DE">
        <w:rPr>
          <w:rFonts w:cs="Arial"/>
          <w:sz w:val="24"/>
          <w:szCs w:val="24"/>
          <w:lang w:val="en-US"/>
        </w:rPr>
        <w:t xml:space="preserve">did gain </w:t>
      </w:r>
      <w:r w:rsidR="00C90751">
        <w:rPr>
          <w:rFonts w:cs="Arial"/>
          <w:sz w:val="24"/>
          <w:szCs w:val="24"/>
          <w:lang w:val="en-US"/>
        </w:rPr>
        <w:t xml:space="preserve">permission to be buried there.  </w:t>
      </w:r>
      <w:r w:rsidR="004D04A8">
        <w:rPr>
          <w:rFonts w:cs="Arial"/>
          <w:sz w:val="24"/>
          <w:szCs w:val="24"/>
          <w:lang w:val="en-US"/>
        </w:rPr>
        <w:t xml:space="preserve">A total of </w:t>
      </w:r>
      <w:r w:rsidR="00E0647A">
        <w:rPr>
          <w:rFonts w:cs="Arial"/>
          <w:sz w:val="24"/>
          <w:szCs w:val="24"/>
          <w:lang w:val="en-US"/>
        </w:rPr>
        <w:t>15</w:t>
      </w:r>
      <w:r w:rsidR="0094156B">
        <w:rPr>
          <w:rFonts w:cs="Arial"/>
          <w:sz w:val="24"/>
          <w:szCs w:val="24"/>
          <w:lang w:val="en-US"/>
        </w:rPr>
        <w:t>4</w:t>
      </w:r>
      <w:r w:rsidR="004012F7">
        <w:rPr>
          <w:rFonts w:cs="Arial"/>
          <w:sz w:val="24"/>
          <w:szCs w:val="24"/>
          <w:lang w:val="en-US"/>
        </w:rPr>
        <w:t xml:space="preserve"> </w:t>
      </w:r>
      <w:r w:rsidR="000A0178">
        <w:rPr>
          <w:rFonts w:cs="Arial"/>
          <w:sz w:val="24"/>
          <w:szCs w:val="24"/>
        </w:rPr>
        <w:t>individuals were excavated, including</w:t>
      </w:r>
      <w:r w:rsidR="004D04A8">
        <w:rPr>
          <w:rFonts w:cs="Arial"/>
          <w:sz w:val="24"/>
          <w:szCs w:val="24"/>
        </w:rPr>
        <w:t xml:space="preserve"> </w:t>
      </w:r>
      <w:r w:rsidR="004D04A8" w:rsidRPr="004D04A8">
        <w:rPr>
          <w:rFonts w:cs="Arial"/>
          <w:sz w:val="24"/>
          <w:szCs w:val="24"/>
        </w:rPr>
        <w:t xml:space="preserve">50 </w:t>
      </w:r>
      <w:r w:rsidR="004D04A8">
        <w:rPr>
          <w:rFonts w:cs="Arial"/>
          <w:sz w:val="24"/>
          <w:szCs w:val="24"/>
        </w:rPr>
        <w:t>non-adults</w:t>
      </w:r>
      <w:r w:rsidR="00080451">
        <w:rPr>
          <w:rFonts w:cs="Arial"/>
          <w:sz w:val="24"/>
          <w:szCs w:val="24"/>
        </w:rPr>
        <w:t xml:space="preserve">, a category </w:t>
      </w:r>
      <w:r w:rsidR="004D04A8">
        <w:rPr>
          <w:rFonts w:cs="Arial"/>
          <w:sz w:val="24"/>
          <w:szCs w:val="24"/>
        </w:rPr>
        <w:t xml:space="preserve">defined here </w:t>
      </w:r>
      <w:r w:rsidR="00C90751">
        <w:rPr>
          <w:rFonts w:cs="Arial"/>
          <w:sz w:val="24"/>
          <w:szCs w:val="24"/>
        </w:rPr>
        <w:t xml:space="preserve">as </w:t>
      </w:r>
      <w:r w:rsidR="00DB4DBC">
        <w:rPr>
          <w:rFonts w:cs="Arial"/>
          <w:sz w:val="24"/>
          <w:szCs w:val="24"/>
        </w:rPr>
        <w:t>less than</w:t>
      </w:r>
      <w:r w:rsidR="004D04A8">
        <w:rPr>
          <w:rFonts w:cs="Arial"/>
          <w:sz w:val="24"/>
          <w:szCs w:val="24"/>
        </w:rPr>
        <w:t xml:space="preserve"> 20 years</w:t>
      </w:r>
      <w:r w:rsidR="00C90751">
        <w:rPr>
          <w:rFonts w:cs="Arial"/>
          <w:sz w:val="24"/>
          <w:szCs w:val="24"/>
        </w:rPr>
        <w:t xml:space="preserve"> of age</w:t>
      </w:r>
      <w:r w:rsidR="00B442AF">
        <w:rPr>
          <w:rFonts w:cs="Arial"/>
          <w:sz w:val="24"/>
          <w:szCs w:val="24"/>
        </w:rPr>
        <w:t xml:space="preserve">. </w:t>
      </w:r>
      <w:r w:rsidR="00C3564D">
        <w:rPr>
          <w:rFonts w:cs="Arial"/>
          <w:sz w:val="24"/>
          <w:szCs w:val="24"/>
        </w:rPr>
        <w:t xml:space="preserve">The </w:t>
      </w:r>
      <w:r w:rsidR="00EA5EB1">
        <w:rPr>
          <w:rFonts w:cs="Arial"/>
          <w:sz w:val="24"/>
          <w:szCs w:val="24"/>
        </w:rPr>
        <w:t xml:space="preserve">more </w:t>
      </w:r>
      <w:r w:rsidR="00C3564D">
        <w:rPr>
          <w:rFonts w:cs="Arial"/>
          <w:sz w:val="24"/>
          <w:szCs w:val="24"/>
        </w:rPr>
        <w:t>usual cut-off age for non-adults in bioarchaeological studies is either 17 or 18 years</w:t>
      </w:r>
      <w:r w:rsidR="00EA5EB1">
        <w:rPr>
          <w:rFonts w:cs="Arial"/>
          <w:sz w:val="24"/>
          <w:szCs w:val="24"/>
        </w:rPr>
        <w:t>; however, t</w:t>
      </w:r>
      <w:r w:rsidR="00C3564D">
        <w:rPr>
          <w:rFonts w:cs="Arial"/>
          <w:sz w:val="24"/>
          <w:szCs w:val="24"/>
        </w:rPr>
        <w:t xml:space="preserve">his was extended for the purposes of this study in recognition that early life adversity (as evident in many of the skeletons within this sample) is known to cause delays in </w:t>
      </w:r>
      <w:r w:rsidR="00DC29E5">
        <w:rPr>
          <w:rFonts w:cs="Arial"/>
          <w:sz w:val="24"/>
          <w:szCs w:val="24"/>
        </w:rPr>
        <w:t xml:space="preserve">the chronological age of attainment of </w:t>
      </w:r>
      <w:r w:rsidR="00C3564D">
        <w:rPr>
          <w:rFonts w:cs="Arial"/>
          <w:sz w:val="24"/>
          <w:szCs w:val="24"/>
        </w:rPr>
        <w:t>skeletal maturation.</w:t>
      </w:r>
      <w:r w:rsidR="00667B2D">
        <w:rPr>
          <w:rFonts w:cs="Arial"/>
          <w:sz w:val="24"/>
          <w:szCs w:val="24"/>
        </w:rPr>
        <w:t xml:space="preserve"> In the absence of a more reliable age from dental development, therefore, some of the individuals within the sample may have been slightly older than the age that their epiphyseal union suggested. </w:t>
      </w:r>
    </w:p>
    <w:p w14:paraId="12DC92A7" w14:textId="77777777" w:rsidR="00667B2D" w:rsidRDefault="00667B2D" w:rsidP="00453751">
      <w:pPr>
        <w:spacing w:line="480" w:lineRule="auto"/>
        <w:rPr>
          <w:rFonts w:cs="Arial"/>
          <w:sz w:val="24"/>
          <w:szCs w:val="24"/>
        </w:rPr>
      </w:pPr>
    </w:p>
    <w:p w14:paraId="170A97DB" w14:textId="6C6FE261" w:rsidR="00580993" w:rsidRDefault="00DC29E5" w:rsidP="00453751">
      <w:pPr>
        <w:spacing w:line="480" w:lineRule="auto"/>
        <w:rPr>
          <w:rFonts w:cs="Arial"/>
          <w:sz w:val="24"/>
          <w:szCs w:val="24"/>
        </w:rPr>
      </w:pPr>
      <w:r>
        <w:rPr>
          <w:rFonts w:cs="Arial"/>
          <w:sz w:val="24"/>
          <w:szCs w:val="24"/>
        </w:rPr>
        <w:t xml:space="preserve">The use of </w:t>
      </w:r>
      <w:r w:rsidR="00667B2D">
        <w:rPr>
          <w:rFonts w:cs="Arial"/>
          <w:sz w:val="24"/>
          <w:szCs w:val="24"/>
        </w:rPr>
        <w:t xml:space="preserve">the term </w:t>
      </w:r>
      <w:r>
        <w:rPr>
          <w:rFonts w:cs="Arial"/>
          <w:sz w:val="24"/>
          <w:szCs w:val="24"/>
        </w:rPr>
        <w:t xml:space="preserve">non-adult in this context does not, of course, </w:t>
      </w:r>
      <w:r w:rsidR="004D04A8">
        <w:rPr>
          <w:rFonts w:cs="Arial"/>
          <w:sz w:val="24"/>
          <w:szCs w:val="24"/>
        </w:rPr>
        <w:t xml:space="preserve">reflect </w:t>
      </w:r>
      <w:r w:rsidR="00ED77DF">
        <w:rPr>
          <w:rFonts w:cs="Arial"/>
          <w:sz w:val="24"/>
          <w:szCs w:val="24"/>
        </w:rPr>
        <w:t>nineteenth</w:t>
      </w:r>
      <w:r w:rsidR="000A0178">
        <w:rPr>
          <w:rFonts w:cs="Arial"/>
          <w:sz w:val="24"/>
          <w:szCs w:val="24"/>
        </w:rPr>
        <w:t xml:space="preserve"> century </w:t>
      </w:r>
      <w:r w:rsidR="004D04A8">
        <w:rPr>
          <w:rFonts w:cs="Arial"/>
          <w:sz w:val="24"/>
          <w:szCs w:val="24"/>
        </w:rPr>
        <w:t xml:space="preserve">social </w:t>
      </w:r>
      <w:r w:rsidR="000A0178">
        <w:rPr>
          <w:rFonts w:cs="Arial"/>
          <w:sz w:val="24"/>
          <w:szCs w:val="24"/>
        </w:rPr>
        <w:t>norms regarding the chronological</w:t>
      </w:r>
      <w:r>
        <w:rPr>
          <w:rFonts w:cs="Arial"/>
          <w:sz w:val="24"/>
          <w:szCs w:val="24"/>
        </w:rPr>
        <w:t xml:space="preserve"> age of</w:t>
      </w:r>
      <w:r w:rsidR="000A0178">
        <w:rPr>
          <w:rFonts w:cs="Arial"/>
          <w:sz w:val="24"/>
          <w:szCs w:val="24"/>
        </w:rPr>
        <w:t xml:space="preserve"> attainment of adult status</w:t>
      </w:r>
      <w:r>
        <w:rPr>
          <w:rFonts w:cs="Arial"/>
          <w:sz w:val="24"/>
          <w:szCs w:val="24"/>
        </w:rPr>
        <w:t>, but denotes the skeletal age only</w:t>
      </w:r>
      <w:r w:rsidR="000A0178">
        <w:rPr>
          <w:rFonts w:cs="Arial"/>
          <w:sz w:val="24"/>
          <w:szCs w:val="24"/>
        </w:rPr>
        <w:t>.</w:t>
      </w:r>
      <w:r w:rsidR="00C3564D">
        <w:rPr>
          <w:rFonts w:cs="Arial"/>
          <w:sz w:val="24"/>
          <w:szCs w:val="24"/>
        </w:rPr>
        <w:t xml:space="preserve"> </w:t>
      </w:r>
      <w:r w:rsidR="00844959">
        <w:rPr>
          <w:rFonts w:cs="Arial"/>
          <w:sz w:val="24"/>
          <w:szCs w:val="24"/>
        </w:rPr>
        <w:t>Parish records indicate that the social status of those buried within the cemetery was mixed, including well-off landowners as well as those of lower status</w:t>
      </w:r>
      <w:r w:rsidR="003F4160">
        <w:rPr>
          <w:rFonts w:cs="Arial"/>
          <w:sz w:val="24"/>
          <w:szCs w:val="24"/>
        </w:rPr>
        <w:t>, e.g. laborers</w:t>
      </w:r>
      <w:r w:rsidR="00844959">
        <w:rPr>
          <w:rFonts w:cs="Arial"/>
          <w:sz w:val="24"/>
          <w:szCs w:val="24"/>
        </w:rPr>
        <w:t xml:space="preserve">. </w:t>
      </w:r>
      <w:r w:rsidR="0027315B" w:rsidRPr="0027315B">
        <w:rPr>
          <w:rFonts w:cs="Arial"/>
          <w:sz w:val="24"/>
          <w:szCs w:val="24"/>
        </w:rPr>
        <w:t xml:space="preserve">Agriculture was the predominant occupation in Fewston during this period, but from the late </w:t>
      </w:r>
      <w:r w:rsidR="003F4160">
        <w:rPr>
          <w:rFonts w:cs="Arial"/>
          <w:sz w:val="24"/>
          <w:szCs w:val="24"/>
        </w:rPr>
        <w:t>eighteenth</w:t>
      </w:r>
      <w:r w:rsidR="0027315B" w:rsidRPr="0027315B">
        <w:rPr>
          <w:rFonts w:cs="Arial"/>
          <w:sz w:val="24"/>
          <w:szCs w:val="24"/>
        </w:rPr>
        <w:t xml:space="preserve"> century there was also a textile industry, with </w:t>
      </w:r>
      <w:proofErr w:type="spellStart"/>
      <w:r w:rsidR="0027315B" w:rsidRPr="0027315B">
        <w:rPr>
          <w:rFonts w:cs="Arial"/>
          <w:sz w:val="24"/>
          <w:szCs w:val="24"/>
        </w:rPr>
        <w:t>Westhouse</w:t>
      </w:r>
      <w:proofErr w:type="spellEnd"/>
      <w:r w:rsidR="0027315B" w:rsidRPr="0027315B">
        <w:rPr>
          <w:rFonts w:cs="Arial"/>
          <w:sz w:val="24"/>
          <w:szCs w:val="24"/>
        </w:rPr>
        <w:t xml:space="preserve"> Mill established at nearby </w:t>
      </w:r>
      <w:proofErr w:type="spellStart"/>
      <w:r w:rsidR="0027315B" w:rsidRPr="0027315B">
        <w:rPr>
          <w:rFonts w:cs="Arial"/>
          <w:sz w:val="24"/>
          <w:szCs w:val="24"/>
        </w:rPr>
        <w:t>Blubberhouses</w:t>
      </w:r>
      <w:proofErr w:type="spellEnd"/>
      <w:r w:rsidR="0027315B" w:rsidRPr="0027315B">
        <w:rPr>
          <w:rFonts w:cs="Arial"/>
          <w:sz w:val="24"/>
          <w:szCs w:val="24"/>
        </w:rPr>
        <w:t xml:space="preserve"> in </w:t>
      </w:r>
      <w:r w:rsidR="003F4160">
        <w:rPr>
          <w:rFonts w:cs="Arial"/>
          <w:sz w:val="24"/>
          <w:szCs w:val="24"/>
        </w:rPr>
        <w:t xml:space="preserve">A.D. </w:t>
      </w:r>
      <w:r w:rsidR="0027315B" w:rsidRPr="0027315B">
        <w:rPr>
          <w:rFonts w:cs="Arial"/>
          <w:sz w:val="24"/>
          <w:szCs w:val="24"/>
        </w:rPr>
        <w:t>1791</w:t>
      </w:r>
      <w:r w:rsidR="003F4160">
        <w:rPr>
          <w:rFonts w:cs="Arial"/>
          <w:sz w:val="24"/>
          <w:szCs w:val="24"/>
        </w:rPr>
        <w:t xml:space="preserve"> (</w:t>
      </w:r>
      <w:proofErr w:type="spellStart"/>
      <w:r w:rsidR="003F4160">
        <w:rPr>
          <w:rFonts w:cs="Arial"/>
          <w:sz w:val="24"/>
          <w:szCs w:val="24"/>
        </w:rPr>
        <w:t>Alred</w:t>
      </w:r>
      <w:proofErr w:type="spellEnd"/>
      <w:r w:rsidR="003F4160">
        <w:rPr>
          <w:rFonts w:cs="Arial"/>
          <w:sz w:val="24"/>
          <w:szCs w:val="24"/>
        </w:rPr>
        <w:t xml:space="preserve"> 1997: 30-31)</w:t>
      </w:r>
      <w:r w:rsidR="0027315B" w:rsidRPr="0027315B">
        <w:rPr>
          <w:rFonts w:cs="Arial"/>
          <w:sz w:val="24"/>
          <w:szCs w:val="24"/>
        </w:rPr>
        <w:t xml:space="preserve">.  </w:t>
      </w:r>
    </w:p>
    <w:p w14:paraId="55F5FD0A" w14:textId="77777777" w:rsidR="00B442AF" w:rsidRPr="0027315B" w:rsidRDefault="00B442AF" w:rsidP="00453751">
      <w:pPr>
        <w:spacing w:line="480" w:lineRule="auto"/>
        <w:rPr>
          <w:rFonts w:cs="Arial"/>
          <w:sz w:val="24"/>
          <w:szCs w:val="24"/>
        </w:rPr>
      </w:pPr>
    </w:p>
    <w:p w14:paraId="6F050B3F" w14:textId="514CA13D" w:rsidR="000D39FF" w:rsidRPr="003F4160" w:rsidRDefault="000D39FF" w:rsidP="00453751">
      <w:pPr>
        <w:spacing w:line="480" w:lineRule="auto"/>
        <w:rPr>
          <w:rFonts w:cs="Arial"/>
          <w:sz w:val="24"/>
          <w:szCs w:val="24"/>
          <w:lang w:val="en-US"/>
        </w:rPr>
      </w:pPr>
      <w:r w:rsidRPr="003F4160">
        <w:rPr>
          <w:rFonts w:cs="Arial"/>
          <w:sz w:val="24"/>
          <w:szCs w:val="24"/>
        </w:rPr>
        <w:t>Coach Lane</w:t>
      </w:r>
      <w:r w:rsidR="00ED77DF" w:rsidRPr="003F4160">
        <w:rPr>
          <w:rFonts w:cs="Arial"/>
          <w:sz w:val="24"/>
          <w:szCs w:val="24"/>
        </w:rPr>
        <w:t>, North Shields</w:t>
      </w:r>
    </w:p>
    <w:p w14:paraId="712AFE92" w14:textId="0C97B4E4" w:rsidR="00041291" w:rsidRDefault="005C305A" w:rsidP="00453751">
      <w:pPr>
        <w:spacing w:line="480" w:lineRule="auto"/>
        <w:rPr>
          <w:rFonts w:cs="Arial"/>
          <w:sz w:val="24"/>
          <w:szCs w:val="24"/>
          <w:lang w:val="en-US"/>
        </w:rPr>
      </w:pPr>
      <w:r w:rsidRPr="00126647">
        <w:rPr>
          <w:rFonts w:cs="Arial"/>
          <w:sz w:val="24"/>
          <w:szCs w:val="24"/>
          <w:lang w:val="en-US"/>
        </w:rPr>
        <w:t>Coach Lane was a former Society of Friends burial ground (c.</w:t>
      </w:r>
      <w:r w:rsidR="003F4160">
        <w:rPr>
          <w:rFonts w:cs="Arial"/>
          <w:sz w:val="24"/>
          <w:szCs w:val="24"/>
          <w:lang w:val="en-US"/>
        </w:rPr>
        <w:t xml:space="preserve"> A.D. 1711-1857</w:t>
      </w:r>
      <w:r w:rsidRPr="00126647">
        <w:rPr>
          <w:rFonts w:cs="Arial"/>
          <w:sz w:val="24"/>
          <w:szCs w:val="24"/>
          <w:lang w:val="en-US"/>
        </w:rPr>
        <w:t xml:space="preserve">) located in North Shields, </w:t>
      </w:r>
      <w:r w:rsidR="0062582E" w:rsidRPr="00126647">
        <w:rPr>
          <w:rFonts w:cs="Arial"/>
          <w:sz w:val="24"/>
          <w:szCs w:val="24"/>
          <w:lang w:val="en-US"/>
        </w:rPr>
        <w:t>just</w:t>
      </w:r>
      <w:r w:rsidRPr="00126647">
        <w:rPr>
          <w:rFonts w:cs="Arial"/>
          <w:sz w:val="24"/>
          <w:szCs w:val="24"/>
          <w:lang w:val="en-US"/>
        </w:rPr>
        <w:t xml:space="preserve"> east of Newcastle-upon-Tyne. North Shields in the</w:t>
      </w:r>
      <w:r w:rsidR="00ED77DF">
        <w:rPr>
          <w:rFonts w:cs="Arial"/>
          <w:sz w:val="24"/>
          <w:szCs w:val="24"/>
          <w:lang w:val="en-US"/>
        </w:rPr>
        <w:t xml:space="preserve"> late eighteenth and </w:t>
      </w:r>
      <w:r w:rsidR="0027315B">
        <w:rPr>
          <w:rFonts w:cs="Arial"/>
          <w:sz w:val="24"/>
          <w:szCs w:val="24"/>
          <w:lang w:val="en-US"/>
        </w:rPr>
        <w:t>early nineteenth centuries</w:t>
      </w:r>
      <w:r w:rsidRPr="00126647">
        <w:rPr>
          <w:rFonts w:cs="Arial"/>
          <w:sz w:val="24"/>
          <w:szCs w:val="24"/>
          <w:lang w:val="en-US"/>
        </w:rPr>
        <w:t xml:space="preserve"> was a </w:t>
      </w:r>
      <w:r w:rsidR="0062582E" w:rsidRPr="00126647">
        <w:rPr>
          <w:rFonts w:cs="Arial"/>
          <w:sz w:val="24"/>
          <w:szCs w:val="24"/>
          <w:lang w:val="en-US"/>
        </w:rPr>
        <w:t>heavily populated</w:t>
      </w:r>
      <w:r w:rsidRPr="00126647">
        <w:rPr>
          <w:rFonts w:cs="Arial"/>
          <w:sz w:val="24"/>
          <w:szCs w:val="24"/>
          <w:lang w:val="en-US"/>
        </w:rPr>
        <w:t xml:space="preserve"> shipping, fishing, and coal-mining community</w:t>
      </w:r>
      <w:r w:rsidR="000D39FF">
        <w:rPr>
          <w:rFonts w:cs="Arial"/>
          <w:sz w:val="24"/>
          <w:szCs w:val="24"/>
          <w:lang w:val="en-US"/>
        </w:rPr>
        <w:t>,</w:t>
      </w:r>
      <w:r w:rsidRPr="00126647">
        <w:rPr>
          <w:rFonts w:cs="Arial"/>
          <w:sz w:val="24"/>
          <w:szCs w:val="24"/>
          <w:lang w:val="en-US"/>
        </w:rPr>
        <w:t xml:space="preserve"> undergoing rapid devel</w:t>
      </w:r>
      <w:r w:rsidR="00126647">
        <w:rPr>
          <w:rFonts w:cs="Arial"/>
          <w:sz w:val="24"/>
          <w:szCs w:val="24"/>
          <w:lang w:val="en-US"/>
        </w:rPr>
        <w:t>opment</w:t>
      </w:r>
      <w:r w:rsidR="005C673C">
        <w:rPr>
          <w:rFonts w:cs="Arial"/>
          <w:sz w:val="24"/>
          <w:szCs w:val="24"/>
          <w:lang w:val="en-US"/>
        </w:rPr>
        <w:t xml:space="preserve"> (</w:t>
      </w:r>
      <w:r w:rsidR="00035514" w:rsidRPr="00035514">
        <w:rPr>
          <w:rFonts w:cs="Arial"/>
          <w:iCs/>
          <w:sz w:val="24"/>
          <w:szCs w:val="24"/>
        </w:rPr>
        <w:t>Procter et al. 2014</w:t>
      </w:r>
      <w:r w:rsidR="000A0178">
        <w:rPr>
          <w:rFonts w:cs="Arial"/>
          <w:sz w:val="24"/>
          <w:szCs w:val="24"/>
          <w:lang w:val="en-US"/>
        </w:rPr>
        <w:t>)</w:t>
      </w:r>
      <w:r w:rsidRPr="00126647">
        <w:rPr>
          <w:rFonts w:cs="Arial"/>
          <w:sz w:val="24"/>
          <w:szCs w:val="24"/>
          <w:lang w:val="en-US"/>
        </w:rPr>
        <w:t xml:space="preserve">. </w:t>
      </w:r>
      <w:r w:rsidR="000D39FF">
        <w:rPr>
          <w:rFonts w:cs="Arial"/>
          <w:sz w:val="24"/>
          <w:szCs w:val="24"/>
          <w:lang w:val="en-US"/>
        </w:rPr>
        <w:t xml:space="preserve">The town was heavily </w:t>
      </w:r>
      <w:r w:rsidR="007E67DE">
        <w:rPr>
          <w:rFonts w:cs="Arial"/>
          <w:sz w:val="24"/>
          <w:szCs w:val="24"/>
          <w:lang w:val="en-US"/>
        </w:rPr>
        <w:t>industrialized</w:t>
      </w:r>
      <w:r w:rsidR="000D39FF">
        <w:rPr>
          <w:rFonts w:cs="Arial"/>
          <w:sz w:val="24"/>
          <w:szCs w:val="24"/>
          <w:lang w:val="en-US"/>
        </w:rPr>
        <w:t xml:space="preserve"> and in a Government report</w:t>
      </w:r>
      <w:r w:rsidR="004012F7">
        <w:rPr>
          <w:rFonts w:cs="Arial"/>
          <w:sz w:val="24"/>
          <w:szCs w:val="24"/>
          <w:lang w:val="en-US"/>
        </w:rPr>
        <w:t xml:space="preserve">, the environmental conditions were </w:t>
      </w:r>
      <w:r w:rsidR="000F0881">
        <w:rPr>
          <w:rFonts w:cs="Arial"/>
          <w:sz w:val="24"/>
          <w:szCs w:val="24"/>
          <w:lang w:val="en-US"/>
        </w:rPr>
        <w:t>considered derisory</w:t>
      </w:r>
      <w:r w:rsidR="000D39FF">
        <w:rPr>
          <w:rFonts w:cs="Arial"/>
          <w:sz w:val="24"/>
          <w:szCs w:val="24"/>
          <w:lang w:val="en-US"/>
        </w:rPr>
        <w:t xml:space="preserve">, with narrow streets described as </w:t>
      </w:r>
      <w:r w:rsidR="003F4160">
        <w:rPr>
          <w:rFonts w:cs="Arial"/>
          <w:sz w:val="24"/>
          <w:szCs w:val="24"/>
          <w:lang w:val="en-US"/>
        </w:rPr>
        <w:t>“</w:t>
      </w:r>
      <w:r w:rsidR="005150A0" w:rsidRPr="00062B6D">
        <w:rPr>
          <w:rFonts w:cs="Arial"/>
          <w:iCs/>
          <w:sz w:val="24"/>
          <w:szCs w:val="24"/>
        </w:rPr>
        <w:t>more justly compared to wells filled with noxious emanations…</w:t>
      </w:r>
      <w:r w:rsidR="003F4160">
        <w:rPr>
          <w:rFonts w:cs="Arial"/>
          <w:iCs/>
          <w:sz w:val="24"/>
          <w:szCs w:val="24"/>
        </w:rPr>
        <w:t>”</w:t>
      </w:r>
      <w:r w:rsidR="001A449D">
        <w:rPr>
          <w:rFonts w:cs="Arial"/>
          <w:iCs/>
          <w:sz w:val="24"/>
          <w:szCs w:val="24"/>
        </w:rPr>
        <w:t xml:space="preserve"> (</w:t>
      </w:r>
      <w:r w:rsidR="007A550F" w:rsidRPr="003F4160">
        <w:rPr>
          <w:rFonts w:cs="Arial"/>
          <w:i/>
          <w:iCs/>
          <w:sz w:val="24"/>
          <w:szCs w:val="24"/>
        </w:rPr>
        <w:t>Second Report of the Commissioners</w:t>
      </w:r>
      <w:r w:rsidR="007A550F">
        <w:rPr>
          <w:rFonts w:cs="Arial"/>
          <w:iCs/>
          <w:sz w:val="24"/>
          <w:szCs w:val="24"/>
        </w:rPr>
        <w:t xml:space="preserve"> 1895: 19)</w:t>
      </w:r>
      <w:r w:rsidR="000D39FF">
        <w:rPr>
          <w:rFonts w:cs="Arial"/>
          <w:iCs/>
          <w:sz w:val="24"/>
          <w:szCs w:val="24"/>
        </w:rPr>
        <w:t>. Numerous epidemics</w:t>
      </w:r>
      <w:r w:rsidR="000F0881">
        <w:rPr>
          <w:rFonts w:cs="Arial"/>
          <w:iCs/>
          <w:sz w:val="24"/>
          <w:szCs w:val="24"/>
        </w:rPr>
        <w:t>, including cholera</w:t>
      </w:r>
      <w:r w:rsidR="000D39FF">
        <w:rPr>
          <w:rFonts w:cs="Arial"/>
          <w:iCs/>
          <w:sz w:val="24"/>
          <w:szCs w:val="24"/>
        </w:rPr>
        <w:t xml:space="preserve"> </w:t>
      </w:r>
      <w:r w:rsidR="009F10F6">
        <w:rPr>
          <w:rFonts w:cs="Arial"/>
          <w:iCs/>
          <w:sz w:val="24"/>
          <w:szCs w:val="24"/>
        </w:rPr>
        <w:t>occurred</w:t>
      </w:r>
      <w:r w:rsidR="0094156B">
        <w:rPr>
          <w:rFonts w:cs="Arial"/>
          <w:iCs/>
          <w:sz w:val="24"/>
          <w:szCs w:val="24"/>
        </w:rPr>
        <w:t xml:space="preserve"> during this period,</w:t>
      </w:r>
      <w:r w:rsidR="000D39FF">
        <w:rPr>
          <w:rFonts w:cs="Arial"/>
          <w:iCs/>
          <w:sz w:val="24"/>
          <w:szCs w:val="24"/>
        </w:rPr>
        <w:t xml:space="preserve"> </w:t>
      </w:r>
      <w:r w:rsidR="00062B6D">
        <w:rPr>
          <w:rFonts w:cs="Arial"/>
          <w:iCs/>
          <w:sz w:val="24"/>
          <w:szCs w:val="24"/>
        </w:rPr>
        <w:t>and</w:t>
      </w:r>
      <w:r w:rsidR="000D39FF">
        <w:rPr>
          <w:rFonts w:cs="Arial"/>
          <w:iCs/>
          <w:sz w:val="24"/>
          <w:szCs w:val="24"/>
        </w:rPr>
        <w:t xml:space="preserve"> air and water pollut</w:t>
      </w:r>
      <w:r w:rsidR="0090722E">
        <w:rPr>
          <w:rFonts w:cs="Arial"/>
          <w:iCs/>
          <w:sz w:val="24"/>
          <w:szCs w:val="24"/>
        </w:rPr>
        <w:t>ion from the various industries</w:t>
      </w:r>
      <w:r w:rsidR="000D39FF">
        <w:rPr>
          <w:rFonts w:cs="Arial"/>
          <w:iCs/>
          <w:sz w:val="24"/>
          <w:szCs w:val="24"/>
        </w:rPr>
        <w:t xml:space="preserve"> was </w:t>
      </w:r>
      <w:r w:rsidR="009F10F6">
        <w:rPr>
          <w:rFonts w:cs="Arial"/>
          <w:iCs/>
          <w:sz w:val="24"/>
          <w:szCs w:val="24"/>
        </w:rPr>
        <w:t>extensive</w:t>
      </w:r>
      <w:r w:rsidR="001A449D">
        <w:rPr>
          <w:rFonts w:cs="Arial"/>
          <w:iCs/>
          <w:sz w:val="24"/>
          <w:szCs w:val="24"/>
        </w:rPr>
        <w:t xml:space="preserve"> (Proctor et al. 2014)</w:t>
      </w:r>
      <w:r w:rsidR="000D39FF">
        <w:rPr>
          <w:rFonts w:cs="Arial"/>
          <w:iCs/>
          <w:sz w:val="24"/>
          <w:szCs w:val="24"/>
        </w:rPr>
        <w:t xml:space="preserve">. </w:t>
      </w:r>
      <w:r w:rsidR="000D39FF">
        <w:rPr>
          <w:rFonts w:cs="Arial"/>
          <w:sz w:val="24"/>
          <w:szCs w:val="24"/>
        </w:rPr>
        <w:t xml:space="preserve"> The social status of those buried at the Coach Lane </w:t>
      </w:r>
      <w:r w:rsidR="009F10F6">
        <w:rPr>
          <w:rFonts w:cs="Arial"/>
          <w:sz w:val="24"/>
          <w:szCs w:val="24"/>
        </w:rPr>
        <w:t>cemetery</w:t>
      </w:r>
      <w:r w:rsidR="000D39FF">
        <w:rPr>
          <w:rFonts w:cs="Arial"/>
          <w:sz w:val="24"/>
          <w:szCs w:val="24"/>
        </w:rPr>
        <w:t xml:space="preserve"> </w:t>
      </w:r>
      <w:r w:rsidR="00611B77">
        <w:rPr>
          <w:rFonts w:cs="Arial"/>
          <w:sz w:val="24"/>
          <w:szCs w:val="24"/>
        </w:rPr>
        <w:t>was</w:t>
      </w:r>
      <w:r w:rsidR="000D39FF">
        <w:rPr>
          <w:rFonts w:cs="Arial"/>
          <w:sz w:val="24"/>
          <w:szCs w:val="24"/>
        </w:rPr>
        <w:t xml:space="preserve"> mixed</w:t>
      </w:r>
      <w:r w:rsidR="00062B6D">
        <w:rPr>
          <w:rFonts w:cs="Arial"/>
          <w:sz w:val="24"/>
          <w:szCs w:val="24"/>
        </w:rPr>
        <w:t>,</w:t>
      </w:r>
      <w:r w:rsidR="0094156B">
        <w:rPr>
          <w:rFonts w:cs="Arial"/>
          <w:sz w:val="24"/>
          <w:szCs w:val="24"/>
        </w:rPr>
        <w:t xml:space="preserve"> with Quakerism attracting those from different spheres of life. </w:t>
      </w:r>
      <w:r w:rsidR="00B442AF">
        <w:rPr>
          <w:rFonts w:cs="Arial"/>
          <w:sz w:val="24"/>
          <w:szCs w:val="24"/>
        </w:rPr>
        <w:t>T</w:t>
      </w:r>
      <w:r w:rsidR="004917EA">
        <w:rPr>
          <w:rFonts w:cs="Arial"/>
          <w:sz w:val="24"/>
          <w:szCs w:val="24"/>
        </w:rPr>
        <w:t>he b</w:t>
      </w:r>
      <w:r w:rsidR="00611B77">
        <w:rPr>
          <w:rFonts w:cs="Arial"/>
          <w:sz w:val="24"/>
          <w:szCs w:val="24"/>
        </w:rPr>
        <w:t xml:space="preserve">urial records </w:t>
      </w:r>
      <w:r w:rsidR="00B442AF">
        <w:rPr>
          <w:rFonts w:cs="Arial"/>
          <w:sz w:val="24"/>
          <w:szCs w:val="24"/>
        </w:rPr>
        <w:t xml:space="preserve">occasionally </w:t>
      </w:r>
      <w:r w:rsidR="004917EA">
        <w:rPr>
          <w:rFonts w:cs="Arial"/>
          <w:sz w:val="24"/>
          <w:szCs w:val="24"/>
        </w:rPr>
        <w:t>document</w:t>
      </w:r>
      <w:r w:rsidR="00611B77">
        <w:rPr>
          <w:rFonts w:cs="Arial"/>
          <w:sz w:val="24"/>
          <w:szCs w:val="24"/>
        </w:rPr>
        <w:t xml:space="preserve"> </w:t>
      </w:r>
      <w:r w:rsidR="00B442AF">
        <w:rPr>
          <w:rFonts w:cs="Arial"/>
          <w:sz w:val="24"/>
          <w:szCs w:val="24"/>
        </w:rPr>
        <w:t xml:space="preserve">the </w:t>
      </w:r>
      <w:r w:rsidR="00611B77">
        <w:rPr>
          <w:rFonts w:cs="Arial"/>
          <w:sz w:val="24"/>
          <w:szCs w:val="24"/>
        </w:rPr>
        <w:t>profession</w:t>
      </w:r>
      <w:r w:rsidR="00B442AF">
        <w:rPr>
          <w:rFonts w:cs="Arial"/>
          <w:sz w:val="24"/>
          <w:szCs w:val="24"/>
        </w:rPr>
        <w:t xml:space="preserve"> of the deceased</w:t>
      </w:r>
      <w:r w:rsidR="00611B77">
        <w:rPr>
          <w:rFonts w:cs="Arial"/>
          <w:sz w:val="24"/>
          <w:szCs w:val="24"/>
        </w:rPr>
        <w:t xml:space="preserve"> </w:t>
      </w:r>
      <w:r w:rsidR="004917EA">
        <w:rPr>
          <w:rFonts w:cs="Arial"/>
          <w:sz w:val="24"/>
          <w:szCs w:val="24"/>
        </w:rPr>
        <w:t>and these</w:t>
      </w:r>
      <w:r w:rsidR="00B442AF">
        <w:rPr>
          <w:rFonts w:cs="Arial"/>
          <w:sz w:val="24"/>
          <w:szCs w:val="24"/>
        </w:rPr>
        <w:t xml:space="preserve"> include</w:t>
      </w:r>
      <w:r w:rsidR="0029007C">
        <w:rPr>
          <w:rFonts w:cs="Arial"/>
          <w:sz w:val="24"/>
          <w:szCs w:val="24"/>
        </w:rPr>
        <w:t>d</w:t>
      </w:r>
      <w:proofErr w:type="gramStart"/>
      <w:r w:rsidR="00B442AF">
        <w:rPr>
          <w:rFonts w:cs="Arial"/>
          <w:sz w:val="24"/>
          <w:szCs w:val="24"/>
        </w:rPr>
        <w:t xml:space="preserve">: </w:t>
      </w:r>
      <w:r w:rsidR="00611B77">
        <w:rPr>
          <w:rFonts w:cs="Arial"/>
          <w:sz w:val="24"/>
          <w:szCs w:val="24"/>
        </w:rPr>
        <w:t xml:space="preserve"> </w:t>
      </w:r>
      <w:r w:rsidR="003F4160">
        <w:rPr>
          <w:rFonts w:cs="Arial"/>
          <w:sz w:val="24"/>
          <w:szCs w:val="24"/>
        </w:rPr>
        <w:t>“</w:t>
      </w:r>
      <w:proofErr w:type="gramEnd"/>
      <w:r w:rsidR="00611B77">
        <w:rPr>
          <w:rFonts w:cs="Arial"/>
          <w:sz w:val="24"/>
          <w:szCs w:val="24"/>
        </w:rPr>
        <w:t>junior painter</w:t>
      </w:r>
      <w:r w:rsidR="003F4160">
        <w:rPr>
          <w:rFonts w:cs="Arial"/>
          <w:sz w:val="24"/>
          <w:szCs w:val="24"/>
        </w:rPr>
        <w:t>”</w:t>
      </w:r>
      <w:r w:rsidR="00611B77">
        <w:rPr>
          <w:rFonts w:cs="Arial"/>
          <w:sz w:val="24"/>
          <w:szCs w:val="24"/>
        </w:rPr>
        <w:t xml:space="preserve">, </w:t>
      </w:r>
      <w:r w:rsidR="003F4160">
        <w:rPr>
          <w:rFonts w:cs="Arial"/>
          <w:sz w:val="24"/>
          <w:szCs w:val="24"/>
        </w:rPr>
        <w:t>“</w:t>
      </w:r>
      <w:r w:rsidR="00611B77">
        <w:rPr>
          <w:rFonts w:cs="Arial"/>
          <w:sz w:val="24"/>
          <w:szCs w:val="24"/>
        </w:rPr>
        <w:t>grocer</w:t>
      </w:r>
      <w:r w:rsidR="003F4160">
        <w:rPr>
          <w:rFonts w:cs="Arial"/>
          <w:sz w:val="24"/>
          <w:szCs w:val="24"/>
        </w:rPr>
        <w:t>”</w:t>
      </w:r>
      <w:r w:rsidR="00611B77">
        <w:rPr>
          <w:rFonts w:cs="Arial"/>
          <w:sz w:val="24"/>
          <w:szCs w:val="24"/>
        </w:rPr>
        <w:t xml:space="preserve">, </w:t>
      </w:r>
      <w:r w:rsidR="003F4160">
        <w:rPr>
          <w:rFonts w:cs="Arial"/>
          <w:sz w:val="24"/>
          <w:szCs w:val="24"/>
        </w:rPr>
        <w:t>“</w:t>
      </w:r>
      <w:r w:rsidR="00611B77">
        <w:rPr>
          <w:rFonts w:cs="Arial"/>
          <w:sz w:val="24"/>
          <w:szCs w:val="24"/>
        </w:rPr>
        <w:t>shopkeeper</w:t>
      </w:r>
      <w:r w:rsidR="003F4160">
        <w:rPr>
          <w:rFonts w:cs="Arial"/>
          <w:sz w:val="24"/>
          <w:szCs w:val="24"/>
        </w:rPr>
        <w:t>”</w:t>
      </w:r>
      <w:r w:rsidR="00611B77">
        <w:rPr>
          <w:rFonts w:cs="Arial"/>
          <w:sz w:val="24"/>
          <w:szCs w:val="24"/>
        </w:rPr>
        <w:t xml:space="preserve">, </w:t>
      </w:r>
      <w:r w:rsidR="003F4160">
        <w:rPr>
          <w:rFonts w:cs="Arial"/>
          <w:sz w:val="24"/>
          <w:szCs w:val="24"/>
        </w:rPr>
        <w:t>“</w:t>
      </w:r>
      <w:r w:rsidR="00611B77">
        <w:rPr>
          <w:rFonts w:cs="Arial"/>
          <w:sz w:val="24"/>
          <w:szCs w:val="24"/>
        </w:rPr>
        <w:t>master mariner</w:t>
      </w:r>
      <w:r w:rsidR="003F4160">
        <w:rPr>
          <w:rFonts w:cs="Arial"/>
          <w:sz w:val="24"/>
          <w:szCs w:val="24"/>
        </w:rPr>
        <w:t>”</w:t>
      </w:r>
      <w:r w:rsidR="00611B77">
        <w:rPr>
          <w:rFonts w:cs="Arial"/>
          <w:sz w:val="24"/>
          <w:szCs w:val="24"/>
        </w:rPr>
        <w:t xml:space="preserve"> and </w:t>
      </w:r>
      <w:r w:rsidR="003F4160">
        <w:rPr>
          <w:rFonts w:cs="Arial"/>
          <w:sz w:val="24"/>
          <w:szCs w:val="24"/>
        </w:rPr>
        <w:t>“</w:t>
      </w:r>
      <w:r w:rsidR="00611B77">
        <w:rPr>
          <w:rFonts w:cs="Arial"/>
          <w:sz w:val="24"/>
          <w:szCs w:val="24"/>
        </w:rPr>
        <w:t>linen weaver</w:t>
      </w:r>
      <w:r w:rsidR="003F4160">
        <w:rPr>
          <w:rFonts w:cs="Arial"/>
          <w:sz w:val="24"/>
          <w:szCs w:val="24"/>
        </w:rPr>
        <w:t>”</w:t>
      </w:r>
      <w:r w:rsidR="00611B77">
        <w:rPr>
          <w:rFonts w:cs="Arial"/>
          <w:sz w:val="24"/>
          <w:szCs w:val="24"/>
        </w:rPr>
        <w:t xml:space="preserve">. </w:t>
      </w:r>
      <w:r w:rsidR="00844959">
        <w:rPr>
          <w:rFonts w:cs="Arial"/>
          <w:sz w:val="24"/>
          <w:szCs w:val="24"/>
        </w:rPr>
        <w:t>There were many prominent, high status Quakers within the</w:t>
      </w:r>
      <w:r w:rsidR="004917EA">
        <w:rPr>
          <w:rFonts w:cs="Arial"/>
          <w:sz w:val="24"/>
          <w:szCs w:val="24"/>
        </w:rPr>
        <w:t xml:space="preserve"> north-east during this period</w:t>
      </w:r>
      <w:r w:rsidR="00B442AF">
        <w:rPr>
          <w:rFonts w:cs="Arial"/>
          <w:sz w:val="24"/>
          <w:szCs w:val="24"/>
        </w:rPr>
        <w:t>,</w:t>
      </w:r>
      <w:r w:rsidR="004917EA">
        <w:rPr>
          <w:rFonts w:cs="Arial"/>
          <w:sz w:val="24"/>
          <w:szCs w:val="24"/>
        </w:rPr>
        <w:t xml:space="preserve"> some of whom were buried at Coach Lane, along with servants (Proctor et al. 2014). </w:t>
      </w:r>
      <w:r w:rsidR="00B442AF">
        <w:rPr>
          <w:rFonts w:cs="Arial"/>
          <w:sz w:val="24"/>
          <w:szCs w:val="24"/>
        </w:rPr>
        <w:t>T</w:t>
      </w:r>
      <w:r w:rsidRPr="00126647">
        <w:rPr>
          <w:rFonts w:cs="Arial"/>
          <w:sz w:val="24"/>
          <w:szCs w:val="24"/>
          <w:lang w:val="en-US"/>
        </w:rPr>
        <w:t>he effects of</w:t>
      </w:r>
      <w:r w:rsidR="00B442AF">
        <w:rPr>
          <w:rFonts w:cs="Arial"/>
          <w:sz w:val="24"/>
          <w:szCs w:val="24"/>
          <w:lang w:val="en-US"/>
        </w:rPr>
        <w:t xml:space="preserve"> a heavily polluted environment, however, would </w:t>
      </w:r>
      <w:r w:rsidRPr="00126647">
        <w:rPr>
          <w:rFonts w:cs="Arial"/>
          <w:sz w:val="24"/>
          <w:szCs w:val="24"/>
          <w:lang w:val="en-US"/>
        </w:rPr>
        <w:t>have been detrimental to all social classes</w:t>
      </w:r>
      <w:r w:rsidR="000A7D36">
        <w:rPr>
          <w:rFonts w:cs="Arial"/>
          <w:sz w:val="24"/>
          <w:szCs w:val="24"/>
          <w:lang w:val="en-US"/>
        </w:rPr>
        <w:t xml:space="preserve"> (Gowland </w:t>
      </w:r>
      <w:r w:rsidR="00062B6D">
        <w:rPr>
          <w:rFonts w:cs="Arial"/>
          <w:sz w:val="24"/>
          <w:szCs w:val="24"/>
          <w:lang w:val="en-US"/>
        </w:rPr>
        <w:t>and Newman 2018</w:t>
      </w:r>
      <w:r w:rsidR="000A7D36">
        <w:rPr>
          <w:rFonts w:cs="Arial"/>
          <w:sz w:val="24"/>
          <w:szCs w:val="24"/>
          <w:lang w:val="en-US"/>
        </w:rPr>
        <w:t>)</w:t>
      </w:r>
      <w:r w:rsidRPr="00126647">
        <w:rPr>
          <w:rFonts w:cs="Arial"/>
          <w:sz w:val="24"/>
          <w:szCs w:val="24"/>
          <w:lang w:val="en-US"/>
        </w:rPr>
        <w:t>.</w:t>
      </w:r>
      <w:r w:rsidR="009E4FF5" w:rsidRPr="00126647">
        <w:rPr>
          <w:rFonts w:cs="Arial"/>
          <w:sz w:val="24"/>
          <w:szCs w:val="24"/>
          <w:lang w:val="en-US"/>
        </w:rPr>
        <w:t xml:space="preserve"> </w:t>
      </w:r>
      <w:r w:rsidR="00002D35">
        <w:rPr>
          <w:rFonts w:cs="Arial"/>
          <w:sz w:val="24"/>
          <w:szCs w:val="24"/>
          <w:lang w:val="en-US"/>
        </w:rPr>
        <w:t>There is direct</w:t>
      </w:r>
      <w:r w:rsidR="009E4FF5" w:rsidRPr="00126647">
        <w:rPr>
          <w:rFonts w:cs="Arial"/>
          <w:sz w:val="24"/>
          <w:szCs w:val="24"/>
          <w:lang w:val="en-US"/>
        </w:rPr>
        <w:t xml:space="preserve"> evidence that </w:t>
      </w:r>
      <w:r w:rsidR="00387665">
        <w:rPr>
          <w:rFonts w:cs="Arial"/>
          <w:sz w:val="24"/>
          <w:szCs w:val="24"/>
          <w:lang w:val="en-US"/>
        </w:rPr>
        <w:t xml:space="preserve">at least </w:t>
      </w:r>
      <w:r w:rsidR="009E4FF5" w:rsidRPr="00126647">
        <w:rPr>
          <w:rFonts w:cs="Arial"/>
          <w:sz w:val="24"/>
          <w:szCs w:val="24"/>
          <w:lang w:val="en-US"/>
        </w:rPr>
        <w:t>some of the children</w:t>
      </w:r>
      <w:r w:rsidR="00B2640E" w:rsidRPr="00126647">
        <w:rPr>
          <w:rFonts w:cs="Arial"/>
          <w:sz w:val="24"/>
          <w:szCs w:val="24"/>
          <w:lang w:val="en-US"/>
        </w:rPr>
        <w:t xml:space="preserve"> buried at the site had been </w:t>
      </w:r>
      <w:r w:rsidR="009E4FF5" w:rsidRPr="00126647">
        <w:rPr>
          <w:rFonts w:cs="Arial"/>
          <w:sz w:val="24"/>
          <w:szCs w:val="24"/>
          <w:lang w:val="en-US"/>
        </w:rPr>
        <w:t xml:space="preserve">engaged in </w:t>
      </w:r>
      <w:r w:rsidR="00DE1E8B">
        <w:rPr>
          <w:rFonts w:cs="Arial"/>
          <w:sz w:val="24"/>
          <w:szCs w:val="24"/>
          <w:lang w:val="en-US"/>
        </w:rPr>
        <w:t xml:space="preserve">factory </w:t>
      </w:r>
      <w:r w:rsidR="00062B6D">
        <w:rPr>
          <w:rFonts w:cs="Arial"/>
          <w:sz w:val="24"/>
          <w:szCs w:val="24"/>
          <w:lang w:val="en-US"/>
        </w:rPr>
        <w:t>labo</w:t>
      </w:r>
      <w:r w:rsidR="009E4FF5" w:rsidRPr="00126647">
        <w:rPr>
          <w:rFonts w:cs="Arial"/>
          <w:sz w:val="24"/>
          <w:szCs w:val="24"/>
          <w:lang w:val="en-US"/>
        </w:rPr>
        <w:t>r</w:t>
      </w:r>
      <w:r w:rsidR="00B2640E" w:rsidRPr="00126647">
        <w:rPr>
          <w:rFonts w:cs="Arial"/>
          <w:sz w:val="24"/>
          <w:szCs w:val="24"/>
          <w:lang w:val="en-US"/>
        </w:rPr>
        <w:t xml:space="preserve">, with </w:t>
      </w:r>
      <w:r w:rsidR="00002D35">
        <w:rPr>
          <w:rFonts w:cs="Arial"/>
          <w:sz w:val="24"/>
          <w:szCs w:val="24"/>
          <w:lang w:val="en-US"/>
        </w:rPr>
        <w:t>the</w:t>
      </w:r>
      <w:r w:rsidR="004012F7">
        <w:rPr>
          <w:rFonts w:cs="Arial"/>
          <w:sz w:val="24"/>
          <w:szCs w:val="24"/>
          <w:lang w:val="en-US"/>
        </w:rPr>
        <w:t xml:space="preserve"> skeleton of one individual </w:t>
      </w:r>
      <w:r w:rsidR="00062B6D">
        <w:rPr>
          <w:rFonts w:cs="Arial"/>
          <w:sz w:val="24"/>
          <w:szCs w:val="24"/>
          <w:lang w:val="en-US"/>
        </w:rPr>
        <w:t>(</w:t>
      </w:r>
      <w:r w:rsidR="004012F7">
        <w:rPr>
          <w:rFonts w:cs="Arial"/>
          <w:sz w:val="24"/>
          <w:szCs w:val="24"/>
          <w:lang w:val="en-US"/>
        </w:rPr>
        <w:t>aged 12-14 years</w:t>
      </w:r>
      <w:r w:rsidR="00062B6D">
        <w:rPr>
          <w:rFonts w:cs="Arial"/>
          <w:sz w:val="24"/>
          <w:szCs w:val="24"/>
          <w:lang w:val="en-US"/>
        </w:rPr>
        <w:t>)</w:t>
      </w:r>
      <w:r w:rsidR="004012F7">
        <w:rPr>
          <w:rFonts w:cs="Arial"/>
          <w:sz w:val="24"/>
          <w:szCs w:val="24"/>
          <w:lang w:val="en-US"/>
        </w:rPr>
        <w:t xml:space="preserve"> </w:t>
      </w:r>
      <w:r w:rsidR="0027315B">
        <w:rPr>
          <w:rFonts w:cs="Arial"/>
          <w:sz w:val="24"/>
          <w:szCs w:val="24"/>
          <w:lang w:val="en-US"/>
        </w:rPr>
        <w:t xml:space="preserve">possibly </w:t>
      </w:r>
      <w:r w:rsidR="004012F7">
        <w:rPr>
          <w:rFonts w:cs="Arial"/>
          <w:sz w:val="24"/>
          <w:szCs w:val="24"/>
          <w:lang w:val="en-US"/>
        </w:rPr>
        <w:t>exhibiting the</w:t>
      </w:r>
      <w:r w:rsidR="00002D35">
        <w:rPr>
          <w:rFonts w:cs="Arial"/>
          <w:sz w:val="24"/>
          <w:szCs w:val="24"/>
          <w:lang w:val="en-US"/>
        </w:rPr>
        <w:t xml:space="preserve"> notorious </w:t>
      </w:r>
      <w:r w:rsidR="000A7D36">
        <w:rPr>
          <w:rFonts w:cs="Arial"/>
          <w:sz w:val="24"/>
          <w:szCs w:val="24"/>
          <w:lang w:val="en-US"/>
        </w:rPr>
        <w:t xml:space="preserve">occupational </w:t>
      </w:r>
      <w:r w:rsidR="00002D35">
        <w:rPr>
          <w:rFonts w:cs="Arial"/>
          <w:sz w:val="24"/>
          <w:szCs w:val="24"/>
          <w:lang w:val="en-US"/>
        </w:rPr>
        <w:t xml:space="preserve">condition </w:t>
      </w:r>
      <w:r w:rsidR="003F4160">
        <w:rPr>
          <w:rFonts w:cs="Arial"/>
          <w:sz w:val="24"/>
          <w:szCs w:val="24"/>
          <w:lang w:val="en-US"/>
        </w:rPr>
        <w:t>“</w:t>
      </w:r>
      <w:r w:rsidR="00B2640E" w:rsidRPr="00126647">
        <w:rPr>
          <w:rFonts w:cs="Arial"/>
          <w:sz w:val="24"/>
          <w:szCs w:val="24"/>
          <w:lang w:val="en-US"/>
        </w:rPr>
        <w:t>Phossy Jaw</w:t>
      </w:r>
      <w:r w:rsidR="003F4160">
        <w:rPr>
          <w:rFonts w:cs="Arial"/>
          <w:sz w:val="24"/>
          <w:szCs w:val="24"/>
          <w:lang w:val="en-US"/>
        </w:rPr>
        <w:t>”</w:t>
      </w:r>
      <w:r w:rsidR="00DE1E8B">
        <w:rPr>
          <w:rFonts w:cs="Arial"/>
          <w:sz w:val="24"/>
          <w:szCs w:val="24"/>
          <w:lang w:val="en-US"/>
        </w:rPr>
        <w:t xml:space="preserve"> </w:t>
      </w:r>
      <w:r w:rsidR="00DE1E8B">
        <w:rPr>
          <w:rFonts w:cstheme="minorHAnsi"/>
          <w:sz w:val="24"/>
          <w:szCs w:val="24"/>
          <w:lang w:val="en-US"/>
        </w:rPr>
        <w:t>‒</w:t>
      </w:r>
      <w:r w:rsidR="00DE1E8B">
        <w:rPr>
          <w:rFonts w:cs="Arial"/>
          <w:sz w:val="24"/>
          <w:szCs w:val="24"/>
          <w:lang w:val="en-US"/>
        </w:rPr>
        <w:t xml:space="preserve"> osteonecrosis</w:t>
      </w:r>
      <w:r w:rsidR="0027315B">
        <w:rPr>
          <w:rFonts w:cs="Arial"/>
          <w:sz w:val="24"/>
          <w:szCs w:val="24"/>
          <w:lang w:val="en-US"/>
        </w:rPr>
        <w:t xml:space="preserve"> of the mandible</w:t>
      </w:r>
      <w:r w:rsidR="00002D35">
        <w:rPr>
          <w:rFonts w:cs="Arial"/>
          <w:sz w:val="24"/>
          <w:szCs w:val="24"/>
          <w:lang w:val="en-US"/>
        </w:rPr>
        <w:t xml:space="preserve"> </w:t>
      </w:r>
      <w:r w:rsidR="009F10F6">
        <w:rPr>
          <w:rFonts w:cs="Arial"/>
          <w:sz w:val="24"/>
          <w:szCs w:val="24"/>
          <w:lang w:val="en-US"/>
        </w:rPr>
        <w:t xml:space="preserve">typically </w:t>
      </w:r>
      <w:r w:rsidR="00002D35">
        <w:rPr>
          <w:rFonts w:cs="Arial"/>
          <w:sz w:val="24"/>
          <w:szCs w:val="24"/>
          <w:lang w:val="en-US"/>
        </w:rPr>
        <w:t>caused by exposure t</w:t>
      </w:r>
      <w:r w:rsidR="004012F7">
        <w:rPr>
          <w:rFonts w:cs="Arial"/>
          <w:sz w:val="24"/>
          <w:szCs w:val="24"/>
          <w:lang w:val="en-US"/>
        </w:rPr>
        <w:t>o phosphorus during match</w:t>
      </w:r>
      <w:r w:rsidR="0029007C">
        <w:rPr>
          <w:rFonts w:cs="Arial"/>
          <w:sz w:val="24"/>
          <w:szCs w:val="24"/>
          <w:lang w:val="en-US"/>
        </w:rPr>
        <w:t>-</w:t>
      </w:r>
      <w:r w:rsidR="004012F7">
        <w:rPr>
          <w:rFonts w:cs="Arial"/>
          <w:sz w:val="24"/>
          <w:szCs w:val="24"/>
          <w:lang w:val="en-US"/>
        </w:rPr>
        <w:t xml:space="preserve">making </w:t>
      </w:r>
      <w:r w:rsidR="00062B6D">
        <w:rPr>
          <w:rFonts w:cs="Arial"/>
          <w:sz w:val="24"/>
          <w:szCs w:val="24"/>
          <w:lang w:val="en-US"/>
        </w:rPr>
        <w:t>(Roberts et al.</w:t>
      </w:r>
      <w:r w:rsidR="000A0178">
        <w:rPr>
          <w:rFonts w:cs="Arial"/>
          <w:sz w:val="24"/>
          <w:szCs w:val="24"/>
          <w:lang w:val="en-US"/>
        </w:rPr>
        <w:t xml:space="preserve"> </w:t>
      </w:r>
      <w:r w:rsidR="002E108A">
        <w:rPr>
          <w:rFonts w:cs="Arial"/>
          <w:sz w:val="24"/>
          <w:szCs w:val="24"/>
          <w:lang w:val="en-US"/>
        </w:rPr>
        <w:t>2016</w:t>
      </w:r>
      <w:r w:rsidR="000A0178">
        <w:rPr>
          <w:rFonts w:cs="Arial"/>
          <w:sz w:val="24"/>
          <w:szCs w:val="24"/>
          <w:lang w:val="en-US"/>
        </w:rPr>
        <w:t>)</w:t>
      </w:r>
      <w:r w:rsidR="00B2640E" w:rsidRPr="00126647">
        <w:rPr>
          <w:rFonts w:cs="Arial"/>
          <w:sz w:val="24"/>
          <w:szCs w:val="24"/>
          <w:lang w:val="en-US"/>
        </w:rPr>
        <w:t xml:space="preserve">. </w:t>
      </w:r>
      <w:r w:rsidR="00961BAF">
        <w:rPr>
          <w:rFonts w:cs="Arial"/>
          <w:sz w:val="24"/>
          <w:szCs w:val="24"/>
          <w:lang w:val="en-US"/>
        </w:rPr>
        <w:t>In contrast to Fewston, t</w:t>
      </w:r>
      <w:r w:rsidR="00002D35">
        <w:rPr>
          <w:rFonts w:cs="Arial"/>
          <w:sz w:val="24"/>
          <w:szCs w:val="24"/>
          <w:lang w:val="en-US"/>
        </w:rPr>
        <w:t xml:space="preserve">he </w:t>
      </w:r>
      <w:r w:rsidR="0027315B">
        <w:rPr>
          <w:rFonts w:cs="Arial"/>
          <w:sz w:val="24"/>
          <w:szCs w:val="24"/>
          <w:lang w:val="en-US"/>
        </w:rPr>
        <w:t xml:space="preserve">Coach Lane </w:t>
      </w:r>
      <w:r w:rsidR="00002D35">
        <w:rPr>
          <w:rFonts w:cs="Arial"/>
          <w:sz w:val="24"/>
          <w:szCs w:val="24"/>
          <w:lang w:val="en-US"/>
        </w:rPr>
        <w:t xml:space="preserve">cemetery </w:t>
      </w:r>
      <w:r w:rsidR="00002D35">
        <w:rPr>
          <w:rFonts w:cs="Arial"/>
          <w:sz w:val="24"/>
          <w:szCs w:val="24"/>
          <w:lang w:val="en-US"/>
        </w:rPr>
        <w:lastRenderedPageBreak/>
        <w:t>was excavated</w:t>
      </w:r>
      <w:r w:rsidR="00961BAF">
        <w:rPr>
          <w:rFonts w:cs="Arial"/>
          <w:sz w:val="24"/>
          <w:szCs w:val="24"/>
          <w:lang w:val="en-US"/>
        </w:rPr>
        <w:t xml:space="preserve"> in its entirety</w:t>
      </w:r>
      <w:r w:rsidR="00716055">
        <w:rPr>
          <w:rFonts w:cs="Arial"/>
          <w:sz w:val="24"/>
          <w:szCs w:val="24"/>
          <w:lang w:val="en-US"/>
        </w:rPr>
        <w:t xml:space="preserve"> (Procter et al. 2014)</w:t>
      </w:r>
      <w:r w:rsidR="00035514">
        <w:rPr>
          <w:rFonts w:cs="Arial"/>
          <w:sz w:val="24"/>
          <w:szCs w:val="24"/>
          <w:lang w:val="en-US"/>
        </w:rPr>
        <w:t xml:space="preserve"> </w:t>
      </w:r>
      <w:r w:rsidR="00961BAF">
        <w:rPr>
          <w:rFonts w:cs="Arial"/>
          <w:sz w:val="24"/>
          <w:szCs w:val="24"/>
          <w:lang w:val="en-US"/>
        </w:rPr>
        <w:t xml:space="preserve">and </w:t>
      </w:r>
      <w:r w:rsidR="00002D35">
        <w:rPr>
          <w:rFonts w:cs="Arial"/>
          <w:sz w:val="24"/>
          <w:szCs w:val="24"/>
          <w:lang w:val="en-US"/>
        </w:rPr>
        <w:t>consisted of 236 individuals, 81 of whom were non-adults (under 20 years of age)</w:t>
      </w:r>
      <w:r w:rsidR="00716055">
        <w:rPr>
          <w:rFonts w:cs="Arial"/>
          <w:sz w:val="24"/>
          <w:szCs w:val="24"/>
          <w:lang w:val="en-US"/>
        </w:rPr>
        <w:t>.</w:t>
      </w:r>
    </w:p>
    <w:p w14:paraId="4C3BCA34" w14:textId="77777777" w:rsidR="00BB31BF" w:rsidRPr="00B442AF" w:rsidRDefault="00BB31BF" w:rsidP="00453751">
      <w:pPr>
        <w:spacing w:line="480" w:lineRule="auto"/>
        <w:rPr>
          <w:rFonts w:cs="Arial"/>
          <w:sz w:val="24"/>
          <w:szCs w:val="24"/>
          <w:lang w:val="en-US"/>
        </w:rPr>
      </w:pPr>
    </w:p>
    <w:p w14:paraId="31C35000" w14:textId="77777777" w:rsidR="00B442AF" w:rsidRDefault="00134E46" w:rsidP="00453751">
      <w:pPr>
        <w:spacing w:line="480" w:lineRule="auto"/>
        <w:rPr>
          <w:rFonts w:cs="Arial"/>
          <w:b/>
          <w:sz w:val="24"/>
          <w:szCs w:val="24"/>
          <w:lang w:val="en-US"/>
        </w:rPr>
      </w:pPr>
      <w:r w:rsidRPr="00126647">
        <w:rPr>
          <w:rFonts w:cs="Arial"/>
          <w:b/>
          <w:sz w:val="24"/>
          <w:szCs w:val="24"/>
          <w:lang w:val="en-US"/>
        </w:rPr>
        <w:t>Methods</w:t>
      </w:r>
    </w:p>
    <w:p w14:paraId="67F44B4D" w14:textId="4D677B2A" w:rsidR="002A1CA3" w:rsidRDefault="000A7D36" w:rsidP="00453751">
      <w:pPr>
        <w:spacing w:line="480" w:lineRule="auto"/>
        <w:rPr>
          <w:rFonts w:cs="Arial"/>
          <w:sz w:val="24"/>
          <w:szCs w:val="24"/>
        </w:rPr>
      </w:pPr>
      <w:r>
        <w:rPr>
          <w:rFonts w:cs="Arial"/>
          <w:sz w:val="24"/>
          <w:szCs w:val="24"/>
          <w:lang w:val="en-US"/>
        </w:rPr>
        <w:t>A</w:t>
      </w:r>
      <w:r w:rsidR="001F3700">
        <w:rPr>
          <w:rFonts w:cs="Arial"/>
          <w:sz w:val="24"/>
          <w:szCs w:val="24"/>
          <w:lang w:val="en-US"/>
        </w:rPr>
        <w:t>ge</w:t>
      </w:r>
      <w:r w:rsidR="00DE1E8B">
        <w:rPr>
          <w:rFonts w:cs="Arial"/>
          <w:sz w:val="24"/>
          <w:szCs w:val="24"/>
          <w:lang w:val="en-US"/>
        </w:rPr>
        <w:t>-at-death</w:t>
      </w:r>
      <w:r w:rsidR="001F3700">
        <w:rPr>
          <w:rFonts w:cs="Arial"/>
          <w:sz w:val="24"/>
          <w:szCs w:val="24"/>
          <w:lang w:val="en-US"/>
        </w:rPr>
        <w:t xml:space="preserve"> of </w:t>
      </w:r>
      <w:r w:rsidR="00DE1E8B">
        <w:rPr>
          <w:rFonts w:cs="Arial"/>
          <w:sz w:val="24"/>
          <w:szCs w:val="24"/>
          <w:lang w:val="en-US"/>
        </w:rPr>
        <w:t>the non-adults</w:t>
      </w:r>
      <w:r w:rsidR="001F3700">
        <w:rPr>
          <w:rFonts w:cs="Arial"/>
          <w:sz w:val="24"/>
          <w:szCs w:val="24"/>
          <w:lang w:val="en-US"/>
        </w:rPr>
        <w:t xml:space="preserve"> </w:t>
      </w:r>
      <w:r>
        <w:rPr>
          <w:rFonts w:cs="Arial"/>
          <w:sz w:val="24"/>
          <w:szCs w:val="24"/>
          <w:lang w:val="en-US"/>
        </w:rPr>
        <w:t>was</w:t>
      </w:r>
      <w:r w:rsidR="00DE1E8B">
        <w:rPr>
          <w:rFonts w:cs="Arial"/>
          <w:sz w:val="24"/>
          <w:szCs w:val="24"/>
          <w:lang w:val="en-US"/>
        </w:rPr>
        <w:t xml:space="preserve"> estimated</w:t>
      </w:r>
      <w:r w:rsidR="001F3700">
        <w:rPr>
          <w:rFonts w:cs="Arial"/>
          <w:sz w:val="24"/>
          <w:szCs w:val="24"/>
          <w:lang w:val="en-US"/>
        </w:rPr>
        <w:t xml:space="preserve"> using</w:t>
      </w:r>
      <w:r w:rsidR="002E108A">
        <w:rPr>
          <w:rFonts w:cs="Arial"/>
          <w:sz w:val="24"/>
          <w:szCs w:val="24"/>
          <w:lang w:val="en-US"/>
        </w:rPr>
        <w:t xml:space="preserve"> dental development and eruption, long bone growth</w:t>
      </w:r>
      <w:r w:rsidR="00062B6D">
        <w:rPr>
          <w:rFonts w:cs="Arial"/>
          <w:sz w:val="24"/>
          <w:szCs w:val="24"/>
          <w:lang w:val="en-US"/>
        </w:rPr>
        <w:t>,</w:t>
      </w:r>
      <w:r w:rsidR="002E108A">
        <w:rPr>
          <w:rFonts w:cs="Arial"/>
          <w:sz w:val="24"/>
          <w:szCs w:val="24"/>
          <w:lang w:val="en-US"/>
        </w:rPr>
        <w:t xml:space="preserve"> and epiphyseal fusion</w:t>
      </w:r>
      <w:r w:rsidR="001F3700">
        <w:rPr>
          <w:rFonts w:cs="Arial"/>
          <w:sz w:val="24"/>
          <w:szCs w:val="24"/>
          <w:lang w:val="en-US"/>
        </w:rPr>
        <w:t xml:space="preserve"> </w:t>
      </w:r>
      <w:r w:rsidR="002E108A">
        <w:rPr>
          <w:rFonts w:cs="Arial"/>
          <w:sz w:val="24"/>
          <w:szCs w:val="24"/>
          <w:lang w:val="en-US"/>
        </w:rPr>
        <w:t>(</w:t>
      </w:r>
      <w:r w:rsidR="00DE1E8B">
        <w:rPr>
          <w:rFonts w:cs="Arial"/>
          <w:sz w:val="24"/>
          <w:szCs w:val="24"/>
          <w:lang w:val="en-US"/>
        </w:rPr>
        <w:t xml:space="preserve">see </w:t>
      </w:r>
      <w:r w:rsidR="002E108A">
        <w:rPr>
          <w:rFonts w:cs="Arial"/>
          <w:sz w:val="24"/>
          <w:szCs w:val="24"/>
          <w:lang w:val="en-US"/>
        </w:rPr>
        <w:t>Table 1</w:t>
      </w:r>
      <w:r w:rsidR="00DE1E8B">
        <w:rPr>
          <w:rFonts w:cs="Arial"/>
          <w:sz w:val="24"/>
          <w:szCs w:val="24"/>
          <w:lang w:val="en-US"/>
        </w:rPr>
        <w:t xml:space="preserve"> for details</w:t>
      </w:r>
      <w:r w:rsidR="002E108A">
        <w:rPr>
          <w:rFonts w:cs="Arial"/>
          <w:sz w:val="24"/>
          <w:szCs w:val="24"/>
          <w:lang w:val="en-US"/>
        </w:rPr>
        <w:t>)</w:t>
      </w:r>
      <w:r w:rsidR="00DE1E8B">
        <w:rPr>
          <w:rFonts w:cs="Arial"/>
          <w:sz w:val="24"/>
          <w:szCs w:val="24"/>
          <w:lang w:val="en-US"/>
        </w:rPr>
        <w:t>.</w:t>
      </w:r>
      <w:r w:rsidR="002E108A">
        <w:rPr>
          <w:rFonts w:cs="Arial"/>
          <w:sz w:val="24"/>
          <w:szCs w:val="24"/>
          <w:lang w:val="en-US"/>
        </w:rPr>
        <w:t xml:space="preserve"> </w:t>
      </w:r>
      <w:r w:rsidR="00ED77DF">
        <w:rPr>
          <w:rFonts w:cs="Arial"/>
          <w:sz w:val="24"/>
          <w:szCs w:val="24"/>
          <w:lang w:val="en-US"/>
        </w:rPr>
        <w:t>Following convention, d</w:t>
      </w:r>
      <w:r w:rsidR="001F3700">
        <w:rPr>
          <w:rFonts w:cs="Arial"/>
          <w:sz w:val="24"/>
          <w:szCs w:val="24"/>
          <w:lang w:val="en-US"/>
        </w:rPr>
        <w:t xml:space="preserve">ental age was </w:t>
      </w:r>
      <w:r w:rsidR="00ED77DF">
        <w:rPr>
          <w:rFonts w:cs="Arial"/>
          <w:sz w:val="24"/>
          <w:szCs w:val="24"/>
          <w:lang w:val="en-US"/>
        </w:rPr>
        <w:t>considered more</w:t>
      </w:r>
      <w:r w:rsidR="001F3700">
        <w:rPr>
          <w:rFonts w:cs="Arial"/>
          <w:sz w:val="24"/>
          <w:szCs w:val="24"/>
          <w:lang w:val="en-US"/>
        </w:rPr>
        <w:t xml:space="preserve"> representative of the </w:t>
      </w:r>
      <w:r w:rsidR="00035514">
        <w:rPr>
          <w:rFonts w:cs="Arial"/>
          <w:sz w:val="24"/>
          <w:szCs w:val="24"/>
          <w:lang w:val="en-US"/>
        </w:rPr>
        <w:t>chronological</w:t>
      </w:r>
      <w:r w:rsidR="001F3700">
        <w:rPr>
          <w:rFonts w:cs="Arial"/>
          <w:sz w:val="24"/>
          <w:szCs w:val="24"/>
          <w:lang w:val="en-US"/>
        </w:rPr>
        <w:t xml:space="preserve"> age of the child</w:t>
      </w:r>
      <w:r w:rsidR="00ED77DF">
        <w:rPr>
          <w:rFonts w:cs="Arial"/>
          <w:sz w:val="24"/>
          <w:szCs w:val="24"/>
          <w:lang w:val="en-US"/>
        </w:rPr>
        <w:t>,</w:t>
      </w:r>
      <w:r w:rsidR="00251BF4">
        <w:rPr>
          <w:rFonts w:cs="Arial"/>
          <w:sz w:val="24"/>
          <w:szCs w:val="24"/>
          <w:lang w:val="en-US"/>
        </w:rPr>
        <w:t xml:space="preserve"> as </w:t>
      </w:r>
      <w:r w:rsidR="002E108A">
        <w:rPr>
          <w:rFonts w:cs="Arial"/>
          <w:sz w:val="24"/>
          <w:szCs w:val="24"/>
          <w:lang w:val="en-US"/>
        </w:rPr>
        <w:t>tooth development</w:t>
      </w:r>
      <w:r w:rsidR="00251BF4">
        <w:rPr>
          <w:rFonts w:cs="Arial"/>
          <w:sz w:val="24"/>
          <w:szCs w:val="24"/>
          <w:lang w:val="en-US"/>
        </w:rPr>
        <w:t xml:space="preserve"> </w:t>
      </w:r>
      <w:r w:rsidR="00ED77DF">
        <w:rPr>
          <w:rFonts w:cs="Arial"/>
          <w:sz w:val="24"/>
          <w:szCs w:val="24"/>
          <w:lang w:val="en-US"/>
        </w:rPr>
        <w:t>is less affected by environmental adversity than skeletal development</w:t>
      </w:r>
      <w:r w:rsidR="00DE1E8B">
        <w:rPr>
          <w:rFonts w:cs="Arial"/>
          <w:sz w:val="24"/>
          <w:szCs w:val="24"/>
          <w:lang w:val="en-US"/>
        </w:rPr>
        <w:t xml:space="preserve"> (</w:t>
      </w:r>
      <w:proofErr w:type="spellStart"/>
      <w:r w:rsidR="003F4160" w:rsidRPr="003F4160">
        <w:rPr>
          <w:rFonts w:cs="Arial"/>
          <w:sz w:val="24"/>
          <w:szCs w:val="24"/>
          <w:lang w:val="en-US"/>
        </w:rPr>
        <w:t>Elamin</w:t>
      </w:r>
      <w:proofErr w:type="spellEnd"/>
      <w:r w:rsidR="003F4160" w:rsidRPr="003F4160">
        <w:rPr>
          <w:rFonts w:cs="Arial"/>
          <w:sz w:val="24"/>
          <w:szCs w:val="24"/>
          <w:lang w:val="en-US"/>
        </w:rPr>
        <w:t xml:space="preserve"> and </w:t>
      </w:r>
      <w:proofErr w:type="spellStart"/>
      <w:r w:rsidR="003F4160" w:rsidRPr="003F4160">
        <w:rPr>
          <w:rFonts w:cs="Arial"/>
          <w:sz w:val="24"/>
          <w:szCs w:val="24"/>
          <w:lang w:val="en-US"/>
        </w:rPr>
        <w:t>Liversidge</w:t>
      </w:r>
      <w:proofErr w:type="spellEnd"/>
      <w:r w:rsidR="003F4160" w:rsidRPr="003F4160">
        <w:rPr>
          <w:rFonts w:cs="Arial"/>
          <w:sz w:val="24"/>
          <w:szCs w:val="24"/>
          <w:lang w:val="en-US"/>
        </w:rPr>
        <w:t xml:space="preserve"> 2013</w:t>
      </w:r>
      <w:r w:rsidR="003F4160">
        <w:rPr>
          <w:rFonts w:cs="Arial"/>
          <w:sz w:val="24"/>
          <w:szCs w:val="24"/>
          <w:lang w:val="en-US"/>
        </w:rPr>
        <w:t xml:space="preserve">; </w:t>
      </w:r>
      <w:r w:rsidR="00DE1E8B">
        <w:rPr>
          <w:rFonts w:cs="Arial"/>
          <w:sz w:val="24"/>
          <w:szCs w:val="24"/>
          <w:lang w:val="en-US"/>
        </w:rPr>
        <w:t xml:space="preserve">Saunders </w:t>
      </w:r>
      <w:r w:rsidR="00035514">
        <w:rPr>
          <w:rFonts w:cs="Arial"/>
          <w:sz w:val="24"/>
          <w:szCs w:val="24"/>
          <w:lang w:val="en-US"/>
        </w:rPr>
        <w:t>2008</w:t>
      </w:r>
      <w:r w:rsidR="00220C48">
        <w:rPr>
          <w:rFonts w:cs="Arial"/>
          <w:sz w:val="24"/>
          <w:szCs w:val="24"/>
          <w:lang w:val="en-US"/>
        </w:rPr>
        <w:t xml:space="preserve">– </w:t>
      </w:r>
      <w:r w:rsidR="00716055">
        <w:rPr>
          <w:rFonts w:cs="Arial"/>
          <w:sz w:val="24"/>
          <w:szCs w:val="24"/>
          <w:lang w:val="en-US"/>
        </w:rPr>
        <w:t>al</w:t>
      </w:r>
      <w:r w:rsidR="00220C48">
        <w:rPr>
          <w:rFonts w:cs="Arial"/>
          <w:sz w:val="24"/>
          <w:szCs w:val="24"/>
          <w:lang w:val="en-US"/>
        </w:rPr>
        <w:t xml:space="preserve">though see </w:t>
      </w:r>
      <w:r w:rsidR="00716055">
        <w:rPr>
          <w:rFonts w:cs="Arial"/>
          <w:sz w:val="24"/>
          <w:szCs w:val="24"/>
          <w:lang w:val="en-US"/>
        </w:rPr>
        <w:t>Discussion</w:t>
      </w:r>
      <w:r w:rsidR="00251BF4">
        <w:rPr>
          <w:rFonts w:cs="Arial"/>
          <w:sz w:val="24"/>
          <w:szCs w:val="24"/>
          <w:lang w:val="en-US"/>
        </w:rPr>
        <w:t>)</w:t>
      </w:r>
      <w:r w:rsidR="001F3700">
        <w:rPr>
          <w:rFonts w:cs="Arial"/>
          <w:sz w:val="24"/>
          <w:szCs w:val="24"/>
          <w:lang w:val="en-US"/>
        </w:rPr>
        <w:t xml:space="preserve">.  </w:t>
      </w:r>
      <w:r w:rsidR="00DE1E8B">
        <w:rPr>
          <w:rFonts w:cs="Arial"/>
          <w:sz w:val="24"/>
          <w:szCs w:val="24"/>
          <w:lang w:val="en-US"/>
        </w:rPr>
        <w:t>When</w:t>
      </w:r>
      <w:r w:rsidR="00251BF4">
        <w:rPr>
          <w:rFonts w:cs="Arial"/>
          <w:sz w:val="24"/>
          <w:szCs w:val="24"/>
          <w:lang w:val="en-US"/>
        </w:rPr>
        <w:t xml:space="preserve"> dental age could not be </w:t>
      </w:r>
      <w:r w:rsidR="001E4F0E">
        <w:rPr>
          <w:rFonts w:cs="Arial"/>
          <w:sz w:val="24"/>
          <w:szCs w:val="24"/>
          <w:lang w:val="en-US"/>
        </w:rPr>
        <w:t>established due to missing teeth</w:t>
      </w:r>
      <w:r w:rsidR="00251BF4">
        <w:rPr>
          <w:rFonts w:cs="Arial"/>
          <w:sz w:val="24"/>
          <w:szCs w:val="24"/>
          <w:lang w:val="en-US"/>
        </w:rPr>
        <w:t>, age was</w:t>
      </w:r>
      <w:r w:rsidR="00DE1E8B">
        <w:rPr>
          <w:rFonts w:cs="Arial"/>
          <w:sz w:val="24"/>
          <w:szCs w:val="24"/>
          <w:lang w:val="en-US"/>
        </w:rPr>
        <w:t xml:space="preserve"> instead</w:t>
      </w:r>
      <w:r w:rsidR="00251BF4">
        <w:rPr>
          <w:rFonts w:cs="Arial"/>
          <w:sz w:val="24"/>
          <w:szCs w:val="24"/>
          <w:lang w:val="en-US"/>
        </w:rPr>
        <w:t xml:space="preserve"> estimated </w:t>
      </w:r>
      <w:r w:rsidR="00DE1E8B">
        <w:rPr>
          <w:rFonts w:cs="Arial"/>
          <w:sz w:val="24"/>
          <w:szCs w:val="24"/>
          <w:lang w:val="en-US"/>
        </w:rPr>
        <w:t>from</w:t>
      </w:r>
      <w:r w:rsidR="00251BF4">
        <w:rPr>
          <w:rFonts w:cs="Arial"/>
          <w:sz w:val="24"/>
          <w:szCs w:val="24"/>
          <w:lang w:val="en-US"/>
        </w:rPr>
        <w:t xml:space="preserve"> epiphyseal fusion and metric analysis.  </w:t>
      </w:r>
      <w:r w:rsidR="00B03D99" w:rsidRPr="00B03D99">
        <w:rPr>
          <w:rFonts w:cs="Arial"/>
          <w:sz w:val="24"/>
          <w:szCs w:val="24"/>
          <w:lang w:val="en-US"/>
        </w:rPr>
        <w:t>Long bone diaphyseal lengths were measured and compared t</w:t>
      </w:r>
      <w:r w:rsidR="00FE3DC5">
        <w:rPr>
          <w:rFonts w:cs="Arial"/>
          <w:sz w:val="24"/>
          <w:szCs w:val="24"/>
          <w:lang w:val="en-US"/>
        </w:rPr>
        <w:t>o age</w:t>
      </w:r>
      <w:r w:rsidR="00062B6D">
        <w:rPr>
          <w:rFonts w:cs="Arial"/>
          <w:sz w:val="24"/>
          <w:szCs w:val="24"/>
          <w:lang w:val="en-US"/>
        </w:rPr>
        <w:t>-at-death</w:t>
      </w:r>
      <w:r w:rsidR="00FE3DC5">
        <w:rPr>
          <w:rFonts w:cs="Arial"/>
          <w:sz w:val="24"/>
          <w:szCs w:val="24"/>
          <w:lang w:val="en-US"/>
        </w:rPr>
        <w:t xml:space="preserve"> estimated from dental age</w:t>
      </w:r>
      <w:r w:rsidR="00B03D99" w:rsidRPr="00B03D99">
        <w:rPr>
          <w:rFonts w:cs="Arial"/>
          <w:sz w:val="24"/>
          <w:szCs w:val="24"/>
          <w:lang w:val="en-US"/>
        </w:rPr>
        <w:t xml:space="preserve"> </w:t>
      </w:r>
      <w:r w:rsidR="00062B6D">
        <w:rPr>
          <w:rFonts w:cs="Arial"/>
          <w:sz w:val="24"/>
          <w:szCs w:val="24"/>
          <w:lang w:val="en-US"/>
        </w:rPr>
        <w:t xml:space="preserve">as well as </w:t>
      </w:r>
      <w:proofErr w:type="spellStart"/>
      <w:r w:rsidR="00062B6D">
        <w:rPr>
          <w:rFonts w:cs="Arial"/>
          <w:sz w:val="24"/>
          <w:szCs w:val="24"/>
          <w:lang w:val="en-US"/>
        </w:rPr>
        <w:t>Maresh’s</w:t>
      </w:r>
      <w:proofErr w:type="spellEnd"/>
      <w:r w:rsidR="00062B6D">
        <w:rPr>
          <w:rFonts w:cs="Arial"/>
          <w:sz w:val="24"/>
          <w:szCs w:val="24"/>
          <w:lang w:val="en-US"/>
        </w:rPr>
        <w:t xml:space="preserve"> (1955) known age </w:t>
      </w:r>
      <w:r w:rsidR="00035514">
        <w:rPr>
          <w:rFonts w:cs="Arial"/>
          <w:sz w:val="24"/>
          <w:szCs w:val="24"/>
          <w:lang w:val="en-US"/>
        </w:rPr>
        <w:t>long bone</w:t>
      </w:r>
      <w:r w:rsidR="00062B6D">
        <w:rPr>
          <w:rFonts w:cs="Arial"/>
          <w:sz w:val="24"/>
          <w:szCs w:val="24"/>
          <w:lang w:val="en-US"/>
        </w:rPr>
        <w:t xml:space="preserve"> reference</w:t>
      </w:r>
      <w:r w:rsidR="00035514">
        <w:rPr>
          <w:rFonts w:cs="Arial"/>
          <w:sz w:val="24"/>
          <w:szCs w:val="24"/>
          <w:lang w:val="en-US"/>
        </w:rPr>
        <w:t xml:space="preserve"> </w:t>
      </w:r>
      <w:r w:rsidR="00B03D99" w:rsidRPr="00B03D99">
        <w:rPr>
          <w:rFonts w:cs="Arial"/>
          <w:sz w:val="24"/>
          <w:szCs w:val="24"/>
          <w:lang w:val="en-US"/>
        </w:rPr>
        <w:t xml:space="preserve">data.  </w:t>
      </w:r>
      <w:r w:rsidR="00E32D6D" w:rsidRPr="00E32D6D">
        <w:rPr>
          <w:rFonts w:cs="Arial"/>
          <w:sz w:val="24"/>
          <w:szCs w:val="24"/>
        </w:rPr>
        <w:t>Skeletal growth profiles were constructed from diaphyseal lengths of the major long bones using the mid-point of the dental age-range, whereby an individual with a dental age estimate falling between 0.5 to 1.5 years would be categorized as ‘1 year’. This follows the practice of previous growth studies (see Mays et al. 2008). These age categories act as a proxy for ‘known age’, and it is not intended that the age midpoint should be taken as a genuine reflection of the precise chronological age.</w:t>
      </w:r>
    </w:p>
    <w:p w14:paraId="15ECDED1" w14:textId="77777777" w:rsidR="00E32D6D" w:rsidRPr="00B442AF" w:rsidRDefault="00E32D6D" w:rsidP="00453751">
      <w:pPr>
        <w:spacing w:line="480" w:lineRule="auto"/>
        <w:rPr>
          <w:rFonts w:cs="Arial"/>
          <w:b/>
          <w:sz w:val="24"/>
          <w:szCs w:val="24"/>
          <w:lang w:val="en-US"/>
        </w:rPr>
      </w:pPr>
    </w:p>
    <w:p w14:paraId="21F9A536" w14:textId="3CDB8839" w:rsidR="002A1CA3" w:rsidRPr="00A911DE" w:rsidRDefault="00C075FB" w:rsidP="00453751">
      <w:pPr>
        <w:spacing w:line="480" w:lineRule="auto"/>
        <w:rPr>
          <w:rFonts w:cs="Arial"/>
          <w:sz w:val="24"/>
          <w:szCs w:val="24"/>
        </w:rPr>
      </w:pPr>
      <w:r>
        <w:rPr>
          <w:rFonts w:cs="Arial"/>
          <w:sz w:val="24"/>
          <w:szCs w:val="24"/>
          <w:lang w:val="en-US"/>
        </w:rPr>
        <w:t>Recent</w:t>
      </w:r>
      <w:r w:rsidR="00A911DE">
        <w:rPr>
          <w:rFonts w:cs="Arial"/>
          <w:sz w:val="24"/>
          <w:szCs w:val="24"/>
          <w:lang w:val="en-US"/>
        </w:rPr>
        <w:t xml:space="preserve"> methods </w:t>
      </w:r>
      <w:r w:rsidR="00251BF4">
        <w:rPr>
          <w:rFonts w:cs="Arial"/>
          <w:sz w:val="24"/>
          <w:szCs w:val="24"/>
          <w:lang w:val="en-US"/>
        </w:rPr>
        <w:t xml:space="preserve">to detect </w:t>
      </w:r>
      <w:r w:rsidR="00842ED5">
        <w:rPr>
          <w:rFonts w:cs="Arial"/>
          <w:sz w:val="24"/>
          <w:szCs w:val="24"/>
          <w:lang w:val="en-US"/>
        </w:rPr>
        <w:t xml:space="preserve">growth disruption </w:t>
      </w:r>
      <w:r w:rsidR="00A911DE">
        <w:rPr>
          <w:rFonts w:cs="Arial"/>
          <w:sz w:val="24"/>
          <w:szCs w:val="24"/>
          <w:lang w:val="en-US"/>
        </w:rPr>
        <w:t>were applied, including</w:t>
      </w:r>
      <w:r w:rsidR="00424732">
        <w:rPr>
          <w:rFonts w:cs="Arial"/>
          <w:sz w:val="24"/>
          <w:szCs w:val="24"/>
          <w:lang w:val="en-US"/>
        </w:rPr>
        <w:t xml:space="preserve"> </w:t>
      </w:r>
      <w:r w:rsidR="00DE1E8B">
        <w:rPr>
          <w:rFonts w:cs="Arial"/>
          <w:sz w:val="24"/>
          <w:szCs w:val="24"/>
          <w:lang w:val="en-US"/>
        </w:rPr>
        <w:t>measurements of</w:t>
      </w:r>
      <w:r w:rsidR="00842ED5">
        <w:rPr>
          <w:rFonts w:cs="Arial"/>
          <w:sz w:val="24"/>
          <w:szCs w:val="24"/>
          <w:lang w:val="en-US"/>
        </w:rPr>
        <w:t xml:space="preserve"> </w:t>
      </w:r>
      <w:r w:rsidR="00424732">
        <w:rPr>
          <w:rFonts w:cs="Arial"/>
          <w:sz w:val="24"/>
          <w:szCs w:val="24"/>
          <w:lang w:val="en-US"/>
        </w:rPr>
        <w:t>vertebral body height</w:t>
      </w:r>
      <w:r w:rsidR="00A911DE">
        <w:rPr>
          <w:rFonts w:cs="Arial"/>
          <w:sz w:val="24"/>
          <w:szCs w:val="24"/>
          <w:lang w:val="en-US"/>
        </w:rPr>
        <w:t>s</w:t>
      </w:r>
      <w:r w:rsidR="00FE3DC5">
        <w:rPr>
          <w:rFonts w:cs="Arial"/>
          <w:sz w:val="24"/>
          <w:szCs w:val="24"/>
          <w:lang w:val="en-US"/>
        </w:rPr>
        <w:t xml:space="preserve"> (Newman and Gowland 2015)</w:t>
      </w:r>
      <w:r w:rsidR="001E4F0E">
        <w:rPr>
          <w:rFonts w:cs="Arial"/>
          <w:sz w:val="24"/>
          <w:szCs w:val="24"/>
          <w:lang w:val="en-US"/>
        </w:rPr>
        <w:t xml:space="preserve"> and the</w:t>
      </w:r>
      <w:r w:rsidR="00A911DE">
        <w:rPr>
          <w:rFonts w:cs="Arial"/>
          <w:sz w:val="24"/>
          <w:szCs w:val="24"/>
          <w:lang w:val="en-US"/>
        </w:rPr>
        <w:t xml:space="preserve"> </w:t>
      </w:r>
      <w:r w:rsidR="00A911DE" w:rsidRPr="00A911DE">
        <w:rPr>
          <w:rFonts w:cs="Arial"/>
          <w:sz w:val="24"/>
          <w:szCs w:val="24"/>
        </w:rPr>
        <w:t xml:space="preserve">left femur was selected for </w:t>
      </w:r>
      <w:r w:rsidR="00FE3DC5">
        <w:rPr>
          <w:rFonts w:cs="Arial"/>
          <w:sz w:val="24"/>
          <w:szCs w:val="24"/>
        </w:rPr>
        <w:t>cortical thick</w:t>
      </w:r>
      <w:r w:rsidR="00B03D99">
        <w:rPr>
          <w:rFonts w:cs="Arial"/>
          <w:sz w:val="24"/>
          <w:szCs w:val="24"/>
        </w:rPr>
        <w:t>ness</w:t>
      </w:r>
      <w:r w:rsidR="00DE1E8B">
        <w:rPr>
          <w:rFonts w:cs="Arial"/>
          <w:sz w:val="24"/>
          <w:szCs w:val="24"/>
        </w:rPr>
        <w:t xml:space="preserve"> (CT) m</w:t>
      </w:r>
      <w:r w:rsidR="00A911DE" w:rsidRPr="00A911DE">
        <w:rPr>
          <w:rFonts w:cs="Arial"/>
          <w:sz w:val="24"/>
          <w:szCs w:val="24"/>
        </w:rPr>
        <w:t>easurements (substituted with the right side when necessary)</w:t>
      </w:r>
      <w:r w:rsidR="001E4F0E">
        <w:rPr>
          <w:rFonts w:cs="Arial"/>
          <w:sz w:val="24"/>
          <w:szCs w:val="24"/>
        </w:rPr>
        <w:t xml:space="preserve"> </w:t>
      </w:r>
      <w:r w:rsidR="001E4F0E">
        <w:rPr>
          <w:rFonts w:cs="Arial"/>
          <w:sz w:val="24"/>
          <w:szCs w:val="24"/>
        </w:rPr>
        <w:lastRenderedPageBreak/>
        <w:t>(Mays et al. 2009)</w:t>
      </w:r>
      <w:r w:rsidR="00A911DE" w:rsidRPr="00A911DE">
        <w:rPr>
          <w:rFonts w:cs="Arial"/>
          <w:sz w:val="24"/>
          <w:szCs w:val="24"/>
        </w:rPr>
        <w:t>. Radiographs were taken using a</w:t>
      </w:r>
      <w:r w:rsidR="00A911DE">
        <w:rPr>
          <w:rFonts w:cs="Arial"/>
          <w:sz w:val="24"/>
          <w:szCs w:val="24"/>
        </w:rPr>
        <w:t xml:space="preserve"> </w:t>
      </w:r>
      <w:r w:rsidR="00A911DE" w:rsidRPr="00A911DE">
        <w:rPr>
          <w:rFonts w:cs="Arial"/>
          <w:sz w:val="24"/>
          <w:szCs w:val="24"/>
          <w:lang w:val="en-US"/>
        </w:rPr>
        <w:t xml:space="preserve">MPX 10 portable radiography unit set at </w:t>
      </w:r>
      <w:r w:rsidR="00A911DE" w:rsidRPr="00A911DE">
        <w:rPr>
          <w:rFonts w:cs="Arial"/>
          <w:sz w:val="24"/>
          <w:szCs w:val="24"/>
        </w:rPr>
        <w:t>70kVp, 0.500mAs</w:t>
      </w:r>
      <w:r w:rsidR="00A911DE" w:rsidRPr="00A911DE">
        <w:rPr>
          <w:rFonts w:cs="Arial"/>
          <w:sz w:val="24"/>
          <w:szCs w:val="24"/>
          <w:lang w:val="en-US"/>
        </w:rPr>
        <w:t xml:space="preserve"> and with a </w:t>
      </w:r>
      <w:r w:rsidR="00A911DE" w:rsidRPr="00A911DE">
        <w:rPr>
          <w:rFonts w:cs="Arial"/>
          <w:sz w:val="24"/>
          <w:szCs w:val="24"/>
        </w:rPr>
        <w:t>Carestream Point-of-Care digital CR reader. Measurements of the total bone width (T) and the medullary width (M) were taken from the mid-shaft of the femur (Mays et al</w:t>
      </w:r>
      <w:r w:rsidR="00A911DE" w:rsidRPr="00A911DE">
        <w:rPr>
          <w:rFonts w:cs="Arial"/>
          <w:i/>
          <w:sz w:val="24"/>
          <w:szCs w:val="24"/>
        </w:rPr>
        <w:t xml:space="preserve">., </w:t>
      </w:r>
      <w:r w:rsidR="00035514">
        <w:rPr>
          <w:rFonts w:cs="Arial"/>
          <w:sz w:val="24"/>
          <w:szCs w:val="24"/>
        </w:rPr>
        <w:t>2009)</w:t>
      </w:r>
      <w:r w:rsidR="00A911DE" w:rsidRPr="00A911DE">
        <w:rPr>
          <w:rFonts w:cs="Arial"/>
          <w:sz w:val="24"/>
          <w:szCs w:val="24"/>
        </w:rPr>
        <w:t>. C</w:t>
      </w:r>
      <w:r w:rsidR="00FB7F49">
        <w:rPr>
          <w:rFonts w:cs="Arial"/>
          <w:sz w:val="24"/>
          <w:szCs w:val="24"/>
        </w:rPr>
        <w:t>ortical thickness</w:t>
      </w:r>
      <w:r w:rsidR="00A911DE" w:rsidRPr="00A911DE">
        <w:rPr>
          <w:rFonts w:cs="Arial"/>
          <w:sz w:val="24"/>
          <w:szCs w:val="24"/>
        </w:rPr>
        <w:t xml:space="preserve"> was determined as T-M, and plotted against the dental age</w:t>
      </w:r>
      <w:r w:rsidR="00035514">
        <w:rPr>
          <w:rFonts w:cs="Arial"/>
          <w:sz w:val="24"/>
          <w:szCs w:val="24"/>
        </w:rPr>
        <w:t xml:space="preserve"> (see Newman and Gowland 2016)</w:t>
      </w:r>
      <w:r w:rsidR="00A911DE" w:rsidRPr="00A911DE">
        <w:rPr>
          <w:rFonts w:cs="Arial"/>
          <w:sz w:val="24"/>
          <w:szCs w:val="24"/>
        </w:rPr>
        <w:t xml:space="preserve">. </w:t>
      </w:r>
      <w:r w:rsidR="004012F7">
        <w:rPr>
          <w:rFonts w:cs="Arial"/>
          <w:sz w:val="24"/>
          <w:szCs w:val="24"/>
        </w:rPr>
        <w:t xml:space="preserve"> Finally, skeletal indicators of puberty were recorded fol</w:t>
      </w:r>
      <w:r w:rsidR="002C0A1B">
        <w:rPr>
          <w:rFonts w:cs="Arial"/>
          <w:sz w:val="24"/>
          <w:szCs w:val="24"/>
        </w:rPr>
        <w:t xml:space="preserve">lowing </w:t>
      </w:r>
      <w:proofErr w:type="spellStart"/>
      <w:r w:rsidR="002C0A1B">
        <w:rPr>
          <w:rFonts w:cs="Arial"/>
          <w:sz w:val="24"/>
          <w:szCs w:val="24"/>
        </w:rPr>
        <w:t>Shapland</w:t>
      </w:r>
      <w:proofErr w:type="spellEnd"/>
      <w:r w:rsidR="002C0A1B">
        <w:rPr>
          <w:rFonts w:cs="Arial"/>
          <w:sz w:val="24"/>
          <w:szCs w:val="24"/>
        </w:rPr>
        <w:t xml:space="preserve"> and Lewis (2013</w:t>
      </w:r>
      <w:r w:rsidR="004012F7">
        <w:rPr>
          <w:rFonts w:cs="Arial"/>
          <w:sz w:val="24"/>
          <w:szCs w:val="24"/>
        </w:rPr>
        <w:t xml:space="preserve">, </w:t>
      </w:r>
      <w:r w:rsidR="002C0A1B">
        <w:rPr>
          <w:rFonts w:cs="Arial"/>
          <w:sz w:val="24"/>
          <w:szCs w:val="24"/>
        </w:rPr>
        <w:t>2014</w:t>
      </w:r>
      <w:r w:rsidR="004012F7">
        <w:rPr>
          <w:rFonts w:cs="Arial"/>
          <w:sz w:val="24"/>
          <w:szCs w:val="24"/>
        </w:rPr>
        <w:t xml:space="preserve">). </w:t>
      </w:r>
    </w:p>
    <w:p w14:paraId="7229AAA7" w14:textId="73DFCAA5" w:rsidR="0040270D" w:rsidRDefault="00D05734" w:rsidP="00453751">
      <w:pPr>
        <w:spacing w:line="480" w:lineRule="auto"/>
        <w:rPr>
          <w:rFonts w:cs="Arial"/>
          <w:sz w:val="24"/>
          <w:szCs w:val="24"/>
          <w:lang w:val="en-US"/>
        </w:rPr>
      </w:pPr>
      <w:r>
        <w:rPr>
          <w:rFonts w:cs="Arial"/>
          <w:sz w:val="24"/>
          <w:szCs w:val="24"/>
        </w:rPr>
        <w:t xml:space="preserve">The pathological lesions </w:t>
      </w:r>
      <w:r w:rsidR="00FE3DC5">
        <w:rPr>
          <w:rFonts w:cs="Arial"/>
          <w:sz w:val="24"/>
          <w:szCs w:val="24"/>
        </w:rPr>
        <w:t xml:space="preserve">recorded include rickets </w:t>
      </w:r>
      <w:r>
        <w:rPr>
          <w:rFonts w:cs="Arial"/>
          <w:sz w:val="24"/>
          <w:szCs w:val="24"/>
        </w:rPr>
        <w:t xml:space="preserve">(vitamin D deficiency), scurvy (vitamin C deficiency), </w:t>
      </w:r>
      <w:proofErr w:type="spellStart"/>
      <w:r>
        <w:rPr>
          <w:rFonts w:cs="Arial"/>
          <w:sz w:val="24"/>
          <w:szCs w:val="24"/>
        </w:rPr>
        <w:t>cribra</w:t>
      </w:r>
      <w:proofErr w:type="spellEnd"/>
      <w:r>
        <w:rPr>
          <w:rFonts w:cs="Arial"/>
          <w:sz w:val="24"/>
          <w:szCs w:val="24"/>
        </w:rPr>
        <w:t xml:space="preserve"> </w:t>
      </w:r>
      <w:proofErr w:type="spellStart"/>
      <w:r>
        <w:rPr>
          <w:rFonts w:cs="Arial"/>
          <w:sz w:val="24"/>
          <w:szCs w:val="24"/>
        </w:rPr>
        <w:t>orbitalia</w:t>
      </w:r>
      <w:proofErr w:type="spellEnd"/>
      <w:r w:rsidR="005D4D41">
        <w:rPr>
          <w:rFonts w:cs="Arial"/>
          <w:sz w:val="24"/>
          <w:szCs w:val="24"/>
        </w:rPr>
        <w:t>, dental enamel hypoplasia,</w:t>
      </w:r>
      <w:r w:rsidR="004047B6">
        <w:rPr>
          <w:rFonts w:cs="Arial"/>
          <w:sz w:val="24"/>
          <w:szCs w:val="24"/>
        </w:rPr>
        <w:t xml:space="preserve"> dental caries,</w:t>
      </w:r>
      <w:r w:rsidR="005D4D41">
        <w:rPr>
          <w:rFonts w:cs="Arial"/>
          <w:sz w:val="24"/>
          <w:szCs w:val="24"/>
        </w:rPr>
        <w:t xml:space="preserve"> non-specific periosteal reactions</w:t>
      </w:r>
      <w:r w:rsidR="0040270D">
        <w:rPr>
          <w:rFonts w:cs="Arial"/>
          <w:sz w:val="24"/>
          <w:szCs w:val="24"/>
        </w:rPr>
        <w:t xml:space="preserve"> on the major long bones</w:t>
      </w:r>
      <w:r w:rsidR="005D4D41">
        <w:rPr>
          <w:rFonts w:cs="Arial"/>
          <w:sz w:val="24"/>
          <w:szCs w:val="24"/>
        </w:rPr>
        <w:t xml:space="preserve">, </w:t>
      </w:r>
      <w:r w:rsidR="0040270D">
        <w:rPr>
          <w:rFonts w:cs="Arial"/>
          <w:sz w:val="24"/>
          <w:szCs w:val="24"/>
        </w:rPr>
        <w:t xml:space="preserve">endocranial and ectocranial lesions, maxillary sinusitis, </w:t>
      </w:r>
      <w:r w:rsidR="005D4D41">
        <w:rPr>
          <w:rFonts w:cs="Arial"/>
          <w:sz w:val="24"/>
          <w:szCs w:val="24"/>
        </w:rPr>
        <w:t>rib lesions and evidence for tuberculosis</w:t>
      </w:r>
      <w:r w:rsidR="00C82053">
        <w:rPr>
          <w:rFonts w:cs="Arial"/>
          <w:sz w:val="24"/>
          <w:szCs w:val="24"/>
        </w:rPr>
        <w:t xml:space="preserve"> (Table 1)</w:t>
      </w:r>
      <w:r w:rsidR="005D4D41">
        <w:rPr>
          <w:rFonts w:cs="Arial"/>
          <w:sz w:val="24"/>
          <w:szCs w:val="24"/>
        </w:rPr>
        <w:t>.  Rickets was diagnosed through the pres</w:t>
      </w:r>
      <w:r w:rsidR="003F4160">
        <w:rPr>
          <w:rFonts w:cs="Arial"/>
          <w:sz w:val="24"/>
          <w:szCs w:val="24"/>
        </w:rPr>
        <w:t>ence of bowed long bones, flared</w:t>
      </w:r>
      <w:r w:rsidR="00B03D99">
        <w:rPr>
          <w:rFonts w:cs="Arial"/>
          <w:sz w:val="24"/>
          <w:szCs w:val="24"/>
        </w:rPr>
        <w:t xml:space="preserve"> and/o</w:t>
      </w:r>
      <w:r w:rsidR="005D4D41">
        <w:rPr>
          <w:rFonts w:cs="Arial"/>
          <w:sz w:val="24"/>
          <w:szCs w:val="24"/>
        </w:rPr>
        <w:t xml:space="preserve">r </w:t>
      </w:r>
      <w:r w:rsidR="004012F7">
        <w:rPr>
          <w:rFonts w:cs="Arial"/>
          <w:sz w:val="24"/>
          <w:szCs w:val="24"/>
        </w:rPr>
        <w:t>porous</w:t>
      </w:r>
      <w:r w:rsidR="005D4D41">
        <w:rPr>
          <w:rFonts w:cs="Arial"/>
          <w:sz w:val="24"/>
          <w:szCs w:val="24"/>
        </w:rPr>
        <w:t xml:space="preserve"> </w:t>
      </w:r>
      <w:proofErr w:type="spellStart"/>
      <w:r w:rsidR="005D4D41">
        <w:rPr>
          <w:rFonts w:cs="Arial"/>
          <w:sz w:val="24"/>
          <w:szCs w:val="24"/>
        </w:rPr>
        <w:t>m</w:t>
      </w:r>
      <w:r w:rsidR="00B03D99">
        <w:rPr>
          <w:rFonts w:cs="Arial"/>
          <w:sz w:val="24"/>
          <w:szCs w:val="24"/>
        </w:rPr>
        <w:t>etaphyses</w:t>
      </w:r>
      <w:proofErr w:type="spellEnd"/>
      <w:r w:rsidR="00B03D99">
        <w:rPr>
          <w:rFonts w:cs="Arial"/>
          <w:sz w:val="24"/>
          <w:szCs w:val="24"/>
        </w:rPr>
        <w:t xml:space="preserve"> and sternal rib ends</w:t>
      </w:r>
      <w:r w:rsidR="00C44419">
        <w:rPr>
          <w:rFonts w:cs="Arial"/>
          <w:sz w:val="24"/>
          <w:szCs w:val="24"/>
        </w:rPr>
        <w:t xml:space="preserve">, and the presence of medial tilting of the </w:t>
      </w:r>
      <w:r w:rsidR="003F4160">
        <w:rPr>
          <w:rFonts w:cs="Arial"/>
          <w:sz w:val="24"/>
          <w:szCs w:val="24"/>
        </w:rPr>
        <w:t>distal</w:t>
      </w:r>
      <w:r w:rsidR="00C44419">
        <w:rPr>
          <w:rFonts w:cs="Arial"/>
          <w:sz w:val="24"/>
          <w:szCs w:val="24"/>
        </w:rPr>
        <w:t xml:space="preserve"> tibia</w:t>
      </w:r>
      <w:r w:rsidR="00FE3DC5">
        <w:rPr>
          <w:rFonts w:cs="Arial"/>
          <w:sz w:val="24"/>
          <w:szCs w:val="24"/>
        </w:rPr>
        <w:t>,</w:t>
      </w:r>
      <w:r w:rsidR="00C44419">
        <w:rPr>
          <w:rFonts w:cs="Arial"/>
          <w:sz w:val="24"/>
          <w:szCs w:val="24"/>
        </w:rPr>
        <w:t xml:space="preserve"> </w:t>
      </w:r>
      <w:r w:rsidR="00FE3DC5">
        <w:rPr>
          <w:rFonts w:cs="Arial"/>
          <w:sz w:val="24"/>
          <w:szCs w:val="24"/>
        </w:rPr>
        <w:t>while</w:t>
      </w:r>
      <w:r w:rsidR="00C44419">
        <w:rPr>
          <w:rFonts w:cs="Arial"/>
          <w:sz w:val="24"/>
          <w:szCs w:val="24"/>
        </w:rPr>
        <w:t xml:space="preserve"> coxa </w:t>
      </w:r>
      <w:proofErr w:type="spellStart"/>
      <w:r w:rsidR="00C44419">
        <w:rPr>
          <w:rFonts w:cs="Arial"/>
          <w:sz w:val="24"/>
          <w:szCs w:val="24"/>
        </w:rPr>
        <w:t>vara</w:t>
      </w:r>
      <w:proofErr w:type="spellEnd"/>
      <w:r w:rsidR="00C44419">
        <w:rPr>
          <w:rFonts w:cs="Arial"/>
          <w:sz w:val="24"/>
          <w:szCs w:val="24"/>
        </w:rPr>
        <w:t xml:space="preserve"> and flattening deformities in the proximal femur were also considered (</w:t>
      </w:r>
      <w:proofErr w:type="spellStart"/>
      <w:r w:rsidR="003F4160">
        <w:rPr>
          <w:rFonts w:cs="Arial"/>
          <w:sz w:val="24"/>
          <w:szCs w:val="24"/>
        </w:rPr>
        <w:t>Brickley</w:t>
      </w:r>
      <w:proofErr w:type="spellEnd"/>
      <w:r w:rsidR="003F4160">
        <w:rPr>
          <w:rFonts w:cs="Arial"/>
          <w:sz w:val="24"/>
          <w:szCs w:val="24"/>
        </w:rPr>
        <w:t xml:space="preserve"> and Ives 2008; Mays et al. 2006; </w:t>
      </w:r>
      <w:r w:rsidR="009062D5">
        <w:rPr>
          <w:rFonts w:cs="Arial"/>
          <w:sz w:val="24"/>
          <w:szCs w:val="24"/>
        </w:rPr>
        <w:t>Ortner and Mays 1998;</w:t>
      </w:r>
      <w:r w:rsidR="00C44419">
        <w:rPr>
          <w:rFonts w:cs="Arial"/>
          <w:sz w:val="24"/>
          <w:szCs w:val="24"/>
        </w:rPr>
        <w:t>)</w:t>
      </w:r>
      <w:r w:rsidR="005D4D41">
        <w:rPr>
          <w:rFonts w:cs="Arial"/>
          <w:sz w:val="24"/>
          <w:szCs w:val="24"/>
        </w:rPr>
        <w:t xml:space="preserve">. Scurvy was diagnosed through the presence of woven bone </w:t>
      </w:r>
      <w:r w:rsidR="003F4160">
        <w:rPr>
          <w:rFonts w:cs="Arial"/>
          <w:sz w:val="24"/>
          <w:szCs w:val="24"/>
        </w:rPr>
        <w:t>i</w:t>
      </w:r>
      <w:r w:rsidR="005D4D41">
        <w:rPr>
          <w:rFonts w:cs="Arial"/>
          <w:sz w:val="24"/>
          <w:szCs w:val="24"/>
        </w:rPr>
        <w:t>n the orbits, porosity on the mandible and/or maxilla (especially focused on the internal ramus and coronoid process of the mandible, and around the infraorbital foramen of the maxilla), porosity on the greater wing of the sphenoid, and porosity in the suprasp</w:t>
      </w:r>
      <w:r w:rsidR="00220C48">
        <w:rPr>
          <w:rFonts w:cs="Arial"/>
          <w:sz w:val="24"/>
          <w:szCs w:val="24"/>
        </w:rPr>
        <w:t>inous fossa of the scapula (Ortner 2003</w:t>
      </w:r>
      <w:r w:rsidR="00B03D99">
        <w:rPr>
          <w:rFonts w:cs="Arial"/>
          <w:sz w:val="24"/>
          <w:szCs w:val="24"/>
        </w:rPr>
        <w:t>;</w:t>
      </w:r>
      <w:r w:rsidR="0089252A">
        <w:rPr>
          <w:rFonts w:cs="Arial"/>
          <w:sz w:val="24"/>
          <w:szCs w:val="24"/>
        </w:rPr>
        <w:t xml:space="preserve"> Stark 2014</w:t>
      </w:r>
      <w:r w:rsidR="005D4D41">
        <w:rPr>
          <w:rFonts w:cs="Arial"/>
          <w:sz w:val="24"/>
          <w:szCs w:val="24"/>
        </w:rPr>
        <w:t xml:space="preserve">).  </w:t>
      </w:r>
      <w:r w:rsidR="00CE3A51">
        <w:rPr>
          <w:rFonts w:cs="Arial"/>
          <w:sz w:val="24"/>
          <w:szCs w:val="24"/>
        </w:rPr>
        <w:t>The</w:t>
      </w:r>
      <w:r w:rsidR="00961BAF">
        <w:rPr>
          <w:rFonts w:cs="Arial"/>
          <w:sz w:val="24"/>
          <w:szCs w:val="24"/>
        </w:rPr>
        <w:t xml:space="preserve"> p</w:t>
      </w:r>
      <w:r w:rsidR="00424732">
        <w:rPr>
          <w:rFonts w:cs="Arial"/>
          <w:sz w:val="24"/>
          <w:szCs w:val="24"/>
        </w:rPr>
        <w:t xml:space="preserve">athological lesions associated with metabolic disease </w:t>
      </w:r>
      <w:r w:rsidR="00AB76AF">
        <w:rPr>
          <w:rFonts w:cs="Arial"/>
          <w:sz w:val="24"/>
          <w:szCs w:val="24"/>
        </w:rPr>
        <w:t>may</w:t>
      </w:r>
      <w:r w:rsidR="00424732">
        <w:rPr>
          <w:rFonts w:cs="Arial"/>
          <w:sz w:val="24"/>
          <w:szCs w:val="24"/>
        </w:rPr>
        <w:t xml:space="preserve"> be very subtle</w:t>
      </w:r>
      <w:r w:rsidR="00A911DE">
        <w:rPr>
          <w:rFonts w:cs="Arial"/>
          <w:sz w:val="24"/>
          <w:szCs w:val="24"/>
        </w:rPr>
        <w:t xml:space="preserve"> (</w:t>
      </w:r>
      <w:proofErr w:type="spellStart"/>
      <w:r w:rsidR="00A911DE">
        <w:rPr>
          <w:rFonts w:cs="Arial"/>
          <w:sz w:val="24"/>
          <w:szCs w:val="24"/>
        </w:rPr>
        <w:t>Brickley</w:t>
      </w:r>
      <w:proofErr w:type="spellEnd"/>
      <w:r w:rsidR="00A911DE">
        <w:rPr>
          <w:rFonts w:cs="Arial"/>
          <w:sz w:val="24"/>
          <w:szCs w:val="24"/>
        </w:rPr>
        <w:t xml:space="preserve"> and Ives 2008)</w:t>
      </w:r>
      <w:r w:rsidR="00CE3A51">
        <w:rPr>
          <w:rFonts w:cs="Arial"/>
          <w:sz w:val="24"/>
          <w:szCs w:val="24"/>
        </w:rPr>
        <w:t xml:space="preserve"> and this is </w:t>
      </w:r>
      <w:r w:rsidR="00716055">
        <w:rPr>
          <w:rFonts w:cs="Arial"/>
          <w:sz w:val="24"/>
          <w:szCs w:val="24"/>
        </w:rPr>
        <w:t>confounded further</w:t>
      </w:r>
      <w:r w:rsidR="00CE3A51">
        <w:rPr>
          <w:rFonts w:cs="Arial"/>
          <w:sz w:val="24"/>
          <w:szCs w:val="24"/>
        </w:rPr>
        <w:t xml:space="preserve"> by the porous appearance of </w:t>
      </w:r>
      <w:r w:rsidR="00ED77DF">
        <w:rPr>
          <w:rFonts w:cs="Arial"/>
          <w:sz w:val="24"/>
          <w:szCs w:val="24"/>
        </w:rPr>
        <w:t xml:space="preserve">the </w:t>
      </w:r>
      <w:r w:rsidR="00CE3A51">
        <w:rPr>
          <w:rFonts w:cs="Arial"/>
          <w:sz w:val="24"/>
          <w:szCs w:val="24"/>
        </w:rPr>
        <w:t xml:space="preserve">rapidly growing bones </w:t>
      </w:r>
      <w:r w:rsidR="00ED77DF">
        <w:rPr>
          <w:rFonts w:cs="Arial"/>
          <w:sz w:val="24"/>
          <w:szCs w:val="24"/>
        </w:rPr>
        <w:t>of</w:t>
      </w:r>
      <w:r w:rsidR="00CE3A51">
        <w:rPr>
          <w:rFonts w:cs="Arial"/>
          <w:sz w:val="24"/>
          <w:szCs w:val="24"/>
        </w:rPr>
        <w:t xml:space="preserve"> infants and children</w:t>
      </w:r>
      <w:r w:rsidR="00220C48">
        <w:rPr>
          <w:rFonts w:cs="Arial"/>
          <w:sz w:val="24"/>
          <w:szCs w:val="24"/>
        </w:rPr>
        <w:t>.</w:t>
      </w:r>
      <w:r w:rsidR="00CE3A51">
        <w:rPr>
          <w:rFonts w:cs="Arial"/>
          <w:sz w:val="24"/>
          <w:szCs w:val="24"/>
        </w:rPr>
        <w:t xml:space="preserve"> </w:t>
      </w:r>
      <w:r w:rsidR="00220C48">
        <w:rPr>
          <w:rFonts w:cs="Arial"/>
          <w:sz w:val="24"/>
          <w:szCs w:val="24"/>
        </w:rPr>
        <w:t xml:space="preserve">All </w:t>
      </w:r>
      <w:r w:rsidR="00134E46" w:rsidRPr="00126647">
        <w:rPr>
          <w:rFonts w:cs="Arial"/>
          <w:sz w:val="24"/>
          <w:szCs w:val="24"/>
          <w:lang w:val="en-US"/>
        </w:rPr>
        <w:t>pathologies</w:t>
      </w:r>
      <w:r w:rsidR="00126647">
        <w:rPr>
          <w:rFonts w:cs="Arial"/>
          <w:sz w:val="24"/>
          <w:szCs w:val="24"/>
          <w:lang w:val="en-US"/>
        </w:rPr>
        <w:t xml:space="preserve"> </w:t>
      </w:r>
      <w:r w:rsidR="00AB76AF">
        <w:rPr>
          <w:rFonts w:cs="Arial"/>
          <w:sz w:val="24"/>
          <w:szCs w:val="24"/>
          <w:lang w:val="en-US"/>
        </w:rPr>
        <w:t>were</w:t>
      </w:r>
      <w:r w:rsidR="00C075FB">
        <w:rPr>
          <w:rFonts w:cs="Arial"/>
          <w:sz w:val="24"/>
          <w:szCs w:val="24"/>
          <w:lang w:val="en-US"/>
        </w:rPr>
        <w:t xml:space="preserve"> therefore</w:t>
      </w:r>
      <w:r w:rsidR="00AB76AF">
        <w:rPr>
          <w:rFonts w:cs="Arial"/>
          <w:sz w:val="24"/>
          <w:szCs w:val="24"/>
          <w:lang w:val="en-US"/>
        </w:rPr>
        <w:t xml:space="preserve"> recorded by two </w:t>
      </w:r>
      <w:proofErr w:type="spellStart"/>
      <w:r w:rsidR="00220C48">
        <w:rPr>
          <w:rFonts w:cs="Arial"/>
          <w:sz w:val="24"/>
          <w:szCs w:val="24"/>
          <w:lang w:val="en-US"/>
        </w:rPr>
        <w:t>bioarchaeologists</w:t>
      </w:r>
      <w:proofErr w:type="spellEnd"/>
      <w:r w:rsidR="00FE3DC5">
        <w:rPr>
          <w:rFonts w:cs="Arial"/>
          <w:sz w:val="24"/>
          <w:szCs w:val="24"/>
          <w:lang w:val="en-US"/>
        </w:rPr>
        <w:t xml:space="preserve"> working side-by-</w:t>
      </w:r>
      <w:r w:rsidR="00AB76AF">
        <w:rPr>
          <w:rFonts w:cs="Arial"/>
          <w:sz w:val="24"/>
          <w:szCs w:val="24"/>
          <w:lang w:val="en-US"/>
        </w:rPr>
        <w:t>side</w:t>
      </w:r>
      <w:r w:rsidR="00424732">
        <w:rPr>
          <w:rFonts w:cs="Arial"/>
          <w:sz w:val="24"/>
          <w:szCs w:val="24"/>
          <w:lang w:val="en-US"/>
        </w:rPr>
        <w:t xml:space="preserve"> (</w:t>
      </w:r>
      <w:proofErr w:type="spellStart"/>
      <w:r w:rsidR="00424732">
        <w:rPr>
          <w:rFonts w:cs="Arial"/>
          <w:sz w:val="24"/>
          <w:szCs w:val="24"/>
          <w:lang w:val="en-US"/>
        </w:rPr>
        <w:t>Caffell</w:t>
      </w:r>
      <w:proofErr w:type="spellEnd"/>
      <w:r w:rsidR="00424732">
        <w:rPr>
          <w:rFonts w:cs="Arial"/>
          <w:sz w:val="24"/>
          <w:szCs w:val="24"/>
          <w:lang w:val="en-US"/>
        </w:rPr>
        <w:t xml:space="preserve"> and Gowland) and </w:t>
      </w:r>
      <w:r w:rsidR="00AB76AF">
        <w:rPr>
          <w:rFonts w:cs="Arial"/>
          <w:sz w:val="24"/>
          <w:szCs w:val="24"/>
          <w:lang w:val="en-US"/>
        </w:rPr>
        <w:t>the</w:t>
      </w:r>
      <w:r w:rsidR="00424732">
        <w:rPr>
          <w:rFonts w:cs="Arial"/>
          <w:sz w:val="24"/>
          <w:szCs w:val="24"/>
          <w:lang w:val="en-US"/>
        </w:rPr>
        <w:t xml:space="preserve"> </w:t>
      </w:r>
      <w:r w:rsidR="0089252A">
        <w:rPr>
          <w:rFonts w:cs="Arial"/>
          <w:sz w:val="24"/>
          <w:szCs w:val="24"/>
          <w:lang w:val="en-US"/>
        </w:rPr>
        <w:t>results</w:t>
      </w:r>
      <w:r w:rsidR="00424732">
        <w:rPr>
          <w:rFonts w:cs="Arial"/>
          <w:sz w:val="24"/>
          <w:szCs w:val="24"/>
          <w:lang w:val="en-US"/>
        </w:rPr>
        <w:t xml:space="preserve"> compared to </w:t>
      </w:r>
      <w:r w:rsidR="00AB76AF">
        <w:rPr>
          <w:rFonts w:cs="Arial"/>
          <w:sz w:val="24"/>
          <w:szCs w:val="24"/>
          <w:lang w:val="en-US"/>
        </w:rPr>
        <w:t xml:space="preserve">those of an observer working independently </w:t>
      </w:r>
      <w:r w:rsidR="00424732">
        <w:rPr>
          <w:rFonts w:cs="Arial"/>
          <w:sz w:val="24"/>
          <w:szCs w:val="24"/>
          <w:lang w:val="en-US"/>
        </w:rPr>
        <w:t>(Newman)</w:t>
      </w:r>
      <w:r w:rsidR="00134E46" w:rsidRPr="00126647">
        <w:rPr>
          <w:rFonts w:cs="Arial"/>
          <w:sz w:val="24"/>
          <w:szCs w:val="24"/>
          <w:lang w:val="en-US"/>
        </w:rPr>
        <w:t xml:space="preserve">. </w:t>
      </w:r>
      <w:r w:rsidR="003F4160">
        <w:rPr>
          <w:rFonts w:cs="Arial"/>
          <w:sz w:val="24"/>
          <w:szCs w:val="24"/>
          <w:lang w:val="en-US"/>
        </w:rPr>
        <w:t>R</w:t>
      </w:r>
      <w:r>
        <w:rPr>
          <w:rFonts w:cs="Arial"/>
          <w:sz w:val="24"/>
          <w:szCs w:val="24"/>
          <w:lang w:val="en-US"/>
        </w:rPr>
        <w:t>ickets and scurvy were only diagnosed as present when both sets of</w:t>
      </w:r>
      <w:r w:rsidR="00991450">
        <w:rPr>
          <w:rFonts w:cs="Arial"/>
          <w:sz w:val="24"/>
          <w:szCs w:val="24"/>
          <w:lang w:val="en-US"/>
        </w:rPr>
        <w:t xml:space="preserve"> independent </w:t>
      </w:r>
      <w:r>
        <w:rPr>
          <w:rFonts w:cs="Arial"/>
          <w:sz w:val="24"/>
          <w:szCs w:val="24"/>
          <w:lang w:val="en-US"/>
        </w:rPr>
        <w:t xml:space="preserve">observations were positive.  If one </w:t>
      </w:r>
      <w:r w:rsidR="0040270D">
        <w:rPr>
          <w:rFonts w:cs="Arial"/>
          <w:sz w:val="24"/>
          <w:szCs w:val="24"/>
          <w:lang w:val="en-US"/>
        </w:rPr>
        <w:t xml:space="preserve">independent </w:t>
      </w:r>
      <w:r>
        <w:rPr>
          <w:rFonts w:cs="Arial"/>
          <w:sz w:val="24"/>
          <w:szCs w:val="24"/>
          <w:lang w:val="en-US"/>
        </w:rPr>
        <w:t>observer identified</w:t>
      </w:r>
      <w:r w:rsidR="00CE3A51">
        <w:rPr>
          <w:rFonts w:cs="Arial"/>
          <w:sz w:val="24"/>
          <w:szCs w:val="24"/>
          <w:lang w:val="en-US"/>
        </w:rPr>
        <w:t xml:space="preserve"> indicators </w:t>
      </w:r>
      <w:r w:rsidR="00CE3A51">
        <w:rPr>
          <w:rFonts w:cs="Arial"/>
          <w:sz w:val="24"/>
          <w:szCs w:val="24"/>
          <w:lang w:val="en-US"/>
        </w:rPr>
        <w:lastRenderedPageBreak/>
        <w:t>of</w:t>
      </w:r>
      <w:r>
        <w:rPr>
          <w:rFonts w:cs="Arial"/>
          <w:sz w:val="24"/>
          <w:szCs w:val="24"/>
          <w:lang w:val="en-US"/>
        </w:rPr>
        <w:t xml:space="preserve"> rickets or scurvy, but the other did not, then these </w:t>
      </w:r>
      <w:r w:rsidR="003F4160">
        <w:rPr>
          <w:rFonts w:cs="Arial"/>
          <w:sz w:val="24"/>
          <w:szCs w:val="24"/>
          <w:lang w:val="en-US"/>
        </w:rPr>
        <w:t>skeletons</w:t>
      </w:r>
      <w:r w:rsidR="0040270D">
        <w:rPr>
          <w:rFonts w:cs="Arial"/>
          <w:sz w:val="24"/>
          <w:szCs w:val="24"/>
          <w:lang w:val="en-US"/>
        </w:rPr>
        <w:t xml:space="preserve"> were re-examined and </w:t>
      </w:r>
      <w:r w:rsidR="00424732">
        <w:rPr>
          <w:rFonts w:cs="Arial"/>
          <w:sz w:val="24"/>
          <w:szCs w:val="24"/>
          <w:lang w:val="en-US"/>
        </w:rPr>
        <w:t>agreement reached</w:t>
      </w:r>
      <w:r w:rsidR="00134E46" w:rsidRPr="00126647">
        <w:rPr>
          <w:rFonts w:cs="Arial"/>
          <w:sz w:val="24"/>
          <w:szCs w:val="24"/>
          <w:lang w:val="en-US"/>
        </w:rPr>
        <w:t xml:space="preserve">. </w:t>
      </w:r>
      <w:r w:rsidR="0040270D">
        <w:rPr>
          <w:rFonts w:cs="Arial"/>
          <w:sz w:val="24"/>
          <w:szCs w:val="24"/>
          <w:lang w:val="en-US"/>
        </w:rPr>
        <w:t>Due to the multiple skeletal elements that can display signs of vitamin C or vitamin D deficiency,</w:t>
      </w:r>
      <w:r w:rsidR="00C075FB">
        <w:rPr>
          <w:rFonts w:cs="Arial"/>
          <w:sz w:val="24"/>
          <w:szCs w:val="24"/>
          <w:lang w:val="en-US"/>
        </w:rPr>
        <w:t xml:space="preserve"> only</w:t>
      </w:r>
      <w:r w:rsidR="0040270D">
        <w:rPr>
          <w:rFonts w:cs="Arial"/>
          <w:sz w:val="24"/>
          <w:szCs w:val="24"/>
          <w:lang w:val="en-US"/>
        </w:rPr>
        <w:t xml:space="preserve"> crude prevalence rates</w:t>
      </w:r>
      <w:r w:rsidR="00716055">
        <w:rPr>
          <w:rFonts w:cs="Arial"/>
          <w:sz w:val="24"/>
          <w:szCs w:val="24"/>
          <w:lang w:val="en-US"/>
        </w:rPr>
        <w:t xml:space="preserve"> (per individual)</w:t>
      </w:r>
      <w:r w:rsidR="0040270D">
        <w:rPr>
          <w:rFonts w:cs="Arial"/>
          <w:sz w:val="24"/>
          <w:szCs w:val="24"/>
          <w:lang w:val="en-US"/>
        </w:rPr>
        <w:t xml:space="preserve"> </w:t>
      </w:r>
      <w:r w:rsidR="00ED77DF">
        <w:rPr>
          <w:rFonts w:cs="Arial"/>
          <w:sz w:val="24"/>
          <w:szCs w:val="24"/>
          <w:lang w:val="en-US"/>
        </w:rPr>
        <w:t xml:space="preserve">for these pathologies </w:t>
      </w:r>
      <w:r w:rsidR="0040270D">
        <w:rPr>
          <w:rFonts w:cs="Arial"/>
          <w:sz w:val="24"/>
          <w:szCs w:val="24"/>
          <w:lang w:val="en-US"/>
        </w:rPr>
        <w:t>were calculated</w:t>
      </w:r>
      <w:r w:rsidR="00D468CE">
        <w:rPr>
          <w:rFonts w:cs="Arial"/>
          <w:sz w:val="24"/>
          <w:szCs w:val="24"/>
          <w:lang w:val="en-US"/>
        </w:rPr>
        <w:t>; however, individuals for whom the diagnostic skeletal elements were absent were excluded from the prevalence calculations.</w:t>
      </w:r>
    </w:p>
    <w:p w14:paraId="22062EB1" w14:textId="77777777" w:rsidR="002A1CA3" w:rsidRDefault="002A1CA3" w:rsidP="00453751">
      <w:pPr>
        <w:spacing w:line="480" w:lineRule="auto"/>
        <w:rPr>
          <w:rFonts w:cs="Arial"/>
          <w:sz w:val="24"/>
          <w:szCs w:val="24"/>
          <w:lang w:val="en-US"/>
        </w:rPr>
      </w:pPr>
    </w:p>
    <w:p w14:paraId="6239F027" w14:textId="2CC9193D" w:rsidR="002A1CA3" w:rsidRDefault="004047B6" w:rsidP="00453751">
      <w:pPr>
        <w:spacing w:line="480" w:lineRule="auto"/>
        <w:rPr>
          <w:rFonts w:cs="Arial"/>
          <w:sz w:val="24"/>
          <w:szCs w:val="24"/>
          <w:lang w:val="en-US"/>
        </w:rPr>
      </w:pPr>
      <w:r>
        <w:rPr>
          <w:rFonts w:cs="Arial"/>
          <w:sz w:val="24"/>
          <w:szCs w:val="24"/>
          <w:lang w:val="en-US"/>
        </w:rPr>
        <w:t>All long bones were</w:t>
      </w:r>
      <w:r w:rsidR="00ED77DF">
        <w:rPr>
          <w:rFonts w:cs="Arial"/>
          <w:sz w:val="24"/>
          <w:szCs w:val="24"/>
          <w:lang w:val="en-US"/>
        </w:rPr>
        <w:t xml:space="preserve"> </w:t>
      </w:r>
      <w:r>
        <w:rPr>
          <w:rFonts w:cs="Arial"/>
          <w:sz w:val="24"/>
          <w:szCs w:val="24"/>
          <w:lang w:val="en-US"/>
        </w:rPr>
        <w:t>examined for the presence of n</w:t>
      </w:r>
      <w:r w:rsidR="0040270D">
        <w:rPr>
          <w:rFonts w:cs="Arial"/>
          <w:sz w:val="24"/>
          <w:szCs w:val="24"/>
          <w:lang w:val="en-US"/>
        </w:rPr>
        <w:t xml:space="preserve">on-specific periosteal </w:t>
      </w:r>
      <w:r w:rsidR="00C075FB">
        <w:rPr>
          <w:rFonts w:cs="Arial"/>
          <w:sz w:val="24"/>
          <w:szCs w:val="24"/>
          <w:lang w:val="en-US"/>
        </w:rPr>
        <w:t>new bone growth</w:t>
      </w:r>
      <w:r>
        <w:rPr>
          <w:rFonts w:cs="Arial"/>
          <w:sz w:val="24"/>
          <w:szCs w:val="24"/>
          <w:lang w:val="en-US"/>
        </w:rPr>
        <w:t xml:space="preserve"> in the form of woven bone, lamellar bone, </w:t>
      </w:r>
      <w:r w:rsidR="00C075FB">
        <w:rPr>
          <w:rFonts w:cs="Arial"/>
          <w:sz w:val="24"/>
          <w:szCs w:val="24"/>
          <w:lang w:val="en-US"/>
        </w:rPr>
        <w:t>and/</w:t>
      </w:r>
      <w:r>
        <w:rPr>
          <w:rFonts w:cs="Arial"/>
          <w:sz w:val="24"/>
          <w:szCs w:val="24"/>
          <w:lang w:val="en-US"/>
        </w:rPr>
        <w:t>or abnormal porosity.  Likewise</w:t>
      </w:r>
      <w:r w:rsidR="00D468CE">
        <w:rPr>
          <w:rFonts w:cs="Arial"/>
          <w:sz w:val="24"/>
          <w:szCs w:val="24"/>
          <w:lang w:val="en-US"/>
        </w:rPr>
        <w:t>,</w:t>
      </w:r>
      <w:r>
        <w:rPr>
          <w:rFonts w:cs="Arial"/>
          <w:sz w:val="24"/>
          <w:szCs w:val="24"/>
          <w:lang w:val="en-US"/>
        </w:rPr>
        <w:t xml:space="preserve"> the endocranial and ectocranial surfaces</w:t>
      </w:r>
      <w:r w:rsidR="00FE3DC5">
        <w:rPr>
          <w:rFonts w:cs="Arial"/>
          <w:sz w:val="24"/>
          <w:szCs w:val="24"/>
          <w:lang w:val="en-US"/>
        </w:rPr>
        <w:t xml:space="preserve"> and maxillary sinuses</w:t>
      </w:r>
      <w:r>
        <w:rPr>
          <w:rFonts w:cs="Arial"/>
          <w:sz w:val="24"/>
          <w:szCs w:val="24"/>
          <w:lang w:val="en-US"/>
        </w:rPr>
        <w:t xml:space="preserve"> were examined for new bone formation (woven and/or lamellar) </w:t>
      </w:r>
      <w:r w:rsidR="00FE3DC5">
        <w:rPr>
          <w:rFonts w:cs="Arial"/>
          <w:sz w:val="24"/>
          <w:szCs w:val="24"/>
          <w:lang w:val="en-US"/>
        </w:rPr>
        <w:t>and</w:t>
      </w:r>
      <w:r>
        <w:rPr>
          <w:rFonts w:cs="Arial"/>
          <w:sz w:val="24"/>
          <w:szCs w:val="24"/>
          <w:lang w:val="en-US"/>
        </w:rPr>
        <w:t xml:space="preserve"> porosity.  All deciduous and permanent teeth (including unerupted but observable tooth crowns) were examined for defects in enamel formation (lines, grooves or pits), and t</w:t>
      </w:r>
      <w:r w:rsidR="00047D75">
        <w:rPr>
          <w:rFonts w:cs="Arial"/>
          <w:sz w:val="24"/>
          <w:szCs w:val="24"/>
          <w:lang w:val="en-US"/>
        </w:rPr>
        <w:t xml:space="preserve">he prevalence rates for dental enamel defects </w:t>
      </w:r>
      <w:r w:rsidR="00507C6F">
        <w:rPr>
          <w:rFonts w:cs="Arial"/>
          <w:sz w:val="24"/>
          <w:szCs w:val="24"/>
          <w:lang w:val="en-US"/>
        </w:rPr>
        <w:t>were</w:t>
      </w:r>
      <w:r w:rsidR="00047D75">
        <w:rPr>
          <w:rFonts w:cs="Arial"/>
          <w:sz w:val="24"/>
          <w:szCs w:val="24"/>
          <w:lang w:val="en-US"/>
        </w:rPr>
        <w:t xml:space="preserve"> expressed as a percentage of all of the teeth present</w:t>
      </w:r>
      <w:r>
        <w:rPr>
          <w:rFonts w:cs="Arial"/>
          <w:sz w:val="24"/>
          <w:szCs w:val="24"/>
          <w:lang w:val="en-US"/>
        </w:rPr>
        <w:t xml:space="preserve"> (including observable unerupted teeth)</w:t>
      </w:r>
      <w:r w:rsidR="00047D75">
        <w:rPr>
          <w:rFonts w:cs="Arial"/>
          <w:sz w:val="24"/>
          <w:szCs w:val="24"/>
          <w:lang w:val="en-US"/>
        </w:rPr>
        <w:t xml:space="preserve">. </w:t>
      </w:r>
      <w:proofErr w:type="spellStart"/>
      <w:r w:rsidR="004A2984">
        <w:rPr>
          <w:rFonts w:cs="Arial"/>
          <w:sz w:val="24"/>
          <w:szCs w:val="24"/>
          <w:lang w:val="en-US"/>
        </w:rPr>
        <w:t>Cribra</w:t>
      </w:r>
      <w:proofErr w:type="spellEnd"/>
      <w:r w:rsidR="004A2984">
        <w:rPr>
          <w:rFonts w:cs="Arial"/>
          <w:sz w:val="24"/>
          <w:szCs w:val="24"/>
          <w:lang w:val="en-US"/>
        </w:rPr>
        <w:t xml:space="preserve"> </w:t>
      </w:r>
      <w:proofErr w:type="spellStart"/>
      <w:r w:rsidR="004A2984">
        <w:rPr>
          <w:rFonts w:cs="Arial"/>
          <w:sz w:val="24"/>
          <w:szCs w:val="24"/>
          <w:lang w:val="en-US"/>
        </w:rPr>
        <w:t>orbitalia</w:t>
      </w:r>
      <w:proofErr w:type="spellEnd"/>
      <w:r w:rsidR="004A2984">
        <w:rPr>
          <w:rFonts w:cs="Arial"/>
          <w:sz w:val="24"/>
          <w:szCs w:val="24"/>
          <w:lang w:val="en-US"/>
        </w:rPr>
        <w:t xml:space="preserve"> </w:t>
      </w:r>
      <w:r w:rsidR="00C075FB">
        <w:rPr>
          <w:rFonts w:cs="Arial"/>
          <w:sz w:val="24"/>
          <w:szCs w:val="24"/>
          <w:lang w:val="en-US"/>
        </w:rPr>
        <w:t xml:space="preserve">was </w:t>
      </w:r>
      <w:r w:rsidR="00F94AD6">
        <w:rPr>
          <w:rFonts w:cs="Arial"/>
          <w:sz w:val="24"/>
          <w:szCs w:val="24"/>
          <w:lang w:val="en-US"/>
        </w:rPr>
        <w:t>recorded using the Stuart</w:t>
      </w:r>
      <w:r w:rsidR="00C075FB">
        <w:rPr>
          <w:rFonts w:cs="Arial"/>
          <w:sz w:val="24"/>
          <w:szCs w:val="24"/>
          <w:lang w:val="en-US"/>
        </w:rPr>
        <w:t>-Macadam (</w:t>
      </w:r>
      <w:r w:rsidR="00F94AD6">
        <w:rPr>
          <w:rFonts w:cs="Arial"/>
          <w:sz w:val="24"/>
          <w:szCs w:val="24"/>
          <w:lang w:val="en-US"/>
        </w:rPr>
        <w:t>1991) system,</w:t>
      </w:r>
      <w:r w:rsidR="00C075FB">
        <w:rPr>
          <w:rFonts w:cs="Arial"/>
          <w:sz w:val="24"/>
          <w:szCs w:val="24"/>
          <w:lang w:val="en-US"/>
        </w:rPr>
        <w:t xml:space="preserve"> but </w:t>
      </w:r>
      <w:r w:rsidR="00F94AD6">
        <w:rPr>
          <w:rFonts w:cs="Arial"/>
          <w:sz w:val="24"/>
          <w:szCs w:val="24"/>
          <w:lang w:val="en-US"/>
        </w:rPr>
        <w:t xml:space="preserve">only </w:t>
      </w:r>
      <w:r w:rsidR="00C075FB">
        <w:rPr>
          <w:rFonts w:cs="Arial"/>
          <w:sz w:val="24"/>
          <w:szCs w:val="24"/>
          <w:lang w:val="en-US"/>
        </w:rPr>
        <w:t xml:space="preserve">presence or absence is reported </w:t>
      </w:r>
      <w:proofErr w:type="gramStart"/>
      <w:r w:rsidR="00C075FB">
        <w:rPr>
          <w:rFonts w:cs="Arial"/>
          <w:sz w:val="24"/>
          <w:szCs w:val="24"/>
          <w:lang w:val="en-US"/>
        </w:rPr>
        <w:t>here</w:t>
      </w:r>
      <w:proofErr w:type="gramEnd"/>
      <w:r w:rsidR="00C075FB">
        <w:rPr>
          <w:rFonts w:cs="Arial"/>
          <w:sz w:val="24"/>
          <w:szCs w:val="24"/>
          <w:lang w:val="en-US"/>
        </w:rPr>
        <w:t xml:space="preserve"> and </w:t>
      </w:r>
      <w:r w:rsidR="00F94AD6">
        <w:rPr>
          <w:rFonts w:cs="Arial"/>
          <w:sz w:val="24"/>
          <w:szCs w:val="24"/>
          <w:lang w:val="en-US"/>
        </w:rPr>
        <w:t>results are provided as</w:t>
      </w:r>
      <w:r w:rsidR="00220C48">
        <w:rPr>
          <w:rFonts w:cs="Arial"/>
          <w:sz w:val="24"/>
          <w:szCs w:val="24"/>
          <w:lang w:val="en-US"/>
        </w:rPr>
        <w:t xml:space="preserve"> true prevalence rates (percentage </w:t>
      </w:r>
      <w:r>
        <w:rPr>
          <w:rFonts w:cs="Arial"/>
          <w:sz w:val="24"/>
          <w:szCs w:val="24"/>
          <w:lang w:val="en-US"/>
        </w:rPr>
        <w:t xml:space="preserve">of </w:t>
      </w:r>
      <w:r w:rsidR="00C075FB">
        <w:rPr>
          <w:rFonts w:cs="Arial"/>
          <w:sz w:val="24"/>
          <w:szCs w:val="24"/>
          <w:lang w:val="en-US"/>
        </w:rPr>
        <w:t xml:space="preserve">preserved </w:t>
      </w:r>
      <w:r>
        <w:rPr>
          <w:rFonts w:cs="Arial"/>
          <w:sz w:val="24"/>
          <w:szCs w:val="24"/>
          <w:lang w:val="en-US"/>
        </w:rPr>
        <w:t>orbits affected)</w:t>
      </w:r>
      <w:r w:rsidR="004A2984">
        <w:rPr>
          <w:rFonts w:cs="Arial"/>
          <w:sz w:val="24"/>
          <w:szCs w:val="24"/>
          <w:lang w:val="en-US"/>
        </w:rPr>
        <w:t xml:space="preserve">. </w:t>
      </w:r>
      <w:r>
        <w:rPr>
          <w:rFonts w:cs="Arial"/>
          <w:sz w:val="24"/>
          <w:szCs w:val="24"/>
          <w:lang w:val="en-US"/>
        </w:rPr>
        <w:t xml:space="preserve">The minimum number of ribs present on the left and right side for </w:t>
      </w:r>
      <w:proofErr w:type="gramStart"/>
      <w:r>
        <w:rPr>
          <w:rFonts w:cs="Arial"/>
          <w:sz w:val="24"/>
          <w:szCs w:val="24"/>
          <w:lang w:val="en-US"/>
        </w:rPr>
        <w:t>each individual</w:t>
      </w:r>
      <w:proofErr w:type="gramEnd"/>
      <w:r>
        <w:rPr>
          <w:rFonts w:cs="Arial"/>
          <w:sz w:val="24"/>
          <w:szCs w:val="24"/>
          <w:lang w:val="en-US"/>
        </w:rPr>
        <w:t xml:space="preserve"> was counted, </w:t>
      </w:r>
      <w:r w:rsidR="00ED77DF">
        <w:rPr>
          <w:rFonts w:cs="Arial"/>
          <w:sz w:val="24"/>
          <w:szCs w:val="24"/>
          <w:lang w:val="en-US"/>
        </w:rPr>
        <w:t>as was</w:t>
      </w:r>
      <w:r>
        <w:rPr>
          <w:rFonts w:cs="Arial"/>
          <w:sz w:val="24"/>
          <w:szCs w:val="24"/>
          <w:lang w:val="en-US"/>
        </w:rPr>
        <w:t xml:space="preserve"> the minimum number of ribs showing new bone formation (woven or lamellar).  </w:t>
      </w:r>
      <w:r w:rsidR="00220C48">
        <w:rPr>
          <w:rFonts w:cs="Arial"/>
          <w:sz w:val="24"/>
          <w:szCs w:val="24"/>
          <w:lang w:val="en-US"/>
        </w:rPr>
        <w:t>T</w:t>
      </w:r>
      <w:r>
        <w:rPr>
          <w:rFonts w:cs="Arial"/>
          <w:sz w:val="24"/>
          <w:szCs w:val="24"/>
          <w:lang w:val="en-US"/>
        </w:rPr>
        <w:t>he number of un</w:t>
      </w:r>
      <w:r w:rsidR="001E4F0E">
        <w:rPr>
          <w:rFonts w:cs="Arial"/>
          <w:sz w:val="24"/>
          <w:szCs w:val="24"/>
          <w:lang w:val="en-US"/>
        </w:rPr>
        <w:t>-</w:t>
      </w:r>
      <w:r>
        <w:rPr>
          <w:rFonts w:cs="Arial"/>
          <w:sz w:val="24"/>
          <w:szCs w:val="24"/>
          <w:lang w:val="en-US"/>
        </w:rPr>
        <w:t xml:space="preserve">sided rib fragments was counted, along with </w:t>
      </w:r>
      <w:r w:rsidR="00220C48">
        <w:rPr>
          <w:rFonts w:cs="Arial"/>
          <w:sz w:val="24"/>
          <w:szCs w:val="24"/>
          <w:lang w:val="en-US"/>
        </w:rPr>
        <w:t>those exhibiting pathological lesions.  Crude p</w:t>
      </w:r>
      <w:r>
        <w:rPr>
          <w:rFonts w:cs="Arial"/>
          <w:sz w:val="24"/>
          <w:szCs w:val="24"/>
          <w:lang w:val="en-US"/>
        </w:rPr>
        <w:t xml:space="preserve">revalence rates were calculated for the </w:t>
      </w:r>
      <w:r w:rsidR="00BC01BD">
        <w:rPr>
          <w:rFonts w:cs="Arial"/>
          <w:sz w:val="24"/>
          <w:szCs w:val="24"/>
          <w:lang w:val="en-US"/>
        </w:rPr>
        <w:t xml:space="preserve">minimum </w:t>
      </w:r>
      <w:r>
        <w:rPr>
          <w:rFonts w:cs="Arial"/>
          <w:sz w:val="24"/>
          <w:szCs w:val="24"/>
          <w:lang w:val="en-US"/>
        </w:rPr>
        <w:t xml:space="preserve">number of ribs affected as a proportion of the </w:t>
      </w:r>
      <w:r w:rsidR="00BC01BD">
        <w:rPr>
          <w:rFonts w:cs="Arial"/>
          <w:sz w:val="24"/>
          <w:szCs w:val="24"/>
          <w:lang w:val="en-US"/>
        </w:rPr>
        <w:t xml:space="preserve">minimum </w:t>
      </w:r>
      <w:r>
        <w:rPr>
          <w:rFonts w:cs="Arial"/>
          <w:sz w:val="24"/>
          <w:szCs w:val="24"/>
          <w:lang w:val="en-US"/>
        </w:rPr>
        <w:t xml:space="preserve">number of ribs present.  </w:t>
      </w:r>
    </w:p>
    <w:p w14:paraId="7C180FB0" w14:textId="77777777" w:rsidR="00BB31BF" w:rsidRDefault="00BB31BF" w:rsidP="00453751">
      <w:pPr>
        <w:spacing w:line="480" w:lineRule="auto"/>
        <w:rPr>
          <w:rFonts w:cs="Arial"/>
          <w:sz w:val="24"/>
          <w:szCs w:val="24"/>
          <w:lang w:val="en-US"/>
        </w:rPr>
      </w:pPr>
    </w:p>
    <w:p w14:paraId="4245F565" w14:textId="77777777" w:rsidR="00424732" w:rsidRPr="00424732" w:rsidRDefault="00424732" w:rsidP="00453751">
      <w:pPr>
        <w:spacing w:line="480" w:lineRule="auto"/>
        <w:rPr>
          <w:rFonts w:cs="Arial"/>
          <w:b/>
          <w:sz w:val="24"/>
          <w:szCs w:val="24"/>
          <w:lang w:val="en-US"/>
        </w:rPr>
      </w:pPr>
      <w:r w:rsidRPr="00424732">
        <w:rPr>
          <w:rFonts w:cs="Arial"/>
          <w:b/>
          <w:sz w:val="24"/>
          <w:szCs w:val="24"/>
          <w:lang w:val="en-US"/>
        </w:rPr>
        <w:t>Results</w:t>
      </w:r>
    </w:p>
    <w:p w14:paraId="10E3FDAF" w14:textId="458A0EB1" w:rsidR="00F0652F" w:rsidRPr="00D468CE" w:rsidRDefault="00F0652F" w:rsidP="00453751">
      <w:pPr>
        <w:spacing w:line="480" w:lineRule="auto"/>
        <w:rPr>
          <w:rFonts w:cs="Arial"/>
          <w:sz w:val="24"/>
          <w:szCs w:val="24"/>
          <w:lang w:val="en-US"/>
        </w:rPr>
      </w:pPr>
      <w:r w:rsidRPr="00D468CE">
        <w:rPr>
          <w:rFonts w:cs="Arial"/>
          <w:sz w:val="24"/>
          <w:szCs w:val="24"/>
          <w:lang w:val="en-US"/>
        </w:rPr>
        <w:lastRenderedPageBreak/>
        <w:t>Age-at-</w:t>
      </w:r>
      <w:r w:rsidR="00653A35" w:rsidRPr="00D468CE">
        <w:rPr>
          <w:rFonts w:cs="Arial"/>
          <w:sz w:val="24"/>
          <w:szCs w:val="24"/>
          <w:lang w:val="en-US"/>
        </w:rPr>
        <w:t>d</w:t>
      </w:r>
      <w:r w:rsidRPr="00D468CE">
        <w:rPr>
          <w:rFonts w:cs="Arial"/>
          <w:sz w:val="24"/>
          <w:szCs w:val="24"/>
          <w:lang w:val="en-US"/>
        </w:rPr>
        <w:t>eath</w:t>
      </w:r>
    </w:p>
    <w:p w14:paraId="5D728969" w14:textId="77777777" w:rsidR="00667B2D" w:rsidRDefault="00144C86" w:rsidP="00453751">
      <w:pPr>
        <w:spacing w:line="480" w:lineRule="auto"/>
        <w:rPr>
          <w:rFonts w:cs="Arial"/>
          <w:sz w:val="24"/>
          <w:szCs w:val="24"/>
          <w:lang w:val="en-US"/>
        </w:rPr>
      </w:pPr>
      <w:r>
        <w:rPr>
          <w:rFonts w:cs="Arial"/>
          <w:sz w:val="24"/>
          <w:szCs w:val="24"/>
          <w:lang w:val="en-US"/>
        </w:rPr>
        <w:t>The age</w:t>
      </w:r>
      <w:r w:rsidR="009E4FF5" w:rsidRPr="00126647">
        <w:rPr>
          <w:rFonts w:cs="Arial"/>
          <w:sz w:val="24"/>
          <w:szCs w:val="24"/>
          <w:lang w:val="en-US"/>
        </w:rPr>
        <w:t xml:space="preserve"> distribution </w:t>
      </w:r>
      <w:r>
        <w:rPr>
          <w:rFonts w:cs="Arial"/>
          <w:sz w:val="24"/>
          <w:szCs w:val="24"/>
          <w:lang w:val="en-US"/>
        </w:rPr>
        <w:t xml:space="preserve">of the non-adults from Coach Lane </w:t>
      </w:r>
      <w:r w:rsidR="00AB76AF">
        <w:rPr>
          <w:rFonts w:cs="Arial"/>
          <w:sz w:val="24"/>
          <w:szCs w:val="24"/>
          <w:lang w:val="en-US"/>
        </w:rPr>
        <w:t>follows the pattern frequently observed at archaeological cemetery sites</w:t>
      </w:r>
      <w:r>
        <w:rPr>
          <w:rFonts w:cs="Arial"/>
          <w:sz w:val="24"/>
          <w:szCs w:val="24"/>
          <w:lang w:val="en-US"/>
        </w:rPr>
        <w:t>, with a high proportion of deaths in those under 5 years of age</w:t>
      </w:r>
      <w:r w:rsidR="00AB76AF">
        <w:rPr>
          <w:rFonts w:cs="Arial"/>
          <w:sz w:val="24"/>
          <w:szCs w:val="24"/>
          <w:lang w:val="en-US"/>
        </w:rPr>
        <w:t xml:space="preserve"> and relatively few deaths during adolescence</w:t>
      </w:r>
      <w:r w:rsidR="00F94AD6">
        <w:rPr>
          <w:rFonts w:cs="Arial"/>
          <w:sz w:val="24"/>
          <w:szCs w:val="24"/>
          <w:lang w:val="en-US"/>
        </w:rPr>
        <w:t xml:space="preserve"> (Fig</w:t>
      </w:r>
      <w:r w:rsidR="00653A35">
        <w:rPr>
          <w:rFonts w:cs="Arial"/>
          <w:sz w:val="24"/>
          <w:szCs w:val="24"/>
          <w:lang w:val="en-US"/>
        </w:rPr>
        <w:t>.</w:t>
      </w:r>
      <w:r w:rsidR="00F0652F">
        <w:rPr>
          <w:rFonts w:cs="Arial"/>
          <w:sz w:val="24"/>
          <w:szCs w:val="24"/>
          <w:lang w:val="en-US"/>
        </w:rPr>
        <w:t xml:space="preserve"> 2)</w:t>
      </w:r>
      <w:r>
        <w:rPr>
          <w:rFonts w:cs="Arial"/>
          <w:sz w:val="24"/>
          <w:szCs w:val="24"/>
          <w:lang w:val="en-US"/>
        </w:rPr>
        <w:t>. By</w:t>
      </w:r>
      <w:r w:rsidR="009E4FF5" w:rsidRPr="00126647">
        <w:rPr>
          <w:rFonts w:cs="Arial"/>
          <w:sz w:val="24"/>
          <w:szCs w:val="24"/>
          <w:lang w:val="en-US"/>
        </w:rPr>
        <w:t xml:space="preserve"> contrast</w:t>
      </w:r>
      <w:r>
        <w:rPr>
          <w:rFonts w:cs="Arial"/>
          <w:sz w:val="24"/>
          <w:szCs w:val="24"/>
          <w:lang w:val="en-US"/>
        </w:rPr>
        <w:t>, Fewston</w:t>
      </w:r>
      <w:r w:rsidR="00E32D6D">
        <w:rPr>
          <w:rFonts w:cs="Arial"/>
          <w:sz w:val="24"/>
          <w:szCs w:val="24"/>
          <w:lang w:val="en-US"/>
        </w:rPr>
        <w:t xml:space="preserve"> presents with a more</w:t>
      </w:r>
      <w:r>
        <w:rPr>
          <w:rFonts w:cs="Arial"/>
          <w:sz w:val="24"/>
          <w:szCs w:val="24"/>
          <w:lang w:val="en-US"/>
        </w:rPr>
        <w:t xml:space="preserve"> </w:t>
      </w:r>
      <w:r w:rsidR="009E4FF5" w:rsidRPr="00126647">
        <w:rPr>
          <w:rFonts w:cs="Arial"/>
          <w:sz w:val="24"/>
          <w:szCs w:val="24"/>
          <w:lang w:val="en-US"/>
        </w:rPr>
        <w:t>unusual</w:t>
      </w:r>
      <w:r w:rsidR="00E32D6D">
        <w:rPr>
          <w:rFonts w:cs="Arial"/>
          <w:sz w:val="24"/>
          <w:szCs w:val="24"/>
          <w:lang w:val="en-US"/>
        </w:rPr>
        <w:t xml:space="preserve"> non-adult age distribution, </w:t>
      </w:r>
      <w:r w:rsidR="00DA59BE">
        <w:rPr>
          <w:rFonts w:cs="Arial"/>
          <w:sz w:val="24"/>
          <w:szCs w:val="24"/>
          <w:lang w:val="en-US"/>
        </w:rPr>
        <w:t>w</w:t>
      </w:r>
      <w:r w:rsidR="00035514">
        <w:rPr>
          <w:rFonts w:cs="Arial"/>
          <w:sz w:val="24"/>
          <w:szCs w:val="24"/>
          <w:lang w:val="en-US"/>
        </w:rPr>
        <w:t xml:space="preserve">ith </w:t>
      </w:r>
      <w:r w:rsidR="00E32D6D">
        <w:rPr>
          <w:rFonts w:cs="Arial"/>
          <w:sz w:val="24"/>
          <w:szCs w:val="24"/>
          <w:lang w:val="en-US"/>
        </w:rPr>
        <w:t>higher numbers of</w:t>
      </w:r>
      <w:r w:rsidR="00035514">
        <w:rPr>
          <w:rFonts w:cs="Arial"/>
          <w:sz w:val="24"/>
          <w:szCs w:val="24"/>
          <w:lang w:val="en-US"/>
        </w:rPr>
        <w:t xml:space="preserve"> adolescent </w:t>
      </w:r>
      <w:r w:rsidR="00E32D6D">
        <w:rPr>
          <w:rFonts w:cs="Arial"/>
          <w:sz w:val="24"/>
          <w:szCs w:val="24"/>
          <w:lang w:val="en-US"/>
        </w:rPr>
        <w:t>deaths</w:t>
      </w:r>
      <w:r w:rsidR="009E4FF5" w:rsidRPr="00126647">
        <w:rPr>
          <w:rFonts w:cs="Arial"/>
          <w:sz w:val="24"/>
          <w:szCs w:val="24"/>
          <w:lang w:val="en-US"/>
        </w:rPr>
        <w:t xml:space="preserve">. </w:t>
      </w:r>
      <w:r w:rsidR="00667B2D">
        <w:rPr>
          <w:rFonts w:cs="Arial"/>
          <w:sz w:val="24"/>
          <w:szCs w:val="24"/>
          <w:lang w:val="en-US"/>
        </w:rPr>
        <w:t>Only two individuals at</w:t>
      </w:r>
      <w:r w:rsidR="00F94AD6">
        <w:rPr>
          <w:rFonts w:cs="Arial"/>
          <w:sz w:val="24"/>
          <w:szCs w:val="24"/>
          <w:lang w:val="en-US"/>
        </w:rPr>
        <w:t xml:space="preserve"> </w:t>
      </w:r>
      <w:r w:rsidR="00DA59BE">
        <w:rPr>
          <w:rFonts w:cs="Arial"/>
          <w:sz w:val="24"/>
          <w:szCs w:val="24"/>
          <w:lang w:val="en-US"/>
        </w:rPr>
        <w:t>Fewston</w:t>
      </w:r>
      <w:r w:rsidR="00667B2D">
        <w:rPr>
          <w:rFonts w:cs="Arial"/>
          <w:sz w:val="24"/>
          <w:szCs w:val="24"/>
          <w:lang w:val="en-US"/>
        </w:rPr>
        <w:t xml:space="preserve"> were aged less than 1 year</w:t>
      </w:r>
      <w:r w:rsidR="00E32D6D">
        <w:rPr>
          <w:rFonts w:cs="Arial"/>
          <w:sz w:val="24"/>
          <w:szCs w:val="24"/>
          <w:lang w:val="en-US"/>
        </w:rPr>
        <w:t xml:space="preserve">, </w:t>
      </w:r>
      <w:r w:rsidR="00667B2D">
        <w:rPr>
          <w:rFonts w:cs="Arial"/>
          <w:sz w:val="24"/>
          <w:szCs w:val="24"/>
          <w:lang w:val="en-US"/>
        </w:rPr>
        <w:t>one of whom was a named individual</w:t>
      </w:r>
      <w:r w:rsidR="00E32D6D">
        <w:rPr>
          <w:rFonts w:cs="Arial"/>
          <w:sz w:val="24"/>
          <w:szCs w:val="24"/>
          <w:lang w:val="en-US"/>
        </w:rPr>
        <w:t xml:space="preserve">. </w:t>
      </w:r>
      <w:r w:rsidR="00DA59BE">
        <w:rPr>
          <w:rFonts w:cs="Arial"/>
          <w:sz w:val="24"/>
          <w:szCs w:val="24"/>
          <w:lang w:val="en-US"/>
        </w:rPr>
        <w:t xml:space="preserve"> </w:t>
      </w:r>
      <w:r w:rsidR="00E32D6D">
        <w:rPr>
          <w:rFonts w:cs="Arial"/>
          <w:sz w:val="24"/>
          <w:szCs w:val="24"/>
          <w:lang w:val="en-US"/>
        </w:rPr>
        <w:t xml:space="preserve">The lack of infants is likely </w:t>
      </w:r>
      <w:r w:rsidR="00A21CE8">
        <w:rPr>
          <w:rFonts w:cs="Arial"/>
          <w:sz w:val="24"/>
          <w:szCs w:val="24"/>
          <w:lang w:val="en-US"/>
        </w:rPr>
        <w:t xml:space="preserve">to have </w:t>
      </w:r>
      <w:r w:rsidR="00E32D6D">
        <w:rPr>
          <w:rFonts w:cs="Arial"/>
          <w:sz w:val="24"/>
          <w:szCs w:val="24"/>
          <w:lang w:val="en-US"/>
        </w:rPr>
        <w:t>resulted from</w:t>
      </w:r>
      <w:r w:rsidR="00667B2D">
        <w:rPr>
          <w:rFonts w:cs="Arial"/>
          <w:sz w:val="24"/>
          <w:szCs w:val="24"/>
          <w:lang w:val="en-US"/>
        </w:rPr>
        <w:t xml:space="preserve"> the common practice of</w:t>
      </w:r>
      <w:r w:rsidR="00DA59BE">
        <w:rPr>
          <w:rFonts w:cs="Arial"/>
          <w:sz w:val="24"/>
          <w:szCs w:val="24"/>
          <w:lang w:val="en-US"/>
        </w:rPr>
        <w:t xml:space="preserve"> </w:t>
      </w:r>
      <w:r w:rsidR="00AB76AF">
        <w:rPr>
          <w:rFonts w:cs="Arial"/>
          <w:sz w:val="24"/>
          <w:szCs w:val="24"/>
          <w:lang w:val="en-US"/>
        </w:rPr>
        <w:t xml:space="preserve">spatial segregation </w:t>
      </w:r>
      <w:r w:rsidR="00667B2D">
        <w:rPr>
          <w:rFonts w:cs="Arial"/>
          <w:sz w:val="24"/>
          <w:szCs w:val="24"/>
          <w:lang w:val="en-US"/>
        </w:rPr>
        <w:t xml:space="preserve">of this age group </w:t>
      </w:r>
      <w:r w:rsidR="00AB76AF">
        <w:rPr>
          <w:rFonts w:cs="Arial"/>
          <w:sz w:val="24"/>
          <w:szCs w:val="24"/>
          <w:lang w:val="en-US"/>
        </w:rPr>
        <w:t>within cemeter</w:t>
      </w:r>
      <w:r w:rsidR="00667B2D">
        <w:rPr>
          <w:rFonts w:cs="Arial"/>
          <w:sz w:val="24"/>
          <w:szCs w:val="24"/>
          <w:lang w:val="en-US"/>
        </w:rPr>
        <w:t xml:space="preserve">ies and the fact that only a relatively small area was </w:t>
      </w:r>
      <w:r w:rsidR="00E32D6D">
        <w:rPr>
          <w:rFonts w:cs="Arial"/>
          <w:sz w:val="24"/>
          <w:szCs w:val="24"/>
          <w:lang w:val="en-US"/>
        </w:rPr>
        <w:t>excavated.</w:t>
      </w:r>
      <w:r w:rsidR="00F87002">
        <w:rPr>
          <w:rFonts w:cs="Arial"/>
          <w:sz w:val="24"/>
          <w:szCs w:val="24"/>
          <w:lang w:val="en-US"/>
        </w:rPr>
        <w:t xml:space="preserve"> </w:t>
      </w:r>
    </w:p>
    <w:p w14:paraId="5B31FFC6" w14:textId="77777777" w:rsidR="00667B2D" w:rsidRDefault="00667B2D" w:rsidP="00453751">
      <w:pPr>
        <w:spacing w:line="480" w:lineRule="auto"/>
        <w:rPr>
          <w:rFonts w:cs="Arial"/>
          <w:sz w:val="24"/>
          <w:szCs w:val="24"/>
          <w:lang w:val="en-US"/>
        </w:rPr>
      </w:pPr>
    </w:p>
    <w:p w14:paraId="63BEE1D1" w14:textId="27ADF170" w:rsidR="002A1CA3" w:rsidRDefault="00F87002" w:rsidP="00453751">
      <w:pPr>
        <w:spacing w:line="480" w:lineRule="auto"/>
        <w:rPr>
          <w:rFonts w:cs="Arial"/>
          <w:sz w:val="24"/>
          <w:szCs w:val="24"/>
          <w:lang w:val="en-US"/>
        </w:rPr>
      </w:pPr>
      <w:r>
        <w:rPr>
          <w:rFonts w:cs="Arial"/>
          <w:sz w:val="24"/>
          <w:szCs w:val="24"/>
          <w:lang w:val="en-US"/>
        </w:rPr>
        <w:t>The difference in age structure between the two sites</w:t>
      </w:r>
      <w:r w:rsidR="00667B2D">
        <w:rPr>
          <w:rFonts w:cs="Arial"/>
          <w:sz w:val="24"/>
          <w:szCs w:val="24"/>
          <w:lang w:val="en-US"/>
        </w:rPr>
        <w:t xml:space="preserve"> with respect to </w:t>
      </w:r>
      <w:r>
        <w:rPr>
          <w:rFonts w:cs="Arial"/>
          <w:sz w:val="24"/>
          <w:szCs w:val="24"/>
          <w:lang w:val="en-US"/>
        </w:rPr>
        <w:t>the excess of adolescents at Fewston, is important to consider.  Is this</w:t>
      </w:r>
      <w:r w:rsidR="00667B2D">
        <w:rPr>
          <w:rFonts w:cs="Arial"/>
          <w:sz w:val="24"/>
          <w:szCs w:val="24"/>
          <w:lang w:val="en-US"/>
        </w:rPr>
        <w:t xml:space="preserve"> unusual age profile</w:t>
      </w:r>
      <w:r>
        <w:rPr>
          <w:rFonts w:cs="Arial"/>
          <w:sz w:val="24"/>
          <w:szCs w:val="24"/>
          <w:lang w:val="en-US"/>
        </w:rPr>
        <w:t xml:space="preserve"> simply an artefact of the incomplete excavation of Fewston, or could it reflect genuine differences in age-structure and mortality risks between the sites? </w:t>
      </w:r>
      <w:r w:rsidR="00C16196">
        <w:rPr>
          <w:rFonts w:cs="Arial"/>
          <w:sz w:val="24"/>
          <w:szCs w:val="24"/>
          <w:lang w:val="en-US"/>
        </w:rPr>
        <w:t xml:space="preserve">If the latter, then what was the driving force behind this? </w:t>
      </w:r>
      <w:r w:rsidR="003E5E48">
        <w:rPr>
          <w:rFonts w:cs="Arial"/>
          <w:sz w:val="24"/>
          <w:szCs w:val="24"/>
          <w:lang w:val="en-US"/>
        </w:rPr>
        <w:t xml:space="preserve">We hypothesize that this difference </w:t>
      </w:r>
      <w:r w:rsidR="00667B2D">
        <w:rPr>
          <w:rFonts w:cs="Arial"/>
          <w:sz w:val="24"/>
          <w:szCs w:val="24"/>
          <w:lang w:val="en-US"/>
        </w:rPr>
        <w:t xml:space="preserve">reflects genuine mortality risks in this section of the cemetery, which is dominated by nineteenth century burials, </w:t>
      </w:r>
      <w:r w:rsidR="003E5E48">
        <w:rPr>
          <w:rFonts w:cs="Arial"/>
          <w:sz w:val="24"/>
          <w:szCs w:val="24"/>
          <w:lang w:val="en-US"/>
        </w:rPr>
        <w:t>and that it is driven by the migration of adolescents from poor urban areas seeking employment in rural industry. This will be</w:t>
      </w:r>
      <w:r w:rsidR="00C16196">
        <w:rPr>
          <w:rFonts w:cs="Arial"/>
          <w:sz w:val="24"/>
          <w:szCs w:val="24"/>
          <w:lang w:val="en-US"/>
        </w:rPr>
        <w:t xml:space="preserve"> explored further </w:t>
      </w:r>
      <w:r w:rsidR="00667B2D">
        <w:rPr>
          <w:rFonts w:cs="Arial"/>
          <w:sz w:val="24"/>
          <w:szCs w:val="24"/>
          <w:lang w:val="en-US"/>
        </w:rPr>
        <w:t>with reference to the results for the pathological lesions below</w:t>
      </w:r>
      <w:r w:rsidR="00C16196">
        <w:rPr>
          <w:rFonts w:cs="Arial"/>
          <w:sz w:val="24"/>
          <w:szCs w:val="24"/>
          <w:lang w:val="en-US"/>
        </w:rPr>
        <w:t xml:space="preserve">. </w:t>
      </w:r>
      <w:r w:rsidR="003E5E48">
        <w:rPr>
          <w:rFonts w:cs="Arial"/>
          <w:sz w:val="24"/>
          <w:szCs w:val="24"/>
          <w:lang w:val="en-US"/>
        </w:rPr>
        <w:t>C</w:t>
      </w:r>
      <w:r w:rsidR="00C16196">
        <w:rPr>
          <w:rFonts w:cs="Arial"/>
          <w:sz w:val="24"/>
          <w:szCs w:val="24"/>
          <w:lang w:val="en-US"/>
        </w:rPr>
        <w:t xml:space="preserve">omparison of </w:t>
      </w:r>
      <w:r w:rsidR="000C64FC">
        <w:rPr>
          <w:rFonts w:cs="Arial"/>
          <w:sz w:val="24"/>
          <w:szCs w:val="24"/>
          <w:lang w:val="en-US"/>
        </w:rPr>
        <w:t xml:space="preserve">the various pathologies </w:t>
      </w:r>
      <w:r w:rsidR="00C16196">
        <w:rPr>
          <w:rFonts w:cs="Arial"/>
          <w:sz w:val="24"/>
          <w:szCs w:val="24"/>
          <w:lang w:val="en-US"/>
        </w:rPr>
        <w:t>between</w:t>
      </w:r>
      <w:r w:rsidR="003E5E48">
        <w:rPr>
          <w:rFonts w:cs="Arial"/>
          <w:sz w:val="24"/>
          <w:szCs w:val="24"/>
          <w:lang w:val="en-US"/>
        </w:rPr>
        <w:t xml:space="preserve"> the two</w:t>
      </w:r>
      <w:r w:rsidR="00C16196">
        <w:rPr>
          <w:rFonts w:cs="Arial"/>
          <w:sz w:val="24"/>
          <w:szCs w:val="24"/>
          <w:lang w:val="en-US"/>
        </w:rPr>
        <w:t xml:space="preserve"> sites </w:t>
      </w:r>
      <w:r w:rsidR="003E5E48">
        <w:rPr>
          <w:rFonts w:cs="Arial"/>
          <w:sz w:val="24"/>
          <w:szCs w:val="24"/>
          <w:lang w:val="en-US"/>
        </w:rPr>
        <w:t>will also</w:t>
      </w:r>
      <w:r w:rsidR="00C16196">
        <w:rPr>
          <w:rFonts w:cs="Arial"/>
          <w:sz w:val="24"/>
          <w:szCs w:val="24"/>
          <w:lang w:val="en-US"/>
        </w:rPr>
        <w:t xml:space="preserve"> explicitly consider the</w:t>
      </w:r>
      <w:r w:rsidR="003E5E48">
        <w:rPr>
          <w:rFonts w:cs="Arial"/>
          <w:sz w:val="24"/>
          <w:szCs w:val="24"/>
          <w:lang w:val="en-US"/>
        </w:rPr>
        <w:t xml:space="preserve"> different age-at-death profiles</w:t>
      </w:r>
      <w:r w:rsidR="000C64FC">
        <w:rPr>
          <w:rFonts w:cs="Arial"/>
          <w:sz w:val="24"/>
          <w:szCs w:val="24"/>
          <w:lang w:val="en-US"/>
        </w:rPr>
        <w:t xml:space="preserve"> when inferring aspects of the lived experiences of these children.</w:t>
      </w:r>
    </w:p>
    <w:p w14:paraId="20228394" w14:textId="77777777" w:rsidR="00C16196" w:rsidRDefault="00C16196" w:rsidP="00453751">
      <w:pPr>
        <w:spacing w:line="480" w:lineRule="auto"/>
        <w:rPr>
          <w:rFonts w:cs="Arial"/>
          <w:sz w:val="24"/>
          <w:szCs w:val="24"/>
          <w:lang w:val="en-US"/>
        </w:rPr>
      </w:pPr>
    </w:p>
    <w:p w14:paraId="7662E2B2" w14:textId="77777777" w:rsidR="00DA59BE" w:rsidRPr="00D468CE" w:rsidRDefault="00F0652F" w:rsidP="00453751">
      <w:pPr>
        <w:spacing w:line="480" w:lineRule="auto"/>
        <w:rPr>
          <w:rFonts w:cs="Arial"/>
          <w:sz w:val="24"/>
          <w:szCs w:val="24"/>
          <w:lang w:val="en-US"/>
        </w:rPr>
      </w:pPr>
      <w:r w:rsidRPr="00D468CE">
        <w:rPr>
          <w:rFonts w:cs="Arial"/>
          <w:sz w:val="24"/>
          <w:szCs w:val="24"/>
          <w:lang w:val="en-US"/>
        </w:rPr>
        <w:lastRenderedPageBreak/>
        <w:t>Growth</w:t>
      </w:r>
    </w:p>
    <w:p w14:paraId="16EF3018" w14:textId="0549C23A" w:rsidR="00716055" w:rsidRDefault="00AB76AF" w:rsidP="00453751">
      <w:pPr>
        <w:spacing w:line="480" w:lineRule="auto"/>
        <w:rPr>
          <w:rFonts w:cs="Arial"/>
          <w:sz w:val="24"/>
          <w:szCs w:val="24"/>
          <w:lang w:val="en-US"/>
        </w:rPr>
      </w:pPr>
      <w:r>
        <w:rPr>
          <w:rFonts w:cs="Arial"/>
          <w:sz w:val="24"/>
          <w:szCs w:val="24"/>
          <w:lang w:val="en-US"/>
        </w:rPr>
        <w:t>D</w:t>
      </w:r>
      <w:r w:rsidR="00C432BC">
        <w:rPr>
          <w:rFonts w:cs="Arial"/>
          <w:sz w:val="24"/>
          <w:szCs w:val="24"/>
          <w:lang w:val="en-US"/>
        </w:rPr>
        <w:t>i</w:t>
      </w:r>
      <w:r w:rsidR="00B2640E" w:rsidRPr="00126647">
        <w:rPr>
          <w:rFonts w:cs="Arial"/>
          <w:sz w:val="24"/>
          <w:szCs w:val="24"/>
          <w:lang w:val="en-US"/>
        </w:rPr>
        <w:t>aphyseal length</w:t>
      </w:r>
      <w:r w:rsidR="00F0652F">
        <w:rPr>
          <w:rFonts w:cs="Arial"/>
          <w:sz w:val="24"/>
          <w:szCs w:val="24"/>
          <w:lang w:val="en-US"/>
        </w:rPr>
        <w:t>s,</w:t>
      </w:r>
      <w:r w:rsidR="00B2640E" w:rsidRPr="00126647">
        <w:rPr>
          <w:rFonts w:cs="Arial"/>
          <w:sz w:val="24"/>
          <w:szCs w:val="24"/>
          <w:lang w:val="en-US"/>
        </w:rPr>
        <w:t xml:space="preserve"> </w:t>
      </w:r>
      <w:r>
        <w:rPr>
          <w:rFonts w:cs="Arial"/>
          <w:sz w:val="24"/>
          <w:szCs w:val="24"/>
          <w:lang w:val="en-US"/>
        </w:rPr>
        <w:t>when plotted against dental age</w:t>
      </w:r>
      <w:r w:rsidR="00F0652F">
        <w:rPr>
          <w:rFonts w:cs="Arial"/>
          <w:sz w:val="24"/>
          <w:szCs w:val="24"/>
          <w:lang w:val="en-US"/>
        </w:rPr>
        <w:t>,</w:t>
      </w:r>
      <w:r>
        <w:rPr>
          <w:rFonts w:cs="Arial"/>
          <w:sz w:val="24"/>
          <w:szCs w:val="24"/>
          <w:lang w:val="en-US"/>
        </w:rPr>
        <w:t xml:space="preserve"> </w:t>
      </w:r>
      <w:r w:rsidR="00851D90">
        <w:rPr>
          <w:rFonts w:cs="Arial"/>
          <w:sz w:val="24"/>
          <w:szCs w:val="24"/>
          <w:lang w:val="en-US"/>
        </w:rPr>
        <w:t xml:space="preserve">were similar </w:t>
      </w:r>
      <w:r>
        <w:rPr>
          <w:rFonts w:cs="Arial"/>
          <w:sz w:val="24"/>
          <w:szCs w:val="24"/>
          <w:lang w:val="en-US"/>
        </w:rPr>
        <w:t xml:space="preserve">between Fewston </w:t>
      </w:r>
      <w:r w:rsidR="00851D90">
        <w:rPr>
          <w:rFonts w:cs="Arial"/>
          <w:sz w:val="24"/>
          <w:szCs w:val="24"/>
          <w:lang w:val="en-US"/>
        </w:rPr>
        <w:t xml:space="preserve">and </w:t>
      </w:r>
      <w:r>
        <w:rPr>
          <w:rFonts w:cs="Arial"/>
          <w:sz w:val="24"/>
          <w:szCs w:val="24"/>
          <w:lang w:val="en-US"/>
        </w:rPr>
        <w:t>Coach Lane</w:t>
      </w:r>
      <w:r w:rsidR="00F94AD6">
        <w:rPr>
          <w:rFonts w:cs="Arial"/>
          <w:sz w:val="24"/>
          <w:szCs w:val="24"/>
          <w:lang w:val="en-US"/>
        </w:rPr>
        <w:t>;</w:t>
      </w:r>
      <w:r w:rsidR="00C82053">
        <w:rPr>
          <w:rFonts w:cs="Arial"/>
          <w:sz w:val="24"/>
          <w:szCs w:val="24"/>
          <w:lang w:val="en-US"/>
        </w:rPr>
        <w:t xml:space="preserve"> </w:t>
      </w:r>
      <w:proofErr w:type="gramStart"/>
      <w:r w:rsidR="00C82053">
        <w:rPr>
          <w:rFonts w:cs="Arial"/>
          <w:sz w:val="24"/>
          <w:szCs w:val="24"/>
          <w:lang w:val="en-US"/>
        </w:rPr>
        <w:t>unfortunately</w:t>
      </w:r>
      <w:proofErr w:type="gramEnd"/>
      <w:r w:rsidR="00C82053">
        <w:rPr>
          <w:rFonts w:cs="Arial"/>
          <w:sz w:val="24"/>
          <w:szCs w:val="24"/>
          <w:lang w:val="en-US"/>
        </w:rPr>
        <w:t xml:space="preserve"> only relatively few measurements were possible from the former </w:t>
      </w:r>
      <w:r w:rsidR="00BC1345">
        <w:rPr>
          <w:rFonts w:cs="Arial"/>
          <w:sz w:val="24"/>
          <w:szCs w:val="24"/>
          <w:lang w:val="en-US"/>
        </w:rPr>
        <w:t>site due to poorer preservation</w:t>
      </w:r>
      <w:r w:rsidR="00D34243">
        <w:rPr>
          <w:rFonts w:cs="Arial"/>
          <w:sz w:val="24"/>
          <w:szCs w:val="24"/>
          <w:lang w:val="en-US"/>
        </w:rPr>
        <w:t xml:space="preserve"> </w:t>
      </w:r>
      <w:r w:rsidR="00F94AD6">
        <w:rPr>
          <w:rFonts w:cs="Arial"/>
          <w:sz w:val="24"/>
          <w:szCs w:val="24"/>
          <w:lang w:val="en-US"/>
        </w:rPr>
        <w:t>(Fig</w:t>
      </w:r>
      <w:r w:rsidR="00653A35">
        <w:rPr>
          <w:rFonts w:cs="Arial"/>
          <w:sz w:val="24"/>
          <w:szCs w:val="24"/>
          <w:lang w:val="en-US"/>
        </w:rPr>
        <w:t>.</w:t>
      </w:r>
      <w:r w:rsidR="00047D75">
        <w:rPr>
          <w:rFonts w:cs="Arial"/>
          <w:sz w:val="24"/>
          <w:szCs w:val="24"/>
          <w:lang w:val="en-US"/>
        </w:rPr>
        <w:t xml:space="preserve"> </w:t>
      </w:r>
      <w:r w:rsidR="00DF3585">
        <w:rPr>
          <w:rFonts w:cs="Arial"/>
          <w:sz w:val="24"/>
          <w:szCs w:val="24"/>
          <w:lang w:val="en-US"/>
        </w:rPr>
        <w:t>3</w:t>
      </w:r>
      <w:r w:rsidR="00047D75">
        <w:rPr>
          <w:rFonts w:cs="Arial"/>
          <w:sz w:val="24"/>
          <w:szCs w:val="24"/>
          <w:lang w:val="en-US"/>
        </w:rPr>
        <w:t>)</w:t>
      </w:r>
      <w:r>
        <w:rPr>
          <w:rFonts w:cs="Arial"/>
          <w:sz w:val="24"/>
          <w:szCs w:val="24"/>
          <w:lang w:val="en-US"/>
        </w:rPr>
        <w:t xml:space="preserve">. </w:t>
      </w:r>
      <w:r w:rsidR="00C82053">
        <w:rPr>
          <w:rFonts w:cs="Arial"/>
          <w:sz w:val="24"/>
          <w:szCs w:val="24"/>
          <w:lang w:val="en-US"/>
        </w:rPr>
        <w:t xml:space="preserve">These values aligned with </w:t>
      </w:r>
      <w:proofErr w:type="spellStart"/>
      <w:r w:rsidR="00C82053">
        <w:rPr>
          <w:rFonts w:cs="Arial"/>
          <w:sz w:val="24"/>
          <w:szCs w:val="24"/>
          <w:lang w:val="en-US"/>
        </w:rPr>
        <w:t>Maresh’s</w:t>
      </w:r>
      <w:proofErr w:type="spellEnd"/>
      <w:r w:rsidR="00C82053">
        <w:rPr>
          <w:rFonts w:cs="Arial"/>
          <w:sz w:val="24"/>
          <w:szCs w:val="24"/>
          <w:lang w:val="en-US"/>
        </w:rPr>
        <w:t xml:space="preserve"> (1955) data up until approximately 10 years of age, </w:t>
      </w:r>
      <w:r w:rsidR="00D34243">
        <w:rPr>
          <w:rFonts w:cs="Arial"/>
          <w:sz w:val="24"/>
          <w:szCs w:val="24"/>
          <w:lang w:val="en-US"/>
        </w:rPr>
        <w:t>after which</w:t>
      </w:r>
      <w:r w:rsidR="00C82053">
        <w:rPr>
          <w:rFonts w:cs="Arial"/>
          <w:sz w:val="24"/>
          <w:szCs w:val="24"/>
          <w:lang w:val="en-US"/>
        </w:rPr>
        <w:t xml:space="preserve"> most adolescents </w:t>
      </w:r>
      <w:r w:rsidR="00D34243">
        <w:rPr>
          <w:rFonts w:cs="Arial"/>
          <w:sz w:val="24"/>
          <w:szCs w:val="24"/>
          <w:lang w:val="en-US"/>
        </w:rPr>
        <w:t>drop</w:t>
      </w:r>
      <w:r w:rsidR="00C82053">
        <w:rPr>
          <w:rFonts w:cs="Arial"/>
          <w:sz w:val="24"/>
          <w:szCs w:val="24"/>
          <w:lang w:val="en-US"/>
        </w:rPr>
        <w:t xml:space="preserve"> below the </w:t>
      </w:r>
      <w:r w:rsidR="00BC1345">
        <w:rPr>
          <w:rFonts w:cs="Arial"/>
          <w:sz w:val="24"/>
          <w:szCs w:val="24"/>
          <w:lang w:val="en-US"/>
        </w:rPr>
        <w:t>modern</w:t>
      </w:r>
      <w:r w:rsidR="00C82053">
        <w:rPr>
          <w:rFonts w:cs="Arial"/>
          <w:sz w:val="24"/>
          <w:szCs w:val="24"/>
          <w:lang w:val="en-US"/>
        </w:rPr>
        <w:t xml:space="preserve"> values. </w:t>
      </w:r>
      <w:r w:rsidR="00D34243">
        <w:rPr>
          <w:rFonts w:cs="Arial"/>
          <w:sz w:val="24"/>
          <w:szCs w:val="24"/>
          <w:lang w:val="en-US"/>
        </w:rPr>
        <w:t xml:space="preserve">This could </w:t>
      </w:r>
      <w:r w:rsidR="008F5C81">
        <w:rPr>
          <w:rFonts w:cs="Arial"/>
          <w:sz w:val="24"/>
          <w:szCs w:val="24"/>
          <w:lang w:val="en-US"/>
        </w:rPr>
        <w:t>relate to the relatively</w:t>
      </w:r>
      <w:r w:rsidR="00D34243">
        <w:rPr>
          <w:rFonts w:cs="Arial"/>
          <w:sz w:val="24"/>
          <w:szCs w:val="24"/>
          <w:lang w:val="en-US"/>
        </w:rPr>
        <w:t xml:space="preserve"> delayed pubertal growth spurt in these individuals compared to modern children</w:t>
      </w:r>
      <w:r w:rsidR="008F5C81">
        <w:rPr>
          <w:rFonts w:cs="Arial"/>
          <w:sz w:val="24"/>
          <w:szCs w:val="24"/>
          <w:lang w:val="en-US"/>
        </w:rPr>
        <w:t xml:space="preserve"> (Fig</w:t>
      </w:r>
      <w:r w:rsidR="00653A35">
        <w:rPr>
          <w:rFonts w:cs="Arial"/>
          <w:sz w:val="24"/>
          <w:szCs w:val="24"/>
          <w:lang w:val="en-US"/>
        </w:rPr>
        <w:t>.</w:t>
      </w:r>
      <w:r w:rsidR="008F5C81">
        <w:rPr>
          <w:rFonts w:cs="Arial"/>
          <w:sz w:val="24"/>
          <w:szCs w:val="24"/>
          <w:lang w:val="en-US"/>
        </w:rPr>
        <w:t xml:space="preserve"> 4)</w:t>
      </w:r>
      <w:r w:rsidR="00D34243">
        <w:rPr>
          <w:rFonts w:cs="Arial"/>
          <w:sz w:val="24"/>
          <w:szCs w:val="24"/>
          <w:lang w:val="en-US"/>
        </w:rPr>
        <w:t>. In keeping with the findings of Mays and colleagues (2009), c</w:t>
      </w:r>
      <w:r w:rsidR="00B2640E" w:rsidRPr="00126647">
        <w:rPr>
          <w:rFonts w:cs="Arial"/>
          <w:sz w:val="24"/>
          <w:szCs w:val="24"/>
          <w:lang w:val="en-US"/>
        </w:rPr>
        <w:t>ortical thickness</w:t>
      </w:r>
      <w:r w:rsidR="00D34243">
        <w:rPr>
          <w:rFonts w:cs="Arial"/>
          <w:sz w:val="24"/>
          <w:szCs w:val="24"/>
          <w:lang w:val="en-US"/>
        </w:rPr>
        <w:t xml:space="preserve"> appears to be a more sensitive indicator of adversity and</w:t>
      </w:r>
      <w:r w:rsidR="00B2640E" w:rsidRPr="00126647">
        <w:rPr>
          <w:rFonts w:cs="Arial"/>
          <w:sz w:val="24"/>
          <w:szCs w:val="24"/>
          <w:lang w:val="en-US"/>
        </w:rPr>
        <w:t xml:space="preserve"> </w:t>
      </w:r>
      <w:r w:rsidR="00851D90">
        <w:rPr>
          <w:rFonts w:cs="Arial"/>
          <w:sz w:val="24"/>
          <w:szCs w:val="24"/>
          <w:lang w:val="en-US"/>
        </w:rPr>
        <w:t>was</w:t>
      </w:r>
      <w:r w:rsidR="00B2640E" w:rsidRPr="00126647">
        <w:rPr>
          <w:rFonts w:cs="Arial"/>
          <w:sz w:val="24"/>
          <w:szCs w:val="24"/>
          <w:lang w:val="en-US"/>
        </w:rPr>
        <w:t xml:space="preserve"> compromised in children from both sites</w:t>
      </w:r>
      <w:r w:rsidR="00D34243">
        <w:rPr>
          <w:rFonts w:cs="Arial"/>
          <w:sz w:val="24"/>
          <w:szCs w:val="24"/>
          <w:lang w:val="en-US"/>
        </w:rPr>
        <w:t>. G</w:t>
      </w:r>
      <w:r w:rsidR="00F0652F">
        <w:rPr>
          <w:rFonts w:cs="Arial"/>
          <w:sz w:val="24"/>
          <w:szCs w:val="24"/>
          <w:lang w:val="en-US"/>
        </w:rPr>
        <w:t>rowth retardation</w:t>
      </w:r>
      <w:r w:rsidR="008F5C81">
        <w:rPr>
          <w:rFonts w:cs="Arial"/>
          <w:sz w:val="24"/>
          <w:szCs w:val="24"/>
          <w:lang w:val="en-US"/>
        </w:rPr>
        <w:t xml:space="preserve"> </w:t>
      </w:r>
      <w:r w:rsidR="00D34243">
        <w:rPr>
          <w:rFonts w:cs="Arial"/>
          <w:sz w:val="24"/>
          <w:szCs w:val="24"/>
          <w:lang w:val="en-US"/>
        </w:rPr>
        <w:t>was observed particularly in</w:t>
      </w:r>
      <w:r w:rsidR="00F0652F">
        <w:rPr>
          <w:rFonts w:cs="Arial"/>
          <w:sz w:val="24"/>
          <w:szCs w:val="24"/>
          <w:lang w:val="en-US"/>
        </w:rPr>
        <w:t xml:space="preserve"> children older than </w:t>
      </w:r>
      <w:r w:rsidR="00D468CE">
        <w:rPr>
          <w:rFonts w:cs="Arial"/>
          <w:sz w:val="24"/>
          <w:szCs w:val="24"/>
          <w:lang w:val="en-US"/>
        </w:rPr>
        <w:t>4</w:t>
      </w:r>
      <w:r w:rsidR="00F0652F">
        <w:rPr>
          <w:rFonts w:cs="Arial"/>
          <w:sz w:val="24"/>
          <w:szCs w:val="24"/>
          <w:lang w:val="en-US"/>
        </w:rPr>
        <w:t xml:space="preserve"> years</w:t>
      </w:r>
      <w:r w:rsidR="00D34243">
        <w:rPr>
          <w:rFonts w:cs="Arial"/>
          <w:sz w:val="24"/>
          <w:szCs w:val="24"/>
          <w:lang w:val="en-US"/>
        </w:rPr>
        <w:t xml:space="preserve"> of age</w:t>
      </w:r>
      <w:r w:rsidR="008F5C81">
        <w:rPr>
          <w:rFonts w:cs="Arial"/>
          <w:sz w:val="24"/>
          <w:szCs w:val="24"/>
          <w:lang w:val="en-US"/>
        </w:rPr>
        <w:t xml:space="preserve"> (Fig</w:t>
      </w:r>
      <w:r w:rsidR="00653A35">
        <w:rPr>
          <w:rFonts w:cs="Arial"/>
          <w:sz w:val="24"/>
          <w:szCs w:val="24"/>
          <w:lang w:val="en-US"/>
        </w:rPr>
        <w:t>.</w:t>
      </w:r>
      <w:r w:rsidR="008F5C81">
        <w:rPr>
          <w:rFonts w:cs="Arial"/>
          <w:sz w:val="24"/>
          <w:szCs w:val="24"/>
          <w:lang w:val="en-US"/>
        </w:rPr>
        <w:t xml:space="preserve"> 3)</w:t>
      </w:r>
      <w:r w:rsidR="00B2640E" w:rsidRPr="00126647">
        <w:rPr>
          <w:rFonts w:cs="Arial"/>
          <w:sz w:val="24"/>
          <w:szCs w:val="24"/>
          <w:lang w:val="en-US"/>
        </w:rPr>
        <w:t xml:space="preserve">. </w:t>
      </w:r>
      <w:r w:rsidR="00716055">
        <w:rPr>
          <w:rFonts w:cs="Arial"/>
          <w:sz w:val="24"/>
          <w:szCs w:val="24"/>
          <w:lang w:val="en-US"/>
        </w:rPr>
        <w:t>While o</w:t>
      </w:r>
      <w:r w:rsidR="00851D90">
        <w:rPr>
          <w:rFonts w:cs="Arial"/>
          <w:sz w:val="24"/>
          <w:szCs w:val="24"/>
          <w:lang w:val="en-US"/>
        </w:rPr>
        <w:t xml:space="preserve">nly small </w:t>
      </w:r>
      <w:r w:rsidR="00B2640E" w:rsidRPr="00126647">
        <w:rPr>
          <w:rFonts w:cs="Arial"/>
          <w:sz w:val="24"/>
          <w:szCs w:val="24"/>
          <w:lang w:val="en-US"/>
        </w:rPr>
        <w:t>number</w:t>
      </w:r>
      <w:r w:rsidR="00851D90">
        <w:rPr>
          <w:rFonts w:cs="Arial"/>
          <w:sz w:val="24"/>
          <w:szCs w:val="24"/>
          <w:lang w:val="en-US"/>
        </w:rPr>
        <w:t xml:space="preserve">s of </w:t>
      </w:r>
      <w:r w:rsidR="00F0652F">
        <w:rPr>
          <w:rFonts w:cs="Arial"/>
          <w:sz w:val="24"/>
          <w:szCs w:val="24"/>
          <w:lang w:val="en-US"/>
        </w:rPr>
        <w:t>femora</w:t>
      </w:r>
      <w:r w:rsidR="00851D90">
        <w:rPr>
          <w:rFonts w:cs="Arial"/>
          <w:sz w:val="24"/>
          <w:szCs w:val="24"/>
          <w:lang w:val="en-US"/>
        </w:rPr>
        <w:t xml:space="preserve"> were available</w:t>
      </w:r>
      <w:r w:rsidR="00B2640E" w:rsidRPr="00126647">
        <w:rPr>
          <w:rFonts w:cs="Arial"/>
          <w:sz w:val="24"/>
          <w:szCs w:val="24"/>
          <w:lang w:val="en-US"/>
        </w:rPr>
        <w:t xml:space="preserve"> </w:t>
      </w:r>
      <w:r w:rsidR="00F0652F">
        <w:rPr>
          <w:rFonts w:cs="Arial"/>
          <w:sz w:val="24"/>
          <w:szCs w:val="24"/>
          <w:lang w:val="en-US"/>
        </w:rPr>
        <w:t>for measurement from</w:t>
      </w:r>
      <w:r w:rsidR="00B2640E" w:rsidRPr="00126647">
        <w:rPr>
          <w:rFonts w:cs="Arial"/>
          <w:sz w:val="24"/>
          <w:szCs w:val="24"/>
          <w:lang w:val="en-US"/>
        </w:rPr>
        <w:t xml:space="preserve"> Fewston</w:t>
      </w:r>
      <w:r w:rsidR="00716055">
        <w:rPr>
          <w:rFonts w:cs="Arial"/>
          <w:sz w:val="24"/>
          <w:szCs w:val="24"/>
          <w:lang w:val="en-US"/>
        </w:rPr>
        <w:t xml:space="preserve">, </w:t>
      </w:r>
      <w:r w:rsidR="00F0652F">
        <w:rPr>
          <w:rFonts w:cs="Arial"/>
          <w:sz w:val="24"/>
          <w:szCs w:val="24"/>
          <w:lang w:val="en-US"/>
        </w:rPr>
        <w:t xml:space="preserve">cortical thickness measurements of the </w:t>
      </w:r>
      <w:proofErr w:type="spellStart"/>
      <w:r w:rsidR="00F0652F">
        <w:rPr>
          <w:rFonts w:cs="Arial"/>
          <w:sz w:val="24"/>
          <w:szCs w:val="24"/>
          <w:lang w:val="en-US"/>
        </w:rPr>
        <w:t>humeri</w:t>
      </w:r>
      <w:proofErr w:type="spellEnd"/>
      <w:r w:rsidR="00F0652F">
        <w:rPr>
          <w:rFonts w:cs="Arial"/>
          <w:sz w:val="24"/>
          <w:szCs w:val="24"/>
          <w:lang w:val="en-US"/>
        </w:rPr>
        <w:t xml:space="preserve"> and tibiae from these sites </w:t>
      </w:r>
      <w:r w:rsidR="00F14BA1">
        <w:rPr>
          <w:rFonts w:cs="Arial"/>
          <w:sz w:val="24"/>
          <w:szCs w:val="24"/>
          <w:lang w:val="en-US"/>
        </w:rPr>
        <w:t>were</w:t>
      </w:r>
      <w:r w:rsidR="00C432BC">
        <w:rPr>
          <w:rFonts w:cs="Arial"/>
          <w:sz w:val="24"/>
          <w:szCs w:val="24"/>
          <w:lang w:val="en-US"/>
        </w:rPr>
        <w:t xml:space="preserve"> </w:t>
      </w:r>
      <w:r w:rsidR="00D34243">
        <w:rPr>
          <w:rFonts w:cs="Arial"/>
          <w:sz w:val="24"/>
          <w:szCs w:val="24"/>
          <w:lang w:val="en-US"/>
        </w:rPr>
        <w:t>similarly</w:t>
      </w:r>
      <w:r w:rsidR="00F14BA1">
        <w:rPr>
          <w:rFonts w:cs="Arial"/>
          <w:sz w:val="24"/>
          <w:szCs w:val="24"/>
          <w:lang w:val="en-US"/>
        </w:rPr>
        <w:t xml:space="preserve"> </w:t>
      </w:r>
      <w:r w:rsidR="00DA59BE">
        <w:rPr>
          <w:rFonts w:cs="Arial"/>
          <w:sz w:val="24"/>
          <w:szCs w:val="24"/>
          <w:lang w:val="en-US"/>
        </w:rPr>
        <w:t>reduced</w:t>
      </w:r>
      <w:r w:rsidR="00991450">
        <w:rPr>
          <w:rFonts w:cs="Arial"/>
          <w:sz w:val="24"/>
          <w:szCs w:val="24"/>
          <w:lang w:val="en-US"/>
        </w:rPr>
        <w:t xml:space="preserve"> when compared to modern norms</w:t>
      </w:r>
      <w:r w:rsidR="00DF3585">
        <w:rPr>
          <w:rFonts w:cs="Arial"/>
          <w:sz w:val="24"/>
          <w:szCs w:val="24"/>
          <w:lang w:val="en-US"/>
        </w:rPr>
        <w:t>.</w:t>
      </w:r>
    </w:p>
    <w:p w14:paraId="5D47FB63" w14:textId="77777777" w:rsidR="002A1CA3" w:rsidRDefault="002A1CA3" w:rsidP="00453751">
      <w:pPr>
        <w:spacing w:line="480" w:lineRule="auto"/>
        <w:rPr>
          <w:rFonts w:cs="Arial"/>
          <w:sz w:val="24"/>
          <w:szCs w:val="24"/>
          <w:lang w:val="en-US"/>
        </w:rPr>
      </w:pPr>
    </w:p>
    <w:p w14:paraId="6AFCF87F" w14:textId="5B9325E9" w:rsidR="00716055" w:rsidRDefault="00C300AD" w:rsidP="00453751">
      <w:pPr>
        <w:spacing w:line="480" w:lineRule="auto"/>
        <w:rPr>
          <w:rFonts w:cs="Arial"/>
          <w:sz w:val="24"/>
          <w:szCs w:val="24"/>
        </w:rPr>
      </w:pPr>
      <w:r w:rsidRPr="00C300AD">
        <w:rPr>
          <w:rFonts w:cs="Arial"/>
          <w:sz w:val="24"/>
          <w:szCs w:val="24"/>
        </w:rPr>
        <w:t>Vertebral measurements were taken following the protocol outlined by Newman and Gowland (2015), which identified measurements from vertebral groupings of C5-6, T6-8, and L2-4 as being reliable indicators of potential population differences in growth patterns. Due to the C5-6 group presenting a more robust sample within this study for both sites, these measurements were plotted against dental age (Fig. 5).</w:t>
      </w:r>
      <w:r w:rsidR="00F71FC6">
        <w:rPr>
          <w:rFonts w:cs="Arial"/>
          <w:sz w:val="24"/>
          <w:szCs w:val="24"/>
        </w:rPr>
        <w:t xml:space="preserve"> </w:t>
      </w:r>
      <w:r w:rsidR="00DC6AE5">
        <w:rPr>
          <w:rFonts w:cs="Arial"/>
          <w:sz w:val="24"/>
          <w:szCs w:val="24"/>
        </w:rPr>
        <w:t>Values</w:t>
      </w:r>
      <w:r w:rsidR="00C432BC">
        <w:rPr>
          <w:rFonts w:cs="Arial"/>
          <w:sz w:val="24"/>
          <w:szCs w:val="24"/>
          <w:lang w:val="en-US"/>
        </w:rPr>
        <w:t xml:space="preserve"> </w:t>
      </w:r>
      <w:r w:rsidR="00ED77DF">
        <w:rPr>
          <w:rFonts w:cs="Arial"/>
          <w:sz w:val="24"/>
          <w:szCs w:val="24"/>
          <w:lang w:val="en-US"/>
        </w:rPr>
        <w:t>for several adolescents</w:t>
      </w:r>
      <w:r w:rsidR="00DC6AE5">
        <w:rPr>
          <w:rFonts w:cs="Arial"/>
          <w:sz w:val="24"/>
          <w:szCs w:val="24"/>
          <w:lang w:val="en-US"/>
        </w:rPr>
        <w:t xml:space="preserve"> from Fewston</w:t>
      </w:r>
      <w:r w:rsidR="00ED77DF">
        <w:rPr>
          <w:rFonts w:cs="Arial"/>
          <w:sz w:val="24"/>
          <w:szCs w:val="24"/>
          <w:lang w:val="en-US"/>
        </w:rPr>
        <w:t xml:space="preserve"> </w:t>
      </w:r>
      <w:r w:rsidR="00DC6AE5">
        <w:rPr>
          <w:rFonts w:cs="Arial"/>
          <w:sz w:val="24"/>
          <w:szCs w:val="24"/>
          <w:lang w:val="en-US"/>
        </w:rPr>
        <w:t>were</w:t>
      </w:r>
      <w:r w:rsidR="00237094">
        <w:rPr>
          <w:rFonts w:cs="Arial"/>
          <w:sz w:val="24"/>
          <w:szCs w:val="24"/>
          <w:lang w:val="en-US"/>
        </w:rPr>
        <w:t xml:space="preserve"> anomalously low and </w:t>
      </w:r>
      <w:r w:rsidR="003A7C8A">
        <w:rPr>
          <w:rFonts w:cs="Arial"/>
          <w:sz w:val="24"/>
          <w:szCs w:val="24"/>
          <w:lang w:val="en-US"/>
        </w:rPr>
        <w:t xml:space="preserve">an </w:t>
      </w:r>
      <w:r w:rsidR="001C3EE8">
        <w:rPr>
          <w:rFonts w:cs="Arial"/>
          <w:sz w:val="24"/>
          <w:szCs w:val="24"/>
          <w:lang w:val="en-US"/>
        </w:rPr>
        <w:t>ANCOVA</w:t>
      </w:r>
      <w:r w:rsidR="003A7C8A">
        <w:rPr>
          <w:rFonts w:cs="Arial"/>
          <w:sz w:val="24"/>
          <w:szCs w:val="24"/>
          <w:lang w:val="en-US"/>
        </w:rPr>
        <w:t xml:space="preserve"> test revealed that </w:t>
      </w:r>
      <w:r w:rsidR="00237094">
        <w:rPr>
          <w:rFonts w:cs="Arial"/>
          <w:sz w:val="24"/>
          <w:szCs w:val="24"/>
          <w:lang w:val="en-US"/>
        </w:rPr>
        <w:t xml:space="preserve">vertebral body height was statistically different </w:t>
      </w:r>
      <w:r w:rsidR="00237094" w:rsidRPr="00237094">
        <w:rPr>
          <w:rFonts w:cs="Arial"/>
          <w:sz w:val="24"/>
          <w:szCs w:val="24"/>
          <w:lang w:val="en-US"/>
        </w:rPr>
        <w:t>[</w:t>
      </w:r>
      <w:proofErr w:type="gramStart"/>
      <w:r w:rsidR="00237094" w:rsidRPr="00237094">
        <w:rPr>
          <w:rFonts w:cs="Arial"/>
          <w:sz w:val="24"/>
          <w:szCs w:val="24"/>
          <w:lang w:val="en-US"/>
        </w:rPr>
        <w:t>F(</w:t>
      </w:r>
      <w:proofErr w:type="gramEnd"/>
      <w:r w:rsidR="00237094" w:rsidRPr="00237094">
        <w:rPr>
          <w:rFonts w:cs="Arial"/>
          <w:sz w:val="24"/>
          <w:szCs w:val="24"/>
          <w:lang w:val="en-US"/>
        </w:rPr>
        <w:t>1,35)=13.551, p=0.001] between the two sites, whilst adjusting for dental age</w:t>
      </w:r>
      <w:r w:rsidR="00237094">
        <w:rPr>
          <w:rFonts w:cs="Arial"/>
          <w:sz w:val="24"/>
          <w:szCs w:val="24"/>
          <w:lang w:val="en-US"/>
        </w:rPr>
        <w:t xml:space="preserve">. </w:t>
      </w:r>
      <w:r w:rsidR="00C432BC">
        <w:rPr>
          <w:rFonts w:cs="Arial"/>
          <w:sz w:val="24"/>
          <w:szCs w:val="24"/>
        </w:rPr>
        <w:t>Th</w:t>
      </w:r>
      <w:r w:rsidR="00DC6AE5">
        <w:rPr>
          <w:rFonts w:cs="Arial"/>
          <w:sz w:val="24"/>
          <w:szCs w:val="24"/>
        </w:rPr>
        <w:t>e</w:t>
      </w:r>
      <w:r w:rsidR="00C432BC">
        <w:rPr>
          <w:rFonts w:cs="Arial"/>
          <w:sz w:val="24"/>
          <w:szCs w:val="24"/>
        </w:rPr>
        <w:t xml:space="preserve">se adolescents also exhibited a range of </w:t>
      </w:r>
      <w:r w:rsidR="00DC6AE5">
        <w:rPr>
          <w:rFonts w:cs="Arial"/>
          <w:sz w:val="24"/>
          <w:szCs w:val="24"/>
        </w:rPr>
        <w:t xml:space="preserve">skeletal </w:t>
      </w:r>
      <w:r w:rsidR="00C432BC">
        <w:rPr>
          <w:rFonts w:cs="Arial"/>
          <w:sz w:val="24"/>
          <w:szCs w:val="24"/>
        </w:rPr>
        <w:t xml:space="preserve">indicators of </w:t>
      </w:r>
      <w:r w:rsidR="00DC6AE5">
        <w:rPr>
          <w:rFonts w:cs="Arial"/>
          <w:sz w:val="24"/>
          <w:szCs w:val="24"/>
        </w:rPr>
        <w:t>poor health</w:t>
      </w:r>
      <w:r w:rsidR="00C432BC">
        <w:rPr>
          <w:rFonts w:cs="Arial"/>
          <w:sz w:val="24"/>
          <w:szCs w:val="24"/>
        </w:rPr>
        <w:t>. For example,</w:t>
      </w:r>
      <w:r w:rsidR="00F9312E">
        <w:rPr>
          <w:rFonts w:cs="Arial"/>
          <w:sz w:val="24"/>
          <w:szCs w:val="24"/>
        </w:rPr>
        <w:t xml:space="preserve"> </w:t>
      </w:r>
      <w:r w:rsidR="00F9312E" w:rsidRPr="00F9312E">
        <w:rPr>
          <w:rFonts w:cs="Arial"/>
          <w:sz w:val="24"/>
          <w:szCs w:val="24"/>
        </w:rPr>
        <w:t xml:space="preserve">Skeleton 262 </w:t>
      </w:r>
      <w:r w:rsidR="00C432BC">
        <w:rPr>
          <w:rFonts w:cs="Arial"/>
          <w:sz w:val="24"/>
          <w:szCs w:val="24"/>
        </w:rPr>
        <w:t xml:space="preserve">had </w:t>
      </w:r>
      <w:r w:rsidR="00F9312E">
        <w:rPr>
          <w:rFonts w:cs="Arial"/>
          <w:sz w:val="24"/>
          <w:szCs w:val="24"/>
        </w:rPr>
        <w:t>extensive new bone</w:t>
      </w:r>
      <w:r w:rsidR="00F9312E" w:rsidRPr="00F9312E">
        <w:rPr>
          <w:rFonts w:cs="Arial"/>
          <w:sz w:val="24"/>
          <w:szCs w:val="24"/>
        </w:rPr>
        <w:t xml:space="preserve"> formation and severe </w:t>
      </w:r>
      <w:r w:rsidR="00716055">
        <w:rPr>
          <w:rFonts w:cs="Arial"/>
          <w:sz w:val="24"/>
          <w:szCs w:val="24"/>
        </w:rPr>
        <w:t>enamel hypoplasia;</w:t>
      </w:r>
      <w:r w:rsidR="00C432BC">
        <w:rPr>
          <w:rFonts w:cs="Arial"/>
          <w:sz w:val="24"/>
          <w:szCs w:val="24"/>
        </w:rPr>
        <w:t xml:space="preserve"> Skeleton 338 had</w:t>
      </w:r>
      <w:r w:rsidR="00F9312E" w:rsidRPr="00F9312E">
        <w:rPr>
          <w:rFonts w:cs="Arial"/>
          <w:sz w:val="24"/>
          <w:szCs w:val="24"/>
        </w:rPr>
        <w:t xml:space="preserve"> severe marrow hyperplasia, woven bone</w:t>
      </w:r>
      <w:r w:rsidR="00F9312E">
        <w:rPr>
          <w:rFonts w:cs="Arial"/>
          <w:sz w:val="24"/>
          <w:szCs w:val="24"/>
        </w:rPr>
        <w:t xml:space="preserve"> on multiple </w:t>
      </w:r>
      <w:r w:rsidR="00F9312E">
        <w:rPr>
          <w:rFonts w:cs="Arial"/>
          <w:sz w:val="24"/>
          <w:szCs w:val="24"/>
        </w:rPr>
        <w:lastRenderedPageBreak/>
        <w:t>skeletal elements</w:t>
      </w:r>
      <w:r w:rsidR="00F9312E" w:rsidRPr="00F9312E">
        <w:rPr>
          <w:rFonts w:cs="Arial"/>
          <w:sz w:val="24"/>
          <w:szCs w:val="24"/>
        </w:rPr>
        <w:t xml:space="preserve"> and </w:t>
      </w:r>
      <w:r w:rsidR="00716055">
        <w:rPr>
          <w:rFonts w:cs="Arial"/>
          <w:sz w:val="24"/>
          <w:szCs w:val="24"/>
        </w:rPr>
        <w:t>evidence for scurvy;</w:t>
      </w:r>
      <w:r w:rsidR="00F9312E">
        <w:rPr>
          <w:rFonts w:cs="Arial"/>
          <w:sz w:val="24"/>
          <w:szCs w:val="24"/>
        </w:rPr>
        <w:t xml:space="preserve"> </w:t>
      </w:r>
      <w:r w:rsidR="00716055">
        <w:rPr>
          <w:rFonts w:cs="Arial"/>
          <w:sz w:val="24"/>
          <w:szCs w:val="24"/>
        </w:rPr>
        <w:t>Skeleton 208 had</w:t>
      </w:r>
      <w:r w:rsidR="00F9312E" w:rsidRPr="00F9312E">
        <w:rPr>
          <w:rFonts w:cs="Arial"/>
          <w:sz w:val="24"/>
          <w:szCs w:val="24"/>
        </w:rPr>
        <w:t xml:space="preserve"> sinusitis and</w:t>
      </w:r>
      <w:r w:rsidR="00C432BC">
        <w:rPr>
          <w:rFonts w:cs="Arial"/>
          <w:sz w:val="24"/>
          <w:szCs w:val="24"/>
        </w:rPr>
        <w:t xml:space="preserve"> </w:t>
      </w:r>
      <w:proofErr w:type="spellStart"/>
      <w:r w:rsidR="00F9312E">
        <w:rPr>
          <w:rFonts w:cs="Arial"/>
          <w:sz w:val="24"/>
          <w:szCs w:val="24"/>
        </w:rPr>
        <w:t>cuspal</w:t>
      </w:r>
      <w:proofErr w:type="spellEnd"/>
      <w:r w:rsidR="00F9312E">
        <w:rPr>
          <w:rFonts w:cs="Arial"/>
          <w:sz w:val="24"/>
          <w:szCs w:val="24"/>
        </w:rPr>
        <w:t xml:space="preserve"> enamel hypoplasia as defined by </w:t>
      </w:r>
      <w:r w:rsidR="008F5C81">
        <w:rPr>
          <w:rFonts w:cs="Arial"/>
          <w:sz w:val="24"/>
          <w:szCs w:val="24"/>
        </w:rPr>
        <w:t>Ogden et al. (2007)</w:t>
      </w:r>
      <w:r w:rsidR="00716055">
        <w:rPr>
          <w:rFonts w:cs="Arial"/>
          <w:sz w:val="24"/>
          <w:szCs w:val="24"/>
        </w:rPr>
        <w:t>,</w:t>
      </w:r>
      <w:r w:rsidR="00CC5F58">
        <w:rPr>
          <w:rFonts w:cs="Arial"/>
          <w:sz w:val="24"/>
          <w:szCs w:val="24"/>
        </w:rPr>
        <w:t xml:space="preserve"> and </w:t>
      </w:r>
      <w:r w:rsidR="00F71FC6" w:rsidRPr="00F71FC6">
        <w:rPr>
          <w:rFonts w:cs="Arial"/>
          <w:sz w:val="24"/>
          <w:szCs w:val="24"/>
        </w:rPr>
        <w:t xml:space="preserve">Skeleton 331 </w:t>
      </w:r>
      <w:r w:rsidR="00DC6AE5">
        <w:rPr>
          <w:rFonts w:cs="Arial"/>
          <w:sz w:val="24"/>
          <w:szCs w:val="24"/>
        </w:rPr>
        <w:t>had</w:t>
      </w:r>
      <w:r w:rsidR="00F71FC6" w:rsidRPr="00F71FC6">
        <w:rPr>
          <w:rFonts w:cs="Arial"/>
          <w:sz w:val="24"/>
          <w:szCs w:val="24"/>
        </w:rPr>
        <w:t xml:space="preserve"> </w:t>
      </w:r>
      <w:r w:rsidR="008F5C81">
        <w:rPr>
          <w:rFonts w:cs="Arial"/>
          <w:sz w:val="24"/>
          <w:szCs w:val="24"/>
        </w:rPr>
        <w:t xml:space="preserve">evidence of scurvy, rickets, </w:t>
      </w:r>
      <w:r w:rsidR="00F71FC6" w:rsidRPr="00F71FC6">
        <w:rPr>
          <w:rFonts w:cs="Arial"/>
          <w:sz w:val="24"/>
          <w:szCs w:val="24"/>
        </w:rPr>
        <w:t xml:space="preserve">enamel hypoplasia, </w:t>
      </w:r>
      <w:r w:rsidR="008F5C81">
        <w:rPr>
          <w:rFonts w:cs="Arial"/>
          <w:sz w:val="24"/>
          <w:szCs w:val="24"/>
        </w:rPr>
        <w:t xml:space="preserve">and </w:t>
      </w:r>
      <w:r w:rsidR="00CC5F58">
        <w:rPr>
          <w:rFonts w:cs="Arial"/>
          <w:sz w:val="24"/>
          <w:szCs w:val="24"/>
        </w:rPr>
        <w:t>new bone formation</w:t>
      </w:r>
      <w:r w:rsidR="00F71FC6" w:rsidRPr="00F71FC6">
        <w:rPr>
          <w:rFonts w:cs="Arial"/>
          <w:sz w:val="24"/>
          <w:szCs w:val="24"/>
        </w:rPr>
        <w:t xml:space="preserve"> on the ribs</w:t>
      </w:r>
      <w:r w:rsidR="00CC5F58">
        <w:rPr>
          <w:rFonts w:cs="Arial"/>
          <w:sz w:val="24"/>
          <w:szCs w:val="24"/>
        </w:rPr>
        <w:t>.</w:t>
      </w:r>
    </w:p>
    <w:p w14:paraId="5C481619" w14:textId="77777777" w:rsidR="002A1CA3" w:rsidRPr="00F71FC6" w:rsidRDefault="002A1CA3" w:rsidP="00453751">
      <w:pPr>
        <w:spacing w:line="480" w:lineRule="auto"/>
        <w:rPr>
          <w:rFonts w:cs="Arial"/>
          <w:sz w:val="24"/>
          <w:szCs w:val="24"/>
        </w:rPr>
      </w:pPr>
    </w:p>
    <w:p w14:paraId="59DA11B9" w14:textId="01954783" w:rsidR="00F0652F" w:rsidRPr="00D468CE" w:rsidRDefault="00716055" w:rsidP="00453751">
      <w:pPr>
        <w:spacing w:line="480" w:lineRule="auto"/>
        <w:rPr>
          <w:rFonts w:cs="Arial"/>
          <w:sz w:val="24"/>
          <w:szCs w:val="24"/>
          <w:lang w:val="en-US"/>
        </w:rPr>
      </w:pPr>
      <w:r w:rsidRPr="00D468CE">
        <w:rPr>
          <w:rFonts w:cs="Arial"/>
          <w:sz w:val="24"/>
          <w:szCs w:val="24"/>
          <w:lang w:val="en-US"/>
        </w:rPr>
        <w:t>P</w:t>
      </w:r>
      <w:r w:rsidR="00F0652F" w:rsidRPr="00D468CE">
        <w:rPr>
          <w:rFonts w:cs="Arial"/>
          <w:sz w:val="24"/>
          <w:szCs w:val="24"/>
          <w:lang w:val="en-US"/>
        </w:rPr>
        <w:t>athology</w:t>
      </w:r>
    </w:p>
    <w:p w14:paraId="676FF7FE" w14:textId="7C6252F9" w:rsidR="0006481E" w:rsidRDefault="00047D75" w:rsidP="00453751">
      <w:pPr>
        <w:spacing w:line="480" w:lineRule="auto"/>
        <w:rPr>
          <w:rFonts w:cs="Arial"/>
          <w:sz w:val="24"/>
          <w:szCs w:val="24"/>
          <w:lang w:val="en-US"/>
        </w:rPr>
      </w:pPr>
      <w:r>
        <w:rPr>
          <w:rFonts w:cs="Arial"/>
          <w:sz w:val="24"/>
          <w:szCs w:val="24"/>
          <w:lang w:val="en-US"/>
        </w:rPr>
        <w:t>A wide range of pathological lesions</w:t>
      </w:r>
      <w:r w:rsidR="00716055">
        <w:rPr>
          <w:rFonts w:cs="Arial"/>
          <w:sz w:val="24"/>
          <w:szCs w:val="24"/>
          <w:lang w:val="en-US"/>
        </w:rPr>
        <w:t xml:space="preserve"> were observed in the non-adult skeletons</w:t>
      </w:r>
      <w:r>
        <w:rPr>
          <w:rFonts w:cs="Arial"/>
          <w:sz w:val="24"/>
          <w:szCs w:val="24"/>
          <w:lang w:val="en-US"/>
        </w:rPr>
        <w:t xml:space="preserve"> from both sites. Dental enamel defects were common in both the deciduous and permanent dentitions. A greater proportion of non-adults at Fewston expressed dental defects than at Coach Lane</w:t>
      </w:r>
      <w:r w:rsidR="00724A44">
        <w:rPr>
          <w:rFonts w:cs="Arial"/>
          <w:sz w:val="24"/>
          <w:szCs w:val="24"/>
          <w:lang w:val="en-US"/>
        </w:rPr>
        <w:t xml:space="preserve"> (72% compared to 50%)</w:t>
      </w:r>
      <w:r>
        <w:rPr>
          <w:rFonts w:cs="Arial"/>
          <w:sz w:val="24"/>
          <w:szCs w:val="24"/>
          <w:lang w:val="en-US"/>
        </w:rPr>
        <w:t xml:space="preserve">, </w:t>
      </w:r>
      <w:r w:rsidR="00591D4B">
        <w:rPr>
          <w:rFonts w:cs="Arial"/>
          <w:sz w:val="24"/>
          <w:szCs w:val="24"/>
          <w:lang w:val="en-US"/>
        </w:rPr>
        <w:t xml:space="preserve">but </w:t>
      </w:r>
      <w:r>
        <w:rPr>
          <w:rFonts w:cs="Arial"/>
          <w:sz w:val="24"/>
          <w:szCs w:val="24"/>
          <w:lang w:val="en-US"/>
        </w:rPr>
        <w:t>the true prevalence rate for defects was similar at both sites</w:t>
      </w:r>
      <w:r w:rsidR="005420AB">
        <w:rPr>
          <w:rFonts w:cs="Arial"/>
          <w:sz w:val="24"/>
          <w:szCs w:val="24"/>
          <w:lang w:val="en-US"/>
        </w:rPr>
        <w:t xml:space="preserve"> (</w:t>
      </w:r>
      <w:r w:rsidR="0090198C">
        <w:rPr>
          <w:rFonts w:cs="Arial"/>
          <w:sz w:val="24"/>
          <w:szCs w:val="24"/>
          <w:lang w:val="en-US"/>
        </w:rPr>
        <w:t>Table 2</w:t>
      </w:r>
      <w:r w:rsidR="00724A44">
        <w:rPr>
          <w:rFonts w:cs="Arial"/>
          <w:sz w:val="24"/>
          <w:szCs w:val="24"/>
          <w:lang w:val="en-US"/>
        </w:rPr>
        <w:t>)</w:t>
      </w:r>
      <w:r>
        <w:rPr>
          <w:rFonts w:cs="Arial"/>
          <w:sz w:val="24"/>
          <w:szCs w:val="24"/>
          <w:lang w:val="en-US"/>
        </w:rPr>
        <w:t>, with no statistically significant difference</w:t>
      </w:r>
      <w:r w:rsidR="00724A44">
        <w:rPr>
          <w:rFonts w:cs="Arial"/>
          <w:sz w:val="24"/>
          <w:szCs w:val="24"/>
          <w:lang w:val="en-US"/>
        </w:rPr>
        <w:t xml:space="preserve"> between them</w:t>
      </w:r>
      <w:r w:rsidR="00BB31BF">
        <w:rPr>
          <w:rFonts w:cs="Arial"/>
          <w:sz w:val="24"/>
          <w:szCs w:val="24"/>
          <w:lang w:val="en-US"/>
        </w:rPr>
        <w:t xml:space="preserve"> (two sample t-test, p&gt; 0.1)</w:t>
      </w:r>
      <w:r>
        <w:rPr>
          <w:rFonts w:cs="Arial"/>
          <w:sz w:val="24"/>
          <w:szCs w:val="24"/>
          <w:lang w:val="en-US"/>
        </w:rPr>
        <w:t xml:space="preserve">. </w:t>
      </w:r>
    </w:p>
    <w:p w14:paraId="2CEA08C3" w14:textId="77777777" w:rsidR="002A1CA3" w:rsidRDefault="002A1CA3" w:rsidP="00453751">
      <w:pPr>
        <w:spacing w:line="480" w:lineRule="auto"/>
        <w:rPr>
          <w:rFonts w:cs="Arial"/>
          <w:sz w:val="24"/>
          <w:szCs w:val="24"/>
          <w:lang w:val="en-US"/>
        </w:rPr>
      </w:pPr>
    </w:p>
    <w:p w14:paraId="3A004B69" w14:textId="0044514B" w:rsidR="000C71C2" w:rsidRDefault="00724A44" w:rsidP="00453751">
      <w:pPr>
        <w:spacing w:line="480" w:lineRule="auto"/>
        <w:rPr>
          <w:rFonts w:cs="Arial"/>
          <w:sz w:val="24"/>
          <w:szCs w:val="24"/>
          <w:lang w:val="en-US"/>
        </w:rPr>
      </w:pPr>
      <w:r>
        <w:rPr>
          <w:rFonts w:cs="Arial"/>
          <w:sz w:val="24"/>
          <w:szCs w:val="24"/>
          <w:lang w:val="en-US"/>
        </w:rPr>
        <w:t xml:space="preserve">There were some differences in the </w:t>
      </w:r>
      <w:r w:rsidR="008F5C81">
        <w:rPr>
          <w:rFonts w:cs="Arial"/>
          <w:sz w:val="24"/>
          <w:szCs w:val="24"/>
          <w:lang w:val="en-US"/>
        </w:rPr>
        <w:t>type</w:t>
      </w:r>
      <w:r>
        <w:rPr>
          <w:rFonts w:cs="Arial"/>
          <w:sz w:val="24"/>
          <w:szCs w:val="24"/>
          <w:lang w:val="en-US"/>
        </w:rPr>
        <w:t xml:space="preserve"> of the dental enamel defects, however, </w:t>
      </w:r>
      <w:r w:rsidR="008F5C81">
        <w:rPr>
          <w:rFonts w:cs="Arial"/>
          <w:sz w:val="24"/>
          <w:szCs w:val="24"/>
          <w:lang w:val="en-US"/>
        </w:rPr>
        <w:t>with</w:t>
      </w:r>
      <w:r>
        <w:rPr>
          <w:rFonts w:cs="Arial"/>
          <w:sz w:val="24"/>
          <w:szCs w:val="24"/>
          <w:lang w:val="en-US"/>
        </w:rPr>
        <w:t xml:space="preserve"> </w:t>
      </w:r>
      <w:r w:rsidR="000C71C2" w:rsidRPr="00126647">
        <w:rPr>
          <w:rFonts w:cs="Arial"/>
          <w:sz w:val="24"/>
          <w:szCs w:val="24"/>
          <w:lang w:val="en-US"/>
        </w:rPr>
        <w:t>plane</w:t>
      </w:r>
      <w:r w:rsidR="00591D4B">
        <w:rPr>
          <w:rFonts w:cs="Arial"/>
          <w:sz w:val="24"/>
          <w:szCs w:val="24"/>
          <w:lang w:val="en-US"/>
        </w:rPr>
        <w:t>-</w:t>
      </w:r>
      <w:r w:rsidR="00DA59BE">
        <w:rPr>
          <w:rFonts w:cs="Arial"/>
          <w:sz w:val="24"/>
          <w:szCs w:val="24"/>
          <w:lang w:val="en-US"/>
        </w:rPr>
        <w:t xml:space="preserve">form </w:t>
      </w:r>
      <w:r w:rsidR="008F5C81">
        <w:rPr>
          <w:rFonts w:cs="Arial"/>
          <w:sz w:val="24"/>
          <w:szCs w:val="24"/>
          <w:lang w:val="en-US"/>
        </w:rPr>
        <w:t>and</w:t>
      </w:r>
      <w:r w:rsidR="00DA59BE">
        <w:rPr>
          <w:rFonts w:cs="Arial"/>
          <w:sz w:val="24"/>
          <w:szCs w:val="24"/>
          <w:lang w:val="en-US"/>
        </w:rPr>
        <w:t xml:space="preserve"> </w:t>
      </w:r>
      <w:proofErr w:type="spellStart"/>
      <w:r w:rsidR="00DA59BE">
        <w:rPr>
          <w:rFonts w:cs="Arial"/>
          <w:sz w:val="24"/>
          <w:szCs w:val="24"/>
          <w:lang w:val="en-US"/>
        </w:rPr>
        <w:t>cuspal</w:t>
      </w:r>
      <w:proofErr w:type="spellEnd"/>
      <w:r w:rsidR="00DA59BE">
        <w:rPr>
          <w:rFonts w:cs="Arial"/>
          <w:sz w:val="24"/>
          <w:szCs w:val="24"/>
          <w:lang w:val="en-US"/>
        </w:rPr>
        <w:t xml:space="preserve"> enamel </w:t>
      </w:r>
      <w:r w:rsidR="008F5C81">
        <w:rPr>
          <w:rFonts w:cs="Arial"/>
          <w:sz w:val="24"/>
          <w:szCs w:val="24"/>
          <w:lang w:val="en-US"/>
        </w:rPr>
        <w:t>defects</w:t>
      </w:r>
      <w:r w:rsidR="00DA59BE">
        <w:rPr>
          <w:rFonts w:cs="Arial"/>
          <w:sz w:val="24"/>
          <w:szCs w:val="24"/>
          <w:lang w:val="en-US"/>
        </w:rPr>
        <w:t xml:space="preserve"> </w:t>
      </w:r>
      <w:r w:rsidR="00414606">
        <w:rPr>
          <w:rFonts w:cs="Arial"/>
          <w:sz w:val="24"/>
          <w:szCs w:val="24"/>
          <w:lang w:val="en-US"/>
        </w:rPr>
        <w:t>more frequent</w:t>
      </w:r>
      <w:r w:rsidR="00F1212C">
        <w:rPr>
          <w:rFonts w:cs="Arial"/>
          <w:sz w:val="24"/>
          <w:szCs w:val="24"/>
          <w:lang w:val="en-US"/>
        </w:rPr>
        <w:t xml:space="preserve"> at Fewston</w:t>
      </w:r>
      <w:r w:rsidR="00F6064D">
        <w:rPr>
          <w:rFonts w:cs="Arial"/>
          <w:sz w:val="24"/>
          <w:szCs w:val="24"/>
          <w:lang w:val="en-US"/>
        </w:rPr>
        <w:t xml:space="preserve"> (4% of all teeth compared to 0.6% at Coach Lane)</w:t>
      </w:r>
      <w:r w:rsidR="000C71C2" w:rsidRPr="00126647">
        <w:rPr>
          <w:rFonts w:cs="Arial"/>
          <w:sz w:val="24"/>
          <w:szCs w:val="24"/>
          <w:lang w:val="en-US"/>
        </w:rPr>
        <w:t xml:space="preserve">. </w:t>
      </w:r>
      <w:r w:rsidR="00CA4C6B">
        <w:rPr>
          <w:rFonts w:cs="Arial"/>
          <w:sz w:val="24"/>
          <w:szCs w:val="24"/>
          <w:lang w:val="en-US"/>
        </w:rPr>
        <w:t xml:space="preserve">Deciduous as well as permanent teeth were affected by enamel hypoplasia at both sites, including pitting defects, but </w:t>
      </w:r>
      <w:proofErr w:type="spellStart"/>
      <w:r w:rsidR="00CA4C6B">
        <w:rPr>
          <w:rFonts w:cs="Arial"/>
          <w:sz w:val="24"/>
          <w:szCs w:val="24"/>
          <w:lang w:val="en-US"/>
        </w:rPr>
        <w:t>cuspal</w:t>
      </w:r>
      <w:proofErr w:type="spellEnd"/>
      <w:r w:rsidR="00CA4C6B">
        <w:rPr>
          <w:rFonts w:cs="Arial"/>
          <w:sz w:val="24"/>
          <w:szCs w:val="24"/>
          <w:lang w:val="en-US"/>
        </w:rPr>
        <w:t xml:space="preserve"> enamel defects in deciduous teeth were not common (Supplementary tables 1-4)</w:t>
      </w:r>
      <w:r w:rsidR="008F5C81">
        <w:rPr>
          <w:rFonts w:cs="Arial"/>
          <w:sz w:val="24"/>
          <w:szCs w:val="24"/>
          <w:lang w:val="en-US"/>
        </w:rPr>
        <w:t xml:space="preserve">. </w:t>
      </w:r>
      <w:r w:rsidR="000C64FC">
        <w:rPr>
          <w:rFonts w:cs="Arial"/>
          <w:sz w:val="24"/>
          <w:szCs w:val="24"/>
          <w:lang w:val="en-US"/>
        </w:rPr>
        <w:t>In such instances</w:t>
      </w:r>
      <w:r w:rsidR="00D468CE">
        <w:rPr>
          <w:rFonts w:cs="Arial"/>
          <w:sz w:val="24"/>
          <w:szCs w:val="24"/>
          <w:lang w:val="en-US"/>
        </w:rPr>
        <w:t>, the</w:t>
      </w:r>
      <w:r w:rsidR="000C71C2" w:rsidRPr="00126647">
        <w:rPr>
          <w:rFonts w:cs="Arial"/>
          <w:sz w:val="24"/>
          <w:szCs w:val="24"/>
          <w:lang w:val="en-US"/>
        </w:rPr>
        <w:t xml:space="preserve"> </w:t>
      </w:r>
      <w:r>
        <w:rPr>
          <w:rFonts w:cs="Arial"/>
          <w:sz w:val="24"/>
          <w:szCs w:val="24"/>
          <w:lang w:val="en-US"/>
        </w:rPr>
        <w:t xml:space="preserve">period of </w:t>
      </w:r>
      <w:r w:rsidR="000C71C2" w:rsidRPr="00126647">
        <w:rPr>
          <w:rFonts w:cs="Arial"/>
          <w:sz w:val="24"/>
          <w:szCs w:val="24"/>
          <w:lang w:val="en-US"/>
        </w:rPr>
        <w:t>stress</w:t>
      </w:r>
      <w:r w:rsidR="00DA59BE">
        <w:rPr>
          <w:rFonts w:cs="Arial"/>
          <w:sz w:val="24"/>
          <w:szCs w:val="24"/>
          <w:lang w:val="en-US"/>
        </w:rPr>
        <w:t xml:space="preserve"> that produced these lesions</w:t>
      </w:r>
      <w:r w:rsidR="008F5C81">
        <w:rPr>
          <w:rFonts w:cs="Arial"/>
          <w:sz w:val="24"/>
          <w:szCs w:val="24"/>
          <w:lang w:val="en-US"/>
        </w:rPr>
        <w:t xml:space="preserve"> </w:t>
      </w:r>
      <w:r w:rsidR="000C64FC">
        <w:rPr>
          <w:rFonts w:cs="Arial"/>
          <w:sz w:val="24"/>
          <w:szCs w:val="24"/>
          <w:lang w:val="en-US"/>
        </w:rPr>
        <w:t xml:space="preserve">would have </w:t>
      </w:r>
      <w:r w:rsidR="008F5C81">
        <w:rPr>
          <w:rFonts w:cs="Arial"/>
          <w:sz w:val="24"/>
          <w:szCs w:val="24"/>
          <w:lang w:val="en-US"/>
        </w:rPr>
        <w:t>commenced</w:t>
      </w:r>
      <w:r>
        <w:rPr>
          <w:rFonts w:cs="Arial"/>
          <w:sz w:val="24"/>
          <w:szCs w:val="24"/>
          <w:lang w:val="en-US"/>
        </w:rPr>
        <w:t xml:space="preserve"> </w:t>
      </w:r>
      <w:r w:rsidR="008F5C81">
        <w:rPr>
          <w:rFonts w:cs="Arial"/>
          <w:sz w:val="24"/>
          <w:szCs w:val="24"/>
          <w:lang w:val="en-US"/>
        </w:rPr>
        <w:t>in utero</w:t>
      </w:r>
      <w:r w:rsidR="00DA59BE">
        <w:rPr>
          <w:rFonts w:cs="Arial"/>
          <w:sz w:val="24"/>
          <w:szCs w:val="24"/>
          <w:lang w:val="en-US"/>
        </w:rPr>
        <w:t xml:space="preserve"> and</w:t>
      </w:r>
      <w:r w:rsidR="000C64FC">
        <w:rPr>
          <w:rFonts w:cs="Arial"/>
          <w:sz w:val="24"/>
          <w:szCs w:val="24"/>
          <w:lang w:val="en-US"/>
        </w:rPr>
        <w:t xml:space="preserve"> have</w:t>
      </w:r>
      <w:r w:rsidR="00DA59BE">
        <w:rPr>
          <w:rFonts w:cs="Arial"/>
          <w:sz w:val="24"/>
          <w:szCs w:val="24"/>
          <w:lang w:val="en-US"/>
        </w:rPr>
        <w:t xml:space="preserve"> </w:t>
      </w:r>
      <w:r w:rsidR="008F5C81">
        <w:rPr>
          <w:rFonts w:cs="Arial"/>
          <w:sz w:val="24"/>
          <w:szCs w:val="24"/>
          <w:lang w:val="en-US"/>
        </w:rPr>
        <w:t xml:space="preserve">occurred during the formation of </w:t>
      </w:r>
      <w:r w:rsidR="00DA59BE">
        <w:rPr>
          <w:rFonts w:cs="Arial"/>
          <w:sz w:val="24"/>
          <w:szCs w:val="24"/>
          <w:lang w:val="en-US"/>
        </w:rPr>
        <w:t>both the deciduous and permanent dentition</w:t>
      </w:r>
      <w:r w:rsidR="000C71C2" w:rsidRPr="00126647">
        <w:rPr>
          <w:rFonts w:cs="Arial"/>
          <w:sz w:val="24"/>
          <w:szCs w:val="24"/>
          <w:lang w:val="en-US"/>
        </w:rPr>
        <w:t xml:space="preserve">. </w:t>
      </w:r>
    </w:p>
    <w:p w14:paraId="295EE1A8" w14:textId="77777777" w:rsidR="002A1CA3" w:rsidRDefault="002A1CA3" w:rsidP="00453751">
      <w:pPr>
        <w:spacing w:line="480" w:lineRule="auto"/>
        <w:rPr>
          <w:rFonts w:cs="Arial"/>
          <w:sz w:val="24"/>
          <w:szCs w:val="24"/>
          <w:lang w:val="en-US"/>
        </w:rPr>
      </w:pPr>
    </w:p>
    <w:p w14:paraId="050D3332" w14:textId="269C4AE2" w:rsidR="0006481E" w:rsidRDefault="00C03D74" w:rsidP="00453751">
      <w:pPr>
        <w:spacing w:line="480" w:lineRule="auto"/>
        <w:rPr>
          <w:rFonts w:cs="Arial"/>
          <w:sz w:val="24"/>
          <w:szCs w:val="24"/>
        </w:rPr>
      </w:pPr>
      <w:r w:rsidRPr="003A7C8A">
        <w:rPr>
          <w:rFonts w:cs="Arial"/>
          <w:sz w:val="24"/>
          <w:szCs w:val="24"/>
        </w:rPr>
        <w:t>T</w:t>
      </w:r>
      <w:r w:rsidR="00724A44" w:rsidRPr="003A7C8A">
        <w:rPr>
          <w:rFonts w:cs="Arial"/>
          <w:sz w:val="24"/>
          <w:szCs w:val="24"/>
        </w:rPr>
        <w:t xml:space="preserve">he </w:t>
      </w:r>
      <w:r w:rsidR="0006481E" w:rsidRPr="003A7C8A">
        <w:rPr>
          <w:rFonts w:cs="Arial"/>
          <w:sz w:val="24"/>
          <w:szCs w:val="24"/>
        </w:rPr>
        <w:t xml:space="preserve">crude </w:t>
      </w:r>
      <w:r w:rsidR="00724A44" w:rsidRPr="003A7C8A">
        <w:rPr>
          <w:rFonts w:cs="Arial"/>
          <w:sz w:val="24"/>
          <w:szCs w:val="24"/>
        </w:rPr>
        <w:t xml:space="preserve">prevalence of rickets was </w:t>
      </w:r>
      <w:r w:rsidR="009920A3" w:rsidRPr="003A7C8A">
        <w:rPr>
          <w:rFonts w:cs="Arial"/>
          <w:sz w:val="24"/>
          <w:szCs w:val="24"/>
        </w:rPr>
        <w:t>similar between sites</w:t>
      </w:r>
      <w:r w:rsidR="00DA59BE" w:rsidRPr="003A7C8A">
        <w:rPr>
          <w:rFonts w:cs="Arial"/>
          <w:sz w:val="24"/>
          <w:szCs w:val="24"/>
        </w:rPr>
        <w:t xml:space="preserve"> and </w:t>
      </w:r>
      <w:r w:rsidR="008F5C81" w:rsidRPr="003A7C8A">
        <w:rPr>
          <w:rFonts w:cs="Arial"/>
          <w:sz w:val="24"/>
          <w:szCs w:val="24"/>
        </w:rPr>
        <w:t xml:space="preserve">is </w:t>
      </w:r>
      <w:r w:rsidR="009920A3" w:rsidRPr="003A7C8A">
        <w:rPr>
          <w:rFonts w:cs="Arial"/>
          <w:sz w:val="24"/>
          <w:szCs w:val="24"/>
        </w:rPr>
        <w:t>very</w:t>
      </w:r>
      <w:r w:rsidR="00DA59BE" w:rsidRPr="003A7C8A">
        <w:rPr>
          <w:rFonts w:cs="Arial"/>
          <w:sz w:val="24"/>
          <w:szCs w:val="24"/>
        </w:rPr>
        <w:t xml:space="preserve"> high when compared to contemporaneous </w:t>
      </w:r>
      <w:r w:rsidR="008F5C81" w:rsidRPr="003A7C8A">
        <w:rPr>
          <w:rFonts w:cs="Arial"/>
          <w:sz w:val="24"/>
          <w:szCs w:val="24"/>
        </w:rPr>
        <w:t>sites in London</w:t>
      </w:r>
      <w:r w:rsidR="003A7C8A" w:rsidRPr="003A7C8A">
        <w:rPr>
          <w:rFonts w:cs="Arial"/>
          <w:sz w:val="24"/>
          <w:szCs w:val="24"/>
        </w:rPr>
        <w:t xml:space="preserve"> (</w:t>
      </w:r>
      <w:r w:rsidR="001C3EE8">
        <w:rPr>
          <w:rFonts w:cs="Arial"/>
          <w:sz w:val="24"/>
          <w:szCs w:val="24"/>
        </w:rPr>
        <w:t>Lewis 2002)</w:t>
      </w:r>
      <w:r w:rsidR="00DA59BE" w:rsidRPr="003A7C8A">
        <w:rPr>
          <w:rFonts w:cs="Arial"/>
          <w:sz w:val="24"/>
          <w:szCs w:val="24"/>
        </w:rPr>
        <w:t>.</w:t>
      </w:r>
      <w:r w:rsidR="00DA59BE">
        <w:rPr>
          <w:rFonts w:cs="Arial"/>
          <w:sz w:val="24"/>
          <w:szCs w:val="24"/>
        </w:rPr>
        <w:t xml:space="preserve"> </w:t>
      </w:r>
      <w:r>
        <w:rPr>
          <w:rFonts w:cs="Arial"/>
          <w:sz w:val="24"/>
          <w:szCs w:val="24"/>
        </w:rPr>
        <w:t xml:space="preserve">Likewise, the prevalence of scurvy was </w:t>
      </w:r>
      <w:r>
        <w:rPr>
          <w:rFonts w:cs="Arial"/>
          <w:sz w:val="24"/>
          <w:szCs w:val="24"/>
        </w:rPr>
        <w:lastRenderedPageBreak/>
        <w:t xml:space="preserve">high and </w:t>
      </w:r>
      <w:r w:rsidR="00724A44">
        <w:rPr>
          <w:rFonts w:cs="Arial"/>
          <w:sz w:val="24"/>
          <w:szCs w:val="24"/>
        </w:rPr>
        <w:t xml:space="preserve">there was no statistically significant difference </w:t>
      </w:r>
      <w:r>
        <w:rPr>
          <w:rFonts w:cs="Arial"/>
          <w:sz w:val="24"/>
          <w:szCs w:val="24"/>
        </w:rPr>
        <w:t xml:space="preserve">between </w:t>
      </w:r>
      <w:r w:rsidR="008F5C81">
        <w:rPr>
          <w:rFonts w:cs="Arial"/>
          <w:sz w:val="24"/>
          <w:szCs w:val="24"/>
        </w:rPr>
        <w:t>Coach Lane and Fewston</w:t>
      </w:r>
      <w:r w:rsidR="00CA4C6B">
        <w:rPr>
          <w:rFonts w:cs="Arial"/>
          <w:sz w:val="24"/>
          <w:szCs w:val="24"/>
        </w:rPr>
        <w:t xml:space="preserve"> (</w:t>
      </w:r>
      <w:r w:rsidR="002750E2">
        <w:rPr>
          <w:rFonts w:cs="Arial"/>
          <w:sz w:val="24"/>
          <w:szCs w:val="24"/>
        </w:rPr>
        <w:t>Table 3</w:t>
      </w:r>
      <w:r w:rsidR="00CA4C6B">
        <w:rPr>
          <w:rFonts w:cs="Arial"/>
          <w:sz w:val="24"/>
          <w:szCs w:val="24"/>
        </w:rPr>
        <w:t>)</w:t>
      </w:r>
      <w:r w:rsidR="004A2984">
        <w:rPr>
          <w:rFonts w:cs="Arial"/>
          <w:sz w:val="24"/>
          <w:szCs w:val="24"/>
        </w:rPr>
        <w:t xml:space="preserve">. </w:t>
      </w:r>
      <w:r w:rsidR="00704D63">
        <w:rPr>
          <w:rFonts w:cs="Arial"/>
          <w:sz w:val="24"/>
          <w:szCs w:val="24"/>
        </w:rPr>
        <w:t xml:space="preserve">Again, this prevalence was higher than the </w:t>
      </w:r>
      <w:r w:rsidR="00DC6AE5" w:rsidRPr="00DC6AE5">
        <w:rPr>
          <w:rFonts w:cs="Arial"/>
          <w:sz w:val="24"/>
          <w:szCs w:val="24"/>
        </w:rPr>
        <w:t>London sites</w:t>
      </w:r>
      <w:r w:rsidR="00704D63">
        <w:rPr>
          <w:rFonts w:cs="Arial"/>
          <w:sz w:val="24"/>
          <w:szCs w:val="24"/>
        </w:rPr>
        <w:t xml:space="preserve"> of</w:t>
      </w:r>
      <w:r w:rsidR="00DC6AE5" w:rsidRPr="00DC6AE5">
        <w:rPr>
          <w:rFonts w:cs="Arial"/>
          <w:sz w:val="24"/>
          <w:szCs w:val="24"/>
        </w:rPr>
        <w:t xml:space="preserve"> Chelsea Old Church, St Benet </w:t>
      </w:r>
      <w:proofErr w:type="spellStart"/>
      <w:r w:rsidR="00DC6AE5" w:rsidRPr="00DC6AE5">
        <w:rPr>
          <w:rFonts w:cs="Arial"/>
          <w:sz w:val="24"/>
          <w:szCs w:val="24"/>
        </w:rPr>
        <w:t>Sherehog</w:t>
      </w:r>
      <w:proofErr w:type="spellEnd"/>
      <w:r w:rsidR="00DC6AE5" w:rsidRPr="00DC6AE5">
        <w:rPr>
          <w:rFonts w:cs="Arial"/>
          <w:sz w:val="24"/>
          <w:szCs w:val="24"/>
        </w:rPr>
        <w:t xml:space="preserve">, and Bow Baptist (ranging from approximately 4-10%), but </w:t>
      </w:r>
      <w:r w:rsidR="00716055">
        <w:rPr>
          <w:rFonts w:cs="Arial"/>
          <w:sz w:val="24"/>
          <w:szCs w:val="24"/>
        </w:rPr>
        <w:t>were</w:t>
      </w:r>
      <w:r w:rsidR="00DC6AE5" w:rsidRPr="00DC6AE5">
        <w:rPr>
          <w:rFonts w:cs="Arial"/>
          <w:sz w:val="24"/>
          <w:szCs w:val="24"/>
        </w:rPr>
        <w:t xml:space="preserve"> more comparable with rates seen at Cross Bones (37%), a site </w:t>
      </w:r>
      <w:r w:rsidR="00716055">
        <w:rPr>
          <w:rFonts w:cs="Arial"/>
          <w:sz w:val="24"/>
          <w:szCs w:val="24"/>
        </w:rPr>
        <w:t xml:space="preserve">that was </w:t>
      </w:r>
      <w:r w:rsidR="00704D63">
        <w:rPr>
          <w:rFonts w:cs="Arial"/>
          <w:sz w:val="24"/>
          <w:szCs w:val="24"/>
        </w:rPr>
        <w:t xml:space="preserve">located in a particularly impoverished </w:t>
      </w:r>
      <w:r w:rsidR="00022197">
        <w:rPr>
          <w:rFonts w:cs="Arial"/>
          <w:sz w:val="24"/>
          <w:szCs w:val="24"/>
        </w:rPr>
        <w:t>parish of London</w:t>
      </w:r>
      <w:r w:rsidR="00704D63">
        <w:rPr>
          <w:rFonts w:cs="Arial"/>
          <w:sz w:val="24"/>
          <w:szCs w:val="24"/>
        </w:rPr>
        <w:t xml:space="preserve"> during this period</w:t>
      </w:r>
      <w:r w:rsidR="00DC6AE5" w:rsidRPr="00DC6AE5">
        <w:rPr>
          <w:rFonts w:cs="Arial"/>
          <w:sz w:val="24"/>
          <w:szCs w:val="24"/>
        </w:rPr>
        <w:t xml:space="preserve"> (Newman and Gowland 2016).</w:t>
      </w:r>
      <w:r w:rsidR="009920A3">
        <w:rPr>
          <w:rFonts w:cs="Arial"/>
          <w:sz w:val="24"/>
          <w:szCs w:val="24"/>
        </w:rPr>
        <w:t xml:space="preserve"> </w:t>
      </w:r>
      <w:r w:rsidR="00022197">
        <w:rPr>
          <w:rFonts w:cs="Arial"/>
          <w:sz w:val="24"/>
          <w:szCs w:val="24"/>
        </w:rPr>
        <w:t>D</w:t>
      </w:r>
      <w:r w:rsidR="00704D63">
        <w:rPr>
          <w:rFonts w:cs="Arial"/>
          <w:sz w:val="24"/>
          <w:szCs w:val="24"/>
        </w:rPr>
        <w:t xml:space="preserve">evelopments in the diagnostic criteria for both rickets and scurvy since some of these reports were published </w:t>
      </w:r>
      <w:r w:rsidR="00022197">
        <w:rPr>
          <w:rFonts w:cs="Arial"/>
          <w:sz w:val="24"/>
          <w:szCs w:val="24"/>
        </w:rPr>
        <w:t>are</w:t>
      </w:r>
      <w:r w:rsidR="00704D63">
        <w:rPr>
          <w:rFonts w:cs="Arial"/>
          <w:sz w:val="24"/>
          <w:szCs w:val="24"/>
        </w:rPr>
        <w:t xml:space="preserve"> partly</w:t>
      </w:r>
      <w:r w:rsidR="00D641A5">
        <w:rPr>
          <w:rFonts w:cs="Arial"/>
          <w:sz w:val="24"/>
          <w:szCs w:val="24"/>
        </w:rPr>
        <w:t xml:space="preserve"> responsible for the disparity</w:t>
      </w:r>
      <w:r w:rsidR="00022197">
        <w:rPr>
          <w:rFonts w:cs="Arial"/>
          <w:sz w:val="24"/>
          <w:szCs w:val="24"/>
        </w:rPr>
        <w:t>, along with the exclusion of poorly preserved skeletons from the prevalence calculations in this study</w:t>
      </w:r>
      <w:r w:rsidR="00D641A5">
        <w:rPr>
          <w:rFonts w:cs="Arial"/>
          <w:sz w:val="24"/>
          <w:szCs w:val="24"/>
        </w:rPr>
        <w:t>.</w:t>
      </w:r>
      <w:r w:rsidR="00507C6F">
        <w:rPr>
          <w:rFonts w:cs="Arial"/>
          <w:sz w:val="24"/>
          <w:szCs w:val="24"/>
        </w:rPr>
        <w:t xml:space="preserve"> </w:t>
      </w:r>
      <w:r w:rsidR="00022197">
        <w:rPr>
          <w:rFonts w:cs="Arial"/>
          <w:sz w:val="24"/>
          <w:szCs w:val="24"/>
        </w:rPr>
        <w:t>T</w:t>
      </w:r>
      <w:r w:rsidR="00A6040F">
        <w:rPr>
          <w:rFonts w:cs="Arial"/>
          <w:sz w:val="24"/>
          <w:szCs w:val="24"/>
        </w:rPr>
        <w:t>he north of England</w:t>
      </w:r>
      <w:r w:rsidR="00022197">
        <w:rPr>
          <w:rFonts w:cs="Arial"/>
          <w:sz w:val="24"/>
          <w:szCs w:val="24"/>
        </w:rPr>
        <w:t>, however,</w:t>
      </w:r>
      <w:r w:rsidR="00A6040F">
        <w:rPr>
          <w:rFonts w:cs="Arial"/>
          <w:sz w:val="24"/>
          <w:szCs w:val="24"/>
        </w:rPr>
        <w:t xml:space="preserve"> was a </w:t>
      </w:r>
      <w:r w:rsidR="00D641A5">
        <w:rPr>
          <w:rFonts w:cs="Arial"/>
          <w:sz w:val="24"/>
          <w:szCs w:val="24"/>
        </w:rPr>
        <w:t xml:space="preserve">renowned </w:t>
      </w:r>
      <w:r w:rsidR="00A6040F">
        <w:rPr>
          <w:rFonts w:cs="Arial"/>
          <w:sz w:val="24"/>
          <w:szCs w:val="24"/>
        </w:rPr>
        <w:t xml:space="preserve">focal point for rickets in the </w:t>
      </w:r>
      <w:r w:rsidR="00022197">
        <w:rPr>
          <w:rFonts w:cs="Arial"/>
          <w:sz w:val="24"/>
          <w:szCs w:val="24"/>
        </w:rPr>
        <w:t>nineteenth</w:t>
      </w:r>
      <w:r w:rsidR="00D641A5">
        <w:rPr>
          <w:rFonts w:cs="Arial"/>
          <w:sz w:val="24"/>
          <w:szCs w:val="24"/>
        </w:rPr>
        <w:t xml:space="preserve"> century</w:t>
      </w:r>
      <w:r w:rsidR="00E32D6D">
        <w:rPr>
          <w:rFonts w:cs="Arial"/>
          <w:sz w:val="24"/>
          <w:szCs w:val="24"/>
        </w:rPr>
        <w:t xml:space="preserve"> (</w:t>
      </w:r>
      <w:r w:rsidR="00EE68CA" w:rsidRPr="00EE68CA">
        <w:rPr>
          <w:rFonts w:cs="Arial"/>
          <w:i/>
          <w:sz w:val="24"/>
          <w:szCs w:val="24"/>
        </w:rPr>
        <w:t>British Medical Journal</w:t>
      </w:r>
      <w:r w:rsidR="00EE68CA">
        <w:rPr>
          <w:rFonts w:cs="Arial"/>
          <w:sz w:val="24"/>
          <w:szCs w:val="24"/>
        </w:rPr>
        <w:t xml:space="preserve"> 1889)</w:t>
      </w:r>
      <w:r w:rsidR="00A6040F">
        <w:rPr>
          <w:rFonts w:cs="Arial"/>
          <w:sz w:val="24"/>
          <w:szCs w:val="24"/>
        </w:rPr>
        <w:t xml:space="preserve">. </w:t>
      </w:r>
      <w:r w:rsidR="004A2984">
        <w:rPr>
          <w:rFonts w:cs="Arial"/>
          <w:sz w:val="24"/>
          <w:szCs w:val="24"/>
        </w:rPr>
        <w:t xml:space="preserve">The prevalence rate of </w:t>
      </w:r>
      <w:proofErr w:type="spellStart"/>
      <w:r w:rsidR="004A2984">
        <w:rPr>
          <w:rFonts w:cs="Arial"/>
          <w:sz w:val="24"/>
          <w:szCs w:val="24"/>
        </w:rPr>
        <w:t>cribra</w:t>
      </w:r>
      <w:proofErr w:type="spellEnd"/>
      <w:r w:rsidR="004A2984">
        <w:rPr>
          <w:rFonts w:cs="Arial"/>
          <w:sz w:val="24"/>
          <w:szCs w:val="24"/>
        </w:rPr>
        <w:t xml:space="preserve"> </w:t>
      </w:r>
      <w:proofErr w:type="spellStart"/>
      <w:r w:rsidR="004A2984">
        <w:rPr>
          <w:rFonts w:cs="Arial"/>
          <w:sz w:val="24"/>
          <w:szCs w:val="24"/>
        </w:rPr>
        <w:t>orbitalia</w:t>
      </w:r>
      <w:proofErr w:type="spellEnd"/>
      <w:r w:rsidR="004A2984">
        <w:rPr>
          <w:rFonts w:cs="Arial"/>
          <w:sz w:val="24"/>
          <w:szCs w:val="24"/>
        </w:rPr>
        <w:t xml:space="preserve"> was</w:t>
      </w:r>
      <w:r w:rsidR="009920A3">
        <w:rPr>
          <w:rFonts w:cs="Arial"/>
          <w:sz w:val="24"/>
          <w:szCs w:val="24"/>
        </w:rPr>
        <w:t>, again,</w:t>
      </w:r>
      <w:r w:rsidR="004A2984">
        <w:rPr>
          <w:rFonts w:cs="Arial"/>
          <w:sz w:val="24"/>
          <w:szCs w:val="24"/>
        </w:rPr>
        <w:t xml:space="preserve"> high at both sites, but Fewston </w:t>
      </w:r>
      <w:r w:rsidR="009920A3">
        <w:rPr>
          <w:rFonts w:cs="Arial"/>
          <w:sz w:val="24"/>
          <w:szCs w:val="24"/>
        </w:rPr>
        <w:t>exhibited</w:t>
      </w:r>
      <w:r w:rsidR="00A713D3">
        <w:rPr>
          <w:rFonts w:cs="Arial"/>
          <w:sz w:val="24"/>
          <w:szCs w:val="24"/>
        </w:rPr>
        <w:t xml:space="preserve"> </w:t>
      </w:r>
      <w:r w:rsidR="009920A3">
        <w:rPr>
          <w:rFonts w:cs="Arial"/>
          <w:sz w:val="24"/>
          <w:szCs w:val="24"/>
        </w:rPr>
        <w:t xml:space="preserve">significantly </w:t>
      </w:r>
      <w:r w:rsidR="004A2984">
        <w:rPr>
          <w:rFonts w:cs="Arial"/>
          <w:sz w:val="24"/>
          <w:szCs w:val="24"/>
        </w:rPr>
        <w:t>higher frequencies</w:t>
      </w:r>
      <w:r w:rsidR="002750E2">
        <w:rPr>
          <w:rFonts w:cs="Arial"/>
          <w:sz w:val="24"/>
          <w:szCs w:val="24"/>
        </w:rPr>
        <w:t xml:space="preserve"> (Table 3)</w:t>
      </w:r>
      <w:r w:rsidR="004A2984">
        <w:rPr>
          <w:rFonts w:cs="Arial"/>
          <w:sz w:val="24"/>
          <w:szCs w:val="24"/>
        </w:rPr>
        <w:t xml:space="preserve">. </w:t>
      </w:r>
    </w:p>
    <w:p w14:paraId="3803A214" w14:textId="77777777" w:rsidR="002A1CA3" w:rsidRPr="00BC28D7" w:rsidRDefault="002A1CA3" w:rsidP="00453751">
      <w:pPr>
        <w:spacing w:line="480" w:lineRule="auto"/>
        <w:rPr>
          <w:rFonts w:cs="Arial"/>
          <w:sz w:val="24"/>
          <w:szCs w:val="24"/>
        </w:rPr>
      </w:pPr>
    </w:p>
    <w:p w14:paraId="7E6DAE02" w14:textId="514DADFB" w:rsidR="002A1CA3" w:rsidRDefault="00B610CD" w:rsidP="00453751">
      <w:pPr>
        <w:spacing w:line="480" w:lineRule="auto"/>
        <w:rPr>
          <w:rFonts w:cs="Arial"/>
          <w:sz w:val="24"/>
          <w:szCs w:val="24"/>
        </w:rPr>
      </w:pPr>
      <w:r>
        <w:rPr>
          <w:rFonts w:cs="Arial"/>
          <w:sz w:val="24"/>
          <w:szCs w:val="24"/>
        </w:rPr>
        <w:t xml:space="preserve">Non-adults at both sites showed evidence of </w:t>
      </w:r>
      <w:r w:rsidR="00C03D74">
        <w:rPr>
          <w:rFonts w:cs="Arial"/>
          <w:sz w:val="24"/>
          <w:szCs w:val="24"/>
        </w:rPr>
        <w:t xml:space="preserve">maxillary sinusitis and rib </w:t>
      </w:r>
      <w:r>
        <w:rPr>
          <w:rFonts w:cs="Arial"/>
          <w:sz w:val="24"/>
          <w:szCs w:val="24"/>
        </w:rPr>
        <w:t>lesions, but the prevalence of b</w:t>
      </w:r>
      <w:r w:rsidR="00D3121B">
        <w:rPr>
          <w:rFonts w:cs="Arial"/>
          <w:sz w:val="24"/>
          <w:szCs w:val="24"/>
        </w:rPr>
        <w:t>oth was</w:t>
      </w:r>
      <w:r w:rsidR="004E2F4E">
        <w:rPr>
          <w:rFonts w:cs="Arial"/>
          <w:sz w:val="24"/>
          <w:szCs w:val="24"/>
        </w:rPr>
        <w:t xml:space="preserve"> </w:t>
      </w:r>
      <w:r w:rsidR="00BB31BF">
        <w:rPr>
          <w:rFonts w:cs="Arial"/>
          <w:sz w:val="24"/>
          <w:szCs w:val="24"/>
        </w:rPr>
        <w:t>significantly</w:t>
      </w:r>
      <w:r w:rsidR="004E2F4E">
        <w:rPr>
          <w:rFonts w:cs="Arial"/>
          <w:sz w:val="24"/>
          <w:szCs w:val="24"/>
        </w:rPr>
        <w:t xml:space="preserve"> higher at Fewston (</w:t>
      </w:r>
      <w:r w:rsidR="002750E2">
        <w:rPr>
          <w:rFonts w:cs="Arial"/>
          <w:sz w:val="24"/>
          <w:szCs w:val="24"/>
        </w:rPr>
        <w:t>Table 4</w:t>
      </w:r>
      <w:r w:rsidR="00BB31BF">
        <w:rPr>
          <w:rFonts w:cs="Arial"/>
          <w:sz w:val="24"/>
          <w:szCs w:val="24"/>
        </w:rPr>
        <w:t>, rib lesions p &lt;0.05; sinusitis, p &lt; 0.1</w:t>
      </w:r>
      <w:r w:rsidR="00D039BC">
        <w:rPr>
          <w:rFonts w:cs="Arial"/>
          <w:sz w:val="24"/>
          <w:szCs w:val="24"/>
        </w:rPr>
        <w:t>)</w:t>
      </w:r>
      <w:r w:rsidR="00FF0585">
        <w:rPr>
          <w:rFonts w:cs="Arial"/>
          <w:sz w:val="24"/>
          <w:szCs w:val="24"/>
        </w:rPr>
        <w:t xml:space="preserve"> and most particularly in children of working age (12-20 years)</w:t>
      </w:r>
      <w:r w:rsidR="00D039BC">
        <w:rPr>
          <w:rFonts w:cs="Arial"/>
          <w:sz w:val="24"/>
          <w:szCs w:val="24"/>
        </w:rPr>
        <w:t xml:space="preserve">. By contrast endocranial </w:t>
      </w:r>
      <w:r w:rsidR="00FF0585">
        <w:rPr>
          <w:rFonts w:cs="Arial"/>
          <w:sz w:val="24"/>
          <w:szCs w:val="24"/>
        </w:rPr>
        <w:t xml:space="preserve">and ectocranial new bone was </w:t>
      </w:r>
      <w:r w:rsidR="00D039BC">
        <w:rPr>
          <w:rFonts w:cs="Arial"/>
          <w:sz w:val="24"/>
          <w:szCs w:val="24"/>
        </w:rPr>
        <w:t xml:space="preserve">slightly higher at Coach Lane, </w:t>
      </w:r>
      <w:r w:rsidR="0006481E">
        <w:rPr>
          <w:rFonts w:cs="Arial"/>
          <w:sz w:val="24"/>
          <w:szCs w:val="24"/>
        </w:rPr>
        <w:t>al</w:t>
      </w:r>
      <w:r w:rsidR="00D039BC">
        <w:rPr>
          <w:rFonts w:cs="Arial"/>
          <w:sz w:val="24"/>
          <w:szCs w:val="24"/>
        </w:rPr>
        <w:t>though this was not statistically significant</w:t>
      </w:r>
      <w:r w:rsidR="00FF0585">
        <w:rPr>
          <w:rFonts w:cs="Arial"/>
          <w:sz w:val="24"/>
          <w:szCs w:val="24"/>
        </w:rPr>
        <w:t xml:space="preserve"> (Table 4)</w:t>
      </w:r>
      <w:r w:rsidR="00D039BC">
        <w:rPr>
          <w:rFonts w:cs="Arial"/>
          <w:sz w:val="24"/>
          <w:szCs w:val="24"/>
        </w:rPr>
        <w:t xml:space="preserve">. At Coach Lane, infants from 1-12 months were much more likely to exhibit </w:t>
      </w:r>
      <w:r w:rsidR="00C03D74">
        <w:rPr>
          <w:rFonts w:cs="Arial"/>
          <w:sz w:val="24"/>
          <w:szCs w:val="24"/>
        </w:rPr>
        <w:t>endocranial</w:t>
      </w:r>
      <w:r w:rsidR="00D039BC">
        <w:rPr>
          <w:rFonts w:cs="Arial"/>
          <w:sz w:val="24"/>
          <w:szCs w:val="24"/>
        </w:rPr>
        <w:t xml:space="preserve"> new bone growth (70%) than other age groups</w:t>
      </w:r>
      <w:r w:rsidR="00FF0585">
        <w:rPr>
          <w:rFonts w:cs="Arial"/>
          <w:sz w:val="24"/>
          <w:szCs w:val="24"/>
        </w:rPr>
        <w:t>, whereas at Fewston higher prevalence rates were observed again amongst the adolescents</w:t>
      </w:r>
      <w:r w:rsidR="00D039BC">
        <w:rPr>
          <w:rFonts w:cs="Arial"/>
          <w:sz w:val="24"/>
          <w:szCs w:val="24"/>
        </w:rPr>
        <w:t xml:space="preserve">. </w:t>
      </w:r>
      <w:r w:rsidR="009920A3">
        <w:rPr>
          <w:rFonts w:cs="Arial"/>
          <w:sz w:val="24"/>
          <w:szCs w:val="24"/>
        </w:rPr>
        <w:t>Care must be taken</w:t>
      </w:r>
      <w:r w:rsidR="002A2EF5">
        <w:rPr>
          <w:rFonts w:cs="Arial"/>
          <w:sz w:val="24"/>
          <w:szCs w:val="24"/>
        </w:rPr>
        <w:t xml:space="preserve"> when interpreting </w:t>
      </w:r>
      <w:r w:rsidR="00FF0585">
        <w:rPr>
          <w:rFonts w:cs="Arial"/>
          <w:sz w:val="24"/>
          <w:szCs w:val="24"/>
        </w:rPr>
        <w:t xml:space="preserve">cranial </w:t>
      </w:r>
      <w:r w:rsidR="009920A3">
        <w:rPr>
          <w:rFonts w:cs="Arial"/>
          <w:sz w:val="24"/>
          <w:szCs w:val="24"/>
        </w:rPr>
        <w:t>lesions in such young infants</w:t>
      </w:r>
      <w:r w:rsidR="002A2EF5">
        <w:rPr>
          <w:rFonts w:cs="Arial"/>
          <w:sz w:val="24"/>
          <w:szCs w:val="24"/>
        </w:rPr>
        <w:t>, because rapid</w:t>
      </w:r>
      <w:r w:rsidR="00022197">
        <w:rPr>
          <w:rFonts w:cs="Arial"/>
          <w:sz w:val="24"/>
          <w:szCs w:val="24"/>
        </w:rPr>
        <w:t xml:space="preserve"> bone</w:t>
      </w:r>
      <w:r w:rsidR="002A2EF5">
        <w:rPr>
          <w:rFonts w:cs="Arial"/>
          <w:sz w:val="24"/>
          <w:szCs w:val="24"/>
        </w:rPr>
        <w:t xml:space="preserve"> growth </w:t>
      </w:r>
      <w:r w:rsidR="00022197">
        <w:rPr>
          <w:rFonts w:cs="Arial"/>
          <w:sz w:val="24"/>
          <w:szCs w:val="24"/>
        </w:rPr>
        <w:t>during</w:t>
      </w:r>
      <w:r w:rsidR="002A2EF5">
        <w:rPr>
          <w:rFonts w:cs="Arial"/>
          <w:sz w:val="24"/>
          <w:szCs w:val="24"/>
        </w:rPr>
        <w:t xml:space="preserve"> infancy may be mistaken for pathological lesions</w:t>
      </w:r>
      <w:r w:rsidR="00D468CE">
        <w:rPr>
          <w:rFonts w:cs="Arial"/>
          <w:sz w:val="24"/>
          <w:szCs w:val="24"/>
        </w:rPr>
        <w:t xml:space="preserve"> (Lewis 2007)</w:t>
      </w:r>
      <w:r w:rsidR="002A2EF5">
        <w:rPr>
          <w:rFonts w:cs="Arial"/>
          <w:sz w:val="24"/>
          <w:szCs w:val="24"/>
        </w:rPr>
        <w:t>.</w:t>
      </w:r>
      <w:r w:rsidR="000118CE">
        <w:rPr>
          <w:rStyle w:val="CommentReference"/>
        </w:rPr>
        <w:t xml:space="preserve"> </w:t>
      </w:r>
      <w:r w:rsidR="000118CE" w:rsidRPr="000118CE">
        <w:rPr>
          <w:rStyle w:val="CommentReference"/>
          <w:sz w:val="24"/>
          <w:szCs w:val="24"/>
        </w:rPr>
        <w:t>Pe</w:t>
      </w:r>
      <w:r w:rsidR="00D039BC">
        <w:rPr>
          <w:rFonts w:cs="Arial"/>
          <w:sz w:val="24"/>
          <w:szCs w:val="24"/>
        </w:rPr>
        <w:t xml:space="preserve">riosteal new bone formation </w:t>
      </w:r>
      <w:r w:rsidR="009920A3">
        <w:rPr>
          <w:rFonts w:cs="Arial"/>
          <w:sz w:val="24"/>
          <w:szCs w:val="24"/>
        </w:rPr>
        <w:t xml:space="preserve">(NBF) </w:t>
      </w:r>
      <w:r w:rsidR="00D039BC">
        <w:rPr>
          <w:rFonts w:cs="Arial"/>
          <w:sz w:val="24"/>
          <w:szCs w:val="24"/>
        </w:rPr>
        <w:t xml:space="preserve">was recorded </w:t>
      </w:r>
      <w:r w:rsidR="001D43EE">
        <w:rPr>
          <w:rFonts w:cs="Arial"/>
          <w:sz w:val="24"/>
          <w:szCs w:val="24"/>
        </w:rPr>
        <w:t xml:space="preserve">for all the major long </w:t>
      </w:r>
      <w:r w:rsidR="004E2F4E">
        <w:rPr>
          <w:rFonts w:cs="Arial"/>
          <w:sz w:val="24"/>
          <w:szCs w:val="24"/>
        </w:rPr>
        <w:t xml:space="preserve">bones </w:t>
      </w:r>
      <w:r w:rsidR="009920A3">
        <w:rPr>
          <w:rFonts w:cs="Arial"/>
          <w:sz w:val="24"/>
          <w:szCs w:val="24"/>
        </w:rPr>
        <w:t xml:space="preserve">and </w:t>
      </w:r>
      <w:r w:rsidR="00D039BC">
        <w:rPr>
          <w:rFonts w:cs="Arial"/>
          <w:sz w:val="24"/>
          <w:szCs w:val="24"/>
        </w:rPr>
        <w:t xml:space="preserve">was </w:t>
      </w:r>
      <w:r w:rsidR="00FF0585">
        <w:rPr>
          <w:rFonts w:cs="Arial"/>
          <w:sz w:val="24"/>
          <w:szCs w:val="24"/>
        </w:rPr>
        <w:t xml:space="preserve">much </w:t>
      </w:r>
      <w:r w:rsidR="00D039BC">
        <w:rPr>
          <w:rFonts w:cs="Arial"/>
          <w:sz w:val="24"/>
          <w:szCs w:val="24"/>
        </w:rPr>
        <w:t xml:space="preserve">more </w:t>
      </w:r>
      <w:r w:rsidR="009920A3">
        <w:rPr>
          <w:rFonts w:cs="Arial"/>
          <w:sz w:val="24"/>
          <w:szCs w:val="24"/>
        </w:rPr>
        <w:t>prevalent</w:t>
      </w:r>
      <w:r w:rsidR="00D039BC">
        <w:rPr>
          <w:rFonts w:cs="Arial"/>
          <w:sz w:val="24"/>
          <w:szCs w:val="24"/>
        </w:rPr>
        <w:t xml:space="preserve"> amongst the Coach Lane </w:t>
      </w:r>
      <w:r w:rsidR="009C5E87">
        <w:rPr>
          <w:rFonts w:cs="Arial"/>
          <w:sz w:val="24"/>
          <w:szCs w:val="24"/>
        </w:rPr>
        <w:t>population compared to Fewston</w:t>
      </w:r>
      <w:r w:rsidR="009920A3">
        <w:rPr>
          <w:rFonts w:cs="Arial"/>
          <w:sz w:val="24"/>
          <w:szCs w:val="24"/>
        </w:rPr>
        <w:t xml:space="preserve">. </w:t>
      </w:r>
      <w:r w:rsidR="009C5E87">
        <w:rPr>
          <w:rFonts w:cs="Arial"/>
          <w:sz w:val="24"/>
          <w:szCs w:val="24"/>
        </w:rPr>
        <w:t xml:space="preserve"> </w:t>
      </w:r>
      <w:r w:rsidR="00653A35">
        <w:rPr>
          <w:rFonts w:cs="Arial"/>
          <w:sz w:val="24"/>
          <w:szCs w:val="24"/>
        </w:rPr>
        <w:t xml:space="preserve">Periosteal new bone </w:t>
      </w:r>
      <w:r w:rsidR="00653A35">
        <w:rPr>
          <w:rFonts w:cs="Arial"/>
          <w:sz w:val="24"/>
          <w:szCs w:val="24"/>
        </w:rPr>
        <w:lastRenderedPageBreak/>
        <w:t>formation</w:t>
      </w:r>
      <w:r w:rsidR="009920A3">
        <w:rPr>
          <w:rFonts w:cs="Arial"/>
          <w:sz w:val="24"/>
          <w:szCs w:val="24"/>
        </w:rPr>
        <w:t xml:space="preserve"> </w:t>
      </w:r>
      <w:r w:rsidR="00FF0585">
        <w:rPr>
          <w:rFonts w:cs="Arial"/>
          <w:sz w:val="24"/>
          <w:szCs w:val="24"/>
        </w:rPr>
        <w:t xml:space="preserve">at this site </w:t>
      </w:r>
      <w:r w:rsidR="009920A3">
        <w:rPr>
          <w:rFonts w:cs="Arial"/>
          <w:sz w:val="24"/>
          <w:szCs w:val="24"/>
        </w:rPr>
        <w:t>was</w:t>
      </w:r>
      <w:r w:rsidR="009C5E87">
        <w:rPr>
          <w:rFonts w:cs="Arial"/>
          <w:sz w:val="24"/>
          <w:szCs w:val="24"/>
        </w:rPr>
        <w:t xml:space="preserve"> most frequently expressed in the tibiae</w:t>
      </w:r>
      <w:r w:rsidR="00FF0585">
        <w:rPr>
          <w:rFonts w:cs="Arial"/>
          <w:sz w:val="24"/>
          <w:szCs w:val="24"/>
        </w:rPr>
        <w:t xml:space="preserve"> (TPR =55%), whilst at Fewston the femur was more frequently affected (TPR = 22%)</w:t>
      </w:r>
      <w:r w:rsidR="00F1212C">
        <w:rPr>
          <w:rFonts w:cs="Arial"/>
          <w:sz w:val="24"/>
          <w:szCs w:val="24"/>
        </w:rPr>
        <w:t xml:space="preserve"> (</w:t>
      </w:r>
      <w:r w:rsidR="005420AB">
        <w:rPr>
          <w:rFonts w:cs="Arial"/>
          <w:sz w:val="24"/>
          <w:szCs w:val="24"/>
        </w:rPr>
        <w:t>Table 5</w:t>
      </w:r>
      <w:r w:rsidR="00F1212C">
        <w:rPr>
          <w:rFonts w:cs="Arial"/>
          <w:sz w:val="24"/>
          <w:szCs w:val="24"/>
        </w:rPr>
        <w:t>)</w:t>
      </w:r>
      <w:r w:rsidR="009C5E87">
        <w:rPr>
          <w:rFonts w:cs="Arial"/>
          <w:sz w:val="24"/>
          <w:szCs w:val="24"/>
        </w:rPr>
        <w:t>.</w:t>
      </w:r>
    </w:p>
    <w:p w14:paraId="21AE6583" w14:textId="77777777" w:rsidR="00C236DD" w:rsidRPr="00C236DD" w:rsidRDefault="00C236DD" w:rsidP="00453751">
      <w:pPr>
        <w:spacing w:line="480" w:lineRule="auto"/>
        <w:rPr>
          <w:rFonts w:cs="Arial"/>
          <w:sz w:val="24"/>
          <w:szCs w:val="24"/>
        </w:rPr>
      </w:pPr>
    </w:p>
    <w:p w14:paraId="36717A54" w14:textId="1D42D0D9" w:rsidR="00451C57" w:rsidRDefault="009C5E87" w:rsidP="00453751">
      <w:pPr>
        <w:spacing w:line="480" w:lineRule="auto"/>
        <w:rPr>
          <w:rFonts w:cs="Arial"/>
          <w:sz w:val="24"/>
          <w:szCs w:val="24"/>
        </w:rPr>
      </w:pPr>
      <w:r>
        <w:rPr>
          <w:rFonts w:cs="Arial"/>
          <w:sz w:val="24"/>
          <w:szCs w:val="24"/>
        </w:rPr>
        <w:t xml:space="preserve">In terms of specific diseases amongst the non-adults, there </w:t>
      </w:r>
      <w:r w:rsidR="00C96122">
        <w:rPr>
          <w:rFonts w:cs="Arial"/>
          <w:sz w:val="24"/>
          <w:szCs w:val="24"/>
        </w:rPr>
        <w:t>were</w:t>
      </w:r>
      <w:r>
        <w:rPr>
          <w:rFonts w:cs="Arial"/>
          <w:sz w:val="24"/>
          <w:szCs w:val="24"/>
        </w:rPr>
        <w:t xml:space="preserve"> </w:t>
      </w:r>
      <w:r w:rsidR="008E14A6">
        <w:rPr>
          <w:rFonts w:cs="Arial"/>
          <w:sz w:val="24"/>
          <w:szCs w:val="24"/>
        </w:rPr>
        <w:t>three</w:t>
      </w:r>
      <w:r>
        <w:rPr>
          <w:rFonts w:cs="Arial"/>
          <w:sz w:val="24"/>
          <w:szCs w:val="24"/>
        </w:rPr>
        <w:t xml:space="preserve"> </w:t>
      </w:r>
      <w:r w:rsidR="00C96122">
        <w:rPr>
          <w:rFonts w:cs="Arial"/>
          <w:sz w:val="24"/>
          <w:szCs w:val="24"/>
        </w:rPr>
        <w:t xml:space="preserve">individuals </w:t>
      </w:r>
      <w:r>
        <w:rPr>
          <w:rFonts w:cs="Arial"/>
          <w:sz w:val="24"/>
          <w:szCs w:val="24"/>
        </w:rPr>
        <w:t>o</w:t>
      </w:r>
      <w:r w:rsidR="00397F85">
        <w:rPr>
          <w:rFonts w:cs="Arial"/>
          <w:sz w:val="24"/>
          <w:szCs w:val="24"/>
        </w:rPr>
        <w:t xml:space="preserve">f particular note. The first </w:t>
      </w:r>
      <w:r w:rsidR="00D468CE">
        <w:rPr>
          <w:rFonts w:cs="Arial"/>
          <w:sz w:val="24"/>
          <w:szCs w:val="24"/>
        </w:rPr>
        <w:t>was</w:t>
      </w:r>
      <w:r w:rsidR="00C96122">
        <w:rPr>
          <w:rFonts w:cs="Arial"/>
          <w:sz w:val="24"/>
          <w:szCs w:val="24"/>
        </w:rPr>
        <w:t xml:space="preserve"> skeleton</w:t>
      </w:r>
      <w:r w:rsidR="00397F85">
        <w:rPr>
          <w:rFonts w:cs="Arial"/>
          <w:sz w:val="24"/>
          <w:szCs w:val="24"/>
        </w:rPr>
        <w:t xml:space="preserve"> 69</w:t>
      </w:r>
      <w:r w:rsidR="00C96122">
        <w:rPr>
          <w:rFonts w:cs="Arial"/>
          <w:sz w:val="24"/>
          <w:szCs w:val="24"/>
        </w:rPr>
        <w:t xml:space="preserve"> from</w:t>
      </w:r>
      <w:r>
        <w:rPr>
          <w:rFonts w:cs="Arial"/>
          <w:sz w:val="24"/>
          <w:szCs w:val="24"/>
        </w:rPr>
        <w:t xml:space="preserve"> Coach Lane</w:t>
      </w:r>
      <w:r w:rsidR="00C96122">
        <w:rPr>
          <w:rFonts w:cs="Arial"/>
          <w:sz w:val="24"/>
          <w:szCs w:val="24"/>
        </w:rPr>
        <w:t xml:space="preserve">, </w:t>
      </w:r>
      <w:r w:rsidR="00A10D1A">
        <w:rPr>
          <w:rFonts w:cs="Arial"/>
          <w:sz w:val="24"/>
          <w:szCs w:val="24"/>
        </w:rPr>
        <w:t>who had severe</w:t>
      </w:r>
      <w:r w:rsidR="00C96122">
        <w:rPr>
          <w:rFonts w:cs="Arial"/>
          <w:sz w:val="24"/>
          <w:szCs w:val="24"/>
        </w:rPr>
        <w:t xml:space="preserve"> os</w:t>
      </w:r>
      <w:r>
        <w:rPr>
          <w:rFonts w:cs="Arial"/>
          <w:sz w:val="24"/>
          <w:szCs w:val="24"/>
        </w:rPr>
        <w:t xml:space="preserve">teonecrosis of the </w:t>
      </w:r>
      <w:r w:rsidR="00A10D1A">
        <w:rPr>
          <w:rFonts w:cs="Arial"/>
          <w:sz w:val="24"/>
          <w:szCs w:val="24"/>
        </w:rPr>
        <w:t xml:space="preserve">mandible accompanied by </w:t>
      </w:r>
      <w:r w:rsidR="002D3B43">
        <w:rPr>
          <w:rFonts w:cs="Arial"/>
          <w:sz w:val="24"/>
          <w:szCs w:val="24"/>
        </w:rPr>
        <w:t xml:space="preserve">woven </w:t>
      </w:r>
      <w:r w:rsidR="00A10D1A">
        <w:rPr>
          <w:rFonts w:cs="Arial"/>
          <w:sz w:val="24"/>
          <w:szCs w:val="24"/>
        </w:rPr>
        <w:t xml:space="preserve">bone </w:t>
      </w:r>
      <w:r w:rsidR="00397F85">
        <w:rPr>
          <w:rFonts w:cs="Arial"/>
          <w:sz w:val="24"/>
          <w:szCs w:val="24"/>
        </w:rPr>
        <w:t>formatio</w:t>
      </w:r>
      <w:r w:rsidR="00A10D1A">
        <w:rPr>
          <w:rFonts w:cs="Arial"/>
          <w:sz w:val="24"/>
          <w:szCs w:val="24"/>
        </w:rPr>
        <w:t xml:space="preserve">n. This has been interpreted as likely due to </w:t>
      </w:r>
      <w:r>
        <w:rPr>
          <w:rFonts w:cs="Arial"/>
          <w:sz w:val="24"/>
          <w:szCs w:val="24"/>
        </w:rPr>
        <w:t xml:space="preserve">phosphorous poisoning, which was </w:t>
      </w:r>
      <w:r w:rsidR="00A10D1A">
        <w:rPr>
          <w:rFonts w:cs="Arial"/>
          <w:sz w:val="24"/>
          <w:szCs w:val="24"/>
        </w:rPr>
        <w:t xml:space="preserve">a notorious occupational condition </w:t>
      </w:r>
      <w:r w:rsidR="00C96122">
        <w:rPr>
          <w:rFonts w:cs="Arial"/>
          <w:sz w:val="24"/>
          <w:szCs w:val="24"/>
        </w:rPr>
        <w:t>associated with the</w:t>
      </w:r>
      <w:r>
        <w:rPr>
          <w:rFonts w:cs="Arial"/>
          <w:sz w:val="24"/>
          <w:szCs w:val="24"/>
        </w:rPr>
        <w:t xml:space="preserve"> match-making industry</w:t>
      </w:r>
      <w:r w:rsidR="00C96122">
        <w:rPr>
          <w:rFonts w:cs="Arial"/>
          <w:sz w:val="24"/>
          <w:szCs w:val="24"/>
        </w:rPr>
        <w:t xml:space="preserve"> at this time</w:t>
      </w:r>
      <w:r w:rsidR="00022197">
        <w:rPr>
          <w:rFonts w:cs="Arial"/>
          <w:sz w:val="24"/>
          <w:szCs w:val="24"/>
        </w:rPr>
        <w:t>. A detailed description of this individual was provided</w:t>
      </w:r>
      <w:r w:rsidR="000118CE">
        <w:rPr>
          <w:rFonts w:cs="Arial"/>
          <w:sz w:val="24"/>
          <w:szCs w:val="24"/>
        </w:rPr>
        <w:t xml:space="preserve"> by Roberts and colleagues (</w:t>
      </w:r>
      <w:r w:rsidR="00397F85">
        <w:rPr>
          <w:rFonts w:cs="Arial"/>
          <w:sz w:val="24"/>
          <w:szCs w:val="24"/>
        </w:rPr>
        <w:t>2016</w:t>
      </w:r>
      <w:r w:rsidR="00880F0F">
        <w:rPr>
          <w:rFonts w:cs="Arial"/>
          <w:sz w:val="24"/>
          <w:szCs w:val="24"/>
        </w:rPr>
        <w:t>)</w:t>
      </w:r>
      <w:r>
        <w:rPr>
          <w:rFonts w:cs="Arial"/>
          <w:sz w:val="24"/>
          <w:szCs w:val="24"/>
        </w:rPr>
        <w:t>.</w:t>
      </w:r>
      <w:r w:rsidR="00880F0F">
        <w:rPr>
          <w:rFonts w:cs="Arial"/>
          <w:sz w:val="24"/>
          <w:szCs w:val="24"/>
        </w:rPr>
        <w:t xml:space="preserve"> </w:t>
      </w:r>
    </w:p>
    <w:p w14:paraId="50B96D46" w14:textId="77777777" w:rsidR="002A1CA3" w:rsidRDefault="002A1CA3" w:rsidP="00453751">
      <w:pPr>
        <w:spacing w:line="480" w:lineRule="auto"/>
        <w:rPr>
          <w:rFonts w:cs="Arial"/>
          <w:sz w:val="24"/>
          <w:szCs w:val="24"/>
        </w:rPr>
      </w:pPr>
    </w:p>
    <w:p w14:paraId="11C1C4C7" w14:textId="7E2AB491" w:rsidR="00AC4F5E" w:rsidRDefault="00451C57" w:rsidP="00453751">
      <w:pPr>
        <w:spacing w:line="480" w:lineRule="auto"/>
        <w:rPr>
          <w:rFonts w:cs="Arial"/>
          <w:sz w:val="24"/>
          <w:szCs w:val="24"/>
          <w:lang w:val="en-US"/>
        </w:rPr>
      </w:pPr>
      <w:r w:rsidRPr="00451C57">
        <w:rPr>
          <w:rFonts w:cs="Arial"/>
          <w:sz w:val="24"/>
          <w:szCs w:val="24"/>
          <w:lang w:val="en-US"/>
        </w:rPr>
        <w:t xml:space="preserve">Skeleton 223 (14-15 year old) </w:t>
      </w:r>
      <w:r>
        <w:rPr>
          <w:rFonts w:cs="Arial"/>
          <w:sz w:val="24"/>
          <w:szCs w:val="24"/>
          <w:lang w:val="en-US"/>
        </w:rPr>
        <w:t xml:space="preserve">from Fewston </w:t>
      </w:r>
      <w:r w:rsidRPr="00451C57">
        <w:rPr>
          <w:rFonts w:cs="Arial"/>
          <w:sz w:val="24"/>
          <w:szCs w:val="24"/>
          <w:lang w:val="en-US"/>
        </w:rPr>
        <w:t xml:space="preserve">had multiple lytic lesions accompanied by new bone formation in the skull. </w:t>
      </w:r>
      <w:r>
        <w:rPr>
          <w:rFonts w:cs="Arial"/>
          <w:sz w:val="24"/>
          <w:szCs w:val="24"/>
          <w:lang w:val="en-US"/>
        </w:rPr>
        <w:t xml:space="preserve">Unfortunately, the skull of this individual was highly fragmented and only </w:t>
      </w:r>
      <w:r w:rsidR="00F808E9">
        <w:rPr>
          <w:rFonts w:cs="Arial"/>
          <w:sz w:val="24"/>
          <w:szCs w:val="24"/>
          <w:lang w:val="en-US"/>
        </w:rPr>
        <w:t>parts</w:t>
      </w:r>
      <w:r>
        <w:rPr>
          <w:rFonts w:cs="Arial"/>
          <w:sz w:val="24"/>
          <w:szCs w:val="24"/>
          <w:lang w:val="en-US"/>
        </w:rPr>
        <w:t xml:space="preserve"> of </w:t>
      </w:r>
      <w:r w:rsidR="00397F85">
        <w:rPr>
          <w:rFonts w:cs="Arial"/>
          <w:sz w:val="24"/>
          <w:szCs w:val="24"/>
          <w:lang w:val="en-US"/>
        </w:rPr>
        <w:t xml:space="preserve">the skull, </w:t>
      </w:r>
      <w:r>
        <w:rPr>
          <w:rFonts w:cs="Arial"/>
          <w:sz w:val="24"/>
          <w:szCs w:val="24"/>
          <w:lang w:val="en-US"/>
        </w:rPr>
        <w:t xml:space="preserve">vertebrae and upper ribs were </w:t>
      </w:r>
      <w:r w:rsidR="00397F85">
        <w:rPr>
          <w:rFonts w:cs="Arial"/>
          <w:sz w:val="24"/>
          <w:szCs w:val="24"/>
          <w:lang w:val="en-US"/>
        </w:rPr>
        <w:t>preserved</w:t>
      </w:r>
      <w:r>
        <w:rPr>
          <w:rFonts w:cs="Arial"/>
          <w:sz w:val="24"/>
          <w:szCs w:val="24"/>
          <w:lang w:val="en-US"/>
        </w:rPr>
        <w:t xml:space="preserve">. </w:t>
      </w:r>
      <w:r w:rsidRPr="00451C57">
        <w:rPr>
          <w:rFonts w:cs="Arial"/>
          <w:sz w:val="24"/>
          <w:szCs w:val="24"/>
          <w:lang w:val="en-US"/>
        </w:rPr>
        <w:t>Both orbit</w:t>
      </w:r>
      <w:r w:rsidR="00397F85">
        <w:rPr>
          <w:rFonts w:cs="Arial"/>
          <w:sz w:val="24"/>
          <w:szCs w:val="24"/>
          <w:lang w:val="en-US"/>
        </w:rPr>
        <w:t>al</w:t>
      </w:r>
      <w:r w:rsidRPr="00451C57">
        <w:rPr>
          <w:rFonts w:cs="Arial"/>
          <w:sz w:val="24"/>
          <w:szCs w:val="24"/>
          <w:lang w:val="en-US"/>
        </w:rPr>
        <w:t xml:space="preserve"> roofs had thick deposits of lamellar bone, with woven bone also present in the left orbit.  A circular </w:t>
      </w:r>
      <w:r w:rsidR="00397F85">
        <w:rPr>
          <w:rFonts w:cs="Arial"/>
          <w:sz w:val="24"/>
          <w:szCs w:val="24"/>
          <w:lang w:val="en-US"/>
        </w:rPr>
        <w:t xml:space="preserve">lytic lesion approximately </w:t>
      </w:r>
      <w:r w:rsidRPr="00451C57">
        <w:rPr>
          <w:rFonts w:cs="Arial"/>
          <w:sz w:val="24"/>
          <w:szCs w:val="24"/>
          <w:lang w:val="en-US"/>
        </w:rPr>
        <w:t>14mm in diameter</w:t>
      </w:r>
      <w:r w:rsidR="00397F85">
        <w:rPr>
          <w:rFonts w:cs="Arial"/>
          <w:sz w:val="24"/>
          <w:szCs w:val="24"/>
          <w:lang w:val="en-US"/>
        </w:rPr>
        <w:t xml:space="preserve">, with sharp clear margins, </w:t>
      </w:r>
      <w:r w:rsidRPr="00451C57">
        <w:rPr>
          <w:rFonts w:cs="Arial"/>
          <w:sz w:val="24"/>
          <w:szCs w:val="24"/>
          <w:lang w:val="en-US"/>
        </w:rPr>
        <w:t>had penetrated the thickness of the right orbital roof (</w:t>
      </w:r>
      <w:r w:rsidR="009C11D4">
        <w:rPr>
          <w:rFonts w:cs="Arial"/>
          <w:sz w:val="24"/>
          <w:szCs w:val="24"/>
          <w:lang w:val="en-US"/>
        </w:rPr>
        <w:t>Fig</w:t>
      </w:r>
      <w:r w:rsidR="00653A35">
        <w:rPr>
          <w:rFonts w:cs="Arial"/>
          <w:sz w:val="24"/>
          <w:szCs w:val="24"/>
          <w:lang w:val="en-US"/>
        </w:rPr>
        <w:t>.</w:t>
      </w:r>
      <w:r w:rsidR="00F808E9">
        <w:rPr>
          <w:rFonts w:cs="Arial"/>
          <w:sz w:val="24"/>
          <w:szCs w:val="24"/>
          <w:lang w:val="en-US"/>
        </w:rPr>
        <w:t xml:space="preserve"> </w:t>
      </w:r>
      <w:r w:rsidR="00C236DD">
        <w:rPr>
          <w:rFonts w:cs="Arial"/>
          <w:sz w:val="24"/>
          <w:szCs w:val="24"/>
          <w:lang w:val="en-US"/>
        </w:rPr>
        <w:t>6</w:t>
      </w:r>
      <w:r w:rsidR="00F808E9">
        <w:rPr>
          <w:rFonts w:cs="Arial"/>
          <w:sz w:val="24"/>
          <w:szCs w:val="24"/>
          <w:lang w:val="en-US"/>
        </w:rPr>
        <w:t>)</w:t>
      </w:r>
      <w:r w:rsidRPr="00451C57">
        <w:rPr>
          <w:rFonts w:cs="Arial"/>
          <w:sz w:val="24"/>
          <w:szCs w:val="24"/>
          <w:lang w:val="en-US"/>
        </w:rPr>
        <w:t xml:space="preserve">. </w:t>
      </w:r>
      <w:r>
        <w:rPr>
          <w:rFonts w:cs="Arial"/>
          <w:sz w:val="24"/>
          <w:szCs w:val="24"/>
          <w:lang w:val="en-US"/>
        </w:rPr>
        <w:t xml:space="preserve">Four further lytic lesions were present elsewhere on the cranium. </w:t>
      </w:r>
      <w:r w:rsidRPr="00451C57">
        <w:rPr>
          <w:rFonts w:cs="Arial"/>
          <w:sz w:val="24"/>
          <w:szCs w:val="24"/>
          <w:lang w:val="en-US"/>
        </w:rPr>
        <w:t>The surrounding external surface</w:t>
      </w:r>
      <w:r w:rsidR="00397F85">
        <w:rPr>
          <w:rFonts w:cs="Arial"/>
          <w:sz w:val="24"/>
          <w:szCs w:val="24"/>
          <w:lang w:val="en-US"/>
        </w:rPr>
        <w:t xml:space="preserve">s of these </w:t>
      </w:r>
      <w:r w:rsidR="00F808E9">
        <w:rPr>
          <w:rFonts w:cs="Arial"/>
          <w:sz w:val="24"/>
          <w:szCs w:val="24"/>
          <w:lang w:val="en-US"/>
        </w:rPr>
        <w:t>generally</w:t>
      </w:r>
      <w:r w:rsidRPr="00451C57">
        <w:rPr>
          <w:rFonts w:cs="Arial"/>
          <w:sz w:val="24"/>
          <w:szCs w:val="24"/>
          <w:lang w:val="en-US"/>
        </w:rPr>
        <w:t xml:space="preserve"> had scalloped roughened areas, with deposits of partially </w:t>
      </w:r>
      <w:r w:rsidR="00F808E9" w:rsidRPr="00451C57">
        <w:rPr>
          <w:rFonts w:cs="Arial"/>
          <w:sz w:val="24"/>
          <w:szCs w:val="24"/>
          <w:lang w:val="en-US"/>
        </w:rPr>
        <w:t>remodeled</w:t>
      </w:r>
      <w:r w:rsidRPr="00451C57">
        <w:rPr>
          <w:rFonts w:cs="Arial"/>
          <w:sz w:val="24"/>
          <w:szCs w:val="24"/>
          <w:lang w:val="en-US"/>
        </w:rPr>
        <w:t xml:space="preserve"> woven bone and lamellar bone (</w:t>
      </w:r>
      <w:r w:rsidR="009C11D4">
        <w:rPr>
          <w:rFonts w:cs="Arial"/>
          <w:sz w:val="24"/>
          <w:szCs w:val="24"/>
          <w:lang w:val="en-US"/>
        </w:rPr>
        <w:t>Fig</w:t>
      </w:r>
      <w:r w:rsidR="00653A35">
        <w:rPr>
          <w:rFonts w:cs="Arial"/>
          <w:sz w:val="24"/>
          <w:szCs w:val="24"/>
          <w:lang w:val="en-US"/>
        </w:rPr>
        <w:t>.</w:t>
      </w:r>
      <w:r w:rsidR="00C236DD">
        <w:rPr>
          <w:rFonts w:cs="Arial"/>
          <w:sz w:val="24"/>
          <w:szCs w:val="24"/>
          <w:lang w:val="en-US"/>
        </w:rPr>
        <w:t>7</w:t>
      </w:r>
      <w:r w:rsidR="00397F85">
        <w:rPr>
          <w:rFonts w:cs="Arial"/>
          <w:sz w:val="24"/>
          <w:szCs w:val="24"/>
          <w:lang w:val="en-US"/>
        </w:rPr>
        <w:t>).</w:t>
      </w:r>
      <w:r w:rsidRPr="00451C57">
        <w:rPr>
          <w:rFonts w:cs="Arial"/>
          <w:sz w:val="24"/>
          <w:szCs w:val="24"/>
          <w:lang w:val="en-US"/>
        </w:rPr>
        <w:t xml:space="preserve"> The body of the vomer was </w:t>
      </w:r>
      <w:r w:rsidR="00397F85">
        <w:rPr>
          <w:rFonts w:cs="Arial"/>
          <w:sz w:val="24"/>
          <w:szCs w:val="24"/>
          <w:lang w:val="en-US"/>
        </w:rPr>
        <w:t>enlarged</w:t>
      </w:r>
      <w:r w:rsidRPr="00451C57">
        <w:rPr>
          <w:rFonts w:cs="Arial"/>
          <w:sz w:val="24"/>
          <w:szCs w:val="24"/>
          <w:lang w:val="en-US"/>
        </w:rPr>
        <w:t xml:space="preserve"> and covered with </w:t>
      </w:r>
      <w:r w:rsidR="00397F85">
        <w:rPr>
          <w:rFonts w:cs="Arial"/>
          <w:sz w:val="24"/>
          <w:szCs w:val="24"/>
          <w:lang w:val="en-US"/>
        </w:rPr>
        <w:t>well-</w:t>
      </w:r>
      <w:r w:rsidR="00F808E9">
        <w:rPr>
          <w:rFonts w:cs="Arial"/>
          <w:sz w:val="24"/>
          <w:szCs w:val="24"/>
          <w:lang w:val="en-US"/>
        </w:rPr>
        <w:t>remodeled</w:t>
      </w:r>
      <w:r w:rsidR="00397F85">
        <w:rPr>
          <w:rFonts w:cs="Arial"/>
          <w:sz w:val="24"/>
          <w:szCs w:val="24"/>
          <w:lang w:val="en-US"/>
        </w:rPr>
        <w:t xml:space="preserve"> lamellar bone, with a </w:t>
      </w:r>
      <w:r w:rsidRPr="00451C57">
        <w:rPr>
          <w:rFonts w:cs="Arial"/>
          <w:sz w:val="24"/>
          <w:szCs w:val="24"/>
          <w:lang w:val="en-US"/>
        </w:rPr>
        <w:t xml:space="preserve">smooth circular depression in both lateral walls and the perpendicular plate was absent (apparently </w:t>
      </w:r>
      <w:r w:rsidR="00F808E9" w:rsidRPr="00451C57">
        <w:rPr>
          <w:rFonts w:cs="Arial"/>
          <w:sz w:val="24"/>
          <w:szCs w:val="24"/>
          <w:lang w:val="en-US"/>
        </w:rPr>
        <w:t>remodeled</w:t>
      </w:r>
      <w:r w:rsidRPr="00451C57">
        <w:rPr>
          <w:rFonts w:cs="Arial"/>
          <w:sz w:val="24"/>
          <w:szCs w:val="24"/>
          <w:lang w:val="en-US"/>
        </w:rPr>
        <w:t>).  A large shallow lytic lesion was present on the internal surface of the right mandibular ramus</w:t>
      </w:r>
      <w:r w:rsidR="00397F85">
        <w:rPr>
          <w:rFonts w:cs="Arial"/>
          <w:sz w:val="24"/>
          <w:szCs w:val="24"/>
          <w:lang w:val="en-US"/>
        </w:rPr>
        <w:t xml:space="preserve"> and the</w:t>
      </w:r>
      <w:r w:rsidRPr="00451C57">
        <w:rPr>
          <w:rFonts w:cs="Arial"/>
          <w:sz w:val="24"/>
          <w:szCs w:val="24"/>
          <w:lang w:val="en-US"/>
        </w:rPr>
        <w:t xml:space="preserve"> margins were</w:t>
      </w:r>
      <w:r w:rsidR="00397F85">
        <w:rPr>
          <w:rFonts w:cs="Arial"/>
          <w:sz w:val="24"/>
          <w:szCs w:val="24"/>
          <w:lang w:val="en-US"/>
        </w:rPr>
        <w:t xml:space="preserve"> again</w:t>
      </w:r>
      <w:r w:rsidRPr="00451C57">
        <w:rPr>
          <w:rFonts w:cs="Arial"/>
          <w:sz w:val="24"/>
          <w:szCs w:val="24"/>
          <w:lang w:val="en-US"/>
        </w:rPr>
        <w:t xml:space="preserve"> bounded by thick deposits of partially </w:t>
      </w:r>
      <w:r w:rsidR="00F808E9" w:rsidRPr="00451C57">
        <w:rPr>
          <w:rFonts w:cs="Arial"/>
          <w:sz w:val="24"/>
          <w:szCs w:val="24"/>
          <w:lang w:val="en-US"/>
        </w:rPr>
        <w:t>remodeled</w:t>
      </w:r>
      <w:r w:rsidRPr="00451C57">
        <w:rPr>
          <w:rFonts w:cs="Arial"/>
          <w:sz w:val="24"/>
          <w:szCs w:val="24"/>
          <w:lang w:val="en-US"/>
        </w:rPr>
        <w:t xml:space="preserve"> woven bone.  Deposits of lamellar bone extended along the </w:t>
      </w:r>
      <w:r w:rsidRPr="00451C57">
        <w:rPr>
          <w:rFonts w:cs="Arial"/>
          <w:sz w:val="24"/>
          <w:szCs w:val="24"/>
          <w:lang w:val="en-US"/>
        </w:rPr>
        <w:lastRenderedPageBreak/>
        <w:t xml:space="preserve">inferior surface of the right mandibular body and a plaque of lamellar bone was present on the external surface of the right ramus.  The axis had a lytic lesion </w:t>
      </w:r>
      <w:r w:rsidR="00397F85">
        <w:rPr>
          <w:rFonts w:cs="Arial"/>
          <w:sz w:val="24"/>
          <w:szCs w:val="24"/>
          <w:lang w:val="en-US"/>
        </w:rPr>
        <w:t>on</w:t>
      </w:r>
      <w:r w:rsidRPr="00451C57">
        <w:rPr>
          <w:rFonts w:cs="Arial"/>
          <w:sz w:val="24"/>
          <w:szCs w:val="24"/>
          <w:lang w:val="en-US"/>
        </w:rPr>
        <w:t xml:space="preserve"> the external surface of the left lamina surrounded by partially </w:t>
      </w:r>
      <w:r w:rsidR="00F808E9" w:rsidRPr="00451C57">
        <w:rPr>
          <w:rFonts w:cs="Arial"/>
          <w:sz w:val="24"/>
          <w:szCs w:val="24"/>
          <w:lang w:val="en-US"/>
        </w:rPr>
        <w:t>remodeled</w:t>
      </w:r>
      <w:r w:rsidRPr="00451C57">
        <w:rPr>
          <w:rFonts w:cs="Arial"/>
          <w:sz w:val="24"/>
          <w:szCs w:val="24"/>
          <w:lang w:val="en-US"/>
        </w:rPr>
        <w:t xml:space="preserve"> woven bone.  An upper right rib had a deposit of porous lamellar bone on the visceral surface of the neck.  None of the other rib </w:t>
      </w:r>
      <w:r w:rsidR="00397F85">
        <w:rPr>
          <w:rFonts w:cs="Arial"/>
          <w:sz w:val="24"/>
          <w:szCs w:val="24"/>
          <w:lang w:val="en-US"/>
        </w:rPr>
        <w:t xml:space="preserve">fragments had any evidence for </w:t>
      </w:r>
      <w:r w:rsidRPr="00451C57">
        <w:rPr>
          <w:rFonts w:cs="Arial"/>
          <w:sz w:val="24"/>
          <w:szCs w:val="24"/>
          <w:lang w:val="en-US"/>
        </w:rPr>
        <w:t xml:space="preserve">lesions, but few of the rib heads and necks survived.  </w:t>
      </w:r>
    </w:p>
    <w:p w14:paraId="089FCB86" w14:textId="2E48DFF7" w:rsidR="00451C57" w:rsidRDefault="00AC4F5E" w:rsidP="00453751">
      <w:pPr>
        <w:spacing w:line="480" w:lineRule="auto"/>
        <w:rPr>
          <w:rFonts w:cs="Arial"/>
          <w:sz w:val="24"/>
          <w:szCs w:val="24"/>
          <w:lang w:val="en-US"/>
        </w:rPr>
      </w:pPr>
      <w:r w:rsidRPr="00AC4F5E">
        <w:rPr>
          <w:rFonts w:cs="Arial"/>
          <w:sz w:val="24"/>
          <w:szCs w:val="24"/>
          <w:lang w:val="en-US"/>
        </w:rPr>
        <w:t xml:space="preserve">Tuberculosis </w:t>
      </w:r>
      <w:r w:rsidR="004E2F4E">
        <w:rPr>
          <w:rFonts w:cs="Arial"/>
          <w:sz w:val="24"/>
          <w:szCs w:val="24"/>
          <w:lang w:val="en-US"/>
        </w:rPr>
        <w:t>(TB) manifested in</w:t>
      </w:r>
      <w:r w:rsidR="00022197">
        <w:rPr>
          <w:rFonts w:cs="Arial"/>
          <w:sz w:val="24"/>
          <w:szCs w:val="24"/>
          <w:lang w:val="en-US"/>
        </w:rPr>
        <w:t xml:space="preserve"> the skull, whilst </w:t>
      </w:r>
      <w:r w:rsidRPr="00AC4F5E">
        <w:rPr>
          <w:rFonts w:cs="Arial"/>
          <w:sz w:val="24"/>
          <w:szCs w:val="24"/>
          <w:lang w:val="en-US"/>
        </w:rPr>
        <w:t>uncommon in adults, can occur more frequently in children (</w:t>
      </w:r>
      <w:r w:rsidR="00D468CE">
        <w:rPr>
          <w:rFonts w:cs="Arial"/>
          <w:sz w:val="24"/>
          <w:szCs w:val="24"/>
          <w:lang w:val="en-US"/>
        </w:rPr>
        <w:t xml:space="preserve">Dawson and Robson-Brown 2012; </w:t>
      </w:r>
      <w:r w:rsidRPr="00AC4F5E">
        <w:rPr>
          <w:rFonts w:cs="Arial"/>
          <w:sz w:val="24"/>
          <w:szCs w:val="24"/>
          <w:lang w:val="en-US"/>
        </w:rPr>
        <w:t>Ortner 2003</w:t>
      </w:r>
      <w:r w:rsidR="00653A35">
        <w:rPr>
          <w:rFonts w:cs="Arial"/>
          <w:sz w:val="24"/>
          <w:szCs w:val="24"/>
          <w:lang w:val="en-US"/>
        </w:rPr>
        <w:t>:</w:t>
      </w:r>
      <w:r w:rsidRPr="00AC4F5E">
        <w:rPr>
          <w:rFonts w:cs="Arial"/>
          <w:sz w:val="24"/>
          <w:szCs w:val="24"/>
          <w:lang w:val="en-US"/>
        </w:rPr>
        <w:t xml:space="preserve"> 247-248).  </w:t>
      </w:r>
      <w:r>
        <w:rPr>
          <w:rFonts w:cs="Arial"/>
          <w:sz w:val="24"/>
          <w:szCs w:val="24"/>
          <w:lang w:val="en-US"/>
        </w:rPr>
        <w:t xml:space="preserve">Multiple cranial lesions, </w:t>
      </w:r>
      <w:r w:rsidRPr="00AC4F5E">
        <w:rPr>
          <w:rFonts w:cs="Arial"/>
          <w:sz w:val="24"/>
          <w:szCs w:val="24"/>
          <w:lang w:val="en-US"/>
        </w:rPr>
        <w:t>usually circular, less than 20</w:t>
      </w:r>
      <w:r w:rsidR="00022197">
        <w:rPr>
          <w:rFonts w:cs="Arial"/>
          <w:sz w:val="24"/>
          <w:szCs w:val="24"/>
          <w:lang w:val="en-US"/>
        </w:rPr>
        <w:t xml:space="preserve"> </w:t>
      </w:r>
      <w:r w:rsidRPr="00AC4F5E">
        <w:rPr>
          <w:rFonts w:cs="Arial"/>
          <w:sz w:val="24"/>
          <w:szCs w:val="24"/>
          <w:lang w:val="en-US"/>
        </w:rPr>
        <w:t>mm in size</w:t>
      </w:r>
      <w:r>
        <w:rPr>
          <w:rFonts w:cs="Arial"/>
          <w:sz w:val="24"/>
          <w:szCs w:val="24"/>
          <w:lang w:val="en-US"/>
        </w:rPr>
        <w:t>,</w:t>
      </w:r>
      <w:r w:rsidRPr="00AC4F5E">
        <w:rPr>
          <w:rFonts w:cs="Arial"/>
          <w:sz w:val="24"/>
          <w:szCs w:val="24"/>
          <w:lang w:val="en-US"/>
        </w:rPr>
        <w:t xml:space="preserve"> </w:t>
      </w:r>
      <w:r>
        <w:rPr>
          <w:rFonts w:cs="Arial"/>
          <w:sz w:val="24"/>
          <w:szCs w:val="24"/>
          <w:lang w:val="en-US"/>
        </w:rPr>
        <w:t xml:space="preserve">which penetrate the </w:t>
      </w:r>
      <w:r w:rsidRPr="00AC4F5E">
        <w:rPr>
          <w:rFonts w:cs="Arial"/>
          <w:sz w:val="24"/>
          <w:szCs w:val="24"/>
          <w:lang w:val="en-US"/>
        </w:rPr>
        <w:t>thickness of the vault</w:t>
      </w:r>
      <w:r w:rsidR="00397F85">
        <w:rPr>
          <w:rFonts w:cs="Arial"/>
          <w:sz w:val="24"/>
          <w:szCs w:val="24"/>
          <w:lang w:val="en-US"/>
        </w:rPr>
        <w:t xml:space="preserve">, </w:t>
      </w:r>
      <w:r>
        <w:rPr>
          <w:rFonts w:cs="Arial"/>
          <w:sz w:val="24"/>
          <w:szCs w:val="24"/>
          <w:lang w:val="en-US"/>
        </w:rPr>
        <w:t>as observed here</w:t>
      </w:r>
      <w:r w:rsidR="00397F85">
        <w:rPr>
          <w:rFonts w:cs="Arial"/>
          <w:sz w:val="24"/>
          <w:szCs w:val="24"/>
          <w:lang w:val="en-US"/>
        </w:rPr>
        <w:t>,</w:t>
      </w:r>
      <w:r>
        <w:rPr>
          <w:rFonts w:cs="Arial"/>
          <w:sz w:val="24"/>
          <w:szCs w:val="24"/>
          <w:lang w:val="en-US"/>
        </w:rPr>
        <w:t xml:space="preserve"> are </w:t>
      </w:r>
      <w:r w:rsidR="00397F85">
        <w:rPr>
          <w:rFonts w:cs="Arial"/>
          <w:sz w:val="24"/>
          <w:szCs w:val="24"/>
          <w:lang w:val="en-US"/>
        </w:rPr>
        <w:t xml:space="preserve">all </w:t>
      </w:r>
      <w:r>
        <w:rPr>
          <w:rFonts w:cs="Arial"/>
          <w:sz w:val="24"/>
          <w:szCs w:val="24"/>
          <w:lang w:val="en-US"/>
        </w:rPr>
        <w:t xml:space="preserve">features of </w:t>
      </w:r>
      <w:r w:rsidR="00397F85">
        <w:rPr>
          <w:rFonts w:cs="Arial"/>
          <w:sz w:val="24"/>
          <w:szCs w:val="24"/>
          <w:lang w:val="en-US"/>
        </w:rPr>
        <w:t xml:space="preserve">childhood </w:t>
      </w:r>
      <w:r>
        <w:rPr>
          <w:rFonts w:cs="Arial"/>
          <w:sz w:val="24"/>
          <w:szCs w:val="24"/>
          <w:lang w:val="en-US"/>
        </w:rPr>
        <w:t>TB. W</w:t>
      </w:r>
      <w:r w:rsidRPr="00AC4F5E">
        <w:rPr>
          <w:rFonts w:cs="Arial"/>
          <w:sz w:val="24"/>
          <w:szCs w:val="24"/>
          <w:lang w:val="en-US"/>
        </w:rPr>
        <w:t>hile bone formation around the lesions is not typical, it can occur (</w:t>
      </w:r>
      <w:r w:rsidRPr="00AC4F5E">
        <w:rPr>
          <w:rFonts w:cs="Arial"/>
          <w:i/>
          <w:sz w:val="24"/>
          <w:szCs w:val="24"/>
          <w:lang w:val="en-US"/>
        </w:rPr>
        <w:t>ibid.</w:t>
      </w:r>
      <w:r w:rsidRPr="00AC4F5E">
        <w:rPr>
          <w:rFonts w:cs="Arial"/>
          <w:sz w:val="24"/>
          <w:szCs w:val="24"/>
          <w:lang w:val="en-US"/>
        </w:rPr>
        <w:t xml:space="preserve">). Chaudhary </w:t>
      </w:r>
      <w:r w:rsidRPr="00A6040F">
        <w:rPr>
          <w:rFonts w:cs="Arial"/>
          <w:sz w:val="24"/>
          <w:szCs w:val="24"/>
          <w:lang w:val="en-US"/>
        </w:rPr>
        <w:t>et al.</w:t>
      </w:r>
      <w:r w:rsidRPr="00AC4F5E">
        <w:rPr>
          <w:rFonts w:cs="Arial"/>
          <w:sz w:val="24"/>
          <w:szCs w:val="24"/>
          <w:lang w:val="en-US"/>
        </w:rPr>
        <w:t xml:space="preserve"> (2004) and Sheikh </w:t>
      </w:r>
      <w:r w:rsidRPr="00A6040F">
        <w:rPr>
          <w:rFonts w:cs="Arial"/>
          <w:sz w:val="24"/>
          <w:szCs w:val="24"/>
          <w:lang w:val="en-US"/>
        </w:rPr>
        <w:t>et al.</w:t>
      </w:r>
      <w:r w:rsidRPr="00AC4F5E">
        <w:rPr>
          <w:rFonts w:cs="Arial"/>
          <w:sz w:val="24"/>
          <w:szCs w:val="24"/>
          <w:lang w:val="en-US"/>
        </w:rPr>
        <w:t xml:space="preserve"> (2012) state that involvement of the jaw is more likely in older individuals (but can occur in children) and typically manifest as destructive lesions in the mandible</w:t>
      </w:r>
      <w:r>
        <w:rPr>
          <w:rFonts w:cs="Arial"/>
          <w:sz w:val="24"/>
          <w:szCs w:val="24"/>
          <w:lang w:val="en-US"/>
        </w:rPr>
        <w:t>, with potential involvement of the</w:t>
      </w:r>
      <w:r w:rsidRPr="00AC4F5E">
        <w:rPr>
          <w:rFonts w:cs="Arial"/>
          <w:sz w:val="24"/>
          <w:szCs w:val="24"/>
          <w:lang w:val="en-US"/>
        </w:rPr>
        <w:t xml:space="preserve"> temporo-mandibular joint.  Tuberculosis of the orbit is more common in children and is typically unilateral (Dalvin and Smith 2016)</w:t>
      </w:r>
      <w:r>
        <w:rPr>
          <w:rFonts w:cs="Arial"/>
          <w:sz w:val="24"/>
          <w:szCs w:val="24"/>
          <w:lang w:val="en-US"/>
        </w:rPr>
        <w:t>, as expressed here</w:t>
      </w:r>
      <w:r w:rsidRPr="00AC4F5E">
        <w:rPr>
          <w:rFonts w:cs="Arial"/>
          <w:sz w:val="24"/>
          <w:szCs w:val="24"/>
          <w:lang w:val="en-US"/>
        </w:rPr>
        <w:t>.  Blindness is a frequent complication of ocular tuberculosis (</w:t>
      </w:r>
      <w:r w:rsidRPr="00AC4F5E">
        <w:rPr>
          <w:rFonts w:cs="Arial"/>
          <w:i/>
          <w:sz w:val="24"/>
          <w:szCs w:val="24"/>
          <w:lang w:val="en-US"/>
        </w:rPr>
        <w:t>ibid</w:t>
      </w:r>
      <w:r w:rsidRPr="00AC4F5E">
        <w:rPr>
          <w:rFonts w:cs="Arial"/>
          <w:sz w:val="24"/>
          <w:szCs w:val="24"/>
          <w:lang w:val="en-US"/>
        </w:rPr>
        <w:t xml:space="preserve">.; Shameem </w:t>
      </w:r>
      <w:r w:rsidRPr="00A6040F">
        <w:rPr>
          <w:rFonts w:cs="Arial"/>
          <w:sz w:val="24"/>
          <w:szCs w:val="24"/>
          <w:lang w:val="en-US"/>
        </w:rPr>
        <w:t>et al</w:t>
      </w:r>
      <w:r w:rsidRPr="00AC4F5E">
        <w:rPr>
          <w:rFonts w:cs="Arial"/>
          <w:i/>
          <w:sz w:val="24"/>
          <w:szCs w:val="24"/>
          <w:lang w:val="en-US"/>
        </w:rPr>
        <w:t>.</w:t>
      </w:r>
      <w:r w:rsidRPr="00AC4F5E">
        <w:rPr>
          <w:rFonts w:cs="Arial"/>
          <w:sz w:val="24"/>
          <w:szCs w:val="24"/>
          <w:lang w:val="en-US"/>
        </w:rPr>
        <w:t xml:space="preserve"> 2009) </w:t>
      </w:r>
      <w:r>
        <w:rPr>
          <w:rFonts w:cs="Arial"/>
          <w:sz w:val="24"/>
          <w:szCs w:val="24"/>
          <w:lang w:val="en-US"/>
        </w:rPr>
        <w:t>and</w:t>
      </w:r>
      <w:r w:rsidR="00305B1E">
        <w:rPr>
          <w:rFonts w:cs="Arial"/>
          <w:sz w:val="24"/>
          <w:szCs w:val="24"/>
          <w:lang w:val="en-US"/>
        </w:rPr>
        <w:t>,</w:t>
      </w:r>
      <w:r>
        <w:rPr>
          <w:rFonts w:cs="Arial"/>
          <w:sz w:val="24"/>
          <w:szCs w:val="24"/>
          <w:lang w:val="en-US"/>
        </w:rPr>
        <w:t xml:space="preserve"> given the severity of the lesions</w:t>
      </w:r>
      <w:r w:rsidR="00305B1E">
        <w:rPr>
          <w:rFonts w:cs="Arial"/>
          <w:sz w:val="24"/>
          <w:szCs w:val="24"/>
          <w:lang w:val="en-US"/>
        </w:rPr>
        <w:t>,</w:t>
      </w:r>
      <w:r>
        <w:rPr>
          <w:rFonts w:cs="Arial"/>
          <w:sz w:val="24"/>
          <w:szCs w:val="24"/>
          <w:lang w:val="en-US"/>
        </w:rPr>
        <w:t xml:space="preserve"> it seems likely that</w:t>
      </w:r>
      <w:r w:rsidRPr="00AC4F5E">
        <w:rPr>
          <w:rFonts w:cs="Arial"/>
          <w:sz w:val="24"/>
          <w:szCs w:val="24"/>
          <w:lang w:val="en-US"/>
        </w:rPr>
        <w:t xml:space="preserve"> Skeleton 223 experienced a similar outcome.  Endocranial new bone formation and rib lesions have</w:t>
      </w:r>
      <w:r>
        <w:rPr>
          <w:rFonts w:cs="Arial"/>
          <w:sz w:val="24"/>
          <w:szCs w:val="24"/>
          <w:lang w:val="en-US"/>
        </w:rPr>
        <w:t xml:space="preserve"> also</w:t>
      </w:r>
      <w:r w:rsidRPr="00AC4F5E">
        <w:rPr>
          <w:rFonts w:cs="Arial"/>
          <w:sz w:val="24"/>
          <w:szCs w:val="24"/>
          <w:lang w:val="en-US"/>
        </w:rPr>
        <w:t xml:space="preserve"> both been associated with tuberculosis (Lewis </w:t>
      </w:r>
      <w:r w:rsidR="00D468CE">
        <w:rPr>
          <w:rFonts w:cs="Arial"/>
          <w:sz w:val="24"/>
          <w:szCs w:val="24"/>
          <w:lang w:val="en-US"/>
        </w:rPr>
        <w:t xml:space="preserve">2004, </w:t>
      </w:r>
      <w:r w:rsidRPr="00AC4F5E">
        <w:rPr>
          <w:rFonts w:cs="Arial"/>
          <w:sz w:val="24"/>
          <w:szCs w:val="24"/>
          <w:lang w:val="en-US"/>
        </w:rPr>
        <w:t xml:space="preserve">2007; </w:t>
      </w:r>
      <w:r w:rsidR="00D468CE" w:rsidRPr="00D468CE">
        <w:rPr>
          <w:rFonts w:cs="Arial"/>
          <w:sz w:val="24"/>
          <w:szCs w:val="24"/>
          <w:lang w:val="en-US"/>
        </w:rPr>
        <w:t>Matos and Santos 2006</w:t>
      </w:r>
      <w:r w:rsidR="00022197">
        <w:rPr>
          <w:rFonts w:cs="Arial"/>
          <w:sz w:val="24"/>
          <w:szCs w:val="24"/>
          <w:lang w:val="en-US"/>
        </w:rPr>
        <w:t xml:space="preserve">; </w:t>
      </w:r>
      <w:r w:rsidRPr="00AC4F5E">
        <w:rPr>
          <w:rFonts w:cs="Arial"/>
          <w:sz w:val="24"/>
          <w:szCs w:val="24"/>
          <w:lang w:val="en-US"/>
        </w:rPr>
        <w:t>Roberts and Manchester 2005, 190</w:t>
      </w:r>
      <w:r w:rsidR="00D468CE">
        <w:rPr>
          <w:rFonts w:cs="Arial"/>
          <w:sz w:val="24"/>
          <w:szCs w:val="24"/>
          <w:lang w:val="en-US"/>
        </w:rPr>
        <w:t>; Santos and Roberts 2001, 2006</w:t>
      </w:r>
      <w:r w:rsidRPr="00AC4F5E">
        <w:rPr>
          <w:rFonts w:cs="Arial"/>
          <w:sz w:val="24"/>
          <w:szCs w:val="24"/>
          <w:lang w:val="en-US"/>
        </w:rPr>
        <w:t>).</w:t>
      </w:r>
    </w:p>
    <w:p w14:paraId="74A1FBA8" w14:textId="77777777" w:rsidR="002A1CA3" w:rsidRPr="00451C57" w:rsidRDefault="002A1CA3" w:rsidP="00453751">
      <w:pPr>
        <w:spacing w:line="480" w:lineRule="auto"/>
        <w:rPr>
          <w:rFonts w:cs="Arial"/>
          <w:sz w:val="24"/>
          <w:szCs w:val="24"/>
          <w:lang w:val="en-US"/>
        </w:rPr>
      </w:pPr>
    </w:p>
    <w:p w14:paraId="6DB296D7" w14:textId="66CBE4EA" w:rsidR="00AC4F5E" w:rsidRDefault="00A10D1A" w:rsidP="00453751">
      <w:pPr>
        <w:spacing w:line="480" w:lineRule="auto"/>
        <w:rPr>
          <w:rFonts w:cs="Arial"/>
          <w:sz w:val="24"/>
          <w:szCs w:val="24"/>
        </w:rPr>
      </w:pPr>
      <w:r>
        <w:rPr>
          <w:rFonts w:cs="Arial"/>
          <w:sz w:val="24"/>
          <w:szCs w:val="24"/>
        </w:rPr>
        <w:t xml:space="preserve">Finally, </w:t>
      </w:r>
      <w:r w:rsidR="00397F85">
        <w:rPr>
          <w:rFonts w:cs="Arial"/>
          <w:sz w:val="24"/>
          <w:szCs w:val="24"/>
        </w:rPr>
        <w:t xml:space="preserve">the skeleton of a </w:t>
      </w:r>
      <w:r w:rsidR="00F2119E" w:rsidRPr="00F2119E">
        <w:rPr>
          <w:rFonts w:cs="Arial"/>
          <w:sz w:val="24"/>
          <w:szCs w:val="24"/>
        </w:rPr>
        <w:t>12-14 year old from Coach Lane (Skeleton 157)</w:t>
      </w:r>
      <w:r w:rsidR="00397F85">
        <w:rPr>
          <w:rFonts w:cs="Arial"/>
          <w:sz w:val="24"/>
          <w:szCs w:val="24"/>
        </w:rPr>
        <w:t xml:space="preserve"> exhibited di</w:t>
      </w:r>
      <w:r w:rsidR="00F808E9">
        <w:rPr>
          <w:rFonts w:cs="Arial"/>
          <w:sz w:val="24"/>
          <w:szCs w:val="24"/>
        </w:rPr>
        <w:t>r</w:t>
      </w:r>
      <w:r w:rsidR="00397F85">
        <w:rPr>
          <w:rFonts w:cs="Arial"/>
          <w:sz w:val="24"/>
          <w:szCs w:val="24"/>
        </w:rPr>
        <w:t xml:space="preserve">ect evidence of medical care in the form of </w:t>
      </w:r>
      <w:r w:rsidR="00F808E9">
        <w:rPr>
          <w:rFonts w:cs="Arial"/>
          <w:sz w:val="24"/>
          <w:szCs w:val="24"/>
        </w:rPr>
        <w:t>cranial surgery</w:t>
      </w:r>
      <w:r w:rsidR="00397F85">
        <w:rPr>
          <w:rFonts w:cs="Arial"/>
          <w:sz w:val="24"/>
          <w:szCs w:val="24"/>
        </w:rPr>
        <w:t xml:space="preserve"> in association with trauma. The individual had suffered a</w:t>
      </w:r>
      <w:r w:rsidR="00F2119E" w:rsidRPr="00F2119E">
        <w:rPr>
          <w:rFonts w:cs="Arial"/>
          <w:sz w:val="24"/>
          <w:szCs w:val="24"/>
        </w:rPr>
        <w:t xml:space="preserve"> peri-mortem blunt-force injury to the left frontal squama, located </w:t>
      </w:r>
      <w:r w:rsidR="00F2119E" w:rsidRPr="00F2119E">
        <w:rPr>
          <w:rFonts w:cs="Arial"/>
          <w:sz w:val="24"/>
          <w:szCs w:val="24"/>
        </w:rPr>
        <w:lastRenderedPageBreak/>
        <w:t>44</w:t>
      </w:r>
      <w:r w:rsidR="00D468CE">
        <w:rPr>
          <w:rFonts w:cs="Arial"/>
          <w:sz w:val="24"/>
          <w:szCs w:val="24"/>
        </w:rPr>
        <w:t xml:space="preserve"> </w:t>
      </w:r>
      <w:r w:rsidR="00F2119E" w:rsidRPr="00F2119E">
        <w:rPr>
          <w:rFonts w:cs="Arial"/>
          <w:sz w:val="24"/>
          <w:szCs w:val="24"/>
        </w:rPr>
        <w:t>mm superior to the left orbit rim and 20</w:t>
      </w:r>
      <w:r w:rsidR="00D468CE">
        <w:rPr>
          <w:rFonts w:cs="Arial"/>
          <w:sz w:val="24"/>
          <w:szCs w:val="24"/>
        </w:rPr>
        <w:t xml:space="preserve"> </w:t>
      </w:r>
      <w:r w:rsidR="00F2119E" w:rsidRPr="00F2119E">
        <w:rPr>
          <w:rFonts w:cs="Arial"/>
          <w:sz w:val="24"/>
          <w:szCs w:val="24"/>
        </w:rPr>
        <w:t>mm medial to the coronal suture</w:t>
      </w:r>
      <w:r w:rsidR="004E2F4E">
        <w:rPr>
          <w:rFonts w:cs="Arial"/>
          <w:sz w:val="24"/>
          <w:szCs w:val="24"/>
        </w:rPr>
        <w:t xml:space="preserve"> (Fig</w:t>
      </w:r>
      <w:r w:rsidR="00BE48B7">
        <w:rPr>
          <w:rFonts w:cs="Arial"/>
          <w:sz w:val="24"/>
          <w:szCs w:val="24"/>
        </w:rPr>
        <w:t>.</w:t>
      </w:r>
      <w:r w:rsidR="00397F85">
        <w:rPr>
          <w:rFonts w:cs="Arial"/>
          <w:sz w:val="24"/>
          <w:szCs w:val="24"/>
        </w:rPr>
        <w:t xml:space="preserve"> </w:t>
      </w:r>
      <w:r w:rsidR="00C236DD">
        <w:rPr>
          <w:rFonts w:cs="Arial"/>
          <w:sz w:val="24"/>
          <w:szCs w:val="24"/>
        </w:rPr>
        <w:t>8</w:t>
      </w:r>
      <w:r w:rsidR="00397F85">
        <w:rPr>
          <w:rFonts w:cs="Arial"/>
          <w:sz w:val="24"/>
          <w:szCs w:val="24"/>
        </w:rPr>
        <w:t>)</w:t>
      </w:r>
      <w:r w:rsidR="00F2119E" w:rsidRPr="00F2119E">
        <w:rPr>
          <w:rFonts w:cs="Arial"/>
          <w:sz w:val="24"/>
          <w:szCs w:val="24"/>
        </w:rPr>
        <w:t xml:space="preserve">.  On the </w:t>
      </w:r>
      <w:r w:rsidR="002B225D">
        <w:rPr>
          <w:rFonts w:cs="Arial"/>
          <w:sz w:val="24"/>
          <w:szCs w:val="24"/>
        </w:rPr>
        <w:t>ectocranial</w:t>
      </w:r>
      <w:r w:rsidR="00F2119E" w:rsidRPr="00F2119E">
        <w:rPr>
          <w:rFonts w:cs="Arial"/>
          <w:sz w:val="24"/>
          <w:szCs w:val="24"/>
        </w:rPr>
        <w:t xml:space="preserve"> surface a smoothly curved fracture line </w:t>
      </w:r>
      <w:r w:rsidR="00D468CE">
        <w:rPr>
          <w:rFonts w:cs="Arial"/>
          <w:sz w:val="24"/>
          <w:szCs w:val="24"/>
        </w:rPr>
        <w:t xml:space="preserve">extended </w:t>
      </w:r>
      <w:r w:rsidR="00F2119E" w:rsidRPr="00F2119E">
        <w:rPr>
          <w:rFonts w:cs="Arial"/>
          <w:sz w:val="24"/>
          <w:szCs w:val="24"/>
        </w:rPr>
        <w:t>superiorly and posteriorly, terminating in the coronal suture 45</w:t>
      </w:r>
      <w:r w:rsidR="00D468CE">
        <w:rPr>
          <w:rFonts w:cs="Arial"/>
          <w:sz w:val="24"/>
          <w:szCs w:val="24"/>
        </w:rPr>
        <w:t xml:space="preserve"> </w:t>
      </w:r>
      <w:r w:rsidR="00F2119E" w:rsidRPr="00F2119E">
        <w:rPr>
          <w:rFonts w:cs="Arial"/>
          <w:sz w:val="24"/>
          <w:szCs w:val="24"/>
        </w:rPr>
        <w:t xml:space="preserve">mm from </w:t>
      </w:r>
      <w:proofErr w:type="spellStart"/>
      <w:r w:rsidR="00F2119E" w:rsidRPr="00F2119E">
        <w:rPr>
          <w:rFonts w:cs="Arial"/>
          <w:sz w:val="24"/>
          <w:szCs w:val="24"/>
        </w:rPr>
        <w:t>bregma</w:t>
      </w:r>
      <w:proofErr w:type="spellEnd"/>
      <w:r w:rsidR="00F2119E" w:rsidRPr="00F2119E">
        <w:rPr>
          <w:rFonts w:cs="Arial"/>
          <w:sz w:val="24"/>
          <w:szCs w:val="24"/>
        </w:rPr>
        <w:t xml:space="preserve">.  The lateral segment was not detached, but displaced internally slightly at the inferior/ medial end.  At this inferior part, the fracture </w:t>
      </w:r>
      <w:r w:rsidR="00305B1E">
        <w:rPr>
          <w:rFonts w:cs="Arial"/>
          <w:sz w:val="24"/>
          <w:szCs w:val="24"/>
        </w:rPr>
        <w:t>extends</w:t>
      </w:r>
      <w:r w:rsidR="00F2119E" w:rsidRPr="00F2119E">
        <w:rPr>
          <w:rFonts w:cs="Arial"/>
          <w:sz w:val="24"/>
          <w:szCs w:val="24"/>
        </w:rPr>
        <w:t xml:space="preserve"> at an angle through the bone to the internal surface, where a fracture line extends superiorly for 13.6</w:t>
      </w:r>
      <w:r w:rsidR="00D468CE">
        <w:rPr>
          <w:rFonts w:cs="Arial"/>
          <w:sz w:val="24"/>
          <w:szCs w:val="24"/>
        </w:rPr>
        <w:t xml:space="preserve"> </w:t>
      </w:r>
      <w:r w:rsidR="00F2119E" w:rsidRPr="00F2119E">
        <w:rPr>
          <w:rFonts w:cs="Arial"/>
          <w:sz w:val="24"/>
          <w:szCs w:val="24"/>
        </w:rPr>
        <w:t>mm.  A second bevelled peri-mortem fracture line extends inferiorly and laterally to the temporal crest.  A neat circular peri-mortem trepanation is located in the left frontal squama 11.7</w:t>
      </w:r>
      <w:r w:rsidR="00022197">
        <w:rPr>
          <w:rFonts w:cs="Arial"/>
          <w:sz w:val="24"/>
          <w:szCs w:val="24"/>
        </w:rPr>
        <w:t xml:space="preserve"> </w:t>
      </w:r>
      <w:r w:rsidR="00F2119E" w:rsidRPr="00F2119E">
        <w:rPr>
          <w:rFonts w:cs="Arial"/>
          <w:sz w:val="24"/>
          <w:szCs w:val="24"/>
        </w:rPr>
        <w:t>mm medial to the curved fracture line, 5.2</w:t>
      </w:r>
      <w:r w:rsidR="00D468CE">
        <w:rPr>
          <w:rFonts w:cs="Arial"/>
          <w:sz w:val="24"/>
          <w:szCs w:val="24"/>
        </w:rPr>
        <w:t xml:space="preserve"> </w:t>
      </w:r>
      <w:r w:rsidR="00F2119E" w:rsidRPr="00F2119E">
        <w:rPr>
          <w:rFonts w:cs="Arial"/>
          <w:sz w:val="24"/>
          <w:szCs w:val="24"/>
        </w:rPr>
        <w:t>mm from the coronal suture and 12.8</w:t>
      </w:r>
      <w:r w:rsidR="00D468CE">
        <w:rPr>
          <w:rFonts w:cs="Arial"/>
          <w:sz w:val="24"/>
          <w:szCs w:val="24"/>
        </w:rPr>
        <w:t xml:space="preserve"> </w:t>
      </w:r>
      <w:r w:rsidR="00F2119E" w:rsidRPr="00F2119E">
        <w:rPr>
          <w:rFonts w:cs="Arial"/>
          <w:sz w:val="24"/>
          <w:szCs w:val="24"/>
        </w:rPr>
        <w:t>mm from the metopic suture.  The external diameter (16.7</w:t>
      </w:r>
      <w:r w:rsidR="00D468CE">
        <w:rPr>
          <w:rFonts w:cs="Arial"/>
          <w:sz w:val="24"/>
          <w:szCs w:val="24"/>
        </w:rPr>
        <w:t xml:space="preserve"> </w:t>
      </w:r>
      <w:r w:rsidR="00F2119E" w:rsidRPr="00F2119E">
        <w:rPr>
          <w:rFonts w:cs="Arial"/>
          <w:sz w:val="24"/>
          <w:szCs w:val="24"/>
        </w:rPr>
        <w:t>mm) is slightly larger than the internal diameter (14.1</w:t>
      </w:r>
      <w:r w:rsidR="00D468CE">
        <w:rPr>
          <w:rFonts w:cs="Arial"/>
          <w:sz w:val="24"/>
          <w:szCs w:val="24"/>
        </w:rPr>
        <w:t xml:space="preserve"> </w:t>
      </w:r>
      <w:r w:rsidR="00F2119E" w:rsidRPr="00F2119E">
        <w:rPr>
          <w:rFonts w:cs="Arial"/>
          <w:sz w:val="24"/>
          <w:szCs w:val="24"/>
        </w:rPr>
        <w:t>mm)</w:t>
      </w:r>
      <w:r w:rsidR="002B225D">
        <w:rPr>
          <w:rFonts w:cs="Arial"/>
          <w:sz w:val="24"/>
          <w:szCs w:val="24"/>
        </w:rPr>
        <w:t xml:space="preserve"> (Fig</w:t>
      </w:r>
      <w:r w:rsidR="00BE48B7">
        <w:rPr>
          <w:rFonts w:cs="Arial"/>
          <w:sz w:val="24"/>
          <w:szCs w:val="24"/>
        </w:rPr>
        <w:t>.</w:t>
      </w:r>
      <w:r w:rsidR="002B225D">
        <w:rPr>
          <w:rFonts w:cs="Arial"/>
          <w:sz w:val="24"/>
          <w:szCs w:val="24"/>
        </w:rPr>
        <w:t xml:space="preserve"> </w:t>
      </w:r>
      <w:r w:rsidR="00C236DD">
        <w:rPr>
          <w:rFonts w:cs="Arial"/>
          <w:sz w:val="24"/>
          <w:szCs w:val="24"/>
        </w:rPr>
        <w:t>8</w:t>
      </w:r>
      <w:r w:rsidR="002B225D">
        <w:rPr>
          <w:rFonts w:cs="Arial"/>
          <w:sz w:val="24"/>
          <w:szCs w:val="24"/>
        </w:rPr>
        <w:t>)</w:t>
      </w:r>
      <w:r w:rsidR="00F2119E" w:rsidRPr="00F2119E">
        <w:rPr>
          <w:rFonts w:cs="Arial"/>
          <w:sz w:val="24"/>
          <w:szCs w:val="24"/>
        </w:rPr>
        <w:t xml:space="preserve">.  While the external margins are slightly crushed, the internal margins are sharp, and the walls are smooth.  </w:t>
      </w:r>
      <w:r w:rsidR="00F808E9">
        <w:rPr>
          <w:rFonts w:cs="Arial"/>
          <w:sz w:val="24"/>
          <w:szCs w:val="24"/>
        </w:rPr>
        <w:t>This</w:t>
      </w:r>
      <w:r w:rsidR="00F2119E" w:rsidRPr="00F2119E">
        <w:rPr>
          <w:rFonts w:cs="Arial"/>
          <w:sz w:val="24"/>
          <w:szCs w:val="24"/>
        </w:rPr>
        <w:t xml:space="preserve"> represents an </w:t>
      </w:r>
      <w:r w:rsidR="00FB4AA9">
        <w:rPr>
          <w:rFonts w:cs="Arial"/>
          <w:sz w:val="24"/>
          <w:szCs w:val="24"/>
        </w:rPr>
        <w:t xml:space="preserve">unsuccessful </w:t>
      </w:r>
      <w:r w:rsidR="00F2119E" w:rsidRPr="00F2119E">
        <w:rPr>
          <w:rFonts w:cs="Arial"/>
          <w:sz w:val="24"/>
          <w:szCs w:val="24"/>
        </w:rPr>
        <w:t xml:space="preserve">attempt </w:t>
      </w:r>
      <w:r w:rsidR="00022197">
        <w:rPr>
          <w:rFonts w:cs="Arial"/>
          <w:sz w:val="24"/>
          <w:szCs w:val="24"/>
        </w:rPr>
        <w:t>to provide life-saving medical treatment in response to</w:t>
      </w:r>
      <w:r w:rsidR="00F2119E" w:rsidRPr="00F2119E">
        <w:rPr>
          <w:rFonts w:cs="Arial"/>
          <w:sz w:val="24"/>
          <w:szCs w:val="24"/>
        </w:rPr>
        <w:t xml:space="preserve"> the peri-mortem injury.</w:t>
      </w:r>
    </w:p>
    <w:p w14:paraId="68DF20EB" w14:textId="77777777" w:rsidR="00397F85" w:rsidRDefault="00397F85" w:rsidP="00453751">
      <w:pPr>
        <w:spacing w:line="480" w:lineRule="auto"/>
        <w:rPr>
          <w:rFonts w:cs="Arial"/>
          <w:sz w:val="24"/>
          <w:szCs w:val="24"/>
        </w:rPr>
      </w:pPr>
    </w:p>
    <w:p w14:paraId="130E76DA" w14:textId="77777777" w:rsidR="000C71C2" w:rsidRPr="00126647" w:rsidRDefault="002B590F" w:rsidP="00453751">
      <w:pPr>
        <w:spacing w:line="480" w:lineRule="auto"/>
        <w:rPr>
          <w:rFonts w:cs="Arial"/>
          <w:b/>
          <w:sz w:val="24"/>
          <w:szCs w:val="24"/>
          <w:lang w:val="en-US"/>
        </w:rPr>
      </w:pPr>
      <w:r w:rsidRPr="00126647">
        <w:rPr>
          <w:rFonts w:cs="Arial"/>
          <w:b/>
          <w:sz w:val="24"/>
          <w:szCs w:val="24"/>
          <w:lang w:val="en-US"/>
        </w:rPr>
        <w:t>Discussion</w:t>
      </w:r>
    </w:p>
    <w:p w14:paraId="7A866F15" w14:textId="65BCD0C8" w:rsidR="001216C2" w:rsidRDefault="00E67C52" w:rsidP="00453751">
      <w:pPr>
        <w:spacing w:line="480" w:lineRule="auto"/>
        <w:rPr>
          <w:rFonts w:cs="Arial"/>
          <w:sz w:val="24"/>
          <w:szCs w:val="24"/>
          <w:lang w:val="en-US"/>
        </w:rPr>
      </w:pPr>
      <w:r>
        <w:rPr>
          <w:rFonts w:cs="Arial"/>
          <w:sz w:val="24"/>
          <w:szCs w:val="24"/>
        </w:rPr>
        <w:t>The results</w:t>
      </w:r>
      <w:r w:rsidR="000672A1">
        <w:rPr>
          <w:rFonts w:cs="Arial"/>
          <w:sz w:val="24"/>
          <w:szCs w:val="24"/>
        </w:rPr>
        <w:t xml:space="preserve"> initially</w:t>
      </w:r>
      <w:r>
        <w:rPr>
          <w:rFonts w:cs="Arial"/>
          <w:sz w:val="24"/>
          <w:szCs w:val="24"/>
        </w:rPr>
        <w:t xml:space="preserve"> </w:t>
      </w:r>
      <w:r w:rsidR="00F2119E">
        <w:rPr>
          <w:rFonts w:cs="Arial"/>
          <w:sz w:val="24"/>
          <w:szCs w:val="24"/>
        </w:rPr>
        <w:t>appear</w:t>
      </w:r>
      <w:r w:rsidR="001B6084">
        <w:rPr>
          <w:rFonts w:cs="Arial"/>
          <w:sz w:val="24"/>
          <w:szCs w:val="24"/>
        </w:rPr>
        <w:t>ed</w:t>
      </w:r>
      <w:r w:rsidR="00F2119E">
        <w:rPr>
          <w:rFonts w:cs="Arial"/>
          <w:sz w:val="24"/>
          <w:szCs w:val="24"/>
        </w:rPr>
        <w:t xml:space="preserve"> to </w:t>
      </w:r>
      <w:r w:rsidR="001B6084">
        <w:rPr>
          <w:rFonts w:cs="Arial"/>
          <w:sz w:val="24"/>
          <w:szCs w:val="24"/>
        </w:rPr>
        <w:t xml:space="preserve">contradict </w:t>
      </w:r>
      <w:r w:rsidR="00F2119E">
        <w:rPr>
          <w:rFonts w:cs="Arial"/>
          <w:sz w:val="24"/>
          <w:szCs w:val="24"/>
        </w:rPr>
        <w:t xml:space="preserve">the </w:t>
      </w:r>
      <w:r w:rsidR="00444150">
        <w:rPr>
          <w:rFonts w:cs="Arial"/>
          <w:sz w:val="24"/>
          <w:szCs w:val="24"/>
        </w:rPr>
        <w:t>sentiments e</w:t>
      </w:r>
      <w:r w:rsidR="00265C30">
        <w:rPr>
          <w:rFonts w:cs="Arial"/>
          <w:sz w:val="24"/>
          <w:szCs w:val="24"/>
        </w:rPr>
        <w:t>spoused</w:t>
      </w:r>
      <w:r w:rsidR="00FB4AA9">
        <w:rPr>
          <w:rFonts w:cs="Arial"/>
          <w:sz w:val="24"/>
          <w:szCs w:val="24"/>
        </w:rPr>
        <w:t xml:space="preserve"> at the time- i.e.</w:t>
      </w:r>
      <w:r w:rsidR="000672A1">
        <w:rPr>
          <w:rFonts w:cs="Arial"/>
          <w:sz w:val="24"/>
          <w:szCs w:val="24"/>
        </w:rPr>
        <w:t xml:space="preserve"> that </w:t>
      </w:r>
      <w:r w:rsidR="00444150">
        <w:rPr>
          <w:rFonts w:cs="Arial"/>
          <w:sz w:val="24"/>
          <w:szCs w:val="24"/>
        </w:rPr>
        <w:t xml:space="preserve">urban </w:t>
      </w:r>
      <w:r w:rsidR="000672A1">
        <w:rPr>
          <w:rFonts w:cs="Arial"/>
          <w:sz w:val="24"/>
          <w:szCs w:val="24"/>
        </w:rPr>
        <w:t>environments were much more</w:t>
      </w:r>
      <w:r w:rsidR="00444150">
        <w:rPr>
          <w:rFonts w:cs="Arial"/>
          <w:sz w:val="24"/>
          <w:szCs w:val="24"/>
        </w:rPr>
        <w:t xml:space="preserve"> damaging to</w:t>
      </w:r>
      <w:r w:rsidR="00F9312E">
        <w:rPr>
          <w:rFonts w:cs="Arial"/>
          <w:sz w:val="24"/>
          <w:szCs w:val="24"/>
        </w:rPr>
        <w:t xml:space="preserve"> childhood</w:t>
      </w:r>
      <w:r w:rsidR="00444150">
        <w:rPr>
          <w:rFonts w:cs="Arial"/>
          <w:sz w:val="24"/>
          <w:szCs w:val="24"/>
        </w:rPr>
        <w:t xml:space="preserve"> health than</w:t>
      </w:r>
      <w:r w:rsidR="00F9312E">
        <w:rPr>
          <w:rFonts w:cs="Arial"/>
          <w:sz w:val="24"/>
          <w:szCs w:val="24"/>
        </w:rPr>
        <w:t xml:space="preserve"> a rural upbringing</w:t>
      </w:r>
      <w:r w:rsidR="00444150">
        <w:rPr>
          <w:rFonts w:cs="Arial"/>
          <w:sz w:val="24"/>
          <w:szCs w:val="24"/>
        </w:rPr>
        <w:t>.</w:t>
      </w:r>
      <w:r>
        <w:rPr>
          <w:rFonts w:cs="Arial"/>
          <w:sz w:val="24"/>
          <w:szCs w:val="24"/>
        </w:rPr>
        <w:t xml:space="preserve"> </w:t>
      </w:r>
      <w:r w:rsidR="000672A1">
        <w:rPr>
          <w:rFonts w:cs="Arial"/>
          <w:sz w:val="24"/>
          <w:szCs w:val="24"/>
        </w:rPr>
        <w:t xml:space="preserve">Skeletal remains from both places show very high levels of metabolic disease and other non-specific indicators of </w:t>
      </w:r>
      <w:r w:rsidR="00F808E9">
        <w:rPr>
          <w:rFonts w:cs="Arial"/>
          <w:sz w:val="24"/>
          <w:szCs w:val="24"/>
        </w:rPr>
        <w:t>physiological disruption</w:t>
      </w:r>
      <w:r w:rsidR="000672A1">
        <w:rPr>
          <w:rFonts w:cs="Arial"/>
          <w:sz w:val="24"/>
          <w:szCs w:val="24"/>
        </w:rPr>
        <w:t xml:space="preserve">. </w:t>
      </w:r>
      <w:r w:rsidR="00B12870">
        <w:rPr>
          <w:rFonts w:cs="Arial"/>
          <w:sz w:val="24"/>
          <w:szCs w:val="24"/>
        </w:rPr>
        <w:t xml:space="preserve"> The high</w:t>
      </w:r>
      <w:r w:rsidR="008065B9">
        <w:rPr>
          <w:rFonts w:cs="Arial"/>
          <w:sz w:val="24"/>
          <w:szCs w:val="24"/>
        </w:rPr>
        <w:t>er</w:t>
      </w:r>
      <w:r w:rsidR="00B12870">
        <w:rPr>
          <w:rFonts w:cs="Arial"/>
          <w:sz w:val="24"/>
          <w:szCs w:val="24"/>
        </w:rPr>
        <w:t xml:space="preserve"> </w:t>
      </w:r>
      <w:r w:rsidR="00F9312E">
        <w:rPr>
          <w:rFonts w:cs="Arial"/>
          <w:sz w:val="24"/>
          <w:szCs w:val="24"/>
        </w:rPr>
        <w:t xml:space="preserve">prevalence </w:t>
      </w:r>
      <w:r w:rsidR="00FB4AA9">
        <w:rPr>
          <w:rFonts w:cs="Arial"/>
          <w:sz w:val="24"/>
          <w:szCs w:val="24"/>
        </w:rPr>
        <w:t xml:space="preserve">of many of </w:t>
      </w:r>
      <w:r w:rsidR="008065B9">
        <w:rPr>
          <w:rFonts w:cs="Arial"/>
          <w:sz w:val="24"/>
          <w:szCs w:val="24"/>
        </w:rPr>
        <w:t xml:space="preserve">the pathological conditions, together with </w:t>
      </w:r>
      <w:r w:rsidR="00FB4AA9">
        <w:rPr>
          <w:rFonts w:cs="Arial"/>
          <w:sz w:val="24"/>
          <w:szCs w:val="24"/>
        </w:rPr>
        <w:t>poor</w:t>
      </w:r>
      <w:r w:rsidR="008065B9">
        <w:rPr>
          <w:rFonts w:cs="Arial"/>
          <w:sz w:val="24"/>
          <w:szCs w:val="24"/>
        </w:rPr>
        <w:t>er</w:t>
      </w:r>
      <w:r w:rsidR="00FB4AA9">
        <w:rPr>
          <w:rFonts w:cs="Arial"/>
          <w:sz w:val="24"/>
          <w:szCs w:val="24"/>
        </w:rPr>
        <w:t xml:space="preserve"> growth</w:t>
      </w:r>
      <w:r w:rsidR="00022197">
        <w:rPr>
          <w:rFonts w:cs="Arial"/>
          <w:sz w:val="24"/>
          <w:szCs w:val="24"/>
        </w:rPr>
        <w:t>,</w:t>
      </w:r>
      <w:r w:rsidR="00FB4AA9">
        <w:rPr>
          <w:rFonts w:cs="Arial"/>
          <w:sz w:val="24"/>
          <w:szCs w:val="24"/>
        </w:rPr>
        <w:t xml:space="preserve"> </w:t>
      </w:r>
      <w:r w:rsidR="008065B9">
        <w:rPr>
          <w:rFonts w:cs="Arial"/>
          <w:sz w:val="24"/>
          <w:szCs w:val="24"/>
        </w:rPr>
        <w:t>amongst</w:t>
      </w:r>
      <w:r w:rsidR="00A6040F">
        <w:rPr>
          <w:rFonts w:cs="Arial"/>
          <w:sz w:val="24"/>
          <w:szCs w:val="24"/>
        </w:rPr>
        <w:t xml:space="preserve"> some of</w:t>
      </w:r>
      <w:r w:rsidR="008065B9">
        <w:rPr>
          <w:rFonts w:cs="Arial"/>
          <w:sz w:val="24"/>
          <w:szCs w:val="24"/>
        </w:rPr>
        <w:t xml:space="preserve"> the children from </w:t>
      </w:r>
      <w:r w:rsidR="000672A1">
        <w:rPr>
          <w:rFonts w:cs="Arial"/>
          <w:sz w:val="24"/>
          <w:szCs w:val="24"/>
        </w:rPr>
        <w:t>Fewston</w:t>
      </w:r>
      <w:r w:rsidR="008065B9">
        <w:rPr>
          <w:rFonts w:cs="Arial"/>
          <w:sz w:val="24"/>
          <w:szCs w:val="24"/>
        </w:rPr>
        <w:t xml:space="preserve"> compared with Coach Lane was </w:t>
      </w:r>
      <w:r w:rsidR="00AC4F5E">
        <w:rPr>
          <w:rFonts w:cs="Arial"/>
          <w:sz w:val="24"/>
          <w:szCs w:val="24"/>
        </w:rPr>
        <w:t>contrary to expectations</w:t>
      </w:r>
      <w:r w:rsidR="00A6040F">
        <w:rPr>
          <w:rFonts w:cs="Arial"/>
          <w:sz w:val="24"/>
          <w:szCs w:val="24"/>
        </w:rPr>
        <w:t xml:space="preserve"> and historical records</w:t>
      </w:r>
      <w:r w:rsidR="000672A1">
        <w:rPr>
          <w:rFonts w:cs="Arial"/>
          <w:sz w:val="24"/>
          <w:szCs w:val="24"/>
        </w:rPr>
        <w:t xml:space="preserve">. </w:t>
      </w:r>
      <w:r w:rsidR="00F9312E">
        <w:rPr>
          <w:rFonts w:cs="Arial"/>
          <w:sz w:val="24"/>
          <w:szCs w:val="24"/>
        </w:rPr>
        <w:t xml:space="preserve">Two questions arise from these results: why </w:t>
      </w:r>
      <w:r w:rsidR="00F9312E">
        <w:rPr>
          <w:rFonts w:cs="Arial"/>
          <w:sz w:val="24"/>
          <w:szCs w:val="24"/>
          <w:lang w:val="en-US"/>
        </w:rPr>
        <w:t>did</w:t>
      </w:r>
      <w:r w:rsidR="00F9312E" w:rsidRPr="00F9312E">
        <w:rPr>
          <w:rFonts w:cs="Arial"/>
          <w:sz w:val="24"/>
          <w:szCs w:val="24"/>
          <w:lang w:val="en-US"/>
        </w:rPr>
        <w:t xml:space="preserve"> the children at Fewston </w:t>
      </w:r>
      <w:r w:rsidR="00F9312E">
        <w:rPr>
          <w:rFonts w:cs="Arial"/>
          <w:sz w:val="24"/>
          <w:szCs w:val="24"/>
          <w:lang w:val="en-US"/>
        </w:rPr>
        <w:t>suffer so much chronic health stress and</w:t>
      </w:r>
      <w:r w:rsidR="00F9312E" w:rsidRPr="00F9312E">
        <w:rPr>
          <w:rFonts w:cs="Arial"/>
          <w:sz w:val="24"/>
          <w:szCs w:val="24"/>
          <w:lang w:val="en-US"/>
        </w:rPr>
        <w:t xml:space="preserve"> why were there so many adolescents</w:t>
      </w:r>
      <w:r w:rsidR="00B12870">
        <w:rPr>
          <w:rFonts w:cs="Arial"/>
          <w:sz w:val="24"/>
          <w:szCs w:val="24"/>
          <w:lang w:val="en-US"/>
        </w:rPr>
        <w:t xml:space="preserve"> at this site</w:t>
      </w:r>
      <w:r w:rsidR="00F9312E" w:rsidRPr="00F9312E">
        <w:rPr>
          <w:rFonts w:cs="Arial"/>
          <w:sz w:val="24"/>
          <w:szCs w:val="24"/>
          <w:lang w:val="en-US"/>
        </w:rPr>
        <w:t xml:space="preserve">? </w:t>
      </w:r>
      <w:r w:rsidR="001216C2" w:rsidRPr="001216C2">
        <w:rPr>
          <w:rFonts w:cs="Arial"/>
          <w:sz w:val="24"/>
          <w:szCs w:val="24"/>
          <w:lang w:val="en-US"/>
        </w:rPr>
        <w:t xml:space="preserve">Usually, </w:t>
      </w:r>
      <w:r w:rsidR="001216C2" w:rsidRPr="001216C2">
        <w:rPr>
          <w:rFonts w:cs="Arial"/>
          <w:sz w:val="24"/>
          <w:szCs w:val="24"/>
          <w:lang w:val="en-US"/>
        </w:rPr>
        <w:lastRenderedPageBreak/>
        <w:t xml:space="preserve">the adolescent age category is one of the least well-represented </w:t>
      </w:r>
      <w:r w:rsidR="00FB4AA9">
        <w:rPr>
          <w:rFonts w:cs="Arial"/>
          <w:sz w:val="24"/>
          <w:szCs w:val="24"/>
          <w:lang w:val="en-US"/>
        </w:rPr>
        <w:t>within</w:t>
      </w:r>
      <w:r w:rsidR="001216C2" w:rsidRPr="001216C2">
        <w:rPr>
          <w:rFonts w:cs="Arial"/>
          <w:sz w:val="24"/>
          <w:szCs w:val="24"/>
          <w:lang w:val="en-US"/>
        </w:rPr>
        <w:t xml:space="preserve"> archaeological cemetery populations (as observed at Coach Lane); a factor lamented in recent studies of puberty in the past (</w:t>
      </w:r>
      <w:r w:rsidR="00D468CE">
        <w:rPr>
          <w:rFonts w:cs="Arial"/>
          <w:sz w:val="24"/>
          <w:szCs w:val="24"/>
          <w:lang w:val="en-US"/>
        </w:rPr>
        <w:t>Arthur et al.</w:t>
      </w:r>
      <w:r w:rsidR="00D468CE" w:rsidRPr="001216C2">
        <w:rPr>
          <w:rFonts w:cs="Arial"/>
          <w:sz w:val="24"/>
          <w:szCs w:val="24"/>
          <w:lang w:val="en-US"/>
        </w:rPr>
        <w:t xml:space="preserve"> 201</w:t>
      </w:r>
      <w:r w:rsidR="00D468CE">
        <w:rPr>
          <w:rFonts w:cs="Arial"/>
          <w:sz w:val="24"/>
          <w:szCs w:val="24"/>
          <w:lang w:val="en-US"/>
        </w:rPr>
        <w:t>6;</w:t>
      </w:r>
      <w:r w:rsidR="00D468CE" w:rsidRPr="00D468CE">
        <w:rPr>
          <w:rFonts w:cs="Arial"/>
          <w:sz w:val="24"/>
          <w:szCs w:val="24"/>
          <w:lang w:val="en-US"/>
        </w:rPr>
        <w:t xml:space="preserve"> Lewis 2016</w:t>
      </w:r>
      <w:r w:rsidR="00D468CE">
        <w:rPr>
          <w:rFonts w:cs="Arial"/>
          <w:sz w:val="24"/>
          <w:szCs w:val="24"/>
          <w:lang w:val="en-US"/>
        </w:rPr>
        <w:t xml:space="preserve">; </w:t>
      </w:r>
      <w:proofErr w:type="spellStart"/>
      <w:r w:rsidR="001216C2" w:rsidRPr="001216C2">
        <w:rPr>
          <w:rFonts w:cs="Arial"/>
          <w:sz w:val="24"/>
          <w:szCs w:val="24"/>
          <w:lang w:val="en-US"/>
        </w:rPr>
        <w:t>Shaplan</w:t>
      </w:r>
      <w:r w:rsidR="00D468CE">
        <w:rPr>
          <w:rFonts w:cs="Arial"/>
          <w:sz w:val="24"/>
          <w:szCs w:val="24"/>
          <w:lang w:val="en-US"/>
        </w:rPr>
        <w:t>d</w:t>
      </w:r>
      <w:proofErr w:type="spellEnd"/>
      <w:r w:rsidR="00D468CE">
        <w:rPr>
          <w:rFonts w:cs="Arial"/>
          <w:sz w:val="24"/>
          <w:szCs w:val="24"/>
          <w:lang w:val="en-US"/>
        </w:rPr>
        <w:t xml:space="preserve"> and Lewis 2013</w:t>
      </w:r>
      <w:r w:rsidR="001216C2" w:rsidRPr="001216C2">
        <w:rPr>
          <w:rFonts w:cs="Arial"/>
          <w:sz w:val="24"/>
          <w:szCs w:val="24"/>
          <w:lang w:val="en-US"/>
        </w:rPr>
        <w:t xml:space="preserve">). </w:t>
      </w:r>
    </w:p>
    <w:p w14:paraId="05404516" w14:textId="77777777" w:rsidR="002A1CA3" w:rsidRPr="00B12870" w:rsidRDefault="002A1CA3" w:rsidP="00453751">
      <w:pPr>
        <w:spacing w:line="480" w:lineRule="auto"/>
        <w:rPr>
          <w:rFonts w:cs="Arial"/>
          <w:sz w:val="24"/>
          <w:szCs w:val="24"/>
        </w:rPr>
      </w:pPr>
    </w:p>
    <w:p w14:paraId="4DB6D380" w14:textId="018DCFE3" w:rsidR="006D3674" w:rsidRDefault="008065B9" w:rsidP="00453751">
      <w:pPr>
        <w:spacing w:line="480" w:lineRule="auto"/>
        <w:rPr>
          <w:rFonts w:cs="Arial"/>
          <w:sz w:val="24"/>
          <w:szCs w:val="24"/>
          <w:lang w:val="en-US"/>
        </w:rPr>
      </w:pPr>
      <w:r>
        <w:rPr>
          <w:rFonts w:cs="Arial"/>
          <w:sz w:val="24"/>
          <w:szCs w:val="24"/>
          <w:lang w:val="en-US"/>
        </w:rPr>
        <w:t xml:space="preserve">A direct interpretation of </w:t>
      </w:r>
      <w:r w:rsidR="00F9312E">
        <w:rPr>
          <w:rFonts w:cs="Arial"/>
          <w:sz w:val="24"/>
          <w:szCs w:val="24"/>
          <w:lang w:val="en-US"/>
        </w:rPr>
        <w:t xml:space="preserve">this skeletal evidence </w:t>
      </w:r>
      <w:r>
        <w:rPr>
          <w:rFonts w:cs="Arial"/>
          <w:sz w:val="24"/>
          <w:szCs w:val="24"/>
          <w:lang w:val="en-US"/>
        </w:rPr>
        <w:t>wou</w:t>
      </w:r>
      <w:r w:rsidR="00AC4F5E">
        <w:rPr>
          <w:rFonts w:cs="Arial"/>
          <w:sz w:val="24"/>
          <w:szCs w:val="24"/>
          <w:lang w:val="en-US"/>
        </w:rPr>
        <w:t xml:space="preserve">ld lead to the conclusion that </w:t>
      </w:r>
      <w:r>
        <w:rPr>
          <w:rFonts w:cs="Arial"/>
          <w:sz w:val="24"/>
          <w:szCs w:val="24"/>
          <w:lang w:val="en-US"/>
        </w:rPr>
        <w:t>the</w:t>
      </w:r>
      <w:r w:rsidR="00F9312E">
        <w:rPr>
          <w:rFonts w:cs="Arial"/>
          <w:sz w:val="24"/>
          <w:szCs w:val="24"/>
          <w:lang w:val="en-US"/>
        </w:rPr>
        <w:t xml:space="preserve"> rural</w:t>
      </w:r>
      <w:r w:rsidR="00F9312E" w:rsidRPr="00F9312E">
        <w:rPr>
          <w:rFonts w:cs="Arial"/>
          <w:sz w:val="24"/>
          <w:szCs w:val="24"/>
          <w:lang w:val="en-US"/>
        </w:rPr>
        <w:t xml:space="preserve"> environment was </w:t>
      </w:r>
      <w:r w:rsidR="00D468CE">
        <w:rPr>
          <w:rFonts w:cs="Arial"/>
          <w:sz w:val="24"/>
          <w:szCs w:val="24"/>
          <w:lang w:val="en-US"/>
        </w:rPr>
        <w:t>at least as</w:t>
      </w:r>
      <w:r w:rsidR="00AC4F5E">
        <w:rPr>
          <w:rFonts w:cs="Arial"/>
          <w:sz w:val="24"/>
          <w:szCs w:val="24"/>
          <w:lang w:val="en-US"/>
        </w:rPr>
        <w:t xml:space="preserve"> </w:t>
      </w:r>
      <w:r w:rsidR="00397F85">
        <w:rPr>
          <w:rFonts w:cs="Arial"/>
          <w:sz w:val="24"/>
          <w:szCs w:val="24"/>
          <w:lang w:val="en-US"/>
        </w:rPr>
        <w:t>deleterious</w:t>
      </w:r>
      <w:r w:rsidR="00AC4F5E">
        <w:rPr>
          <w:rFonts w:cs="Arial"/>
          <w:sz w:val="24"/>
          <w:szCs w:val="24"/>
          <w:lang w:val="en-US"/>
        </w:rPr>
        <w:t xml:space="preserve"> to health </w:t>
      </w:r>
      <w:r w:rsidR="00A6040F">
        <w:rPr>
          <w:rFonts w:cs="Arial"/>
          <w:sz w:val="24"/>
          <w:szCs w:val="24"/>
          <w:lang w:val="en-US"/>
        </w:rPr>
        <w:t>as</w:t>
      </w:r>
      <w:r w:rsidR="00AC4F5E">
        <w:rPr>
          <w:rFonts w:cs="Arial"/>
          <w:sz w:val="24"/>
          <w:szCs w:val="24"/>
          <w:lang w:val="en-US"/>
        </w:rPr>
        <w:t xml:space="preserve"> the urban environment</w:t>
      </w:r>
      <w:r w:rsidR="00F9312E" w:rsidRPr="00F9312E">
        <w:rPr>
          <w:rFonts w:cs="Arial"/>
          <w:sz w:val="24"/>
          <w:szCs w:val="24"/>
          <w:lang w:val="en-US"/>
        </w:rPr>
        <w:t xml:space="preserve">. </w:t>
      </w:r>
      <w:r w:rsidR="006D3674">
        <w:rPr>
          <w:rFonts w:cs="Arial"/>
          <w:sz w:val="24"/>
          <w:szCs w:val="24"/>
          <w:lang w:val="en-US"/>
        </w:rPr>
        <w:t>H</w:t>
      </w:r>
      <w:r w:rsidR="00F9312E" w:rsidRPr="00F9312E">
        <w:rPr>
          <w:rFonts w:cs="Arial"/>
          <w:sz w:val="24"/>
          <w:szCs w:val="24"/>
          <w:lang w:val="en-US"/>
        </w:rPr>
        <w:t xml:space="preserve">istorical evidence for </w:t>
      </w:r>
      <w:r w:rsidR="00F9312E">
        <w:rPr>
          <w:rFonts w:cs="Arial"/>
          <w:sz w:val="24"/>
          <w:szCs w:val="24"/>
          <w:lang w:val="en-US"/>
        </w:rPr>
        <w:t xml:space="preserve">the Washburn valley </w:t>
      </w:r>
      <w:r w:rsidR="00A6040F">
        <w:rPr>
          <w:rFonts w:cs="Arial"/>
          <w:sz w:val="24"/>
          <w:szCs w:val="24"/>
          <w:lang w:val="en-US"/>
        </w:rPr>
        <w:t xml:space="preserve">in which Fewston is located </w:t>
      </w:r>
      <w:r w:rsidR="00F9312E">
        <w:rPr>
          <w:rFonts w:cs="Arial"/>
          <w:sz w:val="24"/>
          <w:szCs w:val="24"/>
          <w:lang w:val="en-US"/>
        </w:rPr>
        <w:t xml:space="preserve">does in fact point to </w:t>
      </w:r>
      <w:r>
        <w:rPr>
          <w:rFonts w:cs="Arial"/>
          <w:sz w:val="24"/>
          <w:szCs w:val="24"/>
          <w:lang w:val="en-US"/>
        </w:rPr>
        <w:t>inadequate, overcrowded and insanitary</w:t>
      </w:r>
      <w:r w:rsidR="006D3674">
        <w:rPr>
          <w:rFonts w:cs="Arial"/>
          <w:sz w:val="24"/>
          <w:szCs w:val="24"/>
          <w:lang w:val="en-US"/>
        </w:rPr>
        <w:t xml:space="preserve"> housing for some </w:t>
      </w:r>
      <w:r w:rsidR="00E734E8">
        <w:rPr>
          <w:rFonts w:cs="Arial"/>
          <w:sz w:val="24"/>
          <w:szCs w:val="24"/>
          <w:lang w:val="en-US"/>
        </w:rPr>
        <w:t>rural-dwellers</w:t>
      </w:r>
      <w:r>
        <w:rPr>
          <w:rFonts w:cs="Arial"/>
          <w:sz w:val="24"/>
          <w:szCs w:val="24"/>
          <w:lang w:val="en-US"/>
        </w:rPr>
        <w:t>, along with</w:t>
      </w:r>
      <w:r w:rsidR="006D3674">
        <w:rPr>
          <w:rFonts w:cs="Arial"/>
          <w:sz w:val="24"/>
          <w:szCs w:val="24"/>
          <w:lang w:val="en-US"/>
        </w:rPr>
        <w:t xml:space="preserve"> </w:t>
      </w:r>
      <w:r w:rsidR="00F9312E" w:rsidRPr="00F9312E">
        <w:rPr>
          <w:rFonts w:cs="Arial"/>
          <w:sz w:val="24"/>
          <w:szCs w:val="24"/>
          <w:lang w:val="en-US"/>
        </w:rPr>
        <w:t>polluted water supplies</w:t>
      </w:r>
      <w:r w:rsidR="006D3674">
        <w:rPr>
          <w:rFonts w:cs="Arial"/>
          <w:sz w:val="24"/>
          <w:szCs w:val="24"/>
          <w:lang w:val="en-US"/>
        </w:rPr>
        <w:t xml:space="preserve">. For example, </w:t>
      </w:r>
      <w:r w:rsidR="004D47B4">
        <w:rPr>
          <w:rFonts w:cs="Arial"/>
          <w:sz w:val="24"/>
          <w:szCs w:val="24"/>
          <w:lang w:val="en-US"/>
        </w:rPr>
        <w:t>local resident John Dickinson noted in his</w:t>
      </w:r>
      <w:r w:rsidR="00D503DF">
        <w:rPr>
          <w:rFonts w:cs="Arial"/>
          <w:sz w:val="24"/>
          <w:szCs w:val="24"/>
          <w:lang w:val="en-US"/>
        </w:rPr>
        <w:t xml:space="preserve"> diary entry for 1st</w:t>
      </w:r>
      <w:r w:rsidR="006D3674">
        <w:rPr>
          <w:rFonts w:cs="Arial"/>
          <w:sz w:val="24"/>
          <w:szCs w:val="24"/>
          <w:lang w:val="en-US"/>
        </w:rPr>
        <w:t xml:space="preserve"> October 1881: </w:t>
      </w:r>
      <w:r w:rsidR="00D468CE">
        <w:rPr>
          <w:rFonts w:cs="Arial"/>
          <w:sz w:val="24"/>
          <w:szCs w:val="24"/>
        </w:rPr>
        <w:t>“</w:t>
      </w:r>
      <w:r w:rsidR="006D3674" w:rsidRPr="00A6040F">
        <w:rPr>
          <w:rFonts w:cs="Arial"/>
          <w:sz w:val="24"/>
          <w:szCs w:val="24"/>
        </w:rPr>
        <w:t xml:space="preserve">There is </w:t>
      </w:r>
      <w:r w:rsidR="00D468CE">
        <w:rPr>
          <w:rFonts w:cs="Arial"/>
          <w:sz w:val="24"/>
          <w:szCs w:val="24"/>
        </w:rPr>
        <w:t xml:space="preserve">part [some] </w:t>
      </w:r>
      <w:r w:rsidR="006D3674" w:rsidRPr="00A6040F">
        <w:rPr>
          <w:rFonts w:cs="Arial"/>
          <w:sz w:val="24"/>
          <w:szCs w:val="24"/>
        </w:rPr>
        <w:t xml:space="preserve">talk about the deficient water supply and drainage of the village, and it is thought the sanitary authority will take the matter in hand </w:t>
      </w:r>
      <w:r w:rsidR="00D468CE">
        <w:rPr>
          <w:rFonts w:cs="Arial"/>
          <w:sz w:val="24"/>
          <w:szCs w:val="24"/>
        </w:rPr>
        <w:t xml:space="preserve">themselves and </w:t>
      </w:r>
      <w:r w:rsidR="006D3674" w:rsidRPr="00A6040F">
        <w:rPr>
          <w:rFonts w:cs="Arial"/>
          <w:sz w:val="24"/>
          <w:szCs w:val="24"/>
        </w:rPr>
        <w:t>compel the pro</w:t>
      </w:r>
      <w:r w:rsidR="005D12BC">
        <w:rPr>
          <w:rFonts w:cs="Arial"/>
          <w:sz w:val="24"/>
          <w:szCs w:val="24"/>
        </w:rPr>
        <w:t>prietors to alter things.  T</w:t>
      </w:r>
      <w:r w:rsidR="006D3674" w:rsidRPr="00A6040F">
        <w:rPr>
          <w:rFonts w:cs="Arial"/>
          <w:sz w:val="24"/>
          <w:szCs w:val="24"/>
        </w:rPr>
        <w:t xml:space="preserve">he proprietors fear the cost </w:t>
      </w:r>
      <w:r w:rsidR="006D3674" w:rsidRPr="00A6040F">
        <w:rPr>
          <w:rFonts w:cs="Arial"/>
          <w:bCs/>
          <w:sz w:val="24"/>
          <w:szCs w:val="24"/>
        </w:rPr>
        <w:t xml:space="preserve">and so </w:t>
      </w:r>
      <w:r w:rsidR="005D12BC">
        <w:rPr>
          <w:rFonts w:cs="Arial"/>
          <w:bCs/>
          <w:sz w:val="24"/>
          <w:szCs w:val="24"/>
        </w:rPr>
        <w:t xml:space="preserve">it happens that </w:t>
      </w:r>
      <w:r w:rsidR="006D3674" w:rsidRPr="00A6040F">
        <w:rPr>
          <w:rFonts w:cs="Arial"/>
          <w:bCs/>
          <w:sz w:val="24"/>
          <w:szCs w:val="24"/>
        </w:rPr>
        <w:t>we drink water highly polluted with sewage and our sinks [drains] are simply beastly</w:t>
      </w:r>
      <w:r w:rsidR="00D468CE">
        <w:rPr>
          <w:rFonts w:cs="Arial"/>
          <w:b/>
          <w:bCs/>
          <w:sz w:val="24"/>
          <w:szCs w:val="24"/>
        </w:rPr>
        <w:t>”</w:t>
      </w:r>
      <w:r w:rsidR="006D3674" w:rsidRPr="00A6040F">
        <w:rPr>
          <w:rFonts w:cs="Arial"/>
          <w:b/>
          <w:bCs/>
          <w:sz w:val="24"/>
          <w:szCs w:val="24"/>
        </w:rPr>
        <w:t>.</w:t>
      </w:r>
      <w:r w:rsidR="006D3674" w:rsidRPr="006D3674">
        <w:rPr>
          <w:rFonts w:cs="Arial"/>
          <w:sz w:val="24"/>
          <w:szCs w:val="24"/>
        </w:rPr>
        <w:t xml:space="preserve"> </w:t>
      </w:r>
      <w:r w:rsidR="006D3674">
        <w:rPr>
          <w:rFonts w:cs="Arial"/>
          <w:sz w:val="24"/>
          <w:szCs w:val="24"/>
        </w:rPr>
        <w:t xml:space="preserve">In </w:t>
      </w:r>
      <w:r w:rsidR="00D468CE">
        <w:rPr>
          <w:rFonts w:cs="Arial"/>
          <w:sz w:val="24"/>
          <w:szCs w:val="24"/>
        </w:rPr>
        <w:t xml:space="preserve">A.D. </w:t>
      </w:r>
      <w:r w:rsidR="006D3674">
        <w:rPr>
          <w:rFonts w:cs="Arial"/>
          <w:sz w:val="24"/>
          <w:szCs w:val="24"/>
        </w:rPr>
        <w:t xml:space="preserve">1840, </w:t>
      </w:r>
      <w:r w:rsidR="006D3674">
        <w:rPr>
          <w:rFonts w:cs="Arial"/>
          <w:sz w:val="24"/>
          <w:szCs w:val="24"/>
          <w:lang w:val="en-US"/>
        </w:rPr>
        <w:t>Elizabeth and William Scaife lost three children (John aged 2 years, Hannah aged 9 years and Christiana Eliza aged 6 years)</w:t>
      </w:r>
      <w:r w:rsidR="00AC4F5E">
        <w:rPr>
          <w:rFonts w:cs="Arial"/>
          <w:sz w:val="24"/>
          <w:szCs w:val="24"/>
          <w:lang w:val="en-US"/>
        </w:rPr>
        <w:t xml:space="preserve"> within just one week</w:t>
      </w:r>
      <w:r w:rsidR="006D3674">
        <w:rPr>
          <w:rFonts w:cs="Arial"/>
          <w:sz w:val="24"/>
          <w:szCs w:val="24"/>
          <w:lang w:val="en-US"/>
        </w:rPr>
        <w:t xml:space="preserve"> to typhus fever</w:t>
      </w:r>
      <w:r w:rsidR="00E734E8">
        <w:rPr>
          <w:rFonts w:cs="Arial"/>
          <w:sz w:val="24"/>
          <w:szCs w:val="24"/>
          <w:lang w:val="en-US"/>
        </w:rPr>
        <w:t>, spread via contaminated water</w:t>
      </w:r>
      <w:r w:rsidR="00AC4F5E">
        <w:rPr>
          <w:rFonts w:cs="Arial"/>
          <w:sz w:val="24"/>
          <w:szCs w:val="24"/>
          <w:lang w:val="en-US"/>
        </w:rPr>
        <w:t xml:space="preserve"> </w:t>
      </w:r>
      <w:r w:rsidR="006D3674">
        <w:rPr>
          <w:rFonts w:cs="Arial"/>
          <w:sz w:val="24"/>
          <w:szCs w:val="24"/>
          <w:lang w:val="en-US"/>
        </w:rPr>
        <w:t xml:space="preserve">during an epidemic that lasted two years from </w:t>
      </w:r>
      <w:r w:rsidR="00D468CE">
        <w:rPr>
          <w:rFonts w:cs="Arial"/>
          <w:sz w:val="24"/>
          <w:szCs w:val="24"/>
          <w:lang w:val="en-US"/>
        </w:rPr>
        <w:t xml:space="preserve">A.D. </w:t>
      </w:r>
      <w:r w:rsidR="006D3674">
        <w:rPr>
          <w:rFonts w:cs="Arial"/>
          <w:sz w:val="24"/>
          <w:szCs w:val="24"/>
          <w:lang w:val="en-US"/>
        </w:rPr>
        <w:t xml:space="preserve">1838. </w:t>
      </w:r>
    </w:p>
    <w:p w14:paraId="0DA70395" w14:textId="77777777" w:rsidR="002A1CA3" w:rsidRPr="006D3674" w:rsidRDefault="002A1CA3" w:rsidP="00453751">
      <w:pPr>
        <w:spacing w:line="480" w:lineRule="auto"/>
        <w:rPr>
          <w:rFonts w:cs="Arial"/>
        </w:rPr>
      </w:pPr>
    </w:p>
    <w:p w14:paraId="7327C06F" w14:textId="666D623F" w:rsidR="008065B9" w:rsidRDefault="009B72FB" w:rsidP="00453751">
      <w:pPr>
        <w:spacing w:line="480" w:lineRule="auto"/>
        <w:rPr>
          <w:rFonts w:cs="Arial"/>
          <w:sz w:val="24"/>
          <w:szCs w:val="24"/>
          <w:lang w:val="en-US"/>
        </w:rPr>
      </w:pPr>
      <w:r>
        <w:rPr>
          <w:rFonts w:cs="Arial"/>
          <w:sz w:val="24"/>
          <w:szCs w:val="24"/>
          <w:lang w:val="en-US"/>
        </w:rPr>
        <w:t xml:space="preserve">While </w:t>
      </w:r>
      <w:r w:rsidR="008065B9">
        <w:rPr>
          <w:rFonts w:cs="Arial"/>
          <w:sz w:val="24"/>
          <w:szCs w:val="24"/>
          <w:lang w:val="en-US"/>
        </w:rPr>
        <w:t>such</w:t>
      </w:r>
      <w:r>
        <w:rPr>
          <w:rFonts w:cs="Arial"/>
          <w:sz w:val="24"/>
          <w:szCs w:val="24"/>
          <w:lang w:val="en-US"/>
        </w:rPr>
        <w:t xml:space="preserve"> infectious diseases </w:t>
      </w:r>
      <w:r w:rsidR="00A27ABD">
        <w:rPr>
          <w:rFonts w:cs="Arial"/>
          <w:sz w:val="24"/>
          <w:szCs w:val="24"/>
          <w:lang w:val="en-US"/>
        </w:rPr>
        <w:t>undoubtedly took a</w:t>
      </w:r>
      <w:r>
        <w:rPr>
          <w:rFonts w:cs="Arial"/>
          <w:sz w:val="24"/>
          <w:szCs w:val="24"/>
          <w:lang w:val="en-US"/>
        </w:rPr>
        <w:t xml:space="preserve"> toll on the </w:t>
      </w:r>
      <w:r w:rsidR="00A27ABD">
        <w:rPr>
          <w:rFonts w:cs="Arial"/>
          <w:sz w:val="24"/>
          <w:szCs w:val="24"/>
          <w:lang w:val="en-US"/>
        </w:rPr>
        <w:t xml:space="preserve">morbidity and mortality of the Fewston </w:t>
      </w:r>
      <w:r>
        <w:rPr>
          <w:rFonts w:cs="Arial"/>
          <w:sz w:val="24"/>
          <w:szCs w:val="24"/>
          <w:lang w:val="en-US"/>
        </w:rPr>
        <w:t>population, they</w:t>
      </w:r>
      <w:r w:rsidR="00A27ABD">
        <w:rPr>
          <w:rFonts w:cs="Arial"/>
          <w:sz w:val="24"/>
          <w:szCs w:val="24"/>
          <w:lang w:val="en-US"/>
        </w:rPr>
        <w:t xml:space="preserve"> would</w:t>
      </w:r>
      <w:r>
        <w:rPr>
          <w:rFonts w:cs="Arial"/>
          <w:sz w:val="24"/>
          <w:szCs w:val="24"/>
          <w:lang w:val="en-US"/>
        </w:rPr>
        <w:t xml:space="preserve"> have proven more fatal to younger children</w:t>
      </w:r>
      <w:r w:rsidR="00A27ABD">
        <w:rPr>
          <w:rFonts w:cs="Arial"/>
          <w:sz w:val="24"/>
          <w:szCs w:val="24"/>
          <w:lang w:val="en-US"/>
        </w:rPr>
        <w:t>,</w:t>
      </w:r>
      <w:r>
        <w:rPr>
          <w:rFonts w:cs="Arial"/>
          <w:sz w:val="24"/>
          <w:szCs w:val="24"/>
          <w:lang w:val="en-US"/>
        </w:rPr>
        <w:t xml:space="preserve"> rather than adolescents, as the </w:t>
      </w:r>
      <w:r w:rsidR="00A27ABD">
        <w:rPr>
          <w:rFonts w:cs="Arial"/>
          <w:sz w:val="24"/>
          <w:szCs w:val="24"/>
          <w:lang w:val="en-US"/>
        </w:rPr>
        <w:t xml:space="preserve">dreadful suffering of the </w:t>
      </w:r>
      <w:r>
        <w:rPr>
          <w:rFonts w:cs="Arial"/>
          <w:sz w:val="24"/>
          <w:szCs w:val="24"/>
          <w:lang w:val="en-US"/>
        </w:rPr>
        <w:t xml:space="preserve">Scaife family </w:t>
      </w:r>
      <w:r w:rsidR="008065B9">
        <w:rPr>
          <w:rFonts w:cs="Arial"/>
          <w:sz w:val="24"/>
          <w:szCs w:val="24"/>
          <w:lang w:val="en-US"/>
        </w:rPr>
        <w:t>attests</w:t>
      </w:r>
      <w:r>
        <w:rPr>
          <w:rFonts w:cs="Arial"/>
          <w:sz w:val="24"/>
          <w:szCs w:val="24"/>
          <w:lang w:val="en-US"/>
        </w:rPr>
        <w:t xml:space="preserve">. </w:t>
      </w:r>
      <w:r w:rsidR="00F9312E" w:rsidRPr="00F9312E">
        <w:rPr>
          <w:rFonts w:cs="Arial"/>
          <w:sz w:val="24"/>
          <w:szCs w:val="24"/>
          <w:lang w:val="en-US"/>
        </w:rPr>
        <w:t xml:space="preserve"> </w:t>
      </w:r>
      <w:r w:rsidR="008065B9">
        <w:rPr>
          <w:rFonts w:cs="Arial"/>
          <w:sz w:val="24"/>
          <w:szCs w:val="24"/>
          <w:lang w:val="en-US"/>
        </w:rPr>
        <w:t>These</w:t>
      </w:r>
      <w:r>
        <w:rPr>
          <w:rFonts w:cs="Arial"/>
          <w:sz w:val="24"/>
          <w:szCs w:val="24"/>
          <w:lang w:val="en-US"/>
        </w:rPr>
        <w:t xml:space="preserve"> diseases are </w:t>
      </w:r>
      <w:r w:rsidR="008065B9">
        <w:rPr>
          <w:rFonts w:cs="Arial"/>
          <w:sz w:val="24"/>
          <w:szCs w:val="24"/>
          <w:lang w:val="en-US"/>
        </w:rPr>
        <w:t xml:space="preserve">also </w:t>
      </w:r>
      <w:r>
        <w:rPr>
          <w:rFonts w:cs="Arial"/>
          <w:sz w:val="24"/>
          <w:szCs w:val="24"/>
          <w:lang w:val="en-US"/>
        </w:rPr>
        <w:t>acute; they</w:t>
      </w:r>
      <w:r w:rsidR="00A27ABD">
        <w:rPr>
          <w:rFonts w:cs="Arial"/>
          <w:sz w:val="24"/>
          <w:szCs w:val="24"/>
          <w:lang w:val="en-US"/>
        </w:rPr>
        <w:t xml:space="preserve"> will</w:t>
      </w:r>
      <w:r>
        <w:rPr>
          <w:rFonts w:cs="Arial"/>
          <w:sz w:val="24"/>
          <w:szCs w:val="24"/>
          <w:lang w:val="en-US"/>
        </w:rPr>
        <w:t xml:space="preserve"> kill quickly and leave no visible sign on the skeleton</w:t>
      </w:r>
      <w:r w:rsidR="008065B9">
        <w:rPr>
          <w:rFonts w:cs="Arial"/>
          <w:sz w:val="24"/>
          <w:szCs w:val="24"/>
          <w:lang w:val="en-US"/>
        </w:rPr>
        <w:t xml:space="preserve">. They </w:t>
      </w:r>
      <w:r w:rsidR="00A27ABD">
        <w:rPr>
          <w:rFonts w:cs="Arial"/>
          <w:sz w:val="24"/>
          <w:szCs w:val="24"/>
          <w:lang w:val="en-US"/>
        </w:rPr>
        <w:t>are not</w:t>
      </w:r>
      <w:r w:rsidR="008065B9">
        <w:rPr>
          <w:rFonts w:cs="Arial"/>
          <w:sz w:val="24"/>
          <w:szCs w:val="24"/>
          <w:lang w:val="en-US"/>
        </w:rPr>
        <w:t>, therefore,</w:t>
      </w:r>
      <w:r w:rsidR="00A27ABD">
        <w:rPr>
          <w:rFonts w:cs="Arial"/>
          <w:sz w:val="24"/>
          <w:szCs w:val="24"/>
          <w:lang w:val="en-US"/>
        </w:rPr>
        <w:t xml:space="preserve"> responsible for the evidence of chronic </w:t>
      </w:r>
      <w:r w:rsidR="00305B1E">
        <w:rPr>
          <w:rFonts w:cs="Arial"/>
          <w:sz w:val="24"/>
          <w:szCs w:val="24"/>
          <w:lang w:val="en-US"/>
        </w:rPr>
        <w:t>disease</w:t>
      </w:r>
      <w:r w:rsidR="00A27ABD">
        <w:rPr>
          <w:rFonts w:cs="Arial"/>
          <w:sz w:val="24"/>
          <w:szCs w:val="24"/>
          <w:lang w:val="en-US"/>
        </w:rPr>
        <w:t xml:space="preserve"> observed amongst many of the adolescent skeletons</w:t>
      </w:r>
      <w:r>
        <w:rPr>
          <w:rFonts w:cs="Arial"/>
          <w:sz w:val="24"/>
          <w:szCs w:val="24"/>
          <w:lang w:val="en-US"/>
        </w:rPr>
        <w:t xml:space="preserve">. </w:t>
      </w:r>
      <w:r w:rsidR="000D15BB">
        <w:rPr>
          <w:rFonts w:cs="Arial"/>
          <w:sz w:val="24"/>
          <w:szCs w:val="24"/>
          <w:lang w:val="en-US"/>
        </w:rPr>
        <w:t>When interpreting the prevalence of pathological lesions, t</w:t>
      </w:r>
      <w:r w:rsidR="008E54CE">
        <w:rPr>
          <w:rFonts w:cs="Arial"/>
          <w:sz w:val="24"/>
          <w:szCs w:val="24"/>
          <w:lang w:val="en-US"/>
        </w:rPr>
        <w:t>he younger age-at-</w:t>
      </w:r>
      <w:r w:rsidR="008E54CE">
        <w:rPr>
          <w:rFonts w:cs="Arial"/>
          <w:sz w:val="24"/>
          <w:szCs w:val="24"/>
          <w:lang w:val="en-US"/>
        </w:rPr>
        <w:lastRenderedPageBreak/>
        <w:t xml:space="preserve">death profile of the children at Coach Lane should be considered, particularly </w:t>
      </w:r>
      <w:proofErr w:type="gramStart"/>
      <w:r w:rsidR="008E54CE">
        <w:rPr>
          <w:rFonts w:cs="Arial"/>
          <w:sz w:val="24"/>
          <w:szCs w:val="24"/>
          <w:lang w:val="en-US"/>
        </w:rPr>
        <w:t>with regard to</w:t>
      </w:r>
      <w:proofErr w:type="gramEnd"/>
      <w:r w:rsidR="008E54CE">
        <w:rPr>
          <w:rFonts w:cs="Arial"/>
          <w:sz w:val="24"/>
          <w:szCs w:val="24"/>
          <w:lang w:val="en-US"/>
        </w:rPr>
        <w:t xml:space="preserve"> the osteological paradox (Wood et al. 1992). </w:t>
      </w:r>
      <w:r w:rsidR="000D15BB">
        <w:rPr>
          <w:rFonts w:cs="Arial"/>
          <w:sz w:val="24"/>
          <w:szCs w:val="24"/>
          <w:lang w:val="en-US"/>
        </w:rPr>
        <w:t xml:space="preserve">However, </w:t>
      </w:r>
      <w:r w:rsidR="00305B1E">
        <w:rPr>
          <w:rFonts w:cs="Arial"/>
          <w:sz w:val="24"/>
          <w:szCs w:val="24"/>
          <w:lang w:val="en-US"/>
        </w:rPr>
        <w:t xml:space="preserve">given that many of </w:t>
      </w:r>
      <w:r w:rsidR="000D15BB">
        <w:rPr>
          <w:rFonts w:cs="Arial"/>
          <w:sz w:val="24"/>
          <w:szCs w:val="24"/>
          <w:lang w:val="en-US"/>
        </w:rPr>
        <w:t xml:space="preserve">the lesions recorded and interpreted </w:t>
      </w:r>
      <w:r w:rsidR="00305B1E">
        <w:rPr>
          <w:rFonts w:cs="Arial"/>
          <w:sz w:val="24"/>
          <w:szCs w:val="24"/>
          <w:lang w:val="en-US"/>
        </w:rPr>
        <w:t>at both sites</w:t>
      </w:r>
      <w:r w:rsidR="000D15BB">
        <w:rPr>
          <w:rFonts w:cs="Arial"/>
          <w:sz w:val="24"/>
          <w:szCs w:val="24"/>
          <w:lang w:val="en-US"/>
        </w:rPr>
        <w:t xml:space="preserve"> </w:t>
      </w:r>
      <w:r w:rsidR="00305B1E">
        <w:rPr>
          <w:rFonts w:cs="Arial"/>
          <w:sz w:val="24"/>
          <w:szCs w:val="24"/>
          <w:lang w:val="en-US"/>
        </w:rPr>
        <w:t xml:space="preserve">were at least initiated during the first few years of life (e.g. </w:t>
      </w:r>
      <w:r w:rsidR="000D15BB">
        <w:rPr>
          <w:rFonts w:cs="Arial"/>
          <w:sz w:val="24"/>
          <w:szCs w:val="24"/>
          <w:lang w:val="en-US"/>
        </w:rPr>
        <w:t xml:space="preserve"> enamel hypoplasia, rickets, scurvy and </w:t>
      </w:r>
      <w:proofErr w:type="spellStart"/>
      <w:r w:rsidR="000D15BB">
        <w:rPr>
          <w:rFonts w:cs="Arial"/>
          <w:sz w:val="24"/>
          <w:szCs w:val="24"/>
          <w:lang w:val="en-US"/>
        </w:rPr>
        <w:t>cribra</w:t>
      </w:r>
      <w:proofErr w:type="spellEnd"/>
      <w:r w:rsidR="000D15BB">
        <w:rPr>
          <w:rFonts w:cs="Arial"/>
          <w:sz w:val="24"/>
          <w:szCs w:val="24"/>
          <w:lang w:val="en-US"/>
        </w:rPr>
        <w:t xml:space="preserve"> </w:t>
      </w:r>
      <w:proofErr w:type="spellStart"/>
      <w:r w:rsidR="000D15BB">
        <w:rPr>
          <w:rFonts w:cs="Arial"/>
          <w:sz w:val="24"/>
          <w:szCs w:val="24"/>
          <w:lang w:val="en-US"/>
        </w:rPr>
        <w:t>orbitalia</w:t>
      </w:r>
      <w:proofErr w:type="spellEnd"/>
      <w:r w:rsidR="00305B1E">
        <w:rPr>
          <w:rFonts w:cs="Arial"/>
          <w:sz w:val="24"/>
          <w:szCs w:val="24"/>
          <w:lang w:val="en-US"/>
        </w:rPr>
        <w:t>) t</w:t>
      </w:r>
      <w:r w:rsidR="000D15BB">
        <w:rPr>
          <w:rFonts w:cs="Arial"/>
          <w:sz w:val="24"/>
          <w:szCs w:val="24"/>
          <w:lang w:val="en-US"/>
        </w:rPr>
        <w:t xml:space="preserve">he comparison of the </w:t>
      </w:r>
      <w:proofErr w:type="gramStart"/>
      <w:r w:rsidR="000D15BB">
        <w:rPr>
          <w:rFonts w:cs="Arial"/>
          <w:sz w:val="24"/>
          <w:szCs w:val="24"/>
          <w:lang w:val="en-US"/>
        </w:rPr>
        <w:t>two different</w:t>
      </w:r>
      <w:proofErr w:type="gramEnd"/>
      <w:r w:rsidR="000D15BB">
        <w:rPr>
          <w:rFonts w:cs="Arial"/>
          <w:sz w:val="24"/>
          <w:szCs w:val="24"/>
          <w:lang w:val="en-US"/>
        </w:rPr>
        <w:t xml:space="preserve"> age-at-death profiles </w:t>
      </w:r>
      <w:r w:rsidR="00305B1E">
        <w:rPr>
          <w:rFonts w:cs="Arial"/>
          <w:sz w:val="24"/>
          <w:szCs w:val="24"/>
          <w:lang w:val="en-US"/>
        </w:rPr>
        <w:t>continues to have merit.</w:t>
      </w:r>
      <w:r w:rsidR="000D15BB">
        <w:rPr>
          <w:rFonts w:cs="Arial"/>
          <w:sz w:val="24"/>
          <w:szCs w:val="24"/>
          <w:lang w:val="en-US"/>
        </w:rPr>
        <w:t xml:space="preserve">  </w:t>
      </w:r>
    </w:p>
    <w:p w14:paraId="1ACE1A50" w14:textId="77777777" w:rsidR="004D47B4" w:rsidRDefault="004D47B4" w:rsidP="00453751">
      <w:pPr>
        <w:spacing w:line="480" w:lineRule="auto"/>
        <w:rPr>
          <w:rFonts w:cs="Arial"/>
          <w:sz w:val="24"/>
          <w:szCs w:val="24"/>
          <w:lang w:val="en-US"/>
        </w:rPr>
      </w:pPr>
    </w:p>
    <w:p w14:paraId="5D3A2BF8" w14:textId="2D3F53CF" w:rsidR="00F9312E" w:rsidRDefault="00A27ABD" w:rsidP="00453751">
      <w:pPr>
        <w:spacing w:line="480" w:lineRule="auto"/>
        <w:rPr>
          <w:rFonts w:cs="Arial"/>
          <w:sz w:val="24"/>
          <w:szCs w:val="24"/>
        </w:rPr>
      </w:pPr>
      <w:r>
        <w:rPr>
          <w:rFonts w:cs="Arial"/>
          <w:sz w:val="24"/>
          <w:szCs w:val="24"/>
        </w:rPr>
        <w:t>The</w:t>
      </w:r>
      <w:r w:rsidR="009B72FB">
        <w:rPr>
          <w:rFonts w:cs="Arial"/>
          <w:sz w:val="24"/>
          <w:szCs w:val="24"/>
        </w:rPr>
        <w:t xml:space="preserve"> presence of documente</w:t>
      </w:r>
      <w:r w:rsidR="00FB4AA9">
        <w:rPr>
          <w:rFonts w:cs="Arial"/>
          <w:sz w:val="24"/>
          <w:szCs w:val="24"/>
        </w:rPr>
        <w:t xml:space="preserve">d adults </w:t>
      </w:r>
      <w:r w:rsidR="00305B1E">
        <w:rPr>
          <w:rFonts w:cs="Arial"/>
          <w:sz w:val="24"/>
          <w:szCs w:val="24"/>
        </w:rPr>
        <w:t>at Fewston</w:t>
      </w:r>
      <w:r w:rsidR="00FB4AA9">
        <w:rPr>
          <w:rFonts w:cs="Arial"/>
          <w:sz w:val="24"/>
          <w:szCs w:val="24"/>
        </w:rPr>
        <w:t xml:space="preserve"> </w:t>
      </w:r>
      <w:r>
        <w:rPr>
          <w:rFonts w:cs="Arial"/>
          <w:sz w:val="24"/>
          <w:szCs w:val="24"/>
        </w:rPr>
        <w:t xml:space="preserve">has made it possible to gather the associated </w:t>
      </w:r>
      <w:r w:rsidR="009B72FB">
        <w:rPr>
          <w:rFonts w:cs="Arial"/>
          <w:sz w:val="24"/>
          <w:szCs w:val="24"/>
        </w:rPr>
        <w:t>birth and death certificates, together with census records</w:t>
      </w:r>
      <w:r>
        <w:rPr>
          <w:rFonts w:cs="Arial"/>
          <w:sz w:val="24"/>
          <w:szCs w:val="24"/>
        </w:rPr>
        <w:t xml:space="preserve">. </w:t>
      </w:r>
      <w:r w:rsidR="009B72FB">
        <w:rPr>
          <w:rFonts w:cs="Arial"/>
          <w:sz w:val="24"/>
          <w:szCs w:val="24"/>
        </w:rPr>
        <w:t xml:space="preserve"> </w:t>
      </w:r>
      <w:r>
        <w:rPr>
          <w:rFonts w:cs="Arial"/>
          <w:sz w:val="24"/>
          <w:szCs w:val="24"/>
        </w:rPr>
        <w:t xml:space="preserve">This </w:t>
      </w:r>
      <w:r w:rsidR="001B6084">
        <w:rPr>
          <w:rFonts w:cs="Arial"/>
          <w:sz w:val="24"/>
          <w:szCs w:val="24"/>
        </w:rPr>
        <w:t>provides</w:t>
      </w:r>
      <w:r>
        <w:rPr>
          <w:rFonts w:cs="Arial"/>
          <w:sz w:val="24"/>
          <w:szCs w:val="24"/>
        </w:rPr>
        <w:t xml:space="preserve"> a known record of individuals who were born, lived and died in Fewston and its environs</w:t>
      </w:r>
      <w:r w:rsidR="008E54CE">
        <w:rPr>
          <w:rFonts w:cs="Arial"/>
          <w:sz w:val="24"/>
          <w:szCs w:val="24"/>
        </w:rPr>
        <w:t xml:space="preserve"> –i.e. the survivors</w:t>
      </w:r>
      <w:r>
        <w:rPr>
          <w:rFonts w:cs="Arial"/>
          <w:sz w:val="24"/>
          <w:szCs w:val="24"/>
        </w:rPr>
        <w:t>.  The skeletons of these</w:t>
      </w:r>
      <w:r w:rsidR="00F9312E" w:rsidRPr="00F9312E">
        <w:rPr>
          <w:rFonts w:cs="Arial"/>
          <w:sz w:val="24"/>
          <w:szCs w:val="24"/>
        </w:rPr>
        <w:t xml:space="preserve"> adults </w:t>
      </w:r>
      <w:r>
        <w:rPr>
          <w:rFonts w:cs="Arial"/>
          <w:sz w:val="24"/>
          <w:szCs w:val="24"/>
        </w:rPr>
        <w:t>do not</w:t>
      </w:r>
      <w:r w:rsidR="00F9312E" w:rsidRPr="00F9312E">
        <w:rPr>
          <w:rFonts w:cs="Arial"/>
          <w:sz w:val="24"/>
          <w:szCs w:val="24"/>
        </w:rPr>
        <w:t xml:space="preserve"> show </w:t>
      </w:r>
      <w:r w:rsidR="008065B9">
        <w:rPr>
          <w:rFonts w:cs="Arial"/>
          <w:sz w:val="24"/>
          <w:szCs w:val="24"/>
        </w:rPr>
        <w:t>comparable levels of</w:t>
      </w:r>
      <w:r w:rsidR="00F9312E" w:rsidRPr="00F9312E">
        <w:rPr>
          <w:rFonts w:cs="Arial"/>
          <w:sz w:val="24"/>
          <w:szCs w:val="24"/>
        </w:rPr>
        <w:t xml:space="preserve"> </w:t>
      </w:r>
      <w:r w:rsidR="00F808E9">
        <w:rPr>
          <w:rFonts w:cs="Arial"/>
          <w:sz w:val="24"/>
          <w:szCs w:val="24"/>
        </w:rPr>
        <w:t>pathological lesions</w:t>
      </w:r>
      <w:r>
        <w:rPr>
          <w:rFonts w:cs="Arial"/>
          <w:sz w:val="24"/>
          <w:szCs w:val="24"/>
        </w:rPr>
        <w:t xml:space="preserve"> (e.g. </w:t>
      </w:r>
      <w:proofErr w:type="spellStart"/>
      <w:r>
        <w:rPr>
          <w:rFonts w:cs="Arial"/>
          <w:sz w:val="24"/>
          <w:szCs w:val="24"/>
        </w:rPr>
        <w:t>cuspal</w:t>
      </w:r>
      <w:proofErr w:type="spellEnd"/>
      <w:r>
        <w:rPr>
          <w:rFonts w:cs="Arial"/>
          <w:sz w:val="24"/>
          <w:szCs w:val="24"/>
        </w:rPr>
        <w:t xml:space="preserve"> enamel hypoplasia)</w:t>
      </w:r>
      <w:r w:rsidR="00F9312E" w:rsidRPr="00F9312E">
        <w:rPr>
          <w:rFonts w:cs="Arial"/>
          <w:sz w:val="24"/>
          <w:szCs w:val="24"/>
        </w:rPr>
        <w:t xml:space="preserve"> and </w:t>
      </w:r>
      <w:r>
        <w:rPr>
          <w:rFonts w:cs="Arial"/>
          <w:sz w:val="24"/>
          <w:szCs w:val="24"/>
        </w:rPr>
        <w:t xml:space="preserve">their stature does not appear to have been </w:t>
      </w:r>
      <w:r w:rsidR="00F9312E" w:rsidRPr="00F9312E">
        <w:rPr>
          <w:rFonts w:cs="Arial"/>
          <w:sz w:val="24"/>
          <w:szCs w:val="24"/>
        </w:rPr>
        <w:t>compromised</w:t>
      </w:r>
      <w:r w:rsidR="004D47B4">
        <w:rPr>
          <w:rFonts w:cs="Arial"/>
          <w:sz w:val="24"/>
          <w:szCs w:val="24"/>
        </w:rPr>
        <w:t xml:space="preserve">; </w:t>
      </w:r>
      <w:proofErr w:type="gramStart"/>
      <w:r w:rsidR="004D47B4">
        <w:rPr>
          <w:rFonts w:cs="Arial"/>
          <w:sz w:val="24"/>
          <w:szCs w:val="24"/>
        </w:rPr>
        <w:t>indeed</w:t>
      </w:r>
      <w:proofErr w:type="gramEnd"/>
      <w:r w:rsidR="004D47B4">
        <w:rPr>
          <w:rFonts w:cs="Arial"/>
          <w:sz w:val="24"/>
          <w:szCs w:val="24"/>
        </w:rPr>
        <w:t xml:space="preserve"> </w:t>
      </w:r>
      <w:r w:rsidR="009C7A98">
        <w:rPr>
          <w:rFonts w:cs="Arial"/>
          <w:sz w:val="24"/>
          <w:szCs w:val="24"/>
        </w:rPr>
        <w:t xml:space="preserve">for males </w:t>
      </w:r>
      <w:r w:rsidR="004D47B4">
        <w:rPr>
          <w:rFonts w:cs="Arial"/>
          <w:sz w:val="24"/>
          <w:szCs w:val="24"/>
        </w:rPr>
        <w:t xml:space="preserve">it </w:t>
      </w:r>
      <w:r w:rsidR="009C7A98">
        <w:rPr>
          <w:rFonts w:cs="Arial"/>
          <w:sz w:val="24"/>
          <w:szCs w:val="24"/>
        </w:rPr>
        <w:t xml:space="preserve">was above the average stature for post-medieval England </w:t>
      </w:r>
      <w:r w:rsidR="008013AE">
        <w:rPr>
          <w:rFonts w:cs="Arial"/>
          <w:sz w:val="24"/>
          <w:szCs w:val="24"/>
        </w:rPr>
        <w:t xml:space="preserve">(177.3 cm for </w:t>
      </w:r>
      <w:r w:rsidR="009D0186">
        <w:rPr>
          <w:rFonts w:cs="Arial"/>
          <w:sz w:val="24"/>
          <w:szCs w:val="24"/>
        </w:rPr>
        <w:t xml:space="preserve">Fewston </w:t>
      </w:r>
      <w:r w:rsidR="008013AE">
        <w:rPr>
          <w:rFonts w:cs="Arial"/>
          <w:sz w:val="24"/>
          <w:szCs w:val="24"/>
        </w:rPr>
        <w:t xml:space="preserve">males and 160.4 cm for </w:t>
      </w:r>
      <w:r w:rsidR="009D0186">
        <w:rPr>
          <w:rFonts w:cs="Arial"/>
          <w:sz w:val="24"/>
          <w:szCs w:val="24"/>
        </w:rPr>
        <w:t xml:space="preserve">Fewston </w:t>
      </w:r>
      <w:r w:rsidR="008013AE">
        <w:rPr>
          <w:rFonts w:cs="Arial"/>
          <w:sz w:val="24"/>
          <w:szCs w:val="24"/>
        </w:rPr>
        <w:t>females)</w:t>
      </w:r>
      <w:r w:rsidR="00EE68CA">
        <w:rPr>
          <w:rFonts w:cs="Arial"/>
          <w:sz w:val="24"/>
          <w:szCs w:val="24"/>
        </w:rPr>
        <w:t xml:space="preserve"> (</w:t>
      </w:r>
      <w:proofErr w:type="spellStart"/>
      <w:r w:rsidR="00EE68CA">
        <w:rPr>
          <w:rFonts w:cs="Arial"/>
          <w:sz w:val="24"/>
          <w:szCs w:val="24"/>
        </w:rPr>
        <w:t>Caffell</w:t>
      </w:r>
      <w:proofErr w:type="spellEnd"/>
      <w:r w:rsidR="00EE68CA">
        <w:rPr>
          <w:rFonts w:cs="Arial"/>
          <w:sz w:val="24"/>
          <w:szCs w:val="24"/>
        </w:rPr>
        <w:t xml:space="preserve"> and Holst 2017)</w:t>
      </w:r>
      <w:r w:rsidR="008013AE">
        <w:rPr>
          <w:rFonts w:cs="Arial"/>
          <w:sz w:val="24"/>
          <w:szCs w:val="24"/>
        </w:rPr>
        <w:t xml:space="preserve">. </w:t>
      </w:r>
      <w:r w:rsidR="00F9312E" w:rsidRPr="00F9312E">
        <w:rPr>
          <w:rFonts w:cs="Arial"/>
          <w:sz w:val="24"/>
          <w:szCs w:val="24"/>
        </w:rPr>
        <w:t xml:space="preserve"> </w:t>
      </w:r>
      <w:r w:rsidR="00760539">
        <w:rPr>
          <w:rFonts w:cs="Arial"/>
          <w:sz w:val="24"/>
          <w:szCs w:val="24"/>
        </w:rPr>
        <w:t xml:space="preserve">One could argue </w:t>
      </w:r>
      <w:r w:rsidR="00397F85">
        <w:rPr>
          <w:rFonts w:cs="Arial"/>
          <w:sz w:val="24"/>
          <w:szCs w:val="24"/>
        </w:rPr>
        <w:t xml:space="preserve">that the </w:t>
      </w:r>
      <w:r w:rsidR="00A56F5C">
        <w:rPr>
          <w:rFonts w:cs="Arial"/>
          <w:sz w:val="24"/>
          <w:szCs w:val="24"/>
        </w:rPr>
        <w:t>children</w:t>
      </w:r>
      <w:r w:rsidR="004D47B4">
        <w:rPr>
          <w:rFonts w:cs="Arial"/>
          <w:sz w:val="24"/>
          <w:szCs w:val="24"/>
        </w:rPr>
        <w:t xml:space="preserve"> in the assemblage</w:t>
      </w:r>
      <w:r w:rsidR="00A56F5C">
        <w:rPr>
          <w:rFonts w:cs="Arial"/>
          <w:sz w:val="24"/>
          <w:szCs w:val="24"/>
        </w:rPr>
        <w:t xml:space="preserve"> were non-survivors</w:t>
      </w:r>
      <w:r w:rsidR="00D503DF">
        <w:rPr>
          <w:rFonts w:cs="Arial"/>
          <w:sz w:val="24"/>
          <w:szCs w:val="24"/>
        </w:rPr>
        <w:t xml:space="preserve"> and that</w:t>
      </w:r>
      <w:r w:rsidR="00397F85">
        <w:rPr>
          <w:rFonts w:cs="Arial"/>
          <w:sz w:val="24"/>
          <w:szCs w:val="24"/>
        </w:rPr>
        <w:t xml:space="preserve"> </w:t>
      </w:r>
      <w:r w:rsidR="00A56F5C">
        <w:rPr>
          <w:rFonts w:cs="Arial"/>
          <w:sz w:val="24"/>
          <w:szCs w:val="24"/>
        </w:rPr>
        <w:t xml:space="preserve">this is why they show </w:t>
      </w:r>
      <w:r w:rsidR="006B414A">
        <w:rPr>
          <w:rFonts w:cs="Arial"/>
          <w:sz w:val="24"/>
          <w:szCs w:val="24"/>
        </w:rPr>
        <w:t xml:space="preserve">a higher prevalence of </w:t>
      </w:r>
      <w:r w:rsidR="00F808E9">
        <w:rPr>
          <w:rFonts w:cs="Arial"/>
          <w:sz w:val="24"/>
          <w:szCs w:val="24"/>
        </w:rPr>
        <w:t>pathology</w:t>
      </w:r>
      <w:r w:rsidR="00A56F5C">
        <w:rPr>
          <w:rFonts w:cs="Arial"/>
          <w:sz w:val="24"/>
          <w:szCs w:val="24"/>
        </w:rPr>
        <w:t xml:space="preserve"> compared to the adults</w:t>
      </w:r>
      <w:r w:rsidR="006B414A">
        <w:rPr>
          <w:rFonts w:cs="Arial"/>
          <w:sz w:val="24"/>
          <w:szCs w:val="24"/>
        </w:rPr>
        <w:t xml:space="preserve"> (Wood et al., 1992)</w:t>
      </w:r>
      <w:r w:rsidR="00A56F5C">
        <w:rPr>
          <w:rFonts w:cs="Arial"/>
          <w:sz w:val="24"/>
          <w:szCs w:val="24"/>
        </w:rPr>
        <w:t>.</w:t>
      </w:r>
      <w:r w:rsidR="006B414A">
        <w:rPr>
          <w:rFonts w:cs="Arial"/>
          <w:sz w:val="24"/>
          <w:szCs w:val="24"/>
        </w:rPr>
        <w:t xml:space="preserve"> </w:t>
      </w:r>
      <w:r w:rsidR="00977F7C">
        <w:rPr>
          <w:rFonts w:cs="Arial"/>
          <w:sz w:val="24"/>
          <w:szCs w:val="24"/>
        </w:rPr>
        <w:t xml:space="preserve">Another </w:t>
      </w:r>
      <w:r w:rsidR="008E54CE">
        <w:rPr>
          <w:rFonts w:cs="Arial"/>
          <w:sz w:val="24"/>
          <w:szCs w:val="24"/>
        </w:rPr>
        <w:t>hypothesis (mentioned above)</w:t>
      </w:r>
      <w:r w:rsidR="00977F7C">
        <w:rPr>
          <w:rFonts w:cs="Arial"/>
          <w:sz w:val="24"/>
          <w:szCs w:val="24"/>
        </w:rPr>
        <w:t xml:space="preserve"> is that these adolescents were not local to the area</w:t>
      </w:r>
      <w:r w:rsidR="00D503DF">
        <w:rPr>
          <w:rFonts w:cs="Arial"/>
          <w:sz w:val="24"/>
          <w:szCs w:val="24"/>
        </w:rPr>
        <w:t xml:space="preserve"> and instead represent migrants. T</w:t>
      </w:r>
      <w:r w:rsidR="004D47B4">
        <w:rPr>
          <w:rFonts w:cs="Arial"/>
          <w:sz w:val="24"/>
          <w:szCs w:val="24"/>
        </w:rPr>
        <w:t xml:space="preserve">his interpretation will be explored </w:t>
      </w:r>
      <w:r w:rsidR="00D503DF">
        <w:rPr>
          <w:rFonts w:cs="Arial"/>
          <w:sz w:val="24"/>
          <w:szCs w:val="24"/>
        </w:rPr>
        <w:t xml:space="preserve">further </w:t>
      </w:r>
      <w:r w:rsidR="004D47B4">
        <w:rPr>
          <w:rFonts w:cs="Arial"/>
          <w:sz w:val="24"/>
          <w:szCs w:val="24"/>
        </w:rPr>
        <w:t xml:space="preserve">after a more </w:t>
      </w:r>
      <w:r w:rsidR="002A1CA3">
        <w:rPr>
          <w:rFonts w:cs="Arial"/>
          <w:sz w:val="24"/>
          <w:szCs w:val="24"/>
        </w:rPr>
        <w:t>detailed comparison with Coach L</w:t>
      </w:r>
      <w:r w:rsidR="004D47B4">
        <w:rPr>
          <w:rFonts w:cs="Arial"/>
          <w:sz w:val="24"/>
          <w:szCs w:val="24"/>
        </w:rPr>
        <w:t>ane.</w:t>
      </w:r>
    </w:p>
    <w:p w14:paraId="7016F2C9" w14:textId="77777777" w:rsidR="004D47B4" w:rsidRDefault="004D47B4" w:rsidP="00453751">
      <w:pPr>
        <w:spacing w:line="480" w:lineRule="auto"/>
        <w:rPr>
          <w:rFonts w:cs="Arial"/>
          <w:sz w:val="24"/>
          <w:szCs w:val="24"/>
        </w:rPr>
      </w:pPr>
    </w:p>
    <w:p w14:paraId="5354A0E2" w14:textId="35DFE8E6" w:rsidR="004D47B4" w:rsidRDefault="00A56F5C" w:rsidP="00453751">
      <w:pPr>
        <w:spacing w:line="480" w:lineRule="auto"/>
        <w:rPr>
          <w:rFonts w:cs="Arial"/>
          <w:sz w:val="24"/>
          <w:szCs w:val="24"/>
        </w:rPr>
      </w:pPr>
      <w:r w:rsidRPr="00A56F5C">
        <w:rPr>
          <w:rFonts w:cs="Arial"/>
          <w:sz w:val="24"/>
          <w:szCs w:val="24"/>
          <w:lang w:val="en-US"/>
        </w:rPr>
        <w:t xml:space="preserve">Coach Lane was widely known to be a heavily industrialized, polluted and insalubrious town in the </w:t>
      </w:r>
      <w:r w:rsidR="009D0186">
        <w:rPr>
          <w:rFonts w:cs="Arial"/>
          <w:sz w:val="24"/>
          <w:szCs w:val="24"/>
          <w:lang w:val="en-US"/>
        </w:rPr>
        <w:t>nineteenth</w:t>
      </w:r>
      <w:r w:rsidRPr="00A56F5C">
        <w:rPr>
          <w:rFonts w:cs="Arial"/>
          <w:sz w:val="24"/>
          <w:szCs w:val="24"/>
          <w:lang w:val="en-US"/>
        </w:rPr>
        <w:t xml:space="preserve"> century</w:t>
      </w:r>
      <w:r w:rsidR="009C7A98">
        <w:rPr>
          <w:rFonts w:cs="Arial"/>
          <w:sz w:val="24"/>
          <w:szCs w:val="24"/>
          <w:lang w:val="en-US"/>
        </w:rPr>
        <w:t xml:space="preserve"> (Proctor et al. 2014)</w:t>
      </w:r>
      <w:r w:rsidRPr="00A56F5C">
        <w:rPr>
          <w:rFonts w:cs="Arial"/>
          <w:sz w:val="24"/>
          <w:szCs w:val="24"/>
          <w:lang w:val="en-US"/>
        </w:rPr>
        <w:t xml:space="preserve">. The prevalence of metabolic, respiratory and non-specific indicators of health stress at this site </w:t>
      </w:r>
      <w:r w:rsidR="00D503DF">
        <w:rPr>
          <w:rFonts w:cs="Arial"/>
          <w:sz w:val="24"/>
          <w:szCs w:val="24"/>
          <w:lang w:val="en-US"/>
        </w:rPr>
        <w:t>was</w:t>
      </w:r>
      <w:r w:rsidRPr="00A56F5C">
        <w:rPr>
          <w:rFonts w:cs="Arial"/>
          <w:sz w:val="24"/>
          <w:szCs w:val="24"/>
          <w:lang w:val="en-US"/>
        </w:rPr>
        <w:t xml:space="preserve"> high</w:t>
      </w:r>
      <w:r w:rsidR="008E54CE">
        <w:rPr>
          <w:rFonts w:cs="Arial"/>
          <w:sz w:val="24"/>
          <w:szCs w:val="24"/>
          <w:lang w:val="en-US"/>
        </w:rPr>
        <w:t>, as expected</w:t>
      </w:r>
      <w:r w:rsidRPr="00A56F5C">
        <w:rPr>
          <w:rFonts w:cs="Arial"/>
          <w:sz w:val="24"/>
          <w:szCs w:val="24"/>
          <w:lang w:val="en-US"/>
        </w:rPr>
        <w:t xml:space="preserve">. </w:t>
      </w:r>
      <w:r w:rsidRPr="00A56F5C">
        <w:rPr>
          <w:rFonts w:cs="Arial"/>
          <w:sz w:val="24"/>
          <w:szCs w:val="24"/>
        </w:rPr>
        <w:t xml:space="preserve">In </w:t>
      </w:r>
      <w:r w:rsidR="009D0186">
        <w:rPr>
          <w:rFonts w:cs="Arial"/>
          <w:sz w:val="24"/>
          <w:szCs w:val="24"/>
        </w:rPr>
        <w:t xml:space="preserve">A.D. </w:t>
      </w:r>
      <w:r w:rsidRPr="00A56F5C">
        <w:rPr>
          <w:rFonts w:cs="Arial"/>
          <w:sz w:val="24"/>
          <w:szCs w:val="24"/>
        </w:rPr>
        <w:t xml:space="preserve">1889 the British Medical Association estimated that vitamin D deficiency in the form of rickets in </w:t>
      </w:r>
      <w:r w:rsidRPr="00A56F5C">
        <w:rPr>
          <w:rFonts w:cs="Arial"/>
          <w:sz w:val="24"/>
          <w:szCs w:val="24"/>
        </w:rPr>
        <w:lastRenderedPageBreak/>
        <w:t xml:space="preserve">childhood was concentrated in the heavily industrialized areas of the </w:t>
      </w:r>
      <w:r w:rsidR="009D0186">
        <w:rPr>
          <w:rFonts w:cs="Arial"/>
          <w:sz w:val="24"/>
          <w:szCs w:val="24"/>
        </w:rPr>
        <w:t>n</w:t>
      </w:r>
      <w:r w:rsidRPr="00A56F5C">
        <w:rPr>
          <w:rFonts w:cs="Arial"/>
          <w:sz w:val="24"/>
          <w:szCs w:val="24"/>
        </w:rPr>
        <w:t xml:space="preserve">ortheast, </w:t>
      </w:r>
      <w:r w:rsidR="009D0186">
        <w:rPr>
          <w:rFonts w:cs="Arial"/>
          <w:sz w:val="24"/>
          <w:szCs w:val="24"/>
        </w:rPr>
        <w:t>where</w:t>
      </w:r>
      <w:r w:rsidRPr="00A56F5C">
        <w:rPr>
          <w:rFonts w:cs="Arial"/>
          <w:sz w:val="24"/>
          <w:szCs w:val="24"/>
        </w:rPr>
        <w:t xml:space="preserve"> Coach Lane was </w:t>
      </w:r>
      <w:r w:rsidR="009D0186">
        <w:rPr>
          <w:rFonts w:cs="Arial"/>
          <w:sz w:val="24"/>
          <w:szCs w:val="24"/>
        </w:rPr>
        <w:t>located</w:t>
      </w:r>
      <w:r w:rsidR="008E54CE">
        <w:rPr>
          <w:rFonts w:cs="Arial"/>
          <w:sz w:val="24"/>
          <w:szCs w:val="24"/>
        </w:rPr>
        <w:t xml:space="preserve"> (</w:t>
      </w:r>
      <w:r w:rsidR="008E54CE" w:rsidRPr="008E54CE">
        <w:rPr>
          <w:rFonts w:cs="Arial"/>
          <w:i/>
          <w:sz w:val="24"/>
          <w:szCs w:val="24"/>
        </w:rPr>
        <w:t>British Medical Journal</w:t>
      </w:r>
      <w:r w:rsidR="008E54CE">
        <w:rPr>
          <w:rFonts w:cs="Arial"/>
          <w:sz w:val="24"/>
          <w:szCs w:val="24"/>
        </w:rPr>
        <w:t xml:space="preserve"> 1889)</w:t>
      </w:r>
      <w:r w:rsidRPr="00A56F5C">
        <w:rPr>
          <w:rFonts w:cs="Arial"/>
          <w:sz w:val="24"/>
          <w:szCs w:val="24"/>
        </w:rPr>
        <w:t xml:space="preserve">. </w:t>
      </w:r>
      <w:r w:rsidR="004D47B4">
        <w:rPr>
          <w:rFonts w:cs="Arial"/>
          <w:sz w:val="24"/>
          <w:szCs w:val="24"/>
        </w:rPr>
        <w:t>V</w:t>
      </w:r>
      <w:r w:rsidR="001903BB">
        <w:rPr>
          <w:rFonts w:cs="Arial"/>
          <w:sz w:val="24"/>
          <w:szCs w:val="24"/>
        </w:rPr>
        <w:t xml:space="preserve">itamin D deficiency at this site </w:t>
      </w:r>
      <w:r w:rsidR="003766AD">
        <w:rPr>
          <w:rFonts w:cs="Arial"/>
          <w:sz w:val="24"/>
          <w:szCs w:val="24"/>
        </w:rPr>
        <w:t xml:space="preserve">is </w:t>
      </w:r>
      <w:r w:rsidR="001903BB">
        <w:rPr>
          <w:rFonts w:cs="Arial"/>
          <w:sz w:val="24"/>
          <w:szCs w:val="24"/>
        </w:rPr>
        <w:t>likely to have been exacerbated by the more northerly latitude, in conjunction with air pollution</w:t>
      </w:r>
      <w:r w:rsidR="004D47B4">
        <w:rPr>
          <w:rFonts w:cs="Arial"/>
          <w:sz w:val="24"/>
          <w:szCs w:val="24"/>
        </w:rPr>
        <w:t xml:space="preserve"> from the associated industries</w:t>
      </w:r>
      <w:r w:rsidR="001903BB">
        <w:rPr>
          <w:rFonts w:cs="Arial"/>
          <w:sz w:val="24"/>
          <w:szCs w:val="24"/>
        </w:rPr>
        <w:t xml:space="preserve">. </w:t>
      </w:r>
    </w:p>
    <w:p w14:paraId="1AF06B12" w14:textId="77777777" w:rsidR="002A1CA3" w:rsidRDefault="002A1CA3" w:rsidP="00453751">
      <w:pPr>
        <w:spacing w:line="480" w:lineRule="auto"/>
        <w:rPr>
          <w:rFonts w:cs="Arial"/>
          <w:sz w:val="24"/>
          <w:szCs w:val="24"/>
        </w:rPr>
      </w:pPr>
    </w:p>
    <w:p w14:paraId="58FDD69C" w14:textId="367043AF" w:rsidR="00A56F5C" w:rsidRDefault="001903BB" w:rsidP="00453751">
      <w:pPr>
        <w:spacing w:line="480" w:lineRule="auto"/>
        <w:rPr>
          <w:rFonts w:cs="Arial"/>
          <w:sz w:val="24"/>
          <w:szCs w:val="24"/>
          <w:lang w:val="en-US"/>
        </w:rPr>
      </w:pPr>
      <w:r>
        <w:rPr>
          <w:rFonts w:cs="Arial"/>
          <w:sz w:val="24"/>
          <w:szCs w:val="24"/>
        </w:rPr>
        <w:t>The high levels of vitamin D deficiency observed at Fewston</w:t>
      </w:r>
      <w:r w:rsidR="004D47B4">
        <w:rPr>
          <w:rFonts w:cs="Arial"/>
          <w:sz w:val="24"/>
          <w:szCs w:val="24"/>
        </w:rPr>
        <w:t>, however,</w:t>
      </w:r>
      <w:r>
        <w:rPr>
          <w:rFonts w:cs="Arial"/>
          <w:sz w:val="24"/>
          <w:szCs w:val="24"/>
        </w:rPr>
        <w:t xml:space="preserve"> were not in keeping with historical records.</w:t>
      </w:r>
      <w:r>
        <w:rPr>
          <w:rFonts w:cs="Arial"/>
          <w:sz w:val="24"/>
          <w:szCs w:val="24"/>
          <w:lang w:val="en-US"/>
        </w:rPr>
        <w:t xml:space="preserve"> </w:t>
      </w:r>
      <w:r w:rsidR="006B414A">
        <w:rPr>
          <w:rFonts w:cs="Arial"/>
          <w:sz w:val="24"/>
          <w:szCs w:val="24"/>
          <w:lang w:val="en-US"/>
        </w:rPr>
        <w:t>J</w:t>
      </w:r>
      <w:r w:rsidR="00A56F5C" w:rsidRPr="00A56F5C">
        <w:rPr>
          <w:rFonts w:cs="Arial"/>
          <w:sz w:val="24"/>
          <w:szCs w:val="24"/>
          <w:lang w:val="en-US"/>
        </w:rPr>
        <w:t xml:space="preserve">ohn Snow, the famous </w:t>
      </w:r>
      <w:r w:rsidR="009D0186">
        <w:rPr>
          <w:rFonts w:cs="Arial"/>
          <w:sz w:val="24"/>
          <w:szCs w:val="24"/>
          <w:lang w:val="en-US"/>
        </w:rPr>
        <w:t>nineteenth</w:t>
      </w:r>
      <w:r w:rsidR="00A56F5C" w:rsidRPr="00A56F5C">
        <w:rPr>
          <w:rFonts w:cs="Arial"/>
          <w:sz w:val="24"/>
          <w:szCs w:val="24"/>
          <w:lang w:val="en-US"/>
        </w:rPr>
        <w:t xml:space="preserve"> century spatial epidemiologist</w:t>
      </w:r>
      <w:r w:rsidR="003766AD">
        <w:rPr>
          <w:rFonts w:cs="Arial"/>
          <w:sz w:val="24"/>
          <w:szCs w:val="24"/>
          <w:lang w:val="en-US"/>
        </w:rPr>
        <w:t>, best known for his work on cholera</w:t>
      </w:r>
      <w:r w:rsidR="006B414A">
        <w:rPr>
          <w:rFonts w:cs="Arial"/>
          <w:sz w:val="24"/>
          <w:szCs w:val="24"/>
          <w:lang w:val="en-US"/>
        </w:rPr>
        <w:t>,</w:t>
      </w:r>
      <w:r w:rsidR="00A56F5C" w:rsidRPr="00A56F5C">
        <w:rPr>
          <w:rFonts w:cs="Arial"/>
          <w:sz w:val="24"/>
          <w:szCs w:val="24"/>
          <w:lang w:val="en-US"/>
        </w:rPr>
        <w:t xml:space="preserve"> began his medical career as a doctor in a North Yorkshire village close to Fewston. Snow </w:t>
      </w:r>
      <w:r w:rsidR="00E734E8">
        <w:rPr>
          <w:rFonts w:cs="Arial"/>
          <w:sz w:val="24"/>
          <w:szCs w:val="24"/>
          <w:lang w:val="en-US"/>
        </w:rPr>
        <w:t xml:space="preserve">(1857) </w:t>
      </w:r>
      <w:r w:rsidR="00A56F5C" w:rsidRPr="00A56F5C">
        <w:rPr>
          <w:rFonts w:cs="Arial"/>
          <w:sz w:val="24"/>
          <w:szCs w:val="24"/>
          <w:lang w:val="en-US"/>
        </w:rPr>
        <w:t xml:space="preserve">observed that rickets was a relatively </w:t>
      </w:r>
      <w:r w:rsidR="00A56F5C" w:rsidRPr="00A56F5C">
        <w:rPr>
          <w:rFonts w:cs="Arial"/>
          <w:i/>
          <w:sz w:val="24"/>
          <w:szCs w:val="24"/>
          <w:lang w:val="en-US"/>
        </w:rPr>
        <w:t>rare</w:t>
      </w:r>
      <w:r w:rsidR="00A56F5C" w:rsidRPr="00A56F5C">
        <w:rPr>
          <w:rFonts w:cs="Arial"/>
          <w:sz w:val="24"/>
          <w:szCs w:val="24"/>
          <w:lang w:val="en-US"/>
        </w:rPr>
        <w:t xml:space="preserve"> disease in Yorkshire when compared to London</w:t>
      </w:r>
      <w:r w:rsidR="00E734E8">
        <w:rPr>
          <w:rFonts w:cs="Arial"/>
          <w:sz w:val="24"/>
          <w:szCs w:val="24"/>
          <w:lang w:val="en-US"/>
        </w:rPr>
        <w:t>.</w:t>
      </w:r>
      <w:r w:rsidR="00A56F5C" w:rsidRPr="00A56F5C">
        <w:rPr>
          <w:rFonts w:cs="Arial"/>
          <w:sz w:val="24"/>
          <w:szCs w:val="24"/>
          <w:lang w:val="en-US"/>
        </w:rPr>
        <w:t xml:space="preserve"> He attributed this to people</w:t>
      </w:r>
      <w:r>
        <w:rPr>
          <w:rFonts w:cs="Arial"/>
          <w:sz w:val="24"/>
          <w:szCs w:val="24"/>
          <w:lang w:val="en-US"/>
        </w:rPr>
        <w:t xml:space="preserve"> from Yorkshire</w:t>
      </w:r>
      <w:r w:rsidR="00A56F5C" w:rsidRPr="00A56F5C">
        <w:rPr>
          <w:rFonts w:cs="Arial"/>
          <w:sz w:val="24"/>
          <w:szCs w:val="24"/>
          <w:lang w:val="en-US"/>
        </w:rPr>
        <w:t xml:space="preserve"> baking their own bread</w:t>
      </w:r>
      <w:r w:rsidR="001B6084">
        <w:rPr>
          <w:rFonts w:cs="Arial"/>
          <w:sz w:val="24"/>
          <w:szCs w:val="24"/>
          <w:lang w:val="en-US"/>
        </w:rPr>
        <w:t xml:space="preserve"> due to cheaper fuel sources</w:t>
      </w:r>
      <w:r w:rsidR="00A56F5C" w:rsidRPr="00A56F5C">
        <w:rPr>
          <w:rFonts w:cs="Arial"/>
          <w:sz w:val="24"/>
          <w:szCs w:val="24"/>
          <w:lang w:val="en-US"/>
        </w:rPr>
        <w:t xml:space="preserve">, </w:t>
      </w:r>
      <w:r w:rsidR="006B414A">
        <w:rPr>
          <w:rFonts w:cs="Arial"/>
          <w:sz w:val="24"/>
          <w:szCs w:val="24"/>
          <w:lang w:val="en-US"/>
        </w:rPr>
        <w:t>in contrast to Londoners who almost universally ate</w:t>
      </w:r>
      <w:r w:rsidR="001B6084">
        <w:rPr>
          <w:rFonts w:cs="Arial"/>
          <w:sz w:val="24"/>
          <w:szCs w:val="24"/>
          <w:lang w:val="en-US"/>
        </w:rPr>
        <w:t xml:space="preserve"> shop-bought bread, </w:t>
      </w:r>
      <w:r w:rsidR="006B414A">
        <w:rPr>
          <w:rFonts w:cs="Arial"/>
          <w:sz w:val="24"/>
          <w:szCs w:val="24"/>
          <w:lang w:val="en-US"/>
        </w:rPr>
        <w:t>heavily</w:t>
      </w:r>
      <w:r w:rsidR="00A56F5C" w:rsidRPr="00A56F5C">
        <w:rPr>
          <w:rFonts w:cs="Arial"/>
          <w:sz w:val="24"/>
          <w:szCs w:val="24"/>
          <w:lang w:val="en-US"/>
        </w:rPr>
        <w:t xml:space="preserve"> adulterated with alum. Snow, like his</w:t>
      </w:r>
      <w:r w:rsidR="009D0186">
        <w:rPr>
          <w:rFonts w:cs="Arial"/>
          <w:sz w:val="24"/>
          <w:szCs w:val="24"/>
          <w:lang w:val="en-US"/>
        </w:rPr>
        <w:t xml:space="preserve"> contemporaries, believed that v</w:t>
      </w:r>
      <w:r w:rsidR="00A56F5C" w:rsidRPr="00A56F5C">
        <w:rPr>
          <w:rFonts w:cs="Arial"/>
          <w:sz w:val="24"/>
          <w:szCs w:val="24"/>
          <w:lang w:val="en-US"/>
        </w:rPr>
        <w:t>itamin D deficiency was primarily dietary in origin</w:t>
      </w:r>
      <w:r w:rsidR="00D503DF">
        <w:rPr>
          <w:rFonts w:cs="Arial"/>
          <w:sz w:val="24"/>
          <w:szCs w:val="24"/>
          <w:lang w:val="en-US"/>
        </w:rPr>
        <w:t>,</w:t>
      </w:r>
      <w:r w:rsidR="00A56F5C" w:rsidRPr="00A56F5C">
        <w:rPr>
          <w:rFonts w:cs="Arial"/>
          <w:sz w:val="24"/>
          <w:szCs w:val="24"/>
          <w:lang w:val="en-US"/>
        </w:rPr>
        <w:t xml:space="preserve"> rather than a lack of sunlight</w:t>
      </w:r>
      <w:r w:rsidR="00D503DF">
        <w:rPr>
          <w:rFonts w:cs="Arial"/>
          <w:sz w:val="24"/>
          <w:szCs w:val="24"/>
          <w:lang w:val="en-US"/>
        </w:rPr>
        <w:t>,</w:t>
      </w:r>
      <w:r w:rsidR="00A56F5C" w:rsidRPr="00A56F5C">
        <w:rPr>
          <w:rFonts w:cs="Arial"/>
          <w:sz w:val="24"/>
          <w:szCs w:val="24"/>
          <w:lang w:val="en-US"/>
        </w:rPr>
        <w:t xml:space="preserve"> and he thought </w:t>
      </w:r>
      <w:r>
        <w:rPr>
          <w:rFonts w:cs="Arial"/>
          <w:sz w:val="24"/>
          <w:szCs w:val="24"/>
          <w:lang w:val="en-US"/>
        </w:rPr>
        <w:t xml:space="preserve">that </w:t>
      </w:r>
      <w:r w:rsidR="00A56F5C" w:rsidRPr="00A56F5C">
        <w:rPr>
          <w:rFonts w:cs="Arial"/>
          <w:sz w:val="24"/>
          <w:szCs w:val="24"/>
          <w:lang w:val="en-US"/>
        </w:rPr>
        <w:t xml:space="preserve">alum was responsible for ‘weakening’ the bones. The connection between sunlight and vitamin D deficiency was not made until the late nineteenth century and diet was still thought to be the predominant cause of the disease even in the 1920s (see </w:t>
      </w:r>
      <w:r w:rsidR="00601222">
        <w:rPr>
          <w:rFonts w:cs="Arial"/>
          <w:sz w:val="24"/>
          <w:szCs w:val="24"/>
          <w:lang w:val="en-US"/>
        </w:rPr>
        <w:t xml:space="preserve">Findlay and </w:t>
      </w:r>
      <w:proofErr w:type="spellStart"/>
      <w:r w:rsidR="00601222">
        <w:rPr>
          <w:rFonts w:cs="Arial"/>
          <w:sz w:val="24"/>
          <w:szCs w:val="24"/>
          <w:lang w:val="en-US"/>
        </w:rPr>
        <w:t>Mellanby</w:t>
      </w:r>
      <w:proofErr w:type="spellEnd"/>
      <w:r w:rsidR="00601222">
        <w:rPr>
          <w:rFonts w:cs="Arial"/>
          <w:sz w:val="24"/>
          <w:szCs w:val="24"/>
          <w:lang w:val="en-US"/>
        </w:rPr>
        <w:t xml:space="preserve"> </w:t>
      </w:r>
      <w:r w:rsidR="00A56F5C" w:rsidRPr="00A56F5C">
        <w:rPr>
          <w:rFonts w:cs="Arial"/>
          <w:sz w:val="24"/>
          <w:szCs w:val="24"/>
          <w:lang w:val="en-US"/>
        </w:rPr>
        <w:t>1922). The</w:t>
      </w:r>
      <w:r w:rsidR="00D503DF">
        <w:rPr>
          <w:rFonts w:cs="Arial"/>
          <w:sz w:val="24"/>
          <w:szCs w:val="24"/>
          <w:lang w:val="en-US"/>
        </w:rPr>
        <w:t xml:space="preserve"> key point here is that</w:t>
      </w:r>
      <w:r w:rsidR="00A56F5C" w:rsidRPr="00A56F5C">
        <w:rPr>
          <w:rFonts w:cs="Arial"/>
          <w:sz w:val="24"/>
          <w:szCs w:val="24"/>
          <w:lang w:val="en-US"/>
        </w:rPr>
        <w:t xml:space="preserve"> </w:t>
      </w:r>
      <w:r w:rsidR="00D503DF">
        <w:rPr>
          <w:rFonts w:cs="Arial"/>
          <w:sz w:val="24"/>
          <w:szCs w:val="24"/>
          <w:lang w:val="en-US"/>
        </w:rPr>
        <w:t>the prevalence</w:t>
      </w:r>
      <w:r w:rsidR="00A56F5C" w:rsidRPr="00A56F5C">
        <w:rPr>
          <w:rFonts w:cs="Arial"/>
          <w:sz w:val="24"/>
          <w:szCs w:val="24"/>
          <w:lang w:val="en-US"/>
        </w:rPr>
        <w:t xml:space="preserve"> of rickets at Fewston is contrary to Snow’s observations in North Yorkshire</w:t>
      </w:r>
      <w:r>
        <w:rPr>
          <w:rFonts w:cs="Arial"/>
          <w:sz w:val="24"/>
          <w:szCs w:val="24"/>
          <w:lang w:val="en-US"/>
        </w:rPr>
        <w:t xml:space="preserve">. </w:t>
      </w:r>
    </w:p>
    <w:p w14:paraId="2C303796" w14:textId="77777777" w:rsidR="004D47B4" w:rsidRPr="004D47B4" w:rsidRDefault="004D47B4" w:rsidP="00453751">
      <w:pPr>
        <w:spacing w:line="480" w:lineRule="auto"/>
        <w:rPr>
          <w:rFonts w:cs="Arial"/>
          <w:sz w:val="24"/>
          <w:szCs w:val="24"/>
        </w:rPr>
      </w:pPr>
    </w:p>
    <w:p w14:paraId="427C5B35" w14:textId="10F2D4D9" w:rsidR="00826D6F" w:rsidRDefault="00736A31" w:rsidP="00453751">
      <w:pPr>
        <w:spacing w:line="480" w:lineRule="auto"/>
        <w:rPr>
          <w:rFonts w:cs="Arial"/>
          <w:sz w:val="24"/>
          <w:szCs w:val="24"/>
        </w:rPr>
      </w:pPr>
      <w:r>
        <w:rPr>
          <w:rFonts w:cs="Arial"/>
          <w:sz w:val="24"/>
          <w:szCs w:val="24"/>
        </w:rPr>
        <w:t>The prevalence rates of scurvy were also equally high in both the rural and urban sites</w:t>
      </w:r>
      <w:r w:rsidR="003766AD">
        <w:rPr>
          <w:rFonts w:cs="Arial"/>
          <w:sz w:val="24"/>
          <w:szCs w:val="24"/>
        </w:rPr>
        <w:t xml:space="preserve"> studied here</w:t>
      </w:r>
      <w:r>
        <w:rPr>
          <w:rFonts w:cs="Arial"/>
          <w:sz w:val="24"/>
          <w:szCs w:val="24"/>
        </w:rPr>
        <w:t>. It was expected that s</w:t>
      </w:r>
      <w:r w:rsidR="001216C2" w:rsidRPr="001216C2">
        <w:rPr>
          <w:rFonts w:cs="Arial"/>
          <w:sz w:val="24"/>
          <w:szCs w:val="24"/>
        </w:rPr>
        <w:t>curvy would be less</w:t>
      </w:r>
      <w:r>
        <w:rPr>
          <w:rFonts w:cs="Arial"/>
          <w:sz w:val="24"/>
          <w:szCs w:val="24"/>
        </w:rPr>
        <w:t xml:space="preserve"> prevalent</w:t>
      </w:r>
      <w:r w:rsidR="001216C2" w:rsidRPr="001216C2">
        <w:rPr>
          <w:rFonts w:cs="Arial"/>
          <w:sz w:val="24"/>
          <w:szCs w:val="24"/>
        </w:rPr>
        <w:t xml:space="preserve"> in rural environments </w:t>
      </w:r>
      <w:r>
        <w:rPr>
          <w:rFonts w:cs="Arial"/>
          <w:sz w:val="24"/>
          <w:szCs w:val="24"/>
        </w:rPr>
        <w:t>due to the</w:t>
      </w:r>
      <w:r w:rsidR="001216C2" w:rsidRPr="001216C2">
        <w:rPr>
          <w:rFonts w:cs="Arial"/>
          <w:sz w:val="24"/>
          <w:szCs w:val="24"/>
        </w:rPr>
        <w:t xml:space="preserve"> increased availability of fruit and vegetables.</w:t>
      </w:r>
      <w:r>
        <w:rPr>
          <w:rFonts w:cs="Arial"/>
          <w:sz w:val="24"/>
          <w:szCs w:val="24"/>
        </w:rPr>
        <w:t xml:space="preserve"> </w:t>
      </w:r>
      <w:r w:rsidR="00C66E91">
        <w:rPr>
          <w:rFonts w:cs="Arial"/>
          <w:sz w:val="24"/>
          <w:szCs w:val="24"/>
        </w:rPr>
        <w:t>A regional survey of diet and nutrition highlights that in rural Yorkshire the working class</w:t>
      </w:r>
      <w:r w:rsidR="004D47B4">
        <w:rPr>
          <w:rFonts w:cs="Arial"/>
          <w:sz w:val="24"/>
          <w:szCs w:val="24"/>
        </w:rPr>
        <w:t>es</w:t>
      </w:r>
      <w:r w:rsidR="00C66E91">
        <w:rPr>
          <w:rFonts w:cs="Arial"/>
          <w:sz w:val="24"/>
          <w:szCs w:val="24"/>
        </w:rPr>
        <w:t xml:space="preserve"> </w:t>
      </w:r>
      <w:r w:rsidR="004D47B4">
        <w:rPr>
          <w:rFonts w:cs="Arial"/>
          <w:sz w:val="24"/>
          <w:szCs w:val="24"/>
        </w:rPr>
        <w:t>ate</w:t>
      </w:r>
      <w:r w:rsidR="00760539">
        <w:rPr>
          <w:rFonts w:cs="Arial"/>
          <w:sz w:val="24"/>
          <w:szCs w:val="24"/>
        </w:rPr>
        <w:t xml:space="preserve"> large</w:t>
      </w:r>
      <w:r w:rsidR="00C66E91">
        <w:rPr>
          <w:rFonts w:cs="Arial"/>
          <w:sz w:val="24"/>
          <w:szCs w:val="24"/>
        </w:rPr>
        <w:t>ly</w:t>
      </w:r>
      <w:r w:rsidR="00760539">
        <w:rPr>
          <w:rFonts w:cs="Arial"/>
          <w:sz w:val="24"/>
          <w:szCs w:val="24"/>
        </w:rPr>
        <w:t xml:space="preserve"> </w:t>
      </w:r>
      <w:r w:rsidR="00C66E91">
        <w:rPr>
          <w:rFonts w:cs="Arial"/>
          <w:sz w:val="24"/>
          <w:szCs w:val="24"/>
        </w:rPr>
        <w:t xml:space="preserve">bread, oatmeal, some sugar </w:t>
      </w:r>
      <w:r w:rsidR="00C66E91">
        <w:rPr>
          <w:rFonts w:cs="Arial"/>
          <w:sz w:val="24"/>
          <w:szCs w:val="24"/>
        </w:rPr>
        <w:lastRenderedPageBreak/>
        <w:t>and weak tea, rather than vitamin C rich</w:t>
      </w:r>
      <w:r w:rsidR="00D503DF">
        <w:rPr>
          <w:rFonts w:cs="Arial"/>
          <w:sz w:val="24"/>
          <w:szCs w:val="24"/>
        </w:rPr>
        <w:t xml:space="preserve"> food such as</w:t>
      </w:r>
      <w:r w:rsidR="00C66E91">
        <w:rPr>
          <w:rFonts w:cs="Arial"/>
          <w:sz w:val="24"/>
          <w:szCs w:val="24"/>
        </w:rPr>
        <w:t xml:space="preserve"> potatoes (</w:t>
      </w:r>
      <w:proofErr w:type="spellStart"/>
      <w:r w:rsidR="00C66E91">
        <w:rPr>
          <w:rFonts w:cs="Arial"/>
          <w:sz w:val="24"/>
          <w:szCs w:val="24"/>
        </w:rPr>
        <w:t>Horrell</w:t>
      </w:r>
      <w:proofErr w:type="spellEnd"/>
      <w:r w:rsidR="00C66E91">
        <w:rPr>
          <w:rFonts w:cs="Arial"/>
          <w:sz w:val="24"/>
          <w:szCs w:val="24"/>
        </w:rPr>
        <w:t xml:space="preserve"> and Oxley 2012)</w:t>
      </w:r>
      <w:r w:rsidR="00760539">
        <w:rPr>
          <w:rFonts w:cs="Arial"/>
          <w:sz w:val="24"/>
          <w:szCs w:val="24"/>
        </w:rPr>
        <w:t xml:space="preserve">. </w:t>
      </w:r>
      <w:r w:rsidR="00C66E91">
        <w:rPr>
          <w:rFonts w:cs="Arial"/>
          <w:sz w:val="24"/>
          <w:szCs w:val="24"/>
        </w:rPr>
        <w:t>Historical records have also documented that the diet of women and children was more monotonous and less likely to include meat compared to men (</w:t>
      </w:r>
      <w:proofErr w:type="spellStart"/>
      <w:r w:rsidR="009D0186">
        <w:rPr>
          <w:rFonts w:cs="Arial"/>
          <w:sz w:val="24"/>
          <w:szCs w:val="24"/>
        </w:rPr>
        <w:t>Horrell</w:t>
      </w:r>
      <w:proofErr w:type="spellEnd"/>
      <w:r w:rsidR="009D0186">
        <w:rPr>
          <w:rFonts w:cs="Arial"/>
          <w:sz w:val="24"/>
          <w:szCs w:val="24"/>
        </w:rPr>
        <w:t xml:space="preserve"> and Oxley 2012; </w:t>
      </w:r>
      <w:r w:rsidR="00C66E91">
        <w:rPr>
          <w:rFonts w:cs="Arial"/>
          <w:sz w:val="24"/>
          <w:szCs w:val="24"/>
        </w:rPr>
        <w:t>Humphries 2010).</w:t>
      </w:r>
    </w:p>
    <w:p w14:paraId="43A803E1" w14:textId="77777777" w:rsidR="004D47B4" w:rsidRDefault="004D47B4" w:rsidP="00453751">
      <w:pPr>
        <w:spacing w:line="480" w:lineRule="auto"/>
        <w:rPr>
          <w:rFonts w:cs="Arial"/>
          <w:sz w:val="24"/>
          <w:szCs w:val="24"/>
        </w:rPr>
      </w:pPr>
    </w:p>
    <w:p w14:paraId="1D614351" w14:textId="770B6F4C" w:rsidR="00D606F4" w:rsidRDefault="00736A31" w:rsidP="00453751">
      <w:pPr>
        <w:spacing w:line="480" w:lineRule="auto"/>
        <w:rPr>
          <w:rFonts w:cs="Arial"/>
          <w:sz w:val="24"/>
          <w:szCs w:val="24"/>
        </w:rPr>
      </w:pPr>
      <w:r>
        <w:rPr>
          <w:rFonts w:cs="Arial"/>
          <w:sz w:val="24"/>
          <w:szCs w:val="24"/>
        </w:rPr>
        <w:t xml:space="preserve">Dental enamel hypoplasia </w:t>
      </w:r>
      <w:r w:rsidR="003766AD">
        <w:rPr>
          <w:rFonts w:cs="Arial"/>
          <w:sz w:val="24"/>
          <w:szCs w:val="24"/>
        </w:rPr>
        <w:t xml:space="preserve">(DEH) </w:t>
      </w:r>
      <w:r>
        <w:rPr>
          <w:rFonts w:cs="Arial"/>
          <w:sz w:val="24"/>
          <w:szCs w:val="24"/>
        </w:rPr>
        <w:t xml:space="preserve">prevalence was comparable between the sites. </w:t>
      </w:r>
      <w:r w:rsidR="003766AD">
        <w:rPr>
          <w:rFonts w:cs="Arial"/>
          <w:sz w:val="24"/>
          <w:szCs w:val="24"/>
        </w:rPr>
        <w:t>DEH</w:t>
      </w:r>
      <w:r w:rsidR="009D0186">
        <w:rPr>
          <w:rFonts w:cs="Arial"/>
          <w:sz w:val="24"/>
          <w:szCs w:val="24"/>
        </w:rPr>
        <w:t xml:space="preserve"> has multiple </w:t>
      </w:r>
      <w:proofErr w:type="spellStart"/>
      <w:r>
        <w:rPr>
          <w:rFonts w:cs="Arial"/>
          <w:sz w:val="24"/>
          <w:szCs w:val="24"/>
        </w:rPr>
        <w:t>etiologies</w:t>
      </w:r>
      <w:proofErr w:type="spellEnd"/>
      <w:r>
        <w:rPr>
          <w:rFonts w:cs="Arial"/>
          <w:sz w:val="24"/>
          <w:szCs w:val="24"/>
        </w:rPr>
        <w:t xml:space="preserve"> (e.g. infectious disease, trauma, malnutrition), and</w:t>
      </w:r>
      <w:r w:rsidR="001216C2" w:rsidRPr="001216C2">
        <w:rPr>
          <w:rFonts w:cs="Arial"/>
          <w:sz w:val="24"/>
          <w:szCs w:val="24"/>
        </w:rPr>
        <w:t xml:space="preserve"> is generally regarded </w:t>
      </w:r>
      <w:r w:rsidR="00977F7C">
        <w:rPr>
          <w:rFonts w:cs="Arial"/>
          <w:sz w:val="24"/>
          <w:szCs w:val="24"/>
        </w:rPr>
        <w:t>as</w:t>
      </w:r>
      <w:r w:rsidR="001216C2" w:rsidRPr="001216C2">
        <w:rPr>
          <w:rFonts w:cs="Arial"/>
          <w:sz w:val="24"/>
          <w:szCs w:val="24"/>
        </w:rPr>
        <w:t xml:space="preserve"> a </w:t>
      </w:r>
      <w:r>
        <w:rPr>
          <w:rFonts w:cs="Arial"/>
          <w:sz w:val="24"/>
          <w:szCs w:val="24"/>
        </w:rPr>
        <w:t>‘</w:t>
      </w:r>
      <w:r w:rsidR="001216C2" w:rsidRPr="001216C2">
        <w:rPr>
          <w:rFonts w:cs="Arial"/>
          <w:sz w:val="24"/>
          <w:szCs w:val="24"/>
        </w:rPr>
        <w:t>non-specific</w:t>
      </w:r>
      <w:r>
        <w:rPr>
          <w:rFonts w:cs="Arial"/>
          <w:sz w:val="24"/>
          <w:szCs w:val="24"/>
        </w:rPr>
        <w:t>’</w:t>
      </w:r>
      <w:r w:rsidR="00F808E9">
        <w:rPr>
          <w:rFonts w:cs="Arial"/>
          <w:sz w:val="24"/>
          <w:szCs w:val="24"/>
        </w:rPr>
        <w:t xml:space="preserve"> indicator of </w:t>
      </w:r>
      <w:r w:rsidR="00305B1E">
        <w:rPr>
          <w:rFonts w:cs="Arial"/>
          <w:sz w:val="24"/>
          <w:szCs w:val="24"/>
        </w:rPr>
        <w:t>disease</w:t>
      </w:r>
      <w:r w:rsidR="00F808E9">
        <w:rPr>
          <w:rFonts w:cs="Arial"/>
          <w:sz w:val="24"/>
          <w:szCs w:val="24"/>
        </w:rPr>
        <w:t>;</w:t>
      </w:r>
      <w:r w:rsidR="001216C2" w:rsidRPr="001216C2">
        <w:rPr>
          <w:rFonts w:cs="Arial"/>
          <w:sz w:val="24"/>
          <w:szCs w:val="24"/>
        </w:rPr>
        <w:t xml:space="preserve"> </w:t>
      </w:r>
      <w:r>
        <w:rPr>
          <w:rFonts w:cs="Arial"/>
          <w:sz w:val="24"/>
          <w:szCs w:val="24"/>
        </w:rPr>
        <w:t xml:space="preserve">however, </w:t>
      </w:r>
      <w:r w:rsidR="001216C2" w:rsidRPr="001216C2">
        <w:rPr>
          <w:rFonts w:cs="Arial"/>
          <w:sz w:val="24"/>
          <w:szCs w:val="24"/>
        </w:rPr>
        <w:t>it is worth</w:t>
      </w:r>
      <w:r>
        <w:rPr>
          <w:rFonts w:cs="Arial"/>
          <w:sz w:val="24"/>
          <w:szCs w:val="24"/>
        </w:rPr>
        <w:t>while</w:t>
      </w:r>
      <w:r w:rsidR="001216C2" w:rsidRPr="001216C2">
        <w:rPr>
          <w:rFonts w:cs="Arial"/>
          <w:sz w:val="24"/>
          <w:szCs w:val="24"/>
        </w:rPr>
        <w:t xml:space="preserve"> focusing on the </w:t>
      </w:r>
      <w:r w:rsidRPr="00826D6F">
        <w:rPr>
          <w:rFonts w:cs="Arial"/>
          <w:i/>
          <w:sz w:val="24"/>
          <w:szCs w:val="24"/>
        </w:rPr>
        <w:t>type</w:t>
      </w:r>
      <w:r>
        <w:rPr>
          <w:rFonts w:cs="Arial"/>
          <w:sz w:val="24"/>
          <w:szCs w:val="24"/>
        </w:rPr>
        <w:t xml:space="preserve"> of hypoplastic defects present</w:t>
      </w:r>
      <w:r w:rsidR="001216C2" w:rsidRPr="001216C2">
        <w:rPr>
          <w:rFonts w:cs="Arial"/>
          <w:sz w:val="24"/>
          <w:szCs w:val="24"/>
        </w:rPr>
        <w:t xml:space="preserve">. </w:t>
      </w:r>
      <w:r>
        <w:rPr>
          <w:rFonts w:cs="Arial"/>
          <w:sz w:val="24"/>
          <w:szCs w:val="24"/>
        </w:rPr>
        <w:t xml:space="preserve">While linear enamel hypoplasia is by far the most common form exhibited in skeletal </w:t>
      </w:r>
      <w:r w:rsidR="003766AD">
        <w:rPr>
          <w:rFonts w:cs="Arial"/>
          <w:sz w:val="24"/>
          <w:szCs w:val="24"/>
        </w:rPr>
        <w:t>samples generally</w:t>
      </w:r>
      <w:r>
        <w:rPr>
          <w:rFonts w:cs="Arial"/>
          <w:sz w:val="24"/>
          <w:szCs w:val="24"/>
        </w:rPr>
        <w:t xml:space="preserve">, </w:t>
      </w:r>
      <w:r w:rsidR="00A774CC">
        <w:rPr>
          <w:rFonts w:cs="Arial"/>
          <w:sz w:val="24"/>
          <w:szCs w:val="24"/>
        </w:rPr>
        <w:t>at Fewston</w:t>
      </w:r>
      <w:r>
        <w:rPr>
          <w:rFonts w:cs="Arial"/>
          <w:sz w:val="24"/>
          <w:szCs w:val="24"/>
        </w:rPr>
        <w:t xml:space="preserve"> there are a number of individuals that have ‘p</w:t>
      </w:r>
      <w:r w:rsidR="001216C2" w:rsidRPr="001216C2">
        <w:rPr>
          <w:rFonts w:cs="Arial"/>
          <w:sz w:val="24"/>
          <w:szCs w:val="24"/>
        </w:rPr>
        <w:t>lane-form’ and ‘pitted’ defects, of the type described by Ogden et al</w:t>
      </w:r>
      <w:r>
        <w:rPr>
          <w:rFonts w:cs="Arial"/>
          <w:sz w:val="24"/>
          <w:szCs w:val="24"/>
        </w:rPr>
        <w:t>. (2007)</w:t>
      </w:r>
      <w:r w:rsidR="001216C2" w:rsidRPr="001216C2">
        <w:rPr>
          <w:rFonts w:cs="Arial"/>
          <w:sz w:val="24"/>
          <w:szCs w:val="24"/>
        </w:rPr>
        <w:t>, as ‘</w:t>
      </w:r>
      <w:proofErr w:type="spellStart"/>
      <w:r w:rsidR="001216C2" w:rsidRPr="001216C2">
        <w:rPr>
          <w:rFonts w:cs="Arial"/>
          <w:sz w:val="24"/>
          <w:szCs w:val="24"/>
        </w:rPr>
        <w:t>cuspal</w:t>
      </w:r>
      <w:proofErr w:type="spellEnd"/>
      <w:r w:rsidR="001216C2" w:rsidRPr="001216C2">
        <w:rPr>
          <w:rFonts w:cs="Arial"/>
          <w:sz w:val="24"/>
          <w:szCs w:val="24"/>
        </w:rPr>
        <w:t xml:space="preserve"> enamel hypoplasia’</w:t>
      </w:r>
      <w:r w:rsidR="006301C4">
        <w:rPr>
          <w:rFonts w:cs="Arial"/>
          <w:sz w:val="24"/>
          <w:szCs w:val="24"/>
        </w:rPr>
        <w:t xml:space="preserve"> (Fig. </w:t>
      </w:r>
      <w:r w:rsidR="00C236DD">
        <w:rPr>
          <w:rFonts w:cs="Arial"/>
          <w:sz w:val="24"/>
          <w:szCs w:val="24"/>
        </w:rPr>
        <w:t>9</w:t>
      </w:r>
      <w:r w:rsidR="006301C4">
        <w:rPr>
          <w:rFonts w:cs="Arial"/>
          <w:sz w:val="24"/>
          <w:szCs w:val="24"/>
        </w:rPr>
        <w:t>)</w:t>
      </w:r>
      <w:r w:rsidR="001216C2" w:rsidRPr="001216C2">
        <w:rPr>
          <w:rFonts w:cs="Arial"/>
          <w:sz w:val="24"/>
          <w:szCs w:val="24"/>
        </w:rPr>
        <w:t>.</w:t>
      </w:r>
      <w:r w:rsidR="004A1658">
        <w:rPr>
          <w:rFonts w:cs="Arial"/>
          <w:sz w:val="24"/>
          <w:szCs w:val="24"/>
        </w:rPr>
        <w:t xml:space="preserve"> This term describes the combination of pitted and plane-form lesions, together with a disruption in </w:t>
      </w:r>
      <w:r w:rsidR="009D0186">
        <w:rPr>
          <w:rFonts w:cs="Arial"/>
          <w:sz w:val="24"/>
          <w:szCs w:val="24"/>
        </w:rPr>
        <w:t xml:space="preserve">the </w:t>
      </w:r>
      <w:r w:rsidR="004A1658">
        <w:rPr>
          <w:rFonts w:cs="Arial"/>
          <w:sz w:val="24"/>
          <w:szCs w:val="24"/>
        </w:rPr>
        <w:t>pattern of the molar cusps, such that multiple small cusps form</w:t>
      </w:r>
      <w:r w:rsidR="009C3844">
        <w:rPr>
          <w:rFonts w:cs="Arial"/>
          <w:sz w:val="24"/>
          <w:szCs w:val="24"/>
        </w:rPr>
        <w:t xml:space="preserve"> and develop</w:t>
      </w:r>
      <w:r w:rsidR="004A1658">
        <w:rPr>
          <w:rFonts w:cs="Arial"/>
          <w:sz w:val="24"/>
          <w:szCs w:val="24"/>
        </w:rPr>
        <w:t xml:space="preserve">. </w:t>
      </w:r>
      <w:r w:rsidR="001216C2" w:rsidRPr="001216C2">
        <w:rPr>
          <w:rFonts w:cs="Arial"/>
          <w:sz w:val="24"/>
          <w:szCs w:val="24"/>
        </w:rPr>
        <w:t xml:space="preserve"> Ogden </w:t>
      </w:r>
      <w:r w:rsidR="009C3844">
        <w:rPr>
          <w:rFonts w:cs="Arial"/>
          <w:sz w:val="24"/>
          <w:szCs w:val="24"/>
        </w:rPr>
        <w:t>and colleagues</w:t>
      </w:r>
      <w:r w:rsidR="001216C2" w:rsidRPr="001216C2">
        <w:rPr>
          <w:rFonts w:cs="Arial"/>
          <w:sz w:val="24"/>
          <w:szCs w:val="24"/>
        </w:rPr>
        <w:t xml:space="preserve"> (2007</w:t>
      </w:r>
      <w:r w:rsidR="00BE48B7">
        <w:rPr>
          <w:rFonts w:cs="Arial"/>
          <w:sz w:val="24"/>
          <w:szCs w:val="24"/>
        </w:rPr>
        <w:t>:</w:t>
      </w:r>
      <w:r w:rsidR="001216C2" w:rsidRPr="001216C2">
        <w:rPr>
          <w:rFonts w:cs="Arial"/>
          <w:sz w:val="24"/>
          <w:szCs w:val="24"/>
        </w:rPr>
        <w:t xml:space="preserve"> 960) </w:t>
      </w:r>
      <w:r w:rsidR="001903BB">
        <w:rPr>
          <w:rFonts w:cs="Arial"/>
          <w:sz w:val="24"/>
          <w:szCs w:val="24"/>
        </w:rPr>
        <w:t>noted</w:t>
      </w:r>
      <w:r w:rsidR="00A774CC">
        <w:rPr>
          <w:rFonts w:cs="Arial"/>
          <w:sz w:val="24"/>
          <w:szCs w:val="24"/>
        </w:rPr>
        <w:t xml:space="preserve"> a </w:t>
      </w:r>
      <w:r w:rsidR="001903BB">
        <w:rPr>
          <w:rFonts w:cs="Arial"/>
          <w:sz w:val="24"/>
          <w:szCs w:val="24"/>
        </w:rPr>
        <w:t xml:space="preserve">relatively high </w:t>
      </w:r>
      <w:r w:rsidR="00A774CC">
        <w:rPr>
          <w:rFonts w:cs="Arial"/>
          <w:sz w:val="24"/>
          <w:szCs w:val="24"/>
        </w:rPr>
        <w:t xml:space="preserve">number of individuals with such defects </w:t>
      </w:r>
      <w:r w:rsidR="005F3962">
        <w:rPr>
          <w:rFonts w:cs="Arial"/>
          <w:sz w:val="24"/>
          <w:szCs w:val="24"/>
        </w:rPr>
        <w:t xml:space="preserve">(on deciduous and permanent teeth) </w:t>
      </w:r>
      <w:r w:rsidR="00A774CC">
        <w:rPr>
          <w:rFonts w:cs="Arial"/>
          <w:sz w:val="24"/>
          <w:szCs w:val="24"/>
        </w:rPr>
        <w:t>from the</w:t>
      </w:r>
      <w:r>
        <w:rPr>
          <w:rFonts w:cs="Arial"/>
          <w:sz w:val="24"/>
          <w:szCs w:val="24"/>
        </w:rPr>
        <w:t xml:space="preserve"> post-medieval site of Broadgate in London</w:t>
      </w:r>
      <w:r w:rsidR="009C3844">
        <w:rPr>
          <w:rFonts w:cs="Arial"/>
          <w:sz w:val="24"/>
          <w:szCs w:val="24"/>
        </w:rPr>
        <w:t xml:space="preserve"> and </w:t>
      </w:r>
      <w:r w:rsidR="004A1658">
        <w:rPr>
          <w:rFonts w:cs="Arial"/>
          <w:sz w:val="24"/>
          <w:szCs w:val="24"/>
        </w:rPr>
        <w:t xml:space="preserve">explored a </w:t>
      </w:r>
      <w:r w:rsidR="001903BB">
        <w:rPr>
          <w:rFonts w:cs="Arial"/>
          <w:sz w:val="24"/>
          <w:szCs w:val="24"/>
        </w:rPr>
        <w:t>range of</w:t>
      </w:r>
      <w:r w:rsidR="004A1658">
        <w:rPr>
          <w:rFonts w:cs="Arial"/>
          <w:sz w:val="24"/>
          <w:szCs w:val="24"/>
        </w:rPr>
        <w:t xml:space="preserve"> reasons for these defects</w:t>
      </w:r>
      <w:r w:rsidR="00FB5F62">
        <w:rPr>
          <w:rFonts w:cs="Arial"/>
          <w:sz w:val="24"/>
          <w:szCs w:val="24"/>
        </w:rPr>
        <w:t xml:space="preserve">, including vitamin D deficiency. </w:t>
      </w:r>
      <w:r w:rsidR="00305B1E">
        <w:rPr>
          <w:rFonts w:cs="Arial"/>
          <w:sz w:val="24"/>
          <w:szCs w:val="24"/>
        </w:rPr>
        <w:t xml:space="preserve">Pitting and </w:t>
      </w:r>
      <w:proofErr w:type="spellStart"/>
      <w:r w:rsidR="00305B1E">
        <w:rPr>
          <w:rFonts w:cs="Arial"/>
          <w:sz w:val="24"/>
          <w:szCs w:val="24"/>
        </w:rPr>
        <w:t>c</w:t>
      </w:r>
      <w:r w:rsidR="005F3962">
        <w:rPr>
          <w:rFonts w:cs="Arial"/>
          <w:sz w:val="24"/>
          <w:szCs w:val="24"/>
        </w:rPr>
        <w:t>uspal</w:t>
      </w:r>
      <w:proofErr w:type="spellEnd"/>
      <w:r w:rsidR="005F3962">
        <w:rPr>
          <w:rFonts w:cs="Arial"/>
          <w:sz w:val="24"/>
          <w:szCs w:val="24"/>
        </w:rPr>
        <w:t xml:space="preserve"> enamel hypoplasia</w:t>
      </w:r>
      <w:r w:rsidR="00826D6F">
        <w:rPr>
          <w:rFonts w:cs="Arial"/>
          <w:sz w:val="24"/>
          <w:szCs w:val="24"/>
        </w:rPr>
        <w:t xml:space="preserve"> is also observed</w:t>
      </w:r>
      <w:r w:rsidR="009C3844" w:rsidRPr="009C3844">
        <w:rPr>
          <w:rFonts w:cs="Arial"/>
          <w:sz w:val="24"/>
          <w:szCs w:val="24"/>
        </w:rPr>
        <w:t xml:space="preserve"> on the deciduous teeth at Fewston</w:t>
      </w:r>
      <w:r w:rsidR="004D47B4">
        <w:rPr>
          <w:rFonts w:cs="Arial"/>
          <w:sz w:val="24"/>
          <w:szCs w:val="24"/>
        </w:rPr>
        <w:t>,</w:t>
      </w:r>
      <w:r w:rsidR="009C3844">
        <w:rPr>
          <w:rFonts w:cs="Arial"/>
          <w:sz w:val="24"/>
          <w:szCs w:val="24"/>
        </w:rPr>
        <w:t xml:space="preserve"> </w:t>
      </w:r>
      <w:r w:rsidR="00826D6F">
        <w:rPr>
          <w:rFonts w:cs="Arial"/>
          <w:sz w:val="24"/>
          <w:szCs w:val="24"/>
        </w:rPr>
        <w:t>indicating</w:t>
      </w:r>
      <w:r w:rsidR="003766AD">
        <w:rPr>
          <w:rFonts w:cs="Arial"/>
          <w:sz w:val="24"/>
          <w:szCs w:val="24"/>
        </w:rPr>
        <w:t xml:space="preserve"> an</w:t>
      </w:r>
      <w:r w:rsidR="00826D6F">
        <w:rPr>
          <w:rFonts w:cs="Arial"/>
          <w:sz w:val="24"/>
          <w:szCs w:val="24"/>
        </w:rPr>
        <w:t xml:space="preserve"> </w:t>
      </w:r>
      <w:proofErr w:type="gramStart"/>
      <w:r w:rsidR="009C3844" w:rsidRPr="009D0186">
        <w:rPr>
          <w:rFonts w:cs="Arial"/>
          <w:sz w:val="24"/>
          <w:szCs w:val="24"/>
        </w:rPr>
        <w:t>in utero</w:t>
      </w:r>
      <w:proofErr w:type="gramEnd"/>
      <w:r w:rsidR="007921F0">
        <w:rPr>
          <w:rFonts w:cs="Arial"/>
          <w:sz w:val="24"/>
          <w:szCs w:val="24"/>
        </w:rPr>
        <w:t xml:space="preserve"> insufficiency</w:t>
      </w:r>
      <w:r w:rsidR="009F48A2">
        <w:rPr>
          <w:rFonts w:cs="Arial"/>
          <w:sz w:val="24"/>
          <w:szCs w:val="24"/>
        </w:rPr>
        <w:t xml:space="preserve">. </w:t>
      </w:r>
      <w:r w:rsidR="00D606F4">
        <w:rPr>
          <w:rFonts w:cs="Arial"/>
          <w:sz w:val="24"/>
          <w:szCs w:val="24"/>
        </w:rPr>
        <w:t>Purvis and colleagues</w:t>
      </w:r>
      <w:r w:rsidR="005F3962">
        <w:rPr>
          <w:rFonts w:cs="Arial"/>
          <w:sz w:val="24"/>
          <w:szCs w:val="24"/>
        </w:rPr>
        <w:t>’</w:t>
      </w:r>
      <w:r w:rsidR="00D606F4">
        <w:rPr>
          <w:rFonts w:cs="Arial"/>
          <w:sz w:val="24"/>
          <w:szCs w:val="24"/>
        </w:rPr>
        <w:t xml:space="preserve"> (1973) clinical study noted an association between very similar hypoplastic lesions in the deciduous teeth and neonatal tetany, arising from deficiency in vitamin D in the mothers during the third trimester of pregnancy. </w:t>
      </w:r>
      <w:r w:rsidR="005F3962">
        <w:rPr>
          <w:rFonts w:cs="Arial"/>
          <w:sz w:val="24"/>
          <w:szCs w:val="24"/>
        </w:rPr>
        <w:t>Their</w:t>
      </w:r>
      <w:r w:rsidR="00D606F4">
        <w:rPr>
          <w:rFonts w:cs="Arial"/>
          <w:sz w:val="24"/>
          <w:szCs w:val="24"/>
        </w:rPr>
        <w:t xml:space="preserve"> sample was from Scotland, a northerly latitude</w:t>
      </w:r>
      <w:r w:rsidR="005F3962">
        <w:rPr>
          <w:rFonts w:cs="Arial"/>
          <w:sz w:val="24"/>
          <w:szCs w:val="24"/>
        </w:rPr>
        <w:t>,</w:t>
      </w:r>
      <w:r w:rsidR="00D606F4">
        <w:rPr>
          <w:rFonts w:cs="Arial"/>
          <w:sz w:val="24"/>
          <w:szCs w:val="24"/>
        </w:rPr>
        <w:t xml:space="preserve"> and they observed an increase in frequency during winter and spring when hours of sunshine were lowest. They also noted an association with increased maternal parity and </w:t>
      </w:r>
      <w:r w:rsidR="00D606F4">
        <w:rPr>
          <w:rFonts w:cs="Arial"/>
          <w:sz w:val="24"/>
          <w:szCs w:val="24"/>
        </w:rPr>
        <w:lastRenderedPageBreak/>
        <w:t xml:space="preserve">low social status. </w:t>
      </w:r>
      <w:r w:rsidR="00826D6F">
        <w:rPr>
          <w:rFonts w:cs="Arial"/>
          <w:sz w:val="24"/>
          <w:szCs w:val="24"/>
        </w:rPr>
        <w:t xml:space="preserve"> </w:t>
      </w:r>
      <w:r w:rsidR="00181FA8" w:rsidRPr="00181FA8">
        <w:rPr>
          <w:rFonts w:cs="Arial"/>
          <w:sz w:val="24"/>
          <w:szCs w:val="24"/>
        </w:rPr>
        <w:t xml:space="preserve">Similar </w:t>
      </w:r>
      <w:r w:rsidR="00F403EE">
        <w:rPr>
          <w:rFonts w:cs="Arial"/>
          <w:sz w:val="24"/>
          <w:szCs w:val="24"/>
        </w:rPr>
        <w:t>instances</w:t>
      </w:r>
      <w:r w:rsidR="00181FA8" w:rsidRPr="00181FA8">
        <w:rPr>
          <w:rFonts w:cs="Arial"/>
          <w:sz w:val="24"/>
          <w:szCs w:val="24"/>
        </w:rPr>
        <w:t xml:space="preserve"> of modern cases of enamel hypoplasia associated with nutritional rickets have been reported in the more recent medical literature (e.g. Davit-</w:t>
      </w:r>
      <w:proofErr w:type="spellStart"/>
      <w:r w:rsidR="00181FA8" w:rsidRPr="00181FA8">
        <w:rPr>
          <w:rFonts w:cs="Arial"/>
          <w:sz w:val="24"/>
          <w:szCs w:val="24"/>
        </w:rPr>
        <w:t>Bé</w:t>
      </w:r>
      <w:r w:rsidR="00F403EE">
        <w:rPr>
          <w:rFonts w:cs="Arial"/>
          <w:sz w:val="24"/>
          <w:szCs w:val="24"/>
        </w:rPr>
        <w:t>al</w:t>
      </w:r>
      <w:proofErr w:type="spellEnd"/>
      <w:r w:rsidR="00F403EE">
        <w:rPr>
          <w:rFonts w:cs="Arial"/>
          <w:sz w:val="24"/>
          <w:szCs w:val="24"/>
        </w:rPr>
        <w:t xml:space="preserve"> et al. 201</w:t>
      </w:r>
      <w:r w:rsidR="0024693A">
        <w:rPr>
          <w:rFonts w:cs="Arial"/>
          <w:sz w:val="24"/>
          <w:szCs w:val="24"/>
        </w:rPr>
        <w:t>4</w:t>
      </w:r>
      <w:r w:rsidR="00F403EE">
        <w:rPr>
          <w:rFonts w:cs="Arial"/>
          <w:sz w:val="24"/>
          <w:szCs w:val="24"/>
        </w:rPr>
        <w:t xml:space="preserve">). The presentation of these defects </w:t>
      </w:r>
      <w:r w:rsidR="00181FA8" w:rsidRPr="00181FA8">
        <w:rPr>
          <w:rFonts w:cs="Arial"/>
          <w:sz w:val="24"/>
          <w:szCs w:val="24"/>
        </w:rPr>
        <w:t xml:space="preserve">are identical </w:t>
      </w:r>
      <w:r w:rsidR="00F403EE">
        <w:rPr>
          <w:rFonts w:cs="Arial"/>
          <w:sz w:val="24"/>
          <w:szCs w:val="24"/>
        </w:rPr>
        <w:t>to those</w:t>
      </w:r>
      <w:r w:rsidR="00181FA8" w:rsidRPr="00181FA8">
        <w:rPr>
          <w:rFonts w:cs="Arial"/>
          <w:sz w:val="24"/>
          <w:szCs w:val="24"/>
        </w:rPr>
        <w:t xml:space="preserve"> observed </w:t>
      </w:r>
      <w:r w:rsidR="00F403EE">
        <w:rPr>
          <w:rFonts w:cs="Arial"/>
          <w:sz w:val="24"/>
          <w:szCs w:val="24"/>
        </w:rPr>
        <w:t>amongst the Fewston skeletons</w:t>
      </w:r>
      <w:r w:rsidR="004D47B4">
        <w:rPr>
          <w:rFonts w:cs="Arial"/>
          <w:sz w:val="24"/>
          <w:szCs w:val="24"/>
        </w:rPr>
        <w:t xml:space="preserve"> </w:t>
      </w:r>
      <w:r w:rsidR="004D47B4" w:rsidRPr="00181FA8">
        <w:rPr>
          <w:rFonts w:cs="Arial"/>
          <w:sz w:val="24"/>
          <w:szCs w:val="24"/>
        </w:rPr>
        <w:t>in terms of the teeth affected and location</w:t>
      </w:r>
      <w:r w:rsidR="00181FA8" w:rsidRPr="00181FA8">
        <w:rPr>
          <w:rFonts w:cs="Arial"/>
          <w:sz w:val="24"/>
          <w:szCs w:val="24"/>
        </w:rPr>
        <w:t>.</w:t>
      </w:r>
      <w:r w:rsidR="00181FA8">
        <w:rPr>
          <w:rFonts w:cs="Arial"/>
          <w:sz w:val="24"/>
          <w:szCs w:val="24"/>
        </w:rPr>
        <w:t xml:space="preserve"> </w:t>
      </w:r>
      <w:r w:rsidR="00D606F4">
        <w:rPr>
          <w:rFonts w:cs="Arial"/>
          <w:sz w:val="24"/>
          <w:szCs w:val="24"/>
        </w:rPr>
        <w:t>V</w:t>
      </w:r>
      <w:r w:rsidR="00D503DF">
        <w:rPr>
          <w:rFonts w:cs="Arial"/>
          <w:sz w:val="24"/>
          <w:szCs w:val="24"/>
        </w:rPr>
        <w:t>itamin D deficiency in</w:t>
      </w:r>
      <w:r w:rsidR="00D606F4">
        <w:rPr>
          <w:rFonts w:cs="Arial"/>
          <w:sz w:val="24"/>
          <w:szCs w:val="24"/>
        </w:rPr>
        <w:t xml:space="preserve"> </w:t>
      </w:r>
      <w:r w:rsidR="0058200B">
        <w:rPr>
          <w:rFonts w:cs="Arial"/>
          <w:sz w:val="24"/>
          <w:szCs w:val="24"/>
        </w:rPr>
        <w:t xml:space="preserve">pregnant women is </w:t>
      </w:r>
      <w:r w:rsidR="00D606F4">
        <w:rPr>
          <w:rFonts w:cs="Arial"/>
          <w:sz w:val="24"/>
          <w:szCs w:val="24"/>
        </w:rPr>
        <w:t xml:space="preserve">known </w:t>
      </w:r>
      <w:r w:rsidR="00AE6A36">
        <w:rPr>
          <w:rFonts w:cs="Arial"/>
          <w:sz w:val="24"/>
          <w:szCs w:val="24"/>
        </w:rPr>
        <w:t>to result in adverse maternal health and birth outcomes</w:t>
      </w:r>
      <w:r w:rsidR="00A57724">
        <w:rPr>
          <w:rFonts w:cs="Arial"/>
          <w:sz w:val="24"/>
          <w:szCs w:val="24"/>
        </w:rPr>
        <w:t xml:space="preserve"> impacting on </w:t>
      </w:r>
      <w:r w:rsidR="00D503DF">
        <w:rPr>
          <w:rFonts w:cs="Arial"/>
          <w:sz w:val="24"/>
          <w:szCs w:val="24"/>
        </w:rPr>
        <w:t xml:space="preserve">the </w:t>
      </w:r>
      <w:r w:rsidR="00A57724">
        <w:rPr>
          <w:rFonts w:cs="Arial"/>
          <w:sz w:val="24"/>
          <w:szCs w:val="24"/>
        </w:rPr>
        <w:t>birth weight, bone mass and immunity</w:t>
      </w:r>
      <w:r w:rsidR="00D503DF">
        <w:rPr>
          <w:rFonts w:cs="Arial"/>
          <w:sz w:val="24"/>
          <w:szCs w:val="24"/>
        </w:rPr>
        <w:t xml:space="preserve"> of the infant</w:t>
      </w:r>
      <w:r w:rsidR="00A57724">
        <w:rPr>
          <w:rFonts w:cs="Arial"/>
          <w:sz w:val="24"/>
          <w:szCs w:val="24"/>
        </w:rPr>
        <w:t xml:space="preserve"> </w:t>
      </w:r>
      <w:r w:rsidR="00AE6A36">
        <w:rPr>
          <w:rFonts w:cs="Arial"/>
          <w:sz w:val="24"/>
          <w:szCs w:val="24"/>
        </w:rPr>
        <w:t>(</w:t>
      </w:r>
      <w:proofErr w:type="spellStart"/>
      <w:r w:rsidR="0058200B" w:rsidRPr="0058200B">
        <w:rPr>
          <w:rFonts w:cs="Arial"/>
          <w:sz w:val="24"/>
          <w:szCs w:val="24"/>
        </w:rPr>
        <w:t>Karras</w:t>
      </w:r>
      <w:proofErr w:type="spellEnd"/>
      <w:r w:rsidR="0058200B" w:rsidRPr="0058200B">
        <w:rPr>
          <w:rFonts w:cs="Arial"/>
          <w:sz w:val="24"/>
          <w:szCs w:val="24"/>
        </w:rPr>
        <w:t xml:space="preserve"> et al. 2016</w:t>
      </w:r>
      <w:r w:rsidR="0058200B">
        <w:rPr>
          <w:rFonts w:cs="Arial"/>
          <w:sz w:val="24"/>
          <w:szCs w:val="24"/>
        </w:rPr>
        <w:t xml:space="preserve">; </w:t>
      </w:r>
      <w:r w:rsidR="00D503DF">
        <w:rPr>
          <w:rFonts w:cs="Arial"/>
          <w:sz w:val="24"/>
          <w:szCs w:val="24"/>
        </w:rPr>
        <w:t>Paterson and Ayoub 2015</w:t>
      </w:r>
      <w:r w:rsidR="00AE6A36">
        <w:rPr>
          <w:rFonts w:cs="Arial"/>
          <w:sz w:val="24"/>
          <w:szCs w:val="24"/>
        </w:rPr>
        <w:t>)</w:t>
      </w:r>
      <w:r w:rsidR="00673847">
        <w:rPr>
          <w:rFonts w:cs="Arial"/>
          <w:sz w:val="24"/>
          <w:szCs w:val="24"/>
        </w:rPr>
        <w:t xml:space="preserve">. </w:t>
      </w:r>
    </w:p>
    <w:p w14:paraId="14485534" w14:textId="77777777" w:rsidR="002A1CA3" w:rsidRDefault="002A1CA3" w:rsidP="00453751">
      <w:pPr>
        <w:spacing w:line="480" w:lineRule="auto"/>
        <w:rPr>
          <w:rFonts w:cs="Arial"/>
          <w:sz w:val="24"/>
          <w:szCs w:val="24"/>
        </w:rPr>
      </w:pPr>
    </w:p>
    <w:p w14:paraId="7A42ED79" w14:textId="38EC583B" w:rsidR="00181FA8" w:rsidRDefault="00FB5F62" w:rsidP="00453751">
      <w:pPr>
        <w:spacing w:line="480" w:lineRule="auto"/>
        <w:rPr>
          <w:rFonts w:cs="Arial"/>
          <w:sz w:val="24"/>
          <w:szCs w:val="24"/>
        </w:rPr>
      </w:pPr>
      <w:r>
        <w:rPr>
          <w:rFonts w:cs="Arial"/>
          <w:sz w:val="24"/>
          <w:szCs w:val="24"/>
        </w:rPr>
        <w:t xml:space="preserve">An early twentieth century medical book </w:t>
      </w:r>
      <w:r w:rsidR="00E734E8">
        <w:rPr>
          <w:rFonts w:cs="Arial"/>
          <w:sz w:val="24"/>
          <w:szCs w:val="24"/>
        </w:rPr>
        <w:t xml:space="preserve">by Dick (1922) </w:t>
      </w:r>
      <w:r>
        <w:rPr>
          <w:rFonts w:cs="Arial"/>
          <w:sz w:val="24"/>
          <w:szCs w:val="24"/>
        </w:rPr>
        <w:t>focusing on the geographical distribution and clinical manifestations of rickets, also describes dental lesions</w:t>
      </w:r>
      <w:r w:rsidR="00E734E8">
        <w:rPr>
          <w:rFonts w:cs="Arial"/>
          <w:sz w:val="24"/>
          <w:szCs w:val="24"/>
        </w:rPr>
        <w:t>, which he</w:t>
      </w:r>
      <w:r>
        <w:rPr>
          <w:rFonts w:cs="Arial"/>
          <w:sz w:val="24"/>
          <w:szCs w:val="24"/>
        </w:rPr>
        <w:t xml:space="preserve"> argued to be pathognomonic of vitamin D deficiency as follows: </w:t>
      </w:r>
      <w:r w:rsidR="00D503DF">
        <w:rPr>
          <w:rFonts w:cs="Arial"/>
          <w:sz w:val="24"/>
          <w:szCs w:val="24"/>
        </w:rPr>
        <w:t>“</w:t>
      </w:r>
      <w:r w:rsidR="00A774CC" w:rsidRPr="003A263C">
        <w:rPr>
          <w:rFonts w:cs="Arial"/>
          <w:sz w:val="24"/>
          <w:szCs w:val="24"/>
        </w:rPr>
        <w:t>There may be</w:t>
      </w:r>
      <w:r w:rsidR="00AB369F" w:rsidRPr="003A263C">
        <w:rPr>
          <w:rFonts w:cs="Arial"/>
          <w:sz w:val="24"/>
          <w:szCs w:val="24"/>
        </w:rPr>
        <w:t xml:space="preserve"> </w:t>
      </w:r>
      <w:r w:rsidR="00A774CC" w:rsidRPr="003A263C">
        <w:rPr>
          <w:rFonts w:cs="Arial"/>
          <w:sz w:val="24"/>
          <w:szCs w:val="24"/>
        </w:rPr>
        <w:t>only a pitting, producing a honeycombed appearance of the</w:t>
      </w:r>
      <w:r w:rsidR="00AB369F" w:rsidRPr="003A263C">
        <w:rPr>
          <w:rFonts w:cs="Arial"/>
          <w:sz w:val="24"/>
          <w:szCs w:val="24"/>
        </w:rPr>
        <w:t xml:space="preserve"> </w:t>
      </w:r>
      <w:r w:rsidR="00A774CC" w:rsidRPr="003A263C">
        <w:rPr>
          <w:rFonts w:cs="Arial"/>
          <w:sz w:val="24"/>
          <w:szCs w:val="24"/>
        </w:rPr>
        <w:t>enamel, or the enamel covering is slight, and the cutting</w:t>
      </w:r>
      <w:r w:rsidR="00A774CC" w:rsidRPr="003A263C">
        <w:rPr>
          <w:rFonts w:ascii="Courier" w:hAnsi="Courier" w:cs="Courier"/>
          <w:sz w:val="17"/>
          <w:szCs w:val="17"/>
        </w:rPr>
        <w:t xml:space="preserve"> </w:t>
      </w:r>
      <w:r w:rsidR="00A774CC" w:rsidRPr="003A263C">
        <w:rPr>
          <w:rFonts w:cs="Arial"/>
          <w:sz w:val="24"/>
          <w:szCs w:val="24"/>
        </w:rPr>
        <w:t>edge of the tooth presents sharp points, giving a characteristic</w:t>
      </w:r>
      <w:r w:rsidR="00AB369F" w:rsidRPr="003A263C">
        <w:rPr>
          <w:rFonts w:cs="Arial"/>
          <w:sz w:val="24"/>
          <w:szCs w:val="24"/>
        </w:rPr>
        <w:t xml:space="preserve"> </w:t>
      </w:r>
      <w:r w:rsidR="00A774CC" w:rsidRPr="003A263C">
        <w:rPr>
          <w:rFonts w:cs="Arial"/>
          <w:sz w:val="24"/>
          <w:szCs w:val="24"/>
        </w:rPr>
        <w:t>appearance to the tooth</w:t>
      </w:r>
      <w:r w:rsidR="004D47B4">
        <w:rPr>
          <w:rFonts w:cs="Arial"/>
          <w:sz w:val="24"/>
          <w:szCs w:val="24"/>
        </w:rPr>
        <w:t>.</w:t>
      </w:r>
      <w:r w:rsidR="00D503DF">
        <w:rPr>
          <w:rFonts w:cs="Arial"/>
          <w:sz w:val="24"/>
          <w:szCs w:val="24"/>
        </w:rPr>
        <w:t>”</w:t>
      </w:r>
      <w:r w:rsidR="00C236DD">
        <w:rPr>
          <w:rFonts w:cs="Arial"/>
          <w:sz w:val="24"/>
          <w:szCs w:val="24"/>
        </w:rPr>
        <w:t xml:space="preserve"> </w:t>
      </w:r>
      <w:r w:rsidR="00065885">
        <w:rPr>
          <w:rFonts w:cs="Arial"/>
          <w:sz w:val="24"/>
          <w:szCs w:val="24"/>
        </w:rPr>
        <w:t>(Dick 1922</w:t>
      </w:r>
      <w:r w:rsidR="00BE48B7">
        <w:rPr>
          <w:rFonts w:cs="Arial"/>
          <w:sz w:val="24"/>
          <w:szCs w:val="24"/>
        </w:rPr>
        <w:t>:</w:t>
      </w:r>
      <w:r w:rsidR="00065885">
        <w:rPr>
          <w:rFonts w:cs="Arial"/>
          <w:sz w:val="24"/>
          <w:szCs w:val="24"/>
        </w:rPr>
        <w:t xml:space="preserve"> 191-192)</w:t>
      </w:r>
      <w:r>
        <w:rPr>
          <w:rFonts w:cs="Arial"/>
          <w:sz w:val="24"/>
          <w:szCs w:val="24"/>
        </w:rPr>
        <w:t>. This description is</w:t>
      </w:r>
      <w:r w:rsidR="006B3A75">
        <w:rPr>
          <w:rFonts w:cs="Arial"/>
          <w:sz w:val="24"/>
          <w:szCs w:val="24"/>
        </w:rPr>
        <w:t xml:space="preserve"> again</w:t>
      </w:r>
      <w:r>
        <w:rPr>
          <w:rFonts w:cs="Arial"/>
          <w:sz w:val="24"/>
          <w:szCs w:val="24"/>
        </w:rPr>
        <w:t xml:space="preserve"> </w:t>
      </w:r>
      <w:r w:rsidR="00B748AC">
        <w:rPr>
          <w:rFonts w:cs="Arial"/>
          <w:sz w:val="24"/>
          <w:szCs w:val="24"/>
        </w:rPr>
        <w:t>consistent with</w:t>
      </w:r>
      <w:r>
        <w:rPr>
          <w:rFonts w:cs="Arial"/>
          <w:sz w:val="24"/>
          <w:szCs w:val="24"/>
        </w:rPr>
        <w:t xml:space="preserve"> the dental lesions observed in some of the Fewston individuals. </w:t>
      </w:r>
      <w:r w:rsidR="002E28C4">
        <w:rPr>
          <w:rFonts w:cs="Arial"/>
          <w:sz w:val="24"/>
          <w:szCs w:val="24"/>
        </w:rPr>
        <w:t xml:space="preserve">While it is easy to dismiss </w:t>
      </w:r>
      <w:r w:rsidR="00044935">
        <w:rPr>
          <w:rFonts w:cs="Arial"/>
          <w:sz w:val="24"/>
          <w:szCs w:val="24"/>
        </w:rPr>
        <w:t xml:space="preserve">these </w:t>
      </w:r>
      <w:r w:rsidR="002E28C4">
        <w:rPr>
          <w:rFonts w:cs="Arial"/>
          <w:sz w:val="24"/>
          <w:szCs w:val="24"/>
        </w:rPr>
        <w:t>early medical texts as out-dated, particularly when publishe</w:t>
      </w:r>
      <w:r w:rsidR="003A263C">
        <w:rPr>
          <w:rFonts w:cs="Arial"/>
          <w:sz w:val="24"/>
          <w:szCs w:val="24"/>
        </w:rPr>
        <w:t xml:space="preserve">d during a period in which the </w:t>
      </w:r>
      <w:proofErr w:type="spellStart"/>
      <w:r w:rsidR="002E28C4">
        <w:rPr>
          <w:rFonts w:cs="Arial"/>
          <w:sz w:val="24"/>
          <w:szCs w:val="24"/>
        </w:rPr>
        <w:t>etiology</w:t>
      </w:r>
      <w:proofErr w:type="spellEnd"/>
      <w:r w:rsidR="002E28C4">
        <w:rPr>
          <w:rFonts w:cs="Arial"/>
          <w:sz w:val="24"/>
          <w:szCs w:val="24"/>
        </w:rPr>
        <w:t xml:space="preserve"> of the condition was only poorly understood, it is important to give credit to the fact that these observations were made during a time </w:t>
      </w:r>
      <w:r w:rsidR="00181FA8">
        <w:rPr>
          <w:rFonts w:cs="Arial"/>
          <w:sz w:val="24"/>
          <w:szCs w:val="24"/>
        </w:rPr>
        <w:t>when</w:t>
      </w:r>
      <w:r w:rsidR="002E28C4">
        <w:rPr>
          <w:rFonts w:cs="Arial"/>
          <w:sz w:val="24"/>
          <w:szCs w:val="24"/>
        </w:rPr>
        <w:t xml:space="preserve"> the disease was frequently encountered. </w:t>
      </w:r>
    </w:p>
    <w:p w14:paraId="5CBEB599" w14:textId="77777777" w:rsidR="006B3A75" w:rsidRDefault="006B3A75" w:rsidP="00453751">
      <w:pPr>
        <w:spacing w:line="480" w:lineRule="auto"/>
        <w:rPr>
          <w:rFonts w:cs="Arial"/>
          <w:sz w:val="24"/>
          <w:szCs w:val="24"/>
        </w:rPr>
      </w:pPr>
    </w:p>
    <w:p w14:paraId="0FB229CF" w14:textId="0CB99E3D" w:rsidR="00065885" w:rsidRDefault="002E28C4" w:rsidP="00453751">
      <w:pPr>
        <w:spacing w:line="480" w:lineRule="auto"/>
        <w:rPr>
          <w:rFonts w:cs="Arial"/>
          <w:sz w:val="24"/>
          <w:szCs w:val="24"/>
        </w:rPr>
      </w:pPr>
      <w:r>
        <w:rPr>
          <w:rFonts w:cs="Arial"/>
          <w:sz w:val="24"/>
          <w:szCs w:val="24"/>
        </w:rPr>
        <w:t>While enamel hypoplasia is generally considered to b</w:t>
      </w:r>
      <w:r w:rsidR="00B748AC">
        <w:rPr>
          <w:rFonts w:cs="Arial"/>
          <w:sz w:val="24"/>
          <w:szCs w:val="24"/>
        </w:rPr>
        <w:t>e a non-specific form of stress;</w:t>
      </w:r>
      <w:r>
        <w:rPr>
          <w:rFonts w:cs="Arial"/>
          <w:sz w:val="24"/>
          <w:szCs w:val="24"/>
        </w:rPr>
        <w:t xml:space="preserve"> in these instances, it </w:t>
      </w:r>
      <w:r w:rsidR="00F403EE">
        <w:rPr>
          <w:rFonts w:cs="Arial"/>
          <w:sz w:val="24"/>
          <w:szCs w:val="24"/>
        </w:rPr>
        <w:t>seems likely to have resulted from</w:t>
      </w:r>
      <w:r>
        <w:rPr>
          <w:rFonts w:cs="Arial"/>
          <w:sz w:val="24"/>
          <w:szCs w:val="24"/>
        </w:rPr>
        <w:t xml:space="preserve"> an insufficiency of vitamin D and/or calcium, beginning in utero and extending until two years </w:t>
      </w:r>
      <w:r w:rsidR="00044935">
        <w:rPr>
          <w:rFonts w:cs="Arial"/>
          <w:sz w:val="24"/>
          <w:szCs w:val="24"/>
        </w:rPr>
        <w:t xml:space="preserve">of age. </w:t>
      </w:r>
      <w:r w:rsidR="000C14AF">
        <w:rPr>
          <w:rFonts w:cs="Arial"/>
          <w:sz w:val="24"/>
          <w:szCs w:val="24"/>
        </w:rPr>
        <w:t xml:space="preserve">Vitamin D deficiency contributes to </w:t>
      </w:r>
      <w:proofErr w:type="spellStart"/>
      <w:r w:rsidR="000C14AF">
        <w:rPr>
          <w:rFonts w:cs="Arial"/>
          <w:sz w:val="24"/>
          <w:szCs w:val="24"/>
        </w:rPr>
        <w:lastRenderedPageBreak/>
        <w:t>hypocalcemia</w:t>
      </w:r>
      <w:proofErr w:type="spellEnd"/>
      <w:r w:rsidR="000C14AF">
        <w:rPr>
          <w:rFonts w:cs="Arial"/>
          <w:sz w:val="24"/>
          <w:szCs w:val="24"/>
        </w:rPr>
        <w:t xml:space="preserve"> and hypophosphatemia, the latter of which is compounded by hyperparathyroidism bought about by hypocalcaemia (Foster et al. 2014</w:t>
      </w:r>
      <w:r w:rsidR="00BE48B7">
        <w:rPr>
          <w:rFonts w:cs="Arial"/>
          <w:sz w:val="24"/>
          <w:szCs w:val="24"/>
        </w:rPr>
        <w:t xml:space="preserve">: </w:t>
      </w:r>
      <w:r w:rsidR="000C14AF">
        <w:rPr>
          <w:rFonts w:cs="Arial"/>
          <w:sz w:val="24"/>
          <w:szCs w:val="24"/>
        </w:rPr>
        <w:t xml:space="preserve">6-7). </w:t>
      </w:r>
      <w:r w:rsidR="00F403EE">
        <w:rPr>
          <w:rFonts w:cs="Arial"/>
          <w:sz w:val="24"/>
          <w:szCs w:val="24"/>
        </w:rPr>
        <w:t xml:space="preserve"> </w:t>
      </w:r>
      <w:r w:rsidR="000C14AF">
        <w:rPr>
          <w:rFonts w:cs="Arial"/>
          <w:sz w:val="24"/>
          <w:szCs w:val="24"/>
        </w:rPr>
        <w:t xml:space="preserve">This lack of calcium and phosphorus </w:t>
      </w:r>
      <w:r w:rsidR="003B0ED4">
        <w:rPr>
          <w:rFonts w:cs="Arial"/>
          <w:sz w:val="24"/>
          <w:szCs w:val="24"/>
        </w:rPr>
        <w:t>results in</w:t>
      </w:r>
      <w:r w:rsidR="000C14AF">
        <w:rPr>
          <w:rFonts w:cs="Arial"/>
          <w:sz w:val="24"/>
          <w:szCs w:val="24"/>
        </w:rPr>
        <w:t xml:space="preserve"> developmental and minerali</w:t>
      </w:r>
      <w:r w:rsidR="0058200B">
        <w:rPr>
          <w:rFonts w:cs="Arial"/>
          <w:sz w:val="24"/>
          <w:szCs w:val="24"/>
        </w:rPr>
        <w:t>z</w:t>
      </w:r>
      <w:r w:rsidR="000C14AF">
        <w:rPr>
          <w:rFonts w:cs="Arial"/>
          <w:sz w:val="24"/>
          <w:szCs w:val="24"/>
        </w:rPr>
        <w:t xml:space="preserve">ation defects in teeth via both direct and indirect mechanisms (Foster et al. 2014). </w:t>
      </w:r>
      <w:r w:rsidR="000B294E">
        <w:rPr>
          <w:rFonts w:cs="Arial"/>
          <w:sz w:val="24"/>
          <w:szCs w:val="24"/>
        </w:rPr>
        <w:t xml:space="preserve">It has been observed in clinical studies that vitamin D deficiency can result in inter-globular dentine and this has been </w:t>
      </w:r>
      <w:r w:rsidR="006B3A75">
        <w:rPr>
          <w:rFonts w:cs="Arial"/>
          <w:sz w:val="24"/>
          <w:szCs w:val="24"/>
        </w:rPr>
        <w:t>identified</w:t>
      </w:r>
      <w:r w:rsidR="000B294E">
        <w:rPr>
          <w:rFonts w:cs="Arial"/>
          <w:sz w:val="24"/>
          <w:szCs w:val="24"/>
        </w:rPr>
        <w:t xml:space="preserve"> in archaeological teeth of individuals with residual rickets (</w:t>
      </w:r>
      <w:proofErr w:type="spellStart"/>
      <w:r w:rsidR="000B294E">
        <w:rPr>
          <w:rFonts w:cs="Arial"/>
          <w:sz w:val="24"/>
          <w:szCs w:val="24"/>
        </w:rPr>
        <w:t>D’Ortenzio</w:t>
      </w:r>
      <w:proofErr w:type="spellEnd"/>
      <w:r w:rsidR="000B294E">
        <w:rPr>
          <w:rFonts w:cs="Arial"/>
          <w:sz w:val="24"/>
          <w:szCs w:val="24"/>
        </w:rPr>
        <w:t xml:space="preserve"> et al. 2016). Future analysis of the Coach Lane site may benefit from a histological analysis of the teeth, but the Fewston skeletons have now been reburied. </w:t>
      </w:r>
      <w:r w:rsidR="00F403EE">
        <w:rPr>
          <w:rFonts w:cs="Arial"/>
          <w:sz w:val="24"/>
          <w:szCs w:val="24"/>
        </w:rPr>
        <w:t xml:space="preserve">Of interest is that none of the adults from Coach Lane or Fewston exhibited evidence of </w:t>
      </w:r>
      <w:proofErr w:type="spellStart"/>
      <w:r w:rsidR="00F403EE">
        <w:rPr>
          <w:rFonts w:cs="Arial"/>
          <w:sz w:val="24"/>
          <w:szCs w:val="24"/>
        </w:rPr>
        <w:t>cuspal</w:t>
      </w:r>
      <w:proofErr w:type="spellEnd"/>
      <w:r w:rsidR="00F403EE">
        <w:rPr>
          <w:rFonts w:cs="Arial"/>
          <w:sz w:val="24"/>
          <w:szCs w:val="24"/>
        </w:rPr>
        <w:t xml:space="preserve"> enamel hypoplasia, indicating a strong association between these lesions and early life mortality risk. </w:t>
      </w:r>
    </w:p>
    <w:p w14:paraId="47F845BA" w14:textId="77777777" w:rsidR="00305B1E" w:rsidRDefault="00305B1E" w:rsidP="00453751">
      <w:pPr>
        <w:spacing w:line="480" w:lineRule="auto"/>
        <w:rPr>
          <w:rFonts w:cs="Arial"/>
          <w:sz w:val="24"/>
          <w:szCs w:val="24"/>
        </w:rPr>
      </w:pPr>
    </w:p>
    <w:p w14:paraId="1A7E396F" w14:textId="2AE21A1E" w:rsidR="006B3A75" w:rsidRPr="003E5E48" w:rsidRDefault="003E5E48" w:rsidP="00453751">
      <w:pPr>
        <w:spacing w:line="480" w:lineRule="auto"/>
        <w:rPr>
          <w:rFonts w:cs="Arial"/>
          <w:sz w:val="24"/>
          <w:szCs w:val="24"/>
          <w:lang w:val="en-US"/>
        </w:rPr>
      </w:pPr>
      <w:r w:rsidRPr="003E5E48">
        <w:rPr>
          <w:rFonts w:cs="Arial"/>
          <w:sz w:val="24"/>
          <w:szCs w:val="24"/>
        </w:rPr>
        <w:t xml:space="preserve">When interpreting the presence of pathological lesions and growth disruption early in the life course, it is important to consider the significance of maternal health for growth and immune status (Gowland 2015a). Maternal malnutrition, ill health, and exposure to toxins within the living or working environment during pregnancy will adversely affect the developing </w:t>
      </w:r>
      <w:proofErr w:type="spellStart"/>
      <w:r w:rsidRPr="003E5E48">
        <w:rPr>
          <w:rFonts w:cs="Arial"/>
          <w:sz w:val="24"/>
          <w:szCs w:val="24"/>
        </w:rPr>
        <w:t>fetus</w:t>
      </w:r>
      <w:proofErr w:type="spellEnd"/>
      <w:r w:rsidRPr="003E5E48">
        <w:rPr>
          <w:rFonts w:cs="Arial"/>
          <w:sz w:val="24"/>
          <w:szCs w:val="24"/>
        </w:rPr>
        <w:t xml:space="preserve">. </w:t>
      </w:r>
      <w:r w:rsidRPr="003E5E48">
        <w:rPr>
          <w:rFonts w:cs="Arial"/>
          <w:sz w:val="24"/>
          <w:szCs w:val="24"/>
          <w:lang w:val="en-US"/>
        </w:rPr>
        <w:t xml:space="preserve">Intrauterine growth retardation is strongly associated with shorter height in childhood and adolescence (Chung and </w:t>
      </w:r>
      <w:proofErr w:type="spellStart"/>
      <w:r w:rsidRPr="003E5E48">
        <w:rPr>
          <w:rFonts w:cs="Arial"/>
          <w:sz w:val="24"/>
          <w:szCs w:val="24"/>
          <w:lang w:val="en-US"/>
        </w:rPr>
        <w:t>Kuzawa</w:t>
      </w:r>
      <w:proofErr w:type="spellEnd"/>
      <w:r w:rsidRPr="003E5E48">
        <w:rPr>
          <w:rFonts w:cs="Arial"/>
          <w:sz w:val="24"/>
          <w:szCs w:val="24"/>
          <w:lang w:val="en-US"/>
        </w:rPr>
        <w:t xml:space="preserve"> 2014). Furthermore, a mother who fails to meet her own genetic potential in growth is more likely to have an infant who is small for gestational age (SGA). Growth deficits early on in life can be difficult to catch up and particularly so in adverse </w:t>
      </w:r>
      <w:proofErr w:type="spellStart"/>
      <w:r w:rsidRPr="003E5E48">
        <w:rPr>
          <w:rFonts w:cs="Arial"/>
          <w:sz w:val="24"/>
          <w:szCs w:val="24"/>
          <w:lang w:val="en-US"/>
        </w:rPr>
        <w:t>biolcultural</w:t>
      </w:r>
      <w:proofErr w:type="spellEnd"/>
      <w:r w:rsidRPr="003E5E48">
        <w:rPr>
          <w:rFonts w:cs="Arial"/>
          <w:sz w:val="24"/>
          <w:szCs w:val="24"/>
          <w:lang w:val="en-US"/>
        </w:rPr>
        <w:t xml:space="preserve"> environments (Chung and </w:t>
      </w:r>
      <w:proofErr w:type="spellStart"/>
      <w:r w:rsidRPr="003E5E48">
        <w:rPr>
          <w:rFonts w:cs="Arial"/>
          <w:sz w:val="24"/>
          <w:szCs w:val="24"/>
          <w:lang w:val="en-US"/>
        </w:rPr>
        <w:t>Kuzawa</w:t>
      </w:r>
      <w:proofErr w:type="spellEnd"/>
      <w:r w:rsidRPr="003E5E48">
        <w:rPr>
          <w:rFonts w:cs="Arial"/>
          <w:sz w:val="24"/>
          <w:szCs w:val="24"/>
          <w:lang w:val="en-US"/>
        </w:rPr>
        <w:t xml:space="preserve"> 2014). Indeed, the effects of a poor environment on growth could span multiple generations before it is fully reversed despite alleviation of environmental stressors (Barker 2012). </w:t>
      </w:r>
    </w:p>
    <w:p w14:paraId="1BB5B0B9" w14:textId="4C900094" w:rsidR="00F9312E" w:rsidRDefault="00C87C86" w:rsidP="00453751">
      <w:pPr>
        <w:spacing w:line="480" w:lineRule="auto"/>
        <w:rPr>
          <w:rFonts w:cs="Arial"/>
          <w:sz w:val="24"/>
          <w:szCs w:val="24"/>
          <w:lang w:val="en-US"/>
        </w:rPr>
      </w:pPr>
      <w:r>
        <w:rPr>
          <w:rFonts w:cs="Arial"/>
          <w:sz w:val="24"/>
          <w:szCs w:val="24"/>
          <w:lang w:val="en-US"/>
        </w:rPr>
        <w:lastRenderedPageBreak/>
        <w:t>Finally, when</w:t>
      </w:r>
      <w:r w:rsidR="00F9312E" w:rsidRPr="00F9312E">
        <w:rPr>
          <w:rFonts w:cs="Arial"/>
          <w:sz w:val="24"/>
          <w:szCs w:val="24"/>
          <w:lang w:val="en-US"/>
        </w:rPr>
        <w:t xml:space="preserve"> interpreting </w:t>
      </w:r>
      <w:proofErr w:type="spellStart"/>
      <w:r w:rsidR="00F9312E" w:rsidRPr="00F9312E">
        <w:rPr>
          <w:rFonts w:cs="Arial"/>
          <w:sz w:val="24"/>
          <w:szCs w:val="24"/>
          <w:lang w:val="en-US"/>
        </w:rPr>
        <w:t>palaeopathological</w:t>
      </w:r>
      <w:proofErr w:type="spellEnd"/>
      <w:r w:rsidR="00F9312E" w:rsidRPr="00F9312E">
        <w:rPr>
          <w:rFonts w:cs="Arial"/>
          <w:sz w:val="24"/>
          <w:szCs w:val="24"/>
          <w:lang w:val="en-US"/>
        </w:rPr>
        <w:t xml:space="preserve"> e</w:t>
      </w:r>
      <w:r w:rsidR="00C805B3">
        <w:rPr>
          <w:rFonts w:cs="Arial"/>
          <w:sz w:val="24"/>
          <w:szCs w:val="24"/>
          <w:lang w:val="en-US"/>
        </w:rPr>
        <w:t>vidence</w:t>
      </w:r>
      <w:r w:rsidR="008E260D">
        <w:rPr>
          <w:rFonts w:cs="Arial"/>
          <w:sz w:val="24"/>
          <w:szCs w:val="24"/>
          <w:lang w:val="en-US"/>
        </w:rPr>
        <w:t xml:space="preserve"> and delayed growth</w:t>
      </w:r>
      <w:r w:rsidR="00C805B3">
        <w:rPr>
          <w:rFonts w:cs="Arial"/>
          <w:sz w:val="24"/>
          <w:szCs w:val="24"/>
          <w:lang w:val="en-US"/>
        </w:rPr>
        <w:t xml:space="preserve"> in terms of the l</w:t>
      </w:r>
      <w:r w:rsidR="00F9312E" w:rsidRPr="00F9312E">
        <w:rPr>
          <w:rFonts w:cs="Arial"/>
          <w:sz w:val="24"/>
          <w:szCs w:val="24"/>
          <w:lang w:val="en-US"/>
        </w:rPr>
        <w:t xml:space="preserve">ocal living environments, we must be sure that </w:t>
      </w:r>
      <w:r w:rsidR="003B0ED4">
        <w:rPr>
          <w:rFonts w:cs="Arial"/>
          <w:sz w:val="24"/>
          <w:szCs w:val="24"/>
          <w:lang w:val="en-US"/>
        </w:rPr>
        <w:t xml:space="preserve">the pathological </w:t>
      </w:r>
      <w:r w:rsidR="00977F7C">
        <w:rPr>
          <w:rFonts w:cs="Arial"/>
          <w:sz w:val="24"/>
          <w:szCs w:val="24"/>
          <w:lang w:val="en-US"/>
        </w:rPr>
        <w:t>conditions</w:t>
      </w:r>
      <w:r w:rsidR="003B0ED4">
        <w:rPr>
          <w:rFonts w:cs="Arial"/>
          <w:sz w:val="24"/>
          <w:szCs w:val="24"/>
          <w:lang w:val="en-US"/>
        </w:rPr>
        <w:t xml:space="preserve"> observed in the skeletons of the ch</w:t>
      </w:r>
      <w:r w:rsidR="006B3A75">
        <w:rPr>
          <w:rFonts w:cs="Arial"/>
          <w:sz w:val="24"/>
          <w:szCs w:val="24"/>
          <w:lang w:val="en-US"/>
        </w:rPr>
        <w:t>ildren from Fewston and Coach La</w:t>
      </w:r>
      <w:r w:rsidR="003B0ED4">
        <w:rPr>
          <w:rFonts w:cs="Arial"/>
          <w:sz w:val="24"/>
          <w:szCs w:val="24"/>
          <w:lang w:val="en-US"/>
        </w:rPr>
        <w:t>ne</w:t>
      </w:r>
      <w:r w:rsidR="00977F7C">
        <w:rPr>
          <w:rFonts w:cs="Arial"/>
          <w:sz w:val="24"/>
          <w:szCs w:val="24"/>
          <w:lang w:val="en-US"/>
        </w:rPr>
        <w:t xml:space="preserve"> </w:t>
      </w:r>
      <w:r w:rsidR="00F9312E" w:rsidRPr="00F9312E">
        <w:rPr>
          <w:rFonts w:cs="Arial"/>
          <w:sz w:val="24"/>
          <w:szCs w:val="24"/>
          <w:lang w:val="en-US"/>
        </w:rPr>
        <w:t xml:space="preserve">do in fact relate to the local area. </w:t>
      </w:r>
      <w:proofErr w:type="gramStart"/>
      <w:r w:rsidR="00C805B3">
        <w:rPr>
          <w:rFonts w:cs="Arial"/>
          <w:sz w:val="24"/>
          <w:szCs w:val="24"/>
          <w:lang w:val="en-US"/>
        </w:rPr>
        <w:t>With regard to</w:t>
      </w:r>
      <w:proofErr w:type="gramEnd"/>
      <w:r w:rsidR="00F9312E" w:rsidRPr="00F9312E">
        <w:rPr>
          <w:rFonts w:cs="Arial"/>
          <w:sz w:val="24"/>
          <w:szCs w:val="24"/>
          <w:lang w:val="en-US"/>
        </w:rPr>
        <w:t xml:space="preserve"> this period of</w:t>
      </w:r>
      <w:r w:rsidR="00C805B3">
        <w:rPr>
          <w:rFonts w:cs="Arial"/>
          <w:sz w:val="24"/>
          <w:szCs w:val="24"/>
          <w:lang w:val="en-US"/>
        </w:rPr>
        <w:t xml:space="preserve"> rapid</w:t>
      </w:r>
      <w:r w:rsidR="00F9312E" w:rsidRPr="00F9312E">
        <w:rPr>
          <w:rFonts w:cs="Arial"/>
          <w:sz w:val="24"/>
          <w:szCs w:val="24"/>
          <w:lang w:val="en-US"/>
        </w:rPr>
        <w:t xml:space="preserve"> industrialization</w:t>
      </w:r>
      <w:r w:rsidR="00C805B3">
        <w:rPr>
          <w:rFonts w:cs="Arial"/>
          <w:sz w:val="24"/>
          <w:szCs w:val="24"/>
          <w:lang w:val="en-US"/>
        </w:rPr>
        <w:t xml:space="preserve"> and </w:t>
      </w:r>
      <w:r w:rsidR="003A263C">
        <w:rPr>
          <w:rFonts w:cs="Arial"/>
          <w:sz w:val="24"/>
          <w:szCs w:val="24"/>
          <w:lang w:val="en-US"/>
        </w:rPr>
        <w:t>urbanization</w:t>
      </w:r>
      <w:r w:rsidR="00F9312E" w:rsidRPr="00F9312E">
        <w:rPr>
          <w:rFonts w:cs="Arial"/>
          <w:sz w:val="24"/>
          <w:szCs w:val="24"/>
          <w:lang w:val="en-US"/>
        </w:rPr>
        <w:t xml:space="preserve">, </w:t>
      </w:r>
      <w:r w:rsidR="00C805B3">
        <w:rPr>
          <w:rFonts w:cs="Arial"/>
          <w:sz w:val="24"/>
          <w:szCs w:val="24"/>
          <w:lang w:val="en-US"/>
        </w:rPr>
        <w:t xml:space="preserve">migration is often conceptualized as </w:t>
      </w:r>
      <w:proofErr w:type="spellStart"/>
      <w:r w:rsidR="00B748AC">
        <w:rPr>
          <w:rFonts w:cs="Arial"/>
          <w:sz w:val="24"/>
          <w:szCs w:val="24"/>
          <w:lang w:val="en-US"/>
        </w:rPr>
        <w:t>uni</w:t>
      </w:r>
      <w:proofErr w:type="spellEnd"/>
      <w:r w:rsidR="00B748AC">
        <w:rPr>
          <w:rFonts w:cs="Arial"/>
          <w:sz w:val="24"/>
          <w:szCs w:val="24"/>
          <w:lang w:val="en-US"/>
        </w:rPr>
        <w:t>-directional</w:t>
      </w:r>
      <w:r w:rsidR="00C805B3">
        <w:rPr>
          <w:rFonts w:cs="Arial"/>
          <w:sz w:val="24"/>
          <w:szCs w:val="24"/>
          <w:lang w:val="en-US"/>
        </w:rPr>
        <w:t xml:space="preserve"> – from the countryside to towns. It is important to consider that </w:t>
      </w:r>
      <w:r w:rsidR="00181FA8">
        <w:rPr>
          <w:rFonts w:cs="Arial"/>
          <w:sz w:val="24"/>
          <w:szCs w:val="24"/>
          <w:lang w:val="en-US"/>
        </w:rPr>
        <w:t>during this</w:t>
      </w:r>
      <w:r w:rsidR="00C805B3">
        <w:rPr>
          <w:rFonts w:cs="Arial"/>
          <w:sz w:val="24"/>
          <w:szCs w:val="24"/>
          <w:lang w:val="en-US"/>
        </w:rPr>
        <w:t xml:space="preserve"> </w:t>
      </w:r>
      <w:r w:rsidR="00181FA8">
        <w:rPr>
          <w:rFonts w:cs="Arial"/>
          <w:sz w:val="24"/>
          <w:szCs w:val="24"/>
          <w:lang w:val="en-US"/>
        </w:rPr>
        <w:t>period there was</w:t>
      </w:r>
      <w:r w:rsidR="00C805B3">
        <w:rPr>
          <w:rFonts w:cs="Arial"/>
          <w:sz w:val="24"/>
          <w:szCs w:val="24"/>
          <w:lang w:val="en-US"/>
        </w:rPr>
        <w:t xml:space="preserve"> a significant amount of</w:t>
      </w:r>
      <w:r w:rsidR="00F9312E" w:rsidRPr="00F9312E">
        <w:rPr>
          <w:rFonts w:cs="Arial"/>
          <w:sz w:val="24"/>
          <w:szCs w:val="24"/>
          <w:lang w:val="en-US"/>
        </w:rPr>
        <w:t xml:space="preserve"> rural </w:t>
      </w:r>
      <w:r w:rsidR="00C805B3">
        <w:rPr>
          <w:rFonts w:cs="Arial"/>
          <w:sz w:val="24"/>
          <w:szCs w:val="24"/>
          <w:lang w:val="en-US"/>
        </w:rPr>
        <w:t xml:space="preserve">industry and in some </w:t>
      </w:r>
      <w:proofErr w:type="gramStart"/>
      <w:r w:rsidR="00C805B3">
        <w:rPr>
          <w:rFonts w:cs="Arial"/>
          <w:sz w:val="24"/>
          <w:szCs w:val="24"/>
          <w:lang w:val="en-US"/>
        </w:rPr>
        <w:t>instances</w:t>
      </w:r>
      <w:proofErr w:type="gramEnd"/>
      <w:r w:rsidR="00C805B3">
        <w:rPr>
          <w:rFonts w:cs="Arial"/>
          <w:sz w:val="24"/>
          <w:szCs w:val="24"/>
          <w:lang w:val="en-US"/>
        </w:rPr>
        <w:t xml:space="preserve"> this led </w:t>
      </w:r>
      <w:r w:rsidR="002E28C4">
        <w:rPr>
          <w:rFonts w:cs="Arial"/>
          <w:sz w:val="24"/>
          <w:szCs w:val="24"/>
          <w:lang w:val="en-US"/>
        </w:rPr>
        <w:t>to the apprenticeship of</w:t>
      </w:r>
      <w:r w:rsidR="00C805B3">
        <w:rPr>
          <w:rFonts w:cs="Arial"/>
          <w:sz w:val="24"/>
          <w:szCs w:val="24"/>
          <w:lang w:val="en-US"/>
        </w:rPr>
        <w:t xml:space="preserve"> urban children</w:t>
      </w:r>
      <w:r w:rsidR="00A7214D">
        <w:rPr>
          <w:rFonts w:cs="Arial"/>
          <w:sz w:val="24"/>
          <w:szCs w:val="24"/>
          <w:lang w:val="en-US"/>
        </w:rPr>
        <w:t>,</w:t>
      </w:r>
      <w:r w:rsidR="00C805B3">
        <w:rPr>
          <w:rFonts w:cs="Arial"/>
          <w:sz w:val="24"/>
          <w:szCs w:val="24"/>
          <w:lang w:val="en-US"/>
        </w:rPr>
        <w:t xml:space="preserve"> </w:t>
      </w:r>
      <w:r w:rsidR="00A7214D">
        <w:rPr>
          <w:rFonts w:cs="Arial"/>
          <w:sz w:val="24"/>
          <w:szCs w:val="24"/>
          <w:lang w:val="en-US"/>
        </w:rPr>
        <w:t xml:space="preserve">who were removed </w:t>
      </w:r>
      <w:r w:rsidR="00C805B3">
        <w:rPr>
          <w:rFonts w:cs="Arial"/>
          <w:sz w:val="24"/>
          <w:szCs w:val="24"/>
          <w:lang w:val="en-US"/>
        </w:rPr>
        <w:t>to the country</w:t>
      </w:r>
      <w:r w:rsidR="00A02DEC">
        <w:rPr>
          <w:rFonts w:cs="Arial"/>
          <w:sz w:val="24"/>
          <w:szCs w:val="24"/>
          <w:lang w:val="en-US"/>
        </w:rPr>
        <w:t>side to work as laborers, domestic servants, or in textile mills</w:t>
      </w:r>
      <w:r w:rsidR="00C805B3">
        <w:rPr>
          <w:rFonts w:cs="Arial"/>
          <w:sz w:val="24"/>
          <w:szCs w:val="24"/>
          <w:lang w:val="en-US"/>
        </w:rPr>
        <w:t xml:space="preserve">. </w:t>
      </w:r>
      <w:r w:rsidR="00E347CE">
        <w:rPr>
          <w:rFonts w:cs="Arial"/>
          <w:sz w:val="24"/>
          <w:szCs w:val="24"/>
          <w:lang w:val="en-US"/>
        </w:rPr>
        <w:t xml:space="preserve">These </w:t>
      </w:r>
      <w:r w:rsidR="003A263C">
        <w:rPr>
          <w:rFonts w:cs="Arial"/>
          <w:sz w:val="24"/>
          <w:szCs w:val="24"/>
          <w:lang w:val="en-US"/>
        </w:rPr>
        <w:t xml:space="preserve">individuals </w:t>
      </w:r>
      <w:r w:rsidR="00E347CE">
        <w:rPr>
          <w:rFonts w:cs="Arial"/>
          <w:sz w:val="24"/>
          <w:szCs w:val="24"/>
          <w:lang w:val="en-US"/>
        </w:rPr>
        <w:t xml:space="preserve">were </w:t>
      </w:r>
      <w:r w:rsidR="00A7214D">
        <w:rPr>
          <w:rFonts w:cs="Arial"/>
          <w:sz w:val="24"/>
          <w:szCs w:val="24"/>
          <w:lang w:val="en-US"/>
        </w:rPr>
        <w:t xml:space="preserve">known as </w:t>
      </w:r>
      <w:r w:rsidR="00E347CE">
        <w:rPr>
          <w:rFonts w:cs="Arial"/>
          <w:sz w:val="24"/>
          <w:szCs w:val="24"/>
          <w:lang w:val="en-US"/>
        </w:rPr>
        <w:t>pauper apprentices: children taken from workhouses in cities, usually aged between 10-12 years</w:t>
      </w:r>
      <w:r w:rsidR="00181FA8">
        <w:rPr>
          <w:rFonts w:cs="Arial"/>
          <w:sz w:val="24"/>
          <w:szCs w:val="24"/>
          <w:lang w:val="en-US"/>
        </w:rPr>
        <w:t>,</w:t>
      </w:r>
      <w:r w:rsidR="00E347CE">
        <w:rPr>
          <w:rFonts w:cs="Arial"/>
          <w:sz w:val="24"/>
          <w:szCs w:val="24"/>
          <w:lang w:val="en-US"/>
        </w:rPr>
        <w:t xml:space="preserve"> and indentured to work </w:t>
      </w:r>
      <w:r w:rsidR="00A02DEC">
        <w:rPr>
          <w:rFonts w:cs="Arial"/>
          <w:sz w:val="24"/>
          <w:szCs w:val="24"/>
          <w:lang w:val="en-US"/>
        </w:rPr>
        <w:t>far from their original home</w:t>
      </w:r>
      <w:r w:rsidR="00E347CE">
        <w:rPr>
          <w:rFonts w:cs="Arial"/>
          <w:sz w:val="24"/>
          <w:szCs w:val="24"/>
          <w:lang w:val="en-US"/>
        </w:rPr>
        <w:t>. The children worked long hours, 12 to 14 hours per day, and for no pay, but were instead ‘taught a trade’ and were housed, fed, and given some education</w:t>
      </w:r>
      <w:r w:rsidR="005C51BF">
        <w:rPr>
          <w:rFonts w:cs="Arial"/>
          <w:sz w:val="24"/>
          <w:szCs w:val="24"/>
          <w:lang w:val="en-US"/>
        </w:rPr>
        <w:t xml:space="preserve"> (</w:t>
      </w:r>
      <w:proofErr w:type="spellStart"/>
      <w:r w:rsidR="005C51BF">
        <w:rPr>
          <w:rFonts w:cs="Arial"/>
          <w:sz w:val="24"/>
          <w:szCs w:val="24"/>
          <w:lang w:val="en-US"/>
        </w:rPr>
        <w:t>Honeyman</w:t>
      </w:r>
      <w:proofErr w:type="spellEnd"/>
      <w:r w:rsidR="005C51BF">
        <w:rPr>
          <w:rFonts w:cs="Arial"/>
          <w:sz w:val="24"/>
          <w:szCs w:val="24"/>
          <w:lang w:val="en-US"/>
        </w:rPr>
        <w:t xml:space="preserve"> 2013</w:t>
      </w:r>
      <w:r w:rsidR="0058200B">
        <w:rPr>
          <w:rFonts w:cs="Arial"/>
          <w:sz w:val="24"/>
          <w:szCs w:val="24"/>
          <w:lang w:val="en-US"/>
        </w:rPr>
        <w:t xml:space="preserve">; </w:t>
      </w:r>
      <w:proofErr w:type="spellStart"/>
      <w:r w:rsidR="0058200B">
        <w:rPr>
          <w:rFonts w:cs="Arial"/>
          <w:sz w:val="24"/>
          <w:szCs w:val="24"/>
          <w:lang w:val="en-US"/>
        </w:rPr>
        <w:t>Levene</w:t>
      </w:r>
      <w:proofErr w:type="spellEnd"/>
      <w:r w:rsidR="0058200B">
        <w:rPr>
          <w:rFonts w:cs="Arial"/>
          <w:sz w:val="24"/>
          <w:szCs w:val="24"/>
          <w:lang w:val="en-US"/>
        </w:rPr>
        <w:t xml:space="preserve"> 2010</w:t>
      </w:r>
      <w:r w:rsidR="00E734E8">
        <w:rPr>
          <w:rFonts w:cs="Arial"/>
          <w:sz w:val="24"/>
          <w:szCs w:val="24"/>
          <w:lang w:val="en-US"/>
        </w:rPr>
        <w:t>)</w:t>
      </w:r>
      <w:r w:rsidR="00E347CE">
        <w:rPr>
          <w:rFonts w:cs="Arial"/>
          <w:sz w:val="24"/>
          <w:szCs w:val="24"/>
          <w:lang w:val="en-US"/>
        </w:rPr>
        <w:t xml:space="preserve">. </w:t>
      </w:r>
    </w:p>
    <w:p w14:paraId="4D118ACE" w14:textId="77777777" w:rsidR="006B3A75" w:rsidRPr="00F9312E" w:rsidRDefault="006B3A75" w:rsidP="00453751">
      <w:pPr>
        <w:spacing w:line="480" w:lineRule="auto"/>
        <w:rPr>
          <w:rFonts w:cs="Arial"/>
          <w:sz w:val="24"/>
          <w:szCs w:val="24"/>
          <w:lang w:val="en-US"/>
        </w:rPr>
      </w:pPr>
    </w:p>
    <w:p w14:paraId="7C77CA14" w14:textId="1A97D9EC" w:rsidR="002B590F" w:rsidRDefault="002B590F" w:rsidP="00453751">
      <w:pPr>
        <w:spacing w:line="480" w:lineRule="auto"/>
        <w:rPr>
          <w:rFonts w:cs="Arial"/>
          <w:sz w:val="24"/>
          <w:szCs w:val="24"/>
          <w:lang w:val="en-US"/>
        </w:rPr>
      </w:pPr>
      <w:r w:rsidRPr="00126647">
        <w:rPr>
          <w:rFonts w:cs="Arial"/>
          <w:sz w:val="24"/>
          <w:szCs w:val="24"/>
          <w:lang w:val="en-US"/>
        </w:rPr>
        <w:t xml:space="preserve">There was </w:t>
      </w:r>
      <w:r w:rsidR="003A263C">
        <w:rPr>
          <w:rFonts w:cs="Arial"/>
          <w:sz w:val="24"/>
          <w:szCs w:val="24"/>
          <w:lang w:val="en-US"/>
        </w:rPr>
        <w:t xml:space="preserve">a flax mill at </w:t>
      </w:r>
      <w:r w:rsidR="005C51BF">
        <w:rPr>
          <w:rFonts w:cs="Arial"/>
          <w:sz w:val="24"/>
          <w:szCs w:val="24"/>
          <w:lang w:val="en-US"/>
        </w:rPr>
        <w:t xml:space="preserve">Fewston, known as </w:t>
      </w:r>
      <w:proofErr w:type="spellStart"/>
      <w:r w:rsidR="005C51BF">
        <w:rPr>
          <w:rFonts w:cs="Arial"/>
          <w:sz w:val="24"/>
          <w:szCs w:val="24"/>
          <w:lang w:val="en-US"/>
        </w:rPr>
        <w:t>Westhouse</w:t>
      </w:r>
      <w:proofErr w:type="spellEnd"/>
      <w:r w:rsidR="003A263C">
        <w:rPr>
          <w:rFonts w:cs="Arial"/>
          <w:sz w:val="24"/>
          <w:szCs w:val="24"/>
          <w:lang w:val="en-US"/>
        </w:rPr>
        <w:t xml:space="preserve"> mill and h</w:t>
      </w:r>
      <w:r w:rsidRPr="00126647">
        <w:rPr>
          <w:rFonts w:cs="Arial"/>
          <w:sz w:val="24"/>
          <w:szCs w:val="24"/>
          <w:lang w:val="en-US"/>
        </w:rPr>
        <w:t>istorical sources</w:t>
      </w:r>
      <w:r w:rsidR="00E347CE">
        <w:rPr>
          <w:rFonts w:cs="Arial"/>
          <w:sz w:val="24"/>
          <w:szCs w:val="24"/>
          <w:lang w:val="en-US"/>
        </w:rPr>
        <w:t xml:space="preserve"> </w:t>
      </w:r>
      <w:r w:rsidR="003A263C">
        <w:rPr>
          <w:rFonts w:cs="Arial"/>
          <w:sz w:val="24"/>
          <w:szCs w:val="24"/>
          <w:lang w:val="en-US"/>
        </w:rPr>
        <w:t>document</w:t>
      </w:r>
      <w:r w:rsidR="00E347CE">
        <w:rPr>
          <w:rFonts w:cs="Arial"/>
          <w:sz w:val="24"/>
          <w:szCs w:val="24"/>
          <w:lang w:val="en-US"/>
        </w:rPr>
        <w:t xml:space="preserve"> </w:t>
      </w:r>
      <w:r w:rsidR="003A263C">
        <w:rPr>
          <w:rFonts w:cs="Arial"/>
          <w:sz w:val="24"/>
          <w:szCs w:val="24"/>
          <w:lang w:val="en-US"/>
        </w:rPr>
        <w:t xml:space="preserve">the employment of pauper apprentices from </w:t>
      </w:r>
      <w:r w:rsidR="009E3975" w:rsidRPr="00126647">
        <w:rPr>
          <w:rFonts w:cs="Arial"/>
          <w:sz w:val="24"/>
          <w:szCs w:val="24"/>
          <w:lang w:val="en-US"/>
        </w:rPr>
        <w:t xml:space="preserve">the </w:t>
      </w:r>
      <w:r w:rsidRPr="00126647">
        <w:rPr>
          <w:rFonts w:cs="Arial"/>
          <w:sz w:val="24"/>
          <w:szCs w:val="24"/>
          <w:lang w:val="en-US"/>
        </w:rPr>
        <w:t xml:space="preserve">workhouses of Lambeth and </w:t>
      </w:r>
      <w:proofErr w:type="spellStart"/>
      <w:r w:rsidRPr="00126647">
        <w:rPr>
          <w:rFonts w:cs="Arial"/>
          <w:sz w:val="24"/>
          <w:szCs w:val="24"/>
          <w:lang w:val="en-US"/>
        </w:rPr>
        <w:t>Shoreditch</w:t>
      </w:r>
      <w:proofErr w:type="spellEnd"/>
      <w:r w:rsidR="00E347CE">
        <w:rPr>
          <w:rFonts w:cs="Arial"/>
          <w:sz w:val="24"/>
          <w:szCs w:val="24"/>
          <w:lang w:val="en-US"/>
        </w:rPr>
        <w:t xml:space="preserve"> in London, as well as elsewhere</w:t>
      </w:r>
      <w:r w:rsidR="00B96326">
        <w:rPr>
          <w:rFonts w:cs="Arial"/>
          <w:sz w:val="24"/>
          <w:szCs w:val="24"/>
          <w:lang w:val="en-US"/>
        </w:rPr>
        <w:t xml:space="preserve"> in England</w:t>
      </w:r>
      <w:r w:rsidR="00356D65">
        <w:rPr>
          <w:rFonts w:cs="Arial"/>
          <w:sz w:val="24"/>
          <w:szCs w:val="24"/>
          <w:lang w:val="en-US"/>
        </w:rPr>
        <w:t xml:space="preserve"> (</w:t>
      </w:r>
      <w:proofErr w:type="spellStart"/>
      <w:r w:rsidR="00356D65">
        <w:rPr>
          <w:rFonts w:cs="Arial"/>
          <w:sz w:val="24"/>
          <w:szCs w:val="24"/>
          <w:lang w:val="en-US"/>
        </w:rPr>
        <w:t>Honeyman</w:t>
      </w:r>
      <w:proofErr w:type="spellEnd"/>
      <w:r w:rsidR="00356D65">
        <w:rPr>
          <w:rFonts w:cs="Arial"/>
          <w:sz w:val="24"/>
          <w:szCs w:val="24"/>
          <w:lang w:val="en-US"/>
        </w:rPr>
        <w:t xml:space="preserve"> 2007)</w:t>
      </w:r>
      <w:r w:rsidR="00E347CE">
        <w:rPr>
          <w:rFonts w:cs="Arial"/>
          <w:sz w:val="24"/>
          <w:szCs w:val="24"/>
          <w:lang w:val="en-US"/>
        </w:rPr>
        <w:t>.</w:t>
      </w:r>
      <w:r w:rsidR="00BC7734">
        <w:rPr>
          <w:rFonts w:cs="Arial"/>
          <w:sz w:val="24"/>
          <w:szCs w:val="24"/>
          <w:lang w:val="en-US"/>
        </w:rPr>
        <w:t xml:space="preserve"> </w:t>
      </w:r>
      <w:r w:rsidR="007F0AD5">
        <w:rPr>
          <w:rFonts w:cs="Arial"/>
          <w:sz w:val="24"/>
          <w:szCs w:val="24"/>
          <w:lang w:val="en-US"/>
        </w:rPr>
        <w:t xml:space="preserve">It </w:t>
      </w:r>
      <w:r w:rsidR="00181FA8">
        <w:rPr>
          <w:rFonts w:cs="Arial"/>
          <w:sz w:val="24"/>
          <w:szCs w:val="24"/>
          <w:lang w:val="en-US"/>
        </w:rPr>
        <w:t xml:space="preserve">therefore </w:t>
      </w:r>
      <w:r w:rsidR="00A7214D">
        <w:rPr>
          <w:rFonts w:cs="Arial"/>
          <w:sz w:val="24"/>
          <w:szCs w:val="24"/>
          <w:lang w:val="en-US"/>
        </w:rPr>
        <w:t xml:space="preserve">seems </w:t>
      </w:r>
      <w:r w:rsidR="00E27006">
        <w:rPr>
          <w:rFonts w:cs="Arial"/>
          <w:sz w:val="24"/>
          <w:szCs w:val="24"/>
          <w:lang w:val="en-US"/>
        </w:rPr>
        <w:t>probable</w:t>
      </w:r>
      <w:r w:rsidR="007F0AD5">
        <w:rPr>
          <w:rFonts w:cs="Arial"/>
          <w:sz w:val="24"/>
          <w:szCs w:val="24"/>
          <w:lang w:val="en-US"/>
        </w:rPr>
        <w:t xml:space="preserve"> that </w:t>
      </w:r>
      <w:r w:rsidR="00181FA8">
        <w:rPr>
          <w:rFonts w:cs="Arial"/>
          <w:sz w:val="24"/>
          <w:szCs w:val="24"/>
          <w:lang w:val="en-US"/>
        </w:rPr>
        <w:t>this excess of adolescents</w:t>
      </w:r>
      <w:r w:rsidR="003A263C">
        <w:rPr>
          <w:rFonts w:cs="Arial"/>
          <w:sz w:val="24"/>
          <w:szCs w:val="24"/>
          <w:lang w:val="en-US"/>
        </w:rPr>
        <w:t xml:space="preserve"> at Fewston</w:t>
      </w:r>
      <w:r w:rsidR="00181FA8">
        <w:rPr>
          <w:rFonts w:cs="Arial"/>
          <w:sz w:val="24"/>
          <w:szCs w:val="24"/>
          <w:lang w:val="en-US"/>
        </w:rPr>
        <w:t xml:space="preserve">, </w:t>
      </w:r>
      <w:r w:rsidR="00F808E9">
        <w:rPr>
          <w:rFonts w:cs="Arial"/>
          <w:sz w:val="24"/>
          <w:szCs w:val="24"/>
          <w:lang w:val="en-US"/>
        </w:rPr>
        <w:t xml:space="preserve">with high </w:t>
      </w:r>
      <w:r w:rsidR="00181FA8">
        <w:rPr>
          <w:rFonts w:cs="Arial"/>
          <w:sz w:val="24"/>
          <w:szCs w:val="24"/>
          <w:lang w:val="en-US"/>
        </w:rPr>
        <w:t>f</w:t>
      </w:r>
      <w:r w:rsidR="00BC7734">
        <w:rPr>
          <w:rFonts w:cs="Arial"/>
          <w:sz w:val="24"/>
          <w:szCs w:val="24"/>
          <w:lang w:val="en-US"/>
        </w:rPr>
        <w:t xml:space="preserve">requencies of skeletal lesions and stunted growth, </w:t>
      </w:r>
      <w:r w:rsidR="009E3975" w:rsidRPr="00126647">
        <w:rPr>
          <w:rFonts w:cs="Arial"/>
          <w:sz w:val="24"/>
          <w:szCs w:val="24"/>
          <w:lang w:val="en-US"/>
        </w:rPr>
        <w:t xml:space="preserve">reflect a </w:t>
      </w:r>
      <w:r w:rsidR="00F808E9">
        <w:rPr>
          <w:rFonts w:cs="Arial"/>
          <w:sz w:val="24"/>
          <w:szCs w:val="24"/>
          <w:lang w:val="en-US"/>
        </w:rPr>
        <w:t>poor and destitute</w:t>
      </w:r>
      <w:r w:rsidR="009E3975" w:rsidRPr="00126647">
        <w:rPr>
          <w:rFonts w:cs="Arial"/>
          <w:sz w:val="24"/>
          <w:szCs w:val="24"/>
          <w:lang w:val="en-US"/>
        </w:rPr>
        <w:t xml:space="preserve"> </w:t>
      </w:r>
      <w:r w:rsidR="005C51BF">
        <w:rPr>
          <w:rFonts w:cs="Arial"/>
          <w:sz w:val="24"/>
          <w:szCs w:val="24"/>
          <w:lang w:val="en-US"/>
        </w:rPr>
        <w:t>c</w:t>
      </w:r>
      <w:r w:rsidR="00F808E9">
        <w:rPr>
          <w:rFonts w:cs="Arial"/>
          <w:sz w:val="24"/>
          <w:szCs w:val="24"/>
          <w:lang w:val="en-US"/>
        </w:rPr>
        <w:t>hildhood</w:t>
      </w:r>
      <w:r w:rsidR="005C51BF">
        <w:rPr>
          <w:rFonts w:cs="Arial"/>
          <w:sz w:val="24"/>
          <w:szCs w:val="24"/>
          <w:lang w:val="en-US"/>
        </w:rPr>
        <w:t xml:space="preserve"> in London</w:t>
      </w:r>
      <w:r w:rsidR="007F0AD5">
        <w:rPr>
          <w:rFonts w:cs="Arial"/>
          <w:sz w:val="24"/>
          <w:szCs w:val="24"/>
          <w:lang w:val="en-US"/>
        </w:rPr>
        <w:t xml:space="preserve">, rather than </w:t>
      </w:r>
      <w:r w:rsidR="00F808E9">
        <w:rPr>
          <w:rFonts w:cs="Arial"/>
          <w:sz w:val="24"/>
          <w:szCs w:val="24"/>
          <w:lang w:val="en-US"/>
        </w:rPr>
        <w:t xml:space="preserve">one spent at </w:t>
      </w:r>
      <w:r w:rsidR="007F0AD5">
        <w:rPr>
          <w:rFonts w:cs="Arial"/>
          <w:sz w:val="24"/>
          <w:szCs w:val="24"/>
          <w:lang w:val="en-US"/>
        </w:rPr>
        <w:t>Fewston</w:t>
      </w:r>
      <w:r w:rsidR="00EE7858">
        <w:rPr>
          <w:rFonts w:cs="Arial"/>
          <w:sz w:val="24"/>
          <w:szCs w:val="24"/>
          <w:lang w:val="en-US"/>
        </w:rPr>
        <w:t xml:space="preserve">. </w:t>
      </w:r>
      <w:r w:rsidR="00A02DEC" w:rsidRPr="00A02DEC">
        <w:rPr>
          <w:rFonts w:cs="Arial"/>
          <w:sz w:val="24"/>
          <w:szCs w:val="24"/>
          <w:lang w:val="en-US"/>
        </w:rPr>
        <w:t xml:space="preserve">Ives and Humphrey’s (2017) study of </w:t>
      </w:r>
      <w:r w:rsidR="00A02DEC">
        <w:rPr>
          <w:rFonts w:cs="Arial"/>
          <w:sz w:val="24"/>
          <w:szCs w:val="24"/>
          <w:lang w:val="en-US"/>
        </w:rPr>
        <w:t xml:space="preserve">diaphyseal </w:t>
      </w:r>
      <w:r w:rsidR="00A02DEC" w:rsidRPr="00A02DEC">
        <w:rPr>
          <w:rFonts w:cs="Arial"/>
          <w:sz w:val="24"/>
          <w:szCs w:val="24"/>
          <w:lang w:val="en-US"/>
        </w:rPr>
        <w:t xml:space="preserve">growth </w:t>
      </w:r>
      <w:r w:rsidR="00A02DEC">
        <w:rPr>
          <w:rFonts w:cs="Arial"/>
          <w:sz w:val="24"/>
          <w:szCs w:val="24"/>
          <w:lang w:val="en-US"/>
        </w:rPr>
        <w:t>in</w:t>
      </w:r>
      <w:r w:rsidR="00A02DEC" w:rsidRPr="00A02DEC">
        <w:rPr>
          <w:rFonts w:cs="Arial"/>
          <w:sz w:val="24"/>
          <w:szCs w:val="24"/>
          <w:lang w:val="en-US"/>
        </w:rPr>
        <w:t xml:space="preserve"> children from the</w:t>
      </w:r>
      <w:r w:rsidR="00A02DEC">
        <w:rPr>
          <w:rFonts w:cs="Arial"/>
          <w:sz w:val="24"/>
          <w:szCs w:val="24"/>
          <w:lang w:val="en-US"/>
        </w:rPr>
        <w:t xml:space="preserve"> poor</w:t>
      </w:r>
      <w:r w:rsidR="00A02DEC" w:rsidRPr="00A02DEC">
        <w:rPr>
          <w:rFonts w:cs="Arial"/>
          <w:sz w:val="24"/>
          <w:szCs w:val="24"/>
          <w:lang w:val="en-US"/>
        </w:rPr>
        <w:t xml:space="preserve"> </w:t>
      </w:r>
      <w:r w:rsidR="00A02DEC">
        <w:rPr>
          <w:rFonts w:cs="Arial"/>
          <w:sz w:val="24"/>
          <w:szCs w:val="24"/>
          <w:lang w:val="en-US"/>
        </w:rPr>
        <w:t>London</w:t>
      </w:r>
      <w:r w:rsidR="00A02DEC" w:rsidRPr="00A02DEC">
        <w:rPr>
          <w:rFonts w:cs="Arial"/>
          <w:sz w:val="24"/>
          <w:szCs w:val="24"/>
          <w:lang w:val="en-US"/>
        </w:rPr>
        <w:t xml:space="preserve"> parish of </w:t>
      </w:r>
      <w:proofErr w:type="spellStart"/>
      <w:r w:rsidR="00A02DEC" w:rsidRPr="00A02DEC">
        <w:rPr>
          <w:rFonts w:cs="Arial"/>
          <w:sz w:val="24"/>
          <w:szCs w:val="24"/>
          <w:lang w:val="en-US"/>
        </w:rPr>
        <w:t>Bethnal</w:t>
      </w:r>
      <w:proofErr w:type="spellEnd"/>
      <w:r w:rsidR="00A02DEC" w:rsidRPr="00A02DEC">
        <w:rPr>
          <w:rFonts w:cs="Arial"/>
          <w:sz w:val="24"/>
          <w:szCs w:val="24"/>
          <w:lang w:val="en-US"/>
        </w:rPr>
        <w:t xml:space="preserve"> </w:t>
      </w:r>
      <w:r w:rsidR="00A02DEC">
        <w:rPr>
          <w:rFonts w:cs="Arial"/>
          <w:sz w:val="24"/>
          <w:szCs w:val="24"/>
          <w:lang w:val="en-US"/>
        </w:rPr>
        <w:t xml:space="preserve">Green </w:t>
      </w:r>
      <w:r w:rsidR="00A02DEC" w:rsidRPr="00A02DEC">
        <w:rPr>
          <w:rFonts w:cs="Arial"/>
          <w:sz w:val="24"/>
          <w:szCs w:val="24"/>
          <w:lang w:val="en-US"/>
        </w:rPr>
        <w:t xml:space="preserve">during the nineteenth century also highlights severe growth deficits. </w:t>
      </w:r>
      <w:r w:rsidR="00CD15DA">
        <w:rPr>
          <w:rFonts w:cs="Arial"/>
          <w:sz w:val="24"/>
          <w:szCs w:val="24"/>
          <w:lang w:val="en-US"/>
        </w:rPr>
        <w:t>Social status is one of the strongest determinants of health and this was particularly evident in post-medieval England (</w:t>
      </w:r>
      <w:r w:rsidR="0058200B" w:rsidRPr="0058200B">
        <w:rPr>
          <w:rFonts w:cs="Arial"/>
          <w:sz w:val="24"/>
          <w:szCs w:val="24"/>
          <w:lang w:val="en-US"/>
        </w:rPr>
        <w:t>Gowland 2018</w:t>
      </w:r>
      <w:r w:rsidR="0058200B">
        <w:rPr>
          <w:rFonts w:cs="Arial"/>
          <w:sz w:val="24"/>
          <w:szCs w:val="24"/>
          <w:lang w:val="en-US"/>
        </w:rPr>
        <w:t>; Marmot and Wilkinson 2006</w:t>
      </w:r>
      <w:r w:rsidR="00CD15DA">
        <w:rPr>
          <w:rFonts w:cs="Arial"/>
          <w:sz w:val="24"/>
          <w:szCs w:val="24"/>
          <w:lang w:val="en-US"/>
        </w:rPr>
        <w:t xml:space="preserve">). </w:t>
      </w:r>
      <w:r w:rsidR="003A263C">
        <w:rPr>
          <w:rFonts w:cs="Arial"/>
          <w:sz w:val="24"/>
          <w:szCs w:val="24"/>
          <w:lang w:val="en-US"/>
        </w:rPr>
        <w:t>As discussed,</w:t>
      </w:r>
      <w:r w:rsidR="00EE7858">
        <w:rPr>
          <w:rFonts w:cs="Arial"/>
          <w:sz w:val="24"/>
          <w:szCs w:val="24"/>
          <w:lang w:val="en-US"/>
        </w:rPr>
        <w:t xml:space="preserve"> the evidence for rickets and enamel hypoplasia at Fewston is consistent with the </w:t>
      </w:r>
      <w:r w:rsidR="00EE7858">
        <w:rPr>
          <w:rFonts w:cs="Arial"/>
          <w:sz w:val="24"/>
          <w:szCs w:val="24"/>
          <w:lang w:val="en-US"/>
        </w:rPr>
        <w:lastRenderedPageBreak/>
        <w:t>pathological evidence from the low status post-medieval cemetery of Broadgate in London (</w:t>
      </w:r>
      <w:r w:rsidR="0058200B">
        <w:rPr>
          <w:rFonts w:cs="Arial"/>
          <w:sz w:val="24"/>
          <w:szCs w:val="24"/>
          <w:lang w:val="en-US"/>
        </w:rPr>
        <w:t xml:space="preserve">Ogden et al. 2007; </w:t>
      </w:r>
      <w:proofErr w:type="spellStart"/>
      <w:r w:rsidR="00EE7858">
        <w:rPr>
          <w:rFonts w:cs="Arial"/>
          <w:sz w:val="24"/>
          <w:szCs w:val="24"/>
          <w:lang w:val="en-US"/>
        </w:rPr>
        <w:t>Pinhasi</w:t>
      </w:r>
      <w:proofErr w:type="spellEnd"/>
      <w:r w:rsidR="00EE7858">
        <w:rPr>
          <w:rFonts w:cs="Arial"/>
          <w:sz w:val="24"/>
          <w:szCs w:val="24"/>
          <w:lang w:val="en-US"/>
        </w:rPr>
        <w:t xml:space="preserve"> et al. 200</w:t>
      </w:r>
      <w:r w:rsidR="0058200B">
        <w:rPr>
          <w:rFonts w:cs="Arial"/>
          <w:sz w:val="24"/>
          <w:szCs w:val="24"/>
          <w:lang w:val="en-US"/>
        </w:rPr>
        <w:t>6</w:t>
      </w:r>
      <w:r w:rsidR="00EE7858">
        <w:rPr>
          <w:rFonts w:cs="Arial"/>
          <w:sz w:val="24"/>
          <w:szCs w:val="24"/>
          <w:lang w:val="en-US"/>
        </w:rPr>
        <w:t xml:space="preserve">). </w:t>
      </w:r>
      <w:r w:rsidR="003A263C">
        <w:rPr>
          <w:rFonts w:cs="Arial"/>
          <w:sz w:val="24"/>
          <w:szCs w:val="24"/>
          <w:lang w:val="en-US"/>
        </w:rPr>
        <w:t xml:space="preserve">The high prevalence of respiratory disease amongst these children at Fewston is also consistent with mill </w:t>
      </w:r>
      <w:r w:rsidR="000D057A">
        <w:rPr>
          <w:rFonts w:cs="Arial"/>
          <w:sz w:val="24"/>
          <w:szCs w:val="24"/>
          <w:lang w:val="en-US"/>
        </w:rPr>
        <w:t>labor</w:t>
      </w:r>
      <w:r w:rsidR="003A263C">
        <w:rPr>
          <w:rFonts w:cs="Arial"/>
          <w:sz w:val="24"/>
          <w:szCs w:val="24"/>
          <w:lang w:val="en-US"/>
        </w:rPr>
        <w:t xml:space="preserve"> in which pulmonary complaints, including byssinosis and tuberculosis</w:t>
      </w:r>
      <w:r w:rsidR="008E260D">
        <w:rPr>
          <w:rFonts w:cs="Arial"/>
          <w:sz w:val="24"/>
          <w:szCs w:val="24"/>
          <w:lang w:val="en-US"/>
        </w:rPr>
        <w:t>,</w:t>
      </w:r>
      <w:r w:rsidR="003A263C">
        <w:rPr>
          <w:rFonts w:cs="Arial"/>
          <w:sz w:val="24"/>
          <w:szCs w:val="24"/>
          <w:lang w:val="en-US"/>
        </w:rPr>
        <w:t xml:space="preserve"> were a known occupational hazard</w:t>
      </w:r>
      <w:r w:rsidR="008E260D">
        <w:rPr>
          <w:rFonts w:cs="Arial"/>
          <w:sz w:val="24"/>
          <w:szCs w:val="24"/>
          <w:lang w:val="en-US"/>
        </w:rPr>
        <w:t xml:space="preserve"> (Wohl 1983)</w:t>
      </w:r>
      <w:r w:rsidR="003A263C">
        <w:rPr>
          <w:rFonts w:cs="Arial"/>
          <w:sz w:val="24"/>
          <w:szCs w:val="24"/>
          <w:lang w:val="en-US"/>
        </w:rPr>
        <w:t xml:space="preserve">. </w:t>
      </w:r>
      <w:r w:rsidR="00EE7858">
        <w:rPr>
          <w:rFonts w:cs="Arial"/>
          <w:sz w:val="24"/>
          <w:szCs w:val="24"/>
          <w:lang w:val="en-US"/>
        </w:rPr>
        <w:t>F</w:t>
      </w:r>
      <w:r w:rsidR="007F0AD5">
        <w:rPr>
          <w:rFonts w:cs="Arial"/>
          <w:sz w:val="24"/>
          <w:szCs w:val="24"/>
          <w:lang w:val="en-US"/>
        </w:rPr>
        <w:t xml:space="preserve">urther isotopic </w:t>
      </w:r>
      <w:r w:rsidR="00EE7858">
        <w:rPr>
          <w:rFonts w:cs="Arial"/>
          <w:sz w:val="24"/>
          <w:szCs w:val="24"/>
          <w:lang w:val="en-US"/>
        </w:rPr>
        <w:t xml:space="preserve">and archival </w:t>
      </w:r>
      <w:r w:rsidR="007F0AD5">
        <w:rPr>
          <w:rFonts w:cs="Arial"/>
          <w:sz w:val="24"/>
          <w:szCs w:val="24"/>
          <w:lang w:val="en-US"/>
        </w:rPr>
        <w:t>investigation is</w:t>
      </w:r>
      <w:r w:rsidR="00A02DEC">
        <w:rPr>
          <w:rFonts w:cs="Arial"/>
          <w:sz w:val="24"/>
          <w:szCs w:val="24"/>
          <w:lang w:val="en-US"/>
        </w:rPr>
        <w:t xml:space="preserve"> currently</w:t>
      </w:r>
      <w:r w:rsidR="007F0AD5">
        <w:rPr>
          <w:rFonts w:cs="Arial"/>
          <w:sz w:val="24"/>
          <w:szCs w:val="24"/>
          <w:lang w:val="en-US"/>
        </w:rPr>
        <w:t xml:space="preserve"> </w:t>
      </w:r>
      <w:r w:rsidR="00181FA8">
        <w:rPr>
          <w:rFonts w:cs="Arial"/>
          <w:sz w:val="24"/>
          <w:szCs w:val="24"/>
          <w:lang w:val="en-US"/>
        </w:rPr>
        <w:t xml:space="preserve">being undertaken </w:t>
      </w:r>
      <w:proofErr w:type="gramStart"/>
      <w:r w:rsidR="00181FA8">
        <w:rPr>
          <w:rFonts w:cs="Arial"/>
          <w:sz w:val="24"/>
          <w:szCs w:val="24"/>
          <w:lang w:val="en-US"/>
        </w:rPr>
        <w:t>in order</w:t>
      </w:r>
      <w:r w:rsidR="007F0AD5">
        <w:rPr>
          <w:rFonts w:cs="Arial"/>
          <w:sz w:val="24"/>
          <w:szCs w:val="24"/>
          <w:lang w:val="en-US"/>
        </w:rPr>
        <w:t xml:space="preserve"> to</w:t>
      </w:r>
      <w:proofErr w:type="gramEnd"/>
      <w:r w:rsidR="007F0AD5">
        <w:rPr>
          <w:rFonts w:cs="Arial"/>
          <w:sz w:val="24"/>
          <w:szCs w:val="24"/>
          <w:lang w:val="en-US"/>
        </w:rPr>
        <w:t xml:space="preserve"> verify </w:t>
      </w:r>
      <w:r w:rsidR="003A263C">
        <w:rPr>
          <w:rFonts w:cs="Arial"/>
          <w:sz w:val="24"/>
          <w:szCs w:val="24"/>
          <w:lang w:val="en-US"/>
        </w:rPr>
        <w:t>the non-local origins of these adolescents</w:t>
      </w:r>
      <w:r w:rsidR="00F808E9">
        <w:rPr>
          <w:rFonts w:cs="Arial"/>
          <w:sz w:val="24"/>
          <w:szCs w:val="24"/>
          <w:lang w:val="en-US"/>
        </w:rPr>
        <w:t xml:space="preserve"> (Gowland et al. </w:t>
      </w:r>
      <w:r w:rsidR="00181FA8">
        <w:rPr>
          <w:rFonts w:cs="Arial"/>
          <w:sz w:val="24"/>
          <w:szCs w:val="24"/>
          <w:lang w:val="en-US"/>
        </w:rPr>
        <w:t>201</w:t>
      </w:r>
      <w:r w:rsidR="009D5345">
        <w:rPr>
          <w:rFonts w:cs="Arial"/>
          <w:sz w:val="24"/>
          <w:szCs w:val="24"/>
          <w:lang w:val="en-US"/>
        </w:rPr>
        <w:t>7</w:t>
      </w:r>
      <w:r w:rsidR="00F808E9">
        <w:rPr>
          <w:rFonts w:cs="Arial"/>
          <w:sz w:val="24"/>
          <w:szCs w:val="24"/>
          <w:lang w:val="en-US"/>
        </w:rPr>
        <w:t>)</w:t>
      </w:r>
      <w:r w:rsidR="007F0AD5">
        <w:rPr>
          <w:rFonts w:cs="Arial"/>
          <w:sz w:val="24"/>
          <w:szCs w:val="24"/>
          <w:lang w:val="en-US"/>
        </w:rPr>
        <w:t xml:space="preserve">. </w:t>
      </w:r>
    </w:p>
    <w:p w14:paraId="47F2131C" w14:textId="77777777" w:rsidR="00B96326" w:rsidRDefault="00B96326" w:rsidP="00453751">
      <w:pPr>
        <w:spacing w:line="480" w:lineRule="auto"/>
        <w:rPr>
          <w:rFonts w:cs="Arial"/>
          <w:sz w:val="24"/>
          <w:szCs w:val="24"/>
          <w:lang w:val="en-US"/>
        </w:rPr>
      </w:pPr>
    </w:p>
    <w:p w14:paraId="3777C8CA" w14:textId="77777777" w:rsidR="005C305A" w:rsidRPr="00126647" w:rsidRDefault="002B590F" w:rsidP="00453751">
      <w:pPr>
        <w:spacing w:line="480" w:lineRule="auto"/>
        <w:rPr>
          <w:rFonts w:cs="Arial"/>
          <w:b/>
          <w:sz w:val="24"/>
          <w:szCs w:val="24"/>
        </w:rPr>
      </w:pPr>
      <w:r w:rsidRPr="00126647">
        <w:rPr>
          <w:rFonts w:cs="Arial"/>
          <w:b/>
          <w:sz w:val="24"/>
          <w:szCs w:val="24"/>
          <w:lang w:val="en-US"/>
        </w:rPr>
        <w:t>Conclusion</w:t>
      </w:r>
    </w:p>
    <w:p w14:paraId="095EC5A7" w14:textId="01AED4D0" w:rsidR="002B590F" w:rsidRDefault="002D15B1" w:rsidP="00453751">
      <w:pPr>
        <w:spacing w:line="480" w:lineRule="auto"/>
        <w:rPr>
          <w:sz w:val="24"/>
          <w:szCs w:val="24"/>
          <w:lang w:val="en-US"/>
        </w:rPr>
      </w:pPr>
      <w:r w:rsidRPr="00126647">
        <w:rPr>
          <w:sz w:val="24"/>
          <w:szCs w:val="24"/>
          <w:lang w:val="en-US"/>
        </w:rPr>
        <w:t xml:space="preserve">While the children at Coach Lane undoubtedly showed evidence of </w:t>
      </w:r>
      <w:r w:rsidR="005C51BF">
        <w:rPr>
          <w:sz w:val="24"/>
          <w:szCs w:val="24"/>
          <w:lang w:val="en-US"/>
        </w:rPr>
        <w:t>adverse living condition</w:t>
      </w:r>
      <w:r w:rsidR="00A02DEC">
        <w:rPr>
          <w:sz w:val="24"/>
          <w:szCs w:val="24"/>
          <w:lang w:val="en-US"/>
        </w:rPr>
        <w:t>s</w:t>
      </w:r>
      <w:r w:rsidR="005C51BF">
        <w:rPr>
          <w:sz w:val="24"/>
          <w:szCs w:val="24"/>
          <w:lang w:val="en-US"/>
        </w:rPr>
        <w:t xml:space="preserve"> in the form of poor skeletal growth and the presence of physiological insults </w:t>
      </w:r>
      <w:r w:rsidR="0058200B">
        <w:rPr>
          <w:sz w:val="24"/>
          <w:szCs w:val="24"/>
          <w:lang w:val="en-US"/>
        </w:rPr>
        <w:t>to</w:t>
      </w:r>
      <w:r w:rsidR="005C51BF">
        <w:rPr>
          <w:sz w:val="24"/>
          <w:szCs w:val="24"/>
          <w:lang w:val="en-US"/>
        </w:rPr>
        <w:t xml:space="preserve"> the skeleton</w:t>
      </w:r>
      <w:r w:rsidRPr="00126647">
        <w:rPr>
          <w:sz w:val="24"/>
          <w:szCs w:val="24"/>
          <w:lang w:val="en-US"/>
        </w:rPr>
        <w:t xml:space="preserve">, it was surprising and contrary to historical evidence that the children from the rural site </w:t>
      </w:r>
      <w:r w:rsidR="0050187B">
        <w:rPr>
          <w:sz w:val="24"/>
          <w:szCs w:val="24"/>
          <w:lang w:val="en-US"/>
        </w:rPr>
        <w:t>showed</w:t>
      </w:r>
      <w:r w:rsidR="005C51BF">
        <w:rPr>
          <w:sz w:val="24"/>
          <w:szCs w:val="24"/>
          <w:lang w:val="en-US"/>
        </w:rPr>
        <w:t xml:space="preserve"> comparable</w:t>
      </w:r>
      <w:r w:rsidR="0050187B">
        <w:rPr>
          <w:sz w:val="24"/>
          <w:szCs w:val="24"/>
          <w:lang w:val="en-US"/>
        </w:rPr>
        <w:t xml:space="preserve"> health deficits</w:t>
      </w:r>
      <w:r w:rsidR="005C51BF">
        <w:rPr>
          <w:sz w:val="24"/>
          <w:szCs w:val="24"/>
          <w:lang w:val="en-US"/>
        </w:rPr>
        <w:t>.</w:t>
      </w:r>
      <w:r w:rsidRPr="00126647">
        <w:rPr>
          <w:sz w:val="24"/>
          <w:szCs w:val="24"/>
          <w:lang w:val="en-US"/>
        </w:rPr>
        <w:t xml:space="preserve"> </w:t>
      </w:r>
      <w:r w:rsidR="0050187B">
        <w:rPr>
          <w:sz w:val="24"/>
          <w:szCs w:val="24"/>
          <w:lang w:val="en-US"/>
        </w:rPr>
        <w:t>One explanation is that we</w:t>
      </w:r>
      <w:r w:rsidRPr="00126647">
        <w:rPr>
          <w:sz w:val="24"/>
          <w:szCs w:val="24"/>
          <w:lang w:val="en-US"/>
        </w:rPr>
        <w:t xml:space="preserve"> need to re-evaluate our ideas of rural life during this time in term</w:t>
      </w:r>
      <w:r w:rsidR="00715E28">
        <w:rPr>
          <w:sz w:val="24"/>
          <w:szCs w:val="24"/>
          <w:lang w:val="en-US"/>
        </w:rPr>
        <w:t xml:space="preserve">s of </w:t>
      </w:r>
      <w:r w:rsidR="006B3A75">
        <w:rPr>
          <w:sz w:val="24"/>
          <w:szCs w:val="24"/>
          <w:lang w:val="en-US"/>
        </w:rPr>
        <w:t>it providing a</w:t>
      </w:r>
      <w:r w:rsidR="0050187B">
        <w:rPr>
          <w:sz w:val="24"/>
          <w:szCs w:val="24"/>
          <w:lang w:val="en-US"/>
        </w:rPr>
        <w:t xml:space="preserve"> more beneficial </w:t>
      </w:r>
      <w:r w:rsidR="00715E28">
        <w:rPr>
          <w:sz w:val="24"/>
          <w:szCs w:val="24"/>
          <w:lang w:val="en-US"/>
        </w:rPr>
        <w:t xml:space="preserve">living </w:t>
      </w:r>
      <w:r w:rsidR="0050187B">
        <w:rPr>
          <w:sz w:val="24"/>
          <w:szCs w:val="24"/>
          <w:lang w:val="en-US"/>
        </w:rPr>
        <w:t>environment</w:t>
      </w:r>
      <w:r w:rsidR="00715E28">
        <w:rPr>
          <w:sz w:val="24"/>
          <w:szCs w:val="24"/>
          <w:lang w:val="en-US"/>
        </w:rPr>
        <w:t xml:space="preserve"> and diet. Alternatively, the health stress observed in</w:t>
      </w:r>
      <w:r w:rsidR="0050187B">
        <w:rPr>
          <w:sz w:val="24"/>
          <w:szCs w:val="24"/>
          <w:lang w:val="en-US"/>
        </w:rPr>
        <w:t xml:space="preserve"> some of</w:t>
      </w:r>
      <w:r w:rsidR="00715E28">
        <w:rPr>
          <w:sz w:val="24"/>
          <w:szCs w:val="24"/>
          <w:lang w:val="en-US"/>
        </w:rPr>
        <w:t xml:space="preserve"> the Fewston </w:t>
      </w:r>
      <w:r w:rsidR="0050187B">
        <w:rPr>
          <w:sz w:val="24"/>
          <w:szCs w:val="24"/>
          <w:lang w:val="en-US"/>
        </w:rPr>
        <w:t xml:space="preserve">children may </w:t>
      </w:r>
      <w:r w:rsidR="00715E28">
        <w:rPr>
          <w:sz w:val="24"/>
          <w:szCs w:val="24"/>
          <w:lang w:val="en-US"/>
        </w:rPr>
        <w:t xml:space="preserve">not relate to the local living environment at all, but instead </w:t>
      </w:r>
      <w:r w:rsidR="0058200B">
        <w:rPr>
          <w:sz w:val="24"/>
          <w:szCs w:val="24"/>
          <w:lang w:val="en-US"/>
        </w:rPr>
        <w:t xml:space="preserve">to </w:t>
      </w:r>
      <w:r w:rsidR="00715E28">
        <w:rPr>
          <w:sz w:val="24"/>
          <w:szCs w:val="24"/>
          <w:lang w:val="en-US"/>
        </w:rPr>
        <w:t>an impoverished urban childhood</w:t>
      </w:r>
      <w:r w:rsidR="0050187B">
        <w:rPr>
          <w:sz w:val="24"/>
          <w:szCs w:val="24"/>
          <w:lang w:val="en-US"/>
        </w:rPr>
        <w:t xml:space="preserve"> in the workhouses of London and elsewhere</w:t>
      </w:r>
      <w:r w:rsidR="00715E28">
        <w:rPr>
          <w:sz w:val="24"/>
          <w:szCs w:val="24"/>
          <w:lang w:val="en-US"/>
        </w:rPr>
        <w:t xml:space="preserve">. </w:t>
      </w:r>
      <w:r w:rsidRPr="00126647">
        <w:rPr>
          <w:sz w:val="24"/>
          <w:szCs w:val="24"/>
          <w:lang w:val="en-US"/>
        </w:rPr>
        <w:t xml:space="preserve"> </w:t>
      </w:r>
      <w:r w:rsidR="00715E28">
        <w:rPr>
          <w:sz w:val="24"/>
          <w:szCs w:val="24"/>
          <w:lang w:val="en-US"/>
        </w:rPr>
        <w:t>Childhood mobility during this period as well as u</w:t>
      </w:r>
      <w:r w:rsidRPr="00126647">
        <w:rPr>
          <w:sz w:val="24"/>
          <w:szCs w:val="24"/>
          <w:lang w:val="en-US"/>
        </w:rPr>
        <w:t xml:space="preserve">rban to rural migration </w:t>
      </w:r>
      <w:r w:rsidR="00715E28">
        <w:rPr>
          <w:sz w:val="24"/>
          <w:szCs w:val="24"/>
          <w:lang w:val="en-US"/>
        </w:rPr>
        <w:t xml:space="preserve">should be factored </w:t>
      </w:r>
      <w:r w:rsidRPr="00126647">
        <w:rPr>
          <w:sz w:val="24"/>
          <w:szCs w:val="24"/>
          <w:lang w:val="en-US"/>
        </w:rPr>
        <w:t xml:space="preserve">into our interpretations. Industry was not just an urban </w:t>
      </w:r>
      <w:r w:rsidR="00715E28" w:rsidRPr="00126647">
        <w:rPr>
          <w:sz w:val="24"/>
          <w:szCs w:val="24"/>
          <w:lang w:val="en-US"/>
        </w:rPr>
        <w:t>phenomenon</w:t>
      </w:r>
      <w:r w:rsidRPr="00126647">
        <w:rPr>
          <w:sz w:val="24"/>
          <w:szCs w:val="24"/>
          <w:lang w:val="en-US"/>
        </w:rPr>
        <w:t xml:space="preserve">, but also a rural </w:t>
      </w:r>
      <w:r w:rsidR="00715E28">
        <w:rPr>
          <w:sz w:val="24"/>
          <w:szCs w:val="24"/>
          <w:lang w:val="en-US"/>
        </w:rPr>
        <w:t>endeavor</w:t>
      </w:r>
      <w:r w:rsidRPr="00126647">
        <w:rPr>
          <w:sz w:val="24"/>
          <w:szCs w:val="24"/>
          <w:lang w:val="en-US"/>
        </w:rPr>
        <w:t xml:space="preserve"> and we should consider the impact of this on the health and population structure of Fewston. Finally, </w:t>
      </w:r>
      <w:r w:rsidR="002B590F" w:rsidRPr="00126647">
        <w:rPr>
          <w:sz w:val="24"/>
          <w:szCs w:val="24"/>
          <w:lang w:val="en-US"/>
        </w:rPr>
        <w:t xml:space="preserve">poverty </w:t>
      </w:r>
      <w:r w:rsidRPr="00126647">
        <w:rPr>
          <w:sz w:val="24"/>
          <w:szCs w:val="24"/>
          <w:lang w:val="en-US"/>
        </w:rPr>
        <w:t>has heritable biological consequences</w:t>
      </w:r>
      <w:r w:rsidR="00715E28">
        <w:rPr>
          <w:sz w:val="24"/>
          <w:szCs w:val="24"/>
          <w:lang w:val="en-US"/>
        </w:rPr>
        <w:t xml:space="preserve"> via poor maternal health status. This biological disadvantage then becomes exacerbated by poor working and living conditions. The industrial revolution</w:t>
      </w:r>
      <w:r w:rsidR="002B590F" w:rsidRPr="00126647">
        <w:rPr>
          <w:sz w:val="24"/>
          <w:szCs w:val="24"/>
          <w:lang w:val="en-US"/>
        </w:rPr>
        <w:t xml:space="preserve"> was a period of relative social mobility, </w:t>
      </w:r>
      <w:r w:rsidR="00715E28">
        <w:rPr>
          <w:sz w:val="24"/>
          <w:szCs w:val="24"/>
          <w:lang w:val="en-US"/>
        </w:rPr>
        <w:t xml:space="preserve">with a rise in the middle classes, </w:t>
      </w:r>
      <w:r w:rsidR="002B590F" w:rsidRPr="00126647">
        <w:rPr>
          <w:sz w:val="24"/>
          <w:szCs w:val="24"/>
          <w:lang w:val="en-US"/>
        </w:rPr>
        <w:t xml:space="preserve">but for the very poor and disenfranchised, the inheritance of biological inequality in </w:t>
      </w:r>
      <w:r w:rsidR="002B590F" w:rsidRPr="00126647">
        <w:rPr>
          <w:sz w:val="24"/>
          <w:szCs w:val="24"/>
          <w:lang w:val="en-US"/>
        </w:rPr>
        <w:lastRenderedPageBreak/>
        <w:t xml:space="preserve">terms of morbidity and mortality risks, in addition to social disadvantage, meant that only the very tenacious could </w:t>
      </w:r>
      <w:r w:rsidRPr="00126647">
        <w:rPr>
          <w:sz w:val="24"/>
          <w:szCs w:val="24"/>
          <w:lang w:val="en-US"/>
        </w:rPr>
        <w:t xml:space="preserve">survive or </w:t>
      </w:r>
      <w:r w:rsidR="002B590F" w:rsidRPr="00126647">
        <w:rPr>
          <w:sz w:val="24"/>
          <w:szCs w:val="24"/>
          <w:lang w:val="en-US"/>
        </w:rPr>
        <w:t xml:space="preserve">thrive. </w:t>
      </w:r>
    </w:p>
    <w:p w14:paraId="547F47D0" w14:textId="77777777" w:rsidR="006B3A75" w:rsidRDefault="006B3A75" w:rsidP="00453751">
      <w:pPr>
        <w:spacing w:line="480" w:lineRule="auto"/>
        <w:rPr>
          <w:sz w:val="24"/>
          <w:szCs w:val="24"/>
          <w:lang w:val="en-US"/>
        </w:rPr>
      </w:pPr>
    </w:p>
    <w:p w14:paraId="774CF9B6" w14:textId="5D57AD05" w:rsidR="00D34243" w:rsidRDefault="00C67C95" w:rsidP="00453751">
      <w:pPr>
        <w:spacing w:line="480" w:lineRule="auto"/>
        <w:rPr>
          <w:b/>
          <w:sz w:val="24"/>
          <w:szCs w:val="24"/>
          <w:lang w:val="en-US"/>
        </w:rPr>
      </w:pPr>
      <w:r w:rsidRPr="0050187B">
        <w:rPr>
          <w:b/>
          <w:sz w:val="24"/>
          <w:szCs w:val="24"/>
          <w:lang w:val="en-US"/>
        </w:rPr>
        <w:t>Acknowledgements</w:t>
      </w:r>
    </w:p>
    <w:p w14:paraId="0B370A63" w14:textId="1FCFD5A2" w:rsidR="00C67C95" w:rsidRPr="00C67C95" w:rsidRDefault="00C67C95" w:rsidP="00C67C95">
      <w:pPr>
        <w:spacing w:line="480" w:lineRule="auto"/>
        <w:rPr>
          <w:sz w:val="24"/>
          <w:szCs w:val="24"/>
        </w:rPr>
      </w:pPr>
      <w:r>
        <w:rPr>
          <w:sz w:val="24"/>
          <w:szCs w:val="24"/>
          <w:lang w:val="en-US"/>
        </w:rPr>
        <w:t xml:space="preserve">The authors would like to acknowledge the </w:t>
      </w:r>
      <w:r w:rsidRPr="00C67C95">
        <w:rPr>
          <w:sz w:val="24"/>
          <w:szCs w:val="24"/>
          <w:lang w:val="en-US"/>
        </w:rPr>
        <w:t xml:space="preserve">British Academy </w:t>
      </w:r>
      <w:r>
        <w:rPr>
          <w:sz w:val="24"/>
          <w:szCs w:val="24"/>
          <w:lang w:val="en-US"/>
        </w:rPr>
        <w:t>(</w:t>
      </w:r>
      <w:r w:rsidRPr="00C67C95">
        <w:rPr>
          <w:sz w:val="24"/>
          <w:szCs w:val="24"/>
          <w:lang w:val="en-US"/>
        </w:rPr>
        <w:t>SG132083</w:t>
      </w:r>
      <w:r>
        <w:rPr>
          <w:sz w:val="24"/>
          <w:szCs w:val="24"/>
          <w:lang w:val="en-US"/>
        </w:rPr>
        <w:t>) for funding this research. We would also like to thank Sally and Clive Robinson</w:t>
      </w:r>
      <w:r w:rsidR="002B4F47">
        <w:rPr>
          <w:sz w:val="24"/>
          <w:szCs w:val="24"/>
          <w:lang w:val="en-US"/>
        </w:rPr>
        <w:t xml:space="preserve"> and the volunteers</w:t>
      </w:r>
      <w:r>
        <w:rPr>
          <w:sz w:val="24"/>
          <w:szCs w:val="24"/>
          <w:lang w:val="en-US"/>
        </w:rPr>
        <w:t xml:space="preserve"> from the Washburn Heritage Centre </w:t>
      </w:r>
      <w:r w:rsidR="002B4F47">
        <w:rPr>
          <w:sz w:val="24"/>
          <w:szCs w:val="24"/>
          <w:lang w:val="en-US"/>
        </w:rPr>
        <w:t>for their contribution and support</w:t>
      </w:r>
      <w:r w:rsidR="00305B1E">
        <w:rPr>
          <w:sz w:val="24"/>
          <w:szCs w:val="24"/>
          <w:lang w:val="en-US"/>
        </w:rPr>
        <w:t xml:space="preserve"> with the Fewston assemblage and Jenny Proctor at Pre-Construct Archaeology for access to the Coach Lane collection. </w:t>
      </w:r>
    </w:p>
    <w:p w14:paraId="079571AF" w14:textId="77777777" w:rsidR="00C67C95" w:rsidRDefault="00C67C95" w:rsidP="00453751">
      <w:pPr>
        <w:spacing w:line="480" w:lineRule="auto"/>
        <w:rPr>
          <w:b/>
          <w:sz w:val="24"/>
          <w:szCs w:val="24"/>
          <w:lang w:val="en-US"/>
        </w:rPr>
      </w:pPr>
    </w:p>
    <w:p w14:paraId="5F14BDF1" w14:textId="46A6D7F6" w:rsidR="00D34243" w:rsidRPr="00C67C95" w:rsidRDefault="00C67C95" w:rsidP="00453751">
      <w:pPr>
        <w:spacing w:line="480" w:lineRule="auto"/>
        <w:rPr>
          <w:b/>
          <w:sz w:val="24"/>
          <w:szCs w:val="24"/>
          <w:lang w:val="en-US"/>
        </w:rPr>
      </w:pPr>
      <w:r w:rsidRPr="00C67C95">
        <w:rPr>
          <w:b/>
          <w:sz w:val="24"/>
          <w:szCs w:val="24"/>
          <w:lang w:val="en-US"/>
        </w:rPr>
        <w:t>References Cited</w:t>
      </w:r>
    </w:p>
    <w:p w14:paraId="1ECBC779" w14:textId="77777777" w:rsidR="0058200B" w:rsidRPr="0058200B" w:rsidRDefault="0058200B" w:rsidP="0058200B">
      <w:pPr>
        <w:spacing w:line="480" w:lineRule="auto"/>
        <w:rPr>
          <w:sz w:val="24"/>
          <w:szCs w:val="24"/>
          <w:lang w:val="en-US"/>
        </w:rPr>
      </w:pPr>
      <w:proofErr w:type="spellStart"/>
      <w:r w:rsidRPr="0058200B">
        <w:rPr>
          <w:sz w:val="24"/>
          <w:szCs w:val="24"/>
          <w:lang w:val="en-US"/>
        </w:rPr>
        <w:t>Alred</w:t>
      </w:r>
      <w:proofErr w:type="spellEnd"/>
      <w:r w:rsidRPr="0058200B">
        <w:rPr>
          <w:sz w:val="24"/>
          <w:szCs w:val="24"/>
          <w:lang w:val="en-US"/>
        </w:rPr>
        <w:t xml:space="preserve">, David. 1997. </w:t>
      </w:r>
      <w:r w:rsidRPr="0058200B">
        <w:rPr>
          <w:i/>
          <w:sz w:val="24"/>
          <w:szCs w:val="24"/>
          <w:lang w:val="en-US"/>
        </w:rPr>
        <w:t>Washburn Valley Yesterday: A Pictorial Record of Life in a Dales Valley</w:t>
      </w:r>
      <w:r w:rsidRPr="0058200B">
        <w:rPr>
          <w:sz w:val="24"/>
          <w:szCs w:val="24"/>
          <w:lang w:val="en-US"/>
        </w:rPr>
        <w:t xml:space="preserve">. Smith Settle, </w:t>
      </w:r>
      <w:proofErr w:type="spellStart"/>
      <w:r w:rsidRPr="0058200B">
        <w:rPr>
          <w:sz w:val="24"/>
          <w:szCs w:val="24"/>
          <w:lang w:val="en-US"/>
        </w:rPr>
        <w:t>Otley</w:t>
      </w:r>
      <w:proofErr w:type="spellEnd"/>
      <w:r w:rsidRPr="0058200B">
        <w:rPr>
          <w:sz w:val="24"/>
          <w:szCs w:val="24"/>
          <w:lang w:val="en-US"/>
        </w:rPr>
        <w:t>.</w:t>
      </w:r>
    </w:p>
    <w:p w14:paraId="14E8296F" w14:textId="0C7742D8" w:rsidR="003F687D" w:rsidRDefault="003F687D" w:rsidP="003F687D">
      <w:pPr>
        <w:spacing w:line="480" w:lineRule="auto"/>
        <w:rPr>
          <w:sz w:val="24"/>
          <w:szCs w:val="24"/>
        </w:rPr>
      </w:pPr>
      <w:r w:rsidRPr="003F687D">
        <w:rPr>
          <w:sz w:val="24"/>
          <w:szCs w:val="24"/>
        </w:rPr>
        <w:t>Arthur, N</w:t>
      </w:r>
      <w:r w:rsidR="00D56A28">
        <w:rPr>
          <w:sz w:val="24"/>
          <w:szCs w:val="24"/>
        </w:rPr>
        <w:t>ichola</w:t>
      </w:r>
      <w:r w:rsidRPr="003F687D">
        <w:rPr>
          <w:sz w:val="24"/>
          <w:szCs w:val="24"/>
        </w:rPr>
        <w:t xml:space="preserve">, </w:t>
      </w:r>
      <w:r w:rsidR="00D56A28">
        <w:rPr>
          <w:sz w:val="24"/>
          <w:szCs w:val="24"/>
        </w:rPr>
        <w:t xml:space="preserve">Rebecca L. </w:t>
      </w:r>
      <w:proofErr w:type="spellStart"/>
      <w:r w:rsidRPr="003F687D">
        <w:rPr>
          <w:sz w:val="24"/>
          <w:szCs w:val="24"/>
        </w:rPr>
        <w:t>Gowland</w:t>
      </w:r>
      <w:proofErr w:type="spellEnd"/>
      <w:r w:rsidRPr="003F687D">
        <w:rPr>
          <w:sz w:val="24"/>
          <w:szCs w:val="24"/>
        </w:rPr>
        <w:t>,</w:t>
      </w:r>
      <w:r w:rsidR="00D56A28">
        <w:rPr>
          <w:sz w:val="24"/>
          <w:szCs w:val="24"/>
        </w:rPr>
        <w:t xml:space="preserve"> Rebecca C.</w:t>
      </w:r>
      <w:r w:rsidRPr="003F687D">
        <w:rPr>
          <w:sz w:val="24"/>
          <w:szCs w:val="24"/>
        </w:rPr>
        <w:t xml:space="preserve"> Redfern</w:t>
      </w:r>
      <w:r w:rsidR="00D56A28">
        <w:rPr>
          <w:sz w:val="24"/>
          <w:szCs w:val="24"/>
        </w:rPr>
        <w:t xml:space="preserve">. </w:t>
      </w:r>
      <w:r w:rsidRPr="003F687D">
        <w:rPr>
          <w:sz w:val="24"/>
          <w:szCs w:val="24"/>
        </w:rPr>
        <w:t xml:space="preserve">2016. Bodies in Transition: Application of Skeletal Markers of Puberty to Romano-British Contexts. </w:t>
      </w:r>
      <w:r w:rsidRPr="003F687D">
        <w:rPr>
          <w:i/>
          <w:sz w:val="24"/>
          <w:szCs w:val="24"/>
        </w:rPr>
        <w:t>American Journal of Physical Anthropology</w:t>
      </w:r>
      <w:r w:rsidRPr="003F687D">
        <w:rPr>
          <w:sz w:val="24"/>
          <w:szCs w:val="24"/>
        </w:rPr>
        <w:t xml:space="preserve"> 159:698-713</w:t>
      </w:r>
      <w:r w:rsidR="00D56A28">
        <w:rPr>
          <w:sz w:val="24"/>
          <w:szCs w:val="24"/>
        </w:rPr>
        <w:t>.</w:t>
      </w:r>
    </w:p>
    <w:p w14:paraId="57C00B1B" w14:textId="1EADCFC5" w:rsidR="00CD15DA" w:rsidRDefault="00CD15DA" w:rsidP="00CD15DA">
      <w:pPr>
        <w:spacing w:line="480" w:lineRule="auto"/>
        <w:rPr>
          <w:sz w:val="24"/>
          <w:szCs w:val="24"/>
          <w:lang w:val="sv-SE"/>
        </w:rPr>
      </w:pPr>
      <w:r w:rsidRPr="00CD15DA">
        <w:rPr>
          <w:sz w:val="24"/>
          <w:szCs w:val="24"/>
          <w:lang w:val="sv-SE"/>
        </w:rPr>
        <w:t>Barker</w:t>
      </w:r>
      <w:r>
        <w:rPr>
          <w:sz w:val="24"/>
          <w:szCs w:val="24"/>
          <w:lang w:val="sv-SE"/>
        </w:rPr>
        <w:t>,</w:t>
      </w:r>
      <w:r w:rsidRPr="00CD15DA">
        <w:rPr>
          <w:sz w:val="24"/>
          <w:szCs w:val="24"/>
          <w:lang w:val="sv-SE"/>
        </w:rPr>
        <w:t xml:space="preserve"> DJP. 2012. Developmental origins of chronic disease. </w:t>
      </w:r>
      <w:r w:rsidRPr="00CD15DA">
        <w:rPr>
          <w:i/>
          <w:sz w:val="24"/>
          <w:szCs w:val="24"/>
          <w:lang w:val="sv-SE"/>
        </w:rPr>
        <w:t>Public Health</w:t>
      </w:r>
      <w:r>
        <w:rPr>
          <w:sz w:val="24"/>
          <w:szCs w:val="24"/>
          <w:lang w:val="sv-SE"/>
        </w:rPr>
        <w:t xml:space="preserve"> 126:</w:t>
      </w:r>
      <w:r w:rsidRPr="00CD15DA">
        <w:rPr>
          <w:sz w:val="24"/>
          <w:szCs w:val="24"/>
          <w:lang w:val="sv-SE"/>
        </w:rPr>
        <w:t>185-189.</w:t>
      </w:r>
    </w:p>
    <w:p w14:paraId="0D086E98" w14:textId="6F4C2EC2" w:rsidR="00EA5EB1" w:rsidRDefault="00EA5EB1" w:rsidP="00CD15DA">
      <w:pPr>
        <w:spacing w:line="480" w:lineRule="auto"/>
        <w:rPr>
          <w:sz w:val="24"/>
          <w:szCs w:val="24"/>
          <w:lang w:val="sv-SE"/>
        </w:rPr>
      </w:pPr>
      <w:proofErr w:type="spellStart"/>
      <w:r w:rsidRPr="00EA5EB1">
        <w:rPr>
          <w:sz w:val="24"/>
          <w:szCs w:val="24"/>
          <w:lang w:val="en-US"/>
        </w:rPr>
        <w:t>Bogin</w:t>
      </w:r>
      <w:proofErr w:type="spellEnd"/>
      <w:r w:rsidRPr="00EA5EB1">
        <w:rPr>
          <w:sz w:val="24"/>
          <w:szCs w:val="24"/>
          <w:lang w:val="en-US"/>
        </w:rPr>
        <w:t>, Barry. 1999. </w:t>
      </w:r>
      <w:r w:rsidRPr="00EA5EB1">
        <w:rPr>
          <w:i/>
          <w:iCs/>
          <w:sz w:val="24"/>
          <w:szCs w:val="24"/>
          <w:lang w:val="en-US"/>
        </w:rPr>
        <w:t>Patterns of Human Growth</w:t>
      </w:r>
      <w:r w:rsidRPr="00EA5EB1">
        <w:rPr>
          <w:sz w:val="24"/>
          <w:szCs w:val="24"/>
          <w:lang w:val="en-US"/>
        </w:rPr>
        <w:t>. Cambridge University Press, Cambridge.</w:t>
      </w:r>
    </w:p>
    <w:p w14:paraId="4D30CBC2" w14:textId="77777777" w:rsidR="00710AA5" w:rsidRPr="00710AA5" w:rsidRDefault="00710AA5" w:rsidP="00710AA5">
      <w:pPr>
        <w:spacing w:line="480" w:lineRule="auto"/>
        <w:rPr>
          <w:sz w:val="24"/>
          <w:szCs w:val="24"/>
          <w:lang w:val="en-US"/>
        </w:rPr>
      </w:pPr>
      <w:proofErr w:type="spellStart"/>
      <w:r w:rsidRPr="00710AA5">
        <w:rPr>
          <w:sz w:val="24"/>
          <w:szCs w:val="24"/>
          <w:lang w:val="en-US"/>
        </w:rPr>
        <w:t>Brickley</w:t>
      </w:r>
      <w:proofErr w:type="spellEnd"/>
      <w:r w:rsidRPr="00710AA5">
        <w:rPr>
          <w:sz w:val="24"/>
          <w:szCs w:val="24"/>
          <w:lang w:val="en-US"/>
        </w:rPr>
        <w:t xml:space="preserve">, Megan, and Rachel Ives. 2006. Skeletal Manifestations of Infantile Scurvy. </w:t>
      </w:r>
      <w:r w:rsidRPr="00710AA5">
        <w:rPr>
          <w:i/>
          <w:sz w:val="24"/>
          <w:szCs w:val="24"/>
          <w:lang w:val="en-US"/>
        </w:rPr>
        <w:t>American Journal of Physical Anthropology</w:t>
      </w:r>
      <w:r w:rsidRPr="00710AA5">
        <w:rPr>
          <w:sz w:val="24"/>
          <w:szCs w:val="24"/>
          <w:lang w:val="en-US"/>
        </w:rPr>
        <w:t xml:space="preserve"> 129:163-172.</w:t>
      </w:r>
    </w:p>
    <w:p w14:paraId="6405A612" w14:textId="77777777" w:rsidR="00710AA5" w:rsidRPr="00710AA5" w:rsidRDefault="00710AA5" w:rsidP="00710AA5">
      <w:pPr>
        <w:spacing w:line="480" w:lineRule="auto"/>
        <w:rPr>
          <w:sz w:val="24"/>
          <w:szCs w:val="24"/>
        </w:rPr>
      </w:pPr>
      <w:proofErr w:type="spellStart"/>
      <w:r w:rsidRPr="00710AA5">
        <w:rPr>
          <w:sz w:val="24"/>
          <w:szCs w:val="24"/>
        </w:rPr>
        <w:t>Brickley</w:t>
      </w:r>
      <w:proofErr w:type="spellEnd"/>
      <w:r w:rsidRPr="00710AA5">
        <w:rPr>
          <w:sz w:val="24"/>
          <w:szCs w:val="24"/>
        </w:rPr>
        <w:t xml:space="preserve">, Megan, and Rachel Ives. 2008. </w:t>
      </w:r>
      <w:r w:rsidRPr="00710AA5">
        <w:rPr>
          <w:i/>
          <w:sz w:val="24"/>
          <w:szCs w:val="24"/>
        </w:rPr>
        <w:t>The bioarchaeology of metabolic bone disease</w:t>
      </w:r>
      <w:r w:rsidRPr="00710AA5">
        <w:rPr>
          <w:sz w:val="24"/>
          <w:szCs w:val="24"/>
        </w:rPr>
        <w:t>. Academic Press, London.</w:t>
      </w:r>
    </w:p>
    <w:p w14:paraId="298A4045" w14:textId="3CCF6778" w:rsidR="003F687D" w:rsidRPr="003F687D" w:rsidRDefault="003F687D" w:rsidP="003F687D">
      <w:pPr>
        <w:spacing w:line="480" w:lineRule="auto"/>
        <w:rPr>
          <w:sz w:val="24"/>
          <w:szCs w:val="24"/>
        </w:rPr>
      </w:pPr>
      <w:proofErr w:type="spellStart"/>
      <w:r w:rsidRPr="003F687D">
        <w:rPr>
          <w:sz w:val="24"/>
          <w:szCs w:val="24"/>
          <w:lang w:val="en-US"/>
        </w:rPr>
        <w:lastRenderedPageBreak/>
        <w:t>Brickley</w:t>
      </w:r>
      <w:proofErr w:type="spellEnd"/>
      <w:r w:rsidR="00D56A28">
        <w:rPr>
          <w:sz w:val="24"/>
          <w:szCs w:val="24"/>
          <w:lang w:val="en-US"/>
        </w:rPr>
        <w:t>,</w:t>
      </w:r>
      <w:r w:rsidRPr="003F687D">
        <w:rPr>
          <w:sz w:val="24"/>
          <w:szCs w:val="24"/>
          <w:lang w:val="en-US"/>
        </w:rPr>
        <w:t xml:space="preserve"> M</w:t>
      </w:r>
      <w:r w:rsidR="00D56A28">
        <w:rPr>
          <w:sz w:val="24"/>
          <w:szCs w:val="24"/>
          <w:lang w:val="en-US"/>
        </w:rPr>
        <w:t>egan,</w:t>
      </w:r>
      <w:r w:rsidRPr="003F687D">
        <w:rPr>
          <w:sz w:val="24"/>
          <w:szCs w:val="24"/>
          <w:lang w:val="en-US"/>
        </w:rPr>
        <w:t xml:space="preserve"> and </w:t>
      </w:r>
      <w:r w:rsidR="00D56A28">
        <w:rPr>
          <w:sz w:val="24"/>
          <w:szCs w:val="24"/>
          <w:lang w:val="en-US"/>
        </w:rPr>
        <w:t xml:space="preserve">Adrian </w:t>
      </w:r>
      <w:r w:rsidRPr="003F687D">
        <w:rPr>
          <w:sz w:val="24"/>
          <w:szCs w:val="24"/>
          <w:lang w:val="en-US"/>
        </w:rPr>
        <w:t>Miles</w:t>
      </w:r>
      <w:r w:rsidR="00D56A28">
        <w:rPr>
          <w:sz w:val="24"/>
          <w:szCs w:val="24"/>
          <w:lang w:val="en-US"/>
        </w:rPr>
        <w:t xml:space="preserve">. </w:t>
      </w:r>
      <w:r w:rsidRPr="003F687D">
        <w:rPr>
          <w:sz w:val="24"/>
          <w:szCs w:val="24"/>
          <w:lang w:val="en-US"/>
        </w:rPr>
        <w:t>1999</w:t>
      </w:r>
      <w:r w:rsidR="00D56A28">
        <w:rPr>
          <w:sz w:val="24"/>
          <w:szCs w:val="24"/>
          <w:lang w:val="en-US"/>
        </w:rPr>
        <w:t>.</w:t>
      </w:r>
      <w:r w:rsidRPr="003F687D">
        <w:rPr>
          <w:sz w:val="24"/>
          <w:szCs w:val="24"/>
          <w:lang w:val="en-US"/>
        </w:rPr>
        <w:t xml:space="preserve"> </w:t>
      </w:r>
      <w:r w:rsidRPr="003F687D">
        <w:rPr>
          <w:i/>
          <w:sz w:val="24"/>
          <w:szCs w:val="24"/>
          <w:lang w:val="en-US"/>
        </w:rPr>
        <w:t xml:space="preserve">The Cross Bones burial ground, </w:t>
      </w:r>
      <w:proofErr w:type="spellStart"/>
      <w:r w:rsidRPr="003F687D">
        <w:rPr>
          <w:i/>
          <w:sz w:val="24"/>
          <w:szCs w:val="24"/>
          <w:lang w:val="en-US"/>
        </w:rPr>
        <w:t>Redcross</w:t>
      </w:r>
      <w:proofErr w:type="spellEnd"/>
      <w:r w:rsidRPr="003F687D">
        <w:rPr>
          <w:i/>
          <w:sz w:val="24"/>
          <w:szCs w:val="24"/>
          <w:lang w:val="en-US"/>
        </w:rPr>
        <w:t xml:space="preserve"> Way </w:t>
      </w:r>
      <w:proofErr w:type="spellStart"/>
      <w:r w:rsidRPr="003F687D">
        <w:rPr>
          <w:i/>
          <w:sz w:val="24"/>
          <w:szCs w:val="24"/>
          <w:lang w:val="en-US"/>
        </w:rPr>
        <w:t>Southwark</w:t>
      </w:r>
      <w:proofErr w:type="spellEnd"/>
      <w:r w:rsidRPr="003F687D">
        <w:rPr>
          <w:i/>
          <w:sz w:val="24"/>
          <w:szCs w:val="24"/>
          <w:lang w:val="en-US"/>
        </w:rPr>
        <w:t xml:space="preserve"> London. Archaeological excavations (1991-1998) for the London Underground Limited Jubilee Line Extension Project.</w:t>
      </w:r>
      <w:r w:rsidRPr="003F687D">
        <w:rPr>
          <w:sz w:val="24"/>
          <w:szCs w:val="24"/>
          <w:lang w:val="en-US"/>
        </w:rPr>
        <w:t xml:space="preserve"> </w:t>
      </w:r>
      <w:proofErr w:type="spellStart"/>
      <w:r w:rsidRPr="003F687D">
        <w:rPr>
          <w:sz w:val="24"/>
          <w:szCs w:val="24"/>
          <w:lang w:val="en-US"/>
        </w:rPr>
        <w:t>MoLAS</w:t>
      </w:r>
      <w:proofErr w:type="spellEnd"/>
      <w:r w:rsidRPr="003F687D">
        <w:rPr>
          <w:sz w:val="24"/>
          <w:szCs w:val="24"/>
          <w:lang w:val="en-US"/>
        </w:rPr>
        <w:t xml:space="preserve"> Monograph 3.</w:t>
      </w:r>
    </w:p>
    <w:p w14:paraId="498C4A29" w14:textId="217CF43B" w:rsidR="00A2031F" w:rsidRDefault="00A2031F" w:rsidP="003F687D">
      <w:pPr>
        <w:spacing w:line="480" w:lineRule="auto"/>
        <w:rPr>
          <w:sz w:val="24"/>
          <w:szCs w:val="24"/>
        </w:rPr>
      </w:pPr>
      <w:proofErr w:type="spellStart"/>
      <w:r>
        <w:rPr>
          <w:sz w:val="24"/>
          <w:szCs w:val="24"/>
        </w:rPr>
        <w:t>Brimblecombe</w:t>
      </w:r>
      <w:proofErr w:type="spellEnd"/>
      <w:r>
        <w:rPr>
          <w:sz w:val="24"/>
          <w:szCs w:val="24"/>
        </w:rPr>
        <w:t>, P. 1978.</w:t>
      </w:r>
      <w:r w:rsidRPr="00A2031F">
        <w:rPr>
          <w:sz w:val="24"/>
          <w:szCs w:val="24"/>
        </w:rPr>
        <w:t xml:space="preserve"> Air pollution in industrializing England. </w:t>
      </w:r>
      <w:r w:rsidRPr="00CD15DA">
        <w:rPr>
          <w:i/>
          <w:sz w:val="24"/>
          <w:szCs w:val="24"/>
        </w:rPr>
        <w:t>Journal of the Air Pollution Control Association</w:t>
      </w:r>
      <w:r w:rsidR="00CD15DA">
        <w:rPr>
          <w:sz w:val="24"/>
          <w:szCs w:val="24"/>
        </w:rPr>
        <w:t xml:space="preserve"> 28</w:t>
      </w:r>
      <w:r w:rsidRPr="00A2031F">
        <w:rPr>
          <w:sz w:val="24"/>
          <w:szCs w:val="24"/>
        </w:rPr>
        <w:t>:115-118</w:t>
      </w:r>
      <w:r w:rsidR="00CD15DA">
        <w:rPr>
          <w:sz w:val="24"/>
          <w:szCs w:val="24"/>
        </w:rPr>
        <w:t>.</w:t>
      </w:r>
    </w:p>
    <w:p w14:paraId="51B2478F" w14:textId="3A56781B" w:rsidR="00BF0AB9" w:rsidRPr="005A11DD" w:rsidRDefault="005A11DD" w:rsidP="003F687D">
      <w:pPr>
        <w:spacing w:line="480" w:lineRule="auto"/>
        <w:rPr>
          <w:bCs/>
          <w:iCs/>
          <w:sz w:val="24"/>
          <w:szCs w:val="24"/>
        </w:rPr>
      </w:pPr>
      <w:r>
        <w:rPr>
          <w:iCs/>
          <w:sz w:val="24"/>
          <w:szCs w:val="24"/>
        </w:rPr>
        <w:t xml:space="preserve">Report of the Collective Investigating Committee of the British Medical Association. 1899. </w:t>
      </w:r>
      <w:r w:rsidRPr="005A11DD">
        <w:rPr>
          <w:bCs/>
          <w:iCs/>
          <w:sz w:val="24"/>
          <w:szCs w:val="24"/>
        </w:rPr>
        <w:t xml:space="preserve">Geographical Distribution </w:t>
      </w:r>
      <w:r>
        <w:rPr>
          <w:bCs/>
          <w:iCs/>
          <w:sz w:val="24"/>
          <w:szCs w:val="24"/>
        </w:rPr>
        <w:t>o</w:t>
      </w:r>
      <w:r w:rsidRPr="005A11DD">
        <w:rPr>
          <w:bCs/>
          <w:iCs/>
          <w:sz w:val="24"/>
          <w:szCs w:val="24"/>
        </w:rPr>
        <w:t xml:space="preserve">f Rickets, Acute </w:t>
      </w:r>
      <w:r>
        <w:rPr>
          <w:bCs/>
          <w:iCs/>
          <w:sz w:val="24"/>
          <w:szCs w:val="24"/>
        </w:rPr>
        <w:t>a</w:t>
      </w:r>
      <w:r w:rsidRPr="005A11DD">
        <w:rPr>
          <w:bCs/>
          <w:iCs/>
          <w:sz w:val="24"/>
          <w:szCs w:val="24"/>
        </w:rPr>
        <w:t>nd Subacute Rheumatism, Chorea, Cancer, And Urinary Calculus</w:t>
      </w:r>
      <w:r>
        <w:rPr>
          <w:bCs/>
          <w:iCs/>
          <w:sz w:val="24"/>
          <w:szCs w:val="24"/>
        </w:rPr>
        <w:t xml:space="preserve"> i</w:t>
      </w:r>
      <w:r w:rsidRPr="005A11DD">
        <w:rPr>
          <w:bCs/>
          <w:iCs/>
          <w:sz w:val="24"/>
          <w:szCs w:val="24"/>
        </w:rPr>
        <w:t xml:space="preserve">n </w:t>
      </w:r>
      <w:r>
        <w:rPr>
          <w:bCs/>
          <w:iCs/>
          <w:sz w:val="24"/>
          <w:szCs w:val="24"/>
        </w:rPr>
        <w:t>t</w:t>
      </w:r>
      <w:r w:rsidRPr="005A11DD">
        <w:rPr>
          <w:bCs/>
          <w:iCs/>
          <w:sz w:val="24"/>
          <w:szCs w:val="24"/>
        </w:rPr>
        <w:t>he British Islands</w:t>
      </w:r>
      <w:r>
        <w:rPr>
          <w:bCs/>
          <w:iCs/>
          <w:sz w:val="24"/>
          <w:szCs w:val="24"/>
        </w:rPr>
        <w:t xml:space="preserve">. </w:t>
      </w:r>
      <w:r w:rsidRPr="005A11DD">
        <w:rPr>
          <w:bCs/>
          <w:i/>
          <w:iCs/>
          <w:sz w:val="24"/>
          <w:szCs w:val="24"/>
        </w:rPr>
        <w:t>British Medical Journal</w:t>
      </w:r>
      <w:r>
        <w:rPr>
          <w:bCs/>
          <w:iCs/>
          <w:sz w:val="24"/>
          <w:szCs w:val="24"/>
        </w:rPr>
        <w:t xml:space="preserve"> </w:t>
      </w:r>
      <w:r w:rsidR="00BF0AB9" w:rsidRPr="00BF0AB9">
        <w:rPr>
          <w:sz w:val="24"/>
          <w:szCs w:val="24"/>
        </w:rPr>
        <w:t>1</w:t>
      </w:r>
      <w:r>
        <w:rPr>
          <w:sz w:val="24"/>
          <w:szCs w:val="24"/>
        </w:rPr>
        <w:t xml:space="preserve"> (1</w:t>
      </w:r>
      <w:r w:rsidR="00BF0AB9" w:rsidRPr="00BF0AB9">
        <w:rPr>
          <w:sz w:val="24"/>
          <w:szCs w:val="24"/>
        </w:rPr>
        <w:t>464</w:t>
      </w:r>
      <w:r>
        <w:rPr>
          <w:sz w:val="24"/>
          <w:szCs w:val="24"/>
        </w:rPr>
        <w:t xml:space="preserve">): </w:t>
      </w:r>
      <w:r w:rsidR="00BF0AB9" w:rsidRPr="00BF0AB9">
        <w:rPr>
          <w:sz w:val="24"/>
          <w:szCs w:val="24"/>
        </w:rPr>
        <w:t>113-116</w:t>
      </w:r>
      <w:r>
        <w:rPr>
          <w:sz w:val="24"/>
          <w:szCs w:val="24"/>
        </w:rPr>
        <w:t>.</w:t>
      </w:r>
    </w:p>
    <w:p w14:paraId="7F1981F9" w14:textId="56AB8CA9" w:rsidR="0058200B" w:rsidRDefault="0058200B" w:rsidP="003F687D">
      <w:pPr>
        <w:spacing w:line="480" w:lineRule="auto"/>
        <w:rPr>
          <w:sz w:val="24"/>
          <w:szCs w:val="24"/>
          <w:lang w:val="en-US"/>
        </w:rPr>
      </w:pPr>
      <w:proofErr w:type="spellStart"/>
      <w:r w:rsidRPr="0058200B">
        <w:rPr>
          <w:sz w:val="24"/>
          <w:szCs w:val="24"/>
          <w:lang w:val="en-US"/>
        </w:rPr>
        <w:t>Buglass</w:t>
      </w:r>
      <w:proofErr w:type="spellEnd"/>
      <w:r w:rsidRPr="0058200B">
        <w:rPr>
          <w:sz w:val="24"/>
          <w:szCs w:val="24"/>
          <w:lang w:val="en-US"/>
        </w:rPr>
        <w:t xml:space="preserve">, John. 2009. </w:t>
      </w:r>
      <w:r w:rsidRPr="0058200B">
        <w:rPr>
          <w:i/>
          <w:sz w:val="24"/>
          <w:szCs w:val="24"/>
          <w:lang w:val="en-US"/>
        </w:rPr>
        <w:t>The Church of St Michael and St Lawrence, Fewston, North Yorkshire: Interim Statement on the Archaeological Investigation.</w:t>
      </w:r>
      <w:r w:rsidRPr="0058200B">
        <w:rPr>
          <w:sz w:val="24"/>
          <w:szCs w:val="24"/>
          <w:lang w:val="en-US"/>
        </w:rPr>
        <w:t xml:space="preserve"> John </w:t>
      </w:r>
      <w:proofErr w:type="spellStart"/>
      <w:r w:rsidRPr="0058200B">
        <w:rPr>
          <w:sz w:val="24"/>
          <w:szCs w:val="24"/>
          <w:lang w:val="en-US"/>
        </w:rPr>
        <w:t>Buglass</w:t>
      </w:r>
      <w:proofErr w:type="spellEnd"/>
      <w:r w:rsidRPr="0058200B">
        <w:rPr>
          <w:sz w:val="24"/>
          <w:szCs w:val="24"/>
          <w:lang w:val="en-US"/>
        </w:rPr>
        <w:t xml:space="preserve"> Archaeological Services, on behalf of Washburn Heritage Group</w:t>
      </w:r>
      <w:r>
        <w:rPr>
          <w:sz w:val="24"/>
          <w:szCs w:val="24"/>
          <w:lang w:val="en-US"/>
        </w:rPr>
        <w:t>.</w:t>
      </w:r>
    </w:p>
    <w:p w14:paraId="0E401DD8" w14:textId="67BA0F06" w:rsidR="00EA5EB1" w:rsidRPr="0058200B" w:rsidRDefault="00EA5EB1" w:rsidP="003F687D">
      <w:pPr>
        <w:spacing w:line="480" w:lineRule="auto"/>
        <w:rPr>
          <w:sz w:val="24"/>
          <w:szCs w:val="24"/>
          <w:lang w:val="en-US"/>
        </w:rPr>
      </w:pPr>
      <w:r w:rsidRPr="00EA5EB1">
        <w:rPr>
          <w:sz w:val="24"/>
          <w:szCs w:val="24"/>
          <w:lang w:val="en-US"/>
        </w:rPr>
        <w:t>Burnett, John. 1984. </w:t>
      </w:r>
      <w:r w:rsidRPr="00EA5EB1">
        <w:rPr>
          <w:i/>
          <w:iCs/>
          <w:sz w:val="24"/>
          <w:szCs w:val="24"/>
          <w:lang w:val="en-US"/>
        </w:rPr>
        <w:t>Destiny obscure: Autobiographies of Childhood, Education and</w:t>
      </w:r>
      <w:r w:rsidRPr="00EA5EB1">
        <w:rPr>
          <w:sz w:val="24"/>
          <w:szCs w:val="24"/>
          <w:lang w:val="en-US"/>
        </w:rPr>
        <w:t> </w:t>
      </w:r>
      <w:r w:rsidRPr="00EA5EB1">
        <w:rPr>
          <w:i/>
          <w:iCs/>
          <w:sz w:val="24"/>
          <w:szCs w:val="24"/>
          <w:lang w:val="en-US"/>
        </w:rPr>
        <w:t>Family from the 1820s to the 1920s</w:t>
      </w:r>
      <w:r w:rsidRPr="00EA5EB1">
        <w:rPr>
          <w:sz w:val="24"/>
          <w:szCs w:val="24"/>
          <w:lang w:val="en-US"/>
        </w:rPr>
        <w:t>. Penguin, London</w:t>
      </w:r>
    </w:p>
    <w:p w14:paraId="7FD67893" w14:textId="77777777" w:rsidR="0058200B" w:rsidRDefault="0058200B" w:rsidP="0058200B">
      <w:pPr>
        <w:spacing w:line="480" w:lineRule="auto"/>
        <w:rPr>
          <w:sz w:val="24"/>
          <w:szCs w:val="24"/>
          <w:lang w:val="en-US"/>
        </w:rPr>
      </w:pPr>
      <w:proofErr w:type="spellStart"/>
      <w:r w:rsidRPr="0058200B">
        <w:rPr>
          <w:sz w:val="24"/>
          <w:szCs w:val="24"/>
          <w:lang w:val="en-US"/>
        </w:rPr>
        <w:t>Caffell</w:t>
      </w:r>
      <w:proofErr w:type="spellEnd"/>
      <w:r w:rsidRPr="0058200B">
        <w:rPr>
          <w:sz w:val="24"/>
          <w:szCs w:val="24"/>
          <w:lang w:val="en-US"/>
        </w:rPr>
        <w:t xml:space="preserve">, </w:t>
      </w:r>
      <w:proofErr w:type="spellStart"/>
      <w:r w:rsidRPr="0058200B">
        <w:rPr>
          <w:sz w:val="24"/>
          <w:szCs w:val="24"/>
          <w:lang w:val="en-US"/>
        </w:rPr>
        <w:t>Anwen</w:t>
      </w:r>
      <w:proofErr w:type="spellEnd"/>
      <w:r w:rsidRPr="0058200B">
        <w:rPr>
          <w:sz w:val="24"/>
          <w:szCs w:val="24"/>
          <w:lang w:val="en-US"/>
        </w:rPr>
        <w:t xml:space="preserve"> and </w:t>
      </w:r>
      <w:proofErr w:type="spellStart"/>
      <w:r w:rsidRPr="0058200B">
        <w:rPr>
          <w:sz w:val="24"/>
          <w:szCs w:val="24"/>
          <w:lang w:val="en-US"/>
        </w:rPr>
        <w:t>Malin</w:t>
      </w:r>
      <w:proofErr w:type="spellEnd"/>
      <w:r w:rsidRPr="0058200B">
        <w:rPr>
          <w:sz w:val="24"/>
          <w:szCs w:val="24"/>
          <w:lang w:val="en-US"/>
        </w:rPr>
        <w:t xml:space="preserve"> Holst. 2017. </w:t>
      </w:r>
      <w:r w:rsidRPr="0058200B">
        <w:rPr>
          <w:i/>
          <w:sz w:val="24"/>
          <w:szCs w:val="24"/>
          <w:lang w:val="en-US"/>
        </w:rPr>
        <w:t>Osteological Analysis: The Church of St Michael and St Lawrence, Fewston, North Yorkshire</w:t>
      </w:r>
      <w:r w:rsidRPr="0058200B">
        <w:rPr>
          <w:sz w:val="24"/>
          <w:szCs w:val="24"/>
          <w:lang w:val="en-US"/>
        </w:rPr>
        <w:t xml:space="preserve">. Unpublished Report 1017, York </w:t>
      </w:r>
      <w:proofErr w:type="spellStart"/>
      <w:r w:rsidRPr="0058200B">
        <w:rPr>
          <w:sz w:val="24"/>
          <w:szCs w:val="24"/>
          <w:lang w:val="en-US"/>
        </w:rPr>
        <w:t>Osteoarchaeology</w:t>
      </w:r>
      <w:proofErr w:type="spellEnd"/>
      <w:r>
        <w:rPr>
          <w:sz w:val="24"/>
          <w:szCs w:val="24"/>
          <w:lang w:val="en-US"/>
        </w:rPr>
        <w:t>.</w:t>
      </w:r>
    </w:p>
    <w:p w14:paraId="52EA04AB" w14:textId="50B9B80C" w:rsidR="00710AA5" w:rsidRPr="00710AA5" w:rsidRDefault="00710AA5" w:rsidP="0058200B">
      <w:pPr>
        <w:spacing w:line="480" w:lineRule="auto"/>
        <w:rPr>
          <w:sz w:val="24"/>
          <w:szCs w:val="24"/>
        </w:rPr>
      </w:pPr>
      <w:r w:rsidRPr="00710AA5">
        <w:rPr>
          <w:sz w:val="24"/>
          <w:szCs w:val="24"/>
          <w:lang w:val="en-US"/>
        </w:rPr>
        <w:t xml:space="preserve">Chadwick, Edwin. 1842. </w:t>
      </w:r>
      <w:r w:rsidRPr="00710AA5">
        <w:rPr>
          <w:i/>
          <w:sz w:val="24"/>
          <w:szCs w:val="24"/>
          <w:lang w:val="en-US"/>
        </w:rPr>
        <w:t xml:space="preserve">Report on the condition of the </w:t>
      </w:r>
      <w:proofErr w:type="spellStart"/>
      <w:r w:rsidRPr="00710AA5">
        <w:rPr>
          <w:i/>
          <w:sz w:val="24"/>
          <w:szCs w:val="24"/>
          <w:lang w:val="en-US"/>
        </w:rPr>
        <w:t>Labouring</w:t>
      </w:r>
      <w:proofErr w:type="spellEnd"/>
      <w:r w:rsidRPr="00710AA5">
        <w:rPr>
          <w:i/>
          <w:sz w:val="24"/>
          <w:szCs w:val="24"/>
          <w:lang w:val="en-US"/>
        </w:rPr>
        <w:t xml:space="preserve"> population and on the means of its improvement.</w:t>
      </w:r>
      <w:r w:rsidRPr="00710AA5">
        <w:rPr>
          <w:sz w:val="24"/>
          <w:szCs w:val="24"/>
          <w:lang w:val="en-US"/>
        </w:rPr>
        <w:t xml:space="preserve"> W. Clowes and Sons, London.</w:t>
      </w:r>
    </w:p>
    <w:p w14:paraId="0B85218B" w14:textId="316AA794" w:rsidR="003F687D" w:rsidRDefault="003F687D" w:rsidP="000759DD">
      <w:pPr>
        <w:spacing w:line="480" w:lineRule="auto"/>
        <w:rPr>
          <w:sz w:val="24"/>
          <w:szCs w:val="24"/>
        </w:rPr>
      </w:pPr>
      <w:r w:rsidRPr="003F687D">
        <w:rPr>
          <w:sz w:val="24"/>
          <w:szCs w:val="24"/>
        </w:rPr>
        <w:t>Chaudhary, S</w:t>
      </w:r>
      <w:r w:rsidR="007B0CFC">
        <w:rPr>
          <w:sz w:val="24"/>
          <w:szCs w:val="24"/>
        </w:rPr>
        <w:t>unil</w:t>
      </w:r>
      <w:r w:rsidRPr="003F687D">
        <w:rPr>
          <w:sz w:val="24"/>
          <w:szCs w:val="24"/>
        </w:rPr>
        <w:t xml:space="preserve">, </w:t>
      </w:r>
      <w:r w:rsidR="007B0CFC">
        <w:rPr>
          <w:sz w:val="24"/>
          <w:szCs w:val="24"/>
        </w:rPr>
        <w:t xml:space="preserve">Namita </w:t>
      </w:r>
      <w:proofErr w:type="spellStart"/>
      <w:r w:rsidRPr="003F687D">
        <w:rPr>
          <w:sz w:val="24"/>
          <w:szCs w:val="24"/>
        </w:rPr>
        <w:t>Kalra</w:t>
      </w:r>
      <w:proofErr w:type="spellEnd"/>
      <w:r w:rsidRPr="003F687D">
        <w:rPr>
          <w:sz w:val="24"/>
          <w:szCs w:val="24"/>
        </w:rPr>
        <w:t>,</w:t>
      </w:r>
      <w:r w:rsidR="007B0CFC">
        <w:rPr>
          <w:sz w:val="24"/>
          <w:szCs w:val="24"/>
        </w:rPr>
        <w:t xml:space="preserve"> </w:t>
      </w:r>
      <w:r w:rsidRPr="003F687D">
        <w:rPr>
          <w:sz w:val="24"/>
          <w:szCs w:val="24"/>
        </w:rPr>
        <w:t xml:space="preserve">and </w:t>
      </w:r>
      <w:r w:rsidR="007B0CFC">
        <w:rPr>
          <w:sz w:val="24"/>
          <w:szCs w:val="24"/>
        </w:rPr>
        <w:t xml:space="preserve">Sunil </w:t>
      </w:r>
      <w:proofErr w:type="spellStart"/>
      <w:r w:rsidRPr="003F687D">
        <w:rPr>
          <w:sz w:val="24"/>
          <w:szCs w:val="24"/>
        </w:rPr>
        <w:t>Gomber</w:t>
      </w:r>
      <w:proofErr w:type="spellEnd"/>
      <w:r w:rsidRPr="003F687D">
        <w:rPr>
          <w:sz w:val="24"/>
          <w:szCs w:val="24"/>
        </w:rPr>
        <w:t>. 2004. Tuberculous osteomyelitis of the mandible: a case report in a 4-year-old child</w:t>
      </w:r>
      <w:r w:rsidR="007B0CFC">
        <w:rPr>
          <w:sz w:val="24"/>
          <w:szCs w:val="24"/>
        </w:rPr>
        <w:t>.</w:t>
      </w:r>
      <w:r w:rsidRPr="003F687D">
        <w:rPr>
          <w:sz w:val="24"/>
          <w:szCs w:val="24"/>
        </w:rPr>
        <w:t> </w:t>
      </w:r>
      <w:r w:rsidRPr="003F687D">
        <w:rPr>
          <w:i/>
          <w:iCs/>
          <w:sz w:val="24"/>
          <w:szCs w:val="24"/>
        </w:rPr>
        <w:t>Oral Surgery Oral Medicine Oral Pathology</w:t>
      </w:r>
      <w:r w:rsidRPr="003F687D">
        <w:rPr>
          <w:sz w:val="24"/>
          <w:szCs w:val="24"/>
        </w:rPr>
        <w:t> </w:t>
      </w:r>
      <w:r w:rsidRPr="003F687D">
        <w:rPr>
          <w:i/>
          <w:iCs/>
          <w:sz w:val="24"/>
          <w:szCs w:val="24"/>
        </w:rPr>
        <w:t>Oral Radiology and Endodontics </w:t>
      </w:r>
      <w:r w:rsidRPr="003F687D">
        <w:rPr>
          <w:sz w:val="24"/>
          <w:szCs w:val="24"/>
        </w:rPr>
        <w:t>97:603-303</w:t>
      </w:r>
      <w:r w:rsidR="007B0CFC">
        <w:rPr>
          <w:sz w:val="24"/>
          <w:szCs w:val="24"/>
        </w:rPr>
        <w:t>.</w:t>
      </w:r>
    </w:p>
    <w:p w14:paraId="18070C03" w14:textId="26CC7C99" w:rsidR="00CD15DA" w:rsidRPr="003F687D" w:rsidRDefault="00CD15DA" w:rsidP="000759DD">
      <w:pPr>
        <w:spacing w:line="480" w:lineRule="auto"/>
        <w:rPr>
          <w:sz w:val="24"/>
          <w:szCs w:val="24"/>
        </w:rPr>
      </w:pPr>
      <w:r w:rsidRPr="00CD15DA">
        <w:rPr>
          <w:sz w:val="24"/>
          <w:szCs w:val="24"/>
        </w:rPr>
        <w:lastRenderedPageBreak/>
        <w:t>Chung</w:t>
      </w:r>
      <w:r>
        <w:rPr>
          <w:sz w:val="24"/>
          <w:szCs w:val="24"/>
        </w:rPr>
        <w:t>, GC,</w:t>
      </w:r>
      <w:r w:rsidRPr="00CD15DA">
        <w:rPr>
          <w:sz w:val="24"/>
          <w:szCs w:val="24"/>
        </w:rPr>
        <w:t xml:space="preserve"> </w:t>
      </w:r>
      <w:r>
        <w:rPr>
          <w:sz w:val="24"/>
          <w:szCs w:val="24"/>
        </w:rPr>
        <w:t xml:space="preserve">and </w:t>
      </w:r>
      <w:proofErr w:type="spellStart"/>
      <w:r w:rsidRPr="00CD15DA">
        <w:rPr>
          <w:sz w:val="24"/>
          <w:szCs w:val="24"/>
        </w:rPr>
        <w:t>Kuzawa</w:t>
      </w:r>
      <w:proofErr w:type="spellEnd"/>
      <w:r>
        <w:rPr>
          <w:sz w:val="24"/>
          <w:szCs w:val="24"/>
        </w:rPr>
        <w:t>,</w:t>
      </w:r>
      <w:r w:rsidRPr="00CD15DA">
        <w:rPr>
          <w:sz w:val="24"/>
          <w:szCs w:val="24"/>
        </w:rPr>
        <w:t xml:space="preserve"> C</w:t>
      </w:r>
      <w:r>
        <w:rPr>
          <w:sz w:val="24"/>
          <w:szCs w:val="24"/>
        </w:rPr>
        <w:t xml:space="preserve">hristopher </w:t>
      </w:r>
      <w:r w:rsidRPr="00CD15DA">
        <w:rPr>
          <w:sz w:val="24"/>
          <w:szCs w:val="24"/>
        </w:rPr>
        <w:t xml:space="preserve">W. 2014. Intergenerational effects of early life nutrition: maternal leg length predicts offspring placental weight and birth weight among women in rural Luzon, Philippines. </w:t>
      </w:r>
      <w:r w:rsidRPr="00CD15DA">
        <w:rPr>
          <w:i/>
          <w:sz w:val="24"/>
          <w:szCs w:val="24"/>
        </w:rPr>
        <w:t>American Journal of Human Biology</w:t>
      </w:r>
      <w:r w:rsidRPr="00CD15DA">
        <w:rPr>
          <w:sz w:val="24"/>
          <w:szCs w:val="24"/>
        </w:rPr>
        <w:t xml:space="preserve"> 26: 652-659.</w:t>
      </w:r>
    </w:p>
    <w:p w14:paraId="0D6492C3" w14:textId="687280A0" w:rsidR="003F687D" w:rsidRPr="003F687D" w:rsidRDefault="003F687D" w:rsidP="003F687D">
      <w:pPr>
        <w:spacing w:line="480" w:lineRule="auto"/>
        <w:rPr>
          <w:sz w:val="24"/>
          <w:szCs w:val="24"/>
        </w:rPr>
      </w:pPr>
      <w:r w:rsidRPr="003F687D">
        <w:rPr>
          <w:sz w:val="24"/>
          <w:szCs w:val="24"/>
        </w:rPr>
        <w:t>Dalvin, L</w:t>
      </w:r>
      <w:r w:rsidR="007B0CFC">
        <w:rPr>
          <w:sz w:val="24"/>
          <w:szCs w:val="24"/>
        </w:rPr>
        <w:t>auren</w:t>
      </w:r>
      <w:r w:rsidRPr="003F687D">
        <w:rPr>
          <w:sz w:val="24"/>
          <w:szCs w:val="24"/>
        </w:rPr>
        <w:t xml:space="preserve"> A.</w:t>
      </w:r>
      <w:r w:rsidR="000759DD">
        <w:rPr>
          <w:sz w:val="24"/>
          <w:szCs w:val="24"/>
        </w:rPr>
        <w:t>,</w:t>
      </w:r>
      <w:r w:rsidRPr="003F687D">
        <w:rPr>
          <w:sz w:val="24"/>
          <w:szCs w:val="24"/>
        </w:rPr>
        <w:t xml:space="preserve"> and </w:t>
      </w:r>
      <w:r w:rsidR="001523B0">
        <w:rPr>
          <w:sz w:val="24"/>
          <w:szCs w:val="24"/>
        </w:rPr>
        <w:t xml:space="preserve">Wendy M. </w:t>
      </w:r>
      <w:r w:rsidRPr="003F687D">
        <w:rPr>
          <w:sz w:val="24"/>
          <w:szCs w:val="24"/>
        </w:rPr>
        <w:t>Smith. 2016. Orbital and external ocular manifestations of </w:t>
      </w:r>
      <w:r w:rsidRPr="003F687D">
        <w:rPr>
          <w:i/>
          <w:iCs/>
          <w:sz w:val="24"/>
          <w:szCs w:val="24"/>
        </w:rPr>
        <w:t>Mycobacterium tuberculosis</w:t>
      </w:r>
      <w:r w:rsidRPr="003F687D">
        <w:rPr>
          <w:sz w:val="24"/>
          <w:szCs w:val="24"/>
        </w:rPr>
        <w:t>: a review of the literature</w:t>
      </w:r>
      <w:r w:rsidR="001523B0">
        <w:rPr>
          <w:sz w:val="24"/>
          <w:szCs w:val="24"/>
        </w:rPr>
        <w:t>.</w:t>
      </w:r>
      <w:r w:rsidRPr="003F687D">
        <w:rPr>
          <w:sz w:val="24"/>
          <w:szCs w:val="24"/>
        </w:rPr>
        <w:t> </w:t>
      </w:r>
      <w:r w:rsidRPr="003F687D">
        <w:rPr>
          <w:i/>
          <w:iCs/>
          <w:sz w:val="24"/>
          <w:szCs w:val="24"/>
        </w:rPr>
        <w:t>Journal of Clinical Tuberculosis and Other Mycobacterial Diseases</w:t>
      </w:r>
      <w:r w:rsidRPr="003F687D">
        <w:rPr>
          <w:sz w:val="24"/>
          <w:szCs w:val="24"/>
        </w:rPr>
        <w:t> 4:50-57</w:t>
      </w:r>
      <w:r w:rsidR="001523B0">
        <w:rPr>
          <w:sz w:val="24"/>
          <w:szCs w:val="24"/>
        </w:rPr>
        <w:t>.</w:t>
      </w:r>
    </w:p>
    <w:p w14:paraId="665EFE55" w14:textId="10118CFD" w:rsidR="003F687D" w:rsidRPr="003F687D" w:rsidRDefault="003F687D" w:rsidP="003F687D">
      <w:pPr>
        <w:spacing w:line="480" w:lineRule="auto"/>
        <w:rPr>
          <w:sz w:val="24"/>
          <w:szCs w:val="24"/>
          <w:lang w:val="en-US"/>
        </w:rPr>
      </w:pPr>
      <w:r w:rsidRPr="003F687D">
        <w:rPr>
          <w:sz w:val="24"/>
          <w:szCs w:val="24"/>
        </w:rPr>
        <w:t>Davit-</w:t>
      </w:r>
      <w:proofErr w:type="spellStart"/>
      <w:r w:rsidRPr="003F687D">
        <w:rPr>
          <w:sz w:val="24"/>
          <w:szCs w:val="24"/>
        </w:rPr>
        <w:t>Béal</w:t>
      </w:r>
      <w:proofErr w:type="spellEnd"/>
      <w:r w:rsidRPr="003F687D">
        <w:rPr>
          <w:sz w:val="24"/>
          <w:szCs w:val="24"/>
        </w:rPr>
        <w:t xml:space="preserve">, </w:t>
      </w:r>
      <w:proofErr w:type="spellStart"/>
      <w:r w:rsidRPr="003F687D">
        <w:rPr>
          <w:sz w:val="24"/>
          <w:szCs w:val="24"/>
        </w:rPr>
        <w:t>T</w:t>
      </w:r>
      <w:r w:rsidR="001523B0">
        <w:rPr>
          <w:sz w:val="24"/>
          <w:szCs w:val="24"/>
        </w:rPr>
        <w:t>iphaine</w:t>
      </w:r>
      <w:proofErr w:type="spellEnd"/>
      <w:r w:rsidRPr="003F687D">
        <w:rPr>
          <w:sz w:val="24"/>
          <w:szCs w:val="24"/>
        </w:rPr>
        <w:t xml:space="preserve">, </w:t>
      </w:r>
      <w:r w:rsidR="001523B0">
        <w:rPr>
          <w:sz w:val="24"/>
          <w:szCs w:val="24"/>
        </w:rPr>
        <w:t>Julie</w:t>
      </w:r>
      <w:r w:rsidRPr="003F687D">
        <w:rPr>
          <w:sz w:val="24"/>
          <w:szCs w:val="24"/>
        </w:rPr>
        <w:t xml:space="preserve"> </w:t>
      </w:r>
      <w:proofErr w:type="spellStart"/>
      <w:r w:rsidRPr="003F687D">
        <w:rPr>
          <w:sz w:val="24"/>
          <w:szCs w:val="24"/>
        </w:rPr>
        <w:t>Gabay</w:t>
      </w:r>
      <w:proofErr w:type="spellEnd"/>
      <w:r w:rsidRPr="003F687D">
        <w:rPr>
          <w:sz w:val="24"/>
          <w:szCs w:val="24"/>
        </w:rPr>
        <w:t xml:space="preserve">, </w:t>
      </w:r>
      <w:r w:rsidR="001523B0">
        <w:rPr>
          <w:sz w:val="24"/>
          <w:szCs w:val="24"/>
        </w:rPr>
        <w:t>Pauline</w:t>
      </w:r>
      <w:r w:rsidRPr="003F687D">
        <w:rPr>
          <w:sz w:val="24"/>
          <w:szCs w:val="24"/>
        </w:rPr>
        <w:t xml:space="preserve"> </w:t>
      </w:r>
      <w:proofErr w:type="spellStart"/>
      <w:r w:rsidRPr="003F687D">
        <w:rPr>
          <w:sz w:val="24"/>
          <w:szCs w:val="24"/>
        </w:rPr>
        <w:t>Antoniolli</w:t>
      </w:r>
      <w:proofErr w:type="spellEnd"/>
      <w:r w:rsidRPr="003F687D">
        <w:rPr>
          <w:sz w:val="24"/>
          <w:szCs w:val="24"/>
        </w:rPr>
        <w:t xml:space="preserve">, </w:t>
      </w:r>
      <w:r w:rsidR="001523B0">
        <w:rPr>
          <w:sz w:val="24"/>
          <w:szCs w:val="24"/>
        </w:rPr>
        <w:t xml:space="preserve">Jeanne </w:t>
      </w:r>
      <w:proofErr w:type="spellStart"/>
      <w:r w:rsidRPr="003F687D">
        <w:rPr>
          <w:sz w:val="24"/>
          <w:szCs w:val="24"/>
        </w:rPr>
        <w:t>Masle</w:t>
      </w:r>
      <w:proofErr w:type="spellEnd"/>
      <w:r w:rsidRPr="003F687D">
        <w:rPr>
          <w:sz w:val="24"/>
          <w:szCs w:val="24"/>
        </w:rPr>
        <w:t>-Farquhar</w:t>
      </w:r>
      <w:r w:rsidR="001523B0">
        <w:rPr>
          <w:sz w:val="24"/>
          <w:szCs w:val="24"/>
        </w:rPr>
        <w:t xml:space="preserve">, </w:t>
      </w:r>
      <w:r w:rsidRPr="003F687D">
        <w:rPr>
          <w:sz w:val="24"/>
          <w:szCs w:val="24"/>
        </w:rPr>
        <w:t xml:space="preserve">and </w:t>
      </w:r>
      <w:r w:rsidR="001523B0">
        <w:rPr>
          <w:sz w:val="24"/>
          <w:szCs w:val="24"/>
        </w:rPr>
        <w:t xml:space="preserve">Maryse </w:t>
      </w:r>
      <w:proofErr w:type="spellStart"/>
      <w:r w:rsidRPr="003F687D">
        <w:rPr>
          <w:sz w:val="24"/>
          <w:szCs w:val="24"/>
        </w:rPr>
        <w:t>Wolikow</w:t>
      </w:r>
      <w:proofErr w:type="spellEnd"/>
      <w:r w:rsidRPr="003F687D">
        <w:rPr>
          <w:sz w:val="24"/>
          <w:szCs w:val="24"/>
        </w:rPr>
        <w:t xml:space="preserve">. 2014. Dental Complications of Rickets in Early Childhood: Case Report on 2 Young Girls. </w:t>
      </w:r>
      <w:proofErr w:type="spellStart"/>
      <w:r w:rsidRPr="006B3A75">
        <w:rPr>
          <w:i/>
          <w:sz w:val="24"/>
          <w:szCs w:val="24"/>
        </w:rPr>
        <w:t>Pediatrics</w:t>
      </w:r>
      <w:proofErr w:type="spellEnd"/>
      <w:r w:rsidRPr="003F687D">
        <w:rPr>
          <w:sz w:val="24"/>
          <w:szCs w:val="24"/>
        </w:rPr>
        <w:t xml:space="preserve"> 133 (4) doi:10.1542/peds.2013-0733</w:t>
      </w:r>
    </w:p>
    <w:p w14:paraId="654FE542" w14:textId="2BE400D9" w:rsidR="003F687D" w:rsidRPr="003F687D" w:rsidRDefault="003F687D" w:rsidP="003F687D">
      <w:pPr>
        <w:spacing w:line="480" w:lineRule="auto"/>
        <w:rPr>
          <w:sz w:val="24"/>
          <w:szCs w:val="24"/>
          <w:lang w:val="en-US"/>
        </w:rPr>
      </w:pPr>
      <w:r w:rsidRPr="003F687D">
        <w:rPr>
          <w:sz w:val="24"/>
          <w:szCs w:val="24"/>
          <w:lang w:val="en-US"/>
        </w:rPr>
        <w:t>Dawson, H</w:t>
      </w:r>
      <w:r w:rsidR="007D7D2B">
        <w:rPr>
          <w:sz w:val="24"/>
          <w:szCs w:val="24"/>
          <w:lang w:val="en-US"/>
        </w:rPr>
        <w:t>eidi,</w:t>
      </w:r>
      <w:r w:rsidRPr="003F687D">
        <w:rPr>
          <w:sz w:val="24"/>
          <w:szCs w:val="24"/>
          <w:lang w:val="en-US"/>
        </w:rPr>
        <w:t xml:space="preserve"> and</w:t>
      </w:r>
      <w:r w:rsidR="007D7D2B">
        <w:rPr>
          <w:sz w:val="24"/>
          <w:szCs w:val="24"/>
          <w:lang w:val="en-US"/>
        </w:rPr>
        <w:t xml:space="preserve"> Kate</w:t>
      </w:r>
      <w:r w:rsidRPr="003F687D">
        <w:rPr>
          <w:sz w:val="24"/>
          <w:szCs w:val="24"/>
          <w:lang w:val="en-US"/>
        </w:rPr>
        <w:t xml:space="preserve"> Robson-Brown. 2012. Childhood tuberculosis: a probable case from late medieval Somerset, England. </w:t>
      </w:r>
      <w:r w:rsidR="0058200B">
        <w:rPr>
          <w:i/>
          <w:sz w:val="24"/>
          <w:szCs w:val="24"/>
          <w:lang w:val="en-US"/>
        </w:rPr>
        <w:t>International Journal of Pal</w:t>
      </w:r>
      <w:r w:rsidRPr="006B3A75">
        <w:rPr>
          <w:i/>
          <w:sz w:val="24"/>
          <w:szCs w:val="24"/>
          <w:lang w:val="en-US"/>
        </w:rPr>
        <w:t>eopathology</w:t>
      </w:r>
      <w:r w:rsidRPr="003F687D">
        <w:rPr>
          <w:sz w:val="24"/>
          <w:szCs w:val="24"/>
          <w:lang w:val="en-US"/>
        </w:rPr>
        <w:t xml:space="preserve"> 2</w:t>
      </w:r>
      <w:r w:rsidR="00702191">
        <w:rPr>
          <w:sz w:val="24"/>
          <w:szCs w:val="24"/>
          <w:lang w:val="en-US"/>
        </w:rPr>
        <w:t>:</w:t>
      </w:r>
      <w:r w:rsidRPr="003F687D">
        <w:rPr>
          <w:sz w:val="24"/>
          <w:szCs w:val="24"/>
          <w:lang w:val="en-US"/>
        </w:rPr>
        <w:t>31-35.</w:t>
      </w:r>
    </w:p>
    <w:p w14:paraId="451B01C6" w14:textId="0C982F42" w:rsidR="003F687D" w:rsidRPr="003F687D" w:rsidRDefault="003F687D" w:rsidP="003F687D">
      <w:pPr>
        <w:spacing w:line="480" w:lineRule="auto"/>
        <w:rPr>
          <w:sz w:val="24"/>
          <w:szCs w:val="24"/>
          <w:lang w:val="en-US"/>
        </w:rPr>
      </w:pPr>
      <w:proofErr w:type="spellStart"/>
      <w:r w:rsidRPr="003F687D">
        <w:rPr>
          <w:sz w:val="24"/>
          <w:szCs w:val="24"/>
          <w:lang w:val="en-US"/>
        </w:rPr>
        <w:t>DeWitte</w:t>
      </w:r>
      <w:proofErr w:type="spellEnd"/>
      <w:r w:rsidR="007D7D2B">
        <w:rPr>
          <w:sz w:val="24"/>
          <w:szCs w:val="24"/>
          <w:lang w:val="en-US"/>
        </w:rPr>
        <w:t xml:space="preserve">, Sharon N., Gail </w:t>
      </w:r>
      <w:r w:rsidRPr="003F687D">
        <w:rPr>
          <w:sz w:val="24"/>
          <w:szCs w:val="24"/>
          <w:lang w:val="en-US"/>
        </w:rPr>
        <w:t>Hughes-Morey</w:t>
      </w:r>
      <w:r w:rsidR="007D7D2B">
        <w:rPr>
          <w:sz w:val="24"/>
          <w:szCs w:val="24"/>
          <w:lang w:val="en-US"/>
        </w:rPr>
        <w:t xml:space="preserve">, Jelena </w:t>
      </w:r>
      <w:proofErr w:type="spellStart"/>
      <w:r w:rsidRPr="003F687D">
        <w:rPr>
          <w:sz w:val="24"/>
          <w:szCs w:val="24"/>
          <w:lang w:val="en-US"/>
        </w:rPr>
        <w:t>Bekvalac</w:t>
      </w:r>
      <w:proofErr w:type="spellEnd"/>
      <w:r w:rsidR="007D7D2B">
        <w:rPr>
          <w:sz w:val="24"/>
          <w:szCs w:val="24"/>
          <w:lang w:val="en-US"/>
        </w:rPr>
        <w:t>,</w:t>
      </w:r>
      <w:r w:rsidRPr="003F687D">
        <w:rPr>
          <w:sz w:val="24"/>
          <w:szCs w:val="24"/>
          <w:lang w:val="en-US"/>
        </w:rPr>
        <w:t xml:space="preserve"> and</w:t>
      </w:r>
      <w:r w:rsidR="007D7D2B">
        <w:rPr>
          <w:sz w:val="24"/>
          <w:szCs w:val="24"/>
          <w:lang w:val="en-US"/>
        </w:rPr>
        <w:t xml:space="preserve"> Jordan</w:t>
      </w:r>
      <w:r w:rsidRPr="003F687D">
        <w:rPr>
          <w:sz w:val="24"/>
          <w:szCs w:val="24"/>
          <w:lang w:val="en-US"/>
        </w:rPr>
        <w:t xml:space="preserve"> </w:t>
      </w:r>
      <w:proofErr w:type="spellStart"/>
      <w:r w:rsidRPr="003F687D">
        <w:rPr>
          <w:sz w:val="24"/>
          <w:szCs w:val="24"/>
          <w:lang w:val="en-US"/>
        </w:rPr>
        <w:t>Karsten</w:t>
      </w:r>
      <w:proofErr w:type="spellEnd"/>
      <w:r w:rsidR="007D7D2B">
        <w:rPr>
          <w:sz w:val="24"/>
          <w:szCs w:val="24"/>
          <w:lang w:val="en-US"/>
        </w:rPr>
        <w:t xml:space="preserve">. </w:t>
      </w:r>
      <w:r w:rsidRPr="003F687D">
        <w:rPr>
          <w:sz w:val="24"/>
          <w:szCs w:val="24"/>
          <w:lang w:val="en-US"/>
        </w:rPr>
        <w:t>2015</w:t>
      </w:r>
      <w:r w:rsidR="007D7D2B">
        <w:rPr>
          <w:sz w:val="24"/>
          <w:szCs w:val="24"/>
          <w:lang w:val="en-US"/>
        </w:rPr>
        <w:t>.</w:t>
      </w:r>
      <w:r w:rsidRPr="003F687D">
        <w:rPr>
          <w:sz w:val="24"/>
          <w:szCs w:val="24"/>
          <w:lang w:val="en-US"/>
        </w:rPr>
        <w:t xml:space="preserve"> Wealth, health and frailty in industrial-era London. </w:t>
      </w:r>
      <w:r w:rsidRPr="006B3A75">
        <w:rPr>
          <w:i/>
          <w:sz w:val="24"/>
          <w:szCs w:val="24"/>
          <w:lang w:val="en-US"/>
        </w:rPr>
        <w:t>Annals of Human Biology</w:t>
      </w:r>
      <w:r w:rsidRPr="003F687D">
        <w:rPr>
          <w:sz w:val="24"/>
          <w:szCs w:val="24"/>
          <w:lang w:val="en-US"/>
        </w:rPr>
        <w:t xml:space="preserve"> </w:t>
      </w:r>
      <w:proofErr w:type="spellStart"/>
      <w:r w:rsidRPr="003F687D">
        <w:rPr>
          <w:sz w:val="24"/>
          <w:szCs w:val="24"/>
          <w:lang w:val="en-US"/>
        </w:rPr>
        <w:t>Epub</w:t>
      </w:r>
      <w:proofErr w:type="spellEnd"/>
      <w:r w:rsidRPr="003F687D">
        <w:rPr>
          <w:sz w:val="24"/>
          <w:szCs w:val="24"/>
          <w:lang w:val="en-US"/>
        </w:rPr>
        <w:t xml:space="preserve"> ahead of print 15 June 2015. DOI: 10.3109/03014460.2015.1020873.</w:t>
      </w:r>
    </w:p>
    <w:p w14:paraId="381FD8E1" w14:textId="45599E77" w:rsidR="003F687D" w:rsidRPr="003F687D" w:rsidRDefault="003F687D" w:rsidP="003F687D">
      <w:pPr>
        <w:spacing w:line="480" w:lineRule="auto"/>
        <w:rPr>
          <w:sz w:val="24"/>
          <w:szCs w:val="24"/>
        </w:rPr>
      </w:pPr>
      <w:r w:rsidRPr="003F687D">
        <w:rPr>
          <w:sz w:val="24"/>
          <w:szCs w:val="24"/>
          <w:lang w:val="en-US"/>
        </w:rPr>
        <w:t>Dick</w:t>
      </w:r>
      <w:r w:rsidR="007D7D2B">
        <w:rPr>
          <w:sz w:val="24"/>
          <w:szCs w:val="24"/>
          <w:lang w:val="en-US"/>
        </w:rPr>
        <w:t>, John Lawson.</w:t>
      </w:r>
      <w:r w:rsidRPr="003F687D">
        <w:rPr>
          <w:sz w:val="24"/>
          <w:szCs w:val="24"/>
          <w:lang w:val="en-US"/>
        </w:rPr>
        <w:t xml:space="preserve"> 1922</w:t>
      </w:r>
      <w:r w:rsidR="007D7D2B">
        <w:rPr>
          <w:sz w:val="24"/>
          <w:szCs w:val="24"/>
          <w:lang w:val="en-US"/>
        </w:rPr>
        <w:t>.</w:t>
      </w:r>
      <w:r w:rsidRPr="003F687D">
        <w:rPr>
          <w:sz w:val="24"/>
          <w:szCs w:val="24"/>
          <w:lang w:val="en-US"/>
        </w:rPr>
        <w:t xml:space="preserve"> </w:t>
      </w:r>
      <w:r w:rsidRPr="006B3A75">
        <w:rPr>
          <w:i/>
          <w:sz w:val="24"/>
          <w:szCs w:val="24"/>
          <w:lang w:val="en-US"/>
        </w:rPr>
        <w:t xml:space="preserve">Rickets. </w:t>
      </w:r>
      <w:r w:rsidRPr="006B3A75">
        <w:rPr>
          <w:i/>
          <w:sz w:val="24"/>
          <w:szCs w:val="24"/>
        </w:rPr>
        <w:t>A Study of Economic Conditions and their Effects on the Health of the Nation</w:t>
      </w:r>
      <w:r w:rsidRPr="003F687D">
        <w:rPr>
          <w:sz w:val="24"/>
          <w:szCs w:val="24"/>
        </w:rPr>
        <w:t>. EB Treat &amp; Co.</w:t>
      </w:r>
      <w:r w:rsidR="007D7D2B">
        <w:rPr>
          <w:sz w:val="24"/>
          <w:szCs w:val="24"/>
        </w:rPr>
        <w:t>,</w:t>
      </w:r>
      <w:r w:rsidRPr="003F687D">
        <w:rPr>
          <w:sz w:val="24"/>
          <w:szCs w:val="24"/>
        </w:rPr>
        <w:t xml:space="preserve"> New York.</w:t>
      </w:r>
    </w:p>
    <w:p w14:paraId="38D0024F" w14:textId="01CB9EA9" w:rsidR="003F687D" w:rsidRDefault="003F687D" w:rsidP="003F687D">
      <w:pPr>
        <w:spacing w:line="480" w:lineRule="auto"/>
        <w:rPr>
          <w:sz w:val="24"/>
          <w:szCs w:val="24"/>
        </w:rPr>
      </w:pPr>
      <w:proofErr w:type="spellStart"/>
      <w:r w:rsidRPr="003F687D">
        <w:rPr>
          <w:sz w:val="24"/>
          <w:szCs w:val="24"/>
        </w:rPr>
        <w:t>D’Ortenzio</w:t>
      </w:r>
      <w:proofErr w:type="spellEnd"/>
      <w:r w:rsidR="007D7D2B">
        <w:rPr>
          <w:sz w:val="24"/>
          <w:szCs w:val="24"/>
        </w:rPr>
        <w:t>,</w:t>
      </w:r>
      <w:r w:rsidRPr="003F687D">
        <w:rPr>
          <w:sz w:val="24"/>
          <w:szCs w:val="24"/>
        </w:rPr>
        <w:t xml:space="preserve"> L</w:t>
      </w:r>
      <w:r w:rsidR="007D7D2B">
        <w:rPr>
          <w:sz w:val="24"/>
          <w:szCs w:val="24"/>
        </w:rPr>
        <w:t>ori</w:t>
      </w:r>
      <w:r w:rsidRPr="003F687D">
        <w:rPr>
          <w:sz w:val="24"/>
          <w:szCs w:val="24"/>
        </w:rPr>
        <w:t>,</w:t>
      </w:r>
      <w:r w:rsidR="007D7D2B">
        <w:rPr>
          <w:sz w:val="24"/>
          <w:szCs w:val="24"/>
        </w:rPr>
        <w:t xml:space="preserve"> Isabelle</w:t>
      </w:r>
      <w:r w:rsidRPr="003F687D">
        <w:rPr>
          <w:sz w:val="24"/>
          <w:szCs w:val="24"/>
        </w:rPr>
        <w:t xml:space="preserve"> </w:t>
      </w:r>
      <w:proofErr w:type="spellStart"/>
      <w:r w:rsidRPr="003F687D">
        <w:rPr>
          <w:sz w:val="24"/>
          <w:szCs w:val="24"/>
        </w:rPr>
        <w:t>Ribot</w:t>
      </w:r>
      <w:proofErr w:type="spellEnd"/>
      <w:r w:rsidRPr="003F687D">
        <w:rPr>
          <w:sz w:val="24"/>
          <w:szCs w:val="24"/>
        </w:rPr>
        <w:t>,</w:t>
      </w:r>
      <w:r w:rsidR="007D7D2B">
        <w:rPr>
          <w:sz w:val="24"/>
          <w:szCs w:val="24"/>
        </w:rPr>
        <w:t xml:space="preserve"> Emeline</w:t>
      </w:r>
      <w:r w:rsidRPr="003F687D">
        <w:rPr>
          <w:sz w:val="24"/>
          <w:szCs w:val="24"/>
        </w:rPr>
        <w:t xml:space="preserve"> </w:t>
      </w:r>
      <w:proofErr w:type="spellStart"/>
      <w:r w:rsidRPr="003F687D">
        <w:rPr>
          <w:sz w:val="24"/>
          <w:szCs w:val="24"/>
        </w:rPr>
        <w:t>Raguin</w:t>
      </w:r>
      <w:proofErr w:type="spellEnd"/>
      <w:r w:rsidRPr="003F687D">
        <w:rPr>
          <w:sz w:val="24"/>
          <w:szCs w:val="24"/>
        </w:rPr>
        <w:t>,</w:t>
      </w:r>
      <w:r w:rsidR="007D7D2B">
        <w:rPr>
          <w:sz w:val="24"/>
          <w:szCs w:val="24"/>
        </w:rPr>
        <w:t xml:space="preserve"> Annabelle</w:t>
      </w:r>
      <w:r w:rsidRPr="003F687D">
        <w:rPr>
          <w:sz w:val="24"/>
          <w:szCs w:val="24"/>
        </w:rPr>
        <w:t xml:space="preserve"> </w:t>
      </w:r>
      <w:proofErr w:type="spellStart"/>
      <w:r w:rsidRPr="003F687D">
        <w:rPr>
          <w:sz w:val="24"/>
          <w:szCs w:val="24"/>
        </w:rPr>
        <w:t>Schattmann</w:t>
      </w:r>
      <w:proofErr w:type="spellEnd"/>
      <w:r w:rsidRPr="003F687D">
        <w:rPr>
          <w:sz w:val="24"/>
          <w:szCs w:val="24"/>
        </w:rPr>
        <w:t>,</w:t>
      </w:r>
      <w:r w:rsidR="007D7D2B">
        <w:rPr>
          <w:sz w:val="24"/>
          <w:szCs w:val="24"/>
        </w:rPr>
        <w:t xml:space="preserve"> Benoit</w:t>
      </w:r>
      <w:r w:rsidRPr="003F687D">
        <w:rPr>
          <w:sz w:val="24"/>
          <w:szCs w:val="24"/>
        </w:rPr>
        <w:t xml:space="preserve"> Bertrand,</w:t>
      </w:r>
      <w:r w:rsidR="007D7D2B">
        <w:rPr>
          <w:sz w:val="24"/>
          <w:szCs w:val="24"/>
        </w:rPr>
        <w:t xml:space="preserve"> Bonnie</w:t>
      </w:r>
      <w:r w:rsidRPr="003F687D">
        <w:rPr>
          <w:sz w:val="24"/>
          <w:szCs w:val="24"/>
        </w:rPr>
        <w:t xml:space="preserve"> </w:t>
      </w:r>
      <w:proofErr w:type="spellStart"/>
      <w:r w:rsidRPr="003F687D">
        <w:rPr>
          <w:sz w:val="24"/>
          <w:szCs w:val="24"/>
        </w:rPr>
        <w:t>Kahlon</w:t>
      </w:r>
      <w:proofErr w:type="spellEnd"/>
      <w:r w:rsidRPr="003F687D">
        <w:rPr>
          <w:sz w:val="24"/>
          <w:szCs w:val="24"/>
        </w:rPr>
        <w:t>,</w:t>
      </w:r>
      <w:r w:rsidR="007D7D2B">
        <w:rPr>
          <w:sz w:val="24"/>
          <w:szCs w:val="24"/>
        </w:rPr>
        <w:t xml:space="preserve"> and Megan</w:t>
      </w:r>
      <w:r w:rsidRPr="003F687D">
        <w:rPr>
          <w:sz w:val="24"/>
          <w:szCs w:val="24"/>
        </w:rPr>
        <w:t xml:space="preserve"> </w:t>
      </w:r>
      <w:proofErr w:type="spellStart"/>
      <w:r w:rsidRPr="003F687D">
        <w:rPr>
          <w:sz w:val="24"/>
          <w:szCs w:val="24"/>
        </w:rPr>
        <w:t>Brickley</w:t>
      </w:r>
      <w:proofErr w:type="spellEnd"/>
      <w:r w:rsidRPr="003F687D">
        <w:rPr>
          <w:sz w:val="24"/>
          <w:szCs w:val="24"/>
        </w:rPr>
        <w:t xml:space="preserve">. 2016. The rachitic tooth: a histological examination. </w:t>
      </w:r>
      <w:r w:rsidRPr="006B3A75">
        <w:rPr>
          <w:i/>
          <w:sz w:val="24"/>
          <w:szCs w:val="24"/>
        </w:rPr>
        <w:t>Journal of Archaeological Science</w:t>
      </w:r>
      <w:r w:rsidRPr="003F687D">
        <w:rPr>
          <w:sz w:val="24"/>
          <w:szCs w:val="24"/>
        </w:rPr>
        <w:t xml:space="preserve"> 74</w:t>
      </w:r>
      <w:r w:rsidR="007D7D2B">
        <w:rPr>
          <w:sz w:val="24"/>
          <w:szCs w:val="24"/>
        </w:rPr>
        <w:t>:</w:t>
      </w:r>
      <w:r w:rsidRPr="003F687D">
        <w:rPr>
          <w:sz w:val="24"/>
          <w:szCs w:val="24"/>
        </w:rPr>
        <w:t xml:space="preserve">152-163. </w:t>
      </w:r>
    </w:p>
    <w:p w14:paraId="599C0464" w14:textId="77777777" w:rsidR="00710AA5" w:rsidRPr="00710AA5" w:rsidRDefault="00710AA5" w:rsidP="00710AA5">
      <w:pPr>
        <w:spacing w:line="480" w:lineRule="auto"/>
        <w:rPr>
          <w:sz w:val="24"/>
          <w:szCs w:val="24"/>
          <w:lang w:val="en-US"/>
        </w:rPr>
      </w:pPr>
      <w:r w:rsidRPr="00710AA5">
        <w:rPr>
          <w:sz w:val="24"/>
          <w:szCs w:val="24"/>
          <w:lang w:val="en-US"/>
        </w:rPr>
        <w:t xml:space="preserve">Engels, Frederick. 1950. </w:t>
      </w:r>
      <w:r w:rsidRPr="00710AA5">
        <w:rPr>
          <w:i/>
          <w:sz w:val="24"/>
          <w:szCs w:val="24"/>
          <w:lang w:val="en-US"/>
        </w:rPr>
        <w:t>The Condition of the Working-Class in England in 1844. With a Preface written in 1892</w:t>
      </w:r>
      <w:r w:rsidRPr="00710AA5">
        <w:rPr>
          <w:sz w:val="24"/>
          <w:szCs w:val="24"/>
          <w:lang w:val="en-US"/>
        </w:rPr>
        <w:t>. London: George Allen &amp; Unwin Ltd.</w:t>
      </w:r>
    </w:p>
    <w:p w14:paraId="1EF570FC" w14:textId="0BBD78D5" w:rsidR="003F687D" w:rsidRDefault="003F687D" w:rsidP="003F687D">
      <w:pPr>
        <w:spacing w:line="480" w:lineRule="auto"/>
        <w:rPr>
          <w:sz w:val="24"/>
          <w:szCs w:val="24"/>
        </w:rPr>
      </w:pPr>
      <w:proofErr w:type="spellStart"/>
      <w:r w:rsidRPr="003F687D">
        <w:rPr>
          <w:sz w:val="24"/>
          <w:szCs w:val="24"/>
          <w:lang w:val="en-US"/>
        </w:rPr>
        <w:lastRenderedPageBreak/>
        <w:t>Elamin</w:t>
      </w:r>
      <w:proofErr w:type="spellEnd"/>
      <w:r w:rsidR="007D7D2B">
        <w:rPr>
          <w:sz w:val="24"/>
          <w:szCs w:val="24"/>
          <w:lang w:val="en-US"/>
        </w:rPr>
        <w:t>,</w:t>
      </w:r>
      <w:r w:rsidRPr="003F687D">
        <w:rPr>
          <w:sz w:val="24"/>
          <w:szCs w:val="24"/>
          <w:lang w:val="en-US"/>
        </w:rPr>
        <w:t xml:space="preserve"> </w:t>
      </w:r>
      <w:proofErr w:type="spellStart"/>
      <w:r w:rsidRPr="003F687D">
        <w:rPr>
          <w:sz w:val="24"/>
          <w:szCs w:val="24"/>
          <w:lang w:val="en-US"/>
        </w:rPr>
        <w:t>F</w:t>
      </w:r>
      <w:r w:rsidR="007D7D2B">
        <w:rPr>
          <w:sz w:val="24"/>
          <w:szCs w:val="24"/>
          <w:lang w:val="en-US"/>
        </w:rPr>
        <w:t>adil</w:t>
      </w:r>
      <w:proofErr w:type="spellEnd"/>
      <w:r w:rsidR="007D7D2B">
        <w:rPr>
          <w:sz w:val="24"/>
          <w:szCs w:val="24"/>
          <w:lang w:val="en-US"/>
        </w:rPr>
        <w:t>,</w:t>
      </w:r>
      <w:r w:rsidRPr="003F687D">
        <w:rPr>
          <w:sz w:val="24"/>
          <w:szCs w:val="24"/>
          <w:lang w:val="en-US"/>
        </w:rPr>
        <w:t xml:space="preserve"> and</w:t>
      </w:r>
      <w:r w:rsidR="007D7D2B">
        <w:rPr>
          <w:sz w:val="24"/>
          <w:szCs w:val="24"/>
          <w:lang w:val="en-US"/>
        </w:rPr>
        <w:t xml:space="preserve"> Helen M.</w:t>
      </w:r>
      <w:r w:rsidRPr="003F687D">
        <w:rPr>
          <w:sz w:val="24"/>
          <w:szCs w:val="24"/>
          <w:lang w:val="en-US"/>
        </w:rPr>
        <w:t xml:space="preserve"> </w:t>
      </w:r>
      <w:proofErr w:type="spellStart"/>
      <w:r w:rsidRPr="003F687D">
        <w:rPr>
          <w:sz w:val="24"/>
          <w:szCs w:val="24"/>
          <w:lang w:val="en-US"/>
        </w:rPr>
        <w:t>Liversidge</w:t>
      </w:r>
      <w:proofErr w:type="spellEnd"/>
      <w:r w:rsidR="007D7D2B">
        <w:rPr>
          <w:sz w:val="24"/>
          <w:szCs w:val="24"/>
          <w:lang w:val="en-US"/>
        </w:rPr>
        <w:t xml:space="preserve">. </w:t>
      </w:r>
      <w:r w:rsidRPr="003F687D">
        <w:rPr>
          <w:sz w:val="24"/>
          <w:szCs w:val="24"/>
          <w:lang w:val="en-US"/>
        </w:rPr>
        <w:t xml:space="preserve">2013. Malnutrition has no effect on the timing of tooth formation. </w:t>
      </w:r>
      <w:r w:rsidRPr="006B3A75">
        <w:rPr>
          <w:i/>
          <w:sz w:val="24"/>
          <w:szCs w:val="24"/>
          <w:lang w:val="en-US"/>
        </w:rPr>
        <w:t>PLOS ONE,</w:t>
      </w:r>
      <w:r w:rsidRPr="003F687D">
        <w:rPr>
          <w:sz w:val="24"/>
          <w:szCs w:val="24"/>
          <w:lang w:val="en-US"/>
        </w:rPr>
        <w:t xml:space="preserve"> </w:t>
      </w:r>
      <w:r w:rsidRPr="003F687D">
        <w:rPr>
          <w:sz w:val="24"/>
          <w:szCs w:val="24"/>
        </w:rPr>
        <w:t>8</w:t>
      </w:r>
      <w:r w:rsidR="007D7D2B">
        <w:rPr>
          <w:sz w:val="24"/>
          <w:szCs w:val="24"/>
        </w:rPr>
        <w:t xml:space="preserve">: </w:t>
      </w:r>
      <w:r w:rsidRPr="003F687D">
        <w:rPr>
          <w:sz w:val="24"/>
          <w:szCs w:val="24"/>
        </w:rPr>
        <w:t>e72274</w:t>
      </w:r>
      <w:r w:rsidR="007D7D2B">
        <w:rPr>
          <w:sz w:val="24"/>
          <w:szCs w:val="24"/>
        </w:rPr>
        <w:t>.</w:t>
      </w:r>
    </w:p>
    <w:p w14:paraId="76E37865" w14:textId="4AB7899A" w:rsidR="00816B02" w:rsidRPr="00FA7DD1" w:rsidRDefault="00816B02" w:rsidP="003F687D">
      <w:pPr>
        <w:spacing w:line="480" w:lineRule="auto"/>
        <w:rPr>
          <w:sz w:val="24"/>
          <w:szCs w:val="24"/>
          <w:lang w:val="en-US"/>
        </w:rPr>
      </w:pPr>
      <w:r>
        <w:rPr>
          <w:sz w:val="24"/>
          <w:szCs w:val="24"/>
          <w:lang w:val="en-US"/>
        </w:rPr>
        <w:t xml:space="preserve">Findlay, Leonard, and </w:t>
      </w:r>
      <w:proofErr w:type="spellStart"/>
      <w:r>
        <w:rPr>
          <w:sz w:val="24"/>
          <w:szCs w:val="24"/>
          <w:lang w:val="en-US"/>
        </w:rPr>
        <w:t>Mellanby</w:t>
      </w:r>
      <w:proofErr w:type="spellEnd"/>
      <w:r>
        <w:rPr>
          <w:sz w:val="24"/>
          <w:szCs w:val="24"/>
          <w:lang w:val="en-US"/>
        </w:rPr>
        <w:t>, Edward. 1922. Discussion on the etiology of rickets. British Medical Journal 2:836-858.</w:t>
      </w:r>
    </w:p>
    <w:p w14:paraId="48FC36AF" w14:textId="68AE67EB" w:rsidR="003F687D" w:rsidRPr="003F687D" w:rsidRDefault="003F687D" w:rsidP="003F687D">
      <w:pPr>
        <w:spacing w:line="480" w:lineRule="auto"/>
        <w:rPr>
          <w:sz w:val="24"/>
          <w:szCs w:val="24"/>
          <w:lang w:val="en-US"/>
        </w:rPr>
      </w:pPr>
      <w:r w:rsidRPr="003F687D">
        <w:rPr>
          <w:sz w:val="24"/>
          <w:szCs w:val="24"/>
        </w:rPr>
        <w:t>Foster</w:t>
      </w:r>
      <w:r w:rsidR="007D7D2B">
        <w:rPr>
          <w:sz w:val="24"/>
          <w:szCs w:val="24"/>
        </w:rPr>
        <w:t>, Brian L., Francisco H.</w:t>
      </w:r>
      <w:r w:rsidRPr="003F687D">
        <w:rPr>
          <w:sz w:val="24"/>
          <w:szCs w:val="24"/>
        </w:rPr>
        <w:t xml:space="preserve"> </w:t>
      </w:r>
      <w:proofErr w:type="spellStart"/>
      <w:r w:rsidRPr="003F687D">
        <w:rPr>
          <w:sz w:val="24"/>
          <w:szCs w:val="24"/>
        </w:rPr>
        <w:t>Nociti</w:t>
      </w:r>
      <w:proofErr w:type="spellEnd"/>
      <w:r w:rsidRPr="003F687D">
        <w:rPr>
          <w:sz w:val="24"/>
          <w:szCs w:val="24"/>
        </w:rPr>
        <w:t>,</w:t>
      </w:r>
      <w:r w:rsidR="007D7D2B">
        <w:rPr>
          <w:sz w:val="24"/>
          <w:szCs w:val="24"/>
        </w:rPr>
        <w:t xml:space="preserve"> Martha J.</w:t>
      </w:r>
      <w:r w:rsidRPr="003F687D">
        <w:rPr>
          <w:sz w:val="24"/>
          <w:szCs w:val="24"/>
        </w:rPr>
        <w:t xml:space="preserve"> </w:t>
      </w:r>
      <w:proofErr w:type="spellStart"/>
      <w:r w:rsidRPr="003F687D">
        <w:rPr>
          <w:sz w:val="24"/>
          <w:szCs w:val="24"/>
        </w:rPr>
        <w:t>Somerman</w:t>
      </w:r>
      <w:proofErr w:type="spellEnd"/>
      <w:r w:rsidRPr="003F687D">
        <w:rPr>
          <w:sz w:val="24"/>
          <w:szCs w:val="24"/>
        </w:rPr>
        <w:t xml:space="preserve">. 2014. The rachitic tooth. </w:t>
      </w:r>
      <w:r w:rsidRPr="006B3A75">
        <w:rPr>
          <w:i/>
          <w:sz w:val="24"/>
          <w:szCs w:val="24"/>
        </w:rPr>
        <w:t>Endocrine Reviews</w:t>
      </w:r>
      <w:r w:rsidRPr="003F687D">
        <w:rPr>
          <w:sz w:val="24"/>
          <w:szCs w:val="24"/>
        </w:rPr>
        <w:t>, 35</w:t>
      </w:r>
      <w:r w:rsidR="007D7D2B">
        <w:rPr>
          <w:sz w:val="24"/>
          <w:szCs w:val="24"/>
        </w:rPr>
        <w:t>:</w:t>
      </w:r>
      <w:r w:rsidRPr="003F687D">
        <w:rPr>
          <w:sz w:val="24"/>
          <w:szCs w:val="24"/>
        </w:rPr>
        <w:t>1-34.</w:t>
      </w:r>
    </w:p>
    <w:p w14:paraId="0F9511BD" w14:textId="1E17D17B" w:rsidR="003F687D" w:rsidRDefault="003F687D" w:rsidP="003F687D">
      <w:pPr>
        <w:spacing w:line="480" w:lineRule="auto"/>
        <w:rPr>
          <w:sz w:val="24"/>
          <w:szCs w:val="24"/>
        </w:rPr>
      </w:pPr>
      <w:r w:rsidRPr="003F687D">
        <w:rPr>
          <w:sz w:val="24"/>
          <w:szCs w:val="24"/>
        </w:rPr>
        <w:t>Gaskell</w:t>
      </w:r>
      <w:r w:rsidR="009C1A6F">
        <w:rPr>
          <w:sz w:val="24"/>
          <w:szCs w:val="24"/>
        </w:rPr>
        <w:t>,</w:t>
      </w:r>
      <w:r w:rsidRPr="003F687D">
        <w:rPr>
          <w:sz w:val="24"/>
          <w:szCs w:val="24"/>
        </w:rPr>
        <w:t xml:space="preserve"> P</w:t>
      </w:r>
      <w:r w:rsidR="009C1A6F">
        <w:rPr>
          <w:sz w:val="24"/>
          <w:szCs w:val="24"/>
        </w:rPr>
        <w:t>eter</w:t>
      </w:r>
      <w:r w:rsidRPr="003F687D">
        <w:rPr>
          <w:sz w:val="24"/>
          <w:szCs w:val="24"/>
        </w:rPr>
        <w:t xml:space="preserve">. 1833. </w:t>
      </w:r>
      <w:r w:rsidRPr="006B3A75">
        <w:rPr>
          <w:i/>
          <w:sz w:val="24"/>
          <w:szCs w:val="24"/>
        </w:rPr>
        <w:t xml:space="preserve">The Manufacturing Population of England. Its Moral, Social and Physical Conditions and the Changes which have arisen </w:t>
      </w:r>
      <w:proofErr w:type="gramStart"/>
      <w:r w:rsidRPr="006B3A75">
        <w:rPr>
          <w:i/>
          <w:sz w:val="24"/>
          <w:szCs w:val="24"/>
        </w:rPr>
        <w:t>through the use of</w:t>
      </w:r>
      <w:proofErr w:type="gramEnd"/>
      <w:r w:rsidRPr="006B3A75">
        <w:rPr>
          <w:i/>
          <w:sz w:val="24"/>
          <w:szCs w:val="24"/>
        </w:rPr>
        <w:t xml:space="preserve"> Steam Machinery.</w:t>
      </w:r>
      <w:r w:rsidRPr="003F687D">
        <w:rPr>
          <w:sz w:val="24"/>
          <w:szCs w:val="24"/>
        </w:rPr>
        <w:t xml:space="preserve"> Baldwin and Craddock</w:t>
      </w:r>
      <w:r w:rsidR="009C1A6F">
        <w:rPr>
          <w:sz w:val="24"/>
          <w:szCs w:val="24"/>
        </w:rPr>
        <w:t>, London.</w:t>
      </w:r>
    </w:p>
    <w:p w14:paraId="12CC2F02" w14:textId="0E138A50" w:rsidR="00EA5EB1" w:rsidRPr="003F687D" w:rsidRDefault="00EA5EB1" w:rsidP="003F687D">
      <w:pPr>
        <w:spacing w:line="480" w:lineRule="auto"/>
        <w:rPr>
          <w:sz w:val="24"/>
          <w:szCs w:val="24"/>
        </w:rPr>
      </w:pPr>
      <w:r>
        <w:rPr>
          <w:sz w:val="24"/>
          <w:szCs w:val="24"/>
        </w:rPr>
        <w:t xml:space="preserve">Geber, Jonny. 2016. ‘Children in a Ragged State’: Seeking a biocultural narrative of a workhouse childhood in Ireland during the Great Famine (1845-1852). </w:t>
      </w:r>
      <w:r w:rsidRPr="00EA5EB1">
        <w:rPr>
          <w:i/>
          <w:sz w:val="24"/>
          <w:szCs w:val="24"/>
        </w:rPr>
        <w:t>Childhood in the Past</w:t>
      </w:r>
      <w:r>
        <w:rPr>
          <w:sz w:val="24"/>
          <w:szCs w:val="24"/>
        </w:rPr>
        <w:t xml:space="preserve"> 9: 120-138.</w:t>
      </w:r>
    </w:p>
    <w:p w14:paraId="64D62918" w14:textId="00D7199D" w:rsidR="003F687D" w:rsidRPr="003F687D" w:rsidRDefault="003F687D" w:rsidP="003F687D">
      <w:pPr>
        <w:spacing w:line="480" w:lineRule="auto"/>
        <w:rPr>
          <w:sz w:val="24"/>
          <w:szCs w:val="24"/>
        </w:rPr>
      </w:pPr>
      <w:r w:rsidRPr="003F687D">
        <w:rPr>
          <w:sz w:val="24"/>
          <w:szCs w:val="24"/>
        </w:rPr>
        <w:t>Goose, N</w:t>
      </w:r>
      <w:r w:rsidR="009C1A6F">
        <w:rPr>
          <w:sz w:val="24"/>
          <w:szCs w:val="24"/>
        </w:rPr>
        <w:t xml:space="preserve">igel, </w:t>
      </w:r>
      <w:r w:rsidRPr="003F687D">
        <w:rPr>
          <w:sz w:val="24"/>
          <w:szCs w:val="24"/>
        </w:rPr>
        <w:t xml:space="preserve">and </w:t>
      </w:r>
      <w:r w:rsidR="009C1A6F">
        <w:rPr>
          <w:sz w:val="24"/>
          <w:szCs w:val="24"/>
        </w:rPr>
        <w:t xml:space="preserve">Katrina </w:t>
      </w:r>
      <w:proofErr w:type="spellStart"/>
      <w:r w:rsidRPr="003F687D">
        <w:rPr>
          <w:sz w:val="24"/>
          <w:szCs w:val="24"/>
        </w:rPr>
        <w:t>Honeyman</w:t>
      </w:r>
      <w:proofErr w:type="spellEnd"/>
      <w:r w:rsidRPr="003F687D">
        <w:rPr>
          <w:sz w:val="24"/>
          <w:szCs w:val="24"/>
        </w:rPr>
        <w:t xml:space="preserve">. 2013. Introduction. In </w:t>
      </w:r>
      <w:r w:rsidRPr="006B3A75">
        <w:rPr>
          <w:i/>
          <w:sz w:val="24"/>
          <w:szCs w:val="24"/>
        </w:rPr>
        <w:t>Childhood and Child Labour in Industrial England. Diversity and Agency, 1750-1914</w:t>
      </w:r>
      <w:r w:rsidR="009C1A6F">
        <w:rPr>
          <w:i/>
          <w:sz w:val="24"/>
          <w:szCs w:val="24"/>
        </w:rPr>
        <w:t xml:space="preserve">, </w:t>
      </w:r>
      <w:r w:rsidR="009C1A6F">
        <w:rPr>
          <w:sz w:val="24"/>
          <w:szCs w:val="24"/>
        </w:rPr>
        <w:t xml:space="preserve">edited by Nigel Goose and Katrina </w:t>
      </w:r>
      <w:proofErr w:type="spellStart"/>
      <w:r w:rsidR="009C1A6F">
        <w:rPr>
          <w:sz w:val="24"/>
          <w:szCs w:val="24"/>
        </w:rPr>
        <w:t>Honeyman</w:t>
      </w:r>
      <w:proofErr w:type="spellEnd"/>
      <w:r w:rsidR="009C1A6F">
        <w:rPr>
          <w:sz w:val="24"/>
          <w:szCs w:val="24"/>
        </w:rPr>
        <w:t>. Ashgate, Surrey, pp.1-22</w:t>
      </w:r>
      <w:r w:rsidR="009C1A6F">
        <w:rPr>
          <w:i/>
          <w:sz w:val="24"/>
          <w:szCs w:val="24"/>
        </w:rPr>
        <w:t>.</w:t>
      </w:r>
    </w:p>
    <w:p w14:paraId="06F368B8" w14:textId="2B6891B9" w:rsidR="003F687D" w:rsidRDefault="003F687D" w:rsidP="003F687D">
      <w:pPr>
        <w:spacing w:line="480" w:lineRule="auto"/>
        <w:rPr>
          <w:sz w:val="24"/>
          <w:szCs w:val="24"/>
        </w:rPr>
      </w:pPr>
      <w:proofErr w:type="spellStart"/>
      <w:r w:rsidRPr="003F687D">
        <w:rPr>
          <w:sz w:val="24"/>
          <w:szCs w:val="24"/>
        </w:rPr>
        <w:t>Gowland</w:t>
      </w:r>
      <w:proofErr w:type="spellEnd"/>
      <w:r w:rsidRPr="003F687D">
        <w:rPr>
          <w:sz w:val="24"/>
          <w:szCs w:val="24"/>
        </w:rPr>
        <w:t>, R</w:t>
      </w:r>
      <w:r w:rsidR="009C1A6F">
        <w:rPr>
          <w:sz w:val="24"/>
          <w:szCs w:val="24"/>
        </w:rPr>
        <w:t>ebecca</w:t>
      </w:r>
      <w:r w:rsidRPr="003F687D">
        <w:rPr>
          <w:sz w:val="24"/>
          <w:szCs w:val="24"/>
        </w:rPr>
        <w:t xml:space="preserve"> L. 2015</w:t>
      </w:r>
      <w:r w:rsidR="00816B02">
        <w:rPr>
          <w:sz w:val="24"/>
          <w:szCs w:val="24"/>
        </w:rPr>
        <w:t>a</w:t>
      </w:r>
      <w:r w:rsidR="009C1A6F">
        <w:rPr>
          <w:sz w:val="24"/>
          <w:szCs w:val="24"/>
        </w:rPr>
        <w:t>.</w:t>
      </w:r>
      <w:r w:rsidRPr="003F687D">
        <w:rPr>
          <w:sz w:val="24"/>
          <w:szCs w:val="24"/>
        </w:rPr>
        <w:t xml:space="preserve"> Entangled Lives: Implications of the developmental origins of health and disease (</w:t>
      </w:r>
      <w:proofErr w:type="spellStart"/>
      <w:r w:rsidRPr="003F687D">
        <w:rPr>
          <w:sz w:val="24"/>
          <w:szCs w:val="24"/>
        </w:rPr>
        <w:t>DOHaD</w:t>
      </w:r>
      <w:proofErr w:type="spellEnd"/>
      <w:r w:rsidRPr="003F687D">
        <w:rPr>
          <w:sz w:val="24"/>
          <w:szCs w:val="24"/>
        </w:rPr>
        <w:t xml:space="preserve">) hypothesis for bioarcheology and the life course. </w:t>
      </w:r>
      <w:r w:rsidRPr="003F687D">
        <w:rPr>
          <w:i/>
          <w:sz w:val="24"/>
          <w:szCs w:val="24"/>
        </w:rPr>
        <w:t>American Journal of Physical Anthropology</w:t>
      </w:r>
      <w:r w:rsidRPr="003F687D">
        <w:rPr>
          <w:sz w:val="24"/>
          <w:szCs w:val="24"/>
        </w:rPr>
        <w:t xml:space="preserve"> 158: 530-540</w:t>
      </w:r>
      <w:r w:rsidR="009C1A6F">
        <w:rPr>
          <w:sz w:val="24"/>
          <w:szCs w:val="24"/>
        </w:rPr>
        <w:t>.</w:t>
      </w:r>
    </w:p>
    <w:p w14:paraId="61E660F6" w14:textId="4357EA9D" w:rsidR="009D5345" w:rsidRPr="009D5345" w:rsidRDefault="009D5345" w:rsidP="003F687D">
      <w:pPr>
        <w:spacing w:line="480" w:lineRule="auto"/>
        <w:rPr>
          <w:sz w:val="24"/>
          <w:szCs w:val="24"/>
        </w:rPr>
      </w:pPr>
      <w:proofErr w:type="spellStart"/>
      <w:r>
        <w:rPr>
          <w:sz w:val="24"/>
          <w:szCs w:val="24"/>
        </w:rPr>
        <w:t>Gowland</w:t>
      </w:r>
      <w:proofErr w:type="spellEnd"/>
      <w:r>
        <w:rPr>
          <w:sz w:val="24"/>
          <w:szCs w:val="24"/>
        </w:rPr>
        <w:t xml:space="preserve">, Rebecca L. 2018. </w:t>
      </w:r>
      <w:r w:rsidRPr="009D5345">
        <w:rPr>
          <w:bCs/>
          <w:sz w:val="24"/>
          <w:szCs w:val="24"/>
        </w:rPr>
        <w:t>‘A Mass of Crooked Alphabets’: The Construction and Othering of Working Class Bodies in Industrial England</w:t>
      </w:r>
      <w:r>
        <w:rPr>
          <w:bCs/>
          <w:sz w:val="24"/>
          <w:szCs w:val="24"/>
        </w:rPr>
        <w:t>. In P. Stone (</w:t>
      </w:r>
      <w:proofErr w:type="spellStart"/>
      <w:r>
        <w:rPr>
          <w:bCs/>
          <w:sz w:val="24"/>
          <w:szCs w:val="24"/>
        </w:rPr>
        <w:t>ed</w:t>
      </w:r>
      <w:proofErr w:type="spellEnd"/>
      <w:r>
        <w:rPr>
          <w:bCs/>
          <w:sz w:val="24"/>
          <w:szCs w:val="24"/>
        </w:rPr>
        <w:t xml:space="preserve">), </w:t>
      </w:r>
      <w:r w:rsidRPr="009D5345">
        <w:rPr>
          <w:bCs/>
          <w:i/>
          <w:sz w:val="24"/>
          <w:szCs w:val="24"/>
        </w:rPr>
        <w:t>Bioarchaeological Analyses and Bodies</w:t>
      </w:r>
      <w:r>
        <w:rPr>
          <w:bCs/>
          <w:sz w:val="24"/>
          <w:szCs w:val="24"/>
        </w:rPr>
        <w:t xml:space="preserve">. Springer, New York. </w:t>
      </w:r>
    </w:p>
    <w:p w14:paraId="65AB3209" w14:textId="703C687A" w:rsidR="00816B02" w:rsidRDefault="00816B02" w:rsidP="003F687D">
      <w:pPr>
        <w:spacing w:line="480" w:lineRule="auto"/>
        <w:rPr>
          <w:sz w:val="24"/>
          <w:szCs w:val="24"/>
        </w:rPr>
      </w:pPr>
      <w:proofErr w:type="spellStart"/>
      <w:r>
        <w:rPr>
          <w:sz w:val="24"/>
          <w:szCs w:val="24"/>
        </w:rPr>
        <w:lastRenderedPageBreak/>
        <w:t>Gowland</w:t>
      </w:r>
      <w:proofErr w:type="spellEnd"/>
      <w:r>
        <w:rPr>
          <w:sz w:val="24"/>
          <w:szCs w:val="24"/>
        </w:rPr>
        <w:t xml:space="preserve">, Rebecca L. 2015b. Review of Childhood and Child Labour in Industrial England. </w:t>
      </w:r>
      <w:r w:rsidRPr="00816B02">
        <w:rPr>
          <w:i/>
          <w:sz w:val="24"/>
          <w:szCs w:val="24"/>
        </w:rPr>
        <w:t>Childhood in the Past</w:t>
      </w:r>
      <w:r>
        <w:rPr>
          <w:sz w:val="24"/>
          <w:szCs w:val="24"/>
        </w:rPr>
        <w:t xml:space="preserve"> 8:68-9.</w:t>
      </w:r>
    </w:p>
    <w:p w14:paraId="42E0F3F7" w14:textId="66E56638" w:rsidR="009D5345" w:rsidRPr="003F687D" w:rsidRDefault="009D5345" w:rsidP="003F687D">
      <w:pPr>
        <w:spacing w:line="480" w:lineRule="auto"/>
        <w:rPr>
          <w:sz w:val="24"/>
          <w:szCs w:val="24"/>
        </w:rPr>
      </w:pPr>
      <w:proofErr w:type="spellStart"/>
      <w:r>
        <w:rPr>
          <w:sz w:val="24"/>
          <w:szCs w:val="24"/>
        </w:rPr>
        <w:t>Gowland</w:t>
      </w:r>
      <w:proofErr w:type="spellEnd"/>
      <w:r>
        <w:rPr>
          <w:sz w:val="24"/>
          <w:szCs w:val="24"/>
        </w:rPr>
        <w:t xml:space="preserve">, Rebecca L., </w:t>
      </w:r>
      <w:proofErr w:type="spellStart"/>
      <w:r>
        <w:rPr>
          <w:sz w:val="24"/>
          <w:szCs w:val="24"/>
        </w:rPr>
        <w:t>Caffell</w:t>
      </w:r>
      <w:proofErr w:type="spellEnd"/>
      <w:r>
        <w:rPr>
          <w:sz w:val="24"/>
          <w:szCs w:val="24"/>
        </w:rPr>
        <w:t xml:space="preserve">, </w:t>
      </w:r>
      <w:proofErr w:type="spellStart"/>
      <w:r>
        <w:rPr>
          <w:sz w:val="24"/>
          <w:szCs w:val="24"/>
        </w:rPr>
        <w:t>Anwen</w:t>
      </w:r>
      <w:proofErr w:type="spellEnd"/>
      <w:r>
        <w:rPr>
          <w:sz w:val="24"/>
          <w:szCs w:val="24"/>
        </w:rPr>
        <w:t xml:space="preserve">, Alexander, Michelle, Quade, Leslie, Millard, Andrew, Holst, </w:t>
      </w:r>
      <w:proofErr w:type="spellStart"/>
      <w:r>
        <w:rPr>
          <w:sz w:val="24"/>
          <w:szCs w:val="24"/>
        </w:rPr>
        <w:t>Malin</w:t>
      </w:r>
      <w:proofErr w:type="spellEnd"/>
      <w:r>
        <w:rPr>
          <w:sz w:val="24"/>
          <w:szCs w:val="24"/>
        </w:rPr>
        <w:t>, Yapp, Poppy, Brown, Chloe. 2017. Indentured: bioarchaeological evidence for pauper apprentices in 19</w:t>
      </w:r>
      <w:r w:rsidRPr="009D5345">
        <w:rPr>
          <w:sz w:val="24"/>
          <w:szCs w:val="24"/>
          <w:vertAlign w:val="superscript"/>
        </w:rPr>
        <w:t>th</w:t>
      </w:r>
      <w:r>
        <w:rPr>
          <w:sz w:val="24"/>
          <w:szCs w:val="24"/>
        </w:rPr>
        <w:t xml:space="preserve"> century Yorkshire, England</w:t>
      </w:r>
      <w:r w:rsidRPr="009D5345">
        <w:rPr>
          <w:i/>
          <w:sz w:val="24"/>
          <w:szCs w:val="24"/>
        </w:rPr>
        <w:t>. American Journal of Physical Anthropolog</w:t>
      </w:r>
      <w:r>
        <w:rPr>
          <w:sz w:val="24"/>
          <w:szCs w:val="24"/>
        </w:rPr>
        <w:t>y, 162, Supplement S64: 20.</w:t>
      </w:r>
    </w:p>
    <w:p w14:paraId="43051D01" w14:textId="3D3DA489" w:rsidR="003F687D" w:rsidRPr="003F687D" w:rsidRDefault="003F687D" w:rsidP="003F687D">
      <w:pPr>
        <w:spacing w:line="480" w:lineRule="auto"/>
        <w:rPr>
          <w:sz w:val="24"/>
          <w:szCs w:val="24"/>
        </w:rPr>
      </w:pPr>
      <w:proofErr w:type="spellStart"/>
      <w:r w:rsidRPr="003F687D">
        <w:rPr>
          <w:sz w:val="24"/>
          <w:szCs w:val="24"/>
        </w:rPr>
        <w:t>Gowland</w:t>
      </w:r>
      <w:proofErr w:type="spellEnd"/>
      <w:r w:rsidR="009C1A6F">
        <w:rPr>
          <w:sz w:val="24"/>
          <w:szCs w:val="24"/>
        </w:rPr>
        <w:t xml:space="preserve">, Rebecca L., </w:t>
      </w:r>
      <w:r w:rsidRPr="003F687D">
        <w:rPr>
          <w:sz w:val="24"/>
          <w:szCs w:val="24"/>
        </w:rPr>
        <w:t xml:space="preserve">and </w:t>
      </w:r>
      <w:r w:rsidR="009C1A6F">
        <w:rPr>
          <w:sz w:val="24"/>
          <w:szCs w:val="24"/>
        </w:rPr>
        <w:t xml:space="preserve">Sophie L. </w:t>
      </w:r>
      <w:r w:rsidRPr="003F687D">
        <w:rPr>
          <w:sz w:val="24"/>
          <w:szCs w:val="24"/>
        </w:rPr>
        <w:t>Newman</w:t>
      </w:r>
      <w:r w:rsidR="009C1A6F">
        <w:rPr>
          <w:sz w:val="24"/>
          <w:szCs w:val="24"/>
        </w:rPr>
        <w:t>.</w:t>
      </w:r>
      <w:r w:rsidRPr="003F687D">
        <w:rPr>
          <w:sz w:val="24"/>
          <w:szCs w:val="24"/>
        </w:rPr>
        <w:t xml:space="preserve"> 2018</w:t>
      </w:r>
      <w:r w:rsidR="009C1A6F">
        <w:rPr>
          <w:sz w:val="24"/>
          <w:szCs w:val="24"/>
        </w:rPr>
        <w:t>.</w:t>
      </w:r>
      <w:r w:rsidRPr="003F687D">
        <w:rPr>
          <w:sz w:val="24"/>
          <w:szCs w:val="24"/>
        </w:rPr>
        <w:t xml:space="preserve"> Children of the revolution: childhood health inequalities and the life course during industrialisation of the 18</w:t>
      </w:r>
      <w:r w:rsidRPr="003F687D">
        <w:rPr>
          <w:sz w:val="24"/>
          <w:szCs w:val="24"/>
          <w:vertAlign w:val="superscript"/>
        </w:rPr>
        <w:t>th</w:t>
      </w:r>
      <w:r w:rsidRPr="003F687D">
        <w:rPr>
          <w:sz w:val="24"/>
          <w:szCs w:val="24"/>
        </w:rPr>
        <w:t xml:space="preserve"> to 19</w:t>
      </w:r>
      <w:r w:rsidRPr="003F687D">
        <w:rPr>
          <w:sz w:val="24"/>
          <w:szCs w:val="24"/>
          <w:vertAlign w:val="superscript"/>
        </w:rPr>
        <w:t>th</w:t>
      </w:r>
      <w:r w:rsidRPr="003F687D">
        <w:rPr>
          <w:sz w:val="24"/>
          <w:szCs w:val="24"/>
        </w:rPr>
        <w:t xml:space="preserve"> centuries. In </w:t>
      </w:r>
      <w:r w:rsidRPr="006B3A75">
        <w:rPr>
          <w:i/>
          <w:sz w:val="24"/>
          <w:szCs w:val="24"/>
        </w:rPr>
        <w:t>Children and Childhood in the Past</w:t>
      </w:r>
      <w:r w:rsidR="009C1A6F">
        <w:rPr>
          <w:sz w:val="24"/>
          <w:szCs w:val="24"/>
        </w:rPr>
        <w:t xml:space="preserve">, edited by Patrick </w:t>
      </w:r>
      <w:proofErr w:type="spellStart"/>
      <w:r w:rsidR="009C1A6F">
        <w:rPr>
          <w:sz w:val="24"/>
          <w:szCs w:val="24"/>
        </w:rPr>
        <w:t>Beauchesne</w:t>
      </w:r>
      <w:proofErr w:type="spellEnd"/>
      <w:r w:rsidR="009C1A6F">
        <w:rPr>
          <w:sz w:val="24"/>
          <w:szCs w:val="24"/>
        </w:rPr>
        <w:t xml:space="preserve"> and Sabrina Agarwal.</w:t>
      </w:r>
      <w:r w:rsidRPr="003F687D">
        <w:rPr>
          <w:sz w:val="24"/>
          <w:szCs w:val="24"/>
        </w:rPr>
        <w:t xml:space="preserve"> University of Florida Press</w:t>
      </w:r>
      <w:r w:rsidR="009C1A6F">
        <w:rPr>
          <w:sz w:val="24"/>
          <w:szCs w:val="24"/>
        </w:rPr>
        <w:t>, Florida.</w:t>
      </w:r>
    </w:p>
    <w:p w14:paraId="3636981D" w14:textId="00DDFC5B" w:rsidR="003F687D" w:rsidRPr="003F687D" w:rsidRDefault="003F687D" w:rsidP="003F687D">
      <w:pPr>
        <w:spacing w:line="480" w:lineRule="auto"/>
        <w:rPr>
          <w:sz w:val="24"/>
          <w:szCs w:val="24"/>
        </w:rPr>
      </w:pPr>
      <w:proofErr w:type="spellStart"/>
      <w:r w:rsidRPr="003F687D">
        <w:rPr>
          <w:sz w:val="24"/>
          <w:szCs w:val="24"/>
        </w:rPr>
        <w:t>Hillson</w:t>
      </w:r>
      <w:proofErr w:type="spellEnd"/>
      <w:r w:rsidR="009C1A6F">
        <w:rPr>
          <w:sz w:val="24"/>
          <w:szCs w:val="24"/>
        </w:rPr>
        <w:t>, Simon.</w:t>
      </w:r>
      <w:r w:rsidRPr="003F687D">
        <w:rPr>
          <w:sz w:val="24"/>
          <w:szCs w:val="24"/>
        </w:rPr>
        <w:t xml:space="preserve"> 1996. </w:t>
      </w:r>
      <w:r w:rsidRPr="006B3A75">
        <w:rPr>
          <w:i/>
          <w:sz w:val="24"/>
          <w:szCs w:val="24"/>
        </w:rPr>
        <w:t>Dental anthropology</w:t>
      </w:r>
      <w:r w:rsidRPr="003F687D">
        <w:rPr>
          <w:sz w:val="24"/>
          <w:szCs w:val="24"/>
        </w:rPr>
        <w:t>. Cambridge University Press</w:t>
      </w:r>
      <w:r w:rsidR="009C1A6F">
        <w:rPr>
          <w:sz w:val="24"/>
          <w:szCs w:val="24"/>
        </w:rPr>
        <w:t>, Cambridge.</w:t>
      </w:r>
    </w:p>
    <w:p w14:paraId="677667D3" w14:textId="5F26E7B4" w:rsidR="003F687D" w:rsidRPr="003F687D" w:rsidRDefault="003F687D" w:rsidP="003F687D">
      <w:pPr>
        <w:spacing w:line="480" w:lineRule="auto"/>
        <w:rPr>
          <w:sz w:val="24"/>
          <w:szCs w:val="24"/>
        </w:rPr>
      </w:pPr>
      <w:proofErr w:type="spellStart"/>
      <w:r w:rsidRPr="003F687D">
        <w:rPr>
          <w:sz w:val="24"/>
          <w:szCs w:val="24"/>
        </w:rPr>
        <w:t>Honeyman</w:t>
      </w:r>
      <w:proofErr w:type="spellEnd"/>
      <w:r w:rsidR="009C1A6F">
        <w:rPr>
          <w:sz w:val="24"/>
          <w:szCs w:val="24"/>
        </w:rPr>
        <w:t>,</w:t>
      </w:r>
      <w:r w:rsidRPr="003F687D">
        <w:rPr>
          <w:sz w:val="24"/>
          <w:szCs w:val="24"/>
        </w:rPr>
        <w:t xml:space="preserve"> K</w:t>
      </w:r>
      <w:r w:rsidR="009C1A6F">
        <w:rPr>
          <w:sz w:val="24"/>
          <w:szCs w:val="24"/>
        </w:rPr>
        <w:t>atrina</w:t>
      </w:r>
      <w:r w:rsidRPr="003F687D">
        <w:rPr>
          <w:sz w:val="24"/>
          <w:szCs w:val="24"/>
        </w:rPr>
        <w:t xml:space="preserve">. 2007. </w:t>
      </w:r>
      <w:r w:rsidRPr="003F687D">
        <w:rPr>
          <w:i/>
          <w:iCs/>
          <w:sz w:val="24"/>
          <w:szCs w:val="24"/>
        </w:rPr>
        <w:t>Child Workers in England, 1780-1820: Parish Apprentices and the Making of the Early Industrial Labour Force</w:t>
      </w:r>
      <w:r w:rsidRPr="003F687D">
        <w:rPr>
          <w:iCs/>
          <w:sz w:val="24"/>
          <w:szCs w:val="24"/>
        </w:rPr>
        <w:t>. Ashgate, Surrey</w:t>
      </w:r>
      <w:r w:rsidR="009C1A6F">
        <w:rPr>
          <w:iCs/>
          <w:sz w:val="24"/>
          <w:szCs w:val="24"/>
        </w:rPr>
        <w:t>.</w:t>
      </w:r>
    </w:p>
    <w:p w14:paraId="4479FAF2" w14:textId="2F48AB4C" w:rsidR="003F687D" w:rsidRPr="003F687D" w:rsidRDefault="003F687D" w:rsidP="003F687D">
      <w:pPr>
        <w:spacing w:line="480" w:lineRule="auto"/>
        <w:rPr>
          <w:sz w:val="24"/>
          <w:szCs w:val="24"/>
        </w:rPr>
      </w:pPr>
      <w:proofErr w:type="spellStart"/>
      <w:r w:rsidRPr="003F687D">
        <w:rPr>
          <w:sz w:val="24"/>
          <w:szCs w:val="24"/>
        </w:rPr>
        <w:t>Honeyman</w:t>
      </w:r>
      <w:proofErr w:type="spellEnd"/>
      <w:r w:rsidRPr="003F687D">
        <w:rPr>
          <w:sz w:val="24"/>
          <w:szCs w:val="24"/>
        </w:rPr>
        <w:t>, K</w:t>
      </w:r>
      <w:r w:rsidR="009C1A6F">
        <w:rPr>
          <w:sz w:val="24"/>
          <w:szCs w:val="24"/>
        </w:rPr>
        <w:t>atrina</w:t>
      </w:r>
      <w:r w:rsidRPr="003F687D">
        <w:rPr>
          <w:sz w:val="24"/>
          <w:szCs w:val="24"/>
        </w:rPr>
        <w:t>. 2013. Compulsion, Compassion and Consent: Parish Apprenticeship in Early Nineteenth-</w:t>
      </w:r>
      <w:proofErr w:type="spellStart"/>
      <w:r w:rsidRPr="003F687D">
        <w:rPr>
          <w:sz w:val="24"/>
          <w:szCs w:val="24"/>
        </w:rPr>
        <w:t>Centry</w:t>
      </w:r>
      <w:proofErr w:type="spellEnd"/>
      <w:r w:rsidRPr="003F687D">
        <w:rPr>
          <w:sz w:val="24"/>
          <w:szCs w:val="24"/>
        </w:rPr>
        <w:t xml:space="preserve"> England. In </w:t>
      </w:r>
      <w:r w:rsidRPr="006B3A75">
        <w:rPr>
          <w:i/>
          <w:sz w:val="24"/>
          <w:szCs w:val="24"/>
        </w:rPr>
        <w:t>Childhood and Child Labour in Industrial England. Diversity and Agency, 1750-1914</w:t>
      </w:r>
      <w:r w:rsidR="009C1A6F">
        <w:rPr>
          <w:i/>
          <w:sz w:val="24"/>
          <w:szCs w:val="24"/>
        </w:rPr>
        <w:t xml:space="preserve">, </w:t>
      </w:r>
      <w:r w:rsidR="009C1A6F">
        <w:rPr>
          <w:sz w:val="24"/>
          <w:szCs w:val="24"/>
        </w:rPr>
        <w:t xml:space="preserve">edited by Nigel Goose and Katrina </w:t>
      </w:r>
      <w:proofErr w:type="spellStart"/>
      <w:r w:rsidR="009C1A6F">
        <w:rPr>
          <w:sz w:val="24"/>
          <w:szCs w:val="24"/>
        </w:rPr>
        <w:t>Honeyman</w:t>
      </w:r>
      <w:proofErr w:type="spellEnd"/>
      <w:r w:rsidR="009C1A6F">
        <w:rPr>
          <w:sz w:val="24"/>
          <w:szCs w:val="24"/>
        </w:rPr>
        <w:t>. Ashgate, Surrey, pp.</w:t>
      </w:r>
      <w:r w:rsidRPr="003F687D">
        <w:rPr>
          <w:sz w:val="24"/>
          <w:szCs w:val="24"/>
        </w:rPr>
        <w:t xml:space="preserve">71-96. </w:t>
      </w:r>
    </w:p>
    <w:p w14:paraId="169CE1F8" w14:textId="64817964" w:rsidR="003F687D" w:rsidRDefault="003F687D" w:rsidP="003F687D">
      <w:pPr>
        <w:spacing w:line="480" w:lineRule="auto"/>
        <w:rPr>
          <w:sz w:val="24"/>
          <w:szCs w:val="24"/>
        </w:rPr>
      </w:pPr>
      <w:proofErr w:type="spellStart"/>
      <w:r w:rsidRPr="003F687D">
        <w:rPr>
          <w:sz w:val="24"/>
          <w:szCs w:val="24"/>
        </w:rPr>
        <w:t>Horrell</w:t>
      </w:r>
      <w:proofErr w:type="spellEnd"/>
      <w:r w:rsidR="009C1A6F">
        <w:rPr>
          <w:sz w:val="24"/>
          <w:szCs w:val="24"/>
        </w:rPr>
        <w:t>,</w:t>
      </w:r>
      <w:r w:rsidRPr="003F687D">
        <w:rPr>
          <w:sz w:val="24"/>
          <w:szCs w:val="24"/>
        </w:rPr>
        <w:t xml:space="preserve"> S</w:t>
      </w:r>
      <w:r w:rsidR="009C1A6F">
        <w:rPr>
          <w:sz w:val="24"/>
          <w:szCs w:val="24"/>
        </w:rPr>
        <w:t>ara,</w:t>
      </w:r>
      <w:r w:rsidRPr="003F687D">
        <w:rPr>
          <w:sz w:val="24"/>
          <w:szCs w:val="24"/>
        </w:rPr>
        <w:t xml:space="preserve"> and </w:t>
      </w:r>
      <w:r w:rsidR="009C1A6F">
        <w:rPr>
          <w:sz w:val="24"/>
          <w:szCs w:val="24"/>
        </w:rPr>
        <w:t xml:space="preserve">Deborah </w:t>
      </w:r>
      <w:r w:rsidRPr="003F687D">
        <w:rPr>
          <w:sz w:val="24"/>
          <w:szCs w:val="24"/>
        </w:rPr>
        <w:t xml:space="preserve">Oxley. 2012. Bringing home the bacon? Regional nutrition, stature, and gender in the industrial revolution. </w:t>
      </w:r>
      <w:r w:rsidRPr="006B3A75">
        <w:rPr>
          <w:i/>
          <w:sz w:val="24"/>
          <w:szCs w:val="24"/>
        </w:rPr>
        <w:t>Economic History Review</w:t>
      </w:r>
      <w:r w:rsidRPr="003F687D">
        <w:rPr>
          <w:sz w:val="24"/>
          <w:szCs w:val="24"/>
        </w:rPr>
        <w:t xml:space="preserve"> 65</w:t>
      </w:r>
      <w:r w:rsidR="00702191">
        <w:rPr>
          <w:sz w:val="24"/>
          <w:szCs w:val="24"/>
        </w:rPr>
        <w:t>:</w:t>
      </w:r>
      <w:r w:rsidRPr="003F687D">
        <w:rPr>
          <w:sz w:val="24"/>
          <w:szCs w:val="24"/>
        </w:rPr>
        <w:t>1354-1379.</w:t>
      </w:r>
    </w:p>
    <w:p w14:paraId="56F4419E" w14:textId="51DD1F32" w:rsidR="00710AA5" w:rsidRPr="00710AA5" w:rsidRDefault="00710AA5" w:rsidP="00710AA5">
      <w:pPr>
        <w:spacing w:line="480" w:lineRule="auto"/>
        <w:rPr>
          <w:b/>
          <w:sz w:val="24"/>
          <w:szCs w:val="24"/>
          <w:u w:val="single"/>
          <w:lang w:val="en-US"/>
        </w:rPr>
      </w:pPr>
      <w:r>
        <w:rPr>
          <w:sz w:val="24"/>
          <w:szCs w:val="24"/>
        </w:rPr>
        <w:t xml:space="preserve">Hudson, P. </w:t>
      </w:r>
      <w:r w:rsidRPr="00710AA5">
        <w:rPr>
          <w:sz w:val="24"/>
          <w:szCs w:val="24"/>
        </w:rPr>
        <w:t>1992</w:t>
      </w:r>
      <w:r>
        <w:rPr>
          <w:sz w:val="24"/>
          <w:szCs w:val="24"/>
        </w:rPr>
        <w:t>.</w:t>
      </w:r>
      <w:r w:rsidRPr="00710AA5">
        <w:rPr>
          <w:sz w:val="24"/>
          <w:szCs w:val="24"/>
        </w:rPr>
        <w:t xml:space="preserve"> </w:t>
      </w:r>
      <w:r w:rsidRPr="00710AA5">
        <w:rPr>
          <w:i/>
          <w:sz w:val="24"/>
          <w:szCs w:val="24"/>
          <w:lang w:val="en-US"/>
        </w:rPr>
        <w:t>The Industrial Revolution</w:t>
      </w:r>
      <w:r w:rsidRPr="00710AA5">
        <w:rPr>
          <w:sz w:val="24"/>
          <w:szCs w:val="24"/>
          <w:lang w:val="en-US"/>
        </w:rPr>
        <w:t>. London: Arnold.</w:t>
      </w:r>
    </w:p>
    <w:p w14:paraId="51B491D0" w14:textId="77777777" w:rsidR="00710AA5" w:rsidRPr="00710AA5" w:rsidRDefault="00710AA5" w:rsidP="00710AA5">
      <w:pPr>
        <w:spacing w:line="480" w:lineRule="auto"/>
        <w:rPr>
          <w:sz w:val="24"/>
          <w:szCs w:val="24"/>
        </w:rPr>
      </w:pPr>
      <w:r w:rsidRPr="00710AA5">
        <w:rPr>
          <w:sz w:val="24"/>
          <w:szCs w:val="24"/>
        </w:rPr>
        <w:t xml:space="preserve">Humphries, Jane. 2010. </w:t>
      </w:r>
      <w:r w:rsidRPr="00710AA5">
        <w:rPr>
          <w:i/>
          <w:sz w:val="24"/>
          <w:szCs w:val="24"/>
        </w:rPr>
        <w:t>Childhood and Child Labour in the British Industrial Revolution</w:t>
      </w:r>
      <w:r w:rsidRPr="00710AA5">
        <w:rPr>
          <w:sz w:val="24"/>
          <w:szCs w:val="24"/>
        </w:rPr>
        <w:t>. Cambridge University Press, Cambridge.</w:t>
      </w:r>
    </w:p>
    <w:p w14:paraId="1B95A895" w14:textId="20931954" w:rsidR="003F687D" w:rsidRPr="003F687D" w:rsidRDefault="003F687D" w:rsidP="003F687D">
      <w:pPr>
        <w:spacing w:line="480" w:lineRule="auto"/>
        <w:rPr>
          <w:sz w:val="24"/>
          <w:szCs w:val="24"/>
        </w:rPr>
      </w:pPr>
      <w:r w:rsidRPr="003F687D">
        <w:rPr>
          <w:sz w:val="24"/>
          <w:szCs w:val="24"/>
        </w:rPr>
        <w:lastRenderedPageBreak/>
        <w:t>Humphries, J</w:t>
      </w:r>
      <w:r w:rsidR="009C1A6F">
        <w:rPr>
          <w:sz w:val="24"/>
          <w:szCs w:val="24"/>
        </w:rPr>
        <w:t>ane</w:t>
      </w:r>
      <w:r w:rsidRPr="003F687D">
        <w:rPr>
          <w:sz w:val="24"/>
          <w:szCs w:val="24"/>
        </w:rPr>
        <w:t xml:space="preserve">. 2013. Care and Cruelty in the Workhouse: Children’s Experiences of Residential Poor Relief in Eighteenth and Nineteenth- Century England. In </w:t>
      </w:r>
      <w:r w:rsidRPr="006B3A75">
        <w:rPr>
          <w:i/>
          <w:sz w:val="24"/>
          <w:szCs w:val="24"/>
        </w:rPr>
        <w:t>Childhood and Child Labour in Industrial England. Diversity and Agency, 1750-1914</w:t>
      </w:r>
      <w:r w:rsidR="009C1A6F">
        <w:rPr>
          <w:i/>
          <w:sz w:val="24"/>
          <w:szCs w:val="24"/>
        </w:rPr>
        <w:t xml:space="preserve">, </w:t>
      </w:r>
      <w:r w:rsidR="009C1A6F">
        <w:rPr>
          <w:sz w:val="24"/>
          <w:szCs w:val="24"/>
        </w:rPr>
        <w:t xml:space="preserve">edited by Nigel Goose and Katrina </w:t>
      </w:r>
      <w:proofErr w:type="spellStart"/>
      <w:r w:rsidR="009C1A6F">
        <w:rPr>
          <w:sz w:val="24"/>
          <w:szCs w:val="24"/>
        </w:rPr>
        <w:t>Honeyman</w:t>
      </w:r>
      <w:proofErr w:type="spellEnd"/>
      <w:r w:rsidR="009C1A6F">
        <w:rPr>
          <w:sz w:val="24"/>
          <w:szCs w:val="24"/>
        </w:rPr>
        <w:t>. Ashgate, Surrey, pp.</w:t>
      </w:r>
      <w:r w:rsidRPr="003F687D">
        <w:rPr>
          <w:sz w:val="24"/>
          <w:szCs w:val="24"/>
        </w:rPr>
        <w:t>115-134</w:t>
      </w:r>
      <w:r w:rsidR="009C1A6F">
        <w:rPr>
          <w:sz w:val="24"/>
          <w:szCs w:val="24"/>
        </w:rPr>
        <w:t>.</w:t>
      </w:r>
    </w:p>
    <w:p w14:paraId="5E9DB31F" w14:textId="41BEB167" w:rsidR="00BC7734" w:rsidRDefault="00BC7734" w:rsidP="003F687D">
      <w:pPr>
        <w:spacing w:line="480" w:lineRule="auto"/>
        <w:rPr>
          <w:sz w:val="24"/>
          <w:szCs w:val="24"/>
        </w:rPr>
      </w:pPr>
      <w:r>
        <w:rPr>
          <w:bCs/>
          <w:sz w:val="24"/>
          <w:szCs w:val="24"/>
        </w:rPr>
        <w:t>Ives, Rachel</w:t>
      </w:r>
      <w:r w:rsidRPr="00BC7734">
        <w:rPr>
          <w:sz w:val="24"/>
          <w:szCs w:val="24"/>
        </w:rPr>
        <w:t xml:space="preserve">, </w:t>
      </w:r>
      <w:r>
        <w:rPr>
          <w:sz w:val="24"/>
          <w:szCs w:val="24"/>
        </w:rPr>
        <w:t xml:space="preserve">and </w:t>
      </w:r>
      <w:r w:rsidRPr="00BC7734">
        <w:rPr>
          <w:sz w:val="24"/>
          <w:szCs w:val="24"/>
        </w:rPr>
        <w:t>Humphrey</w:t>
      </w:r>
      <w:r>
        <w:rPr>
          <w:sz w:val="24"/>
          <w:szCs w:val="24"/>
        </w:rPr>
        <w:t>,</w:t>
      </w:r>
      <w:r w:rsidRPr="00BC7734">
        <w:rPr>
          <w:sz w:val="24"/>
          <w:szCs w:val="24"/>
        </w:rPr>
        <w:t xml:space="preserve"> L</w:t>
      </w:r>
      <w:r>
        <w:rPr>
          <w:sz w:val="24"/>
          <w:szCs w:val="24"/>
        </w:rPr>
        <w:t>ouise. 2017.</w:t>
      </w:r>
      <w:r w:rsidRPr="00BC7734">
        <w:rPr>
          <w:sz w:val="24"/>
          <w:szCs w:val="24"/>
        </w:rPr>
        <w:t xml:space="preserve"> Patterns of long bone growth in a mid-19th century documented sample of the urban poor from Bethnal Green, London, UK. </w:t>
      </w:r>
      <w:r w:rsidRPr="00BC7734">
        <w:rPr>
          <w:i/>
          <w:iCs/>
          <w:sz w:val="24"/>
          <w:szCs w:val="24"/>
        </w:rPr>
        <w:t>American Journal of Physical Anthropology</w:t>
      </w:r>
      <w:r w:rsidRPr="00BC7734">
        <w:rPr>
          <w:sz w:val="24"/>
          <w:szCs w:val="24"/>
        </w:rPr>
        <w:t> </w:t>
      </w:r>
      <w:r w:rsidRPr="00BC7734">
        <w:rPr>
          <w:bCs/>
          <w:sz w:val="24"/>
          <w:szCs w:val="24"/>
        </w:rPr>
        <w:t>163</w:t>
      </w:r>
      <w:r w:rsidRPr="00BC7734">
        <w:rPr>
          <w:sz w:val="24"/>
          <w:szCs w:val="24"/>
        </w:rPr>
        <w:t xml:space="preserve">: 173 </w:t>
      </w:r>
      <w:r>
        <w:rPr>
          <w:sz w:val="24"/>
          <w:szCs w:val="24"/>
        </w:rPr>
        <w:t>–</w:t>
      </w:r>
      <w:r w:rsidRPr="00BC7734">
        <w:rPr>
          <w:sz w:val="24"/>
          <w:szCs w:val="24"/>
        </w:rPr>
        <w:t xml:space="preserve"> 186</w:t>
      </w:r>
      <w:r>
        <w:rPr>
          <w:sz w:val="24"/>
          <w:szCs w:val="24"/>
        </w:rPr>
        <w:t>.</w:t>
      </w:r>
    </w:p>
    <w:p w14:paraId="2E78F1AB" w14:textId="408B2498" w:rsidR="00710AA5" w:rsidRPr="00710AA5" w:rsidRDefault="00710AA5" w:rsidP="003F687D">
      <w:pPr>
        <w:spacing w:line="480" w:lineRule="auto"/>
        <w:rPr>
          <w:bCs/>
          <w:sz w:val="24"/>
          <w:szCs w:val="24"/>
        </w:rPr>
      </w:pPr>
      <w:proofErr w:type="spellStart"/>
      <w:r w:rsidRPr="00710AA5">
        <w:rPr>
          <w:bCs/>
          <w:sz w:val="24"/>
          <w:szCs w:val="24"/>
        </w:rPr>
        <w:t>Karras</w:t>
      </w:r>
      <w:proofErr w:type="spellEnd"/>
      <w:r w:rsidRPr="00710AA5">
        <w:rPr>
          <w:bCs/>
          <w:sz w:val="24"/>
          <w:szCs w:val="24"/>
        </w:rPr>
        <w:t xml:space="preserve">, Spyridon N., Hana </w:t>
      </w:r>
      <w:proofErr w:type="spellStart"/>
      <w:r w:rsidRPr="00710AA5">
        <w:rPr>
          <w:bCs/>
          <w:sz w:val="24"/>
          <w:szCs w:val="24"/>
        </w:rPr>
        <w:t>Fakhoury</w:t>
      </w:r>
      <w:proofErr w:type="spellEnd"/>
      <w:r w:rsidRPr="00710AA5">
        <w:rPr>
          <w:bCs/>
          <w:sz w:val="24"/>
          <w:szCs w:val="24"/>
        </w:rPr>
        <w:t xml:space="preserve">, Giovanna </w:t>
      </w:r>
      <w:proofErr w:type="spellStart"/>
      <w:r w:rsidRPr="00710AA5">
        <w:rPr>
          <w:bCs/>
          <w:sz w:val="24"/>
          <w:szCs w:val="24"/>
        </w:rPr>
        <w:t>Muscogiuri</w:t>
      </w:r>
      <w:proofErr w:type="spellEnd"/>
      <w:r w:rsidRPr="00710AA5">
        <w:rPr>
          <w:bCs/>
          <w:sz w:val="24"/>
          <w:szCs w:val="24"/>
        </w:rPr>
        <w:t xml:space="preserve">, William B. Grant, Johannes M.  van der </w:t>
      </w:r>
      <w:proofErr w:type="spellStart"/>
      <w:r w:rsidRPr="00710AA5">
        <w:rPr>
          <w:bCs/>
          <w:sz w:val="24"/>
          <w:szCs w:val="24"/>
        </w:rPr>
        <w:t>Ouweland</w:t>
      </w:r>
      <w:proofErr w:type="spellEnd"/>
      <w:r w:rsidRPr="00710AA5">
        <w:rPr>
          <w:bCs/>
          <w:sz w:val="24"/>
          <w:szCs w:val="24"/>
        </w:rPr>
        <w:t xml:space="preserve">, Anna M. </w:t>
      </w:r>
      <w:proofErr w:type="spellStart"/>
      <w:r w:rsidRPr="00710AA5">
        <w:rPr>
          <w:bCs/>
          <w:sz w:val="24"/>
          <w:szCs w:val="24"/>
        </w:rPr>
        <w:t>Colao</w:t>
      </w:r>
      <w:proofErr w:type="spellEnd"/>
      <w:r w:rsidRPr="00710AA5">
        <w:rPr>
          <w:bCs/>
          <w:sz w:val="24"/>
          <w:szCs w:val="24"/>
        </w:rPr>
        <w:t xml:space="preserve">, </w:t>
      </w:r>
      <w:proofErr w:type="spellStart"/>
      <w:r w:rsidRPr="00710AA5">
        <w:rPr>
          <w:bCs/>
          <w:sz w:val="24"/>
          <w:szCs w:val="24"/>
        </w:rPr>
        <w:t>Kalliopi</w:t>
      </w:r>
      <w:proofErr w:type="spellEnd"/>
      <w:r w:rsidRPr="00710AA5">
        <w:rPr>
          <w:bCs/>
          <w:sz w:val="24"/>
          <w:szCs w:val="24"/>
        </w:rPr>
        <w:t xml:space="preserve"> </w:t>
      </w:r>
      <w:proofErr w:type="spellStart"/>
      <w:r w:rsidRPr="00710AA5">
        <w:rPr>
          <w:bCs/>
          <w:sz w:val="24"/>
          <w:szCs w:val="24"/>
        </w:rPr>
        <w:t>Kosta</w:t>
      </w:r>
      <w:proofErr w:type="spellEnd"/>
      <w:r w:rsidRPr="00710AA5">
        <w:rPr>
          <w:bCs/>
          <w:sz w:val="24"/>
          <w:szCs w:val="24"/>
        </w:rPr>
        <w:t xml:space="preserve">. 2016. Maternal vitamin D levels during pregnancy and neonatal health: evidence to date and clinical implications. </w:t>
      </w:r>
      <w:r w:rsidRPr="00710AA5">
        <w:rPr>
          <w:i/>
          <w:sz w:val="24"/>
          <w:szCs w:val="24"/>
        </w:rPr>
        <w:t>Therapeutic Advances in Musculoskeletal Disease</w:t>
      </w:r>
      <w:r w:rsidRPr="00710AA5">
        <w:rPr>
          <w:sz w:val="24"/>
          <w:szCs w:val="24"/>
        </w:rPr>
        <w:t xml:space="preserve"> 8(4):124-135.</w:t>
      </w:r>
    </w:p>
    <w:p w14:paraId="2B02B47B" w14:textId="7D5DE366" w:rsidR="00710AA5" w:rsidRDefault="00710AA5" w:rsidP="003F687D">
      <w:pPr>
        <w:spacing w:line="480" w:lineRule="auto"/>
        <w:rPr>
          <w:sz w:val="24"/>
          <w:szCs w:val="24"/>
        </w:rPr>
      </w:pPr>
      <w:r>
        <w:rPr>
          <w:sz w:val="24"/>
          <w:szCs w:val="24"/>
        </w:rPr>
        <w:t xml:space="preserve">Kirby, Peter. 2013. </w:t>
      </w:r>
      <w:r w:rsidRPr="00710AA5">
        <w:rPr>
          <w:i/>
          <w:sz w:val="24"/>
          <w:szCs w:val="24"/>
        </w:rPr>
        <w:t>Child workers and industrial health in Britain, 1750-1850</w:t>
      </w:r>
      <w:r>
        <w:rPr>
          <w:sz w:val="24"/>
          <w:szCs w:val="24"/>
        </w:rPr>
        <w:t>. Boydell Press, Woodbridge, UK.</w:t>
      </w:r>
    </w:p>
    <w:p w14:paraId="27BE95C5" w14:textId="4DB84495" w:rsidR="0058200B" w:rsidRPr="0058200B" w:rsidRDefault="0058200B" w:rsidP="0058200B">
      <w:pPr>
        <w:spacing w:line="480" w:lineRule="auto"/>
        <w:rPr>
          <w:sz w:val="24"/>
          <w:szCs w:val="24"/>
        </w:rPr>
      </w:pPr>
      <w:proofErr w:type="spellStart"/>
      <w:r w:rsidRPr="0058200B">
        <w:rPr>
          <w:sz w:val="24"/>
          <w:szCs w:val="24"/>
        </w:rPr>
        <w:t>Levene</w:t>
      </w:r>
      <w:proofErr w:type="spellEnd"/>
      <w:r w:rsidRPr="0058200B">
        <w:rPr>
          <w:sz w:val="24"/>
          <w:szCs w:val="24"/>
        </w:rPr>
        <w:t>, A</w:t>
      </w:r>
      <w:r>
        <w:rPr>
          <w:sz w:val="24"/>
          <w:szCs w:val="24"/>
        </w:rPr>
        <w:t xml:space="preserve">lysa. 2010. </w:t>
      </w:r>
      <w:r w:rsidRPr="0058200B">
        <w:rPr>
          <w:sz w:val="24"/>
          <w:szCs w:val="24"/>
        </w:rPr>
        <w:t>Parish apprenticeship</w:t>
      </w:r>
      <w:r>
        <w:rPr>
          <w:sz w:val="24"/>
          <w:szCs w:val="24"/>
        </w:rPr>
        <w:t xml:space="preserve"> and the old poor law in London.</w:t>
      </w:r>
      <w:r w:rsidRPr="0058200B">
        <w:rPr>
          <w:sz w:val="24"/>
          <w:szCs w:val="24"/>
        </w:rPr>
        <w:t xml:space="preserve"> </w:t>
      </w:r>
      <w:r w:rsidRPr="0058200B">
        <w:rPr>
          <w:i/>
          <w:sz w:val="24"/>
          <w:szCs w:val="24"/>
        </w:rPr>
        <w:t>Economic History Review</w:t>
      </w:r>
      <w:r w:rsidRPr="0058200B">
        <w:rPr>
          <w:sz w:val="24"/>
          <w:szCs w:val="24"/>
        </w:rPr>
        <w:t xml:space="preserve"> 63: 915-941</w:t>
      </w:r>
      <w:r>
        <w:rPr>
          <w:sz w:val="24"/>
          <w:szCs w:val="24"/>
        </w:rPr>
        <w:t>.</w:t>
      </w:r>
    </w:p>
    <w:p w14:paraId="2BC60D10" w14:textId="55A999B0" w:rsidR="003F687D" w:rsidRPr="003F687D" w:rsidRDefault="003F687D" w:rsidP="003F687D">
      <w:pPr>
        <w:spacing w:line="480" w:lineRule="auto"/>
        <w:rPr>
          <w:sz w:val="24"/>
          <w:szCs w:val="24"/>
        </w:rPr>
      </w:pPr>
      <w:r w:rsidRPr="003F687D">
        <w:rPr>
          <w:sz w:val="24"/>
          <w:szCs w:val="24"/>
        </w:rPr>
        <w:t>Lewis</w:t>
      </w:r>
      <w:r w:rsidR="009C1A6F">
        <w:rPr>
          <w:sz w:val="24"/>
          <w:szCs w:val="24"/>
        </w:rPr>
        <w:t>, Mary E.</w:t>
      </w:r>
      <w:r w:rsidRPr="003F687D">
        <w:rPr>
          <w:sz w:val="24"/>
          <w:szCs w:val="24"/>
        </w:rPr>
        <w:t xml:space="preserve"> 2002</w:t>
      </w:r>
      <w:r w:rsidR="009C1A6F">
        <w:rPr>
          <w:sz w:val="24"/>
          <w:szCs w:val="24"/>
        </w:rPr>
        <w:t>.</w:t>
      </w:r>
      <w:r w:rsidRPr="003F687D">
        <w:rPr>
          <w:sz w:val="24"/>
          <w:szCs w:val="24"/>
        </w:rPr>
        <w:t xml:space="preserve"> </w:t>
      </w:r>
      <w:r w:rsidRPr="006B3A75">
        <w:rPr>
          <w:i/>
          <w:sz w:val="24"/>
          <w:szCs w:val="24"/>
        </w:rPr>
        <w:t>Urbanisation and Child Health in Medieval and Post-Medieval England. An assessment of the morbidity and mortality of non-adult skeletons from the cemeteries of two urban and two rural sites in England (AD 850-1859).</w:t>
      </w:r>
      <w:r w:rsidRPr="003F687D">
        <w:rPr>
          <w:sz w:val="24"/>
          <w:szCs w:val="24"/>
        </w:rPr>
        <w:t xml:space="preserve"> BAR British Series. 339. </w:t>
      </w:r>
    </w:p>
    <w:p w14:paraId="67EFE65E" w14:textId="668C1976" w:rsidR="003F687D" w:rsidRPr="003F687D" w:rsidRDefault="003F687D" w:rsidP="003F687D">
      <w:pPr>
        <w:spacing w:line="480" w:lineRule="auto"/>
        <w:rPr>
          <w:sz w:val="24"/>
          <w:szCs w:val="24"/>
        </w:rPr>
      </w:pPr>
      <w:r w:rsidRPr="003F687D">
        <w:rPr>
          <w:sz w:val="24"/>
          <w:szCs w:val="24"/>
        </w:rPr>
        <w:t>Lewis</w:t>
      </w:r>
      <w:r w:rsidR="009C1A6F">
        <w:rPr>
          <w:sz w:val="24"/>
          <w:szCs w:val="24"/>
        </w:rPr>
        <w:t>,</w:t>
      </w:r>
      <w:r w:rsidRPr="003F687D">
        <w:rPr>
          <w:sz w:val="24"/>
          <w:szCs w:val="24"/>
        </w:rPr>
        <w:t xml:space="preserve"> M</w:t>
      </w:r>
      <w:r w:rsidR="009C1A6F">
        <w:rPr>
          <w:sz w:val="24"/>
          <w:szCs w:val="24"/>
        </w:rPr>
        <w:t>ary</w:t>
      </w:r>
      <w:r w:rsidRPr="003F687D">
        <w:rPr>
          <w:sz w:val="24"/>
          <w:szCs w:val="24"/>
        </w:rPr>
        <w:t xml:space="preserve">. 2004. Endocranial lesions in non-adult skeletons: understanding their aetiology. </w:t>
      </w:r>
      <w:r w:rsidRPr="006B3A75">
        <w:rPr>
          <w:i/>
          <w:sz w:val="24"/>
          <w:szCs w:val="24"/>
        </w:rPr>
        <w:t xml:space="preserve">International Journal of </w:t>
      </w:r>
      <w:r w:rsidR="00205DA0" w:rsidRPr="006B3A75">
        <w:rPr>
          <w:i/>
          <w:sz w:val="24"/>
          <w:szCs w:val="24"/>
        </w:rPr>
        <w:t>O</w:t>
      </w:r>
      <w:r w:rsidRPr="006B3A75">
        <w:rPr>
          <w:i/>
          <w:sz w:val="24"/>
          <w:szCs w:val="24"/>
        </w:rPr>
        <w:t>steoarchaeology</w:t>
      </w:r>
      <w:r w:rsidRPr="003F687D">
        <w:rPr>
          <w:sz w:val="24"/>
          <w:szCs w:val="24"/>
        </w:rPr>
        <w:t xml:space="preserve"> 14:82-97.</w:t>
      </w:r>
    </w:p>
    <w:p w14:paraId="79658FE4" w14:textId="04B19D81" w:rsidR="003F687D" w:rsidRPr="003F687D" w:rsidRDefault="003F687D" w:rsidP="003F687D">
      <w:pPr>
        <w:spacing w:line="480" w:lineRule="auto"/>
        <w:rPr>
          <w:sz w:val="24"/>
          <w:szCs w:val="24"/>
        </w:rPr>
      </w:pPr>
      <w:r w:rsidRPr="003F687D">
        <w:rPr>
          <w:sz w:val="24"/>
          <w:szCs w:val="24"/>
        </w:rPr>
        <w:t>Lewis</w:t>
      </w:r>
      <w:r w:rsidR="00205DA0">
        <w:rPr>
          <w:sz w:val="24"/>
          <w:szCs w:val="24"/>
        </w:rPr>
        <w:t>,</w:t>
      </w:r>
      <w:r w:rsidRPr="003F687D">
        <w:rPr>
          <w:sz w:val="24"/>
          <w:szCs w:val="24"/>
        </w:rPr>
        <w:t xml:space="preserve"> M</w:t>
      </w:r>
      <w:r w:rsidR="00205DA0">
        <w:rPr>
          <w:sz w:val="24"/>
          <w:szCs w:val="24"/>
        </w:rPr>
        <w:t xml:space="preserve">ary </w:t>
      </w:r>
      <w:r w:rsidRPr="003F687D">
        <w:rPr>
          <w:sz w:val="24"/>
          <w:szCs w:val="24"/>
        </w:rPr>
        <w:t>E</w:t>
      </w:r>
      <w:r w:rsidR="00205DA0">
        <w:rPr>
          <w:sz w:val="24"/>
          <w:szCs w:val="24"/>
        </w:rPr>
        <w:t>.</w:t>
      </w:r>
      <w:r w:rsidRPr="003F687D">
        <w:rPr>
          <w:sz w:val="24"/>
          <w:szCs w:val="24"/>
        </w:rPr>
        <w:t xml:space="preserve"> 2007</w:t>
      </w:r>
      <w:r w:rsidR="00205DA0">
        <w:rPr>
          <w:sz w:val="24"/>
          <w:szCs w:val="24"/>
        </w:rPr>
        <w:t>.</w:t>
      </w:r>
      <w:r w:rsidRPr="003F687D">
        <w:rPr>
          <w:sz w:val="24"/>
          <w:szCs w:val="24"/>
        </w:rPr>
        <w:t xml:space="preserve"> </w:t>
      </w:r>
      <w:r w:rsidRPr="003F687D">
        <w:rPr>
          <w:i/>
          <w:sz w:val="24"/>
          <w:szCs w:val="24"/>
        </w:rPr>
        <w:t>The bioarchaeology of children. Archaeological and forensic perspectives.</w:t>
      </w:r>
      <w:r w:rsidRPr="003F687D">
        <w:rPr>
          <w:sz w:val="24"/>
          <w:szCs w:val="24"/>
        </w:rPr>
        <w:t xml:space="preserve"> Cambridge University Press</w:t>
      </w:r>
      <w:r w:rsidR="00205DA0">
        <w:rPr>
          <w:sz w:val="24"/>
          <w:szCs w:val="24"/>
        </w:rPr>
        <w:t>, Cambridge.</w:t>
      </w:r>
    </w:p>
    <w:p w14:paraId="484E25AC" w14:textId="44A7928D" w:rsidR="003F687D" w:rsidRPr="003F687D" w:rsidRDefault="003F687D" w:rsidP="003F687D">
      <w:pPr>
        <w:spacing w:line="480" w:lineRule="auto"/>
        <w:rPr>
          <w:sz w:val="24"/>
          <w:szCs w:val="24"/>
        </w:rPr>
      </w:pPr>
      <w:r w:rsidRPr="006B3A75">
        <w:lastRenderedPageBreak/>
        <w:t>Lewis, M</w:t>
      </w:r>
      <w:r w:rsidR="00205DA0">
        <w:rPr>
          <w:bCs/>
          <w:sz w:val="24"/>
          <w:szCs w:val="24"/>
        </w:rPr>
        <w:t>ary</w:t>
      </w:r>
      <w:r w:rsidR="00205DA0">
        <w:rPr>
          <w:sz w:val="24"/>
          <w:szCs w:val="24"/>
        </w:rPr>
        <w:t xml:space="preserve">. </w:t>
      </w:r>
      <w:r w:rsidRPr="003F687D">
        <w:rPr>
          <w:sz w:val="24"/>
          <w:szCs w:val="24"/>
        </w:rPr>
        <w:t>2016</w:t>
      </w:r>
      <w:r w:rsidR="00205DA0">
        <w:rPr>
          <w:sz w:val="24"/>
          <w:szCs w:val="24"/>
        </w:rPr>
        <w:t>.</w:t>
      </w:r>
      <w:r w:rsidRPr="003F687D">
        <w:rPr>
          <w:sz w:val="24"/>
          <w:szCs w:val="24"/>
        </w:rPr>
        <w:t> </w:t>
      </w:r>
      <w:r w:rsidRPr="006B3A75">
        <w:t>Work and the adolescent in medieval England (AD 900-1550): the osteological evidence.</w:t>
      </w:r>
      <w:r w:rsidRPr="003F687D">
        <w:rPr>
          <w:sz w:val="24"/>
          <w:szCs w:val="24"/>
        </w:rPr>
        <w:t> </w:t>
      </w:r>
      <w:r w:rsidRPr="006B3A75">
        <w:rPr>
          <w:i/>
          <w:sz w:val="24"/>
          <w:szCs w:val="24"/>
        </w:rPr>
        <w:t>Medieval Archaeology</w:t>
      </w:r>
      <w:r w:rsidRPr="003F687D">
        <w:rPr>
          <w:sz w:val="24"/>
          <w:szCs w:val="24"/>
        </w:rPr>
        <w:t xml:space="preserve"> 60 (1)</w:t>
      </w:r>
      <w:r w:rsidR="00205DA0">
        <w:rPr>
          <w:sz w:val="24"/>
          <w:szCs w:val="24"/>
        </w:rPr>
        <w:t>:</w:t>
      </w:r>
      <w:r w:rsidRPr="003F687D">
        <w:rPr>
          <w:sz w:val="24"/>
          <w:szCs w:val="24"/>
        </w:rPr>
        <w:t xml:space="preserve">138-171. </w:t>
      </w:r>
    </w:p>
    <w:p w14:paraId="79081D75" w14:textId="77F71FCF" w:rsidR="003F687D" w:rsidRDefault="003F687D" w:rsidP="003F687D">
      <w:pPr>
        <w:spacing w:line="480" w:lineRule="auto"/>
        <w:rPr>
          <w:sz w:val="24"/>
          <w:szCs w:val="24"/>
          <w:lang w:val="en-US"/>
        </w:rPr>
      </w:pPr>
      <w:proofErr w:type="spellStart"/>
      <w:r w:rsidRPr="003F687D">
        <w:rPr>
          <w:sz w:val="24"/>
          <w:szCs w:val="24"/>
          <w:lang w:val="en-US"/>
        </w:rPr>
        <w:t>Maresh</w:t>
      </w:r>
      <w:proofErr w:type="spellEnd"/>
      <w:r w:rsidR="00205DA0">
        <w:rPr>
          <w:sz w:val="24"/>
          <w:szCs w:val="24"/>
          <w:lang w:val="en-US"/>
        </w:rPr>
        <w:t xml:space="preserve">, Marion M. </w:t>
      </w:r>
      <w:r w:rsidRPr="003F687D">
        <w:rPr>
          <w:sz w:val="24"/>
          <w:szCs w:val="24"/>
          <w:lang w:val="en-US"/>
        </w:rPr>
        <w:t>1955</w:t>
      </w:r>
      <w:r w:rsidR="00205DA0">
        <w:rPr>
          <w:sz w:val="24"/>
          <w:szCs w:val="24"/>
          <w:lang w:val="en-US"/>
        </w:rPr>
        <w:t>.</w:t>
      </w:r>
      <w:r w:rsidRPr="003F687D">
        <w:rPr>
          <w:sz w:val="24"/>
          <w:szCs w:val="24"/>
          <w:lang w:val="en-US"/>
        </w:rPr>
        <w:t xml:space="preserve"> Linear growth of long bones of extremities from infancy through adolescence; continuing studies. </w:t>
      </w:r>
      <w:r w:rsidRPr="006B3A75">
        <w:rPr>
          <w:i/>
          <w:iCs/>
          <w:sz w:val="24"/>
          <w:szCs w:val="24"/>
          <w:lang w:val="en-US"/>
        </w:rPr>
        <w:t>American Journal of Diseases in Children</w:t>
      </w:r>
      <w:r w:rsidRPr="003F687D">
        <w:rPr>
          <w:i/>
          <w:iCs/>
          <w:sz w:val="24"/>
          <w:szCs w:val="24"/>
          <w:lang w:val="en-US"/>
        </w:rPr>
        <w:t xml:space="preserve"> </w:t>
      </w:r>
      <w:r w:rsidRPr="003F687D">
        <w:rPr>
          <w:sz w:val="24"/>
          <w:szCs w:val="24"/>
          <w:lang w:val="en-US"/>
        </w:rPr>
        <w:t>89(6):725- 742.</w:t>
      </w:r>
    </w:p>
    <w:p w14:paraId="475F19E0" w14:textId="5ECED651" w:rsidR="003F687D" w:rsidRPr="003F687D" w:rsidRDefault="003F687D" w:rsidP="003F687D">
      <w:pPr>
        <w:spacing w:line="480" w:lineRule="auto"/>
        <w:rPr>
          <w:sz w:val="24"/>
          <w:szCs w:val="24"/>
          <w:lang w:val="en-US"/>
        </w:rPr>
      </w:pPr>
      <w:r w:rsidRPr="003F687D">
        <w:rPr>
          <w:sz w:val="24"/>
          <w:szCs w:val="24"/>
          <w:lang w:val="en-US"/>
        </w:rPr>
        <w:t>Marmot</w:t>
      </w:r>
      <w:r w:rsidR="00205DA0">
        <w:rPr>
          <w:sz w:val="24"/>
          <w:szCs w:val="24"/>
          <w:lang w:val="en-US"/>
        </w:rPr>
        <w:t>,</w:t>
      </w:r>
      <w:r w:rsidRPr="003F687D">
        <w:rPr>
          <w:sz w:val="24"/>
          <w:szCs w:val="24"/>
          <w:lang w:val="en-US"/>
        </w:rPr>
        <w:t xml:space="preserve"> M</w:t>
      </w:r>
      <w:r w:rsidR="00205DA0">
        <w:rPr>
          <w:sz w:val="24"/>
          <w:szCs w:val="24"/>
          <w:lang w:val="en-US"/>
        </w:rPr>
        <w:t>ichael,</w:t>
      </w:r>
      <w:r w:rsidRPr="003F687D">
        <w:rPr>
          <w:sz w:val="24"/>
          <w:szCs w:val="24"/>
          <w:lang w:val="en-US"/>
        </w:rPr>
        <w:t xml:space="preserve"> and </w:t>
      </w:r>
      <w:r w:rsidR="00205DA0">
        <w:rPr>
          <w:sz w:val="24"/>
          <w:szCs w:val="24"/>
          <w:lang w:val="en-US"/>
        </w:rPr>
        <w:t xml:space="preserve">Richard G. </w:t>
      </w:r>
      <w:r w:rsidRPr="003F687D">
        <w:rPr>
          <w:sz w:val="24"/>
          <w:szCs w:val="24"/>
          <w:lang w:val="en-US"/>
        </w:rPr>
        <w:t>Wilkinson</w:t>
      </w:r>
      <w:r w:rsidR="00205DA0">
        <w:rPr>
          <w:sz w:val="24"/>
          <w:szCs w:val="24"/>
          <w:lang w:val="en-US"/>
        </w:rPr>
        <w:t>.</w:t>
      </w:r>
      <w:r w:rsidRPr="003F687D">
        <w:rPr>
          <w:sz w:val="24"/>
          <w:szCs w:val="24"/>
          <w:lang w:val="en-US"/>
        </w:rPr>
        <w:t xml:space="preserve"> 2006</w:t>
      </w:r>
      <w:r w:rsidR="00205DA0">
        <w:rPr>
          <w:sz w:val="24"/>
          <w:szCs w:val="24"/>
          <w:lang w:val="en-US"/>
        </w:rPr>
        <w:t>.</w:t>
      </w:r>
      <w:r w:rsidRPr="003F687D">
        <w:rPr>
          <w:sz w:val="24"/>
          <w:szCs w:val="24"/>
          <w:lang w:val="en-US"/>
        </w:rPr>
        <w:t xml:space="preserve"> </w:t>
      </w:r>
      <w:r w:rsidRPr="003F687D">
        <w:rPr>
          <w:i/>
          <w:sz w:val="24"/>
          <w:szCs w:val="24"/>
          <w:lang w:val="en-US"/>
        </w:rPr>
        <w:t>Social determinants of health</w:t>
      </w:r>
      <w:r w:rsidRPr="003F687D">
        <w:rPr>
          <w:sz w:val="24"/>
          <w:szCs w:val="24"/>
          <w:lang w:val="en-US"/>
        </w:rPr>
        <w:t>. 2</w:t>
      </w:r>
      <w:r w:rsidRPr="003F687D">
        <w:rPr>
          <w:sz w:val="24"/>
          <w:szCs w:val="24"/>
          <w:vertAlign w:val="superscript"/>
          <w:lang w:val="en-US"/>
        </w:rPr>
        <w:t>nd</w:t>
      </w:r>
      <w:r w:rsidRPr="003F687D">
        <w:rPr>
          <w:sz w:val="24"/>
          <w:szCs w:val="24"/>
          <w:lang w:val="en-US"/>
        </w:rPr>
        <w:t xml:space="preserve"> Edition. Oxford University Press</w:t>
      </w:r>
      <w:r w:rsidR="00205DA0">
        <w:rPr>
          <w:sz w:val="24"/>
          <w:szCs w:val="24"/>
          <w:lang w:val="en-US"/>
        </w:rPr>
        <w:t>, Oxford.</w:t>
      </w:r>
    </w:p>
    <w:p w14:paraId="42922B12" w14:textId="330EF82B" w:rsidR="003F687D" w:rsidRPr="003F687D" w:rsidRDefault="003F687D" w:rsidP="003F687D">
      <w:pPr>
        <w:spacing w:line="480" w:lineRule="auto"/>
        <w:rPr>
          <w:sz w:val="24"/>
          <w:szCs w:val="24"/>
          <w:lang w:val="en-US"/>
        </w:rPr>
      </w:pPr>
      <w:r w:rsidRPr="003F687D">
        <w:rPr>
          <w:sz w:val="24"/>
          <w:szCs w:val="24"/>
          <w:lang w:val="en-US"/>
        </w:rPr>
        <w:t>Matos</w:t>
      </w:r>
      <w:r w:rsidR="0029151E">
        <w:rPr>
          <w:sz w:val="24"/>
          <w:szCs w:val="24"/>
          <w:lang w:val="en-US"/>
        </w:rPr>
        <w:t xml:space="preserve">, </w:t>
      </w:r>
      <w:proofErr w:type="spellStart"/>
      <w:r w:rsidR="0029151E">
        <w:rPr>
          <w:sz w:val="24"/>
          <w:szCs w:val="24"/>
          <w:lang w:val="en-US"/>
        </w:rPr>
        <w:t>Vitor</w:t>
      </w:r>
      <w:proofErr w:type="spellEnd"/>
      <w:r w:rsidR="0029151E">
        <w:rPr>
          <w:sz w:val="24"/>
          <w:szCs w:val="24"/>
          <w:lang w:val="en-US"/>
        </w:rPr>
        <w:t>,</w:t>
      </w:r>
      <w:r w:rsidRPr="003F687D">
        <w:rPr>
          <w:sz w:val="24"/>
          <w:szCs w:val="24"/>
          <w:lang w:val="en-US"/>
        </w:rPr>
        <w:t xml:space="preserve"> and </w:t>
      </w:r>
      <w:r w:rsidR="0029151E">
        <w:rPr>
          <w:sz w:val="24"/>
          <w:szCs w:val="24"/>
          <w:lang w:val="en-US"/>
        </w:rPr>
        <w:t xml:space="preserve">Ana Luísa </w:t>
      </w:r>
      <w:r w:rsidRPr="003F687D">
        <w:rPr>
          <w:sz w:val="24"/>
          <w:szCs w:val="24"/>
          <w:lang w:val="en-US"/>
        </w:rPr>
        <w:t xml:space="preserve">Santos. 2006. </w:t>
      </w:r>
      <w:r w:rsidRPr="003F687D">
        <w:rPr>
          <w:bCs/>
          <w:sz w:val="24"/>
          <w:szCs w:val="24"/>
        </w:rPr>
        <w:t xml:space="preserve">On the trail of pulmonary tuberculosis based on rib lesions: results from the Human Identified Skeletal Collection from the </w:t>
      </w:r>
      <w:proofErr w:type="spellStart"/>
      <w:r w:rsidRPr="003F687D">
        <w:rPr>
          <w:bCs/>
          <w:sz w:val="24"/>
          <w:szCs w:val="24"/>
        </w:rPr>
        <w:t>Museu</w:t>
      </w:r>
      <w:proofErr w:type="spellEnd"/>
      <w:r w:rsidRPr="003F687D">
        <w:rPr>
          <w:bCs/>
          <w:sz w:val="24"/>
          <w:szCs w:val="24"/>
        </w:rPr>
        <w:t xml:space="preserve"> Bocage (Lisbon, Portugal). </w:t>
      </w:r>
      <w:r w:rsidRPr="006B3A75">
        <w:rPr>
          <w:bCs/>
          <w:i/>
          <w:sz w:val="24"/>
          <w:szCs w:val="24"/>
        </w:rPr>
        <w:t>American Journal of Physical Anthr</w:t>
      </w:r>
      <w:r w:rsidRPr="003F687D">
        <w:rPr>
          <w:bCs/>
          <w:sz w:val="24"/>
          <w:szCs w:val="24"/>
        </w:rPr>
        <w:t>opology 130</w:t>
      </w:r>
      <w:r w:rsidR="0029151E">
        <w:rPr>
          <w:bCs/>
          <w:sz w:val="24"/>
          <w:szCs w:val="24"/>
        </w:rPr>
        <w:t>:</w:t>
      </w:r>
      <w:r w:rsidRPr="003F687D">
        <w:rPr>
          <w:bCs/>
          <w:sz w:val="24"/>
          <w:szCs w:val="24"/>
        </w:rPr>
        <w:t>190-200.</w:t>
      </w:r>
    </w:p>
    <w:p w14:paraId="12F0C260" w14:textId="43C3E234" w:rsidR="003F687D" w:rsidRPr="003F687D" w:rsidRDefault="003F687D" w:rsidP="003F687D">
      <w:pPr>
        <w:spacing w:line="480" w:lineRule="auto"/>
        <w:rPr>
          <w:sz w:val="24"/>
          <w:szCs w:val="24"/>
          <w:lang w:val="en-US"/>
        </w:rPr>
      </w:pPr>
      <w:r w:rsidRPr="003F687D">
        <w:rPr>
          <w:sz w:val="24"/>
          <w:szCs w:val="24"/>
          <w:lang w:val="en-US"/>
        </w:rPr>
        <w:t>Mays</w:t>
      </w:r>
      <w:r w:rsidR="00656DDA">
        <w:rPr>
          <w:sz w:val="24"/>
          <w:szCs w:val="24"/>
          <w:lang w:val="en-US"/>
        </w:rPr>
        <w:t>, Simon, Megan</w:t>
      </w:r>
      <w:r w:rsidRPr="003F687D">
        <w:rPr>
          <w:sz w:val="24"/>
          <w:szCs w:val="24"/>
          <w:lang w:val="en-US"/>
        </w:rPr>
        <w:t xml:space="preserve"> </w:t>
      </w:r>
      <w:proofErr w:type="spellStart"/>
      <w:r w:rsidRPr="003F687D">
        <w:rPr>
          <w:sz w:val="24"/>
          <w:szCs w:val="24"/>
          <w:lang w:val="en-US"/>
        </w:rPr>
        <w:t>Brickley</w:t>
      </w:r>
      <w:proofErr w:type="spellEnd"/>
      <w:r w:rsidR="00656DDA">
        <w:rPr>
          <w:sz w:val="24"/>
          <w:szCs w:val="24"/>
          <w:lang w:val="en-US"/>
        </w:rPr>
        <w:t xml:space="preserve">, Rachel </w:t>
      </w:r>
      <w:r w:rsidRPr="003F687D">
        <w:rPr>
          <w:sz w:val="24"/>
          <w:szCs w:val="24"/>
          <w:lang w:val="en-US"/>
        </w:rPr>
        <w:t>Ives</w:t>
      </w:r>
      <w:r w:rsidR="00656DDA">
        <w:rPr>
          <w:sz w:val="24"/>
          <w:szCs w:val="24"/>
          <w:lang w:val="en-US"/>
        </w:rPr>
        <w:t xml:space="preserve">. </w:t>
      </w:r>
      <w:r w:rsidRPr="003F687D">
        <w:rPr>
          <w:sz w:val="24"/>
          <w:szCs w:val="24"/>
          <w:lang w:val="en-US"/>
        </w:rPr>
        <w:t>2006</w:t>
      </w:r>
      <w:r w:rsidR="00656DDA">
        <w:rPr>
          <w:sz w:val="24"/>
          <w:szCs w:val="24"/>
          <w:lang w:val="en-US"/>
        </w:rPr>
        <w:t>.</w:t>
      </w:r>
      <w:r w:rsidRPr="003F687D">
        <w:rPr>
          <w:sz w:val="24"/>
          <w:szCs w:val="24"/>
          <w:lang w:val="en-US"/>
        </w:rPr>
        <w:t xml:space="preserve"> Skeletal Manifestations of Rickets in Infants and Young Chi</w:t>
      </w:r>
      <w:r w:rsidR="000759DD">
        <w:rPr>
          <w:sz w:val="24"/>
          <w:szCs w:val="24"/>
          <w:lang w:val="en-US"/>
        </w:rPr>
        <w:t>ldren in a Historic Population f</w:t>
      </w:r>
      <w:r w:rsidRPr="003F687D">
        <w:rPr>
          <w:sz w:val="24"/>
          <w:szCs w:val="24"/>
          <w:lang w:val="en-US"/>
        </w:rPr>
        <w:t xml:space="preserve">rom England. </w:t>
      </w:r>
      <w:r w:rsidRPr="006B3A75">
        <w:rPr>
          <w:i/>
          <w:iCs/>
          <w:sz w:val="24"/>
          <w:szCs w:val="24"/>
          <w:lang w:val="en-US"/>
        </w:rPr>
        <w:t>American Journal of Physical Anthropology</w:t>
      </w:r>
      <w:r w:rsidRPr="00656DDA">
        <w:rPr>
          <w:i/>
          <w:iCs/>
          <w:sz w:val="24"/>
          <w:szCs w:val="24"/>
          <w:lang w:val="en-US"/>
        </w:rPr>
        <w:t xml:space="preserve"> </w:t>
      </w:r>
      <w:r w:rsidRPr="003F687D">
        <w:rPr>
          <w:sz w:val="24"/>
          <w:szCs w:val="24"/>
          <w:lang w:val="en-US"/>
        </w:rPr>
        <w:t>129:362–374.</w:t>
      </w:r>
    </w:p>
    <w:p w14:paraId="395DA3C2" w14:textId="47C208F2" w:rsidR="003F687D" w:rsidRPr="003F687D" w:rsidRDefault="003F687D" w:rsidP="003F687D">
      <w:pPr>
        <w:spacing w:line="480" w:lineRule="auto"/>
        <w:rPr>
          <w:sz w:val="24"/>
          <w:szCs w:val="24"/>
          <w:lang w:val="en-US"/>
        </w:rPr>
      </w:pPr>
      <w:r w:rsidRPr="003F687D">
        <w:rPr>
          <w:sz w:val="24"/>
          <w:szCs w:val="24"/>
          <w:lang w:val="en-US"/>
        </w:rPr>
        <w:t>Mays</w:t>
      </w:r>
      <w:r w:rsidR="00656DDA">
        <w:rPr>
          <w:sz w:val="24"/>
          <w:szCs w:val="24"/>
          <w:lang w:val="en-US"/>
        </w:rPr>
        <w:t>,</w:t>
      </w:r>
      <w:r w:rsidRPr="003F687D">
        <w:rPr>
          <w:sz w:val="24"/>
          <w:szCs w:val="24"/>
          <w:lang w:val="en-US"/>
        </w:rPr>
        <w:t xml:space="preserve"> S</w:t>
      </w:r>
      <w:r w:rsidR="00656DDA">
        <w:rPr>
          <w:sz w:val="24"/>
          <w:szCs w:val="24"/>
          <w:lang w:val="en-US"/>
        </w:rPr>
        <w:t>imon</w:t>
      </w:r>
      <w:r w:rsidRPr="003F687D">
        <w:rPr>
          <w:sz w:val="24"/>
          <w:szCs w:val="24"/>
          <w:lang w:val="en-US"/>
        </w:rPr>
        <w:t xml:space="preserve">, </w:t>
      </w:r>
      <w:r w:rsidR="00656DDA">
        <w:rPr>
          <w:sz w:val="24"/>
          <w:szCs w:val="24"/>
          <w:lang w:val="en-US"/>
        </w:rPr>
        <w:t xml:space="preserve">Megan </w:t>
      </w:r>
      <w:proofErr w:type="spellStart"/>
      <w:r w:rsidRPr="003F687D">
        <w:rPr>
          <w:sz w:val="24"/>
          <w:szCs w:val="24"/>
          <w:lang w:val="en-US"/>
        </w:rPr>
        <w:t>Brickley</w:t>
      </w:r>
      <w:proofErr w:type="spellEnd"/>
      <w:r w:rsidR="00656DDA">
        <w:rPr>
          <w:sz w:val="24"/>
          <w:szCs w:val="24"/>
          <w:lang w:val="en-US"/>
        </w:rPr>
        <w:t>, Rachel</w:t>
      </w:r>
      <w:r w:rsidRPr="003F687D">
        <w:rPr>
          <w:sz w:val="24"/>
          <w:szCs w:val="24"/>
          <w:lang w:val="en-US"/>
        </w:rPr>
        <w:t xml:space="preserve"> Ives</w:t>
      </w:r>
      <w:r w:rsidR="00656DDA">
        <w:rPr>
          <w:sz w:val="24"/>
          <w:szCs w:val="24"/>
          <w:lang w:val="en-US"/>
        </w:rPr>
        <w:t xml:space="preserve">. </w:t>
      </w:r>
      <w:r w:rsidRPr="003F687D">
        <w:rPr>
          <w:sz w:val="24"/>
          <w:szCs w:val="24"/>
          <w:lang w:val="en-US"/>
        </w:rPr>
        <w:t>2008</w:t>
      </w:r>
      <w:r w:rsidR="00656DDA">
        <w:rPr>
          <w:sz w:val="24"/>
          <w:szCs w:val="24"/>
          <w:lang w:val="en-US"/>
        </w:rPr>
        <w:t>.</w:t>
      </w:r>
      <w:r w:rsidRPr="003F687D">
        <w:rPr>
          <w:sz w:val="24"/>
          <w:szCs w:val="24"/>
          <w:lang w:val="en-US"/>
        </w:rPr>
        <w:t xml:space="preserve"> G</w:t>
      </w:r>
      <w:r w:rsidR="000759DD">
        <w:rPr>
          <w:sz w:val="24"/>
          <w:szCs w:val="24"/>
          <w:lang w:val="en-US"/>
        </w:rPr>
        <w:t>rowth in an English Population f</w:t>
      </w:r>
      <w:r w:rsidRPr="003F687D">
        <w:rPr>
          <w:sz w:val="24"/>
          <w:szCs w:val="24"/>
          <w:lang w:val="en-US"/>
        </w:rPr>
        <w:t xml:space="preserve">rom the Industrial Revolution. </w:t>
      </w:r>
      <w:r w:rsidRPr="006B3A75">
        <w:rPr>
          <w:i/>
          <w:iCs/>
          <w:sz w:val="24"/>
          <w:szCs w:val="24"/>
          <w:lang w:val="en-US"/>
        </w:rPr>
        <w:t>American Journal of Physical Anthropology</w:t>
      </w:r>
      <w:r w:rsidRPr="003F687D">
        <w:rPr>
          <w:i/>
          <w:iCs/>
          <w:sz w:val="24"/>
          <w:szCs w:val="24"/>
          <w:lang w:val="en-US"/>
        </w:rPr>
        <w:t xml:space="preserve"> </w:t>
      </w:r>
      <w:r w:rsidRPr="003F687D">
        <w:rPr>
          <w:sz w:val="24"/>
          <w:szCs w:val="24"/>
          <w:lang w:val="en-US"/>
        </w:rPr>
        <w:t>136:85-92.</w:t>
      </w:r>
    </w:p>
    <w:p w14:paraId="5860285F" w14:textId="534AE8E8" w:rsidR="003F687D" w:rsidRPr="003F687D" w:rsidRDefault="003F687D" w:rsidP="003F687D">
      <w:pPr>
        <w:spacing w:line="480" w:lineRule="auto"/>
        <w:rPr>
          <w:sz w:val="24"/>
          <w:szCs w:val="24"/>
          <w:lang w:val="en-US"/>
        </w:rPr>
      </w:pPr>
      <w:r w:rsidRPr="003F687D">
        <w:rPr>
          <w:sz w:val="24"/>
          <w:szCs w:val="24"/>
          <w:lang w:val="en-US"/>
        </w:rPr>
        <w:t>Mays</w:t>
      </w:r>
      <w:r w:rsidR="00656DDA">
        <w:rPr>
          <w:sz w:val="24"/>
          <w:szCs w:val="24"/>
          <w:lang w:val="en-US"/>
        </w:rPr>
        <w:t>,</w:t>
      </w:r>
      <w:r w:rsidRPr="003F687D">
        <w:rPr>
          <w:sz w:val="24"/>
          <w:szCs w:val="24"/>
          <w:lang w:val="en-US"/>
        </w:rPr>
        <w:t xml:space="preserve"> S</w:t>
      </w:r>
      <w:r w:rsidR="00656DDA">
        <w:rPr>
          <w:sz w:val="24"/>
          <w:szCs w:val="24"/>
          <w:lang w:val="en-US"/>
        </w:rPr>
        <w:t>imon</w:t>
      </w:r>
      <w:r w:rsidRPr="003F687D">
        <w:rPr>
          <w:sz w:val="24"/>
          <w:szCs w:val="24"/>
          <w:lang w:val="en-US"/>
        </w:rPr>
        <w:t>,</w:t>
      </w:r>
      <w:r w:rsidR="00656DDA">
        <w:rPr>
          <w:sz w:val="24"/>
          <w:szCs w:val="24"/>
          <w:lang w:val="en-US"/>
        </w:rPr>
        <w:t xml:space="preserve"> Rachel</w:t>
      </w:r>
      <w:r w:rsidRPr="003F687D">
        <w:rPr>
          <w:sz w:val="24"/>
          <w:szCs w:val="24"/>
          <w:lang w:val="en-US"/>
        </w:rPr>
        <w:t xml:space="preserve"> Ives</w:t>
      </w:r>
      <w:r w:rsidR="00656DDA">
        <w:rPr>
          <w:sz w:val="24"/>
          <w:szCs w:val="24"/>
          <w:lang w:val="en-US"/>
        </w:rPr>
        <w:t xml:space="preserve">, and Megan </w:t>
      </w:r>
      <w:proofErr w:type="spellStart"/>
      <w:r w:rsidR="00656DDA">
        <w:rPr>
          <w:sz w:val="24"/>
          <w:szCs w:val="24"/>
          <w:lang w:val="en-US"/>
        </w:rPr>
        <w:t>Brickley</w:t>
      </w:r>
      <w:proofErr w:type="spellEnd"/>
      <w:r w:rsidR="00656DDA">
        <w:rPr>
          <w:sz w:val="24"/>
          <w:szCs w:val="24"/>
          <w:lang w:val="en-US"/>
        </w:rPr>
        <w:t xml:space="preserve">. </w:t>
      </w:r>
      <w:r w:rsidRPr="003F687D">
        <w:rPr>
          <w:sz w:val="24"/>
          <w:szCs w:val="24"/>
          <w:lang w:val="en-US"/>
        </w:rPr>
        <w:t>2009</w:t>
      </w:r>
      <w:r w:rsidR="00656DDA">
        <w:rPr>
          <w:sz w:val="24"/>
          <w:szCs w:val="24"/>
          <w:lang w:val="en-US"/>
        </w:rPr>
        <w:t>.</w:t>
      </w:r>
      <w:r w:rsidRPr="003F687D">
        <w:rPr>
          <w:sz w:val="24"/>
          <w:szCs w:val="24"/>
          <w:lang w:val="en-US"/>
        </w:rPr>
        <w:t xml:space="preserve"> The Effects of Socioeconomic Status on Endochondral and Appositional Bone Growth, and Acquisitio</w:t>
      </w:r>
      <w:r w:rsidR="000759DD">
        <w:rPr>
          <w:sz w:val="24"/>
          <w:szCs w:val="24"/>
          <w:lang w:val="en-US"/>
        </w:rPr>
        <w:t>n of Cortical Bone in Children f</w:t>
      </w:r>
      <w:r w:rsidRPr="003F687D">
        <w:rPr>
          <w:sz w:val="24"/>
          <w:szCs w:val="24"/>
          <w:lang w:val="en-US"/>
        </w:rPr>
        <w:t xml:space="preserve">rom 19th Century Birmingham, England. </w:t>
      </w:r>
      <w:r w:rsidRPr="006B3A75">
        <w:rPr>
          <w:i/>
          <w:iCs/>
          <w:sz w:val="24"/>
          <w:szCs w:val="24"/>
          <w:lang w:val="en-US"/>
        </w:rPr>
        <w:t>American Journal of Physical Anthropology</w:t>
      </w:r>
      <w:r w:rsidRPr="003F687D">
        <w:rPr>
          <w:iCs/>
          <w:sz w:val="24"/>
          <w:szCs w:val="24"/>
          <w:lang w:val="en-US"/>
        </w:rPr>
        <w:t xml:space="preserve"> </w:t>
      </w:r>
      <w:r w:rsidRPr="003F687D">
        <w:rPr>
          <w:sz w:val="24"/>
          <w:szCs w:val="24"/>
          <w:lang w:val="en-US"/>
        </w:rPr>
        <w:t>140:410-416.</w:t>
      </w:r>
    </w:p>
    <w:p w14:paraId="7BF9B367" w14:textId="204A2105" w:rsidR="003F687D" w:rsidRPr="003F687D" w:rsidRDefault="003F687D" w:rsidP="003F687D">
      <w:pPr>
        <w:spacing w:line="480" w:lineRule="auto"/>
        <w:rPr>
          <w:sz w:val="24"/>
          <w:szCs w:val="24"/>
        </w:rPr>
      </w:pPr>
      <w:proofErr w:type="spellStart"/>
      <w:r w:rsidRPr="003F687D">
        <w:rPr>
          <w:sz w:val="24"/>
          <w:szCs w:val="24"/>
        </w:rPr>
        <w:t>Moorrees</w:t>
      </w:r>
      <w:proofErr w:type="spellEnd"/>
      <w:r w:rsidRPr="003F687D">
        <w:rPr>
          <w:sz w:val="24"/>
          <w:szCs w:val="24"/>
        </w:rPr>
        <w:t>, C</w:t>
      </w:r>
      <w:r w:rsidR="00656DDA">
        <w:rPr>
          <w:sz w:val="24"/>
          <w:szCs w:val="24"/>
        </w:rPr>
        <w:t>oenraad F.A., Elizabeth A.</w:t>
      </w:r>
      <w:r w:rsidRPr="003F687D">
        <w:rPr>
          <w:sz w:val="24"/>
          <w:szCs w:val="24"/>
        </w:rPr>
        <w:t xml:space="preserve"> Fanning, </w:t>
      </w:r>
      <w:r w:rsidR="00656DDA">
        <w:rPr>
          <w:sz w:val="24"/>
          <w:szCs w:val="24"/>
        </w:rPr>
        <w:t>and Edward E. Hunt Jr</w:t>
      </w:r>
      <w:r w:rsidRPr="003F687D">
        <w:rPr>
          <w:sz w:val="24"/>
          <w:szCs w:val="24"/>
        </w:rPr>
        <w:t xml:space="preserve">.  1963a. Formation and resorption of three deciduous teeth in children. </w:t>
      </w:r>
      <w:r w:rsidRPr="003F687D">
        <w:rPr>
          <w:i/>
          <w:iCs/>
          <w:sz w:val="24"/>
          <w:szCs w:val="24"/>
        </w:rPr>
        <w:t>American Journal of Physical Anthropology</w:t>
      </w:r>
      <w:r w:rsidRPr="003F687D">
        <w:rPr>
          <w:sz w:val="24"/>
          <w:szCs w:val="24"/>
        </w:rPr>
        <w:t xml:space="preserve"> </w:t>
      </w:r>
      <w:r w:rsidRPr="006B3A75">
        <w:rPr>
          <w:bCs/>
          <w:sz w:val="24"/>
          <w:szCs w:val="24"/>
        </w:rPr>
        <w:t>21</w:t>
      </w:r>
      <w:r w:rsidRPr="00656DDA">
        <w:rPr>
          <w:sz w:val="24"/>
          <w:szCs w:val="24"/>
        </w:rPr>
        <w:t>:</w:t>
      </w:r>
      <w:r w:rsidRPr="003F687D">
        <w:rPr>
          <w:sz w:val="24"/>
          <w:szCs w:val="24"/>
        </w:rPr>
        <w:t>205-213.</w:t>
      </w:r>
    </w:p>
    <w:p w14:paraId="35647007" w14:textId="5EDE8B4C" w:rsidR="003F687D" w:rsidRPr="003F687D" w:rsidRDefault="003F687D" w:rsidP="003F687D">
      <w:pPr>
        <w:spacing w:line="480" w:lineRule="auto"/>
        <w:rPr>
          <w:sz w:val="24"/>
          <w:szCs w:val="24"/>
        </w:rPr>
      </w:pPr>
      <w:proofErr w:type="spellStart"/>
      <w:r w:rsidRPr="003F687D">
        <w:rPr>
          <w:sz w:val="24"/>
          <w:szCs w:val="24"/>
        </w:rPr>
        <w:lastRenderedPageBreak/>
        <w:t>Moorrees</w:t>
      </w:r>
      <w:proofErr w:type="spellEnd"/>
      <w:r w:rsidRPr="003F687D">
        <w:rPr>
          <w:sz w:val="24"/>
          <w:szCs w:val="24"/>
        </w:rPr>
        <w:t>, C</w:t>
      </w:r>
      <w:r w:rsidR="000759DD">
        <w:rPr>
          <w:sz w:val="24"/>
          <w:szCs w:val="24"/>
        </w:rPr>
        <w:t xml:space="preserve">oenraad F. </w:t>
      </w:r>
      <w:r w:rsidR="00710AA5">
        <w:rPr>
          <w:sz w:val="24"/>
          <w:szCs w:val="24"/>
        </w:rPr>
        <w:t>A,</w:t>
      </w:r>
      <w:r w:rsidR="00656DDA">
        <w:rPr>
          <w:sz w:val="24"/>
          <w:szCs w:val="24"/>
        </w:rPr>
        <w:t xml:space="preserve"> Elizabeth A,</w:t>
      </w:r>
      <w:r w:rsidRPr="003F687D">
        <w:rPr>
          <w:sz w:val="24"/>
          <w:szCs w:val="24"/>
        </w:rPr>
        <w:t xml:space="preserve"> Fanning, </w:t>
      </w:r>
      <w:r w:rsidR="00656DDA">
        <w:rPr>
          <w:sz w:val="24"/>
          <w:szCs w:val="24"/>
        </w:rPr>
        <w:t>and Edward E. Hunt Jr</w:t>
      </w:r>
      <w:r w:rsidRPr="003F687D">
        <w:rPr>
          <w:sz w:val="24"/>
          <w:szCs w:val="24"/>
        </w:rPr>
        <w:t xml:space="preserve">.  </w:t>
      </w:r>
      <w:r w:rsidR="000759DD">
        <w:rPr>
          <w:sz w:val="24"/>
          <w:szCs w:val="24"/>
        </w:rPr>
        <w:t xml:space="preserve">1963b. </w:t>
      </w:r>
      <w:r w:rsidRPr="003F687D">
        <w:rPr>
          <w:sz w:val="24"/>
          <w:szCs w:val="24"/>
        </w:rPr>
        <w:t xml:space="preserve">Age variation of formation stages for </w:t>
      </w:r>
      <w:proofErr w:type="spellStart"/>
      <w:r w:rsidRPr="003F687D">
        <w:rPr>
          <w:sz w:val="24"/>
          <w:szCs w:val="24"/>
        </w:rPr>
        <w:t>tenpermanent</w:t>
      </w:r>
      <w:proofErr w:type="spellEnd"/>
      <w:r w:rsidRPr="003F687D">
        <w:rPr>
          <w:sz w:val="24"/>
          <w:szCs w:val="24"/>
        </w:rPr>
        <w:t xml:space="preserve"> teeth</w:t>
      </w:r>
      <w:r w:rsidRPr="003F687D">
        <w:rPr>
          <w:i/>
          <w:iCs/>
          <w:sz w:val="24"/>
          <w:szCs w:val="24"/>
        </w:rPr>
        <w:t>. Journal of Dental Research</w:t>
      </w:r>
      <w:r w:rsidRPr="003F687D">
        <w:rPr>
          <w:sz w:val="24"/>
          <w:szCs w:val="24"/>
        </w:rPr>
        <w:t xml:space="preserve"> </w:t>
      </w:r>
      <w:r w:rsidRPr="006B3A75">
        <w:rPr>
          <w:bCs/>
          <w:sz w:val="24"/>
          <w:szCs w:val="24"/>
        </w:rPr>
        <w:t>42</w:t>
      </w:r>
      <w:r w:rsidRPr="003F687D">
        <w:rPr>
          <w:sz w:val="24"/>
          <w:szCs w:val="24"/>
        </w:rPr>
        <w:t>:1490-1502.</w:t>
      </w:r>
    </w:p>
    <w:p w14:paraId="692A8EE3" w14:textId="4EF4612C" w:rsidR="003F687D" w:rsidRPr="003F687D" w:rsidRDefault="003F687D" w:rsidP="003F687D">
      <w:pPr>
        <w:spacing w:line="480" w:lineRule="auto"/>
        <w:rPr>
          <w:sz w:val="24"/>
          <w:szCs w:val="24"/>
          <w:lang w:val="en-US"/>
        </w:rPr>
      </w:pPr>
      <w:r w:rsidRPr="003F687D">
        <w:rPr>
          <w:iCs/>
          <w:sz w:val="24"/>
          <w:szCs w:val="24"/>
        </w:rPr>
        <w:t>Newman, S</w:t>
      </w:r>
      <w:r w:rsidR="00656DDA">
        <w:rPr>
          <w:iCs/>
          <w:sz w:val="24"/>
          <w:szCs w:val="24"/>
        </w:rPr>
        <w:t>ophie L.,</w:t>
      </w:r>
      <w:r w:rsidRPr="003F687D">
        <w:rPr>
          <w:iCs/>
          <w:sz w:val="24"/>
          <w:szCs w:val="24"/>
        </w:rPr>
        <w:t xml:space="preserve"> and </w:t>
      </w:r>
      <w:r w:rsidR="00656DDA">
        <w:rPr>
          <w:iCs/>
          <w:sz w:val="24"/>
          <w:szCs w:val="24"/>
        </w:rPr>
        <w:t xml:space="preserve">Rebecca L. </w:t>
      </w:r>
      <w:r w:rsidRPr="003F687D">
        <w:rPr>
          <w:iCs/>
          <w:sz w:val="24"/>
          <w:szCs w:val="24"/>
        </w:rPr>
        <w:t>Gowland</w:t>
      </w:r>
      <w:r w:rsidR="00656DDA">
        <w:rPr>
          <w:iCs/>
          <w:sz w:val="24"/>
          <w:szCs w:val="24"/>
        </w:rPr>
        <w:t xml:space="preserve">. </w:t>
      </w:r>
      <w:r w:rsidRPr="003F687D">
        <w:rPr>
          <w:iCs/>
          <w:sz w:val="24"/>
          <w:szCs w:val="24"/>
        </w:rPr>
        <w:t xml:space="preserve">2015. </w:t>
      </w:r>
      <w:r w:rsidRPr="003F687D">
        <w:rPr>
          <w:sz w:val="24"/>
          <w:szCs w:val="24"/>
        </w:rPr>
        <w:t xml:space="preserve">Brief Communication: the use of non-adult vertebral dimensions as indicators of growth disruption and non-specific health stress in skeletal populations. </w:t>
      </w:r>
      <w:r w:rsidRPr="003F687D">
        <w:rPr>
          <w:i/>
          <w:sz w:val="24"/>
          <w:szCs w:val="24"/>
        </w:rPr>
        <w:t xml:space="preserve">American Journal of Physical Anthropology </w:t>
      </w:r>
      <w:r w:rsidRPr="003F687D">
        <w:rPr>
          <w:sz w:val="24"/>
          <w:szCs w:val="24"/>
        </w:rPr>
        <w:t>158:155-164</w:t>
      </w:r>
      <w:r w:rsidR="00656DDA">
        <w:rPr>
          <w:sz w:val="24"/>
          <w:szCs w:val="24"/>
        </w:rPr>
        <w:t>.</w:t>
      </w:r>
    </w:p>
    <w:p w14:paraId="20B88C35" w14:textId="1326AE66" w:rsidR="003F687D" w:rsidRDefault="003F687D" w:rsidP="003F687D">
      <w:pPr>
        <w:spacing w:line="480" w:lineRule="auto"/>
        <w:rPr>
          <w:sz w:val="24"/>
          <w:szCs w:val="24"/>
        </w:rPr>
      </w:pPr>
      <w:r w:rsidRPr="003F687D">
        <w:rPr>
          <w:sz w:val="24"/>
          <w:szCs w:val="24"/>
        </w:rPr>
        <w:t>Newman, S</w:t>
      </w:r>
      <w:r w:rsidR="00656DDA">
        <w:rPr>
          <w:sz w:val="24"/>
          <w:szCs w:val="24"/>
        </w:rPr>
        <w:t>ophie L.,</w:t>
      </w:r>
      <w:r w:rsidRPr="003F687D">
        <w:rPr>
          <w:sz w:val="24"/>
          <w:szCs w:val="24"/>
        </w:rPr>
        <w:t xml:space="preserve"> and </w:t>
      </w:r>
      <w:r w:rsidR="00656DDA">
        <w:rPr>
          <w:sz w:val="24"/>
          <w:szCs w:val="24"/>
        </w:rPr>
        <w:t xml:space="preserve">Rebecca L. </w:t>
      </w:r>
      <w:r w:rsidRPr="003F687D">
        <w:rPr>
          <w:sz w:val="24"/>
          <w:szCs w:val="24"/>
        </w:rPr>
        <w:t xml:space="preserve">Gowland. 2016. Dedicated followers of fashion? Bioarchaeological perspectives on socio-economic status, inequality, and health in urban children from the Industrial Revolution. </w:t>
      </w:r>
      <w:r w:rsidRPr="003F687D">
        <w:rPr>
          <w:i/>
          <w:sz w:val="24"/>
          <w:szCs w:val="24"/>
        </w:rPr>
        <w:t>International Journal of Osteoarchaeology</w:t>
      </w:r>
      <w:r w:rsidR="00702191">
        <w:rPr>
          <w:sz w:val="24"/>
          <w:szCs w:val="24"/>
        </w:rPr>
        <w:t xml:space="preserve"> 27(2):</w:t>
      </w:r>
      <w:r w:rsidR="00AE1840">
        <w:rPr>
          <w:sz w:val="24"/>
          <w:szCs w:val="24"/>
        </w:rPr>
        <w:t>217-229</w:t>
      </w:r>
      <w:r w:rsidR="00710AA5">
        <w:rPr>
          <w:sz w:val="24"/>
          <w:szCs w:val="24"/>
        </w:rPr>
        <w:t>.</w:t>
      </w:r>
    </w:p>
    <w:p w14:paraId="4DFD4856" w14:textId="77777777" w:rsidR="00710AA5" w:rsidRPr="00710AA5" w:rsidRDefault="00710AA5" w:rsidP="00710AA5">
      <w:pPr>
        <w:spacing w:line="480" w:lineRule="auto"/>
        <w:rPr>
          <w:sz w:val="24"/>
          <w:szCs w:val="24"/>
          <w:lang w:val="en-US"/>
        </w:rPr>
      </w:pPr>
      <w:r w:rsidRPr="00710AA5">
        <w:rPr>
          <w:sz w:val="24"/>
          <w:szCs w:val="24"/>
          <w:lang w:val="en-US"/>
        </w:rPr>
        <w:t xml:space="preserve">Ogden, Alan. 2008. Advances in the palaeopathology of teeth and jaws. In </w:t>
      </w:r>
      <w:r w:rsidRPr="00710AA5">
        <w:rPr>
          <w:i/>
          <w:sz w:val="24"/>
          <w:szCs w:val="24"/>
          <w:lang w:val="en-US"/>
        </w:rPr>
        <w:t xml:space="preserve">Advances in Human Palaeopathology, </w:t>
      </w:r>
      <w:r w:rsidRPr="00710AA5">
        <w:rPr>
          <w:sz w:val="24"/>
          <w:szCs w:val="24"/>
          <w:lang w:val="en-US"/>
        </w:rPr>
        <w:t xml:space="preserve">edited by Ron </w:t>
      </w:r>
      <w:proofErr w:type="spellStart"/>
      <w:r w:rsidRPr="00710AA5">
        <w:rPr>
          <w:sz w:val="24"/>
          <w:szCs w:val="24"/>
          <w:lang w:val="en-US"/>
        </w:rPr>
        <w:t>Pinhasi</w:t>
      </w:r>
      <w:proofErr w:type="spellEnd"/>
      <w:r w:rsidRPr="00710AA5">
        <w:rPr>
          <w:sz w:val="24"/>
          <w:szCs w:val="24"/>
          <w:lang w:val="en-US"/>
        </w:rPr>
        <w:t xml:space="preserve"> and Simon Mays. Wiley, New York, pp.282-307. </w:t>
      </w:r>
    </w:p>
    <w:p w14:paraId="6A75673C" w14:textId="20E09F5D" w:rsidR="003F687D" w:rsidRPr="003F687D" w:rsidRDefault="003F687D" w:rsidP="003F687D">
      <w:pPr>
        <w:spacing w:line="480" w:lineRule="auto"/>
        <w:rPr>
          <w:sz w:val="24"/>
          <w:szCs w:val="24"/>
          <w:lang w:val="en-US"/>
        </w:rPr>
      </w:pPr>
      <w:r w:rsidRPr="003F687D">
        <w:rPr>
          <w:sz w:val="24"/>
          <w:szCs w:val="24"/>
          <w:lang w:val="en-US"/>
        </w:rPr>
        <w:t>Ogden</w:t>
      </w:r>
      <w:r w:rsidR="00AE1840">
        <w:rPr>
          <w:sz w:val="24"/>
          <w:szCs w:val="24"/>
          <w:lang w:val="en-US"/>
        </w:rPr>
        <w:t>, Alan R., Ron</w:t>
      </w:r>
      <w:r w:rsidRPr="003F687D">
        <w:rPr>
          <w:sz w:val="24"/>
          <w:szCs w:val="24"/>
          <w:lang w:val="en-US"/>
        </w:rPr>
        <w:t xml:space="preserve"> </w:t>
      </w:r>
      <w:proofErr w:type="spellStart"/>
      <w:r w:rsidRPr="003F687D">
        <w:rPr>
          <w:sz w:val="24"/>
          <w:szCs w:val="24"/>
          <w:lang w:val="en-US"/>
        </w:rPr>
        <w:t>Pinhasi</w:t>
      </w:r>
      <w:proofErr w:type="spellEnd"/>
      <w:r w:rsidR="00AE1840">
        <w:rPr>
          <w:sz w:val="24"/>
          <w:szCs w:val="24"/>
          <w:lang w:val="en-US"/>
        </w:rPr>
        <w:t>, Willian J.</w:t>
      </w:r>
      <w:r w:rsidRPr="003F687D">
        <w:rPr>
          <w:sz w:val="24"/>
          <w:szCs w:val="24"/>
          <w:lang w:val="en-US"/>
        </w:rPr>
        <w:t xml:space="preserve"> White WJ. 2007. Gross enamel hypoplasia in molars from subadults in a 16th–18th century London graveyard. </w:t>
      </w:r>
      <w:r w:rsidRPr="003F687D">
        <w:rPr>
          <w:i/>
          <w:sz w:val="24"/>
          <w:szCs w:val="24"/>
          <w:lang w:val="en-US"/>
        </w:rPr>
        <w:t>American Journal of Physical Anthropology</w:t>
      </w:r>
      <w:r w:rsidRPr="003F687D">
        <w:rPr>
          <w:sz w:val="24"/>
          <w:szCs w:val="24"/>
          <w:lang w:val="en-US"/>
        </w:rPr>
        <w:t xml:space="preserve"> 133</w:t>
      </w:r>
      <w:r w:rsidR="00AE1840">
        <w:rPr>
          <w:sz w:val="24"/>
          <w:szCs w:val="24"/>
          <w:lang w:val="en-US"/>
        </w:rPr>
        <w:t>:</w:t>
      </w:r>
      <w:r w:rsidRPr="003F687D">
        <w:rPr>
          <w:sz w:val="24"/>
          <w:szCs w:val="24"/>
          <w:lang w:val="en-US"/>
        </w:rPr>
        <w:t>957–966.</w:t>
      </w:r>
    </w:p>
    <w:p w14:paraId="50E30316" w14:textId="15F1FBFE" w:rsidR="003F687D" w:rsidRPr="003F687D" w:rsidRDefault="003F687D" w:rsidP="003F687D">
      <w:pPr>
        <w:spacing w:line="480" w:lineRule="auto"/>
        <w:rPr>
          <w:sz w:val="24"/>
          <w:szCs w:val="24"/>
          <w:lang w:val="en-US"/>
        </w:rPr>
      </w:pPr>
      <w:r w:rsidRPr="003F687D">
        <w:rPr>
          <w:sz w:val="24"/>
          <w:szCs w:val="24"/>
          <w:lang w:val="en-US"/>
        </w:rPr>
        <w:t>Ortner</w:t>
      </w:r>
      <w:r w:rsidR="00AE1840">
        <w:rPr>
          <w:sz w:val="24"/>
          <w:szCs w:val="24"/>
          <w:lang w:val="en-US"/>
        </w:rPr>
        <w:t>, Donald</w:t>
      </w:r>
      <w:r w:rsidRPr="003F687D">
        <w:rPr>
          <w:sz w:val="24"/>
          <w:szCs w:val="24"/>
          <w:lang w:val="en-US"/>
        </w:rPr>
        <w:t xml:space="preserve"> J. 2003. </w:t>
      </w:r>
      <w:r w:rsidRPr="006B3A75">
        <w:rPr>
          <w:i/>
          <w:sz w:val="24"/>
          <w:szCs w:val="24"/>
          <w:lang w:val="en-US"/>
        </w:rPr>
        <w:t>Identification of Pathological Conditions in Human Skeletal Remains</w:t>
      </w:r>
      <w:r w:rsidRPr="003F687D">
        <w:rPr>
          <w:sz w:val="24"/>
          <w:szCs w:val="24"/>
          <w:lang w:val="en-US"/>
        </w:rPr>
        <w:t>. Academic Press, New York.</w:t>
      </w:r>
    </w:p>
    <w:p w14:paraId="2FFA485F" w14:textId="578522E7" w:rsidR="003F687D" w:rsidRPr="003F687D" w:rsidRDefault="003F687D" w:rsidP="003F687D">
      <w:pPr>
        <w:spacing w:line="480" w:lineRule="auto"/>
        <w:rPr>
          <w:sz w:val="24"/>
          <w:szCs w:val="24"/>
          <w:lang w:val="en-US"/>
        </w:rPr>
      </w:pPr>
      <w:r w:rsidRPr="003F687D">
        <w:rPr>
          <w:sz w:val="24"/>
          <w:szCs w:val="24"/>
          <w:lang w:val="en-US"/>
        </w:rPr>
        <w:t>Ortner</w:t>
      </w:r>
      <w:r w:rsidR="00702191">
        <w:rPr>
          <w:sz w:val="24"/>
          <w:szCs w:val="24"/>
          <w:lang w:val="en-US"/>
        </w:rPr>
        <w:t>, Donald J.,</w:t>
      </w:r>
      <w:r w:rsidRPr="003F687D">
        <w:rPr>
          <w:sz w:val="24"/>
          <w:szCs w:val="24"/>
          <w:lang w:val="en-US"/>
        </w:rPr>
        <w:t xml:space="preserve"> and </w:t>
      </w:r>
      <w:r w:rsidR="00702191">
        <w:rPr>
          <w:sz w:val="24"/>
          <w:szCs w:val="24"/>
          <w:lang w:val="en-US"/>
        </w:rPr>
        <w:t xml:space="preserve">Simon </w:t>
      </w:r>
      <w:r w:rsidRPr="003F687D">
        <w:rPr>
          <w:sz w:val="24"/>
          <w:szCs w:val="24"/>
          <w:lang w:val="en-US"/>
        </w:rPr>
        <w:t xml:space="preserve">Mays. 1998. Dry bone manifestations of rickets in infancy and early childhood. </w:t>
      </w:r>
      <w:r w:rsidRPr="006B3A75">
        <w:rPr>
          <w:i/>
          <w:sz w:val="24"/>
          <w:szCs w:val="24"/>
          <w:lang w:val="en-US"/>
        </w:rPr>
        <w:t xml:space="preserve">International Journal of </w:t>
      </w:r>
      <w:proofErr w:type="spellStart"/>
      <w:r w:rsidRPr="006B3A75">
        <w:rPr>
          <w:i/>
          <w:sz w:val="24"/>
          <w:szCs w:val="24"/>
          <w:lang w:val="en-US"/>
        </w:rPr>
        <w:t>Osteoarchaeology</w:t>
      </w:r>
      <w:proofErr w:type="spellEnd"/>
      <w:r w:rsidRPr="003F687D">
        <w:rPr>
          <w:sz w:val="24"/>
          <w:szCs w:val="24"/>
          <w:lang w:val="en-US"/>
        </w:rPr>
        <w:t xml:space="preserve"> 8</w:t>
      </w:r>
      <w:r w:rsidR="00702191">
        <w:rPr>
          <w:sz w:val="24"/>
          <w:szCs w:val="24"/>
          <w:lang w:val="en-US"/>
        </w:rPr>
        <w:t>:</w:t>
      </w:r>
      <w:r w:rsidRPr="003F687D">
        <w:rPr>
          <w:sz w:val="24"/>
          <w:szCs w:val="24"/>
          <w:lang w:val="en-US"/>
        </w:rPr>
        <w:t>45-55.</w:t>
      </w:r>
    </w:p>
    <w:p w14:paraId="2FB73523" w14:textId="67DF4779" w:rsidR="003F687D" w:rsidRDefault="003F687D" w:rsidP="003F687D">
      <w:pPr>
        <w:spacing w:line="480" w:lineRule="auto"/>
        <w:rPr>
          <w:sz w:val="24"/>
          <w:szCs w:val="24"/>
          <w:lang w:val="en-US"/>
        </w:rPr>
      </w:pPr>
      <w:r w:rsidRPr="003F687D">
        <w:rPr>
          <w:sz w:val="24"/>
          <w:szCs w:val="24"/>
          <w:lang w:val="en-US"/>
        </w:rPr>
        <w:t>Paterson</w:t>
      </w:r>
      <w:r w:rsidR="00702191">
        <w:rPr>
          <w:sz w:val="24"/>
          <w:szCs w:val="24"/>
          <w:lang w:val="en-US"/>
        </w:rPr>
        <w:t>, Colin R., and David</w:t>
      </w:r>
      <w:r w:rsidRPr="003F687D">
        <w:rPr>
          <w:sz w:val="24"/>
          <w:szCs w:val="24"/>
          <w:lang w:val="en-US"/>
        </w:rPr>
        <w:t xml:space="preserve"> Ayoub. 2015. Congenital rickets due to vitamin D deficiency in mothers. </w:t>
      </w:r>
      <w:r w:rsidRPr="006B3A75">
        <w:rPr>
          <w:i/>
          <w:sz w:val="24"/>
          <w:szCs w:val="24"/>
          <w:lang w:val="en-US"/>
        </w:rPr>
        <w:t>Clinical Nutrition</w:t>
      </w:r>
      <w:r w:rsidRPr="003F687D">
        <w:rPr>
          <w:sz w:val="24"/>
          <w:szCs w:val="24"/>
          <w:lang w:val="en-US"/>
        </w:rPr>
        <w:t xml:space="preserve"> 34</w:t>
      </w:r>
      <w:r w:rsidR="00702191">
        <w:rPr>
          <w:sz w:val="24"/>
          <w:szCs w:val="24"/>
          <w:lang w:val="en-US"/>
        </w:rPr>
        <w:t>:</w:t>
      </w:r>
      <w:r w:rsidRPr="003F687D">
        <w:rPr>
          <w:sz w:val="24"/>
          <w:szCs w:val="24"/>
          <w:lang w:val="en-US"/>
        </w:rPr>
        <w:t>793-798.</w:t>
      </w:r>
    </w:p>
    <w:p w14:paraId="7BC5D52E" w14:textId="68977102" w:rsidR="00EA5EB1" w:rsidRPr="003F687D" w:rsidRDefault="00EA5EB1" w:rsidP="003F687D">
      <w:pPr>
        <w:spacing w:line="480" w:lineRule="auto"/>
        <w:rPr>
          <w:sz w:val="24"/>
          <w:szCs w:val="24"/>
          <w:lang w:val="en-US"/>
        </w:rPr>
      </w:pPr>
      <w:r w:rsidRPr="00EA5EB1">
        <w:rPr>
          <w:sz w:val="24"/>
          <w:szCs w:val="24"/>
          <w:lang w:val="en-US"/>
        </w:rPr>
        <w:lastRenderedPageBreak/>
        <w:t>Pinchbeck, Ivy and Margaret Hewitt. 1973. </w:t>
      </w:r>
      <w:r w:rsidRPr="00EA5EB1">
        <w:rPr>
          <w:i/>
          <w:iCs/>
          <w:sz w:val="24"/>
          <w:szCs w:val="24"/>
          <w:lang w:val="en-US"/>
        </w:rPr>
        <w:t>Children in English Society. Vol. 2. From the Eighteenth century to the Children Act, 1948. </w:t>
      </w:r>
      <w:r w:rsidRPr="00EA5EB1">
        <w:rPr>
          <w:sz w:val="24"/>
          <w:szCs w:val="24"/>
          <w:lang w:val="en-US"/>
        </w:rPr>
        <w:t>Routledge, London.</w:t>
      </w:r>
    </w:p>
    <w:p w14:paraId="227E4447" w14:textId="0934181C" w:rsidR="003F687D" w:rsidRPr="003F687D" w:rsidRDefault="003F687D" w:rsidP="003F687D">
      <w:pPr>
        <w:spacing w:line="480" w:lineRule="auto"/>
        <w:rPr>
          <w:sz w:val="24"/>
          <w:szCs w:val="24"/>
        </w:rPr>
      </w:pPr>
      <w:proofErr w:type="spellStart"/>
      <w:r w:rsidRPr="003F687D">
        <w:rPr>
          <w:sz w:val="24"/>
          <w:szCs w:val="24"/>
        </w:rPr>
        <w:t>Pinhasi</w:t>
      </w:r>
      <w:proofErr w:type="spellEnd"/>
      <w:r w:rsidR="00702191">
        <w:rPr>
          <w:sz w:val="24"/>
          <w:szCs w:val="24"/>
        </w:rPr>
        <w:t xml:space="preserve">, Ron, </w:t>
      </w:r>
      <w:r w:rsidR="00710AA5">
        <w:rPr>
          <w:sz w:val="24"/>
          <w:szCs w:val="24"/>
        </w:rPr>
        <w:t xml:space="preserve">P. </w:t>
      </w:r>
      <w:r w:rsidR="00671070">
        <w:rPr>
          <w:sz w:val="24"/>
          <w:szCs w:val="24"/>
        </w:rPr>
        <w:t>Shaw</w:t>
      </w:r>
      <w:r w:rsidRPr="003F687D">
        <w:rPr>
          <w:sz w:val="24"/>
          <w:szCs w:val="24"/>
        </w:rPr>
        <w:t>,</w:t>
      </w:r>
      <w:r w:rsidR="00671070">
        <w:rPr>
          <w:sz w:val="24"/>
          <w:szCs w:val="24"/>
        </w:rPr>
        <w:t xml:space="preserve"> Bill</w:t>
      </w:r>
      <w:r w:rsidRPr="003F687D">
        <w:rPr>
          <w:sz w:val="24"/>
          <w:szCs w:val="24"/>
        </w:rPr>
        <w:t xml:space="preserve"> White</w:t>
      </w:r>
      <w:r w:rsidR="00671070">
        <w:rPr>
          <w:sz w:val="24"/>
          <w:szCs w:val="24"/>
        </w:rPr>
        <w:t>,</w:t>
      </w:r>
      <w:r w:rsidRPr="003F687D">
        <w:rPr>
          <w:sz w:val="24"/>
          <w:szCs w:val="24"/>
        </w:rPr>
        <w:t xml:space="preserve"> and</w:t>
      </w:r>
      <w:r w:rsidR="00671070">
        <w:rPr>
          <w:sz w:val="24"/>
          <w:szCs w:val="24"/>
        </w:rPr>
        <w:t xml:space="preserve"> Alan R.</w:t>
      </w:r>
      <w:r w:rsidRPr="003F687D">
        <w:rPr>
          <w:sz w:val="24"/>
          <w:szCs w:val="24"/>
        </w:rPr>
        <w:t xml:space="preserve"> Ogden</w:t>
      </w:r>
      <w:r w:rsidR="00671070">
        <w:rPr>
          <w:sz w:val="24"/>
          <w:szCs w:val="24"/>
        </w:rPr>
        <w:t xml:space="preserve">. </w:t>
      </w:r>
      <w:r w:rsidRPr="003F687D">
        <w:rPr>
          <w:sz w:val="24"/>
          <w:szCs w:val="24"/>
        </w:rPr>
        <w:t xml:space="preserve">2006. Morbidity, rickets and long-bone growth in post-medieval Britain - a cross-population analysis. </w:t>
      </w:r>
      <w:r w:rsidRPr="003F687D">
        <w:rPr>
          <w:i/>
          <w:sz w:val="24"/>
          <w:szCs w:val="24"/>
        </w:rPr>
        <w:t>Annals of Human Biology</w:t>
      </w:r>
      <w:r w:rsidRPr="003F687D">
        <w:rPr>
          <w:sz w:val="24"/>
          <w:szCs w:val="24"/>
        </w:rPr>
        <w:t xml:space="preserve"> 33</w:t>
      </w:r>
      <w:r w:rsidR="00671070">
        <w:rPr>
          <w:sz w:val="24"/>
          <w:szCs w:val="24"/>
        </w:rPr>
        <w:t>:</w:t>
      </w:r>
      <w:r w:rsidRPr="003F687D">
        <w:rPr>
          <w:sz w:val="24"/>
          <w:szCs w:val="24"/>
        </w:rPr>
        <w:t>372-389.</w:t>
      </w:r>
    </w:p>
    <w:p w14:paraId="610E12FC" w14:textId="72A7632C" w:rsidR="003F687D" w:rsidRPr="003F687D" w:rsidRDefault="003F687D" w:rsidP="003F687D">
      <w:pPr>
        <w:spacing w:line="480" w:lineRule="auto"/>
        <w:rPr>
          <w:sz w:val="24"/>
          <w:szCs w:val="24"/>
        </w:rPr>
      </w:pPr>
      <w:r w:rsidRPr="003F687D">
        <w:rPr>
          <w:sz w:val="24"/>
          <w:szCs w:val="24"/>
        </w:rPr>
        <w:t>Proctor J</w:t>
      </w:r>
      <w:r w:rsidR="000759DD">
        <w:rPr>
          <w:sz w:val="24"/>
          <w:szCs w:val="24"/>
        </w:rPr>
        <w:t>enny</w:t>
      </w:r>
      <w:r w:rsidRPr="003F687D">
        <w:rPr>
          <w:sz w:val="24"/>
          <w:szCs w:val="24"/>
        </w:rPr>
        <w:t xml:space="preserve">, </w:t>
      </w:r>
      <w:proofErr w:type="spellStart"/>
      <w:r w:rsidRPr="003F687D">
        <w:rPr>
          <w:sz w:val="24"/>
          <w:szCs w:val="24"/>
        </w:rPr>
        <w:t>Gaimster</w:t>
      </w:r>
      <w:proofErr w:type="spellEnd"/>
      <w:r w:rsidRPr="003F687D">
        <w:rPr>
          <w:sz w:val="24"/>
          <w:szCs w:val="24"/>
        </w:rPr>
        <w:t xml:space="preserve"> M, </w:t>
      </w:r>
      <w:proofErr w:type="spellStart"/>
      <w:r w:rsidRPr="003F687D">
        <w:rPr>
          <w:sz w:val="24"/>
          <w:szCs w:val="24"/>
        </w:rPr>
        <w:t>Langthorne</w:t>
      </w:r>
      <w:proofErr w:type="spellEnd"/>
      <w:r w:rsidRPr="003F687D">
        <w:rPr>
          <w:sz w:val="24"/>
          <w:szCs w:val="24"/>
        </w:rPr>
        <w:t xml:space="preserve"> J</w:t>
      </w:r>
      <w:r w:rsidR="000759DD">
        <w:rPr>
          <w:sz w:val="24"/>
          <w:szCs w:val="24"/>
        </w:rPr>
        <w:t>ames</w:t>
      </w:r>
      <w:r w:rsidRPr="003F687D">
        <w:rPr>
          <w:sz w:val="24"/>
          <w:szCs w:val="24"/>
        </w:rPr>
        <w:t xml:space="preserve">. 2014. </w:t>
      </w:r>
      <w:r w:rsidRPr="003F687D">
        <w:rPr>
          <w:i/>
          <w:sz w:val="24"/>
          <w:szCs w:val="24"/>
        </w:rPr>
        <w:t>A Quaker burial ground in North Tyneside: excavations at Coach Lane, North Shields</w:t>
      </w:r>
      <w:r w:rsidRPr="003F687D">
        <w:rPr>
          <w:sz w:val="24"/>
          <w:szCs w:val="24"/>
        </w:rPr>
        <w:t xml:space="preserve">. </w:t>
      </w:r>
      <w:proofErr w:type="spellStart"/>
      <w:r w:rsidRPr="003F687D">
        <w:rPr>
          <w:sz w:val="24"/>
          <w:szCs w:val="24"/>
        </w:rPr>
        <w:t>Preconstruct</w:t>
      </w:r>
      <w:proofErr w:type="spellEnd"/>
      <w:r w:rsidRPr="003F687D">
        <w:rPr>
          <w:sz w:val="24"/>
          <w:szCs w:val="24"/>
        </w:rPr>
        <w:t xml:space="preserve"> Archaeology Monograph Series</w:t>
      </w:r>
      <w:r w:rsidR="00671070">
        <w:rPr>
          <w:sz w:val="24"/>
          <w:szCs w:val="24"/>
        </w:rPr>
        <w:t>, London.</w:t>
      </w:r>
    </w:p>
    <w:p w14:paraId="07FCF1CB" w14:textId="62FB387D" w:rsidR="003F687D" w:rsidRPr="003F687D" w:rsidRDefault="003F687D" w:rsidP="003F687D">
      <w:pPr>
        <w:spacing w:line="480" w:lineRule="auto"/>
        <w:rPr>
          <w:sz w:val="24"/>
          <w:szCs w:val="24"/>
        </w:rPr>
      </w:pPr>
      <w:r w:rsidRPr="003F687D">
        <w:rPr>
          <w:sz w:val="24"/>
          <w:szCs w:val="24"/>
        </w:rPr>
        <w:t>Purvis</w:t>
      </w:r>
      <w:r w:rsidR="00671070">
        <w:rPr>
          <w:sz w:val="24"/>
          <w:szCs w:val="24"/>
        </w:rPr>
        <w:t>,</w:t>
      </w:r>
      <w:r w:rsidRPr="003F687D">
        <w:rPr>
          <w:sz w:val="24"/>
          <w:szCs w:val="24"/>
        </w:rPr>
        <w:t xml:space="preserve"> R</w:t>
      </w:r>
      <w:r w:rsidR="00710AA5">
        <w:rPr>
          <w:sz w:val="24"/>
          <w:szCs w:val="24"/>
        </w:rPr>
        <w:t>.</w:t>
      </w:r>
      <w:r w:rsidRPr="003F687D">
        <w:rPr>
          <w:sz w:val="24"/>
          <w:szCs w:val="24"/>
        </w:rPr>
        <w:t>J</w:t>
      </w:r>
      <w:r w:rsidR="00710AA5">
        <w:rPr>
          <w:sz w:val="24"/>
          <w:szCs w:val="24"/>
        </w:rPr>
        <w:t>.</w:t>
      </w:r>
      <w:r w:rsidRPr="003F687D">
        <w:rPr>
          <w:sz w:val="24"/>
          <w:szCs w:val="24"/>
        </w:rPr>
        <w:t xml:space="preserve">, </w:t>
      </w:r>
      <w:r w:rsidR="00671070">
        <w:rPr>
          <w:sz w:val="24"/>
          <w:szCs w:val="24"/>
        </w:rPr>
        <w:t>W</w:t>
      </w:r>
      <w:r w:rsidR="00710AA5">
        <w:rPr>
          <w:sz w:val="24"/>
          <w:szCs w:val="24"/>
        </w:rPr>
        <w:t>.</w:t>
      </w:r>
      <w:r w:rsidR="00671070">
        <w:rPr>
          <w:sz w:val="24"/>
          <w:szCs w:val="24"/>
        </w:rPr>
        <w:t>J</w:t>
      </w:r>
      <w:r w:rsidR="00710AA5">
        <w:rPr>
          <w:sz w:val="24"/>
          <w:szCs w:val="24"/>
        </w:rPr>
        <w:t>.</w:t>
      </w:r>
      <w:r w:rsidR="00671070">
        <w:rPr>
          <w:sz w:val="24"/>
          <w:szCs w:val="24"/>
        </w:rPr>
        <w:t xml:space="preserve"> </w:t>
      </w:r>
      <w:proofErr w:type="spellStart"/>
      <w:r w:rsidRPr="003F687D">
        <w:rPr>
          <w:sz w:val="24"/>
          <w:szCs w:val="24"/>
        </w:rPr>
        <w:t>McBarrie</w:t>
      </w:r>
      <w:proofErr w:type="spellEnd"/>
      <w:r w:rsidRPr="003F687D">
        <w:rPr>
          <w:sz w:val="24"/>
          <w:szCs w:val="24"/>
        </w:rPr>
        <w:t>,</w:t>
      </w:r>
      <w:r w:rsidR="00671070">
        <w:rPr>
          <w:sz w:val="24"/>
          <w:szCs w:val="24"/>
        </w:rPr>
        <w:t xml:space="preserve"> G</w:t>
      </w:r>
      <w:r w:rsidR="00710AA5">
        <w:rPr>
          <w:sz w:val="24"/>
          <w:szCs w:val="24"/>
        </w:rPr>
        <w:t>.</w:t>
      </w:r>
      <w:r w:rsidR="00671070">
        <w:rPr>
          <w:sz w:val="24"/>
          <w:szCs w:val="24"/>
        </w:rPr>
        <w:t>S</w:t>
      </w:r>
      <w:r w:rsidR="00710AA5">
        <w:rPr>
          <w:sz w:val="24"/>
          <w:szCs w:val="24"/>
        </w:rPr>
        <w:t>.</w:t>
      </w:r>
      <w:r w:rsidRPr="003F687D">
        <w:rPr>
          <w:sz w:val="24"/>
          <w:szCs w:val="24"/>
        </w:rPr>
        <w:t xml:space="preserve"> MacKay,</w:t>
      </w:r>
      <w:r w:rsidR="00671070">
        <w:rPr>
          <w:sz w:val="24"/>
          <w:szCs w:val="24"/>
        </w:rPr>
        <w:t xml:space="preserve"> E</w:t>
      </w:r>
      <w:r w:rsidR="00710AA5">
        <w:rPr>
          <w:sz w:val="24"/>
          <w:szCs w:val="24"/>
        </w:rPr>
        <w:t>.</w:t>
      </w:r>
      <w:r w:rsidR="00671070">
        <w:rPr>
          <w:sz w:val="24"/>
          <w:szCs w:val="24"/>
        </w:rPr>
        <w:t>M</w:t>
      </w:r>
      <w:r w:rsidR="00710AA5">
        <w:rPr>
          <w:sz w:val="24"/>
          <w:szCs w:val="24"/>
        </w:rPr>
        <w:t>.</w:t>
      </w:r>
      <w:r w:rsidRPr="003F687D">
        <w:rPr>
          <w:sz w:val="24"/>
          <w:szCs w:val="24"/>
        </w:rPr>
        <w:t xml:space="preserve"> Wilkinson,</w:t>
      </w:r>
      <w:r w:rsidR="00671070">
        <w:rPr>
          <w:sz w:val="24"/>
          <w:szCs w:val="24"/>
        </w:rPr>
        <w:t xml:space="preserve"> F</w:t>
      </w:r>
      <w:r w:rsidRPr="003F687D">
        <w:rPr>
          <w:sz w:val="24"/>
          <w:szCs w:val="24"/>
        </w:rPr>
        <w:t xml:space="preserve"> Cockburn,</w:t>
      </w:r>
      <w:r w:rsidR="00671070">
        <w:rPr>
          <w:sz w:val="24"/>
          <w:szCs w:val="24"/>
        </w:rPr>
        <w:t xml:space="preserve"> and</w:t>
      </w:r>
      <w:r w:rsidRPr="003F687D">
        <w:rPr>
          <w:sz w:val="24"/>
          <w:szCs w:val="24"/>
        </w:rPr>
        <w:t xml:space="preserve"> </w:t>
      </w:r>
      <w:r w:rsidR="00671070">
        <w:rPr>
          <w:sz w:val="24"/>
          <w:szCs w:val="24"/>
        </w:rPr>
        <w:t xml:space="preserve">NR </w:t>
      </w:r>
      <w:r w:rsidRPr="003F687D">
        <w:rPr>
          <w:sz w:val="24"/>
          <w:szCs w:val="24"/>
        </w:rPr>
        <w:t xml:space="preserve">Belton. 1973. Enamel hypoplasia of the teeth associated with neonatal tetany: a manifestation of maternal vitamin D deficiency. </w:t>
      </w:r>
      <w:r w:rsidRPr="006B3A75">
        <w:rPr>
          <w:i/>
          <w:sz w:val="24"/>
          <w:szCs w:val="24"/>
        </w:rPr>
        <w:t>The Lancet</w:t>
      </w:r>
      <w:r w:rsidRPr="003F687D">
        <w:rPr>
          <w:sz w:val="24"/>
          <w:szCs w:val="24"/>
        </w:rPr>
        <w:t xml:space="preserve"> 2</w:t>
      </w:r>
      <w:r w:rsidR="00671070">
        <w:rPr>
          <w:sz w:val="24"/>
          <w:szCs w:val="24"/>
        </w:rPr>
        <w:t>:</w:t>
      </w:r>
      <w:r w:rsidRPr="003F687D">
        <w:rPr>
          <w:sz w:val="24"/>
          <w:szCs w:val="24"/>
        </w:rPr>
        <w:t>811-814.</w:t>
      </w:r>
    </w:p>
    <w:p w14:paraId="0DD4A0D6" w14:textId="5159E9C5" w:rsidR="003F687D" w:rsidRPr="003F687D" w:rsidRDefault="003F687D" w:rsidP="003F687D">
      <w:pPr>
        <w:spacing w:line="480" w:lineRule="auto"/>
        <w:rPr>
          <w:sz w:val="24"/>
          <w:szCs w:val="24"/>
        </w:rPr>
      </w:pPr>
      <w:r w:rsidRPr="003F687D">
        <w:rPr>
          <w:sz w:val="24"/>
          <w:szCs w:val="24"/>
        </w:rPr>
        <w:t>Roberts</w:t>
      </w:r>
      <w:r w:rsidR="00671070">
        <w:rPr>
          <w:sz w:val="24"/>
          <w:szCs w:val="24"/>
        </w:rPr>
        <w:t xml:space="preserve">, Charlotte A., </w:t>
      </w:r>
      <w:proofErr w:type="spellStart"/>
      <w:r w:rsidR="00671070">
        <w:rPr>
          <w:sz w:val="24"/>
          <w:szCs w:val="24"/>
        </w:rPr>
        <w:t>Anwen</w:t>
      </w:r>
      <w:proofErr w:type="spellEnd"/>
      <w:r w:rsidRPr="003F687D">
        <w:rPr>
          <w:sz w:val="24"/>
          <w:szCs w:val="24"/>
        </w:rPr>
        <w:t xml:space="preserve"> </w:t>
      </w:r>
      <w:proofErr w:type="spellStart"/>
      <w:r w:rsidRPr="003F687D">
        <w:rPr>
          <w:sz w:val="24"/>
          <w:szCs w:val="24"/>
        </w:rPr>
        <w:t>Caffell</w:t>
      </w:r>
      <w:proofErr w:type="spellEnd"/>
      <w:r w:rsidRPr="003F687D">
        <w:rPr>
          <w:sz w:val="24"/>
          <w:szCs w:val="24"/>
        </w:rPr>
        <w:t>,</w:t>
      </w:r>
      <w:r w:rsidR="00671070">
        <w:rPr>
          <w:sz w:val="24"/>
          <w:szCs w:val="24"/>
        </w:rPr>
        <w:t xml:space="preserve"> Kori L.</w:t>
      </w:r>
      <w:r w:rsidRPr="003F687D">
        <w:rPr>
          <w:sz w:val="24"/>
          <w:szCs w:val="24"/>
        </w:rPr>
        <w:t xml:space="preserve"> </w:t>
      </w:r>
      <w:proofErr w:type="spellStart"/>
      <w:r w:rsidRPr="003F687D">
        <w:rPr>
          <w:sz w:val="24"/>
          <w:szCs w:val="24"/>
        </w:rPr>
        <w:t>Filipek</w:t>
      </w:r>
      <w:proofErr w:type="spellEnd"/>
      <w:r w:rsidRPr="003F687D">
        <w:rPr>
          <w:sz w:val="24"/>
          <w:szCs w:val="24"/>
        </w:rPr>
        <w:t>-Ogden,</w:t>
      </w:r>
      <w:r w:rsidR="00671070">
        <w:rPr>
          <w:sz w:val="24"/>
          <w:szCs w:val="24"/>
        </w:rPr>
        <w:t xml:space="preserve"> Rebecca</w:t>
      </w:r>
      <w:r w:rsidRPr="003F687D">
        <w:rPr>
          <w:sz w:val="24"/>
          <w:szCs w:val="24"/>
        </w:rPr>
        <w:t xml:space="preserve"> </w:t>
      </w:r>
      <w:proofErr w:type="spellStart"/>
      <w:r w:rsidRPr="003F687D">
        <w:rPr>
          <w:sz w:val="24"/>
          <w:szCs w:val="24"/>
        </w:rPr>
        <w:t>Gowland</w:t>
      </w:r>
      <w:proofErr w:type="spellEnd"/>
      <w:r w:rsidRPr="003F687D">
        <w:rPr>
          <w:sz w:val="24"/>
          <w:szCs w:val="24"/>
        </w:rPr>
        <w:t>,</w:t>
      </w:r>
      <w:r w:rsidR="00671070">
        <w:rPr>
          <w:sz w:val="24"/>
          <w:szCs w:val="24"/>
        </w:rPr>
        <w:t xml:space="preserve"> and Tina</w:t>
      </w:r>
      <w:r w:rsidRPr="003F687D">
        <w:rPr>
          <w:sz w:val="24"/>
          <w:szCs w:val="24"/>
        </w:rPr>
        <w:t xml:space="preserve"> Jakob. 201</w:t>
      </w:r>
      <w:r w:rsidR="000759DD">
        <w:rPr>
          <w:sz w:val="24"/>
          <w:szCs w:val="24"/>
        </w:rPr>
        <w:t xml:space="preserve">6. </w:t>
      </w:r>
      <w:proofErr w:type="spellStart"/>
      <w:r w:rsidR="000759DD">
        <w:rPr>
          <w:sz w:val="24"/>
          <w:szCs w:val="24"/>
        </w:rPr>
        <w:t>‘Til</w:t>
      </w:r>
      <w:proofErr w:type="spellEnd"/>
      <w:r w:rsidR="000759DD">
        <w:rPr>
          <w:sz w:val="24"/>
          <w:szCs w:val="24"/>
        </w:rPr>
        <w:t xml:space="preserve"> Poison Phosphorous b</w:t>
      </w:r>
      <w:r w:rsidRPr="003F687D">
        <w:rPr>
          <w:sz w:val="24"/>
          <w:szCs w:val="24"/>
        </w:rPr>
        <w:t xml:space="preserve">rought them Death’: A potentially occupationally-related disease in a post-medieval skeleton from north-east England. </w:t>
      </w:r>
      <w:r w:rsidRPr="003F687D">
        <w:rPr>
          <w:i/>
          <w:sz w:val="24"/>
          <w:szCs w:val="24"/>
        </w:rPr>
        <w:t>International Journal of Paleopathology</w:t>
      </w:r>
      <w:r w:rsidRPr="003F687D">
        <w:rPr>
          <w:sz w:val="24"/>
          <w:szCs w:val="24"/>
        </w:rPr>
        <w:t xml:space="preserve"> 13:39-48.</w:t>
      </w:r>
    </w:p>
    <w:p w14:paraId="312AEC0A" w14:textId="0169FEF1" w:rsidR="003F687D" w:rsidRPr="003F687D" w:rsidRDefault="003F687D" w:rsidP="003F687D">
      <w:pPr>
        <w:spacing w:line="480" w:lineRule="auto"/>
        <w:rPr>
          <w:sz w:val="24"/>
          <w:szCs w:val="24"/>
        </w:rPr>
      </w:pPr>
      <w:r w:rsidRPr="003F687D">
        <w:rPr>
          <w:sz w:val="24"/>
          <w:szCs w:val="24"/>
        </w:rPr>
        <w:t>Roberts</w:t>
      </w:r>
      <w:r w:rsidR="009E011C">
        <w:rPr>
          <w:sz w:val="24"/>
          <w:szCs w:val="24"/>
        </w:rPr>
        <w:t>, Charlotte A., and Brian</w:t>
      </w:r>
      <w:r w:rsidRPr="003F687D">
        <w:rPr>
          <w:sz w:val="24"/>
          <w:szCs w:val="24"/>
        </w:rPr>
        <w:t xml:space="preserve"> Connell. 2004. Guidance on recording palaeopathology. In </w:t>
      </w:r>
      <w:r w:rsidRPr="006B3A75">
        <w:rPr>
          <w:i/>
          <w:sz w:val="24"/>
          <w:szCs w:val="24"/>
        </w:rPr>
        <w:t>Guidelines to the Standards for Recording Human Remains</w:t>
      </w:r>
      <w:r w:rsidR="009E011C">
        <w:rPr>
          <w:sz w:val="24"/>
          <w:szCs w:val="24"/>
        </w:rPr>
        <w:t xml:space="preserve">, edited by Megan </w:t>
      </w:r>
      <w:proofErr w:type="spellStart"/>
      <w:r w:rsidR="009E011C">
        <w:rPr>
          <w:sz w:val="24"/>
          <w:szCs w:val="24"/>
        </w:rPr>
        <w:t>Brickley</w:t>
      </w:r>
      <w:proofErr w:type="spellEnd"/>
      <w:r w:rsidR="009E011C">
        <w:rPr>
          <w:sz w:val="24"/>
          <w:szCs w:val="24"/>
        </w:rPr>
        <w:t xml:space="preserve"> and Jacqueline I McKinley</w:t>
      </w:r>
      <w:r w:rsidRPr="003F687D">
        <w:rPr>
          <w:sz w:val="24"/>
          <w:szCs w:val="24"/>
        </w:rPr>
        <w:t>. IFA Paper No. 7,</w:t>
      </w:r>
      <w:r w:rsidR="000759DD">
        <w:rPr>
          <w:sz w:val="24"/>
          <w:szCs w:val="24"/>
        </w:rPr>
        <w:t xml:space="preserve"> </w:t>
      </w:r>
      <w:r w:rsidRPr="003F687D">
        <w:rPr>
          <w:sz w:val="24"/>
          <w:szCs w:val="24"/>
        </w:rPr>
        <w:t xml:space="preserve">BABAO and IFA, Reading, UK, </w:t>
      </w:r>
      <w:r w:rsidR="009E011C">
        <w:rPr>
          <w:sz w:val="24"/>
          <w:szCs w:val="24"/>
        </w:rPr>
        <w:t>pp.</w:t>
      </w:r>
      <w:r w:rsidRPr="003F687D">
        <w:rPr>
          <w:sz w:val="24"/>
          <w:szCs w:val="24"/>
        </w:rPr>
        <w:t>34-39.</w:t>
      </w:r>
    </w:p>
    <w:p w14:paraId="56ADFB3F" w14:textId="784900E0" w:rsidR="003F687D" w:rsidRDefault="003F687D" w:rsidP="003F687D">
      <w:pPr>
        <w:spacing w:line="480" w:lineRule="auto"/>
        <w:rPr>
          <w:sz w:val="24"/>
          <w:szCs w:val="24"/>
          <w:lang w:val="en-US"/>
        </w:rPr>
      </w:pPr>
      <w:r w:rsidRPr="003F687D">
        <w:rPr>
          <w:sz w:val="24"/>
          <w:szCs w:val="24"/>
          <w:lang w:val="en-US"/>
        </w:rPr>
        <w:t>Roberts</w:t>
      </w:r>
      <w:r w:rsidR="009E011C">
        <w:rPr>
          <w:sz w:val="24"/>
          <w:szCs w:val="24"/>
          <w:lang w:val="en-US"/>
        </w:rPr>
        <w:t>, Charlotte A., and Keith</w:t>
      </w:r>
      <w:r w:rsidRPr="003F687D">
        <w:rPr>
          <w:sz w:val="24"/>
          <w:szCs w:val="24"/>
          <w:lang w:val="en-US"/>
        </w:rPr>
        <w:t xml:space="preserve"> Manchester. 2005. </w:t>
      </w:r>
      <w:r w:rsidRPr="006B3A75">
        <w:rPr>
          <w:i/>
          <w:sz w:val="24"/>
          <w:szCs w:val="24"/>
          <w:lang w:val="en-US"/>
        </w:rPr>
        <w:t>The Archaeology of Disease</w:t>
      </w:r>
      <w:r w:rsidRPr="003F687D">
        <w:rPr>
          <w:sz w:val="24"/>
          <w:szCs w:val="24"/>
          <w:lang w:val="en-US"/>
        </w:rPr>
        <w:t xml:space="preserve">. </w:t>
      </w:r>
      <w:r w:rsidR="009E011C">
        <w:rPr>
          <w:sz w:val="24"/>
          <w:szCs w:val="24"/>
          <w:lang w:val="en-US"/>
        </w:rPr>
        <w:t>The History Press, Stroud.</w:t>
      </w:r>
    </w:p>
    <w:p w14:paraId="3CC09C77" w14:textId="3B46681E" w:rsidR="007A550F" w:rsidRPr="003F687D" w:rsidRDefault="007A550F" w:rsidP="003F687D">
      <w:pPr>
        <w:spacing w:line="480" w:lineRule="auto"/>
        <w:rPr>
          <w:sz w:val="24"/>
          <w:szCs w:val="24"/>
          <w:lang w:val="en-US"/>
        </w:rPr>
      </w:pPr>
      <w:r>
        <w:rPr>
          <w:sz w:val="24"/>
          <w:szCs w:val="24"/>
          <w:lang w:val="en-US"/>
        </w:rPr>
        <w:t xml:space="preserve">Second Report of the Commissioners. 1845. </w:t>
      </w:r>
      <w:r w:rsidRPr="007A550F">
        <w:rPr>
          <w:i/>
          <w:sz w:val="24"/>
          <w:szCs w:val="24"/>
          <w:lang w:val="en-US"/>
        </w:rPr>
        <w:t xml:space="preserve">The State of Large Towns and </w:t>
      </w:r>
      <w:proofErr w:type="spellStart"/>
      <w:r w:rsidRPr="007A550F">
        <w:rPr>
          <w:i/>
          <w:sz w:val="24"/>
          <w:szCs w:val="24"/>
          <w:lang w:val="en-US"/>
        </w:rPr>
        <w:t>Populus</w:t>
      </w:r>
      <w:proofErr w:type="spellEnd"/>
      <w:r w:rsidRPr="007A550F">
        <w:rPr>
          <w:i/>
          <w:sz w:val="24"/>
          <w:szCs w:val="24"/>
          <w:lang w:val="en-US"/>
        </w:rPr>
        <w:t xml:space="preserve"> Districts</w:t>
      </w:r>
      <w:r>
        <w:rPr>
          <w:sz w:val="24"/>
          <w:szCs w:val="24"/>
          <w:lang w:val="en-US"/>
        </w:rPr>
        <w:t xml:space="preserve">. Vol 2. William Clowes and Sons, </w:t>
      </w:r>
      <w:r w:rsidR="00EB5C99">
        <w:rPr>
          <w:sz w:val="24"/>
          <w:szCs w:val="24"/>
          <w:lang w:val="en-US"/>
        </w:rPr>
        <w:t>London.</w:t>
      </w:r>
    </w:p>
    <w:p w14:paraId="6B8C81E4" w14:textId="74A8648C" w:rsidR="003F687D" w:rsidRPr="003F687D" w:rsidRDefault="003F687D" w:rsidP="003F687D">
      <w:pPr>
        <w:spacing w:line="480" w:lineRule="auto"/>
        <w:rPr>
          <w:sz w:val="24"/>
          <w:szCs w:val="24"/>
        </w:rPr>
      </w:pPr>
      <w:r w:rsidRPr="003F687D">
        <w:rPr>
          <w:sz w:val="24"/>
          <w:szCs w:val="24"/>
        </w:rPr>
        <w:lastRenderedPageBreak/>
        <w:t>Santos, A</w:t>
      </w:r>
      <w:r w:rsidR="00745F8A">
        <w:rPr>
          <w:sz w:val="24"/>
          <w:szCs w:val="24"/>
        </w:rPr>
        <w:t>na</w:t>
      </w:r>
      <w:r w:rsidRPr="003F687D">
        <w:rPr>
          <w:sz w:val="24"/>
          <w:szCs w:val="24"/>
        </w:rPr>
        <w:t xml:space="preserve"> L</w:t>
      </w:r>
      <w:r w:rsidR="00745F8A">
        <w:rPr>
          <w:sz w:val="24"/>
          <w:szCs w:val="24"/>
        </w:rPr>
        <w:t>uísa,</w:t>
      </w:r>
      <w:r w:rsidRPr="003F687D">
        <w:rPr>
          <w:sz w:val="24"/>
          <w:szCs w:val="24"/>
        </w:rPr>
        <w:t xml:space="preserve"> </w:t>
      </w:r>
      <w:r w:rsidR="00745F8A">
        <w:rPr>
          <w:sz w:val="24"/>
          <w:szCs w:val="24"/>
        </w:rPr>
        <w:t>Charlotte A.</w:t>
      </w:r>
      <w:r w:rsidRPr="003F687D">
        <w:rPr>
          <w:sz w:val="24"/>
          <w:szCs w:val="24"/>
        </w:rPr>
        <w:t xml:space="preserve"> Roberts. 2001. A picture of tuberculosis in young </w:t>
      </w:r>
      <w:proofErr w:type="spellStart"/>
      <w:r w:rsidRPr="003F687D">
        <w:rPr>
          <w:sz w:val="24"/>
          <w:szCs w:val="24"/>
        </w:rPr>
        <w:t>Portugese</w:t>
      </w:r>
      <w:proofErr w:type="spellEnd"/>
      <w:r w:rsidRPr="003F687D">
        <w:rPr>
          <w:sz w:val="24"/>
          <w:szCs w:val="24"/>
        </w:rPr>
        <w:t xml:space="preserve"> people in the early 20</w:t>
      </w:r>
      <w:r w:rsidRPr="003F687D">
        <w:rPr>
          <w:sz w:val="24"/>
          <w:szCs w:val="24"/>
          <w:vertAlign w:val="superscript"/>
        </w:rPr>
        <w:t>th</w:t>
      </w:r>
      <w:r w:rsidRPr="003F687D">
        <w:rPr>
          <w:sz w:val="24"/>
          <w:szCs w:val="24"/>
        </w:rPr>
        <w:t> century: a multidisciplinary study of the skeletal and historical evidence</w:t>
      </w:r>
      <w:r w:rsidR="00745F8A">
        <w:rPr>
          <w:sz w:val="24"/>
          <w:szCs w:val="24"/>
        </w:rPr>
        <w:t>.</w:t>
      </w:r>
      <w:r w:rsidRPr="003F687D">
        <w:rPr>
          <w:sz w:val="24"/>
          <w:szCs w:val="24"/>
        </w:rPr>
        <w:t> </w:t>
      </w:r>
      <w:r w:rsidRPr="003F687D">
        <w:rPr>
          <w:i/>
          <w:iCs/>
          <w:sz w:val="24"/>
          <w:szCs w:val="24"/>
        </w:rPr>
        <w:t>American Journal of Physical Anthropology</w:t>
      </w:r>
      <w:r w:rsidRPr="003F687D">
        <w:rPr>
          <w:sz w:val="24"/>
          <w:szCs w:val="24"/>
        </w:rPr>
        <w:t> 115:38-49</w:t>
      </w:r>
      <w:r w:rsidR="00745F8A">
        <w:rPr>
          <w:sz w:val="24"/>
          <w:szCs w:val="24"/>
        </w:rPr>
        <w:t>.</w:t>
      </w:r>
    </w:p>
    <w:p w14:paraId="085FF826" w14:textId="37D2E55A" w:rsidR="003F687D" w:rsidRPr="003F687D" w:rsidRDefault="003F687D" w:rsidP="003F687D">
      <w:pPr>
        <w:spacing w:line="480" w:lineRule="auto"/>
        <w:rPr>
          <w:sz w:val="24"/>
          <w:szCs w:val="24"/>
        </w:rPr>
      </w:pPr>
      <w:r w:rsidRPr="003F687D">
        <w:rPr>
          <w:sz w:val="24"/>
          <w:szCs w:val="24"/>
        </w:rPr>
        <w:t>Santos, A</w:t>
      </w:r>
      <w:r w:rsidR="00F05E8E">
        <w:rPr>
          <w:sz w:val="24"/>
          <w:szCs w:val="24"/>
        </w:rPr>
        <w:t>na Luísa, and Charlotte A.</w:t>
      </w:r>
      <w:r w:rsidRPr="003F687D">
        <w:rPr>
          <w:sz w:val="24"/>
          <w:szCs w:val="24"/>
        </w:rPr>
        <w:t xml:space="preserve"> Roberts. 2006. Anatomy of a serial killer: differential diagnosis of tuberculosis based on rib lesions of adult individuals from the Coimbra Identified Skeletal Collection, Portugal</w:t>
      </w:r>
      <w:r w:rsidR="00F05E8E">
        <w:rPr>
          <w:sz w:val="24"/>
          <w:szCs w:val="24"/>
        </w:rPr>
        <w:t>.</w:t>
      </w:r>
      <w:r w:rsidRPr="003F687D">
        <w:rPr>
          <w:sz w:val="24"/>
          <w:szCs w:val="24"/>
        </w:rPr>
        <w:t> </w:t>
      </w:r>
      <w:r w:rsidRPr="003F687D">
        <w:rPr>
          <w:i/>
          <w:iCs/>
          <w:sz w:val="24"/>
          <w:szCs w:val="24"/>
        </w:rPr>
        <w:t>American Journal of Physical Anthropology</w:t>
      </w:r>
      <w:r w:rsidRPr="003F687D">
        <w:rPr>
          <w:sz w:val="24"/>
          <w:szCs w:val="24"/>
        </w:rPr>
        <w:t> 130:38-49</w:t>
      </w:r>
      <w:r w:rsidR="00F05E8E">
        <w:rPr>
          <w:sz w:val="24"/>
          <w:szCs w:val="24"/>
        </w:rPr>
        <w:t>.</w:t>
      </w:r>
    </w:p>
    <w:p w14:paraId="64BF8811" w14:textId="09DE4126" w:rsidR="003F687D" w:rsidRPr="003F687D" w:rsidRDefault="003F687D" w:rsidP="003F687D">
      <w:pPr>
        <w:spacing w:line="480" w:lineRule="auto"/>
        <w:rPr>
          <w:sz w:val="24"/>
          <w:szCs w:val="24"/>
          <w:lang w:val="en-US"/>
        </w:rPr>
      </w:pPr>
      <w:r w:rsidRPr="003F687D">
        <w:rPr>
          <w:sz w:val="24"/>
          <w:szCs w:val="24"/>
          <w:lang w:val="en-US"/>
        </w:rPr>
        <w:t>Saunders</w:t>
      </w:r>
      <w:r w:rsidR="00674786">
        <w:rPr>
          <w:sz w:val="24"/>
          <w:szCs w:val="24"/>
          <w:lang w:val="en-US"/>
        </w:rPr>
        <w:t>, Shelley</w:t>
      </w:r>
      <w:r w:rsidRPr="003F687D">
        <w:rPr>
          <w:sz w:val="24"/>
          <w:szCs w:val="24"/>
          <w:lang w:val="en-US"/>
        </w:rPr>
        <w:t xml:space="preserve"> R</w:t>
      </w:r>
      <w:r w:rsidR="00674786">
        <w:rPr>
          <w:sz w:val="24"/>
          <w:szCs w:val="24"/>
          <w:lang w:val="en-US"/>
        </w:rPr>
        <w:t>.</w:t>
      </w:r>
      <w:r w:rsidRPr="003F687D">
        <w:rPr>
          <w:sz w:val="24"/>
          <w:szCs w:val="24"/>
          <w:lang w:val="en-US"/>
        </w:rPr>
        <w:t xml:space="preserve"> 2008</w:t>
      </w:r>
      <w:r w:rsidR="00674786">
        <w:rPr>
          <w:sz w:val="24"/>
          <w:szCs w:val="24"/>
          <w:lang w:val="en-US"/>
        </w:rPr>
        <w:t>.</w:t>
      </w:r>
      <w:r w:rsidRPr="003F687D">
        <w:rPr>
          <w:sz w:val="24"/>
          <w:szCs w:val="24"/>
          <w:lang w:val="en-US"/>
        </w:rPr>
        <w:t xml:space="preserve"> Juvenile skeletons and growth-related studies. In </w:t>
      </w:r>
      <w:r w:rsidRPr="003F687D">
        <w:rPr>
          <w:i/>
          <w:iCs/>
          <w:sz w:val="24"/>
          <w:szCs w:val="24"/>
          <w:lang w:val="en-US"/>
        </w:rPr>
        <w:t>Biological anthropology of the human skeleton</w:t>
      </w:r>
      <w:r w:rsidR="00674786">
        <w:rPr>
          <w:i/>
          <w:iCs/>
          <w:sz w:val="24"/>
          <w:szCs w:val="24"/>
          <w:lang w:val="en-US"/>
        </w:rPr>
        <w:t xml:space="preserve">, </w:t>
      </w:r>
      <w:r w:rsidR="00674786">
        <w:rPr>
          <w:iCs/>
          <w:sz w:val="24"/>
          <w:szCs w:val="24"/>
          <w:lang w:val="en-US"/>
        </w:rPr>
        <w:t>edited by M. Anne Katzenberg and Shelley R. Saunders. Wiley-</w:t>
      </w:r>
      <w:proofErr w:type="spellStart"/>
      <w:r w:rsidR="00674786">
        <w:rPr>
          <w:iCs/>
          <w:sz w:val="24"/>
          <w:szCs w:val="24"/>
          <w:lang w:val="en-US"/>
        </w:rPr>
        <w:t>Liss</w:t>
      </w:r>
      <w:proofErr w:type="spellEnd"/>
      <w:r w:rsidR="00674786">
        <w:rPr>
          <w:iCs/>
          <w:sz w:val="24"/>
          <w:szCs w:val="24"/>
          <w:lang w:val="en-US"/>
        </w:rPr>
        <w:t>,</w:t>
      </w:r>
      <w:r w:rsidRPr="003F687D">
        <w:rPr>
          <w:i/>
          <w:iCs/>
          <w:sz w:val="24"/>
          <w:szCs w:val="24"/>
          <w:lang w:val="en-US"/>
        </w:rPr>
        <w:t xml:space="preserve"> </w:t>
      </w:r>
      <w:r w:rsidRPr="003F687D">
        <w:rPr>
          <w:sz w:val="24"/>
          <w:szCs w:val="24"/>
          <w:lang w:val="en-US"/>
        </w:rPr>
        <w:t>New York, pp.117-147.</w:t>
      </w:r>
    </w:p>
    <w:p w14:paraId="22D3F235" w14:textId="512B008E" w:rsidR="003F687D" w:rsidRPr="003F687D" w:rsidRDefault="003F687D" w:rsidP="003F687D">
      <w:pPr>
        <w:spacing w:line="480" w:lineRule="auto"/>
        <w:rPr>
          <w:sz w:val="24"/>
          <w:szCs w:val="24"/>
          <w:lang w:val="en-US"/>
        </w:rPr>
      </w:pPr>
      <w:r w:rsidRPr="003F687D">
        <w:rPr>
          <w:sz w:val="24"/>
          <w:szCs w:val="24"/>
          <w:lang w:val="en-US"/>
        </w:rPr>
        <w:t>Scheuer</w:t>
      </w:r>
      <w:r w:rsidR="008400B2">
        <w:rPr>
          <w:sz w:val="24"/>
          <w:szCs w:val="24"/>
          <w:lang w:val="en-US"/>
        </w:rPr>
        <w:t>, Louise,</w:t>
      </w:r>
      <w:r w:rsidRPr="003F687D">
        <w:rPr>
          <w:sz w:val="24"/>
          <w:szCs w:val="24"/>
          <w:lang w:val="en-US"/>
        </w:rPr>
        <w:t xml:space="preserve"> and </w:t>
      </w:r>
      <w:r w:rsidR="008400B2">
        <w:rPr>
          <w:sz w:val="24"/>
          <w:szCs w:val="24"/>
          <w:lang w:val="en-US"/>
        </w:rPr>
        <w:t xml:space="preserve">Sue </w:t>
      </w:r>
      <w:r w:rsidRPr="003F687D">
        <w:rPr>
          <w:sz w:val="24"/>
          <w:szCs w:val="24"/>
          <w:lang w:val="en-US"/>
        </w:rPr>
        <w:t>Black</w:t>
      </w:r>
      <w:r w:rsidR="008400B2">
        <w:rPr>
          <w:sz w:val="24"/>
          <w:szCs w:val="24"/>
          <w:lang w:val="en-US"/>
        </w:rPr>
        <w:t xml:space="preserve">. </w:t>
      </w:r>
      <w:r w:rsidRPr="003F687D">
        <w:rPr>
          <w:sz w:val="24"/>
          <w:szCs w:val="24"/>
          <w:lang w:val="en-US"/>
        </w:rPr>
        <w:t>2000</w:t>
      </w:r>
      <w:r w:rsidR="008400B2">
        <w:rPr>
          <w:sz w:val="24"/>
          <w:szCs w:val="24"/>
          <w:lang w:val="en-US"/>
        </w:rPr>
        <w:t>.</w:t>
      </w:r>
      <w:r w:rsidRPr="003F687D">
        <w:rPr>
          <w:sz w:val="24"/>
          <w:szCs w:val="24"/>
          <w:lang w:val="en-US"/>
        </w:rPr>
        <w:t xml:space="preserve"> </w:t>
      </w:r>
      <w:r w:rsidRPr="003F687D">
        <w:rPr>
          <w:i/>
          <w:sz w:val="24"/>
          <w:szCs w:val="24"/>
          <w:lang w:val="en-US"/>
        </w:rPr>
        <w:t>Developmental Juvenile Osteology</w:t>
      </w:r>
      <w:r w:rsidRPr="003F687D">
        <w:rPr>
          <w:sz w:val="24"/>
          <w:szCs w:val="24"/>
          <w:lang w:val="en-US"/>
        </w:rPr>
        <w:t xml:space="preserve">. </w:t>
      </w:r>
      <w:r w:rsidR="008400B2">
        <w:rPr>
          <w:sz w:val="24"/>
          <w:szCs w:val="24"/>
          <w:lang w:val="en-US"/>
        </w:rPr>
        <w:t xml:space="preserve">Academic Press, </w:t>
      </w:r>
      <w:r w:rsidRPr="003F687D">
        <w:rPr>
          <w:sz w:val="24"/>
          <w:szCs w:val="24"/>
          <w:lang w:val="en-US"/>
        </w:rPr>
        <w:t>London.</w:t>
      </w:r>
    </w:p>
    <w:p w14:paraId="37FFA2A9" w14:textId="3356EFC0" w:rsidR="003F687D" w:rsidRPr="003F687D" w:rsidRDefault="003F687D" w:rsidP="003F687D">
      <w:pPr>
        <w:spacing w:line="480" w:lineRule="auto"/>
        <w:rPr>
          <w:sz w:val="24"/>
          <w:szCs w:val="24"/>
          <w:lang w:val="en-US"/>
        </w:rPr>
      </w:pPr>
      <w:r w:rsidRPr="003F687D">
        <w:rPr>
          <w:sz w:val="24"/>
          <w:szCs w:val="24"/>
        </w:rPr>
        <w:t>Shameem, M</w:t>
      </w:r>
      <w:r w:rsidR="00A21223">
        <w:rPr>
          <w:sz w:val="24"/>
          <w:szCs w:val="24"/>
        </w:rPr>
        <w:t>ohammad, Talha</w:t>
      </w:r>
      <w:r w:rsidRPr="003F687D">
        <w:rPr>
          <w:sz w:val="24"/>
          <w:szCs w:val="24"/>
        </w:rPr>
        <w:t xml:space="preserve"> Saad,</w:t>
      </w:r>
      <w:r w:rsidR="00A21223">
        <w:rPr>
          <w:sz w:val="24"/>
          <w:szCs w:val="24"/>
        </w:rPr>
        <w:t xml:space="preserve"> Rakesh</w:t>
      </w:r>
      <w:r w:rsidRPr="003F687D">
        <w:rPr>
          <w:sz w:val="24"/>
          <w:szCs w:val="24"/>
        </w:rPr>
        <w:t xml:space="preserve"> Bhargava,</w:t>
      </w:r>
      <w:r w:rsidR="00A21223">
        <w:rPr>
          <w:sz w:val="24"/>
          <w:szCs w:val="24"/>
        </w:rPr>
        <w:t xml:space="preserve"> Zuber</w:t>
      </w:r>
      <w:r w:rsidRPr="003F687D">
        <w:rPr>
          <w:sz w:val="24"/>
          <w:szCs w:val="24"/>
        </w:rPr>
        <w:t xml:space="preserve"> Ahmad,</w:t>
      </w:r>
      <w:r w:rsidR="00A21223">
        <w:rPr>
          <w:sz w:val="24"/>
          <w:szCs w:val="24"/>
        </w:rPr>
        <w:t xml:space="preserve"> </w:t>
      </w:r>
      <w:proofErr w:type="spellStart"/>
      <w:r w:rsidR="00A21223">
        <w:rPr>
          <w:sz w:val="24"/>
          <w:szCs w:val="24"/>
        </w:rPr>
        <w:t>Nazish</w:t>
      </w:r>
      <w:proofErr w:type="spellEnd"/>
      <w:r w:rsidRPr="003F687D">
        <w:rPr>
          <w:sz w:val="24"/>
          <w:szCs w:val="24"/>
        </w:rPr>
        <w:t xml:space="preserve"> Fatima,</w:t>
      </w:r>
      <w:r w:rsidR="00A21223">
        <w:rPr>
          <w:sz w:val="24"/>
          <w:szCs w:val="24"/>
        </w:rPr>
        <w:t xml:space="preserve"> </w:t>
      </w:r>
      <w:proofErr w:type="spellStart"/>
      <w:r w:rsidR="00A21223">
        <w:rPr>
          <w:sz w:val="24"/>
          <w:szCs w:val="24"/>
        </w:rPr>
        <w:t>Haris</w:t>
      </w:r>
      <w:proofErr w:type="spellEnd"/>
      <w:r w:rsidR="00A21223">
        <w:rPr>
          <w:sz w:val="24"/>
          <w:szCs w:val="24"/>
        </w:rPr>
        <w:t xml:space="preserve"> K</w:t>
      </w:r>
      <w:r w:rsidRPr="003F687D">
        <w:rPr>
          <w:sz w:val="24"/>
          <w:szCs w:val="24"/>
        </w:rPr>
        <w:t>han,</w:t>
      </w:r>
      <w:r w:rsidR="00A21223">
        <w:rPr>
          <w:sz w:val="24"/>
          <w:szCs w:val="24"/>
        </w:rPr>
        <w:t xml:space="preserve"> and </w:t>
      </w:r>
      <w:proofErr w:type="spellStart"/>
      <w:r w:rsidR="00A21223">
        <w:rPr>
          <w:sz w:val="24"/>
          <w:szCs w:val="24"/>
        </w:rPr>
        <w:t>Fakhrul</w:t>
      </w:r>
      <w:proofErr w:type="spellEnd"/>
      <w:r w:rsidRPr="003F687D">
        <w:rPr>
          <w:sz w:val="24"/>
          <w:szCs w:val="24"/>
        </w:rPr>
        <w:t xml:space="preserve"> Huda. 2009. Frontal bone tuberculosis presenting with blindness in a 14-year-old girl: a case report</w:t>
      </w:r>
      <w:r w:rsidR="00A21223">
        <w:rPr>
          <w:sz w:val="24"/>
          <w:szCs w:val="24"/>
        </w:rPr>
        <w:t>.</w:t>
      </w:r>
      <w:r w:rsidRPr="003F687D">
        <w:rPr>
          <w:sz w:val="24"/>
          <w:szCs w:val="24"/>
        </w:rPr>
        <w:t> </w:t>
      </w:r>
      <w:r w:rsidRPr="003F687D">
        <w:rPr>
          <w:i/>
          <w:iCs/>
          <w:sz w:val="24"/>
          <w:szCs w:val="24"/>
        </w:rPr>
        <w:t>Journal of Medical Case Reports</w:t>
      </w:r>
      <w:r w:rsidRPr="003F687D">
        <w:rPr>
          <w:sz w:val="24"/>
          <w:szCs w:val="24"/>
        </w:rPr>
        <w:t> 3:8220</w:t>
      </w:r>
      <w:r w:rsidR="00A21223">
        <w:rPr>
          <w:sz w:val="24"/>
          <w:szCs w:val="24"/>
        </w:rPr>
        <w:t>.</w:t>
      </w:r>
    </w:p>
    <w:p w14:paraId="65100B34" w14:textId="74B0A69D" w:rsidR="003F687D" w:rsidRPr="003F687D" w:rsidRDefault="003F687D" w:rsidP="003F687D">
      <w:pPr>
        <w:spacing w:line="480" w:lineRule="auto"/>
        <w:rPr>
          <w:sz w:val="24"/>
          <w:szCs w:val="24"/>
        </w:rPr>
      </w:pPr>
      <w:proofErr w:type="spellStart"/>
      <w:r w:rsidRPr="003F687D">
        <w:rPr>
          <w:sz w:val="24"/>
          <w:szCs w:val="24"/>
        </w:rPr>
        <w:t>Shapland</w:t>
      </w:r>
      <w:proofErr w:type="spellEnd"/>
      <w:r w:rsidR="00B05BE3">
        <w:rPr>
          <w:sz w:val="24"/>
          <w:szCs w:val="24"/>
        </w:rPr>
        <w:t>,</w:t>
      </w:r>
      <w:r w:rsidRPr="003F687D">
        <w:rPr>
          <w:sz w:val="24"/>
          <w:szCs w:val="24"/>
        </w:rPr>
        <w:t xml:space="preserve"> F</w:t>
      </w:r>
      <w:r w:rsidR="00B05BE3">
        <w:rPr>
          <w:sz w:val="24"/>
          <w:szCs w:val="24"/>
        </w:rPr>
        <w:t>iona</w:t>
      </w:r>
      <w:r w:rsidRPr="003F687D">
        <w:rPr>
          <w:sz w:val="24"/>
          <w:szCs w:val="24"/>
        </w:rPr>
        <w:t>,</w:t>
      </w:r>
      <w:r w:rsidR="00B05BE3">
        <w:rPr>
          <w:sz w:val="24"/>
          <w:szCs w:val="24"/>
        </w:rPr>
        <w:t xml:space="preserve"> and Mary E.</w:t>
      </w:r>
      <w:r w:rsidRPr="003F687D">
        <w:rPr>
          <w:sz w:val="24"/>
          <w:szCs w:val="24"/>
        </w:rPr>
        <w:t xml:space="preserve"> Lewis. 2013. Brief communication: a proposed osteological method for the estimation of pubertal stage in human skeletal remains. </w:t>
      </w:r>
      <w:r w:rsidR="00B05BE3">
        <w:rPr>
          <w:i/>
          <w:sz w:val="24"/>
          <w:szCs w:val="24"/>
        </w:rPr>
        <w:t>American Journal of Physical Anthropology</w:t>
      </w:r>
      <w:r w:rsidRPr="003F687D">
        <w:rPr>
          <w:sz w:val="24"/>
          <w:szCs w:val="24"/>
        </w:rPr>
        <w:t xml:space="preserve"> 151:302-310.</w:t>
      </w:r>
    </w:p>
    <w:p w14:paraId="338AB39E" w14:textId="430200CF" w:rsidR="003F687D" w:rsidRPr="003F687D" w:rsidRDefault="003F687D" w:rsidP="003F687D">
      <w:pPr>
        <w:spacing w:line="480" w:lineRule="auto"/>
        <w:rPr>
          <w:sz w:val="24"/>
          <w:szCs w:val="24"/>
        </w:rPr>
      </w:pPr>
      <w:proofErr w:type="spellStart"/>
      <w:r w:rsidRPr="003F687D">
        <w:rPr>
          <w:sz w:val="24"/>
          <w:szCs w:val="24"/>
        </w:rPr>
        <w:t>Shapland</w:t>
      </w:r>
      <w:proofErr w:type="spellEnd"/>
      <w:r w:rsidR="00CD7EF2">
        <w:rPr>
          <w:sz w:val="24"/>
          <w:szCs w:val="24"/>
        </w:rPr>
        <w:t>,</w:t>
      </w:r>
      <w:r w:rsidRPr="003F687D">
        <w:rPr>
          <w:sz w:val="24"/>
          <w:szCs w:val="24"/>
        </w:rPr>
        <w:t xml:space="preserve"> F</w:t>
      </w:r>
      <w:r w:rsidR="00CD7EF2">
        <w:rPr>
          <w:sz w:val="24"/>
          <w:szCs w:val="24"/>
        </w:rPr>
        <w:t>iona</w:t>
      </w:r>
      <w:r w:rsidRPr="003F687D">
        <w:rPr>
          <w:sz w:val="24"/>
          <w:szCs w:val="24"/>
        </w:rPr>
        <w:t>,</w:t>
      </w:r>
      <w:r w:rsidR="00CD7EF2">
        <w:rPr>
          <w:sz w:val="24"/>
          <w:szCs w:val="24"/>
        </w:rPr>
        <w:t xml:space="preserve"> and Mary E.</w:t>
      </w:r>
      <w:r w:rsidRPr="003F687D">
        <w:rPr>
          <w:sz w:val="24"/>
          <w:szCs w:val="24"/>
        </w:rPr>
        <w:t xml:space="preserve"> Lewis. 2014. Brief communication: a proposed method for the assessment of pubertal stage in human skeletal remains using cervical vertebrae maturation. </w:t>
      </w:r>
      <w:r w:rsidR="00CD7EF2">
        <w:rPr>
          <w:i/>
          <w:sz w:val="24"/>
          <w:szCs w:val="24"/>
        </w:rPr>
        <w:t>American Journal of Physical Anthropology</w:t>
      </w:r>
      <w:r w:rsidRPr="003F687D">
        <w:rPr>
          <w:sz w:val="24"/>
          <w:szCs w:val="24"/>
        </w:rPr>
        <w:t xml:space="preserve"> 153:144-153.</w:t>
      </w:r>
    </w:p>
    <w:p w14:paraId="6B197330" w14:textId="1BE89842" w:rsidR="003F687D" w:rsidRPr="003F687D" w:rsidRDefault="003F687D" w:rsidP="003F687D">
      <w:pPr>
        <w:spacing w:line="480" w:lineRule="auto"/>
        <w:rPr>
          <w:sz w:val="24"/>
          <w:szCs w:val="24"/>
        </w:rPr>
      </w:pPr>
      <w:r w:rsidRPr="003F687D">
        <w:rPr>
          <w:sz w:val="24"/>
          <w:szCs w:val="24"/>
        </w:rPr>
        <w:lastRenderedPageBreak/>
        <w:t xml:space="preserve">Sheikh, </w:t>
      </w:r>
      <w:proofErr w:type="spellStart"/>
      <w:r w:rsidRPr="003F687D">
        <w:rPr>
          <w:sz w:val="24"/>
          <w:szCs w:val="24"/>
        </w:rPr>
        <w:t>S</w:t>
      </w:r>
      <w:r w:rsidR="00F405E3">
        <w:rPr>
          <w:sz w:val="24"/>
          <w:szCs w:val="24"/>
        </w:rPr>
        <w:t>oheyl</w:t>
      </w:r>
      <w:proofErr w:type="spellEnd"/>
      <w:r w:rsidR="00F405E3">
        <w:rPr>
          <w:sz w:val="24"/>
          <w:szCs w:val="24"/>
        </w:rPr>
        <w:t>, S.</w:t>
      </w:r>
      <w:r w:rsidRPr="003F687D">
        <w:rPr>
          <w:sz w:val="24"/>
          <w:szCs w:val="24"/>
        </w:rPr>
        <w:t xml:space="preserve"> </w:t>
      </w:r>
      <w:proofErr w:type="spellStart"/>
      <w:r w:rsidRPr="003F687D">
        <w:rPr>
          <w:sz w:val="24"/>
          <w:szCs w:val="24"/>
        </w:rPr>
        <w:t>Pallagatti</w:t>
      </w:r>
      <w:proofErr w:type="spellEnd"/>
      <w:r w:rsidRPr="003F687D">
        <w:rPr>
          <w:sz w:val="24"/>
          <w:szCs w:val="24"/>
        </w:rPr>
        <w:t xml:space="preserve">, </w:t>
      </w:r>
      <w:r w:rsidR="00F405E3">
        <w:rPr>
          <w:sz w:val="24"/>
          <w:szCs w:val="24"/>
        </w:rPr>
        <w:t xml:space="preserve">Deepak </w:t>
      </w:r>
      <w:r w:rsidRPr="003F687D">
        <w:rPr>
          <w:sz w:val="24"/>
          <w:szCs w:val="24"/>
        </w:rPr>
        <w:t>Gupta, and</w:t>
      </w:r>
      <w:r w:rsidR="00F405E3">
        <w:rPr>
          <w:sz w:val="24"/>
          <w:szCs w:val="24"/>
        </w:rPr>
        <w:t xml:space="preserve"> Amit</w:t>
      </w:r>
      <w:r w:rsidRPr="003F687D">
        <w:rPr>
          <w:sz w:val="24"/>
          <w:szCs w:val="24"/>
        </w:rPr>
        <w:t xml:space="preserve"> Mittal. 2012. Tuberculous osteomyelitis of mandibular condyle: a diagnostic dilemma</w:t>
      </w:r>
      <w:r w:rsidR="00F405E3">
        <w:rPr>
          <w:sz w:val="24"/>
          <w:szCs w:val="24"/>
        </w:rPr>
        <w:t>.</w:t>
      </w:r>
      <w:r w:rsidRPr="003F687D">
        <w:rPr>
          <w:sz w:val="24"/>
          <w:szCs w:val="24"/>
        </w:rPr>
        <w:t> </w:t>
      </w:r>
      <w:proofErr w:type="spellStart"/>
      <w:r w:rsidRPr="003F687D">
        <w:rPr>
          <w:i/>
          <w:iCs/>
          <w:sz w:val="24"/>
          <w:szCs w:val="24"/>
        </w:rPr>
        <w:t>Dentomaxillofacial</w:t>
      </w:r>
      <w:proofErr w:type="spellEnd"/>
      <w:r w:rsidRPr="003F687D">
        <w:rPr>
          <w:i/>
          <w:iCs/>
          <w:sz w:val="24"/>
          <w:szCs w:val="24"/>
        </w:rPr>
        <w:t xml:space="preserve"> Radiology</w:t>
      </w:r>
      <w:r w:rsidRPr="003F687D">
        <w:rPr>
          <w:sz w:val="24"/>
          <w:szCs w:val="24"/>
        </w:rPr>
        <w:t> 41:169-174</w:t>
      </w:r>
      <w:r w:rsidR="00F405E3">
        <w:rPr>
          <w:sz w:val="24"/>
          <w:szCs w:val="24"/>
        </w:rPr>
        <w:t>.</w:t>
      </w:r>
    </w:p>
    <w:p w14:paraId="4A64DA85" w14:textId="4FF92452" w:rsidR="003F687D" w:rsidRPr="003F687D" w:rsidRDefault="003F687D" w:rsidP="003F687D">
      <w:pPr>
        <w:spacing w:line="480" w:lineRule="auto"/>
        <w:rPr>
          <w:sz w:val="24"/>
          <w:szCs w:val="24"/>
          <w:lang w:val="en-US"/>
        </w:rPr>
      </w:pPr>
      <w:r w:rsidRPr="003F687D">
        <w:rPr>
          <w:sz w:val="24"/>
          <w:szCs w:val="24"/>
          <w:lang w:val="en-US"/>
        </w:rPr>
        <w:t>Smith</w:t>
      </w:r>
      <w:r w:rsidR="00504091">
        <w:rPr>
          <w:sz w:val="24"/>
          <w:szCs w:val="24"/>
          <w:lang w:val="en-US"/>
        </w:rPr>
        <w:t xml:space="preserve">, B. Holly. </w:t>
      </w:r>
      <w:r w:rsidRPr="003F687D">
        <w:rPr>
          <w:sz w:val="24"/>
          <w:szCs w:val="24"/>
          <w:lang w:val="en-US"/>
        </w:rPr>
        <w:t>1991</w:t>
      </w:r>
      <w:r w:rsidR="00504091">
        <w:rPr>
          <w:sz w:val="24"/>
          <w:szCs w:val="24"/>
          <w:lang w:val="en-US"/>
        </w:rPr>
        <w:t>.</w:t>
      </w:r>
      <w:r w:rsidRPr="003F687D">
        <w:rPr>
          <w:sz w:val="24"/>
          <w:szCs w:val="24"/>
          <w:lang w:val="en-US"/>
        </w:rPr>
        <w:t xml:space="preserve"> Standards of human tooth formation and dental age assessment. In </w:t>
      </w:r>
      <w:r w:rsidRPr="003F687D">
        <w:rPr>
          <w:i/>
          <w:iCs/>
          <w:sz w:val="24"/>
          <w:szCs w:val="24"/>
          <w:lang w:val="en-US"/>
        </w:rPr>
        <w:t>Advances in dental anthropology</w:t>
      </w:r>
      <w:r w:rsidR="00504091">
        <w:rPr>
          <w:i/>
          <w:iCs/>
          <w:sz w:val="24"/>
          <w:szCs w:val="24"/>
          <w:lang w:val="en-US"/>
        </w:rPr>
        <w:t xml:space="preserve">, </w:t>
      </w:r>
      <w:r w:rsidR="00504091">
        <w:rPr>
          <w:iCs/>
          <w:sz w:val="24"/>
          <w:szCs w:val="24"/>
          <w:lang w:val="en-US"/>
        </w:rPr>
        <w:t>edited by Marc A. Kelley and Clark Spencer Larsen. Wiley-</w:t>
      </w:r>
      <w:proofErr w:type="spellStart"/>
      <w:r w:rsidR="00504091">
        <w:rPr>
          <w:iCs/>
          <w:sz w:val="24"/>
          <w:szCs w:val="24"/>
          <w:lang w:val="en-US"/>
        </w:rPr>
        <w:t>Liss</w:t>
      </w:r>
      <w:proofErr w:type="spellEnd"/>
      <w:r w:rsidR="00504091">
        <w:rPr>
          <w:iCs/>
          <w:sz w:val="24"/>
          <w:szCs w:val="24"/>
          <w:lang w:val="en-US"/>
        </w:rPr>
        <w:t>, New York, pp.</w:t>
      </w:r>
      <w:r w:rsidRPr="003F687D">
        <w:rPr>
          <w:sz w:val="24"/>
          <w:szCs w:val="24"/>
          <w:lang w:val="en-US"/>
        </w:rPr>
        <w:t>143–168.</w:t>
      </w:r>
    </w:p>
    <w:p w14:paraId="1A1FF151" w14:textId="42C42304" w:rsidR="003F687D" w:rsidRPr="003F687D" w:rsidRDefault="003F687D" w:rsidP="003F687D">
      <w:pPr>
        <w:spacing w:line="480" w:lineRule="auto"/>
        <w:rPr>
          <w:sz w:val="24"/>
          <w:szCs w:val="24"/>
        </w:rPr>
      </w:pPr>
      <w:r w:rsidRPr="003F687D">
        <w:rPr>
          <w:sz w:val="24"/>
          <w:szCs w:val="24"/>
        </w:rPr>
        <w:t>Snow</w:t>
      </w:r>
      <w:r w:rsidR="004A4A2B">
        <w:rPr>
          <w:sz w:val="24"/>
          <w:szCs w:val="24"/>
        </w:rPr>
        <w:t>,</w:t>
      </w:r>
      <w:r w:rsidRPr="003F687D">
        <w:rPr>
          <w:sz w:val="24"/>
          <w:szCs w:val="24"/>
        </w:rPr>
        <w:t xml:space="preserve"> J</w:t>
      </w:r>
      <w:r w:rsidR="004A4A2B">
        <w:rPr>
          <w:sz w:val="24"/>
          <w:szCs w:val="24"/>
        </w:rPr>
        <w:t>ohn.</w:t>
      </w:r>
      <w:r w:rsidRPr="003F687D">
        <w:rPr>
          <w:sz w:val="24"/>
          <w:szCs w:val="24"/>
        </w:rPr>
        <w:t xml:space="preserve"> 1857. On the adulteration of bread as a cause of rickets. </w:t>
      </w:r>
      <w:r w:rsidRPr="003F687D">
        <w:rPr>
          <w:i/>
          <w:iCs/>
          <w:sz w:val="24"/>
          <w:szCs w:val="24"/>
        </w:rPr>
        <w:t>Lancet</w:t>
      </w:r>
      <w:r w:rsidRPr="003F687D">
        <w:rPr>
          <w:iCs/>
          <w:sz w:val="24"/>
          <w:szCs w:val="24"/>
        </w:rPr>
        <w:t xml:space="preserve"> 2</w:t>
      </w:r>
      <w:r w:rsidR="004A4A2B">
        <w:rPr>
          <w:iCs/>
          <w:sz w:val="24"/>
          <w:szCs w:val="24"/>
        </w:rPr>
        <w:t>:</w:t>
      </w:r>
      <w:r w:rsidRPr="003F687D">
        <w:rPr>
          <w:iCs/>
          <w:sz w:val="24"/>
          <w:szCs w:val="24"/>
        </w:rPr>
        <w:t>4-5.</w:t>
      </w:r>
    </w:p>
    <w:p w14:paraId="56797176" w14:textId="51B852DA" w:rsidR="003F687D" w:rsidRDefault="003F687D" w:rsidP="003F687D">
      <w:pPr>
        <w:spacing w:line="480" w:lineRule="auto"/>
        <w:rPr>
          <w:sz w:val="24"/>
          <w:szCs w:val="24"/>
          <w:lang w:val="en-US"/>
        </w:rPr>
      </w:pPr>
      <w:r w:rsidRPr="003F687D">
        <w:rPr>
          <w:sz w:val="24"/>
          <w:szCs w:val="24"/>
          <w:lang w:val="en-US"/>
        </w:rPr>
        <w:t>Stark</w:t>
      </w:r>
      <w:r w:rsidR="004A4A2B">
        <w:rPr>
          <w:sz w:val="24"/>
          <w:szCs w:val="24"/>
          <w:lang w:val="en-US"/>
        </w:rPr>
        <w:t>, Robert J.</w:t>
      </w:r>
      <w:r w:rsidRPr="003F687D">
        <w:rPr>
          <w:sz w:val="24"/>
          <w:szCs w:val="24"/>
          <w:lang w:val="en-US"/>
        </w:rPr>
        <w:t xml:space="preserve"> 2014. A proposed framework for the study of </w:t>
      </w:r>
      <w:proofErr w:type="spellStart"/>
      <w:r w:rsidRPr="003F687D">
        <w:rPr>
          <w:sz w:val="24"/>
          <w:szCs w:val="24"/>
          <w:lang w:val="en-US"/>
        </w:rPr>
        <w:t>palaeopathological</w:t>
      </w:r>
      <w:proofErr w:type="spellEnd"/>
      <w:r w:rsidRPr="003F687D">
        <w:rPr>
          <w:sz w:val="24"/>
          <w:szCs w:val="24"/>
          <w:lang w:val="en-US"/>
        </w:rPr>
        <w:t xml:space="preserve"> cases of scurvy. </w:t>
      </w:r>
      <w:r w:rsidRPr="006B3A75">
        <w:rPr>
          <w:i/>
          <w:sz w:val="24"/>
          <w:szCs w:val="24"/>
          <w:lang w:val="en-US"/>
        </w:rPr>
        <w:t>International journal of Palaeopathology</w:t>
      </w:r>
      <w:r w:rsidRPr="003F687D">
        <w:rPr>
          <w:sz w:val="24"/>
          <w:szCs w:val="24"/>
          <w:lang w:val="en-US"/>
        </w:rPr>
        <w:t xml:space="preserve"> 5</w:t>
      </w:r>
      <w:r w:rsidR="004A4A2B">
        <w:rPr>
          <w:sz w:val="24"/>
          <w:szCs w:val="24"/>
          <w:lang w:val="en-US"/>
        </w:rPr>
        <w:t>:</w:t>
      </w:r>
      <w:r w:rsidRPr="003F687D">
        <w:rPr>
          <w:sz w:val="24"/>
          <w:szCs w:val="24"/>
          <w:lang w:val="en-US"/>
        </w:rPr>
        <w:t>18-26.</w:t>
      </w:r>
    </w:p>
    <w:p w14:paraId="2A34DB8B" w14:textId="5A0902E2" w:rsidR="00765680" w:rsidRPr="003F687D" w:rsidRDefault="00765680" w:rsidP="003F687D">
      <w:pPr>
        <w:spacing w:line="480" w:lineRule="auto"/>
        <w:rPr>
          <w:sz w:val="24"/>
          <w:szCs w:val="24"/>
          <w:lang w:val="en-US"/>
        </w:rPr>
      </w:pPr>
      <w:r>
        <w:rPr>
          <w:sz w:val="24"/>
          <w:szCs w:val="24"/>
          <w:lang w:val="en-US"/>
        </w:rPr>
        <w:t xml:space="preserve">Stuart-Macadam, Patricia. 1991. </w:t>
      </w:r>
      <w:r w:rsidRPr="00765680">
        <w:rPr>
          <w:sz w:val="24"/>
          <w:szCs w:val="24"/>
        </w:rPr>
        <w:t xml:space="preserve">Anaemia in Roman Britain. In H. Bush and M. </w:t>
      </w:r>
      <w:proofErr w:type="spellStart"/>
      <w:r w:rsidRPr="00765680">
        <w:rPr>
          <w:sz w:val="24"/>
          <w:szCs w:val="24"/>
        </w:rPr>
        <w:t>Zvelebil</w:t>
      </w:r>
      <w:proofErr w:type="spellEnd"/>
      <w:r w:rsidRPr="00765680">
        <w:rPr>
          <w:sz w:val="24"/>
          <w:szCs w:val="24"/>
        </w:rPr>
        <w:t xml:space="preserve"> (</w:t>
      </w:r>
      <w:proofErr w:type="spellStart"/>
      <w:r w:rsidRPr="00765680">
        <w:rPr>
          <w:sz w:val="24"/>
          <w:szCs w:val="24"/>
        </w:rPr>
        <w:t>eds</w:t>
      </w:r>
      <w:proofErr w:type="spellEnd"/>
      <w:r w:rsidRPr="00765680">
        <w:rPr>
          <w:sz w:val="24"/>
          <w:szCs w:val="24"/>
        </w:rPr>
        <w:t xml:space="preserve">) </w:t>
      </w:r>
      <w:r w:rsidRPr="00765680">
        <w:rPr>
          <w:i/>
          <w:sz w:val="24"/>
          <w:szCs w:val="24"/>
        </w:rPr>
        <w:t>Health in Past Societies. Biocultural interpretations of human remains in archaeological contexts</w:t>
      </w:r>
      <w:r w:rsidRPr="00765680">
        <w:rPr>
          <w:sz w:val="24"/>
          <w:szCs w:val="24"/>
        </w:rPr>
        <w:t xml:space="preserve">. Oxford, Tempus </w:t>
      </w:r>
      <w:proofErr w:type="spellStart"/>
      <w:r w:rsidRPr="00765680">
        <w:rPr>
          <w:sz w:val="24"/>
          <w:szCs w:val="24"/>
        </w:rPr>
        <w:t>Reparatum</w:t>
      </w:r>
      <w:proofErr w:type="spellEnd"/>
      <w:r w:rsidRPr="00765680">
        <w:rPr>
          <w:sz w:val="24"/>
          <w:szCs w:val="24"/>
        </w:rPr>
        <w:t>, British Archaeological Reports. International Series 567 pp101-13.</w:t>
      </w:r>
    </w:p>
    <w:p w14:paraId="4F6A63ED" w14:textId="6BC3A1BC" w:rsidR="003F687D" w:rsidRDefault="003F687D" w:rsidP="003F687D">
      <w:pPr>
        <w:spacing w:line="480" w:lineRule="auto"/>
        <w:rPr>
          <w:sz w:val="24"/>
          <w:szCs w:val="24"/>
          <w:lang w:val="en-US"/>
        </w:rPr>
      </w:pPr>
      <w:r w:rsidRPr="003F687D">
        <w:rPr>
          <w:sz w:val="24"/>
          <w:szCs w:val="24"/>
          <w:lang w:val="en-US"/>
        </w:rPr>
        <w:t>Wilkes, S</w:t>
      </w:r>
      <w:r w:rsidR="00586087">
        <w:rPr>
          <w:sz w:val="24"/>
          <w:szCs w:val="24"/>
          <w:lang w:val="en-US"/>
        </w:rPr>
        <w:t>ue</w:t>
      </w:r>
      <w:r w:rsidRPr="003F687D">
        <w:rPr>
          <w:sz w:val="24"/>
          <w:szCs w:val="24"/>
          <w:lang w:val="en-US"/>
        </w:rPr>
        <w:t xml:space="preserve">. 2011. </w:t>
      </w:r>
      <w:r w:rsidRPr="006B3A75">
        <w:rPr>
          <w:i/>
          <w:sz w:val="24"/>
          <w:szCs w:val="24"/>
          <w:lang w:val="en-US"/>
        </w:rPr>
        <w:t>The Children History Forgot. Young Workers of the Industrial Age.</w:t>
      </w:r>
      <w:r w:rsidRPr="003F687D">
        <w:rPr>
          <w:sz w:val="24"/>
          <w:szCs w:val="24"/>
          <w:lang w:val="en-US"/>
        </w:rPr>
        <w:t xml:space="preserve"> Robert Hale, London. </w:t>
      </w:r>
    </w:p>
    <w:p w14:paraId="26C08B58" w14:textId="3670FC77" w:rsidR="00765680" w:rsidRPr="003F687D" w:rsidRDefault="00765680" w:rsidP="003F687D">
      <w:pPr>
        <w:spacing w:line="480" w:lineRule="auto"/>
        <w:rPr>
          <w:sz w:val="24"/>
          <w:szCs w:val="24"/>
          <w:lang w:val="en-US"/>
        </w:rPr>
      </w:pPr>
      <w:r>
        <w:rPr>
          <w:sz w:val="24"/>
          <w:szCs w:val="24"/>
          <w:lang w:val="en-US"/>
        </w:rPr>
        <w:t xml:space="preserve">Wohl, Anthony S. 1983. </w:t>
      </w:r>
      <w:r w:rsidRPr="00765680">
        <w:rPr>
          <w:i/>
          <w:sz w:val="24"/>
          <w:szCs w:val="24"/>
          <w:lang w:val="en-US"/>
        </w:rPr>
        <w:t>Endangered Lives: Public Health in Victorian England</w:t>
      </w:r>
      <w:r>
        <w:rPr>
          <w:sz w:val="24"/>
          <w:szCs w:val="24"/>
          <w:lang w:val="en-US"/>
        </w:rPr>
        <w:t>. Harvard University Press. Massachusetts, USA.</w:t>
      </w:r>
    </w:p>
    <w:p w14:paraId="3F8855C3" w14:textId="22856973" w:rsidR="003F687D" w:rsidRDefault="003F687D" w:rsidP="003F687D">
      <w:pPr>
        <w:spacing w:line="480" w:lineRule="auto"/>
        <w:rPr>
          <w:sz w:val="24"/>
          <w:szCs w:val="24"/>
        </w:rPr>
      </w:pPr>
      <w:r w:rsidRPr="003F687D">
        <w:rPr>
          <w:sz w:val="24"/>
          <w:szCs w:val="24"/>
        </w:rPr>
        <w:t>Wood, J</w:t>
      </w:r>
      <w:r w:rsidR="00586087">
        <w:rPr>
          <w:sz w:val="24"/>
          <w:szCs w:val="24"/>
        </w:rPr>
        <w:t xml:space="preserve">ames W., George R. </w:t>
      </w:r>
      <w:r w:rsidRPr="003F687D">
        <w:rPr>
          <w:sz w:val="24"/>
          <w:szCs w:val="24"/>
        </w:rPr>
        <w:t>Milner,</w:t>
      </w:r>
      <w:r w:rsidR="00586087">
        <w:rPr>
          <w:sz w:val="24"/>
          <w:szCs w:val="24"/>
        </w:rPr>
        <w:t xml:space="preserve"> Henry C.</w:t>
      </w:r>
      <w:r w:rsidRPr="003F687D">
        <w:rPr>
          <w:sz w:val="24"/>
          <w:szCs w:val="24"/>
        </w:rPr>
        <w:t xml:space="preserve"> </w:t>
      </w:r>
      <w:proofErr w:type="spellStart"/>
      <w:r w:rsidRPr="003F687D">
        <w:rPr>
          <w:sz w:val="24"/>
          <w:szCs w:val="24"/>
        </w:rPr>
        <w:t>Harpending</w:t>
      </w:r>
      <w:proofErr w:type="spellEnd"/>
      <w:r w:rsidR="00586087">
        <w:rPr>
          <w:sz w:val="24"/>
          <w:szCs w:val="24"/>
        </w:rPr>
        <w:t xml:space="preserve">, </w:t>
      </w:r>
      <w:r w:rsidRPr="003F687D">
        <w:rPr>
          <w:sz w:val="24"/>
          <w:szCs w:val="24"/>
        </w:rPr>
        <w:t>and</w:t>
      </w:r>
      <w:r w:rsidR="00586087">
        <w:rPr>
          <w:sz w:val="24"/>
          <w:szCs w:val="24"/>
        </w:rPr>
        <w:t xml:space="preserve"> Kenneth M.</w:t>
      </w:r>
      <w:r w:rsidRPr="003F687D">
        <w:rPr>
          <w:sz w:val="24"/>
          <w:szCs w:val="24"/>
        </w:rPr>
        <w:t xml:space="preserve"> Weiss. 1992. The osteological paradox.  Problems of inferring prehistoric health from skeletal samples.  </w:t>
      </w:r>
      <w:r w:rsidRPr="003F687D">
        <w:rPr>
          <w:i/>
          <w:sz w:val="24"/>
          <w:szCs w:val="24"/>
        </w:rPr>
        <w:t>Current Anthropology</w:t>
      </w:r>
      <w:r w:rsidRPr="003F687D">
        <w:rPr>
          <w:sz w:val="24"/>
          <w:szCs w:val="24"/>
        </w:rPr>
        <w:t xml:space="preserve"> 33</w:t>
      </w:r>
      <w:r w:rsidR="00586087">
        <w:rPr>
          <w:sz w:val="24"/>
          <w:szCs w:val="24"/>
        </w:rPr>
        <w:t>(4):</w:t>
      </w:r>
      <w:r w:rsidRPr="003F687D">
        <w:rPr>
          <w:sz w:val="24"/>
          <w:szCs w:val="24"/>
        </w:rPr>
        <w:t>343-70</w:t>
      </w:r>
      <w:r w:rsidR="00586087">
        <w:rPr>
          <w:sz w:val="24"/>
          <w:szCs w:val="24"/>
        </w:rPr>
        <w:t>.</w:t>
      </w:r>
    </w:p>
    <w:p w14:paraId="732B1B4B" w14:textId="487F06FE" w:rsidR="00EA5EB1" w:rsidRPr="00EA5EB1" w:rsidRDefault="00EA5EB1" w:rsidP="003F687D">
      <w:pPr>
        <w:spacing w:line="480" w:lineRule="auto"/>
        <w:rPr>
          <w:sz w:val="24"/>
          <w:szCs w:val="24"/>
        </w:rPr>
      </w:pPr>
      <w:r w:rsidRPr="00EA5EB1">
        <w:rPr>
          <w:sz w:val="24"/>
          <w:szCs w:val="24"/>
          <w:lang w:val="en-US"/>
        </w:rPr>
        <w:t>Young, George Malcolm and W.D. Handcock. 1956. </w:t>
      </w:r>
      <w:r w:rsidRPr="00EA5EB1">
        <w:rPr>
          <w:i/>
          <w:iCs/>
          <w:sz w:val="24"/>
          <w:szCs w:val="24"/>
          <w:lang w:val="en-US"/>
        </w:rPr>
        <w:t>English historical documents. Vol. 12, Pt. 1, 1833-1874. </w:t>
      </w:r>
      <w:r w:rsidRPr="00EA5EB1">
        <w:rPr>
          <w:sz w:val="24"/>
          <w:szCs w:val="24"/>
          <w:lang w:val="en-US"/>
        </w:rPr>
        <w:t xml:space="preserve">Eyre &amp; </w:t>
      </w:r>
      <w:proofErr w:type="spellStart"/>
      <w:r w:rsidRPr="00EA5EB1">
        <w:rPr>
          <w:sz w:val="24"/>
          <w:szCs w:val="24"/>
          <w:lang w:val="en-US"/>
        </w:rPr>
        <w:t>Spottiswoode</w:t>
      </w:r>
      <w:proofErr w:type="spellEnd"/>
      <w:r w:rsidRPr="00EA5EB1">
        <w:rPr>
          <w:sz w:val="24"/>
          <w:szCs w:val="24"/>
          <w:lang w:val="en-US"/>
        </w:rPr>
        <w:t>, London. </w:t>
      </w:r>
    </w:p>
    <w:p w14:paraId="077A60DA" w14:textId="77777777" w:rsidR="00F6064D" w:rsidRDefault="00F6064D" w:rsidP="00453751">
      <w:pPr>
        <w:spacing w:line="480" w:lineRule="auto"/>
        <w:rPr>
          <w:b/>
          <w:sz w:val="24"/>
          <w:szCs w:val="24"/>
          <w:lang w:val="en-US"/>
        </w:rPr>
      </w:pPr>
    </w:p>
    <w:tbl>
      <w:tblPr>
        <w:tblStyle w:val="PlainTable3"/>
        <w:tblW w:w="100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80" w:firstRow="0" w:lastRow="0" w:firstColumn="1" w:lastColumn="0" w:noHBand="0" w:noVBand="1"/>
      </w:tblPr>
      <w:tblGrid>
        <w:gridCol w:w="2070"/>
        <w:gridCol w:w="2610"/>
        <w:gridCol w:w="5352"/>
      </w:tblGrid>
      <w:tr w:rsidR="002A1CA3" w:rsidRPr="00041291" w14:paraId="553ADD98" w14:textId="77777777" w:rsidTr="002A1CA3">
        <w:trPr>
          <w:cnfStyle w:val="000000100000" w:firstRow="0" w:lastRow="0" w:firstColumn="0" w:lastColumn="0" w:oddVBand="0" w:evenVBand="0" w:oddHBand="1" w:evenHBand="0" w:firstRowFirstColumn="0" w:firstRowLastColumn="0" w:lastRowFirstColumn="0" w:lastRowLastColumn="0"/>
          <w:trHeight w:val="468"/>
        </w:trPr>
        <w:tc>
          <w:tcPr>
            <w:cnfStyle w:val="001000000000" w:firstRow="0" w:lastRow="0" w:firstColumn="1" w:lastColumn="0" w:oddVBand="0" w:evenVBand="0" w:oddHBand="0" w:evenHBand="0" w:firstRowFirstColumn="0" w:firstRowLastColumn="0" w:lastRowFirstColumn="0" w:lastRowLastColumn="0"/>
            <w:tcW w:w="2070" w:type="dxa"/>
            <w:vMerge w:val="restart"/>
            <w:shd w:val="clear" w:color="auto" w:fill="FFFFFF" w:themeFill="background1"/>
            <w:hideMark/>
          </w:tcPr>
          <w:p w14:paraId="141DF139" w14:textId="77777777" w:rsidR="002A1CA3" w:rsidRPr="002A1CA3" w:rsidRDefault="002A1CA3" w:rsidP="00041291">
            <w:pPr>
              <w:spacing w:after="160" w:line="360" w:lineRule="auto"/>
              <w:rPr>
                <w:b w:val="0"/>
                <w:bCs w:val="0"/>
                <w:sz w:val="28"/>
                <w:szCs w:val="28"/>
              </w:rPr>
            </w:pPr>
            <w:r w:rsidRPr="002A1CA3">
              <w:rPr>
                <w:caps w:val="0"/>
                <w:sz w:val="28"/>
                <w:szCs w:val="28"/>
              </w:rPr>
              <w:t>Age-at-Death</w:t>
            </w:r>
          </w:p>
          <w:p w14:paraId="5BBBCF9A" w14:textId="77777777" w:rsidR="002A1CA3" w:rsidRPr="00041291" w:rsidRDefault="002A1CA3" w:rsidP="00041291">
            <w:pPr>
              <w:spacing w:after="160" w:line="360" w:lineRule="auto"/>
              <w:rPr>
                <w:b w:val="0"/>
                <w:bCs w:val="0"/>
                <w:sz w:val="24"/>
                <w:szCs w:val="24"/>
              </w:rPr>
            </w:pPr>
            <w:r w:rsidRPr="00041291">
              <w:rPr>
                <w:caps w:val="0"/>
                <w:sz w:val="24"/>
                <w:szCs w:val="24"/>
              </w:rPr>
              <w:t> </w:t>
            </w:r>
          </w:p>
          <w:p w14:paraId="554CF4CD" w14:textId="4F18341E" w:rsidR="002A1CA3" w:rsidRPr="00041291" w:rsidRDefault="002A1CA3" w:rsidP="00041291">
            <w:pPr>
              <w:spacing w:after="160" w:line="360" w:lineRule="auto"/>
              <w:rPr>
                <w:caps w:val="0"/>
                <w:sz w:val="24"/>
                <w:szCs w:val="24"/>
              </w:rPr>
            </w:pPr>
            <w:r w:rsidRPr="00041291">
              <w:rPr>
                <w:caps w:val="0"/>
                <w:sz w:val="24"/>
                <w:szCs w:val="24"/>
              </w:rPr>
              <w:t> </w:t>
            </w:r>
          </w:p>
        </w:tc>
        <w:tc>
          <w:tcPr>
            <w:tcW w:w="2610" w:type="dxa"/>
            <w:shd w:val="clear" w:color="auto" w:fill="FFFFFF" w:themeFill="background1"/>
            <w:hideMark/>
          </w:tcPr>
          <w:p w14:paraId="04583BDC" w14:textId="77777777" w:rsidR="002A1CA3" w:rsidRPr="00041291" w:rsidRDefault="002A1CA3" w:rsidP="00041291">
            <w:pPr>
              <w:spacing w:after="160" w:line="360" w:lineRule="auto"/>
              <w:cnfStyle w:val="000000100000" w:firstRow="0" w:lastRow="0" w:firstColumn="0" w:lastColumn="0" w:oddVBand="0" w:evenVBand="0" w:oddHBand="1" w:evenHBand="0" w:firstRowFirstColumn="0" w:firstRowLastColumn="0" w:lastRowFirstColumn="0" w:lastRowLastColumn="0"/>
              <w:rPr>
                <w:b/>
                <w:sz w:val="24"/>
                <w:szCs w:val="24"/>
              </w:rPr>
            </w:pPr>
            <w:r w:rsidRPr="00041291">
              <w:rPr>
                <w:b/>
                <w:bCs/>
                <w:sz w:val="24"/>
                <w:szCs w:val="24"/>
              </w:rPr>
              <w:t>Dental development</w:t>
            </w:r>
          </w:p>
        </w:tc>
        <w:tc>
          <w:tcPr>
            <w:tcW w:w="5352" w:type="dxa"/>
            <w:shd w:val="clear" w:color="auto" w:fill="FFFFFF" w:themeFill="background1"/>
            <w:hideMark/>
          </w:tcPr>
          <w:p w14:paraId="47FD232A" w14:textId="77777777" w:rsidR="002A1CA3" w:rsidRPr="00041291" w:rsidRDefault="002A1CA3" w:rsidP="00041291">
            <w:pPr>
              <w:spacing w:after="160" w:line="360" w:lineRule="auto"/>
              <w:cnfStyle w:val="000000100000" w:firstRow="0" w:lastRow="0" w:firstColumn="0" w:lastColumn="0" w:oddVBand="0" w:evenVBand="0" w:oddHBand="1" w:evenHBand="0" w:firstRowFirstColumn="0" w:firstRowLastColumn="0" w:lastRowFirstColumn="0" w:lastRowLastColumn="0"/>
              <w:rPr>
                <w:sz w:val="24"/>
                <w:szCs w:val="24"/>
              </w:rPr>
            </w:pPr>
            <w:proofErr w:type="spellStart"/>
            <w:r w:rsidRPr="00041291">
              <w:rPr>
                <w:sz w:val="24"/>
                <w:szCs w:val="24"/>
              </w:rPr>
              <w:t>Moorrees</w:t>
            </w:r>
            <w:proofErr w:type="spellEnd"/>
            <w:r w:rsidRPr="00041291">
              <w:rPr>
                <w:sz w:val="24"/>
                <w:szCs w:val="24"/>
              </w:rPr>
              <w:t xml:space="preserve"> et al. 1963a, b; Smith 1991</w:t>
            </w:r>
          </w:p>
        </w:tc>
      </w:tr>
      <w:tr w:rsidR="002A1CA3" w:rsidRPr="00041291" w14:paraId="5020E17D" w14:textId="77777777" w:rsidTr="002A1CA3">
        <w:trPr>
          <w:trHeight w:val="450"/>
        </w:trPr>
        <w:tc>
          <w:tcPr>
            <w:cnfStyle w:val="001000000000" w:firstRow="0" w:lastRow="0" w:firstColumn="1" w:lastColumn="0" w:oddVBand="0" w:evenVBand="0" w:oddHBand="0" w:evenHBand="0" w:firstRowFirstColumn="0" w:firstRowLastColumn="0" w:lastRowFirstColumn="0" w:lastRowLastColumn="0"/>
            <w:tcW w:w="2070" w:type="dxa"/>
            <w:vMerge/>
            <w:shd w:val="clear" w:color="auto" w:fill="FFFFFF" w:themeFill="background1"/>
            <w:hideMark/>
          </w:tcPr>
          <w:p w14:paraId="4E53FA2B" w14:textId="315139AA" w:rsidR="002A1CA3" w:rsidRPr="00041291" w:rsidRDefault="002A1CA3" w:rsidP="00041291">
            <w:pPr>
              <w:spacing w:after="160" w:line="360" w:lineRule="auto"/>
              <w:rPr>
                <w:caps w:val="0"/>
                <w:sz w:val="24"/>
                <w:szCs w:val="24"/>
              </w:rPr>
            </w:pPr>
          </w:p>
        </w:tc>
        <w:tc>
          <w:tcPr>
            <w:tcW w:w="2610" w:type="dxa"/>
            <w:shd w:val="clear" w:color="auto" w:fill="FFFFFF" w:themeFill="background1"/>
            <w:hideMark/>
          </w:tcPr>
          <w:p w14:paraId="06B11752" w14:textId="77777777" w:rsidR="002A1CA3" w:rsidRPr="00041291" w:rsidRDefault="002A1CA3" w:rsidP="00041291">
            <w:pPr>
              <w:spacing w:after="160" w:line="360" w:lineRule="auto"/>
              <w:cnfStyle w:val="000000000000" w:firstRow="0" w:lastRow="0" w:firstColumn="0" w:lastColumn="0" w:oddVBand="0" w:evenVBand="0" w:oddHBand="0" w:evenHBand="0" w:firstRowFirstColumn="0" w:firstRowLastColumn="0" w:lastRowFirstColumn="0" w:lastRowLastColumn="0"/>
              <w:rPr>
                <w:b/>
                <w:sz w:val="24"/>
                <w:szCs w:val="24"/>
              </w:rPr>
            </w:pPr>
            <w:r w:rsidRPr="00041291">
              <w:rPr>
                <w:b/>
                <w:bCs/>
                <w:sz w:val="24"/>
                <w:szCs w:val="24"/>
              </w:rPr>
              <w:t>Long bone growth</w:t>
            </w:r>
          </w:p>
        </w:tc>
        <w:tc>
          <w:tcPr>
            <w:tcW w:w="5352" w:type="dxa"/>
            <w:shd w:val="clear" w:color="auto" w:fill="FFFFFF" w:themeFill="background1"/>
            <w:hideMark/>
          </w:tcPr>
          <w:p w14:paraId="52D85425" w14:textId="4099A668" w:rsidR="002A1CA3" w:rsidRPr="00041291" w:rsidRDefault="002A1CA3" w:rsidP="00CD15DA">
            <w:pPr>
              <w:spacing w:after="160" w:line="360" w:lineRule="auto"/>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041291">
              <w:rPr>
                <w:sz w:val="24"/>
                <w:szCs w:val="24"/>
              </w:rPr>
              <w:t>Maresh</w:t>
            </w:r>
            <w:proofErr w:type="spellEnd"/>
            <w:r w:rsidRPr="00041291">
              <w:rPr>
                <w:sz w:val="24"/>
                <w:szCs w:val="24"/>
              </w:rPr>
              <w:t xml:space="preserve"> 19</w:t>
            </w:r>
            <w:r w:rsidR="00CD15DA">
              <w:rPr>
                <w:sz w:val="24"/>
                <w:szCs w:val="24"/>
              </w:rPr>
              <w:t>55</w:t>
            </w:r>
            <w:r w:rsidRPr="00041291">
              <w:rPr>
                <w:sz w:val="24"/>
                <w:szCs w:val="24"/>
              </w:rPr>
              <w:t>; Scheuer and Black 2000</w:t>
            </w:r>
          </w:p>
        </w:tc>
      </w:tr>
      <w:tr w:rsidR="002A1CA3" w:rsidRPr="00041291" w14:paraId="24B73C1B" w14:textId="77777777" w:rsidTr="002A1CA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070" w:type="dxa"/>
            <w:vMerge/>
            <w:shd w:val="clear" w:color="auto" w:fill="FFFFFF" w:themeFill="background1"/>
            <w:hideMark/>
          </w:tcPr>
          <w:p w14:paraId="18774E48" w14:textId="7F2D6F3F" w:rsidR="002A1CA3" w:rsidRPr="00041291" w:rsidRDefault="002A1CA3" w:rsidP="00041291">
            <w:pPr>
              <w:spacing w:after="160" w:line="360" w:lineRule="auto"/>
              <w:rPr>
                <w:caps w:val="0"/>
                <w:sz w:val="24"/>
                <w:szCs w:val="24"/>
              </w:rPr>
            </w:pPr>
          </w:p>
        </w:tc>
        <w:tc>
          <w:tcPr>
            <w:tcW w:w="2610" w:type="dxa"/>
            <w:shd w:val="clear" w:color="auto" w:fill="FFFFFF" w:themeFill="background1"/>
            <w:hideMark/>
          </w:tcPr>
          <w:p w14:paraId="3402D9C7" w14:textId="77777777" w:rsidR="002A1CA3" w:rsidRPr="00041291" w:rsidRDefault="002A1CA3" w:rsidP="00041291">
            <w:pPr>
              <w:spacing w:after="160" w:line="360" w:lineRule="auto"/>
              <w:cnfStyle w:val="000000100000" w:firstRow="0" w:lastRow="0" w:firstColumn="0" w:lastColumn="0" w:oddVBand="0" w:evenVBand="0" w:oddHBand="1" w:evenHBand="0" w:firstRowFirstColumn="0" w:firstRowLastColumn="0" w:lastRowFirstColumn="0" w:lastRowLastColumn="0"/>
              <w:rPr>
                <w:b/>
                <w:sz w:val="24"/>
                <w:szCs w:val="24"/>
              </w:rPr>
            </w:pPr>
            <w:r w:rsidRPr="00041291">
              <w:rPr>
                <w:b/>
                <w:bCs/>
                <w:sz w:val="24"/>
                <w:szCs w:val="24"/>
              </w:rPr>
              <w:t>Epiphyseal fusion</w:t>
            </w:r>
          </w:p>
        </w:tc>
        <w:tc>
          <w:tcPr>
            <w:tcW w:w="5352" w:type="dxa"/>
            <w:shd w:val="clear" w:color="auto" w:fill="FFFFFF" w:themeFill="background1"/>
            <w:hideMark/>
          </w:tcPr>
          <w:p w14:paraId="6C6974EB" w14:textId="77777777" w:rsidR="002A1CA3" w:rsidRPr="00041291" w:rsidRDefault="002A1CA3" w:rsidP="00041291">
            <w:pPr>
              <w:spacing w:after="16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041291">
              <w:rPr>
                <w:sz w:val="24"/>
                <w:szCs w:val="24"/>
              </w:rPr>
              <w:t>Scheuer and Black 2000</w:t>
            </w:r>
          </w:p>
        </w:tc>
      </w:tr>
      <w:tr w:rsidR="002A1CA3" w:rsidRPr="00041291" w14:paraId="07292FF0" w14:textId="77777777" w:rsidTr="002A1CA3">
        <w:trPr>
          <w:trHeight w:val="387"/>
        </w:trPr>
        <w:tc>
          <w:tcPr>
            <w:cnfStyle w:val="001000000000" w:firstRow="0" w:lastRow="0" w:firstColumn="1" w:lastColumn="0" w:oddVBand="0" w:evenVBand="0" w:oddHBand="0" w:evenHBand="0" w:firstRowFirstColumn="0" w:firstRowLastColumn="0" w:lastRowFirstColumn="0" w:lastRowLastColumn="0"/>
            <w:tcW w:w="2070" w:type="dxa"/>
            <w:vMerge w:val="restart"/>
            <w:shd w:val="clear" w:color="auto" w:fill="FFFFFF" w:themeFill="background1"/>
            <w:hideMark/>
          </w:tcPr>
          <w:p w14:paraId="0FA6DFE1" w14:textId="77777777" w:rsidR="002A1CA3" w:rsidRPr="002A1CA3" w:rsidRDefault="002A1CA3" w:rsidP="00041291">
            <w:pPr>
              <w:spacing w:after="160" w:line="360" w:lineRule="auto"/>
              <w:rPr>
                <w:b w:val="0"/>
                <w:bCs w:val="0"/>
                <w:sz w:val="28"/>
                <w:szCs w:val="28"/>
              </w:rPr>
            </w:pPr>
            <w:r w:rsidRPr="002A1CA3">
              <w:rPr>
                <w:caps w:val="0"/>
                <w:sz w:val="28"/>
                <w:szCs w:val="28"/>
              </w:rPr>
              <w:t>Growth</w:t>
            </w:r>
          </w:p>
          <w:p w14:paraId="24899E78" w14:textId="0FE78093" w:rsidR="002A1CA3" w:rsidRPr="00041291" w:rsidRDefault="002A1CA3" w:rsidP="00041291">
            <w:pPr>
              <w:spacing w:after="160" w:line="360" w:lineRule="auto"/>
              <w:rPr>
                <w:caps w:val="0"/>
                <w:sz w:val="24"/>
                <w:szCs w:val="24"/>
              </w:rPr>
            </w:pPr>
            <w:r w:rsidRPr="00041291">
              <w:rPr>
                <w:caps w:val="0"/>
                <w:sz w:val="24"/>
                <w:szCs w:val="24"/>
              </w:rPr>
              <w:t> </w:t>
            </w:r>
          </w:p>
        </w:tc>
        <w:tc>
          <w:tcPr>
            <w:tcW w:w="2610" w:type="dxa"/>
            <w:shd w:val="clear" w:color="auto" w:fill="FFFFFF" w:themeFill="background1"/>
            <w:hideMark/>
          </w:tcPr>
          <w:p w14:paraId="4E912015" w14:textId="77777777" w:rsidR="002A1CA3" w:rsidRPr="00041291" w:rsidRDefault="002A1CA3" w:rsidP="00041291">
            <w:pPr>
              <w:spacing w:after="160" w:line="360" w:lineRule="auto"/>
              <w:cnfStyle w:val="000000000000" w:firstRow="0" w:lastRow="0" w:firstColumn="0" w:lastColumn="0" w:oddVBand="0" w:evenVBand="0" w:oddHBand="0" w:evenHBand="0" w:firstRowFirstColumn="0" w:firstRowLastColumn="0" w:lastRowFirstColumn="0" w:lastRowLastColumn="0"/>
              <w:rPr>
                <w:b/>
                <w:sz w:val="24"/>
                <w:szCs w:val="24"/>
              </w:rPr>
            </w:pPr>
            <w:r w:rsidRPr="00041291">
              <w:rPr>
                <w:b/>
                <w:bCs/>
                <w:sz w:val="24"/>
                <w:szCs w:val="24"/>
              </w:rPr>
              <w:t>Cortical thickness</w:t>
            </w:r>
          </w:p>
        </w:tc>
        <w:tc>
          <w:tcPr>
            <w:tcW w:w="5352" w:type="dxa"/>
            <w:shd w:val="clear" w:color="auto" w:fill="FFFFFF" w:themeFill="background1"/>
            <w:hideMark/>
          </w:tcPr>
          <w:p w14:paraId="3088B234" w14:textId="77777777" w:rsidR="002A1CA3" w:rsidRPr="00041291" w:rsidRDefault="002A1CA3" w:rsidP="00041291">
            <w:pPr>
              <w:spacing w:after="160" w:line="360" w:lineRule="auto"/>
              <w:cnfStyle w:val="000000000000" w:firstRow="0" w:lastRow="0" w:firstColumn="0" w:lastColumn="0" w:oddVBand="0" w:evenVBand="0" w:oddHBand="0" w:evenHBand="0" w:firstRowFirstColumn="0" w:firstRowLastColumn="0" w:lastRowFirstColumn="0" w:lastRowLastColumn="0"/>
              <w:rPr>
                <w:sz w:val="24"/>
                <w:szCs w:val="24"/>
              </w:rPr>
            </w:pPr>
            <w:r w:rsidRPr="00041291">
              <w:rPr>
                <w:sz w:val="24"/>
                <w:szCs w:val="24"/>
              </w:rPr>
              <w:t>Mays et al. 2009</w:t>
            </w:r>
          </w:p>
        </w:tc>
      </w:tr>
      <w:tr w:rsidR="002A1CA3" w:rsidRPr="00041291" w14:paraId="30610DB6" w14:textId="77777777" w:rsidTr="002A1CA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070" w:type="dxa"/>
            <w:vMerge/>
            <w:shd w:val="clear" w:color="auto" w:fill="FFFFFF" w:themeFill="background1"/>
            <w:hideMark/>
          </w:tcPr>
          <w:p w14:paraId="5220C2C2" w14:textId="6785B613" w:rsidR="002A1CA3" w:rsidRPr="00041291" w:rsidRDefault="002A1CA3" w:rsidP="00041291">
            <w:pPr>
              <w:spacing w:after="160" w:line="360" w:lineRule="auto"/>
              <w:rPr>
                <w:caps w:val="0"/>
                <w:sz w:val="24"/>
                <w:szCs w:val="24"/>
              </w:rPr>
            </w:pPr>
          </w:p>
        </w:tc>
        <w:tc>
          <w:tcPr>
            <w:tcW w:w="2610" w:type="dxa"/>
            <w:shd w:val="clear" w:color="auto" w:fill="FFFFFF" w:themeFill="background1"/>
            <w:hideMark/>
          </w:tcPr>
          <w:p w14:paraId="4DDC6BA3" w14:textId="77777777" w:rsidR="002A1CA3" w:rsidRPr="00041291" w:rsidRDefault="002A1CA3" w:rsidP="00041291">
            <w:pPr>
              <w:spacing w:after="160" w:line="360" w:lineRule="auto"/>
              <w:cnfStyle w:val="000000100000" w:firstRow="0" w:lastRow="0" w:firstColumn="0" w:lastColumn="0" w:oddVBand="0" w:evenVBand="0" w:oddHBand="1" w:evenHBand="0" w:firstRowFirstColumn="0" w:firstRowLastColumn="0" w:lastRowFirstColumn="0" w:lastRowLastColumn="0"/>
              <w:rPr>
                <w:b/>
                <w:sz w:val="24"/>
                <w:szCs w:val="24"/>
              </w:rPr>
            </w:pPr>
            <w:r w:rsidRPr="00041291">
              <w:rPr>
                <w:b/>
                <w:bCs/>
                <w:sz w:val="24"/>
                <w:szCs w:val="24"/>
              </w:rPr>
              <w:t>Vertebral body height</w:t>
            </w:r>
          </w:p>
        </w:tc>
        <w:tc>
          <w:tcPr>
            <w:tcW w:w="5352" w:type="dxa"/>
            <w:shd w:val="clear" w:color="auto" w:fill="FFFFFF" w:themeFill="background1"/>
            <w:hideMark/>
          </w:tcPr>
          <w:p w14:paraId="1C1A19EB" w14:textId="77777777" w:rsidR="002A1CA3" w:rsidRPr="00041291" w:rsidRDefault="002A1CA3" w:rsidP="00041291">
            <w:pPr>
              <w:spacing w:after="16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041291">
              <w:rPr>
                <w:sz w:val="24"/>
                <w:szCs w:val="24"/>
              </w:rPr>
              <w:t>Newman and Gowland 2015</w:t>
            </w:r>
          </w:p>
        </w:tc>
      </w:tr>
      <w:tr w:rsidR="002A1CA3" w:rsidRPr="00041291" w14:paraId="30512120" w14:textId="77777777" w:rsidTr="002A1CA3">
        <w:trPr>
          <w:trHeight w:val="936"/>
        </w:trPr>
        <w:tc>
          <w:tcPr>
            <w:cnfStyle w:val="001000000000" w:firstRow="0" w:lastRow="0" w:firstColumn="1" w:lastColumn="0" w:oddVBand="0" w:evenVBand="0" w:oddHBand="0" w:evenHBand="0" w:firstRowFirstColumn="0" w:firstRowLastColumn="0" w:lastRowFirstColumn="0" w:lastRowLastColumn="0"/>
            <w:tcW w:w="2070" w:type="dxa"/>
            <w:vMerge w:val="restart"/>
            <w:shd w:val="clear" w:color="auto" w:fill="FFFFFF" w:themeFill="background1"/>
            <w:hideMark/>
          </w:tcPr>
          <w:p w14:paraId="1EB24FB3" w14:textId="77777777" w:rsidR="002A1CA3" w:rsidRPr="002A1CA3" w:rsidRDefault="002A1CA3" w:rsidP="00041291">
            <w:pPr>
              <w:spacing w:after="160" w:line="360" w:lineRule="auto"/>
              <w:rPr>
                <w:b w:val="0"/>
                <w:bCs w:val="0"/>
                <w:sz w:val="28"/>
                <w:szCs w:val="28"/>
              </w:rPr>
            </w:pPr>
            <w:r w:rsidRPr="002A1CA3">
              <w:rPr>
                <w:caps w:val="0"/>
                <w:sz w:val="28"/>
                <w:szCs w:val="28"/>
              </w:rPr>
              <w:t>Pathologies</w:t>
            </w:r>
          </w:p>
          <w:p w14:paraId="39A83AC7" w14:textId="77777777" w:rsidR="002A1CA3" w:rsidRPr="00041291" w:rsidRDefault="002A1CA3" w:rsidP="00041291">
            <w:pPr>
              <w:spacing w:after="160" w:line="360" w:lineRule="auto"/>
              <w:rPr>
                <w:b w:val="0"/>
                <w:bCs w:val="0"/>
                <w:sz w:val="24"/>
                <w:szCs w:val="24"/>
              </w:rPr>
            </w:pPr>
            <w:r w:rsidRPr="00041291">
              <w:rPr>
                <w:caps w:val="0"/>
                <w:sz w:val="24"/>
                <w:szCs w:val="24"/>
              </w:rPr>
              <w:t> </w:t>
            </w:r>
          </w:p>
          <w:p w14:paraId="1657C195" w14:textId="05E3B957" w:rsidR="002A1CA3" w:rsidRPr="00041291" w:rsidRDefault="002A1CA3" w:rsidP="00041291">
            <w:pPr>
              <w:spacing w:after="160" w:line="360" w:lineRule="auto"/>
              <w:rPr>
                <w:caps w:val="0"/>
                <w:sz w:val="24"/>
                <w:szCs w:val="24"/>
              </w:rPr>
            </w:pPr>
            <w:r w:rsidRPr="00041291">
              <w:rPr>
                <w:caps w:val="0"/>
                <w:sz w:val="24"/>
                <w:szCs w:val="24"/>
              </w:rPr>
              <w:t> </w:t>
            </w:r>
          </w:p>
        </w:tc>
        <w:tc>
          <w:tcPr>
            <w:tcW w:w="2610" w:type="dxa"/>
            <w:shd w:val="clear" w:color="auto" w:fill="FFFFFF" w:themeFill="background1"/>
            <w:hideMark/>
          </w:tcPr>
          <w:p w14:paraId="3FAA2907" w14:textId="77777777" w:rsidR="002A1CA3" w:rsidRPr="00041291" w:rsidRDefault="002A1CA3" w:rsidP="00041291">
            <w:pPr>
              <w:spacing w:after="160" w:line="360" w:lineRule="auto"/>
              <w:cnfStyle w:val="000000000000" w:firstRow="0" w:lastRow="0" w:firstColumn="0" w:lastColumn="0" w:oddVBand="0" w:evenVBand="0" w:oddHBand="0" w:evenHBand="0" w:firstRowFirstColumn="0" w:firstRowLastColumn="0" w:lastRowFirstColumn="0" w:lastRowLastColumn="0"/>
              <w:rPr>
                <w:b/>
                <w:sz w:val="24"/>
                <w:szCs w:val="24"/>
              </w:rPr>
            </w:pPr>
            <w:r w:rsidRPr="00041291">
              <w:rPr>
                <w:b/>
                <w:bCs/>
                <w:sz w:val="24"/>
                <w:szCs w:val="24"/>
              </w:rPr>
              <w:t>Metabolic disease</w:t>
            </w:r>
          </w:p>
        </w:tc>
        <w:tc>
          <w:tcPr>
            <w:tcW w:w="5352" w:type="dxa"/>
            <w:shd w:val="clear" w:color="auto" w:fill="FFFFFF" w:themeFill="background1"/>
            <w:hideMark/>
          </w:tcPr>
          <w:p w14:paraId="7DF4B859" w14:textId="6E1C2A36" w:rsidR="002A1CA3" w:rsidRPr="00041291" w:rsidRDefault="002A1CA3" w:rsidP="00A2031F">
            <w:pPr>
              <w:spacing w:after="160" w:line="360" w:lineRule="auto"/>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041291">
              <w:rPr>
                <w:sz w:val="24"/>
                <w:szCs w:val="24"/>
              </w:rPr>
              <w:t>Brickley</w:t>
            </w:r>
            <w:proofErr w:type="spellEnd"/>
            <w:r w:rsidRPr="00041291">
              <w:rPr>
                <w:sz w:val="24"/>
                <w:szCs w:val="24"/>
              </w:rPr>
              <w:t xml:space="preserve"> and Ives 200</w:t>
            </w:r>
            <w:r w:rsidR="00A2031F">
              <w:rPr>
                <w:sz w:val="24"/>
                <w:szCs w:val="24"/>
              </w:rPr>
              <w:t>6</w:t>
            </w:r>
            <w:r w:rsidRPr="00041291">
              <w:rPr>
                <w:sz w:val="24"/>
                <w:szCs w:val="24"/>
              </w:rPr>
              <w:t>, 2008; Mays et al., 2006; Ortner and Mays 1998; Ortner 2003; Stark 2014</w:t>
            </w:r>
          </w:p>
        </w:tc>
      </w:tr>
      <w:tr w:rsidR="002A1CA3" w:rsidRPr="00041291" w14:paraId="077DD493" w14:textId="77777777" w:rsidTr="002A1CA3">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2070" w:type="dxa"/>
            <w:vMerge/>
            <w:shd w:val="clear" w:color="auto" w:fill="FFFFFF" w:themeFill="background1"/>
            <w:hideMark/>
          </w:tcPr>
          <w:p w14:paraId="33708697" w14:textId="39376F36" w:rsidR="002A1CA3" w:rsidRPr="00041291" w:rsidRDefault="002A1CA3" w:rsidP="00041291">
            <w:pPr>
              <w:spacing w:after="160" w:line="360" w:lineRule="auto"/>
              <w:rPr>
                <w:caps w:val="0"/>
                <w:sz w:val="24"/>
                <w:szCs w:val="24"/>
              </w:rPr>
            </w:pPr>
          </w:p>
        </w:tc>
        <w:tc>
          <w:tcPr>
            <w:tcW w:w="2610" w:type="dxa"/>
            <w:shd w:val="clear" w:color="auto" w:fill="FFFFFF" w:themeFill="background1"/>
            <w:hideMark/>
          </w:tcPr>
          <w:p w14:paraId="7EE83102" w14:textId="77777777" w:rsidR="002A1CA3" w:rsidRPr="00041291" w:rsidRDefault="002A1CA3" w:rsidP="00041291">
            <w:pPr>
              <w:spacing w:after="160" w:line="360" w:lineRule="auto"/>
              <w:cnfStyle w:val="000000100000" w:firstRow="0" w:lastRow="0" w:firstColumn="0" w:lastColumn="0" w:oddVBand="0" w:evenVBand="0" w:oddHBand="1" w:evenHBand="0" w:firstRowFirstColumn="0" w:firstRowLastColumn="0" w:lastRowFirstColumn="0" w:lastRowLastColumn="0"/>
              <w:rPr>
                <w:b/>
                <w:sz w:val="24"/>
                <w:szCs w:val="24"/>
              </w:rPr>
            </w:pPr>
            <w:proofErr w:type="spellStart"/>
            <w:r w:rsidRPr="00041291">
              <w:rPr>
                <w:b/>
                <w:bCs/>
                <w:sz w:val="24"/>
                <w:szCs w:val="24"/>
              </w:rPr>
              <w:t>Cribra</w:t>
            </w:r>
            <w:proofErr w:type="spellEnd"/>
            <w:r w:rsidRPr="00041291">
              <w:rPr>
                <w:b/>
                <w:bCs/>
                <w:sz w:val="24"/>
                <w:szCs w:val="24"/>
              </w:rPr>
              <w:t xml:space="preserve"> </w:t>
            </w:r>
            <w:proofErr w:type="spellStart"/>
            <w:r w:rsidRPr="00041291">
              <w:rPr>
                <w:b/>
                <w:bCs/>
                <w:sz w:val="24"/>
                <w:szCs w:val="24"/>
              </w:rPr>
              <w:t>Orbitalia</w:t>
            </w:r>
            <w:proofErr w:type="spellEnd"/>
          </w:p>
        </w:tc>
        <w:tc>
          <w:tcPr>
            <w:tcW w:w="5352" w:type="dxa"/>
            <w:shd w:val="clear" w:color="auto" w:fill="FFFFFF" w:themeFill="background1"/>
            <w:hideMark/>
          </w:tcPr>
          <w:p w14:paraId="2CAD17FB" w14:textId="77777777" w:rsidR="002A1CA3" w:rsidRPr="00041291" w:rsidRDefault="002A1CA3" w:rsidP="00041291">
            <w:pPr>
              <w:spacing w:after="16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041291">
              <w:rPr>
                <w:sz w:val="24"/>
                <w:szCs w:val="24"/>
              </w:rPr>
              <w:t>Stuart-Macadam 1998</w:t>
            </w:r>
          </w:p>
        </w:tc>
      </w:tr>
      <w:tr w:rsidR="002A1CA3" w:rsidRPr="00041291" w14:paraId="12A9D5A6" w14:textId="77777777" w:rsidTr="002A1CA3">
        <w:trPr>
          <w:trHeight w:val="602"/>
        </w:trPr>
        <w:tc>
          <w:tcPr>
            <w:cnfStyle w:val="001000000000" w:firstRow="0" w:lastRow="0" w:firstColumn="1" w:lastColumn="0" w:oddVBand="0" w:evenVBand="0" w:oddHBand="0" w:evenHBand="0" w:firstRowFirstColumn="0" w:firstRowLastColumn="0" w:lastRowFirstColumn="0" w:lastRowLastColumn="0"/>
            <w:tcW w:w="2070" w:type="dxa"/>
            <w:vMerge/>
            <w:shd w:val="clear" w:color="auto" w:fill="FFFFFF" w:themeFill="background1"/>
            <w:hideMark/>
          </w:tcPr>
          <w:p w14:paraId="0150BD75" w14:textId="663B088D" w:rsidR="002A1CA3" w:rsidRPr="00041291" w:rsidRDefault="002A1CA3" w:rsidP="00041291">
            <w:pPr>
              <w:spacing w:after="160" w:line="360" w:lineRule="auto"/>
              <w:rPr>
                <w:caps w:val="0"/>
                <w:sz w:val="24"/>
                <w:szCs w:val="24"/>
              </w:rPr>
            </w:pPr>
          </w:p>
        </w:tc>
        <w:tc>
          <w:tcPr>
            <w:tcW w:w="2610" w:type="dxa"/>
            <w:shd w:val="clear" w:color="auto" w:fill="FFFFFF" w:themeFill="background1"/>
            <w:hideMark/>
          </w:tcPr>
          <w:p w14:paraId="1180F1DF" w14:textId="77777777" w:rsidR="002A1CA3" w:rsidRPr="00041291" w:rsidRDefault="002A1CA3" w:rsidP="00041291">
            <w:pPr>
              <w:spacing w:after="160" w:line="360" w:lineRule="auto"/>
              <w:cnfStyle w:val="000000000000" w:firstRow="0" w:lastRow="0" w:firstColumn="0" w:lastColumn="0" w:oddVBand="0" w:evenVBand="0" w:oddHBand="0" w:evenHBand="0" w:firstRowFirstColumn="0" w:firstRowLastColumn="0" w:lastRowFirstColumn="0" w:lastRowLastColumn="0"/>
              <w:rPr>
                <w:b/>
                <w:sz w:val="24"/>
                <w:szCs w:val="24"/>
              </w:rPr>
            </w:pPr>
            <w:r w:rsidRPr="00041291">
              <w:rPr>
                <w:b/>
                <w:bCs/>
                <w:sz w:val="24"/>
                <w:szCs w:val="24"/>
              </w:rPr>
              <w:t>Dental enamel defects</w:t>
            </w:r>
          </w:p>
        </w:tc>
        <w:tc>
          <w:tcPr>
            <w:tcW w:w="5352" w:type="dxa"/>
            <w:shd w:val="clear" w:color="auto" w:fill="FFFFFF" w:themeFill="background1"/>
            <w:hideMark/>
          </w:tcPr>
          <w:p w14:paraId="1ACBAC9D" w14:textId="77777777" w:rsidR="002A1CA3" w:rsidRPr="00041291" w:rsidRDefault="002A1CA3" w:rsidP="00041291">
            <w:pPr>
              <w:spacing w:after="160" w:line="360" w:lineRule="auto"/>
              <w:cnfStyle w:val="000000000000" w:firstRow="0" w:lastRow="0" w:firstColumn="0" w:lastColumn="0" w:oddVBand="0" w:evenVBand="0" w:oddHBand="0" w:evenHBand="0" w:firstRowFirstColumn="0" w:firstRowLastColumn="0" w:lastRowFirstColumn="0" w:lastRowLastColumn="0"/>
              <w:rPr>
                <w:sz w:val="24"/>
                <w:szCs w:val="24"/>
              </w:rPr>
            </w:pPr>
            <w:proofErr w:type="spellStart"/>
            <w:r w:rsidRPr="00041291">
              <w:rPr>
                <w:sz w:val="24"/>
                <w:szCs w:val="24"/>
              </w:rPr>
              <w:t>Hillson</w:t>
            </w:r>
            <w:proofErr w:type="spellEnd"/>
            <w:r w:rsidRPr="00041291">
              <w:rPr>
                <w:sz w:val="24"/>
                <w:szCs w:val="24"/>
              </w:rPr>
              <w:t xml:space="preserve"> 1996; Ogden et al., 2007; Ogden 2008</w:t>
            </w:r>
          </w:p>
        </w:tc>
      </w:tr>
      <w:tr w:rsidR="002A1CA3" w:rsidRPr="00041291" w14:paraId="413E9281" w14:textId="77777777" w:rsidTr="002A1CA3">
        <w:trPr>
          <w:cnfStyle w:val="000000100000" w:firstRow="0" w:lastRow="0" w:firstColumn="0" w:lastColumn="0" w:oddVBand="0" w:evenVBand="0" w:oddHBand="1" w:evenHBand="0" w:firstRowFirstColumn="0" w:firstRowLastColumn="0" w:lastRowFirstColumn="0" w:lastRowLastColumn="0"/>
          <w:trHeight w:val="936"/>
        </w:trPr>
        <w:tc>
          <w:tcPr>
            <w:cnfStyle w:val="001000000000" w:firstRow="0" w:lastRow="0" w:firstColumn="1" w:lastColumn="0" w:oddVBand="0" w:evenVBand="0" w:oddHBand="0" w:evenHBand="0" w:firstRowFirstColumn="0" w:firstRowLastColumn="0" w:lastRowFirstColumn="0" w:lastRowLastColumn="0"/>
            <w:tcW w:w="2070" w:type="dxa"/>
            <w:vMerge/>
            <w:shd w:val="clear" w:color="auto" w:fill="FFFFFF" w:themeFill="background1"/>
            <w:hideMark/>
          </w:tcPr>
          <w:p w14:paraId="1875EB88" w14:textId="536FAF14" w:rsidR="002A1CA3" w:rsidRPr="00041291" w:rsidRDefault="002A1CA3" w:rsidP="00041291">
            <w:pPr>
              <w:spacing w:after="160" w:line="360" w:lineRule="auto"/>
              <w:rPr>
                <w:caps w:val="0"/>
                <w:sz w:val="24"/>
                <w:szCs w:val="24"/>
              </w:rPr>
            </w:pPr>
          </w:p>
        </w:tc>
        <w:tc>
          <w:tcPr>
            <w:tcW w:w="2610" w:type="dxa"/>
            <w:shd w:val="clear" w:color="auto" w:fill="FFFFFF" w:themeFill="background1"/>
            <w:hideMark/>
          </w:tcPr>
          <w:p w14:paraId="7ED96E4C" w14:textId="77777777" w:rsidR="002A1CA3" w:rsidRPr="00041291" w:rsidRDefault="002A1CA3" w:rsidP="00041291">
            <w:pPr>
              <w:spacing w:after="160" w:line="360" w:lineRule="auto"/>
              <w:cnfStyle w:val="000000100000" w:firstRow="0" w:lastRow="0" w:firstColumn="0" w:lastColumn="0" w:oddVBand="0" w:evenVBand="0" w:oddHBand="1" w:evenHBand="0" w:firstRowFirstColumn="0" w:firstRowLastColumn="0" w:lastRowFirstColumn="0" w:lastRowLastColumn="0"/>
              <w:rPr>
                <w:b/>
                <w:sz w:val="24"/>
                <w:szCs w:val="24"/>
              </w:rPr>
            </w:pPr>
            <w:r w:rsidRPr="00041291">
              <w:rPr>
                <w:b/>
                <w:bCs/>
                <w:sz w:val="24"/>
                <w:szCs w:val="24"/>
              </w:rPr>
              <w:t>New bone formation</w:t>
            </w:r>
          </w:p>
        </w:tc>
        <w:tc>
          <w:tcPr>
            <w:tcW w:w="5352" w:type="dxa"/>
            <w:shd w:val="clear" w:color="auto" w:fill="FFFFFF" w:themeFill="background1"/>
            <w:hideMark/>
          </w:tcPr>
          <w:p w14:paraId="76695068" w14:textId="53554B46" w:rsidR="002A1CA3" w:rsidRPr="00041291" w:rsidRDefault="002A1CA3" w:rsidP="00A2031F">
            <w:pPr>
              <w:spacing w:after="160" w:line="360" w:lineRule="auto"/>
              <w:cnfStyle w:val="000000100000" w:firstRow="0" w:lastRow="0" w:firstColumn="0" w:lastColumn="0" w:oddVBand="0" w:evenVBand="0" w:oddHBand="1" w:evenHBand="0" w:firstRowFirstColumn="0" w:firstRowLastColumn="0" w:lastRowFirstColumn="0" w:lastRowLastColumn="0"/>
              <w:rPr>
                <w:sz w:val="24"/>
                <w:szCs w:val="24"/>
              </w:rPr>
            </w:pPr>
            <w:r w:rsidRPr="00041291">
              <w:rPr>
                <w:sz w:val="24"/>
                <w:szCs w:val="24"/>
              </w:rPr>
              <w:t>Ortner 200</w:t>
            </w:r>
            <w:r w:rsidR="00A2031F">
              <w:rPr>
                <w:sz w:val="24"/>
                <w:szCs w:val="24"/>
              </w:rPr>
              <w:t>3</w:t>
            </w:r>
            <w:r w:rsidRPr="00041291">
              <w:rPr>
                <w:sz w:val="24"/>
                <w:szCs w:val="24"/>
              </w:rPr>
              <w:t>; Roberts and Connell 2004; Lewis 2007</w:t>
            </w:r>
          </w:p>
        </w:tc>
      </w:tr>
    </w:tbl>
    <w:p w14:paraId="3F49BD71" w14:textId="730A7055" w:rsidR="00041291" w:rsidRDefault="002A1CA3" w:rsidP="00453751">
      <w:pPr>
        <w:spacing w:line="480" w:lineRule="auto"/>
        <w:rPr>
          <w:b/>
          <w:sz w:val="24"/>
          <w:szCs w:val="24"/>
          <w:lang w:val="en-US"/>
        </w:rPr>
      </w:pPr>
      <w:r>
        <w:rPr>
          <w:b/>
          <w:sz w:val="24"/>
          <w:szCs w:val="24"/>
          <w:lang w:val="en-US"/>
        </w:rPr>
        <w:t>Table 1: Methods of analysis.</w:t>
      </w:r>
    </w:p>
    <w:p w14:paraId="72846762" w14:textId="5FEC3F5C" w:rsidR="007B4805" w:rsidRDefault="007B4805" w:rsidP="00453751">
      <w:pPr>
        <w:spacing w:line="480" w:lineRule="auto"/>
        <w:rPr>
          <w:b/>
          <w:sz w:val="24"/>
          <w:szCs w:val="24"/>
          <w:lang w:val="en-US"/>
        </w:rPr>
      </w:pPr>
    </w:p>
    <w:p w14:paraId="054799E5" w14:textId="77777777" w:rsidR="007B4805" w:rsidRDefault="007B4805" w:rsidP="00453751">
      <w:pPr>
        <w:spacing w:line="480" w:lineRule="auto"/>
        <w:rPr>
          <w:b/>
          <w:sz w:val="24"/>
          <w:szCs w:val="24"/>
          <w:lang w:val="en-US"/>
        </w:rPr>
      </w:pPr>
    </w:p>
    <w:p w14:paraId="16671188" w14:textId="15B6F8A4" w:rsidR="0090198C" w:rsidRDefault="007B4805" w:rsidP="00453751">
      <w:pPr>
        <w:spacing w:line="480" w:lineRule="auto"/>
        <w:rPr>
          <w:b/>
          <w:sz w:val="24"/>
          <w:szCs w:val="24"/>
          <w:lang w:val="en-US"/>
        </w:rPr>
      </w:pPr>
      <w:r w:rsidRPr="007B4805">
        <w:rPr>
          <w:noProof/>
        </w:rPr>
        <w:drawing>
          <wp:inline distT="0" distB="0" distL="0" distR="0" wp14:anchorId="55077415" wp14:editId="1BA3B95A">
            <wp:extent cx="6269990" cy="1619102"/>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99852" cy="1626813"/>
                    </a:xfrm>
                    <a:prstGeom prst="rect">
                      <a:avLst/>
                    </a:prstGeom>
                    <a:noFill/>
                    <a:ln>
                      <a:noFill/>
                    </a:ln>
                  </pic:spPr>
                </pic:pic>
              </a:graphicData>
            </a:graphic>
          </wp:inline>
        </w:drawing>
      </w:r>
    </w:p>
    <w:p w14:paraId="5D8F8A8F" w14:textId="6FD1E108" w:rsidR="00041291" w:rsidRDefault="0090198C" w:rsidP="00453751">
      <w:pPr>
        <w:spacing w:line="480" w:lineRule="auto"/>
        <w:rPr>
          <w:b/>
          <w:sz w:val="24"/>
          <w:szCs w:val="24"/>
          <w:lang w:val="en-US"/>
        </w:rPr>
      </w:pPr>
      <w:r>
        <w:rPr>
          <w:b/>
          <w:sz w:val="24"/>
          <w:szCs w:val="24"/>
          <w:lang w:val="en-US"/>
        </w:rPr>
        <w:t>Table 2: Dental enamel hypoplasia at Coach Lane and Fewston</w:t>
      </w:r>
      <w:r w:rsidR="00305B1E">
        <w:rPr>
          <w:b/>
          <w:sz w:val="24"/>
          <w:szCs w:val="24"/>
          <w:lang w:val="en-US"/>
        </w:rPr>
        <w:t>.</w:t>
      </w:r>
    </w:p>
    <w:p w14:paraId="66C385A9" w14:textId="276D1CB3" w:rsidR="00041291" w:rsidRDefault="00041291" w:rsidP="00453751">
      <w:pPr>
        <w:spacing w:line="480" w:lineRule="auto"/>
        <w:rPr>
          <w:b/>
          <w:sz w:val="24"/>
          <w:szCs w:val="24"/>
          <w:lang w:val="en-US"/>
        </w:rPr>
      </w:pPr>
    </w:p>
    <w:p w14:paraId="3C77072E" w14:textId="3D5B4E45" w:rsidR="00D80381" w:rsidRDefault="00D80381" w:rsidP="00453751">
      <w:pPr>
        <w:spacing w:line="480" w:lineRule="auto"/>
        <w:rPr>
          <w:b/>
          <w:sz w:val="24"/>
          <w:szCs w:val="24"/>
          <w:lang w:val="en-US"/>
        </w:rPr>
      </w:pPr>
    </w:p>
    <w:tbl>
      <w:tblPr>
        <w:tblW w:w="9920" w:type="dxa"/>
        <w:tblLook w:val="04A0" w:firstRow="1" w:lastRow="0" w:firstColumn="1" w:lastColumn="0" w:noHBand="0" w:noVBand="1"/>
      </w:tblPr>
      <w:tblGrid>
        <w:gridCol w:w="1280"/>
        <w:gridCol w:w="900"/>
        <w:gridCol w:w="610"/>
        <w:gridCol w:w="867"/>
        <w:gridCol w:w="610"/>
        <w:gridCol w:w="837"/>
        <w:gridCol w:w="610"/>
        <w:gridCol w:w="849"/>
        <w:gridCol w:w="610"/>
        <w:gridCol w:w="911"/>
        <w:gridCol w:w="610"/>
        <w:gridCol w:w="911"/>
        <w:gridCol w:w="629"/>
      </w:tblGrid>
      <w:tr w:rsidR="002750E2" w:rsidRPr="002750E2" w14:paraId="6F39F67F" w14:textId="77777777" w:rsidTr="002750E2">
        <w:trPr>
          <w:trHeight w:val="300"/>
        </w:trPr>
        <w:tc>
          <w:tcPr>
            <w:tcW w:w="12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B8DAA8"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 </w:t>
            </w:r>
          </w:p>
        </w:tc>
        <w:tc>
          <w:tcPr>
            <w:tcW w:w="1460" w:type="dxa"/>
            <w:gridSpan w:val="2"/>
            <w:tcBorders>
              <w:top w:val="single" w:sz="4" w:space="0" w:color="auto"/>
              <w:left w:val="nil"/>
              <w:bottom w:val="single" w:sz="4" w:space="0" w:color="auto"/>
              <w:right w:val="single" w:sz="4" w:space="0" w:color="auto"/>
            </w:tcBorders>
            <w:shd w:val="clear" w:color="auto" w:fill="auto"/>
            <w:noWrap/>
            <w:vAlign w:val="bottom"/>
            <w:hideMark/>
          </w:tcPr>
          <w:p w14:paraId="24A9314E" w14:textId="77777777" w:rsidR="002750E2" w:rsidRPr="002750E2" w:rsidRDefault="002750E2" w:rsidP="002750E2">
            <w:pPr>
              <w:spacing w:after="0" w:line="240" w:lineRule="auto"/>
              <w:jc w:val="center"/>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Coach Lane</w:t>
            </w:r>
          </w:p>
        </w:tc>
        <w:tc>
          <w:tcPr>
            <w:tcW w:w="14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09D541C0" w14:textId="77777777" w:rsidR="002750E2" w:rsidRPr="002750E2" w:rsidRDefault="002750E2" w:rsidP="002750E2">
            <w:pPr>
              <w:spacing w:after="0" w:line="240" w:lineRule="auto"/>
              <w:jc w:val="center"/>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Fewston</w:t>
            </w:r>
          </w:p>
        </w:tc>
        <w:tc>
          <w:tcPr>
            <w:tcW w:w="1400" w:type="dxa"/>
            <w:gridSpan w:val="2"/>
            <w:tcBorders>
              <w:top w:val="single" w:sz="4" w:space="0" w:color="auto"/>
              <w:left w:val="nil"/>
              <w:bottom w:val="single" w:sz="4" w:space="0" w:color="auto"/>
              <w:right w:val="single" w:sz="4" w:space="0" w:color="auto"/>
            </w:tcBorders>
            <w:shd w:val="clear" w:color="auto" w:fill="auto"/>
            <w:noWrap/>
            <w:vAlign w:val="bottom"/>
            <w:hideMark/>
          </w:tcPr>
          <w:p w14:paraId="55481001" w14:textId="77777777" w:rsidR="002750E2" w:rsidRPr="002750E2" w:rsidRDefault="002750E2" w:rsidP="002750E2">
            <w:pPr>
              <w:spacing w:after="0" w:line="240" w:lineRule="auto"/>
              <w:jc w:val="center"/>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Coach Lane</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89AEB7A" w14:textId="77777777" w:rsidR="002750E2" w:rsidRPr="002750E2" w:rsidRDefault="002750E2" w:rsidP="002750E2">
            <w:pPr>
              <w:spacing w:after="0" w:line="240" w:lineRule="auto"/>
              <w:jc w:val="center"/>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Fewston</w:t>
            </w:r>
          </w:p>
        </w:tc>
        <w:tc>
          <w:tcPr>
            <w:tcW w:w="1420" w:type="dxa"/>
            <w:gridSpan w:val="2"/>
            <w:tcBorders>
              <w:top w:val="single" w:sz="4" w:space="0" w:color="auto"/>
              <w:left w:val="nil"/>
              <w:bottom w:val="single" w:sz="4" w:space="0" w:color="auto"/>
              <w:right w:val="single" w:sz="4" w:space="0" w:color="auto"/>
            </w:tcBorders>
            <w:shd w:val="clear" w:color="auto" w:fill="auto"/>
            <w:noWrap/>
            <w:vAlign w:val="bottom"/>
            <w:hideMark/>
          </w:tcPr>
          <w:p w14:paraId="7A487D7C" w14:textId="77777777" w:rsidR="002750E2" w:rsidRPr="002750E2" w:rsidRDefault="002750E2" w:rsidP="002750E2">
            <w:pPr>
              <w:spacing w:after="0" w:line="240" w:lineRule="auto"/>
              <w:jc w:val="center"/>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Coach Lane</w:t>
            </w:r>
          </w:p>
        </w:tc>
        <w:tc>
          <w:tcPr>
            <w:tcW w:w="1540" w:type="dxa"/>
            <w:gridSpan w:val="2"/>
            <w:tcBorders>
              <w:top w:val="single" w:sz="4" w:space="0" w:color="auto"/>
              <w:left w:val="nil"/>
              <w:bottom w:val="single" w:sz="4" w:space="0" w:color="auto"/>
              <w:right w:val="single" w:sz="4" w:space="0" w:color="auto"/>
            </w:tcBorders>
            <w:shd w:val="clear" w:color="auto" w:fill="auto"/>
            <w:noWrap/>
            <w:vAlign w:val="bottom"/>
            <w:hideMark/>
          </w:tcPr>
          <w:p w14:paraId="4A02F9E7" w14:textId="77777777" w:rsidR="002750E2" w:rsidRPr="002750E2" w:rsidRDefault="002750E2" w:rsidP="002750E2">
            <w:pPr>
              <w:spacing w:after="0" w:line="240" w:lineRule="auto"/>
              <w:jc w:val="center"/>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Fewston</w:t>
            </w:r>
          </w:p>
        </w:tc>
      </w:tr>
      <w:tr w:rsidR="002750E2" w:rsidRPr="002750E2" w14:paraId="7BABE2D2" w14:textId="77777777" w:rsidTr="002750E2">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1DB24F57"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Age</w:t>
            </w:r>
          </w:p>
        </w:tc>
        <w:tc>
          <w:tcPr>
            <w:tcW w:w="900" w:type="dxa"/>
            <w:tcBorders>
              <w:top w:val="nil"/>
              <w:left w:val="nil"/>
              <w:bottom w:val="single" w:sz="4" w:space="0" w:color="auto"/>
              <w:right w:val="single" w:sz="4" w:space="0" w:color="auto"/>
            </w:tcBorders>
            <w:shd w:val="clear" w:color="auto" w:fill="auto"/>
            <w:noWrap/>
            <w:vAlign w:val="bottom"/>
            <w:hideMark/>
          </w:tcPr>
          <w:p w14:paraId="5C9A70FB"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Rickets</w:t>
            </w:r>
          </w:p>
        </w:tc>
        <w:tc>
          <w:tcPr>
            <w:tcW w:w="560" w:type="dxa"/>
            <w:tcBorders>
              <w:top w:val="nil"/>
              <w:left w:val="nil"/>
              <w:bottom w:val="single" w:sz="4" w:space="0" w:color="auto"/>
              <w:right w:val="single" w:sz="4" w:space="0" w:color="auto"/>
            </w:tcBorders>
            <w:shd w:val="clear" w:color="auto" w:fill="auto"/>
            <w:noWrap/>
            <w:vAlign w:val="bottom"/>
            <w:hideMark/>
          </w:tcPr>
          <w:p w14:paraId="2BED25C0"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CPR</w:t>
            </w:r>
          </w:p>
        </w:tc>
        <w:tc>
          <w:tcPr>
            <w:tcW w:w="863" w:type="dxa"/>
            <w:tcBorders>
              <w:top w:val="nil"/>
              <w:left w:val="nil"/>
              <w:bottom w:val="single" w:sz="4" w:space="0" w:color="auto"/>
              <w:right w:val="single" w:sz="4" w:space="0" w:color="auto"/>
            </w:tcBorders>
            <w:shd w:val="clear" w:color="auto" w:fill="auto"/>
            <w:noWrap/>
            <w:vAlign w:val="bottom"/>
            <w:hideMark/>
          </w:tcPr>
          <w:p w14:paraId="43CE050D"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Rickets</w:t>
            </w:r>
          </w:p>
        </w:tc>
        <w:tc>
          <w:tcPr>
            <w:tcW w:w="537" w:type="dxa"/>
            <w:tcBorders>
              <w:top w:val="nil"/>
              <w:left w:val="nil"/>
              <w:bottom w:val="single" w:sz="4" w:space="0" w:color="auto"/>
              <w:right w:val="single" w:sz="4" w:space="0" w:color="auto"/>
            </w:tcBorders>
            <w:shd w:val="clear" w:color="auto" w:fill="auto"/>
            <w:noWrap/>
            <w:vAlign w:val="bottom"/>
            <w:hideMark/>
          </w:tcPr>
          <w:p w14:paraId="51A49671"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CPR</w:t>
            </w:r>
          </w:p>
        </w:tc>
        <w:tc>
          <w:tcPr>
            <w:tcW w:w="837" w:type="dxa"/>
            <w:tcBorders>
              <w:top w:val="nil"/>
              <w:left w:val="nil"/>
              <w:bottom w:val="single" w:sz="4" w:space="0" w:color="auto"/>
              <w:right w:val="single" w:sz="4" w:space="0" w:color="auto"/>
            </w:tcBorders>
            <w:shd w:val="clear" w:color="auto" w:fill="auto"/>
            <w:noWrap/>
            <w:vAlign w:val="bottom"/>
            <w:hideMark/>
          </w:tcPr>
          <w:p w14:paraId="322C5B45"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Scurvy</w:t>
            </w:r>
          </w:p>
        </w:tc>
        <w:tc>
          <w:tcPr>
            <w:tcW w:w="563" w:type="dxa"/>
            <w:tcBorders>
              <w:top w:val="nil"/>
              <w:left w:val="nil"/>
              <w:bottom w:val="single" w:sz="4" w:space="0" w:color="auto"/>
              <w:right w:val="single" w:sz="4" w:space="0" w:color="auto"/>
            </w:tcBorders>
            <w:shd w:val="clear" w:color="auto" w:fill="auto"/>
            <w:noWrap/>
            <w:vAlign w:val="bottom"/>
            <w:hideMark/>
          </w:tcPr>
          <w:p w14:paraId="6AB64752"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CPR</w:t>
            </w:r>
          </w:p>
        </w:tc>
        <w:tc>
          <w:tcPr>
            <w:tcW w:w="849" w:type="dxa"/>
            <w:tcBorders>
              <w:top w:val="nil"/>
              <w:left w:val="nil"/>
              <w:bottom w:val="single" w:sz="4" w:space="0" w:color="auto"/>
              <w:right w:val="single" w:sz="4" w:space="0" w:color="auto"/>
            </w:tcBorders>
            <w:shd w:val="clear" w:color="auto" w:fill="auto"/>
            <w:noWrap/>
            <w:vAlign w:val="bottom"/>
            <w:hideMark/>
          </w:tcPr>
          <w:p w14:paraId="6DDB0C26"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Scurvy</w:t>
            </w:r>
          </w:p>
        </w:tc>
        <w:tc>
          <w:tcPr>
            <w:tcW w:w="571" w:type="dxa"/>
            <w:tcBorders>
              <w:top w:val="nil"/>
              <w:left w:val="nil"/>
              <w:bottom w:val="single" w:sz="4" w:space="0" w:color="auto"/>
              <w:right w:val="single" w:sz="4" w:space="0" w:color="auto"/>
            </w:tcBorders>
            <w:shd w:val="clear" w:color="auto" w:fill="auto"/>
            <w:noWrap/>
            <w:vAlign w:val="bottom"/>
            <w:hideMark/>
          </w:tcPr>
          <w:p w14:paraId="076DF536"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CPR</w:t>
            </w:r>
          </w:p>
        </w:tc>
        <w:tc>
          <w:tcPr>
            <w:tcW w:w="896" w:type="dxa"/>
            <w:tcBorders>
              <w:top w:val="nil"/>
              <w:left w:val="nil"/>
              <w:bottom w:val="single" w:sz="4" w:space="0" w:color="auto"/>
              <w:right w:val="single" w:sz="4" w:space="0" w:color="auto"/>
            </w:tcBorders>
            <w:shd w:val="clear" w:color="auto" w:fill="auto"/>
            <w:noWrap/>
            <w:vAlign w:val="bottom"/>
            <w:hideMark/>
          </w:tcPr>
          <w:p w14:paraId="2064BF35"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 xml:space="preserve">CO </w:t>
            </w:r>
          </w:p>
        </w:tc>
        <w:tc>
          <w:tcPr>
            <w:tcW w:w="524" w:type="dxa"/>
            <w:tcBorders>
              <w:top w:val="nil"/>
              <w:left w:val="nil"/>
              <w:bottom w:val="single" w:sz="4" w:space="0" w:color="auto"/>
              <w:right w:val="single" w:sz="4" w:space="0" w:color="auto"/>
            </w:tcBorders>
            <w:shd w:val="clear" w:color="auto" w:fill="auto"/>
            <w:noWrap/>
            <w:vAlign w:val="bottom"/>
            <w:hideMark/>
          </w:tcPr>
          <w:p w14:paraId="54081CA2"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TPR</w:t>
            </w:r>
          </w:p>
        </w:tc>
        <w:tc>
          <w:tcPr>
            <w:tcW w:w="911" w:type="dxa"/>
            <w:tcBorders>
              <w:top w:val="nil"/>
              <w:left w:val="nil"/>
              <w:bottom w:val="single" w:sz="4" w:space="0" w:color="auto"/>
              <w:right w:val="single" w:sz="4" w:space="0" w:color="auto"/>
            </w:tcBorders>
            <w:shd w:val="clear" w:color="auto" w:fill="auto"/>
            <w:noWrap/>
            <w:vAlign w:val="bottom"/>
            <w:hideMark/>
          </w:tcPr>
          <w:p w14:paraId="563F5E86"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CO</w:t>
            </w:r>
          </w:p>
        </w:tc>
        <w:tc>
          <w:tcPr>
            <w:tcW w:w="629" w:type="dxa"/>
            <w:tcBorders>
              <w:top w:val="nil"/>
              <w:left w:val="nil"/>
              <w:bottom w:val="single" w:sz="4" w:space="0" w:color="auto"/>
              <w:right w:val="single" w:sz="4" w:space="0" w:color="auto"/>
            </w:tcBorders>
            <w:shd w:val="clear" w:color="auto" w:fill="auto"/>
            <w:noWrap/>
            <w:vAlign w:val="bottom"/>
            <w:hideMark/>
          </w:tcPr>
          <w:p w14:paraId="581A1531"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TPR</w:t>
            </w:r>
          </w:p>
        </w:tc>
      </w:tr>
      <w:tr w:rsidR="002750E2" w:rsidRPr="002750E2" w14:paraId="5B6822D4" w14:textId="77777777" w:rsidTr="002750E2">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C299352"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36w-1m</w:t>
            </w:r>
          </w:p>
        </w:tc>
        <w:tc>
          <w:tcPr>
            <w:tcW w:w="900" w:type="dxa"/>
            <w:tcBorders>
              <w:top w:val="nil"/>
              <w:left w:val="nil"/>
              <w:bottom w:val="single" w:sz="4" w:space="0" w:color="auto"/>
              <w:right w:val="single" w:sz="4" w:space="0" w:color="auto"/>
            </w:tcBorders>
            <w:shd w:val="clear" w:color="auto" w:fill="auto"/>
            <w:noWrap/>
            <w:vAlign w:val="bottom"/>
            <w:hideMark/>
          </w:tcPr>
          <w:p w14:paraId="32055C2C"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0 (9)</w:t>
            </w:r>
          </w:p>
        </w:tc>
        <w:tc>
          <w:tcPr>
            <w:tcW w:w="560" w:type="dxa"/>
            <w:tcBorders>
              <w:top w:val="nil"/>
              <w:left w:val="nil"/>
              <w:bottom w:val="single" w:sz="4" w:space="0" w:color="auto"/>
              <w:right w:val="single" w:sz="4" w:space="0" w:color="auto"/>
            </w:tcBorders>
            <w:shd w:val="clear" w:color="auto" w:fill="auto"/>
            <w:noWrap/>
            <w:vAlign w:val="bottom"/>
            <w:hideMark/>
          </w:tcPr>
          <w:p w14:paraId="12ADE458"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0</w:t>
            </w:r>
          </w:p>
        </w:tc>
        <w:tc>
          <w:tcPr>
            <w:tcW w:w="863" w:type="dxa"/>
            <w:tcBorders>
              <w:top w:val="nil"/>
              <w:left w:val="nil"/>
              <w:bottom w:val="single" w:sz="4" w:space="0" w:color="auto"/>
              <w:right w:val="single" w:sz="4" w:space="0" w:color="auto"/>
            </w:tcBorders>
            <w:shd w:val="clear" w:color="auto" w:fill="auto"/>
            <w:noWrap/>
            <w:vAlign w:val="bottom"/>
            <w:hideMark/>
          </w:tcPr>
          <w:p w14:paraId="341DCE13"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0(0)</w:t>
            </w:r>
          </w:p>
        </w:tc>
        <w:tc>
          <w:tcPr>
            <w:tcW w:w="537" w:type="dxa"/>
            <w:tcBorders>
              <w:top w:val="nil"/>
              <w:left w:val="nil"/>
              <w:bottom w:val="single" w:sz="4" w:space="0" w:color="auto"/>
              <w:right w:val="single" w:sz="4" w:space="0" w:color="auto"/>
            </w:tcBorders>
            <w:shd w:val="clear" w:color="auto" w:fill="auto"/>
            <w:noWrap/>
            <w:vAlign w:val="bottom"/>
            <w:hideMark/>
          </w:tcPr>
          <w:p w14:paraId="76777B07"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0</w:t>
            </w:r>
          </w:p>
        </w:tc>
        <w:tc>
          <w:tcPr>
            <w:tcW w:w="837" w:type="dxa"/>
            <w:tcBorders>
              <w:top w:val="nil"/>
              <w:left w:val="nil"/>
              <w:bottom w:val="single" w:sz="4" w:space="0" w:color="auto"/>
              <w:right w:val="single" w:sz="4" w:space="0" w:color="auto"/>
            </w:tcBorders>
            <w:shd w:val="clear" w:color="auto" w:fill="auto"/>
            <w:noWrap/>
            <w:vAlign w:val="bottom"/>
            <w:hideMark/>
          </w:tcPr>
          <w:p w14:paraId="60B7AA5C"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7(8)</w:t>
            </w:r>
          </w:p>
        </w:tc>
        <w:tc>
          <w:tcPr>
            <w:tcW w:w="563" w:type="dxa"/>
            <w:tcBorders>
              <w:top w:val="nil"/>
              <w:left w:val="nil"/>
              <w:bottom w:val="single" w:sz="4" w:space="0" w:color="auto"/>
              <w:right w:val="single" w:sz="4" w:space="0" w:color="auto"/>
            </w:tcBorders>
            <w:shd w:val="clear" w:color="auto" w:fill="auto"/>
            <w:noWrap/>
            <w:vAlign w:val="bottom"/>
            <w:hideMark/>
          </w:tcPr>
          <w:p w14:paraId="010F7E24"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87.5</w:t>
            </w:r>
          </w:p>
        </w:tc>
        <w:tc>
          <w:tcPr>
            <w:tcW w:w="849" w:type="dxa"/>
            <w:tcBorders>
              <w:top w:val="nil"/>
              <w:left w:val="nil"/>
              <w:bottom w:val="single" w:sz="4" w:space="0" w:color="auto"/>
              <w:right w:val="single" w:sz="4" w:space="0" w:color="auto"/>
            </w:tcBorders>
            <w:shd w:val="clear" w:color="auto" w:fill="auto"/>
            <w:noWrap/>
            <w:vAlign w:val="bottom"/>
            <w:hideMark/>
          </w:tcPr>
          <w:p w14:paraId="4A66E213"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1(1)</w:t>
            </w:r>
          </w:p>
        </w:tc>
        <w:tc>
          <w:tcPr>
            <w:tcW w:w="571" w:type="dxa"/>
            <w:tcBorders>
              <w:top w:val="nil"/>
              <w:left w:val="nil"/>
              <w:bottom w:val="single" w:sz="4" w:space="0" w:color="auto"/>
              <w:right w:val="single" w:sz="4" w:space="0" w:color="auto"/>
            </w:tcBorders>
            <w:shd w:val="clear" w:color="auto" w:fill="auto"/>
            <w:noWrap/>
            <w:vAlign w:val="bottom"/>
            <w:hideMark/>
          </w:tcPr>
          <w:p w14:paraId="67FBD92E"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100</w:t>
            </w:r>
          </w:p>
        </w:tc>
        <w:tc>
          <w:tcPr>
            <w:tcW w:w="896" w:type="dxa"/>
            <w:tcBorders>
              <w:top w:val="nil"/>
              <w:left w:val="nil"/>
              <w:bottom w:val="single" w:sz="4" w:space="0" w:color="auto"/>
              <w:right w:val="single" w:sz="4" w:space="0" w:color="auto"/>
            </w:tcBorders>
            <w:shd w:val="clear" w:color="auto" w:fill="auto"/>
            <w:noWrap/>
            <w:vAlign w:val="bottom"/>
            <w:hideMark/>
          </w:tcPr>
          <w:p w14:paraId="43C79CB1"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2(22)</w:t>
            </w:r>
          </w:p>
        </w:tc>
        <w:tc>
          <w:tcPr>
            <w:tcW w:w="524" w:type="dxa"/>
            <w:tcBorders>
              <w:top w:val="nil"/>
              <w:left w:val="nil"/>
              <w:bottom w:val="single" w:sz="4" w:space="0" w:color="auto"/>
              <w:right w:val="single" w:sz="4" w:space="0" w:color="auto"/>
            </w:tcBorders>
            <w:shd w:val="clear" w:color="auto" w:fill="auto"/>
            <w:noWrap/>
            <w:vAlign w:val="bottom"/>
            <w:hideMark/>
          </w:tcPr>
          <w:p w14:paraId="5BD30A1E"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9</w:t>
            </w:r>
          </w:p>
        </w:tc>
        <w:tc>
          <w:tcPr>
            <w:tcW w:w="911" w:type="dxa"/>
            <w:tcBorders>
              <w:top w:val="nil"/>
              <w:left w:val="nil"/>
              <w:bottom w:val="single" w:sz="4" w:space="0" w:color="auto"/>
              <w:right w:val="single" w:sz="4" w:space="0" w:color="auto"/>
            </w:tcBorders>
            <w:shd w:val="clear" w:color="auto" w:fill="auto"/>
            <w:noWrap/>
            <w:vAlign w:val="bottom"/>
            <w:hideMark/>
          </w:tcPr>
          <w:p w14:paraId="4A37F63E"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0(1)</w:t>
            </w:r>
          </w:p>
        </w:tc>
        <w:tc>
          <w:tcPr>
            <w:tcW w:w="629" w:type="dxa"/>
            <w:tcBorders>
              <w:top w:val="nil"/>
              <w:left w:val="nil"/>
              <w:bottom w:val="single" w:sz="4" w:space="0" w:color="auto"/>
              <w:right w:val="single" w:sz="4" w:space="0" w:color="auto"/>
            </w:tcBorders>
            <w:shd w:val="clear" w:color="auto" w:fill="auto"/>
            <w:noWrap/>
            <w:vAlign w:val="bottom"/>
            <w:hideMark/>
          </w:tcPr>
          <w:p w14:paraId="5FEE7E17"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0</w:t>
            </w:r>
          </w:p>
        </w:tc>
      </w:tr>
      <w:tr w:rsidR="002750E2" w:rsidRPr="002750E2" w14:paraId="501B25A4" w14:textId="77777777" w:rsidTr="002750E2">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450CFD20"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1-12m</w:t>
            </w:r>
          </w:p>
        </w:tc>
        <w:tc>
          <w:tcPr>
            <w:tcW w:w="900" w:type="dxa"/>
            <w:tcBorders>
              <w:top w:val="nil"/>
              <w:left w:val="nil"/>
              <w:bottom w:val="single" w:sz="4" w:space="0" w:color="auto"/>
              <w:right w:val="single" w:sz="4" w:space="0" w:color="auto"/>
            </w:tcBorders>
            <w:shd w:val="clear" w:color="auto" w:fill="auto"/>
            <w:noWrap/>
            <w:vAlign w:val="bottom"/>
            <w:hideMark/>
          </w:tcPr>
          <w:p w14:paraId="1E5793DC"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7 (12)</w:t>
            </w:r>
          </w:p>
        </w:tc>
        <w:tc>
          <w:tcPr>
            <w:tcW w:w="560" w:type="dxa"/>
            <w:tcBorders>
              <w:top w:val="nil"/>
              <w:left w:val="nil"/>
              <w:bottom w:val="single" w:sz="4" w:space="0" w:color="auto"/>
              <w:right w:val="single" w:sz="4" w:space="0" w:color="auto"/>
            </w:tcBorders>
            <w:shd w:val="clear" w:color="auto" w:fill="auto"/>
            <w:noWrap/>
            <w:vAlign w:val="bottom"/>
            <w:hideMark/>
          </w:tcPr>
          <w:p w14:paraId="20D03398"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58.3</w:t>
            </w:r>
          </w:p>
        </w:tc>
        <w:tc>
          <w:tcPr>
            <w:tcW w:w="863" w:type="dxa"/>
            <w:tcBorders>
              <w:top w:val="nil"/>
              <w:left w:val="nil"/>
              <w:bottom w:val="single" w:sz="4" w:space="0" w:color="auto"/>
              <w:right w:val="single" w:sz="4" w:space="0" w:color="auto"/>
            </w:tcBorders>
            <w:shd w:val="clear" w:color="auto" w:fill="auto"/>
            <w:noWrap/>
            <w:vAlign w:val="bottom"/>
            <w:hideMark/>
          </w:tcPr>
          <w:p w14:paraId="6E580B6F"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1(1)</w:t>
            </w:r>
          </w:p>
        </w:tc>
        <w:tc>
          <w:tcPr>
            <w:tcW w:w="537" w:type="dxa"/>
            <w:tcBorders>
              <w:top w:val="nil"/>
              <w:left w:val="nil"/>
              <w:bottom w:val="single" w:sz="4" w:space="0" w:color="auto"/>
              <w:right w:val="single" w:sz="4" w:space="0" w:color="auto"/>
            </w:tcBorders>
            <w:shd w:val="clear" w:color="auto" w:fill="auto"/>
            <w:noWrap/>
            <w:vAlign w:val="bottom"/>
            <w:hideMark/>
          </w:tcPr>
          <w:p w14:paraId="42BB8A86"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100</w:t>
            </w:r>
          </w:p>
        </w:tc>
        <w:tc>
          <w:tcPr>
            <w:tcW w:w="837" w:type="dxa"/>
            <w:tcBorders>
              <w:top w:val="nil"/>
              <w:left w:val="nil"/>
              <w:bottom w:val="single" w:sz="4" w:space="0" w:color="auto"/>
              <w:right w:val="single" w:sz="4" w:space="0" w:color="auto"/>
            </w:tcBorders>
            <w:shd w:val="clear" w:color="auto" w:fill="auto"/>
            <w:noWrap/>
            <w:vAlign w:val="bottom"/>
            <w:hideMark/>
          </w:tcPr>
          <w:p w14:paraId="2FBE116B"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10(12)</w:t>
            </w:r>
          </w:p>
        </w:tc>
        <w:tc>
          <w:tcPr>
            <w:tcW w:w="563" w:type="dxa"/>
            <w:tcBorders>
              <w:top w:val="nil"/>
              <w:left w:val="nil"/>
              <w:bottom w:val="single" w:sz="4" w:space="0" w:color="auto"/>
              <w:right w:val="single" w:sz="4" w:space="0" w:color="auto"/>
            </w:tcBorders>
            <w:shd w:val="clear" w:color="auto" w:fill="auto"/>
            <w:noWrap/>
            <w:vAlign w:val="bottom"/>
            <w:hideMark/>
          </w:tcPr>
          <w:p w14:paraId="29AF0E70"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83.3</w:t>
            </w:r>
          </w:p>
        </w:tc>
        <w:tc>
          <w:tcPr>
            <w:tcW w:w="849" w:type="dxa"/>
            <w:tcBorders>
              <w:top w:val="nil"/>
              <w:left w:val="nil"/>
              <w:bottom w:val="single" w:sz="4" w:space="0" w:color="auto"/>
              <w:right w:val="single" w:sz="4" w:space="0" w:color="auto"/>
            </w:tcBorders>
            <w:shd w:val="clear" w:color="auto" w:fill="auto"/>
            <w:noWrap/>
            <w:vAlign w:val="bottom"/>
            <w:hideMark/>
          </w:tcPr>
          <w:p w14:paraId="3BC9ACFD"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1(1)</w:t>
            </w:r>
          </w:p>
        </w:tc>
        <w:tc>
          <w:tcPr>
            <w:tcW w:w="571" w:type="dxa"/>
            <w:tcBorders>
              <w:top w:val="nil"/>
              <w:left w:val="nil"/>
              <w:bottom w:val="single" w:sz="4" w:space="0" w:color="auto"/>
              <w:right w:val="single" w:sz="4" w:space="0" w:color="auto"/>
            </w:tcBorders>
            <w:shd w:val="clear" w:color="auto" w:fill="auto"/>
            <w:noWrap/>
            <w:vAlign w:val="bottom"/>
            <w:hideMark/>
          </w:tcPr>
          <w:p w14:paraId="42FE38A2"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100</w:t>
            </w:r>
          </w:p>
        </w:tc>
        <w:tc>
          <w:tcPr>
            <w:tcW w:w="896" w:type="dxa"/>
            <w:tcBorders>
              <w:top w:val="nil"/>
              <w:left w:val="nil"/>
              <w:bottom w:val="single" w:sz="4" w:space="0" w:color="auto"/>
              <w:right w:val="single" w:sz="4" w:space="0" w:color="auto"/>
            </w:tcBorders>
            <w:shd w:val="clear" w:color="auto" w:fill="auto"/>
            <w:noWrap/>
            <w:vAlign w:val="bottom"/>
            <w:hideMark/>
          </w:tcPr>
          <w:p w14:paraId="2DCF66B6"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2(20)</w:t>
            </w:r>
          </w:p>
        </w:tc>
        <w:tc>
          <w:tcPr>
            <w:tcW w:w="524" w:type="dxa"/>
            <w:tcBorders>
              <w:top w:val="nil"/>
              <w:left w:val="nil"/>
              <w:bottom w:val="single" w:sz="4" w:space="0" w:color="auto"/>
              <w:right w:val="single" w:sz="4" w:space="0" w:color="auto"/>
            </w:tcBorders>
            <w:shd w:val="clear" w:color="auto" w:fill="auto"/>
            <w:noWrap/>
            <w:vAlign w:val="bottom"/>
            <w:hideMark/>
          </w:tcPr>
          <w:p w14:paraId="08A40F04"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10</w:t>
            </w:r>
          </w:p>
        </w:tc>
        <w:tc>
          <w:tcPr>
            <w:tcW w:w="911" w:type="dxa"/>
            <w:tcBorders>
              <w:top w:val="nil"/>
              <w:left w:val="nil"/>
              <w:bottom w:val="single" w:sz="4" w:space="0" w:color="auto"/>
              <w:right w:val="single" w:sz="4" w:space="0" w:color="auto"/>
            </w:tcBorders>
            <w:shd w:val="clear" w:color="auto" w:fill="auto"/>
            <w:noWrap/>
            <w:vAlign w:val="bottom"/>
            <w:hideMark/>
          </w:tcPr>
          <w:p w14:paraId="18E0B717"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0(1)</w:t>
            </w:r>
          </w:p>
        </w:tc>
        <w:tc>
          <w:tcPr>
            <w:tcW w:w="629" w:type="dxa"/>
            <w:tcBorders>
              <w:top w:val="nil"/>
              <w:left w:val="nil"/>
              <w:bottom w:val="single" w:sz="4" w:space="0" w:color="auto"/>
              <w:right w:val="single" w:sz="4" w:space="0" w:color="auto"/>
            </w:tcBorders>
            <w:shd w:val="clear" w:color="auto" w:fill="auto"/>
            <w:noWrap/>
            <w:vAlign w:val="bottom"/>
            <w:hideMark/>
          </w:tcPr>
          <w:p w14:paraId="7FDCAE64"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0</w:t>
            </w:r>
          </w:p>
        </w:tc>
      </w:tr>
      <w:tr w:rsidR="002750E2" w:rsidRPr="002750E2" w14:paraId="350B435A" w14:textId="77777777" w:rsidTr="002750E2">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C7FF366"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1-5.9y</w:t>
            </w:r>
          </w:p>
        </w:tc>
        <w:tc>
          <w:tcPr>
            <w:tcW w:w="900" w:type="dxa"/>
            <w:tcBorders>
              <w:top w:val="nil"/>
              <w:left w:val="nil"/>
              <w:bottom w:val="single" w:sz="4" w:space="0" w:color="auto"/>
              <w:right w:val="single" w:sz="4" w:space="0" w:color="auto"/>
            </w:tcBorders>
            <w:shd w:val="clear" w:color="auto" w:fill="auto"/>
            <w:noWrap/>
            <w:vAlign w:val="bottom"/>
            <w:hideMark/>
          </w:tcPr>
          <w:p w14:paraId="13A95C56"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11(25)</w:t>
            </w:r>
          </w:p>
        </w:tc>
        <w:tc>
          <w:tcPr>
            <w:tcW w:w="560" w:type="dxa"/>
            <w:tcBorders>
              <w:top w:val="nil"/>
              <w:left w:val="nil"/>
              <w:bottom w:val="single" w:sz="4" w:space="0" w:color="auto"/>
              <w:right w:val="single" w:sz="4" w:space="0" w:color="auto"/>
            </w:tcBorders>
            <w:shd w:val="clear" w:color="auto" w:fill="auto"/>
            <w:noWrap/>
            <w:vAlign w:val="bottom"/>
            <w:hideMark/>
          </w:tcPr>
          <w:p w14:paraId="6347FF45"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44.0</w:t>
            </w:r>
          </w:p>
        </w:tc>
        <w:tc>
          <w:tcPr>
            <w:tcW w:w="863" w:type="dxa"/>
            <w:tcBorders>
              <w:top w:val="nil"/>
              <w:left w:val="nil"/>
              <w:bottom w:val="single" w:sz="4" w:space="0" w:color="auto"/>
              <w:right w:val="single" w:sz="4" w:space="0" w:color="auto"/>
            </w:tcBorders>
            <w:shd w:val="clear" w:color="auto" w:fill="auto"/>
            <w:noWrap/>
            <w:vAlign w:val="bottom"/>
            <w:hideMark/>
          </w:tcPr>
          <w:p w14:paraId="5C18E477"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2(4)</w:t>
            </w:r>
          </w:p>
        </w:tc>
        <w:tc>
          <w:tcPr>
            <w:tcW w:w="537" w:type="dxa"/>
            <w:tcBorders>
              <w:top w:val="nil"/>
              <w:left w:val="nil"/>
              <w:bottom w:val="single" w:sz="4" w:space="0" w:color="auto"/>
              <w:right w:val="single" w:sz="4" w:space="0" w:color="auto"/>
            </w:tcBorders>
            <w:shd w:val="clear" w:color="auto" w:fill="auto"/>
            <w:noWrap/>
            <w:vAlign w:val="bottom"/>
            <w:hideMark/>
          </w:tcPr>
          <w:p w14:paraId="4201805F"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50</w:t>
            </w:r>
          </w:p>
        </w:tc>
        <w:tc>
          <w:tcPr>
            <w:tcW w:w="837" w:type="dxa"/>
            <w:tcBorders>
              <w:top w:val="nil"/>
              <w:left w:val="nil"/>
              <w:bottom w:val="single" w:sz="4" w:space="0" w:color="auto"/>
              <w:right w:val="single" w:sz="4" w:space="0" w:color="auto"/>
            </w:tcBorders>
            <w:shd w:val="clear" w:color="auto" w:fill="auto"/>
            <w:noWrap/>
            <w:vAlign w:val="bottom"/>
            <w:hideMark/>
          </w:tcPr>
          <w:p w14:paraId="4EA69FDE"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7(27)</w:t>
            </w:r>
          </w:p>
        </w:tc>
        <w:tc>
          <w:tcPr>
            <w:tcW w:w="563" w:type="dxa"/>
            <w:tcBorders>
              <w:top w:val="nil"/>
              <w:left w:val="nil"/>
              <w:bottom w:val="single" w:sz="4" w:space="0" w:color="auto"/>
              <w:right w:val="single" w:sz="4" w:space="0" w:color="auto"/>
            </w:tcBorders>
            <w:shd w:val="clear" w:color="auto" w:fill="auto"/>
            <w:noWrap/>
            <w:vAlign w:val="bottom"/>
            <w:hideMark/>
          </w:tcPr>
          <w:p w14:paraId="694FDBF1"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25.9</w:t>
            </w:r>
          </w:p>
        </w:tc>
        <w:tc>
          <w:tcPr>
            <w:tcW w:w="849" w:type="dxa"/>
            <w:tcBorders>
              <w:top w:val="nil"/>
              <w:left w:val="nil"/>
              <w:bottom w:val="single" w:sz="4" w:space="0" w:color="auto"/>
              <w:right w:val="single" w:sz="4" w:space="0" w:color="auto"/>
            </w:tcBorders>
            <w:shd w:val="clear" w:color="auto" w:fill="auto"/>
            <w:noWrap/>
            <w:vAlign w:val="bottom"/>
            <w:hideMark/>
          </w:tcPr>
          <w:p w14:paraId="37B593A7"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3(8)</w:t>
            </w:r>
          </w:p>
        </w:tc>
        <w:tc>
          <w:tcPr>
            <w:tcW w:w="571" w:type="dxa"/>
            <w:tcBorders>
              <w:top w:val="nil"/>
              <w:left w:val="nil"/>
              <w:bottom w:val="single" w:sz="4" w:space="0" w:color="auto"/>
              <w:right w:val="single" w:sz="4" w:space="0" w:color="auto"/>
            </w:tcBorders>
            <w:shd w:val="clear" w:color="auto" w:fill="auto"/>
            <w:noWrap/>
            <w:vAlign w:val="bottom"/>
            <w:hideMark/>
          </w:tcPr>
          <w:p w14:paraId="4BEE451C"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37.5</w:t>
            </w:r>
          </w:p>
        </w:tc>
        <w:tc>
          <w:tcPr>
            <w:tcW w:w="896" w:type="dxa"/>
            <w:tcBorders>
              <w:top w:val="nil"/>
              <w:left w:val="nil"/>
              <w:bottom w:val="single" w:sz="4" w:space="0" w:color="auto"/>
              <w:right w:val="single" w:sz="4" w:space="0" w:color="auto"/>
            </w:tcBorders>
            <w:shd w:val="clear" w:color="auto" w:fill="auto"/>
            <w:noWrap/>
            <w:vAlign w:val="bottom"/>
            <w:hideMark/>
          </w:tcPr>
          <w:p w14:paraId="0EDE1C0A"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17(51)</w:t>
            </w:r>
          </w:p>
        </w:tc>
        <w:tc>
          <w:tcPr>
            <w:tcW w:w="524" w:type="dxa"/>
            <w:tcBorders>
              <w:top w:val="nil"/>
              <w:left w:val="nil"/>
              <w:bottom w:val="single" w:sz="4" w:space="0" w:color="auto"/>
              <w:right w:val="single" w:sz="4" w:space="0" w:color="auto"/>
            </w:tcBorders>
            <w:shd w:val="clear" w:color="auto" w:fill="auto"/>
            <w:noWrap/>
            <w:vAlign w:val="bottom"/>
            <w:hideMark/>
          </w:tcPr>
          <w:p w14:paraId="79E66F71"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37</w:t>
            </w:r>
          </w:p>
        </w:tc>
        <w:tc>
          <w:tcPr>
            <w:tcW w:w="911" w:type="dxa"/>
            <w:tcBorders>
              <w:top w:val="nil"/>
              <w:left w:val="nil"/>
              <w:bottom w:val="single" w:sz="4" w:space="0" w:color="auto"/>
              <w:right w:val="single" w:sz="4" w:space="0" w:color="auto"/>
            </w:tcBorders>
            <w:shd w:val="clear" w:color="auto" w:fill="auto"/>
            <w:noWrap/>
            <w:vAlign w:val="bottom"/>
            <w:hideMark/>
          </w:tcPr>
          <w:p w14:paraId="184E2AA7"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3(6)</w:t>
            </w:r>
          </w:p>
        </w:tc>
        <w:tc>
          <w:tcPr>
            <w:tcW w:w="629" w:type="dxa"/>
            <w:tcBorders>
              <w:top w:val="nil"/>
              <w:left w:val="nil"/>
              <w:bottom w:val="single" w:sz="4" w:space="0" w:color="auto"/>
              <w:right w:val="single" w:sz="4" w:space="0" w:color="auto"/>
            </w:tcBorders>
            <w:shd w:val="clear" w:color="auto" w:fill="auto"/>
            <w:noWrap/>
            <w:vAlign w:val="bottom"/>
            <w:hideMark/>
          </w:tcPr>
          <w:p w14:paraId="09C71207"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50</w:t>
            </w:r>
          </w:p>
        </w:tc>
      </w:tr>
      <w:tr w:rsidR="002750E2" w:rsidRPr="002750E2" w14:paraId="4A7E4747" w14:textId="77777777" w:rsidTr="002750E2">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0C239F00"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6-11.9y</w:t>
            </w:r>
          </w:p>
        </w:tc>
        <w:tc>
          <w:tcPr>
            <w:tcW w:w="900" w:type="dxa"/>
            <w:tcBorders>
              <w:top w:val="nil"/>
              <w:left w:val="nil"/>
              <w:bottom w:val="single" w:sz="4" w:space="0" w:color="auto"/>
              <w:right w:val="single" w:sz="4" w:space="0" w:color="auto"/>
            </w:tcBorders>
            <w:shd w:val="clear" w:color="auto" w:fill="auto"/>
            <w:noWrap/>
            <w:vAlign w:val="bottom"/>
            <w:hideMark/>
          </w:tcPr>
          <w:p w14:paraId="4D978B88"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3(7)</w:t>
            </w:r>
          </w:p>
        </w:tc>
        <w:tc>
          <w:tcPr>
            <w:tcW w:w="560" w:type="dxa"/>
            <w:tcBorders>
              <w:top w:val="nil"/>
              <w:left w:val="nil"/>
              <w:bottom w:val="single" w:sz="4" w:space="0" w:color="auto"/>
              <w:right w:val="single" w:sz="4" w:space="0" w:color="auto"/>
            </w:tcBorders>
            <w:shd w:val="clear" w:color="auto" w:fill="auto"/>
            <w:noWrap/>
            <w:vAlign w:val="bottom"/>
            <w:hideMark/>
          </w:tcPr>
          <w:p w14:paraId="49D0B3A7"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42.8</w:t>
            </w:r>
          </w:p>
        </w:tc>
        <w:tc>
          <w:tcPr>
            <w:tcW w:w="863" w:type="dxa"/>
            <w:tcBorders>
              <w:top w:val="nil"/>
              <w:left w:val="nil"/>
              <w:bottom w:val="single" w:sz="4" w:space="0" w:color="auto"/>
              <w:right w:val="single" w:sz="4" w:space="0" w:color="auto"/>
            </w:tcBorders>
            <w:shd w:val="clear" w:color="auto" w:fill="auto"/>
            <w:noWrap/>
            <w:vAlign w:val="bottom"/>
            <w:hideMark/>
          </w:tcPr>
          <w:p w14:paraId="6688DFF0"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6(9)</w:t>
            </w:r>
          </w:p>
        </w:tc>
        <w:tc>
          <w:tcPr>
            <w:tcW w:w="537" w:type="dxa"/>
            <w:tcBorders>
              <w:top w:val="nil"/>
              <w:left w:val="nil"/>
              <w:bottom w:val="single" w:sz="4" w:space="0" w:color="auto"/>
              <w:right w:val="single" w:sz="4" w:space="0" w:color="auto"/>
            </w:tcBorders>
            <w:shd w:val="clear" w:color="auto" w:fill="auto"/>
            <w:noWrap/>
            <w:vAlign w:val="bottom"/>
            <w:hideMark/>
          </w:tcPr>
          <w:p w14:paraId="2C03E4F6"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66.6</w:t>
            </w:r>
          </w:p>
        </w:tc>
        <w:tc>
          <w:tcPr>
            <w:tcW w:w="837" w:type="dxa"/>
            <w:tcBorders>
              <w:top w:val="nil"/>
              <w:left w:val="nil"/>
              <w:bottom w:val="single" w:sz="4" w:space="0" w:color="auto"/>
              <w:right w:val="single" w:sz="4" w:space="0" w:color="auto"/>
            </w:tcBorders>
            <w:shd w:val="clear" w:color="auto" w:fill="auto"/>
            <w:noWrap/>
            <w:vAlign w:val="bottom"/>
            <w:hideMark/>
          </w:tcPr>
          <w:p w14:paraId="2C7384FD"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0(6)</w:t>
            </w:r>
          </w:p>
        </w:tc>
        <w:tc>
          <w:tcPr>
            <w:tcW w:w="563" w:type="dxa"/>
            <w:tcBorders>
              <w:top w:val="nil"/>
              <w:left w:val="nil"/>
              <w:bottom w:val="single" w:sz="4" w:space="0" w:color="auto"/>
              <w:right w:val="single" w:sz="4" w:space="0" w:color="auto"/>
            </w:tcBorders>
            <w:shd w:val="clear" w:color="auto" w:fill="auto"/>
            <w:noWrap/>
            <w:vAlign w:val="bottom"/>
            <w:hideMark/>
          </w:tcPr>
          <w:p w14:paraId="66C1ACA8"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0</w:t>
            </w:r>
          </w:p>
        </w:tc>
        <w:tc>
          <w:tcPr>
            <w:tcW w:w="849" w:type="dxa"/>
            <w:tcBorders>
              <w:top w:val="nil"/>
              <w:left w:val="nil"/>
              <w:bottom w:val="single" w:sz="4" w:space="0" w:color="auto"/>
              <w:right w:val="single" w:sz="4" w:space="0" w:color="auto"/>
            </w:tcBorders>
            <w:shd w:val="clear" w:color="auto" w:fill="auto"/>
            <w:noWrap/>
            <w:vAlign w:val="bottom"/>
            <w:hideMark/>
          </w:tcPr>
          <w:p w14:paraId="2F09A590"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4(13)</w:t>
            </w:r>
          </w:p>
        </w:tc>
        <w:tc>
          <w:tcPr>
            <w:tcW w:w="571" w:type="dxa"/>
            <w:tcBorders>
              <w:top w:val="nil"/>
              <w:left w:val="nil"/>
              <w:bottom w:val="single" w:sz="4" w:space="0" w:color="auto"/>
              <w:right w:val="single" w:sz="4" w:space="0" w:color="auto"/>
            </w:tcBorders>
            <w:shd w:val="clear" w:color="auto" w:fill="auto"/>
            <w:noWrap/>
            <w:vAlign w:val="bottom"/>
            <w:hideMark/>
          </w:tcPr>
          <w:p w14:paraId="20215ACF"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30.8</w:t>
            </w:r>
          </w:p>
        </w:tc>
        <w:tc>
          <w:tcPr>
            <w:tcW w:w="896" w:type="dxa"/>
            <w:tcBorders>
              <w:top w:val="nil"/>
              <w:left w:val="nil"/>
              <w:bottom w:val="single" w:sz="4" w:space="0" w:color="auto"/>
              <w:right w:val="single" w:sz="4" w:space="0" w:color="auto"/>
            </w:tcBorders>
            <w:shd w:val="clear" w:color="auto" w:fill="auto"/>
            <w:noWrap/>
            <w:vAlign w:val="bottom"/>
            <w:hideMark/>
          </w:tcPr>
          <w:p w14:paraId="3AA57457"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6(10)</w:t>
            </w:r>
          </w:p>
        </w:tc>
        <w:tc>
          <w:tcPr>
            <w:tcW w:w="524" w:type="dxa"/>
            <w:tcBorders>
              <w:top w:val="nil"/>
              <w:left w:val="nil"/>
              <w:bottom w:val="single" w:sz="4" w:space="0" w:color="auto"/>
              <w:right w:val="single" w:sz="4" w:space="0" w:color="auto"/>
            </w:tcBorders>
            <w:shd w:val="clear" w:color="auto" w:fill="auto"/>
            <w:noWrap/>
            <w:vAlign w:val="bottom"/>
            <w:hideMark/>
          </w:tcPr>
          <w:p w14:paraId="786D0FD5"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66.6</w:t>
            </w:r>
          </w:p>
        </w:tc>
        <w:tc>
          <w:tcPr>
            <w:tcW w:w="911" w:type="dxa"/>
            <w:tcBorders>
              <w:top w:val="nil"/>
              <w:left w:val="nil"/>
              <w:bottom w:val="single" w:sz="4" w:space="0" w:color="auto"/>
              <w:right w:val="single" w:sz="4" w:space="0" w:color="auto"/>
            </w:tcBorders>
            <w:shd w:val="clear" w:color="auto" w:fill="auto"/>
            <w:noWrap/>
            <w:vAlign w:val="bottom"/>
            <w:hideMark/>
          </w:tcPr>
          <w:p w14:paraId="0B05639B"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7(9)</w:t>
            </w:r>
          </w:p>
        </w:tc>
        <w:tc>
          <w:tcPr>
            <w:tcW w:w="629" w:type="dxa"/>
            <w:tcBorders>
              <w:top w:val="nil"/>
              <w:left w:val="nil"/>
              <w:bottom w:val="single" w:sz="4" w:space="0" w:color="auto"/>
              <w:right w:val="single" w:sz="4" w:space="0" w:color="auto"/>
            </w:tcBorders>
            <w:shd w:val="clear" w:color="auto" w:fill="auto"/>
            <w:noWrap/>
            <w:vAlign w:val="bottom"/>
            <w:hideMark/>
          </w:tcPr>
          <w:p w14:paraId="68CAE349"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77.8</w:t>
            </w:r>
          </w:p>
        </w:tc>
      </w:tr>
      <w:tr w:rsidR="002750E2" w:rsidRPr="002750E2" w14:paraId="2485C448" w14:textId="77777777" w:rsidTr="002750E2">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69814DE0"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12-19.9y</w:t>
            </w:r>
          </w:p>
        </w:tc>
        <w:tc>
          <w:tcPr>
            <w:tcW w:w="900" w:type="dxa"/>
            <w:tcBorders>
              <w:top w:val="nil"/>
              <w:left w:val="nil"/>
              <w:bottom w:val="single" w:sz="4" w:space="0" w:color="auto"/>
              <w:right w:val="single" w:sz="4" w:space="0" w:color="auto"/>
            </w:tcBorders>
            <w:shd w:val="clear" w:color="auto" w:fill="auto"/>
            <w:noWrap/>
            <w:vAlign w:val="bottom"/>
            <w:hideMark/>
          </w:tcPr>
          <w:p w14:paraId="20957779"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7(10)</w:t>
            </w:r>
          </w:p>
        </w:tc>
        <w:tc>
          <w:tcPr>
            <w:tcW w:w="560" w:type="dxa"/>
            <w:tcBorders>
              <w:top w:val="nil"/>
              <w:left w:val="nil"/>
              <w:bottom w:val="single" w:sz="4" w:space="0" w:color="auto"/>
              <w:right w:val="single" w:sz="4" w:space="0" w:color="auto"/>
            </w:tcBorders>
            <w:shd w:val="clear" w:color="auto" w:fill="auto"/>
            <w:noWrap/>
            <w:vAlign w:val="bottom"/>
            <w:hideMark/>
          </w:tcPr>
          <w:p w14:paraId="2115226B"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70</w:t>
            </w:r>
          </w:p>
        </w:tc>
        <w:tc>
          <w:tcPr>
            <w:tcW w:w="863" w:type="dxa"/>
            <w:tcBorders>
              <w:top w:val="nil"/>
              <w:left w:val="nil"/>
              <w:bottom w:val="single" w:sz="4" w:space="0" w:color="auto"/>
              <w:right w:val="single" w:sz="4" w:space="0" w:color="auto"/>
            </w:tcBorders>
            <w:shd w:val="clear" w:color="auto" w:fill="auto"/>
            <w:noWrap/>
            <w:vAlign w:val="bottom"/>
            <w:hideMark/>
          </w:tcPr>
          <w:p w14:paraId="42D624F5"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4(15)</w:t>
            </w:r>
          </w:p>
        </w:tc>
        <w:tc>
          <w:tcPr>
            <w:tcW w:w="537" w:type="dxa"/>
            <w:tcBorders>
              <w:top w:val="nil"/>
              <w:left w:val="nil"/>
              <w:bottom w:val="single" w:sz="4" w:space="0" w:color="auto"/>
              <w:right w:val="single" w:sz="4" w:space="0" w:color="auto"/>
            </w:tcBorders>
            <w:shd w:val="clear" w:color="auto" w:fill="auto"/>
            <w:noWrap/>
            <w:vAlign w:val="bottom"/>
            <w:hideMark/>
          </w:tcPr>
          <w:p w14:paraId="2C54ACC9"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26.6</w:t>
            </w:r>
          </w:p>
        </w:tc>
        <w:tc>
          <w:tcPr>
            <w:tcW w:w="837" w:type="dxa"/>
            <w:tcBorders>
              <w:top w:val="nil"/>
              <w:left w:val="nil"/>
              <w:bottom w:val="single" w:sz="4" w:space="0" w:color="auto"/>
              <w:right w:val="single" w:sz="4" w:space="0" w:color="auto"/>
            </w:tcBorders>
            <w:shd w:val="clear" w:color="auto" w:fill="auto"/>
            <w:noWrap/>
            <w:vAlign w:val="bottom"/>
            <w:hideMark/>
          </w:tcPr>
          <w:p w14:paraId="4775766F"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2(10)</w:t>
            </w:r>
          </w:p>
        </w:tc>
        <w:tc>
          <w:tcPr>
            <w:tcW w:w="563" w:type="dxa"/>
            <w:tcBorders>
              <w:top w:val="nil"/>
              <w:left w:val="nil"/>
              <w:bottom w:val="single" w:sz="4" w:space="0" w:color="auto"/>
              <w:right w:val="single" w:sz="4" w:space="0" w:color="auto"/>
            </w:tcBorders>
            <w:shd w:val="clear" w:color="auto" w:fill="auto"/>
            <w:noWrap/>
            <w:vAlign w:val="bottom"/>
            <w:hideMark/>
          </w:tcPr>
          <w:p w14:paraId="004D4AE2"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20</w:t>
            </w:r>
          </w:p>
        </w:tc>
        <w:tc>
          <w:tcPr>
            <w:tcW w:w="849" w:type="dxa"/>
            <w:tcBorders>
              <w:top w:val="nil"/>
              <w:left w:val="nil"/>
              <w:bottom w:val="single" w:sz="4" w:space="0" w:color="auto"/>
              <w:right w:val="single" w:sz="4" w:space="0" w:color="auto"/>
            </w:tcBorders>
            <w:shd w:val="clear" w:color="auto" w:fill="auto"/>
            <w:noWrap/>
            <w:vAlign w:val="bottom"/>
            <w:hideMark/>
          </w:tcPr>
          <w:p w14:paraId="303E6950"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6(16)</w:t>
            </w:r>
          </w:p>
        </w:tc>
        <w:tc>
          <w:tcPr>
            <w:tcW w:w="571" w:type="dxa"/>
            <w:tcBorders>
              <w:top w:val="nil"/>
              <w:left w:val="nil"/>
              <w:bottom w:val="single" w:sz="4" w:space="0" w:color="auto"/>
              <w:right w:val="single" w:sz="4" w:space="0" w:color="auto"/>
            </w:tcBorders>
            <w:shd w:val="clear" w:color="auto" w:fill="auto"/>
            <w:noWrap/>
            <w:vAlign w:val="bottom"/>
            <w:hideMark/>
          </w:tcPr>
          <w:p w14:paraId="655AF828"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37.5</w:t>
            </w:r>
          </w:p>
        </w:tc>
        <w:tc>
          <w:tcPr>
            <w:tcW w:w="896" w:type="dxa"/>
            <w:tcBorders>
              <w:top w:val="nil"/>
              <w:left w:val="nil"/>
              <w:bottom w:val="single" w:sz="4" w:space="0" w:color="auto"/>
              <w:right w:val="single" w:sz="4" w:space="0" w:color="auto"/>
            </w:tcBorders>
            <w:shd w:val="clear" w:color="auto" w:fill="auto"/>
            <w:noWrap/>
            <w:vAlign w:val="bottom"/>
            <w:hideMark/>
          </w:tcPr>
          <w:p w14:paraId="6DEEF371"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8(19)</w:t>
            </w:r>
          </w:p>
        </w:tc>
        <w:tc>
          <w:tcPr>
            <w:tcW w:w="524" w:type="dxa"/>
            <w:tcBorders>
              <w:top w:val="nil"/>
              <w:left w:val="nil"/>
              <w:bottom w:val="single" w:sz="4" w:space="0" w:color="auto"/>
              <w:right w:val="single" w:sz="4" w:space="0" w:color="auto"/>
            </w:tcBorders>
            <w:shd w:val="clear" w:color="auto" w:fill="auto"/>
            <w:noWrap/>
            <w:vAlign w:val="bottom"/>
            <w:hideMark/>
          </w:tcPr>
          <w:p w14:paraId="02FE18E3"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50</w:t>
            </w:r>
          </w:p>
        </w:tc>
        <w:tc>
          <w:tcPr>
            <w:tcW w:w="911" w:type="dxa"/>
            <w:tcBorders>
              <w:top w:val="nil"/>
              <w:left w:val="nil"/>
              <w:bottom w:val="single" w:sz="4" w:space="0" w:color="auto"/>
              <w:right w:val="single" w:sz="4" w:space="0" w:color="auto"/>
            </w:tcBorders>
            <w:shd w:val="clear" w:color="auto" w:fill="auto"/>
            <w:noWrap/>
            <w:vAlign w:val="bottom"/>
            <w:hideMark/>
          </w:tcPr>
          <w:p w14:paraId="690D600E"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9(14)</w:t>
            </w:r>
          </w:p>
        </w:tc>
        <w:tc>
          <w:tcPr>
            <w:tcW w:w="629" w:type="dxa"/>
            <w:tcBorders>
              <w:top w:val="nil"/>
              <w:left w:val="nil"/>
              <w:bottom w:val="single" w:sz="4" w:space="0" w:color="auto"/>
              <w:right w:val="single" w:sz="4" w:space="0" w:color="auto"/>
            </w:tcBorders>
            <w:shd w:val="clear" w:color="auto" w:fill="auto"/>
            <w:noWrap/>
            <w:vAlign w:val="bottom"/>
            <w:hideMark/>
          </w:tcPr>
          <w:p w14:paraId="412ADDA4" w14:textId="77777777" w:rsidR="002750E2" w:rsidRPr="002750E2" w:rsidRDefault="002750E2" w:rsidP="002750E2">
            <w:pPr>
              <w:spacing w:after="0" w:line="240" w:lineRule="auto"/>
              <w:rPr>
                <w:rFonts w:ascii="Calibri" w:eastAsia="Times New Roman" w:hAnsi="Calibri" w:cs="Calibri"/>
                <w:color w:val="000000"/>
                <w:lang w:eastAsia="en-GB"/>
              </w:rPr>
            </w:pPr>
            <w:r w:rsidRPr="002750E2">
              <w:rPr>
                <w:rFonts w:ascii="Calibri" w:eastAsia="Times New Roman" w:hAnsi="Calibri" w:cs="Calibri"/>
                <w:color w:val="000000"/>
                <w:lang w:eastAsia="en-GB"/>
              </w:rPr>
              <w:t>64.3</w:t>
            </w:r>
          </w:p>
        </w:tc>
      </w:tr>
      <w:tr w:rsidR="002750E2" w:rsidRPr="002750E2" w14:paraId="3964FD83" w14:textId="77777777" w:rsidTr="002750E2">
        <w:trPr>
          <w:trHeight w:val="300"/>
        </w:trPr>
        <w:tc>
          <w:tcPr>
            <w:tcW w:w="1280" w:type="dxa"/>
            <w:tcBorders>
              <w:top w:val="nil"/>
              <w:left w:val="single" w:sz="4" w:space="0" w:color="auto"/>
              <w:bottom w:val="single" w:sz="4" w:space="0" w:color="auto"/>
              <w:right w:val="single" w:sz="4" w:space="0" w:color="auto"/>
            </w:tcBorders>
            <w:shd w:val="clear" w:color="auto" w:fill="auto"/>
            <w:noWrap/>
            <w:vAlign w:val="bottom"/>
            <w:hideMark/>
          </w:tcPr>
          <w:p w14:paraId="3AC7C09E"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Total</w:t>
            </w:r>
          </w:p>
        </w:tc>
        <w:tc>
          <w:tcPr>
            <w:tcW w:w="900" w:type="dxa"/>
            <w:tcBorders>
              <w:top w:val="nil"/>
              <w:left w:val="nil"/>
              <w:bottom w:val="single" w:sz="4" w:space="0" w:color="auto"/>
              <w:right w:val="single" w:sz="4" w:space="0" w:color="auto"/>
            </w:tcBorders>
            <w:shd w:val="clear" w:color="auto" w:fill="auto"/>
            <w:noWrap/>
            <w:vAlign w:val="bottom"/>
            <w:hideMark/>
          </w:tcPr>
          <w:p w14:paraId="1C354BA9"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 xml:space="preserve">28 (63) </w:t>
            </w:r>
          </w:p>
        </w:tc>
        <w:tc>
          <w:tcPr>
            <w:tcW w:w="560" w:type="dxa"/>
            <w:tcBorders>
              <w:top w:val="nil"/>
              <w:left w:val="nil"/>
              <w:bottom w:val="single" w:sz="4" w:space="0" w:color="auto"/>
              <w:right w:val="single" w:sz="4" w:space="0" w:color="auto"/>
            </w:tcBorders>
            <w:shd w:val="clear" w:color="auto" w:fill="auto"/>
            <w:noWrap/>
            <w:vAlign w:val="bottom"/>
            <w:hideMark/>
          </w:tcPr>
          <w:p w14:paraId="43A45934"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44.4</w:t>
            </w:r>
          </w:p>
        </w:tc>
        <w:tc>
          <w:tcPr>
            <w:tcW w:w="863" w:type="dxa"/>
            <w:tcBorders>
              <w:top w:val="nil"/>
              <w:left w:val="nil"/>
              <w:bottom w:val="single" w:sz="4" w:space="0" w:color="auto"/>
              <w:right w:val="single" w:sz="4" w:space="0" w:color="auto"/>
            </w:tcBorders>
            <w:shd w:val="clear" w:color="auto" w:fill="auto"/>
            <w:noWrap/>
            <w:vAlign w:val="bottom"/>
            <w:hideMark/>
          </w:tcPr>
          <w:p w14:paraId="12FEEC52"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13(29)</w:t>
            </w:r>
          </w:p>
        </w:tc>
        <w:tc>
          <w:tcPr>
            <w:tcW w:w="537" w:type="dxa"/>
            <w:tcBorders>
              <w:top w:val="nil"/>
              <w:left w:val="nil"/>
              <w:bottom w:val="single" w:sz="4" w:space="0" w:color="auto"/>
              <w:right w:val="single" w:sz="4" w:space="0" w:color="auto"/>
            </w:tcBorders>
            <w:shd w:val="clear" w:color="auto" w:fill="auto"/>
            <w:noWrap/>
            <w:vAlign w:val="bottom"/>
            <w:hideMark/>
          </w:tcPr>
          <w:p w14:paraId="58BCC3C1"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44.8</w:t>
            </w:r>
          </w:p>
        </w:tc>
        <w:tc>
          <w:tcPr>
            <w:tcW w:w="837" w:type="dxa"/>
            <w:tcBorders>
              <w:top w:val="nil"/>
              <w:left w:val="nil"/>
              <w:bottom w:val="single" w:sz="4" w:space="0" w:color="auto"/>
              <w:right w:val="single" w:sz="4" w:space="0" w:color="auto"/>
            </w:tcBorders>
            <w:shd w:val="clear" w:color="auto" w:fill="auto"/>
            <w:noWrap/>
            <w:vAlign w:val="bottom"/>
            <w:hideMark/>
          </w:tcPr>
          <w:p w14:paraId="5CAEA545"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26(63)</w:t>
            </w:r>
          </w:p>
        </w:tc>
        <w:tc>
          <w:tcPr>
            <w:tcW w:w="563" w:type="dxa"/>
            <w:tcBorders>
              <w:top w:val="nil"/>
              <w:left w:val="nil"/>
              <w:bottom w:val="single" w:sz="4" w:space="0" w:color="auto"/>
              <w:right w:val="single" w:sz="4" w:space="0" w:color="auto"/>
            </w:tcBorders>
            <w:shd w:val="clear" w:color="auto" w:fill="auto"/>
            <w:noWrap/>
            <w:vAlign w:val="bottom"/>
            <w:hideMark/>
          </w:tcPr>
          <w:p w14:paraId="33071FF5"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41.2</w:t>
            </w:r>
          </w:p>
        </w:tc>
        <w:tc>
          <w:tcPr>
            <w:tcW w:w="849" w:type="dxa"/>
            <w:tcBorders>
              <w:top w:val="nil"/>
              <w:left w:val="nil"/>
              <w:bottom w:val="single" w:sz="4" w:space="0" w:color="auto"/>
              <w:right w:val="single" w:sz="4" w:space="0" w:color="auto"/>
            </w:tcBorders>
            <w:shd w:val="clear" w:color="auto" w:fill="auto"/>
            <w:noWrap/>
            <w:vAlign w:val="bottom"/>
            <w:hideMark/>
          </w:tcPr>
          <w:p w14:paraId="3361D651"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15(39)</w:t>
            </w:r>
          </w:p>
        </w:tc>
        <w:tc>
          <w:tcPr>
            <w:tcW w:w="571" w:type="dxa"/>
            <w:tcBorders>
              <w:top w:val="nil"/>
              <w:left w:val="nil"/>
              <w:bottom w:val="single" w:sz="4" w:space="0" w:color="auto"/>
              <w:right w:val="single" w:sz="4" w:space="0" w:color="auto"/>
            </w:tcBorders>
            <w:shd w:val="clear" w:color="auto" w:fill="auto"/>
            <w:noWrap/>
            <w:vAlign w:val="bottom"/>
            <w:hideMark/>
          </w:tcPr>
          <w:p w14:paraId="4B67B2DF"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38.4</w:t>
            </w:r>
          </w:p>
        </w:tc>
        <w:tc>
          <w:tcPr>
            <w:tcW w:w="896" w:type="dxa"/>
            <w:tcBorders>
              <w:top w:val="nil"/>
              <w:left w:val="nil"/>
              <w:bottom w:val="single" w:sz="4" w:space="0" w:color="auto"/>
              <w:right w:val="single" w:sz="4" w:space="0" w:color="auto"/>
            </w:tcBorders>
            <w:shd w:val="clear" w:color="auto" w:fill="auto"/>
            <w:noWrap/>
            <w:vAlign w:val="bottom"/>
            <w:hideMark/>
          </w:tcPr>
          <w:p w14:paraId="6445FFDC"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35(122)</w:t>
            </w:r>
          </w:p>
        </w:tc>
        <w:tc>
          <w:tcPr>
            <w:tcW w:w="524" w:type="dxa"/>
            <w:tcBorders>
              <w:top w:val="nil"/>
              <w:left w:val="nil"/>
              <w:bottom w:val="single" w:sz="4" w:space="0" w:color="auto"/>
              <w:right w:val="single" w:sz="4" w:space="0" w:color="auto"/>
            </w:tcBorders>
            <w:shd w:val="clear" w:color="auto" w:fill="auto"/>
            <w:noWrap/>
            <w:vAlign w:val="bottom"/>
            <w:hideMark/>
          </w:tcPr>
          <w:p w14:paraId="6C757582"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32.8</w:t>
            </w:r>
          </w:p>
        </w:tc>
        <w:tc>
          <w:tcPr>
            <w:tcW w:w="911" w:type="dxa"/>
            <w:tcBorders>
              <w:top w:val="nil"/>
              <w:left w:val="nil"/>
              <w:bottom w:val="single" w:sz="4" w:space="0" w:color="auto"/>
              <w:right w:val="single" w:sz="4" w:space="0" w:color="auto"/>
            </w:tcBorders>
            <w:shd w:val="clear" w:color="auto" w:fill="auto"/>
            <w:noWrap/>
            <w:vAlign w:val="bottom"/>
            <w:hideMark/>
          </w:tcPr>
          <w:p w14:paraId="7129ED37"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19(31)</w:t>
            </w:r>
          </w:p>
        </w:tc>
        <w:tc>
          <w:tcPr>
            <w:tcW w:w="629" w:type="dxa"/>
            <w:tcBorders>
              <w:top w:val="nil"/>
              <w:left w:val="nil"/>
              <w:bottom w:val="single" w:sz="4" w:space="0" w:color="auto"/>
              <w:right w:val="single" w:sz="4" w:space="0" w:color="auto"/>
            </w:tcBorders>
            <w:shd w:val="clear" w:color="auto" w:fill="auto"/>
            <w:noWrap/>
            <w:vAlign w:val="bottom"/>
            <w:hideMark/>
          </w:tcPr>
          <w:p w14:paraId="707E53E2" w14:textId="77777777" w:rsidR="002750E2" w:rsidRPr="002750E2" w:rsidRDefault="002750E2" w:rsidP="002750E2">
            <w:pPr>
              <w:spacing w:after="0" w:line="240" w:lineRule="auto"/>
              <w:rPr>
                <w:rFonts w:ascii="Calibri" w:eastAsia="Times New Roman" w:hAnsi="Calibri" w:cs="Calibri"/>
                <w:b/>
                <w:bCs/>
                <w:color w:val="000000"/>
                <w:lang w:eastAsia="en-GB"/>
              </w:rPr>
            </w:pPr>
            <w:r w:rsidRPr="002750E2">
              <w:rPr>
                <w:rFonts w:ascii="Calibri" w:eastAsia="Times New Roman" w:hAnsi="Calibri" w:cs="Calibri"/>
                <w:b/>
                <w:bCs/>
                <w:color w:val="000000"/>
                <w:lang w:eastAsia="en-GB"/>
              </w:rPr>
              <w:t>61.3</w:t>
            </w:r>
          </w:p>
        </w:tc>
      </w:tr>
    </w:tbl>
    <w:p w14:paraId="4D7D4FDF" w14:textId="77777777" w:rsidR="00305B1E" w:rsidRDefault="00305B1E" w:rsidP="00C236DD">
      <w:pPr>
        <w:spacing w:line="360" w:lineRule="auto"/>
        <w:rPr>
          <w:b/>
          <w:sz w:val="24"/>
          <w:szCs w:val="24"/>
          <w:lang w:val="en-US"/>
        </w:rPr>
      </w:pPr>
    </w:p>
    <w:p w14:paraId="29AA285C" w14:textId="62DDC0E1" w:rsidR="002750E2" w:rsidRDefault="002750E2" w:rsidP="00C236DD">
      <w:pPr>
        <w:spacing w:line="360" w:lineRule="auto"/>
        <w:rPr>
          <w:b/>
          <w:sz w:val="24"/>
          <w:szCs w:val="24"/>
          <w:lang w:val="en-US"/>
        </w:rPr>
      </w:pPr>
      <w:r>
        <w:rPr>
          <w:b/>
          <w:sz w:val="24"/>
          <w:szCs w:val="24"/>
          <w:lang w:val="en-US"/>
        </w:rPr>
        <w:t xml:space="preserve">Table 3: Crude prevalence rates of rickets and scurvy by age group and true prevalence rates of </w:t>
      </w:r>
      <w:proofErr w:type="spellStart"/>
      <w:r>
        <w:rPr>
          <w:b/>
          <w:sz w:val="24"/>
          <w:szCs w:val="24"/>
          <w:lang w:val="en-US"/>
        </w:rPr>
        <w:t>cribra</w:t>
      </w:r>
      <w:proofErr w:type="spellEnd"/>
      <w:r>
        <w:rPr>
          <w:b/>
          <w:sz w:val="24"/>
          <w:szCs w:val="24"/>
          <w:lang w:val="en-US"/>
        </w:rPr>
        <w:t xml:space="preserve"> </w:t>
      </w:r>
      <w:proofErr w:type="spellStart"/>
      <w:r>
        <w:rPr>
          <w:b/>
          <w:sz w:val="24"/>
          <w:szCs w:val="24"/>
          <w:lang w:val="en-US"/>
        </w:rPr>
        <w:t>orbitalia</w:t>
      </w:r>
      <w:proofErr w:type="spellEnd"/>
      <w:r>
        <w:rPr>
          <w:b/>
          <w:sz w:val="24"/>
          <w:szCs w:val="24"/>
          <w:lang w:val="en-US"/>
        </w:rPr>
        <w:t xml:space="preserve"> at Coach Lane and Fewston</w:t>
      </w:r>
      <w:r w:rsidR="00305B1E">
        <w:rPr>
          <w:b/>
          <w:sz w:val="24"/>
          <w:szCs w:val="24"/>
          <w:lang w:val="en-US"/>
        </w:rPr>
        <w:t>.</w:t>
      </w:r>
    </w:p>
    <w:p w14:paraId="39A915B4" w14:textId="703D7398" w:rsidR="00C236DD" w:rsidRDefault="00C236DD" w:rsidP="00C236DD">
      <w:pPr>
        <w:spacing w:line="360" w:lineRule="auto"/>
        <w:rPr>
          <w:b/>
          <w:sz w:val="24"/>
          <w:szCs w:val="24"/>
          <w:lang w:val="en-US"/>
        </w:rPr>
      </w:pPr>
    </w:p>
    <w:p w14:paraId="008871BA" w14:textId="0D7FA871" w:rsidR="00305B1E" w:rsidRDefault="00305B1E" w:rsidP="00C236DD">
      <w:pPr>
        <w:spacing w:line="360" w:lineRule="auto"/>
        <w:rPr>
          <w:b/>
          <w:sz w:val="24"/>
          <w:szCs w:val="24"/>
          <w:lang w:val="en-US"/>
        </w:rPr>
      </w:pPr>
    </w:p>
    <w:p w14:paraId="756DAF8C" w14:textId="77777777" w:rsidR="00305B1E" w:rsidRDefault="00305B1E" w:rsidP="00C236DD">
      <w:pPr>
        <w:spacing w:line="360" w:lineRule="auto"/>
        <w:rPr>
          <w:b/>
          <w:sz w:val="24"/>
          <w:szCs w:val="24"/>
          <w:lang w:val="en-US"/>
        </w:rPr>
      </w:pPr>
    </w:p>
    <w:p w14:paraId="58A515DD" w14:textId="1BE0216F" w:rsidR="00581633" w:rsidRDefault="00C236DD" w:rsidP="00453751">
      <w:pPr>
        <w:spacing w:line="480" w:lineRule="auto"/>
        <w:rPr>
          <w:b/>
          <w:sz w:val="24"/>
          <w:szCs w:val="24"/>
          <w:lang w:val="en-US"/>
        </w:rPr>
      </w:pPr>
      <w:r w:rsidRPr="00C236DD">
        <w:rPr>
          <w:noProof/>
        </w:rPr>
        <w:drawing>
          <wp:inline distT="0" distB="0" distL="0" distR="0" wp14:anchorId="00DFD623" wp14:editId="526982D1">
            <wp:extent cx="6209791" cy="145542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21876" cy="1458252"/>
                    </a:xfrm>
                    <a:prstGeom prst="rect">
                      <a:avLst/>
                    </a:prstGeom>
                    <a:noFill/>
                    <a:ln>
                      <a:noFill/>
                    </a:ln>
                  </pic:spPr>
                </pic:pic>
              </a:graphicData>
            </a:graphic>
          </wp:inline>
        </w:drawing>
      </w:r>
    </w:p>
    <w:p w14:paraId="79715C4E" w14:textId="55FF4137" w:rsidR="00581633" w:rsidRDefault="00C236DD" w:rsidP="00C236DD">
      <w:pPr>
        <w:spacing w:line="360" w:lineRule="auto"/>
        <w:rPr>
          <w:b/>
          <w:sz w:val="24"/>
          <w:szCs w:val="24"/>
          <w:lang w:val="en-US"/>
        </w:rPr>
      </w:pPr>
      <w:r>
        <w:rPr>
          <w:b/>
          <w:sz w:val="24"/>
          <w:szCs w:val="24"/>
          <w:lang w:val="en-US"/>
        </w:rPr>
        <w:t>Table 4: Prevalence rates by age and site for maxillary sinusitis (sinus), rib lesions (rib), ectocranial lesions (</w:t>
      </w:r>
      <w:proofErr w:type="spellStart"/>
      <w:r>
        <w:rPr>
          <w:b/>
          <w:sz w:val="24"/>
          <w:szCs w:val="24"/>
          <w:lang w:val="en-US"/>
        </w:rPr>
        <w:t>Ecto</w:t>
      </w:r>
      <w:proofErr w:type="spellEnd"/>
      <w:r>
        <w:rPr>
          <w:b/>
          <w:sz w:val="24"/>
          <w:szCs w:val="24"/>
          <w:lang w:val="en-US"/>
        </w:rPr>
        <w:t xml:space="preserve">) and endocranial lesions (endo). For maxillary sinusitis true prevalence is provided, while for the other pathologies crude prevalence rates only are given. </w:t>
      </w:r>
    </w:p>
    <w:p w14:paraId="3C75B725" w14:textId="5B6E0497" w:rsidR="00C236DD" w:rsidRDefault="00C236DD" w:rsidP="00C236DD">
      <w:pPr>
        <w:spacing w:line="360" w:lineRule="auto"/>
        <w:rPr>
          <w:b/>
          <w:sz w:val="24"/>
          <w:szCs w:val="24"/>
          <w:lang w:val="en-US"/>
        </w:rPr>
      </w:pPr>
    </w:p>
    <w:p w14:paraId="26B2F8E3" w14:textId="3B02E2C0" w:rsidR="00305B1E" w:rsidRDefault="00305B1E" w:rsidP="00C236DD">
      <w:pPr>
        <w:spacing w:line="360" w:lineRule="auto"/>
        <w:rPr>
          <w:b/>
          <w:sz w:val="24"/>
          <w:szCs w:val="24"/>
          <w:lang w:val="en-US"/>
        </w:rPr>
      </w:pPr>
    </w:p>
    <w:p w14:paraId="78C1A1C2" w14:textId="376790A7" w:rsidR="00305B1E" w:rsidRDefault="00305B1E" w:rsidP="00C236DD">
      <w:pPr>
        <w:spacing w:line="360" w:lineRule="auto"/>
        <w:rPr>
          <w:b/>
          <w:sz w:val="24"/>
          <w:szCs w:val="24"/>
          <w:lang w:val="en-US"/>
        </w:rPr>
      </w:pPr>
    </w:p>
    <w:p w14:paraId="12BD0CA3" w14:textId="799A8D9F" w:rsidR="00305B1E" w:rsidRDefault="00305B1E" w:rsidP="00C236DD">
      <w:pPr>
        <w:spacing w:line="360" w:lineRule="auto"/>
        <w:rPr>
          <w:b/>
          <w:sz w:val="24"/>
          <w:szCs w:val="24"/>
          <w:lang w:val="en-US"/>
        </w:rPr>
      </w:pPr>
    </w:p>
    <w:p w14:paraId="393806BF" w14:textId="77777777" w:rsidR="00305B1E" w:rsidRDefault="00305B1E" w:rsidP="00C236DD">
      <w:pPr>
        <w:spacing w:line="360" w:lineRule="auto"/>
        <w:rPr>
          <w:b/>
          <w:sz w:val="24"/>
          <w:szCs w:val="24"/>
          <w:lang w:val="en-US"/>
        </w:rPr>
      </w:pPr>
    </w:p>
    <w:tbl>
      <w:tblPr>
        <w:tblW w:w="9602" w:type="dxa"/>
        <w:tblLook w:val="04A0" w:firstRow="1" w:lastRow="0" w:firstColumn="1" w:lastColumn="0" w:noHBand="0" w:noVBand="1"/>
      </w:tblPr>
      <w:tblGrid>
        <w:gridCol w:w="1129"/>
        <w:gridCol w:w="652"/>
        <w:gridCol w:w="697"/>
        <w:gridCol w:w="753"/>
        <w:gridCol w:w="702"/>
        <w:gridCol w:w="697"/>
        <w:gridCol w:w="702"/>
        <w:gridCol w:w="784"/>
        <w:gridCol w:w="640"/>
        <w:gridCol w:w="765"/>
        <w:gridCol w:w="707"/>
        <w:gridCol w:w="712"/>
        <w:gridCol w:w="712"/>
      </w:tblGrid>
      <w:tr w:rsidR="00581633" w:rsidRPr="00581633" w14:paraId="238257F8" w14:textId="77777777" w:rsidTr="00C236DD">
        <w:trPr>
          <w:trHeight w:val="300"/>
        </w:trPr>
        <w:tc>
          <w:tcPr>
            <w:tcW w:w="112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FF5F5B"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 </w:t>
            </w:r>
          </w:p>
        </w:tc>
        <w:tc>
          <w:tcPr>
            <w:tcW w:w="4153" w:type="dxa"/>
            <w:gridSpan w:val="6"/>
            <w:tcBorders>
              <w:top w:val="single" w:sz="4" w:space="0" w:color="auto"/>
              <w:left w:val="nil"/>
              <w:bottom w:val="single" w:sz="4" w:space="0" w:color="auto"/>
              <w:right w:val="single" w:sz="4" w:space="0" w:color="auto"/>
            </w:tcBorders>
            <w:shd w:val="clear" w:color="auto" w:fill="auto"/>
            <w:noWrap/>
            <w:vAlign w:val="bottom"/>
            <w:hideMark/>
          </w:tcPr>
          <w:p w14:paraId="5AF9EFC9" w14:textId="77777777" w:rsidR="00581633" w:rsidRPr="00581633" w:rsidRDefault="00581633" w:rsidP="00581633">
            <w:pPr>
              <w:spacing w:after="0" w:line="240" w:lineRule="auto"/>
              <w:jc w:val="center"/>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Coach Lane (TPR)</w:t>
            </w:r>
          </w:p>
        </w:tc>
        <w:tc>
          <w:tcPr>
            <w:tcW w:w="4320" w:type="dxa"/>
            <w:gridSpan w:val="6"/>
            <w:tcBorders>
              <w:top w:val="single" w:sz="4" w:space="0" w:color="auto"/>
              <w:left w:val="nil"/>
              <w:bottom w:val="single" w:sz="4" w:space="0" w:color="auto"/>
              <w:right w:val="single" w:sz="4" w:space="0" w:color="auto"/>
            </w:tcBorders>
            <w:shd w:val="clear" w:color="auto" w:fill="auto"/>
            <w:noWrap/>
            <w:vAlign w:val="bottom"/>
            <w:hideMark/>
          </w:tcPr>
          <w:p w14:paraId="4170E808" w14:textId="77777777" w:rsidR="00581633" w:rsidRPr="00581633" w:rsidRDefault="00581633" w:rsidP="00581633">
            <w:pPr>
              <w:spacing w:after="0" w:line="240" w:lineRule="auto"/>
              <w:jc w:val="center"/>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Fewston</w:t>
            </w:r>
          </w:p>
        </w:tc>
      </w:tr>
      <w:tr w:rsidR="00581633" w:rsidRPr="00581633" w14:paraId="1505A3DC" w14:textId="77777777" w:rsidTr="00C236D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A758F7F"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 </w:t>
            </w:r>
          </w:p>
        </w:tc>
        <w:tc>
          <w:tcPr>
            <w:tcW w:w="602" w:type="dxa"/>
            <w:tcBorders>
              <w:top w:val="nil"/>
              <w:left w:val="nil"/>
              <w:bottom w:val="single" w:sz="4" w:space="0" w:color="auto"/>
              <w:right w:val="single" w:sz="4" w:space="0" w:color="auto"/>
            </w:tcBorders>
            <w:shd w:val="clear" w:color="auto" w:fill="auto"/>
            <w:noWrap/>
            <w:vAlign w:val="bottom"/>
            <w:hideMark/>
          </w:tcPr>
          <w:p w14:paraId="6B0EE323"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Hum</w:t>
            </w:r>
          </w:p>
        </w:tc>
        <w:tc>
          <w:tcPr>
            <w:tcW w:w="697" w:type="dxa"/>
            <w:tcBorders>
              <w:top w:val="nil"/>
              <w:left w:val="nil"/>
              <w:bottom w:val="single" w:sz="4" w:space="0" w:color="auto"/>
              <w:right w:val="single" w:sz="4" w:space="0" w:color="auto"/>
            </w:tcBorders>
            <w:shd w:val="clear" w:color="auto" w:fill="auto"/>
            <w:noWrap/>
            <w:vAlign w:val="bottom"/>
            <w:hideMark/>
          </w:tcPr>
          <w:p w14:paraId="352C940D"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Rad</w:t>
            </w:r>
          </w:p>
        </w:tc>
        <w:tc>
          <w:tcPr>
            <w:tcW w:w="753" w:type="dxa"/>
            <w:tcBorders>
              <w:top w:val="nil"/>
              <w:left w:val="nil"/>
              <w:bottom w:val="single" w:sz="4" w:space="0" w:color="auto"/>
              <w:right w:val="single" w:sz="4" w:space="0" w:color="auto"/>
            </w:tcBorders>
            <w:shd w:val="clear" w:color="auto" w:fill="auto"/>
            <w:noWrap/>
            <w:vAlign w:val="bottom"/>
            <w:hideMark/>
          </w:tcPr>
          <w:p w14:paraId="0A388494"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Ulna</w:t>
            </w:r>
          </w:p>
        </w:tc>
        <w:tc>
          <w:tcPr>
            <w:tcW w:w="702" w:type="dxa"/>
            <w:tcBorders>
              <w:top w:val="nil"/>
              <w:left w:val="nil"/>
              <w:bottom w:val="single" w:sz="4" w:space="0" w:color="auto"/>
              <w:right w:val="single" w:sz="4" w:space="0" w:color="auto"/>
            </w:tcBorders>
            <w:shd w:val="clear" w:color="auto" w:fill="auto"/>
            <w:noWrap/>
            <w:vAlign w:val="bottom"/>
            <w:hideMark/>
          </w:tcPr>
          <w:p w14:paraId="3542CAAD"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Fem</w:t>
            </w:r>
          </w:p>
        </w:tc>
        <w:tc>
          <w:tcPr>
            <w:tcW w:w="697" w:type="dxa"/>
            <w:tcBorders>
              <w:top w:val="nil"/>
              <w:left w:val="nil"/>
              <w:bottom w:val="single" w:sz="4" w:space="0" w:color="auto"/>
              <w:right w:val="single" w:sz="4" w:space="0" w:color="auto"/>
            </w:tcBorders>
            <w:shd w:val="clear" w:color="auto" w:fill="auto"/>
            <w:noWrap/>
            <w:vAlign w:val="bottom"/>
            <w:hideMark/>
          </w:tcPr>
          <w:p w14:paraId="5E662F6E" w14:textId="77777777" w:rsidR="00581633" w:rsidRPr="00581633" w:rsidRDefault="00581633" w:rsidP="00581633">
            <w:pPr>
              <w:spacing w:after="0" w:line="240" w:lineRule="auto"/>
              <w:rPr>
                <w:rFonts w:ascii="Calibri" w:eastAsia="Times New Roman" w:hAnsi="Calibri" w:cs="Calibri"/>
                <w:b/>
                <w:bCs/>
                <w:color w:val="000000"/>
                <w:lang w:eastAsia="en-GB"/>
              </w:rPr>
            </w:pPr>
            <w:proofErr w:type="spellStart"/>
            <w:r w:rsidRPr="00581633">
              <w:rPr>
                <w:rFonts w:ascii="Calibri" w:eastAsia="Times New Roman" w:hAnsi="Calibri" w:cs="Calibri"/>
                <w:b/>
                <w:bCs/>
                <w:color w:val="000000"/>
                <w:lang w:eastAsia="en-GB"/>
              </w:rPr>
              <w:t>Tib</w:t>
            </w:r>
            <w:proofErr w:type="spellEnd"/>
          </w:p>
        </w:tc>
        <w:tc>
          <w:tcPr>
            <w:tcW w:w="702" w:type="dxa"/>
            <w:tcBorders>
              <w:top w:val="nil"/>
              <w:left w:val="nil"/>
              <w:bottom w:val="single" w:sz="4" w:space="0" w:color="auto"/>
              <w:right w:val="single" w:sz="4" w:space="0" w:color="auto"/>
            </w:tcBorders>
            <w:shd w:val="clear" w:color="auto" w:fill="auto"/>
            <w:noWrap/>
            <w:vAlign w:val="bottom"/>
            <w:hideMark/>
          </w:tcPr>
          <w:p w14:paraId="11366DF9"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Fib</w:t>
            </w:r>
          </w:p>
        </w:tc>
        <w:tc>
          <w:tcPr>
            <w:tcW w:w="784" w:type="dxa"/>
            <w:tcBorders>
              <w:top w:val="nil"/>
              <w:left w:val="nil"/>
              <w:bottom w:val="single" w:sz="4" w:space="0" w:color="auto"/>
              <w:right w:val="single" w:sz="4" w:space="0" w:color="auto"/>
            </w:tcBorders>
            <w:shd w:val="clear" w:color="auto" w:fill="auto"/>
            <w:noWrap/>
            <w:vAlign w:val="bottom"/>
            <w:hideMark/>
          </w:tcPr>
          <w:p w14:paraId="7025A938"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Hum</w:t>
            </w:r>
          </w:p>
        </w:tc>
        <w:tc>
          <w:tcPr>
            <w:tcW w:w="640" w:type="dxa"/>
            <w:tcBorders>
              <w:top w:val="nil"/>
              <w:left w:val="nil"/>
              <w:bottom w:val="single" w:sz="4" w:space="0" w:color="auto"/>
              <w:right w:val="single" w:sz="4" w:space="0" w:color="auto"/>
            </w:tcBorders>
            <w:shd w:val="clear" w:color="auto" w:fill="auto"/>
            <w:noWrap/>
            <w:vAlign w:val="bottom"/>
            <w:hideMark/>
          </w:tcPr>
          <w:p w14:paraId="6FD9B949"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Rad</w:t>
            </w:r>
          </w:p>
        </w:tc>
        <w:tc>
          <w:tcPr>
            <w:tcW w:w="765" w:type="dxa"/>
            <w:tcBorders>
              <w:top w:val="nil"/>
              <w:left w:val="nil"/>
              <w:bottom w:val="single" w:sz="4" w:space="0" w:color="auto"/>
              <w:right w:val="single" w:sz="4" w:space="0" w:color="auto"/>
            </w:tcBorders>
            <w:shd w:val="clear" w:color="auto" w:fill="auto"/>
            <w:noWrap/>
            <w:vAlign w:val="bottom"/>
            <w:hideMark/>
          </w:tcPr>
          <w:p w14:paraId="0EA60DC0"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Ulna</w:t>
            </w:r>
          </w:p>
        </w:tc>
        <w:tc>
          <w:tcPr>
            <w:tcW w:w="707" w:type="dxa"/>
            <w:tcBorders>
              <w:top w:val="nil"/>
              <w:left w:val="nil"/>
              <w:bottom w:val="single" w:sz="4" w:space="0" w:color="auto"/>
              <w:right w:val="single" w:sz="4" w:space="0" w:color="auto"/>
            </w:tcBorders>
            <w:shd w:val="clear" w:color="auto" w:fill="auto"/>
            <w:noWrap/>
            <w:vAlign w:val="bottom"/>
            <w:hideMark/>
          </w:tcPr>
          <w:p w14:paraId="136A2557"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Fem</w:t>
            </w:r>
          </w:p>
        </w:tc>
        <w:tc>
          <w:tcPr>
            <w:tcW w:w="712" w:type="dxa"/>
            <w:tcBorders>
              <w:top w:val="nil"/>
              <w:left w:val="nil"/>
              <w:bottom w:val="single" w:sz="4" w:space="0" w:color="auto"/>
              <w:right w:val="single" w:sz="4" w:space="0" w:color="auto"/>
            </w:tcBorders>
            <w:shd w:val="clear" w:color="auto" w:fill="auto"/>
            <w:noWrap/>
            <w:vAlign w:val="bottom"/>
            <w:hideMark/>
          </w:tcPr>
          <w:p w14:paraId="6A2742FC" w14:textId="77777777" w:rsidR="00581633" w:rsidRPr="00581633" w:rsidRDefault="00581633" w:rsidP="00581633">
            <w:pPr>
              <w:spacing w:after="0" w:line="240" w:lineRule="auto"/>
              <w:rPr>
                <w:rFonts w:ascii="Calibri" w:eastAsia="Times New Roman" w:hAnsi="Calibri" w:cs="Calibri"/>
                <w:b/>
                <w:bCs/>
                <w:color w:val="000000"/>
                <w:lang w:eastAsia="en-GB"/>
              </w:rPr>
            </w:pPr>
            <w:proofErr w:type="spellStart"/>
            <w:r w:rsidRPr="00581633">
              <w:rPr>
                <w:rFonts w:ascii="Calibri" w:eastAsia="Times New Roman" w:hAnsi="Calibri" w:cs="Calibri"/>
                <w:b/>
                <w:bCs/>
                <w:color w:val="000000"/>
                <w:lang w:eastAsia="en-GB"/>
              </w:rPr>
              <w:t>Tib</w:t>
            </w:r>
            <w:proofErr w:type="spellEnd"/>
          </w:p>
        </w:tc>
        <w:tc>
          <w:tcPr>
            <w:tcW w:w="712" w:type="dxa"/>
            <w:tcBorders>
              <w:top w:val="nil"/>
              <w:left w:val="nil"/>
              <w:bottom w:val="single" w:sz="4" w:space="0" w:color="auto"/>
              <w:right w:val="single" w:sz="4" w:space="0" w:color="auto"/>
            </w:tcBorders>
            <w:shd w:val="clear" w:color="auto" w:fill="auto"/>
            <w:noWrap/>
            <w:vAlign w:val="bottom"/>
            <w:hideMark/>
          </w:tcPr>
          <w:p w14:paraId="7F41A937"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Fib</w:t>
            </w:r>
          </w:p>
        </w:tc>
      </w:tr>
      <w:tr w:rsidR="00581633" w:rsidRPr="00581633" w14:paraId="23C4CB22" w14:textId="77777777" w:rsidTr="00C236D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146BF296" w14:textId="77777777" w:rsidR="00581633" w:rsidRPr="00581633" w:rsidRDefault="00581633" w:rsidP="00581633">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36w-1m</w:t>
            </w:r>
          </w:p>
        </w:tc>
        <w:tc>
          <w:tcPr>
            <w:tcW w:w="602" w:type="dxa"/>
            <w:tcBorders>
              <w:top w:val="nil"/>
              <w:left w:val="nil"/>
              <w:bottom w:val="single" w:sz="4" w:space="0" w:color="auto"/>
              <w:right w:val="single" w:sz="4" w:space="0" w:color="auto"/>
            </w:tcBorders>
            <w:shd w:val="clear" w:color="auto" w:fill="auto"/>
            <w:noWrap/>
            <w:vAlign w:val="bottom"/>
            <w:hideMark/>
          </w:tcPr>
          <w:p w14:paraId="0C4618CC"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10</w:t>
            </w:r>
          </w:p>
        </w:tc>
        <w:tc>
          <w:tcPr>
            <w:tcW w:w="697" w:type="dxa"/>
            <w:tcBorders>
              <w:top w:val="nil"/>
              <w:left w:val="nil"/>
              <w:bottom w:val="single" w:sz="4" w:space="0" w:color="auto"/>
              <w:right w:val="single" w:sz="4" w:space="0" w:color="auto"/>
            </w:tcBorders>
            <w:shd w:val="clear" w:color="auto" w:fill="auto"/>
            <w:noWrap/>
            <w:vAlign w:val="bottom"/>
            <w:hideMark/>
          </w:tcPr>
          <w:p w14:paraId="7831F557"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21</w:t>
            </w:r>
          </w:p>
        </w:tc>
        <w:tc>
          <w:tcPr>
            <w:tcW w:w="753" w:type="dxa"/>
            <w:tcBorders>
              <w:top w:val="nil"/>
              <w:left w:val="nil"/>
              <w:bottom w:val="single" w:sz="4" w:space="0" w:color="auto"/>
              <w:right w:val="single" w:sz="4" w:space="0" w:color="auto"/>
            </w:tcBorders>
            <w:shd w:val="clear" w:color="auto" w:fill="auto"/>
            <w:noWrap/>
            <w:vAlign w:val="bottom"/>
            <w:hideMark/>
          </w:tcPr>
          <w:p w14:paraId="2F9E0364"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38.9</w:t>
            </w:r>
          </w:p>
        </w:tc>
        <w:tc>
          <w:tcPr>
            <w:tcW w:w="702" w:type="dxa"/>
            <w:tcBorders>
              <w:top w:val="nil"/>
              <w:left w:val="nil"/>
              <w:bottom w:val="single" w:sz="4" w:space="0" w:color="auto"/>
              <w:right w:val="single" w:sz="4" w:space="0" w:color="auto"/>
            </w:tcBorders>
            <w:shd w:val="clear" w:color="auto" w:fill="auto"/>
            <w:noWrap/>
            <w:vAlign w:val="bottom"/>
            <w:hideMark/>
          </w:tcPr>
          <w:p w14:paraId="5BF4E5AC"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20</w:t>
            </w:r>
          </w:p>
        </w:tc>
        <w:tc>
          <w:tcPr>
            <w:tcW w:w="697" w:type="dxa"/>
            <w:tcBorders>
              <w:top w:val="nil"/>
              <w:left w:val="nil"/>
              <w:bottom w:val="single" w:sz="4" w:space="0" w:color="auto"/>
              <w:right w:val="single" w:sz="4" w:space="0" w:color="auto"/>
            </w:tcBorders>
            <w:shd w:val="clear" w:color="auto" w:fill="auto"/>
            <w:noWrap/>
            <w:vAlign w:val="bottom"/>
            <w:hideMark/>
          </w:tcPr>
          <w:p w14:paraId="5D1BE939"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44.4</w:t>
            </w:r>
          </w:p>
        </w:tc>
        <w:tc>
          <w:tcPr>
            <w:tcW w:w="702" w:type="dxa"/>
            <w:tcBorders>
              <w:top w:val="nil"/>
              <w:left w:val="nil"/>
              <w:bottom w:val="single" w:sz="4" w:space="0" w:color="auto"/>
              <w:right w:val="single" w:sz="4" w:space="0" w:color="auto"/>
            </w:tcBorders>
            <w:shd w:val="clear" w:color="auto" w:fill="auto"/>
            <w:noWrap/>
            <w:vAlign w:val="bottom"/>
            <w:hideMark/>
          </w:tcPr>
          <w:p w14:paraId="12CF2593"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12.5</w:t>
            </w:r>
          </w:p>
        </w:tc>
        <w:tc>
          <w:tcPr>
            <w:tcW w:w="784" w:type="dxa"/>
            <w:tcBorders>
              <w:top w:val="nil"/>
              <w:left w:val="nil"/>
              <w:bottom w:val="single" w:sz="4" w:space="0" w:color="auto"/>
              <w:right w:val="single" w:sz="4" w:space="0" w:color="auto"/>
            </w:tcBorders>
            <w:shd w:val="clear" w:color="auto" w:fill="auto"/>
            <w:noWrap/>
            <w:vAlign w:val="bottom"/>
            <w:hideMark/>
          </w:tcPr>
          <w:p w14:paraId="2FE1212A"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640" w:type="dxa"/>
            <w:tcBorders>
              <w:top w:val="nil"/>
              <w:left w:val="nil"/>
              <w:bottom w:val="single" w:sz="4" w:space="0" w:color="auto"/>
              <w:right w:val="single" w:sz="4" w:space="0" w:color="auto"/>
            </w:tcBorders>
            <w:shd w:val="clear" w:color="auto" w:fill="auto"/>
            <w:noWrap/>
            <w:vAlign w:val="bottom"/>
            <w:hideMark/>
          </w:tcPr>
          <w:p w14:paraId="6AC21AE7"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65" w:type="dxa"/>
            <w:tcBorders>
              <w:top w:val="nil"/>
              <w:left w:val="nil"/>
              <w:bottom w:val="single" w:sz="4" w:space="0" w:color="auto"/>
              <w:right w:val="single" w:sz="4" w:space="0" w:color="auto"/>
            </w:tcBorders>
            <w:shd w:val="clear" w:color="auto" w:fill="auto"/>
            <w:noWrap/>
            <w:vAlign w:val="bottom"/>
            <w:hideMark/>
          </w:tcPr>
          <w:p w14:paraId="338EF72C"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07" w:type="dxa"/>
            <w:tcBorders>
              <w:top w:val="nil"/>
              <w:left w:val="nil"/>
              <w:bottom w:val="single" w:sz="4" w:space="0" w:color="auto"/>
              <w:right w:val="single" w:sz="4" w:space="0" w:color="auto"/>
            </w:tcBorders>
            <w:shd w:val="clear" w:color="auto" w:fill="auto"/>
            <w:noWrap/>
            <w:vAlign w:val="bottom"/>
            <w:hideMark/>
          </w:tcPr>
          <w:p w14:paraId="0EAD1201"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12" w:type="dxa"/>
            <w:tcBorders>
              <w:top w:val="nil"/>
              <w:left w:val="nil"/>
              <w:bottom w:val="single" w:sz="4" w:space="0" w:color="auto"/>
              <w:right w:val="single" w:sz="4" w:space="0" w:color="auto"/>
            </w:tcBorders>
            <w:shd w:val="clear" w:color="auto" w:fill="auto"/>
            <w:noWrap/>
            <w:vAlign w:val="bottom"/>
            <w:hideMark/>
          </w:tcPr>
          <w:p w14:paraId="20985AA0"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12" w:type="dxa"/>
            <w:tcBorders>
              <w:top w:val="nil"/>
              <w:left w:val="nil"/>
              <w:bottom w:val="single" w:sz="4" w:space="0" w:color="auto"/>
              <w:right w:val="single" w:sz="4" w:space="0" w:color="auto"/>
            </w:tcBorders>
            <w:shd w:val="clear" w:color="auto" w:fill="auto"/>
            <w:noWrap/>
            <w:vAlign w:val="bottom"/>
            <w:hideMark/>
          </w:tcPr>
          <w:p w14:paraId="0FD970B0"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r>
      <w:tr w:rsidR="00581633" w:rsidRPr="00581633" w14:paraId="42FB391C" w14:textId="77777777" w:rsidTr="00C236D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4FB19DDC" w14:textId="77777777" w:rsidR="00581633" w:rsidRPr="00581633" w:rsidRDefault="00581633" w:rsidP="00581633">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1-12m</w:t>
            </w:r>
          </w:p>
        </w:tc>
        <w:tc>
          <w:tcPr>
            <w:tcW w:w="602" w:type="dxa"/>
            <w:tcBorders>
              <w:top w:val="nil"/>
              <w:left w:val="nil"/>
              <w:bottom w:val="single" w:sz="4" w:space="0" w:color="auto"/>
              <w:right w:val="single" w:sz="4" w:space="0" w:color="auto"/>
            </w:tcBorders>
            <w:shd w:val="clear" w:color="auto" w:fill="auto"/>
            <w:noWrap/>
            <w:vAlign w:val="bottom"/>
            <w:hideMark/>
          </w:tcPr>
          <w:p w14:paraId="6C01D7D6"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32</w:t>
            </w:r>
          </w:p>
        </w:tc>
        <w:tc>
          <w:tcPr>
            <w:tcW w:w="697" w:type="dxa"/>
            <w:tcBorders>
              <w:top w:val="nil"/>
              <w:left w:val="nil"/>
              <w:bottom w:val="single" w:sz="4" w:space="0" w:color="auto"/>
              <w:right w:val="single" w:sz="4" w:space="0" w:color="auto"/>
            </w:tcBorders>
            <w:shd w:val="clear" w:color="auto" w:fill="auto"/>
            <w:noWrap/>
            <w:vAlign w:val="bottom"/>
            <w:hideMark/>
          </w:tcPr>
          <w:p w14:paraId="1DC2218F"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54.5</w:t>
            </w:r>
          </w:p>
        </w:tc>
        <w:tc>
          <w:tcPr>
            <w:tcW w:w="753" w:type="dxa"/>
            <w:tcBorders>
              <w:top w:val="nil"/>
              <w:left w:val="nil"/>
              <w:bottom w:val="single" w:sz="4" w:space="0" w:color="auto"/>
              <w:right w:val="single" w:sz="4" w:space="0" w:color="auto"/>
            </w:tcBorders>
            <w:shd w:val="clear" w:color="auto" w:fill="auto"/>
            <w:noWrap/>
            <w:vAlign w:val="bottom"/>
            <w:hideMark/>
          </w:tcPr>
          <w:p w14:paraId="3B8E2552"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50</w:t>
            </w:r>
          </w:p>
        </w:tc>
        <w:tc>
          <w:tcPr>
            <w:tcW w:w="702" w:type="dxa"/>
            <w:tcBorders>
              <w:top w:val="nil"/>
              <w:left w:val="nil"/>
              <w:bottom w:val="single" w:sz="4" w:space="0" w:color="auto"/>
              <w:right w:val="single" w:sz="4" w:space="0" w:color="auto"/>
            </w:tcBorders>
            <w:shd w:val="clear" w:color="auto" w:fill="auto"/>
            <w:noWrap/>
            <w:vAlign w:val="bottom"/>
            <w:hideMark/>
          </w:tcPr>
          <w:p w14:paraId="573A815F"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28</w:t>
            </w:r>
          </w:p>
        </w:tc>
        <w:tc>
          <w:tcPr>
            <w:tcW w:w="697" w:type="dxa"/>
            <w:tcBorders>
              <w:top w:val="nil"/>
              <w:left w:val="nil"/>
              <w:bottom w:val="single" w:sz="4" w:space="0" w:color="auto"/>
              <w:right w:val="single" w:sz="4" w:space="0" w:color="auto"/>
            </w:tcBorders>
            <w:shd w:val="clear" w:color="auto" w:fill="auto"/>
            <w:noWrap/>
            <w:vAlign w:val="bottom"/>
            <w:hideMark/>
          </w:tcPr>
          <w:p w14:paraId="7A81F765"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70.8</w:t>
            </w:r>
          </w:p>
        </w:tc>
        <w:tc>
          <w:tcPr>
            <w:tcW w:w="702" w:type="dxa"/>
            <w:tcBorders>
              <w:top w:val="nil"/>
              <w:left w:val="nil"/>
              <w:bottom w:val="single" w:sz="4" w:space="0" w:color="auto"/>
              <w:right w:val="single" w:sz="4" w:space="0" w:color="auto"/>
            </w:tcBorders>
            <w:shd w:val="clear" w:color="auto" w:fill="auto"/>
            <w:noWrap/>
            <w:vAlign w:val="bottom"/>
            <w:hideMark/>
          </w:tcPr>
          <w:p w14:paraId="66FCCE62"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46.2</w:t>
            </w:r>
          </w:p>
        </w:tc>
        <w:tc>
          <w:tcPr>
            <w:tcW w:w="784" w:type="dxa"/>
            <w:tcBorders>
              <w:top w:val="nil"/>
              <w:left w:val="nil"/>
              <w:bottom w:val="single" w:sz="4" w:space="0" w:color="auto"/>
              <w:right w:val="single" w:sz="4" w:space="0" w:color="auto"/>
            </w:tcBorders>
            <w:shd w:val="clear" w:color="auto" w:fill="auto"/>
            <w:noWrap/>
            <w:vAlign w:val="bottom"/>
            <w:hideMark/>
          </w:tcPr>
          <w:p w14:paraId="0B8666A3"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50</w:t>
            </w:r>
          </w:p>
        </w:tc>
        <w:tc>
          <w:tcPr>
            <w:tcW w:w="640" w:type="dxa"/>
            <w:tcBorders>
              <w:top w:val="nil"/>
              <w:left w:val="nil"/>
              <w:bottom w:val="single" w:sz="4" w:space="0" w:color="auto"/>
              <w:right w:val="single" w:sz="4" w:space="0" w:color="auto"/>
            </w:tcBorders>
            <w:shd w:val="clear" w:color="auto" w:fill="auto"/>
            <w:noWrap/>
            <w:vAlign w:val="bottom"/>
            <w:hideMark/>
          </w:tcPr>
          <w:p w14:paraId="3E1C374F"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65" w:type="dxa"/>
            <w:tcBorders>
              <w:top w:val="nil"/>
              <w:left w:val="nil"/>
              <w:bottom w:val="single" w:sz="4" w:space="0" w:color="auto"/>
              <w:right w:val="single" w:sz="4" w:space="0" w:color="auto"/>
            </w:tcBorders>
            <w:shd w:val="clear" w:color="auto" w:fill="auto"/>
            <w:noWrap/>
            <w:vAlign w:val="bottom"/>
            <w:hideMark/>
          </w:tcPr>
          <w:p w14:paraId="5B829F19"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07" w:type="dxa"/>
            <w:tcBorders>
              <w:top w:val="nil"/>
              <w:left w:val="nil"/>
              <w:bottom w:val="single" w:sz="4" w:space="0" w:color="auto"/>
              <w:right w:val="single" w:sz="4" w:space="0" w:color="auto"/>
            </w:tcBorders>
            <w:shd w:val="clear" w:color="auto" w:fill="auto"/>
            <w:noWrap/>
            <w:vAlign w:val="bottom"/>
            <w:hideMark/>
          </w:tcPr>
          <w:p w14:paraId="3D1E7446"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12" w:type="dxa"/>
            <w:tcBorders>
              <w:top w:val="nil"/>
              <w:left w:val="nil"/>
              <w:bottom w:val="single" w:sz="4" w:space="0" w:color="auto"/>
              <w:right w:val="single" w:sz="4" w:space="0" w:color="auto"/>
            </w:tcBorders>
            <w:shd w:val="clear" w:color="auto" w:fill="auto"/>
            <w:noWrap/>
            <w:vAlign w:val="bottom"/>
            <w:hideMark/>
          </w:tcPr>
          <w:p w14:paraId="545F7460"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12" w:type="dxa"/>
            <w:tcBorders>
              <w:top w:val="nil"/>
              <w:left w:val="nil"/>
              <w:bottom w:val="single" w:sz="4" w:space="0" w:color="auto"/>
              <w:right w:val="single" w:sz="4" w:space="0" w:color="auto"/>
            </w:tcBorders>
            <w:shd w:val="clear" w:color="auto" w:fill="auto"/>
            <w:noWrap/>
            <w:vAlign w:val="bottom"/>
            <w:hideMark/>
          </w:tcPr>
          <w:p w14:paraId="6D0063A2"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r>
      <w:tr w:rsidR="00581633" w:rsidRPr="00581633" w14:paraId="102F113F" w14:textId="77777777" w:rsidTr="00C236D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3ACAB95E" w14:textId="77777777" w:rsidR="00581633" w:rsidRPr="00581633" w:rsidRDefault="00581633" w:rsidP="00581633">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1-5.9y</w:t>
            </w:r>
          </w:p>
        </w:tc>
        <w:tc>
          <w:tcPr>
            <w:tcW w:w="602" w:type="dxa"/>
            <w:tcBorders>
              <w:top w:val="nil"/>
              <w:left w:val="nil"/>
              <w:bottom w:val="single" w:sz="4" w:space="0" w:color="auto"/>
              <w:right w:val="single" w:sz="4" w:space="0" w:color="auto"/>
            </w:tcBorders>
            <w:shd w:val="clear" w:color="auto" w:fill="auto"/>
            <w:noWrap/>
            <w:vAlign w:val="bottom"/>
            <w:hideMark/>
          </w:tcPr>
          <w:p w14:paraId="0E362EF5"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16</w:t>
            </w:r>
          </w:p>
        </w:tc>
        <w:tc>
          <w:tcPr>
            <w:tcW w:w="697" w:type="dxa"/>
            <w:tcBorders>
              <w:top w:val="nil"/>
              <w:left w:val="nil"/>
              <w:bottom w:val="single" w:sz="4" w:space="0" w:color="auto"/>
              <w:right w:val="single" w:sz="4" w:space="0" w:color="auto"/>
            </w:tcBorders>
            <w:shd w:val="clear" w:color="auto" w:fill="auto"/>
            <w:noWrap/>
            <w:vAlign w:val="bottom"/>
            <w:hideMark/>
          </w:tcPr>
          <w:p w14:paraId="4FB41E62"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2.4</w:t>
            </w:r>
          </w:p>
        </w:tc>
        <w:tc>
          <w:tcPr>
            <w:tcW w:w="753" w:type="dxa"/>
            <w:tcBorders>
              <w:top w:val="nil"/>
              <w:left w:val="nil"/>
              <w:bottom w:val="single" w:sz="4" w:space="0" w:color="auto"/>
              <w:right w:val="single" w:sz="4" w:space="0" w:color="auto"/>
            </w:tcBorders>
            <w:shd w:val="clear" w:color="auto" w:fill="auto"/>
            <w:noWrap/>
            <w:vAlign w:val="bottom"/>
            <w:hideMark/>
          </w:tcPr>
          <w:p w14:paraId="4BFE63FA"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2.6</w:t>
            </w:r>
          </w:p>
        </w:tc>
        <w:tc>
          <w:tcPr>
            <w:tcW w:w="702" w:type="dxa"/>
            <w:tcBorders>
              <w:top w:val="nil"/>
              <w:left w:val="nil"/>
              <w:bottom w:val="single" w:sz="4" w:space="0" w:color="auto"/>
              <w:right w:val="single" w:sz="4" w:space="0" w:color="auto"/>
            </w:tcBorders>
            <w:shd w:val="clear" w:color="auto" w:fill="auto"/>
            <w:noWrap/>
            <w:vAlign w:val="bottom"/>
            <w:hideMark/>
          </w:tcPr>
          <w:p w14:paraId="794E4782"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38.8</w:t>
            </w:r>
          </w:p>
        </w:tc>
        <w:tc>
          <w:tcPr>
            <w:tcW w:w="697" w:type="dxa"/>
            <w:tcBorders>
              <w:top w:val="nil"/>
              <w:left w:val="nil"/>
              <w:bottom w:val="single" w:sz="4" w:space="0" w:color="auto"/>
              <w:right w:val="single" w:sz="4" w:space="0" w:color="auto"/>
            </w:tcBorders>
            <w:shd w:val="clear" w:color="auto" w:fill="auto"/>
            <w:noWrap/>
            <w:vAlign w:val="bottom"/>
            <w:hideMark/>
          </w:tcPr>
          <w:p w14:paraId="4B1A3053"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66.7</w:t>
            </w:r>
          </w:p>
        </w:tc>
        <w:tc>
          <w:tcPr>
            <w:tcW w:w="702" w:type="dxa"/>
            <w:tcBorders>
              <w:top w:val="nil"/>
              <w:left w:val="nil"/>
              <w:bottom w:val="single" w:sz="4" w:space="0" w:color="auto"/>
              <w:right w:val="single" w:sz="4" w:space="0" w:color="auto"/>
            </w:tcBorders>
            <w:shd w:val="clear" w:color="auto" w:fill="auto"/>
            <w:noWrap/>
            <w:vAlign w:val="bottom"/>
            <w:hideMark/>
          </w:tcPr>
          <w:p w14:paraId="46BCC1C9"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21</w:t>
            </w:r>
          </w:p>
        </w:tc>
        <w:tc>
          <w:tcPr>
            <w:tcW w:w="784" w:type="dxa"/>
            <w:tcBorders>
              <w:top w:val="nil"/>
              <w:left w:val="nil"/>
              <w:bottom w:val="single" w:sz="4" w:space="0" w:color="auto"/>
              <w:right w:val="single" w:sz="4" w:space="0" w:color="auto"/>
            </w:tcBorders>
            <w:shd w:val="clear" w:color="auto" w:fill="auto"/>
            <w:noWrap/>
            <w:vAlign w:val="bottom"/>
            <w:hideMark/>
          </w:tcPr>
          <w:p w14:paraId="5263097F"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22.2</w:t>
            </w:r>
          </w:p>
        </w:tc>
        <w:tc>
          <w:tcPr>
            <w:tcW w:w="640" w:type="dxa"/>
            <w:tcBorders>
              <w:top w:val="nil"/>
              <w:left w:val="nil"/>
              <w:bottom w:val="single" w:sz="4" w:space="0" w:color="auto"/>
              <w:right w:val="single" w:sz="4" w:space="0" w:color="auto"/>
            </w:tcBorders>
            <w:shd w:val="clear" w:color="auto" w:fill="auto"/>
            <w:noWrap/>
            <w:vAlign w:val="bottom"/>
            <w:hideMark/>
          </w:tcPr>
          <w:p w14:paraId="3C701FEF"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65" w:type="dxa"/>
            <w:tcBorders>
              <w:top w:val="nil"/>
              <w:left w:val="nil"/>
              <w:bottom w:val="single" w:sz="4" w:space="0" w:color="auto"/>
              <w:right w:val="single" w:sz="4" w:space="0" w:color="auto"/>
            </w:tcBorders>
            <w:shd w:val="clear" w:color="auto" w:fill="auto"/>
            <w:noWrap/>
            <w:vAlign w:val="bottom"/>
            <w:hideMark/>
          </w:tcPr>
          <w:p w14:paraId="3485E2A6"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07" w:type="dxa"/>
            <w:tcBorders>
              <w:top w:val="nil"/>
              <w:left w:val="nil"/>
              <w:bottom w:val="single" w:sz="4" w:space="0" w:color="auto"/>
              <w:right w:val="single" w:sz="4" w:space="0" w:color="auto"/>
            </w:tcBorders>
            <w:shd w:val="clear" w:color="auto" w:fill="auto"/>
            <w:noWrap/>
            <w:vAlign w:val="bottom"/>
            <w:hideMark/>
          </w:tcPr>
          <w:p w14:paraId="0F54D772"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20</w:t>
            </w:r>
          </w:p>
        </w:tc>
        <w:tc>
          <w:tcPr>
            <w:tcW w:w="712" w:type="dxa"/>
            <w:tcBorders>
              <w:top w:val="nil"/>
              <w:left w:val="nil"/>
              <w:bottom w:val="single" w:sz="4" w:space="0" w:color="auto"/>
              <w:right w:val="single" w:sz="4" w:space="0" w:color="auto"/>
            </w:tcBorders>
            <w:shd w:val="clear" w:color="auto" w:fill="auto"/>
            <w:noWrap/>
            <w:vAlign w:val="bottom"/>
            <w:hideMark/>
          </w:tcPr>
          <w:p w14:paraId="44D9DB6C"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16.7</w:t>
            </w:r>
          </w:p>
        </w:tc>
        <w:tc>
          <w:tcPr>
            <w:tcW w:w="712" w:type="dxa"/>
            <w:tcBorders>
              <w:top w:val="nil"/>
              <w:left w:val="nil"/>
              <w:bottom w:val="single" w:sz="4" w:space="0" w:color="auto"/>
              <w:right w:val="single" w:sz="4" w:space="0" w:color="auto"/>
            </w:tcBorders>
            <w:shd w:val="clear" w:color="auto" w:fill="auto"/>
            <w:noWrap/>
            <w:vAlign w:val="bottom"/>
            <w:hideMark/>
          </w:tcPr>
          <w:p w14:paraId="74C3A21C"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33.3</w:t>
            </w:r>
          </w:p>
        </w:tc>
      </w:tr>
      <w:tr w:rsidR="00581633" w:rsidRPr="00581633" w14:paraId="0D4386EF" w14:textId="77777777" w:rsidTr="00C236D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8B56823" w14:textId="77777777" w:rsidR="00581633" w:rsidRPr="00581633" w:rsidRDefault="00581633" w:rsidP="00581633">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6-11.9y</w:t>
            </w:r>
          </w:p>
        </w:tc>
        <w:tc>
          <w:tcPr>
            <w:tcW w:w="602" w:type="dxa"/>
            <w:tcBorders>
              <w:top w:val="nil"/>
              <w:left w:val="nil"/>
              <w:bottom w:val="single" w:sz="4" w:space="0" w:color="auto"/>
              <w:right w:val="single" w:sz="4" w:space="0" w:color="auto"/>
            </w:tcBorders>
            <w:shd w:val="clear" w:color="auto" w:fill="auto"/>
            <w:noWrap/>
            <w:vAlign w:val="bottom"/>
            <w:hideMark/>
          </w:tcPr>
          <w:p w14:paraId="62690724"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11</w:t>
            </w:r>
          </w:p>
        </w:tc>
        <w:tc>
          <w:tcPr>
            <w:tcW w:w="697" w:type="dxa"/>
            <w:tcBorders>
              <w:top w:val="nil"/>
              <w:left w:val="nil"/>
              <w:bottom w:val="single" w:sz="4" w:space="0" w:color="auto"/>
              <w:right w:val="single" w:sz="4" w:space="0" w:color="auto"/>
            </w:tcBorders>
            <w:shd w:val="clear" w:color="auto" w:fill="auto"/>
            <w:noWrap/>
            <w:vAlign w:val="bottom"/>
            <w:hideMark/>
          </w:tcPr>
          <w:p w14:paraId="7243D6CD"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53" w:type="dxa"/>
            <w:tcBorders>
              <w:top w:val="nil"/>
              <w:left w:val="nil"/>
              <w:bottom w:val="single" w:sz="4" w:space="0" w:color="auto"/>
              <w:right w:val="single" w:sz="4" w:space="0" w:color="auto"/>
            </w:tcBorders>
            <w:shd w:val="clear" w:color="auto" w:fill="auto"/>
            <w:noWrap/>
            <w:vAlign w:val="bottom"/>
            <w:hideMark/>
          </w:tcPr>
          <w:p w14:paraId="2F9477CD"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11.1</w:t>
            </w:r>
          </w:p>
        </w:tc>
        <w:tc>
          <w:tcPr>
            <w:tcW w:w="702" w:type="dxa"/>
            <w:tcBorders>
              <w:top w:val="nil"/>
              <w:left w:val="nil"/>
              <w:bottom w:val="single" w:sz="4" w:space="0" w:color="auto"/>
              <w:right w:val="single" w:sz="4" w:space="0" w:color="auto"/>
            </w:tcBorders>
            <w:shd w:val="clear" w:color="auto" w:fill="auto"/>
            <w:noWrap/>
            <w:vAlign w:val="bottom"/>
            <w:hideMark/>
          </w:tcPr>
          <w:p w14:paraId="6DC4BABA"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35.7</w:t>
            </w:r>
          </w:p>
        </w:tc>
        <w:tc>
          <w:tcPr>
            <w:tcW w:w="697" w:type="dxa"/>
            <w:tcBorders>
              <w:top w:val="nil"/>
              <w:left w:val="nil"/>
              <w:bottom w:val="single" w:sz="4" w:space="0" w:color="auto"/>
              <w:right w:val="single" w:sz="4" w:space="0" w:color="auto"/>
            </w:tcBorders>
            <w:shd w:val="clear" w:color="auto" w:fill="auto"/>
            <w:noWrap/>
            <w:vAlign w:val="bottom"/>
            <w:hideMark/>
          </w:tcPr>
          <w:p w14:paraId="2F3C67CF"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8.3</w:t>
            </w:r>
          </w:p>
        </w:tc>
        <w:tc>
          <w:tcPr>
            <w:tcW w:w="702" w:type="dxa"/>
            <w:tcBorders>
              <w:top w:val="nil"/>
              <w:left w:val="nil"/>
              <w:bottom w:val="single" w:sz="4" w:space="0" w:color="auto"/>
              <w:right w:val="single" w:sz="4" w:space="0" w:color="auto"/>
            </w:tcBorders>
            <w:shd w:val="clear" w:color="auto" w:fill="auto"/>
            <w:noWrap/>
            <w:vAlign w:val="bottom"/>
            <w:hideMark/>
          </w:tcPr>
          <w:p w14:paraId="3B673BF4"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9</w:t>
            </w:r>
          </w:p>
        </w:tc>
        <w:tc>
          <w:tcPr>
            <w:tcW w:w="784" w:type="dxa"/>
            <w:tcBorders>
              <w:top w:val="nil"/>
              <w:left w:val="nil"/>
              <w:bottom w:val="single" w:sz="4" w:space="0" w:color="auto"/>
              <w:right w:val="single" w:sz="4" w:space="0" w:color="auto"/>
            </w:tcBorders>
            <w:shd w:val="clear" w:color="auto" w:fill="auto"/>
            <w:noWrap/>
            <w:vAlign w:val="bottom"/>
            <w:hideMark/>
          </w:tcPr>
          <w:p w14:paraId="0273CB9F"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6.7</w:t>
            </w:r>
          </w:p>
        </w:tc>
        <w:tc>
          <w:tcPr>
            <w:tcW w:w="640" w:type="dxa"/>
            <w:tcBorders>
              <w:top w:val="nil"/>
              <w:left w:val="nil"/>
              <w:bottom w:val="single" w:sz="4" w:space="0" w:color="auto"/>
              <w:right w:val="single" w:sz="4" w:space="0" w:color="auto"/>
            </w:tcBorders>
            <w:shd w:val="clear" w:color="auto" w:fill="auto"/>
            <w:noWrap/>
            <w:vAlign w:val="bottom"/>
            <w:hideMark/>
          </w:tcPr>
          <w:p w14:paraId="2F574D48"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65" w:type="dxa"/>
            <w:tcBorders>
              <w:top w:val="nil"/>
              <w:left w:val="nil"/>
              <w:bottom w:val="single" w:sz="4" w:space="0" w:color="auto"/>
              <w:right w:val="single" w:sz="4" w:space="0" w:color="auto"/>
            </w:tcBorders>
            <w:shd w:val="clear" w:color="auto" w:fill="auto"/>
            <w:noWrap/>
            <w:vAlign w:val="bottom"/>
            <w:hideMark/>
          </w:tcPr>
          <w:p w14:paraId="433C97AE"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07" w:type="dxa"/>
            <w:tcBorders>
              <w:top w:val="nil"/>
              <w:left w:val="nil"/>
              <w:bottom w:val="single" w:sz="4" w:space="0" w:color="auto"/>
              <w:right w:val="single" w:sz="4" w:space="0" w:color="auto"/>
            </w:tcBorders>
            <w:shd w:val="clear" w:color="auto" w:fill="auto"/>
            <w:noWrap/>
            <w:vAlign w:val="bottom"/>
            <w:hideMark/>
          </w:tcPr>
          <w:p w14:paraId="0693B47F"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28.6</w:t>
            </w:r>
          </w:p>
        </w:tc>
        <w:tc>
          <w:tcPr>
            <w:tcW w:w="712" w:type="dxa"/>
            <w:tcBorders>
              <w:top w:val="nil"/>
              <w:left w:val="nil"/>
              <w:bottom w:val="single" w:sz="4" w:space="0" w:color="auto"/>
              <w:right w:val="single" w:sz="4" w:space="0" w:color="auto"/>
            </w:tcBorders>
            <w:shd w:val="clear" w:color="auto" w:fill="auto"/>
            <w:noWrap/>
            <w:vAlign w:val="bottom"/>
            <w:hideMark/>
          </w:tcPr>
          <w:p w14:paraId="6B802E25"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25</w:t>
            </w:r>
          </w:p>
        </w:tc>
        <w:tc>
          <w:tcPr>
            <w:tcW w:w="712" w:type="dxa"/>
            <w:tcBorders>
              <w:top w:val="nil"/>
              <w:left w:val="nil"/>
              <w:bottom w:val="single" w:sz="4" w:space="0" w:color="auto"/>
              <w:right w:val="single" w:sz="4" w:space="0" w:color="auto"/>
            </w:tcBorders>
            <w:shd w:val="clear" w:color="auto" w:fill="auto"/>
            <w:noWrap/>
            <w:vAlign w:val="bottom"/>
            <w:hideMark/>
          </w:tcPr>
          <w:p w14:paraId="2F77429E"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20</w:t>
            </w:r>
          </w:p>
        </w:tc>
      </w:tr>
      <w:tr w:rsidR="00581633" w:rsidRPr="00581633" w14:paraId="6E6C8583" w14:textId="77777777" w:rsidTr="00C236D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729C4900" w14:textId="77777777" w:rsidR="00581633" w:rsidRPr="00581633" w:rsidRDefault="00581633" w:rsidP="00581633">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12-19.9y</w:t>
            </w:r>
          </w:p>
        </w:tc>
        <w:tc>
          <w:tcPr>
            <w:tcW w:w="602" w:type="dxa"/>
            <w:tcBorders>
              <w:top w:val="nil"/>
              <w:left w:val="nil"/>
              <w:bottom w:val="single" w:sz="4" w:space="0" w:color="auto"/>
              <w:right w:val="single" w:sz="4" w:space="0" w:color="auto"/>
            </w:tcBorders>
            <w:shd w:val="clear" w:color="auto" w:fill="auto"/>
            <w:noWrap/>
            <w:vAlign w:val="bottom"/>
            <w:hideMark/>
          </w:tcPr>
          <w:p w14:paraId="70A97E75"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27.7</w:t>
            </w:r>
          </w:p>
        </w:tc>
        <w:tc>
          <w:tcPr>
            <w:tcW w:w="697" w:type="dxa"/>
            <w:tcBorders>
              <w:top w:val="nil"/>
              <w:left w:val="nil"/>
              <w:bottom w:val="single" w:sz="4" w:space="0" w:color="auto"/>
              <w:right w:val="single" w:sz="4" w:space="0" w:color="auto"/>
            </w:tcBorders>
            <w:shd w:val="clear" w:color="auto" w:fill="auto"/>
            <w:noWrap/>
            <w:vAlign w:val="bottom"/>
            <w:hideMark/>
          </w:tcPr>
          <w:p w14:paraId="31653947"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22</w:t>
            </w:r>
          </w:p>
        </w:tc>
        <w:tc>
          <w:tcPr>
            <w:tcW w:w="753" w:type="dxa"/>
            <w:tcBorders>
              <w:top w:val="nil"/>
              <w:left w:val="nil"/>
              <w:bottom w:val="single" w:sz="4" w:space="0" w:color="auto"/>
              <w:right w:val="single" w:sz="4" w:space="0" w:color="auto"/>
            </w:tcBorders>
            <w:shd w:val="clear" w:color="auto" w:fill="auto"/>
            <w:noWrap/>
            <w:vAlign w:val="bottom"/>
            <w:hideMark/>
          </w:tcPr>
          <w:p w14:paraId="13532C7E"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27.8</w:t>
            </w:r>
          </w:p>
        </w:tc>
        <w:tc>
          <w:tcPr>
            <w:tcW w:w="702" w:type="dxa"/>
            <w:tcBorders>
              <w:top w:val="nil"/>
              <w:left w:val="nil"/>
              <w:bottom w:val="single" w:sz="4" w:space="0" w:color="auto"/>
              <w:right w:val="single" w:sz="4" w:space="0" w:color="auto"/>
            </w:tcBorders>
            <w:shd w:val="clear" w:color="auto" w:fill="auto"/>
            <w:noWrap/>
            <w:vAlign w:val="bottom"/>
            <w:hideMark/>
          </w:tcPr>
          <w:p w14:paraId="78DE8D20"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36.8</w:t>
            </w:r>
          </w:p>
        </w:tc>
        <w:tc>
          <w:tcPr>
            <w:tcW w:w="697" w:type="dxa"/>
            <w:tcBorders>
              <w:top w:val="nil"/>
              <w:left w:val="nil"/>
              <w:bottom w:val="single" w:sz="4" w:space="0" w:color="auto"/>
              <w:right w:val="single" w:sz="4" w:space="0" w:color="auto"/>
            </w:tcBorders>
            <w:shd w:val="clear" w:color="auto" w:fill="auto"/>
            <w:noWrap/>
            <w:vAlign w:val="bottom"/>
            <w:hideMark/>
          </w:tcPr>
          <w:p w14:paraId="0CD8FD0A"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50</w:t>
            </w:r>
          </w:p>
        </w:tc>
        <w:tc>
          <w:tcPr>
            <w:tcW w:w="702" w:type="dxa"/>
            <w:tcBorders>
              <w:top w:val="nil"/>
              <w:left w:val="nil"/>
              <w:bottom w:val="single" w:sz="4" w:space="0" w:color="auto"/>
              <w:right w:val="single" w:sz="4" w:space="0" w:color="auto"/>
            </w:tcBorders>
            <w:shd w:val="clear" w:color="auto" w:fill="auto"/>
            <w:noWrap/>
            <w:vAlign w:val="bottom"/>
            <w:hideMark/>
          </w:tcPr>
          <w:p w14:paraId="7B701835"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22.2</w:t>
            </w:r>
          </w:p>
        </w:tc>
        <w:tc>
          <w:tcPr>
            <w:tcW w:w="784" w:type="dxa"/>
            <w:tcBorders>
              <w:top w:val="nil"/>
              <w:left w:val="nil"/>
              <w:bottom w:val="single" w:sz="4" w:space="0" w:color="auto"/>
              <w:right w:val="single" w:sz="4" w:space="0" w:color="auto"/>
            </w:tcBorders>
            <w:shd w:val="clear" w:color="auto" w:fill="auto"/>
            <w:noWrap/>
            <w:vAlign w:val="bottom"/>
            <w:hideMark/>
          </w:tcPr>
          <w:p w14:paraId="165DB692"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4</w:t>
            </w:r>
          </w:p>
        </w:tc>
        <w:tc>
          <w:tcPr>
            <w:tcW w:w="640" w:type="dxa"/>
            <w:tcBorders>
              <w:top w:val="nil"/>
              <w:left w:val="nil"/>
              <w:bottom w:val="single" w:sz="4" w:space="0" w:color="auto"/>
              <w:right w:val="single" w:sz="4" w:space="0" w:color="auto"/>
            </w:tcBorders>
            <w:shd w:val="clear" w:color="auto" w:fill="auto"/>
            <w:noWrap/>
            <w:vAlign w:val="bottom"/>
            <w:hideMark/>
          </w:tcPr>
          <w:p w14:paraId="2431C8B2"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0</w:t>
            </w:r>
          </w:p>
        </w:tc>
        <w:tc>
          <w:tcPr>
            <w:tcW w:w="765" w:type="dxa"/>
            <w:tcBorders>
              <w:top w:val="nil"/>
              <w:left w:val="nil"/>
              <w:bottom w:val="single" w:sz="4" w:space="0" w:color="auto"/>
              <w:right w:val="single" w:sz="4" w:space="0" w:color="auto"/>
            </w:tcBorders>
            <w:shd w:val="clear" w:color="auto" w:fill="auto"/>
            <w:noWrap/>
            <w:vAlign w:val="bottom"/>
            <w:hideMark/>
          </w:tcPr>
          <w:p w14:paraId="24ED1D59"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16.6</w:t>
            </w:r>
          </w:p>
        </w:tc>
        <w:tc>
          <w:tcPr>
            <w:tcW w:w="707" w:type="dxa"/>
            <w:tcBorders>
              <w:top w:val="nil"/>
              <w:left w:val="nil"/>
              <w:bottom w:val="single" w:sz="4" w:space="0" w:color="auto"/>
              <w:right w:val="single" w:sz="4" w:space="0" w:color="auto"/>
            </w:tcBorders>
            <w:shd w:val="clear" w:color="auto" w:fill="auto"/>
            <w:noWrap/>
            <w:vAlign w:val="bottom"/>
            <w:hideMark/>
          </w:tcPr>
          <w:p w14:paraId="378B9A27"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20.8</w:t>
            </w:r>
          </w:p>
        </w:tc>
        <w:tc>
          <w:tcPr>
            <w:tcW w:w="712" w:type="dxa"/>
            <w:tcBorders>
              <w:top w:val="nil"/>
              <w:left w:val="nil"/>
              <w:bottom w:val="single" w:sz="4" w:space="0" w:color="auto"/>
              <w:right w:val="single" w:sz="4" w:space="0" w:color="auto"/>
            </w:tcBorders>
            <w:shd w:val="clear" w:color="auto" w:fill="auto"/>
            <w:noWrap/>
            <w:vAlign w:val="bottom"/>
            <w:hideMark/>
          </w:tcPr>
          <w:p w14:paraId="01A59434"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10.3</w:t>
            </w:r>
          </w:p>
        </w:tc>
        <w:tc>
          <w:tcPr>
            <w:tcW w:w="712" w:type="dxa"/>
            <w:tcBorders>
              <w:top w:val="nil"/>
              <w:left w:val="nil"/>
              <w:bottom w:val="single" w:sz="4" w:space="0" w:color="auto"/>
              <w:right w:val="single" w:sz="4" w:space="0" w:color="auto"/>
            </w:tcBorders>
            <w:shd w:val="clear" w:color="auto" w:fill="auto"/>
            <w:noWrap/>
            <w:vAlign w:val="bottom"/>
            <w:hideMark/>
          </w:tcPr>
          <w:p w14:paraId="48332DB0" w14:textId="77777777" w:rsidR="00581633" w:rsidRPr="00581633" w:rsidRDefault="00581633" w:rsidP="00C236DD">
            <w:pPr>
              <w:spacing w:after="0" w:line="240" w:lineRule="auto"/>
              <w:rPr>
                <w:rFonts w:ascii="Calibri" w:eastAsia="Times New Roman" w:hAnsi="Calibri" w:cs="Calibri"/>
                <w:color w:val="000000"/>
                <w:lang w:eastAsia="en-GB"/>
              </w:rPr>
            </w:pPr>
            <w:r w:rsidRPr="00581633">
              <w:rPr>
                <w:rFonts w:ascii="Calibri" w:eastAsia="Times New Roman" w:hAnsi="Calibri" w:cs="Calibri"/>
                <w:color w:val="000000"/>
                <w:lang w:eastAsia="en-GB"/>
              </w:rPr>
              <w:t>15.8</w:t>
            </w:r>
          </w:p>
        </w:tc>
      </w:tr>
      <w:tr w:rsidR="00581633" w:rsidRPr="00581633" w14:paraId="62DFA412" w14:textId="77777777" w:rsidTr="00C236DD">
        <w:trPr>
          <w:trHeight w:val="300"/>
        </w:trPr>
        <w:tc>
          <w:tcPr>
            <w:tcW w:w="1129" w:type="dxa"/>
            <w:tcBorders>
              <w:top w:val="nil"/>
              <w:left w:val="single" w:sz="4" w:space="0" w:color="auto"/>
              <w:bottom w:val="single" w:sz="4" w:space="0" w:color="auto"/>
              <w:right w:val="single" w:sz="4" w:space="0" w:color="auto"/>
            </w:tcBorders>
            <w:shd w:val="clear" w:color="auto" w:fill="auto"/>
            <w:noWrap/>
            <w:vAlign w:val="bottom"/>
            <w:hideMark/>
          </w:tcPr>
          <w:p w14:paraId="544AF052" w14:textId="77777777" w:rsidR="00581633" w:rsidRPr="00581633" w:rsidRDefault="00581633" w:rsidP="00581633">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Total</w:t>
            </w:r>
          </w:p>
        </w:tc>
        <w:tc>
          <w:tcPr>
            <w:tcW w:w="602" w:type="dxa"/>
            <w:tcBorders>
              <w:top w:val="nil"/>
              <w:left w:val="nil"/>
              <w:bottom w:val="single" w:sz="4" w:space="0" w:color="auto"/>
              <w:right w:val="single" w:sz="4" w:space="0" w:color="auto"/>
            </w:tcBorders>
            <w:shd w:val="clear" w:color="auto" w:fill="auto"/>
            <w:noWrap/>
            <w:vAlign w:val="bottom"/>
            <w:hideMark/>
          </w:tcPr>
          <w:p w14:paraId="59F24BD6" w14:textId="77777777" w:rsidR="00581633" w:rsidRPr="00581633" w:rsidRDefault="00581633" w:rsidP="00C236DD">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20</w:t>
            </w:r>
          </w:p>
        </w:tc>
        <w:tc>
          <w:tcPr>
            <w:tcW w:w="697" w:type="dxa"/>
            <w:tcBorders>
              <w:top w:val="nil"/>
              <w:left w:val="nil"/>
              <w:bottom w:val="single" w:sz="4" w:space="0" w:color="auto"/>
              <w:right w:val="single" w:sz="4" w:space="0" w:color="auto"/>
            </w:tcBorders>
            <w:shd w:val="clear" w:color="auto" w:fill="auto"/>
            <w:noWrap/>
            <w:vAlign w:val="bottom"/>
            <w:hideMark/>
          </w:tcPr>
          <w:p w14:paraId="3F54269C" w14:textId="77777777" w:rsidR="00581633" w:rsidRPr="00581633" w:rsidRDefault="00581633" w:rsidP="00C236DD">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15</w:t>
            </w:r>
          </w:p>
        </w:tc>
        <w:tc>
          <w:tcPr>
            <w:tcW w:w="753" w:type="dxa"/>
            <w:tcBorders>
              <w:top w:val="nil"/>
              <w:left w:val="nil"/>
              <w:bottom w:val="single" w:sz="4" w:space="0" w:color="auto"/>
              <w:right w:val="single" w:sz="4" w:space="0" w:color="auto"/>
            </w:tcBorders>
            <w:shd w:val="clear" w:color="auto" w:fill="auto"/>
            <w:noWrap/>
            <w:vAlign w:val="bottom"/>
            <w:hideMark/>
          </w:tcPr>
          <w:p w14:paraId="1A5A0EA8" w14:textId="77777777" w:rsidR="00581633" w:rsidRPr="00581633" w:rsidRDefault="00581633" w:rsidP="00C236DD">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21</w:t>
            </w:r>
          </w:p>
        </w:tc>
        <w:tc>
          <w:tcPr>
            <w:tcW w:w="702" w:type="dxa"/>
            <w:tcBorders>
              <w:top w:val="nil"/>
              <w:left w:val="nil"/>
              <w:bottom w:val="single" w:sz="4" w:space="0" w:color="auto"/>
              <w:right w:val="single" w:sz="4" w:space="0" w:color="auto"/>
            </w:tcBorders>
            <w:shd w:val="clear" w:color="auto" w:fill="auto"/>
            <w:noWrap/>
            <w:vAlign w:val="bottom"/>
            <w:hideMark/>
          </w:tcPr>
          <w:p w14:paraId="0BF110A9" w14:textId="77777777" w:rsidR="00581633" w:rsidRPr="00581633" w:rsidRDefault="00581633" w:rsidP="00C236DD">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32.8</w:t>
            </w:r>
          </w:p>
        </w:tc>
        <w:tc>
          <w:tcPr>
            <w:tcW w:w="697" w:type="dxa"/>
            <w:tcBorders>
              <w:top w:val="nil"/>
              <w:left w:val="nil"/>
              <w:bottom w:val="single" w:sz="4" w:space="0" w:color="auto"/>
              <w:right w:val="single" w:sz="4" w:space="0" w:color="auto"/>
            </w:tcBorders>
            <w:shd w:val="clear" w:color="auto" w:fill="auto"/>
            <w:noWrap/>
            <w:vAlign w:val="bottom"/>
            <w:hideMark/>
          </w:tcPr>
          <w:p w14:paraId="3A18DDC4" w14:textId="77777777" w:rsidR="00581633" w:rsidRPr="00581633" w:rsidRDefault="00581633" w:rsidP="00C236DD">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55</w:t>
            </w:r>
          </w:p>
        </w:tc>
        <w:tc>
          <w:tcPr>
            <w:tcW w:w="702" w:type="dxa"/>
            <w:tcBorders>
              <w:top w:val="nil"/>
              <w:left w:val="nil"/>
              <w:bottom w:val="single" w:sz="4" w:space="0" w:color="auto"/>
              <w:right w:val="single" w:sz="4" w:space="0" w:color="auto"/>
            </w:tcBorders>
            <w:shd w:val="clear" w:color="auto" w:fill="auto"/>
            <w:noWrap/>
            <w:vAlign w:val="bottom"/>
            <w:hideMark/>
          </w:tcPr>
          <w:p w14:paraId="67006EC9" w14:textId="77777777" w:rsidR="00581633" w:rsidRPr="00581633" w:rsidRDefault="00581633" w:rsidP="00C236DD">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21.9</w:t>
            </w:r>
          </w:p>
        </w:tc>
        <w:tc>
          <w:tcPr>
            <w:tcW w:w="784" w:type="dxa"/>
            <w:tcBorders>
              <w:top w:val="nil"/>
              <w:left w:val="nil"/>
              <w:bottom w:val="single" w:sz="4" w:space="0" w:color="auto"/>
              <w:right w:val="single" w:sz="4" w:space="0" w:color="auto"/>
            </w:tcBorders>
            <w:shd w:val="clear" w:color="auto" w:fill="auto"/>
            <w:noWrap/>
            <w:vAlign w:val="bottom"/>
            <w:hideMark/>
          </w:tcPr>
          <w:p w14:paraId="16A6F2E8" w14:textId="77777777" w:rsidR="00581633" w:rsidRPr="00581633" w:rsidRDefault="00581633" w:rsidP="00C236DD">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9.8</w:t>
            </w:r>
          </w:p>
        </w:tc>
        <w:tc>
          <w:tcPr>
            <w:tcW w:w="640" w:type="dxa"/>
            <w:tcBorders>
              <w:top w:val="nil"/>
              <w:left w:val="nil"/>
              <w:bottom w:val="single" w:sz="4" w:space="0" w:color="auto"/>
              <w:right w:val="single" w:sz="4" w:space="0" w:color="auto"/>
            </w:tcBorders>
            <w:shd w:val="clear" w:color="auto" w:fill="auto"/>
            <w:noWrap/>
            <w:vAlign w:val="bottom"/>
            <w:hideMark/>
          </w:tcPr>
          <w:p w14:paraId="1DC1789D" w14:textId="77777777" w:rsidR="00581633" w:rsidRPr="00581633" w:rsidRDefault="00581633" w:rsidP="00C236DD">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0</w:t>
            </w:r>
          </w:p>
        </w:tc>
        <w:tc>
          <w:tcPr>
            <w:tcW w:w="765" w:type="dxa"/>
            <w:tcBorders>
              <w:top w:val="nil"/>
              <w:left w:val="nil"/>
              <w:bottom w:val="single" w:sz="4" w:space="0" w:color="auto"/>
              <w:right w:val="single" w:sz="4" w:space="0" w:color="auto"/>
            </w:tcBorders>
            <w:shd w:val="clear" w:color="auto" w:fill="auto"/>
            <w:noWrap/>
            <w:vAlign w:val="bottom"/>
            <w:hideMark/>
          </w:tcPr>
          <w:p w14:paraId="223CD9B5" w14:textId="77777777" w:rsidR="00581633" w:rsidRPr="00581633" w:rsidRDefault="00581633" w:rsidP="00C236DD">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7.9</w:t>
            </w:r>
          </w:p>
        </w:tc>
        <w:tc>
          <w:tcPr>
            <w:tcW w:w="707" w:type="dxa"/>
            <w:tcBorders>
              <w:top w:val="nil"/>
              <w:left w:val="nil"/>
              <w:bottom w:val="single" w:sz="4" w:space="0" w:color="auto"/>
              <w:right w:val="single" w:sz="4" w:space="0" w:color="auto"/>
            </w:tcBorders>
            <w:shd w:val="clear" w:color="auto" w:fill="auto"/>
            <w:noWrap/>
            <w:vAlign w:val="bottom"/>
            <w:hideMark/>
          </w:tcPr>
          <w:p w14:paraId="1378B0D9" w14:textId="77777777" w:rsidR="00581633" w:rsidRPr="00581633" w:rsidRDefault="00581633" w:rsidP="00C236DD">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22</w:t>
            </w:r>
          </w:p>
        </w:tc>
        <w:tc>
          <w:tcPr>
            <w:tcW w:w="712" w:type="dxa"/>
            <w:tcBorders>
              <w:top w:val="nil"/>
              <w:left w:val="nil"/>
              <w:bottom w:val="single" w:sz="4" w:space="0" w:color="auto"/>
              <w:right w:val="single" w:sz="4" w:space="0" w:color="auto"/>
            </w:tcBorders>
            <w:shd w:val="clear" w:color="auto" w:fill="auto"/>
            <w:noWrap/>
            <w:vAlign w:val="bottom"/>
            <w:hideMark/>
          </w:tcPr>
          <w:p w14:paraId="1825423C" w14:textId="77777777" w:rsidR="00581633" w:rsidRPr="00581633" w:rsidRDefault="00581633" w:rsidP="00C236DD">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13.6</w:t>
            </w:r>
          </w:p>
        </w:tc>
        <w:tc>
          <w:tcPr>
            <w:tcW w:w="712" w:type="dxa"/>
            <w:tcBorders>
              <w:top w:val="nil"/>
              <w:left w:val="nil"/>
              <w:bottom w:val="single" w:sz="4" w:space="0" w:color="auto"/>
              <w:right w:val="single" w:sz="4" w:space="0" w:color="auto"/>
            </w:tcBorders>
            <w:shd w:val="clear" w:color="auto" w:fill="auto"/>
            <w:noWrap/>
            <w:vAlign w:val="bottom"/>
            <w:hideMark/>
          </w:tcPr>
          <w:p w14:paraId="686AC39F" w14:textId="77777777" w:rsidR="00581633" w:rsidRPr="00581633" w:rsidRDefault="00581633" w:rsidP="00C236DD">
            <w:pPr>
              <w:spacing w:after="0" w:line="240" w:lineRule="auto"/>
              <w:rPr>
                <w:rFonts w:ascii="Calibri" w:eastAsia="Times New Roman" w:hAnsi="Calibri" w:cs="Calibri"/>
                <w:b/>
                <w:bCs/>
                <w:color w:val="000000"/>
                <w:lang w:eastAsia="en-GB"/>
              </w:rPr>
            </w:pPr>
            <w:r w:rsidRPr="00581633">
              <w:rPr>
                <w:rFonts w:ascii="Calibri" w:eastAsia="Times New Roman" w:hAnsi="Calibri" w:cs="Calibri"/>
                <w:b/>
                <w:bCs/>
                <w:color w:val="000000"/>
                <w:lang w:eastAsia="en-GB"/>
              </w:rPr>
              <w:t>18.5</w:t>
            </w:r>
          </w:p>
        </w:tc>
      </w:tr>
    </w:tbl>
    <w:p w14:paraId="24900256" w14:textId="1CF737BB" w:rsidR="00581633" w:rsidRDefault="00581633" w:rsidP="00C236DD">
      <w:pPr>
        <w:spacing w:line="276" w:lineRule="auto"/>
        <w:rPr>
          <w:b/>
          <w:sz w:val="24"/>
          <w:szCs w:val="24"/>
          <w:lang w:val="en-US"/>
        </w:rPr>
      </w:pPr>
      <w:r>
        <w:rPr>
          <w:b/>
          <w:sz w:val="24"/>
          <w:szCs w:val="24"/>
          <w:lang w:val="en-US"/>
        </w:rPr>
        <w:t>Table 5: True prevalence rates of periosteal new bone formation on the major long bones from each of the sites</w:t>
      </w:r>
    </w:p>
    <w:p w14:paraId="2121A965" w14:textId="0BF4718E" w:rsidR="00BA5E54" w:rsidRDefault="00BA5E54" w:rsidP="00453751">
      <w:pPr>
        <w:spacing w:line="480" w:lineRule="auto"/>
        <w:rPr>
          <w:b/>
          <w:sz w:val="24"/>
          <w:szCs w:val="24"/>
          <w:lang w:val="en-US"/>
        </w:rPr>
      </w:pPr>
    </w:p>
    <w:p w14:paraId="3BB50ECE" w14:textId="5A4DC9E2" w:rsidR="00305B1E" w:rsidRDefault="007B4805" w:rsidP="007B4805">
      <w:pPr>
        <w:spacing w:line="480" w:lineRule="auto"/>
        <w:jc w:val="center"/>
        <w:rPr>
          <w:b/>
          <w:sz w:val="24"/>
          <w:szCs w:val="24"/>
          <w:lang w:val="en-US"/>
        </w:rPr>
      </w:pPr>
      <w:r>
        <w:rPr>
          <w:b/>
          <w:sz w:val="24"/>
          <w:szCs w:val="24"/>
          <w:lang w:val="en-US"/>
        </w:rPr>
        <w:t>Supplementary Tables</w:t>
      </w:r>
    </w:p>
    <w:p w14:paraId="7546DC68" w14:textId="36B7027B" w:rsidR="007B4805" w:rsidRDefault="007B4805" w:rsidP="007B4805">
      <w:pPr>
        <w:spacing w:line="480" w:lineRule="auto"/>
        <w:jc w:val="center"/>
        <w:rPr>
          <w:b/>
          <w:sz w:val="24"/>
          <w:szCs w:val="24"/>
          <w:lang w:val="en-US"/>
        </w:rPr>
      </w:pPr>
      <w:r w:rsidRPr="007B4805">
        <w:rPr>
          <w:noProof/>
        </w:rPr>
        <w:drawing>
          <wp:inline distT="0" distB="0" distL="0" distR="0" wp14:anchorId="25E6F2DD" wp14:editId="6FDED13B">
            <wp:extent cx="6449060" cy="1590697"/>
            <wp:effectExtent l="0" t="0" r="889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69165" cy="1595656"/>
                    </a:xfrm>
                    <a:prstGeom prst="rect">
                      <a:avLst/>
                    </a:prstGeom>
                    <a:noFill/>
                    <a:ln>
                      <a:noFill/>
                    </a:ln>
                  </pic:spPr>
                </pic:pic>
              </a:graphicData>
            </a:graphic>
          </wp:inline>
        </w:drawing>
      </w:r>
    </w:p>
    <w:p w14:paraId="3C318D53" w14:textId="0EEC5A47" w:rsidR="007B4805" w:rsidRDefault="00326939" w:rsidP="00326939">
      <w:pPr>
        <w:spacing w:line="480" w:lineRule="auto"/>
        <w:rPr>
          <w:b/>
          <w:sz w:val="24"/>
          <w:szCs w:val="24"/>
          <w:lang w:val="en-US"/>
        </w:rPr>
      </w:pPr>
      <w:r>
        <w:rPr>
          <w:b/>
          <w:sz w:val="24"/>
          <w:szCs w:val="24"/>
          <w:lang w:val="en-US"/>
        </w:rPr>
        <w:t>Table S1: Coach Lane: Enamel hypoplasia (pitting, lines and grooves)</w:t>
      </w:r>
    </w:p>
    <w:p w14:paraId="7838BC4C" w14:textId="5FC4B1E3" w:rsidR="007B4805" w:rsidRDefault="007B4805" w:rsidP="007B4805">
      <w:pPr>
        <w:spacing w:line="480" w:lineRule="auto"/>
        <w:jc w:val="center"/>
        <w:rPr>
          <w:b/>
          <w:sz w:val="24"/>
          <w:szCs w:val="24"/>
          <w:lang w:val="en-US"/>
        </w:rPr>
      </w:pPr>
      <w:r w:rsidRPr="007B4805">
        <w:rPr>
          <w:noProof/>
        </w:rPr>
        <w:drawing>
          <wp:inline distT="0" distB="0" distL="0" distR="0" wp14:anchorId="08982622" wp14:editId="20B292E6">
            <wp:extent cx="6449150" cy="15906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57142" cy="1592646"/>
                    </a:xfrm>
                    <a:prstGeom prst="rect">
                      <a:avLst/>
                    </a:prstGeom>
                    <a:noFill/>
                    <a:ln>
                      <a:noFill/>
                    </a:ln>
                  </pic:spPr>
                </pic:pic>
              </a:graphicData>
            </a:graphic>
          </wp:inline>
        </w:drawing>
      </w:r>
    </w:p>
    <w:p w14:paraId="1DFD45B5" w14:textId="4CB5175B" w:rsidR="007B4805" w:rsidRDefault="007B4805" w:rsidP="007B4805">
      <w:pPr>
        <w:spacing w:line="480" w:lineRule="auto"/>
        <w:rPr>
          <w:b/>
          <w:sz w:val="24"/>
          <w:szCs w:val="24"/>
          <w:lang w:val="en-US"/>
        </w:rPr>
      </w:pPr>
      <w:r>
        <w:rPr>
          <w:b/>
          <w:sz w:val="24"/>
          <w:szCs w:val="24"/>
          <w:lang w:val="en-US"/>
        </w:rPr>
        <w:t xml:space="preserve">Table S2: Coach Lane: </w:t>
      </w:r>
      <w:proofErr w:type="spellStart"/>
      <w:r>
        <w:rPr>
          <w:b/>
          <w:sz w:val="24"/>
          <w:szCs w:val="24"/>
          <w:lang w:val="en-US"/>
        </w:rPr>
        <w:t>Cuspal</w:t>
      </w:r>
      <w:proofErr w:type="spellEnd"/>
      <w:r>
        <w:rPr>
          <w:b/>
          <w:sz w:val="24"/>
          <w:szCs w:val="24"/>
          <w:lang w:val="en-US"/>
        </w:rPr>
        <w:t xml:space="preserve"> Enamel Hypoplasia</w:t>
      </w:r>
    </w:p>
    <w:p w14:paraId="46FA8CD7" w14:textId="14F9DE70" w:rsidR="007B4805" w:rsidRDefault="007B4805" w:rsidP="007B4805">
      <w:pPr>
        <w:spacing w:line="480" w:lineRule="auto"/>
        <w:rPr>
          <w:b/>
          <w:sz w:val="24"/>
          <w:szCs w:val="24"/>
          <w:lang w:val="en-US"/>
        </w:rPr>
      </w:pPr>
    </w:p>
    <w:p w14:paraId="50D7295B" w14:textId="77777777" w:rsidR="007B4805" w:rsidRDefault="007B4805" w:rsidP="007B4805">
      <w:pPr>
        <w:spacing w:line="480" w:lineRule="auto"/>
        <w:rPr>
          <w:b/>
          <w:sz w:val="24"/>
          <w:szCs w:val="24"/>
          <w:lang w:val="en-US"/>
        </w:rPr>
      </w:pPr>
    </w:p>
    <w:p w14:paraId="744EDD9E" w14:textId="77777777" w:rsidR="00326939" w:rsidRDefault="00326939" w:rsidP="00453751">
      <w:pPr>
        <w:spacing w:line="480" w:lineRule="auto"/>
        <w:rPr>
          <w:b/>
          <w:sz w:val="24"/>
          <w:szCs w:val="24"/>
          <w:lang w:val="en-US"/>
        </w:rPr>
      </w:pPr>
    </w:p>
    <w:p w14:paraId="56AC6A1A" w14:textId="49064B57" w:rsidR="00326939" w:rsidRDefault="00326939" w:rsidP="00453751">
      <w:pPr>
        <w:spacing w:line="480" w:lineRule="auto"/>
        <w:rPr>
          <w:b/>
          <w:sz w:val="24"/>
          <w:szCs w:val="24"/>
          <w:lang w:val="en-US"/>
        </w:rPr>
      </w:pPr>
      <w:r w:rsidRPr="00326939">
        <w:rPr>
          <w:noProof/>
        </w:rPr>
        <w:drawing>
          <wp:inline distT="0" distB="0" distL="0" distR="0" wp14:anchorId="72274F1B" wp14:editId="46D907D2">
            <wp:extent cx="6387361" cy="1575435"/>
            <wp:effectExtent l="0" t="0" r="0" b="571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4609" cy="1577223"/>
                    </a:xfrm>
                    <a:prstGeom prst="rect">
                      <a:avLst/>
                    </a:prstGeom>
                    <a:noFill/>
                    <a:ln>
                      <a:noFill/>
                    </a:ln>
                  </pic:spPr>
                </pic:pic>
              </a:graphicData>
            </a:graphic>
          </wp:inline>
        </w:drawing>
      </w:r>
    </w:p>
    <w:p w14:paraId="5DB1D674" w14:textId="2B34E68F" w:rsidR="00326939" w:rsidRDefault="00326939" w:rsidP="00453751">
      <w:pPr>
        <w:spacing w:line="480" w:lineRule="auto"/>
        <w:rPr>
          <w:b/>
          <w:sz w:val="24"/>
          <w:szCs w:val="24"/>
          <w:lang w:val="en-US"/>
        </w:rPr>
      </w:pPr>
      <w:r>
        <w:rPr>
          <w:b/>
          <w:sz w:val="24"/>
          <w:szCs w:val="24"/>
          <w:lang w:val="en-US"/>
        </w:rPr>
        <w:t>Table S3: Fewston: Enamel hypoplasia (pitting, lines and grooves)</w:t>
      </w:r>
    </w:p>
    <w:p w14:paraId="277DCB00" w14:textId="1FE18AAE" w:rsidR="00326939" w:rsidRDefault="00326939" w:rsidP="00453751">
      <w:pPr>
        <w:spacing w:line="480" w:lineRule="auto"/>
        <w:rPr>
          <w:b/>
          <w:sz w:val="24"/>
          <w:szCs w:val="24"/>
          <w:lang w:val="en-US"/>
        </w:rPr>
      </w:pPr>
    </w:p>
    <w:p w14:paraId="2A91FA39" w14:textId="5349E9B5" w:rsidR="00326939" w:rsidRDefault="00326939" w:rsidP="00453751">
      <w:pPr>
        <w:spacing w:line="480" w:lineRule="auto"/>
        <w:rPr>
          <w:b/>
          <w:sz w:val="24"/>
          <w:szCs w:val="24"/>
          <w:lang w:val="en-US"/>
        </w:rPr>
      </w:pPr>
      <w:r w:rsidRPr="00326939">
        <w:rPr>
          <w:noProof/>
        </w:rPr>
        <w:drawing>
          <wp:inline distT="0" distB="0" distL="0" distR="0" wp14:anchorId="777B4639" wp14:editId="7B18FD2C">
            <wp:extent cx="6419850" cy="158344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55695" cy="1592289"/>
                    </a:xfrm>
                    <a:prstGeom prst="rect">
                      <a:avLst/>
                    </a:prstGeom>
                    <a:noFill/>
                    <a:ln>
                      <a:noFill/>
                    </a:ln>
                  </pic:spPr>
                </pic:pic>
              </a:graphicData>
            </a:graphic>
          </wp:inline>
        </w:drawing>
      </w:r>
    </w:p>
    <w:p w14:paraId="786C39E5" w14:textId="7E736E8E" w:rsidR="00326939" w:rsidRDefault="00326939" w:rsidP="00453751">
      <w:pPr>
        <w:spacing w:line="480" w:lineRule="auto"/>
        <w:rPr>
          <w:b/>
          <w:sz w:val="24"/>
          <w:szCs w:val="24"/>
          <w:lang w:val="en-US"/>
        </w:rPr>
      </w:pPr>
      <w:r>
        <w:rPr>
          <w:b/>
          <w:sz w:val="24"/>
          <w:szCs w:val="24"/>
          <w:lang w:val="en-US"/>
        </w:rPr>
        <w:t xml:space="preserve">Table S4: Fewston: </w:t>
      </w:r>
      <w:proofErr w:type="spellStart"/>
      <w:r>
        <w:rPr>
          <w:b/>
          <w:sz w:val="24"/>
          <w:szCs w:val="24"/>
          <w:lang w:val="en-US"/>
        </w:rPr>
        <w:t>Cuspal</w:t>
      </w:r>
      <w:proofErr w:type="spellEnd"/>
      <w:r>
        <w:rPr>
          <w:b/>
          <w:sz w:val="24"/>
          <w:szCs w:val="24"/>
          <w:lang w:val="en-US"/>
        </w:rPr>
        <w:t xml:space="preserve"> enamel hypoplasia</w:t>
      </w:r>
    </w:p>
    <w:p w14:paraId="1F9E8487" w14:textId="77777777" w:rsidR="00326939" w:rsidRDefault="00326939" w:rsidP="00453751">
      <w:pPr>
        <w:spacing w:line="480" w:lineRule="auto"/>
        <w:rPr>
          <w:b/>
          <w:sz w:val="24"/>
          <w:szCs w:val="24"/>
          <w:lang w:val="en-US"/>
        </w:rPr>
      </w:pPr>
    </w:p>
    <w:p w14:paraId="350F038B" w14:textId="77777777" w:rsidR="00326939" w:rsidRDefault="00326939" w:rsidP="00453751">
      <w:pPr>
        <w:spacing w:line="480" w:lineRule="auto"/>
        <w:rPr>
          <w:b/>
          <w:sz w:val="24"/>
          <w:szCs w:val="24"/>
          <w:lang w:val="en-US"/>
        </w:rPr>
      </w:pPr>
    </w:p>
    <w:p w14:paraId="6FCE758F" w14:textId="77777777" w:rsidR="00326939" w:rsidRDefault="00326939" w:rsidP="00453751">
      <w:pPr>
        <w:spacing w:line="480" w:lineRule="auto"/>
        <w:rPr>
          <w:b/>
          <w:sz w:val="24"/>
          <w:szCs w:val="24"/>
          <w:lang w:val="en-US"/>
        </w:rPr>
      </w:pPr>
    </w:p>
    <w:p w14:paraId="134F5DC0" w14:textId="77777777" w:rsidR="00326939" w:rsidRDefault="00326939" w:rsidP="00453751">
      <w:pPr>
        <w:spacing w:line="480" w:lineRule="auto"/>
        <w:rPr>
          <w:b/>
          <w:sz w:val="24"/>
          <w:szCs w:val="24"/>
          <w:lang w:val="en-US"/>
        </w:rPr>
      </w:pPr>
    </w:p>
    <w:p w14:paraId="43972DF1" w14:textId="77777777" w:rsidR="00326939" w:rsidRDefault="00326939" w:rsidP="00453751">
      <w:pPr>
        <w:spacing w:line="480" w:lineRule="auto"/>
        <w:rPr>
          <w:b/>
          <w:sz w:val="24"/>
          <w:szCs w:val="24"/>
          <w:lang w:val="en-US"/>
        </w:rPr>
      </w:pPr>
    </w:p>
    <w:p w14:paraId="03102BC5" w14:textId="77777777" w:rsidR="00326939" w:rsidRDefault="00326939" w:rsidP="00453751">
      <w:pPr>
        <w:spacing w:line="480" w:lineRule="auto"/>
        <w:rPr>
          <w:b/>
          <w:sz w:val="24"/>
          <w:szCs w:val="24"/>
          <w:lang w:val="en-US"/>
        </w:rPr>
      </w:pPr>
    </w:p>
    <w:p w14:paraId="29631A26" w14:textId="77777777" w:rsidR="00326939" w:rsidRDefault="00326939" w:rsidP="00453751">
      <w:pPr>
        <w:spacing w:line="480" w:lineRule="auto"/>
        <w:rPr>
          <w:b/>
          <w:sz w:val="24"/>
          <w:szCs w:val="24"/>
          <w:lang w:val="en-US"/>
        </w:rPr>
      </w:pPr>
    </w:p>
    <w:p w14:paraId="29106A82" w14:textId="59EEE25E" w:rsidR="00C67C95" w:rsidRDefault="00C67C95" w:rsidP="00453751">
      <w:pPr>
        <w:spacing w:line="480" w:lineRule="auto"/>
        <w:rPr>
          <w:b/>
          <w:sz w:val="24"/>
          <w:szCs w:val="24"/>
          <w:lang w:val="en-US"/>
        </w:rPr>
      </w:pPr>
      <w:r w:rsidRPr="00C67C95">
        <w:rPr>
          <w:b/>
          <w:sz w:val="24"/>
          <w:szCs w:val="24"/>
          <w:lang w:val="en-US"/>
        </w:rPr>
        <w:lastRenderedPageBreak/>
        <w:t>Figure Headings</w:t>
      </w:r>
    </w:p>
    <w:p w14:paraId="7761556B" w14:textId="77777777" w:rsidR="007827C5" w:rsidRDefault="007827C5" w:rsidP="00453751">
      <w:pPr>
        <w:spacing w:line="480" w:lineRule="auto"/>
        <w:rPr>
          <w:b/>
          <w:sz w:val="24"/>
          <w:szCs w:val="24"/>
          <w:lang w:val="en-US"/>
        </w:rPr>
      </w:pPr>
    </w:p>
    <w:p w14:paraId="6C16D624" w14:textId="44C52E90" w:rsidR="007827C5" w:rsidRDefault="007827C5" w:rsidP="00453751">
      <w:pPr>
        <w:spacing w:line="480" w:lineRule="auto"/>
        <w:rPr>
          <w:b/>
          <w:sz w:val="24"/>
          <w:szCs w:val="24"/>
          <w:lang w:val="en-US"/>
        </w:rPr>
      </w:pPr>
      <w:r>
        <w:rPr>
          <w:b/>
          <w:sz w:val="24"/>
          <w:szCs w:val="24"/>
          <w:lang w:val="en-US"/>
        </w:rPr>
        <w:t xml:space="preserve">Figure 1: The location of </w:t>
      </w:r>
      <w:r w:rsidR="0029151E">
        <w:rPr>
          <w:b/>
          <w:sz w:val="24"/>
          <w:szCs w:val="24"/>
          <w:lang w:val="en-US"/>
        </w:rPr>
        <w:t xml:space="preserve">the </w:t>
      </w:r>
      <w:r>
        <w:rPr>
          <w:b/>
          <w:sz w:val="24"/>
          <w:szCs w:val="24"/>
          <w:lang w:val="en-US"/>
        </w:rPr>
        <w:t>Coach Lane and Fewston sites.</w:t>
      </w:r>
    </w:p>
    <w:p w14:paraId="23BE938F" w14:textId="5840B98E" w:rsidR="007827C5" w:rsidRDefault="007827C5" w:rsidP="00453751">
      <w:pPr>
        <w:spacing w:line="480" w:lineRule="auto"/>
        <w:rPr>
          <w:b/>
          <w:sz w:val="24"/>
          <w:szCs w:val="24"/>
          <w:lang w:val="en-US"/>
        </w:rPr>
      </w:pPr>
      <w:r>
        <w:rPr>
          <w:b/>
          <w:sz w:val="24"/>
          <w:szCs w:val="24"/>
          <w:lang w:val="en-US"/>
        </w:rPr>
        <w:t xml:space="preserve">Figure 2: The </w:t>
      </w:r>
      <w:r w:rsidR="00C85F43">
        <w:rPr>
          <w:b/>
          <w:sz w:val="24"/>
          <w:szCs w:val="24"/>
          <w:lang w:val="en-US"/>
        </w:rPr>
        <w:t>age-at-death distribution of the non-adults from Fewston and Coach Lane.</w:t>
      </w:r>
    </w:p>
    <w:p w14:paraId="3A473172" w14:textId="6C8EE3C8" w:rsidR="00C85F43" w:rsidRDefault="00C85F43" w:rsidP="00453751">
      <w:pPr>
        <w:spacing w:line="480" w:lineRule="auto"/>
        <w:rPr>
          <w:b/>
          <w:sz w:val="24"/>
          <w:szCs w:val="24"/>
          <w:lang w:val="en-US"/>
        </w:rPr>
      </w:pPr>
      <w:r>
        <w:rPr>
          <w:b/>
          <w:sz w:val="24"/>
          <w:szCs w:val="24"/>
          <w:lang w:val="en-US"/>
        </w:rPr>
        <w:t>Figure 3:</w:t>
      </w:r>
      <w:r w:rsidR="00552DF3">
        <w:rPr>
          <w:b/>
          <w:sz w:val="24"/>
          <w:szCs w:val="24"/>
          <w:lang w:val="en-US"/>
        </w:rPr>
        <w:t xml:space="preserve"> Femoral diaphyseal lengths and </w:t>
      </w:r>
      <w:r w:rsidR="0058200B">
        <w:rPr>
          <w:b/>
          <w:sz w:val="24"/>
          <w:szCs w:val="24"/>
          <w:lang w:val="en-US"/>
        </w:rPr>
        <w:t>cortical thickness from Fewston and</w:t>
      </w:r>
      <w:r w:rsidR="00552DF3">
        <w:rPr>
          <w:b/>
          <w:sz w:val="24"/>
          <w:szCs w:val="24"/>
          <w:lang w:val="en-US"/>
        </w:rPr>
        <w:t xml:space="preserve"> Coach Lane plotted against dental age as a proxy for known age and modern comparative data.</w:t>
      </w:r>
    </w:p>
    <w:p w14:paraId="75F78AC1" w14:textId="50B5B5CB" w:rsidR="00552DF3" w:rsidRDefault="00552DF3" w:rsidP="00453751">
      <w:pPr>
        <w:spacing w:line="480" w:lineRule="auto"/>
        <w:rPr>
          <w:b/>
          <w:sz w:val="24"/>
          <w:szCs w:val="24"/>
          <w:lang w:val="en-US"/>
        </w:rPr>
      </w:pPr>
      <w:r>
        <w:rPr>
          <w:b/>
          <w:sz w:val="24"/>
          <w:szCs w:val="24"/>
          <w:lang w:val="en-US"/>
        </w:rPr>
        <w:t xml:space="preserve">Figure 4: Pubertal </w:t>
      </w:r>
      <w:r w:rsidR="008E635A">
        <w:rPr>
          <w:b/>
          <w:sz w:val="24"/>
          <w:szCs w:val="24"/>
          <w:lang w:val="en-US"/>
        </w:rPr>
        <w:t>stages</w:t>
      </w:r>
      <w:r>
        <w:rPr>
          <w:b/>
          <w:sz w:val="24"/>
          <w:szCs w:val="24"/>
          <w:lang w:val="en-US"/>
        </w:rPr>
        <w:t xml:space="preserve"> in Coach Lane </w:t>
      </w:r>
      <w:r w:rsidR="008E635A">
        <w:rPr>
          <w:b/>
          <w:sz w:val="24"/>
          <w:szCs w:val="24"/>
          <w:lang w:val="en-US"/>
        </w:rPr>
        <w:t xml:space="preserve">(n = 11) </w:t>
      </w:r>
      <w:r>
        <w:rPr>
          <w:b/>
          <w:sz w:val="24"/>
          <w:szCs w:val="24"/>
          <w:lang w:val="en-US"/>
        </w:rPr>
        <w:t xml:space="preserve">and Fewston </w:t>
      </w:r>
      <w:r w:rsidR="008E635A">
        <w:rPr>
          <w:b/>
          <w:sz w:val="24"/>
          <w:szCs w:val="24"/>
          <w:lang w:val="en-US"/>
        </w:rPr>
        <w:t xml:space="preserve">(n = </w:t>
      </w:r>
      <w:r w:rsidR="00F1212C">
        <w:rPr>
          <w:b/>
          <w:sz w:val="24"/>
          <w:szCs w:val="24"/>
          <w:lang w:val="en-US"/>
        </w:rPr>
        <w:t xml:space="preserve">24) </w:t>
      </w:r>
      <w:r w:rsidR="008E635A">
        <w:rPr>
          <w:b/>
          <w:sz w:val="24"/>
          <w:szCs w:val="24"/>
          <w:lang w:val="en-US"/>
        </w:rPr>
        <w:t>males and females</w:t>
      </w:r>
      <w:r>
        <w:rPr>
          <w:b/>
          <w:sz w:val="24"/>
          <w:szCs w:val="24"/>
          <w:lang w:val="en-US"/>
        </w:rPr>
        <w:t xml:space="preserve"> plotted against dental age.</w:t>
      </w:r>
    </w:p>
    <w:p w14:paraId="660C0A08" w14:textId="1BFE5DB1" w:rsidR="00F1212C" w:rsidRDefault="00F1212C" w:rsidP="00453751">
      <w:pPr>
        <w:spacing w:line="480" w:lineRule="auto"/>
        <w:rPr>
          <w:b/>
          <w:sz w:val="24"/>
          <w:szCs w:val="24"/>
        </w:rPr>
      </w:pPr>
      <w:r>
        <w:rPr>
          <w:b/>
          <w:sz w:val="24"/>
          <w:szCs w:val="24"/>
          <w:lang w:val="en-US"/>
        </w:rPr>
        <w:t>Figure 5: V</w:t>
      </w:r>
      <w:r w:rsidRPr="00F1212C">
        <w:rPr>
          <w:b/>
          <w:sz w:val="24"/>
          <w:szCs w:val="24"/>
          <w:lang w:val="en-US"/>
        </w:rPr>
        <w:t xml:space="preserve">ertebral body height </w:t>
      </w:r>
      <w:r w:rsidRPr="00F1212C">
        <w:rPr>
          <w:b/>
          <w:sz w:val="24"/>
          <w:szCs w:val="24"/>
        </w:rPr>
        <w:t>for C5 and C6 plotted against dental age</w:t>
      </w:r>
      <w:r>
        <w:rPr>
          <w:b/>
          <w:sz w:val="24"/>
          <w:szCs w:val="24"/>
        </w:rPr>
        <w:t>.</w:t>
      </w:r>
    </w:p>
    <w:p w14:paraId="6D52F1E3" w14:textId="2C05D3D9" w:rsidR="00F1212C" w:rsidRDefault="00F1212C" w:rsidP="00453751">
      <w:pPr>
        <w:spacing w:line="480" w:lineRule="auto"/>
        <w:rPr>
          <w:b/>
          <w:sz w:val="24"/>
          <w:szCs w:val="24"/>
        </w:rPr>
      </w:pPr>
      <w:r>
        <w:rPr>
          <w:b/>
          <w:sz w:val="24"/>
          <w:szCs w:val="24"/>
        </w:rPr>
        <w:t xml:space="preserve">Figure </w:t>
      </w:r>
      <w:r w:rsidR="00C236DD">
        <w:rPr>
          <w:b/>
          <w:sz w:val="24"/>
          <w:szCs w:val="24"/>
        </w:rPr>
        <w:t>6</w:t>
      </w:r>
      <w:r>
        <w:rPr>
          <w:b/>
          <w:sz w:val="24"/>
          <w:szCs w:val="24"/>
        </w:rPr>
        <w:t xml:space="preserve">: </w:t>
      </w:r>
      <w:r w:rsidR="00AD2C84">
        <w:rPr>
          <w:b/>
          <w:sz w:val="24"/>
          <w:szCs w:val="24"/>
        </w:rPr>
        <w:t>Lytic lesions penetrating the right orbit of skeleton 223</w:t>
      </w:r>
      <w:r w:rsidR="00305B1E">
        <w:rPr>
          <w:b/>
          <w:sz w:val="24"/>
          <w:szCs w:val="24"/>
        </w:rPr>
        <w:t>.</w:t>
      </w:r>
    </w:p>
    <w:p w14:paraId="59B184E4" w14:textId="769CEB98" w:rsidR="00AD2C84" w:rsidRDefault="00AD2C84" w:rsidP="00453751">
      <w:pPr>
        <w:spacing w:line="480" w:lineRule="auto"/>
        <w:rPr>
          <w:b/>
          <w:sz w:val="24"/>
          <w:szCs w:val="24"/>
        </w:rPr>
      </w:pPr>
      <w:r>
        <w:rPr>
          <w:b/>
          <w:sz w:val="24"/>
          <w:szCs w:val="24"/>
        </w:rPr>
        <w:t xml:space="preserve">Figure </w:t>
      </w:r>
      <w:r w:rsidR="00C236DD">
        <w:rPr>
          <w:b/>
          <w:sz w:val="24"/>
          <w:szCs w:val="24"/>
        </w:rPr>
        <w:t>7</w:t>
      </w:r>
      <w:r>
        <w:rPr>
          <w:b/>
          <w:sz w:val="24"/>
          <w:szCs w:val="24"/>
        </w:rPr>
        <w:t xml:space="preserve">: Lytic lesion and new woven and lamellar bone on the </w:t>
      </w:r>
      <w:r w:rsidR="00A670C6">
        <w:rPr>
          <w:b/>
          <w:sz w:val="24"/>
          <w:szCs w:val="24"/>
        </w:rPr>
        <w:t>left frontal bone of skeleton 223</w:t>
      </w:r>
      <w:r w:rsidR="00305B1E">
        <w:rPr>
          <w:b/>
          <w:sz w:val="24"/>
          <w:szCs w:val="24"/>
        </w:rPr>
        <w:t>.</w:t>
      </w:r>
    </w:p>
    <w:p w14:paraId="6B23174C" w14:textId="39A5F91A" w:rsidR="00552DF3" w:rsidRDefault="00A670C6" w:rsidP="00453751">
      <w:pPr>
        <w:spacing w:line="480" w:lineRule="auto"/>
        <w:rPr>
          <w:b/>
          <w:sz w:val="24"/>
          <w:szCs w:val="24"/>
        </w:rPr>
      </w:pPr>
      <w:r>
        <w:rPr>
          <w:b/>
          <w:sz w:val="24"/>
          <w:szCs w:val="24"/>
        </w:rPr>
        <w:t xml:space="preserve">Figure </w:t>
      </w:r>
      <w:r w:rsidR="00C236DD">
        <w:rPr>
          <w:b/>
          <w:sz w:val="24"/>
          <w:szCs w:val="24"/>
        </w:rPr>
        <w:t>8</w:t>
      </w:r>
      <w:r>
        <w:rPr>
          <w:b/>
          <w:sz w:val="24"/>
          <w:szCs w:val="24"/>
        </w:rPr>
        <w:t xml:space="preserve">: </w:t>
      </w:r>
      <w:r w:rsidR="0029151E">
        <w:rPr>
          <w:b/>
          <w:sz w:val="24"/>
          <w:szCs w:val="24"/>
        </w:rPr>
        <w:t>F</w:t>
      </w:r>
      <w:r>
        <w:rPr>
          <w:b/>
          <w:sz w:val="24"/>
          <w:szCs w:val="24"/>
        </w:rPr>
        <w:t>rontal and parietal bone of skeleton 157 with perimortem trauma</w:t>
      </w:r>
      <w:r w:rsidR="00DA1D40">
        <w:rPr>
          <w:b/>
          <w:sz w:val="24"/>
          <w:szCs w:val="24"/>
        </w:rPr>
        <w:t xml:space="preserve"> (marked B)</w:t>
      </w:r>
      <w:r w:rsidR="00305B1E">
        <w:rPr>
          <w:b/>
          <w:sz w:val="24"/>
          <w:szCs w:val="24"/>
        </w:rPr>
        <w:t xml:space="preserve">, a </w:t>
      </w:r>
      <w:r>
        <w:rPr>
          <w:b/>
          <w:sz w:val="24"/>
          <w:szCs w:val="24"/>
        </w:rPr>
        <w:t xml:space="preserve">radiating fracture </w:t>
      </w:r>
      <w:r w:rsidR="00DA1D40">
        <w:rPr>
          <w:b/>
          <w:sz w:val="24"/>
          <w:szCs w:val="24"/>
        </w:rPr>
        <w:t xml:space="preserve">(marked A) </w:t>
      </w:r>
      <w:r>
        <w:rPr>
          <w:b/>
          <w:sz w:val="24"/>
          <w:szCs w:val="24"/>
        </w:rPr>
        <w:t>and evidence for surgical intervention</w:t>
      </w:r>
      <w:r w:rsidR="00DA1D40">
        <w:rPr>
          <w:b/>
          <w:sz w:val="24"/>
          <w:szCs w:val="24"/>
        </w:rPr>
        <w:t xml:space="preserve"> (marked C)</w:t>
      </w:r>
      <w:r>
        <w:rPr>
          <w:b/>
          <w:sz w:val="24"/>
          <w:szCs w:val="24"/>
        </w:rPr>
        <w:t xml:space="preserve">. </w:t>
      </w:r>
      <w:bookmarkStart w:id="0" w:name="_GoBack"/>
      <w:bookmarkEnd w:id="0"/>
    </w:p>
    <w:p w14:paraId="219B86B9" w14:textId="02E4803B" w:rsidR="00ED335C" w:rsidRPr="00C67C95" w:rsidRDefault="00ED335C" w:rsidP="00453751">
      <w:pPr>
        <w:spacing w:line="480" w:lineRule="auto"/>
        <w:rPr>
          <w:b/>
          <w:sz w:val="24"/>
          <w:szCs w:val="24"/>
          <w:lang w:val="en-US"/>
        </w:rPr>
      </w:pPr>
      <w:r>
        <w:rPr>
          <w:b/>
          <w:sz w:val="24"/>
          <w:szCs w:val="24"/>
        </w:rPr>
        <w:t xml:space="preserve">Figure </w:t>
      </w:r>
      <w:r w:rsidR="00C236DD">
        <w:rPr>
          <w:b/>
          <w:sz w:val="24"/>
          <w:szCs w:val="24"/>
        </w:rPr>
        <w:t>9</w:t>
      </w:r>
      <w:r>
        <w:rPr>
          <w:b/>
          <w:sz w:val="24"/>
          <w:szCs w:val="24"/>
        </w:rPr>
        <w:t xml:space="preserve">: </w:t>
      </w:r>
      <w:proofErr w:type="spellStart"/>
      <w:r>
        <w:rPr>
          <w:b/>
          <w:sz w:val="24"/>
          <w:szCs w:val="24"/>
        </w:rPr>
        <w:t>Cuspal</w:t>
      </w:r>
      <w:proofErr w:type="spellEnd"/>
      <w:r>
        <w:rPr>
          <w:b/>
          <w:sz w:val="24"/>
          <w:szCs w:val="24"/>
        </w:rPr>
        <w:t xml:space="preserve"> enamel hypoplasia on teeth from Fewston.</w:t>
      </w:r>
    </w:p>
    <w:sectPr w:rsidR="00ED335C" w:rsidRPr="00C67C95" w:rsidSect="000F4E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86FA7"/>
    <w:multiLevelType w:val="hybridMultilevel"/>
    <w:tmpl w:val="FFDA1D9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5137D1"/>
    <w:multiLevelType w:val="hybridMultilevel"/>
    <w:tmpl w:val="90D817CE"/>
    <w:lvl w:ilvl="0" w:tplc="4510C22C">
      <w:start w:val="3"/>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076263"/>
    <w:multiLevelType w:val="hybridMultilevel"/>
    <w:tmpl w:val="73E6C5C0"/>
    <w:lvl w:ilvl="0" w:tplc="E946D188">
      <w:start w:val="1"/>
      <w:numFmt w:val="bullet"/>
      <w:lvlText w:val="–"/>
      <w:lvlJc w:val="left"/>
      <w:pPr>
        <w:tabs>
          <w:tab w:val="num" w:pos="720"/>
        </w:tabs>
        <w:ind w:left="720" w:hanging="360"/>
      </w:pPr>
      <w:rPr>
        <w:rFonts w:ascii="Arial" w:hAnsi="Arial" w:hint="default"/>
      </w:rPr>
    </w:lvl>
    <w:lvl w:ilvl="1" w:tplc="ED50CBEA">
      <w:start w:val="1"/>
      <w:numFmt w:val="bullet"/>
      <w:lvlText w:val="–"/>
      <w:lvlJc w:val="left"/>
      <w:pPr>
        <w:tabs>
          <w:tab w:val="num" w:pos="1440"/>
        </w:tabs>
        <w:ind w:left="1440" w:hanging="360"/>
      </w:pPr>
      <w:rPr>
        <w:rFonts w:ascii="Arial" w:hAnsi="Arial" w:hint="default"/>
      </w:rPr>
    </w:lvl>
    <w:lvl w:ilvl="2" w:tplc="53BCB10A" w:tentative="1">
      <w:start w:val="1"/>
      <w:numFmt w:val="bullet"/>
      <w:lvlText w:val="–"/>
      <w:lvlJc w:val="left"/>
      <w:pPr>
        <w:tabs>
          <w:tab w:val="num" w:pos="2160"/>
        </w:tabs>
        <w:ind w:left="2160" w:hanging="360"/>
      </w:pPr>
      <w:rPr>
        <w:rFonts w:ascii="Arial" w:hAnsi="Arial" w:hint="default"/>
      </w:rPr>
    </w:lvl>
    <w:lvl w:ilvl="3" w:tplc="6138F70E" w:tentative="1">
      <w:start w:val="1"/>
      <w:numFmt w:val="bullet"/>
      <w:lvlText w:val="–"/>
      <w:lvlJc w:val="left"/>
      <w:pPr>
        <w:tabs>
          <w:tab w:val="num" w:pos="2880"/>
        </w:tabs>
        <w:ind w:left="2880" w:hanging="360"/>
      </w:pPr>
      <w:rPr>
        <w:rFonts w:ascii="Arial" w:hAnsi="Arial" w:hint="default"/>
      </w:rPr>
    </w:lvl>
    <w:lvl w:ilvl="4" w:tplc="7A86EFEA" w:tentative="1">
      <w:start w:val="1"/>
      <w:numFmt w:val="bullet"/>
      <w:lvlText w:val="–"/>
      <w:lvlJc w:val="left"/>
      <w:pPr>
        <w:tabs>
          <w:tab w:val="num" w:pos="3600"/>
        </w:tabs>
        <w:ind w:left="3600" w:hanging="360"/>
      </w:pPr>
      <w:rPr>
        <w:rFonts w:ascii="Arial" w:hAnsi="Arial" w:hint="default"/>
      </w:rPr>
    </w:lvl>
    <w:lvl w:ilvl="5" w:tplc="72D02F7C" w:tentative="1">
      <w:start w:val="1"/>
      <w:numFmt w:val="bullet"/>
      <w:lvlText w:val="–"/>
      <w:lvlJc w:val="left"/>
      <w:pPr>
        <w:tabs>
          <w:tab w:val="num" w:pos="4320"/>
        </w:tabs>
        <w:ind w:left="4320" w:hanging="360"/>
      </w:pPr>
      <w:rPr>
        <w:rFonts w:ascii="Arial" w:hAnsi="Arial" w:hint="default"/>
      </w:rPr>
    </w:lvl>
    <w:lvl w:ilvl="6" w:tplc="2E1899B4" w:tentative="1">
      <w:start w:val="1"/>
      <w:numFmt w:val="bullet"/>
      <w:lvlText w:val="–"/>
      <w:lvlJc w:val="left"/>
      <w:pPr>
        <w:tabs>
          <w:tab w:val="num" w:pos="5040"/>
        </w:tabs>
        <w:ind w:left="5040" w:hanging="360"/>
      </w:pPr>
      <w:rPr>
        <w:rFonts w:ascii="Arial" w:hAnsi="Arial" w:hint="default"/>
      </w:rPr>
    </w:lvl>
    <w:lvl w:ilvl="7" w:tplc="1D546B04" w:tentative="1">
      <w:start w:val="1"/>
      <w:numFmt w:val="bullet"/>
      <w:lvlText w:val="–"/>
      <w:lvlJc w:val="left"/>
      <w:pPr>
        <w:tabs>
          <w:tab w:val="num" w:pos="5760"/>
        </w:tabs>
        <w:ind w:left="5760" w:hanging="360"/>
      </w:pPr>
      <w:rPr>
        <w:rFonts w:ascii="Arial" w:hAnsi="Arial" w:hint="default"/>
      </w:rPr>
    </w:lvl>
    <w:lvl w:ilvl="8" w:tplc="E54C5A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C985FAD"/>
    <w:multiLevelType w:val="hybridMultilevel"/>
    <w:tmpl w:val="06A2F6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FD31F81"/>
    <w:multiLevelType w:val="hybridMultilevel"/>
    <w:tmpl w:val="D9FC24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BCF565C"/>
    <w:multiLevelType w:val="hybridMultilevel"/>
    <w:tmpl w:val="3FDC5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FF"/>
    <w:rsid w:val="00002D35"/>
    <w:rsid w:val="000032EA"/>
    <w:rsid w:val="000118CE"/>
    <w:rsid w:val="00020B0E"/>
    <w:rsid w:val="00022197"/>
    <w:rsid w:val="00035514"/>
    <w:rsid w:val="00041291"/>
    <w:rsid w:val="00044935"/>
    <w:rsid w:val="00046077"/>
    <w:rsid w:val="00047711"/>
    <w:rsid w:val="00047D75"/>
    <w:rsid w:val="00047F79"/>
    <w:rsid w:val="00054617"/>
    <w:rsid w:val="00062B6D"/>
    <w:rsid w:val="000638F7"/>
    <w:rsid w:val="0006481E"/>
    <w:rsid w:val="00065788"/>
    <w:rsid w:val="00065885"/>
    <w:rsid w:val="000672A1"/>
    <w:rsid w:val="000749E3"/>
    <w:rsid w:val="000759DD"/>
    <w:rsid w:val="00077F81"/>
    <w:rsid w:val="00080451"/>
    <w:rsid w:val="00090997"/>
    <w:rsid w:val="00095591"/>
    <w:rsid w:val="00095662"/>
    <w:rsid w:val="000A0178"/>
    <w:rsid w:val="000A7D36"/>
    <w:rsid w:val="000B294E"/>
    <w:rsid w:val="000C14AF"/>
    <w:rsid w:val="000C64FC"/>
    <w:rsid w:val="000C71C2"/>
    <w:rsid w:val="000D057A"/>
    <w:rsid w:val="000D15BB"/>
    <w:rsid w:val="000D39FF"/>
    <w:rsid w:val="000D6F39"/>
    <w:rsid w:val="000F0881"/>
    <w:rsid w:val="000F243E"/>
    <w:rsid w:val="000F3E1F"/>
    <w:rsid w:val="000F4EC1"/>
    <w:rsid w:val="001216C2"/>
    <w:rsid w:val="00126647"/>
    <w:rsid w:val="00134E46"/>
    <w:rsid w:val="00144C86"/>
    <w:rsid w:val="001523B0"/>
    <w:rsid w:val="00180E2B"/>
    <w:rsid w:val="00181FA8"/>
    <w:rsid w:val="001903BB"/>
    <w:rsid w:val="001942EE"/>
    <w:rsid w:val="00196D9D"/>
    <w:rsid w:val="001A04F8"/>
    <w:rsid w:val="001A449D"/>
    <w:rsid w:val="001B47AD"/>
    <w:rsid w:val="001B6084"/>
    <w:rsid w:val="001B71FB"/>
    <w:rsid w:val="001C3EE8"/>
    <w:rsid w:val="001D43EE"/>
    <w:rsid w:val="001D633F"/>
    <w:rsid w:val="001E4F0E"/>
    <w:rsid w:val="001F3700"/>
    <w:rsid w:val="00205DA0"/>
    <w:rsid w:val="00220C48"/>
    <w:rsid w:val="00224814"/>
    <w:rsid w:val="00237094"/>
    <w:rsid w:val="0024693A"/>
    <w:rsid w:val="00251027"/>
    <w:rsid w:val="00251BF4"/>
    <w:rsid w:val="0025542E"/>
    <w:rsid w:val="00265C30"/>
    <w:rsid w:val="00270801"/>
    <w:rsid w:val="002728C8"/>
    <w:rsid w:val="0027315B"/>
    <w:rsid w:val="002750E2"/>
    <w:rsid w:val="00280BE8"/>
    <w:rsid w:val="0029007C"/>
    <w:rsid w:val="0029151E"/>
    <w:rsid w:val="002A1CA3"/>
    <w:rsid w:val="002A2EF5"/>
    <w:rsid w:val="002A3BE4"/>
    <w:rsid w:val="002B225D"/>
    <w:rsid w:val="002B4F47"/>
    <w:rsid w:val="002B590F"/>
    <w:rsid w:val="002C0A1B"/>
    <w:rsid w:val="002D15B1"/>
    <w:rsid w:val="002D3B43"/>
    <w:rsid w:val="002E108A"/>
    <w:rsid w:val="002E28C4"/>
    <w:rsid w:val="002F266F"/>
    <w:rsid w:val="00305B1E"/>
    <w:rsid w:val="00326939"/>
    <w:rsid w:val="00343105"/>
    <w:rsid w:val="0034317C"/>
    <w:rsid w:val="003439FB"/>
    <w:rsid w:val="00344208"/>
    <w:rsid w:val="00352CD4"/>
    <w:rsid w:val="00356D65"/>
    <w:rsid w:val="00364E3F"/>
    <w:rsid w:val="003766AD"/>
    <w:rsid w:val="00385420"/>
    <w:rsid w:val="00387665"/>
    <w:rsid w:val="00387FCF"/>
    <w:rsid w:val="00397F85"/>
    <w:rsid w:val="003A263C"/>
    <w:rsid w:val="003A7C8A"/>
    <w:rsid w:val="003B016E"/>
    <w:rsid w:val="003B0ED4"/>
    <w:rsid w:val="003B63CF"/>
    <w:rsid w:val="003B66B6"/>
    <w:rsid w:val="003B6C14"/>
    <w:rsid w:val="003B7043"/>
    <w:rsid w:val="003C3CD8"/>
    <w:rsid w:val="003D6C1C"/>
    <w:rsid w:val="003E3CC3"/>
    <w:rsid w:val="003E4044"/>
    <w:rsid w:val="003E5E48"/>
    <w:rsid w:val="003F4160"/>
    <w:rsid w:val="003F687D"/>
    <w:rsid w:val="004012F7"/>
    <w:rsid w:val="0040270D"/>
    <w:rsid w:val="004047B6"/>
    <w:rsid w:val="00414606"/>
    <w:rsid w:val="00420091"/>
    <w:rsid w:val="0042062A"/>
    <w:rsid w:val="00424732"/>
    <w:rsid w:val="00424B87"/>
    <w:rsid w:val="00444150"/>
    <w:rsid w:val="00451C57"/>
    <w:rsid w:val="00453751"/>
    <w:rsid w:val="004625BE"/>
    <w:rsid w:val="004736BF"/>
    <w:rsid w:val="0048519A"/>
    <w:rsid w:val="00486CF6"/>
    <w:rsid w:val="00487342"/>
    <w:rsid w:val="004917EA"/>
    <w:rsid w:val="004A1658"/>
    <w:rsid w:val="004A2984"/>
    <w:rsid w:val="004A3527"/>
    <w:rsid w:val="004A4A2B"/>
    <w:rsid w:val="004C425E"/>
    <w:rsid w:val="004C728D"/>
    <w:rsid w:val="004D04A8"/>
    <w:rsid w:val="004D47B4"/>
    <w:rsid w:val="004E1448"/>
    <w:rsid w:val="004E2F4E"/>
    <w:rsid w:val="0050187B"/>
    <w:rsid w:val="00504091"/>
    <w:rsid w:val="00507C6F"/>
    <w:rsid w:val="005139FF"/>
    <w:rsid w:val="005150A0"/>
    <w:rsid w:val="00523DCA"/>
    <w:rsid w:val="0053063E"/>
    <w:rsid w:val="00536B3E"/>
    <w:rsid w:val="005420AB"/>
    <w:rsid w:val="0054402E"/>
    <w:rsid w:val="00552DF3"/>
    <w:rsid w:val="00570388"/>
    <w:rsid w:val="00580993"/>
    <w:rsid w:val="00581633"/>
    <w:rsid w:val="0058200B"/>
    <w:rsid w:val="00586087"/>
    <w:rsid w:val="00591D4B"/>
    <w:rsid w:val="005A11DD"/>
    <w:rsid w:val="005A485D"/>
    <w:rsid w:val="005A7ECC"/>
    <w:rsid w:val="005B139D"/>
    <w:rsid w:val="005B6E4D"/>
    <w:rsid w:val="005C305A"/>
    <w:rsid w:val="005C51BF"/>
    <w:rsid w:val="005C591A"/>
    <w:rsid w:val="005C673C"/>
    <w:rsid w:val="005D12BC"/>
    <w:rsid w:val="005D4D41"/>
    <w:rsid w:val="005E0E22"/>
    <w:rsid w:val="005F3962"/>
    <w:rsid w:val="005F6145"/>
    <w:rsid w:val="00601222"/>
    <w:rsid w:val="00602269"/>
    <w:rsid w:val="0060232E"/>
    <w:rsid w:val="00605B5E"/>
    <w:rsid w:val="006071B5"/>
    <w:rsid w:val="00611B77"/>
    <w:rsid w:val="00621BB6"/>
    <w:rsid w:val="0062582E"/>
    <w:rsid w:val="006301C4"/>
    <w:rsid w:val="00653A35"/>
    <w:rsid w:val="00656DDA"/>
    <w:rsid w:val="00667B2D"/>
    <w:rsid w:val="00670753"/>
    <w:rsid w:val="00671070"/>
    <w:rsid w:val="00673847"/>
    <w:rsid w:val="00674786"/>
    <w:rsid w:val="00693578"/>
    <w:rsid w:val="006B3A75"/>
    <w:rsid w:val="006B414A"/>
    <w:rsid w:val="006B681F"/>
    <w:rsid w:val="006D3674"/>
    <w:rsid w:val="006D5A12"/>
    <w:rsid w:val="006D6DD8"/>
    <w:rsid w:val="006E10E3"/>
    <w:rsid w:val="00702191"/>
    <w:rsid w:val="00704D63"/>
    <w:rsid w:val="00705DB5"/>
    <w:rsid w:val="00710AA5"/>
    <w:rsid w:val="0071159F"/>
    <w:rsid w:val="00715E28"/>
    <w:rsid w:val="00716055"/>
    <w:rsid w:val="00724A44"/>
    <w:rsid w:val="00736A31"/>
    <w:rsid w:val="00741C0C"/>
    <w:rsid w:val="0074365D"/>
    <w:rsid w:val="00745F8A"/>
    <w:rsid w:val="007552FF"/>
    <w:rsid w:val="00760539"/>
    <w:rsid w:val="00765680"/>
    <w:rsid w:val="00765EB5"/>
    <w:rsid w:val="007668F5"/>
    <w:rsid w:val="00766ADE"/>
    <w:rsid w:val="00770EFE"/>
    <w:rsid w:val="007827C5"/>
    <w:rsid w:val="007921F0"/>
    <w:rsid w:val="007A550F"/>
    <w:rsid w:val="007A6F3C"/>
    <w:rsid w:val="007B0CFC"/>
    <w:rsid w:val="007B1F74"/>
    <w:rsid w:val="007B4805"/>
    <w:rsid w:val="007C11D9"/>
    <w:rsid w:val="007D7D2B"/>
    <w:rsid w:val="007E5E01"/>
    <w:rsid w:val="007E67DE"/>
    <w:rsid w:val="007F0AD5"/>
    <w:rsid w:val="007F5A51"/>
    <w:rsid w:val="0080038F"/>
    <w:rsid w:val="008013AE"/>
    <w:rsid w:val="008065B9"/>
    <w:rsid w:val="00816B02"/>
    <w:rsid w:val="00820AD1"/>
    <w:rsid w:val="00826D6F"/>
    <w:rsid w:val="008400B2"/>
    <w:rsid w:val="00842ED5"/>
    <w:rsid w:val="00844959"/>
    <w:rsid w:val="00851D90"/>
    <w:rsid w:val="00857613"/>
    <w:rsid w:val="00857EF0"/>
    <w:rsid w:val="00864F63"/>
    <w:rsid w:val="00880F0F"/>
    <w:rsid w:val="0088109F"/>
    <w:rsid w:val="00881EEC"/>
    <w:rsid w:val="0089252A"/>
    <w:rsid w:val="008A4C63"/>
    <w:rsid w:val="008A7976"/>
    <w:rsid w:val="008E14A6"/>
    <w:rsid w:val="008E260D"/>
    <w:rsid w:val="008E54CE"/>
    <w:rsid w:val="008E635A"/>
    <w:rsid w:val="008F5C81"/>
    <w:rsid w:val="0090198C"/>
    <w:rsid w:val="009062D5"/>
    <w:rsid w:val="0090722E"/>
    <w:rsid w:val="00913FEE"/>
    <w:rsid w:val="00924596"/>
    <w:rsid w:val="00937A46"/>
    <w:rsid w:val="0094156B"/>
    <w:rsid w:val="00954348"/>
    <w:rsid w:val="00961BAF"/>
    <w:rsid w:val="0097540D"/>
    <w:rsid w:val="00977F7C"/>
    <w:rsid w:val="00987F18"/>
    <w:rsid w:val="00991450"/>
    <w:rsid w:val="009920A3"/>
    <w:rsid w:val="009A3048"/>
    <w:rsid w:val="009B2C59"/>
    <w:rsid w:val="009B72FB"/>
    <w:rsid w:val="009C11D4"/>
    <w:rsid w:val="009C1A6F"/>
    <w:rsid w:val="009C3844"/>
    <w:rsid w:val="009C5E87"/>
    <w:rsid w:val="009C7A98"/>
    <w:rsid w:val="009D0186"/>
    <w:rsid w:val="009D5345"/>
    <w:rsid w:val="009E011C"/>
    <w:rsid w:val="009E3975"/>
    <w:rsid w:val="009E4FF5"/>
    <w:rsid w:val="009F1022"/>
    <w:rsid w:val="009F10F6"/>
    <w:rsid w:val="009F139E"/>
    <w:rsid w:val="009F25F4"/>
    <w:rsid w:val="009F48A2"/>
    <w:rsid w:val="00A02DEC"/>
    <w:rsid w:val="00A10D1A"/>
    <w:rsid w:val="00A2031F"/>
    <w:rsid w:val="00A21223"/>
    <w:rsid w:val="00A21CE8"/>
    <w:rsid w:val="00A27ABD"/>
    <w:rsid w:val="00A3273D"/>
    <w:rsid w:val="00A3395A"/>
    <w:rsid w:val="00A42CCE"/>
    <w:rsid w:val="00A56F5C"/>
    <w:rsid w:val="00A57724"/>
    <w:rsid w:val="00A6040F"/>
    <w:rsid w:val="00A6535F"/>
    <w:rsid w:val="00A670C6"/>
    <w:rsid w:val="00A713D3"/>
    <w:rsid w:val="00A7214D"/>
    <w:rsid w:val="00A774CC"/>
    <w:rsid w:val="00A90C5F"/>
    <w:rsid w:val="00A911DE"/>
    <w:rsid w:val="00AA00A3"/>
    <w:rsid w:val="00AA5796"/>
    <w:rsid w:val="00AB369F"/>
    <w:rsid w:val="00AB76AF"/>
    <w:rsid w:val="00AC4F5E"/>
    <w:rsid w:val="00AD2C84"/>
    <w:rsid w:val="00AE1840"/>
    <w:rsid w:val="00AE6A36"/>
    <w:rsid w:val="00B03D99"/>
    <w:rsid w:val="00B04AE5"/>
    <w:rsid w:val="00B05BE3"/>
    <w:rsid w:val="00B06A0A"/>
    <w:rsid w:val="00B12870"/>
    <w:rsid w:val="00B23984"/>
    <w:rsid w:val="00B2640E"/>
    <w:rsid w:val="00B27693"/>
    <w:rsid w:val="00B35443"/>
    <w:rsid w:val="00B442AF"/>
    <w:rsid w:val="00B610CD"/>
    <w:rsid w:val="00B737E4"/>
    <w:rsid w:val="00B748AC"/>
    <w:rsid w:val="00B9190C"/>
    <w:rsid w:val="00B943B4"/>
    <w:rsid w:val="00B96326"/>
    <w:rsid w:val="00BA0682"/>
    <w:rsid w:val="00BA5E54"/>
    <w:rsid w:val="00BA6FA1"/>
    <w:rsid w:val="00BB31BF"/>
    <w:rsid w:val="00BC01BD"/>
    <w:rsid w:val="00BC1345"/>
    <w:rsid w:val="00BC28D7"/>
    <w:rsid w:val="00BC4267"/>
    <w:rsid w:val="00BC7734"/>
    <w:rsid w:val="00BC7942"/>
    <w:rsid w:val="00BD3DCA"/>
    <w:rsid w:val="00BE48B7"/>
    <w:rsid w:val="00BF0AB9"/>
    <w:rsid w:val="00BF21B0"/>
    <w:rsid w:val="00C032BD"/>
    <w:rsid w:val="00C03D74"/>
    <w:rsid w:val="00C075FB"/>
    <w:rsid w:val="00C15D8E"/>
    <w:rsid w:val="00C16196"/>
    <w:rsid w:val="00C236DD"/>
    <w:rsid w:val="00C265F4"/>
    <w:rsid w:val="00C300AD"/>
    <w:rsid w:val="00C34117"/>
    <w:rsid w:val="00C3564D"/>
    <w:rsid w:val="00C432BC"/>
    <w:rsid w:val="00C44419"/>
    <w:rsid w:val="00C572E8"/>
    <w:rsid w:val="00C65553"/>
    <w:rsid w:val="00C66E91"/>
    <w:rsid w:val="00C67C95"/>
    <w:rsid w:val="00C805B3"/>
    <w:rsid w:val="00C82053"/>
    <w:rsid w:val="00C85F43"/>
    <w:rsid w:val="00C87C86"/>
    <w:rsid w:val="00C90751"/>
    <w:rsid w:val="00C9139F"/>
    <w:rsid w:val="00C96122"/>
    <w:rsid w:val="00CA4C6B"/>
    <w:rsid w:val="00CC2ADD"/>
    <w:rsid w:val="00CC5F58"/>
    <w:rsid w:val="00CD15DA"/>
    <w:rsid w:val="00CD7EF2"/>
    <w:rsid w:val="00CE3A51"/>
    <w:rsid w:val="00CF4C6E"/>
    <w:rsid w:val="00D039BC"/>
    <w:rsid w:val="00D05734"/>
    <w:rsid w:val="00D3121B"/>
    <w:rsid w:val="00D34243"/>
    <w:rsid w:val="00D419A3"/>
    <w:rsid w:val="00D468CE"/>
    <w:rsid w:val="00D503DF"/>
    <w:rsid w:val="00D50AE6"/>
    <w:rsid w:val="00D521E7"/>
    <w:rsid w:val="00D56A28"/>
    <w:rsid w:val="00D606F4"/>
    <w:rsid w:val="00D641A5"/>
    <w:rsid w:val="00D80381"/>
    <w:rsid w:val="00D94A6D"/>
    <w:rsid w:val="00DA1D40"/>
    <w:rsid w:val="00DA59BE"/>
    <w:rsid w:val="00DB17CE"/>
    <w:rsid w:val="00DB350A"/>
    <w:rsid w:val="00DB4BF2"/>
    <w:rsid w:val="00DB4DBC"/>
    <w:rsid w:val="00DB540F"/>
    <w:rsid w:val="00DC29E5"/>
    <w:rsid w:val="00DC6AE5"/>
    <w:rsid w:val="00DE1E8B"/>
    <w:rsid w:val="00DF3585"/>
    <w:rsid w:val="00DF6475"/>
    <w:rsid w:val="00DF6758"/>
    <w:rsid w:val="00E0647A"/>
    <w:rsid w:val="00E06E17"/>
    <w:rsid w:val="00E11313"/>
    <w:rsid w:val="00E21035"/>
    <w:rsid w:val="00E210A7"/>
    <w:rsid w:val="00E24691"/>
    <w:rsid w:val="00E27006"/>
    <w:rsid w:val="00E32D6D"/>
    <w:rsid w:val="00E347CE"/>
    <w:rsid w:val="00E67C52"/>
    <w:rsid w:val="00E734E8"/>
    <w:rsid w:val="00E76122"/>
    <w:rsid w:val="00E81BF1"/>
    <w:rsid w:val="00E956A9"/>
    <w:rsid w:val="00EA5EB1"/>
    <w:rsid w:val="00EB21BE"/>
    <w:rsid w:val="00EB5C99"/>
    <w:rsid w:val="00EC2357"/>
    <w:rsid w:val="00EC391A"/>
    <w:rsid w:val="00ED335C"/>
    <w:rsid w:val="00ED77DF"/>
    <w:rsid w:val="00EE3CEC"/>
    <w:rsid w:val="00EE68CA"/>
    <w:rsid w:val="00EE7858"/>
    <w:rsid w:val="00EF070D"/>
    <w:rsid w:val="00EF5469"/>
    <w:rsid w:val="00F05E8E"/>
    <w:rsid w:val="00F0652F"/>
    <w:rsid w:val="00F1212C"/>
    <w:rsid w:val="00F14307"/>
    <w:rsid w:val="00F14BA1"/>
    <w:rsid w:val="00F2119E"/>
    <w:rsid w:val="00F23B9D"/>
    <w:rsid w:val="00F23E33"/>
    <w:rsid w:val="00F403EE"/>
    <w:rsid w:val="00F405E3"/>
    <w:rsid w:val="00F47058"/>
    <w:rsid w:val="00F5138E"/>
    <w:rsid w:val="00F5283D"/>
    <w:rsid w:val="00F6064D"/>
    <w:rsid w:val="00F65C5D"/>
    <w:rsid w:val="00F71FC6"/>
    <w:rsid w:val="00F72FDC"/>
    <w:rsid w:val="00F808E9"/>
    <w:rsid w:val="00F87002"/>
    <w:rsid w:val="00F9312E"/>
    <w:rsid w:val="00F94AD6"/>
    <w:rsid w:val="00FA3BDF"/>
    <w:rsid w:val="00FA7DD1"/>
    <w:rsid w:val="00FB4AA9"/>
    <w:rsid w:val="00FB5F62"/>
    <w:rsid w:val="00FB7F49"/>
    <w:rsid w:val="00FE3DC5"/>
    <w:rsid w:val="00FE4DF5"/>
    <w:rsid w:val="00FE5041"/>
    <w:rsid w:val="00FE5A6C"/>
    <w:rsid w:val="00FE5C0B"/>
    <w:rsid w:val="00FF0585"/>
    <w:rsid w:val="00FF43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7376F9"/>
  <w15:docId w15:val="{1A12D273-5BE7-4C76-9255-B28A1413D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F4E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52FF"/>
    <w:rPr>
      <w:sz w:val="16"/>
      <w:szCs w:val="16"/>
    </w:rPr>
  </w:style>
  <w:style w:type="paragraph" w:styleId="CommentText">
    <w:name w:val="annotation text"/>
    <w:basedOn w:val="Normal"/>
    <w:link w:val="CommentTextChar"/>
    <w:uiPriority w:val="99"/>
    <w:semiHidden/>
    <w:unhideWhenUsed/>
    <w:rsid w:val="007552FF"/>
    <w:pPr>
      <w:spacing w:line="240" w:lineRule="auto"/>
    </w:pPr>
    <w:rPr>
      <w:sz w:val="20"/>
      <w:szCs w:val="20"/>
    </w:rPr>
  </w:style>
  <w:style w:type="character" w:customStyle="1" w:styleId="CommentTextChar">
    <w:name w:val="Comment Text Char"/>
    <w:basedOn w:val="DefaultParagraphFont"/>
    <w:link w:val="CommentText"/>
    <w:uiPriority w:val="99"/>
    <w:semiHidden/>
    <w:rsid w:val="007552FF"/>
    <w:rPr>
      <w:sz w:val="20"/>
      <w:szCs w:val="20"/>
    </w:rPr>
  </w:style>
  <w:style w:type="paragraph" w:styleId="BalloonText">
    <w:name w:val="Balloon Text"/>
    <w:basedOn w:val="Normal"/>
    <w:link w:val="BalloonTextChar"/>
    <w:uiPriority w:val="99"/>
    <w:semiHidden/>
    <w:unhideWhenUsed/>
    <w:rsid w:val="007552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2FF"/>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64E3F"/>
    <w:rPr>
      <w:b/>
      <w:bCs/>
    </w:rPr>
  </w:style>
  <w:style w:type="character" w:customStyle="1" w:styleId="CommentSubjectChar">
    <w:name w:val="Comment Subject Char"/>
    <w:basedOn w:val="CommentTextChar"/>
    <w:link w:val="CommentSubject"/>
    <w:uiPriority w:val="99"/>
    <w:semiHidden/>
    <w:rsid w:val="00364E3F"/>
    <w:rPr>
      <w:b/>
      <w:bCs/>
      <w:sz w:val="20"/>
      <w:szCs w:val="20"/>
    </w:rPr>
  </w:style>
  <w:style w:type="paragraph" w:styleId="ListParagraph">
    <w:name w:val="List Paragraph"/>
    <w:basedOn w:val="Normal"/>
    <w:uiPriority w:val="34"/>
    <w:qFormat/>
    <w:rsid w:val="000D39FF"/>
    <w:pPr>
      <w:ind w:left="720"/>
      <w:contextualSpacing/>
    </w:pPr>
  </w:style>
  <w:style w:type="table" w:styleId="TableGrid">
    <w:name w:val="Table Grid"/>
    <w:basedOn w:val="TableNormal"/>
    <w:uiPriority w:val="39"/>
    <w:rsid w:val="00DF64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D633F"/>
    <w:pPr>
      <w:spacing w:after="0" w:line="240" w:lineRule="auto"/>
    </w:pPr>
  </w:style>
  <w:style w:type="character" w:customStyle="1" w:styleId="im">
    <w:name w:val="im"/>
    <w:basedOn w:val="DefaultParagraphFont"/>
    <w:rsid w:val="00602269"/>
  </w:style>
  <w:style w:type="paragraph" w:styleId="NormalWeb">
    <w:name w:val="Normal (Web)"/>
    <w:basedOn w:val="Normal"/>
    <w:uiPriority w:val="99"/>
    <w:semiHidden/>
    <w:unhideWhenUsed/>
    <w:rsid w:val="006D3674"/>
    <w:rPr>
      <w:rFonts w:ascii="Times New Roman" w:hAnsi="Times New Roman" w:cs="Times New Roman"/>
      <w:sz w:val="24"/>
      <w:szCs w:val="24"/>
    </w:rPr>
  </w:style>
  <w:style w:type="table" w:customStyle="1" w:styleId="PlainTable31">
    <w:name w:val="Plain Table 31"/>
    <w:basedOn w:val="TableNormal"/>
    <w:uiPriority w:val="43"/>
    <w:rsid w:val="0008045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0F3E1F"/>
    <w:rPr>
      <w:color w:val="0563C1" w:themeColor="hyperlink"/>
      <w:u w:val="single"/>
    </w:rPr>
  </w:style>
  <w:style w:type="table" w:styleId="PlainTable3">
    <w:name w:val="Plain Table 3"/>
    <w:basedOn w:val="TableNormal"/>
    <w:uiPriority w:val="99"/>
    <w:rsid w:val="0004129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213874">
      <w:bodyDiv w:val="1"/>
      <w:marLeft w:val="0"/>
      <w:marRight w:val="0"/>
      <w:marTop w:val="0"/>
      <w:marBottom w:val="0"/>
      <w:divBdr>
        <w:top w:val="none" w:sz="0" w:space="0" w:color="auto"/>
        <w:left w:val="none" w:sz="0" w:space="0" w:color="auto"/>
        <w:bottom w:val="none" w:sz="0" w:space="0" w:color="auto"/>
        <w:right w:val="none" w:sz="0" w:space="0" w:color="auto"/>
      </w:divBdr>
    </w:div>
    <w:div w:id="133957412">
      <w:bodyDiv w:val="1"/>
      <w:marLeft w:val="0"/>
      <w:marRight w:val="0"/>
      <w:marTop w:val="0"/>
      <w:marBottom w:val="0"/>
      <w:divBdr>
        <w:top w:val="none" w:sz="0" w:space="0" w:color="auto"/>
        <w:left w:val="none" w:sz="0" w:space="0" w:color="auto"/>
        <w:bottom w:val="none" w:sz="0" w:space="0" w:color="auto"/>
        <w:right w:val="none" w:sz="0" w:space="0" w:color="auto"/>
      </w:divBdr>
    </w:div>
    <w:div w:id="998771471">
      <w:bodyDiv w:val="1"/>
      <w:marLeft w:val="0"/>
      <w:marRight w:val="0"/>
      <w:marTop w:val="0"/>
      <w:marBottom w:val="0"/>
      <w:divBdr>
        <w:top w:val="none" w:sz="0" w:space="0" w:color="auto"/>
        <w:left w:val="none" w:sz="0" w:space="0" w:color="auto"/>
        <w:bottom w:val="none" w:sz="0" w:space="0" w:color="auto"/>
        <w:right w:val="none" w:sz="0" w:space="0" w:color="auto"/>
      </w:divBdr>
    </w:div>
    <w:div w:id="1009674210">
      <w:bodyDiv w:val="1"/>
      <w:marLeft w:val="0"/>
      <w:marRight w:val="0"/>
      <w:marTop w:val="0"/>
      <w:marBottom w:val="0"/>
      <w:divBdr>
        <w:top w:val="none" w:sz="0" w:space="0" w:color="auto"/>
        <w:left w:val="none" w:sz="0" w:space="0" w:color="auto"/>
        <w:bottom w:val="none" w:sz="0" w:space="0" w:color="auto"/>
        <w:right w:val="none" w:sz="0" w:space="0" w:color="auto"/>
      </w:divBdr>
    </w:div>
    <w:div w:id="1068267711">
      <w:bodyDiv w:val="1"/>
      <w:marLeft w:val="0"/>
      <w:marRight w:val="0"/>
      <w:marTop w:val="0"/>
      <w:marBottom w:val="0"/>
      <w:divBdr>
        <w:top w:val="none" w:sz="0" w:space="0" w:color="auto"/>
        <w:left w:val="none" w:sz="0" w:space="0" w:color="auto"/>
        <w:bottom w:val="none" w:sz="0" w:space="0" w:color="auto"/>
        <w:right w:val="none" w:sz="0" w:space="0" w:color="auto"/>
      </w:divBdr>
    </w:div>
    <w:div w:id="1185439496">
      <w:bodyDiv w:val="1"/>
      <w:marLeft w:val="0"/>
      <w:marRight w:val="0"/>
      <w:marTop w:val="0"/>
      <w:marBottom w:val="0"/>
      <w:divBdr>
        <w:top w:val="none" w:sz="0" w:space="0" w:color="auto"/>
        <w:left w:val="none" w:sz="0" w:space="0" w:color="auto"/>
        <w:bottom w:val="none" w:sz="0" w:space="0" w:color="auto"/>
        <w:right w:val="none" w:sz="0" w:space="0" w:color="auto"/>
      </w:divBdr>
    </w:div>
    <w:div w:id="1185709080">
      <w:bodyDiv w:val="1"/>
      <w:marLeft w:val="0"/>
      <w:marRight w:val="0"/>
      <w:marTop w:val="0"/>
      <w:marBottom w:val="0"/>
      <w:divBdr>
        <w:top w:val="none" w:sz="0" w:space="0" w:color="auto"/>
        <w:left w:val="none" w:sz="0" w:space="0" w:color="auto"/>
        <w:bottom w:val="none" w:sz="0" w:space="0" w:color="auto"/>
        <w:right w:val="none" w:sz="0" w:space="0" w:color="auto"/>
      </w:divBdr>
      <w:divsChild>
        <w:div w:id="1986736641">
          <w:marLeft w:val="0"/>
          <w:marRight w:val="0"/>
          <w:marTop w:val="0"/>
          <w:marBottom w:val="0"/>
          <w:divBdr>
            <w:top w:val="none" w:sz="0" w:space="0" w:color="auto"/>
            <w:left w:val="none" w:sz="0" w:space="0" w:color="auto"/>
            <w:bottom w:val="none" w:sz="0" w:space="0" w:color="auto"/>
            <w:right w:val="none" w:sz="0" w:space="0" w:color="auto"/>
          </w:divBdr>
        </w:div>
        <w:div w:id="1888298255">
          <w:marLeft w:val="0"/>
          <w:marRight w:val="0"/>
          <w:marTop w:val="0"/>
          <w:marBottom w:val="0"/>
          <w:divBdr>
            <w:top w:val="none" w:sz="0" w:space="0" w:color="auto"/>
            <w:left w:val="none" w:sz="0" w:space="0" w:color="auto"/>
            <w:bottom w:val="none" w:sz="0" w:space="0" w:color="auto"/>
            <w:right w:val="none" w:sz="0" w:space="0" w:color="auto"/>
          </w:divBdr>
        </w:div>
      </w:divsChild>
    </w:div>
    <w:div w:id="1217819031">
      <w:bodyDiv w:val="1"/>
      <w:marLeft w:val="0"/>
      <w:marRight w:val="0"/>
      <w:marTop w:val="0"/>
      <w:marBottom w:val="0"/>
      <w:divBdr>
        <w:top w:val="none" w:sz="0" w:space="0" w:color="auto"/>
        <w:left w:val="none" w:sz="0" w:space="0" w:color="auto"/>
        <w:bottom w:val="none" w:sz="0" w:space="0" w:color="auto"/>
        <w:right w:val="none" w:sz="0" w:space="0" w:color="auto"/>
      </w:divBdr>
    </w:div>
    <w:div w:id="1271740507">
      <w:bodyDiv w:val="1"/>
      <w:marLeft w:val="0"/>
      <w:marRight w:val="0"/>
      <w:marTop w:val="0"/>
      <w:marBottom w:val="0"/>
      <w:divBdr>
        <w:top w:val="none" w:sz="0" w:space="0" w:color="auto"/>
        <w:left w:val="none" w:sz="0" w:space="0" w:color="auto"/>
        <w:bottom w:val="none" w:sz="0" w:space="0" w:color="auto"/>
        <w:right w:val="none" w:sz="0" w:space="0" w:color="auto"/>
      </w:divBdr>
      <w:divsChild>
        <w:div w:id="1215968503">
          <w:marLeft w:val="0"/>
          <w:marRight w:val="0"/>
          <w:marTop w:val="280"/>
          <w:marBottom w:val="240"/>
          <w:divBdr>
            <w:top w:val="none" w:sz="0" w:space="0" w:color="auto"/>
            <w:left w:val="none" w:sz="0" w:space="0" w:color="auto"/>
            <w:bottom w:val="none" w:sz="0" w:space="0" w:color="auto"/>
            <w:right w:val="none" w:sz="0" w:space="0" w:color="auto"/>
          </w:divBdr>
        </w:div>
        <w:div w:id="271402412">
          <w:marLeft w:val="0"/>
          <w:marRight w:val="0"/>
          <w:marTop w:val="280"/>
          <w:marBottom w:val="240"/>
          <w:divBdr>
            <w:top w:val="none" w:sz="0" w:space="0" w:color="auto"/>
            <w:left w:val="none" w:sz="0" w:space="0" w:color="auto"/>
            <w:bottom w:val="none" w:sz="0" w:space="0" w:color="auto"/>
            <w:right w:val="none" w:sz="0" w:space="0" w:color="auto"/>
          </w:divBdr>
        </w:div>
        <w:div w:id="2019888674">
          <w:marLeft w:val="0"/>
          <w:marRight w:val="0"/>
          <w:marTop w:val="280"/>
          <w:marBottom w:val="240"/>
          <w:divBdr>
            <w:top w:val="none" w:sz="0" w:space="0" w:color="auto"/>
            <w:left w:val="none" w:sz="0" w:space="0" w:color="auto"/>
            <w:bottom w:val="none" w:sz="0" w:space="0" w:color="auto"/>
            <w:right w:val="none" w:sz="0" w:space="0" w:color="auto"/>
          </w:divBdr>
        </w:div>
        <w:div w:id="1284799711">
          <w:marLeft w:val="0"/>
          <w:marRight w:val="0"/>
          <w:marTop w:val="280"/>
          <w:marBottom w:val="240"/>
          <w:divBdr>
            <w:top w:val="none" w:sz="0" w:space="0" w:color="auto"/>
            <w:left w:val="none" w:sz="0" w:space="0" w:color="auto"/>
            <w:bottom w:val="none" w:sz="0" w:space="0" w:color="auto"/>
            <w:right w:val="none" w:sz="0" w:space="0" w:color="auto"/>
          </w:divBdr>
        </w:div>
        <w:div w:id="815531514">
          <w:marLeft w:val="0"/>
          <w:marRight w:val="0"/>
          <w:marTop w:val="280"/>
          <w:marBottom w:val="240"/>
          <w:divBdr>
            <w:top w:val="none" w:sz="0" w:space="0" w:color="auto"/>
            <w:left w:val="none" w:sz="0" w:space="0" w:color="auto"/>
            <w:bottom w:val="none" w:sz="0" w:space="0" w:color="auto"/>
            <w:right w:val="none" w:sz="0" w:space="0" w:color="auto"/>
          </w:divBdr>
        </w:div>
      </w:divsChild>
    </w:div>
    <w:div w:id="1385786980">
      <w:bodyDiv w:val="1"/>
      <w:marLeft w:val="0"/>
      <w:marRight w:val="0"/>
      <w:marTop w:val="0"/>
      <w:marBottom w:val="0"/>
      <w:divBdr>
        <w:top w:val="none" w:sz="0" w:space="0" w:color="auto"/>
        <w:left w:val="none" w:sz="0" w:space="0" w:color="auto"/>
        <w:bottom w:val="none" w:sz="0" w:space="0" w:color="auto"/>
        <w:right w:val="none" w:sz="0" w:space="0" w:color="auto"/>
      </w:divBdr>
    </w:div>
    <w:div w:id="1632203057">
      <w:bodyDiv w:val="1"/>
      <w:marLeft w:val="0"/>
      <w:marRight w:val="0"/>
      <w:marTop w:val="0"/>
      <w:marBottom w:val="0"/>
      <w:divBdr>
        <w:top w:val="none" w:sz="0" w:space="0" w:color="auto"/>
        <w:left w:val="none" w:sz="0" w:space="0" w:color="auto"/>
        <w:bottom w:val="none" w:sz="0" w:space="0" w:color="auto"/>
        <w:right w:val="none" w:sz="0" w:space="0" w:color="auto"/>
      </w:divBdr>
    </w:div>
    <w:div w:id="2046981503">
      <w:bodyDiv w:val="1"/>
      <w:marLeft w:val="0"/>
      <w:marRight w:val="0"/>
      <w:marTop w:val="0"/>
      <w:marBottom w:val="0"/>
      <w:divBdr>
        <w:top w:val="none" w:sz="0" w:space="0" w:color="auto"/>
        <w:left w:val="none" w:sz="0" w:space="0" w:color="auto"/>
        <w:bottom w:val="none" w:sz="0" w:space="0" w:color="auto"/>
        <w:right w:val="none" w:sz="0" w:space="0" w:color="auto"/>
      </w:divBdr>
      <w:divsChild>
        <w:div w:id="256788541">
          <w:marLeft w:val="1166"/>
          <w:marRight w:val="0"/>
          <w:marTop w:val="1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image" Target="media/image6.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ebecca.gowland@dur.ac.uk" TargetMode="External"/><Relationship Id="rId11" Type="http://schemas.openxmlformats.org/officeDocument/2006/relationships/image" Target="media/image5.emf"/><Relationship Id="rId5" Type="http://schemas.openxmlformats.org/officeDocument/2006/relationships/webSettings" Target="webSettings.xml"/><Relationship Id="rId10" Type="http://schemas.openxmlformats.org/officeDocument/2006/relationships/image" Target="media/image4.emf"/><Relationship Id="rId4" Type="http://schemas.openxmlformats.org/officeDocument/2006/relationships/settings" Target="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30867B-55FD-4DE1-A553-86E0E0585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43</Pages>
  <Words>10040</Words>
  <Characters>57230</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Durham University</Company>
  <LinksUpToDate>false</LinksUpToDate>
  <CharactersWithSpaces>67136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 Users</dc:creator>
  <cp:lastModifiedBy>All Users</cp:lastModifiedBy>
  <cp:revision>4</cp:revision>
  <cp:lastPrinted>2017-12-08T11:00:00Z</cp:lastPrinted>
  <dcterms:created xsi:type="dcterms:W3CDTF">2018-02-21T21:48:00Z</dcterms:created>
  <dcterms:modified xsi:type="dcterms:W3CDTF">2018-02-22T09:13:00Z</dcterms:modified>
</cp:coreProperties>
</file>