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C1F" w:rsidRDefault="00EE6F56">
      <w:pPr>
        <w:rPr>
          <w:b/>
        </w:rPr>
      </w:pPr>
      <w:r>
        <w:rPr>
          <w:b/>
        </w:rPr>
        <w:t xml:space="preserve">Stable </w:t>
      </w:r>
      <w:r w:rsidR="00C105C5">
        <w:rPr>
          <w:b/>
        </w:rPr>
        <w:t>isotopes and</w:t>
      </w:r>
      <w:r w:rsidR="00AC0547" w:rsidRPr="00A65A5E">
        <w:rPr>
          <w:b/>
        </w:rPr>
        <w:t xml:space="preserve"> </w:t>
      </w:r>
      <w:r w:rsidR="00F07A88">
        <w:rPr>
          <w:b/>
        </w:rPr>
        <w:t>dynamic</w:t>
      </w:r>
      <w:r w:rsidR="00B968BD">
        <w:rPr>
          <w:b/>
        </w:rPr>
        <w:t xml:space="preserve"> </w:t>
      </w:r>
      <w:r w:rsidR="00AC0547" w:rsidRPr="00A65A5E">
        <w:rPr>
          <w:b/>
        </w:rPr>
        <w:t>diets</w:t>
      </w:r>
      <w:r w:rsidR="005718F9">
        <w:rPr>
          <w:b/>
        </w:rPr>
        <w:t>: T</w:t>
      </w:r>
      <w:r w:rsidR="00B968BD">
        <w:rPr>
          <w:b/>
        </w:rPr>
        <w:t xml:space="preserve">he Mesolithic-Neolithic dietary </w:t>
      </w:r>
      <w:r w:rsidR="00AC0547" w:rsidRPr="00A65A5E">
        <w:rPr>
          <w:b/>
        </w:rPr>
        <w:t xml:space="preserve">transition in </w:t>
      </w:r>
      <w:r w:rsidR="00B968BD">
        <w:rPr>
          <w:b/>
        </w:rPr>
        <w:t>terrestrial Central Europe</w:t>
      </w:r>
    </w:p>
    <w:p w:rsidR="00B968BD" w:rsidRPr="00A65A5E" w:rsidRDefault="00B968BD">
      <w:pPr>
        <w:rPr>
          <w:b/>
        </w:rPr>
      </w:pPr>
    </w:p>
    <w:p w:rsidR="00AC0547" w:rsidRDefault="00AC0547">
      <w:r w:rsidRPr="00A65A5E">
        <w:t>Penny Bickle, University of York</w:t>
      </w:r>
    </w:p>
    <w:p w:rsidR="00FD080A" w:rsidRPr="00A65A5E" w:rsidRDefault="00FD080A">
      <w:r>
        <w:t>Department of Archaeology, University of York, The King’s Manor, Exhibition Square, York, YO1 7EP</w:t>
      </w:r>
    </w:p>
    <w:p w:rsidR="00D61D31" w:rsidRDefault="00D61D31">
      <w:pPr>
        <w:rPr>
          <w:i/>
        </w:rPr>
      </w:pPr>
    </w:p>
    <w:p w:rsidR="00C105C5" w:rsidRDefault="00DD004C">
      <w:r w:rsidRPr="00DD004C">
        <w:rPr>
          <w:b/>
        </w:rPr>
        <w:t>Abstract</w:t>
      </w:r>
      <w:r>
        <w:t>:</w:t>
      </w:r>
      <w:r w:rsidR="00C105C5">
        <w:t xml:space="preserve"> Carbon and nitrogen stable isotopes (δ</w:t>
      </w:r>
      <w:r w:rsidR="00C105C5" w:rsidRPr="00C456A8">
        <w:rPr>
          <w:vertAlign w:val="superscript"/>
        </w:rPr>
        <w:t>13</w:t>
      </w:r>
      <w:r w:rsidR="00C105C5">
        <w:t>C and δ</w:t>
      </w:r>
      <w:r w:rsidR="00C105C5" w:rsidRPr="00C456A8">
        <w:rPr>
          <w:vertAlign w:val="superscript"/>
        </w:rPr>
        <w:t>15</w:t>
      </w:r>
      <w:r w:rsidR="00C105C5">
        <w:t>N) have made a huge contribution to understanding dietary change across the Mesolithic-Neolithic transition.</w:t>
      </w:r>
      <w:r w:rsidR="00E00882">
        <w:t xml:space="preserve"> One of the major findings </w:t>
      </w:r>
      <w:r w:rsidR="001149A1">
        <w:t xml:space="preserve">is </w:t>
      </w:r>
      <w:r w:rsidR="00E00882">
        <w:t xml:space="preserve">that marine resources were abandoned with the onset of farming in some </w:t>
      </w:r>
      <w:r w:rsidR="00032123">
        <w:t xml:space="preserve">coastal </w:t>
      </w:r>
      <w:r w:rsidR="00E00882">
        <w:t xml:space="preserve">regions of Europe. This paper considers the isotopic evidence from </w:t>
      </w:r>
      <w:r w:rsidR="00032123">
        <w:t xml:space="preserve">terrestrial </w:t>
      </w:r>
      <w:r w:rsidR="00E00882">
        <w:t xml:space="preserve">central Europe, asking whether there was a similar large-scale </w:t>
      </w:r>
      <w:r w:rsidR="0034427D">
        <w:t>abandonment</w:t>
      </w:r>
      <w:r w:rsidR="00E00882">
        <w:t xml:space="preserve"> of freshwater resources in the early Neolithic. Using isotopic data from the published literature, </w:t>
      </w:r>
      <w:r w:rsidR="00C84E01">
        <w:t xml:space="preserve">stable isotope ratios </w:t>
      </w:r>
      <w:r w:rsidR="00E00882">
        <w:t xml:space="preserve">from 66 Mesolithic burials are compared to 274 Neolithic individuals, from France, </w:t>
      </w:r>
      <w:r w:rsidR="001149A1">
        <w:t xml:space="preserve">in-land </w:t>
      </w:r>
      <w:r w:rsidR="00E00882">
        <w:t>Belgium and Germany. The results are then modelled via FRUITS</w:t>
      </w:r>
      <w:r w:rsidR="00C105C5">
        <w:t xml:space="preserve"> </w:t>
      </w:r>
      <w:r w:rsidR="00E00882">
        <w:t>(Food Reconstruction Using Isotopic Transferred Signals). The results suggest that despite a drop in fish consumption in the Neolithic, aquatic resources continued to form a small but significant part of the diet (</w:t>
      </w:r>
      <w:r w:rsidR="00E00882" w:rsidRPr="00E00882">
        <w:rPr>
          <w:i/>
        </w:rPr>
        <w:t>est</w:t>
      </w:r>
      <w:r w:rsidR="00E00882">
        <w:t xml:space="preserve">. 6%). Changes in plant </w:t>
      </w:r>
      <w:r w:rsidR="00B73255">
        <w:t xml:space="preserve">protein </w:t>
      </w:r>
      <w:r w:rsidR="00E00882">
        <w:t xml:space="preserve">consumption are </w:t>
      </w:r>
      <w:r w:rsidR="0034427D">
        <w:t xml:space="preserve">argued </w:t>
      </w:r>
      <w:r w:rsidR="00E00882">
        <w:t xml:space="preserve">to account for </w:t>
      </w:r>
      <w:r w:rsidR="0084507E">
        <w:t>a greater proportion of the difference between the Mesolithic and Neolithic δ</w:t>
      </w:r>
      <w:r w:rsidR="0084507E" w:rsidRPr="00C456A8">
        <w:rPr>
          <w:vertAlign w:val="superscript"/>
        </w:rPr>
        <w:t>13</w:t>
      </w:r>
      <w:r w:rsidR="0084507E">
        <w:t>C and δ</w:t>
      </w:r>
      <w:r w:rsidR="0084507E" w:rsidRPr="00C456A8">
        <w:rPr>
          <w:vertAlign w:val="superscript"/>
        </w:rPr>
        <w:t>15</w:t>
      </w:r>
      <w:r w:rsidR="0084507E">
        <w:t xml:space="preserve">N isotope </w:t>
      </w:r>
      <w:r w:rsidR="00B73255">
        <w:t>ratios</w:t>
      </w:r>
      <w:r w:rsidR="0084507E">
        <w:t xml:space="preserve">. It is concluded that plants should see greater attention from interpretative approaches in the early Neolithic of central Europe to further our understanding of diet both as a social practice and subsistence activity. </w:t>
      </w:r>
      <w:r w:rsidR="00E00882">
        <w:t xml:space="preserve">      </w:t>
      </w:r>
      <w:r w:rsidR="00C105C5">
        <w:t xml:space="preserve"> </w:t>
      </w:r>
    </w:p>
    <w:p w:rsidR="00DD004C" w:rsidRDefault="00DD004C">
      <w:pPr>
        <w:rPr>
          <w:i/>
        </w:rPr>
      </w:pPr>
      <w:r>
        <w:t xml:space="preserve"> </w:t>
      </w:r>
    </w:p>
    <w:p w:rsidR="00FD080A" w:rsidRPr="00FD080A" w:rsidRDefault="00FD080A">
      <w:r w:rsidRPr="00DD004C">
        <w:rPr>
          <w:b/>
        </w:rPr>
        <w:t>Keyword</w:t>
      </w:r>
      <w:r w:rsidR="00DD004C" w:rsidRPr="00DD004C">
        <w:rPr>
          <w:b/>
        </w:rPr>
        <w:t>s</w:t>
      </w:r>
      <w:r>
        <w:t>: Mesolithic-Neolithic transition, dietary change, stable isotopes, FRUITS</w:t>
      </w:r>
    </w:p>
    <w:p w:rsidR="00FD080A" w:rsidRDefault="00FD080A">
      <w:pPr>
        <w:rPr>
          <w:b/>
        </w:rPr>
      </w:pPr>
    </w:p>
    <w:p w:rsidR="00DD004C" w:rsidRPr="00DD004C" w:rsidRDefault="00DD004C">
      <w:r>
        <w:rPr>
          <w:b/>
        </w:rPr>
        <w:t>Highlights</w:t>
      </w:r>
      <w:r>
        <w:t xml:space="preserve">: </w:t>
      </w:r>
    </w:p>
    <w:p w:rsidR="00DD004C" w:rsidRPr="00265BFB" w:rsidRDefault="00D026F5" w:rsidP="0084507E">
      <w:pPr>
        <w:pStyle w:val="ListParagraph"/>
        <w:numPr>
          <w:ilvl w:val="0"/>
          <w:numId w:val="4"/>
        </w:numPr>
        <w:rPr>
          <w:b/>
        </w:rPr>
      </w:pPr>
      <w:r>
        <w:t xml:space="preserve">Central European </w:t>
      </w:r>
      <w:r w:rsidR="0084507E">
        <w:t xml:space="preserve">Mesolithic and Neolithic </w:t>
      </w:r>
      <w:r>
        <w:t>stable isotope ratios</w:t>
      </w:r>
      <w:r w:rsidR="0084507E">
        <w:t xml:space="preserve"> are </w:t>
      </w:r>
      <w:r w:rsidR="005B3C26">
        <w:t>modelled via FRUITS</w:t>
      </w:r>
      <w:r w:rsidR="00265BFB">
        <w:t>.</w:t>
      </w:r>
    </w:p>
    <w:p w:rsidR="00265BFB" w:rsidRPr="00265BFB" w:rsidRDefault="00265BFB" w:rsidP="0084507E">
      <w:pPr>
        <w:pStyle w:val="ListParagraph"/>
        <w:numPr>
          <w:ilvl w:val="0"/>
          <w:numId w:val="4"/>
        </w:numPr>
        <w:rPr>
          <w:b/>
        </w:rPr>
      </w:pPr>
      <w:r>
        <w:t xml:space="preserve">Low-level freshwater resource consumption continued into the Neolithic in central Europe. </w:t>
      </w:r>
    </w:p>
    <w:p w:rsidR="0084507E" w:rsidRPr="00265BFB" w:rsidRDefault="00265BFB" w:rsidP="008D7602">
      <w:pPr>
        <w:pStyle w:val="ListParagraph"/>
        <w:numPr>
          <w:ilvl w:val="0"/>
          <w:numId w:val="4"/>
        </w:numPr>
        <w:rPr>
          <w:b/>
        </w:rPr>
      </w:pPr>
      <w:r>
        <w:t>In the region under study, the contribution of plants to the diet may have seen the largest changes.</w:t>
      </w:r>
    </w:p>
    <w:p w:rsidR="00265BFB" w:rsidRPr="00265BFB" w:rsidRDefault="00265BFB" w:rsidP="00265BFB">
      <w:pPr>
        <w:pStyle w:val="ListParagraph"/>
        <w:rPr>
          <w:b/>
        </w:rPr>
      </w:pPr>
    </w:p>
    <w:p w:rsidR="00AC0547" w:rsidRPr="00EE6F56" w:rsidRDefault="00DD004C">
      <w:r>
        <w:rPr>
          <w:b/>
        </w:rPr>
        <w:t xml:space="preserve">1. </w:t>
      </w:r>
      <w:r w:rsidR="00AC0547" w:rsidRPr="00A65A5E">
        <w:rPr>
          <w:b/>
        </w:rPr>
        <w:t>Introduction</w:t>
      </w:r>
      <w:r w:rsidR="00EE6F56">
        <w:rPr>
          <w:b/>
        </w:rPr>
        <w:t xml:space="preserve"> </w:t>
      </w:r>
    </w:p>
    <w:p w:rsidR="00841DA0" w:rsidRDefault="004431B3" w:rsidP="00807440">
      <w:r>
        <w:t xml:space="preserve">Diet is </w:t>
      </w:r>
      <w:r w:rsidR="00F61F07">
        <w:t xml:space="preserve">simultaneously </w:t>
      </w:r>
      <w:r>
        <w:t xml:space="preserve">both biological and social, </w:t>
      </w:r>
      <w:r w:rsidR="00737DFC">
        <w:t>tied</w:t>
      </w:r>
      <w:r w:rsidR="00DB6510">
        <w:t xml:space="preserve"> as much</w:t>
      </w:r>
      <w:r>
        <w:t xml:space="preserve"> to worldviews and social relations as it is to the demands of supplying the body with suff</w:t>
      </w:r>
      <w:r w:rsidR="00DD004C">
        <w:t>icient calories for life (Miracle and Milner 2002;</w:t>
      </w:r>
      <w:r>
        <w:t xml:space="preserve"> </w:t>
      </w:r>
      <w:r w:rsidR="00032123">
        <w:t xml:space="preserve">Schulting 2008; </w:t>
      </w:r>
      <w:r>
        <w:t>Bickle</w:t>
      </w:r>
      <w:r w:rsidR="00DD004C">
        <w:t xml:space="preserve"> 2016;</w:t>
      </w:r>
      <w:r>
        <w:t xml:space="preserve"> Sibbesson</w:t>
      </w:r>
      <w:r w:rsidR="00DD004C">
        <w:t xml:space="preserve"> </w:t>
      </w:r>
      <w:r w:rsidR="008D7602">
        <w:t>2018</w:t>
      </w:r>
      <w:r>
        <w:t xml:space="preserve">). </w:t>
      </w:r>
      <w:r w:rsidR="00E611FE">
        <w:t xml:space="preserve">Reconstructing past diet is thus rarely the only goal of </w:t>
      </w:r>
      <w:r w:rsidR="004A16D7">
        <w:t>a</w:t>
      </w:r>
      <w:r w:rsidR="00E611FE">
        <w:t xml:space="preserve">rchaeological research into palaeodiet, and is often carried out as a first step in responding to broader research agendas (Bickle and Hofmann 2007). As a result, explaining diet variation often takes precedence in interpretation over the absolute make-up of the diet (Hamilton </w:t>
      </w:r>
      <w:r w:rsidR="00E611FE">
        <w:rPr>
          <w:i/>
        </w:rPr>
        <w:t>et al</w:t>
      </w:r>
      <w:r w:rsidR="00E611FE">
        <w:t>. 2013; Britton 2017). Nowhere is this more obvious than with the Mesolithic-Neolithic transition, in which dietary change is used as a proxy for the broader ecological and social changes accompanying the spread of farming. Stable isotope data in this context ha</w:t>
      </w:r>
      <w:r w:rsidR="00C84E01">
        <w:t>ve</w:t>
      </w:r>
      <w:r w:rsidR="00E611FE">
        <w:t xml:space="preserve"> thrown up controversial results, famously such as the ‘sharp shift’ from marine to terrestrial resources along the Atlantic façade of Europe (Richards </w:t>
      </w:r>
      <w:r w:rsidR="00E611FE">
        <w:rPr>
          <w:i/>
        </w:rPr>
        <w:t>et al</w:t>
      </w:r>
      <w:r w:rsidR="00E611FE">
        <w:t xml:space="preserve">. 2003). Debate at the time </w:t>
      </w:r>
      <w:r w:rsidR="001149A1">
        <w:t xml:space="preserve">of publication </w:t>
      </w:r>
      <w:r w:rsidR="00E611FE">
        <w:t xml:space="preserve">highlighted the need to think carefully and contextually when interpreting stable isotope data (e.g. Hedges 2004; Richards and Schulting 2006), but also that the concepts used to discuss and represent diet in prehistory might not be as nuanced as we would wish to believe (Milner </w:t>
      </w:r>
      <w:r w:rsidR="00E611FE">
        <w:rPr>
          <w:i/>
        </w:rPr>
        <w:t>et al</w:t>
      </w:r>
      <w:r w:rsidR="00E611FE">
        <w:t xml:space="preserve">. 2004; Bickle 2016). </w:t>
      </w:r>
      <w:r w:rsidR="003C7BF2">
        <w:t>Stable i</w:t>
      </w:r>
      <w:r w:rsidR="00C8763F">
        <w:t xml:space="preserve">sotope </w:t>
      </w:r>
      <w:r w:rsidR="003C7BF2">
        <w:t>analysis</w:t>
      </w:r>
      <w:r w:rsidR="00C8763F">
        <w:t>, primarily from bone</w:t>
      </w:r>
      <w:r w:rsidR="000F016E">
        <w:t>,</w:t>
      </w:r>
      <w:r w:rsidR="00C8763F">
        <w:t xml:space="preserve"> </w:t>
      </w:r>
      <w:r w:rsidR="003C7BF2">
        <w:t>is</w:t>
      </w:r>
      <w:r w:rsidR="000F016E">
        <w:t xml:space="preserve"> </w:t>
      </w:r>
      <w:r w:rsidR="003C7BF2">
        <w:t>now a</w:t>
      </w:r>
      <w:r>
        <w:t xml:space="preserve"> </w:t>
      </w:r>
      <w:r w:rsidR="00860453">
        <w:t>regular</w:t>
      </w:r>
      <w:r>
        <w:t xml:space="preserve"> technique in </w:t>
      </w:r>
      <w:r w:rsidR="004A16D7">
        <w:t>a</w:t>
      </w:r>
      <w:r>
        <w:t>rchaeology for determining past diets (Makarewicz and Sealy 2015; Britton 2017).</w:t>
      </w:r>
      <w:r w:rsidR="00915384">
        <w:t xml:space="preserve"> Carbon and </w:t>
      </w:r>
      <w:r w:rsidR="00DB6510">
        <w:t>n</w:t>
      </w:r>
      <w:r w:rsidR="00915384">
        <w:t>itrogen</w:t>
      </w:r>
      <w:r w:rsidR="00FA09B4">
        <w:t xml:space="preserve"> isotope ratios</w:t>
      </w:r>
      <w:r w:rsidR="00915384">
        <w:t>, informing on protein source</w:t>
      </w:r>
      <w:r w:rsidR="00DB6510">
        <w:t>s</w:t>
      </w:r>
      <w:r w:rsidR="00915384">
        <w:t xml:space="preserve">, are </w:t>
      </w:r>
      <w:r w:rsidR="00860453">
        <w:t>most frequent</w:t>
      </w:r>
      <w:r w:rsidR="00915384">
        <w:t xml:space="preserve">, but other </w:t>
      </w:r>
      <w:r w:rsidR="00915384">
        <w:lastRenderedPageBreak/>
        <w:t xml:space="preserve">isotopes, such as </w:t>
      </w:r>
      <w:r w:rsidR="00DB6510">
        <w:t>s</w:t>
      </w:r>
      <w:r w:rsidR="00915384">
        <w:t xml:space="preserve">ulphur, </w:t>
      </w:r>
      <w:r w:rsidR="00DB6510">
        <w:t>s</w:t>
      </w:r>
      <w:r w:rsidR="00915384">
        <w:t xml:space="preserve">trontium, </w:t>
      </w:r>
      <w:r w:rsidR="00DB6510">
        <w:t>o</w:t>
      </w:r>
      <w:r w:rsidR="00915384">
        <w:t xml:space="preserve">xygen and </w:t>
      </w:r>
      <w:r w:rsidR="00DB6510">
        <w:t>h</w:t>
      </w:r>
      <w:r w:rsidR="00915384">
        <w:t xml:space="preserve">ydrogen </w:t>
      </w:r>
      <w:r w:rsidR="00860453">
        <w:t xml:space="preserve">also feature, sometimes </w:t>
      </w:r>
      <w:r w:rsidR="00B73255">
        <w:t xml:space="preserve">when </w:t>
      </w:r>
      <w:r w:rsidR="00860453">
        <w:t xml:space="preserve">inter-related issues of </w:t>
      </w:r>
      <w:r w:rsidR="00453690">
        <w:t>mobility and environment</w:t>
      </w:r>
      <w:r w:rsidR="00B73255">
        <w:t xml:space="preserve"> are investigated</w:t>
      </w:r>
      <w:r w:rsidR="00F61F07">
        <w:t xml:space="preserve">. </w:t>
      </w:r>
    </w:p>
    <w:p w:rsidR="00C23A41" w:rsidRDefault="00C23A41" w:rsidP="00807440"/>
    <w:p w:rsidR="00EE6F56" w:rsidRDefault="00807440" w:rsidP="00807440">
      <w:r>
        <w:t xml:space="preserve">The Mesolithic-Neolithic transition in Europe marks a distinct change in human </w:t>
      </w:r>
      <w:r w:rsidR="008B0EC3">
        <w:t>food production</w:t>
      </w:r>
      <w:r>
        <w:t xml:space="preserve">, typically characterised as the transition from hunting and gathering to farming. Meat from domesticated animals and consumption of cultivated plants, however, </w:t>
      </w:r>
      <w:r w:rsidR="00D61D31">
        <w:t>were not the only</w:t>
      </w:r>
      <w:r>
        <w:t xml:space="preserve"> impactful changes in diet</w:t>
      </w:r>
      <w:r w:rsidR="00B73255">
        <w:t xml:space="preserve"> at the start of farming</w:t>
      </w:r>
      <w:r w:rsidR="0024211E">
        <w:t xml:space="preserve">, with arrival of dairy products and news ways of </w:t>
      </w:r>
      <w:r w:rsidR="005B78AE">
        <w:t xml:space="preserve">producing, </w:t>
      </w:r>
      <w:r w:rsidR="0024211E">
        <w:t>preparing and storing food</w:t>
      </w:r>
      <w:r w:rsidR="00B73255">
        <w:t xml:space="preserve"> also occurred</w:t>
      </w:r>
      <w:r>
        <w:t>. The main contribution made by stable isotope analysis to</w:t>
      </w:r>
      <w:r w:rsidR="00D61D31">
        <w:t xml:space="preserve"> understanding</w:t>
      </w:r>
      <w:r>
        <w:t xml:space="preserve"> this </w:t>
      </w:r>
      <w:r w:rsidR="00D61D31">
        <w:t xml:space="preserve">transition </w:t>
      </w:r>
      <w:r w:rsidR="0008013F">
        <w:t>has been to reveal changes in dietary sources</w:t>
      </w:r>
      <w:r w:rsidR="00D61D31">
        <w:t xml:space="preserve">. While there </w:t>
      </w:r>
      <w:r w:rsidR="00EE6F56">
        <w:t xml:space="preserve">remain gaps in </w:t>
      </w:r>
      <w:r w:rsidR="00D61D31">
        <w:t>evidence (</w:t>
      </w:r>
      <w:r w:rsidR="007F5E76">
        <w:t>e.g.</w:t>
      </w:r>
      <w:r w:rsidR="00D61D31">
        <w:t xml:space="preserve">, </w:t>
      </w:r>
      <w:r w:rsidR="007F5E76">
        <w:t xml:space="preserve">fewer </w:t>
      </w:r>
      <w:r w:rsidR="00D61D31">
        <w:t xml:space="preserve">Mesolithic burials) and </w:t>
      </w:r>
      <w:r w:rsidR="00EE6F56">
        <w:t>issues of definition (</w:t>
      </w:r>
      <w:r w:rsidR="007F5E76">
        <w:t>e.g.</w:t>
      </w:r>
      <w:r w:rsidR="00EE6F56">
        <w:t xml:space="preserve">, what do we mean by </w:t>
      </w:r>
      <w:r w:rsidR="00D61D31">
        <w:t>‘sharp’</w:t>
      </w:r>
      <w:r w:rsidR="00EE6F56">
        <w:t xml:space="preserve"> in </w:t>
      </w:r>
      <w:r w:rsidR="0008013F">
        <w:t xml:space="preserve">the context of the Atlantic façade (Richards </w:t>
      </w:r>
      <w:r w:rsidR="0008013F">
        <w:rPr>
          <w:i/>
        </w:rPr>
        <w:t>et al</w:t>
      </w:r>
      <w:r w:rsidR="0008013F">
        <w:t>. 2003)</w:t>
      </w:r>
      <w:r w:rsidR="005B78AE">
        <w:t xml:space="preserve">, </w:t>
      </w:r>
      <w:r w:rsidR="00EE6F56">
        <w:t>did the Mesolithic</w:t>
      </w:r>
      <w:r w:rsidR="007F5E76">
        <w:t xml:space="preserve"> or Neolithic</w:t>
      </w:r>
      <w:r w:rsidR="00EE6F56">
        <w:t xml:space="preserve"> see </w:t>
      </w:r>
      <w:r w:rsidR="005B78AE">
        <w:t xml:space="preserve">other </w:t>
      </w:r>
      <w:r w:rsidR="00EE6F56">
        <w:t>quick changes in diet</w:t>
      </w:r>
      <w:r w:rsidR="003302DF">
        <w:t xml:space="preserve"> across </w:t>
      </w:r>
      <w:r w:rsidR="00032123">
        <w:t>their</w:t>
      </w:r>
      <w:r w:rsidR="003302DF">
        <w:t xml:space="preserve"> duration</w:t>
      </w:r>
      <w:r w:rsidR="00032123">
        <w:t>s</w:t>
      </w:r>
      <w:r w:rsidR="003302DF">
        <w:t>?)</w:t>
      </w:r>
      <w:r w:rsidR="007F5E76">
        <w:t>,</w:t>
      </w:r>
      <w:r w:rsidR="00EE6F56">
        <w:t xml:space="preserve"> a move away from marine resources is now well established for </w:t>
      </w:r>
      <w:r w:rsidR="008B0EC3">
        <w:t xml:space="preserve">some </w:t>
      </w:r>
      <w:r w:rsidR="00EE6F56">
        <w:t>coastal regions</w:t>
      </w:r>
      <w:r w:rsidR="003302DF">
        <w:t xml:space="preserve"> at the start of the Neolithic</w:t>
      </w:r>
      <w:r w:rsidR="00EE6F56">
        <w:t xml:space="preserve">. In comparison, the </w:t>
      </w:r>
      <w:r w:rsidR="00032123">
        <w:t>changes</w:t>
      </w:r>
      <w:r w:rsidR="00EE6F56">
        <w:t xml:space="preserve"> </w:t>
      </w:r>
      <w:r w:rsidR="00032123">
        <w:t xml:space="preserve">in </w:t>
      </w:r>
      <w:r w:rsidR="00EE6F56">
        <w:t>diet</w:t>
      </w:r>
      <w:r w:rsidR="00032123">
        <w:t>ary composition</w:t>
      </w:r>
      <w:r w:rsidR="00EE6F56">
        <w:t xml:space="preserve"> in </w:t>
      </w:r>
      <w:r w:rsidR="00841DA0">
        <w:t xml:space="preserve">terrestrial </w:t>
      </w:r>
      <w:r w:rsidR="00B73255">
        <w:t>central European regions have</w:t>
      </w:r>
      <w:r w:rsidR="00EE6F56">
        <w:t xml:space="preserve"> been less well considered. </w:t>
      </w:r>
      <w:r w:rsidR="00032123">
        <w:t>While t</w:t>
      </w:r>
      <w:r w:rsidR="00EE6F56">
        <w:t xml:space="preserve">his </w:t>
      </w:r>
      <w:r w:rsidR="00032123">
        <w:t>is</w:t>
      </w:r>
      <w:r w:rsidR="00EE6F56">
        <w:t xml:space="preserve"> due </w:t>
      </w:r>
      <w:r w:rsidR="00032123">
        <w:t>in part to the evidence, e.g.</w:t>
      </w:r>
      <w:r w:rsidR="00C41D9D">
        <w:t xml:space="preserve"> a</w:t>
      </w:r>
      <w:r w:rsidR="00EE6F56">
        <w:t xml:space="preserve"> </w:t>
      </w:r>
      <w:r w:rsidR="007F5E76">
        <w:t xml:space="preserve">more </w:t>
      </w:r>
      <w:r w:rsidR="00C41D9D">
        <w:t>limited</w:t>
      </w:r>
      <w:r w:rsidR="00EE6F56">
        <w:t xml:space="preserve"> archive</w:t>
      </w:r>
      <w:r w:rsidR="00C41D9D">
        <w:t xml:space="preserve"> of </w:t>
      </w:r>
      <w:r w:rsidR="007F5E76">
        <w:t xml:space="preserve">Mesolithic </w:t>
      </w:r>
      <w:r w:rsidR="00C41D9D">
        <w:t>burials</w:t>
      </w:r>
      <w:r w:rsidR="008B0EC3">
        <w:t xml:space="preserve"> and</w:t>
      </w:r>
      <w:r w:rsidR="00EE6F56">
        <w:t xml:space="preserve"> distinct spatial differences </w:t>
      </w:r>
      <w:r w:rsidR="00C41D9D">
        <w:t xml:space="preserve">in the location of </w:t>
      </w:r>
      <w:r w:rsidR="00EE6F56">
        <w:t>N</w:t>
      </w:r>
      <w:r w:rsidR="00032123">
        <w:t>eolithic and Mesolithic burials, m</w:t>
      </w:r>
      <w:r w:rsidR="00EE6F56">
        <w:t xml:space="preserve">odels of </w:t>
      </w:r>
      <w:r w:rsidR="00B77A9A" w:rsidRPr="00032123">
        <w:rPr>
          <w:i/>
        </w:rPr>
        <w:t>how</w:t>
      </w:r>
      <w:r w:rsidR="00B77A9A">
        <w:t xml:space="preserve"> the </w:t>
      </w:r>
      <w:r w:rsidR="00EE6F56">
        <w:t xml:space="preserve">Neolithic transition </w:t>
      </w:r>
      <w:r w:rsidR="00B77A9A">
        <w:t xml:space="preserve">took place </w:t>
      </w:r>
      <w:r w:rsidR="00EE6F56">
        <w:t xml:space="preserve">have </w:t>
      </w:r>
      <w:r w:rsidR="007F5E76">
        <w:t xml:space="preserve">meant stable isotope </w:t>
      </w:r>
      <w:r w:rsidR="00353100">
        <w:t>data</w:t>
      </w:r>
      <w:r w:rsidR="007F5E76">
        <w:t xml:space="preserve"> have played a muted role in considering the adoption of farming</w:t>
      </w:r>
      <w:r w:rsidR="00032123">
        <w:t xml:space="preserve"> in this region</w:t>
      </w:r>
      <w:r w:rsidR="007F5E76">
        <w:t>.</w:t>
      </w:r>
      <w:r w:rsidR="00EE6F56">
        <w:t xml:space="preserve"> </w:t>
      </w:r>
      <w:r w:rsidR="00032123">
        <w:t>As the early</w:t>
      </w:r>
      <w:r w:rsidR="00CA7B86">
        <w:t xml:space="preserve"> central European </w:t>
      </w:r>
      <w:r w:rsidR="00032123">
        <w:t>Neolithic is thought to have arrived through m</w:t>
      </w:r>
      <w:r w:rsidR="00EE6F56">
        <w:t>igration</w:t>
      </w:r>
      <w:r w:rsidR="00CA7B86">
        <w:t xml:space="preserve">, comparison between hunter-gatherer and farmer diets was </w:t>
      </w:r>
      <w:r w:rsidR="00B73255">
        <w:t>considered</w:t>
      </w:r>
      <w:r w:rsidR="00CA7B86">
        <w:t xml:space="preserve"> irrelevant</w:t>
      </w:r>
      <w:r w:rsidR="00EE6F56">
        <w:t xml:space="preserve">. However, recent </w:t>
      </w:r>
      <w:r w:rsidR="00CA7B86">
        <w:t>studies</w:t>
      </w:r>
      <w:r w:rsidR="00EE6F56">
        <w:t xml:space="preserve"> have </w:t>
      </w:r>
      <w:r w:rsidR="00CA7B86">
        <w:t xml:space="preserve">found </w:t>
      </w:r>
      <w:r w:rsidR="00EE6F56">
        <w:t xml:space="preserve">that there was intermixing between </w:t>
      </w:r>
      <w:r w:rsidR="00B73255">
        <w:t xml:space="preserve">indigenous </w:t>
      </w:r>
      <w:r w:rsidR="00EE6F56">
        <w:t xml:space="preserve">central European groups and farmers moving from </w:t>
      </w:r>
      <w:r w:rsidR="003302DF">
        <w:t xml:space="preserve">the </w:t>
      </w:r>
      <w:r w:rsidR="008B0EC3">
        <w:t>s</w:t>
      </w:r>
      <w:r w:rsidR="003302DF">
        <w:t>outh-</w:t>
      </w:r>
      <w:r w:rsidR="008B0EC3">
        <w:t>e</w:t>
      </w:r>
      <w:r w:rsidR="003302DF">
        <w:t>ast</w:t>
      </w:r>
      <w:r w:rsidR="00EE6F56">
        <w:t xml:space="preserve"> </w:t>
      </w:r>
      <w:r w:rsidR="00E45189">
        <w:t xml:space="preserve">albeit in low numbers </w:t>
      </w:r>
      <w:r w:rsidR="00EE6F56">
        <w:t>(</w:t>
      </w:r>
      <w:r w:rsidR="00E45189">
        <w:t xml:space="preserve">Lipson </w:t>
      </w:r>
      <w:r w:rsidR="00E45189">
        <w:rPr>
          <w:i/>
        </w:rPr>
        <w:t>et al</w:t>
      </w:r>
      <w:r w:rsidR="00E45189">
        <w:t>. 2017</w:t>
      </w:r>
      <w:r w:rsidR="00EE6F56">
        <w:t>)</w:t>
      </w:r>
      <w:r w:rsidR="00CA7B86">
        <w:t>. What this means in terms of the population size of both groups is relevant, but uncertain, and cha</w:t>
      </w:r>
      <w:r w:rsidR="00B77A9A">
        <w:t xml:space="preserve">racterising dietary changes at this point </w:t>
      </w:r>
      <w:r w:rsidR="005B78AE">
        <w:t xml:space="preserve">in time </w:t>
      </w:r>
      <w:r w:rsidR="00B77A9A">
        <w:t xml:space="preserve">could prove significant in </w:t>
      </w:r>
      <w:r w:rsidR="007C0158">
        <w:t>increasing the resolution of our understanding of farmer-forager interactions</w:t>
      </w:r>
      <w:r w:rsidR="00EE6F56">
        <w:t xml:space="preserve">. </w:t>
      </w:r>
      <w:r w:rsidR="0049136B">
        <w:t xml:space="preserve">Even if there is </w:t>
      </w:r>
      <w:r w:rsidR="00CA7B86">
        <w:t>minimal</w:t>
      </w:r>
      <w:r w:rsidR="0049136B">
        <w:t xml:space="preserve"> </w:t>
      </w:r>
      <w:r w:rsidR="007C0158">
        <w:t xml:space="preserve">population </w:t>
      </w:r>
      <w:r w:rsidR="001149A1">
        <w:t>exchange</w:t>
      </w:r>
      <w:r w:rsidR="0049136B">
        <w:t xml:space="preserve">, </w:t>
      </w:r>
      <w:r w:rsidR="00C84E01">
        <w:t xml:space="preserve">it is </w:t>
      </w:r>
      <w:r w:rsidR="00CA7B86">
        <w:t xml:space="preserve">therefore </w:t>
      </w:r>
      <w:r w:rsidR="00C84E01">
        <w:t xml:space="preserve">highly probable that incoming farmers met with indigenous hunter-gatherers </w:t>
      </w:r>
      <w:r w:rsidR="0049136B">
        <w:t>and understanding dietary differences may provide more insight in</w:t>
      </w:r>
      <w:r w:rsidR="00CA7B86">
        <w:t>to</w:t>
      </w:r>
      <w:r w:rsidR="0049136B">
        <w:t xml:space="preserve"> the sca</w:t>
      </w:r>
      <w:r w:rsidR="007C0158">
        <w:t xml:space="preserve">le and </w:t>
      </w:r>
      <w:r w:rsidR="00CA7B86">
        <w:t>landscapes of interaction.</w:t>
      </w:r>
      <w:r w:rsidR="009E4165">
        <w:t xml:space="preserve"> </w:t>
      </w:r>
      <w:r w:rsidR="00CA7B86">
        <w:t>In short, migration does not ‘</w:t>
      </w:r>
      <w:r w:rsidR="0049136B">
        <w:t>solve</w:t>
      </w:r>
      <w:r w:rsidR="00CA7B86">
        <w:t>’</w:t>
      </w:r>
      <w:r w:rsidR="0049136B">
        <w:t xml:space="preserve"> the transition to farming – it is a description of </w:t>
      </w:r>
      <w:r w:rsidR="005D30BD">
        <w:t xml:space="preserve">how </w:t>
      </w:r>
      <w:r w:rsidR="0049136B">
        <w:t>it</w:t>
      </w:r>
      <w:r w:rsidR="009E4165">
        <w:t xml:space="preserve"> took place</w:t>
      </w:r>
      <w:r w:rsidR="0049136B">
        <w:t xml:space="preserve"> (Robb 2013) — we are still set the challenge of understanding the patterns and interactions of </w:t>
      </w:r>
      <w:r w:rsidR="007C0158">
        <w:t>the spread of the Neolithic</w:t>
      </w:r>
      <w:r w:rsidR="009E4165">
        <w:t>, of which diet was a significant element</w:t>
      </w:r>
      <w:r w:rsidR="0049136B">
        <w:t xml:space="preserve">. </w:t>
      </w:r>
      <w:r w:rsidR="00C23A41">
        <w:t xml:space="preserve">This paper explores the contribution stable isotope studies have made to understanding the Mesolithic-Neolithic transition in Europe as a change in </w:t>
      </w:r>
      <w:r w:rsidR="00C23A41" w:rsidRPr="008B0EC3">
        <w:t>diet</w:t>
      </w:r>
      <w:r w:rsidR="00CA7B86">
        <w:t>ary composition</w:t>
      </w:r>
      <w:r w:rsidR="00C23A41" w:rsidRPr="008B0EC3">
        <w:t>,</w:t>
      </w:r>
      <w:r w:rsidR="00C23A41">
        <w:t xml:space="preserve"> taking the transition in terrestrial central Europe as a case study and modelling changes in diet using FRUITS (Food Reconstruction Using Isotopic Transferred Signals; vβ2.1.1 Fernandes </w:t>
      </w:r>
      <w:r w:rsidR="00C23A41">
        <w:rPr>
          <w:i/>
        </w:rPr>
        <w:t>et al</w:t>
      </w:r>
      <w:r w:rsidR="00C23A41">
        <w:t xml:space="preserve">. 2014).   </w:t>
      </w:r>
      <w:r w:rsidR="00C23A41" w:rsidRPr="0024211E">
        <w:rPr>
          <w:i/>
        </w:rPr>
        <w:t xml:space="preserve"> </w:t>
      </w:r>
    </w:p>
    <w:p w:rsidR="007F5E76" w:rsidRDefault="007F5E76" w:rsidP="007F5E76">
      <w:pPr>
        <w:rPr>
          <w:b/>
        </w:rPr>
      </w:pPr>
    </w:p>
    <w:p w:rsidR="003E06B5" w:rsidRDefault="007F5E76" w:rsidP="007F5E76">
      <w:pPr>
        <w:rPr>
          <w:b/>
        </w:rPr>
      </w:pPr>
      <w:r>
        <w:rPr>
          <w:b/>
        </w:rPr>
        <w:t xml:space="preserve">2. Contribution of Stable Isotopes to Palaeodiet </w:t>
      </w:r>
    </w:p>
    <w:p w:rsidR="007F5E76" w:rsidRDefault="007F5E76" w:rsidP="007F5E76">
      <w:r>
        <w:t>As many reviews of stable isotope analysis are now available (e.g. Makarewicz and Sealy 2015; Britton 2017), only the key points will be highlighted here and those relevant to the discussion below. The basic premise of stable isotope analysis is that</w:t>
      </w:r>
      <w:r w:rsidR="00CA7B86">
        <w:t xml:space="preserve"> the</w:t>
      </w:r>
      <w:r>
        <w:t xml:space="preserve"> diet is the source for </w:t>
      </w:r>
      <w:r w:rsidR="00CA7B86">
        <w:t xml:space="preserve">the </w:t>
      </w:r>
      <w:r>
        <w:t>consumer’s body, synthesised in body tissue as it grows, is repaired and remodelled over life. With some minor changes due to metabolism, tissues such as bone, teeth and hair thus represent the isotopic composition of the diet</w:t>
      </w:r>
      <w:r w:rsidR="00C23A41">
        <w:t xml:space="preserve"> (DeNiro and Epstein 1978; 1981)</w:t>
      </w:r>
      <w:r>
        <w:t>. There have been major advances in understanding the relationship between diet and consumer isotope ratios (e.g. trophic level effects</w:t>
      </w:r>
      <w:r w:rsidR="008B0EC3">
        <w:t>;</w:t>
      </w:r>
      <w:r>
        <w:t xml:space="preserve"> Hedges and Reynard 2007; O’Connell </w:t>
      </w:r>
      <w:r>
        <w:rPr>
          <w:i/>
        </w:rPr>
        <w:t>et al</w:t>
      </w:r>
      <w:r>
        <w:t xml:space="preserve">. 2012), but some bodily processes and conditions of </w:t>
      </w:r>
      <w:r w:rsidR="00CA7B86">
        <w:t>production</w:t>
      </w:r>
      <w:r>
        <w:t>, such as manuring</w:t>
      </w:r>
      <w:r w:rsidR="003E06B5">
        <w:t xml:space="preserve"> cereal crops</w:t>
      </w:r>
      <w:r>
        <w:t xml:space="preserve">, may complicate these models further (Fraser </w:t>
      </w:r>
      <w:r>
        <w:rPr>
          <w:i/>
        </w:rPr>
        <w:t>et al</w:t>
      </w:r>
      <w:r>
        <w:t xml:space="preserve">. 2011). </w:t>
      </w:r>
      <w:r w:rsidR="00C70127" w:rsidRPr="00D026F5">
        <w:t>For the most part, stable isotopes represent dietary protein consumption, but in low-protein diets</w:t>
      </w:r>
      <w:r w:rsidR="00CA7B86">
        <w:t>, stable</w:t>
      </w:r>
      <w:r w:rsidR="00C70127" w:rsidRPr="00D026F5">
        <w:t xml:space="preserve"> carbon isotopes may also represent contributions from lipids and carbohydrates (Schulting 2018).</w:t>
      </w:r>
      <w:r w:rsidR="00C70127">
        <w:t xml:space="preserve"> </w:t>
      </w:r>
      <w:r w:rsidR="00CA7B86">
        <w:t>S</w:t>
      </w:r>
      <w:r>
        <w:t>table isotopes represent an average isotope ratio of the dietary protein over the duration of bone turn-over, often estimated to be between 10 and 20 years.</w:t>
      </w:r>
      <w:r w:rsidR="005B3C26">
        <w:t xml:space="preserve"> </w:t>
      </w:r>
      <w:r>
        <w:t xml:space="preserve">The period of bone turn-over can vary between </w:t>
      </w:r>
      <w:r w:rsidR="00CA7B86">
        <w:t>skeletal element</w:t>
      </w:r>
      <w:r>
        <w:t xml:space="preserve"> and over age, as well as responding to factors which effect physiological processes, such as pregnancy and </w:t>
      </w:r>
      <w:r>
        <w:lastRenderedPageBreak/>
        <w:t xml:space="preserve">starvation (Hamilton </w:t>
      </w:r>
      <w:r w:rsidRPr="00B9297A">
        <w:rPr>
          <w:i/>
        </w:rPr>
        <w:t>et al</w:t>
      </w:r>
      <w:r>
        <w:t xml:space="preserve">. 2013, 31). For this reason, the preference in </w:t>
      </w:r>
      <w:r w:rsidR="004A16D7">
        <w:t>a</w:t>
      </w:r>
      <w:r>
        <w:t xml:space="preserve">rchaeology is to </w:t>
      </w:r>
      <w:r w:rsidR="00CA7B86">
        <w:t>compare</w:t>
      </w:r>
      <w:r>
        <w:t xml:space="preserve"> averages between population</w:t>
      </w:r>
      <w:r w:rsidR="00CA7B86">
        <w:t>s or groups, rather than between in</w:t>
      </w:r>
      <w:r>
        <w:t>dividuals.</w:t>
      </w:r>
    </w:p>
    <w:p w:rsidR="007F5E76" w:rsidRDefault="007F5E76" w:rsidP="007F5E76"/>
    <w:p w:rsidR="005F3DFA" w:rsidRDefault="00CA7B86" w:rsidP="007F5E76">
      <w:r>
        <w:t>T</w:t>
      </w:r>
      <w:r w:rsidR="00B73255">
        <w:t>he most common</w:t>
      </w:r>
      <w:r w:rsidR="007F5E76">
        <w:t xml:space="preserve"> </w:t>
      </w:r>
      <w:r>
        <w:t>stable isotopes</w:t>
      </w:r>
      <w:r w:rsidR="007F5E76">
        <w:t xml:space="preserve"> in </w:t>
      </w:r>
      <w:r w:rsidR="004A16D7">
        <w:t>a</w:t>
      </w:r>
      <w:r w:rsidR="007F5E76">
        <w:t>rchaeology are carbon (</w:t>
      </w:r>
      <w:r w:rsidR="007F5E76" w:rsidRPr="00215110">
        <w:rPr>
          <w:vertAlign w:val="superscript"/>
        </w:rPr>
        <w:t>13</w:t>
      </w:r>
      <w:r w:rsidR="007F5E76">
        <w:t>C/</w:t>
      </w:r>
      <w:r w:rsidR="007F5E76" w:rsidRPr="00215110">
        <w:rPr>
          <w:vertAlign w:val="superscript"/>
        </w:rPr>
        <w:t>12</w:t>
      </w:r>
      <w:r w:rsidR="007F5E76">
        <w:t>C) and nitrogen (</w:t>
      </w:r>
      <w:r w:rsidR="007F5E76" w:rsidRPr="00215110">
        <w:rPr>
          <w:vertAlign w:val="superscript"/>
        </w:rPr>
        <w:t>15</w:t>
      </w:r>
      <w:r w:rsidR="007F5E76">
        <w:t>N/</w:t>
      </w:r>
      <w:r w:rsidR="007F5E76" w:rsidRPr="00215110">
        <w:rPr>
          <w:vertAlign w:val="superscript"/>
        </w:rPr>
        <w:t>14</w:t>
      </w:r>
      <w:r w:rsidR="007F5E76">
        <w:t xml:space="preserve">N), </w:t>
      </w:r>
      <w:r>
        <w:t>which</w:t>
      </w:r>
      <w:r w:rsidR="007F5E76">
        <w:t xml:space="preserve"> arise from both </w:t>
      </w:r>
      <w:r>
        <w:t xml:space="preserve">the </w:t>
      </w:r>
      <w:r w:rsidR="007F5E76">
        <w:t>plants and animals</w:t>
      </w:r>
      <w:r>
        <w:t xml:space="preserve"> consumed</w:t>
      </w:r>
      <w:r w:rsidR="007F5E76">
        <w:t xml:space="preserve">. </w:t>
      </w:r>
      <w:r w:rsidR="005F3DFA">
        <w:t xml:space="preserve">These ratios are </w:t>
      </w:r>
      <w:r w:rsidR="00E529E7">
        <w:t>expressed as δ</w:t>
      </w:r>
      <w:r w:rsidR="00E529E7" w:rsidRPr="00C456A8">
        <w:rPr>
          <w:vertAlign w:val="superscript"/>
        </w:rPr>
        <w:t>13</w:t>
      </w:r>
      <w:r w:rsidR="00E529E7">
        <w:t>C and δ</w:t>
      </w:r>
      <w:r w:rsidR="00E529E7" w:rsidRPr="00C456A8">
        <w:rPr>
          <w:vertAlign w:val="superscript"/>
        </w:rPr>
        <w:t>15</w:t>
      </w:r>
      <w:r w:rsidR="00E529E7">
        <w:t>N (</w:t>
      </w:r>
      <w:r w:rsidR="005F3DFA">
        <w:t xml:space="preserve">the </w:t>
      </w:r>
      <w:r w:rsidR="00E529E7">
        <w:t xml:space="preserve">isotope ratio </w:t>
      </w:r>
      <w:r w:rsidR="005F3DFA">
        <w:t>compared to an in</w:t>
      </w:r>
      <w:r w:rsidR="00E529E7">
        <w:t xml:space="preserve">ternational agreed standard; </w:t>
      </w:r>
      <w:r w:rsidR="005F3DFA">
        <w:t xml:space="preserve">Hamilton </w:t>
      </w:r>
      <w:r w:rsidR="005F3DFA">
        <w:rPr>
          <w:i/>
        </w:rPr>
        <w:t>et al</w:t>
      </w:r>
      <w:r w:rsidR="005F3DFA">
        <w:t xml:space="preserve">. 2013, 30). </w:t>
      </w:r>
      <w:r w:rsidR="004A16D7">
        <w:t>Stable c</w:t>
      </w:r>
      <w:r w:rsidR="007F5E76">
        <w:t>arbon isotope ratios arising from plants in the diet vary with photosynthesis (O’Leary 1988). The largest variation is derived from consumption of ‘C</w:t>
      </w:r>
      <w:r w:rsidR="007F5E76" w:rsidRPr="000B324F">
        <w:rPr>
          <w:vertAlign w:val="subscript"/>
        </w:rPr>
        <w:t>3</w:t>
      </w:r>
      <w:r w:rsidR="007F5E76">
        <w:t>’ (temperate) and ‘C</w:t>
      </w:r>
      <w:r w:rsidR="007F5E76" w:rsidRPr="000B324F">
        <w:rPr>
          <w:vertAlign w:val="subscript"/>
        </w:rPr>
        <w:t>4</w:t>
      </w:r>
      <w:r w:rsidR="007F5E76">
        <w:t>’ (largely tropical)</w:t>
      </w:r>
      <w:r w:rsidR="003479DF">
        <w:t xml:space="preserve"> plants (O’Leary 1988). C</w:t>
      </w:r>
      <w:r w:rsidR="003479DF" w:rsidRPr="000B324F">
        <w:rPr>
          <w:vertAlign w:val="subscript"/>
        </w:rPr>
        <w:t>3</w:t>
      </w:r>
      <w:r w:rsidR="003479DF">
        <w:t xml:space="preserve"> plants from marine environments have higher δ</w:t>
      </w:r>
      <w:r w:rsidR="003479DF" w:rsidRPr="00C456A8">
        <w:rPr>
          <w:vertAlign w:val="superscript"/>
        </w:rPr>
        <w:t>13</w:t>
      </w:r>
      <w:r w:rsidR="003479DF">
        <w:t xml:space="preserve">C isotope ratios than those from terrestrial contexts due </w:t>
      </w:r>
      <w:r w:rsidR="00E529E7">
        <w:t xml:space="preserve">to </w:t>
      </w:r>
      <w:r w:rsidR="00EA7B4F">
        <w:t>the ocean having a larger carbon pool than the atmosphere</w:t>
      </w:r>
      <w:r w:rsidR="003479DF">
        <w:t xml:space="preserve"> (</w:t>
      </w:r>
      <w:r w:rsidR="00EA7B4F">
        <w:t>Boutton 1991</w:t>
      </w:r>
      <w:r w:rsidR="003479DF">
        <w:t>), and more subtle variations</w:t>
      </w:r>
      <w:r w:rsidR="007F5E76">
        <w:t xml:space="preserve"> </w:t>
      </w:r>
      <w:r w:rsidR="003479DF">
        <w:t>in δ</w:t>
      </w:r>
      <w:r w:rsidR="003479DF" w:rsidRPr="00C456A8">
        <w:rPr>
          <w:vertAlign w:val="superscript"/>
        </w:rPr>
        <w:t>13</w:t>
      </w:r>
      <w:r w:rsidR="003479DF">
        <w:t xml:space="preserve">C </w:t>
      </w:r>
      <w:r w:rsidR="007F5E76">
        <w:t xml:space="preserve">have been </w:t>
      </w:r>
      <w:r w:rsidR="00E529E7">
        <w:t>shown</w:t>
      </w:r>
      <w:r w:rsidR="007F5E76">
        <w:t xml:space="preserve"> to arise </w:t>
      </w:r>
      <w:r w:rsidR="00E529E7">
        <w:t>through</w:t>
      </w:r>
      <w:r w:rsidR="007F5E76">
        <w:t xml:space="preserve"> the impact of canopy cover</w:t>
      </w:r>
      <w:r w:rsidR="00E529E7">
        <w:t xml:space="preserve"> on photosynthesis</w:t>
      </w:r>
      <w:r w:rsidR="007F5E76">
        <w:t xml:space="preserve"> (Lynch </w:t>
      </w:r>
      <w:r w:rsidR="007F5E76">
        <w:rPr>
          <w:i/>
        </w:rPr>
        <w:t>et al</w:t>
      </w:r>
      <w:r w:rsidR="007F5E76">
        <w:t xml:space="preserve">. 2008). Nitrogen isotope ratios may also be influenced by plant consumption, particularly if intensive manuring is taking place (Fraser </w:t>
      </w:r>
      <w:r w:rsidR="007F5E76">
        <w:rPr>
          <w:i/>
        </w:rPr>
        <w:t>et al</w:t>
      </w:r>
      <w:r w:rsidR="007F5E76">
        <w:t xml:space="preserve">. 2011; see below), but generally vary with the trophic level of the consumer (Hedges and Reynard 2007). Trophic level effect increases through the food chain, with 3–5‰ enrichment in nitrogen and </w:t>
      </w:r>
      <w:r w:rsidR="007F5E76">
        <w:rPr>
          <w:i/>
        </w:rPr>
        <w:t>c</w:t>
      </w:r>
      <w:r w:rsidR="007F5E76">
        <w:t xml:space="preserve">.0.5–1.5‰ in carbon proposed (Hedges and Reynard 2007; Hamilton </w:t>
      </w:r>
      <w:r w:rsidR="007F5E76">
        <w:rPr>
          <w:i/>
        </w:rPr>
        <w:t>et al</w:t>
      </w:r>
      <w:r w:rsidR="007F5E76">
        <w:t xml:space="preserve">. 2013; O’Connell </w:t>
      </w:r>
      <w:r w:rsidR="007F5E76">
        <w:rPr>
          <w:i/>
        </w:rPr>
        <w:t>et al</w:t>
      </w:r>
      <w:r w:rsidR="007F5E76">
        <w:t>. 2012;</w:t>
      </w:r>
      <w:r w:rsidR="007F5E76">
        <w:rPr>
          <w:i/>
        </w:rPr>
        <w:t xml:space="preserve"> </w:t>
      </w:r>
      <w:r w:rsidR="007F5E76">
        <w:t xml:space="preserve">Fernandes </w:t>
      </w:r>
      <w:r w:rsidR="007F5E76">
        <w:rPr>
          <w:i/>
        </w:rPr>
        <w:t>et al</w:t>
      </w:r>
      <w:r w:rsidR="007F5E76">
        <w:t xml:space="preserve">. 2014; but see discussion in section 4.3 below). The parts per mill enrichment in </w:t>
      </w:r>
      <w:r w:rsidR="008B0EC3">
        <w:t>n</w:t>
      </w:r>
      <w:r w:rsidR="007F5E76">
        <w:t xml:space="preserve">itrogen isotope ratios between </w:t>
      </w:r>
      <w:r w:rsidR="001149A1">
        <w:t xml:space="preserve">the </w:t>
      </w:r>
      <w:r w:rsidR="007F5E76">
        <w:t xml:space="preserve">dietary protein consumed and the consumer is influenced by the amount of protein in the diet, which can be determined from the remains of </w:t>
      </w:r>
      <w:r w:rsidR="00B73255">
        <w:t xml:space="preserve">the </w:t>
      </w:r>
      <w:r w:rsidR="007F5E76">
        <w:t xml:space="preserve">animals and plants </w:t>
      </w:r>
      <w:r w:rsidR="00B73255">
        <w:t xml:space="preserve">eaten </w:t>
      </w:r>
      <w:r w:rsidR="007F5E76">
        <w:t xml:space="preserve">(Hedges and Reynard 2007). A larger difference between the nitrogen isotope ratios of </w:t>
      </w:r>
      <w:r w:rsidR="00B73255">
        <w:t>consumer and dietary source</w:t>
      </w:r>
      <w:r w:rsidR="007F5E76">
        <w:t xml:space="preserve">, would indicate that humans were consuming more meat or dairy (which are indistinguishable isotopically </w:t>
      </w:r>
      <w:r w:rsidR="00C01166">
        <w:t>in</w:t>
      </w:r>
      <w:r w:rsidR="007F5E76">
        <w:t xml:space="preserve"> bone collage</w:t>
      </w:r>
      <w:r w:rsidR="00C01166">
        <w:t>n</w:t>
      </w:r>
      <w:r w:rsidR="007F5E76">
        <w:t>). Together, therefore, the carbon and nitrogen isotope ratios of humans</w:t>
      </w:r>
      <w:r w:rsidR="00B73255">
        <w:t>,</w:t>
      </w:r>
      <w:r w:rsidR="007F5E76">
        <w:t xml:space="preserve"> and the animals</w:t>
      </w:r>
      <w:r w:rsidR="00C01166">
        <w:t xml:space="preserve"> and plants</w:t>
      </w:r>
      <w:r w:rsidR="007F5E76">
        <w:t xml:space="preserve"> they were consuming</w:t>
      </w:r>
      <w:r w:rsidR="00B73255">
        <w:t>,</w:t>
      </w:r>
      <w:r w:rsidR="007F5E76">
        <w:t xml:space="preserve"> are powerful tools for reconstructing </w:t>
      </w:r>
      <w:r w:rsidR="001149A1">
        <w:t xml:space="preserve">the composition of </w:t>
      </w:r>
      <w:r w:rsidR="007F5E76">
        <w:t xml:space="preserve">prehistoric diets. </w:t>
      </w:r>
    </w:p>
    <w:p w:rsidR="005F3DFA" w:rsidRDefault="005F3DFA" w:rsidP="007F5E76"/>
    <w:p w:rsidR="002D6404" w:rsidRDefault="002D6404" w:rsidP="00D42966">
      <w:r>
        <w:t>Overall, stable isotope data ha</w:t>
      </w:r>
      <w:r w:rsidR="00C936C8">
        <w:t>ve</w:t>
      </w:r>
      <w:r>
        <w:t xml:space="preserve"> confirmed that Neolithic diets in Europe were largely terrestrial and based on C</w:t>
      </w:r>
      <w:r w:rsidRPr="006B001E">
        <w:rPr>
          <w:vertAlign w:val="subscript"/>
        </w:rPr>
        <w:t>3</w:t>
      </w:r>
      <w:r>
        <w:rPr>
          <w:vertAlign w:val="subscript"/>
        </w:rPr>
        <w:t xml:space="preserve"> </w:t>
      </w:r>
      <w:r>
        <w:t>plants for the most part, with some possible C</w:t>
      </w:r>
      <w:r w:rsidRPr="00396FAB">
        <w:rPr>
          <w:vertAlign w:val="subscript"/>
        </w:rPr>
        <w:t>4</w:t>
      </w:r>
      <w:r>
        <w:t xml:space="preserve"> millet towards the eastern distribution (Hunt </w:t>
      </w:r>
      <w:r>
        <w:rPr>
          <w:i/>
        </w:rPr>
        <w:t>et al</w:t>
      </w:r>
      <w:r>
        <w:t xml:space="preserve">. 2008). </w:t>
      </w:r>
      <w:r w:rsidR="007F5E76">
        <w:t xml:space="preserve">The relative importance of animal and plant protein in forming trophic level enrichment remains a matter of debate (summarised by Dürrwächter </w:t>
      </w:r>
      <w:r w:rsidR="007F5E76">
        <w:rPr>
          <w:i/>
        </w:rPr>
        <w:t>et al</w:t>
      </w:r>
      <w:r w:rsidR="007F5E76">
        <w:t xml:space="preserve">. 2006). Earlier isotope studies have suggested significant animal protein of 60–80% for prehistoric diets, which is high when compared to modern diets from various contexts, with consumption of freshwater fish, physiological changes and differences in herbivores all suggested as possible </w:t>
      </w:r>
      <w:r w:rsidR="007F5E76" w:rsidRPr="007D05FC">
        <w:t xml:space="preserve">complicating factors (Hedges and Reynard 2007, 1249). </w:t>
      </w:r>
      <w:r w:rsidRPr="007D05FC">
        <w:t xml:space="preserve">The contribution of different dietary sources made to the human stable isotope data can be modelled, using stable isotopic ratio averages from possible food sources and the expected isotope enrichments from the food chain and metabolism, to determine which mixture of dietary elements produces </w:t>
      </w:r>
      <w:r w:rsidR="00E529E7">
        <w:t xml:space="preserve">the </w:t>
      </w:r>
      <w:r w:rsidRPr="007D05FC">
        <w:t xml:space="preserve">closest stable isotope ratios to those of the human averages (Hedges </w:t>
      </w:r>
      <w:r w:rsidRPr="007D05FC">
        <w:rPr>
          <w:i/>
        </w:rPr>
        <w:t>et al</w:t>
      </w:r>
      <w:r w:rsidRPr="007D05FC">
        <w:t xml:space="preserve">. 2013, 364). There are often large uncertainties in both enrichment and the isotope ratios of food </w:t>
      </w:r>
      <w:r w:rsidR="00E529E7" w:rsidRPr="007D05FC">
        <w:t>sources, which</w:t>
      </w:r>
      <w:r w:rsidRPr="007D05FC">
        <w:t xml:space="preserve"> are greater than the instrumental errors</w:t>
      </w:r>
      <w:r w:rsidR="007D05FC" w:rsidRPr="007D05FC">
        <w:t xml:space="preserve"> (Fernandes </w:t>
      </w:r>
      <w:r w:rsidR="007D05FC" w:rsidRPr="007D05FC">
        <w:rPr>
          <w:i/>
        </w:rPr>
        <w:t>et al</w:t>
      </w:r>
      <w:r w:rsidR="007D05FC" w:rsidRPr="007D05FC">
        <w:t>. 2014)</w:t>
      </w:r>
      <w:r w:rsidRPr="007D05FC">
        <w:t xml:space="preserve">. </w:t>
      </w:r>
      <w:r w:rsidR="007F5E76" w:rsidRPr="007D05FC">
        <w:t>The</w:t>
      </w:r>
      <w:r w:rsidR="007F5E76">
        <w:t xml:space="preserve"> assumption underlying these models is that humans and animals were feeding on the same plants, and hence plants would have contributed identical isotopic ratios to both animal protein and the humans who consumed both plants and the animal protein (Bogaard </w:t>
      </w:r>
      <w:r w:rsidR="007F5E76">
        <w:rPr>
          <w:i/>
        </w:rPr>
        <w:t>et al</w:t>
      </w:r>
      <w:r w:rsidR="007F5E76">
        <w:t xml:space="preserve">. 2007; Fraser </w:t>
      </w:r>
      <w:r w:rsidR="007F5E76">
        <w:rPr>
          <w:i/>
        </w:rPr>
        <w:t>et al</w:t>
      </w:r>
      <w:r w:rsidR="007F5E76">
        <w:t xml:space="preserve">. 2011; 2013). Fraser </w:t>
      </w:r>
      <w:r w:rsidR="007F5E76">
        <w:rPr>
          <w:i/>
        </w:rPr>
        <w:t>et al</w:t>
      </w:r>
      <w:r w:rsidR="007F5E76">
        <w:t>. (2011) demonstrated that manured plants would be enriched relative to non-manured plants, and further isotopic analysis of cereal and pulse</w:t>
      </w:r>
      <w:r w:rsidR="00B73255">
        <w:t xml:space="preserve"> remains at the early Neolithic</w:t>
      </w:r>
      <w:r w:rsidR="007F5E76">
        <w:t xml:space="preserve"> Linearbandke</w:t>
      </w:r>
      <w:r w:rsidR="00B73255">
        <w:t>ramik (LBK)</w:t>
      </w:r>
      <w:r w:rsidR="007F5E76">
        <w:t xml:space="preserve"> site of Vaihingen, supported a dietary model where cultivated plants provided most of the dietary protein to humans (Fraser </w:t>
      </w:r>
      <w:r w:rsidR="007F5E76">
        <w:rPr>
          <w:i/>
        </w:rPr>
        <w:t>et al</w:t>
      </w:r>
      <w:r w:rsidR="007F5E76">
        <w:t xml:space="preserve">. 2013). </w:t>
      </w:r>
      <w:r w:rsidR="006C6AED">
        <w:t>As N</w:t>
      </w:r>
      <w:r w:rsidR="006C6AED" w:rsidRPr="00D07F58">
        <w:rPr>
          <w:vertAlign w:val="subscript"/>
        </w:rPr>
        <w:t>2</w:t>
      </w:r>
      <w:r w:rsidR="006C6AED">
        <w:t xml:space="preserve">-fixing plants, with little isotopic fractionation, pulses are likely to have a </w:t>
      </w:r>
      <w:r w:rsidR="006C6AED">
        <w:rPr>
          <w:rFonts w:cs="Times New Roman"/>
        </w:rPr>
        <w:t>δ</w:t>
      </w:r>
      <w:r w:rsidR="006C6AED" w:rsidRPr="000972BF">
        <w:rPr>
          <w:rFonts w:cs="Times New Roman"/>
          <w:vertAlign w:val="superscript"/>
        </w:rPr>
        <w:t>15</w:t>
      </w:r>
      <w:r w:rsidR="006C6AED" w:rsidRPr="00D124B1">
        <w:rPr>
          <w:rFonts w:cs="Times New Roman"/>
        </w:rPr>
        <w:t>N</w:t>
      </w:r>
      <w:r w:rsidR="006C6AED">
        <w:rPr>
          <w:rFonts w:cs="Times New Roman"/>
        </w:rPr>
        <w:t xml:space="preserve"> close to 0‰, with manuring having significantly less impact on their nitrogen isotope ratios than on cereals, which can see an increase of </w:t>
      </w:r>
      <w:r w:rsidR="006C6AED">
        <w:rPr>
          <w:rFonts w:cs="Times New Roman"/>
          <w:i/>
        </w:rPr>
        <w:t>c.</w:t>
      </w:r>
      <w:r w:rsidR="006C6AED">
        <w:rPr>
          <w:rFonts w:cs="Times New Roman"/>
        </w:rPr>
        <w:t xml:space="preserve">6‰ or higher (Fraser </w:t>
      </w:r>
      <w:r w:rsidR="006C6AED">
        <w:rPr>
          <w:rFonts w:cs="Times New Roman"/>
          <w:i/>
        </w:rPr>
        <w:t>et al</w:t>
      </w:r>
      <w:r w:rsidR="006C6AED">
        <w:rPr>
          <w:rFonts w:cs="Times New Roman"/>
        </w:rPr>
        <w:t>. 2011).</w:t>
      </w:r>
      <w:r w:rsidR="006C6AED">
        <w:t xml:space="preserve"> </w:t>
      </w:r>
      <w:r w:rsidR="007F5E76">
        <w:t>If long-term manuring of intensively managed ‘garden’-like plots of land did raise the δ</w:t>
      </w:r>
      <w:r w:rsidR="007F5E76" w:rsidRPr="004B3C76">
        <w:rPr>
          <w:vertAlign w:val="superscript"/>
        </w:rPr>
        <w:t>15</w:t>
      </w:r>
      <w:r w:rsidR="007F5E76">
        <w:t xml:space="preserve">N isotope </w:t>
      </w:r>
      <w:r w:rsidR="00353100">
        <w:t>ratio</w:t>
      </w:r>
      <w:r w:rsidR="007F5E76">
        <w:t xml:space="preserve">s of cereals (and </w:t>
      </w:r>
      <w:r w:rsidR="006C6AED">
        <w:t>to a less</w:t>
      </w:r>
      <w:r w:rsidR="00E529E7">
        <w:t>er</w:t>
      </w:r>
      <w:r w:rsidR="006C6AED">
        <w:t xml:space="preserve"> extent pulses</w:t>
      </w:r>
      <w:r w:rsidR="007F5E76">
        <w:t xml:space="preserve">), this is significant for considering </w:t>
      </w:r>
      <w:r w:rsidR="007F5E76">
        <w:lastRenderedPageBreak/>
        <w:t xml:space="preserve">many different periods through time, and particularly so for considering the Mesolithic-Neolithic transition, as manuring and cultivation </w:t>
      </w:r>
      <w:r w:rsidR="00E529E7">
        <w:t xml:space="preserve">may </w:t>
      </w:r>
      <w:r w:rsidR="007F5E76">
        <w:t>have coevally begun</w:t>
      </w:r>
      <w:r w:rsidR="00C01166">
        <w:t xml:space="preserve">. </w:t>
      </w:r>
    </w:p>
    <w:p w:rsidR="002D6404" w:rsidRDefault="002D6404" w:rsidP="00D42966"/>
    <w:p w:rsidR="002D6404" w:rsidRDefault="00372CC3" w:rsidP="002D6404">
      <w:r>
        <w:t xml:space="preserve">However, to date, most academic attention has fallen on the stable isotope results from the Atlantic façade </w:t>
      </w:r>
      <w:r w:rsidR="00B73255">
        <w:t>(</w:t>
      </w:r>
      <w:r>
        <w:t>which demonstrated an immediate and almost complete abandonment of marine foods at the onset of the Neolithic and a narrowing of isotope ranges</w:t>
      </w:r>
      <w:r w:rsidR="00B73255">
        <w:t>;</w:t>
      </w:r>
      <w:r>
        <w:t xml:space="preserve"> summarised in Schulting 2015</w:t>
      </w:r>
      <w:r w:rsidRPr="00462877">
        <w:t>; 2018)</w:t>
      </w:r>
      <w:r w:rsidR="007D05FC" w:rsidRPr="00462877">
        <w:t>,</w:t>
      </w:r>
      <w:r w:rsidR="007D05FC">
        <w:t xml:space="preserve"> rather than on </w:t>
      </w:r>
      <w:r w:rsidR="00B73255">
        <w:t xml:space="preserve">changes in </w:t>
      </w:r>
      <w:r w:rsidR="007D05FC">
        <w:t>the overall composition of the diet</w:t>
      </w:r>
      <w:r>
        <w:t xml:space="preserve">. Did, then, the onset of the Neolithic mean a change in the proportions different foodstuffs contributed to the diet? This has important implications for how we characterise the significance of diet in shaping the transition to farming. The challenge remains to determine what the significant changes were, not </w:t>
      </w:r>
      <w:r w:rsidR="00E529E7">
        <w:t xml:space="preserve">only </w:t>
      </w:r>
      <w:r>
        <w:t xml:space="preserve">in terms of </w:t>
      </w:r>
      <w:r w:rsidR="00E529E7">
        <w:t>food production, but also in the proportion contribution of different foodstuffs to the diet</w:t>
      </w:r>
      <w:r>
        <w:t xml:space="preserve">; and this means characterising the diversity of practices </w:t>
      </w:r>
      <w:r w:rsidR="00B73255">
        <w:t xml:space="preserve">in </w:t>
      </w:r>
      <w:r>
        <w:t xml:space="preserve">both the Mesolithic and the Neolithic. </w:t>
      </w:r>
      <w:r w:rsidR="002D6404">
        <w:t xml:space="preserve">Recently, Bayesian mixing models have been developed which allow for the incorporation of multiple sources of uncertainty (Fernandes </w:t>
      </w:r>
      <w:r w:rsidR="002D6404">
        <w:rPr>
          <w:i/>
        </w:rPr>
        <w:t>et al</w:t>
      </w:r>
      <w:r w:rsidR="002D6404">
        <w:t xml:space="preserve">. 2014). Developed by Fernandes </w:t>
      </w:r>
      <w:r w:rsidR="002D6404">
        <w:rPr>
          <w:i/>
        </w:rPr>
        <w:t>et al</w:t>
      </w:r>
      <w:r w:rsidR="002D6404">
        <w:t xml:space="preserve">. (2014), FRUITS (Food Reconstruction Using Isotopic Transferred Signals) uses Bayesian mixing models of known priors (consumer stable isotope ratios, diet-consumer off-set, and stable isotopic ratio averages from food sources) to produce an estimate of the mean percentage each food type contributed to the diet, as well as the associated errors. It should be stressed, therefore, that reliability of models produced by FRUITS are entirely based on the parameters selected, and changing the parameters will change the output of the model. FRUITS can thus help to estimate the proportion contribution different food sources made to the Mesolithic and Neolithic diets in central Europe, but its results </w:t>
      </w:r>
      <w:r>
        <w:t xml:space="preserve">must be </w:t>
      </w:r>
      <w:r w:rsidR="002D6404">
        <w:t xml:space="preserve">handled cautiously. It is thus worth remembering Box’s (1979, 202) </w:t>
      </w:r>
      <w:r w:rsidR="005E01B0">
        <w:t>maxim</w:t>
      </w:r>
      <w:r w:rsidR="002D6404">
        <w:t xml:space="preserve"> that</w:t>
      </w:r>
      <w:r w:rsidR="00B73255">
        <w:t xml:space="preserve"> while</w:t>
      </w:r>
      <w:r w:rsidR="002D6404">
        <w:t xml:space="preserve"> ‘all models are wrong, some models are useful’</w:t>
      </w:r>
      <w:r>
        <w:t>. With growing understanding</w:t>
      </w:r>
      <w:r w:rsidR="007D05FC">
        <w:t xml:space="preserve"> of the isotopes from cereals, and larger bodies of data for the both the Mesolithic and Neolithic</w:t>
      </w:r>
      <w:r w:rsidR="005E01B0">
        <w:t xml:space="preserve"> now available</w:t>
      </w:r>
      <w:r w:rsidR="007D05FC">
        <w:t>, FRUITS can usefully be applied to the region under discussion here for the first time.</w:t>
      </w:r>
      <w:r>
        <w:t xml:space="preserve"> </w:t>
      </w:r>
      <w:r w:rsidR="002D6404">
        <w:t xml:space="preserve"> </w:t>
      </w:r>
    </w:p>
    <w:p w:rsidR="00D026F5" w:rsidRDefault="00D026F5" w:rsidP="00D42966">
      <w:pPr>
        <w:rPr>
          <w:b/>
        </w:rPr>
      </w:pPr>
    </w:p>
    <w:p w:rsidR="00D42966" w:rsidRDefault="007F5E76" w:rsidP="00D42966">
      <w:r>
        <w:rPr>
          <w:b/>
        </w:rPr>
        <w:t>3</w:t>
      </w:r>
      <w:r w:rsidR="00DC5F07">
        <w:rPr>
          <w:b/>
        </w:rPr>
        <w:t xml:space="preserve">. </w:t>
      </w:r>
      <w:r w:rsidR="00D42966">
        <w:rPr>
          <w:b/>
        </w:rPr>
        <w:t>Mesolithic-Neolithic dietary transition in central Europe</w:t>
      </w:r>
    </w:p>
    <w:p w:rsidR="00D42966" w:rsidRDefault="00D42966" w:rsidP="00D42966">
      <w:r>
        <w:t>The geographical range of this paper is defined by the distribution of the Linearbandkeramik (LBK; 5500</w:t>
      </w:r>
      <w:r w:rsidR="00C01166">
        <w:t>–</w:t>
      </w:r>
      <w:r>
        <w:t>5000 cal BC</w:t>
      </w:r>
      <w:r w:rsidR="008B0EC3">
        <w:t>; Bickle and Whittle 2013</w:t>
      </w:r>
      <w:r>
        <w:t>). The Neolithic in this region began on the Great Hungarian Plain and then spread out across central Europe, eventually stretching for some 800</w:t>
      </w:r>
      <w:r w:rsidR="00C01166">
        <w:t xml:space="preserve"> or more</w:t>
      </w:r>
      <w:r>
        <w:t xml:space="preserve"> miles from the Paris basin in the west to Dneiper basin in the east. </w:t>
      </w:r>
      <w:r w:rsidR="004A16D7">
        <w:t>R</w:t>
      </w:r>
      <w:r>
        <w:t xml:space="preserve">ecent aDNA analysis suggests that this distribution was mainly achieved by an expansion of population from </w:t>
      </w:r>
      <w:r w:rsidR="00C01166">
        <w:t>earlier Neolithic</w:t>
      </w:r>
      <w:r w:rsidR="00094FE7">
        <w:t xml:space="preserve"> Star</w:t>
      </w:r>
      <w:r w:rsidR="0005750C" w:rsidRPr="0005750C">
        <w:t>č</w:t>
      </w:r>
      <w:r w:rsidR="0005750C">
        <w:t>evo and Körö</w:t>
      </w:r>
      <w:r w:rsidR="00094FE7">
        <w:t xml:space="preserve">s cultures </w:t>
      </w:r>
      <w:r w:rsidR="008B0EC3">
        <w:t>to the south-</w:t>
      </w:r>
      <w:r>
        <w:t xml:space="preserve">east, with </w:t>
      </w:r>
      <w:r w:rsidR="00094FE7">
        <w:t>highly restricted</w:t>
      </w:r>
      <w:r>
        <w:t xml:space="preserve"> admixture </w:t>
      </w:r>
      <w:r w:rsidR="001B12D7">
        <w:t>of 4-5% from</w:t>
      </w:r>
      <w:r>
        <w:t xml:space="preserve"> indigenous groups (</w:t>
      </w:r>
      <w:r w:rsidR="00094FE7">
        <w:t xml:space="preserve">Lipson </w:t>
      </w:r>
      <w:r w:rsidR="00094FE7">
        <w:rPr>
          <w:i/>
        </w:rPr>
        <w:t>et al</w:t>
      </w:r>
      <w:r w:rsidR="00094FE7">
        <w:t>. 2017</w:t>
      </w:r>
      <w:r>
        <w:t>). However, across the distribution of the LBK there remains debated evidence for the incorporation of hunter-gatherers, in the use of cereals, lithics and pottery prior to the arrival of the LBK. The evidence for cereal growing prior to the LBK is the least certain being limited to the presence of pollen, the interpretation of which is debated and they may be large wild grasses (Behre 2007). Pollen grains in themselves do not confirm farming</w:t>
      </w:r>
      <w:r w:rsidR="00B73255">
        <w:t xml:space="preserve"> was taking place</w:t>
      </w:r>
      <w:r>
        <w:t>, b</w:t>
      </w:r>
      <w:r w:rsidR="00B64E1E">
        <w:t>ut they may suggest that cereal-like plants</w:t>
      </w:r>
      <w:r>
        <w:t xml:space="preserve"> were </w:t>
      </w:r>
      <w:r w:rsidR="001B12D7">
        <w:t>familiar to the</w:t>
      </w:r>
      <w:r>
        <w:t xml:space="preserve"> late Mesolithic</w:t>
      </w:r>
      <w:r w:rsidR="001B12D7">
        <w:t xml:space="preserve"> population</w:t>
      </w:r>
      <w:r>
        <w:t xml:space="preserve">. Lithic tool assemblages at LBK sites suggest continuity from the late Mesolithic, both in sources for raw material and production technique (the direct percussion for regular blades; Mateiciucová 2008, 78). Ceramics, of non-LBK origin, are also present at some early LBK sites in the western distribution. Two ceramic forms in particular, La Hoguette and Limburg, are often proposed as made by indigenous groups, and </w:t>
      </w:r>
      <w:r w:rsidR="00746943">
        <w:t xml:space="preserve">in </w:t>
      </w:r>
      <w:r>
        <w:t>the case of La Hoguette</w:t>
      </w:r>
      <w:r w:rsidR="00746943">
        <w:t>,</w:t>
      </w:r>
      <w:r>
        <w:t xml:space="preserve"> found </w:t>
      </w:r>
      <w:r w:rsidR="00746943">
        <w:t xml:space="preserve">at </w:t>
      </w:r>
      <w:r>
        <w:t>a very small number of non-LBK sites (</w:t>
      </w:r>
      <w:r w:rsidR="00094FE7" w:rsidRPr="00ED2606">
        <w:rPr>
          <w:lang w:val="fr-FR"/>
        </w:rPr>
        <w:t>Manen and Mazurié de Keroualin</w:t>
      </w:r>
      <w:r w:rsidR="00094FE7">
        <w:t xml:space="preserve"> 2003</w:t>
      </w:r>
      <w:r>
        <w:t xml:space="preserve">). At one of these sites, Stuttgart-Bad Cannstatt, domestic sheep/goat were found alongside red and roe deer, auroches and wild boar (Meurers-Balke and Kalis 2001). This evidence suggests some complexity of mixing between different groups, challenging the neat categorisation of diet into separate ‘hunter-gatherer’ and ‘farmer’ foods and practices.  </w:t>
      </w:r>
    </w:p>
    <w:p w:rsidR="00D42966" w:rsidRDefault="00D42966" w:rsidP="00D42966"/>
    <w:p w:rsidR="009A2723" w:rsidRDefault="001B12D7" w:rsidP="00746943">
      <w:r>
        <w:lastRenderedPageBreak/>
        <w:t xml:space="preserve">This challenge to neat categorisation of farmers and foragers into two dietary groups, also applies to the periods of Mesolithic and Neolithic, the definition of which can vary depending on location and through time (Bickle and Hofmann 2007; </w:t>
      </w:r>
      <w:r w:rsidRPr="004D7D09">
        <w:t xml:space="preserve">Schulting </w:t>
      </w:r>
      <w:r w:rsidR="0058301B" w:rsidRPr="004D7D09">
        <w:t xml:space="preserve">2011; </w:t>
      </w:r>
      <w:r w:rsidRPr="004D7D09">
        <w:t>2018</w:t>
      </w:r>
      <w:r>
        <w:t xml:space="preserve">). Of relevance to this paper, </w:t>
      </w:r>
      <w:r w:rsidR="002D574F">
        <w:t xml:space="preserve">is the extent to which different practices for procuring food extend through to different </w:t>
      </w:r>
      <w:r w:rsidR="00746943">
        <w:t>dietary compositions</w:t>
      </w:r>
      <w:r w:rsidR="002D574F">
        <w:t xml:space="preserve"> (both in terms of what is eaten and changing proportions of food sources). </w:t>
      </w:r>
      <w:r w:rsidR="00D42966">
        <w:t xml:space="preserve">The one element of diet which has, at least elsewhere in Europe, been shown to divide </w:t>
      </w:r>
      <w:r w:rsidR="002D574F">
        <w:t>Mesolithic and Neolithic diets</w:t>
      </w:r>
      <w:r w:rsidR="00D42966">
        <w:t xml:space="preserve"> has been the consumption of marine resources. This is </w:t>
      </w:r>
      <w:r w:rsidR="002D574F">
        <w:t>complex, however</w:t>
      </w:r>
      <w:r w:rsidR="00746943">
        <w:t>, and varies across Europe</w:t>
      </w:r>
      <w:r w:rsidR="002D574F">
        <w:t>. F</w:t>
      </w:r>
      <w:r w:rsidR="00D42966">
        <w:t>or example</w:t>
      </w:r>
      <w:r w:rsidR="002D574F">
        <w:t>,</w:t>
      </w:r>
      <w:r w:rsidR="00D42966">
        <w:t xml:space="preserve"> the Pitted Ware culture of </w:t>
      </w:r>
      <w:r w:rsidR="008B0EC3">
        <w:t>s</w:t>
      </w:r>
      <w:r w:rsidR="00D42966">
        <w:t xml:space="preserve">outhern Scandinavia </w:t>
      </w:r>
      <w:r w:rsidR="002D574F">
        <w:t xml:space="preserve">is classified as Middle Neolithic on the presence of ceramics, but is </w:t>
      </w:r>
      <w:r w:rsidR="00746943">
        <w:t xml:space="preserve">a </w:t>
      </w:r>
      <w:r w:rsidR="002D574F">
        <w:t>mainly</w:t>
      </w:r>
      <w:r w:rsidR="00746943">
        <w:t xml:space="preserve"> </w:t>
      </w:r>
      <w:r w:rsidR="002D574F">
        <w:t xml:space="preserve">hunter-gatherer economy </w:t>
      </w:r>
      <w:r w:rsidR="00D42966">
        <w:t>rel</w:t>
      </w:r>
      <w:r w:rsidR="002D574F">
        <w:t>ying</w:t>
      </w:r>
      <w:r w:rsidR="00D42966">
        <w:t xml:space="preserve"> on seals</w:t>
      </w:r>
      <w:r w:rsidR="002D574F">
        <w:t xml:space="preserve">, while the </w:t>
      </w:r>
      <w:r w:rsidR="00D42966">
        <w:t xml:space="preserve">neighbouring Funnel Beaker groups (TRB), who </w:t>
      </w:r>
      <w:r w:rsidR="002D574F">
        <w:t xml:space="preserve">were farmers </w:t>
      </w:r>
      <w:r w:rsidR="00D42966">
        <w:t xml:space="preserve">have more terrestrial isotope </w:t>
      </w:r>
      <w:r w:rsidR="00353100">
        <w:t>ratios</w:t>
      </w:r>
      <w:r w:rsidR="00D42966">
        <w:t xml:space="preserve"> (</w:t>
      </w:r>
      <w:r w:rsidR="009A2723">
        <w:t xml:space="preserve">Eriksson 2004; </w:t>
      </w:r>
      <w:r w:rsidR="00D42966">
        <w:t xml:space="preserve">Eriksson </w:t>
      </w:r>
      <w:r w:rsidR="00D42966" w:rsidRPr="00B631C6">
        <w:rPr>
          <w:i/>
        </w:rPr>
        <w:t>et al</w:t>
      </w:r>
      <w:r w:rsidR="00D42966">
        <w:t xml:space="preserve">. 2008). </w:t>
      </w:r>
      <w:r w:rsidR="00C01166">
        <w:t>High resolution sampling of tooth dentine, which forms in childhood, of individuals from Neolithic Shetland found short-term episodes of high marine consumption</w:t>
      </w:r>
      <w:r w:rsidR="002D574F">
        <w:t xml:space="preserve"> amongst farmers, perhaps a</w:t>
      </w:r>
      <w:r w:rsidR="00C01166">
        <w:t xml:space="preserve"> response to times when terrestrial resources in this marginal landscape were short (Montgomery </w:t>
      </w:r>
      <w:r w:rsidR="00C01166">
        <w:rPr>
          <w:i/>
        </w:rPr>
        <w:t>et al</w:t>
      </w:r>
      <w:r w:rsidR="00C01166">
        <w:t xml:space="preserve">. 2013). Away from the coasts, estimating freshwater fish consumption has seen less attention than marine, but has been examined through Sulphur isotope analysis. Sulphur isotope analysis has been carried out in the Danube Gorges and at some sites in central Germany. In the Danube Gorges, </w:t>
      </w:r>
      <w:r w:rsidR="002D574F">
        <w:t>where farming replaced hunting and gathering</w:t>
      </w:r>
      <w:r w:rsidR="00746943">
        <w:t xml:space="preserve"> at the onset of the Neolithic</w:t>
      </w:r>
      <w:r w:rsidR="002D574F">
        <w:t xml:space="preserve">, </w:t>
      </w:r>
      <w:r w:rsidR="00C01166">
        <w:t>the δ</w:t>
      </w:r>
      <w:r w:rsidR="00C01166" w:rsidRPr="00487FD1">
        <w:rPr>
          <w:vertAlign w:val="superscript"/>
        </w:rPr>
        <w:t>34</w:t>
      </w:r>
      <w:r w:rsidR="00C01166">
        <w:t xml:space="preserve">S </w:t>
      </w:r>
      <w:r w:rsidR="00B73255">
        <w:t>ratios</w:t>
      </w:r>
      <w:r w:rsidR="00C01166">
        <w:t xml:space="preserve"> demonstrated that consumption of freshwater </w:t>
      </w:r>
      <w:r w:rsidR="00746943">
        <w:t>resources</w:t>
      </w:r>
      <w:r w:rsidR="00C01166">
        <w:t xml:space="preserve"> was not static across the Mesolithic or the Neolithic, and perhaps showed greater intra-site variation than chronological change (Nehlich </w:t>
      </w:r>
      <w:r w:rsidR="00C01166">
        <w:rPr>
          <w:i/>
        </w:rPr>
        <w:t>et al</w:t>
      </w:r>
      <w:r w:rsidR="00C01166">
        <w:t xml:space="preserve">. 2010). </w:t>
      </w:r>
      <w:r w:rsidR="009A2723">
        <w:t>Stable isotopes from human remains near</w:t>
      </w:r>
      <w:r w:rsidR="00D42966">
        <w:t xml:space="preserve"> the Dnieper Rapids, Ukraine, </w:t>
      </w:r>
      <w:r w:rsidR="009A2723">
        <w:t>demonstrate</w:t>
      </w:r>
      <w:r w:rsidR="00D42966">
        <w:t xml:space="preserve"> a drop in freshwater fish consumption (albeit not a total abandonment; Lille </w:t>
      </w:r>
      <w:r w:rsidR="00D42966" w:rsidRPr="00390586">
        <w:rPr>
          <w:i/>
        </w:rPr>
        <w:t>et al</w:t>
      </w:r>
      <w:r w:rsidR="00D42966">
        <w:t>. 20</w:t>
      </w:r>
      <w:r w:rsidR="00390586">
        <w:t>09</w:t>
      </w:r>
      <w:r w:rsidR="00D42966">
        <w:t>)</w:t>
      </w:r>
      <w:r w:rsidR="0058301B">
        <w:t xml:space="preserve"> in a context where the Neolithic is defined by the introduction of ceramics rather than a large influx of domesticates</w:t>
      </w:r>
    </w:p>
    <w:p w:rsidR="009A2723" w:rsidRDefault="009A2723" w:rsidP="00D42966"/>
    <w:p w:rsidR="00D42966" w:rsidRDefault="00D42966" w:rsidP="00D42966">
      <w:r>
        <w:t xml:space="preserve">The </w:t>
      </w:r>
      <w:r w:rsidR="009A2723">
        <w:t xml:space="preserve">consumption of freshwater resources </w:t>
      </w:r>
      <w:r>
        <w:t xml:space="preserve">in the central Europe-LBK area remains uncertain and the evidence from </w:t>
      </w:r>
      <w:r w:rsidR="004A16D7">
        <w:t>stable</w:t>
      </w:r>
      <w:r>
        <w:t xml:space="preserve"> isotope</w:t>
      </w:r>
      <w:r w:rsidR="004A16D7">
        <w:t>s</w:t>
      </w:r>
      <w:r>
        <w:t xml:space="preserve"> is yet to be fully considered.</w:t>
      </w:r>
      <w:r w:rsidR="00746943" w:rsidRPr="00746943">
        <w:t xml:space="preserve"> </w:t>
      </w:r>
      <w:r w:rsidR="00746943">
        <w:t>Exploitation of freshwater animals such as fish, waterfowl or even turtle may have continued across the transition (Lüning 2000; Willms 2003) and archaeological evidence</w:t>
      </w:r>
      <w:r>
        <w:t xml:space="preserve"> points to continued fishing being practiced, though much variability. </w:t>
      </w:r>
      <w:r w:rsidR="008E531A">
        <w:t xml:space="preserve">Low frequency </w:t>
      </w:r>
      <w:r>
        <w:t>of sieving and flotation will mean under-representation, but fish bone is rarely found in any great frequency in LBK contexts (summarised in Bickle and Whittle 2013, 15–16). Exceptions are, however, to be found in the western distribution of the LBK, at sites in Belgium, the Paris basin and southern Baden-Württe</w:t>
      </w:r>
      <w:r w:rsidR="00390586">
        <w:t>mberg (</w:t>
      </w:r>
      <w:r w:rsidR="00B9297A">
        <w:t>Lün</w:t>
      </w:r>
      <w:r w:rsidR="00390586">
        <w:t>ing 2000, 153; Clavel and Arbogast 2007</w:t>
      </w:r>
      <w:r>
        <w:t>). In their analysis of the finds from three sites in the Oise valley, Paris basin, Clavel and Arbogast (2007, 86) found a wide variety of species, including tench, bream, rudd, chub, roach, gudgeon, pike, perch and eel in differing frequencies. These species represent a variety of fishing techniques, but could have all been fished near to the settlement (Clavel and Arbogast 2007, 87). In southern Baden-W</w:t>
      </w:r>
      <w:r w:rsidRPr="00EE2F42">
        <w:t>ü</w:t>
      </w:r>
      <w:r>
        <w:t xml:space="preserve">rttemberg, a possible ‘fishing station’ is identified at Lautereck, a rock shelter site with earlier LBK ceramic sherds, while at the settlement site of Singen, just north of </w:t>
      </w:r>
      <w:r w:rsidR="008B0EC3">
        <w:t>l</w:t>
      </w:r>
      <w:r>
        <w:t xml:space="preserve">ake Constance, a similar range of species and fishing techniques to those found in the </w:t>
      </w:r>
      <w:r w:rsidR="008B0EC3">
        <w:t xml:space="preserve">river </w:t>
      </w:r>
      <w:r>
        <w:t>Oise are demonstrated (</w:t>
      </w:r>
      <w:r w:rsidR="00200988">
        <w:t xml:space="preserve">Aufdermauer </w:t>
      </w:r>
      <w:r w:rsidR="00200988">
        <w:rPr>
          <w:i/>
        </w:rPr>
        <w:t>et al</w:t>
      </w:r>
      <w:r w:rsidR="00200988">
        <w:t>. 1985, 53;</w:t>
      </w:r>
      <w:r w:rsidR="00200988">
        <w:rPr>
          <w:i/>
        </w:rPr>
        <w:t xml:space="preserve"> </w:t>
      </w:r>
      <w:r w:rsidR="00B9297A">
        <w:t>Lün</w:t>
      </w:r>
      <w:r w:rsidR="00390586">
        <w:t>ing 2000</w:t>
      </w:r>
      <w:r w:rsidR="00200988">
        <w:t>, 154</w:t>
      </w:r>
      <w:r>
        <w:t xml:space="preserve">). The </w:t>
      </w:r>
      <w:r w:rsidR="00B64E1E">
        <w:t xml:space="preserve">range of fish skeletal </w:t>
      </w:r>
      <w:r>
        <w:t xml:space="preserve">parts found </w:t>
      </w:r>
      <w:r w:rsidR="00B64E1E">
        <w:t xml:space="preserve">indicate </w:t>
      </w:r>
      <w:r>
        <w:t xml:space="preserve">scaling and gutting activities, </w:t>
      </w:r>
      <w:r w:rsidR="00B64E1E">
        <w:t xml:space="preserve">likely </w:t>
      </w:r>
      <w:r w:rsidR="008E531A">
        <w:t xml:space="preserve">to signal </w:t>
      </w:r>
      <w:r w:rsidR="00B64E1E">
        <w:t xml:space="preserve">preparation for </w:t>
      </w:r>
      <w:r>
        <w:t xml:space="preserve">consumption </w:t>
      </w:r>
      <w:r w:rsidR="00B64E1E">
        <w:t>(Clavel and Arbogast 2007, 87)</w:t>
      </w:r>
      <w:r>
        <w:t xml:space="preserve">. </w:t>
      </w:r>
      <w:r w:rsidR="009A2723">
        <w:t>T</w:t>
      </w:r>
      <w:r w:rsidR="00FC1B99">
        <w:t xml:space="preserve">his would suggest that </w:t>
      </w:r>
      <w:r w:rsidR="008E531A">
        <w:t>LBK</w:t>
      </w:r>
      <w:r>
        <w:t xml:space="preserve"> groups were eating freshwater resources.</w:t>
      </w:r>
    </w:p>
    <w:p w:rsidR="00D42966" w:rsidRDefault="00D42966" w:rsidP="00D42966"/>
    <w:p w:rsidR="00D42966" w:rsidRPr="007470C7" w:rsidRDefault="00D42966" w:rsidP="00D42966">
      <w:pPr>
        <w:rPr>
          <w:i/>
        </w:rPr>
      </w:pPr>
      <w:r>
        <w:t>Mesolithic diet in this region of Europe seems to have broadly relied on terrestrial hunted wild species, such as red deer, wild boar and aurochs among others, and a large range of wild plants, including nuts, seeds and tubers, suggesting a varied diet, which could have seen distinct seasonal variation (</w:t>
      </w:r>
      <w:r w:rsidR="00200988">
        <w:t>Gronenborn 1999; Jochim 1998; 2008</w:t>
      </w:r>
      <w:r>
        <w:t xml:space="preserve">). Fish and other freshwater resources are known from the Mesolithic sites, though their </w:t>
      </w:r>
      <w:r w:rsidR="008E531A">
        <w:t>role in the</w:t>
      </w:r>
      <w:r>
        <w:t xml:space="preserve"> diet may not have been as strong as marine resources </w:t>
      </w:r>
      <w:r w:rsidR="008E531A">
        <w:t>in</w:t>
      </w:r>
      <w:r>
        <w:t xml:space="preserve"> coastal hunter-gatherer </w:t>
      </w:r>
      <w:r w:rsidR="008E531A">
        <w:t>diet</w:t>
      </w:r>
      <w:r>
        <w:t xml:space="preserve">. At Noyen-sur-Seine, Paris basin, human isotope </w:t>
      </w:r>
      <w:r>
        <w:lastRenderedPageBreak/>
        <w:t xml:space="preserve">signals suggested local aquatic resources were </w:t>
      </w:r>
      <w:r w:rsidRPr="00200988">
        <w:rPr>
          <w:i/>
        </w:rPr>
        <w:t>c</w:t>
      </w:r>
      <w:r>
        <w:t>.30–40% of the diet (Dr</w:t>
      </w:r>
      <w:r w:rsidR="00200988">
        <w:t>u</w:t>
      </w:r>
      <w:r>
        <w:t xml:space="preserve">cker </w:t>
      </w:r>
      <w:r>
        <w:rPr>
          <w:i/>
        </w:rPr>
        <w:t>et al</w:t>
      </w:r>
      <w:r>
        <w:t>. 201</w:t>
      </w:r>
      <w:r w:rsidR="00200988">
        <w:t>6</w:t>
      </w:r>
      <w:r>
        <w:t xml:space="preserve">). These resources included a variety of fish, such as pike, brown trout, burbot, cyprinid, as well as eel, pond turtle and </w:t>
      </w:r>
      <w:r w:rsidR="009A2723">
        <w:t xml:space="preserve">possibly </w:t>
      </w:r>
      <w:r>
        <w:t xml:space="preserve">otter (Drucker </w:t>
      </w:r>
      <w:r>
        <w:rPr>
          <w:i/>
        </w:rPr>
        <w:t>et al</w:t>
      </w:r>
      <w:r>
        <w:t>. 201</w:t>
      </w:r>
      <w:r w:rsidR="00B9297A">
        <w:t>6</w:t>
      </w:r>
      <w:r>
        <w:t xml:space="preserve">). In the Meuse basin, Bocherens </w:t>
      </w:r>
      <w:r>
        <w:rPr>
          <w:i/>
        </w:rPr>
        <w:t>et al</w:t>
      </w:r>
      <w:r>
        <w:t xml:space="preserve">. (2007) suggest that the main contribution to dietary protein came from terrestrial sources, with freshwater resources a possible addition that explained variation between the humans sampled. Therefore, as for the Neolithic, assuming a monolithic ‘Mesolithic’ diet would be a mistake, and quite diverse patterns may have been the norm. </w:t>
      </w:r>
    </w:p>
    <w:p w:rsidR="00C8085C" w:rsidRDefault="00C8085C" w:rsidP="00B968BD"/>
    <w:p w:rsidR="00C8085C" w:rsidRDefault="00487FD1" w:rsidP="00C8085C">
      <w:r>
        <w:rPr>
          <w:b/>
        </w:rPr>
        <w:t xml:space="preserve">4. </w:t>
      </w:r>
      <w:r w:rsidR="00EA7329">
        <w:rPr>
          <w:b/>
        </w:rPr>
        <w:t>I</w:t>
      </w:r>
      <w:r w:rsidR="00C8085C">
        <w:rPr>
          <w:b/>
        </w:rPr>
        <w:t>sotope</w:t>
      </w:r>
      <w:r w:rsidR="004A16D7">
        <w:rPr>
          <w:b/>
        </w:rPr>
        <w:t>s</w:t>
      </w:r>
      <w:r w:rsidR="006E0FAE">
        <w:rPr>
          <w:b/>
        </w:rPr>
        <w:t xml:space="preserve"> from central Europe</w:t>
      </w:r>
      <w:r w:rsidR="00F8568C">
        <w:rPr>
          <w:b/>
        </w:rPr>
        <w:t xml:space="preserve"> </w:t>
      </w:r>
    </w:p>
    <w:p w:rsidR="00287BC7" w:rsidRDefault="0066176D" w:rsidP="00287BC7">
      <w:r>
        <w:t>Before the</w:t>
      </w:r>
      <w:r w:rsidR="00E47E69">
        <w:t xml:space="preserve"> isotope</w:t>
      </w:r>
      <w:r w:rsidR="004A16D7">
        <w:t>s</w:t>
      </w:r>
      <w:r>
        <w:t xml:space="preserve"> </w:t>
      </w:r>
      <w:r w:rsidR="00E47E69">
        <w:t xml:space="preserve">from the Mesolithic and Neolithic </w:t>
      </w:r>
      <w:r w:rsidR="002F4F11">
        <w:t>are</w:t>
      </w:r>
      <w:r>
        <w:t xml:space="preserve"> compared, there are several important analytical and archaeological </w:t>
      </w:r>
      <w:r w:rsidR="009A2723">
        <w:t>limitations</w:t>
      </w:r>
      <w:r w:rsidR="00700608">
        <w:t xml:space="preserve"> </w:t>
      </w:r>
      <w:r>
        <w:t>to consider.</w:t>
      </w:r>
      <w:r w:rsidR="00E47E69">
        <w:t xml:space="preserve"> </w:t>
      </w:r>
      <w:r w:rsidR="002F4F11">
        <w:t xml:space="preserve">Representivity of the samples are </w:t>
      </w:r>
      <w:r w:rsidR="00DD4670">
        <w:t>i</w:t>
      </w:r>
      <w:r w:rsidR="002F4F11">
        <w:t xml:space="preserve">nfluenced by both </w:t>
      </w:r>
      <w:r w:rsidR="00DD4670">
        <w:t xml:space="preserve">regional and local differences in </w:t>
      </w:r>
      <w:r w:rsidR="002F4F11">
        <w:t xml:space="preserve">taphonomy and </w:t>
      </w:r>
      <w:r w:rsidR="00DD4670">
        <w:t>human activity</w:t>
      </w:r>
      <w:r w:rsidR="001616B3">
        <w:t xml:space="preserve"> in the past. Mesolithic human remains</w:t>
      </w:r>
      <w:r w:rsidR="00F94183">
        <w:t xml:space="preserve"> are found far less frequently than in the Neolithic and, in addition, we cannot assume that these burials represent</w:t>
      </w:r>
      <w:r w:rsidR="00B73255">
        <w:t xml:space="preserve"> th</w:t>
      </w:r>
      <w:r w:rsidR="00F94183">
        <w:t xml:space="preserve">e whole </w:t>
      </w:r>
      <w:r w:rsidR="009A2723">
        <w:t>population, as who was buried</w:t>
      </w:r>
      <w:r w:rsidR="00F94183">
        <w:t xml:space="preserve"> may have been subject to some degree of social selection. Such considerations</w:t>
      </w:r>
      <w:r w:rsidR="001616B3">
        <w:t xml:space="preserve"> appl</w:t>
      </w:r>
      <w:r w:rsidR="00F94183">
        <w:t>y</w:t>
      </w:r>
      <w:r w:rsidR="001616B3">
        <w:t xml:space="preserve"> to the animal remains </w:t>
      </w:r>
      <w:r w:rsidR="00B73255">
        <w:t>for determining the food web, as s</w:t>
      </w:r>
      <w:r w:rsidR="00A942E1">
        <w:t>ocial rules and exp</w:t>
      </w:r>
      <w:r w:rsidR="002C07AA">
        <w:t>ectations around the discard of waste may have determined what is preserved. Chronological representation may also be problematic, as a cemetery or burial location may represent one event or several centuries of activity</w:t>
      </w:r>
      <w:r w:rsidR="00D51D07">
        <w:t xml:space="preserve">. In the case of the data </w:t>
      </w:r>
      <w:r w:rsidR="004A16D7">
        <w:t>analysed</w:t>
      </w:r>
      <w:r w:rsidR="00D51D07">
        <w:t xml:space="preserve"> in this paper, uneven representation is a large issue. Mesolithic burials are stretched out over several 1000 years, whereas the Neolithic are from </w:t>
      </w:r>
      <w:r w:rsidR="008E531A">
        <w:t>a 400 year period</w:t>
      </w:r>
      <w:r w:rsidR="00D51D07">
        <w:t xml:space="preserve">. </w:t>
      </w:r>
      <w:r w:rsidR="003474E4">
        <w:t>In both cases, animal bones will not necessarily arise from the same contexts as the human b</w:t>
      </w:r>
      <w:r w:rsidR="004A16D7">
        <w:t>urials. The data therefore need</w:t>
      </w:r>
      <w:r w:rsidR="003474E4">
        <w:t xml:space="preserve"> to be </w:t>
      </w:r>
      <w:r w:rsidR="00C936C8">
        <w:t>analysed</w:t>
      </w:r>
      <w:r w:rsidR="003474E4">
        <w:t xml:space="preserve"> cautiously, and as representing the relative</w:t>
      </w:r>
      <w:r w:rsidR="00B73255">
        <w:t>, rather than absolute,</w:t>
      </w:r>
      <w:r w:rsidR="003474E4">
        <w:t xml:space="preserve"> differences between the Mesolithic and </w:t>
      </w:r>
      <w:r w:rsidR="00B73255">
        <w:t>Neolithic</w:t>
      </w:r>
      <w:r w:rsidR="003474E4">
        <w:t>.</w:t>
      </w:r>
      <w:r w:rsidR="00D51D07">
        <w:t xml:space="preserve"> </w:t>
      </w:r>
    </w:p>
    <w:p w:rsidR="009A2723" w:rsidRDefault="009A2723" w:rsidP="00287BC7"/>
    <w:p w:rsidR="00487FD1" w:rsidRPr="00487FD1" w:rsidRDefault="00487FD1" w:rsidP="00C8085C">
      <w:pPr>
        <w:rPr>
          <w:i/>
        </w:rPr>
      </w:pPr>
      <w:r w:rsidRPr="00487FD1">
        <w:rPr>
          <w:i/>
        </w:rPr>
        <w:t xml:space="preserve">4.1 The Mesolithic </w:t>
      </w:r>
      <w:r w:rsidR="008031A2">
        <w:rPr>
          <w:i/>
        </w:rPr>
        <w:t xml:space="preserve">and Neolithic </w:t>
      </w:r>
      <w:r w:rsidR="00163196">
        <w:rPr>
          <w:i/>
        </w:rPr>
        <w:t xml:space="preserve">human and animal </w:t>
      </w:r>
      <w:r w:rsidR="009A2723">
        <w:rPr>
          <w:i/>
        </w:rPr>
        <w:t>i</w:t>
      </w:r>
      <w:r w:rsidRPr="00487FD1">
        <w:rPr>
          <w:i/>
        </w:rPr>
        <w:t>sotope data</w:t>
      </w:r>
    </w:p>
    <w:p w:rsidR="00163196" w:rsidRDefault="00C8085C" w:rsidP="00C8085C">
      <w:r>
        <w:t>The Mesolithic isotope data collected for this paper</w:t>
      </w:r>
      <w:r w:rsidR="00E9723F">
        <w:t xml:space="preserve"> (</w:t>
      </w:r>
      <w:r w:rsidR="00B72733">
        <w:t>66</w:t>
      </w:r>
      <w:r w:rsidR="00E9723F">
        <w:t xml:space="preserve"> burials)</w:t>
      </w:r>
      <w:r w:rsidR="00C936C8">
        <w:t>, come</w:t>
      </w:r>
      <w:r>
        <w:t xml:space="preserve"> from across the </w:t>
      </w:r>
      <w:r w:rsidR="00C936C8">
        <w:t>timespan</w:t>
      </w:r>
      <w:r>
        <w:t xml:space="preserve"> of the Mesolithic, but </w:t>
      </w:r>
      <w:r w:rsidR="00EA7329">
        <w:t>are</w:t>
      </w:r>
      <w:r>
        <w:t xml:space="preserve"> concentrated </w:t>
      </w:r>
      <w:r w:rsidR="00C936C8">
        <w:t>in what would become</w:t>
      </w:r>
      <w:r>
        <w:t xml:space="preserve"> the western distribution of the LBK. </w:t>
      </w:r>
      <w:r w:rsidR="00B72733">
        <w:t>About half</w:t>
      </w:r>
      <w:r>
        <w:t xml:space="preserve"> come from </w:t>
      </w:r>
      <w:r w:rsidR="00B73255">
        <w:t xml:space="preserve">in-land </w:t>
      </w:r>
      <w:r>
        <w:t xml:space="preserve">Belgium </w:t>
      </w:r>
      <w:r w:rsidR="008E531A">
        <w:t>(</w:t>
      </w:r>
      <w:r w:rsidR="00E9723F">
        <w:t>29</w:t>
      </w:r>
      <w:r>
        <w:t xml:space="preserve"> burials</w:t>
      </w:r>
      <w:r w:rsidR="008E531A">
        <w:t>)</w:t>
      </w:r>
      <w:r>
        <w:t>, with seven burials from France, one from Luxembourg</w:t>
      </w:r>
      <w:r w:rsidR="00B72733">
        <w:t xml:space="preserve"> and 28 from Germany</w:t>
      </w:r>
      <w:r>
        <w:t xml:space="preserve">. </w:t>
      </w:r>
      <w:r w:rsidR="00287BC7">
        <w:t xml:space="preserve">All except one burial, </w:t>
      </w:r>
      <w:r w:rsidR="00700608">
        <w:t xml:space="preserve">have known radiocarbon dates. </w:t>
      </w:r>
      <w:r w:rsidR="00FB75A4">
        <w:t>T</w:t>
      </w:r>
      <w:r w:rsidR="00700608">
        <w:t xml:space="preserve">he </w:t>
      </w:r>
      <w:r w:rsidR="00FB75A4">
        <w:t>δ</w:t>
      </w:r>
      <w:r w:rsidR="00FB75A4" w:rsidRPr="00487FD1">
        <w:rPr>
          <w:vertAlign w:val="superscript"/>
        </w:rPr>
        <w:t>13</w:t>
      </w:r>
      <w:r w:rsidR="00FB75A4">
        <w:t xml:space="preserve">C </w:t>
      </w:r>
      <w:r w:rsidR="00353100">
        <w:t>isotope ratios</w:t>
      </w:r>
      <w:r w:rsidR="00700608">
        <w:t xml:space="preserve"> from </w:t>
      </w:r>
      <w:r w:rsidR="00B72733">
        <w:t>two of the German burials (Bad Dürrenberg and Abri Fuchskirche)</w:t>
      </w:r>
      <w:r w:rsidR="00FB75A4">
        <w:t xml:space="preserve"> </w:t>
      </w:r>
      <w:r w:rsidR="00700608">
        <w:t xml:space="preserve">are taken from published datelists, which only reported the </w:t>
      </w:r>
      <w:r w:rsidR="00C70127">
        <w:t xml:space="preserve">stable </w:t>
      </w:r>
      <w:r w:rsidR="00700608">
        <w:t xml:space="preserve">carbon </w:t>
      </w:r>
      <w:r w:rsidR="00C70127">
        <w:t xml:space="preserve">isotope </w:t>
      </w:r>
      <w:r w:rsidR="0058301B">
        <w:t>ratio</w:t>
      </w:r>
      <w:r w:rsidR="0076181D">
        <w:t xml:space="preserve"> (</w:t>
      </w:r>
      <w:r w:rsidR="008A27D4">
        <w:t>s</w:t>
      </w:r>
      <w:r w:rsidR="00487FD1">
        <w:t xml:space="preserve">ee </w:t>
      </w:r>
      <w:r w:rsidR="008B0EC3">
        <w:t>Appendix A</w:t>
      </w:r>
      <w:r w:rsidR="0076181D">
        <w:t>)</w:t>
      </w:r>
      <w:r w:rsidR="00700608">
        <w:t xml:space="preserve">. </w:t>
      </w:r>
      <w:r w:rsidR="00FD748B">
        <w:t xml:space="preserve">There </w:t>
      </w:r>
      <w:r w:rsidR="00B72733">
        <w:t>are only three</w:t>
      </w:r>
      <w:r w:rsidR="00FD748B">
        <w:t xml:space="preserve"> male</w:t>
      </w:r>
      <w:r w:rsidR="00B72733">
        <w:t>s</w:t>
      </w:r>
      <w:r w:rsidR="00FD748B">
        <w:t xml:space="preserve"> in the dataset,</w:t>
      </w:r>
      <w:r w:rsidR="00B72733">
        <w:t xml:space="preserve"> 19 females,</w:t>
      </w:r>
      <w:r w:rsidR="00FD748B">
        <w:t xml:space="preserve"> </w:t>
      </w:r>
      <w:r w:rsidR="00B72733">
        <w:t>18 unsexed adults, 25</w:t>
      </w:r>
      <w:r w:rsidR="00FD748B">
        <w:t xml:space="preserve"> non-adults and </w:t>
      </w:r>
      <w:r w:rsidR="00B72733">
        <w:t>three</w:t>
      </w:r>
      <w:r w:rsidR="00FD748B">
        <w:t xml:space="preserve"> instances where age and sex data was not available. </w:t>
      </w:r>
      <w:r w:rsidR="00C84E01">
        <w:t>For the</w:t>
      </w:r>
      <w:r w:rsidR="007B22E1">
        <w:t xml:space="preserve"> </w:t>
      </w:r>
      <w:r w:rsidR="00821433">
        <w:t>early Neolithic data,</w:t>
      </w:r>
      <w:r>
        <w:t xml:space="preserve"> </w:t>
      </w:r>
      <w:r w:rsidR="00C84E01">
        <w:t>the analys</w:t>
      </w:r>
      <w:r w:rsidR="00C936C8">
        <w:t>e</w:t>
      </w:r>
      <w:r w:rsidR="00C84E01">
        <w:t xml:space="preserve">s </w:t>
      </w:r>
      <w:r w:rsidR="00C936C8">
        <w:t>are</w:t>
      </w:r>
      <w:r w:rsidR="00C84E01">
        <w:t xml:space="preserve"> based on </w:t>
      </w:r>
      <w:r w:rsidR="0076181D">
        <w:t>27</w:t>
      </w:r>
      <w:r w:rsidR="00163196">
        <w:t>4</w:t>
      </w:r>
      <w:r w:rsidR="0076181D">
        <w:t xml:space="preserve"> </w:t>
      </w:r>
      <w:r>
        <w:t xml:space="preserve">Linearbandkeramik </w:t>
      </w:r>
      <w:r w:rsidR="00821433">
        <w:t>burials</w:t>
      </w:r>
      <w:r w:rsidR="00C84E01">
        <w:t xml:space="preserve"> from the same regions as the Mesolithic data</w:t>
      </w:r>
      <w:r w:rsidR="00821433">
        <w:t xml:space="preserve">. This includes </w:t>
      </w:r>
      <w:r w:rsidR="0076181D">
        <w:t xml:space="preserve">cemetery </w:t>
      </w:r>
      <w:r w:rsidR="00821433">
        <w:t>site</w:t>
      </w:r>
      <w:r w:rsidR="0076181D">
        <w:t>s</w:t>
      </w:r>
      <w:r w:rsidR="00821433">
        <w:t xml:space="preserve"> from Alsace, Baden-Württemburg and Bav</w:t>
      </w:r>
      <w:r w:rsidR="00C20B65">
        <w:t>aria (</w:t>
      </w:r>
      <w:r w:rsidR="0076181D">
        <w:t xml:space="preserve">which are reported in full in </w:t>
      </w:r>
      <w:r w:rsidR="00C20B65">
        <w:t>Bickle and Whittle 2013</w:t>
      </w:r>
      <w:r w:rsidR="007042A3">
        <w:t>, including analytical methods</w:t>
      </w:r>
      <w:r w:rsidR="008031A2">
        <w:t xml:space="preserve">; see </w:t>
      </w:r>
      <w:r w:rsidR="008B0EC3">
        <w:t>Appendix B</w:t>
      </w:r>
      <w:r w:rsidR="00C20B65">
        <w:t xml:space="preserve">). </w:t>
      </w:r>
      <w:r w:rsidR="003223C3">
        <w:t>There are 10</w:t>
      </w:r>
      <w:r w:rsidR="005941A7">
        <w:t>6</w:t>
      </w:r>
      <w:r w:rsidR="003223C3">
        <w:t xml:space="preserve"> females, </w:t>
      </w:r>
      <w:r w:rsidR="00E81D79">
        <w:t>99</w:t>
      </w:r>
      <w:r w:rsidR="003223C3">
        <w:t xml:space="preserve"> males</w:t>
      </w:r>
      <w:r w:rsidR="005941A7">
        <w:t xml:space="preserve">, </w:t>
      </w:r>
      <w:r w:rsidR="00E81D79">
        <w:t>18</w:t>
      </w:r>
      <w:r w:rsidR="005941A7">
        <w:t xml:space="preserve"> unsexed adults</w:t>
      </w:r>
      <w:r w:rsidR="00E81D79">
        <w:t>, 47 non-adults</w:t>
      </w:r>
      <w:r w:rsidR="003223C3">
        <w:t xml:space="preserve"> and </w:t>
      </w:r>
      <w:r w:rsidR="00E81D79">
        <w:t>four</w:t>
      </w:r>
      <w:r w:rsidR="003223C3">
        <w:t xml:space="preserve"> individuals for whom neither sex nor gender could be identified.</w:t>
      </w:r>
      <w:r w:rsidR="00FB75A4">
        <w:t xml:space="preserve"> </w:t>
      </w:r>
    </w:p>
    <w:p w:rsidR="00163196" w:rsidRDefault="00163196" w:rsidP="00C8085C"/>
    <w:p w:rsidR="00163196" w:rsidRPr="00163196" w:rsidRDefault="00163196" w:rsidP="00163196">
      <w:pPr>
        <w:rPr>
          <w:i/>
        </w:rPr>
      </w:pPr>
      <w:r>
        <w:t xml:space="preserve">The aim </w:t>
      </w:r>
      <w:r w:rsidR="009A2723">
        <w:t>of the</w:t>
      </w:r>
      <w:r>
        <w:t xml:space="preserve"> analysis </w:t>
      </w:r>
      <w:r w:rsidR="009A2723">
        <w:t xml:space="preserve">is to determine </w:t>
      </w:r>
      <w:r>
        <w:t>the extent of change in</w:t>
      </w:r>
      <w:r w:rsidR="004A16D7">
        <w:t xml:space="preserve"> stable</w:t>
      </w:r>
      <w:r>
        <w:t xml:space="preserve"> nitrogen and carbon isotope ratios as a proxy for </w:t>
      </w:r>
      <w:r w:rsidR="0058301B">
        <w:t xml:space="preserve">how the </w:t>
      </w:r>
      <w:r w:rsidR="0058301B" w:rsidRPr="0058301B">
        <w:rPr>
          <w:i/>
        </w:rPr>
        <w:t>content</w:t>
      </w:r>
      <w:r w:rsidR="0058301B">
        <w:t xml:space="preserve"> of the diet (as identifiable through stable isotopes) changed in terms of the proportion of food stuffs</w:t>
      </w:r>
      <w:r>
        <w:t xml:space="preserve">, with </w:t>
      </w:r>
      <w:r w:rsidR="009A2723">
        <w:t xml:space="preserve">a particular interest in </w:t>
      </w:r>
      <w:r w:rsidR="004A16D7">
        <w:t>fresh</w:t>
      </w:r>
      <w:r>
        <w:t xml:space="preserve">water </w:t>
      </w:r>
      <w:r w:rsidR="00834945">
        <w:t xml:space="preserve">resource </w:t>
      </w:r>
      <w:r>
        <w:t>c</w:t>
      </w:r>
      <w:r w:rsidR="009A2723">
        <w:t>onsumption</w:t>
      </w:r>
      <w:r>
        <w:t xml:space="preserve">. From the Mesolithic, </w:t>
      </w:r>
      <w:r w:rsidR="00463D87">
        <w:t>terrestrial and aquatic animal</w:t>
      </w:r>
      <w:r>
        <w:t xml:space="preserve"> bone data w</w:t>
      </w:r>
      <w:r w:rsidR="00C936C8">
        <w:t>ere</w:t>
      </w:r>
      <w:r>
        <w:t xml:space="preserve"> available from the Paris Basin, the Meuse Basin and Luxembourg (see </w:t>
      </w:r>
      <w:r w:rsidR="008B0EC3">
        <w:t>Appendix C</w:t>
      </w:r>
      <w:r>
        <w:t>); from the Neolithic</w:t>
      </w:r>
      <w:r w:rsidR="00834945">
        <w:t>,</w:t>
      </w:r>
      <w:r>
        <w:t xml:space="preserve"> </w:t>
      </w:r>
      <w:r w:rsidR="00463D87">
        <w:t>faunal</w:t>
      </w:r>
      <w:r>
        <w:t xml:space="preserve"> </w:t>
      </w:r>
      <w:r w:rsidR="00834945">
        <w:t>data</w:t>
      </w:r>
      <w:r>
        <w:t xml:space="preserve"> from Bickle and Whittle (2013) were supplemented with four fish </w:t>
      </w:r>
      <w:r w:rsidR="00834945">
        <w:t xml:space="preserve">stable </w:t>
      </w:r>
      <w:r>
        <w:t xml:space="preserve">isotope </w:t>
      </w:r>
      <w:r w:rsidR="00834945">
        <w:t xml:space="preserve">ratios </w:t>
      </w:r>
      <w:r>
        <w:t>from Herxheim (</w:t>
      </w:r>
      <w:r w:rsidRPr="00ED2606">
        <w:t>Dürrwächte</w:t>
      </w:r>
      <w:r>
        <w:t xml:space="preserve">r </w:t>
      </w:r>
      <w:r>
        <w:rPr>
          <w:i/>
        </w:rPr>
        <w:t>et al</w:t>
      </w:r>
      <w:r>
        <w:t xml:space="preserve">. 2006; </w:t>
      </w:r>
      <w:r w:rsidR="008B0EC3">
        <w:t>Appendix D</w:t>
      </w:r>
      <w:r>
        <w:t>).</w:t>
      </w:r>
      <w:r>
        <w:rPr>
          <w:i/>
        </w:rPr>
        <w:t xml:space="preserve"> </w:t>
      </w:r>
    </w:p>
    <w:p w:rsidR="00C8085C" w:rsidRDefault="00C8085C" w:rsidP="00C8085C"/>
    <w:p w:rsidR="00163196" w:rsidRPr="00163196" w:rsidRDefault="008031A2" w:rsidP="00163196">
      <w:pPr>
        <w:rPr>
          <w:i/>
        </w:rPr>
      </w:pPr>
      <w:r>
        <w:rPr>
          <w:i/>
        </w:rPr>
        <w:t xml:space="preserve">4.2 </w:t>
      </w:r>
      <w:r w:rsidR="00EA7329">
        <w:rPr>
          <w:i/>
        </w:rPr>
        <w:t xml:space="preserve">Results </w:t>
      </w:r>
      <w:r w:rsidR="00163196">
        <w:t xml:space="preserve">   </w:t>
      </w:r>
    </w:p>
    <w:p w:rsidR="00DF4606" w:rsidRDefault="007042A3" w:rsidP="003223C3">
      <w:pPr>
        <w:rPr>
          <w:rFonts w:cs="Times New Roman"/>
        </w:rPr>
      </w:pPr>
      <w:r>
        <w:t xml:space="preserve">The mean </w:t>
      </w:r>
      <w:r w:rsidR="00353100">
        <w:t>ratios</w:t>
      </w:r>
      <w:r>
        <w:t xml:space="preserve"> from the </w:t>
      </w:r>
      <w:r w:rsidR="00226B98">
        <w:t xml:space="preserve">human </w:t>
      </w:r>
      <w:r>
        <w:t>carbon and nitrogen isotopes are reported in tables 1</w:t>
      </w:r>
      <w:r w:rsidR="00226B98">
        <w:t xml:space="preserve"> and 2</w:t>
      </w:r>
      <w:r w:rsidR="007358A9">
        <w:t xml:space="preserve"> and figures </w:t>
      </w:r>
      <w:r w:rsidR="008B0EC3">
        <w:t>1</w:t>
      </w:r>
      <w:r w:rsidR="003D14B8">
        <w:t xml:space="preserve"> and </w:t>
      </w:r>
      <w:r w:rsidR="008B0EC3">
        <w:t>2</w:t>
      </w:r>
      <w:r w:rsidR="003D14B8">
        <w:t>.</w:t>
      </w:r>
      <w:r>
        <w:t xml:space="preserve"> Detailed data, including the available quality </w:t>
      </w:r>
      <w:r w:rsidR="007358A9">
        <w:t>indicators</w:t>
      </w:r>
      <w:r>
        <w:t xml:space="preserve">, </w:t>
      </w:r>
      <w:r w:rsidR="00C936C8">
        <w:t>are</w:t>
      </w:r>
      <w:r w:rsidR="007358A9">
        <w:t xml:space="preserve"> reported </w:t>
      </w:r>
      <w:r>
        <w:t xml:space="preserve">in the supplementary material. </w:t>
      </w:r>
      <w:r w:rsidR="00FD748B">
        <w:t>For t</w:t>
      </w:r>
      <w:r>
        <w:t>he Mesolithic</w:t>
      </w:r>
      <w:r w:rsidR="00FD748B">
        <w:t xml:space="preserve"> </w:t>
      </w:r>
      <w:r w:rsidR="007358A9">
        <w:t xml:space="preserve">human </w:t>
      </w:r>
      <w:r w:rsidR="00FD748B">
        <w:t>data</w:t>
      </w:r>
      <w:r>
        <w:t xml:space="preserve">, carbon </w:t>
      </w:r>
      <w:r w:rsidR="00353100">
        <w:t>isotope ratios</w:t>
      </w:r>
      <w:r>
        <w:t xml:space="preserve"> range </w:t>
      </w:r>
      <w:r w:rsidRPr="00E9723F">
        <w:t xml:space="preserve">from </w:t>
      </w:r>
      <w:r w:rsidR="001F3A76">
        <w:rPr>
          <w:rFonts w:cs="Times New Roman"/>
        </w:rPr>
        <w:t>-</w:t>
      </w:r>
      <w:r w:rsidR="00E9723F" w:rsidRPr="00E9723F">
        <w:rPr>
          <w:rFonts w:cs="Times New Roman"/>
        </w:rPr>
        <w:lastRenderedPageBreak/>
        <w:t>16.9</w:t>
      </w:r>
      <w:r w:rsidR="00F1213F">
        <w:rPr>
          <w:rFonts w:cs="Times New Roman"/>
        </w:rPr>
        <w:t>‰</w:t>
      </w:r>
      <w:r w:rsidR="00E9723F" w:rsidRPr="00E9723F">
        <w:rPr>
          <w:rFonts w:cs="Times New Roman"/>
        </w:rPr>
        <w:t xml:space="preserve"> </w:t>
      </w:r>
      <w:r w:rsidR="00E9723F">
        <w:rPr>
          <w:rFonts w:cs="Times New Roman"/>
        </w:rPr>
        <w:t xml:space="preserve">to </w:t>
      </w:r>
      <w:r w:rsidR="00E9723F" w:rsidRPr="00E9723F">
        <w:rPr>
          <w:rFonts w:cs="Times New Roman"/>
        </w:rPr>
        <w:t>-</w:t>
      </w:r>
      <w:r w:rsidR="00E9723F">
        <w:rPr>
          <w:rFonts w:cs="Times New Roman"/>
        </w:rPr>
        <w:t>21.8</w:t>
      </w:r>
      <w:r w:rsidR="00F1213F">
        <w:rPr>
          <w:rFonts w:cs="Times New Roman"/>
        </w:rPr>
        <w:t>‰</w:t>
      </w:r>
      <w:r w:rsidR="00E9723F">
        <w:rPr>
          <w:rFonts w:cs="Times New Roman"/>
        </w:rPr>
        <w:t xml:space="preserve">, with a mean of </w:t>
      </w:r>
      <w:r w:rsidR="00E9723F" w:rsidRPr="00E9723F">
        <w:rPr>
          <w:rFonts w:cs="Times New Roman"/>
        </w:rPr>
        <w:t>-</w:t>
      </w:r>
      <w:r w:rsidR="00E9723F">
        <w:rPr>
          <w:rFonts w:cs="Times New Roman"/>
        </w:rPr>
        <w:t>20.</w:t>
      </w:r>
      <w:r w:rsidR="008A2CF4">
        <w:rPr>
          <w:rFonts w:cs="Times New Roman"/>
        </w:rPr>
        <w:t>3</w:t>
      </w:r>
      <w:r w:rsidR="001F3A76">
        <w:rPr>
          <w:rFonts w:cs="Times New Roman"/>
        </w:rPr>
        <w:t>‰</w:t>
      </w:r>
      <w:r w:rsidR="00FD748B" w:rsidRPr="00463D87">
        <w:rPr>
          <w:rFonts w:cs="Times New Roman"/>
        </w:rPr>
        <w:t>±</w:t>
      </w:r>
      <w:r w:rsidR="00FD748B">
        <w:rPr>
          <w:rFonts w:cs="Times New Roman"/>
        </w:rPr>
        <w:t>0.</w:t>
      </w:r>
      <w:r w:rsidR="001F3A76">
        <w:rPr>
          <w:rFonts w:cs="Times New Roman"/>
        </w:rPr>
        <w:t>60</w:t>
      </w:r>
      <w:r w:rsidR="00F1213F">
        <w:rPr>
          <w:rFonts w:cs="Times New Roman"/>
        </w:rPr>
        <w:t xml:space="preserve"> </w:t>
      </w:r>
      <w:r w:rsidR="00E9723F">
        <w:rPr>
          <w:rFonts w:cs="Times New Roman"/>
        </w:rPr>
        <w:t xml:space="preserve">for all adults and </w:t>
      </w:r>
      <w:r w:rsidR="00FD748B" w:rsidRPr="00E9723F">
        <w:rPr>
          <w:rFonts w:cs="Times New Roman"/>
        </w:rPr>
        <w:t>-</w:t>
      </w:r>
      <w:r w:rsidR="00FD748B" w:rsidRPr="00FD748B">
        <w:rPr>
          <w:rFonts w:cs="Times New Roman"/>
        </w:rPr>
        <w:t>20.</w:t>
      </w:r>
      <w:r w:rsidR="001F3A76">
        <w:rPr>
          <w:rFonts w:cs="Times New Roman"/>
        </w:rPr>
        <w:t>1‰</w:t>
      </w:r>
      <w:r w:rsidR="00FD748B" w:rsidRPr="00FD748B">
        <w:rPr>
          <w:rFonts w:cs="Times New Roman"/>
        </w:rPr>
        <w:t>±0.7</w:t>
      </w:r>
      <w:r w:rsidR="001F3A76">
        <w:rPr>
          <w:rFonts w:cs="Times New Roman"/>
        </w:rPr>
        <w:t>4</w:t>
      </w:r>
      <w:r w:rsidR="00F1213F">
        <w:rPr>
          <w:rFonts w:cs="Times New Roman"/>
        </w:rPr>
        <w:t xml:space="preserve"> </w:t>
      </w:r>
      <w:r w:rsidR="00FD748B" w:rsidRPr="00FD748B">
        <w:rPr>
          <w:rFonts w:cs="Times New Roman"/>
        </w:rPr>
        <w:t xml:space="preserve">for </w:t>
      </w:r>
      <w:r w:rsidR="00E9723F" w:rsidRPr="00FD748B">
        <w:rPr>
          <w:rFonts w:cs="Times New Roman"/>
        </w:rPr>
        <w:t>all data.</w:t>
      </w:r>
      <w:r w:rsidR="00FD748B" w:rsidRPr="00FD748B">
        <w:rPr>
          <w:rFonts w:cs="Times New Roman"/>
        </w:rPr>
        <w:t xml:space="preserve"> Mesolithic </w:t>
      </w:r>
      <w:r w:rsidR="007358A9">
        <w:rPr>
          <w:rFonts w:cs="Times New Roman"/>
        </w:rPr>
        <w:t>human n</w:t>
      </w:r>
      <w:r w:rsidR="007358A9" w:rsidRPr="00FD748B">
        <w:rPr>
          <w:rFonts w:cs="Times New Roman"/>
        </w:rPr>
        <w:t xml:space="preserve">itrogen </w:t>
      </w:r>
      <w:r w:rsidR="00FD748B" w:rsidRPr="00FD748B">
        <w:rPr>
          <w:rFonts w:cs="Times New Roman"/>
        </w:rPr>
        <w:t xml:space="preserve">isotope </w:t>
      </w:r>
      <w:r w:rsidR="00B73255">
        <w:rPr>
          <w:rFonts w:cs="Times New Roman"/>
        </w:rPr>
        <w:t>ratios</w:t>
      </w:r>
      <w:r w:rsidR="00FD748B" w:rsidRPr="00FD748B">
        <w:rPr>
          <w:rFonts w:cs="Times New Roman"/>
        </w:rPr>
        <w:t xml:space="preserve"> range from 8.4</w:t>
      </w:r>
      <w:r w:rsidR="00F1213F">
        <w:rPr>
          <w:rFonts w:cs="Times New Roman"/>
        </w:rPr>
        <w:t>‰</w:t>
      </w:r>
      <w:r w:rsidR="00FD748B" w:rsidRPr="00FD748B">
        <w:rPr>
          <w:rFonts w:cs="Times New Roman"/>
        </w:rPr>
        <w:t xml:space="preserve"> to 13.8</w:t>
      </w:r>
      <w:r w:rsidR="00F1213F">
        <w:rPr>
          <w:rFonts w:cs="Times New Roman"/>
        </w:rPr>
        <w:t>‰</w:t>
      </w:r>
      <w:r w:rsidR="00FD748B" w:rsidRPr="00FD748B">
        <w:rPr>
          <w:rFonts w:cs="Times New Roman"/>
        </w:rPr>
        <w:t xml:space="preserve">, with a mean of </w:t>
      </w:r>
      <w:r w:rsidR="001F3A76">
        <w:rPr>
          <w:rFonts w:cs="Times New Roman"/>
        </w:rPr>
        <w:t>10</w:t>
      </w:r>
      <w:r w:rsidR="003223C3">
        <w:rPr>
          <w:rFonts w:cs="Times New Roman"/>
        </w:rPr>
        <w:t>.</w:t>
      </w:r>
      <w:r w:rsidR="001F3A76">
        <w:rPr>
          <w:rFonts w:cs="Times New Roman"/>
        </w:rPr>
        <w:t>1</w:t>
      </w:r>
      <w:r w:rsidR="00F1213F">
        <w:rPr>
          <w:rFonts w:cs="Times New Roman"/>
        </w:rPr>
        <w:t>‰</w:t>
      </w:r>
      <w:r w:rsidR="003223C3" w:rsidRPr="00463D87">
        <w:rPr>
          <w:rFonts w:cs="Times New Roman"/>
        </w:rPr>
        <w:t>±</w:t>
      </w:r>
      <w:r w:rsidR="003223C3">
        <w:rPr>
          <w:rFonts w:cs="Times New Roman"/>
        </w:rPr>
        <w:t>0.9</w:t>
      </w:r>
      <w:r w:rsidR="001F3A76">
        <w:rPr>
          <w:rFonts w:cs="Times New Roman"/>
        </w:rPr>
        <w:t>2</w:t>
      </w:r>
      <w:r w:rsidR="00F1213F">
        <w:rPr>
          <w:rFonts w:cs="Times New Roman"/>
        </w:rPr>
        <w:t xml:space="preserve"> </w:t>
      </w:r>
      <w:r w:rsidR="003223C3">
        <w:rPr>
          <w:rFonts w:cs="Times New Roman"/>
        </w:rPr>
        <w:t xml:space="preserve">for all adults and </w:t>
      </w:r>
      <w:r w:rsidR="00FD748B" w:rsidRPr="00FD748B">
        <w:rPr>
          <w:rFonts w:cs="Times New Roman"/>
        </w:rPr>
        <w:t>10.</w:t>
      </w:r>
      <w:r w:rsidR="001F3A76">
        <w:rPr>
          <w:rFonts w:cs="Times New Roman"/>
        </w:rPr>
        <w:t>5‰</w:t>
      </w:r>
      <w:r w:rsidR="003223C3" w:rsidRPr="00FD748B">
        <w:rPr>
          <w:rFonts w:cs="Times New Roman"/>
        </w:rPr>
        <w:t>±</w:t>
      </w:r>
      <w:r w:rsidR="003223C3">
        <w:rPr>
          <w:rFonts w:cs="Times New Roman"/>
        </w:rPr>
        <w:t>1.</w:t>
      </w:r>
      <w:r w:rsidR="001F3A76">
        <w:rPr>
          <w:rFonts w:cs="Times New Roman"/>
        </w:rPr>
        <w:t>04</w:t>
      </w:r>
      <w:r w:rsidR="00F1213F">
        <w:rPr>
          <w:rFonts w:cs="Times New Roman"/>
        </w:rPr>
        <w:t xml:space="preserve"> </w:t>
      </w:r>
      <w:r w:rsidR="00FD748B" w:rsidRPr="00FD748B">
        <w:rPr>
          <w:rFonts w:cs="Times New Roman"/>
        </w:rPr>
        <w:t>for all data</w:t>
      </w:r>
      <w:r w:rsidR="003223C3">
        <w:rPr>
          <w:rFonts w:cs="Times New Roman"/>
        </w:rPr>
        <w:t>.</w:t>
      </w:r>
      <w:r w:rsidR="00FD748B" w:rsidRPr="00FD748B">
        <w:rPr>
          <w:rFonts w:cs="Times New Roman"/>
        </w:rPr>
        <w:t xml:space="preserve"> </w:t>
      </w:r>
      <w:r w:rsidR="003223C3">
        <w:t xml:space="preserve">For the Neolithic </w:t>
      </w:r>
      <w:r w:rsidR="007358A9">
        <w:t xml:space="preserve">human </w:t>
      </w:r>
      <w:r w:rsidR="003223C3">
        <w:t xml:space="preserve">data, carbon </w:t>
      </w:r>
      <w:r w:rsidR="00B73255">
        <w:t>isotope ratios</w:t>
      </w:r>
      <w:r w:rsidR="003223C3">
        <w:t xml:space="preserve"> range </w:t>
      </w:r>
      <w:r w:rsidR="003223C3" w:rsidRPr="00E9723F">
        <w:t xml:space="preserve">from </w:t>
      </w:r>
      <w:r w:rsidR="001F3A76" w:rsidRPr="00E9723F">
        <w:rPr>
          <w:rFonts w:cs="Times New Roman"/>
        </w:rPr>
        <w:t>-</w:t>
      </w:r>
      <w:r w:rsidR="003223C3" w:rsidRPr="00E9723F">
        <w:rPr>
          <w:rFonts w:cs="Times New Roman"/>
        </w:rPr>
        <w:t>1</w:t>
      </w:r>
      <w:r w:rsidR="003223C3">
        <w:rPr>
          <w:rFonts w:cs="Times New Roman"/>
        </w:rPr>
        <w:t>9</w:t>
      </w:r>
      <w:r w:rsidR="003223C3" w:rsidRPr="00E9723F">
        <w:rPr>
          <w:rFonts w:cs="Times New Roman"/>
        </w:rPr>
        <w:t>.</w:t>
      </w:r>
      <w:r w:rsidR="003223C3">
        <w:rPr>
          <w:rFonts w:cs="Times New Roman"/>
        </w:rPr>
        <w:t>6</w:t>
      </w:r>
      <w:r w:rsidR="00F1213F">
        <w:rPr>
          <w:rFonts w:cs="Times New Roman"/>
        </w:rPr>
        <w:t>‰</w:t>
      </w:r>
      <w:r w:rsidR="003223C3" w:rsidRPr="00E9723F">
        <w:rPr>
          <w:rFonts w:cs="Times New Roman"/>
        </w:rPr>
        <w:t xml:space="preserve"> </w:t>
      </w:r>
      <w:r w:rsidR="003223C3">
        <w:rPr>
          <w:rFonts w:cs="Times New Roman"/>
        </w:rPr>
        <w:t xml:space="preserve">to </w:t>
      </w:r>
      <w:r w:rsidR="00265948">
        <w:rPr>
          <w:rFonts w:cs="Times New Roman"/>
        </w:rPr>
        <w:t>-2</w:t>
      </w:r>
      <w:r w:rsidR="003223C3">
        <w:rPr>
          <w:rFonts w:cs="Times New Roman"/>
        </w:rPr>
        <w:t>1.0</w:t>
      </w:r>
      <w:r w:rsidR="00F1213F">
        <w:rPr>
          <w:rFonts w:cs="Times New Roman"/>
        </w:rPr>
        <w:t>‰</w:t>
      </w:r>
      <w:r w:rsidR="003223C3">
        <w:rPr>
          <w:rFonts w:cs="Times New Roman"/>
        </w:rPr>
        <w:t xml:space="preserve">, with a mean of </w:t>
      </w:r>
      <w:r w:rsidR="001F3A76" w:rsidRPr="00E9723F">
        <w:rPr>
          <w:rFonts w:cs="Times New Roman"/>
        </w:rPr>
        <w:t>-</w:t>
      </w:r>
      <w:r w:rsidR="003223C3">
        <w:rPr>
          <w:rFonts w:cs="Times New Roman"/>
        </w:rPr>
        <w:t>20.2</w:t>
      </w:r>
      <w:r w:rsidR="00F1213F">
        <w:rPr>
          <w:rFonts w:cs="Times New Roman"/>
        </w:rPr>
        <w:t>‰</w:t>
      </w:r>
      <w:r w:rsidR="00265948" w:rsidRPr="00FD748B">
        <w:rPr>
          <w:rFonts w:cs="Times New Roman"/>
        </w:rPr>
        <w:t>±</w:t>
      </w:r>
      <w:r w:rsidR="003223C3">
        <w:rPr>
          <w:rFonts w:cs="Times New Roman"/>
        </w:rPr>
        <w:t>0.2</w:t>
      </w:r>
      <w:r w:rsidR="00265948">
        <w:rPr>
          <w:rFonts w:cs="Times New Roman"/>
        </w:rPr>
        <w:t>7</w:t>
      </w:r>
      <w:r w:rsidR="00F1213F">
        <w:rPr>
          <w:rFonts w:cs="Times New Roman"/>
        </w:rPr>
        <w:t xml:space="preserve"> </w:t>
      </w:r>
      <w:r w:rsidR="003223C3">
        <w:rPr>
          <w:rFonts w:cs="Times New Roman"/>
        </w:rPr>
        <w:t xml:space="preserve">for all adults and </w:t>
      </w:r>
      <w:r w:rsidR="001F3A76" w:rsidRPr="00E9723F">
        <w:rPr>
          <w:rFonts w:cs="Times New Roman"/>
        </w:rPr>
        <w:t>-</w:t>
      </w:r>
      <w:r w:rsidR="003223C3" w:rsidRPr="00FD748B">
        <w:rPr>
          <w:rFonts w:cs="Times New Roman"/>
        </w:rPr>
        <w:t>20.</w:t>
      </w:r>
      <w:r w:rsidR="003223C3">
        <w:rPr>
          <w:rFonts w:cs="Times New Roman"/>
        </w:rPr>
        <w:t>2</w:t>
      </w:r>
      <w:r w:rsidR="00F1213F">
        <w:rPr>
          <w:rFonts w:cs="Times New Roman"/>
        </w:rPr>
        <w:t>‰</w:t>
      </w:r>
      <w:r w:rsidR="003223C3" w:rsidRPr="00FD748B">
        <w:rPr>
          <w:rFonts w:cs="Times New Roman"/>
        </w:rPr>
        <w:t>±0.</w:t>
      </w:r>
      <w:r w:rsidR="003223C3">
        <w:rPr>
          <w:rFonts w:cs="Times New Roman"/>
        </w:rPr>
        <w:t>26</w:t>
      </w:r>
      <w:r w:rsidR="003223C3" w:rsidRPr="00FD748B">
        <w:rPr>
          <w:rFonts w:cs="Times New Roman"/>
        </w:rPr>
        <w:t xml:space="preserve"> for all data. </w:t>
      </w:r>
      <w:r w:rsidR="007358A9">
        <w:rPr>
          <w:rFonts w:cs="Times New Roman"/>
        </w:rPr>
        <w:t>Neolithic human nitrogen</w:t>
      </w:r>
      <w:r w:rsidR="003223C3" w:rsidRPr="00FD748B">
        <w:rPr>
          <w:rFonts w:cs="Times New Roman"/>
        </w:rPr>
        <w:t xml:space="preserve"> isotope </w:t>
      </w:r>
      <w:r w:rsidR="00B73255">
        <w:rPr>
          <w:rFonts w:cs="Times New Roman"/>
        </w:rPr>
        <w:t>ratio</w:t>
      </w:r>
      <w:r w:rsidR="003223C3" w:rsidRPr="00FD748B">
        <w:rPr>
          <w:rFonts w:cs="Times New Roman"/>
        </w:rPr>
        <w:t xml:space="preserve">s range from </w:t>
      </w:r>
      <w:r w:rsidR="003223C3">
        <w:rPr>
          <w:rFonts w:cs="Times New Roman"/>
        </w:rPr>
        <w:t>7</w:t>
      </w:r>
      <w:r w:rsidR="003223C3" w:rsidRPr="00FD748B">
        <w:rPr>
          <w:rFonts w:cs="Times New Roman"/>
        </w:rPr>
        <w:t>.</w:t>
      </w:r>
      <w:r w:rsidR="003223C3">
        <w:rPr>
          <w:rFonts w:cs="Times New Roman"/>
        </w:rPr>
        <w:t>6</w:t>
      </w:r>
      <w:r w:rsidR="00F1213F">
        <w:rPr>
          <w:rFonts w:cs="Times New Roman"/>
        </w:rPr>
        <w:t>‰</w:t>
      </w:r>
      <w:r w:rsidR="003223C3" w:rsidRPr="00FD748B">
        <w:rPr>
          <w:rFonts w:cs="Times New Roman"/>
        </w:rPr>
        <w:t xml:space="preserve"> to 1</w:t>
      </w:r>
      <w:r w:rsidR="003223C3">
        <w:rPr>
          <w:rFonts w:cs="Times New Roman"/>
        </w:rPr>
        <w:t>1</w:t>
      </w:r>
      <w:r w:rsidR="003223C3" w:rsidRPr="00FD748B">
        <w:rPr>
          <w:rFonts w:cs="Times New Roman"/>
        </w:rPr>
        <w:t>.</w:t>
      </w:r>
      <w:r w:rsidR="003223C3">
        <w:rPr>
          <w:rFonts w:cs="Times New Roman"/>
        </w:rPr>
        <w:t>7</w:t>
      </w:r>
      <w:r w:rsidR="00F1213F">
        <w:rPr>
          <w:rFonts w:cs="Times New Roman"/>
        </w:rPr>
        <w:t>‰</w:t>
      </w:r>
      <w:r w:rsidR="003223C3" w:rsidRPr="00FD748B">
        <w:rPr>
          <w:rFonts w:cs="Times New Roman"/>
        </w:rPr>
        <w:t xml:space="preserve">, with a mean of </w:t>
      </w:r>
      <w:r w:rsidR="003223C3">
        <w:rPr>
          <w:rFonts w:cs="Times New Roman"/>
        </w:rPr>
        <w:t>9.4</w:t>
      </w:r>
      <w:r w:rsidR="00F1213F">
        <w:rPr>
          <w:rFonts w:cs="Times New Roman"/>
        </w:rPr>
        <w:t>‰</w:t>
      </w:r>
      <w:r w:rsidR="00265948" w:rsidRPr="00FD748B">
        <w:rPr>
          <w:rFonts w:cs="Times New Roman"/>
        </w:rPr>
        <w:t>±</w:t>
      </w:r>
      <w:r w:rsidR="003223C3">
        <w:rPr>
          <w:rFonts w:cs="Times New Roman"/>
        </w:rPr>
        <w:t>0.78</w:t>
      </w:r>
      <w:r w:rsidR="00F1213F">
        <w:rPr>
          <w:rFonts w:cs="Times New Roman"/>
        </w:rPr>
        <w:t xml:space="preserve"> </w:t>
      </w:r>
      <w:r w:rsidR="003223C3">
        <w:rPr>
          <w:rFonts w:cs="Times New Roman"/>
        </w:rPr>
        <w:t>for all adults and 9</w:t>
      </w:r>
      <w:r w:rsidR="003223C3" w:rsidRPr="00FD748B">
        <w:rPr>
          <w:rFonts w:cs="Times New Roman"/>
        </w:rPr>
        <w:t>.</w:t>
      </w:r>
      <w:r w:rsidR="003223C3">
        <w:rPr>
          <w:rFonts w:cs="Times New Roman"/>
        </w:rPr>
        <w:t>4</w:t>
      </w:r>
      <w:r w:rsidR="00F1213F">
        <w:rPr>
          <w:rFonts w:cs="Times New Roman"/>
        </w:rPr>
        <w:t>‰</w:t>
      </w:r>
      <w:r w:rsidR="003223C3" w:rsidRPr="00FD748B">
        <w:rPr>
          <w:rFonts w:cs="Times New Roman"/>
        </w:rPr>
        <w:t>±</w:t>
      </w:r>
      <w:r w:rsidR="003223C3">
        <w:rPr>
          <w:rFonts w:cs="Times New Roman"/>
        </w:rPr>
        <w:t>0.84</w:t>
      </w:r>
      <w:r w:rsidR="00F1213F">
        <w:rPr>
          <w:rFonts w:cs="Times New Roman"/>
        </w:rPr>
        <w:t xml:space="preserve"> </w:t>
      </w:r>
      <w:r w:rsidR="003223C3" w:rsidRPr="00FD748B">
        <w:rPr>
          <w:rFonts w:cs="Times New Roman"/>
        </w:rPr>
        <w:t>for all data</w:t>
      </w:r>
      <w:r w:rsidR="003223C3">
        <w:rPr>
          <w:rFonts w:cs="Times New Roman"/>
        </w:rPr>
        <w:t>.</w:t>
      </w:r>
      <w:r w:rsidR="00F1213F">
        <w:rPr>
          <w:rFonts w:cs="Times New Roman"/>
        </w:rPr>
        <w:t xml:space="preserve"> The mean</w:t>
      </w:r>
      <w:r w:rsidR="00834945">
        <w:rPr>
          <w:rFonts w:cs="Times New Roman"/>
        </w:rPr>
        <w:t>s</w:t>
      </w:r>
      <w:r w:rsidR="00F1213F">
        <w:rPr>
          <w:rFonts w:cs="Times New Roman"/>
        </w:rPr>
        <w:t xml:space="preserve"> of the Mesolithic and Neolithic nitrogen </w:t>
      </w:r>
      <w:r w:rsidR="00343BAC">
        <w:rPr>
          <w:rFonts w:cs="Times New Roman"/>
        </w:rPr>
        <w:t>stable isotope ratios</w:t>
      </w:r>
      <w:r w:rsidR="00F1213F">
        <w:rPr>
          <w:rFonts w:cs="Times New Roman"/>
        </w:rPr>
        <w:t xml:space="preserve"> </w:t>
      </w:r>
      <w:r w:rsidR="00263945">
        <w:rPr>
          <w:rFonts w:cs="Times New Roman"/>
        </w:rPr>
        <w:t xml:space="preserve">for all adults </w:t>
      </w:r>
      <w:r w:rsidR="00834945">
        <w:rPr>
          <w:rFonts w:cs="Times New Roman"/>
        </w:rPr>
        <w:t>are</w:t>
      </w:r>
      <w:r w:rsidR="00F1213F">
        <w:rPr>
          <w:rFonts w:cs="Times New Roman"/>
        </w:rPr>
        <w:t xml:space="preserve"> statistically </w:t>
      </w:r>
      <w:r w:rsidR="00343BAC">
        <w:rPr>
          <w:rFonts w:cs="Times New Roman"/>
        </w:rPr>
        <w:t>different</w:t>
      </w:r>
      <w:r w:rsidR="00CE4030">
        <w:rPr>
          <w:rFonts w:cs="Times New Roman"/>
        </w:rPr>
        <w:t xml:space="preserve"> (p</w:t>
      </w:r>
      <w:r w:rsidR="00226B98">
        <w:rPr>
          <w:rFonts w:cs="Times New Roman"/>
        </w:rPr>
        <w:t>&lt;</w:t>
      </w:r>
      <w:r w:rsidR="00CE4030">
        <w:rPr>
          <w:rFonts w:cs="Times New Roman"/>
        </w:rPr>
        <w:t>0.001</w:t>
      </w:r>
      <w:r w:rsidR="00F1213F">
        <w:rPr>
          <w:rFonts w:cs="Times New Roman"/>
        </w:rPr>
        <w:t xml:space="preserve">, 2-tailed </w:t>
      </w:r>
      <w:r w:rsidR="00F1213F">
        <w:rPr>
          <w:rFonts w:cs="Times New Roman"/>
          <w:i/>
        </w:rPr>
        <w:t>t</w:t>
      </w:r>
      <w:r w:rsidR="00F1213F">
        <w:rPr>
          <w:rFonts w:cs="Times New Roman"/>
        </w:rPr>
        <w:t>-test assuming unequal variances</w:t>
      </w:r>
      <w:r w:rsidR="00872F10">
        <w:rPr>
          <w:rFonts w:cs="Times New Roman"/>
        </w:rPr>
        <w:t>)</w:t>
      </w:r>
      <w:r w:rsidR="00263945">
        <w:rPr>
          <w:rFonts w:cs="Times New Roman"/>
        </w:rPr>
        <w:t>, but not for carbon, where the difference is only of 0.1‰</w:t>
      </w:r>
      <w:r w:rsidR="00463D87">
        <w:rPr>
          <w:rFonts w:cs="Times New Roman"/>
        </w:rPr>
        <w:t>.</w:t>
      </w:r>
      <w:r w:rsidR="00F1213F">
        <w:rPr>
          <w:rFonts w:cs="Times New Roman"/>
        </w:rPr>
        <w:t xml:space="preserve"> </w:t>
      </w:r>
      <w:r w:rsidR="00263945">
        <w:rPr>
          <w:rFonts w:cs="Times New Roman"/>
        </w:rPr>
        <w:t xml:space="preserve">The variation in nitrogen stable isotope ratios for all adults is also statically different (Mann-Whitney U test, p&lt;0.001), but again not for carbon. </w:t>
      </w:r>
      <w:r w:rsidR="00463D87">
        <w:rPr>
          <w:rFonts w:cs="Times New Roman"/>
        </w:rPr>
        <w:t>These results</w:t>
      </w:r>
      <w:r w:rsidR="00CE4030">
        <w:rPr>
          <w:rFonts w:cs="Times New Roman"/>
        </w:rPr>
        <w:t xml:space="preserve"> </w:t>
      </w:r>
      <w:r w:rsidR="00463D87">
        <w:rPr>
          <w:rFonts w:cs="Times New Roman"/>
        </w:rPr>
        <w:t xml:space="preserve">confirm the </w:t>
      </w:r>
      <w:r w:rsidR="00430170">
        <w:rPr>
          <w:rFonts w:cs="Times New Roman"/>
        </w:rPr>
        <w:t>expect</w:t>
      </w:r>
      <w:r w:rsidR="00463D87">
        <w:rPr>
          <w:rFonts w:cs="Times New Roman"/>
        </w:rPr>
        <w:t>ation that there was</w:t>
      </w:r>
      <w:r w:rsidR="00430170">
        <w:rPr>
          <w:rFonts w:cs="Times New Roman"/>
        </w:rPr>
        <w:t xml:space="preserve"> less variation in </w:t>
      </w:r>
      <w:r w:rsidR="00263945">
        <w:rPr>
          <w:rFonts w:cs="Times New Roman"/>
        </w:rPr>
        <w:t xml:space="preserve">meat </w:t>
      </w:r>
      <w:r w:rsidR="00463D87">
        <w:rPr>
          <w:rFonts w:cs="Times New Roman"/>
        </w:rPr>
        <w:t xml:space="preserve">protein consumption in </w:t>
      </w:r>
      <w:r w:rsidR="00430170">
        <w:rPr>
          <w:rFonts w:cs="Times New Roman"/>
        </w:rPr>
        <w:t>the Neolithic than in the Mesolithic diets</w:t>
      </w:r>
      <w:r w:rsidR="00463D87">
        <w:rPr>
          <w:rFonts w:cs="Times New Roman"/>
        </w:rPr>
        <w:t>,</w:t>
      </w:r>
      <w:r w:rsidR="00430170">
        <w:rPr>
          <w:rFonts w:cs="Times New Roman"/>
        </w:rPr>
        <w:t xml:space="preserve"> though not </w:t>
      </w:r>
      <w:r w:rsidR="00463D87">
        <w:rPr>
          <w:rFonts w:cs="Times New Roman"/>
        </w:rPr>
        <w:t xml:space="preserve">to the extent </w:t>
      </w:r>
      <w:r w:rsidR="00430170">
        <w:rPr>
          <w:rFonts w:cs="Times New Roman"/>
        </w:rPr>
        <w:t xml:space="preserve">found </w:t>
      </w:r>
      <w:r w:rsidR="00463D87">
        <w:rPr>
          <w:rFonts w:cs="Times New Roman"/>
        </w:rPr>
        <w:t>in other regions of Europe (Schulting 2015)</w:t>
      </w:r>
      <w:r w:rsidR="00F1213F">
        <w:rPr>
          <w:rFonts w:cs="Times New Roman"/>
        </w:rPr>
        <w:t>.</w:t>
      </w:r>
      <w:r w:rsidR="00430170">
        <w:rPr>
          <w:rFonts w:cs="Times New Roman"/>
        </w:rPr>
        <w:t xml:space="preserve"> </w:t>
      </w:r>
    </w:p>
    <w:p w:rsidR="00834945" w:rsidRPr="007042A3" w:rsidRDefault="00834945" w:rsidP="003223C3"/>
    <w:p w:rsidR="00EA7329" w:rsidRPr="004369D5" w:rsidRDefault="005941A7" w:rsidP="00F627AA">
      <w:pPr>
        <w:jc w:val="center"/>
        <w:rPr>
          <w:i/>
        </w:rPr>
      </w:pPr>
      <w:r w:rsidRPr="004369D5">
        <w:rPr>
          <w:i/>
        </w:rPr>
        <w:t xml:space="preserve">Table 1: </w:t>
      </w:r>
      <w:r w:rsidR="00226B98" w:rsidRPr="004369D5">
        <w:rPr>
          <w:i/>
        </w:rPr>
        <w:t>Average values for the human δ</w:t>
      </w:r>
      <w:r w:rsidR="00226B98" w:rsidRPr="004369D5">
        <w:rPr>
          <w:i/>
          <w:vertAlign w:val="superscript"/>
        </w:rPr>
        <w:t>13</w:t>
      </w:r>
      <w:r w:rsidR="00226B98" w:rsidRPr="004369D5">
        <w:rPr>
          <w:i/>
        </w:rPr>
        <w:t>C and δ</w:t>
      </w:r>
      <w:r w:rsidR="00226B98" w:rsidRPr="004369D5">
        <w:rPr>
          <w:i/>
          <w:vertAlign w:val="superscript"/>
        </w:rPr>
        <w:t>15</w:t>
      </w:r>
      <w:r w:rsidR="00226B98" w:rsidRPr="004369D5">
        <w:rPr>
          <w:i/>
        </w:rPr>
        <w:t xml:space="preserve">N isotope </w:t>
      </w:r>
      <w:r w:rsidR="00B73255">
        <w:rPr>
          <w:i/>
        </w:rPr>
        <w:t>ratios</w:t>
      </w:r>
      <w:r w:rsidR="00226B98" w:rsidRPr="004369D5">
        <w:rPr>
          <w:i/>
        </w:rPr>
        <w:t xml:space="preserve"> for the Mesolithic. N values for δ</w:t>
      </w:r>
      <w:r w:rsidR="00226B98" w:rsidRPr="004369D5">
        <w:rPr>
          <w:i/>
          <w:vertAlign w:val="superscript"/>
        </w:rPr>
        <w:t>13</w:t>
      </w:r>
      <w:r w:rsidR="00226B98" w:rsidRPr="004369D5">
        <w:rPr>
          <w:i/>
        </w:rPr>
        <w:t>C and δ</w:t>
      </w:r>
      <w:r w:rsidR="00226B98" w:rsidRPr="004369D5">
        <w:rPr>
          <w:i/>
          <w:vertAlign w:val="superscript"/>
        </w:rPr>
        <w:t>15</w:t>
      </w:r>
      <w:r w:rsidR="00226B98" w:rsidRPr="004369D5">
        <w:rPr>
          <w:i/>
        </w:rPr>
        <w:t>N are reported separately, because δ</w:t>
      </w:r>
      <w:r w:rsidR="00226B98" w:rsidRPr="004369D5">
        <w:rPr>
          <w:i/>
          <w:vertAlign w:val="superscript"/>
        </w:rPr>
        <w:t>15</w:t>
      </w:r>
      <w:r w:rsidR="00226B98" w:rsidRPr="004369D5">
        <w:rPr>
          <w:i/>
        </w:rPr>
        <w:t>N is not known for 2 individuals.</w:t>
      </w:r>
    </w:p>
    <w:tbl>
      <w:tblPr>
        <w:tblW w:w="8364" w:type="dxa"/>
        <w:jc w:val="center"/>
        <w:tblBorders>
          <w:insideH w:val="single" w:sz="4" w:space="0" w:color="auto"/>
        </w:tblBorders>
        <w:tblLook w:val="04A0" w:firstRow="1" w:lastRow="0" w:firstColumn="1" w:lastColumn="0" w:noHBand="0" w:noVBand="1"/>
      </w:tblPr>
      <w:tblGrid>
        <w:gridCol w:w="1134"/>
        <w:gridCol w:w="1276"/>
        <w:gridCol w:w="1134"/>
        <w:gridCol w:w="1418"/>
        <w:gridCol w:w="1275"/>
        <w:gridCol w:w="993"/>
        <w:gridCol w:w="1134"/>
      </w:tblGrid>
      <w:tr w:rsidR="00226B98" w:rsidRPr="00226B98" w:rsidTr="005B2804">
        <w:trPr>
          <w:trHeight w:val="300"/>
          <w:jc w:val="center"/>
        </w:trPr>
        <w:tc>
          <w:tcPr>
            <w:tcW w:w="1134" w:type="dxa"/>
            <w:tcBorders>
              <w:top w:val="single" w:sz="4" w:space="0" w:color="auto"/>
              <w:bottom w:val="single" w:sz="4" w:space="0" w:color="auto"/>
            </w:tcBorders>
            <w:shd w:val="clear" w:color="auto" w:fill="auto"/>
            <w:noWrap/>
            <w:vAlign w:val="center"/>
            <w:hideMark/>
          </w:tcPr>
          <w:p w:rsidR="00226B98" w:rsidRPr="00226B98" w:rsidRDefault="00226B98" w:rsidP="00226B98">
            <w:pP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w:t>
            </w:r>
          </w:p>
        </w:tc>
        <w:tc>
          <w:tcPr>
            <w:tcW w:w="1276" w:type="dxa"/>
            <w:tcBorders>
              <w:top w:val="single" w:sz="4" w:space="0" w:color="auto"/>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Mean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c>
          <w:tcPr>
            <w:tcW w:w="1134" w:type="dxa"/>
            <w:tcBorders>
              <w:top w:val="single" w:sz="4" w:space="0" w:color="auto"/>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SD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c>
          <w:tcPr>
            <w:tcW w:w="1418" w:type="dxa"/>
            <w:tcBorders>
              <w:top w:val="single" w:sz="4" w:space="0" w:color="auto"/>
              <w:bottom w:val="single" w:sz="4" w:space="0" w:color="auto"/>
            </w:tcBorders>
            <w:shd w:val="clear" w:color="auto" w:fill="auto"/>
            <w:vAlign w:val="center"/>
            <w:hideMark/>
          </w:tcPr>
          <w:p w:rsidR="00226B98" w:rsidRPr="00226B98" w:rsidRDefault="00226B98" w:rsidP="005B2804">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Mean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15</w:t>
            </w:r>
            <w:r w:rsidRPr="00226B98">
              <w:rPr>
                <w:rFonts w:ascii="Arial" w:eastAsia="Times New Roman" w:hAnsi="Arial" w:cs="Arial"/>
                <w:b/>
                <w:bCs/>
                <w:color w:val="000000"/>
                <w:sz w:val="20"/>
                <w:szCs w:val="20"/>
                <w:lang w:eastAsia="en-GB"/>
              </w:rPr>
              <w:t>N</w:t>
            </w:r>
          </w:p>
        </w:tc>
        <w:tc>
          <w:tcPr>
            <w:tcW w:w="1275" w:type="dxa"/>
            <w:tcBorders>
              <w:top w:val="single" w:sz="4" w:space="0" w:color="auto"/>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SD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15</w:t>
            </w:r>
            <w:r w:rsidRPr="00226B98">
              <w:rPr>
                <w:rFonts w:ascii="Arial" w:eastAsia="Times New Roman" w:hAnsi="Arial" w:cs="Arial"/>
                <w:b/>
                <w:bCs/>
                <w:color w:val="000000"/>
                <w:sz w:val="20"/>
                <w:szCs w:val="20"/>
                <w:lang w:eastAsia="en-GB"/>
              </w:rPr>
              <w:t>N</w:t>
            </w:r>
          </w:p>
        </w:tc>
        <w:tc>
          <w:tcPr>
            <w:tcW w:w="993" w:type="dxa"/>
            <w:tcBorders>
              <w:top w:val="single" w:sz="4" w:space="0" w:color="auto"/>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n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c>
          <w:tcPr>
            <w:tcW w:w="1134" w:type="dxa"/>
            <w:tcBorders>
              <w:top w:val="single" w:sz="4" w:space="0" w:color="auto"/>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n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15</w:t>
            </w:r>
            <w:r w:rsidRPr="00226B98">
              <w:rPr>
                <w:rFonts w:ascii="Arial" w:eastAsia="Times New Roman" w:hAnsi="Arial" w:cs="Arial"/>
                <w:b/>
                <w:bCs/>
                <w:color w:val="000000"/>
                <w:sz w:val="20"/>
                <w:szCs w:val="20"/>
                <w:lang w:eastAsia="en-GB"/>
              </w:rPr>
              <w:t>N</w:t>
            </w:r>
          </w:p>
        </w:tc>
      </w:tr>
      <w:tr w:rsidR="00226B98" w:rsidRPr="00226B98" w:rsidTr="005B2804">
        <w:trPr>
          <w:trHeight w:val="300"/>
          <w:jc w:val="center"/>
        </w:trPr>
        <w:tc>
          <w:tcPr>
            <w:tcW w:w="1134" w:type="dxa"/>
            <w:tcBorders>
              <w:top w:val="single" w:sz="4" w:space="0" w:color="auto"/>
              <w:bottom w:val="nil"/>
            </w:tcBorders>
            <w:shd w:val="clear" w:color="auto" w:fill="D9D9D9" w:themeFill="background1" w:themeFillShade="D9"/>
            <w:noWrap/>
            <w:vAlign w:val="center"/>
            <w:hideMark/>
          </w:tcPr>
          <w:p w:rsidR="00226B98" w:rsidRPr="00226B98" w:rsidRDefault="00226B98" w:rsidP="00226B98">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All Adults</w:t>
            </w:r>
          </w:p>
        </w:tc>
        <w:tc>
          <w:tcPr>
            <w:tcW w:w="1276" w:type="dxa"/>
            <w:tcBorders>
              <w:top w:val="single" w:sz="4" w:space="0" w:color="auto"/>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-20.3</w:t>
            </w:r>
          </w:p>
        </w:tc>
        <w:tc>
          <w:tcPr>
            <w:tcW w:w="1134" w:type="dxa"/>
            <w:tcBorders>
              <w:top w:val="single" w:sz="4" w:space="0" w:color="auto"/>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0.60</w:t>
            </w:r>
          </w:p>
        </w:tc>
        <w:tc>
          <w:tcPr>
            <w:tcW w:w="1418" w:type="dxa"/>
            <w:tcBorders>
              <w:top w:val="single" w:sz="4" w:space="0" w:color="auto"/>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10.1</w:t>
            </w:r>
          </w:p>
        </w:tc>
        <w:tc>
          <w:tcPr>
            <w:tcW w:w="1275" w:type="dxa"/>
            <w:tcBorders>
              <w:top w:val="single" w:sz="4" w:space="0" w:color="auto"/>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0.92</w:t>
            </w:r>
          </w:p>
        </w:tc>
        <w:tc>
          <w:tcPr>
            <w:tcW w:w="993" w:type="dxa"/>
            <w:tcBorders>
              <w:top w:val="single" w:sz="4" w:space="0" w:color="auto"/>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40</w:t>
            </w:r>
          </w:p>
        </w:tc>
        <w:tc>
          <w:tcPr>
            <w:tcW w:w="1134" w:type="dxa"/>
            <w:tcBorders>
              <w:top w:val="single" w:sz="4" w:space="0" w:color="auto"/>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39</w:t>
            </w:r>
          </w:p>
        </w:tc>
      </w:tr>
      <w:tr w:rsidR="00226B98" w:rsidRPr="00226B98" w:rsidTr="005B2804">
        <w:trPr>
          <w:trHeight w:val="300"/>
          <w:jc w:val="center"/>
        </w:trPr>
        <w:tc>
          <w:tcPr>
            <w:tcW w:w="1134" w:type="dxa"/>
            <w:tcBorders>
              <w:top w:val="nil"/>
              <w:bottom w:val="nil"/>
            </w:tcBorders>
            <w:shd w:val="clear" w:color="auto" w:fill="auto"/>
            <w:noWrap/>
            <w:vAlign w:val="center"/>
            <w:hideMark/>
          </w:tcPr>
          <w:p w:rsidR="00226B98" w:rsidRPr="00226B98" w:rsidRDefault="00226B98" w:rsidP="00226B98">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Female</w:t>
            </w:r>
          </w:p>
        </w:tc>
        <w:tc>
          <w:tcPr>
            <w:tcW w:w="1276" w:type="dxa"/>
            <w:tcBorders>
              <w:top w:val="nil"/>
              <w:bottom w:val="nil"/>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-20.0</w:t>
            </w:r>
          </w:p>
        </w:tc>
        <w:tc>
          <w:tcPr>
            <w:tcW w:w="1134" w:type="dxa"/>
            <w:tcBorders>
              <w:top w:val="nil"/>
              <w:bottom w:val="nil"/>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0.37</w:t>
            </w:r>
          </w:p>
        </w:tc>
        <w:tc>
          <w:tcPr>
            <w:tcW w:w="1418" w:type="dxa"/>
            <w:tcBorders>
              <w:top w:val="nil"/>
              <w:bottom w:val="nil"/>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10.1</w:t>
            </w:r>
          </w:p>
        </w:tc>
        <w:tc>
          <w:tcPr>
            <w:tcW w:w="1275" w:type="dxa"/>
            <w:tcBorders>
              <w:top w:val="nil"/>
              <w:bottom w:val="nil"/>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0.65</w:t>
            </w:r>
          </w:p>
        </w:tc>
        <w:tc>
          <w:tcPr>
            <w:tcW w:w="993" w:type="dxa"/>
            <w:tcBorders>
              <w:top w:val="nil"/>
              <w:bottom w:val="nil"/>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19</w:t>
            </w:r>
          </w:p>
        </w:tc>
        <w:tc>
          <w:tcPr>
            <w:tcW w:w="1134" w:type="dxa"/>
            <w:tcBorders>
              <w:top w:val="nil"/>
              <w:bottom w:val="nil"/>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18</w:t>
            </w:r>
          </w:p>
        </w:tc>
      </w:tr>
      <w:tr w:rsidR="00226B98" w:rsidRPr="00226B98" w:rsidTr="005B2804">
        <w:trPr>
          <w:trHeight w:val="300"/>
          <w:jc w:val="center"/>
        </w:trPr>
        <w:tc>
          <w:tcPr>
            <w:tcW w:w="1134" w:type="dxa"/>
            <w:tcBorders>
              <w:top w:val="nil"/>
              <w:bottom w:val="nil"/>
            </w:tcBorders>
            <w:shd w:val="clear" w:color="auto" w:fill="D9D9D9" w:themeFill="background1" w:themeFillShade="D9"/>
            <w:noWrap/>
            <w:vAlign w:val="center"/>
            <w:hideMark/>
          </w:tcPr>
          <w:p w:rsidR="00226B98" w:rsidRPr="00226B98" w:rsidRDefault="00226B98" w:rsidP="00226B98">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Male</w:t>
            </w:r>
          </w:p>
        </w:tc>
        <w:tc>
          <w:tcPr>
            <w:tcW w:w="1276" w:type="dxa"/>
            <w:tcBorders>
              <w:top w:val="nil"/>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-20.0</w:t>
            </w:r>
          </w:p>
        </w:tc>
        <w:tc>
          <w:tcPr>
            <w:tcW w:w="1134" w:type="dxa"/>
            <w:tcBorders>
              <w:top w:val="nil"/>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0.47</w:t>
            </w:r>
          </w:p>
        </w:tc>
        <w:tc>
          <w:tcPr>
            <w:tcW w:w="1418" w:type="dxa"/>
            <w:tcBorders>
              <w:top w:val="nil"/>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11.1</w:t>
            </w:r>
          </w:p>
        </w:tc>
        <w:tc>
          <w:tcPr>
            <w:tcW w:w="1275" w:type="dxa"/>
            <w:tcBorders>
              <w:top w:val="nil"/>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0.68</w:t>
            </w:r>
          </w:p>
        </w:tc>
        <w:tc>
          <w:tcPr>
            <w:tcW w:w="993" w:type="dxa"/>
            <w:tcBorders>
              <w:top w:val="nil"/>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3</w:t>
            </w:r>
          </w:p>
        </w:tc>
        <w:tc>
          <w:tcPr>
            <w:tcW w:w="1134" w:type="dxa"/>
            <w:tcBorders>
              <w:top w:val="nil"/>
              <w:bottom w:val="nil"/>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3</w:t>
            </w:r>
          </w:p>
        </w:tc>
      </w:tr>
      <w:tr w:rsidR="00226B98" w:rsidRPr="00226B98" w:rsidTr="005B2804">
        <w:trPr>
          <w:trHeight w:val="300"/>
          <w:jc w:val="center"/>
        </w:trPr>
        <w:tc>
          <w:tcPr>
            <w:tcW w:w="1134" w:type="dxa"/>
            <w:tcBorders>
              <w:top w:val="nil"/>
              <w:bottom w:val="single" w:sz="4" w:space="0" w:color="auto"/>
            </w:tcBorders>
            <w:shd w:val="clear" w:color="auto" w:fill="auto"/>
            <w:noWrap/>
            <w:vAlign w:val="center"/>
            <w:hideMark/>
          </w:tcPr>
          <w:p w:rsidR="00226B98" w:rsidRPr="00226B98" w:rsidRDefault="00226B98" w:rsidP="00226B98">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Non-Adult</w:t>
            </w:r>
          </w:p>
        </w:tc>
        <w:tc>
          <w:tcPr>
            <w:tcW w:w="1276" w:type="dxa"/>
            <w:tcBorders>
              <w:top w:val="nil"/>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-19.8</w:t>
            </w:r>
          </w:p>
        </w:tc>
        <w:tc>
          <w:tcPr>
            <w:tcW w:w="1134" w:type="dxa"/>
            <w:tcBorders>
              <w:top w:val="nil"/>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0.95</w:t>
            </w:r>
          </w:p>
        </w:tc>
        <w:tc>
          <w:tcPr>
            <w:tcW w:w="1418" w:type="dxa"/>
            <w:tcBorders>
              <w:top w:val="nil"/>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10.0</w:t>
            </w:r>
          </w:p>
        </w:tc>
        <w:tc>
          <w:tcPr>
            <w:tcW w:w="1275" w:type="dxa"/>
            <w:tcBorders>
              <w:top w:val="nil"/>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1.09</w:t>
            </w:r>
          </w:p>
        </w:tc>
        <w:tc>
          <w:tcPr>
            <w:tcW w:w="993" w:type="dxa"/>
            <w:tcBorders>
              <w:top w:val="nil"/>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23</w:t>
            </w:r>
          </w:p>
        </w:tc>
        <w:tc>
          <w:tcPr>
            <w:tcW w:w="1134" w:type="dxa"/>
            <w:tcBorders>
              <w:top w:val="nil"/>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22</w:t>
            </w:r>
          </w:p>
        </w:tc>
      </w:tr>
      <w:tr w:rsidR="00226B98" w:rsidRPr="00226B98" w:rsidTr="005B2804">
        <w:trPr>
          <w:trHeight w:val="300"/>
          <w:jc w:val="center"/>
        </w:trPr>
        <w:tc>
          <w:tcPr>
            <w:tcW w:w="1134"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226B98">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All data</w:t>
            </w:r>
          </w:p>
        </w:tc>
        <w:tc>
          <w:tcPr>
            <w:tcW w:w="1276"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-20.1</w:t>
            </w:r>
          </w:p>
        </w:tc>
        <w:tc>
          <w:tcPr>
            <w:tcW w:w="1134"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0.74</w:t>
            </w:r>
          </w:p>
        </w:tc>
        <w:tc>
          <w:tcPr>
            <w:tcW w:w="1418"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10.5</w:t>
            </w:r>
          </w:p>
        </w:tc>
        <w:tc>
          <w:tcPr>
            <w:tcW w:w="1275"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1.04</w:t>
            </w:r>
          </w:p>
        </w:tc>
        <w:tc>
          <w:tcPr>
            <w:tcW w:w="993"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66</w:t>
            </w:r>
          </w:p>
        </w:tc>
        <w:tc>
          <w:tcPr>
            <w:tcW w:w="1134"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64</w:t>
            </w:r>
          </w:p>
        </w:tc>
      </w:tr>
    </w:tbl>
    <w:p w:rsidR="00F21EDF" w:rsidRDefault="00F21EDF" w:rsidP="00C8085C"/>
    <w:p w:rsidR="00DF4606" w:rsidRDefault="00DF4606" w:rsidP="00C8085C"/>
    <w:p w:rsidR="00B73255" w:rsidRPr="004369D5" w:rsidRDefault="005941A7" w:rsidP="00B73255">
      <w:pPr>
        <w:jc w:val="center"/>
        <w:rPr>
          <w:i/>
        </w:rPr>
      </w:pPr>
      <w:r w:rsidRPr="004369D5">
        <w:rPr>
          <w:i/>
        </w:rPr>
        <w:t xml:space="preserve">Table 2: </w:t>
      </w:r>
      <w:r w:rsidR="00226B98" w:rsidRPr="004369D5">
        <w:rPr>
          <w:i/>
        </w:rPr>
        <w:t>Average values for the human δ</w:t>
      </w:r>
      <w:r w:rsidR="00226B98" w:rsidRPr="004369D5">
        <w:rPr>
          <w:i/>
          <w:vertAlign w:val="superscript"/>
        </w:rPr>
        <w:t>13</w:t>
      </w:r>
      <w:r w:rsidR="00226B98" w:rsidRPr="004369D5">
        <w:rPr>
          <w:i/>
        </w:rPr>
        <w:t>C and δ</w:t>
      </w:r>
      <w:r w:rsidR="00226B98" w:rsidRPr="004369D5">
        <w:rPr>
          <w:i/>
          <w:vertAlign w:val="superscript"/>
        </w:rPr>
        <w:t>15</w:t>
      </w:r>
      <w:r w:rsidR="00226B98" w:rsidRPr="004369D5">
        <w:rPr>
          <w:i/>
        </w:rPr>
        <w:t xml:space="preserve">N isotope </w:t>
      </w:r>
      <w:r w:rsidR="00B73255">
        <w:rPr>
          <w:i/>
        </w:rPr>
        <w:t>ratios</w:t>
      </w:r>
      <w:r w:rsidR="00226B98" w:rsidRPr="004369D5">
        <w:rPr>
          <w:i/>
        </w:rPr>
        <w:t xml:space="preserve"> for the Neolithic.</w:t>
      </w:r>
    </w:p>
    <w:tbl>
      <w:tblPr>
        <w:tblW w:w="7500" w:type="dxa"/>
        <w:jc w:val="center"/>
        <w:tblLook w:val="04A0" w:firstRow="1" w:lastRow="0" w:firstColumn="1" w:lastColumn="0" w:noHBand="0" w:noVBand="1"/>
      </w:tblPr>
      <w:tblGrid>
        <w:gridCol w:w="1140"/>
        <w:gridCol w:w="1270"/>
        <w:gridCol w:w="1030"/>
        <w:gridCol w:w="1800"/>
        <w:gridCol w:w="1160"/>
        <w:gridCol w:w="1100"/>
      </w:tblGrid>
      <w:tr w:rsidR="00B73255" w:rsidRPr="00226B98" w:rsidTr="005B2804">
        <w:trPr>
          <w:trHeight w:val="300"/>
          <w:jc w:val="center"/>
        </w:trPr>
        <w:tc>
          <w:tcPr>
            <w:tcW w:w="1140" w:type="dxa"/>
            <w:tcBorders>
              <w:top w:val="single" w:sz="4" w:space="0" w:color="auto"/>
              <w:bottom w:val="single" w:sz="4" w:space="0" w:color="auto"/>
            </w:tcBorders>
            <w:shd w:val="clear" w:color="auto" w:fill="auto"/>
            <w:noWrap/>
            <w:vAlign w:val="center"/>
            <w:hideMark/>
          </w:tcPr>
          <w:p w:rsidR="00B73255" w:rsidRPr="00226B98" w:rsidRDefault="00B73255" w:rsidP="00B73255">
            <w:pPr>
              <w:jc w:val="center"/>
              <w:rPr>
                <w:rFonts w:ascii="Calibri" w:eastAsia="Times New Roman" w:hAnsi="Calibri" w:cs="Times New Roman"/>
                <w:b/>
                <w:bCs/>
                <w:color w:val="000000"/>
                <w:sz w:val="22"/>
                <w:szCs w:val="22"/>
                <w:lang w:eastAsia="en-GB"/>
              </w:rPr>
            </w:pPr>
          </w:p>
        </w:tc>
        <w:tc>
          <w:tcPr>
            <w:tcW w:w="1270" w:type="dxa"/>
            <w:tcBorders>
              <w:top w:val="single" w:sz="4" w:space="0" w:color="auto"/>
              <w:bottom w:val="single" w:sz="4" w:space="0" w:color="auto"/>
            </w:tcBorders>
            <w:shd w:val="clear" w:color="auto" w:fill="auto"/>
            <w:noWrap/>
            <w:vAlign w:val="center"/>
            <w:hideMark/>
          </w:tcPr>
          <w:p w:rsidR="00B73255" w:rsidRPr="00226B98" w:rsidRDefault="00B73255" w:rsidP="00B73255">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Mean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c>
          <w:tcPr>
            <w:tcW w:w="1030" w:type="dxa"/>
            <w:tcBorders>
              <w:top w:val="single" w:sz="4" w:space="0" w:color="auto"/>
              <w:bottom w:val="single" w:sz="4" w:space="0" w:color="auto"/>
            </w:tcBorders>
            <w:shd w:val="clear" w:color="auto" w:fill="auto"/>
            <w:noWrap/>
            <w:vAlign w:val="center"/>
            <w:hideMark/>
          </w:tcPr>
          <w:p w:rsidR="00B73255" w:rsidRPr="00226B98" w:rsidRDefault="00B73255" w:rsidP="00B73255">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SD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c>
          <w:tcPr>
            <w:tcW w:w="1800" w:type="dxa"/>
            <w:tcBorders>
              <w:top w:val="single" w:sz="4" w:space="0" w:color="auto"/>
              <w:bottom w:val="single" w:sz="4" w:space="0" w:color="auto"/>
            </w:tcBorders>
            <w:shd w:val="clear" w:color="auto" w:fill="auto"/>
            <w:vAlign w:val="center"/>
            <w:hideMark/>
          </w:tcPr>
          <w:p w:rsidR="00B73255" w:rsidRPr="00226B98" w:rsidRDefault="00B73255" w:rsidP="00B73255">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Mean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15</w:t>
            </w:r>
            <w:r w:rsidRPr="00226B98">
              <w:rPr>
                <w:rFonts w:ascii="Arial" w:eastAsia="Times New Roman" w:hAnsi="Arial" w:cs="Arial"/>
                <w:b/>
                <w:bCs/>
                <w:color w:val="000000"/>
                <w:sz w:val="20"/>
                <w:szCs w:val="20"/>
                <w:lang w:eastAsia="en-GB"/>
              </w:rPr>
              <w:t>N</w:t>
            </w:r>
          </w:p>
        </w:tc>
        <w:tc>
          <w:tcPr>
            <w:tcW w:w="1160" w:type="dxa"/>
            <w:tcBorders>
              <w:top w:val="single" w:sz="4" w:space="0" w:color="auto"/>
              <w:bottom w:val="single" w:sz="4" w:space="0" w:color="auto"/>
            </w:tcBorders>
            <w:shd w:val="clear" w:color="auto" w:fill="auto"/>
            <w:noWrap/>
            <w:vAlign w:val="center"/>
            <w:hideMark/>
          </w:tcPr>
          <w:p w:rsidR="00B73255" w:rsidRPr="00226B98" w:rsidRDefault="00B73255" w:rsidP="00B73255">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SD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15</w:t>
            </w:r>
            <w:r w:rsidRPr="00226B98">
              <w:rPr>
                <w:rFonts w:ascii="Arial" w:eastAsia="Times New Roman" w:hAnsi="Arial" w:cs="Arial"/>
                <w:b/>
                <w:bCs/>
                <w:color w:val="000000"/>
                <w:sz w:val="20"/>
                <w:szCs w:val="20"/>
                <w:lang w:eastAsia="en-GB"/>
              </w:rPr>
              <w:t>N</w:t>
            </w:r>
          </w:p>
        </w:tc>
        <w:tc>
          <w:tcPr>
            <w:tcW w:w="1100" w:type="dxa"/>
            <w:tcBorders>
              <w:top w:val="single" w:sz="4" w:space="0" w:color="auto"/>
              <w:bottom w:val="single" w:sz="4" w:space="0" w:color="auto"/>
            </w:tcBorders>
            <w:shd w:val="clear" w:color="auto" w:fill="auto"/>
            <w:noWrap/>
            <w:vAlign w:val="center"/>
            <w:hideMark/>
          </w:tcPr>
          <w:p w:rsidR="00B73255" w:rsidRPr="00226B98" w:rsidRDefault="00B73255" w:rsidP="00B73255">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xml:space="preserve">n </w:t>
            </w:r>
            <w:r>
              <w:rPr>
                <w:rFonts w:ascii="Arial" w:eastAsia="Times New Roman" w:hAnsi="Arial" w:cs="Arial"/>
                <w:b/>
                <w:bCs/>
                <w:color w:val="000000"/>
                <w:sz w:val="20"/>
                <w:szCs w:val="20"/>
                <w:lang w:eastAsia="en-GB"/>
              </w:rPr>
              <w:t>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r>
      <w:tr w:rsidR="00226B98" w:rsidRPr="00226B98" w:rsidTr="005B2804">
        <w:trPr>
          <w:trHeight w:val="300"/>
          <w:jc w:val="center"/>
        </w:trPr>
        <w:tc>
          <w:tcPr>
            <w:tcW w:w="1140" w:type="dxa"/>
            <w:tcBorders>
              <w:top w:val="single" w:sz="4" w:space="0" w:color="auto"/>
            </w:tcBorders>
            <w:shd w:val="clear" w:color="auto" w:fill="D9D9D9" w:themeFill="background1" w:themeFillShade="D9"/>
            <w:noWrap/>
            <w:vAlign w:val="center"/>
            <w:hideMark/>
          </w:tcPr>
          <w:p w:rsidR="00226B98" w:rsidRPr="00226B98" w:rsidRDefault="00226B98" w:rsidP="005B2804">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All Adults</w:t>
            </w:r>
          </w:p>
        </w:tc>
        <w:tc>
          <w:tcPr>
            <w:tcW w:w="1270" w:type="dxa"/>
            <w:tcBorders>
              <w:top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-20.2</w:t>
            </w:r>
          </w:p>
        </w:tc>
        <w:tc>
          <w:tcPr>
            <w:tcW w:w="1030" w:type="dxa"/>
            <w:tcBorders>
              <w:top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0.27</w:t>
            </w:r>
          </w:p>
        </w:tc>
        <w:tc>
          <w:tcPr>
            <w:tcW w:w="1800" w:type="dxa"/>
            <w:tcBorders>
              <w:top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9.4</w:t>
            </w:r>
          </w:p>
        </w:tc>
        <w:tc>
          <w:tcPr>
            <w:tcW w:w="1160" w:type="dxa"/>
            <w:tcBorders>
              <w:top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0.78</w:t>
            </w:r>
          </w:p>
        </w:tc>
        <w:tc>
          <w:tcPr>
            <w:tcW w:w="1100" w:type="dxa"/>
            <w:tcBorders>
              <w:top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223</w:t>
            </w:r>
          </w:p>
        </w:tc>
      </w:tr>
      <w:tr w:rsidR="00226B98" w:rsidRPr="00226B98" w:rsidTr="005B2804">
        <w:trPr>
          <w:trHeight w:val="300"/>
          <w:jc w:val="center"/>
        </w:trPr>
        <w:tc>
          <w:tcPr>
            <w:tcW w:w="1140" w:type="dxa"/>
            <w:shd w:val="clear" w:color="auto" w:fill="auto"/>
            <w:noWrap/>
            <w:vAlign w:val="center"/>
            <w:hideMark/>
          </w:tcPr>
          <w:p w:rsidR="00226B98" w:rsidRPr="00226B98" w:rsidRDefault="00226B98" w:rsidP="005B2804">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Female</w:t>
            </w:r>
          </w:p>
        </w:tc>
        <w:tc>
          <w:tcPr>
            <w:tcW w:w="1270" w:type="dxa"/>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-20.3</w:t>
            </w:r>
          </w:p>
        </w:tc>
        <w:tc>
          <w:tcPr>
            <w:tcW w:w="1030" w:type="dxa"/>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0.23</w:t>
            </w:r>
          </w:p>
        </w:tc>
        <w:tc>
          <w:tcPr>
            <w:tcW w:w="1800" w:type="dxa"/>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9.3</w:t>
            </w:r>
          </w:p>
        </w:tc>
        <w:tc>
          <w:tcPr>
            <w:tcW w:w="1160" w:type="dxa"/>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0.77</w:t>
            </w:r>
          </w:p>
        </w:tc>
        <w:tc>
          <w:tcPr>
            <w:tcW w:w="1100" w:type="dxa"/>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106</w:t>
            </w:r>
          </w:p>
        </w:tc>
      </w:tr>
      <w:tr w:rsidR="00226B98" w:rsidRPr="00226B98" w:rsidTr="005B2804">
        <w:trPr>
          <w:trHeight w:val="300"/>
          <w:jc w:val="center"/>
        </w:trPr>
        <w:tc>
          <w:tcPr>
            <w:tcW w:w="1140" w:type="dxa"/>
            <w:shd w:val="clear" w:color="auto" w:fill="D9D9D9" w:themeFill="background1" w:themeFillShade="D9"/>
            <w:noWrap/>
            <w:vAlign w:val="center"/>
            <w:hideMark/>
          </w:tcPr>
          <w:p w:rsidR="00226B98" w:rsidRPr="00226B98" w:rsidRDefault="00226B98" w:rsidP="005B2804">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Male</w:t>
            </w:r>
          </w:p>
        </w:tc>
        <w:tc>
          <w:tcPr>
            <w:tcW w:w="1270" w:type="dxa"/>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-20.2</w:t>
            </w:r>
          </w:p>
        </w:tc>
        <w:tc>
          <w:tcPr>
            <w:tcW w:w="1030" w:type="dxa"/>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0.27</w:t>
            </w:r>
          </w:p>
        </w:tc>
        <w:tc>
          <w:tcPr>
            <w:tcW w:w="1800" w:type="dxa"/>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9.5</w:t>
            </w:r>
          </w:p>
        </w:tc>
        <w:tc>
          <w:tcPr>
            <w:tcW w:w="1160" w:type="dxa"/>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0.73</w:t>
            </w:r>
          </w:p>
        </w:tc>
        <w:tc>
          <w:tcPr>
            <w:tcW w:w="1100" w:type="dxa"/>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99</w:t>
            </w:r>
          </w:p>
        </w:tc>
      </w:tr>
      <w:tr w:rsidR="00226B98" w:rsidRPr="00226B98" w:rsidTr="005B2804">
        <w:trPr>
          <w:trHeight w:val="300"/>
          <w:jc w:val="center"/>
        </w:trPr>
        <w:tc>
          <w:tcPr>
            <w:tcW w:w="1140" w:type="dxa"/>
            <w:tcBorders>
              <w:bottom w:val="single" w:sz="4" w:space="0" w:color="auto"/>
            </w:tcBorders>
            <w:shd w:val="clear" w:color="auto" w:fill="auto"/>
            <w:noWrap/>
            <w:vAlign w:val="center"/>
            <w:hideMark/>
          </w:tcPr>
          <w:p w:rsidR="00226B98" w:rsidRPr="00226B98" w:rsidRDefault="00226B98" w:rsidP="005B2804">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Non-adult</w:t>
            </w:r>
          </w:p>
        </w:tc>
        <w:tc>
          <w:tcPr>
            <w:tcW w:w="1270" w:type="dxa"/>
            <w:tcBorders>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-20.3</w:t>
            </w:r>
          </w:p>
        </w:tc>
        <w:tc>
          <w:tcPr>
            <w:tcW w:w="1030" w:type="dxa"/>
            <w:tcBorders>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0.22</w:t>
            </w:r>
          </w:p>
        </w:tc>
        <w:tc>
          <w:tcPr>
            <w:tcW w:w="1800" w:type="dxa"/>
            <w:tcBorders>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9.3</w:t>
            </w:r>
          </w:p>
        </w:tc>
        <w:tc>
          <w:tcPr>
            <w:tcW w:w="1160" w:type="dxa"/>
            <w:tcBorders>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1.06</w:t>
            </w:r>
          </w:p>
        </w:tc>
        <w:tc>
          <w:tcPr>
            <w:tcW w:w="1100" w:type="dxa"/>
            <w:tcBorders>
              <w:bottom w:val="single" w:sz="4" w:space="0" w:color="auto"/>
            </w:tcBorders>
            <w:shd w:val="clear" w:color="auto" w:fill="auto"/>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47</w:t>
            </w:r>
          </w:p>
        </w:tc>
      </w:tr>
      <w:tr w:rsidR="00226B98" w:rsidRPr="00226B98" w:rsidTr="005B2804">
        <w:trPr>
          <w:trHeight w:val="300"/>
          <w:jc w:val="center"/>
        </w:trPr>
        <w:tc>
          <w:tcPr>
            <w:tcW w:w="1140"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All data</w:t>
            </w:r>
          </w:p>
        </w:tc>
        <w:tc>
          <w:tcPr>
            <w:tcW w:w="1270"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-20.2</w:t>
            </w:r>
          </w:p>
        </w:tc>
        <w:tc>
          <w:tcPr>
            <w:tcW w:w="1030"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0.26</w:t>
            </w:r>
          </w:p>
        </w:tc>
        <w:tc>
          <w:tcPr>
            <w:tcW w:w="1800"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9.4</w:t>
            </w:r>
          </w:p>
        </w:tc>
        <w:tc>
          <w:tcPr>
            <w:tcW w:w="1160"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0.84</w:t>
            </w:r>
          </w:p>
        </w:tc>
        <w:tc>
          <w:tcPr>
            <w:tcW w:w="1100" w:type="dxa"/>
            <w:tcBorders>
              <w:top w:val="single" w:sz="4" w:space="0" w:color="auto"/>
              <w:bottom w:val="single" w:sz="4" w:space="0" w:color="auto"/>
            </w:tcBorders>
            <w:shd w:val="clear" w:color="auto" w:fill="D9D9D9" w:themeFill="background1" w:themeFillShade="D9"/>
            <w:noWrap/>
            <w:vAlign w:val="center"/>
            <w:hideMark/>
          </w:tcPr>
          <w:p w:rsidR="00226B98" w:rsidRPr="00226B98" w:rsidRDefault="00226B98" w:rsidP="005B2804">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274</w:t>
            </w:r>
          </w:p>
        </w:tc>
      </w:tr>
    </w:tbl>
    <w:p w:rsidR="00F21EDF" w:rsidRDefault="00F21EDF" w:rsidP="005B2804">
      <w:pPr>
        <w:jc w:val="center"/>
      </w:pPr>
    </w:p>
    <w:p w:rsidR="00DF4606" w:rsidRDefault="00C936C8" w:rsidP="00DF4606">
      <w:pPr>
        <w:rPr>
          <w:rFonts w:cs="Times New Roman"/>
        </w:rPr>
      </w:pPr>
      <w:r>
        <w:t xml:space="preserve">The </w:t>
      </w:r>
      <w:r w:rsidR="00834945">
        <w:t xml:space="preserve">mean stable isotope ratios from the </w:t>
      </w:r>
      <w:r>
        <w:t>animal</w:t>
      </w:r>
      <w:r w:rsidR="00834945">
        <w:t xml:space="preserve"> data</w:t>
      </w:r>
      <w:r>
        <w:t xml:space="preserve"> are</w:t>
      </w:r>
      <w:r w:rsidR="00DF4606" w:rsidRPr="00D124B1">
        <w:t xml:space="preserve"> reported in tables </w:t>
      </w:r>
      <w:r w:rsidR="00DF4606">
        <w:t>3</w:t>
      </w:r>
      <w:r w:rsidR="00DF4606" w:rsidRPr="00D124B1">
        <w:t xml:space="preserve"> and </w:t>
      </w:r>
      <w:r w:rsidR="00DF4606">
        <w:t xml:space="preserve">4, with mean </w:t>
      </w:r>
      <w:r w:rsidR="00B73255">
        <w:t>ratios</w:t>
      </w:r>
      <w:r w:rsidR="00DF4606">
        <w:t xml:space="preserve"> shown in figures </w:t>
      </w:r>
      <w:r w:rsidR="00E14229">
        <w:t>1</w:t>
      </w:r>
      <w:r w:rsidR="00DF4606">
        <w:t xml:space="preserve"> and </w:t>
      </w:r>
      <w:r w:rsidR="00E14229">
        <w:t>2</w:t>
      </w:r>
      <w:r w:rsidR="00DF4606" w:rsidRPr="00D124B1">
        <w:t xml:space="preserve">. The Mesolithic terrestrial (T) and aquatic (A) animals have approximately the same average </w:t>
      </w:r>
      <w:r w:rsidR="00DF4606">
        <w:t>δ</w:t>
      </w:r>
      <w:r w:rsidR="00DF4606" w:rsidRPr="000972BF">
        <w:rPr>
          <w:vertAlign w:val="superscript"/>
        </w:rPr>
        <w:t>13</w:t>
      </w:r>
      <w:r w:rsidR="00DF4606">
        <w:t>C</w:t>
      </w:r>
      <w:r w:rsidR="00B73255">
        <w:t xml:space="preserve"> isotope ratios </w:t>
      </w:r>
      <w:r w:rsidR="00DF4606" w:rsidRPr="00D124B1">
        <w:t>(T=</w:t>
      </w:r>
      <w:r w:rsidR="00DF4606">
        <w:rPr>
          <w:rFonts w:cs="Times New Roman"/>
        </w:rPr>
        <w:t>-22.4‰±2.14; A=-22.0‰±</w:t>
      </w:r>
      <w:r w:rsidR="00DF4606" w:rsidRPr="00D124B1">
        <w:rPr>
          <w:rFonts w:cs="Times New Roman"/>
        </w:rPr>
        <w:t xml:space="preserve">1.49), and, as expected, </w:t>
      </w:r>
      <w:r w:rsidR="00DF4606">
        <w:rPr>
          <w:rFonts w:cs="Times New Roman"/>
        </w:rPr>
        <w:t>aquatic animals</w:t>
      </w:r>
      <w:r w:rsidR="00DF4606" w:rsidRPr="00D124B1">
        <w:rPr>
          <w:rFonts w:cs="Times New Roman"/>
        </w:rPr>
        <w:t xml:space="preserve"> have a much higher </w:t>
      </w:r>
      <w:r w:rsidR="00DF4606">
        <w:rPr>
          <w:rFonts w:cs="Times New Roman"/>
        </w:rPr>
        <w:t>δ</w:t>
      </w:r>
      <w:r w:rsidR="00DF4606" w:rsidRPr="000972BF">
        <w:rPr>
          <w:rFonts w:cs="Times New Roman"/>
          <w:vertAlign w:val="superscript"/>
        </w:rPr>
        <w:t>15</w:t>
      </w:r>
      <w:r w:rsidR="00DF4606" w:rsidRPr="00D124B1">
        <w:rPr>
          <w:rFonts w:cs="Times New Roman"/>
        </w:rPr>
        <w:t xml:space="preserve">N average </w:t>
      </w:r>
      <w:r w:rsidR="00B73255">
        <w:rPr>
          <w:rFonts w:cs="Times New Roman"/>
        </w:rPr>
        <w:t xml:space="preserve">ratio </w:t>
      </w:r>
      <w:r w:rsidR="00DF4606" w:rsidRPr="00D124B1">
        <w:rPr>
          <w:rFonts w:cs="Times New Roman"/>
        </w:rPr>
        <w:t xml:space="preserve">than </w:t>
      </w:r>
      <w:r w:rsidR="00DF4606">
        <w:rPr>
          <w:rFonts w:cs="Times New Roman"/>
        </w:rPr>
        <w:t>terrestrial</w:t>
      </w:r>
      <w:r w:rsidR="00DF4606" w:rsidRPr="00D124B1">
        <w:rPr>
          <w:rFonts w:cs="Times New Roman"/>
        </w:rPr>
        <w:t xml:space="preserve"> </w:t>
      </w:r>
      <w:r w:rsidR="00B73255">
        <w:rPr>
          <w:rFonts w:cs="Times New Roman"/>
        </w:rPr>
        <w:t xml:space="preserve">species </w:t>
      </w:r>
      <w:r w:rsidR="00DF4606" w:rsidRPr="00D124B1">
        <w:rPr>
          <w:rFonts w:cs="Times New Roman"/>
        </w:rPr>
        <w:t>(</w:t>
      </w:r>
      <w:r w:rsidR="00DF4606" w:rsidRPr="00D124B1">
        <w:t>T=6.9</w:t>
      </w:r>
      <w:r w:rsidR="00DF4606" w:rsidRPr="00D124B1">
        <w:rPr>
          <w:rFonts w:cs="Times New Roman"/>
        </w:rPr>
        <w:t>‰±2.26; A=9.</w:t>
      </w:r>
      <w:r w:rsidR="00DF4606">
        <w:rPr>
          <w:rFonts w:cs="Times New Roman"/>
        </w:rPr>
        <w:t>5‰</w:t>
      </w:r>
      <w:r w:rsidR="00DF4606" w:rsidRPr="00D124B1">
        <w:rPr>
          <w:rFonts w:cs="Times New Roman"/>
        </w:rPr>
        <w:t>±1.4</w:t>
      </w:r>
      <w:r w:rsidR="00DF4606">
        <w:rPr>
          <w:rFonts w:cs="Times New Roman"/>
        </w:rPr>
        <w:t xml:space="preserve">5). Neolithic terrestrial and aquatic </w:t>
      </w:r>
      <w:r w:rsidR="00B73255">
        <w:rPr>
          <w:rFonts w:cs="Times New Roman"/>
        </w:rPr>
        <w:t xml:space="preserve">animals </w:t>
      </w:r>
      <w:r w:rsidR="00DF4606">
        <w:rPr>
          <w:rFonts w:cs="Times New Roman"/>
        </w:rPr>
        <w:t xml:space="preserve">also have similar average </w:t>
      </w:r>
      <w:r w:rsidR="00DF4606">
        <w:t>δ</w:t>
      </w:r>
      <w:r w:rsidR="00DF4606" w:rsidRPr="000972BF">
        <w:rPr>
          <w:vertAlign w:val="superscript"/>
        </w:rPr>
        <w:t>13</w:t>
      </w:r>
      <w:r w:rsidR="00DF4606">
        <w:t>C</w:t>
      </w:r>
      <w:r w:rsidR="00DF4606">
        <w:rPr>
          <w:rFonts w:cs="Times New Roman"/>
        </w:rPr>
        <w:t xml:space="preserve"> isotope </w:t>
      </w:r>
      <w:r w:rsidR="00B73255">
        <w:rPr>
          <w:rFonts w:cs="Times New Roman"/>
        </w:rPr>
        <w:t>ratios</w:t>
      </w:r>
      <w:r w:rsidR="00DF4606">
        <w:rPr>
          <w:rFonts w:cs="Times New Roman"/>
        </w:rPr>
        <w:t xml:space="preserve"> (T=-21.3</w:t>
      </w:r>
      <w:r w:rsidR="00DF4606" w:rsidRPr="00D124B1">
        <w:rPr>
          <w:rFonts w:cs="Times New Roman"/>
        </w:rPr>
        <w:t>‰±1.</w:t>
      </w:r>
      <w:r w:rsidR="00DF4606">
        <w:rPr>
          <w:rFonts w:cs="Times New Roman"/>
        </w:rPr>
        <w:t xml:space="preserve">06 and A=-21.5‰±1) and are closer in their average nitrogen </w:t>
      </w:r>
      <w:r w:rsidR="00B73255">
        <w:rPr>
          <w:rFonts w:cs="Times New Roman"/>
        </w:rPr>
        <w:t>isotope ratios</w:t>
      </w:r>
      <w:r w:rsidR="00DF4606">
        <w:rPr>
          <w:rFonts w:cs="Times New Roman"/>
        </w:rPr>
        <w:t xml:space="preserve"> than in the Mesolithic (T=6.7‰±1.4 and A=8.9‰±1.1).</w:t>
      </w:r>
      <w:r w:rsidR="00DF4606" w:rsidRPr="00D124B1">
        <w:rPr>
          <w:rFonts w:cs="Times New Roman"/>
        </w:rPr>
        <w:t xml:space="preserve"> </w:t>
      </w:r>
      <w:r w:rsidR="00DF4606">
        <w:rPr>
          <w:rFonts w:cs="Times New Roman"/>
        </w:rPr>
        <w:t xml:space="preserve">Although low numbers of aquatic resources from the Neolithic (n=4) urges caution in interpreting patterns in the </w:t>
      </w:r>
      <w:r w:rsidR="00B73255">
        <w:rPr>
          <w:rFonts w:cs="Times New Roman"/>
        </w:rPr>
        <w:t>data</w:t>
      </w:r>
      <w:r w:rsidR="00DF4606">
        <w:rPr>
          <w:rFonts w:cs="Times New Roman"/>
        </w:rPr>
        <w:t xml:space="preserve">, there are no statistical differences in the Mesolithic and Neolithic aquatic animal isotope </w:t>
      </w:r>
      <w:r w:rsidR="00B73255">
        <w:rPr>
          <w:rFonts w:cs="Times New Roman"/>
        </w:rPr>
        <w:t>ratios</w:t>
      </w:r>
      <w:r w:rsidR="00DF4606">
        <w:rPr>
          <w:rFonts w:cs="Times New Roman"/>
        </w:rPr>
        <w:t xml:space="preserve"> (2-tailed </w:t>
      </w:r>
      <w:r w:rsidR="00DF4606">
        <w:rPr>
          <w:rFonts w:cs="Times New Roman"/>
          <w:i/>
        </w:rPr>
        <w:t>t</w:t>
      </w:r>
      <w:r w:rsidR="00DF4606">
        <w:rPr>
          <w:rFonts w:cs="Times New Roman"/>
        </w:rPr>
        <w:t>-test). However,</w:t>
      </w:r>
      <w:r w:rsidR="00DF4606">
        <w:rPr>
          <w:rFonts w:cs="Times New Roman"/>
          <w:i/>
        </w:rPr>
        <w:t xml:space="preserve"> </w:t>
      </w:r>
      <w:r w:rsidR="00DF4606">
        <w:rPr>
          <w:rFonts w:cs="Times New Roman"/>
        </w:rPr>
        <w:t xml:space="preserve">Neolithic terrestrial </w:t>
      </w:r>
      <w:r w:rsidR="007C7173">
        <w:rPr>
          <w:rFonts w:cs="Times New Roman"/>
        </w:rPr>
        <w:t xml:space="preserve">animals </w:t>
      </w:r>
      <w:r w:rsidR="00DF4606">
        <w:rPr>
          <w:rFonts w:cs="Times New Roman"/>
        </w:rPr>
        <w:t xml:space="preserve">have statistically significantly different </w:t>
      </w:r>
      <w:r w:rsidR="00DF4606">
        <w:t>δ</w:t>
      </w:r>
      <w:r w:rsidR="00DF4606" w:rsidRPr="000972BF">
        <w:rPr>
          <w:vertAlign w:val="superscript"/>
        </w:rPr>
        <w:t>13</w:t>
      </w:r>
      <w:r w:rsidR="00DF4606">
        <w:t xml:space="preserve">C and </w:t>
      </w:r>
      <w:r w:rsidR="00DF4606">
        <w:rPr>
          <w:rFonts w:cs="Times New Roman"/>
        </w:rPr>
        <w:t>δ</w:t>
      </w:r>
      <w:r w:rsidR="00DF4606" w:rsidRPr="000972BF">
        <w:rPr>
          <w:rFonts w:cs="Times New Roman"/>
          <w:vertAlign w:val="superscript"/>
        </w:rPr>
        <w:t>15</w:t>
      </w:r>
      <w:r w:rsidR="00DF4606" w:rsidRPr="00D124B1">
        <w:rPr>
          <w:rFonts w:cs="Times New Roman"/>
        </w:rPr>
        <w:t>N</w:t>
      </w:r>
      <w:r w:rsidR="00DF4606">
        <w:rPr>
          <w:rFonts w:cs="Times New Roman"/>
        </w:rPr>
        <w:t xml:space="preserve"> </w:t>
      </w:r>
      <w:r w:rsidR="007C7173">
        <w:rPr>
          <w:rFonts w:cs="Times New Roman"/>
        </w:rPr>
        <w:t>ratios</w:t>
      </w:r>
      <w:r w:rsidR="00DF4606">
        <w:rPr>
          <w:rFonts w:cs="Times New Roman"/>
        </w:rPr>
        <w:t xml:space="preserve"> (p=0.002 and p=0.003 respectively, 2-tailed </w:t>
      </w:r>
      <w:r w:rsidR="00DF4606">
        <w:rPr>
          <w:rFonts w:cs="Times New Roman"/>
          <w:i/>
        </w:rPr>
        <w:t>t</w:t>
      </w:r>
      <w:r w:rsidR="00DF4606">
        <w:rPr>
          <w:rFonts w:cs="Times New Roman"/>
        </w:rPr>
        <w:t>-test assuming unequal variances) t</w:t>
      </w:r>
      <w:r w:rsidR="00B73255">
        <w:rPr>
          <w:rFonts w:cs="Times New Roman"/>
        </w:rPr>
        <w:t xml:space="preserve">o the terrestrial animals dating to the </w:t>
      </w:r>
      <w:r w:rsidR="00DF4606">
        <w:rPr>
          <w:rFonts w:cs="Times New Roman"/>
        </w:rPr>
        <w:t>Mesolithic. This may be due to where domestic animals were kept</w:t>
      </w:r>
      <w:r w:rsidR="00B73255">
        <w:rPr>
          <w:rFonts w:cs="Times New Roman"/>
        </w:rPr>
        <w:t xml:space="preserve"> or herded,</w:t>
      </w:r>
      <w:r w:rsidR="00DF4606">
        <w:rPr>
          <w:rFonts w:cs="Times New Roman"/>
        </w:rPr>
        <w:t xml:space="preserve"> what they fed on</w:t>
      </w:r>
      <w:r w:rsidR="007C7173">
        <w:rPr>
          <w:rFonts w:cs="Times New Roman"/>
        </w:rPr>
        <w:t xml:space="preserve"> and the type of terrestrial animals in the </w:t>
      </w:r>
      <w:r w:rsidR="00B73255">
        <w:rPr>
          <w:rFonts w:cs="Times New Roman"/>
        </w:rPr>
        <w:t xml:space="preserve">human </w:t>
      </w:r>
      <w:r w:rsidR="007C7173">
        <w:rPr>
          <w:rFonts w:cs="Times New Roman"/>
        </w:rPr>
        <w:t>diet</w:t>
      </w:r>
      <w:r w:rsidR="00DF4606">
        <w:rPr>
          <w:rFonts w:cs="Times New Roman"/>
        </w:rPr>
        <w:t xml:space="preserve"> (</w:t>
      </w:r>
      <w:r w:rsidR="008B0EC3">
        <w:rPr>
          <w:rFonts w:cs="Times New Roman"/>
        </w:rPr>
        <w:t xml:space="preserve">e.g. </w:t>
      </w:r>
      <w:r w:rsidR="00DF4606">
        <w:rPr>
          <w:rFonts w:cs="Times New Roman"/>
        </w:rPr>
        <w:t>less canopy cover</w:t>
      </w:r>
      <w:r w:rsidR="00B73255">
        <w:rPr>
          <w:rFonts w:cs="Times New Roman"/>
        </w:rPr>
        <w:t>, fodder from open environments</w:t>
      </w:r>
      <w:r w:rsidR="00DF4606">
        <w:rPr>
          <w:rFonts w:cs="Times New Roman"/>
        </w:rPr>
        <w:t xml:space="preserve">, </w:t>
      </w:r>
      <w:r w:rsidR="00B73255">
        <w:rPr>
          <w:rFonts w:cs="Times New Roman"/>
        </w:rPr>
        <w:t xml:space="preserve">and </w:t>
      </w:r>
      <w:r w:rsidR="00DF4606">
        <w:rPr>
          <w:rFonts w:cs="Times New Roman"/>
        </w:rPr>
        <w:t xml:space="preserve">fewer omnivores in the diet).   </w:t>
      </w:r>
    </w:p>
    <w:p w:rsidR="007C7173" w:rsidRDefault="007C7173" w:rsidP="00DF4606">
      <w:pPr>
        <w:rPr>
          <w:rFonts w:cs="Times New Roman"/>
        </w:rPr>
      </w:pPr>
    </w:p>
    <w:p w:rsidR="00B73255" w:rsidRDefault="00B73255" w:rsidP="00DF4606">
      <w:pPr>
        <w:rPr>
          <w:rFonts w:cs="Times New Roman"/>
        </w:rPr>
      </w:pPr>
    </w:p>
    <w:p w:rsidR="00B73255" w:rsidRDefault="00B73255" w:rsidP="00DF4606">
      <w:pPr>
        <w:rPr>
          <w:rFonts w:cs="Times New Roman"/>
        </w:rPr>
      </w:pPr>
    </w:p>
    <w:p w:rsidR="0084507E" w:rsidRDefault="0084507E" w:rsidP="00DF4606">
      <w:pPr>
        <w:rPr>
          <w:rFonts w:cs="Times New Roman"/>
        </w:rPr>
      </w:pPr>
    </w:p>
    <w:p w:rsidR="0084507E" w:rsidRPr="004369D5" w:rsidRDefault="0084507E" w:rsidP="0084507E">
      <w:pPr>
        <w:jc w:val="center"/>
        <w:rPr>
          <w:i/>
        </w:rPr>
      </w:pPr>
      <w:r w:rsidRPr="004369D5">
        <w:rPr>
          <w:i/>
        </w:rPr>
        <w:lastRenderedPageBreak/>
        <w:t>Table 3: Average values for the animal δ</w:t>
      </w:r>
      <w:r w:rsidRPr="004369D5">
        <w:rPr>
          <w:i/>
          <w:vertAlign w:val="superscript"/>
        </w:rPr>
        <w:t>13</w:t>
      </w:r>
      <w:r w:rsidRPr="004369D5">
        <w:rPr>
          <w:i/>
        </w:rPr>
        <w:t>C and δ</w:t>
      </w:r>
      <w:r w:rsidRPr="004369D5">
        <w:rPr>
          <w:i/>
          <w:vertAlign w:val="superscript"/>
        </w:rPr>
        <w:t>15</w:t>
      </w:r>
      <w:r w:rsidRPr="004369D5">
        <w:rPr>
          <w:i/>
        </w:rPr>
        <w:t xml:space="preserve">N isotope </w:t>
      </w:r>
      <w:r w:rsidR="00B73255">
        <w:rPr>
          <w:i/>
        </w:rPr>
        <w:t>ratios</w:t>
      </w:r>
      <w:r w:rsidRPr="004369D5">
        <w:rPr>
          <w:i/>
        </w:rPr>
        <w:t xml:space="preserve"> for the Mesolithic.</w:t>
      </w:r>
    </w:p>
    <w:tbl>
      <w:tblPr>
        <w:tblW w:w="8222" w:type="dxa"/>
        <w:jc w:val="center"/>
        <w:tblLook w:val="04A0" w:firstRow="1" w:lastRow="0" w:firstColumn="1" w:lastColumn="0" w:noHBand="0" w:noVBand="1"/>
      </w:tblPr>
      <w:tblGrid>
        <w:gridCol w:w="1418"/>
        <w:gridCol w:w="1701"/>
        <w:gridCol w:w="1276"/>
        <w:gridCol w:w="1559"/>
        <w:gridCol w:w="1134"/>
        <w:gridCol w:w="1134"/>
      </w:tblGrid>
      <w:tr w:rsidR="0084507E" w:rsidRPr="00226B98" w:rsidTr="008D7602">
        <w:trPr>
          <w:trHeight w:val="300"/>
          <w:jc w:val="center"/>
        </w:trPr>
        <w:tc>
          <w:tcPr>
            <w:tcW w:w="1418" w:type="dxa"/>
            <w:tcBorders>
              <w:top w:val="single" w:sz="4" w:space="0" w:color="auto"/>
              <w:bottom w:val="single" w:sz="4" w:space="0" w:color="auto"/>
            </w:tcBorders>
            <w:shd w:val="clear" w:color="auto" w:fill="auto"/>
            <w:noWrap/>
            <w:vAlign w:val="center"/>
            <w:hideMark/>
          </w:tcPr>
          <w:p w:rsidR="0084507E" w:rsidRPr="00226B98" w:rsidRDefault="0084507E" w:rsidP="008D7602">
            <w:pP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w:t>
            </w:r>
            <w:r>
              <w:rPr>
                <w:rFonts w:ascii="Arial" w:eastAsia="Times New Roman" w:hAnsi="Arial" w:cs="Arial"/>
                <w:b/>
                <w:bCs/>
                <w:color w:val="000000"/>
                <w:sz w:val="20"/>
                <w:szCs w:val="20"/>
                <w:lang w:eastAsia="en-GB"/>
              </w:rPr>
              <w:t>Species</w:t>
            </w:r>
          </w:p>
        </w:tc>
        <w:tc>
          <w:tcPr>
            <w:tcW w:w="1701"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Mean 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c>
          <w:tcPr>
            <w:tcW w:w="1276"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SD 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c>
          <w:tcPr>
            <w:tcW w:w="1559"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Mean δ</w:t>
            </w:r>
            <w:r w:rsidRPr="00226B98">
              <w:rPr>
                <w:rFonts w:ascii="Arial" w:eastAsia="Times New Roman" w:hAnsi="Arial" w:cs="Arial"/>
                <w:b/>
                <w:bCs/>
                <w:color w:val="000000"/>
                <w:sz w:val="20"/>
                <w:szCs w:val="20"/>
                <w:vertAlign w:val="superscript"/>
                <w:lang w:eastAsia="en-GB"/>
              </w:rPr>
              <w:t>15</w:t>
            </w:r>
            <w:r w:rsidRPr="00226B98">
              <w:rPr>
                <w:rFonts w:ascii="Arial" w:eastAsia="Times New Roman" w:hAnsi="Arial" w:cs="Arial"/>
                <w:b/>
                <w:bCs/>
                <w:color w:val="000000"/>
                <w:sz w:val="20"/>
                <w:szCs w:val="20"/>
                <w:lang w:eastAsia="en-GB"/>
              </w:rPr>
              <w:t>N</w:t>
            </w:r>
          </w:p>
        </w:tc>
        <w:tc>
          <w:tcPr>
            <w:tcW w:w="1134"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SD δ</w:t>
            </w:r>
            <w:r w:rsidRPr="00226B98">
              <w:rPr>
                <w:rFonts w:ascii="Arial" w:eastAsia="Times New Roman" w:hAnsi="Arial" w:cs="Arial"/>
                <w:b/>
                <w:bCs/>
                <w:color w:val="000000"/>
                <w:sz w:val="20"/>
                <w:szCs w:val="20"/>
                <w:vertAlign w:val="superscript"/>
                <w:lang w:eastAsia="en-GB"/>
              </w:rPr>
              <w:t>15</w:t>
            </w:r>
            <w:r w:rsidRPr="00226B98">
              <w:rPr>
                <w:rFonts w:ascii="Arial" w:eastAsia="Times New Roman" w:hAnsi="Arial" w:cs="Arial"/>
                <w:b/>
                <w:bCs/>
                <w:color w:val="000000"/>
                <w:sz w:val="20"/>
                <w:szCs w:val="20"/>
                <w:lang w:eastAsia="en-GB"/>
              </w:rPr>
              <w:t>N</w:t>
            </w:r>
          </w:p>
        </w:tc>
        <w:tc>
          <w:tcPr>
            <w:tcW w:w="1134"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n</w:t>
            </w:r>
          </w:p>
        </w:tc>
      </w:tr>
      <w:tr w:rsidR="0084507E" w:rsidRPr="00226B98" w:rsidTr="008D7602">
        <w:trPr>
          <w:trHeight w:val="300"/>
          <w:jc w:val="center"/>
        </w:trPr>
        <w:tc>
          <w:tcPr>
            <w:tcW w:w="1418" w:type="dxa"/>
            <w:tcBorders>
              <w:top w:val="single" w:sz="4" w:space="0" w:color="auto"/>
            </w:tcBorders>
            <w:shd w:val="clear" w:color="auto" w:fill="D9D9D9" w:themeFill="background1" w:themeFillShade="D9"/>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Aurochs</w:t>
            </w:r>
          </w:p>
        </w:tc>
        <w:tc>
          <w:tcPr>
            <w:tcW w:w="1701" w:type="dxa"/>
            <w:tcBorders>
              <w:top w:val="single" w:sz="4" w:space="0" w:color="auto"/>
            </w:tcBorders>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-23.1</w:t>
            </w:r>
          </w:p>
        </w:tc>
        <w:tc>
          <w:tcPr>
            <w:tcW w:w="1276" w:type="dxa"/>
            <w:tcBorders>
              <w:top w:val="single" w:sz="4" w:space="0" w:color="auto"/>
            </w:tcBorders>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0.38</w:t>
            </w:r>
          </w:p>
        </w:tc>
        <w:tc>
          <w:tcPr>
            <w:tcW w:w="1559" w:type="dxa"/>
            <w:tcBorders>
              <w:top w:val="single" w:sz="4" w:space="0" w:color="auto"/>
            </w:tcBorders>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5.5</w:t>
            </w:r>
          </w:p>
        </w:tc>
        <w:tc>
          <w:tcPr>
            <w:tcW w:w="1134" w:type="dxa"/>
            <w:tcBorders>
              <w:top w:val="single" w:sz="4" w:space="0" w:color="auto"/>
            </w:tcBorders>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0.48</w:t>
            </w:r>
          </w:p>
        </w:tc>
        <w:tc>
          <w:tcPr>
            <w:tcW w:w="1134" w:type="dxa"/>
            <w:tcBorders>
              <w:top w:val="single" w:sz="4" w:space="0" w:color="auto"/>
            </w:tcBorders>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6</w:t>
            </w:r>
          </w:p>
        </w:tc>
      </w:tr>
      <w:tr w:rsidR="0084507E" w:rsidRPr="00226B98" w:rsidTr="008D7602">
        <w:trPr>
          <w:trHeight w:val="300"/>
          <w:jc w:val="center"/>
        </w:trPr>
        <w:tc>
          <w:tcPr>
            <w:tcW w:w="1418" w:type="dxa"/>
            <w:shd w:val="clear" w:color="auto" w:fill="auto"/>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Brown Trout</w:t>
            </w:r>
          </w:p>
        </w:tc>
        <w:tc>
          <w:tcPr>
            <w:tcW w:w="1701"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-19.9</w:t>
            </w:r>
          </w:p>
        </w:tc>
        <w:tc>
          <w:tcPr>
            <w:tcW w:w="1276"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0.74</w:t>
            </w:r>
          </w:p>
        </w:tc>
        <w:tc>
          <w:tcPr>
            <w:tcW w:w="1559"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9</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0.32</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5</w:t>
            </w:r>
          </w:p>
        </w:tc>
      </w:tr>
      <w:tr w:rsidR="0084507E" w:rsidRPr="00226B98" w:rsidTr="008D7602">
        <w:trPr>
          <w:trHeight w:val="300"/>
          <w:jc w:val="center"/>
        </w:trPr>
        <w:tc>
          <w:tcPr>
            <w:tcW w:w="1418" w:type="dxa"/>
            <w:shd w:val="clear" w:color="auto" w:fill="D9D9D9" w:themeFill="background1" w:themeFillShade="D9"/>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Burbot</w:t>
            </w:r>
          </w:p>
        </w:tc>
        <w:tc>
          <w:tcPr>
            <w:tcW w:w="1701"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-23.2</w:t>
            </w:r>
          </w:p>
        </w:tc>
        <w:tc>
          <w:tcPr>
            <w:tcW w:w="1276"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1.02</w:t>
            </w:r>
          </w:p>
        </w:tc>
        <w:tc>
          <w:tcPr>
            <w:tcW w:w="1559"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8.7</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1.81</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4</w:t>
            </w:r>
          </w:p>
        </w:tc>
      </w:tr>
      <w:tr w:rsidR="0084507E" w:rsidRPr="00226B98" w:rsidTr="008D7602">
        <w:trPr>
          <w:trHeight w:val="300"/>
          <w:jc w:val="center"/>
        </w:trPr>
        <w:tc>
          <w:tcPr>
            <w:tcW w:w="1418" w:type="dxa"/>
            <w:shd w:val="clear" w:color="auto" w:fill="auto"/>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Cyprinidae</w:t>
            </w:r>
          </w:p>
        </w:tc>
        <w:tc>
          <w:tcPr>
            <w:tcW w:w="1701"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-21.8</w:t>
            </w:r>
          </w:p>
        </w:tc>
        <w:tc>
          <w:tcPr>
            <w:tcW w:w="1276"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0.4</w:t>
            </w:r>
          </w:p>
        </w:tc>
        <w:tc>
          <w:tcPr>
            <w:tcW w:w="1559"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10.1</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1.39</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5</w:t>
            </w:r>
          </w:p>
        </w:tc>
      </w:tr>
      <w:tr w:rsidR="0084507E" w:rsidRPr="00226B98" w:rsidTr="008D7602">
        <w:trPr>
          <w:trHeight w:val="300"/>
          <w:jc w:val="center"/>
        </w:trPr>
        <w:tc>
          <w:tcPr>
            <w:tcW w:w="1418" w:type="dxa"/>
            <w:shd w:val="clear" w:color="auto" w:fill="D9D9D9" w:themeFill="background1" w:themeFillShade="D9"/>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Eel</w:t>
            </w:r>
          </w:p>
        </w:tc>
        <w:tc>
          <w:tcPr>
            <w:tcW w:w="1701"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-23.8</w:t>
            </w:r>
          </w:p>
        </w:tc>
        <w:tc>
          <w:tcPr>
            <w:tcW w:w="1276"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559"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8.3</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w:t>
            </w:r>
          </w:p>
        </w:tc>
      </w:tr>
      <w:tr w:rsidR="0084507E" w:rsidRPr="00226B98" w:rsidTr="008D7602">
        <w:trPr>
          <w:trHeight w:val="300"/>
          <w:jc w:val="center"/>
        </w:trPr>
        <w:tc>
          <w:tcPr>
            <w:tcW w:w="1418" w:type="dxa"/>
            <w:shd w:val="clear" w:color="auto" w:fill="auto"/>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Lynx</w:t>
            </w:r>
          </w:p>
        </w:tc>
        <w:tc>
          <w:tcPr>
            <w:tcW w:w="1701"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-19.1</w:t>
            </w:r>
          </w:p>
        </w:tc>
        <w:tc>
          <w:tcPr>
            <w:tcW w:w="1276"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559"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11.9</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w:t>
            </w:r>
          </w:p>
        </w:tc>
      </w:tr>
      <w:tr w:rsidR="0084507E" w:rsidRPr="00226B98" w:rsidTr="008D7602">
        <w:trPr>
          <w:trHeight w:val="300"/>
          <w:jc w:val="center"/>
        </w:trPr>
        <w:tc>
          <w:tcPr>
            <w:tcW w:w="1418" w:type="dxa"/>
            <w:shd w:val="clear" w:color="auto" w:fill="D9D9D9" w:themeFill="background1" w:themeFillShade="D9"/>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Nase</w:t>
            </w:r>
          </w:p>
        </w:tc>
        <w:tc>
          <w:tcPr>
            <w:tcW w:w="1701"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-20.1</w:t>
            </w:r>
          </w:p>
        </w:tc>
        <w:tc>
          <w:tcPr>
            <w:tcW w:w="1276"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559"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8.7</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w:t>
            </w:r>
          </w:p>
        </w:tc>
      </w:tr>
      <w:tr w:rsidR="0084507E" w:rsidRPr="00226B98" w:rsidTr="008D7602">
        <w:trPr>
          <w:trHeight w:val="300"/>
          <w:jc w:val="center"/>
        </w:trPr>
        <w:tc>
          <w:tcPr>
            <w:tcW w:w="1418" w:type="dxa"/>
            <w:shd w:val="clear" w:color="auto" w:fill="auto"/>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Otter</w:t>
            </w:r>
          </w:p>
        </w:tc>
        <w:tc>
          <w:tcPr>
            <w:tcW w:w="1701"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-22.5</w:t>
            </w:r>
          </w:p>
        </w:tc>
        <w:tc>
          <w:tcPr>
            <w:tcW w:w="1276"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2.75</w:t>
            </w:r>
          </w:p>
        </w:tc>
        <w:tc>
          <w:tcPr>
            <w:tcW w:w="1559"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11.4</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0.83</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3</w:t>
            </w:r>
          </w:p>
        </w:tc>
      </w:tr>
      <w:tr w:rsidR="0084507E" w:rsidRPr="00226B98" w:rsidTr="008D7602">
        <w:trPr>
          <w:trHeight w:val="300"/>
          <w:jc w:val="center"/>
        </w:trPr>
        <w:tc>
          <w:tcPr>
            <w:tcW w:w="1418" w:type="dxa"/>
            <w:shd w:val="clear" w:color="auto" w:fill="D9D9D9" w:themeFill="background1" w:themeFillShade="D9"/>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Pike</w:t>
            </w:r>
          </w:p>
        </w:tc>
        <w:tc>
          <w:tcPr>
            <w:tcW w:w="1701"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-22.1</w:t>
            </w:r>
          </w:p>
        </w:tc>
        <w:tc>
          <w:tcPr>
            <w:tcW w:w="1276"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1.35</w:t>
            </w:r>
          </w:p>
        </w:tc>
        <w:tc>
          <w:tcPr>
            <w:tcW w:w="1559"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10</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1.27</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4</w:t>
            </w:r>
          </w:p>
        </w:tc>
      </w:tr>
      <w:tr w:rsidR="0084507E" w:rsidRPr="00226B98" w:rsidTr="008D7602">
        <w:trPr>
          <w:trHeight w:val="300"/>
          <w:jc w:val="center"/>
        </w:trPr>
        <w:tc>
          <w:tcPr>
            <w:tcW w:w="1418" w:type="dxa"/>
            <w:shd w:val="clear" w:color="auto" w:fill="auto"/>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Pond Turtle</w:t>
            </w:r>
          </w:p>
        </w:tc>
        <w:tc>
          <w:tcPr>
            <w:tcW w:w="1701"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-25.8</w:t>
            </w:r>
          </w:p>
        </w:tc>
        <w:tc>
          <w:tcPr>
            <w:tcW w:w="1276"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0.7</w:t>
            </w:r>
          </w:p>
        </w:tc>
        <w:tc>
          <w:tcPr>
            <w:tcW w:w="1559"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7.8</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0.39</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4</w:t>
            </w:r>
          </w:p>
        </w:tc>
      </w:tr>
      <w:tr w:rsidR="0084507E" w:rsidRPr="00226B98" w:rsidTr="008D7602">
        <w:trPr>
          <w:trHeight w:val="300"/>
          <w:jc w:val="center"/>
        </w:trPr>
        <w:tc>
          <w:tcPr>
            <w:tcW w:w="1418" w:type="dxa"/>
            <w:shd w:val="clear" w:color="auto" w:fill="D9D9D9" w:themeFill="background1" w:themeFillShade="D9"/>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Red Deer</w:t>
            </w:r>
          </w:p>
        </w:tc>
        <w:tc>
          <w:tcPr>
            <w:tcW w:w="1701"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-22.8</w:t>
            </w:r>
          </w:p>
        </w:tc>
        <w:tc>
          <w:tcPr>
            <w:tcW w:w="1276"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0.29</w:t>
            </w:r>
          </w:p>
        </w:tc>
        <w:tc>
          <w:tcPr>
            <w:tcW w:w="1559"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5.8</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1.5</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6</w:t>
            </w:r>
          </w:p>
        </w:tc>
      </w:tr>
      <w:tr w:rsidR="0084507E" w:rsidRPr="00226B98" w:rsidTr="008D7602">
        <w:trPr>
          <w:trHeight w:val="300"/>
          <w:jc w:val="center"/>
        </w:trPr>
        <w:tc>
          <w:tcPr>
            <w:tcW w:w="1418" w:type="dxa"/>
            <w:shd w:val="clear" w:color="auto" w:fill="auto"/>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Red Fox</w:t>
            </w:r>
          </w:p>
        </w:tc>
        <w:tc>
          <w:tcPr>
            <w:tcW w:w="1701"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-21.2</w:t>
            </w:r>
          </w:p>
        </w:tc>
        <w:tc>
          <w:tcPr>
            <w:tcW w:w="1276"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559"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12.4</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w:t>
            </w:r>
          </w:p>
        </w:tc>
      </w:tr>
      <w:tr w:rsidR="0084507E" w:rsidRPr="00226B98" w:rsidTr="008D7602">
        <w:trPr>
          <w:trHeight w:val="300"/>
          <w:jc w:val="center"/>
        </w:trPr>
        <w:tc>
          <w:tcPr>
            <w:tcW w:w="1418" w:type="dxa"/>
            <w:shd w:val="clear" w:color="auto" w:fill="D9D9D9" w:themeFill="background1" w:themeFillShade="D9"/>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Roe Deer</w:t>
            </w:r>
          </w:p>
        </w:tc>
        <w:tc>
          <w:tcPr>
            <w:tcW w:w="1701"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-23.3</w:t>
            </w:r>
          </w:p>
        </w:tc>
        <w:tc>
          <w:tcPr>
            <w:tcW w:w="1276"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0.29</w:t>
            </w:r>
          </w:p>
        </w:tc>
        <w:tc>
          <w:tcPr>
            <w:tcW w:w="1559"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5.8</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1.5</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6</w:t>
            </w:r>
          </w:p>
        </w:tc>
      </w:tr>
      <w:tr w:rsidR="0084507E" w:rsidRPr="00226B98" w:rsidTr="008D7602">
        <w:trPr>
          <w:trHeight w:val="300"/>
          <w:jc w:val="center"/>
        </w:trPr>
        <w:tc>
          <w:tcPr>
            <w:tcW w:w="1418" w:type="dxa"/>
            <w:shd w:val="clear" w:color="auto" w:fill="auto"/>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Wild Boar</w:t>
            </w:r>
          </w:p>
        </w:tc>
        <w:tc>
          <w:tcPr>
            <w:tcW w:w="1701"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-20.3</w:t>
            </w:r>
          </w:p>
        </w:tc>
        <w:tc>
          <w:tcPr>
            <w:tcW w:w="1276"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0.87</w:t>
            </w:r>
          </w:p>
        </w:tc>
        <w:tc>
          <w:tcPr>
            <w:tcW w:w="1559"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7</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1.43</w:t>
            </w:r>
          </w:p>
        </w:tc>
        <w:tc>
          <w:tcPr>
            <w:tcW w:w="1134" w:type="dxa"/>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7</w:t>
            </w:r>
          </w:p>
        </w:tc>
      </w:tr>
      <w:tr w:rsidR="0084507E" w:rsidRPr="00226B98" w:rsidTr="008D7602">
        <w:trPr>
          <w:trHeight w:val="300"/>
          <w:jc w:val="center"/>
        </w:trPr>
        <w:tc>
          <w:tcPr>
            <w:tcW w:w="1418" w:type="dxa"/>
            <w:shd w:val="clear" w:color="auto" w:fill="D9D9D9" w:themeFill="background1" w:themeFillShade="D9"/>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Wild Cat</w:t>
            </w:r>
          </w:p>
        </w:tc>
        <w:tc>
          <w:tcPr>
            <w:tcW w:w="1701"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-19.8</w:t>
            </w:r>
          </w:p>
        </w:tc>
        <w:tc>
          <w:tcPr>
            <w:tcW w:w="1276"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559"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9.3</w:t>
            </w: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134" w:type="dxa"/>
            <w:shd w:val="clear" w:color="auto" w:fill="D9D9D9" w:themeFill="background1" w:themeFillShade="D9"/>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w:t>
            </w:r>
          </w:p>
        </w:tc>
      </w:tr>
      <w:tr w:rsidR="0084507E" w:rsidRPr="00226B98" w:rsidTr="008D7602">
        <w:trPr>
          <w:trHeight w:val="300"/>
          <w:jc w:val="center"/>
        </w:trPr>
        <w:tc>
          <w:tcPr>
            <w:tcW w:w="1418" w:type="dxa"/>
            <w:tcBorders>
              <w:bottom w:val="single" w:sz="4" w:space="0" w:color="auto"/>
            </w:tcBorders>
            <w:shd w:val="clear" w:color="auto" w:fill="auto"/>
            <w:noWrap/>
            <w:vAlign w:val="center"/>
            <w:hideMark/>
          </w:tcPr>
          <w:p w:rsidR="0084507E" w:rsidRPr="00226B98" w:rsidRDefault="0084507E" w:rsidP="008D7602">
            <w:pP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Wolf</w:t>
            </w:r>
          </w:p>
        </w:tc>
        <w:tc>
          <w:tcPr>
            <w:tcW w:w="1701" w:type="dxa"/>
            <w:tcBorders>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-21.3</w:t>
            </w:r>
          </w:p>
        </w:tc>
        <w:tc>
          <w:tcPr>
            <w:tcW w:w="1276" w:type="dxa"/>
            <w:tcBorders>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559" w:type="dxa"/>
            <w:tcBorders>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9.3</w:t>
            </w:r>
          </w:p>
        </w:tc>
        <w:tc>
          <w:tcPr>
            <w:tcW w:w="1134" w:type="dxa"/>
            <w:tcBorders>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p>
        </w:tc>
        <w:tc>
          <w:tcPr>
            <w:tcW w:w="1134" w:type="dxa"/>
            <w:tcBorders>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color w:val="000000"/>
                <w:sz w:val="20"/>
                <w:szCs w:val="20"/>
                <w:lang w:eastAsia="en-GB"/>
              </w:rPr>
            </w:pPr>
            <w:r w:rsidRPr="00226B98">
              <w:rPr>
                <w:rFonts w:ascii="Arial" w:eastAsia="Times New Roman" w:hAnsi="Arial" w:cs="Arial"/>
                <w:color w:val="000000"/>
                <w:sz w:val="20"/>
                <w:szCs w:val="20"/>
                <w:lang w:eastAsia="en-GB"/>
              </w:rPr>
              <w:t>1</w:t>
            </w:r>
          </w:p>
        </w:tc>
      </w:tr>
    </w:tbl>
    <w:p w:rsidR="0084507E" w:rsidRDefault="0084507E" w:rsidP="0084507E"/>
    <w:p w:rsidR="00B73255" w:rsidRDefault="00B73255" w:rsidP="0084507E">
      <w:pPr>
        <w:jc w:val="center"/>
        <w:rPr>
          <w:i/>
        </w:rPr>
      </w:pPr>
    </w:p>
    <w:p w:rsidR="0084507E" w:rsidRPr="004369D5" w:rsidRDefault="0084507E" w:rsidP="0084507E">
      <w:pPr>
        <w:jc w:val="center"/>
        <w:rPr>
          <w:i/>
        </w:rPr>
      </w:pPr>
      <w:r w:rsidRPr="004369D5">
        <w:rPr>
          <w:i/>
        </w:rPr>
        <w:t>Table 4: Average values for the animal δ</w:t>
      </w:r>
      <w:r w:rsidRPr="004369D5">
        <w:rPr>
          <w:i/>
          <w:vertAlign w:val="superscript"/>
        </w:rPr>
        <w:t>13</w:t>
      </w:r>
      <w:r w:rsidRPr="004369D5">
        <w:rPr>
          <w:i/>
        </w:rPr>
        <w:t>C and δ</w:t>
      </w:r>
      <w:r w:rsidRPr="004369D5">
        <w:rPr>
          <w:i/>
          <w:vertAlign w:val="superscript"/>
        </w:rPr>
        <w:t>15</w:t>
      </w:r>
      <w:r w:rsidRPr="004369D5">
        <w:rPr>
          <w:i/>
        </w:rPr>
        <w:t xml:space="preserve">N isotope </w:t>
      </w:r>
      <w:r w:rsidR="00B73255">
        <w:rPr>
          <w:i/>
        </w:rPr>
        <w:t>ratios</w:t>
      </w:r>
      <w:r w:rsidRPr="004369D5">
        <w:rPr>
          <w:i/>
        </w:rPr>
        <w:t xml:space="preserve"> for the Neolithic.</w:t>
      </w:r>
    </w:p>
    <w:tbl>
      <w:tblPr>
        <w:tblW w:w="8320" w:type="dxa"/>
        <w:jc w:val="center"/>
        <w:tblLook w:val="04A0" w:firstRow="1" w:lastRow="0" w:firstColumn="1" w:lastColumn="0" w:noHBand="0" w:noVBand="1"/>
      </w:tblPr>
      <w:tblGrid>
        <w:gridCol w:w="1418"/>
        <w:gridCol w:w="1276"/>
        <w:gridCol w:w="1666"/>
        <w:gridCol w:w="1880"/>
        <w:gridCol w:w="1120"/>
        <w:gridCol w:w="960"/>
      </w:tblGrid>
      <w:tr w:rsidR="0084507E" w:rsidRPr="00F627AA" w:rsidTr="008D7602">
        <w:trPr>
          <w:trHeight w:val="300"/>
          <w:jc w:val="center"/>
        </w:trPr>
        <w:tc>
          <w:tcPr>
            <w:tcW w:w="1418" w:type="dxa"/>
            <w:tcBorders>
              <w:top w:val="single" w:sz="4" w:space="0" w:color="auto"/>
              <w:bottom w:val="single" w:sz="4" w:space="0" w:color="auto"/>
            </w:tcBorders>
            <w:shd w:val="clear" w:color="auto" w:fill="auto"/>
            <w:noWrap/>
            <w:vAlign w:val="center"/>
            <w:hideMark/>
          </w:tcPr>
          <w:p w:rsidR="0084507E" w:rsidRPr="00226B98" w:rsidRDefault="0084507E" w:rsidP="008D7602">
            <w:pP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 </w:t>
            </w:r>
            <w:r>
              <w:rPr>
                <w:rFonts w:ascii="Arial" w:eastAsia="Times New Roman" w:hAnsi="Arial" w:cs="Arial"/>
                <w:b/>
                <w:bCs/>
                <w:color w:val="000000"/>
                <w:sz w:val="20"/>
                <w:szCs w:val="20"/>
                <w:lang w:eastAsia="en-GB"/>
              </w:rPr>
              <w:t>Species</w:t>
            </w:r>
          </w:p>
        </w:tc>
        <w:tc>
          <w:tcPr>
            <w:tcW w:w="1276"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Mean 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c>
          <w:tcPr>
            <w:tcW w:w="1666"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SD δ</w:t>
            </w:r>
            <w:r w:rsidRPr="00226B98">
              <w:rPr>
                <w:rFonts w:ascii="Arial" w:eastAsia="Times New Roman" w:hAnsi="Arial" w:cs="Arial"/>
                <w:b/>
                <w:bCs/>
                <w:color w:val="000000"/>
                <w:sz w:val="20"/>
                <w:szCs w:val="20"/>
                <w:vertAlign w:val="superscript"/>
                <w:lang w:eastAsia="en-GB"/>
              </w:rPr>
              <w:t>13</w:t>
            </w:r>
            <w:r w:rsidRPr="00226B98">
              <w:rPr>
                <w:rFonts w:ascii="Arial" w:eastAsia="Times New Roman" w:hAnsi="Arial" w:cs="Arial"/>
                <w:b/>
                <w:bCs/>
                <w:color w:val="000000"/>
                <w:sz w:val="20"/>
                <w:szCs w:val="20"/>
                <w:lang w:eastAsia="en-GB"/>
              </w:rPr>
              <w:t>C</w:t>
            </w:r>
          </w:p>
        </w:tc>
        <w:tc>
          <w:tcPr>
            <w:tcW w:w="1880"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Mean δ</w:t>
            </w:r>
            <w:r w:rsidRPr="00226B98">
              <w:rPr>
                <w:rFonts w:ascii="Arial" w:eastAsia="Times New Roman" w:hAnsi="Arial" w:cs="Arial"/>
                <w:b/>
                <w:bCs/>
                <w:color w:val="000000"/>
                <w:sz w:val="20"/>
                <w:szCs w:val="20"/>
                <w:vertAlign w:val="superscript"/>
                <w:lang w:eastAsia="en-GB"/>
              </w:rPr>
              <w:t>15</w:t>
            </w:r>
            <w:r w:rsidRPr="00226B98">
              <w:rPr>
                <w:rFonts w:ascii="Arial" w:eastAsia="Times New Roman" w:hAnsi="Arial" w:cs="Arial"/>
                <w:b/>
                <w:bCs/>
                <w:color w:val="000000"/>
                <w:sz w:val="20"/>
                <w:szCs w:val="20"/>
                <w:lang w:eastAsia="en-GB"/>
              </w:rPr>
              <w:t>N</w:t>
            </w:r>
          </w:p>
        </w:tc>
        <w:tc>
          <w:tcPr>
            <w:tcW w:w="1120"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SD δ</w:t>
            </w:r>
            <w:r w:rsidRPr="00226B98">
              <w:rPr>
                <w:rFonts w:ascii="Arial" w:eastAsia="Times New Roman" w:hAnsi="Arial" w:cs="Arial"/>
                <w:b/>
                <w:bCs/>
                <w:color w:val="000000"/>
                <w:sz w:val="20"/>
                <w:szCs w:val="20"/>
                <w:vertAlign w:val="superscript"/>
                <w:lang w:eastAsia="en-GB"/>
              </w:rPr>
              <w:t>15</w:t>
            </w:r>
            <w:r w:rsidRPr="00226B98">
              <w:rPr>
                <w:rFonts w:ascii="Arial" w:eastAsia="Times New Roman" w:hAnsi="Arial" w:cs="Arial"/>
                <w:b/>
                <w:bCs/>
                <w:color w:val="000000"/>
                <w:sz w:val="20"/>
                <w:szCs w:val="20"/>
                <w:lang w:eastAsia="en-GB"/>
              </w:rPr>
              <w:t>N</w:t>
            </w:r>
          </w:p>
        </w:tc>
        <w:tc>
          <w:tcPr>
            <w:tcW w:w="960" w:type="dxa"/>
            <w:tcBorders>
              <w:top w:val="single" w:sz="4" w:space="0" w:color="auto"/>
              <w:bottom w:val="single" w:sz="4" w:space="0" w:color="auto"/>
            </w:tcBorders>
            <w:shd w:val="clear" w:color="auto" w:fill="auto"/>
            <w:noWrap/>
            <w:vAlign w:val="center"/>
            <w:hideMark/>
          </w:tcPr>
          <w:p w:rsidR="0084507E" w:rsidRPr="00226B98" w:rsidRDefault="0084507E" w:rsidP="008D7602">
            <w:pPr>
              <w:jc w:val="center"/>
              <w:rPr>
                <w:rFonts w:ascii="Arial" w:eastAsia="Times New Roman" w:hAnsi="Arial" w:cs="Arial"/>
                <w:b/>
                <w:bCs/>
                <w:color w:val="000000"/>
                <w:sz w:val="20"/>
                <w:szCs w:val="20"/>
                <w:lang w:eastAsia="en-GB"/>
              </w:rPr>
            </w:pPr>
            <w:r w:rsidRPr="00226B98">
              <w:rPr>
                <w:rFonts w:ascii="Arial" w:eastAsia="Times New Roman" w:hAnsi="Arial" w:cs="Arial"/>
                <w:b/>
                <w:bCs/>
                <w:color w:val="000000"/>
                <w:sz w:val="20"/>
                <w:szCs w:val="20"/>
                <w:lang w:eastAsia="en-GB"/>
              </w:rPr>
              <w:t>n</w:t>
            </w:r>
          </w:p>
        </w:tc>
      </w:tr>
      <w:tr w:rsidR="0084507E" w:rsidRPr="00F627AA" w:rsidTr="008D7602">
        <w:trPr>
          <w:trHeight w:val="300"/>
          <w:jc w:val="center"/>
        </w:trPr>
        <w:tc>
          <w:tcPr>
            <w:tcW w:w="1418" w:type="dxa"/>
            <w:tcBorders>
              <w:top w:val="single" w:sz="4" w:space="0" w:color="auto"/>
            </w:tcBorders>
            <w:shd w:val="clear" w:color="auto" w:fill="D9D9D9" w:themeFill="background1" w:themeFillShade="D9"/>
            <w:noWrap/>
            <w:vAlign w:val="center"/>
            <w:hideMark/>
          </w:tcPr>
          <w:p w:rsidR="0084507E" w:rsidRPr="00F627AA" w:rsidRDefault="0084507E" w:rsidP="008D7602">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Cattle</w:t>
            </w:r>
          </w:p>
        </w:tc>
        <w:tc>
          <w:tcPr>
            <w:tcW w:w="1276" w:type="dxa"/>
            <w:tcBorders>
              <w:top w:val="single" w:sz="4" w:space="0" w:color="auto"/>
            </w:tcBorders>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-21.7</w:t>
            </w:r>
          </w:p>
        </w:tc>
        <w:tc>
          <w:tcPr>
            <w:tcW w:w="1666" w:type="dxa"/>
            <w:tcBorders>
              <w:top w:val="single" w:sz="4" w:space="0" w:color="auto"/>
            </w:tcBorders>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1.17</w:t>
            </w:r>
          </w:p>
        </w:tc>
        <w:tc>
          <w:tcPr>
            <w:tcW w:w="1880" w:type="dxa"/>
            <w:tcBorders>
              <w:top w:val="single" w:sz="4" w:space="0" w:color="auto"/>
            </w:tcBorders>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6.5</w:t>
            </w:r>
          </w:p>
        </w:tc>
        <w:tc>
          <w:tcPr>
            <w:tcW w:w="1120" w:type="dxa"/>
            <w:tcBorders>
              <w:top w:val="single" w:sz="4" w:space="0" w:color="auto"/>
            </w:tcBorders>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1.48</w:t>
            </w:r>
          </w:p>
        </w:tc>
        <w:tc>
          <w:tcPr>
            <w:tcW w:w="960" w:type="dxa"/>
            <w:tcBorders>
              <w:top w:val="single" w:sz="4" w:space="0" w:color="auto"/>
            </w:tcBorders>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57</w:t>
            </w:r>
          </w:p>
        </w:tc>
      </w:tr>
      <w:tr w:rsidR="0084507E" w:rsidRPr="00F627AA" w:rsidTr="008D7602">
        <w:trPr>
          <w:trHeight w:val="300"/>
          <w:jc w:val="center"/>
        </w:trPr>
        <w:tc>
          <w:tcPr>
            <w:tcW w:w="1418" w:type="dxa"/>
            <w:shd w:val="clear" w:color="auto" w:fill="auto"/>
            <w:noWrap/>
            <w:vAlign w:val="center"/>
            <w:hideMark/>
          </w:tcPr>
          <w:p w:rsidR="0084507E" w:rsidRPr="00F627AA" w:rsidRDefault="0084507E" w:rsidP="008D7602">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Goat</w:t>
            </w:r>
          </w:p>
        </w:tc>
        <w:tc>
          <w:tcPr>
            <w:tcW w:w="1276"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-19.8</w:t>
            </w:r>
          </w:p>
        </w:tc>
        <w:tc>
          <w:tcPr>
            <w:tcW w:w="1666"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0.64</w:t>
            </w:r>
          </w:p>
        </w:tc>
        <w:tc>
          <w:tcPr>
            <w:tcW w:w="1880"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6.5</w:t>
            </w:r>
          </w:p>
        </w:tc>
        <w:tc>
          <w:tcPr>
            <w:tcW w:w="1120"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2.01</w:t>
            </w:r>
          </w:p>
        </w:tc>
        <w:tc>
          <w:tcPr>
            <w:tcW w:w="960"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w:t>
            </w:r>
          </w:p>
        </w:tc>
      </w:tr>
      <w:tr w:rsidR="0084507E" w:rsidRPr="00F627AA" w:rsidTr="008D7602">
        <w:trPr>
          <w:trHeight w:val="300"/>
          <w:jc w:val="center"/>
        </w:trPr>
        <w:tc>
          <w:tcPr>
            <w:tcW w:w="1418" w:type="dxa"/>
            <w:shd w:val="clear" w:color="auto" w:fill="D9D9D9" w:themeFill="background1" w:themeFillShade="D9"/>
            <w:noWrap/>
            <w:vAlign w:val="center"/>
            <w:hideMark/>
          </w:tcPr>
          <w:p w:rsidR="0084507E" w:rsidRPr="00F627AA" w:rsidRDefault="0084507E" w:rsidP="008D7602">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Pig</w:t>
            </w:r>
          </w:p>
        </w:tc>
        <w:tc>
          <w:tcPr>
            <w:tcW w:w="1276" w:type="dxa"/>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-20.7</w:t>
            </w:r>
          </w:p>
        </w:tc>
        <w:tc>
          <w:tcPr>
            <w:tcW w:w="1666" w:type="dxa"/>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0.27</w:t>
            </w:r>
          </w:p>
        </w:tc>
        <w:tc>
          <w:tcPr>
            <w:tcW w:w="1880" w:type="dxa"/>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7.2</w:t>
            </w:r>
          </w:p>
        </w:tc>
        <w:tc>
          <w:tcPr>
            <w:tcW w:w="1120" w:type="dxa"/>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1.21</w:t>
            </w:r>
          </w:p>
        </w:tc>
        <w:tc>
          <w:tcPr>
            <w:tcW w:w="960" w:type="dxa"/>
            <w:shd w:val="clear" w:color="auto" w:fill="D9D9D9" w:themeFill="background1" w:themeFillShade="D9"/>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21</w:t>
            </w:r>
          </w:p>
        </w:tc>
      </w:tr>
      <w:tr w:rsidR="0084507E" w:rsidRPr="00F627AA" w:rsidTr="008D7602">
        <w:trPr>
          <w:trHeight w:val="300"/>
          <w:jc w:val="center"/>
        </w:trPr>
        <w:tc>
          <w:tcPr>
            <w:tcW w:w="1418" w:type="dxa"/>
            <w:shd w:val="clear" w:color="auto" w:fill="auto"/>
            <w:noWrap/>
            <w:vAlign w:val="center"/>
            <w:hideMark/>
          </w:tcPr>
          <w:p w:rsidR="0084507E" w:rsidRPr="00F627AA" w:rsidRDefault="0084507E" w:rsidP="008D7602">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Sheep/goat</w:t>
            </w:r>
          </w:p>
        </w:tc>
        <w:tc>
          <w:tcPr>
            <w:tcW w:w="1276"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-20.7</w:t>
            </w:r>
          </w:p>
        </w:tc>
        <w:tc>
          <w:tcPr>
            <w:tcW w:w="1666"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0.51</w:t>
            </w:r>
          </w:p>
        </w:tc>
        <w:tc>
          <w:tcPr>
            <w:tcW w:w="1880"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6.9</w:t>
            </w:r>
          </w:p>
        </w:tc>
        <w:tc>
          <w:tcPr>
            <w:tcW w:w="1120"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1.38</w:t>
            </w:r>
          </w:p>
        </w:tc>
        <w:tc>
          <w:tcPr>
            <w:tcW w:w="960" w:type="dxa"/>
            <w:shd w:val="clear" w:color="auto" w:fill="auto"/>
            <w:noWrap/>
            <w:vAlign w:val="center"/>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20</w:t>
            </w:r>
          </w:p>
        </w:tc>
      </w:tr>
      <w:tr w:rsidR="0084507E" w:rsidRPr="00F627AA" w:rsidTr="008D7602">
        <w:trPr>
          <w:trHeight w:val="300"/>
          <w:jc w:val="center"/>
        </w:trPr>
        <w:tc>
          <w:tcPr>
            <w:tcW w:w="1418" w:type="dxa"/>
            <w:tcBorders>
              <w:bottom w:val="single" w:sz="4" w:space="0" w:color="auto"/>
            </w:tcBorders>
            <w:shd w:val="clear" w:color="auto" w:fill="D9D9D9" w:themeFill="background1" w:themeFillShade="D9"/>
            <w:noWrap/>
            <w:vAlign w:val="bottom"/>
            <w:hideMark/>
          </w:tcPr>
          <w:p w:rsidR="0084507E" w:rsidRPr="00F627AA" w:rsidRDefault="0084507E" w:rsidP="008D7602">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Fish</w:t>
            </w:r>
          </w:p>
        </w:tc>
        <w:tc>
          <w:tcPr>
            <w:tcW w:w="1276" w:type="dxa"/>
            <w:tcBorders>
              <w:bottom w:val="single" w:sz="4" w:space="0" w:color="auto"/>
            </w:tcBorders>
            <w:shd w:val="clear" w:color="auto" w:fill="D9D9D9" w:themeFill="background1" w:themeFillShade="D9"/>
            <w:noWrap/>
            <w:vAlign w:val="bottom"/>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-21.5</w:t>
            </w:r>
          </w:p>
        </w:tc>
        <w:tc>
          <w:tcPr>
            <w:tcW w:w="1666" w:type="dxa"/>
            <w:tcBorders>
              <w:bottom w:val="single" w:sz="4" w:space="0" w:color="auto"/>
            </w:tcBorders>
            <w:shd w:val="clear" w:color="auto" w:fill="D9D9D9" w:themeFill="background1" w:themeFillShade="D9"/>
            <w:noWrap/>
            <w:vAlign w:val="bottom"/>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1.0</w:t>
            </w:r>
          </w:p>
        </w:tc>
        <w:tc>
          <w:tcPr>
            <w:tcW w:w="1880" w:type="dxa"/>
            <w:tcBorders>
              <w:bottom w:val="single" w:sz="4" w:space="0" w:color="auto"/>
            </w:tcBorders>
            <w:shd w:val="clear" w:color="auto" w:fill="D9D9D9" w:themeFill="background1" w:themeFillShade="D9"/>
            <w:noWrap/>
            <w:vAlign w:val="bottom"/>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8.9</w:t>
            </w:r>
          </w:p>
        </w:tc>
        <w:tc>
          <w:tcPr>
            <w:tcW w:w="1120" w:type="dxa"/>
            <w:tcBorders>
              <w:bottom w:val="single" w:sz="4" w:space="0" w:color="auto"/>
            </w:tcBorders>
            <w:shd w:val="clear" w:color="auto" w:fill="D9D9D9" w:themeFill="background1" w:themeFillShade="D9"/>
            <w:noWrap/>
            <w:vAlign w:val="bottom"/>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1.1</w:t>
            </w:r>
          </w:p>
        </w:tc>
        <w:tc>
          <w:tcPr>
            <w:tcW w:w="960" w:type="dxa"/>
            <w:tcBorders>
              <w:bottom w:val="single" w:sz="4" w:space="0" w:color="auto"/>
            </w:tcBorders>
            <w:shd w:val="clear" w:color="auto" w:fill="D9D9D9" w:themeFill="background1" w:themeFillShade="D9"/>
            <w:noWrap/>
            <w:vAlign w:val="bottom"/>
            <w:hideMark/>
          </w:tcPr>
          <w:p w:rsidR="0084507E" w:rsidRPr="00F627AA" w:rsidRDefault="0084507E" w:rsidP="008D7602">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4</w:t>
            </w:r>
          </w:p>
        </w:tc>
      </w:tr>
    </w:tbl>
    <w:p w:rsidR="0084507E" w:rsidRDefault="0084507E" w:rsidP="00DF4606">
      <w:pPr>
        <w:rPr>
          <w:rFonts w:cs="Times New Roman"/>
        </w:rPr>
      </w:pPr>
    </w:p>
    <w:p w:rsidR="00226B98" w:rsidRPr="00D124B1" w:rsidRDefault="00226B98" w:rsidP="00C8085C"/>
    <w:p w:rsidR="00AC2459" w:rsidRDefault="00855242" w:rsidP="00AC2459">
      <w:pPr>
        <w:jc w:val="center"/>
      </w:pPr>
      <w:r>
        <w:rPr>
          <w:noProof/>
          <w:lang w:eastAsia="en-GB"/>
        </w:rPr>
        <w:lastRenderedPageBreak/>
        <w:drawing>
          <wp:inline distT="0" distB="0" distL="0" distR="0">
            <wp:extent cx="5731510" cy="37445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_B and W.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744595"/>
                    </a:xfrm>
                    <a:prstGeom prst="rect">
                      <a:avLst/>
                    </a:prstGeom>
                  </pic:spPr>
                </pic:pic>
              </a:graphicData>
            </a:graphic>
          </wp:inline>
        </w:drawing>
      </w:r>
    </w:p>
    <w:p w:rsidR="00AC2459" w:rsidRPr="00AC2459" w:rsidRDefault="00AC2459" w:rsidP="00AC2459">
      <w:pPr>
        <w:rPr>
          <w:i/>
        </w:rPr>
      </w:pPr>
      <w:r w:rsidRPr="00AC2459">
        <w:rPr>
          <w:i/>
        </w:rPr>
        <w:t xml:space="preserve">Figure </w:t>
      </w:r>
      <w:r w:rsidR="00E14229">
        <w:rPr>
          <w:i/>
        </w:rPr>
        <w:t>1</w:t>
      </w:r>
      <w:r w:rsidRPr="00AC2459">
        <w:rPr>
          <w:i/>
        </w:rPr>
        <w:t xml:space="preserve">: The Mesolithic human isotope data, and averages for the animal isotope data, expressed as mean and SD. </w:t>
      </w:r>
    </w:p>
    <w:p w:rsidR="00AC2459" w:rsidRDefault="00AC2459" w:rsidP="00C8085C"/>
    <w:p w:rsidR="00AC2459" w:rsidRDefault="00AC2459" w:rsidP="00C8085C"/>
    <w:p w:rsidR="00AC2459" w:rsidRDefault="00855242" w:rsidP="00C8085C">
      <w:r>
        <w:rPr>
          <w:noProof/>
          <w:lang w:eastAsia="en-GB"/>
        </w:rPr>
        <w:drawing>
          <wp:inline distT="0" distB="0" distL="0" distR="0">
            <wp:extent cx="5731510" cy="37687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3 B and W.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768725"/>
                    </a:xfrm>
                    <a:prstGeom prst="rect">
                      <a:avLst/>
                    </a:prstGeom>
                  </pic:spPr>
                </pic:pic>
              </a:graphicData>
            </a:graphic>
          </wp:inline>
        </w:drawing>
      </w:r>
    </w:p>
    <w:p w:rsidR="00AC2459" w:rsidRPr="00DF4606" w:rsidRDefault="00AC2459" w:rsidP="00C8085C">
      <w:pPr>
        <w:rPr>
          <w:i/>
        </w:rPr>
      </w:pPr>
      <w:r w:rsidRPr="00AC2459">
        <w:rPr>
          <w:i/>
        </w:rPr>
        <w:t xml:space="preserve">Figure </w:t>
      </w:r>
      <w:r w:rsidR="00E14229">
        <w:rPr>
          <w:i/>
        </w:rPr>
        <w:t>2</w:t>
      </w:r>
      <w:r w:rsidRPr="00AC2459">
        <w:rPr>
          <w:i/>
        </w:rPr>
        <w:t xml:space="preserve">: The Neolithic human isotope data, and averages for the animal isotope data, expressed as mean and SD. Note scales are the same </w:t>
      </w:r>
      <w:r w:rsidR="00DF4606">
        <w:rPr>
          <w:i/>
        </w:rPr>
        <w:t>as for Figure 2 for comparison.</w:t>
      </w:r>
    </w:p>
    <w:p w:rsidR="00F058DE" w:rsidRDefault="00F058DE" w:rsidP="00C8085C"/>
    <w:p w:rsidR="00AC2459" w:rsidRDefault="00AC2459" w:rsidP="00C8085C">
      <w:pPr>
        <w:rPr>
          <w:i/>
        </w:rPr>
      </w:pPr>
    </w:p>
    <w:p w:rsidR="003064E9" w:rsidRDefault="00163196" w:rsidP="00C8085C">
      <w:pPr>
        <w:rPr>
          <w:i/>
        </w:rPr>
      </w:pPr>
      <w:r>
        <w:rPr>
          <w:i/>
        </w:rPr>
        <w:t xml:space="preserve">4.3 </w:t>
      </w:r>
      <w:r w:rsidR="003064E9">
        <w:rPr>
          <w:i/>
        </w:rPr>
        <w:t>Modelling the dietary change</w:t>
      </w:r>
    </w:p>
    <w:p w:rsidR="002E6722" w:rsidRDefault="00CA07D4" w:rsidP="00C57783">
      <w:r>
        <w:t xml:space="preserve">The relative contribution of different dietary sources </w:t>
      </w:r>
      <w:r w:rsidR="003F7E83">
        <w:t>was</w:t>
      </w:r>
      <w:r>
        <w:t xml:space="preserve"> modelled using the Bayesian mixing model FRUITS (Food Reconstruction Using Isotopic Transferred Signals; vβ2.1.1 Fernandes </w:t>
      </w:r>
      <w:r>
        <w:rPr>
          <w:i/>
        </w:rPr>
        <w:t>et al</w:t>
      </w:r>
      <w:r>
        <w:t xml:space="preserve">. 2014). </w:t>
      </w:r>
      <w:r w:rsidR="0045403D">
        <w:t>The consumer target</w:t>
      </w:r>
      <w:r w:rsidR="008118F5">
        <w:t>s</w:t>
      </w:r>
      <w:r w:rsidR="0045403D">
        <w:t>, food sources, and off-set</w:t>
      </w:r>
      <w:r w:rsidR="008118F5">
        <w:t xml:space="preserve"> values used</w:t>
      </w:r>
      <w:r w:rsidR="0045403D">
        <w:t xml:space="preserve"> are reported in table 5. Some of the </w:t>
      </w:r>
      <w:r w:rsidR="008118F5">
        <w:t xml:space="preserve">source </w:t>
      </w:r>
      <w:r w:rsidR="00353100">
        <w:t>isotope ratios</w:t>
      </w:r>
      <w:r w:rsidR="0045403D">
        <w:t xml:space="preserve"> are not known and had to be estimated from the literature, particularly </w:t>
      </w:r>
      <w:r w:rsidR="008118F5">
        <w:t>those</w:t>
      </w:r>
      <w:r w:rsidR="0045403D">
        <w:t xml:space="preserve"> for plants, where the extent and consistency in manuring is uncertain. </w:t>
      </w:r>
      <w:r w:rsidR="00C92923">
        <w:t xml:space="preserve">Plants for the Mesolithic, were estimate based on discussion in Hedges </w:t>
      </w:r>
      <w:r w:rsidR="00C92923">
        <w:rPr>
          <w:i/>
        </w:rPr>
        <w:t>et al</w:t>
      </w:r>
      <w:r w:rsidR="00C92923">
        <w:t xml:space="preserve">. </w:t>
      </w:r>
      <w:r w:rsidR="008B0EC3">
        <w:t>(</w:t>
      </w:r>
      <w:r w:rsidR="00F058DE">
        <w:t xml:space="preserve">2013, </w:t>
      </w:r>
      <w:r w:rsidR="00C92923">
        <w:t>363–5), and for the Neolithic</w:t>
      </w:r>
      <w:r w:rsidR="008B0EC3">
        <w:t xml:space="preserve">, </w:t>
      </w:r>
      <w:r w:rsidR="00C92923">
        <w:t xml:space="preserve">from the isotopic </w:t>
      </w:r>
      <w:r w:rsidR="00353100">
        <w:t>analysis</w:t>
      </w:r>
      <w:r w:rsidR="00C92923">
        <w:t xml:space="preserve"> o</w:t>
      </w:r>
      <w:r w:rsidR="00353100">
        <w:t>f</w:t>
      </w:r>
      <w:r w:rsidR="00C92923">
        <w:t xml:space="preserve"> the cereals from the LBK sit</w:t>
      </w:r>
      <w:r w:rsidR="000972BF">
        <w:t>e of V</w:t>
      </w:r>
      <w:r w:rsidR="00C92923">
        <w:t>a</w:t>
      </w:r>
      <w:r w:rsidR="000972BF">
        <w:t>i</w:t>
      </w:r>
      <w:r w:rsidR="00C92923">
        <w:t>hingen</w:t>
      </w:r>
      <w:r w:rsidR="008B0EC3">
        <w:t xml:space="preserve"> (Fraser </w:t>
      </w:r>
      <w:r w:rsidR="008B0EC3">
        <w:rPr>
          <w:i/>
        </w:rPr>
        <w:t>et al</w:t>
      </w:r>
      <w:r w:rsidR="008B0EC3">
        <w:t>. 2013)</w:t>
      </w:r>
      <w:r w:rsidR="00C92923">
        <w:t>.</w:t>
      </w:r>
      <w:r w:rsidR="00C92923">
        <w:rPr>
          <w:i/>
        </w:rPr>
        <w:t xml:space="preserve"> </w:t>
      </w:r>
      <w:r w:rsidR="0045403D">
        <w:t xml:space="preserve">Values for off-sets (based on the assumption that humans “are what they eat + X‰”) introduce uncertainty in the model, </w:t>
      </w:r>
      <w:r w:rsidR="00BC572A">
        <w:t xml:space="preserve">as they are not known for certain, particularly for the enrichment in </w:t>
      </w:r>
      <w:r w:rsidR="008B0EC3">
        <w:t>n</w:t>
      </w:r>
      <w:r w:rsidR="00BC572A">
        <w:t xml:space="preserve">itrogen </w:t>
      </w:r>
      <w:r w:rsidR="00353100">
        <w:t>isotope ratios</w:t>
      </w:r>
      <w:r w:rsidR="00BC572A">
        <w:t xml:space="preserve"> between food source and consumer (Hedges and Reynard 2007</w:t>
      </w:r>
      <w:r w:rsidR="008B0EC3">
        <w:t>;</w:t>
      </w:r>
      <w:r w:rsidR="00BC572A">
        <w:t xml:space="preserve"> O’Connell </w:t>
      </w:r>
      <w:r w:rsidR="00BC572A">
        <w:rPr>
          <w:i/>
        </w:rPr>
        <w:t>et al</w:t>
      </w:r>
      <w:r w:rsidR="00BC572A">
        <w:t>.</w:t>
      </w:r>
      <w:r w:rsidR="00BC572A">
        <w:rPr>
          <w:i/>
        </w:rPr>
        <w:t xml:space="preserve"> </w:t>
      </w:r>
      <w:r w:rsidR="00BC572A">
        <w:t>2012)</w:t>
      </w:r>
      <w:r w:rsidR="0045403D">
        <w:t xml:space="preserve">. </w:t>
      </w:r>
      <w:r w:rsidR="00BC572A">
        <w:t xml:space="preserve">The danger in underestimating the nitrogen off-set is that the proportion of protein in the diet arising from animals will be overestimated (O’Connell </w:t>
      </w:r>
      <w:r w:rsidR="00BC572A">
        <w:rPr>
          <w:i/>
        </w:rPr>
        <w:t>et al</w:t>
      </w:r>
      <w:r w:rsidR="00BC572A">
        <w:t>. 2012, 432</w:t>
      </w:r>
      <w:r w:rsidR="00C92923">
        <w:t xml:space="preserve">; see also Styring </w:t>
      </w:r>
      <w:r w:rsidR="00C92923">
        <w:rPr>
          <w:i/>
        </w:rPr>
        <w:t>et al</w:t>
      </w:r>
      <w:r w:rsidR="00C92923">
        <w:t>. 2015</w:t>
      </w:r>
      <w:r w:rsidR="00F368B9">
        <w:t>; the reverse will also be true)</w:t>
      </w:r>
      <w:r w:rsidR="00BC572A">
        <w:t xml:space="preserve">. For this reason, </w:t>
      </w:r>
      <w:r w:rsidR="004B2A71">
        <w:t>an off</w:t>
      </w:r>
      <w:r w:rsidR="00C92923">
        <w:t>-</w:t>
      </w:r>
      <w:r w:rsidR="004B2A71">
        <w:t>set</w:t>
      </w:r>
      <w:r w:rsidR="00BC572A">
        <w:t xml:space="preserve"> of +6‰ was used following O’Connell </w:t>
      </w:r>
      <w:r w:rsidR="00BC572A">
        <w:rPr>
          <w:i/>
        </w:rPr>
        <w:t>et al</w:t>
      </w:r>
      <w:r w:rsidR="00BC572A">
        <w:t xml:space="preserve">. (2012) and Denaire </w:t>
      </w:r>
      <w:r w:rsidR="00BC572A">
        <w:rPr>
          <w:i/>
        </w:rPr>
        <w:t>et al</w:t>
      </w:r>
      <w:r w:rsidR="00BC572A">
        <w:t>. (2017)</w:t>
      </w:r>
      <w:r w:rsidR="00F627AA">
        <w:t xml:space="preserve">, and will provide a different model of the diet to Hedges </w:t>
      </w:r>
      <w:r w:rsidR="00F627AA">
        <w:rPr>
          <w:i/>
        </w:rPr>
        <w:t>et al</w:t>
      </w:r>
      <w:r w:rsidR="00F627AA">
        <w:t>. (2013), which modelled the LBK diet based on a δ</w:t>
      </w:r>
      <w:r w:rsidR="00F627AA" w:rsidRPr="00F627AA">
        <w:rPr>
          <w:vertAlign w:val="superscript"/>
        </w:rPr>
        <w:t>15</w:t>
      </w:r>
      <w:r w:rsidR="00F627AA">
        <w:t>N</w:t>
      </w:r>
      <w:r w:rsidR="00F627AA">
        <w:rPr>
          <w:i/>
        </w:rPr>
        <w:t xml:space="preserve"> </w:t>
      </w:r>
      <w:r w:rsidR="00F627AA">
        <w:t>off</w:t>
      </w:r>
      <w:r w:rsidR="00C92923">
        <w:t>-</w:t>
      </w:r>
      <w:r w:rsidR="00F627AA">
        <w:t>set of +4–4.5‰</w:t>
      </w:r>
      <w:r w:rsidR="00BC572A">
        <w:t>.</w:t>
      </w:r>
      <w:r w:rsidR="00F368B9">
        <w:t xml:space="preserve"> It is worth emphasising again that the output of the model is contingent on the input parameters. The inputs used here are therefore judged to be most likely, but will be refined by future research.</w:t>
      </w:r>
      <w:r w:rsidR="00BC572A">
        <w:t xml:space="preserve"> </w:t>
      </w:r>
    </w:p>
    <w:p w:rsidR="00F627AA" w:rsidRDefault="00F627AA" w:rsidP="00C57783"/>
    <w:p w:rsidR="00F627AA" w:rsidRPr="004369D5" w:rsidRDefault="00F627AA" w:rsidP="004369D5">
      <w:pPr>
        <w:jc w:val="center"/>
        <w:rPr>
          <w:i/>
        </w:rPr>
      </w:pPr>
      <w:r w:rsidRPr="004369D5">
        <w:rPr>
          <w:i/>
        </w:rPr>
        <w:t xml:space="preserve">Table 5: Summary </w:t>
      </w:r>
      <w:r w:rsidR="006C6AED">
        <w:rPr>
          <w:i/>
        </w:rPr>
        <w:t>input parameters</w:t>
      </w:r>
      <w:r w:rsidRPr="004369D5">
        <w:rPr>
          <w:i/>
        </w:rPr>
        <w:t xml:space="preserve"> for FRUITS model. The average </w:t>
      </w:r>
      <w:r w:rsidR="00353100">
        <w:rPr>
          <w:i/>
        </w:rPr>
        <w:t>isotope ratio</w:t>
      </w:r>
      <w:r w:rsidRPr="004369D5">
        <w:rPr>
          <w:i/>
        </w:rPr>
        <w:t>s for the human data are all adults (from tables 1 and 2), to avoid breastfeeding signal from infants.</w:t>
      </w:r>
    </w:p>
    <w:tbl>
      <w:tblPr>
        <w:tblW w:w="5780" w:type="dxa"/>
        <w:jc w:val="center"/>
        <w:tblLook w:val="04A0" w:firstRow="1" w:lastRow="0" w:firstColumn="1" w:lastColumn="0" w:noHBand="0" w:noVBand="1"/>
      </w:tblPr>
      <w:tblGrid>
        <w:gridCol w:w="1200"/>
        <w:gridCol w:w="1220"/>
        <w:gridCol w:w="960"/>
        <w:gridCol w:w="1440"/>
        <w:gridCol w:w="960"/>
      </w:tblGrid>
      <w:tr w:rsidR="00F627AA" w:rsidRPr="00F627AA" w:rsidTr="005B2804">
        <w:trPr>
          <w:trHeight w:val="300"/>
          <w:jc w:val="center"/>
        </w:trPr>
        <w:tc>
          <w:tcPr>
            <w:tcW w:w="1200" w:type="dxa"/>
            <w:tcBorders>
              <w:top w:val="single" w:sz="4" w:space="0" w:color="auto"/>
              <w:bottom w:val="single" w:sz="4" w:space="0" w:color="auto"/>
            </w:tcBorders>
            <w:shd w:val="clear" w:color="auto" w:fill="auto"/>
            <w:noWrap/>
            <w:vAlign w:val="bottom"/>
            <w:hideMark/>
          </w:tcPr>
          <w:p w:rsidR="00F627AA" w:rsidRPr="00F627AA" w:rsidRDefault="00F627AA" w:rsidP="00F627AA">
            <w:pPr>
              <w:rPr>
                <w:rFonts w:ascii="Times New Roman" w:eastAsia="Times New Roman" w:hAnsi="Times New Roman" w:cs="Times New Roman"/>
                <w:lang w:eastAsia="en-GB"/>
              </w:rPr>
            </w:pPr>
          </w:p>
        </w:tc>
        <w:tc>
          <w:tcPr>
            <w:tcW w:w="1220" w:type="dxa"/>
            <w:tcBorders>
              <w:top w:val="single" w:sz="4" w:space="0" w:color="auto"/>
              <w:bottom w:val="single" w:sz="4" w:space="0" w:color="auto"/>
            </w:tcBorders>
            <w:shd w:val="clear" w:color="auto" w:fill="auto"/>
            <w:noWrap/>
            <w:vAlign w:val="center"/>
            <w:hideMark/>
          </w:tcPr>
          <w:p w:rsidR="00F627AA" w:rsidRPr="00F627AA" w:rsidRDefault="00F627AA" w:rsidP="005B2804">
            <w:pPr>
              <w:jc w:val="center"/>
              <w:rPr>
                <w:rFonts w:ascii="Arial" w:eastAsia="Times New Roman" w:hAnsi="Arial" w:cs="Arial"/>
                <w:b/>
                <w:bCs/>
                <w:color w:val="000000"/>
                <w:sz w:val="20"/>
                <w:szCs w:val="20"/>
                <w:lang w:eastAsia="en-GB"/>
              </w:rPr>
            </w:pPr>
            <w:r w:rsidRPr="00F627AA">
              <w:rPr>
                <w:rFonts w:ascii="Arial" w:eastAsia="Times New Roman" w:hAnsi="Arial" w:cs="Arial"/>
                <w:b/>
                <w:bCs/>
                <w:color w:val="000000"/>
                <w:sz w:val="20"/>
                <w:szCs w:val="20"/>
                <w:lang w:eastAsia="en-GB"/>
              </w:rPr>
              <w:t>Mean δ</w:t>
            </w:r>
            <w:r w:rsidRPr="00F627AA">
              <w:rPr>
                <w:rFonts w:ascii="Arial" w:eastAsia="Times New Roman" w:hAnsi="Arial" w:cs="Arial"/>
                <w:b/>
                <w:bCs/>
                <w:color w:val="000000"/>
                <w:sz w:val="20"/>
                <w:szCs w:val="20"/>
                <w:vertAlign w:val="superscript"/>
                <w:lang w:eastAsia="en-GB"/>
              </w:rPr>
              <w:t>13</w:t>
            </w:r>
            <w:r w:rsidRPr="00F627AA">
              <w:rPr>
                <w:rFonts w:ascii="Arial" w:eastAsia="Times New Roman" w:hAnsi="Arial" w:cs="Arial"/>
                <w:b/>
                <w:bCs/>
                <w:color w:val="000000"/>
                <w:sz w:val="20"/>
                <w:szCs w:val="20"/>
                <w:lang w:eastAsia="en-GB"/>
              </w:rPr>
              <w:t>C</w:t>
            </w:r>
          </w:p>
        </w:tc>
        <w:tc>
          <w:tcPr>
            <w:tcW w:w="960" w:type="dxa"/>
            <w:tcBorders>
              <w:top w:val="single" w:sz="4" w:space="0" w:color="auto"/>
              <w:bottom w:val="single" w:sz="4" w:space="0" w:color="auto"/>
            </w:tcBorders>
            <w:shd w:val="clear" w:color="auto" w:fill="auto"/>
            <w:noWrap/>
            <w:vAlign w:val="center"/>
            <w:hideMark/>
          </w:tcPr>
          <w:p w:rsidR="00F627AA" w:rsidRPr="00F627AA" w:rsidRDefault="00F627AA" w:rsidP="005B2804">
            <w:pPr>
              <w:jc w:val="center"/>
              <w:rPr>
                <w:rFonts w:ascii="Arial" w:eastAsia="Times New Roman" w:hAnsi="Arial" w:cs="Arial"/>
                <w:b/>
                <w:bCs/>
                <w:color w:val="000000"/>
                <w:sz w:val="20"/>
                <w:szCs w:val="20"/>
                <w:lang w:eastAsia="en-GB"/>
              </w:rPr>
            </w:pPr>
            <w:r w:rsidRPr="00F627AA">
              <w:rPr>
                <w:rFonts w:ascii="Arial" w:eastAsia="Times New Roman" w:hAnsi="Arial" w:cs="Arial"/>
                <w:b/>
                <w:bCs/>
                <w:color w:val="000000"/>
                <w:sz w:val="20"/>
                <w:szCs w:val="20"/>
                <w:lang w:eastAsia="en-GB"/>
              </w:rPr>
              <w:t>SD δ</w:t>
            </w:r>
            <w:r w:rsidRPr="00F627AA">
              <w:rPr>
                <w:rFonts w:ascii="Arial" w:eastAsia="Times New Roman" w:hAnsi="Arial" w:cs="Arial"/>
                <w:b/>
                <w:bCs/>
                <w:color w:val="000000"/>
                <w:sz w:val="20"/>
                <w:szCs w:val="20"/>
                <w:vertAlign w:val="superscript"/>
                <w:lang w:eastAsia="en-GB"/>
              </w:rPr>
              <w:t>13</w:t>
            </w:r>
            <w:r w:rsidRPr="00F627AA">
              <w:rPr>
                <w:rFonts w:ascii="Arial" w:eastAsia="Times New Roman" w:hAnsi="Arial" w:cs="Arial"/>
                <w:b/>
                <w:bCs/>
                <w:color w:val="000000"/>
                <w:sz w:val="20"/>
                <w:szCs w:val="20"/>
                <w:lang w:eastAsia="en-GB"/>
              </w:rPr>
              <w:t>C</w:t>
            </w:r>
          </w:p>
        </w:tc>
        <w:tc>
          <w:tcPr>
            <w:tcW w:w="1440" w:type="dxa"/>
            <w:tcBorders>
              <w:top w:val="single" w:sz="4" w:space="0" w:color="auto"/>
              <w:bottom w:val="single" w:sz="4" w:space="0" w:color="auto"/>
            </w:tcBorders>
            <w:shd w:val="clear" w:color="auto" w:fill="auto"/>
            <w:noWrap/>
            <w:vAlign w:val="center"/>
            <w:hideMark/>
          </w:tcPr>
          <w:p w:rsidR="00F627AA" w:rsidRPr="00F627AA" w:rsidRDefault="00F627AA" w:rsidP="005B2804">
            <w:pPr>
              <w:jc w:val="center"/>
              <w:rPr>
                <w:rFonts w:ascii="Arial" w:eastAsia="Times New Roman" w:hAnsi="Arial" w:cs="Arial"/>
                <w:b/>
                <w:bCs/>
                <w:color w:val="000000"/>
                <w:sz w:val="20"/>
                <w:szCs w:val="20"/>
                <w:lang w:eastAsia="en-GB"/>
              </w:rPr>
            </w:pPr>
            <w:r w:rsidRPr="00F627AA">
              <w:rPr>
                <w:rFonts w:ascii="Arial" w:eastAsia="Times New Roman" w:hAnsi="Arial" w:cs="Arial"/>
                <w:b/>
                <w:bCs/>
                <w:color w:val="000000"/>
                <w:sz w:val="20"/>
                <w:szCs w:val="20"/>
                <w:lang w:eastAsia="en-GB"/>
              </w:rPr>
              <w:t>Mean δ</w:t>
            </w:r>
            <w:r w:rsidRPr="00F627AA">
              <w:rPr>
                <w:rFonts w:ascii="Arial" w:eastAsia="Times New Roman" w:hAnsi="Arial" w:cs="Arial"/>
                <w:b/>
                <w:bCs/>
                <w:color w:val="000000"/>
                <w:sz w:val="20"/>
                <w:szCs w:val="20"/>
                <w:vertAlign w:val="superscript"/>
                <w:lang w:eastAsia="en-GB"/>
              </w:rPr>
              <w:t>15</w:t>
            </w:r>
            <w:r w:rsidRPr="00F627AA">
              <w:rPr>
                <w:rFonts w:ascii="Arial" w:eastAsia="Times New Roman" w:hAnsi="Arial" w:cs="Arial"/>
                <w:b/>
                <w:bCs/>
                <w:color w:val="000000"/>
                <w:sz w:val="20"/>
                <w:szCs w:val="20"/>
                <w:lang w:eastAsia="en-GB"/>
              </w:rPr>
              <w:t>N</w:t>
            </w:r>
          </w:p>
        </w:tc>
        <w:tc>
          <w:tcPr>
            <w:tcW w:w="960" w:type="dxa"/>
            <w:tcBorders>
              <w:top w:val="single" w:sz="4" w:space="0" w:color="auto"/>
              <w:bottom w:val="single" w:sz="4" w:space="0" w:color="auto"/>
            </w:tcBorders>
            <w:shd w:val="clear" w:color="auto" w:fill="auto"/>
            <w:noWrap/>
            <w:vAlign w:val="center"/>
            <w:hideMark/>
          </w:tcPr>
          <w:p w:rsidR="00F627AA" w:rsidRPr="00F627AA" w:rsidRDefault="00F627AA" w:rsidP="005B2804">
            <w:pPr>
              <w:jc w:val="center"/>
              <w:rPr>
                <w:rFonts w:ascii="Arial" w:eastAsia="Times New Roman" w:hAnsi="Arial" w:cs="Arial"/>
                <w:b/>
                <w:bCs/>
                <w:color w:val="000000"/>
                <w:sz w:val="20"/>
                <w:szCs w:val="20"/>
                <w:lang w:eastAsia="en-GB"/>
              </w:rPr>
            </w:pPr>
            <w:r w:rsidRPr="00F627AA">
              <w:rPr>
                <w:rFonts w:ascii="Arial" w:eastAsia="Times New Roman" w:hAnsi="Arial" w:cs="Arial"/>
                <w:b/>
                <w:bCs/>
                <w:color w:val="000000"/>
                <w:sz w:val="20"/>
                <w:szCs w:val="20"/>
                <w:lang w:eastAsia="en-GB"/>
              </w:rPr>
              <w:t>SD δ</w:t>
            </w:r>
            <w:r w:rsidRPr="00F627AA">
              <w:rPr>
                <w:rFonts w:ascii="Arial" w:eastAsia="Times New Roman" w:hAnsi="Arial" w:cs="Arial"/>
                <w:b/>
                <w:bCs/>
                <w:color w:val="000000"/>
                <w:sz w:val="20"/>
                <w:szCs w:val="20"/>
                <w:vertAlign w:val="superscript"/>
                <w:lang w:eastAsia="en-GB"/>
              </w:rPr>
              <w:t>15</w:t>
            </w:r>
            <w:r w:rsidRPr="00F627AA">
              <w:rPr>
                <w:rFonts w:ascii="Arial" w:eastAsia="Times New Roman" w:hAnsi="Arial" w:cs="Arial"/>
                <w:b/>
                <w:bCs/>
                <w:color w:val="000000"/>
                <w:sz w:val="20"/>
                <w:szCs w:val="20"/>
                <w:lang w:eastAsia="en-GB"/>
              </w:rPr>
              <w:t>N</w:t>
            </w:r>
          </w:p>
        </w:tc>
      </w:tr>
      <w:tr w:rsidR="00F627AA" w:rsidRPr="00F627AA" w:rsidTr="005B2804">
        <w:trPr>
          <w:trHeight w:val="300"/>
          <w:jc w:val="center"/>
        </w:trPr>
        <w:tc>
          <w:tcPr>
            <w:tcW w:w="1200" w:type="dxa"/>
            <w:tcBorders>
              <w:top w:val="single" w:sz="4" w:space="0" w:color="auto"/>
            </w:tcBorders>
            <w:shd w:val="clear" w:color="auto" w:fill="auto"/>
            <w:noWrap/>
            <w:vAlign w:val="bottom"/>
            <w:hideMark/>
          </w:tcPr>
          <w:p w:rsidR="00F627AA" w:rsidRPr="00F627AA" w:rsidRDefault="00F627AA" w:rsidP="00F627AA">
            <w:pPr>
              <w:rPr>
                <w:rFonts w:ascii="Calibri" w:eastAsia="Times New Roman" w:hAnsi="Calibri" w:cs="Times New Roman"/>
                <w:b/>
                <w:bCs/>
                <w:color w:val="000000"/>
                <w:sz w:val="22"/>
                <w:szCs w:val="22"/>
                <w:lang w:eastAsia="en-GB"/>
              </w:rPr>
            </w:pPr>
            <w:r w:rsidRPr="00F627AA">
              <w:rPr>
                <w:rFonts w:ascii="Calibri" w:eastAsia="Times New Roman" w:hAnsi="Calibri" w:cs="Times New Roman"/>
                <w:b/>
                <w:bCs/>
                <w:color w:val="000000"/>
                <w:sz w:val="22"/>
                <w:szCs w:val="22"/>
                <w:lang w:eastAsia="en-GB"/>
              </w:rPr>
              <w:t>Mesolithic</w:t>
            </w:r>
          </w:p>
        </w:tc>
        <w:tc>
          <w:tcPr>
            <w:tcW w:w="4580" w:type="dxa"/>
            <w:gridSpan w:val="4"/>
            <w:tcBorders>
              <w:top w:val="single" w:sz="4" w:space="0" w:color="auto"/>
            </w:tcBorders>
            <w:shd w:val="clear" w:color="auto" w:fill="auto"/>
            <w:noWrap/>
            <w:vAlign w:val="center"/>
            <w:hideMark/>
          </w:tcPr>
          <w:p w:rsidR="00F627AA" w:rsidRPr="00F627AA" w:rsidRDefault="00F627AA" w:rsidP="005B2804">
            <w:pPr>
              <w:jc w:val="center"/>
              <w:rPr>
                <w:rFonts w:ascii="Arial" w:eastAsia="Times New Roman" w:hAnsi="Arial" w:cs="Arial"/>
                <w:b/>
                <w:bCs/>
                <w:color w:val="000000"/>
                <w:sz w:val="20"/>
                <w:szCs w:val="20"/>
                <w:lang w:eastAsia="en-GB"/>
              </w:rPr>
            </w:pPr>
          </w:p>
        </w:tc>
      </w:tr>
      <w:tr w:rsidR="00F627AA" w:rsidRPr="00F627AA" w:rsidTr="005B2804">
        <w:trPr>
          <w:trHeight w:val="300"/>
          <w:jc w:val="center"/>
        </w:trPr>
        <w:tc>
          <w:tcPr>
            <w:tcW w:w="1200" w:type="dxa"/>
            <w:shd w:val="clear" w:color="auto" w:fill="D9D9D9" w:themeFill="background1" w:themeFillShade="D9"/>
            <w:noWrap/>
            <w:vAlign w:val="bottom"/>
            <w:hideMark/>
          </w:tcPr>
          <w:p w:rsidR="00F627AA" w:rsidRPr="00F627AA" w:rsidRDefault="00F627AA" w:rsidP="00F627AA">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Human</w:t>
            </w:r>
          </w:p>
        </w:tc>
        <w:tc>
          <w:tcPr>
            <w:tcW w:w="122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-20.3</w:t>
            </w:r>
          </w:p>
        </w:tc>
        <w:tc>
          <w:tcPr>
            <w:tcW w:w="96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0.6</w:t>
            </w:r>
          </w:p>
        </w:tc>
        <w:tc>
          <w:tcPr>
            <w:tcW w:w="144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10.1</w:t>
            </w:r>
          </w:p>
        </w:tc>
        <w:tc>
          <w:tcPr>
            <w:tcW w:w="96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0.92</w:t>
            </w:r>
          </w:p>
        </w:tc>
      </w:tr>
      <w:tr w:rsidR="00F627AA" w:rsidRPr="00F627AA" w:rsidTr="005B2804">
        <w:trPr>
          <w:trHeight w:val="300"/>
          <w:jc w:val="center"/>
        </w:trPr>
        <w:tc>
          <w:tcPr>
            <w:tcW w:w="1200" w:type="dxa"/>
            <w:shd w:val="clear" w:color="auto" w:fill="auto"/>
            <w:noWrap/>
            <w:vAlign w:val="bottom"/>
            <w:hideMark/>
          </w:tcPr>
          <w:p w:rsidR="00F627AA" w:rsidRPr="00F627AA" w:rsidRDefault="00F627AA" w:rsidP="00F627AA">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Terrestrial</w:t>
            </w:r>
          </w:p>
        </w:tc>
        <w:tc>
          <w:tcPr>
            <w:tcW w:w="122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-22.4</w:t>
            </w:r>
          </w:p>
        </w:tc>
        <w:tc>
          <w:tcPr>
            <w:tcW w:w="96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2.14</w:t>
            </w:r>
          </w:p>
        </w:tc>
        <w:tc>
          <w:tcPr>
            <w:tcW w:w="144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6.9</w:t>
            </w:r>
          </w:p>
        </w:tc>
        <w:tc>
          <w:tcPr>
            <w:tcW w:w="96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2.26</w:t>
            </w:r>
          </w:p>
        </w:tc>
      </w:tr>
      <w:tr w:rsidR="00F627AA" w:rsidRPr="00F627AA" w:rsidTr="005B2804">
        <w:trPr>
          <w:trHeight w:val="300"/>
          <w:jc w:val="center"/>
        </w:trPr>
        <w:tc>
          <w:tcPr>
            <w:tcW w:w="1200" w:type="dxa"/>
            <w:shd w:val="clear" w:color="auto" w:fill="D9D9D9" w:themeFill="background1" w:themeFillShade="D9"/>
            <w:noWrap/>
            <w:vAlign w:val="bottom"/>
            <w:hideMark/>
          </w:tcPr>
          <w:p w:rsidR="00F627AA" w:rsidRPr="00F627AA" w:rsidRDefault="00F627AA" w:rsidP="00F627AA">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Aquatic</w:t>
            </w:r>
          </w:p>
        </w:tc>
        <w:tc>
          <w:tcPr>
            <w:tcW w:w="122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-22.0</w:t>
            </w:r>
          </w:p>
        </w:tc>
        <w:tc>
          <w:tcPr>
            <w:tcW w:w="96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1.49</w:t>
            </w:r>
          </w:p>
        </w:tc>
        <w:tc>
          <w:tcPr>
            <w:tcW w:w="144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9.3</w:t>
            </w:r>
          </w:p>
        </w:tc>
        <w:tc>
          <w:tcPr>
            <w:tcW w:w="96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1.44</w:t>
            </w:r>
          </w:p>
        </w:tc>
      </w:tr>
      <w:tr w:rsidR="00F627AA" w:rsidRPr="00F627AA" w:rsidTr="005B2804">
        <w:trPr>
          <w:trHeight w:val="300"/>
          <w:jc w:val="center"/>
        </w:trPr>
        <w:tc>
          <w:tcPr>
            <w:tcW w:w="1200" w:type="dxa"/>
            <w:shd w:val="clear" w:color="auto" w:fill="auto"/>
            <w:noWrap/>
            <w:vAlign w:val="bottom"/>
            <w:hideMark/>
          </w:tcPr>
          <w:p w:rsidR="00F627AA" w:rsidRPr="00F627AA" w:rsidRDefault="00F627AA" w:rsidP="00F627AA">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Plants</w:t>
            </w:r>
          </w:p>
        </w:tc>
        <w:tc>
          <w:tcPr>
            <w:tcW w:w="122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-24.8</w:t>
            </w:r>
          </w:p>
        </w:tc>
        <w:tc>
          <w:tcPr>
            <w:tcW w:w="96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1.06</w:t>
            </w:r>
          </w:p>
        </w:tc>
        <w:tc>
          <w:tcPr>
            <w:tcW w:w="144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1.5</w:t>
            </w:r>
          </w:p>
        </w:tc>
        <w:tc>
          <w:tcPr>
            <w:tcW w:w="96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1.5</w:t>
            </w:r>
          </w:p>
        </w:tc>
      </w:tr>
      <w:tr w:rsidR="00F627AA" w:rsidRPr="00F627AA" w:rsidTr="005B2804">
        <w:trPr>
          <w:trHeight w:val="300"/>
          <w:jc w:val="center"/>
        </w:trPr>
        <w:tc>
          <w:tcPr>
            <w:tcW w:w="1200" w:type="dxa"/>
            <w:tcBorders>
              <w:bottom w:val="single" w:sz="4" w:space="0" w:color="auto"/>
            </w:tcBorders>
            <w:shd w:val="clear" w:color="auto" w:fill="D9D9D9" w:themeFill="background1" w:themeFillShade="D9"/>
            <w:noWrap/>
            <w:vAlign w:val="bottom"/>
            <w:hideMark/>
          </w:tcPr>
          <w:p w:rsidR="00F627AA" w:rsidRPr="00F627AA" w:rsidRDefault="00F627AA" w:rsidP="00F627AA">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Off-sets</w:t>
            </w:r>
          </w:p>
        </w:tc>
        <w:tc>
          <w:tcPr>
            <w:tcW w:w="1220" w:type="dxa"/>
            <w:tcBorders>
              <w:bottom w:val="single" w:sz="4" w:space="0" w:color="auto"/>
            </w:tcBorders>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4.8</w:t>
            </w:r>
          </w:p>
        </w:tc>
        <w:tc>
          <w:tcPr>
            <w:tcW w:w="960" w:type="dxa"/>
            <w:tcBorders>
              <w:bottom w:val="single" w:sz="4" w:space="0" w:color="auto"/>
            </w:tcBorders>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0.2</w:t>
            </w:r>
          </w:p>
        </w:tc>
        <w:tc>
          <w:tcPr>
            <w:tcW w:w="1440" w:type="dxa"/>
            <w:tcBorders>
              <w:bottom w:val="single" w:sz="4" w:space="0" w:color="auto"/>
            </w:tcBorders>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6</w:t>
            </w:r>
          </w:p>
        </w:tc>
        <w:tc>
          <w:tcPr>
            <w:tcW w:w="960" w:type="dxa"/>
            <w:tcBorders>
              <w:bottom w:val="single" w:sz="4" w:space="0" w:color="auto"/>
            </w:tcBorders>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0.5</w:t>
            </w:r>
          </w:p>
        </w:tc>
      </w:tr>
      <w:tr w:rsidR="00F627AA" w:rsidRPr="00F627AA" w:rsidTr="005B2804">
        <w:trPr>
          <w:trHeight w:val="300"/>
          <w:jc w:val="center"/>
        </w:trPr>
        <w:tc>
          <w:tcPr>
            <w:tcW w:w="1200" w:type="dxa"/>
            <w:tcBorders>
              <w:top w:val="single" w:sz="4" w:space="0" w:color="auto"/>
            </w:tcBorders>
            <w:shd w:val="clear" w:color="auto" w:fill="auto"/>
            <w:noWrap/>
            <w:vAlign w:val="bottom"/>
            <w:hideMark/>
          </w:tcPr>
          <w:p w:rsidR="00F627AA" w:rsidRPr="00F627AA" w:rsidRDefault="00F627AA" w:rsidP="00F627AA">
            <w:pPr>
              <w:rPr>
                <w:rFonts w:ascii="Calibri" w:eastAsia="Times New Roman" w:hAnsi="Calibri" w:cs="Times New Roman"/>
                <w:b/>
                <w:bCs/>
                <w:color w:val="000000"/>
                <w:sz w:val="22"/>
                <w:szCs w:val="22"/>
                <w:lang w:eastAsia="en-GB"/>
              </w:rPr>
            </w:pPr>
            <w:r w:rsidRPr="00F627AA">
              <w:rPr>
                <w:rFonts w:ascii="Calibri" w:eastAsia="Times New Roman" w:hAnsi="Calibri" w:cs="Times New Roman"/>
                <w:b/>
                <w:bCs/>
                <w:color w:val="000000"/>
                <w:sz w:val="22"/>
                <w:szCs w:val="22"/>
                <w:lang w:eastAsia="en-GB"/>
              </w:rPr>
              <w:t>Neolithic</w:t>
            </w:r>
          </w:p>
        </w:tc>
        <w:tc>
          <w:tcPr>
            <w:tcW w:w="4580" w:type="dxa"/>
            <w:gridSpan w:val="4"/>
            <w:tcBorders>
              <w:top w:val="single" w:sz="4" w:space="0" w:color="auto"/>
            </w:tcBorders>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p>
        </w:tc>
      </w:tr>
      <w:tr w:rsidR="00F627AA" w:rsidRPr="00F627AA" w:rsidTr="005B2804">
        <w:trPr>
          <w:trHeight w:val="300"/>
          <w:jc w:val="center"/>
        </w:trPr>
        <w:tc>
          <w:tcPr>
            <w:tcW w:w="1200" w:type="dxa"/>
            <w:shd w:val="clear" w:color="auto" w:fill="D9D9D9" w:themeFill="background1" w:themeFillShade="D9"/>
            <w:noWrap/>
            <w:vAlign w:val="bottom"/>
            <w:hideMark/>
          </w:tcPr>
          <w:p w:rsidR="00F627AA" w:rsidRPr="00F627AA" w:rsidRDefault="005B2804" w:rsidP="00F627AA">
            <w:pPr>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Human</w:t>
            </w:r>
          </w:p>
        </w:tc>
        <w:tc>
          <w:tcPr>
            <w:tcW w:w="122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-20.2</w:t>
            </w:r>
          </w:p>
        </w:tc>
        <w:tc>
          <w:tcPr>
            <w:tcW w:w="96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0.27</w:t>
            </w:r>
          </w:p>
        </w:tc>
        <w:tc>
          <w:tcPr>
            <w:tcW w:w="144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9.4</w:t>
            </w:r>
          </w:p>
        </w:tc>
        <w:tc>
          <w:tcPr>
            <w:tcW w:w="96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0.78</w:t>
            </w:r>
          </w:p>
        </w:tc>
      </w:tr>
      <w:tr w:rsidR="00F627AA" w:rsidRPr="00F627AA" w:rsidTr="005B2804">
        <w:trPr>
          <w:trHeight w:val="300"/>
          <w:jc w:val="center"/>
        </w:trPr>
        <w:tc>
          <w:tcPr>
            <w:tcW w:w="1200" w:type="dxa"/>
            <w:shd w:val="clear" w:color="auto" w:fill="auto"/>
            <w:noWrap/>
            <w:vAlign w:val="bottom"/>
            <w:hideMark/>
          </w:tcPr>
          <w:p w:rsidR="00F627AA" w:rsidRPr="00F627AA" w:rsidRDefault="00F627AA" w:rsidP="00F627AA">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Terrestrial</w:t>
            </w:r>
          </w:p>
        </w:tc>
        <w:tc>
          <w:tcPr>
            <w:tcW w:w="122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-21.3</w:t>
            </w:r>
          </w:p>
        </w:tc>
        <w:tc>
          <w:tcPr>
            <w:tcW w:w="96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1.06</w:t>
            </w:r>
          </w:p>
        </w:tc>
        <w:tc>
          <w:tcPr>
            <w:tcW w:w="144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6.7</w:t>
            </w:r>
          </w:p>
        </w:tc>
        <w:tc>
          <w:tcPr>
            <w:tcW w:w="96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1.4</w:t>
            </w:r>
          </w:p>
        </w:tc>
      </w:tr>
      <w:tr w:rsidR="00F627AA" w:rsidRPr="00F627AA" w:rsidTr="005B2804">
        <w:trPr>
          <w:trHeight w:val="300"/>
          <w:jc w:val="center"/>
        </w:trPr>
        <w:tc>
          <w:tcPr>
            <w:tcW w:w="1200" w:type="dxa"/>
            <w:shd w:val="clear" w:color="auto" w:fill="D9D9D9" w:themeFill="background1" w:themeFillShade="D9"/>
            <w:noWrap/>
            <w:vAlign w:val="bottom"/>
            <w:hideMark/>
          </w:tcPr>
          <w:p w:rsidR="00F627AA" w:rsidRPr="00F627AA" w:rsidRDefault="00F627AA" w:rsidP="00F627AA">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Aquatic</w:t>
            </w:r>
          </w:p>
        </w:tc>
        <w:tc>
          <w:tcPr>
            <w:tcW w:w="122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-21.5</w:t>
            </w:r>
          </w:p>
        </w:tc>
        <w:tc>
          <w:tcPr>
            <w:tcW w:w="96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w:t>
            </w:r>
          </w:p>
        </w:tc>
        <w:tc>
          <w:tcPr>
            <w:tcW w:w="144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8.9</w:t>
            </w:r>
          </w:p>
        </w:tc>
        <w:tc>
          <w:tcPr>
            <w:tcW w:w="960" w:type="dxa"/>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1.1</w:t>
            </w:r>
          </w:p>
        </w:tc>
      </w:tr>
      <w:tr w:rsidR="00F627AA" w:rsidRPr="00F627AA" w:rsidTr="005B2804">
        <w:trPr>
          <w:trHeight w:val="300"/>
          <w:jc w:val="center"/>
        </w:trPr>
        <w:tc>
          <w:tcPr>
            <w:tcW w:w="1200" w:type="dxa"/>
            <w:shd w:val="clear" w:color="auto" w:fill="auto"/>
            <w:noWrap/>
            <w:vAlign w:val="bottom"/>
            <w:hideMark/>
          </w:tcPr>
          <w:p w:rsidR="00F627AA" w:rsidRPr="00F627AA" w:rsidRDefault="00F627AA" w:rsidP="00F627AA">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Plants</w:t>
            </w:r>
          </w:p>
        </w:tc>
        <w:tc>
          <w:tcPr>
            <w:tcW w:w="122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-23.8</w:t>
            </w:r>
          </w:p>
        </w:tc>
        <w:tc>
          <w:tcPr>
            <w:tcW w:w="96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0.3</w:t>
            </w:r>
          </w:p>
        </w:tc>
        <w:tc>
          <w:tcPr>
            <w:tcW w:w="144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3.6</w:t>
            </w:r>
          </w:p>
        </w:tc>
        <w:tc>
          <w:tcPr>
            <w:tcW w:w="960" w:type="dxa"/>
            <w:shd w:val="clear" w:color="auto" w:fill="auto"/>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1.2</w:t>
            </w:r>
          </w:p>
        </w:tc>
      </w:tr>
      <w:tr w:rsidR="00F627AA" w:rsidRPr="00F627AA" w:rsidTr="005B2804">
        <w:trPr>
          <w:trHeight w:val="300"/>
          <w:jc w:val="center"/>
        </w:trPr>
        <w:tc>
          <w:tcPr>
            <w:tcW w:w="1200" w:type="dxa"/>
            <w:tcBorders>
              <w:bottom w:val="single" w:sz="4" w:space="0" w:color="auto"/>
            </w:tcBorders>
            <w:shd w:val="clear" w:color="auto" w:fill="D9D9D9" w:themeFill="background1" w:themeFillShade="D9"/>
            <w:noWrap/>
            <w:vAlign w:val="bottom"/>
            <w:hideMark/>
          </w:tcPr>
          <w:p w:rsidR="00F627AA" w:rsidRPr="00F627AA" w:rsidRDefault="00F627AA" w:rsidP="00F627AA">
            <w:pP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Off-sets</w:t>
            </w:r>
          </w:p>
        </w:tc>
        <w:tc>
          <w:tcPr>
            <w:tcW w:w="1220" w:type="dxa"/>
            <w:tcBorders>
              <w:bottom w:val="single" w:sz="4" w:space="0" w:color="auto"/>
            </w:tcBorders>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4.8</w:t>
            </w:r>
          </w:p>
        </w:tc>
        <w:tc>
          <w:tcPr>
            <w:tcW w:w="960" w:type="dxa"/>
            <w:tcBorders>
              <w:bottom w:val="single" w:sz="4" w:space="0" w:color="auto"/>
            </w:tcBorders>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0.2</w:t>
            </w:r>
          </w:p>
        </w:tc>
        <w:tc>
          <w:tcPr>
            <w:tcW w:w="1440" w:type="dxa"/>
            <w:tcBorders>
              <w:bottom w:val="single" w:sz="4" w:space="0" w:color="auto"/>
            </w:tcBorders>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6</w:t>
            </w:r>
          </w:p>
        </w:tc>
        <w:tc>
          <w:tcPr>
            <w:tcW w:w="960" w:type="dxa"/>
            <w:tcBorders>
              <w:bottom w:val="single" w:sz="4" w:space="0" w:color="auto"/>
            </w:tcBorders>
            <w:shd w:val="clear" w:color="auto" w:fill="D9D9D9" w:themeFill="background1" w:themeFillShade="D9"/>
            <w:noWrap/>
            <w:vAlign w:val="bottom"/>
            <w:hideMark/>
          </w:tcPr>
          <w:p w:rsidR="00F627AA" w:rsidRPr="00F627AA" w:rsidRDefault="00F627AA" w:rsidP="005B2804">
            <w:pPr>
              <w:jc w:val="center"/>
              <w:rPr>
                <w:rFonts w:ascii="Calibri" w:eastAsia="Times New Roman" w:hAnsi="Calibri" w:cs="Times New Roman"/>
                <w:color w:val="000000"/>
                <w:sz w:val="22"/>
                <w:szCs w:val="22"/>
                <w:lang w:eastAsia="en-GB"/>
              </w:rPr>
            </w:pPr>
            <w:r w:rsidRPr="00F627AA">
              <w:rPr>
                <w:rFonts w:ascii="Calibri" w:eastAsia="Times New Roman" w:hAnsi="Calibri" w:cs="Times New Roman"/>
                <w:color w:val="000000"/>
                <w:sz w:val="22"/>
                <w:szCs w:val="22"/>
                <w:lang w:eastAsia="en-GB"/>
              </w:rPr>
              <w:t>0.5</w:t>
            </w:r>
          </w:p>
        </w:tc>
      </w:tr>
    </w:tbl>
    <w:p w:rsidR="002E6722" w:rsidRDefault="002E6722" w:rsidP="00C57783"/>
    <w:p w:rsidR="004B2A71" w:rsidRDefault="00223102" w:rsidP="00C57783">
      <w:r>
        <w:t xml:space="preserve">The main question asked of the analysis was whether any inference could be made about </w:t>
      </w:r>
      <w:r w:rsidR="00C57783">
        <w:t xml:space="preserve">changes in </w:t>
      </w:r>
      <w:r>
        <w:t xml:space="preserve">freshwater </w:t>
      </w:r>
      <w:r w:rsidR="007C7173">
        <w:t>reource</w:t>
      </w:r>
      <w:r>
        <w:t xml:space="preserve"> consumption, with a hypothesis that </w:t>
      </w:r>
      <w:r w:rsidR="00E07039">
        <w:t xml:space="preserve">there was a </w:t>
      </w:r>
      <w:r w:rsidR="007C7173">
        <w:t xml:space="preserve">decrease </w:t>
      </w:r>
      <w:r w:rsidR="00C57783">
        <w:t>from the Mesolithic to the Neolithic</w:t>
      </w:r>
      <w:r w:rsidR="00E07039">
        <w:t>. However, there are several other variables that complicate the analysis. Name</w:t>
      </w:r>
      <w:r w:rsidR="00F368B9">
        <w:t xml:space="preserve">ly, (1) the percentage of meat </w:t>
      </w:r>
      <w:r w:rsidR="001149A1">
        <w:t>vs.</w:t>
      </w:r>
      <w:r w:rsidR="00E07039">
        <w:t xml:space="preserve"> milk</w:t>
      </w:r>
      <w:r w:rsidR="00F368B9">
        <w:t xml:space="preserve"> </w:t>
      </w:r>
      <w:r w:rsidR="00032BB0">
        <w:t xml:space="preserve">in the diet is unknown, (2) the impact of manuring on the cereal isotopes </w:t>
      </w:r>
      <w:r w:rsidR="00353100">
        <w:t>ratios</w:t>
      </w:r>
      <w:r w:rsidR="00032BB0">
        <w:t xml:space="preserve">, as this may not be consistent across the distribution of sites during the Neolithic, (3) the extent of pulses in the diet. </w:t>
      </w:r>
      <w:r w:rsidR="004B2A71">
        <w:t xml:space="preserve">As </w:t>
      </w:r>
      <w:r w:rsidR="006C6AED">
        <w:t>these variables show</w:t>
      </w:r>
      <w:r w:rsidR="004B2A71">
        <w:t xml:space="preserve">, </w:t>
      </w:r>
      <w:r w:rsidR="006C6AED">
        <w:t xml:space="preserve">the input parameters </w:t>
      </w:r>
      <w:r w:rsidR="004B2A71">
        <w:t xml:space="preserve">are not likely to be an absolute representation of the diet, but </w:t>
      </w:r>
      <w:r w:rsidR="00C224D0">
        <w:t xml:space="preserve">these models </w:t>
      </w:r>
      <w:r w:rsidR="004B2A71">
        <w:t xml:space="preserve">should give some insights into </w:t>
      </w:r>
      <w:r w:rsidR="006C6AED">
        <w:t xml:space="preserve">the </w:t>
      </w:r>
      <w:r w:rsidR="004B2A71">
        <w:t xml:space="preserve">dietary changes </w:t>
      </w:r>
      <w:r w:rsidR="006C6AED">
        <w:t xml:space="preserve">in terms of relative proportion </w:t>
      </w:r>
      <w:r w:rsidR="004D7D09">
        <w:t xml:space="preserve">contribution </w:t>
      </w:r>
      <w:r w:rsidR="006C6AED">
        <w:t xml:space="preserve">of foodstuffs </w:t>
      </w:r>
      <w:r w:rsidR="004B2A71">
        <w:t>between the Mesolithic and Neolithic.</w:t>
      </w:r>
    </w:p>
    <w:p w:rsidR="004B2A71" w:rsidRDefault="004B2A71" w:rsidP="00C57783"/>
    <w:p w:rsidR="007C7173" w:rsidRDefault="004B2A71" w:rsidP="007C7173">
      <w:r>
        <w:t xml:space="preserve">The results of the FRUITS modelling are reported in table 6 and figures </w:t>
      </w:r>
      <w:r w:rsidR="00E14229">
        <w:t>3</w:t>
      </w:r>
      <w:r w:rsidR="006C7534">
        <w:t xml:space="preserve"> and </w:t>
      </w:r>
      <w:r w:rsidR="00E14229">
        <w:t>4</w:t>
      </w:r>
      <w:r>
        <w:t>.</w:t>
      </w:r>
      <w:r w:rsidR="006C7534">
        <w:t xml:space="preserve"> The models suggest that the contribution of aquatic animals to the diet fell from </w:t>
      </w:r>
      <w:r w:rsidR="006C7534">
        <w:rPr>
          <w:i/>
        </w:rPr>
        <w:t>c</w:t>
      </w:r>
      <w:r w:rsidR="007C7173">
        <w:t>.</w:t>
      </w:r>
      <w:r w:rsidR="006C7534">
        <w:t>18.5</w:t>
      </w:r>
      <w:r w:rsidR="008B0EC3" w:rsidRPr="008B0EC3">
        <w:t>±</w:t>
      </w:r>
      <w:r w:rsidR="008B0EC3">
        <w:t>13.8</w:t>
      </w:r>
      <w:r w:rsidR="006C7534">
        <w:t xml:space="preserve">% in the Mesolithic to </w:t>
      </w:r>
      <w:r w:rsidR="006C7534">
        <w:rPr>
          <w:i/>
        </w:rPr>
        <w:t>c</w:t>
      </w:r>
      <w:r w:rsidR="006C7534">
        <w:t>.</w:t>
      </w:r>
      <w:r w:rsidR="008B0EC3">
        <w:t>5.9</w:t>
      </w:r>
      <w:r w:rsidR="008B0EC3" w:rsidRPr="008B0EC3">
        <w:t>±</w:t>
      </w:r>
      <w:r w:rsidR="008B0EC3">
        <w:t>6.8</w:t>
      </w:r>
      <w:r w:rsidR="006C7534">
        <w:t>% in the Neolithic</w:t>
      </w:r>
      <w:r w:rsidR="008B0EC3">
        <w:t xml:space="preserve"> </w:t>
      </w:r>
      <w:r w:rsidR="00D07F58">
        <w:t>(</w:t>
      </w:r>
      <w:r w:rsidR="008B0EC3">
        <w:t>note the large standard deviations</w:t>
      </w:r>
      <w:r w:rsidR="00D07F58">
        <w:t>)</w:t>
      </w:r>
      <w:r>
        <w:t xml:space="preserve">. This suggests a </w:t>
      </w:r>
      <w:r>
        <w:lastRenderedPageBreak/>
        <w:t xml:space="preserve">significant </w:t>
      </w:r>
      <w:r w:rsidR="00CD6E18">
        <w:t xml:space="preserve">drop, but not a complete abandonment of aquatic resources between the Mesolithic and Neolithic in terrestrial areas of central Europe. In contrast to previous models, </w:t>
      </w:r>
      <w:r w:rsidR="00A139FE">
        <w:t xml:space="preserve">the </w:t>
      </w:r>
      <w:r w:rsidR="00353100">
        <w:t xml:space="preserve">analysis presented here </w:t>
      </w:r>
      <w:r w:rsidR="00CD6E18">
        <w:t>suggest</w:t>
      </w:r>
      <w:r w:rsidR="00A139FE">
        <w:t>s</w:t>
      </w:r>
      <w:r w:rsidR="00CD6E18">
        <w:t xml:space="preserve"> that the contribution of plant protein to the diet has previously been underestimated in the Neolithic (</w:t>
      </w:r>
      <w:r w:rsidR="00A139FE">
        <w:t>the model suggesting plants accounted for nearly 8</w:t>
      </w:r>
      <w:r w:rsidR="008B0EC3">
        <w:t>4.3</w:t>
      </w:r>
      <w:r w:rsidR="008B0EC3" w:rsidRPr="008B0EC3">
        <w:t>±</w:t>
      </w:r>
      <w:r w:rsidR="008B0EC3">
        <w:t>17.6</w:t>
      </w:r>
      <w:r w:rsidR="00A139FE">
        <w:t>% of the protein in the diet</w:t>
      </w:r>
      <w:r w:rsidR="00CD6E18">
        <w:t>)</w:t>
      </w:r>
      <w:r w:rsidR="00A139FE">
        <w:t xml:space="preserve">. This is a higher percentage of the diet than was suggested at sites where the plant isotope </w:t>
      </w:r>
      <w:r w:rsidR="00353100">
        <w:t>ratios</w:t>
      </w:r>
      <w:r w:rsidR="00A139FE">
        <w:t xml:space="preserve"> were taken from (Fraser </w:t>
      </w:r>
      <w:r w:rsidR="00A139FE">
        <w:rPr>
          <w:i/>
        </w:rPr>
        <w:t>et al</w:t>
      </w:r>
      <w:r w:rsidR="00A139FE">
        <w:t>.</w:t>
      </w:r>
      <w:r w:rsidR="00A139FE">
        <w:rPr>
          <w:i/>
        </w:rPr>
        <w:t xml:space="preserve"> </w:t>
      </w:r>
      <w:r w:rsidR="007C7173">
        <w:t xml:space="preserve">2013). This may </w:t>
      </w:r>
      <w:r w:rsidR="00A139FE">
        <w:t>suggest that manuring may not have been consistent across the LBK</w:t>
      </w:r>
      <w:r w:rsidR="001149A1">
        <w:t>. At sites</w:t>
      </w:r>
      <w:r w:rsidR="007C7173">
        <w:t xml:space="preserve"> </w:t>
      </w:r>
      <w:r w:rsidR="001149A1">
        <w:t>with</w:t>
      </w:r>
      <w:r w:rsidR="007C7173">
        <w:t xml:space="preserve"> less established </w:t>
      </w:r>
      <w:r w:rsidR="001149A1">
        <w:t xml:space="preserve">cereal growing and manuring </w:t>
      </w:r>
      <w:r w:rsidR="007C7173">
        <w:t>than Vaihingen, the off-set would be lower, and, hence, leading to plants being overestimated in the model</w:t>
      </w:r>
      <w:r w:rsidR="00CD6E18">
        <w:t xml:space="preserve">. </w:t>
      </w:r>
      <w:r w:rsidR="007C7173">
        <w:t xml:space="preserve">It is likely, however, that the contribution of plants to dietary protein to the LBK-Neolithic diet has previously been underestimated. </w:t>
      </w:r>
      <w:r w:rsidR="00A139FE">
        <w:t xml:space="preserve">Hedges </w:t>
      </w:r>
      <w:r w:rsidR="00A139FE">
        <w:rPr>
          <w:i/>
        </w:rPr>
        <w:t>et al</w:t>
      </w:r>
      <w:r w:rsidR="00A139FE">
        <w:t xml:space="preserve">. (2013, 365), concluded that in the geographic region under study here, at +4‰ enrichment the LBK diet was likely to be 40% meat </w:t>
      </w:r>
      <w:r w:rsidR="00353100">
        <w:t>protein, 5% fish and few pulses; at</w:t>
      </w:r>
      <w:r w:rsidR="00A139FE">
        <w:t xml:space="preserve"> closer to +4.5‰</w:t>
      </w:r>
      <w:r w:rsidR="00353100">
        <w:t>,</w:t>
      </w:r>
      <w:r w:rsidR="00A139FE">
        <w:t xml:space="preserve"> the meat protein would have likely been higher at 50–55%.</w:t>
      </w:r>
      <w:r w:rsidR="004369D5">
        <w:t xml:space="preserve"> </w:t>
      </w:r>
      <w:r w:rsidR="007C7173">
        <w:t>T</w:t>
      </w:r>
      <w:r w:rsidR="00E56860">
        <w:t>he estimation of 5% contribution from fish seems to have been a reasonable suggestion</w:t>
      </w:r>
      <w:r w:rsidR="00E647D6">
        <w:t>,</w:t>
      </w:r>
      <w:r w:rsidR="00B70D25">
        <w:t xml:space="preserve"> </w:t>
      </w:r>
      <w:r w:rsidR="00E647D6">
        <w:t>but</w:t>
      </w:r>
      <w:r w:rsidR="00B70D25">
        <w:t xml:space="preserve"> with the caveat that the terrestrial contribution could have been higher if the manuring of crops was not widespread</w:t>
      </w:r>
      <w:r w:rsidR="008B0EC3">
        <w:t xml:space="preserve"> (see also Denaire </w:t>
      </w:r>
      <w:r w:rsidR="008B0EC3">
        <w:rPr>
          <w:i/>
        </w:rPr>
        <w:t>et al</w:t>
      </w:r>
      <w:r w:rsidR="008B0EC3">
        <w:t>. 2017)</w:t>
      </w:r>
      <w:r w:rsidR="004369D5">
        <w:t>.</w:t>
      </w:r>
      <w:r w:rsidR="00E647D6">
        <w:t xml:space="preserve"> Even reducing both</w:t>
      </w:r>
      <w:r w:rsidR="00C224D0">
        <w:t xml:space="preserve"> the trophic level</w:t>
      </w:r>
      <w:r w:rsidR="00E647D6">
        <w:t xml:space="preserve"> off-set and the δ</w:t>
      </w:r>
      <w:r w:rsidR="00E647D6" w:rsidRPr="000972BF">
        <w:rPr>
          <w:vertAlign w:val="superscript"/>
        </w:rPr>
        <w:t>13</w:t>
      </w:r>
      <w:r w:rsidR="00E647D6">
        <w:t xml:space="preserve">C and </w:t>
      </w:r>
      <w:r w:rsidR="00E647D6">
        <w:rPr>
          <w:rFonts w:cs="Times New Roman"/>
        </w:rPr>
        <w:t>δ</w:t>
      </w:r>
      <w:r w:rsidR="00E647D6" w:rsidRPr="000972BF">
        <w:rPr>
          <w:rFonts w:cs="Times New Roman"/>
          <w:vertAlign w:val="superscript"/>
        </w:rPr>
        <w:t>15</w:t>
      </w:r>
      <w:r w:rsidR="00E647D6" w:rsidRPr="00D124B1">
        <w:rPr>
          <w:rFonts w:cs="Times New Roman"/>
        </w:rPr>
        <w:t>N</w:t>
      </w:r>
      <w:r w:rsidR="00E647D6">
        <w:rPr>
          <w:rFonts w:cs="Times New Roman"/>
        </w:rPr>
        <w:t xml:space="preserve"> </w:t>
      </w:r>
      <w:r w:rsidR="00353100">
        <w:rPr>
          <w:rFonts w:cs="Times New Roman"/>
        </w:rPr>
        <w:t>isotope ratios</w:t>
      </w:r>
      <w:bookmarkStart w:id="0" w:name="_GoBack"/>
      <w:bookmarkEnd w:id="0"/>
      <w:r w:rsidR="004369D5">
        <w:t xml:space="preserve"> </w:t>
      </w:r>
      <w:r w:rsidR="00E647D6">
        <w:t xml:space="preserve">to more conservative estimates, FRUITS models still suggest that plant protein made up </w:t>
      </w:r>
      <w:r w:rsidR="008B0EC3">
        <w:rPr>
          <w:i/>
        </w:rPr>
        <w:t>c</w:t>
      </w:r>
      <w:r w:rsidR="008B0EC3">
        <w:t>.</w:t>
      </w:r>
      <w:r w:rsidR="00E647D6">
        <w:t xml:space="preserve">60% of the overall dietary protein. </w:t>
      </w:r>
      <w:r w:rsidR="00CD6E18">
        <w:t xml:space="preserve">Perhaps the most surprising element of the models are the extent to which </w:t>
      </w:r>
      <w:r w:rsidR="00E647D6">
        <w:t>they suggest the</w:t>
      </w:r>
      <w:r w:rsidR="00CD6E18">
        <w:t xml:space="preserve"> proportion of terrestrial animals in the diet decreases from the Mesolithic and Neolithic (a decrease of </w:t>
      </w:r>
      <w:r w:rsidR="00A139FE">
        <w:t xml:space="preserve">about </w:t>
      </w:r>
      <w:r w:rsidR="00CD6E18">
        <w:t>15%</w:t>
      </w:r>
      <w:r w:rsidR="00E647D6">
        <w:t xml:space="preserve"> at largest estimation</w:t>
      </w:r>
      <w:r w:rsidR="00CD6E18">
        <w:t>). Due to the time spread of the Mesolithic data, the speed of this change cannot be judged from th</w:t>
      </w:r>
      <w:r w:rsidR="00C936C8">
        <w:t>ese</w:t>
      </w:r>
      <w:r w:rsidR="00CD6E18">
        <w:t xml:space="preserve"> data</w:t>
      </w:r>
      <w:r w:rsidR="00FD080A">
        <w:t xml:space="preserve">. However, the models lend some weight to a hypothesis that the significant shift in diet from the Mesolithic to the Neolithic may have only minimally been associated with </w:t>
      </w:r>
      <w:r w:rsidR="00B70D25">
        <w:t xml:space="preserve">a decrease in use of </w:t>
      </w:r>
      <w:r w:rsidR="00FD080A">
        <w:t>aquatic resources in this regio</w:t>
      </w:r>
      <w:r w:rsidR="00E647D6">
        <w:t>n</w:t>
      </w:r>
      <w:r w:rsidR="00FD080A">
        <w:t xml:space="preserve"> and rather associated </w:t>
      </w:r>
      <w:r w:rsidR="007C7173">
        <w:t xml:space="preserve">with the consumption and growing conditions of plants altering the overall make-up of the diet protein.        </w:t>
      </w:r>
    </w:p>
    <w:p w:rsidR="00523DD9" w:rsidRDefault="00523DD9" w:rsidP="00523DD9"/>
    <w:p w:rsidR="006C7534" w:rsidRDefault="006C7534" w:rsidP="00523DD9"/>
    <w:p w:rsidR="00F8568C" w:rsidRDefault="0061399B" w:rsidP="0061399B">
      <w:pPr>
        <w:jc w:val="center"/>
      </w:pPr>
      <w:r>
        <w:rPr>
          <w:noProof/>
          <w:lang w:eastAsia="en-GB"/>
        </w:rPr>
        <w:lastRenderedPageBreak/>
        <w:drawing>
          <wp:inline distT="0" distB="0" distL="0" distR="0">
            <wp:extent cx="4761230" cy="4251322"/>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4.tif"/>
                    <pic:cNvPicPr/>
                  </pic:nvPicPr>
                  <pic:blipFill rotWithShape="1">
                    <a:blip r:embed="rId10" cstate="print">
                      <a:extLst>
                        <a:ext uri="{28A0092B-C50C-407E-A947-70E740481C1C}">
                          <a14:useLocalDpi xmlns:a14="http://schemas.microsoft.com/office/drawing/2010/main" val="0"/>
                        </a:ext>
                      </a:extLst>
                    </a:blip>
                    <a:srcRect t="6309"/>
                    <a:stretch/>
                  </pic:blipFill>
                  <pic:spPr bwMode="auto">
                    <a:xfrm>
                      <a:off x="0" y="0"/>
                      <a:ext cx="4763943" cy="4253744"/>
                    </a:xfrm>
                    <a:prstGeom prst="rect">
                      <a:avLst/>
                    </a:prstGeom>
                    <a:ln>
                      <a:noFill/>
                    </a:ln>
                    <a:extLst>
                      <a:ext uri="{53640926-AAD7-44D8-BBD7-CCE9431645EC}">
                        <a14:shadowObscured xmlns:a14="http://schemas.microsoft.com/office/drawing/2010/main"/>
                      </a:ext>
                    </a:extLst>
                  </pic:spPr>
                </pic:pic>
              </a:graphicData>
            </a:graphic>
          </wp:inline>
        </w:drawing>
      </w:r>
    </w:p>
    <w:p w:rsidR="00AC2459" w:rsidRPr="005B2804" w:rsidRDefault="00AC2459" w:rsidP="0061399B">
      <w:pPr>
        <w:jc w:val="center"/>
        <w:rPr>
          <w:i/>
        </w:rPr>
      </w:pPr>
      <w:r w:rsidRPr="005B2804">
        <w:rPr>
          <w:i/>
        </w:rPr>
        <w:t xml:space="preserve">Figure </w:t>
      </w:r>
      <w:r w:rsidR="00E14229">
        <w:rPr>
          <w:i/>
        </w:rPr>
        <w:t>3</w:t>
      </w:r>
      <w:r w:rsidRPr="005B2804">
        <w:rPr>
          <w:i/>
        </w:rPr>
        <w:t xml:space="preserve">: </w:t>
      </w:r>
      <w:r w:rsidR="008A27D4" w:rsidRPr="005B2804">
        <w:rPr>
          <w:i/>
        </w:rPr>
        <w:t>Box plot of FRUITS results for Mesolithic diet contribution from animals, fish and plants.</w:t>
      </w:r>
    </w:p>
    <w:p w:rsidR="008A27D4" w:rsidRDefault="008A27D4" w:rsidP="0061399B">
      <w:pPr>
        <w:jc w:val="center"/>
      </w:pPr>
    </w:p>
    <w:p w:rsidR="008A27D4" w:rsidRDefault="00DF4606" w:rsidP="00DF4606">
      <w:pPr>
        <w:jc w:val="center"/>
      </w:pPr>
      <w:r>
        <w:rPr>
          <w:noProof/>
          <w:lang w:eastAsia="en-GB"/>
        </w:rPr>
        <w:drawing>
          <wp:inline distT="0" distB="0" distL="0" distR="0">
            <wp:extent cx="4206036" cy="3665358"/>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 5.tif"/>
                    <pic:cNvPicPr/>
                  </pic:nvPicPr>
                  <pic:blipFill rotWithShape="1">
                    <a:blip r:embed="rId11" cstate="print">
                      <a:extLst>
                        <a:ext uri="{28A0092B-C50C-407E-A947-70E740481C1C}">
                          <a14:useLocalDpi xmlns:a14="http://schemas.microsoft.com/office/drawing/2010/main" val="0"/>
                        </a:ext>
                      </a:extLst>
                    </a:blip>
                    <a:srcRect t="7244"/>
                    <a:stretch/>
                  </pic:blipFill>
                  <pic:spPr bwMode="auto">
                    <a:xfrm>
                      <a:off x="0" y="0"/>
                      <a:ext cx="4207720" cy="3666825"/>
                    </a:xfrm>
                    <a:prstGeom prst="rect">
                      <a:avLst/>
                    </a:prstGeom>
                    <a:ln>
                      <a:noFill/>
                    </a:ln>
                    <a:extLst>
                      <a:ext uri="{53640926-AAD7-44D8-BBD7-CCE9431645EC}">
                        <a14:shadowObscured xmlns:a14="http://schemas.microsoft.com/office/drawing/2010/main"/>
                      </a:ext>
                    </a:extLst>
                  </pic:spPr>
                </pic:pic>
              </a:graphicData>
            </a:graphic>
          </wp:inline>
        </w:drawing>
      </w:r>
    </w:p>
    <w:p w:rsidR="008A27D4" w:rsidRPr="005B2804" w:rsidRDefault="008A27D4" w:rsidP="00DF4606">
      <w:pPr>
        <w:jc w:val="center"/>
        <w:rPr>
          <w:i/>
        </w:rPr>
      </w:pPr>
      <w:r w:rsidRPr="005B2804">
        <w:rPr>
          <w:i/>
        </w:rPr>
        <w:t xml:space="preserve">Figure </w:t>
      </w:r>
      <w:r w:rsidR="00E14229">
        <w:rPr>
          <w:i/>
        </w:rPr>
        <w:t>4</w:t>
      </w:r>
      <w:r w:rsidRPr="005B2804">
        <w:rPr>
          <w:i/>
        </w:rPr>
        <w:t>: Box plot of FRUITS results for Neolithic diet contribution from animals, fish and plants.</w:t>
      </w:r>
    </w:p>
    <w:p w:rsidR="00AC2459" w:rsidRDefault="00AC2459" w:rsidP="00F8568C">
      <w:pPr>
        <w:rPr>
          <w:b/>
        </w:rPr>
      </w:pPr>
    </w:p>
    <w:p w:rsidR="00523DD9" w:rsidRDefault="00523DD9" w:rsidP="00523DD9"/>
    <w:p w:rsidR="00523DD9" w:rsidRPr="004369D5" w:rsidRDefault="00523DD9" w:rsidP="00523DD9">
      <w:pPr>
        <w:jc w:val="center"/>
        <w:rPr>
          <w:i/>
        </w:rPr>
      </w:pPr>
      <w:r w:rsidRPr="004369D5">
        <w:rPr>
          <w:i/>
        </w:rPr>
        <w:lastRenderedPageBreak/>
        <w:t>Table 6: The results of the FRUITS model of Mesolithic and Neolithic diet</w:t>
      </w:r>
    </w:p>
    <w:tbl>
      <w:tblPr>
        <w:tblW w:w="6080" w:type="dxa"/>
        <w:jc w:val="center"/>
        <w:tblLook w:val="04A0" w:firstRow="1" w:lastRow="0" w:firstColumn="1" w:lastColumn="0" w:noHBand="0" w:noVBand="1"/>
      </w:tblPr>
      <w:tblGrid>
        <w:gridCol w:w="1280"/>
        <w:gridCol w:w="960"/>
        <w:gridCol w:w="960"/>
        <w:gridCol w:w="1051"/>
        <w:gridCol w:w="960"/>
        <w:gridCol w:w="960"/>
      </w:tblGrid>
      <w:tr w:rsidR="00523DD9" w:rsidRPr="006C7534" w:rsidTr="00E611FE">
        <w:trPr>
          <w:trHeight w:val="300"/>
          <w:jc w:val="center"/>
        </w:trPr>
        <w:tc>
          <w:tcPr>
            <w:tcW w:w="1280" w:type="dxa"/>
            <w:tcBorders>
              <w:top w:val="single" w:sz="4" w:space="0" w:color="auto"/>
              <w:bottom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c>
          <w:tcPr>
            <w:tcW w:w="960" w:type="dxa"/>
            <w:tcBorders>
              <w:top w:val="single" w:sz="4" w:space="0" w:color="auto"/>
              <w:bottom w:val="single" w:sz="4" w:space="0" w:color="auto"/>
            </w:tcBorders>
            <w:shd w:val="clear" w:color="auto" w:fill="auto"/>
            <w:noWrap/>
            <w:vAlign w:val="bottom"/>
            <w:hideMark/>
          </w:tcPr>
          <w:p w:rsidR="00523DD9" w:rsidRPr="006C7534" w:rsidRDefault="00523DD9" w:rsidP="00E611FE">
            <w:pPr>
              <w:rPr>
                <w:rFonts w:ascii="Arial" w:eastAsia="Times New Roman" w:hAnsi="Arial" w:cs="Arial"/>
                <w:b/>
                <w:bCs/>
                <w:color w:val="000000"/>
                <w:sz w:val="20"/>
                <w:szCs w:val="20"/>
                <w:lang w:eastAsia="en-GB"/>
              </w:rPr>
            </w:pPr>
            <w:r w:rsidRPr="006C7534">
              <w:rPr>
                <w:rFonts w:ascii="Arial" w:eastAsia="Times New Roman" w:hAnsi="Arial" w:cs="Arial"/>
                <w:b/>
                <w:bCs/>
                <w:color w:val="000000"/>
                <w:sz w:val="20"/>
                <w:szCs w:val="20"/>
                <w:lang w:eastAsia="en-GB"/>
              </w:rPr>
              <w:t>Mean</w:t>
            </w:r>
          </w:p>
        </w:tc>
        <w:tc>
          <w:tcPr>
            <w:tcW w:w="960" w:type="dxa"/>
            <w:tcBorders>
              <w:top w:val="single" w:sz="4" w:space="0" w:color="auto"/>
              <w:bottom w:val="single" w:sz="4" w:space="0" w:color="auto"/>
            </w:tcBorders>
            <w:shd w:val="clear" w:color="auto" w:fill="auto"/>
            <w:noWrap/>
            <w:vAlign w:val="bottom"/>
            <w:hideMark/>
          </w:tcPr>
          <w:p w:rsidR="00523DD9" w:rsidRPr="006C7534" w:rsidRDefault="00523DD9" w:rsidP="00E611FE">
            <w:pPr>
              <w:rPr>
                <w:rFonts w:ascii="Arial" w:eastAsia="Times New Roman" w:hAnsi="Arial" w:cs="Arial"/>
                <w:b/>
                <w:bCs/>
                <w:color w:val="000000"/>
                <w:sz w:val="20"/>
                <w:szCs w:val="20"/>
                <w:lang w:eastAsia="en-GB"/>
              </w:rPr>
            </w:pPr>
            <w:r w:rsidRPr="006C7534">
              <w:rPr>
                <w:rFonts w:ascii="Arial" w:eastAsia="Times New Roman" w:hAnsi="Arial" w:cs="Arial"/>
                <w:b/>
                <w:bCs/>
                <w:color w:val="000000"/>
                <w:sz w:val="20"/>
                <w:szCs w:val="20"/>
                <w:lang w:eastAsia="en-GB"/>
              </w:rPr>
              <w:t>SD</w:t>
            </w:r>
          </w:p>
        </w:tc>
        <w:tc>
          <w:tcPr>
            <w:tcW w:w="960" w:type="dxa"/>
            <w:tcBorders>
              <w:top w:val="single" w:sz="4" w:space="0" w:color="auto"/>
              <w:bottom w:val="single" w:sz="4" w:space="0" w:color="auto"/>
            </w:tcBorders>
            <w:shd w:val="clear" w:color="auto" w:fill="auto"/>
            <w:noWrap/>
            <w:vAlign w:val="bottom"/>
            <w:hideMark/>
          </w:tcPr>
          <w:p w:rsidR="00523DD9" w:rsidRPr="006C7534" w:rsidRDefault="00523DD9" w:rsidP="00E611FE">
            <w:pPr>
              <w:rPr>
                <w:rFonts w:ascii="Arial" w:eastAsia="Times New Roman" w:hAnsi="Arial" w:cs="Arial"/>
                <w:b/>
                <w:bCs/>
                <w:color w:val="000000"/>
                <w:sz w:val="20"/>
                <w:szCs w:val="20"/>
                <w:lang w:eastAsia="en-GB"/>
              </w:rPr>
            </w:pPr>
            <w:r w:rsidRPr="006C7534">
              <w:rPr>
                <w:rFonts w:ascii="Arial" w:eastAsia="Times New Roman" w:hAnsi="Arial" w:cs="Arial"/>
                <w:b/>
                <w:bCs/>
                <w:color w:val="000000"/>
                <w:sz w:val="20"/>
                <w:szCs w:val="20"/>
                <w:lang w:eastAsia="en-GB"/>
              </w:rPr>
              <w:t>2.5pc</w:t>
            </w:r>
          </w:p>
        </w:tc>
        <w:tc>
          <w:tcPr>
            <w:tcW w:w="960" w:type="dxa"/>
            <w:tcBorders>
              <w:top w:val="single" w:sz="4" w:space="0" w:color="auto"/>
              <w:bottom w:val="single" w:sz="4" w:space="0" w:color="auto"/>
            </w:tcBorders>
            <w:shd w:val="clear" w:color="auto" w:fill="auto"/>
            <w:noWrap/>
            <w:vAlign w:val="bottom"/>
            <w:hideMark/>
          </w:tcPr>
          <w:p w:rsidR="00523DD9" w:rsidRPr="006C7534" w:rsidRDefault="00523DD9" w:rsidP="00E611FE">
            <w:pPr>
              <w:rPr>
                <w:rFonts w:ascii="Arial" w:eastAsia="Times New Roman" w:hAnsi="Arial" w:cs="Arial"/>
                <w:b/>
                <w:bCs/>
                <w:color w:val="000000"/>
                <w:sz w:val="20"/>
                <w:szCs w:val="20"/>
                <w:lang w:eastAsia="en-GB"/>
              </w:rPr>
            </w:pPr>
            <w:r w:rsidRPr="006C7534">
              <w:rPr>
                <w:rFonts w:ascii="Arial" w:eastAsia="Times New Roman" w:hAnsi="Arial" w:cs="Arial"/>
                <w:b/>
                <w:bCs/>
                <w:color w:val="000000"/>
                <w:sz w:val="20"/>
                <w:szCs w:val="20"/>
                <w:lang w:eastAsia="en-GB"/>
              </w:rPr>
              <w:t>Median</w:t>
            </w:r>
          </w:p>
        </w:tc>
        <w:tc>
          <w:tcPr>
            <w:tcW w:w="960" w:type="dxa"/>
            <w:tcBorders>
              <w:top w:val="single" w:sz="4" w:space="0" w:color="auto"/>
              <w:bottom w:val="single" w:sz="4" w:space="0" w:color="auto"/>
            </w:tcBorders>
            <w:shd w:val="clear" w:color="auto" w:fill="auto"/>
            <w:noWrap/>
            <w:vAlign w:val="bottom"/>
            <w:hideMark/>
          </w:tcPr>
          <w:p w:rsidR="00523DD9" w:rsidRPr="006C7534" w:rsidRDefault="00523DD9" w:rsidP="00E611FE">
            <w:pPr>
              <w:rPr>
                <w:rFonts w:ascii="Arial" w:eastAsia="Times New Roman" w:hAnsi="Arial" w:cs="Arial"/>
                <w:b/>
                <w:bCs/>
                <w:color w:val="000000"/>
                <w:sz w:val="20"/>
                <w:szCs w:val="20"/>
                <w:lang w:eastAsia="en-GB"/>
              </w:rPr>
            </w:pPr>
            <w:r w:rsidRPr="006C7534">
              <w:rPr>
                <w:rFonts w:ascii="Arial" w:eastAsia="Times New Roman" w:hAnsi="Arial" w:cs="Arial"/>
                <w:b/>
                <w:bCs/>
                <w:color w:val="000000"/>
                <w:sz w:val="20"/>
                <w:szCs w:val="20"/>
                <w:lang w:eastAsia="en-GB"/>
              </w:rPr>
              <w:t>97.5pc</w:t>
            </w:r>
          </w:p>
        </w:tc>
      </w:tr>
      <w:tr w:rsidR="00523DD9" w:rsidRPr="006C7534" w:rsidTr="00E611FE">
        <w:trPr>
          <w:trHeight w:val="300"/>
          <w:jc w:val="center"/>
        </w:trPr>
        <w:tc>
          <w:tcPr>
            <w:tcW w:w="128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b/>
                <w:bCs/>
                <w:color w:val="000000"/>
                <w:sz w:val="20"/>
                <w:szCs w:val="20"/>
                <w:lang w:eastAsia="en-GB"/>
              </w:rPr>
            </w:pPr>
            <w:r w:rsidRPr="006C7534">
              <w:rPr>
                <w:rFonts w:ascii="Arial" w:eastAsia="Times New Roman" w:hAnsi="Arial" w:cs="Arial"/>
                <w:b/>
                <w:bCs/>
                <w:color w:val="000000"/>
                <w:sz w:val="20"/>
                <w:szCs w:val="20"/>
                <w:lang w:eastAsia="en-GB"/>
              </w:rPr>
              <w:t xml:space="preserve">Mesolithic </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r>
      <w:tr w:rsidR="00523DD9" w:rsidRPr="006C7534" w:rsidTr="00E611FE">
        <w:trPr>
          <w:trHeight w:val="300"/>
          <w:jc w:val="center"/>
        </w:trPr>
        <w:tc>
          <w:tcPr>
            <w:tcW w:w="1280" w:type="dxa"/>
            <w:shd w:val="clear" w:color="auto" w:fill="D9D9D9" w:themeFill="background1" w:themeFillShade="D9"/>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Terrestrial</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0.2658</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0.2091</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0.009817</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0.2159</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0.7783</w:t>
            </w:r>
          </w:p>
        </w:tc>
      </w:tr>
      <w:tr w:rsidR="00523DD9" w:rsidRPr="006C7534" w:rsidTr="00E611FE">
        <w:trPr>
          <w:trHeight w:val="300"/>
          <w:jc w:val="center"/>
        </w:trPr>
        <w:tc>
          <w:tcPr>
            <w:tcW w:w="1280" w:type="dxa"/>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Aquatic</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0.185</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0.1381</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0.007005</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0.1575</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0.5136</w:t>
            </w:r>
          </w:p>
        </w:tc>
      </w:tr>
      <w:tr w:rsidR="00523DD9" w:rsidRPr="006C7534" w:rsidTr="00E611FE">
        <w:trPr>
          <w:trHeight w:val="300"/>
          <w:jc w:val="center"/>
        </w:trPr>
        <w:tc>
          <w:tcPr>
            <w:tcW w:w="1280" w:type="dxa"/>
            <w:tcBorders>
              <w:bottom w:val="single" w:sz="4" w:space="0" w:color="auto"/>
            </w:tcBorders>
            <w:shd w:val="clear" w:color="auto" w:fill="D9D9D9" w:themeFill="background1" w:themeFillShade="D9"/>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Plants</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0.5492</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0.2008</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0.1034</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0.5685</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0.8868</w:t>
            </w:r>
          </w:p>
        </w:tc>
      </w:tr>
      <w:tr w:rsidR="00523DD9" w:rsidRPr="006C7534" w:rsidTr="00E611FE">
        <w:trPr>
          <w:trHeight w:val="300"/>
          <w:jc w:val="center"/>
        </w:trPr>
        <w:tc>
          <w:tcPr>
            <w:tcW w:w="128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b/>
                <w:bCs/>
                <w:color w:val="000000"/>
                <w:sz w:val="20"/>
                <w:szCs w:val="20"/>
                <w:lang w:eastAsia="en-GB"/>
              </w:rPr>
            </w:pPr>
            <w:r w:rsidRPr="006C7534">
              <w:rPr>
                <w:rFonts w:ascii="Arial" w:eastAsia="Times New Roman" w:hAnsi="Arial" w:cs="Arial"/>
                <w:b/>
                <w:bCs/>
                <w:color w:val="000000"/>
                <w:sz w:val="20"/>
                <w:szCs w:val="20"/>
                <w:lang w:eastAsia="en-GB"/>
              </w:rPr>
              <w:t>Neolithic</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c>
          <w:tcPr>
            <w:tcW w:w="960" w:type="dxa"/>
            <w:tcBorders>
              <w:top w:val="single" w:sz="4" w:space="0" w:color="auto"/>
            </w:tcBorders>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 </w:t>
            </w:r>
          </w:p>
        </w:tc>
      </w:tr>
      <w:tr w:rsidR="00523DD9" w:rsidRPr="006C7534" w:rsidTr="00E611FE">
        <w:trPr>
          <w:trHeight w:val="300"/>
          <w:jc w:val="center"/>
        </w:trPr>
        <w:tc>
          <w:tcPr>
            <w:tcW w:w="1280" w:type="dxa"/>
            <w:shd w:val="clear" w:color="auto" w:fill="D9D9D9" w:themeFill="background1" w:themeFillShade="D9"/>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Terrestrial</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0.09733</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0.1677</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0.001367</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0.03997</w:t>
            </w:r>
          </w:p>
        </w:tc>
        <w:tc>
          <w:tcPr>
            <w:tcW w:w="960" w:type="dxa"/>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0.7353</w:t>
            </w:r>
          </w:p>
        </w:tc>
      </w:tr>
      <w:tr w:rsidR="00523DD9" w:rsidRPr="006C7534" w:rsidTr="00E611FE">
        <w:trPr>
          <w:trHeight w:val="300"/>
          <w:jc w:val="center"/>
        </w:trPr>
        <w:tc>
          <w:tcPr>
            <w:tcW w:w="1280" w:type="dxa"/>
            <w:shd w:val="clear" w:color="auto" w:fill="auto"/>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Aquatic</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0.05948</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0.06798</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0.001413</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0.0387</w:t>
            </w:r>
          </w:p>
        </w:tc>
        <w:tc>
          <w:tcPr>
            <w:tcW w:w="960" w:type="dxa"/>
            <w:shd w:val="clear" w:color="auto" w:fill="auto"/>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0.243</w:t>
            </w:r>
          </w:p>
        </w:tc>
      </w:tr>
      <w:tr w:rsidR="00523DD9" w:rsidRPr="006C7534" w:rsidTr="00E611FE">
        <w:trPr>
          <w:trHeight w:val="300"/>
          <w:jc w:val="center"/>
        </w:trPr>
        <w:tc>
          <w:tcPr>
            <w:tcW w:w="1280" w:type="dxa"/>
            <w:tcBorders>
              <w:bottom w:val="single" w:sz="4" w:space="0" w:color="auto"/>
            </w:tcBorders>
            <w:shd w:val="clear" w:color="auto" w:fill="D9D9D9" w:themeFill="background1" w:themeFillShade="D9"/>
            <w:noWrap/>
            <w:vAlign w:val="bottom"/>
            <w:hideMark/>
          </w:tcPr>
          <w:p w:rsidR="00523DD9" w:rsidRPr="006C7534" w:rsidRDefault="00523DD9" w:rsidP="00E611FE">
            <w:pPr>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Plants</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0.8432</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0.1767</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0.204</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0.8994</w:t>
            </w:r>
          </w:p>
        </w:tc>
        <w:tc>
          <w:tcPr>
            <w:tcW w:w="960" w:type="dxa"/>
            <w:tcBorders>
              <w:bottom w:val="single" w:sz="4" w:space="0" w:color="auto"/>
            </w:tcBorders>
            <w:shd w:val="clear" w:color="auto" w:fill="D9D9D9" w:themeFill="background1" w:themeFillShade="D9"/>
            <w:vAlign w:val="bottom"/>
            <w:hideMark/>
          </w:tcPr>
          <w:p w:rsidR="00523DD9" w:rsidRPr="006C7534" w:rsidRDefault="00523DD9" w:rsidP="00E611FE">
            <w:pPr>
              <w:jc w:val="right"/>
              <w:rPr>
                <w:rFonts w:ascii="Arial" w:eastAsia="Times New Roman" w:hAnsi="Arial" w:cs="Arial"/>
                <w:color w:val="000000"/>
                <w:sz w:val="20"/>
                <w:szCs w:val="20"/>
                <w:lang w:eastAsia="en-GB"/>
              </w:rPr>
            </w:pPr>
            <w:r w:rsidRPr="006C7534">
              <w:rPr>
                <w:rFonts w:ascii="Arial" w:eastAsia="Times New Roman" w:hAnsi="Arial" w:cs="Arial"/>
                <w:color w:val="000000"/>
                <w:sz w:val="20"/>
                <w:szCs w:val="20"/>
                <w:lang w:eastAsia="en-GB"/>
              </w:rPr>
              <w:t>0.9848</w:t>
            </w:r>
          </w:p>
        </w:tc>
      </w:tr>
    </w:tbl>
    <w:p w:rsidR="00523DD9" w:rsidRDefault="00523DD9" w:rsidP="00F8568C">
      <w:pPr>
        <w:rPr>
          <w:b/>
        </w:rPr>
      </w:pPr>
    </w:p>
    <w:p w:rsidR="007C7173" w:rsidRDefault="007C7173" w:rsidP="00F8568C">
      <w:pPr>
        <w:rPr>
          <w:b/>
        </w:rPr>
      </w:pPr>
    </w:p>
    <w:p w:rsidR="00AC2459" w:rsidRDefault="004369D5" w:rsidP="00F8568C">
      <w:pPr>
        <w:rPr>
          <w:b/>
        </w:rPr>
      </w:pPr>
      <w:r>
        <w:rPr>
          <w:b/>
        </w:rPr>
        <w:t xml:space="preserve">5. </w:t>
      </w:r>
      <w:r w:rsidR="00F8568C">
        <w:rPr>
          <w:b/>
        </w:rPr>
        <w:t>Discussion</w:t>
      </w:r>
      <w:r w:rsidR="006E0FAE">
        <w:rPr>
          <w:b/>
        </w:rPr>
        <w:t xml:space="preserve"> and conclusion</w:t>
      </w:r>
      <w:r>
        <w:rPr>
          <w:b/>
        </w:rPr>
        <w:t>s</w:t>
      </w:r>
      <w:r w:rsidR="00F8568C">
        <w:rPr>
          <w:b/>
        </w:rPr>
        <w:t xml:space="preserve"> </w:t>
      </w:r>
    </w:p>
    <w:p w:rsidR="0005750C" w:rsidRDefault="004369D5" w:rsidP="00CD6E18">
      <w:r>
        <w:t>The results of the analysis and discussion above, suggest more variability in dietary protein source</w:t>
      </w:r>
      <w:r w:rsidR="004A3CB0">
        <w:t>s</w:t>
      </w:r>
      <w:r>
        <w:t xml:space="preserve"> in the Mesolithic when compared with the Neolithic. </w:t>
      </w:r>
      <w:r w:rsidR="000F472B">
        <w:t>For</w:t>
      </w:r>
      <w:r w:rsidR="00396A04">
        <w:t xml:space="preserve"> the sexed burials there was a large</w:t>
      </w:r>
      <w:r w:rsidR="000F472B">
        <w:t>r</w:t>
      </w:r>
      <w:r w:rsidR="00396A04">
        <w:t xml:space="preserve"> gap in average </w:t>
      </w:r>
      <w:r w:rsidR="00396A04">
        <w:rPr>
          <w:rFonts w:cs="Times New Roman"/>
        </w:rPr>
        <w:t>δ</w:t>
      </w:r>
      <w:r w:rsidR="00396A04" w:rsidRPr="000972BF">
        <w:rPr>
          <w:rFonts w:cs="Times New Roman"/>
          <w:vertAlign w:val="superscript"/>
        </w:rPr>
        <w:t>15</w:t>
      </w:r>
      <w:r w:rsidR="00396A04" w:rsidRPr="00D124B1">
        <w:rPr>
          <w:rFonts w:cs="Times New Roman"/>
        </w:rPr>
        <w:t>N</w:t>
      </w:r>
      <w:r w:rsidR="00396A04">
        <w:rPr>
          <w:rFonts w:cs="Times New Roman"/>
        </w:rPr>
        <w:t xml:space="preserve"> </w:t>
      </w:r>
      <w:r w:rsidR="00353100">
        <w:rPr>
          <w:rFonts w:cs="Times New Roman"/>
        </w:rPr>
        <w:t>isotope ratios</w:t>
      </w:r>
      <w:r w:rsidR="00396A04">
        <w:rPr>
          <w:rFonts w:cs="Times New Roman"/>
        </w:rPr>
        <w:t xml:space="preserve"> between females and males in the Mesolithic than in the Neolithic (compare tables 1 and 2; though low </w:t>
      </w:r>
      <w:r w:rsidR="006C6AED">
        <w:rPr>
          <w:rFonts w:cs="Times New Roman"/>
        </w:rPr>
        <w:t>numbers</w:t>
      </w:r>
      <w:r w:rsidR="00396A04">
        <w:rPr>
          <w:rFonts w:cs="Times New Roman"/>
        </w:rPr>
        <w:t xml:space="preserve"> of sexed burials in the Mesolithic urge caution in interpreting the data). </w:t>
      </w:r>
      <w:r w:rsidR="00E56860">
        <w:rPr>
          <w:rFonts w:cs="Times New Roman"/>
        </w:rPr>
        <w:t>The change in diet is also associated with a drop</w:t>
      </w:r>
      <w:r w:rsidR="00E647D6">
        <w:rPr>
          <w:rFonts w:cs="Times New Roman"/>
        </w:rPr>
        <w:t xml:space="preserve"> in</w:t>
      </w:r>
      <w:r w:rsidR="00E56860">
        <w:rPr>
          <w:rFonts w:cs="Times New Roman"/>
        </w:rPr>
        <w:t>, but not complete abandonment of</w:t>
      </w:r>
      <w:r w:rsidR="00E647D6">
        <w:rPr>
          <w:rFonts w:cs="Times New Roman"/>
        </w:rPr>
        <w:t>,</w:t>
      </w:r>
      <w:r w:rsidR="00E56860">
        <w:rPr>
          <w:rFonts w:cs="Times New Roman"/>
        </w:rPr>
        <w:t xml:space="preserve"> freshwater </w:t>
      </w:r>
      <w:r w:rsidR="003C0135">
        <w:rPr>
          <w:rFonts w:cs="Times New Roman"/>
        </w:rPr>
        <w:t>resource</w:t>
      </w:r>
      <w:r w:rsidR="00E56860">
        <w:rPr>
          <w:rFonts w:cs="Times New Roman"/>
        </w:rPr>
        <w:t xml:space="preserve"> </w:t>
      </w:r>
      <w:r w:rsidR="00E647D6">
        <w:rPr>
          <w:rFonts w:cs="Times New Roman"/>
        </w:rPr>
        <w:t xml:space="preserve">consumption </w:t>
      </w:r>
      <w:r w:rsidR="00E56860">
        <w:rPr>
          <w:rFonts w:cs="Times New Roman"/>
        </w:rPr>
        <w:t>in the central European Neolithic diet</w:t>
      </w:r>
      <w:r w:rsidR="006C6AED">
        <w:rPr>
          <w:rFonts w:cs="Times New Roman"/>
        </w:rPr>
        <w:t xml:space="preserve"> </w:t>
      </w:r>
      <w:r w:rsidR="00C224D0">
        <w:rPr>
          <w:rFonts w:cs="Times New Roman"/>
        </w:rPr>
        <w:t>(</w:t>
      </w:r>
      <w:r w:rsidR="006C6AED">
        <w:rPr>
          <w:rFonts w:cs="Times New Roman"/>
        </w:rPr>
        <w:t>on the basis of the FRUITS model</w:t>
      </w:r>
      <w:r w:rsidR="00C224D0">
        <w:rPr>
          <w:rFonts w:cs="Times New Roman"/>
        </w:rPr>
        <w:t>)</w:t>
      </w:r>
      <w:r w:rsidR="00E56860">
        <w:rPr>
          <w:rFonts w:cs="Times New Roman"/>
        </w:rPr>
        <w:t xml:space="preserve">. </w:t>
      </w:r>
      <w:r w:rsidR="00CD6E18">
        <w:t xml:space="preserve">At the early Neolithic cemetery site of Vedrovice, Czech Republic, the population had an average </w:t>
      </w:r>
      <w:r w:rsidR="00E56860">
        <w:t>δ</w:t>
      </w:r>
      <w:r w:rsidR="00E56860" w:rsidRPr="00E56860">
        <w:rPr>
          <w:vertAlign w:val="superscript"/>
        </w:rPr>
        <w:t>34</w:t>
      </w:r>
      <w:r w:rsidR="00E56860">
        <w:t>S</w:t>
      </w:r>
      <w:r w:rsidR="00CD6E18">
        <w:t xml:space="preserve"> isotope </w:t>
      </w:r>
      <w:r w:rsidR="00353100">
        <w:t>ratio</w:t>
      </w:r>
      <w:r w:rsidR="00CD6E18">
        <w:t xml:space="preserve"> of 0, with a range of -2 to +2 (</w:t>
      </w:r>
      <w:r w:rsidR="00E56860">
        <w:t xml:space="preserve">Richards </w:t>
      </w:r>
      <w:r w:rsidR="00E56860">
        <w:rPr>
          <w:i/>
        </w:rPr>
        <w:t>et al</w:t>
      </w:r>
      <w:r w:rsidR="00E56860">
        <w:t>. 2008, 189</w:t>
      </w:r>
      <w:r w:rsidR="00CD6E18">
        <w:t xml:space="preserve">), but without comparable </w:t>
      </w:r>
      <w:r w:rsidR="00E56860">
        <w:t>δ</w:t>
      </w:r>
      <w:r w:rsidR="00E56860" w:rsidRPr="00E56860">
        <w:rPr>
          <w:vertAlign w:val="superscript"/>
        </w:rPr>
        <w:t>34</w:t>
      </w:r>
      <w:r w:rsidR="00E56860">
        <w:t xml:space="preserve">S </w:t>
      </w:r>
      <w:r w:rsidR="00353100">
        <w:t>isotope ratios</w:t>
      </w:r>
      <w:r w:rsidR="00E56860">
        <w:t xml:space="preserve"> </w:t>
      </w:r>
      <w:r w:rsidR="00CD6E18">
        <w:t xml:space="preserve">from </w:t>
      </w:r>
      <w:r w:rsidR="00E647D6">
        <w:t xml:space="preserve">local </w:t>
      </w:r>
      <w:r w:rsidR="00CD6E18">
        <w:t xml:space="preserve">fish it is hard to interpret the extent of freshwater </w:t>
      </w:r>
      <w:r w:rsidR="00C936C8">
        <w:t>resource</w:t>
      </w:r>
      <w:r w:rsidR="00CD6E18">
        <w:t xml:space="preserve"> consumption th</w:t>
      </w:r>
      <w:r w:rsidR="00C936C8">
        <w:t>ese data indicate</w:t>
      </w:r>
      <w:r w:rsidR="00CD6E18">
        <w:t xml:space="preserve">. In central Germany, Nehlich </w:t>
      </w:r>
      <w:r w:rsidR="00CD6E18">
        <w:rPr>
          <w:i/>
        </w:rPr>
        <w:t>et al</w:t>
      </w:r>
      <w:r w:rsidR="00CD6E18">
        <w:t xml:space="preserve">. (2014, 22) suggest only limited freshwater fish consumption on the basis of their results from a series of Neolithic sites, though this is raised as a possibility for a series of outliers with both high </w:t>
      </w:r>
      <w:r w:rsidR="00E56860">
        <w:t>δ</w:t>
      </w:r>
      <w:r w:rsidR="00E56860" w:rsidRPr="00E56860">
        <w:rPr>
          <w:vertAlign w:val="superscript"/>
        </w:rPr>
        <w:t>34</w:t>
      </w:r>
      <w:r w:rsidR="00E56860">
        <w:t>S</w:t>
      </w:r>
      <w:r w:rsidR="00CD6E18">
        <w:t xml:space="preserve"> and </w:t>
      </w:r>
      <w:r w:rsidR="00E56860">
        <w:t>δ</w:t>
      </w:r>
      <w:r w:rsidR="00CD6E18" w:rsidRPr="00E56860">
        <w:rPr>
          <w:vertAlign w:val="superscript"/>
        </w:rPr>
        <w:t>15</w:t>
      </w:r>
      <w:r w:rsidR="00CD6E18">
        <w:t>N</w:t>
      </w:r>
      <w:r w:rsidR="00353100">
        <w:t xml:space="preserve"> isotope ratios</w:t>
      </w:r>
      <w:r w:rsidR="00CD6E18">
        <w:t>. The results here, in contrast, suggest that</w:t>
      </w:r>
      <w:r w:rsidR="00E56860">
        <w:t xml:space="preserve"> </w:t>
      </w:r>
      <w:r w:rsidR="00041512">
        <w:t>low-level</w:t>
      </w:r>
      <w:r w:rsidR="00E56860">
        <w:t xml:space="preserve"> fish consumption </w:t>
      </w:r>
      <w:r w:rsidR="00041512">
        <w:t xml:space="preserve">was found </w:t>
      </w:r>
      <w:r w:rsidR="00E56860">
        <w:t>in the LBK.</w:t>
      </w:r>
      <w:r w:rsidR="00CD6E18">
        <w:t xml:space="preserve"> </w:t>
      </w:r>
      <w:r w:rsidR="0005750C">
        <w:t xml:space="preserve">Interestingly, in Belgium, the relative contribution of aquatic resources to the total dietary protein consumed increases again in the </w:t>
      </w:r>
      <w:r w:rsidR="00674275">
        <w:t>M</w:t>
      </w:r>
      <w:r w:rsidR="0005750C">
        <w:t xml:space="preserve">iddle Neolithic (Bocherens </w:t>
      </w:r>
      <w:r w:rsidR="0005750C">
        <w:rPr>
          <w:i/>
        </w:rPr>
        <w:t>et al</w:t>
      </w:r>
      <w:r w:rsidR="0005750C">
        <w:t xml:space="preserve">. 2007), but there </w:t>
      </w:r>
      <w:r w:rsidR="006717C9">
        <w:t>are no human stable isotope data</w:t>
      </w:r>
      <w:r w:rsidR="0005750C">
        <w:t xml:space="preserve"> from the LBK in this region, as few human remains have been </w:t>
      </w:r>
      <w:r w:rsidR="000F472B">
        <w:t>preserved</w:t>
      </w:r>
      <w:r w:rsidR="0005750C">
        <w:t xml:space="preserve">. </w:t>
      </w:r>
      <w:r w:rsidR="006717C9">
        <w:t>It is tempting to connect the increase in aquatic resou</w:t>
      </w:r>
      <w:r w:rsidR="00674275">
        <w:t xml:space="preserve">rces </w:t>
      </w:r>
      <w:r w:rsidR="000F472B">
        <w:t xml:space="preserve">after the LBK </w:t>
      </w:r>
      <w:r w:rsidR="00674275">
        <w:t>with the resurgence of the mitochondrial haplogroup U, which is present in pre-farming central Europe and thus identified as denoting hunter-gatherer ancestry (Bollogino 2013).</w:t>
      </w:r>
      <w:r w:rsidR="000F472B">
        <w:t xml:space="preserve"> This is potentially a Europe</w:t>
      </w:r>
      <w:r w:rsidR="00674275">
        <w:t xml:space="preserve">-wide phenomenon, with hunter-gatherer ancestry of the population </w:t>
      </w:r>
      <w:r w:rsidR="000F472B">
        <w:t>increasing</w:t>
      </w:r>
      <w:r w:rsidR="00674275">
        <w:t xml:space="preserve"> from 4-5% in the LBK to 17% in the Middle Neolithic (Lipson </w:t>
      </w:r>
      <w:r w:rsidR="00674275">
        <w:rPr>
          <w:i/>
        </w:rPr>
        <w:t>et al</w:t>
      </w:r>
      <w:r w:rsidR="00674275">
        <w:t>. 2018).</w:t>
      </w:r>
      <w:r w:rsidR="000F472B">
        <w:t xml:space="preserve"> During the Late Neolithic at Blätterhöle (Hagen, Germany), individuals with the U haplogroup had more aquatic resources in their diet than those with haplogroups denoting farming an</w:t>
      </w:r>
      <w:r w:rsidR="00C224D0">
        <w:t>cestry, in fact</w:t>
      </w:r>
      <w:r w:rsidR="001149A1">
        <w:t>,</w:t>
      </w:r>
      <w:r w:rsidR="00C224D0">
        <w:t xml:space="preserve"> the two groups </w:t>
      </w:r>
      <w:r w:rsidR="001149A1">
        <w:t xml:space="preserve">had two isotopically </w:t>
      </w:r>
      <w:r w:rsidR="000F472B">
        <w:t xml:space="preserve">distinct diets (Bollogino 2013, 481). </w:t>
      </w:r>
      <w:r w:rsidR="001149A1">
        <w:t>In contrast, the analysis presented here suggests that</w:t>
      </w:r>
      <w:r w:rsidR="00C224D0">
        <w:t xml:space="preserve"> central European</w:t>
      </w:r>
      <w:r w:rsidR="001149A1">
        <w:t xml:space="preserve"> Mesolithic and </w:t>
      </w:r>
      <w:r w:rsidR="00C224D0">
        <w:t xml:space="preserve">early Neolithic </w:t>
      </w:r>
      <w:r w:rsidR="001149A1">
        <w:t xml:space="preserve">groups </w:t>
      </w:r>
      <w:r w:rsidR="00C224D0">
        <w:t>were</w:t>
      </w:r>
      <w:r w:rsidR="00841F94">
        <w:t xml:space="preserve"> neither exclusive populations nor </w:t>
      </w:r>
      <w:r w:rsidR="00C224D0">
        <w:t xml:space="preserve">ate exclusive </w:t>
      </w:r>
      <w:r w:rsidR="00841F94">
        <w:t xml:space="preserve">diets. Rather, </w:t>
      </w:r>
      <w:r w:rsidR="001149A1">
        <w:t>the reduction in isotopic variability with the introduction of farming</w:t>
      </w:r>
      <w:r w:rsidR="00841F94">
        <w:t xml:space="preserve"> may indicate that shared dietary practices were a strong part of community cohesion</w:t>
      </w:r>
      <w:r w:rsidR="001149A1">
        <w:t xml:space="preserve"> for early agricultural communities</w:t>
      </w:r>
      <w:r w:rsidR="00841F94">
        <w:t xml:space="preserve">.   </w:t>
      </w:r>
      <w:r w:rsidR="000F472B">
        <w:t xml:space="preserve"> </w:t>
      </w:r>
    </w:p>
    <w:p w:rsidR="0005750C" w:rsidRDefault="0005750C" w:rsidP="00CD6E18"/>
    <w:p w:rsidR="00E00882" w:rsidRDefault="00E56860" w:rsidP="00CD6E18">
      <w:r>
        <w:t>The</w:t>
      </w:r>
      <w:r w:rsidR="00877A6A">
        <w:t xml:space="preserve"> FRUITS</w:t>
      </w:r>
      <w:r>
        <w:t xml:space="preserve"> dietary models also suggest that</w:t>
      </w:r>
      <w:r w:rsidR="00877A6A">
        <w:t xml:space="preserve"> the introduction of</w:t>
      </w:r>
      <w:r w:rsidR="00E414AB">
        <w:t xml:space="preserve"> cereals</w:t>
      </w:r>
      <w:r w:rsidR="00877A6A">
        <w:t xml:space="preserve"> may have</w:t>
      </w:r>
      <w:r w:rsidR="00E414AB">
        <w:t xml:space="preserve"> increased </w:t>
      </w:r>
      <w:r w:rsidR="00FC1B99">
        <w:t>the</w:t>
      </w:r>
      <w:r w:rsidR="00E414AB">
        <w:t xml:space="preserve"> </w:t>
      </w:r>
      <w:r w:rsidR="00353100">
        <w:t xml:space="preserve">proportion </w:t>
      </w:r>
      <w:r w:rsidR="00FC1B99">
        <w:t>of plant</w:t>
      </w:r>
      <w:r w:rsidR="00353100">
        <w:t xml:space="preserve"> protein</w:t>
      </w:r>
      <w:r w:rsidR="00FC1B99">
        <w:t xml:space="preserve"> </w:t>
      </w:r>
      <w:r w:rsidR="00E414AB">
        <w:t xml:space="preserve">in the diet between the Mesolithic and Neolithic, lending support to Fraser </w:t>
      </w:r>
      <w:r w:rsidR="00E414AB">
        <w:rPr>
          <w:i/>
        </w:rPr>
        <w:t>et al</w:t>
      </w:r>
      <w:r w:rsidR="00E414AB">
        <w:t>.</w:t>
      </w:r>
      <w:r w:rsidR="00877A6A">
        <w:t>’s</w:t>
      </w:r>
      <w:r w:rsidR="00E414AB">
        <w:t xml:space="preserve"> (2013; see also Oelze </w:t>
      </w:r>
      <w:r w:rsidR="00E414AB">
        <w:rPr>
          <w:i/>
        </w:rPr>
        <w:t>et al</w:t>
      </w:r>
      <w:r w:rsidR="00E414AB">
        <w:t xml:space="preserve">. 2011) argument that manured crops probably formed the dominant protein source in the Neolithic. </w:t>
      </w:r>
      <w:r w:rsidR="00041512">
        <w:t xml:space="preserve">This </w:t>
      </w:r>
      <w:r w:rsidR="00877A6A">
        <w:t>chimes with</w:t>
      </w:r>
      <w:r w:rsidR="00356CB9">
        <w:t xml:space="preserve"> </w:t>
      </w:r>
      <w:r w:rsidR="00041512">
        <w:t>Marciniak</w:t>
      </w:r>
      <w:r w:rsidR="00877A6A">
        <w:t>’s</w:t>
      </w:r>
      <w:r w:rsidR="00041512">
        <w:t xml:space="preserve"> (2005)</w:t>
      </w:r>
      <w:r w:rsidR="00877A6A">
        <w:t xml:space="preserve"> proposal</w:t>
      </w:r>
      <w:r w:rsidR="00041512">
        <w:t xml:space="preserve"> that animal meat was not part of the daily diet in the Neolithic, but </w:t>
      </w:r>
      <w:r w:rsidR="008F58CF">
        <w:t xml:space="preserve">rather consumed </w:t>
      </w:r>
      <w:r w:rsidR="00877A6A">
        <w:t>at</w:t>
      </w:r>
      <w:r w:rsidR="008F58CF">
        <w:t xml:space="preserve"> </w:t>
      </w:r>
      <w:r w:rsidR="00877A6A">
        <w:t xml:space="preserve">intermittent </w:t>
      </w:r>
      <w:r w:rsidR="00041512">
        <w:t>feasting</w:t>
      </w:r>
      <w:r w:rsidR="008F58CF">
        <w:t xml:space="preserve"> events</w:t>
      </w:r>
      <w:r w:rsidR="00FC1B99">
        <w:t xml:space="preserve"> (see also Bickle 2016).</w:t>
      </w:r>
      <w:r w:rsidR="0005750C">
        <w:t xml:space="preserve"> </w:t>
      </w:r>
      <w:r w:rsidR="00041512">
        <w:t xml:space="preserve">Overall, the analysis here suggests that </w:t>
      </w:r>
      <w:r w:rsidR="00877A6A">
        <w:t xml:space="preserve">the </w:t>
      </w:r>
      <w:r w:rsidR="00041512">
        <w:t>difference</w:t>
      </w:r>
      <w:r w:rsidR="003934E7">
        <w:t>s</w:t>
      </w:r>
      <w:r w:rsidR="00041512">
        <w:t xml:space="preserve"> in </w:t>
      </w:r>
      <w:r w:rsidR="00041512" w:rsidRPr="003C0A13">
        <w:rPr>
          <w:i/>
        </w:rPr>
        <w:t>consumption</w:t>
      </w:r>
      <w:r w:rsidR="00041512">
        <w:t xml:space="preserve"> of </w:t>
      </w:r>
      <w:r w:rsidR="003934E7">
        <w:t>faunal protein</w:t>
      </w:r>
      <w:r w:rsidR="00041512">
        <w:t xml:space="preserve"> </w:t>
      </w:r>
      <w:r w:rsidR="00C105C5">
        <w:t xml:space="preserve">(both terrestrial and </w:t>
      </w:r>
      <w:r w:rsidR="00C224D0">
        <w:t>freshwater</w:t>
      </w:r>
      <w:r w:rsidR="00C105C5">
        <w:t xml:space="preserve">) </w:t>
      </w:r>
      <w:r w:rsidR="00041512">
        <w:t>between the Mesolithic and Neolithic</w:t>
      </w:r>
      <w:r w:rsidR="004A3CB0">
        <w:t xml:space="preserve"> in central Europe</w:t>
      </w:r>
      <w:r w:rsidR="00C404FA">
        <w:t xml:space="preserve"> </w:t>
      </w:r>
      <w:r w:rsidR="00877A6A">
        <w:t>were less distinctive than</w:t>
      </w:r>
      <w:r w:rsidR="004A3CB0">
        <w:t xml:space="preserve"> </w:t>
      </w:r>
      <w:r w:rsidR="00877A6A">
        <w:t xml:space="preserve">those associated with </w:t>
      </w:r>
      <w:r w:rsidR="004A3CB0">
        <w:t xml:space="preserve">plant </w:t>
      </w:r>
      <w:r w:rsidR="003934E7">
        <w:t xml:space="preserve">protein </w:t>
      </w:r>
      <w:r w:rsidR="004A3CB0" w:rsidRPr="003C0A13">
        <w:lastRenderedPageBreak/>
        <w:t>consumption</w:t>
      </w:r>
      <w:r w:rsidR="00E47F92" w:rsidRPr="003C0A13">
        <w:t>.</w:t>
      </w:r>
      <w:r w:rsidR="00E47F92">
        <w:t xml:space="preserve"> This </w:t>
      </w:r>
      <w:r w:rsidR="004D7D09">
        <w:t xml:space="preserve">necessarily tentative </w:t>
      </w:r>
      <w:r w:rsidR="00E47F92">
        <w:t xml:space="preserve">conclusion </w:t>
      </w:r>
      <w:r w:rsidR="003C0A13">
        <w:t>should not be confused with changes in subsistence practices, in which the social implication</w:t>
      </w:r>
      <w:r w:rsidR="00C224D0">
        <w:t>s</w:t>
      </w:r>
      <w:r w:rsidR="003C0A13">
        <w:t xml:space="preserve"> of hunting versus herding or gathering versus growing could have been considerable</w:t>
      </w:r>
      <w:r w:rsidR="00C84E01" w:rsidRPr="00C84E01">
        <w:t xml:space="preserve">, but </w:t>
      </w:r>
      <w:r w:rsidR="00C224D0">
        <w:t>these conclusion</w:t>
      </w:r>
      <w:r w:rsidR="00353100">
        <w:t>s</w:t>
      </w:r>
      <w:r w:rsidR="00C224D0">
        <w:t xml:space="preserve"> do</w:t>
      </w:r>
      <w:r w:rsidR="00C84E01" w:rsidRPr="00C84E01">
        <w:t xml:space="preserve"> add further detail to our understanding of Neolithic </w:t>
      </w:r>
      <w:r w:rsidR="00C84E01">
        <w:t>‘</w:t>
      </w:r>
      <w:r w:rsidR="00C84E01" w:rsidRPr="00C84E01">
        <w:t>foodways</w:t>
      </w:r>
      <w:r w:rsidR="00C84E01">
        <w:t>’</w:t>
      </w:r>
      <w:r w:rsidR="00C84E01" w:rsidRPr="00C84E01">
        <w:t xml:space="preserve"> (</w:t>
      </w:r>
      <w:r w:rsidR="00C84E01" w:rsidRPr="004D7D09">
        <w:t>Schulting 2008</w:t>
      </w:r>
      <w:r w:rsidR="003C0A13" w:rsidRPr="004D7D09">
        <w:t>).</w:t>
      </w:r>
      <w:r w:rsidR="003C0A13">
        <w:t xml:space="preserve"> Previous</w:t>
      </w:r>
      <w:r w:rsidR="00E47F92">
        <w:t xml:space="preserve"> accounts of the transition in Europe, which envisaged greater continuity in the use of plant resources from the Mesolithic to the Neolithic (Zvelebil 1994, 64)</w:t>
      </w:r>
      <w:r w:rsidR="003C0A13">
        <w:t>, could now be revisited to consider how the change from gathering to growing impacted on the role plants played in the diet</w:t>
      </w:r>
      <w:r w:rsidR="00E47F92">
        <w:t xml:space="preserve">. </w:t>
      </w:r>
      <w:r w:rsidR="00C224D0">
        <w:t xml:space="preserve">There are </w:t>
      </w:r>
      <w:r w:rsidR="00C84E01">
        <w:t xml:space="preserve">limitations </w:t>
      </w:r>
      <w:r w:rsidR="00C224D0">
        <w:t xml:space="preserve">to the FRUITS models </w:t>
      </w:r>
      <w:r w:rsidR="00041512">
        <w:t xml:space="preserve">and further isotopic analysis of plants from both the Mesolithic and Neolithic periods would benefit the </w:t>
      </w:r>
      <w:r w:rsidR="003973F5">
        <w:t>reliability</w:t>
      </w:r>
      <w:r w:rsidR="00041512">
        <w:t xml:space="preserve"> of the conclusions.</w:t>
      </w:r>
      <w:r w:rsidR="00E47F92">
        <w:t xml:space="preserve"> </w:t>
      </w:r>
      <w:r w:rsidR="00C105C5">
        <w:t>While animals frequently play a large role in our interpretative accounts of the spread of farming and Neolithic social worlds (e.g. Whittle 20</w:t>
      </w:r>
      <w:r w:rsidR="008B0EC3">
        <w:t>0</w:t>
      </w:r>
      <w:r w:rsidR="00C105C5">
        <w:t xml:space="preserve">3), </w:t>
      </w:r>
      <w:r w:rsidR="0084507E">
        <w:t xml:space="preserve">despite notable exceptions, </w:t>
      </w:r>
      <w:r w:rsidR="00C105C5">
        <w:t>plants have had a more muted role. This discussion demonstrates that</w:t>
      </w:r>
      <w:r w:rsidR="00E00882">
        <w:t xml:space="preserve"> how plants were managed and consumed</w:t>
      </w:r>
      <w:r w:rsidR="0084507E">
        <w:t xml:space="preserve"> in the Neolithic deserves further attention from both the perspective of their place in the diet and how results from their analysis can be drawn into our interpretative accounts of the Mesolithic-Neolithic transition (Saul </w:t>
      </w:r>
      <w:r w:rsidR="0084507E">
        <w:rPr>
          <w:i/>
        </w:rPr>
        <w:t>et al</w:t>
      </w:r>
      <w:r w:rsidR="0084507E">
        <w:t>. 2014)</w:t>
      </w:r>
      <w:r w:rsidR="00E00882">
        <w:t xml:space="preserve">. </w:t>
      </w:r>
      <w:r w:rsidR="00C105C5">
        <w:t xml:space="preserve"> </w:t>
      </w:r>
    </w:p>
    <w:p w:rsidR="0084507E" w:rsidRDefault="0084507E" w:rsidP="00CD6E18"/>
    <w:p w:rsidR="00C404FA" w:rsidRPr="00C105C5" w:rsidRDefault="00C404FA" w:rsidP="00CD6E18">
      <w:r>
        <w:rPr>
          <w:b/>
        </w:rPr>
        <w:t>Appendices</w:t>
      </w:r>
    </w:p>
    <w:p w:rsidR="00C404FA" w:rsidRDefault="00C404FA" w:rsidP="00CD6E18">
      <w:r>
        <w:t>Appendix A: the Mesolithic human isotope data</w:t>
      </w:r>
      <w:r w:rsidR="003973F5">
        <w:t xml:space="preserve">. Age and sex reported as expressed in published literature. U=undetermined. </w:t>
      </w:r>
    </w:p>
    <w:p w:rsidR="00C404FA" w:rsidRDefault="00C404FA" w:rsidP="00CD6E18">
      <w:r>
        <w:t>Appendix B: the Neolithic human isotope data (all from Bickle and Whittle 2013)</w:t>
      </w:r>
      <w:r w:rsidR="003973F5">
        <w:t xml:space="preserve">. Age and sex reported as expressed in published literature. U=undetermined. </w:t>
      </w:r>
    </w:p>
    <w:p w:rsidR="00C404FA" w:rsidRDefault="00C404FA" w:rsidP="00CD6E18">
      <w:r>
        <w:t>Appendix C: the Mesolithic animal isotope data</w:t>
      </w:r>
    </w:p>
    <w:p w:rsidR="00C404FA" w:rsidRDefault="00C404FA" w:rsidP="00CD6E18">
      <w:r>
        <w:t xml:space="preserve">Appendix D: the Neolithic animal isotope data (all from Bickle and Whittle 2013, except the four fish </w:t>
      </w:r>
      <w:r w:rsidR="00353100">
        <w:t>isotope ratios</w:t>
      </w:r>
      <w:r>
        <w:t xml:space="preserve">, which are from </w:t>
      </w:r>
      <w:r w:rsidRPr="00C404FA">
        <w:t>Dürrwächter et al. 2006</w:t>
      </w:r>
      <w:r>
        <w:t>).</w:t>
      </w:r>
    </w:p>
    <w:p w:rsidR="00C404FA" w:rsidRDefault="00C404FA" w:rsidP="00CD6E18"/>
    <w:p w:rsidR="00CD6E18" w:rsidRPr="00C404FA" w:rsidRDefault="00C404FA" w:rsidP="00CD6E18">
      <w:pPr>
        <w:rPr>
          <w:b/>
        </w:rPr>
      </w:pPr>
      <w:r w:rsidRPr="00C404FA">
        <w:rPr>
          <w:b/>
        </w:rPr>
        <w:t>Acknowledgements</w:t>
      </w:r>
    </w:p>
    <w:p w:rsidR="00B968BD" w:rsidRPr="00C404FA" w:rsidRDefault="00C404FA">
      <w:r>
        <w:t xml:space="preserve">Many thanks to the collaborators on the </w:t>
      </w:r>
      <w:r>
        <w:rPr>
          <w:i/>
        </w:rPr>
        <w:t xml:space="preserve">LBK Lifeways </w:t>
      </w:r>
      <w:r>
        <w:t xml:space="preserve">project (2008–2012), particularly R. Alex Bentley, Linda Fibiger, Julie Hamilton, Robert Hedges, Daniela Hofmann and Alasdair Whittle. For a full list of collaborators and data, please see Bickle and Whittle 2013. </w:t>
      </w:r>
      <w:r w:rsidR="00877A6A">
        <w:t>I thank</w:t>
      </w:r>
      <w:r w:rsidR="00C224D0">
        <w:t xml:space="preserve"> the two anonymous reviewers for their insightful comments and suggestions</w:t>
      </w:r>
      <w:r w:rsidR="00877A6A">
        <w:t xml:space="preserve"> to improve the paper</w:t>
      </w:r>
      <w:r w:rsidR="00C224D0">
        <w:t>. The LBK lifeways project</w:t>
      </w:r>
      <w:r>
        <w:t xml:space="preserve"> was funded by the Arts and Humanities Research Council, UK</w:t>
      </w:r>
      <w:r w:rsidR="003C0135">
        <w:t xml:space="preserve"> (AH/F018126/1)</w:t>
      </w:r>
      <w:r w:rsidR="00C224D0">
        <w:t xml:space="preserve"> and the grant </w:t>
      </w:r>
      <w:r w:rsidR="00C224D0">
        <w:rPr>
          <w:i/>
        </w:rPr>
        <w:t xml:space="preserve">Counter Culture: Investigating Neolithic social </w:t>
      </w:r>
      <w:r w:rsidR="00C224D0" w:rsidRPr="00877A6A">
        <w:rPr>
          <w:i/>
        </w:rPr>
        <w:t>diversity</w:t>
      </w:r>
      <w:r w:rsidR="00877A6A" w:rsidRPr="00877A6A">
        <w:rPr>
          <w:i/>
        </w:rPr>
        <w:t xml:space="preserve"> </w:t>
      </w:r>
      <w:r w:rsidR="00877A6A" w:rsidRPr="00877A6A">
        <w:t>(</w:t>
      </w:r>
      <w:r w:rsidR="00877A6A" w:rsidRPr="00877A6A">
        <w:rPr>
          <w:rFonts w:cs="Arial"/>
          <w:color w:val="111111"/>
          <w:shd w:val="clear" w:color="auto" w:fill="FFFFFF"/>
        </w:rPr>
        <w:t>AH/R002622/1)</w:t>
      </w:r>
      <w:r w:rsidR="00877A6A">
        <w:rPr>
          <w:rFonts w:cs="Arial"/>
          <w:color w:val="111111"/>
          <w:shd w:val="clear" w:color="auto" w:fill="FFFFFF"/>
        </w:rPr>
        <w:t>, which facilitated the opportunity to get to grips with FRUITS</w:t>
      </w:r>
      <w:r w:rsidRPr="00877A6A">
        <w:t>.</w:t>
      </w:r>
      <w:r w:rsidR="00877A6A">
        <w:t xml:space="preserve"> </w:t>
      </w:r>
    </w:p>
    <w:p w:rsidR="00B968BD" w:rsidRDefault="00B968BD">
      <w:pPr>
        <w:rPr>
          <w:b/>
        </w:rPr>
      </w:pPr>
    </w:p>
    <w:p w:rsidR="00163196" w:rsidRPr="00AC0547" w:rsidRDefault="00163196" w:rsidP="00163196">
      <w:pPr>
        <w:rPr>
          <w:b/>
        </w:rPr>
      </w:pPr>
      <w:r w:rsidRPr="00AC0547">
        <w:rPr>
          <w:b/>
        </w:rPr>
        <w:t>References</w:t>
      </w:r>
    </w:p>
    <w:p w:rsidR="00163196" w:rsidRPr="005B7404" w:rsidRDefault="00163196" w:rsidP="00163196">
      <w:pPr>
        <w:ind w:left="720" w:hanging="720"/>
      </w:pPr>
      <w:r>
        <w:t xml:space="preserve">Audouze, F., Drucker, D.G. and Valentin, F. 2009. Nouvelles données chronologiques, biologiques et alimentaires sur l’enfant Mésolithique de Verberie–Le Buisson Campin (Oise). </w:t>
      </w:r>
      <w:r>
        <w:rPr>
          <w:i/>
        </w:rPr>
        <w:t xml:space="preserve">Bulletins et Mémoires de la Société d’Anthropologie de Paris </w:t>
      </w:r>
      <w:r>
        <w:t xml:space="preserve">21, 5–18. </w:t>
      </w:r>
    </w:p>
    <w:p w:rsidR="00163196" w:rsidRDefault="00163196" w:rsidP="00163196">
      <w:pPr>
        <w:rPr>
          <w:lang w:val="de-DE"/>
        </w:rPr>
      </w:pPr>
      <w:r w:rsidRPr="00ED2606">
        <w:rPr>
          <w:lang w:val="de-DE"/>
        </w:rPr>
        <w:t>Aufdermauer, J., Dieckmann, B. and Fritsch, B</w:t>
      </w:r>
      <w:r>
        <w:rPr>
          <w:lang w:val="de-DE"/>
        </w:rPr>
        <w:t>. 1986</w:t>
      </w:r>
      <w:r w:rsidRPr="00AD7AD1">
        <w:rPr>
          <w:lang w:val="de-DE"/>
        </w:rPr>
        <w:t>.</w:t>
      </w:r>
      <w:r w:rsidRPr="00ED2606">
        <w:rPr>
          <w:lang w:val="de-DE"/>
        </w:rPr>
        <w:t xml:space="preserve"> Die Untersuchungen in einer </w:t>
      </w:r>
    </w:p>
    <w:p w:rsidR="00163196" w:rsidRDefault="00163196" w:rsidP="00163196">
      <w:pPr>
        <w:ind w:firstLine="720"/>
        <w:rPr>
          <w:lang w:val="de-DE"/>
        </w:rPr>
      </w:pPr>
      <w:r w:rsidRPr="00ED2606">
        <w:rPr>
          <w:lang w:val="de-DE"/>
        </w:rPr>
        <w:t xml:space="preserve">bandkeramischen Siedlung bei Singen am Hohentweil, Kreis Konstanz. </w:t>
      </w:r>
    </w:p>
    <w:p w:rsidR="00163196" w:rsidRPr="003E032E" w:rsidRDefault="00163196" w:rsidP="00163196">
      <w:pPr>
        <w:ind w:firstLine="720"/>
        <w:rPr>
          <w:lang w:val="de-DE"/>
        </w:rPr>
      </w:pPr>
      <w:r w:rsidRPr="00CC0183">
        <w:rPr>
          <w:i/>
          <w:lang w:val="de-DE"/>
        </w:rPr>
        <w:t xml:space="preserve">Archäologische Ausgrabungen in Baden-Württemberg </w:t>
      </w:r>
      <w:r w:rsidRPr="007B15A0">
        <w:rPr>
          <w:i/>
          <w:lang w:val="de-DE"/>
        </w:rPr>
        <w:t>1985</w:t>
      </w:r>
      <w:r w:rsidRPr="00CC0183">
        <w:rPr>
          <w:lang w:val="de-DE"/>
        </w:rPr>
        <w:t>, 51–4.</w:t>
      </w:r>
    </w:p>
    <w:p w:rsidR="00163196" w:rsidRPr="00B80452" w:rsidRDefault="00163196" w:rsidP="00163196">
      <w:pPr>
        <w:ind w:left="720" w:hanging="720"/>
        <w:rPr>
          <w:lang w:val="de-DE"/>
        </w:rPr>
      </w:pPr>
      <w:r w:rsidRPr="00FF7F19">
        <w:rPr>
          <w:lang w:val="fr-FR"/>
        </w:rPr>
        <w:t xml:space="preserve">Behre, K.-E. 2007. </w:t>
      </w:r>
      <w:r w:rsidRPr="00ED2606">
        <w:t xml:space="preserve">Evidence for Mesolithic agriculture in and around central </w:t>
      </w:r>
      <w:smartTag w:uri="urn:schemas-microsoft-com:office:smarttags" w:element="place">
        <w:r w:rsidRPr="00ED2606">
          <w:t>Europe</w:t>
        </w:r>
      </w:smartTag>
      <w:r w:rsidRPr="00ED2606">
        <w:t xml:space="preserve">? </w:t>
      </w:r>
      <w:r w:rsidRPr="00CC0183">
        <w:rPr>
          <w:i/>
          <w:lang w:val="de-DE"/>
        </w:rPr>
        <w:t xml:space="preserve">Vegetation History and Archaeobotany </w:t>
      </w:r>
      <w:r w:rsidRPr="00CC0183">
        <w:rPr>
          <w:lang w:val="de-DE"/>
        </w:rPr>
        <w:t>16, 203–19.</w:t>
      </w:r>
    </w:p>
    <w:p w:rsidR="00163196" w:rsidRPr="00A93B97" w:rsidRDefault="00163196" w:rsidP="00163196">
      <w:pPr>
        <w:ind w:left="720" w:hanging="720"/>
      </w:pPr>
      <w:r>
        <w:t xml:space="preserve">Bickle, P. 2016. Capturing diversity in Neolithic diets. In L. Amkreutz, F. Haack, D. Hofmann and I. Van Wijk (eds), </w:t>
      </w:r>
      <w:r>
        <w:rPr>
          <w:i/>
        </w:rPr>
        <w:t>Something out the ordinary? Interpreting diversity in the early Neolithic Linearbandkeramik and beyond</w:t>
      </w:r>
      <w:r>
        <w:t>, 89–119. Newcastle Upon Tyne: Cambridge Scholars Publishing.</w:t>
      </w:r>
    </w:p>
    <w:p w:rsidR="00163196" w:rsidRPr="00D559A1" w:rsidRDefault="00163196" w:rsidP="00163196">
      <w:pPr>
        <w:ind w:left="720" w:hanging="720"/>
      </w:pPr>
      <w:r>
        <w:t xml:space="preserve">Bickle, P. and Hofmann, D. 2007. Moving on: </w:t>
      </w:r>
      <w:r w:rsidR="003C0135">
        <w:t>T</w:t>
      </w:r>
      <w:r>
        <w:t xml:space="preserve">he contribution of isotope studies to the early Neolithic of central Europe. </w:t>
      </w:r>
      <w:r>
        <w:rPr>
          <w:i/>
        </w:rPr>
        <w:t xml:space="preserve">Antiquity </w:t>
      </w:r>
      <w:r>
        <w:t>81, 1029–41.</w:t>
      </w:r>
    </w:p>
    <w:p w:rsidR="00163196" w:rsidRDefault="00163196" w:rsidP="00163196">
      <w:pPr>
        <w:ind w:left="720" w:hanging="720"/>
      </w:pPr>
      <w:r>
        <w:t xml:space="preserve">Bickle, P. and Whittle, A. </w:t>
      </w:r>
      <w:r w:rsidR="00AE7814">
        <w:t xml:space="preserve">(eds) </w:t>
      </w:r>
      <w:r>
        <w:t xml:space="preserve">2013. </w:t>
      </w:r>
      <w:r>
        <w:rPr>
          <w:i/>
        </w:rPr>
        <w:t>The first farmers of central Europe</w:t>
      </w:r>
      <w:r w:rsidRPr="00D559A1">
        <w:rPr>
          <w:i/>
        </w:rPr>
        <w:t xml:space="preserve">: Diversity </w:t>
      </w:r>
      <w:r>
        <w:rPr>
          <w:i/>
        </w:rPr>
        <w:t>in LBK lifeways</w:t>
      </w:r>
      <w:r>
        <w:t xml:space="preserve">. Oxford: Oxbow. </w:t>
      </w:r>
    </w:p>
    <w:p w:rsidR="00163196" w:rsidRPr="00A94692" w:rsidRDefault="00163196" w:rsidP="00163196">
      <w:pPr>
        <w:ind w:left="720" w:hanging="720"/>
      </w:pPr>
      <w:r>
        <w:lastRenderedPageBreak/>
        <w:t xml:space="preserve">Bocherens, H., Grupe, G., Mariotti, A. and Turban-Just, S. 1997. Molecular preservation and isotopy of Mesolithic human finds from the Ofnet cave (Bavaria, Germany). </w:t>
      </w:r>
      <w:r>
        <w:rPr>
          <w:i/>
        </w:rPr>
        <w:t xml:space="preserve">Anthropologischer Anzeiger </w:t>
      </w:r>
      <w:r>
        <w:t xml:space="preserve">55, 121–9. </w:t>
      </w:r>
    </w:p>
    <w:p w:rsidR="00163196" w:rsidRDefault="00163196" w:rsidP="00163196">
      <w:pPr>
        <w:ind w:left="720" w:hanging="720"/>
      </w:pPr>
      <w:r>
        <w:t xml:space="preserve">Bocherens, H., Polet, C. and Toussaint, M. 2007. Palaeodiet of Mesolithic and Neolithic populations of Meuse Basin (Belgium): </w:t>
      </w:r>
      <w:r w:rsidR="003C0135">
        <w:t>E</w:t>
      </w:r>
      <w:r>
        <w:t xml:space="preserve">vidence from stable isotopes. </w:t>
      </w:r>
      <w:r w:rsidRPr="00302D55">
        <w:rPr>
          <w:i/>
        </w:rPr>
        <w:t xml:space="preserve">Journal of Archaeological Science </w:t>
      </w:r>
      <w:r>
        <w:t>34, 10–27.</w:t>
      </w:r>
    </w:p>
    <w:p w:rsidR="00163196" w:rsidRDefault="00163196" w:rsidP="00163196">
      <w:pPr>
        <w:ind w:left="720" w:hanging="720"/>
      </w:pPr>
      <w:r w:rsidRPr="0041286A">
        <w:t xml:space="preserve">Bogaard, A., Heaton, T.H.E., Poulton, P., Merbach, I. 2007. The impact of manuring on nitrogen isotope ratios in cereals: </w:t>
      </w:r>
      <w:r w:rsidR="003C0135">
        <w:t>A</w:t>
      </w:r>
      <w:r w:rsidRPr="0041286A">
        <w:t xml:space="preserve">rchaeological implications for reconstruction of diet and crop management practices. </w:t>
      </w:r>
      <w:r w:rsidRPr="0041286A">
        <w:rPr>
          <w:i/>
        </w:rPr>
        <w:t>Journal of Archaeological Science</w:t>
      </w:r>
      <w:r w:rsidRPr="0041286A">
        <w:t xml:space="preserve"> 34</w:t>
      </w:r>
      <w:r>
        <w:t>,</w:t>
      </w:r>
      <w:r w:rsidRPr="0041286A">
        <w:t xml:space="preserve"> 335</w:t>
      </w:r>
      <w:r>
        <w:t>–</w:t>
      </w:r>
      <w:r w:rsidRPr="0041286A">
        <w:t>43.</w:t>
      </w:r>
    </w:p>
    <w:p w:rsidR="00163196" w:rsidRDefault="00163196" w:rsidP="00163196">
      <w:pPr>
        <w:ind w:left="720" w:hanging="720"/>
      </w:pPr>
      <w:r>
        <w:t xml:space="preserve">Bollongino, R., Nehlich, O., Richards, M.P., Orschiedt, J., Thomas, M.G., Sell, C., Fajkošová, Z., Powell, A. and Burger, J. 2013. 2000 Years of parallel societies in Stone Age Central Europe. </w:t>
      </w:r>
      <w:r w:rsidRPr="00302D55">
        <w:rPr>
          <w:i/>
        </w:rPr>
        <w:t>Science</w:t>
      </w:r>
      <w:r>
        <w:t xml:space="preserve"> 342, 479–481.</w:t>
      </w:r>
    </w:p>
    <w:p w:rsidR="00EA7B4F" w:rsidRPr="00EA7B4F" w:rsidRDefault="00EA7B4F" w:rsidP="00EA7B4F">
      <w:pPr>
        <w:ind w:left="720" w:hanging="720"/>
      </w:pPr>
      <w:r>
        <w:t xml:space="preserve">Boutton, T.W. 1991. Stable carbon isotope ratios of natural materials: II. Atmosphere, terrestrial, marine and freshwater environments. In Coleman, D.C. and Fry, B. (eds), </w:t>
      </w:r>
      <w:r>
        <w:rPr>
          <w:i/>
        </w:rPr>
        <w:t>Carbon isotope techniques</w:t>
      </w:r>
      <w:r>
        <w:t>, 173–185. San Diego: Academic Press.</w:t>
      </w:r>
    </w:p>
    <w:p w:rsidR="00EA7B4F" w:rsidRDefault="007D05FC" w:rsidP="00EA7B4F">
      <w:pPr>
        <w:ind w:left="720" w:hanging="720"/>
      </w:pPr>
      <w:r>
        <w:t>Box, G.E.P., 1979. Robustness in scientific model building. In R.L. Launer and G.N. Wilkinson (eds), Robustness in Statistics, 20</w:t>
      </w:r>
      <w:r w:rsidR="00EA7B4F">
        <w:t>1–36. New York: Academic Press.</w:t>
      </w:r>
    </w:p>
    <w:p w:rsidR="00163196" w:rsidRPr="00A93B97" w:rsidRDefault="00163196" w:rsidP="00163196">
      <w:pPr>
        <w:ind w:left="720" w:hanging="720"/>
      </w:pPr>
      <w:r>
        <w:t xml:space="preserve">Britton, K. 2017. A stable relationship: </w:t>
      </w:r>
      <w:r w:rsidR="003C0135">
        <w:t>I</w:t>
      </w:r>
      <w:r>
        <w:t xml:space="preserve">sotopes and bioarchaeology are in it for the long haul. </w:t>
      </w:r>
      <w:r>
        <w:rPr>
          <w:i/>
        </w:rPr>
        <w:t xml:space="preserve">Antiquity </w:t>
      </w:r>
      <w:r>
        <w:t>91, 853–</w:t>
      </w:r>
      <w:r w:rsidR="00EA7B4F">
        <w:t>8</w:t>
      </w:r>
      <w:r>
        <w:t>64.</w:t>
      </w:r>
      <w:r>
        <w:rPr>
          <w:i/>
        </w:rPr>
        <w:t xml:space="preserve"> </w:t>
      </w:r>
    </w:p>
    <w:p w:rsidR="00163196" w:rsidRPr="003E032E" w:rsidRDefault="00163196" w:rsidP="00163196">
      <w:pPr>
        <w:ind w:left="720" w:hanging="720"/>
      </w:pPr>
      <w:r>
        <w:t xml:space="preserve">Clavel, B. and Arbogast, R.-M. 2007. Fish exploitation from early Neolithic sites in northern France: the first data. In H. Hüster-Plogmann (ed.) </w:t>
      </w:r>
      <w:r>
        <w:rPr>
          <w:i/>
        </w:rPr>
        <w:t xml:space="preserve">The role of fish in ancient </w:t>
      </w:r>
      <w:r w:rsidRPr="003E032E">
        <w:rPr>
          <w:i/>
        </w:rPr>
        <w:t>time: Proceedings of the 13th Meeting of the ICAZ Fish Remains Working Group in October 4–9, Basel/Aug</w:t>
      </w:r>
      <w:r>
        <w:rPr>
          <w:i/>
        </w:rPr>
        <w:t>u</w:t>
      </w:r>
      <w:r w:rsidRPr="003E032E">
        <w:rPr>
          <w:i/>
        </w:rPr>
        <w:t>st, 2005</w:t>
      </w:r>
      <w:r>
        <w:t>, 85–9. Westfalen: Leidorf.</w:t>
      </w:r>
    </w:p>
    <w:p w:rsidR="00396A04" w:rsidRPr="00396A04" w:rsidRDefault="00396A04" w:rsidP="00163196">
      <w:pPr>
        <w:ind w:left="720" w:hanging="720"/>
      </w:pPr>
      <w:r w:rsidRPr="00396A04">
        <w:t xml:space="preserve">Denaire, A., Lefranc, P., Wahl, J., Bronk Ramsey, C., Dunbar, E., Goslar, T., Bayliss, A., Beavan, N., Bickle, P. &amp; Whittle, A. 2017. The cultural project: </w:t>
      </w:r>
      <w:r w:rsidR="003C0135">
        <w:t>F</w:t>
      </w:r>
      <w:r w:rsidRPr="00396A04">
        <w:t xml:space="preserve">ormal chronological modelling of the early and middle Neolithic sequence in Lower Alsace. </w:t>
      </w:r>
      <w:r w:rsidRPr="00396A04">
        <w:rPr>
          <w:i/>
        </w:rPr>
        <w:t>Journal of A</w:t>
      </w:r>
      <w:r>
        <w:rPr>
          <w:i/>
        </w:rPr>
        <w:t xml:space="preserve">rchaeological Method and Theory </w:t>
      </w:r>
      <w:r>
        <w:t>24, 1072–149.</w:t>
      </w:r>
    </w:p>
    <w:p w:rsidR="00163196" w:rsidRDefault="00163196" w:rsidP="00163196">
      <w:pPr>
        <w:ind w:left="720" w:hanging="720"/>
      </w:pPr>
      <w:r>
        <w:t xml:space="preserve">DeNiro, M.J. and Epstein, S. 1978. Influence of diet on the distribution of carbon </w:t>
      </w:r>
    </w:p>
    <w:p w:rsidR="00163196" w:rsidRDefault="00163196" w:rsidP="00163196">
      <w:pPr>
        <w:ind w:left="720" w:hanging="720"/>
      </w:pPr>
      <w:r>
        <w:tab/>
        <w:t xml:space="preserve">isotopes in animals. </w:t>
      </w:r>
      <w:r w:rsidRPr="00A93B97">
        <w:rPr>
          <w:i/>
        </w:rPr>
        <w:t>Geochimica et Cosmochimica Acta</w:t>
      </w:r>
      <w:r>
        <w:t xml:space="preserve">  42, 495–506. </w:t>
      </w:r>
    </w:p>
    <w:p w:rsidR="00163196" w:rsidRDefault="00163196" w:rsidP="00163196">
      <w:pPr>
        <w:ind w:left="720" w:hanging="720"/>
      </w:pPr>
      <w:r>
        <w:t xml:space="preserve">DeNiro, M.J. and Epstein, S. 1981. Influence of diet on the distribution of nitrogen </w:t>
      </w:r>
    </w:p>
    <w:p w:rsidR="00163196" w:rsidRDefault="00163196" w:rsidP="00163196">
      <w:pPr>
        <w:ind w:left="720" w:hanging="720"/>
      </w:pPr>
      <w:r>
        <w:tab/>
        <w:t xml:space="preserve">isotopes in animals. </w:t>
      </w:r>
      <w:r w:rsidRPr="00A93B97">
        <w:rPr>
          <w:i/>
        </w:rPr>
        <w:t>Geochimica et Cosmochimica Acta</w:t>
      </w:r>
      <w:r>
        <w:t xml:space="preserve"> 45, 341–51. </w:t>
      </w:r>
    </w:p>
    <w:p w:rsidR="00163196" w:rsidRPr="00604BBE" w:rsidRDefault="00163196" w:rsidP="00163196">
      <w:pPr>
        <w:ind w:left="720" w:hanging="720"/>
      </w:pPr>
      <w:r>
        <w:t xml:space="preserve">Drucker, D.G., Valentin, F., Thevenet, C., Mordant, D., Cottiaux, R., Delsate, D. and Van Neer, W. 2016. Aquatic resources in human diet in the Late Mesolithic in Northern France and Luxembourg: </w:t>
      </w:r>
      <w:r w:rsidR="003C0135">
        <w:t>I</w:t>
      </w:r>
      <w:r>
        <w:t xml:space="preserve">nsights from carbon, nitrogen and sulphur isotope ratios. </w:t>
      </w:r>
      <w:r>
        <w:rPr>
          <w:i/>
        </w:rPr>
        <w:t xml:space="preserve">Archaeological and Anthropological Sciences </w:t>
      </w:r>
      <w:r>
        <w:t>DOI 10.1007/s12520-016-0356-6</w:t>
      </w:r>
    </w:p>
    <w:p w:rsidR="00163196" w:rsidRDefault="00163196" w:rsidP="00163196">
      <w:pPr>
        <w:ind w:left="720" w:hanging="720"/>
        <w:rPr>
          <w:lang w:val="de-DE"/>
        </w:rPr>
      </w:pPr>
      <w:r w:rsidRPr="00ED2606">
        <w:t>Dürrwächte</w:t>
      </w:r>
      <w:r>
        <w:t>r, C., Craig, O.E., Collins, M.J., Burger, J. and Alt, K.</w:t>
      </w:r>
      <w:r w:rsidRPr="00ED2606">
        <w:t xml:space="preserve">W. 2006. Beyond the grave: </w:t>
      </w:r>
      <w:r w:rsidR="003C0135">
        <w:t>V</w:t>
      </w:r>
      <w:r w:rsidRPr="00ED2606">
        <w:t>ar</w:t>
      </w:r>
      <w:r>
        <w:t>iability in Neolithic diets in s</w:t>
      </w:r>
      <w:r w:rsidRPr="00ED2606">
        <w:t xml:space="preserve">outhern Germany. </w:t>
      </w:r>
      <w:r w:rsidRPr="00ED2606">
        <w:rPr>
          <w:i/>
          <w:lang w:val="de-DE"/>
        </w:rPr>
        <w:t xml:space="preserve">Journal of Archaeological Science </w:t>
      </w:r>
      <w:r w:rsidRPr="00ED2606">
        <w:rPr>
          <w:lang w:val="de-DE"/>
        </w:rPr>
        <w:t>33, 39–48.</w:t>
      </w:r>
    </w:p>
    <w:p w:rsidR="00DF4606" w:rsidRPr="00DF4606" w:rsidRDefault="00DF4606" w:rsidP="00163196">
      <w:pPr>
        <w:ind w:left="720" w:hanging="720"/>
      </w:pPr>
      <w:r>
        <w:t xml:space="preserve">Eriksson, G. 2004. Part-time farmers or hard-core sealers? Västerbjers studied by means of stable isotope analysis. </w:t>
      </w:r>
      <w:r>
        <w:rPr>
          <w:i/>
        </w:rPr>
        <w:t xml:space="preserve">Journal of Anthropological Archaeology </w:t>
      </w:r>
      <w:r>
        <w:t>23, 135–62.</w:t>
      </w:r>
    </w:p>
    <w:p w:rsidR="00163196" w:rsidRPr="00845919" w:rsidRDefault="00163196" w:rsidP="00163196">
      <w:pPr>
        <w:ind w:left="720" w:hanging="720"/>
      </w:pPr>
      <w:r>
        <w:t xml:space="preserve">Eriksson, G., Linderholm, A., Fornander, E., Kanstruo, M., Schoultz, P., Olofsson, H., Lidén, K. 2008. Same island, different diet: Culural evolution of food practice on Öland, Sweden, from the Mesolithic to the Roman period. </w:t>
      </w:r>
      <w:r>
        <w:rPr>
          <w:i/>
        </w:rPr>
        <w:t>Journal of Anthropological Archaeology</w:t>
      </w:r>
      <w:r>
        <w:t xml:space="preserve"> 27, 520-43. </w:t>
      </w:r>
    </w:p>
    <w:p w:rsidR="00163196" w:rsidRPr="00B80452" w:rsidRDefault="00163196" w:rsidP="00163196">
      <w:pPr>
        <w:ind w:left="720" w:hanging="720"/>
      </w:pPr>
      <w:r>
        <w:t xml:space="preserve">Fernandes, R., Millard, A.R., Brabec, M., Nadeau, M.-J. and Grootes, P. 2014. Food reconstruction using isotopic transferred signals (FRUITS): A bayesian model for diet reconstruction. </w:t>
      </w:r>
      <w:r>
        <w:rPr>
          <w:i/>
        </w:rPr>
        <w:t xml:space="preserve">PLOS One </w:t>
      </w:r>
      <w:r>
        <w:t>9, e87463.</w:t>
      </w:r>
    </w:p>
    <w:p w:rsidR="00163196" w:rsidRDefault="00163196" w:rsidP="00163196">
      <w:pPr>
        <w:ind w:left="720" w:hanging="720"/>
      </w:pPr>
      <w:r w:rsidRPr="00A20B7F">
        <w:t xml:space="preserve">Fraser, R., Bogaard, A., Heaton, T., Charles, M., Jones, G., Christensen, B.T., Halstead, P., Merbach, I., Poulton, P.R., Sparkes, D. and Styring, A. 2011. Manuring and stable nitrogen isotope ratios in cereals and pulses: </w:t>
      </w:r>
      <w:r w:rsidR="003C0135">
        <w:t>T</w:t>
      </w:r>
      <w:r w:rsidRPr="00A20B7F">
        <w:t xml:space="preserve">owards a new archaeobotanical approach to the inference of land use and dietary practices. </w:t>
      </w:r>
      <w:r w:rsidRPr="00A20B7F">
        <w:rPr>
          <w:i/>
        </w:rPr>
        <w:t>Journal of Archaeological Science</w:t>
      </w:r>
      <w:r>
        <w:t xml:space="preserve"> 38,</w:t>
      </w:r>
      <w:r w:rsidRPr="00A20B7F">
        <w:t xml:space="preserve"> 2790</w:t>
      </w:r>
      <w:r>
        <w:t>–</w:t>
      </w:r>
      <w:r w:rsidRPr="00A20B7F">
        <w:t>804.</w:t>
      </w:r>
    </w:p>
    <w:p w:rsidR="00163196" w:rsidRDefault="00163196" w:rsidP="00163196">
      <w:pPr>
        <w:ind w:left="720" w:hanging="720"/>
      </w:pPr>
      <w:r w:rsidRPr="00A20B7F">
        <w:lastRenderedPageBreak/>
        <w:t xml:space="preserve">Fraser, R.A., Bogaard, A., Schäfer, M., Arbogast, R.-M. and Heaton, T.H.E.H. 2013. Integrating botanical, faunal and human stable carbon and nitrogen isotope values to reconstruct land use and palaeodiet at LBK Vaihingen an der Enz, Baden-Württemberg. </w:t>
      </w:r>
      <w:r w:rsidRPr="00A20B7F">
        <w:rPr>
          <w:i/>
        </w:rPr>
        <w:t>World Archaeology</w:t>
      </w:r>
      <w:r>
        <w:t xml:space="preserve"> 45,</w:t>
      </w:r>
      <w:r w:rsidRPr="00A20B7F">
        <w:t xml:space="preserve"> 492</w:t>
      </w:r>
      <w:r>
        <w:t>–</w:t>
      </w:r>
      <w:r w:rsidRPr="00A20B7F">
        <w:t>517.</w:t>
      </w:r>
    </w:p>
    <w:p w:rsidR="00163196" w:rsidRPr="00CC0183" w:rsidRDefault="00163196" w:rsidP="00163196">
      <w:pPr>
        <w:ind w:left="720" w:hanging="720"/>
        <w:rPr>
          <w:lang w:val="de-DE"/>
        </w:rPr>
      </w:pPr>
      <w:r w:rsidRPr="00ED2606">
        <w:t>Gronenborn, D. 1999. Variations on a basic them</w:t>
      </w:r>
      <w:r>
        <w:t xml:space="preserve">e: </w:t>
      </w:r>
      <w:r w:rsidR="003C0135">
        <w:t>T</w:t>
      </w:r>
      <w:r>
        <w:t xml:space="preserve">he transition to farming in </w:t>
      </w:r>
      <w:r w:rsidRPr="00ED2606">
        <w:t xml:space="preserve">southern central Europe. </w:t>
      </w:r>
      <w:r w:rsidRPr="00CC0183">
        <w:rPr>
          <w:i/>
          <w:lang w:val="de-DE"/>
        </w:rPr>
        <w:t>Journal of World Prehistory</w:t>
      </w:r>
      <w:r w:rsidRPr="00CC0183">
        <w:rPr>
          <w:lang w:val="de-DE"/>
        </w:rPr>
        <w:t xml:space="preserve"> 13, 123–210. </w:t>
      </w:r>
    </w:p>
    <w:p w:rsidR="006C7534" w:rsidRPr="006C7534" w:rsidRDefault="006C7534" w:rsidP="00163196">
      <w:pPr>
        <w:ind w:left="720" w:hanging="720"/>
      </w:pPr>
      <w:r>
        <w:t xml:space="preserve">Hamilton, J., Hedges, R.E.M. and Robinson, M. 2009. Rooting for pigfruit: </w:t>
      </w:r>
      <w:r w:rsidR="003C0135">
        <w:t>P</w:t>
      </w:r>
      <w:r>
        <w:t xml:space="preserve">ig feeding in Neolithic and Iron Age Britain compared. </w:t>
      </w:r>
      <w:r>
        <w:rPr>
          <w:i/>
        </w:rPr>
        <w:t xml:space="preserve">Antiquity </w:t>
      </w:r>
      <w:r>
        <w:t>83, 998–1011.</w:t>
      </w:r>
    </w:p>
    <w:p w:rsidR="00163196" w:rsidRPr="00D559A1" w:rsidRDefault="00163196" w:rsidP="00163196">
      <w:pPr>
        <w:ind w:left="720" w:hanging="720"/>
      </w:pPr>
      <w:r>
        <w:t xml:space="preserve">Hamilton, J. Bentley, R.A., Bickle, P., Fibiger, L., Hedges, R., Reynard, L., Wright, C., Cullen, P., Dale, C., Nowell, G. and Whittle, A. 2013. Seeking diversity: </w:t>
      </w:r>
      <w:r w:rsidR="003C0135">
        <w:t>M</w:t>
      </w:r>
      <w:r>
        <w:t xml:space="preserve">ethodology. In P. Bickle and A. Whittle (eds), </w:t>
      </w:r>
      <w:r>
        <w:rPr>
          <w:i/>
        </w:rPr>
        <w:t>The first farmers of central Europe</w:t>
      </w:r>
      <w:r w:rsidRPr="00D559A1">
        <w:rPr>
          <w:i/>
        </w:rPr>
        <w:t xml:space="preserve">: Diversity </w:t>
      </w:r>
      <w:r>
        <w:rPr>
          <w:i/>
        </w:rPr>
        <w:t>in LBK lifeways</w:t>
      </w:r>
      <w:r>
        <w:t>, 29–48. Oxford: Oxbow.</w:t>
      </w:r>
    </w:p>
    <w:p w:rsidR="00163196" w:rsidRDefault="00163196" w:rsidP="00163196">
      <w:pPr>
        <w:ind w:left="720" w:hanging="720"/>
      </w:pPr>
      <w:r>
        <w:t xml:space="preserve">Hedges, R.E.M. 2004. Isotopes and red herrings: </w:t>
      </w:r>
      <w:r w:rsidR="003C0135">
        <w:t>C</w:t>
      </w:r>
      <w:r>
        <w:t xml:space="preserve">omments on Milner </w:t>
      </w:r>
      <w:r>
        <w:rPr>
          <w:i/>
        </w:rPr>
        <w:t>et al</w:t>
      </w:r>
      <w:r>
        <w:t xml:space="preserve">. and Lidén </w:t>
      </w:r>
      <w:r>
        <w:rPr>
          <w:i/>
        </w:rPr>
        <w:t>et al</w:t>
      </w:r>
      <w:r>
        <w:t xml:space="preserve">. </w:t>
      </w:r>
      <w:r>
        <w:rPr>
          <w:i/>
        </w:rPr>
        <w:t xml:space="preserve">Antiquity </w:t>
      </w:r>
      <w:r>
        <w:t xml:space="preserve">78, 34–7, </w:t>
      </w:r>
    </w:p>
    <w:p w:rsidR="00163196" w:rsidRDefault="00163196" w:rsidP="00163196">
      <w:pPr>
        <w:autoSpaceDE w:val="0"/>
        <w:autoSpaceDN w:val="0"/>
        <w:adjustRightInd w:val="0"/>
        <w:ind w:left="720" w:hanging="720"/>
        <w:rPr>
          <w:lang w:eastAsia="en-GB"/>
        </w:rPr>
      </w:pPr>
      <w:r>
        <w:rPr>
          <w:lang w:eastAsia="en-GB"/>
        </w:rPr>
        <w:t xml:space="preserve">Hedges, R.E.M. and Reynard, L.M. 2007. Nitrogen isotopes and the trophic level of </w:t>
      </w:r>
    </w:p>
    <w:p w:rsidR="00163196" w:rsidRDefault="00163196" w:rsidP="00163196">
      <w:pPr>
        <w:autoSpaceDE w:val="0"/>
        <w:autoSpaceDN w:val="0"/>
        <w:adjustRightInd w:val="0"/>
        <w:ind w:left="720" w:hanging="720"/>
        <w:rPr>
          <w:lang w:eastAsia="en-GB"/>
        </w:rPr>
      </w:pPr>
      <w:r>
        <w:rPr>
          <w:lang w:eastAsia="en-GB"/>
        </w:rPr>
        <w:tab/>
        <w:t xml:space="preserve">humans in archaeology. </w:t>
      </w:r>
      <w:r w:rsidRPr="00302D55">
        <w:rPr>
          <w:i/>
          <w:lang w:eastAsia="en-GB"/>
        </w:rPr>
        <w:t>Journal of Archaeological Science</w:t>
      </w:r>
      <w:r>
        <w:rPr>
          <w:lang w:eastAsia="en-GB"/>
        </w:rPr>
        <w:t xml:space="preserve"> 34, 1240–51.</w:t>
      </w:r>
    </w:p>
    <w:p w:rsidR="00163196" w:rsidRDefault="00163196" w:rsidP="00163196">
      <w:pPr>
        <w:autoSpaceDE w:val="0"/>
        <w:autoSpaceDN w:val="0"/>
        <w:adjustRightInd w:val="0"/>
        <w:ind w:left="720" w:hanging="720"/>
        <w:rPr>
          <w:lang w:eastAsia="en-GB"/>
        </w:rPr>
      </w:pPr>
      <w:r w:rsidRPr="001E70A1">
        <w:rPr>
          <w:lang w:eastAsia="en-GB"/>
        </w:rPr>
        <w:t>Hedges</w:t>
      </w:r>
      <w:r>
        <w:rPr>
          <w:lang w:eastAsia="en-GB"/>
        </w:rPr>
        <w:t>, R.E.M., Houseley, R.A., Bronk, C.R. and Van Klinken, G.J. 1992</w:t>
      </w:r>
      <w:r w:rsidRPr="001E70A1">
        <w:rPr>
          <w:lang w:eastAsia="en-GB"/>
        </w:rPr>
        <w:t>.</w:t>
      </w:r>
      <w:r>
        <w:rPr>
          <w:lang w:eastAsia="en-GB"/>
        </w:rPr>
        <w:t xml:space="preserve"> Radiocarbon dates from the Oxford AMS system: Archaeometry datelist 15. </w:t>
      </w:r>
      <w:r>
        <w:rPr>
          <w:i/>
          <w:lang w:eastAsia="en-GB"/>
        </w:rPr>
        <w:t xml:space="preserve">Archaeometry </w:t>
      </w:r>
      <w:r>
        <w:rPr>
          <w:lang w:eastAsia="en-GB"/>
        </w:rPr>
        <w:t xml:space="preserve">34, 337–57.  </w:t>
      </w:r>
    </w:p>
    <w:p w:rsidR="00163196" w:rsidRDefault="00163196" w:rsidP="00163196">
      <w:pPr>
        <w:ind w:left="720" w:hanging="720"/>
      </w:pPr>
      <w:r>
        <w:t>Hedges, R.E.M., Bentley, R.A., Bickle, P., Cullen, P., Dale, C., Fibiger, L., Hamilton, J., Hofmann, D., Nowell, G. and Whittle, A. 2013. The supra-regional perspective.</w:t>
      </w:r>
      <w:r w:rsidRPr="00163196">
        <w:t xml:space="preserve"> </w:t>
      </w:r>
      <w:r>
        <w:t xml:space="preserve">In P. Bickle and A. Whittle (eds), </w:t>
      </w:r>
      <w:r>
        <w:rPr>
          <w:i/>
        </w:rPr>
        <w:t>The first farmers of central Europe</w:t>
      </w:r>
      <w:r w:rsidRPr="00D559A1">
        <w:rPr>
          <w:i/>
        </w:rPr>
        <w:t xml:space="preserve">: Diversity </w:t>
      </w:r>
      <w:r>
        <w:rPr>
          <w:i/>
        </w:rPr>
        <w:t>in LBK lifeways</w:t>
      </w:r>
      <w:r>
        <w:t xml:space="preserve">, 343–84. Oxford: Oxbow. </w:t>
      </w:r>
    </w:p>
    <w:p w:rsidR="00163196" w:rsidRPr="00CC0183" w:rsidRDefault="00163196" w:rsidP="00163196">
      <w:pPr>
        <w:ind w:left="720" w:hanging="720"/>
        <w:rPr>
          <w:lang w:val="de-DE"/>
        </w:rPr>
      </w:pPr>
      <w:r w:rsidRPr="00FD698F">
        <w:t>Hunt, H.V., van der Linden</w:t>
      </w:r>
      <w:r w:rsidRPr="00444D83">
        <w:t>, M., Liu, X., Motuzaite-Matuzeviciute, G., College, S.</w:t>
      </w:r>
      <w:r w:rsidRPr="001626E0">
        <w:t xml:space="preserve"> and Jones, M.K. 2008. Millets</w:t>
      </w:r>
      <w:r>
        <w:t xml:space="preserve"> across Eurasia: </w:t>
      </w:r>
      <w:r w:rsidR="003C0135">
        <w:t>C</w:t>
      </w:r>
      <w:r>
        <w:t xml:space="preserve">hronology and context of early records of the genera </w:t>
      </w:r>
      <w:r>
        <w:rPr>
          <w:i/>
        </w:rPr>
        <w:t xml:space="preserve">Panicum </w:t>
      </w:r>
      <w:r>
        <w:t xml:space="preserve">and </w:t>
      </w:r>
      <w:r>
        <w:rPr>
          <w:i/>
        </w:rPr>
        <w:t xml:space="preserve">Setaria </w:t>
      </w:r>
      <w:r>
        <w:t xml:space="preserve">from archaeological sites in the old world. </w:t>
      </w:r>
      <w:r>
        <w:rPr>
          <w:i/>
          <w:lang w:val="de-DE"/>
        </w:rPr>
        <w:t>Vegetation H</w:t>
      </w:r>
      <w:r w:rsidRPr="00CC0183">
        <w:rPr>
          <w:i/>
          <w:lang w:val="de-DE"/>
        </w:rPr>
        <w:t xml:space="preserve">istory and </w:t>
      </w:r>
      <w:r>
        <w:rPr>
          <w:i/>
          <w:lang w:val="de-DE"/>
        </w:rPr>
        <w:t>A</w:t>
      </w:r>
      <w:r w:rsidRPr="00CC0183">
        <w:rPr>
          <w:i/>
          <w:lang w:val="de-DE"/>
        </w:rPr>
        <w:t xml:space="preserve">rchaeobotany </w:t>
      </w:r>
      <w:r w:rsidRPr="00CC0183">
        <w:rPr>
          <w:lang w:val="de-DE"/>
        </w:rPr>
        <w:t>17, 5–18.</w:t>
      </w:r>
    </w:p>
    <w:p w:rsidR="00163196" w:rsidRPr="00ED2606" w:rsidRDefault="00163196" w:rsidP="00163196">
      <w:pPr>
        <w:autoSpaceDE w:val="0"/>
        <w:autoSpaceDN w:val="0"/>
        <w:adjustRightInd w:val="0"/>
        <w:ind w:left="720" w:hanging="720"/>
        <w:rPr>
          <w:lang w:eastAsia="en-GB"/>
        </w:rPr>
      </w:pPr>
      <w:r w:rsidRPr="00ED2606">
        <w:rPr>
          <w:lang w:eastAsia="en-GB"/>
        </w:rPr>
        <w:t xml:space="preserve">Jochim, M. 1998. </w:t>
      </w:r>
      <w:r>
        <w:rPr>
          <w:i/>
          <w:lang w:eastAsia="en-GB"/>
        </w:rPr>
        <w:t xml:space="preserve">A hunter-gatherer landscape: </w:t>
      </w:r>
      <w:r w:rsidR="003C0135">
        <w:rPr>
          <w:i/>
          <w:lang w:eastAsia="en-GB"/>
        </w:rPr>
        <w:t>S</w:t>
      </w:r>
      <w:r w:rsidRPr="00ED2606">
        <w:rPr>
          <w:i/>
          <w:lang w:eastAsia="en-GB"/>
        </w:rPr>
        <w:t>outhwest Germany in the late Palaeolithic and Mesolithic</w:t>
      </w:r>
      <w:r w:rsidRPr="00ED2606">
        <w:rPr>
          <w:lang w:eastAsia="en-GB"/>
        </w:rPr>
        <w:t xml:space="preserve">. </w:t>
      </w:r>
      <w:smartTag w:uri="urn:schemas-microsoft-com:office:smarttags" w:element="State">
        <w:smartTag w:uri="urn:schemas-microsoft-com:office:smarttags" w:element="place">
          <w:r w:rsidRPr="00ED2606">
            <w:rPr>
              <w:lang w:eastAsia="en-GB"/>
            </w:rPr>
            <w:t>New York</w:t>
          </w:r>
        </w:smartTag>
      </w:smartTag>
      <w:r w:rsidRPr="00ED2606">
        <w:rPr>
          <w:lang w:eastAsia="en-GB"/>
        </w:rPr>
        <w:t>: Plenum.</w:t>
      </w:r>
    </w:p>
    <w:p w:rsidR="00163196" w:rsidRPr="00ED2606" w:rsidRDefault="00163196" w:rsidP="00163196">
      <w:pPr>
        <w:ind w:left="720" w:hanging="720"/>
      </w:pPr>
      <w:r w:rsidRPr="00ED2606">
        <w:t xml:space="preserve">Jochim, M. 2008. The Mesolithic of the </w:t>
      </w:r>
      <w:smartTag w:uri="urn:schemas-microsoft-com:office:smarttags" w:element="place">
        <w:r w:rsidRPr="00ED2606">
          <w:t>Upper Danube</w:t>
        </w:r>
      </w:smartTag>
      <w:r w:rsidRPr="00ED2606">
        <w:t xml:space="preserve"> and </w:t>
      </w:r>
      <w:smartTag w:uri="urn:schemas-microsoft-com:office:smarttags" w:element="place">
        <w:r w:rsidRPr="00ED2606">
          <w:t>Upper Rhine</w:t>
        </w:r>
      </w:smartTag>
      <w:r w:rsidRPr="00ED2606">
        <w:t xml:space="preserve">. In G. Bailey and P. Spikins (eds), </w:t>
      </w:r>
      <w:r w:rsidRPr="00ED2606">
        <w:rPr>
          <w:i/>
        </w:rPr>
        <w:t>Mesolithic Europe</w:t>
      </w:r>
      <w:r w:rsidRPr="00ED2606">
        <w:t xml:space="preserve">, 203–20. </w:t>
      </w:r>
      <w:smartTag w:uri="urn:schemas-microsoft-com:office:smarttags" w:element="City">
        <w:smartTag w:uri="urn:schemas-microsoft-com:office:smarttags" w:element="place">
          <w:r w:rsidRPr="00ED2606">
            <w:t>Cambridge</w:t>
          </w:r>
        </w:smartTag>
      </w:smartTag>
      <w:r w:rsidRPr="00ED2606">
        <w:t xml:space="preserve">: </w:t>
      </w:r>
      <w:smartTag w:uri="urn:schemas-microsoft-com:office:smarttags" w:element="place">
        <w:smartTag w:uri="urn:schemas-microsoft-com:office:smarttags" w:element="PlaceName">
          <w:r w:rsidRPr="00ED2606">
            <w:t>Cambridge</w:t>
          </w:r>
        </w:smartTag>
        <w:r w:rsidRPr="00ED2606">
          <w:t xml:space="preserve"> </w:t>
        </w:r>
        <w:smartTag w:uri="urn:schemas-microsoft-com:office:smarttags" w:element="PlaceType">
          <w:r w:rsidRPr="00ED2606">
            <w:t>University</w:t>
          </w:r>
        </w:smartTag>
      </w:smartTag>
      <w:r w:rsidRPr="00ED2606">
        <w:t xml:space="preserve"> Press.</w:t>
      </w:r>
    </w:p>
    <w:p w:rsidR="00163196" w:rsidRDefault="00163196" w:rsidP="00163196">
      <w:pPr>
        <w:ind w:left="720" w:hanging="720"/>
      </w:pPr>
      <w:r>
        <w:t xml:space="preserve">Lillie, M., Budd, C.E., Potekhina, I.D. and Hedges, R.E.M. 2009. The radiocarbon reservoir effect: New evidence from the cemeteries of the Middle and Lower Dneiper basin. </w:t>
      </w:r>
      <w:r>
        <w:rPr>
          <w:i/>
        </w:rPr>
        <w:t xml:space="preserve">Journal of Archaeological Science </w:t>
      </w:r>
      <w:r>
        <w:t xml:space="preserve">38, 57–68. </w:t>
      </w:r>
    </w:p>
    <w:p w:rsidR="00163196" w:rsidRPr="00CF75D1" w:rsidRDefault="00163196" w:rsidP="00163196">
      <w:pPr>
        <w:ind w:left="720" w:hanging="720"/>
      </w:pPr>
      <w:r w:rsidRPr="00CF75D1">
        <w:t>Lipson, M., Szécsényi-Nagy, A., Mallick, S., Pósa, A., Stégmár, B., Keerl, V., Rohland, N., Stewardson, K., Ferry, M., Michel, M., Oppenheimer, J., Broomandkhoshbacht, N., Harney E., Nordenfelt, S., Llamas, B., Gusztáv Mende, B., Köhler, K., Oross, K., Bondár, M., Marton, T., Osztás, A., Jakucs, J., Paluch, T., Horváth, F., Csengeri, P., Koós, J., Sebők, K., Anders, A., Raczky, P., Regenye, J., Barna, J.P., Fábián, S., Serlegi, G., Toldi, Z., Gyöngyvér Nagy, E., Dani, J., Molnár, E., Pálfi, G., Márk, L., Melegh, B., Bánfai, Z., Domboróczki, L., Fernández-Eraso, J., Mujika-Alustiza, J.A., Alonso Fernández, C., Jiménez Echevarría, J., Bollongino, R., Orschiedt, J., Schierhold, K., Meller, H., Cooper, A., Burger, J., Bánffy, E., Alt, K.W., Lalueza-Fox, C., Haak, W. and Reich, D.</w:t>
      </w:r>
      <w:r>
        <w:t xml:space="preserve"> 2017. Parallel palaeogenomic transects reveal complex genetic history of early European Farmers. </w:t>
      </w:r>
      <w:r>
        <w:rPr>
          <w:i/>
        </w:rPr>
        <w:t xml:space="preserve">Nature </w:t>
      </w:r>
      <w:r>
        <w:t>551, 368–72.</w:t>
      </w:r>
    </w:p>
    <w:p w:rsidR="00163196" w:rsidRPr="00ED2606" w:rsidRDefault="00163196" w:rsidP="00163196">
      <w:pPr>
        <w:ind w:left="720" w:hanging="720"/>
        <w:rPr>
          <w:lang w:val="de-DE"/>
        </w:rPr>
      </w:pPr>
      <w:r w:rsidRPr="00ED2606">
        <w:rPr>
          <w:lang w:val="de-DE"/>
        </w:rPr>
        <w:t xml:space="preserve">Lüning, J. 2000. </w:t>
      </w:r>
      <w:r w:rsidRPr="00ED2606">
        <w:rPr>
          <w:i/>
          <w:iCs/>
          <w:lang w:val="de-DE"/>
        </w:rPr>
        <w:t xml:space="preserve">Steinzeitliche Bauern in Deutschland. Die Landwirtschaft im Neolithikum. </w:t>
      </w:r>
      <w:r w:rsidRPr="00ED2606">
        <w:rPr>
          <w:lang w:val="de-DE"/>
        </w:rPr>
        <w:t>Bonn: Habelt.</w:t>
      </w:r>
    </w:p>
    <w:p w:rsidR="00163196" w:rsidRPr="00C554E0" w:rsidRDefault="00163196" w:rsidP="00163196">
      <w:pPr>
        <w:ind w:left="720" w:hanging="720"/>
      </w:pPr>
      <w:r>
        <w:t xml:space="preserve">Lynch, A.H., Hamilton, J. and Hedges, R. 2008. Where the wild things are: Aurochs and cattle in England. </w:t>
      </w:r>
      <w:r>
        <w:rPr>
          <w:i/>
        </w:rPr>
        <w:t xml:space="preserve">Antiquity </w:t>
      </w:r>
      <w:r>
        <w:t>82, 1025–39.</w:t>
      </w:r>
    </w:p>
    <w:p w:rsidR="00163196" w:rsidRPr="00A93B97" w:rsidRDefault="00163196" w:rsidP="00163196">
      <w:pPr>
        <w:ind w:left="720" w:hanging="720"/>
      </w:pPr>
      <w:r>
        <w:t xml:space="preserve">Makarewicz, C.A. and Sealy, J. 2015. Dietary reconstruction, mobility, and the analysis of ancient skeletal tissues: Expanding the prospects of stable isotope research in Archaeology. </w:t>
      </w:r>
      <w:r>
        <w:rPr>
          <w:i/>
        </w:rPr>
        <w:t xml:space="preserve">Journal of Archaeological </w:t>
      </w:r>
      <w:r w:rsidR="003C0135">
        <w:rPr>
          <w:i/>
        </w:rPr>
        <w:t>Science</w:t>
      </w:r>
      <w:r>
        <w:t xml:space="preserve"> 56, 146–58. </w:t>
      </w:r>
    </w:p>
    <w:p w:rsidR="00163196" w:rsidRDefault="00163196" w:rsidP="00163196">
      <w:pPr>
        <w:ind w:left="720" w:hanging="720"/>
      </w:pPr>
      <w:r w:rsidRPr="00ED2606">
        <w:rPr>
          <w:lang w:val="fr-FR"/>
        </w:rPr>
        <w:lastRenderedPageBreak/>
        <w:t xml:space="preserve">Manen, C. and Mazurié de Keroualin, K. 2003. Les concepts ‘La Hoguette’ et ‘Limburg’: </w:t>
      </w:r>
      <w:r w:rsidR="003C0135">
        <w:rPr>
          <w:lang w:val="fr-FR"/>
        </w:rPr>
        <w:t>U</w:t>
      </w:r>
      <w:r w:rsidRPr="00ED2606">
        <w:rPr>
          <w:lang w:val="fr-FR"/>
        </w:rPr>
        <w:t xml:space="preserve">n bilan des données. </w:t>
      </w:r>
      <w:r w:rsidRPr="00ED2606">
        <w:t xml:space="preserve">In M. Besse, L.-I. Stahl Gretsch and P. Curdy (eds), </w:t>
      </w:r>
      <w:r w:rsidRPr="00ED2606">
        <w:rPr>
          <w:i/>
        </w:rPr>
        <w:t xml:space="preserve">ConstellaSion: </w:t>
      </w:r>
      <w:r w:rsidR="003C0135">
        <w:rPr>
          <w:i/>
        </w:rPr>
        <w:t>H</w:t>
      </w:r>
      <w:r w:rsidRPr="00ED2606">
        <w:rPr>
          <w:i/>
        </w:rPr>
        <w:t>ommage à Alain Gallay</w:t>
      </w:r>
      <w:r>
        <w:t>, 115–45. Lausanne: Cahiers d’Archéologie R</w:t>
      </w:r>
      <w:r w:rsidRPr="00ED2606">
        <w:t xml:space="preserve">omande 95. </w:t>
      </w:r>
    </w:p>
    <w:p w:rsidR="00041512" w:rsidRPr="00ED2606" w:rsidRDefault="00041512" w:rsidP="00041512">
      <w:pPr>
        <w:ind w:left="720" w:hanging="720"/>
      </w:pPr>
      <w:r w:rsidRPr="00ED2606">
        <w:t xml:space="preserve">Marciniak, A. 2005. </w:t>
      </w:r>
      <w:r w:rsidRPr="00ED2606">
        <w:rPr>
          <w:i/>
        </w:rPr>
        <w:t xml:space="preserve">Placing animals in the Neolithic: </w:t>
      </w:r>
      <w:r w:rsidR="003C0135">
        <w:rPr>
          <w:i/>
        </w:rPr>
        <w:t>S</w:t>
      </w:r>
      <w:r w:rsidRPr="00ED2606">
        <w:rPr>
          <w:i/>
        </w:rPr>
        <w:t xml:space="preserve">ocial zooarchaeology of prehistoric farming communities. </w:t>
      </w:r>
      <w:smartTag w:uri="urn:schemas-microsoft-com:office:smarttags" w:element="City">
        <w:smartTag w:uri="urn:schemas-microsoft-com:office:smarttags" w:element="place">
          <w:r w:rsidRPr="00ED2606">
            <w:t>London</w:t>
          </w:r>
        </w:smartTag>
      </w:smartTag>
      <w:r w:rsidRPr="00ED2606">
        <w:t>:</w:t>
      </w:r>
      <w:r w:rsidRPr="00ED2606">
        <w:rPr>
          <w:color w:val="FF0000"/>
        </w:rPr>
        <w:t xml:space="preserve"> </w:t>
      </w:r>
      <w:smartTag w:uri="urn:schemas-microsoft-com:office:smarttags" w:element="place">
        <w:smartTag w:uri="urn:schemas-microsoft-com:office:smarttags" w:element="PlaceType">
          <w:r w:rsidRPr="00ED2606">
            <w:t>Institute</w:t>
          </w:r>
        </w:smartTag>
        <w:r w:rsidRPr="00ED2606">
          <w:t xml:space="preserve"> of </w:t>
        </w:r>
        <w:smartTag w:uri="urn:schemas-microsoft-com:office:smarttags" w:element="PlaceName">
          <w:r w:rsidRPr="00ED2606">
            <w:t>Archaeology</w:t>
          </w:r>
        </w:smartTag>
      </w:smartTag>
      <w:r w:rsidRPr="00ED2606">
        <w:t xml:space="preserve"> Publications, </w:t>
      </w:r>
      <w:smartTag w:uri="urn:schemas-microsoft-com:office:smarttags" w:element="place">
        <w:smartTag w:uri="urn:schemas-microsoft-com:office:smarttags" w:element="PlaceType">
          <w:r w:rsidRPr="00ED2606">
            <w:t>University</w:t>
          </w:r>
        </w:smartTag>
        <w:r w:rsidRPr="00ED2606">
          <w:t xml:space="preserve"> </w:t>
        </w:r>
        <w:smartTag w:uri="urn:schemas-microsoft-com:office:smarttags" w:element="PlaceType">
          <w:r w:rsidRPr="00ED2606">
            <w:t>College</w:t>
          </w:r>
        </w:smartTag>
      </w:smartTag>
      <w:r w:rsidRPr="00ED2606">
        <w:t xml:space="preserve">, </w:t>
      </w:r>
      <w:smartTag w:uri="urn:schemas-microsoft-com:office:smarttags" w:element="City">
        <w:smartTag w:uri="urn:schemas-microsoft-com:office:smarttags" w:element="place">
          <w:r w:rsidRPr="00ED2606">
            <w:t>London</w:t>
          </w:r>
        </w:smartTag>
      </w:smartTag>
      <w:r w:rsidRPr="00ED2606">
        <w:t>.</w:t>
      </w:r>
    </w:p>
    <w:p w:rsidR="00163196" w:rsidRDefault="00163196" w:rsidP="00163196">
      <w:pPr>
        <w:ind w:left="720" w:hanging="720"/>
      </w:pPr>
      <w:r w:rsidRPr="002C1479">
        <w:t xml:space="preserve">Mateiciucová, I. 2008. </w:t>
      </w:r>
      <w:r w:rsidRPr="002C1479">
        <w:rPr>
          <w:i/>
        </w:rPr>
        <w:t xml:space="preserve">Talking stones: </w:t>
      </w:r>
      <w:r w:rsidR="003C0135">
        <w:rPr>
          <w:i/>
        </w:rPr>
        <w:t>T</w:t>
      </w:r>
      <w:r w:rsidRPr="002C1479">
        <w:rPr>
          <w:i/>
        </w:rPr>
        <w:t>he chipped stone industry in Lower Austria and Moravia and the beginnings of the Neolithic in central Europe (LBK), 5700–4900 BC</w:t>
      </w:r>
      <w:r w:rsidRPr="002C1479">
        <w:t>. Brno: Masarykova univerzita.</w:t>
      </w:r>
    </w:p>
    <w:p w:rsidR="00163196" w:rsidRDefault="00163196" w:rsidP="00163196">
      <w:pPr>
        <w:ind w:left="720" w:hanging="720"/>
      </w:pPr>
      <w:r w:rsidRPr="002F0830">
        <w:t>Meiklejohn, C.</w:t>
      </w:r>
      <w:r>
        <w:t xml:space="preserve">, Bosset, G. and Valentin, F. </w:t>
      </w:r>
      <w:r w:rsidRPr="002F0830">
        <w:t>2010.</w:t>
      </w:r>
      <w:r>
        <w:t xml:space="preserve"> Radiocarbon dating of Mesolithic human remains in France. </w:t>
      </w:r>
      <w:r>
        <w:rPr>
          <w:i/>
        </w:rPr>
        <w:t xml:space="preserve">Mesolithic Miscellany </w:t>
      </w:r>
      <w:r>
        <w:t xml:space="preserve">21, 10–56. </w:t>
      </w:r>
    </w:p>
    <w:p w:rsidR="00163196" w:rsidRPr="002F0830" w:rsidRDefault="00163196" w:rsidP="00163196">
      <w:pPr>
        <w:ind w:left="720" w:hanging="720"/>
        <w:rPr>
          <w:lang w:val="de-DE"/>
        </w:rPr>
      </w:pPr>
      <w:r w:rsidRPr="00CC0183">
        <w:rPr>
          <w:lang w:val="en-US"/>
        </w:rPr>
        <w:t xml:space="preserve">Meurers-Balke, J. and Kalis, A.J. 2001. </w:t>
      </w:r>
      <w:r w:rsidRPr="00ED2606">
        <w:rPr>
          <w:lang w:val="de-DE"/>
        </w:rPr>
        <w:t>Früh-, alt- und jungneolithische Landnutzung</w:t>
      </w:r>
      <w:r>
        <w:rPr>
          <w:lang w:val="de-DE"/>
        </w:rPr>
        <w:t xml:space="preserve"> </w:t>
      </w:r>
      <w:r w:rsidRPr="00ED2606">
        <w:rPr>
          <w:lang w:val="de-DE"/>
        </w:rPr>
        <w:t>—</w:t>
      </w:r>
      <w:r>
        <w:rPr>
          <w:lang w:val="de-DE"/>
        </w:rPr>
        <w:t xml:space="preserve"> </w:t>
      </w:r>
      <w:r w:rsidRPr="00ED2606">
        <w:rPr>
          <w:lang w:val="de-DE"/>
        </w:rPr>
        <w:t xml:space="preserve">archäopalynologische Bearbeitung der Wilhelme-Travertine von Bad Cannstatt. In B. Gehlen, M. Heien and A. Tillman (eds), </w:t>
      </w:r>
      <w:r w:rsidRPr="00ED2606">
        <w:rPr>
          <w:i/>
          <w:lang w:val="de-DE"/>
        </w:rPr>
        <w:t>Zeit</w:t>
      </w:r>
      <w:r>
        <w:rPr>
          <w:i/>
          <w:lang w:val="de-DE"/>
        </w:rPr>
        <w:t xml:space="preserve">-Räume: </w:t>
      </w:r>
      <w:r w:rsidRPr="00ED2606">
        <w:rPr>
          <w:i/>
          <w:lang w:val="de-DE"/>
        </w:rPr>
        <w:t>Gedenkschrift für Wolfgang Taute Band 2</w:t>
      </w:r>
      <w:r w:rsidRPr="00ED2606">
        <w:rPr>
          <w:lang w:val="de-DE"/>
        </w:rPr>
        <w:t>, 631–48. Bonn: Deutsche Gesellschaft für Ur- und Frühgeschichte/Habelt.</w:t>
      </w:r>
    </w:p>
    <w:p w:rsidR="00163196" w:rsidRDefault="00163196" w:rsidP="00163196">
      <w:pPr>
        <w:ind w:left="720" w:hanging="720"/>
      </w:pPr>
      <w:r>
        <w:t xml:space="preserve">Milner, N., Craig, O.E., Bailey, G.N., Pedersen, K. and Andersen, S.H. 2004. Something fishy in the Neolithic? A re-evaluation of stable isotope analysis of Mesolithic and Neolithic coastal populations. </w:t>
      </w:r>
      <w:r>
        <w:rPr>
          <w:i/>
        </w:rPr>
        <w:t xml:space="preserve">Antiquity </w:t>
      </w:r>
      <w:r>
        <w:t xml:space="preserve">78, 9–22.  </w:t>
      </w:r>
    </w:p>
    <w:p w:rsidR="00163196" w:rsidRDefault="00163196" w:rsidP="00163196">
      <w:pPr>
        <w:ind w:left="720" w:hanging="720"/>
      </w:pPr>
      <w:r>
        <w:t xml:space="preserve">Miracle, P. and Milner, N. (eds). 2002. </w:t>
      </w:r>
      <w:r>
        <w:rPr>
          <w:i/>
        </w:rPr>
        <w:t>Consuming passions and patterns of consumption</w:t>
      </w:r>
      <w:r>
        <w:t xml:space="preserve">. Oxford: Oxbow. </w:t>
      </w:r>
    </w:p>
    <w:p w:rsidR="00163196" w:rsidRPr="00554921" w:rsidRDefault="00163196" w:rsidP="00163196">
      <w:pPr>
        <w:ind w:left="720" w:hanging="720"/>
      </w:pPr>
      <w:r>
        <w:t>Montgomery, J., Beaumont, J., Jay, M. and Keefe, K. 2013. Strategic and sporadic marine consumption at the onset of the Neoli</w:t>
      </w:r>
      <w:r w:rsidR="003C0135">
        <w:t>t</w:t>
      </w:r>
      <w:r>
        <w:t xml:space="preserve">hic: Increasing temporal resolution in the isotope evidence. </w:t>
      </w:r>
      <w:r>
        <w:rPr>
          <w:i/>
        </w:rPr>
        <w:t xml:space="preserve">Antiquity </w:t>
      </w:r>
      <w:r>
        <w:t xml:space="preserve">87, 1060–72. </w:t>
      </w:r>
    </w:p>
    <w:p w:rsidR="00163196" w:rsidRDefault="00163196" w:rsidP="00163196">
      <w:pPr>
        <w:ind w:left="720" w:hanging="720"/>
      </w:pPr>
      <w:r w:rsidRPr="00AC0547">
        <w:t>Naito, Y.I., Chikaraishi, Y., Ohkouchi, N., Drucker, D.G. and Bocherens, H. 2013. Nitrogen isotopic composition of collagen</w:t>
      </w:r>
      <w:r>
        <w:t xml:space="preserve"> </w:t>
      </w:r>
      <w:r w:rsidRPr="00AC0547">
        <w:t>amino acids as an indicator of aquatic resource</w:t>
      </w:r>
      <w:r>
        <w:t xml:space="preserve"> </w:t>
      </w:r>
      <w:r w:rsidRPr="00AC0547">
        <w:t xml:space="preserve">consumption: </w:t>
      </w:r>
      <w:r w:rsidR="003C0135">
        <w:t>I</w:t>
      </w:r>
      <w:r w:rsidRPr="00AC0547">
        <w:t>nsights from Mesolithic and</w:t>
      </w:r>
      <w:r>
        <w:t xml:space="preserve"> </w:t>
      </w:r>
      <w:r w:rsidRPr="00AC0547">
        <w:t>Epipalaeolithic archaeological sites in France</w:t>
      </w:r>
      <w:r>
        <w:t xml:space="preserve">. </w:t>
      </w:r>
      <w:r>
        <w:rPr>
          <w:i/>
        </w:rPr>
        <w:t xml:space="preserve">World Archaeology </w:t>
      </w:r>
      <w:r>
        <w:t>43, 338–359.</w:t>
      </w:r>
    </w:p>
    <w:p w:rsidR="00163196" w:rsidRPr="00554921" w:rsidRDefault="00163196" w:rsidP="00163196">
      <w:pPr>
        <w:autoSpaceDE w:val="0"/>
        <w:autoSpaceDN w:val="0"/>
        <w:adjustRightInd w:val="0"/>
        <w:ind w:left="720" w:hanging="720"/>
        <w:rPr>
          <w:rFonts w:eastAsia="Times New Roman"/>
          <w:lang w:eastAsia="en-GB"/>
        </w:rPr>
      </w:pPr>
      <w:r>
        <w:rPr>
          <w:rFonts w:eastAsia="Times New Roman"/>
          <w:lang w:eastAsia="en-GB"/>
        </w:rPr>
        <w:t>Nehlich, O., Bori</w:t>
      </w:r>
      <w:r w:rsidRPr="00E56860">
        <w:rPr>
          <w:rFonts w:eastAsia="Times New Roman"/>
          <w:lang w:eastAsia="en-GB"/>
        </w:rPr>
        <w:t>ć</w:t>
      </w:r>
      <w:r>
        <w:rPr>
          <w:rFonts w:eastAsia="Times New Roman"/>
          <w:lang w:eastAsia="en-GB"/>
        </w:rPr>
        <w:t>, D., Stefanov</w:t>
      </w:r>
      <w:r w:rsidRPr="003C0135">
        <w:rPr>
          <w:rFonts w:eastAsia="Times New Roman"/>
          <w:lang w:eastAsia="en-GB"/>
        </w:rPr>
        <w:t>ić</w:t>
      </w:r>
      <w:r>
        <w:rPr>
          <w:rFonts w:eastAsia="Times New Roman"/>
          <w:lang w:eastAsia="en-GB"/>
        </w:rPr>
        <w:t xml:space="preserve">, S. and Richards, M.P. 2010. Sulphur isotope evidence for freshwater fish consumption: A case study from the Danube Gorges, SE Europe. </w:t>
      </w:r>
      <w:r>
        <w:rPr>
          <w:rFonts w:eastAsia="Times New Roman"/>
          <w:i/>
          <w:lang w:eastAsia="en-GB"/>
        </w:rPr>
        <w:t xml:space="preserve">Journal of Archaeological Science </w:t>
      </w:r>
      <w:r>
        <w:rPr>
          <w:rFonts w:eastAsia="Times New Roman"/>
          <w:lang w:eastAsia="en-GB"/>
        </w:rPr>
        <w:t>37, 1131–9.</w:t>
      </w:r>
    </w:p>
    <w:p w:rsidR="00E56860" w:rsidRDefault="00E56860" w:rsidP="00163196">
      <w:pPr>
        <w:autoSpaceDE w:val="0"/>
        <w:autoSpaceDN w:val="0"/>
        <w:adjustRightInd w:val="0"/>
        <w:ind w:left="720" w:hanging="720"/>
        <w:rPr>
          <w:rFonts w:eastAsia="Times New Roman"/>
          <w:lang w:eastAsia="en-GB"/>
        </w:rPr>
      </w:pPr>
      <w:r>
        <w:rPr>
          <w:rFonts w:eastAsia="Times New Roman"/>
          <w:lang w:eastAsia="en-GB"/>
        </w:rPr>
        <w:t xml:space="preserve">Nehlich, O., Oelze, V., Jay, M., Conrad, M., Stäuble, S., Teegen, W.-R. and Richards, M.P. 2014. Sulphur isotope ratios of multi-period Archaeological skeletal remains from central Germany: A dietary and mobility study. </w:t>
      </w:r>
      <w:r>
        <w:rPr>
          <w:rFonts w:eastAsia="Times New Roman"/>
          <w:i/>
          <w:lang w:eastAsia="en-GB"/>
        </w:rPr>
        <w:t xml:space="preserve">Anthropologie </w:t>
      </w:r>
      <w:r>
        <w:rPr>
          <w:rFonts w:eastAsia="Times New Roman"/>
          <w:lang w:eastAsia="en-GB"/>
        </w:rPr>
        <w:t xml:space="preserve">52, 15–33. </w:t>
      </w:r>
    </w:p>
    <w:p w:rsidR="00163196" w:rsidRPr="00302D55" w:rsidRDefault="00163196" w:rsidP="00163196">
      <w:pPr>
        <w:autoSpaceDE w:val="0"/>
        <w:autoSpaceDN w:val="0"/>
        <w:adjustRightInd w:val="0"/>
        <w:ind w:left="720" w:hanging="720"/>
        <w:rPr>
          <w:rFonts w:eastAsia="Times New Roman"/>
          <w:i/>
          <w:lang w:eastAsia="en-GB"/>
        </w:rPr>
      </w:pPr>
      <w:r>
        <w:rPr>
          <w:rFonts w:eastAsia="Times New Roman"/>
          <w:lang w:eastAsia="en-GB"/>
        </w:rPr>
        <w:t xml:space="preserve">O’Connell, T.C., Kneale, C.J., Tasevska, N., and Kuhnle, G.G.C. 2012. The diet-body offset in human nitrogen isotopic values: A controlled dietary study. </w:t>
      </w:r>
      <w:r>
        <w:rPr>
          <w:rFonts w:eastAsia="Times New Roman"/>
          <w:i/>
          <w:lang w:eastAsia="en-GB"/>
        </w:rPr>
        <w:t xml:space="preserve">American Journal of Physical Anthropology </w:t>
      </w:r>
      <w:r>
        <w:rPr>
          <w:rFonts w:eastAsia="Times New Roman"/>
          <w:lang w:eastAsia="en-GB"/>
        </w:rPr>
        <w:t>149, 426–34.</w:t>
      </w:r>
      <w:r>
        <w:rPr>
          <w:rFonts w:eastAsia="Times New Roman"/>
          <w:i/>
          <w:lang w:eastAsia="en-GB"/>
        </w:rPr>
        <w:t xml:space="preserve"> </w:t>
      </w:r>
    </w:p>
    <w:p w:rsidR="00E414AB" w:rsidRPr="00CD2595" w:rsidRDefault="00E414AB" w:rsidP="00E414AB">
      <w:pPr>
        <w:autoSpaceDE w:val="0"/>
        <w:autoSpaceDN w:val="0"/>
        <w:adjustRightInd w:val="0"/>
        <w:ind w:left="720" w:hanging="720"/>
        <w:rPr>
          <w:rFonts w:eastAsia="Times New Roman"/>
          <w:lang w:eastAsia="en-GB"/>
        </w:rPr>
      </w:pPr>
      <w:r w:rsidRPr="00CD2595">
        <w:rPr>
          <w:rFonts w:eastAsia="Times New Roman"/>
          <w:lang w:eastAsia="en-GB"/>
        </w:rPr>
        <w:t>O</w:t>
      </w:r>
      <w:r>
        <w:rPr>
          <w:rFonts w:eastAsia="Times New Roman"/>
          <w:lang w:eastAsia="en-GB"/>
        </w:rPr>
        <w:t>elze</w:t>
      </w:r>
      <w:r w:rsidRPr="00CD2595">
        <w:rPr>
          <w:rFonts w:eastAsia="Times New Roman"/>
          <w:lang w:eastAsia="en-GB"/>
        </w:rPr>
        <w:t>, V.M., S</w:t>
      </w:r>
      <w:r>
        <w:rPr>
          <w:rFonts w:eastAsia="Times New Roman"/>
          <w:lang w:eastAsia="en-GB"/>
        </w:rPr>
        <w:t>iebert</w:t>
      </w:r>
      <w:r w:rsidRPr="00CD2595">
        <w:rPr>
          <w:rFonts w:eastAsia="Times New Roman"/>
          <w:lang w:eastAsia="en-GB"/>
        </w:rPr>
        <w:t>, A., N</w:t>
      </w:r>
      <w:r>
        <w:rPr>
          <w:rFonts w:eastAsia="Times New Roman"/>
          <w:lang w:eastAsia="en-GB"/>
        </w:rPr>
        <w:t>icklisch</w:t>
      </w:r>
      <w:r w:rsidRPr="00CD2595">
        <w:rPr>
          <w:rFonts w:eastAsia="Times New Roman"/>
          <w:lang w:eastAsia="en-GB"/>
        </w:rPr>
        <w:t>, N., M</w:t>
      </w:r>
      <w:r>
        <w:rPr>
          <w:rFonts w:eastAsia="Times New Roman"/>
          <w:lang w:eastAsia="en-GB"/>
        </w:rPr>
        <w:t>eller</w:t>
      </w:r>
      <w:r w:rsidRPr="00CD2595">
        <w:rPr>
          <w:rFonts w:eastAsia="Times New Roman"/>
          <w:lang w:eastAsia="en-GB"/>
        </w:rPr>
        <w:t>, H., D</w:t>
      </w:r>
      <w:r>
        <w:rPr>
          <w:rFonts w:eastAsia="Times New Roman"/>
          <w:lang w:eastAsia="en-GB"/>
        </w:rPr>
        <w:t>resely</w:t>
      </w:r>
      <w:r w:rsidRPr="00CD2595">
        <w:rPr>
          <w:rFonts w:eastAsia="Times New Roman"/>
          <w:lang w:eastAsia="en-GB"/>
        </w:rPr>
        <w:t xml:space="preserve">, V. </w:t>
      </w:r>
      <w:r>
        <w:rPr>
          <w:rFonts w:eastAsia="Times New Roman"/>
          <w:lang w:eastAsia="en-GB"/>
        </w:rPr>
        <w:t>and</w:t>
      </w:r>
      <w:r w:rsidRPr="00CD2595">
        <w:rPr>
          <w:rFonts w:eastAsia="Times New Roman"/>
          <w:lang w:eastAsia="en-GB"/>
        </w:rPr>
        <w:t xml:space="preserve"> A</w:t>
      </w:r>
      <w:r>
        <w:rPr>
          <w:rFonts w:eastAsia="Times New Roman"/>
          <w:lang w:eastAsia="en-GB"/>
        </w:rPr>
        <w:t>lt</w:t>
      </w:r>
      <w:r w:rsidRPr="00CD2595">
        <w:rPr>
          <w:rFonts w:eastAsia="Times New Roman"/>
          <w:lang w:eastAsia="en-GB"/>
        </w:rPr>
        <w:t xml:space="preserve">, K.W. 2011. Early Neolithic diet and animal husbandry: </w:t>
      </w:r>
      <w:r w:rsidR="003C0135">
        <w:rPr>
          <w:rFonts w:eastAsia="Times New Roman"/>
          <w:lang w:eastAsia="en-GB"/>
        </w:rPr>
        <w:t>S</w:t>
      </w:r>
      <w:r w:rsidRPr="00CD2595">
        <w:rPr>
          <w:rFonts w:eastAsia="Times New Roman"/>
          <w:lang w:eastAsia="en-GB"/>
        </w:rPr>
        <w:t xml:space="preserve">table isotope evidence from three Linearbandkeramik (LBK) sites in Central Germany. </w:t>
      </w:r>
      <w:r w:rsidRPr="00777F92">
        <w:rPr>
          <w:rFonts w:eastAsia="Times New Roman"/>
          <w:i/>
          <w:lang w:eastAsia="en-GB"/>
        </w:rPr>
        <w:t>Journal</w:t>
      </w:r>
      <w:r>
        <w:rPr>
          <w:rFonts w:eastAsia="Times New Roman"/>
          <w:i/>
          <w:lang w:eastAsia="en-GB"/>
        </w:rPr>
        <w:t xml:space="preserve"> </w:t>
      </w:r>
      <w:r w:rsidRPr="00777F92">
        <w:rPr>
          <w:rFonts w:eastAsia="Times New Roman"/>
          <w:i/>
          <w:lang w:eastAsia="en-GB"/>
        </w:rPr>
        <w:t>of Archaeological Science</w:t>
      </w:r>
      <w:r w:rsidRPr="00CD2595">
        <w:rPr>
          <w:rFonts w:eastAsia="Times New Roman"/>
          <w:lang w:eastAsia="en-GB"/>
        </w:rPr>
        <w:t xml:space="preserve"> 38, 270</w:t>
      </w:r>
      <w:r>
        <w:rPr>
          <w:rFonts w:eastAsia="Times New Roman"/>
          <w:lang w:eastAsia="en-GB"/>
        </w:rPr>
        <w:t>–</w:t>
      </w:r>
      <w:r w:rsidRPr="00CD2595">
        <w:rPr>
          <w:rFonts w:eastAsia="Times New Roman"/>
          <w:lang w:eastAsia="en-GB"/>
        </w:rPr>
        <w:t>9.</w:t>
      </w:r>
    </w:p>
    <w:p w:rsidR="00163196" w:rsidRDefault="00163196" w:rsidP="00163196">
      <w:pPr>
        <w:autoSpaceDE w:val="0"/>
        <w:autoSpaceDN w:val="0"/>
        <w:adjustRightInd w:val="0"/>
        <w:ind w:left="720" w:hanging="720"/>
        <w:rPr>
          <w:rFonts w:eastAsia="Times New Roman"/>
          <w:lang w:eastAsia="en-GB"/>
        </w:rPr>
      </w:pPr>
      <w:r w:rsidRPr="00C554E0">
        <w:rPr>
          <w:rFonts w:eastAsia="Times New Roman"/>
          <w:lang w:eastAsia="en-GB"/>
        </w:rPr>
        <w:t xml:space="preserve">O'Leary, M.H. 1988. Carbon isotopes in photosynthesis. </w:t>
      </w:r>
      <w:r w:rsidRPr="00C554E0">
        <w:rPr>
          <w:rFonts w:eastAsia="Times New Roman"/>
          <w:i/>
          <w:lang w:eastAsia="en-GB"/>
        </w:rPr>
        <w:t>BioScience</w:t>
      </w:r>
      <w:r w:rsidRPr="00C554E0">
        <w:rPr>
          <w:rFonts w:eastAsia="Times New Roman"/>
          <w:lang w:eastAsia="en-GB"/>
        </w:rPr>
        <w:t xml:space="preserve"> 38, 328–36. </w:t>
      </w:r>
    </w:p>
    <w:p w:rsidR="00E56860" w:rsidRPr="00D559A1" w:rsidRDefault="00E56860" w:rsidP="00E56860">
      <w:pPr>
        <w:autoSpaceDE w:val="0"/>
        <w:autoSpaceDN w:val="0"/>
        <w:adjustRightInd w:val="0"/>
        <w:ind w:left="720" w:hanging="720"/>
        <w:rPr>
          <w:rFonts w:eastAsia="Times New Roman"/>
          <w:lang w:eastAsia="en-GB"/>
        </w:rPr>
      </w:pPr>
      <w:r>
        <w:rPr>
          <w:rFonts w:eastAsia="Times New Roman"/>
          <w:lang w:eastAsia="en-GB"/>
        </w:rPr>
        <w:t xml:space="preserve">Richards, M.P., Schulting, R. and Hedges, R.E.M. 2003. Sharp shift in diet at onset of Neolithic. </w:t>
      </w:r>
      <w:r>
        <w:rPr>
          <w:rFonts w:eastAsia="Times New Roman"/>
          <w:i/>
          <w:lang w:eastAsia="en-GB"/>
        </w:rPr>
        <w:t xml:space="preserve">Nature </w:t>
      </w:r>
      <w:r>
        <w:rPr>
          <w:rFonts w:eastAsia="Times New Roman"/>
          <w:lang w:eastAsia="en-GB"/>
        </w:rPr>
        <w:t>425, 366.</w:t>
      </w:r>
    </w:p>
    <w:p w:rsidR="00163196" w:rsidRPr="00D559A1" w:rsidRDefault="00163196" w:rsidP="00163196">
      <w:pPr>
        <w:autoSpaceDE w:val="0"/>
        <w:autoSpaceDN w:val="0"/>
        <w:adjustRightInd w:val="0"/>
        <w:ind w:left="720" w:hanging="720"/>
        <w:rPr>
          <w:rFonts w:eastAsia="Times New Roman"/>
          <w:lang w:eastAsia="en-GB"/>
        </w:rPr>
      </w:pPr>
      <w:r>
        <w:rPr>
          <w:rFonts w:eastAsia="Times New Roman"/>
          <w:lang w:eastAsia="en-GB"/>
        </w:rPr>
        <w:t xml:space="preserve">Richards, M.P. and Schulting, R. 2006. Touch not the fish: </w:t>
      </w:r>
      <w:r w:rsidR="003C0135">
        <w:rPr>
          <w:rFonts w:eastAsia="Times New Roman"/>
          <w:lang w:eastAsia="en-GB"/>
        </w:rPr>
        <w:t>T</w:t>
      </w:r>
      <w:r>
        <w:rPr>
          <w:rFonts w:eastAsia="Times New Roman"/>
          <w:lang w:eastAsia="en-GB"/>
        </w:rPr>
        <w:t xml:space="preserve">he Mesolithic-Neolithic change of diet and its significance. </w:t>
      </w:r>
      <w:r>
        <w:rPr>
          <w:rFonts w:eastAsia="Times New Roman"/>
          <w:i/>
          <w:lang w:eastAsia="en-GB"/>
        </w:rPr>
        <w:t xml:space="preserve">Antiquity </w:t>
      </w:r>
      <w:r>
        <w:rPr>
          <w:rFonts w:eastAsia="Times New Roman"/>
          <w:lang w:eastAsia="en-GB"/>
        </w:rPr>
        <w:t>80, 444–56.</w:t>
      </w:r>
    </w:p>
    <w:p w:rsidR="00E56860" w:rsidRPr="00ED2606" w:rsidRDefault="00E56860" w:rsidP="00E56860">
      <w:pPr>
        <w:ind w:left="720" w:hanging="720"/>
      </w:pPr>
      <w:r w:rsidRPr="00CC0183">
        <w:rPr>
          <w:lang w:val="en-US"/>
        </w:rPr>
        <w:t xml:space="preserve">Richards, M.P., Montgomery, J., Nehlich, O. and Grimes, V. 2008. </w:t>
      </w:r>
      <w:r w:rsidRPr="00ED2606">
        <w:t xml:space="preserve">Isotopic analysis of humans and animals from Vedrovice. </w:t>
      </w:r>
      <w:r w:rsidRPr="00ED2606">
        <w:rPr>
          <w:i/>
        </w:rPr>
        <w:t xml:space="preserve">Anthropologie </w:t>
      </w:r>
      <w:r w:rsidRPr="00ED2606">
        <w:t>46, 185–94.</w:t>
      </w:r>
    </w:p>
    <w:p w:rsidR="00163196" w:rsidRPr="00B80452" w:rsidRDefault="00163196" w:rsidP="00163196">
      <w:pPr>
        <w:autoSpaceDE w:val="0"/>
        <w:autoSpaceDN w:val="0"/>
        <w:adjustRightInd w:val="0"/>
        <w:ind w:left="720" w:hanging="720"/>
        <w:rPr>
          <w:rFonts w:eastAsia="Times New Roman"/>
          <w:lang w:eastAsia="en-GB"/>
        </w:rPr>
      </w:pPr>
      <w:r>
        <w:rPr>
          <w:rFonts w:eastAsia="Times New Roman"/>
          <w:lang w:eastAsia="en-GB"/>
        </w:rPr>
        <w:t xml:space="preserve">Robb, J. 2013. Material culture, landscapes of action, and emergent causation. </w:t>
      </w:r>
      <w:r>
        <w:rPr>
          <w:rFonts w:eastAsia="Times New Roman"/>
          <w:i/>
          <w:lang w:eastAsia="en-GB"/>
        </w:rPr>
        <w:t xml:space="preserve">Current Anthropology </w:t>
      </w:r>
      <w:r>
        <w:rPr>
          <w:rFonts w:eastAsia="Times New Roman"/>
          <w:lang w:eastAsia="en-GB"/>
        </w:rPr>
        <w:t>54, 657–83.</w:t>
      </w:r>
    </w:p>
    <w:p w:rsidR="0084507E" w:rsidRDefault="0084507E" w:rsidP="0084507E">
      <w:pPr>
        <w:ind w:left="720" w:hanging="720"/>
      </w:pPr>
      <w:r>
        <w:t xml:space="preserve">Saul, H., Glykou, A. and Craig, O.E. 2014. Stewing on a theme of cuisine: </w:t>
      </w:r>
      <w:r w:rsidR="003C0135">
        <w:t>B</w:t>
      </w:r>
      <w:r>
        <w:t xml:space="preserve">iomolecular and interpretive approaches to culinary changes at the transition to agriculture. In A. Whittle </w:t>
      </w:r>
      <w:r>
        <w:lastRenderedPageBreak/>
        <w:t xml:space="preserve">and P. Bickle (eds), </w:t>
      </w:r>
      <w:r w:rsidRPr="0084507E">
        <w:rPr>
          <w:i/>
        </w:rPr>
        <w:t xml:space="preserve">Early farmers: </w:t>
      </w:r>
      <w:r w:rsidR="003C0135">
        <w:rPr>
          <w:i/>
        </w:rPr>
        <w:t>T</w:t>
      </w:r>
      <w:r w:rsidRPr="0084507E">
        <w:rPr>
          <w:i/>
        </w:rPr>
        <w:t>he view from archaeology and science</w:t>
      </w:r>
      <w:r>
        <w:t>, 197–213. Oxford: Oxford University Press.</w:t>
      </w:r>
    </w:p>
    <w:p w:rsidR="00462877" w:rsidRDefault="00462877" w:rsidP="0084507E">
      <w:pPr>
        <w:ind w:left="720" w:hanging="720"/>
      </w:pPr>
      <w:r w:rsidRPr="00462877">
        <w:t xml:space="preserve">Schulting, R.J. 2008. Foodways and social ecologies from the Early Mesolithic to the Early Bronze Age. In J. Pollard (ed), </w:t>
      </w:r>
      <w:r w:rsidRPr="00462877">
        <w:rPr>
          <w:i/>
        </w:rPr>
        <w:t>Prehistoric Britain</w:t>
      </w:r>
      <w:r>
        <w:t>, 90–</w:t>
      </w:r>
      <w:r w:rsidRPr="00462877">
        <w:t>120. London: Blackwell.</w:t>
      </w:r>
    </w:p>
    <w:p w:rsidR="00462877" w:rsidRDefault="00462877" w:rsidP="0084507E">
      <w:pPr>
        <w:ind w:left="720" w:hanging="720"/>
      </w:pPr>
      <w:r w:rsidRPr="00462877">
        <w:t xml:space="preserve">Schulting, R.J. 2011. Mesolithic-Neolithic transitions: </w:t>
      </w:r>
      <w:r>
        <w:t>A</w:t>
      </w:r>
      <w:r w:rsidRPr="00462877">
        <w:t xml:space="preserve">n isotopic tour through Europe. In R. Pinhasi and J. Stock (eds), </w:t>
      </w:r>
      <w:r w:rsidRPr="00462877">
        <w:rPr>
          <w:i/>
        </w:rPr>
        <w:t>The Bioarchaeology of the Transition to Agriculture</w:t>
      </w:r>
      <w:r>
        <w:t>,</w:t>
      </w:r>
      <w:r w:rsidRPr="00462877">
        <w:t xml:space="preserve"> 17</w:t>
      </w:r>
      <w:r>
        <w:t>–</w:t>
      </w:r>
      <w:r w:rsidRPr="00462877">
        <w:t>41. New York: Wiley-Liss.</w:t>
      </w:r>
    </w:p>
    <w:p w:rsidR="00163196" w:rsidRDefault="00163196" w:rsidP="0084507E">
      <w:pPr>
        <w:ind w:left="720" w:hanging="720"/>
      </w:pPr>
      <w:r>
        <w:t>Schulting, R. 2015.</w:t>
      </w:r>
      <w:r w:rsidRPr="0041286A">
        <w:t xml:space="preserve"> Stable Isotopes and Neolithic Subsistence: Pattern and Variation</w:t>
      </w:r>
      <w:r>
        <w:t xml:space="preserve">. In C. Fowler, J. Harding and D. Hofmann (eds), </w:t>
      </w:r>
      <w:r>
        <w:rPr>
          <w:i/>
        </w:rPr>
        <w:t>The Oxford handbook of Neolithic Europe</w:t>
      </w:r>
      <w:r>
        <w:t xml:space="preserve">, 362–83. Oxford: Oxford University Press. </w:t>
      </w:r>
    </w:p>
    <w:p w:rsidR="007C6DB6" w:rsidRDefault="007C6DB6" w:rsidP="00163196">
      <w:pPr>
        <w:ind w:left="720" w:hanging="720"/>
      </w:pPr>
      <w:r w:rsidRPr="007C6DB6">
        <w:t>Schulting, R.J. 2018. Dietary shifts at the Mesolithic-Neolithic transition in Europe: an overview of the stable isotope data. In J. Lee</w:t>
      </w:r>
      <w:r>
        <w:t>-Thorp and M.A. Katzenberg (eds</w:t>
      </w:r>
      <w:r w:rsidRPr="007C6DB6">
        <w:t xml:space="preserve">), </w:t>
      </w:r>
      <w:r w:rsidRPr="007C6DB6">
        <w:rPr>
          <w:i/>
        </w:rPr>
        <w:t>The Oxford Handbook of the Archaeology of Diet</w:t>
      </w:r>
      <w:r w:rsidRPr="007C6DB6">
        <w:t>. Oxford: Oxford University Press. Doi: 10.1093/oxfordhb/9780199694013.013.35</w:t>
      </w:r>
    </w:p>
    <w:p w:rsidR="00163196" w:rsidRPr="00A93B97" w:rsidRDefault="00163196" w:rsidP="00163196">
      <w:pPr>
        <w:ind w:left="720" w:hanging="720"/>
      </w:pPr>
      <w:r>
        <w:t xml:space="preserve">Sibbesson, E. </w:t>
      </w:r>
      <w:r w:rsidR="00C84E01">
        <w:t>2018</w:t>
      </w:r>
      <w:r>
        <w:t xml:space="preserve">. Consuming bodies: Bowls, bones, food and fire in Early Neolithic Britain. In P. Bickle and E. Sibbesson (eds), </w:t>
      </w:r>
      <w:r>
        <w:rPr>
          <w:i/>
        </w:rPr>
        <w:t>Neolithic Bodies</w:t>
      </w:r>
      <w:r>
        <w:t>, 44–59. Oxford: Oxbow.</w:t>
      </w:r>
    </w:p>
    <w:p w:rsidR="00C92923" w:rsidRPr="00C92923" w:rsidRDefault="00C92923" w:rsidP="00163196">
      <w:pPr>
        <w:ind w:left="720" w:hanging="720"/>
      </w:pPr>
      <w:r>
        <w:t xml:space="preserve">Styring, A.K., Fraser, R.A., Arbogast, R.-M., Halstead, P., Isaakidou, V., Pearson, J.A., Schäfer, M., Triantaphyllou, S., Valamoti, S.M., Wallace, M., Bogaard, A. and Evershed, R. 2015. Refining human palaeodietary reconstruction using amino acid δ15N values of plants, animals and humans. </w:t>
      </w:r>
      <w:r>
        <w:rPr>
          <w:i/>
        </w:rPr>
        <w:t xml:space="preserve">Journal of Archaeological Science </w:t>
      </w:r>
      <w:r>
        <w:t>53, 504–15.</w:t>
      </w:r>
    </w:p>
    <w:p w:rsidR="00163196" w:rsidRDefault="00163196" w:rsidP="00163196">
      <w:pPr>
        <w:ind w:left="720" w:hanging="720"/>
      </w:pPr>
      <w:r>
        <w:t xml:space="preserve">Valentin, F., Cottiaux, R., Buquet-Marcon, C., Confalonieri, J., Delattre, V., Lang, L., Le Goff, I., Lawrence-Dubovac, P. and Verjux, C. 2008. Découvertes récents d’inhumations et d’incinération datées du Mésolithique en Ile de France. </w:t>
      </w:r>
      <w:r>
        <w:rPr>
          <w:i/>
        </w:rPr>
        <w:t xml:space="preserve">Revue Archéologique d’Ile-de-France </w:t>
      </w:r>
      <w:r>
        <w:t xml:space="preserve">1, 21–42.  </w:t>
      </w:r>
    </w:p>
    <w:p w:rsidR="00E00882" w:rsidRPr="00E00882" w:rsidRDefault="00E00882" w:rsidP="00163196">
      <w:pPr>
        <w:ind w:left="720" w:hanging="720"/>
        <w:rPr>
          <w:lang w:val="de-DE"/>
        </w:rPr>
      </w:pPr>
      <w:r>
        <w:rPr>
          <w:lang w:val="de-DE"/>
        </w:rPr>
        <w:t>Whittle, A. 20</w:t>
      </w:r>
      <w:r w:rsidR="008B0EC3">
        <w:rPr>
          <w:lang w:val="de-DE"/>
        </w:rPr>
        <w:t>0</w:t>
      </w:r>
      <w:r>
        <w:rPr>
          <w:lang w:val="de-DE"/>
        </w:rPr>
        <w:t xml:space="preserve">3. </w:t>
      </w:r>
      <w:r>
        <w:rPr>
          <w:i/>
          <w:lang w:val="de-DE"/>
        </w:rPr>
        <w:t xml:space="preserve">The archaeology of people: </w:t>
      </w:r>
      <w:r w:rsidR="003C0135">
        <w:rPr>
          <w:i/>
          <w:lang w:val="de-DE"/>
        </w:rPr>
        <w:t>D</w:t>
      </w:r>
      <w:r>
        <w:rPr>
          <w:i/>
          <w:lang w:val="de-DE"/>
        </w:rPr>
        <w:t>imensions of Neolithic life</w:t>
      </w:r>
      <w:r>
        <w:rPr>
          <w:lang w:val="de-DE"/>
        </w:rPr>
        <w:t>. London: Routledge.</w:t>
      </w:r>
    </w:p>
    <w:p w:rsidR="00163196" w:rsidRPr="00ED2606" w:rsidRDefault="00163196" w:rsidP="00163196">
      <w:pPr>
        <w:ind w:left="720" w:hanging="720"/>
        <w:rPr>
          <w:lang w:val="fr-FR"/>
        </w:rPr>
      </w:pPr>
      <w:r w:rsidRPr="00CC0183">
        <w:rPr>
          <w:lang w:val="de-DE"/>
        </w:rPr>
        <w:t xml:space="preserve">Willms, C. 2003. Löwe, Elch und Schildkröte: </w:t>
      </w:r>
      <w:r w:rsidR="003C0135">
        <w:rPr>
          <w:lang w:val="de-DE"/>
        </w:rPr>
        <w:t>K</w:t>
      </w:r>
      <w:r w:rsidRPr="00CC0183">
        <w:rPr>
          <w:lang w:val="de-DE"/>
        </w:rPr>
        <w:t xml:space="preserve">ein jungsteinzeitliches Märchen. </w:t>
      </w:r>
      <w:r w:rsidRPr="00ED2606">
        <w:rPr>
          <w:lang w:val="de-DE"/>
        </w:rPr>
        <w:t xml:space="preserve">In J. Eckert, U. Eisenhauer and A. Zimmermann (eds), </w:t>
      </w:r>
      <w:r w:rsidRPr="00ED2606">
        <w:rPr>
          <w:i/>
          <w:lang w:val="de-DE"/>
        </w:rPr>
        <w:t xml:space="preserve">Archäologische Perspektiven:  Analysen und Interpretationen im Wandel. Festschrift für Jens Lüning zum 65. </w:t>
      </w:r>
      <w:r w:rsidRPr="00ED2606">
        <w:rPr>
          <w:i/>
          <w:lang w:val="fr-FR"/>
        </w:rPr>
        <w:t>Geburtstag</w:t>
      </w:r>
      <w:r w:rsidRPr="00ED2606">
        <w:rPr>
          <w:lang w:val="fr-FR"/>
        </w:rPr>
        <w:t>,</w:t>
      </w:r>
      <w:r w:rsidRPr="00CC0183">
        <w:rPr>
          <w:lang w:val="de-DE"/>
        </w:rPr>
        <w:t xml:space="preserve"> 181–94</w:t>
      </w:r>
      <w:r w:rsidRPr="00ED2606">
        <w:rPr>
          <w:lang w:val="fr-FR"/>
        </w:rPr>
        <w:t>. Rahden: Marie Leidorf.</w:t>
      </w:r>
    </w:p>
    <w:p w:rsidR="00163196" w:rsidRPr="00E47F92" w:rsidRDefault="00E47F92" w:rsidP="00E47F92">
      <w:pPr>
        <w:ind w:left="720" w:hanging="720"/>
      </w:pPr>
      <w:r>
        <w:t xml:space="preserve">Zvelebil, M. 1994. Plant use in the Mesolithic and its role in the transition to farming. </w:t>
      </w:r>
      <w:r>
        <w:rPr>
          <w:i/>
        </w:rPr>
        <w:t>Proceedings of Prehistoric Society</w:t>
      </w:r>
      <w:r>
        <w:t xml:space="preserve"> 60, 35–74.</w:t>
      </w:r>
    </w:p>
    <w:p w:rsidR="00AC2459" w:rsidRDefault="00AC2459" w:rsidP="00163196"/>
    <w:sectPr w:rsidR="00AC245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20A" w:rsidRDefault="00A5520A" w:rsidP="00CA7DEF">
      <w:r>
        <w:separator/>
      </w:r>
    </w:p>
  </w:endnote>
  <w:endnote w:type="continuationSeparator" w:id="0">
    <w:p w:rsidR="00A5520A" w:rsidRDefault="00A5520A" w:rsidP="00CA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210337"/>
      <w:docPartObj>
        <w:docPartGallery w:val="Page Numbers (Bottom of Page)"/>
        <w:docPartUnique/>
      </w:docPartObj>
    </w:sdtPr>
    <w:sdtEndPr>
      <w:rPr>
        <w:noProof/>
        <w:sz w:val="20"/>
        <w:szCs w:val="20"/>
      </w:rPr>
    </w:sdtEndPr>
    <w:sdtContent>
      <w:p w:rsidR="00B73255" w:rsidRPr="00CA7DEF" w:rsidRDefault="00B73255">
        <w:pPr>
          <w:pStyle w:val="Footer"/>
          <w:jc w:val="center"/>
          <w:rPr>
            <w:sz w:val="20"/>
            <w:szCs w:val="20"/>
          </w:rPr>
        </w:pPr>
        <w:r w:rsidRPr="00CA7DEF">
          <w:rPr>
            <w:sz w:val="20"/>
            <w:szCs w:val="20"/>
          </w:rPr>
          <w:fldChar w:fldCharType="begin"/>
        </w:r>
        <w:r w:rsidRPr="00CA7DEF">
          <w:rPr>
            <w:sz w:val="20"/>
            <w:szCs w:val="20"/>
          </w:rPr>
          <w:instrText xml:space="preserve"> PAGE   \* MERGEFORMAT </w:instrText>
        </w:r>
        <w:r w:rsidRPr="00CA7DEF">
          <w:rPr>
            <w:sz w:val="20"/>
            <w:szCs w:val="20"/>
          </w:rPr>
          <w:fldChar w:fldCharType="separate"/>
        </w:r>
        <w:r w:rsidR="00353100">
          <w:rPr>
            <w:noProof/>
            <w:sz w:val="20"/>
            <w:szCs w:val="20"/>
          </w:rPr>
          <w:t>11</w:t>
        </w:r>
        <w:r w:rsidRPr="00CA7DEF">
          <w:rPr>
            <w:noProof/>
            <w:sz w:val="20"/>
            <w:szCs w:val="20"/>
          </w:rPr>
          <w:fldChar w:fldCharType="end"/>
        </w:r>
      </w:p>
    </w:sdtContent>
  </w:sdt>
  <w:p w:rsidR="00B73255" w:rsidRDefault="00B73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20A" w:rsidRDefault="00A5520A" w:rsidP="00CA7DEF">
      <w:r>
        <w:separator/>
      </w:r>
    </w:p>
  </w:footnote>
  <w:footnote w:type="continuationSeparator" w:id="0">
    <w:p w:rsidR="00A5520A" w:rsidRDefault="00A5520A" w:rsidP="00CA7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0A1"/>
    <w:multiLevelType w:val="hybridMultilevel"/>
    <w:tmpl w:val="E4E8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83D84"/>
    <w:multiLevelType w:val="hybridMultilevel"/>
    <w:tmpl w:val="E2A21FC6"/>
    <w:lvl w:ilvl="0" w:tplc="62EEC9F2">
      <w:start w:val="2013"/>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D1896"/>
    <w:multiLevelType w:val="hybridMultilevel"/>
    <w:tmpl w:val="E5B29126"/>
    <w:lvl w:ilvl="0" w:tplc="5A58723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43C53"/>
    <w:multiLevelType w:val="hybridMultilevel"/>
    <w:tmpl w:val="1A708DBA"/>
    <w:lvl w:ilvl="0" w:tplc="2E5CE12C">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47"/>
    <w:rsid w:val="00000265"/>
    <w:rsid w:val="000076D2"/>
    <w:rsid w:val="00031404"/>
    <w:rsid w:val="00032123"/>
    <w:rsid w:val="00032BB0"/>
    <w:rsid w:val="00041512"/>
    <w:rsid w:val="00044FB0"/>
    <w:rsid w:val="0005750C"/>
    <w:rsid w:val="00063877"/>
    <w:rsid w:val="00064093"/>
    <w:rsid w:val="0008013F"/>
    <w:rsid w:val="0008369F"/>
    <w:rsid w:val="00094FE7"/>
    <w:rsid w:val="000972BF"/>
    <w:rsid w:val="000A5FE4"/>
    <w:rsid w:val="000A7857"/>
    <w:rsid w:val="000B324F"/>
    <w:rsid w:val="000C3695"/>
    <w:rsid w:val="000E4DF1"/>
    <w:rsid w:val="000E7C93"/>
    <w:rsid w:val="000F016E"/>
    <w:rsid w:val="000F061F"/>
    <w:rsid w:val="000F472B"/>
    <w:rsid w:val="0010065A"/>
    <w:rsid w:val="001035B5"/>
    <w:rsid w:val="001149A1"/>
    <w:rsid w:val="0013199D"/>
    <w:rsid w:val="00140671"/>
    <w:rsid w:val="00151AEA"/>
    <w:rsid w:val="001616B3"/>
    <w:rsid w:val="00163196"/>
    <w:rsid w:val="001B12D7"/>
    <w:rsid w:val="001B7335"/>
    <w:rsid w:val="001C2362"/>
    <w:rsid w:val="001E1ABD"/>
    <w:rsid w:val="001F0DE7"/>
    <w:rsid w:val="001F3A76"/>
    <w:rsid w:val="00200988"/>
    <w:rsid w:val="00215110"/>
    <w:rsid w:val="00216886"/>
    <w:rsid w:val="00223102"/>
    <w:rsid w:val="00226B98"/>
    <w:rsid w:val="00241243"/>
    <w:rsid w:val="0024211E"/>
    <w:rsid w:val="00260833"/>
    <w:rsid w:val="00263945"/>
    <w:rsid w:val="00265948"/>
    <w:rsid w:val="00265BFB"/>
    <w:rsid w:val="002674DC"/>
    <w:rsid w:val="00277780"/>
    <w:rsid w:val="00287BC7"/>
    <w:rsid w:val="002B6F63"/>
    <w:rsid w:val="002C07AA"/>
    <w:rsid w:val="002C4F5E"/>
    <w:rsid w:val="002C55AC"/>
    <w:rsid w:val="002D574F"/>
    <w:rsid w:val="002D6404"/>
    <w:rsid w:val="002E6722"/>
    <w:rsid w:val="002F4F11"/>
    <w:rsid w:val="002F5649"/>
    <w:rsid w:val="003064E9"/>
    <w:rsid w:val="00321C08"/>
    <w:rsid w:val="003223C3"/>
    <w:rsid w:val="003302DF"/>
    <w:rsid w:val="00343BAC"/>
    <w:rsid w:val="0034427D"/>
    <w:rsid w:val="003474E4"/>
    <w:rsid w:val="003479DF"/>
    <w:rsid w:val="0035140B"/>
    <w:rsid w:val="00353100"/>
    <w:rsid w:val="00356CB9"/>
    <w:rsid w:val="00367D27"/>
    <w:rsid w:val="00372BD8"/>
    <w:rsid w:val="00372CC3"/>
    <w:rsid w:val="00372D03"/>
    <w:rsid w:val="00374563"/>
    <w:rsid w:val="00377459"/>
    <w:rsid w:val="00390586"/>
    <w:rsid w:val="00391B50"/>
    <w:rsid w:val="003934E7"/>
    <w:rsid w:val="00396A04"/>
    <w:rsid w:val="00396FAB"/>
    <w:rsid w:val="003973F5"/>
    <w:rsid w:val="003A53A3"/>
    <w:rsid w:val="003A767B"/>
    <w:rsid w:val="003C0135"/>
    <w:rsid w:val="003C04B9"/>
    <w:rsid w:val="003C0A13"/>
    <w:rsid w:val="003C2F17"/>
    <w:rsid w:val="003C7BF2"/>
    <w:rsid w:val="003D14B8"/>
    <w:rsid w:val="003D5B23"/>
    <w:rsid w:val="003E06B5"/>
    <w:rsid w:val="003F045F"/>
    <w:rsid w:val="003F7E83"/>
    <w:rsid w:val="00403485"/>
    <w:rsid w:val="0041014B"/>
    <w:rsid w:val="0041593A"/>
    <w:rsid w:val="00430170"/>
    <w:rsid w:val="004369D5"/>
    <w:rsid w:val="0044164B"/>
    <w:rsid w:val="004431B3"/>
    <w:rsid w:val="004460E4"/>
    <w:rsid w:val="00450D3B"/>
    <w:rsid w:val="00453690"/>
    <w:rsid w:val="0045403D"/>
    <w:rsid w:val="00462877"/>
    <w:rsid w:val="00462C3D"/>
    <w:rsid w:val="00463D87"/>
    <w:rsid w:val="00466ED9"/>
    <w:rsid w:val="00470482"/>
    <w:rsid w:val="004745AD"/>
    <w:rsid w:val="00487FD1"/>
    <w:rsid w:val="0049136B"/>
    <w:rsid w:val="00497C17"/>
    <w:rsid w:val="004A16D7"/>
    <w:rsid w:val="004A18B0"/>
    <w:rsid w:val="004A3CB0"/>
    <w:rsid w:val="004B2A71"/>
    <w:rsid w:val="004B3C76"/>
    <w:rsid w:val="004C3E12"/>
    <w:rsid w:val="004C5DC2"/>
    <w:rsid w:val="004C6D03"/>
    <w:rsid w:val="004D45F5"/>
    <w:rsid w:val="004D7D09"/>
    <w:rsid w:val="005202EE"/>
    <w:rsid w:val="00523DD9"/>
    <w:rsid w:val="00546CC4"/>
    <w:rsid w:val="005718F9"/>
    <w:rsid w:val="00580ECE"/>
    <w:rsid w:val="0058301B"/>
    <w:rsid w:val="005941A7"/>
    <w:rsid w:val="00597CC9"/>
    <w:rsid w:val="005B2804"/>
    <w:rsid w:val="005B2872"/>
    <w:rsid w:val="005B3C26"/>
    <w:rsid w:val="005B7404"/>
    <w:rsid w:val="005B78AE"/>
    <w:rsid w:val="005C6591"/>
    <w:rsid w:val="005D30BD"/>
    <w:rsid w:val="005D7D68"/>
    <w:rsid w:val="005E01B0"/>
    <w:rsid w:val="005F3DFA"/>
    <w:rsid w:val="00604BBE"/>
    <w:rsid w:val="006051F0"/>
    <w:rsid w:val="0061399B"/>
    <w:rsid w:val="006220C3"/>
    <w:rsid w:val="00622A8D"/>
    <w:rsid w:val="00631F68"/>
    <w:rsid w:val="00646AE7"/>
    <w:rsid w:val="006549BE"/>
    <w:rsid w:val="0066176D"/>
    <w:rsid w:val="006717C9"/>
    <w:rsid w:val="00674275"/>
    <w:rsid w:val="00680E57"/>
    <w:rsid w:val="006821E7"/>
    <w:rsid w:val="00682663"/>
    <w:rsid w:val="006A302A"/>
    <w:rsid w:val="006B001E"/>
    <w:rsid w:val="006C6AED"/>
    <w:rsid w:val="006C7258"/>
    <w:rsid w:val="006C7534"/>
    <w:rsid w:val="006C78D8"/>
    <w:rsid w:val="006D3BD9"/>
    <w:rsid w:val="006E0FAE"/>
    <w:rsid w:val="006F7A5B"/>
    <w:rsid w:val="00700608"/>
    <w:rsid w:val="007042A3"/>
    <w:rsid w:val="00707C16"/>
    <w:rsid w:val="00727382"/>
    <w:rsid w:val="007358A9"/>
    <w:rsid w:val="00737DFC"/>
    <w:rsid w:val="00741042"/>
    <w:rsid w:val="00745CC8"/>
    <w:rsid w:val="00746943"/>
    <w:rsid w:val="007470C7"/>
    <w:rsid w:val="00757A3A"/>
    <w:rsid w:val="0076181D"/>
    <w:rsid w:val="00766F79"/>
    <w:rsid w:val="007978B1"/>
    <w:rsid w:val="007A6AB5"/>
    <w:rsid w:val="007B22E1"/>
    <w:rsid w:val="007C0158"/>
    <w:rsid w:val="007C548F"/>
    <w:rsid w:val="007C6DB6"/>
    <w:rsid w:val="007C7173"/>
    <w:rsid w:val="007D05FC"/>
    <w:rsid w:val="007D289A"/>
    <w:rsid w:val="007F5E76"/>
    <w:rsid w:val="008031A2"/>
    <w:rsid w:val="00804A47"/>
    <w:rsid w:val="00804CC9"/>
    <w:rsid w:val="00807440"/>
    <w:rsid w:val="00807C7D"/>
    <w:rsid w:val="008118F5"/>
    <w:rsid w:val="00815A47"/>
    <w:rsid w:val="00821433"/>
    <w:rsid w:val="00834945"/>
    <w:rsid w:val="00841DA0"/>
    <w:rsid w:val="00841F94"/>
    <w:rsid w:val="0084507E"/>
    <w:rsid w:val="00851650"/>
    <w:rsid w:val="00852917"/>
    <w:rsid w:val="00855242"/>
    <w:rsid w:val="00860453"/>
    <w:rsid w:val="00866954"/>
    <w:rsid w:val="00872F10"/>
    <w:rsid w:val="008778C8"/>
    <w:rsid w:val="00877A6A"/>
    <w:rsid w:val="00881DA0"/>
    <w:rsid w:val="008841B5"/>
    <w:rsid w:val="008A27D4"/>
    <w:rsid w:val="008A2CF4"/>
    <w:rsid w:val="008A49D0"/>
    <w:rsid w:val="008B0355"/>
    <w:rsid w:val="008B0EC3"/>
    <w:rsid w:val="008B240A"/>
    <w:rsid w:val="008D7602"/>
    <w:rsid w:val="008E531A"/>
    <w:rsid w:val="008F58CF"/>
    <w:rsid w:val="00902431"/>
    <w:rsid w:val="00915384"/>
    <w:rsid w:val="00915E4C"/>
    <w:rsid w:val="009351E5"/>
    <w:rsid w:val="00950ECE"/>
    <w:rsid w:val="00956A95"/>
    <w:rsid w:val="00980010"/>
    <w:rsid w:val="00994B0F"/>
    <w:rsid w:val="009A2723"/>
    <w:rsid w:val="009E4165"/>
    <w:rsid w:val="00A139FE"/>
    <w:rsid w:val="00A21077"/>
    <w:rsid w:val="00A213C8"/>
    <w:rsid w:val="00A477FC"/>
    <w:rsid w:val="00A52D6F"/>
    <w:rsid w:val="00A54E15"/>
    <w:rsid w:val="00A5520A"/>
    <w:rsid w:val="00A65020"/>
    <w:rsid w:val="00A65A5E"/>
    <w:rsid w:val="00A942E1"/>
    <w:rsid w:val="00AC0547"/>
    <w:rsid w:val="00AC2459"/>
    <w:rsid w:val="00AD1FCC"/>
    <w:rsid w:val="00AD29E4"/>
    <w:rsid w:val="00AE7814"/>
    <w:rsid w:val="00AF466D"/>
    <w:rsid w:val="00AF56A0"/>
    <w:rsid w:val="00AF5B39"/>
    <w:rsid w:val="00B10981"/>
    <w:rsid w:val="00B37020"/>
    <w:rsid w:val="00B37311"/>
    <w:rsid w:val="00B4188A"/>
    <w:rsid w:val="00B44C50"/>
    <w:rsid w:val="00B45B47"/>
    <w:rsid w:val="00B543AB"/>
    <w:rsid w:val="00B631C6"/>
    <w:rsid w:val="00B64E1E"/>
    <w:rsid w:val="00B70D25"/>
    <w:rsid w:val="00B72733"/>
    <w:rsid w:val="00B73255"/>
    <w:rsid w:val="00B77A9A"/>
    <w:rsid w:val="00B9297A"/>
    <w:rsid w:val="00B968BD"/>
    <w:rsid w:val="00BB0CC3"/>
    <w:rsid w:val="00BB24EF"/>
    <w:rsid w:val="00BC53F0"/>
    <w:rsid w:val="00BC572A"/>
    <w:rsid w:val="00BC5FC3"/>
    <w:rsid w:val="00BE14EB"/>
    <w:rsid w:val="00C01166"/>
    <w:rsid w:val="00C05F59"/>
    <w:rsid w:val="00C105C5"/>
    <w:rsid w:val="00C20B65"/>
    <w:rsid w:val="00C224D0"/>
    <w:rsid w:val="00C23A41"/>
    <w:rsid w:val="00C404FA"/>
    <w:rsid w:val="00C41D9D"/>
    <w:rsid w:val="00C456A8"/>
    <w:rsid w:val="00C47FEA"/>
    <w:rsid w:val="00C54760"/>
    <w:rsid w:val="00C57783"/>
    <w:rsid w:val="00C654A0"/>
    <w:rsid w:val="00C70127"/>
    <w:rsid w:val="00C8085C"/>
    <w:rsid w:val="00C84E01"/>
    <w:rsid w:val="00C8763F"/>
    <w:rsid w:val="00C91F11"/>
    <w:rsid w:val="00C92923"/>
    <w:rsid w:val="00C936C8"/>
    <w:rsid w:val="00C97C1F"/>
    <w:rsid w:val="00CA07D4"/>
    <w:rsid w:val="00CA7B86"/>
    <w:rsid w:val="00CA7DEF"/>
    <w:rsid w:val="00CC2999"/>
    <w:rsid w:val="00CD1E04"/>
    <w:rsid w:val="00CD2F68"/>
    <w:rsid w:val="00CD6E18"/>
    <w:rsid w:val="00CE4030"/>
    <w:rsid w:val="00D026F5"/>
    <w:rsid w:val="00D0395C"/>
    <w:rsid w:val="00D07F58"/>
    <w:rsid w:val="00D124B1"/>
    <w:rsid w:val="00D42966"/>
    <w:rsid w:val="00D51D07"/>
    <w:rsid w:val="00D55A47"/>
    <w:rsid w:val="00D61D31"/>
    <w:rsid w:val="00D70665"/>
    <w:rsid w:val="00D91847"/>
    <w:rsid w:val="00DB6510"/>
    <w:rsid w:val="00DC5F07"/>
    <w:rsid w:val="00DD004C"/>
    <w:rsid w:val="00DD4670"/>
    <w:rsid w:val="00DD6E6C"/>
    <w:rsid w:val="00DF380A"/>
    <w:rsid w:val="00DF4606"/>
    <w:rsid w:val="00E00882"/>
    <w:rsid w:val="00E07039"/>
    <w:rsid w:val="00E12322"/>
    <w:rsid w:val="00E14229"/>
    <w:rsid w:val="00E414AB"/>
    <w:rsid w:val="00E45189"/>
    <w:rsid w:val="00E47E69"/>
    <w:rsid w:val="00E47F92"/>
    <w:rsid w:val="00E529E7"/>
    <w:rsid w:val="00E56860"/>
    <w:rsid w:val="00E611FE"/>
    <w:rsid w:val="00E647D6"/>
    <w:rsid w:val="00E65972"/>
    <w:rsid w:val="00E664EC"/>
    <w:rsid w:val="00E66648"/>
    <w:rsid w:val="00E724D5"/>
    <w:rsid w:val="00E81D79"/>
    <w:rsid w:val="00E9723F"/>
    <w:rsid w:val="00EA7329"/>
    <w:rsid w:val="00EA7B4F"/>
    <w:rsid w:val="00EE2F42"/>
    <w:rsid w:val="00EE3D53"/>
    <w:rsid w:val="00EE6F56"/>
    <w:rsid w:val="00EF5D84"/>
    <w:rsid w:val="00F058DE"/>
    <w:rsid w:val="00F07A88"/>
    <w:rsid w:val="00F1213F"/>
    <w:rsid w:val="00F21EDF"/>
    <w:rsid w:val="00F30031"/>
    <w:rsid w:val="00F368B9"/>
    <w:rsid w:val="00F61F07"/>
    <w:rsid w:val="00F627AA"/>
    <w:rsid w:val="00F8568C"/>
    <w:rsid w:val="00F94183"/>
    <w:rsid w:val="00FA09B4"/>
    <w:rsid w:val="00FB75A4"/>
    <w:rsid w:val="00FC1B99"/>
    <w:rsid w:val="00FD080A"/>
    <w:rsid w:val="00FD14C9"/>
    <w:rsid w:val="00FD52ED"/>
    <w:rsid w:val="00FD748B"/>
    <w:rsid w:val="00FE4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7ED4EEE"/>
  <w15:chartTrackingRefBased/>
  <w15:docId w15:val="{CA411953-157B-47F1-949B-D67BA18D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F56"/>
    <w:pPr>
      <w:ind w:left="720"/>
      <w:contextualSpacing/>
    </w:pPr>
  </w:style>
  <w:style w:type="character" w:styleId="PlaceholderText">
    <w:name w:val="Placeholder Text"/>
    <w:basedOn w:val="DefaultParagraphFont"/>
    <w:uiPriority w:val="99"/>
    <w:semiHidden/>
    <w:rsid w:val="00CA07D4"/>
    <w:rPr>
      <w:color w:val="808080"/>
    </w:rPr>
  </w:style>
  <w:style w:type="paragraph" w:styleId="BalloonText">
    <w:name w:val="Balloon Text"/>
    <w:basedOn w:val="Normal"/>
    <w:link w:val="BalloonTextChar"/>
    <w:uiPriority w:val="99"/>
    <w:semiHidden/>
    <w:unhideWhenUsed/>
    <w:rsid w:val="008A2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7D4"/>
    <w:rPr>
      <w:rFonts w:ascii="Segoe UI" w:hAnsi="Segoe UI" w:cs="Segoe UI"/>
      <w:sz w:val="18"/>
      <w:szCs w:val="18"/>
    </w:rPr>
  </w:style>
  <w:style w:type="paragraph" w:styleId="Header">
    <w:name w:val="header"/>
    <w:basedOn w:val="Normal"/>
    <w:link w:val="HeaderChar"/>
    <w:uiPriority w:val="99"/>
    <w:unhideWhenUsed/>
    <w:rsid w:val="00CA7DEF"/>
    <w:pPr>
      <w:tabs>
        <w:tab w:val="center" w:pos="4513"/>
        <w:tab w:val="right" w:pos="9026"/>
      </w:tabs>
    </w:pPr>
  </w:style>
  <w:style w:type="character" w:customStyle="1" w:styleId="HeaderChar">
    <w:name w:val="Header Char"/>
    <w:basedOn w:val="DefaultParagraphFont"/>
    <w:link w:val="Header"/>
    <w:uiPriority w:val="99"/>
    <w:rsid w:val="00CA7DEF"/>
  </w:style>
  <w:style w:type="paragraph" w:styleId="Footer">
    <w:name w:val="footer"/>
    <w:basedOn w:val="Normal"/>
    <w:link w:val="FooterChar"/>
    <w:uiPriority w:val="99"/>
    <w:unhideWhenUsed/>
    <w:rsid w:val="00CA7DEF"/>
    <w:pPr>
      <w:tabs>
        <w:tab w:val="center" w:pos="4513"/>
        <w:tab w:val="right" w:pos="9026"/>
      </w:tabs>
    </w:pPr>
  </w:style>
  <w:style w:type="character" w:customStyle="1" w:styleId="FooterChar">
    <w:name w:val="Footer Char"/>
    <w:basedOn w:val="DefaultParagraphFont"/>
    <w:link w:val="Footer"/>
    <w:uiPriority w:val="99"/>
    <w:rsid w:val="00CA7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0702">
      <w:bodyDiv w:val="1"/>
      <w:marLeft w:val="0"/>
      <w:marRight w:val="0"/>
      <w:marTop w:val="0"/>
      <w:marBottom w:val="0"/>
      <w:divBdr>
        <w:top w:val="none" w:sz="0" w:space="0" w:color="auto"/>
        <w:left w:val="none" w:sz="0" w:space="0" w:color="auto"/>
        <w:bottom w:val="none" w:sz="0" w:space="0" w:color="auto"/>
        <w:right w:val="none" w:sz="0" w:space="0" w:color="auto"/>
      </w:divBdr>
    </w:div>
    <w:div w:id="347562813">
      <w:bodyDiv w:val="1"/>
      <w:marLeft w:val="0"/>
      <w:marRight w:val="0"/>
      <w:marTop w:val="0"/>
      <w:marBottom w:val="0"/>
      <w:divBdr>
        <w:top w:val="none" w:sz="0" w:space="0" w:color="auto"/>
        <w:left w:val="none" w:sz="0" w:space="0" w:color="auto"/>
        <w:bottom w:val="none" w:sz="0" w:space="0" w:color="auto"/>
        <w:right w:val="none" w:sz="0" w:space="0" w:color="auto"/>
      </w:divBdr>
    </w:div>
    <w:div w:id="623657178">
      <w:bodyDiv w:val="1"/>
      <w:marLeft w:val="0"/>
      <w:marRight w:val="0"/>
      <w:marTop w:val="0"/>
      <w:marBottom w:val="0"/>
      <w:divBdr>
        <w:top w:val="none" w:sz="0" w:space="0" w:color="auto"/>
        <w:left w:val="none" w:sz="0" w:space="0" w:color="auto"/>
        <w:bottom w:val="none" w:sz="0" w:space="0" w:color="auto"/>
        <w:right w:val="none" w:sz="0" w:space="0" w:color="auto"/>
      </w:divBdr>
    </w:div>
    <w:div w:id="933635729">
      <w:bodyDiv w:val="1"/>
      <w:marLeft w:val="0"/>
      <w:marRight w:val="0"/>
      <w:marTop w:val="0"/>
      <w:marBottom w:val="0"/>
      <w:divBdr>
        <w:top w:val="none" w:sz="0" w:space="0" w:color="auto"/>
        <w:left w:val="none" w:sz="0" w:space="0" w:color="auto"/>
        <w:bottom w:val="none" w:sz="0" w:space="0" w:color="auto"/>
        <w:right w:val="none" w:sz="0" w:space="0" w:color="auto"/>
      </w:divBdr>
    </w:div>
    <w:div w:id="1031345670">
      <w:bodyDiv w:val="1"/>
      <w:marLeft w:val="0"/>
      <w:marRight w:val="0"/>
      <w:marTop w:val="0"/>
      <w:marBottom w:val="0"/>
      <w:divBdr>
        <w:top w:val="none" w:sz="0" w:space="0" w:color="auto"/>
        <w:left w:val="none" w:sz="0" w:space="0" w:color="auto"/>
        <w:bottom w:val="none" w:sz="0" w:space="0" w:color="auto"/>
        <w:right w:val="none" w:sz="0" w:space="0" w:color="auto"/>
      </w:divBdr>
    </w:div>
    <w:div w:id="1235582183">
      <w:bodyDiv w:val="1"/>
      <w:marLeft w:val="0"/>
      <w:marRight w:val="0"/>
      <w:marTop w:val="0"/>
      <w:marBottom w:val="0"/>
      <w:divBdr>
        <w:top w:val="none" w:sz="0" w:space="0" w:color="auto"/>
        <w:left w:val="none" w:sz="0" w:space="0" w:color="auto"/>
        <w:bottom w:val="none" w:sz="0" w:space="0" w:color="auto"/>
        <w:right w:val="none" w:sz="0" w:space="0" w:color="auto"/>
      </w:divBdr>
    </w:div>
    <w:div w:id="1610238097">
      <w:bodyDiv w:val="1"/>
      <w:marLeft w:val="0"/>
      <w:marRight w:val="0"/>
      <w:marTop w:val="0"/>
      <w:marBottom w:val="0"/>
      <w:divBdr>
        <w:top w:val="none" w:sz="0" w:space="0" w:color="auto"/>
        <w:left w:val="none" w:sz="0" w:space="0" w:color="auto"/>
        <w:bottom w:val="none" w:sz="0" w:space="0" w:color="auto"/>
        <w:right w:val="none" w:sz="0" w:space="0" w:color="auto"/>
      </w:divBdr>
    </w:div>
    <w:div w:id="1648627762">
      <w:bodyDiv w:val="1"/>
      <w:marLeft w:val="0"/>
      <w:marRight w:val="0"/>
      <w:marTop w:val="0"/>
      <w:marBottom w:val="0"/>
      <w:divBdr>
        <w:top w:val="none" w:sz="0" w:space="0" w:color="auto"/>
        <w:left w:val="none" w:sz="0" w:space="0" w:color="auto"/>
        <w:bottom w:val="none" w:sz="0" w:space="0" w:color="auto"/>
        <w:right w:val="none" w:sz="0" w:space="0" w:color="auto"/>
      </w:divBdr>
    </w:div>
    <w:div w:id="1685479151">
      <w:bodyDiv w:val="1"/>
      <w:marLeft w:val="0"/>
      <w:marRight w:val="0"/>
      <w:marTop w:val="0"/>
      <w:marBottom w:val="0"/>
      <w:divBdr>
        <w:top w:val="none" w:sz="0" w:space="0" w:color="auto"/>
        <w:left w:val="none" w:sz="0" w:space="0" w:color="auto"/>
        <w:bottom w:val="none" w:sz="0" w:space="0" w:color="auto"/>
        <w:right w:val="none" w:sz="0" w:space="0" w:color="auto"/>
      </w:divBdr>
    </w:div>
    <w:div w:id="16882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4CCD4-DEF0-4993-885C-0D17F468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57ACFDE8.dotm</Template>
  <TotalTime>570</TotalTime>
  <Pages>18</Pages>
  <Words>8489</Words>
  <Characters>48392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Bickle</dc:creator>
  <cp:keywords/>
  <dc:description/>
  <cp:lastModifiedBy>Penny Bickle</cp:lastModifiedBy>
  <cp:revision>13</cp:revision>
  <cp:lastPrinted>2018-08-22T14:18:00Z</cp:lastPrinted>
  <dcterms:created xsi:type="dcterms:W3CDTF">2018-08-08T16:25:00Z</dcterms:created>
  <dcterms:modified xsi:type="dcterms:W3CDTF">2018-08-22T15:42:00Z</dcterms:modified>
</cp:coreProperties>
</file>