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6318D" w14:textId="77777777" w:rsidR="000727DB" w:rsidRPr="00EE351A" w:rsidRDefault="0040786B" w:rsidP="00662046">
      <w:pPr>
        <w:spacing w:after="0" w:line="360" w:lineRule="auto"/>
        <w:jc w:val="both"/>
        <w:rPr>
          <w:rFonts w:ascii="Arial" w:hAnsi="Arial" w:cs="Arial"/>
          <w:b/>
        </w:rPr>
      </w:pPr>
      <w:r>
        <w:rPr>
          <w:rFonts w:ascii="Arial" w:hAnsi="Arial" w:cs="Arial"/>
          <w:b/>
        </w:rPr>
        <w:t xml:space="preserve">Measuring the patient experience in community mental health services for older people: A study of the </w:t>
      </w:r>
      <w:r w:rsidR="00025C01">
        <w:rPr>
          <w:rFonts w:ascii="Arial" w:hAnsi="Arial" w:cs="Arial"/>
          <w:b/>
        </w:rPr>
        <w:t>Net Promoter Score</w:t>
      </w:r>
      <w:r w:rsidR="003F41FF" w:rsidRPr="00EE351A">
        <w:rPr>
          <w:rFonts w:ascii="Arial" w:hAnsi="Arial" w:cs="Arial"/>
          <w:b/>
        </w:rPr>
        <w:t xml:space="preserve"> </w:t>
      </w:r>
      <w:r w:rsidR="00025C01">
        <w:rPr>
          <w:rFonts w:ascii="Arial" w:hAnsi="Arial" w:cs="Arial"/>
          <w:b/>
        </w:rPr>
        <w:t>using the Friends and Family Test in England</w:t>
      </w:r>
      <w:r w:rsidR="00D153F5" w:rsidRPr="00EE351A">
        <w:rPr>
          <w:rFonts w:ascii="Arial" w:hAnsi="Arial" w:cs="Arial"/>
          <w:b/>
        </w:rPr>
        <w:t>.</w:t>
      </w:r>
    </w:p>
    <w:p w14:paraId="1BF7A0BA" w14:textId="77777777" w:rsidR="00D153F5" w:rsidRPr="00EE351A" w:rsidRDefault="00D153F5" w:rsidP="005E38B9">
      <w:pPr>
        <w:spacing w:after="0" w:line="360" w:lineRule="auto"/>
        <w:rPr>
          <w:rFonts w:ascii="Arial" w:hAnsi="Arial" w:cs="Arial"/>
        </w:rPr>
      </w:pPr>
    </w:p>
    <w:p w14:paraId="05DDC362" w14:textId="77777777" w:rsidR="00A94C55" w:rsidRDefault="00A94C55" w:rsidP="004F5F2E">
      <w:pPr>
        <w:spacing w:after="0" w:line="360" w:lineRule="auto"/>
        <w:outlineLvl w:val="0"/>
        <w:rPr>
          <w:rFonts w:ascii="Arial" w:hAnsi="Arial" w:cs="Arial"/>
          <w:b/>
        </w:rPr>
      </w:pPr>
      <w:r w:rsidRPr="00EE351A">
        <w:rPr>
          <w:rFonts w:ascii="Arial" w:hAnsi="Arial" w:cs="Arial"/>
          <w:b/>
        </w:rPr>
        <w:t>Running title:</w:t>
      </w:r>
    </w:p>
    <w:p w14:paraId="279D48D7" w14:textId="77777777" w:rsidR="00D52C92" w:rsidRPr="00EE351A" w:rsidRDefault="00D52C92" w:rsidP="005E38B9">
      <w:pPr>
        <w:spacing w:after="0" w:line="360" w:lineRule="auto"/>
        <w:rPr>
          <w:rFonts w:ascii="Arial" w:hAnsi="Arial" w:cs="Arial"/>
          <w:b/>
        </w:rPr>
      </w:pPr>
    </w:p>
    <w:p w14:paraId="58002976" w14:textId="77777777" w:rsidR="00A94C55" w:rsidRPr="00EE351A" w:rsidRDefault="00841B79" w:rsidP="004F5F2E">
      <w:pPr>
        <w:spacing w:after="0" w:line="360" w:lineRule="auto"/>
        <w:outlineLvl w:val="0"/>
        <w:rPr>
          <w:rFonts w:ascii="Arial" w:hAnsi="Arial" w:cs="Arial"/>
        </w:rPr>
      </w:pPr>
      <w:r>
        <w:rPr>
          <w:rFonts w:ascii="Arial" w:hAnsi="Arial" w:cs="Arial"/>
        </w:rPr>
        <w:t>The Net Promoter Score</w:t>
      </w:r>
    </w:p>
    <w:p w14:paraId="1943670A" w14:textId="77777777" w:rsidR="00A94C55" w:rsidRPr="00EE351A" w:rsidRDefault="00A94C55" w:rsidP="005E38B9">
      <w:pPr>
        <w:spacing w:after="0" w:line="360" w:lineRule="auto"/>
        <w:rPr>
          <w:rFonts w:ascii="Arial" w:hAnsi="Arial" w:cs="Arial"/>
        </w:rPr>
      </w:pPr>
    </w:p>
    <w:p w14:paraId="49D4B5EF" w14:textId="77777777" w:rsidR="00A94C55" w:rsidRDefault="00A94C55" w:rsidP="004F5F2E">
      <w:pPr>
        <w:spacing w:after="0" w:line="360" w:lineRule="auto"/>
        <w:outlineLvl w:val="0"/>
        <w:rPr>
          <w:rFonts w:ascii="Arial" w:hAnsi="Arial" w:cs="Arial"/>
          <w:b/>
        </w:rPr>
      </w:pPr>
      <w:r w:rsidRPr="00EE351A">
        <w:rPr>
          <w:rFonts w:ascii="Arial" w:hAnsi="Arial" w:cs="Arial"/>
          <w:b/>
        </w:rPr>
        <w:t>Author list:</w:t>
      </w:r>
    </w:p>
    <w:p w14:paraId="005480B9" w14:textId="77777777" w:rsidR="00D52C92" w:rsidRPr="00EE351A" w:rsidRDefault="00D52C92" w:rsidP="005E38B9">
      <w:pPr>
        <w:spacing w:after="0" w:line="360" w:lineRule="auto"/>
        <w:rPr>
          <w:rFonts w:ascii="Arial" w:hAnsi="Arial" w:cs="Arial"/>
          <w:b/>
        </w:rPr>
      </w:pPr>
    </w:p>
    <w:p w14:paraId="44DAE617" w14:textId="77777777" w:rsidR="00A94C55" w:rsidRPr="00EE351A" w:rsidRDefault="00A94C55" w:rsidP="004F5F2E">
      <w:pPr>
        <w:spacing w:after="0" w:line="360" w:lineRule="auto"/>
        <w:outlineLvl w:val="0"/>
        <w:rPr>
          <w:rFonts w:ascii="Arial" w:hAnsi="Arial" w:cs="Arial"/>
        </w:rPr>
      </w:pPr>
      <w:r w:rsidRPr="00EE351A">
        <w:rPr>
          <w:rFonts w:ascii="Arial" w:hAnsi="Arial" w:cs="Arial"/>
        </w:rPr>
        <w:t>Mark Wilberforce</w:t>
      </w:r>
      <w:r w:rsidR="00F85463" w:rsidRPr="00EE351A">
        <w:rPr>
          <w:rFonts w:ascii="Arial" w:hAnsi="Arial" w:cs="Arial"/>
        </w:rPr>
        <w:t xml:space="preserve"> </w:t>
      </w:r>
    </w:p>
    <w:p w14:paraId="1CB9D2A1" w14:textId="77777777" w:rsidR="00A94C55" w:rsidRPr="00EE351A" w:rsidRDefault="00A94C55" w:rsidP="005E38B9">
      <w:pPr>
        <w:spacing w:after="0" w:line="360" w:lineRule="auto"/>
        <w:rPr>
          <w:rFonts w:ascii="Arial" w:hAnsi="Arial" w:cs="Arial"/>
        </w:rPr>
      </w:pPr>
      <w:r w:rsidRPr="00EE351A">
        <w:rPr>
          <w:rFonts w:ascii="Arial" w:hAnsi="Arial" w:cs="Arial"/>
        </w:rPr>
        <w:t>Personal Social Services Research Unit, University of Manchester, UK.</w:t>
      </w:r>
    </w:p>
    <w:p w14:paraId="1FD23D49" w14:textId="77777777" w:rsidR="00A94C55" w:rsidRPr="00EE351A" w:rsidRDefault="00A94C55" w:rsidP="005E38B9">
      <w:pPr>
        <w:spacing w:after="0" w:line="360" w:lineRule="auto"/>
        <w:rPr>
          <w:rFonts w:ascii="Arial" w:hAnsi="Arial" w:cs="Arial"/>
        </w:rPr>
      </w:pPr>
    </w:p>
    <w:p w14:paraId="5F85E858" w14:textId="77777777" w:rsidR="00A94C55" w:rsidRPr="00EE351A" w:rsidRDefault="00F85463" w:rsidP="004F5F2E">
      <w:pPr>
        <w:spacing w:after="0" w:line="360" w:lineRule="auto"/>
        <w:outlineLvl w:val="0"/>
        <w:rPr>
          <w:rFonts w:ascii="Arial" w:hAnsi="Arial" w:cs="Arial"/>
        </w:rPr>
      </w:pPr>
      <w:r w:rsidRPr="00EE351A">
        <w:rPr>
          <w:rFonts w:ascii="Arial" w:hAnsi="Arial" w:cs="Arial"/>
        </w:rPr>
        <w:t>Sarah Poll</w:t>
      </w:r>
      <w:r w:rsidR="00A94C55" w:rsidRPr="00EE351A">
        <w:rPr>
          <w:rFonts w:ascii="Arial" w:hAnsi="Arial" w:cs="Arial"/>
        </w:rPr>
        <w:t>*</w:t>
      </w:r>
      <w:r w:rsidRPr="00EE351A">
        <w:rPr>
          <w:rFonts w:ascii="Arial" w:hAnsi="Arial" w:cs="Arial"/>
        </w:rPr>
        <w:t xml:space="preserve"> </w:t>
      </w:r>
    </w:p>
    <w:p w14:paraId="2F2F551B" w14:textId="77777777" w:rsidR="00A94C55" w:rsidRPr="00EE351A" w:rsidRDefault="00A94C55" w:rsidP="005E38B9">
      <w:pPr>
        <w:spacing w:after="0" w:line="360" w:lineRule="auto"/>
        <w:rPr>
          <w:rFonts w:ascii="Arial" w:hAnsi="Arial" w:cs="Arial"/>
        </w:rPr>
      </w:pPr>
      <w:r w:rsidRPr="00EE351A">
        <w:rPr>
          <w:rFonts w:ascii="Arial" w:hAnsi="Arial" w:cs="Arial"/>
        </w:rPr>
        <w:t>Bradford District Care NHS Foundation Trust, Bradford, UK</w:t>
      </w:r>
    </w:p>
    <w:p w14:paraId="45E0BE2E" w14:textId="77777777" w:rsidR="00A94C55" w:rsidRPr="00EE351A" w:rsidRDefault="00A94C55" w:rsidP="005E38B9">
      <w:pPr>
        <w:spacing w:after="0" w:line="360" w:lineRule="auto"/>
        <w:rPr>
          <w:rFonts w:ascii="Arial" w:hAnsi="Arial" w:cs="Arial"/>
        </w:rPr>
      </w:pPr>
    </w:p>
    <w:p w14:paraId="59ECCE97" w14:textId="77777777" w:rsidR="00A94C55" w:rsidRDefault="00852632" w:rsidP="004F5F2E">
      <w:pPr>
        <w:spacing w:after="0" w:line="360" w:lineRule="auto"/>
        <w:outlineLvl w:val="0"/>
        <w:rPr>
          <w:rFonts w:ascii="Arial" w:hAnsi="Arial" w:cs="Arial"/>
        </w:rPr>
      </w:pPr>
      <w:r w:rsidRPr="009803A1">
        <w:rPr>
          <w:rFonts w:ascii="Arial" w:hAnsi="Arial" w:cs="Arial"/>
        </w:rPr>
        <w:t xml:space="preserve">Heather Langham </w:t>
      </w:r>
    </w:p>
    <w:p w14:paraId="6CBE5590" w14:textId="77777777" w:rsidR="009803A1" w:rsidRPr="00EE351A" w:rsidRDefault="009803A1" w:rsidP="009803A1">
      <w:pPr>
        <w:spacing w:after="0" w:line="360" w:lineRule="auto"/>
        <w:rPr>
          <w:rFonts w:ascii="Arial" w:hAnsi="Arial" w:cs="Arial"/>
        </w:rPr>
      </w:pPr>
      <w:r w:rsidRPr="00EE351A">
        <w:rPr>
          <w:rFonts w:ascii="Arial" w:hAnsi="Arial" w:cs="Arial"/>
        </w:rPr>
        <w:t>Bradford District Care NHS Foundation Trust, Bradford, UK</w:t>
      </w:r>
    </w:p>
    <w:p w14:paraId="5CE565EE" w14:textId="77777777" w:rsidR="009803A1" w:rsidRPr="00EE351A" w:rsidRDefault="009803A1" w:rsidP="004F5F2E">
      <w:pPr>
        <w:spacing w:after="0" w:line="360" w:lineRule="auto"/>
        <w:outlineLvl w:val="0"/>
        <w:rPr>
          <w:rFonts w:ascii="Arial" w:hAnsi="Arial" w:cs="Arial"/>
        </w:rPr>
      </w:pPr>
    </w:p>
    <w:p w14:paraId="67843599" w14:textId="77777777" w:rsidR="00A94C55" w:rsidRPr="00EE351A" w:rsidRDefault="008A4310" w:rsidP="004F5F2E">
      <w:pPr>
        <w:spacing w:after="0" w:line="360" w:lineRule="auto"/>
        <w:outlineLvl w:val="0"/>
        <w:rPr>
          <w:rFonts w:ascii="Arial" w:hAnsi="Arial" w:cs="Arial"/>
        </w:rPr>
      </w:pPr>
      <w:r w:rsidRPr="00EE351A">
        <w:rPr>
          <w:rFonts w:ascii="Arial" w:hAnsi="Arial" w:cs="Arial"/>
        </w:rPr>
        <w:t xml:space="preserve">Angela Worden </w:t>
      </w:r>
    </w:p>
    <w:p w14:paraId="56091C20" w14:textId="77777777" w:rsidR="00A94C55" w:rsidRPr="00EE351A" w:rsidRDefault="00A94C55" w:rsidP="00A94C55">
      <w:pPr>
        <w:spacing w:after="0" w:line="360" w:lineRule="auto"/>
        <w:rPr>
          <w:rFonts w:ascii="Arial" w:hAnsi="Arial" w:cs="Arial"/>
        </w:rPr>
      </w:pPr>
      <w:r w:rsidRPr="00EE351A">
        <w:rPr>
          <w:rFonts w:ascii="Arial" w:hAnsi="Arial" w:cs="Arial"/>
        </w:rPr>
        <w:t>Personal Social Services Research Unit, University of Manchester, UK.</w:t>
      </w:r>
    </w:p>
    <w:p w14:paraId="3688E6E5" w14:textId="77777777" w:rsidR="00A94C55" w:rsidRPr="00EE351A" w:rsidRDefault="00A94C55" w:rsidP="005E38B9">
      <w:pPr>
        <w:spacing w:after="0" w:line="360" w:lineRule="auto"/>
        <w:rPr>
          <w:rFonts w:ascii="Arial" w:hAnsi="Arial" w:cs="Arial"/>
        </w:rPr>
      </w:pPr>
    </w:p>
    <w:p w14:paraId="3D0EAEEA" w14:textId="77777777" w:rsidR="00A94C55" w:rsidRPr="00EE351A" w:rsidRDefault="003A3096" w:rsidP="005E38B9">
      <w:pPr>
        <w:spacing w:after="0" w:line="360" w:lineRule="auto"/>
        <w:rPr>
          <w:rFonts w:ascii="Arial" w:hAnsi="Arial" w:cs="Arial"/>
        </w:rPr>
      </w:pPr>
      <w:r w:rsidRPr="009803A1">
        <w:rPr>
          <w:rFonts w:ascii="Arial" w:hAnsi="Arial" w:cs="Arial"/>
        </w:rPr>
        <w:t>David Challis</w:t>
      </w:r>
      <w:r w:rsidR="002C108F" w:rsidRPr="009803A1">
        <w:rPr>
          <w:rFonts w:ascii="Arial" w:hAnsi="Arial" w:cs="Arial"/>
        </w:rPr>
        <w:t xml:space="preserve"> </w:t>
      </w:r>
    </w:p>
    <w:p w14:paraId="77592B09" w14:textId="77777777" w:rsidR="00A94C55" w:rsidRPr="00EE351A" w:rsidRDefault="00A94C55" w:rsidP="00A94C55">
      <w:pPr>
        <w:spacing w:after="0" w:line="360" w:lineRule="auto"/>
        <w:rPr>
          <w:rFonts w:ascii="Arial" w:hAnsi="Arial" w:cs="Arial"/>
        </w:rPr>
      </w:pPr>
      <w:r w:rsidRPr="00EE351A">
        <w:rPr>
          <w:rFonts w:ascii="Arial" w:hAnsi="Arial" w:cs="Arial"/>
        </w:rPr>
        <w:t>Personal Social Services Research Unit, University of Manchester, UK.</w:t>
      </w:r>
    </w:p>
    <w:p w14:paraId="32D4E4EB" w14:textId="77777777" w:rsidR="00F85463" w:rsidRPr="00EE351A" w:rsidRDefault="002000A4" w:rsidP="005E38B9">
      <w:pPr>
        <w:spacing w:after="0" w:line="360" w:lineRule="auto"/>
        <w:rPr>
          <w:rFonts w:ascii="Arial" w:hAnsi="Arial" w:cs="Arial"/>
        </w:rPr>
      </w:pPr>
      <w:r w:rsidRPr="00EE351A">
        <w:rPr>
          <w:rFonts w:ascii="Arial" w:hAnsi="Arial" w:cs="Arial"/>
        </w:rPr>
        <w:t xml:space="preserve"> </w:t>
      </w:r>
    </w:p>
    <w:p w14:paraId="2C5ECD89" w14:textId="77777777" w:rsidR="00A94C55" w:rsidRPr="00EE351A" w:rsidRDefault="00A94C55" w:rsidP="005E38B9">
      <w:pPr>
        <w:spacing w:after="0" w:line="360" w:lineRule="auto"/>
        <w:rPr>
          <w:rFonts w:ascii="Arial" w:hAnsi="Arial" w:cs="Arial"/>
          <w:b/>
        </w:rPr>
      </w:pPr>
      <w:r w:rsidRPr="00EE351A">
        <w:rPr>
          <w:rFonts w:ascii="Arial" w:hAnsi="Arial" w:cs="Arial"/>
          <w:b/>
        </w:rPr>
        <w:t>* Corresponding author</w:t>
      </w:r>
    </w:p>
    <w:p w14:paraId="4BFFC328" w14:textId="77777777" w:rsidR="00EE351A" w:rsidRPr="00EE351A" w:rsidRDefault="00A94C55" w:rsidP="004D07D8">
      <w:pPr>
        <w:spacing w:line="480" w:lineRule="auto"/>
        <w:rPr>
          <w:rFonts w:ascii="Arial" w:hAnsi="Arial" w:cs="Arial"/>
          <w:color w:val="000000"/>
          <w:lang w:val="en-US" w:eastAsia="en-GB"/>
        </w:rPr>
      </w:pPr>
      <w:r w:rsidRPr="00EE351A">
        <w:rPr>
          <w:rFonts w:ascii="Arial" w:hAnsi="Arial" w:cs="Arial"/>
          <w:color w:val="000000"/>
          <w:lang w:val="en-US" w:eastAsia="en-GB"/>
        </w:rPr>
        <w:t xml:space="preserve">The Craven Centre, Skipton Hospital, </w:t>
      </w:r>
      <w:proofErr w:type="spellStart"/>
      <w:r w:rsidRPr="00EE351A">
        <w:rPr>
          <w:rFonts w:ascii="Arial" w:hAnsi="Arial" w:cs="Arial"/>
          <w:color w:val="000000"/>
          <w:lang w:val="en-US" w:eastAsia="en-GB"/>
        </w:rPr>
        <w:t>Keighley</w:t>
      </w:r>
      <w:proofErr w:type="spellEnd"/>
      <w:r w:rsidRPr="00EE351A">
        <w:rPr>
          <w:rFonts w:ascii="Arial" w:hAnsi="Arial" w:cs="Arial"/>
          <w:color w:val="000000"/>
          <w:lang w:val="en-US" w:eastAsia="en-GB"/>
        </w:rPr>
        <w:t xml:space="preserve"> Road, Skipton, North Yorkshire, BD23 2RJ</w:t>
      </w:r>
      <w:r w:rsidR="00EE351A" w:rsidRPr="00EE351A">
        <w:rPr>
          <w:rFonts w:ascii="Arial" w:hAnsi="Arial" w:cs="Arial"/>
          <w:color w:val="000000"/>
          <w:lang w:val="en-US" w:eastAsia="en-GB"/>
        </w:rPr>
        <w:t>.  Sarah.poll@bdct.nhs.uk</w:t>
      </w:r>
    </w:p>
    <w:p w14:paraId="2DEEACD3" w14:textId="77777777" w:rsidR="00A94C55" w:rsidRPr="00EE351A" w:rsidRDefault="00A94C55" w:rsidP="005E38B9">
      <w:pPr>
        <w:spacing w:after="0" w:line="360" w:lineRule="auto"/>
        <w:rPr>
          <w:rFonts w:ascii="Arial" w:hAnsi="Arial" w:cs="Arial"/>
        </w:rPr>
      </w:pPr>
    </w:p>
    <w:p w14:paraId="3868E595" w14:textId="77777777" w:rsidR="00EE351A" w:rsidRPr="00EE351A" w:rsidRDefault="00EE351A" w:rsidP="004F5F2E">
      <w:pPr>
        <w:spacing w:after="0" w:line="360" w:lineRule="auto"/>
        <w:outlineLvl w:val="0"/>
        <w:rPr>
          <w:rFonts w:ascii="Arial" w:hAnsi="Arial" w:cs="Arial"/>
        </w:rPr>
      </w:pPr>
      <w:r w:rsidRPr="00EE351A">
        <w:rPr>
          <w:rFonts w:ascii="Arial" w:hAnsi="Arial" w:cs="Arial"/>
          <w:b/>
        </w:rPr>
        <w:t>Word count:</w:t>
      </w:r>
      <w:r w:rsidRPr="00EE351A">
        <w:rPr>
          <w:rFonts w:ascii="Arial" w:hAnsi="Arial" w:cs="Arial"/>
        </w:rPr>
        <w:t xml:space="preserve"> 3</w:t>
      </w:r>
      <w:r w:rsidR="002049D7">
        <w:rPr>
          <w:rFonts w:ascii="Arial" w:hAnsi="Arial" w:cs="Arial"/>
        </w:rPr>
        <w:t>323</w:t>
      </w:r>
    </w:p>
    <w:p w14:paraId="2B3C512F" w14:textId="77777777" w:rsidR="00EE351A" w:rsidRPr="00EE351A" w:rsidRDefault="00EE351A" w:rsidP="005E38B9">
      <w:pPr>
        <w:spacing w:after="0" w:line="360" w:lineRule="auto"/>
        <w:rPr>
          <w:rFonts w:ascii="Arial" w:hAnsi="Arial" w:cs="Arial"/>
        </w:rPr>
      </w:pPr>
    </w:p>
    <w:p w14:paraId="44033990" w14:textId="77777777" w:rsidR="00EE351A" w:rsidRPr="00EE351A" w:rsidRDefault="00EE351A" w:rsidP="004F5F2E">
      <w:pPr>
        <w:spacing w:after="0" w:line="480" w:lineRule="auto"/>
        <w:outlineLvl w:val="0"/>
        <w:rPr>
          <w:rFonts w:ascii="Arial" w:hAnsi="Arial" w:cs="Arial"/>
          <w:b/>
        </w:rPr>
      </w:pPr>
      <w:r w:rsidRPr="00EE351A">
        <w:rPr>
          <w:rFonts w:ascii="Arial" w:hAnsi="Arial" w:cs="Arial"/>
          <w:b/>
        </w:rPr>
        <w:t>Acknowledgements</w:t>
      </w:r>
    </w:p>
    <w:p w14:paraId="4AC419B6" w14:textId="77777777" w:rsidR="00EE351A" w:rsidRPr="00EE351A" w:rsidRDefault="00EE351A" w:rsidP="00662046">
      <w:pPr>
        <w:spacing w:line="480" w:lineRule="auto"/>
        <w:jc w:val="both"/>
        <w:rPr>
          <w:rFonts w:ascii="Arial" w:hAnsi="Arial" w:cs="Arial"/>
        </w:rPr>
      </w:pPr>
      <w:r w:rsidRPr="00EE351A">
        <w:rPr>
          <w:rFonts w:ascii="Arial" w:hAnsi="Arial" w:cs="Arial"/>
        </w:rPr>
        <w:t xml:space="preserve">This report is independent research arising from a Doctoral Research Fellowship (DRF-2013-06-038) supported by the National Institute for Health Research. The views expressed </w:t>
      </w:r>
      <w:r w:rsidRPr="00EE351A">
        <w:rPr>
          <w:rFonts w:ascii="Arial" w:hAnsi="Arial" w:cs="Arial"/>
        </w:rPr>
        <w:lastRenderedPageBreak/>
        <w:t>in this publication are those of the author(s) and not necessarily those of the NHS, the National Institute for Health Research or the Department of Health.  The authors are grateful to the NHS Trusts, staff and patients who contributed to the research.</w:t>
      </w:r>
    </w:p>
    <w:p w14:paraId="601B3122" w14:textId="77777777" w:rsidR="00D367C8" w:rsidRDefault="00D367C8" w:rsidP="005E38B9">
      <w:pPr>
        <w:spacing w:after="0" w:line="360" w:lineRule="auto"/>
        <w:rPr>
          <w:rFonts w:ascii="Arial" w:hAnsi="Arial" w:cs="Arial"/>
          <w:b/>
        </w:rPr>
      </w:pPr>
    </w:p>
    <w:p w14:paraId="0E38D346" w14:textId="77777777" w:rsidR="00EE351A" w:rsidRPr="00EE351A" w:rsidRDefault="00EE351A" w:rsidP="005E38B9">
      <w:pPr>
        <w:spacing w:after="0" w:line="360" w:lineRule="auto"/>
        <w:rPr>
          <w:rFonts w:ascii="Arial" w:hAnsi="Arial" w:cs="Arial"/>
        </w:rPr>
      </w:pPr>
      <w:r w:rsidRPr="00EE351A">
        <w:rPr>
          <w:rFonts w:ascii="Arial" w:hAnsi="Arial" w:cs="Arial"/>
          <w:b/>
        </w:rPr>
        <w:t>Funder</w:t>
      </w:r>
      <w:r w:rsidRPr="00EE351A">
        <w:rPr>
          <w:rFonts w:ascii="Arial" w:hAnsi="Arial" w:cs="Arial"/>
        </w:rPr>
        <w:t>:  National Institute for Health Research (DRF-2013-06-038)</w:t>
      </w:r>
    </w:p>
    <w:p w14:paraId="350DE9D0" w14:textId="77777777" w:rsidR="00EE351A" w:rsidRPr="00EE351A" w:rsidRDefault="00EE351A" w:rsidP="005E38B9">
      <w:pPr>
        <w:spacing w:after="0" w:line="360" w:lineRule="auto"/>
        <w:rPr>
          <w:rFonts w:ascii="Arial" w:hAnsi="Arial" w:cs="Arial"/>
          <w:b/>
        </w:rPr>
      </w:pPr>
    </w:p>
    <w:p w14:paraId="71CFB20B" w14:textId="03DEB516" w:rsidR="00D367C8" w:rsidRPr="00B56C44" w:rsidRDefault="00B56C44" w:rsidP="004F5F2E">
      <w:pPr>
        <w:spacing w:after="0" w:line="480" w:lineRule="auto"/>
        <w:outlineLvl w:val="0"/>
        <w:rPr>
          <w:rFonts w:ascii="Arial" w:hAnsi="Arial" w:cs="Arial"/>
        </w:rPr>
      </w:pPr>
      <w:r>
        <w:rPr>
          <w:rFonts w:ascii="Arial" w:hAnsi="Arial" w:cs="Arial"/>
          <w:b/>
        </w:rPr>
        <w:t xml:space="preserve">Conflict of Interest:  </w:t>
      </w:r>
      <w:r>
        <w:rPr>
          <w:rFonts w:ascii="Arial" w:hAnsi="Arial" w:cs="Arial"/>
        </w:rPr>
        <w:t>All authors declare that they have no conflicts of interest.</w:t>
      </w:r>
    </w:p>
    <w:p w14:paraId="417FF6FB" w14:textId="77777777" w:rsidR="00B56C44" w:rsidRDefault="00B56C44" w:rsidP="004F5F2E">
      <w:pPr>
        <w:spacing w:after="0" w:line="480" w:lineRule="auto"/>
        <w:outlineLvl w:val="0"/>
        <w:rPr>
          <w:rFonts w:ascii="Arial" w:hAnsi="Arial" w:cs="Arial"/>
          <w:b/>
        </w:rPr>
      </w:pPr>
    </w:p>
    <w:p w14:paraId="47EE35E6" w14:textId="77777777" w:rsidR="007102E0" w:rsidRPr="00EE351A" w:rsidRDefault="007102E0" w:rsidP="004F5F2E">
      <w:pPr>
        <w:spacing w:after="0" w:line="480" w:lineRule="auto"/>
        <w:outlineLvl w:val="0"/>
        <w:rPr>
          <w:rFonts w:ascii="Arial" w:hAnsi="Arial" w:cs="Arial"/>
          <w:b/>
        </w:rPr>
      </w:pPr>
      <w:r w:rsidRPr="00EE351A">
        <w:rPr>
          <w:rFonts w:ascii="Arial" w:hAnsi="Arial" w:cs="Arial"/>
          <w:b/>
        </w:rPr>
        <w:t>Abstract</w:t>
      </w:r>
    </w:p>
    <w:p w14:paraId="18969398" w14:textId="77777777" w:rsidR="00EE351A" w:rsidRPr="00EE351A" w:rsidRDefault="00EE351A" w:rsidP="00591BA7">
      <w:pPr>
        <w:spacing w:after="0" w:line="480" w:lineRule="auto"/>
        <w:rPr>
          <w:rFonts w:ascii="Arial" w:hAnsi="Arial" w:cs="Arial"/>
          <w:b/>
        </w:rPr>
      </w:pPr>
    </w:p>
    <w:p w14:paraId="353DA13F" w14:textId="52BBF3D5" w:rsidR="00DA657D" w:rsidRPr="004D729A" w:rsidRDefault="00EE351A" w:rsidP="00662046">
      <w:pPr>
        <w:spacing w:after="0" w:line="480" w:lineRule="auto"/>
        <w:jc w:val="both"/>
        <w:rPr>
          <w:rFonts w:ascii="Arial" w:hAnsi="Arial" w:cs="Arial"/>
        </w:rPr>
      </w:pPr>
      <w:r w:rsidRPr="00EE351A">
        <w:rPr>
          <w:rFonts w:ascii="Arial" w:hAnsi="Arial" w:cs="Arial"/>
          <w:b/>
        </w:rPr>
        <w:t>Objectives</w:t>
      </w:r>
      <w:r w:rsidR="007102E0" w:rsidRPr="00EE351A">
        <w:rPr>
          <w:rFonts w:ascii="Arial" w:hAnsi="Arial" w:cs="Arial"/>
        </w:rPr>
        <w:t xml:space="preserve">: </w:t>
      </w:r>
      <w:r w:rsidR="00DA657D" w:rsidRPr="00CA36BC">
        <w:rPr>
          <w:rFonts w:ascii="Arial" w:hAnsi="Arial" w:cs="Arial"/>
          <w:highlight w:val="yellow"/>
        </w:rPr>
        <w:t xml:space="preserve">The research aimed to explore the value of the </w:t>
      </w:r>
      <w:r w:rsidR="00DA657D">
        <w:rPr>
          <w:rFonts w:ascii="Arial" w:hAnsi="Arial" w:cs="Arial"/>
          <w:highlight w:val="yellow"/>
        </w:rPr>
        <w:t>Net Promoter Score</w:t>
      </w:r>
      <w:r w:rsidR="00DA657D" w:rsidRPr="00CA36BC">
        <w:rPr>
          <w:rFonts w:ascii="Arial" w:hAnsi="Arial" w:cs="Arial"/>
          <w:highlight w:val="yellow"/>
        </w:rPr>
        <w:t xml:space="preserve"> as a service improvement tool and an outcome measure.  The study </w:t>
      </w:r>
      <w:r w:rsidR="00DA657D" w:rsidRPr="00DA657D">
        <w:rPr>
          <w:rFonts w:ascii="Arial" w:hAnsi="Arial" w:cs="Arial"/>
          <w:highlight w:val="yellow"/>
        </w:rPr>
        <w:t>objectives were to (</w:t>
      </w:r>
      <w:proofErr w:type="spellStart"/>
      <w:r w:rsidR="00DA657D" w:rsidRPr="00DA657D">
        <w:rPr>
          <w:rFonts w:ascii="Arial" w:hAnsi="Arial" w:cs="Arial"/>
          <w:highlight w:val="yellow"/>
        </w:rPr>
        <w:t>i</w:t>
      </w:r>
      <w:proofErr w:type="spellEnd"/>
      <w:r w:rsidR="00DA657D" w:rsidRPr="00DA657D">
        <w:rPr>
          <w:rFonts w:ascii="Arial" w:hAnsi="Arial" w:cs="Arial"/>
          <w:highlight w:val="yellow"/>
        </w:rPr>
        <w:t>) explore associations between the Net Promoter Score with patient and service</w:t>
      </w:r>
      <w:r w:rsidR="00C61F35">
        <w:rPr>
          <w:rFonts w:ascii="Arial" w:hAnsi="Arial" w:cs="Arial"/>
          <w:highlight w:val="yellow"/>
        </w:rPr>
        <w:t>-receipt</w:t>
      </w:r>
      <w:r w:rsidR="00DA657D" w:rsidRPr="00DA657D">
        <w:rPr>
          <w:rFonts w:ascii="Arial" w:hAnsi="Arial" w:cs="Arial"/>
          <w:highlight w:val="yellow"/>
        </w:rPr>
        <w:t xml:space="preserve"> characteristics; (ii) evaluate the strength of association between the Net Promoter Score and a satisfaction score; and (iii) evaluate its test-retest reliability.</w:t>
      </w:r>
    </w:p>
    <w:p w14:paraId="64E3AD6C" w14:textId="77777777" w:rsidR="00E86A5B" w:rsidRPr="00EE351A" w:rsidRDefault="00E86A5B" w:rsidP="00662046">
      <w:pPr>
        <w:spacing w:after="0" w:line="480" w:lineRule="auto"/>
        <w:jc w:val="both"/>
        <w:rPr>
          <w:rFonts w:ascii="Arial" w:hAnsi="Arial" w:cs="Arial"/>
        </w:rPr>
      </w:pPr>
    </w:p>
    <w:p w14:paraId="0D8102D2" w14:textId="7C500A07" w:rsidR="007102E0" w:rsidRPr="00EE351A" w:rsidRDefault="007102E0" w:rsidP="00662046">
      <w:pPr>
        <w:spacing w:after="0" w:line="480" w:lineRule="auto"/>
        <w:jc w:val="both"/>
        <w:rPr>
          <w:rFonts w:ascii="Arial" w:hAnsi="Arial" w:cs="Arial"/>
        </w:rPr>
      </w:pPr>
      <w:r w:rsidRPr="00EE351A">
        <w:rPr>
          <w:rFonts w:ascii="Arial" w:hAnsi="Arial" w:cs="Arial"/>
          <w:b/>
        </w:rPr>
        <w:t>Methods</w:t>
      </w:r>
      <w:r w:rsidR="008E3D8B" w:rsidRPr="00EE351A">
        <w:rPr>
          <w:rFonts w:ascii="Arial" w:hAnsi="Arial" w:cs="Arial"/>
        </w:rPr>
        <w:t xml:space="preserve">: </w:t>
      </w:r>
      <w:r w:rsidR="0040786B">
        <w:rPr>
          <w:rFonts w:ascii="Arial" w:hAnsi="Arial" w:cs="Arial"/>
        </w:rPr>
        <w:t xml:space="preserve"> </w:t>
      </w:r>
      <w:r w:rsidR="00F30CFE" w:rsidRPr="00EE351A">
        <w:rPr>
          <w:rFonts w:ascii="Arial" w:hAnsi="Arial" w:cs="Arial"/>
        </w:rPr>
        <w:t xml:space="preserve">A postal survey was sent to service users on caseloads of community mental health teams </w:t>
      </w:r>
      <w:r w:rsidR="00B00B99" w:rsidRPr="00EE351A">
        <w:rPr>
          <w:rFonts w:ascii="Arial" w:hAnsi="Arial" w:cs="Arial"/>
        </w:rPr>
        <w:t xml:space="preserve">for older people </w:t>
      </w:r>
      <w:r w:rsidR="00F30CFE" w:rsidRPr="00EE351A">
        <w:rPr>
          <w:rFonts w:ascii="Arial" w:hAnsi="Arial" w:cs="Arial"/>
        </w:rPr>
        <w:t>in four localities of England.  The survey colle</w:t>
      </w:r>
      <w:r w:rsidR="0040786B">
        <w:rPr>
          <w:rFonts w:ascii="Arial" w:hAnsi="Arial" w:cs="Arial"/>
        </w:rPr>
        <w:t xml:space="preserve">cted the </w:t>
      </w:r>
      <w:r w:rsidR="009803A1">
        <w:rPr>
          <w:rFonts w:ascii="Arial" w:hAnsi="Arial" w:cs="Arial"/>
        </w:rPr>
        <w:t>Net Promoter Score</w:t>
      </w:r>
      <w:r w:rsidR="00F30CFE" w:rsidRPr="00EE351A">
        <w:rPr>
          <w:rFonts w:ascii="Arial" w:hAnsi="Arial" w:cs="Arial"/>
        </w:rPr>
        <w:t>, a single satisfaction question</w:t>
      </w:r>
      <w:r w:rsidR="00B00B99" w:rsidRPr="00EE351A">
        <w:rPr>
          <w:rFonts w:ascii="Arial" w:hAnsi="Arial" w:cs="Arial"/>
        </w:rPr>
        <w:t>,</w:t>
      </w:r>
      <w:r w:rsidR="00F97E6A">
        <w:rPr>
          <w:rFonts w:ascii="Arial" w:hAnsi="Arial" w:cs="Arial"/>
        </w:rPr>
        <w:t xml:space="preserve"> and data on</w:t>
      </w:r>
      <w:r w:rsidR="00B00B99" w:rsidRPr="00EE351A">
        <w:rPr>
          <w:rFonts w:ascii="Arial" w:hAnsi="Arial" w:cs="Arial"/>
        </w:rPr>
        <w:t xml:space="preserve"> </w:t>
      </w:r>
      <w:r w:rsidR="00F30CFE" w:rsidRPr="00EE351A">
        <w:rPr>
          <w:rFonts w:ascii="Arial" w:hAnsi="Arial" w:cs="Arial"/>
        </w:rPr>
        <w:t>socio-demographic</w:t>
      </w:r>
      <w:r w:rsidR="00F97E6A">
        <w:rPr>
          <w:rFonts w:ascii="Arial" w:hAnsi="Arial" w:cs="Arial"/>
        </w:rPr>
        <w:t>s</w:t>
      </w:r>
      <w:r w:rsidR="00F30CFE" w:rsidRPr="00EE351A">
        <w:rPr>
          <w:rFonts w:ascii="Arial" w:hAnsi="Arial" w:cs="Arial"/>
        </w:rPr>
        <w:t xml:space="preserve">, clinical profile and </w:t>
      </w:r>
      <w:r w:rsidR="00F30CFE" w:rsidRPr="000776B0">
        <w:rPr>
          <w:rFonts w:ascii="Arial" w:hAnsi="Arial" w:cs="Arial"/>
          <w:highlight w:val="yellow"/>
        </w:rPr>
        <w:t>service receipt.</w:t>
      </w:r>
      <w:r w:rsidR="00F30CFE" w:rsidRPr="00EE351A">
        <w:rPr>
          <w:rFonts w:ascii="Arial" w:hAnsi="Arial" w:cs="Arial"/>
        </w:rPr>
        <w:t xml:space="preserve"> </w:t>
      </w:r>
      <w:r w:rsidR="00CA36BC" w:rsidRPr="00CA36BC">
        <w:rPr>
          <w:rFonts w:ascii="Arial" w:hAnsi="Arial" w:cs="Arial"/>
          <w:highlight w:val="yellow"/>
        </w:rPr>
        <w:t>Analysis used non-parametric tests of association and exploratory least squares regression</w:t>
      </w:r>
      <w:r w:rsidR="00CA36BC">
        <w:rPr>
          <w:rFonts w:ascii="Arial" w:hAnsi="Arial" w:cs="Arial"/>
        </w:rPr>
        <w:t xml:space="preserve">.  </w:t>
      </w:r>
      <w:r w:rsidR="00F30CFE" w:rsidRPr="00EE351A">
        <w:rPr>
          <w:rFonts w:ascii="Arial" w:hAnsi="Arial" w:cs="Arial"/>
        </w:rPr>
        <w:t>A second survey was administered for test-retest reliability analysis.</w:t>
      </w:r>
      <w:r w:rsidR="002C108F">
        <w:rPr>
          <w:rFonts w:ascii="Arial" w:hAnsi="Arial" w:cs="Arial"/>
        </w:rPr>
        <w:t xml:space="preserve">  Fieldwork concluded </w:t>
      </w:r>
      <w:r w:rsidR="00A43E23">
        <w:rPr>
          <w:rFonts w:ascii="Arial" w:hAnsi="Arial" w:cs="Arial"/>
        </w:rPr>
        <w:t xml:space="preserve">in </w:t>
      </w:r>
      <w:r w:rsidR="001E09E5">
        <w:rPr>
          <w:rFonts w:ascii="Arial" w:hAnsi="Arial" w:cs="Arial"/>
        </w:rPr>
        <w:t>April</w:t>
      </w:r>
      <w:r w:rsidR="00A43E23">
        <w:rPr>
          <w:rFonts w:ascii="Arial" w:hAnsi="Arial" w:cs="Arial"/>
        </w:rPr>
        <w:t xml:space="preserve"> 2016.  </w:t>
      </w:r>
    </w:p>
    <w:p w14:paraId="2955EC0F" w14:textId="77777777" w:rsidR="00E86A5B" w:rsidRPr="00EE351A" w:rsidRDefault="00E86A5B" w:rsidP="00662046">
      <w:pPr>
        <w:spacing w:after="0" w:line="480" w:lineRule="auto"/>
        <w:jc w:val="both"/>
        <w:rPr>
          <w:rFonts w:ascii="Arial" w:hAnsi="Arial" w:cs="Arial"/>
        </w:rPr>
      </w:pPr>
    </w:p>
    <w:p w14:paraId="604DD703" w14:textId="5399A869" w:rsidR="00B00B99" w:rsidRPr="00EE351A" w:rsidRDefault="00EE351A" w:rsidP="00662046">
      <w:pPr>
        <w:spacing w:after="0" w:line="480" w:lineRule="auto"/>
        <w:jc w:val="both"/>
        <w:rPr>
          <w:rFonts w:ascii="Arial" w:hAnsi="Arial" w:cs="Arial"/>
        </w:rPr>
      </w:pPr>
      <w:r w:rsidRPr="00EE351A">
        <w:rPr>
          <w:rFonts w:ascii="Arial" w:hAnsi="Arial" w:cs="Arial"/>
          <w:b/>
        </w:rPr>
        <w:t>Results</w:t>
      </w:r>
      <w:r w:rsidR="008E3D8B" w:rsidRPr="00EE351A">
        <w:rPr>
          <w:rFonts w:ascii="Arial" w:hAnsi="Arial" w:cs="Arial"/>
        </w:rPr>
        <w:t xml:space="preserve">: </w:t>
      </w:r>
      <w:r w:rsidR="00CA36BC" w:rsidRPr="00CA36BC">
        <w:rPr>
          <w:rFonts w:ascii="Arial" w:hAnsi="Arial" w:cs="Arial"/>
          <w:highlight w:val="yellow"/>
        </w:rPr>
        <w:t>For 352 respondents</w:t>
      </w:r>
      <w:r w:rsidR="00F05494">
        <w:rPr>
          <w:rFonts w:ascii="Arial" w:hAnsi="Arial" w:cs="Arial"/>
          <w:highlight w:val="yellow"/>
        </w:rPr>
        <w:t>,</w:t>
      </w:r>
      <w:r w:rsidR="002564BE">
        <w:rPr>
          <w:rFonts w:ascii="Arial" w:hAnsi="Arial" w:cs="Arial"/>
        </w:rPr>
        <w:t xml:space="preserve"> </w:t>
      </w:r>
      <w:r w:rsidR="00CA36BC">
        <w:rPr>
          <w:rFonts w:ascii="Arial" w:hAnsi="Arial" w:cs="Arial"/>
        </w:rPr>
        <w:t>t</w:t>
      </w:r>
      <w:r w:rsidR="00F30CFE" w:rsidRPr="00EE351A">
        <w:rPr>
          <w:rFonts w:ascii="Arial" w:hAnsi="Arial" w:cs="Arial"/>
        </w:rPr>
        <w:t xml:space="preserve">he </w:t>
      </w:r>
      <w:r w:rsidR="0040786B">
        <w:rPr>
          <w:rFonts w:ascii="Arial" w:hAnsi="Arial" w:cs="Arial"/>
        </w:rPr>
        <w:t>Net Promoter Score</w:t>
      </w:r>
      <w:r w:rsidR="00B00B99" w:rsidRPr="00EE351A">
        <w:rPr>
          <w:rFonts w:ascii="Arial" w:hAnsi="Arial" w:cs="Arial"/>
        </w:rPr>
        <w:t xml:space="preserve"> </w:t>
      </w:r>
      <w:r w:rsidR="00F30CFE" w:rsidRPr="00EE351A">
        <w:rPr>
          <w:rFonts w:ascii="Arial" w:hAnsi="Arial" w:cs="Arial"/>
        </w:rPr>
        <w:t>was negatively related to age</w:t>
      </w:r>
      <w:r w:rsidR="00B00B99" w:rsidRPr="00EE351A">
        <w:rPr>
          <w:rFonts w:ascii="Arial" w:hAnsi="Arial" w:cs="Arial"/>
        </w:rPr>
        <w:t xml:space="preserve"> and was lowest for those still within six months of their initial referral.  Receiving support from a psychiatrist and/or support worker was linked to higher scores.  </w:t>
      </w:r>
      <w:r w:rsidR="00880D25" w:rsidRPr="00880D25">
        <w:rPr>
          <w:rFonts w:ascii="Arial" w:hAnsi="Arial" w:cs="Arial"/>
          <w:highlight w:val="yellow"/>
        </w:rPr>
        <w:t xml:space="preserve">A strong but imperfect correlation coefficient with </w:t>
      </w:r>
      <w:r w:rsidR="00CA36BC">
        <w:rPr>
          <w:rFonts w:ascii="Arial" w:hAnsi="Arial" w:cs="Arial"/>
          <w:highlight w:val="yellow"/>
        </w:rPr>
        <w:t>the</w:t>
      </w:r>
      <w:r w:rsidR="00880D25" w:rsidRPr="00880D25">
        <w:rPr>
          <w:rFonts w:ascii="Arial" w:hAnsi="Arial" w:cs="Arial"/>
          <w:highlight w:val="yellow"/>
        </w:rPr>
        <w:t xml:space="preserve"> satisfaction score indicates </w:t>
      </w:r>
      <w:r w:rsidR="00880D25">
        <w:rPr>
          <w:rFonts w:ascii="Arial" w:hAnsi="Arial" w:cs="Arial"/>
          <w:highlight w:val="yellow"/>
        </w:rPr>
        <w:t xml:space="preserve">they </w:t>
      </w:r>
      <w:r w:rsidR="00CA36BC">
        <w:rPr>
          <w:rFonts w:ascii="Arial" w:hAnsi="Arial" w:cs="Arial"/>
          <w:highlight w:val="yellow"/>
        </w:rPr>
        <w:t xml:space="preserve">evaluate </w:t>
      </w:r>
      <w:r w:rsidR="00880D25" w:rsidRPr="00880D25">
        <w:rPr>
          <w:rFonts w:ascii="Arial" w:hAnsi="Arial" w:cs="Arial"/>
          <w:highlight w:val="yellow"/>
        </w:rPr>
        <w:t>related but distinct construct</w:t>
      </w:r>
      <w:r w:rsidR="00880D25">
        <w:rPr>
          <w:rFonts w:ascii="Arial" w:hAnsi="Arial" w:cs="Arial"/>
          <w:highlight w:val="yellow"/>
        </w:rPr>
        <w:t>s</w:t>
      </w:r>
      <w:r w:rsidR="00880D25" w:rsidRPr="00880D25">
        <w:rPr>
          <w:rFonts w:ascii="Arial" w:hAnsi="Arial" w:cs="Arial"/>
          <w:highlight w:val="yellow"/>
        </w:rPr>
        <w:t>.</w:t>
      </w:r>
      <w:r w:rsidR="00880D25">
        <w:rPr>
          <w:rFonts w:ascii="Arial" w:hAnsi="Arial" w:cs="Arial"/>
        </w:rPr>
        <w:t xml:space="preserve">  </w:t>
      </w:r>
      <w:r w:rsidR="0040786B">
        <w:rPr>
          <w:rFonts w:ascii="Arial" w:hAnsi="Arial" w:cs="Arial"/>
        </w:rPr>
        <w:t xml:space="preserve">It </w:t>
      </w:r>
      <w:r w:rsidR="00B66EA5" w:rsidRPr="00EE351A">
        <w:rPr>
          <w:rFonts w:ascii="Arial" w:hAnsi="Arial" w:cs="Arial"/>
        </w:rPr>
        <w:t xml:space="preserve">had a </w:t>
      </w:r>
      <w:r w:rsidR="0040786B">
        <w:rPr>
          <w:rFonts w:ascii="Arial" w:hAnsi="Arial" w:cs="Arial"/>
        </w:rPr>
        <w:t>reasonable</w:t>
      </w:r>
      <w:r w:rsidR="00B66EA5" w:rsidRPr="00EE351A">
        <w:rPr>
          <w:rFonts w:ascii="Arial" w:hAnsi="Arial" w:cs="Arial"/>
        </w:rPr>
        <w:t xml:space="preserve"> test-retest reliability, with </w:t>
      </w:r>
      <w:r w:rsidR="00A43E23">
        <w:rPr>
          <w:rFonts w:ascii="Arial" w:hAnsi="Arial" w:cs="Arial"/>
        </w:rPr>
        <w:t xml:space="preserve">a </w:t>
      </w:r>
      <w:r w:rsidR="00B66EA5" w:rsidRPr="00EE351A">
        <w:rPr>
          <w:rFonts w:ascii="Arial" w:hAnsi="Arial" w:cs="Arial"/>
        </w:rPr>
        <w:t>weighted kappa of 0.706.</w:t>
      </w:r>
    </w:p>
    <w:p w14:paraId="253E6695" w14:textId="77777777" w:rsidR="00E86A5B" w:rsidRPr="00EE351A" w:rsidRDefault="00E86A5B" w:rsidP="00591BA7">
      <w:pPr>
        <w:spacing w:after="0" w:line="480" w:lineRule="auto"/>
        <w:rPr>
          <w:rFonts w:ascii="Arial" w:hAnsi="Arial" w:cs="Arial"/>
        </w:rPr>
      </w:pPr>
    </w:p>
    <w:p w14:paraId="65F22975" w14:textId="2E6EA680" w:rsidR="007102E0" w:rsidRPr="00EE351A" w:rsidRDefault="007102E0" w:rsidP="00662046">
      <w:pPr>
        <w:spacing w:after="0" w:line="480" w:lineRule="auto"/>
        <w:jc w:val="both"/>
        <w:rPr>
          <w:rFonts w:ascii="Arial" w:hAnsi="Arial" w:cs="Arial"/>
        </w:rPr>
      </w:pPr>
      <w:r w:rsidRPr="00EE351A">
        <w:rPr>
          <w:rFonts w:ascii="Arial" w:hAnsi="Arial" w:cs="Arial"/>
          <w:b/>
        </w:rPr>
        <w:t>Conclusions</w:t>
      </w:r>
      <w:r w:rsidR="008E3D8B" w:rsidRPr="00EE351A">
        <w:rPr>
          <w:rFonts w:ascii="Arial" w:hAnsi="Arial" w:cs="Arial"/>
        </w:rPr>
        <w:t xml:space="preserve">: </w:t>
      </w:r>
      <w:r w:rsidR="00591BA7" w:rsidRPr="00EE351A">
        <w:rPr>
          <w:rFonts w:ascii="Arial" w:hAnsi="Arial" w:cs="Arial"/>
        </w:rPr>
        <w:t xml:space="preserve">Despite doubts over its validity in community mental health services, the </w:t>
      </w:r>
      <w:r w:rsidR="0040786B">
        <w:rPr>
          <w:rFonts w:ascii="Arial" w:hAnsi="Arial" w:cs="Arial"/>
        </w:rPr>
        <w:t>Net Promoter Score</w:t>
      </w:r>
      <w:r w:rsidR="00591BA7" w:rsidRPr="00EE351A">
        <w:rPr>
          <w:rFonts w:ascii="Arial" w:hAnsi="Arial" w:cs="Arial"/>
        </w:rPr>
        <w:t xml:space="preserve"> may produce results of value to </w:t>
      </w:r>
      <w:r w:rsidR="00DA657D">
        <w:rPr>
          <w:rFonts w:ascii="Arial" w:hAnsi="Arial" w:cs="Arial"/>
        </w:rPr>
        <w:t xml:space="preserve">researchers, </w:t>
      </w:r>
      <w:r w:rsidR="00006FC8">
        <w:rPr>
          <w:rFonts w:ascii="Arial" w:hAnsi="Arial" w:cs="Arial"/>
        </w:rPr>
        <w:t xml:space="preserve">clinicians, </w:t>
      </w:r>
      <w:r w:rsidR="00591BA7" w:rsidRPr="00EE351A">
        <w:rPr>
          <w:rFonts w:ascii="Arial" w:hAnsi="Arial" w:cs="Arial"/>
        </w:rPr>
        <w:t>service commissioners</w:t>
      </w:r>
      <w:r w:rsidR="00A43E23">
        <w:rPr>
          <w:rFonts w:ascii="Arial" w:hAnsi="Arial" w:cs="Arial"/>
        </w:rPr>
        <w:t xml:space="preserve"> and managers</w:t>
      </w:r>
      <w:r w:rsidR="00591BA7" w:rsidRPr="00EE351A">
        <w:rPr>
          <w:rFonts w:ascii="Arial" w:hAnsi="Arial" w:cs="Arial"/>
        </w:rPr>
        <w:t xml:space="preserve">, if part of wider data collection.  </w:t>
      </w:r>
      <w:r w:rsidR="001E09E5">
        <w:rPr>
          <w:rFonts w:ascii="Arial" w:hAnsi="Arial" w:cs="Arial"/>
        </w:rPr>
        <w:t xml:space="preserve">However </w:t>
      </w:r>
      <w:r w:rsidR="00591BA7" w:rsidRPr="00EE351A">
        <w:rPr>
          <w:rFonts w:ascii="Arial" w:hAnsi="Arial" w:cs="Arial"/>
        </w:rPr>
        <w:t xml:space="preserve">multi-item </w:t>
      </w:r>
      <w:r w:rsidR="001E09E5">
        <w:rPr>
          <w:rFonts w:ascii="Arial" w:hAnsi="Arial" w:cs="Arial"/>
        </w:rPr>
        <w:t>measures would provide</w:t>
      </w:r>
      <w:r w:rsidR="00591BA7" w:rsidRPr="00EE351A">
        <w:rPr>
          <w:rFonts w:ascii="Arial" w:hAnsi="Arial" w:cs="Arial"/>
        </w:rPr>
        <w:t xml:space="preserve"> greater breadth and </w:t>
      </w:r>
      <w:r w:rsidR="001E09E5">
        <w:rPr>
          <w:rFonts w:ascii="Arial" w:hAnsi="Arial" w:cs="Arial"/>
        </w:rPr>
        <w:t xml:space="preserve">improved </w:t>
      </w:r>
      <w:r w:rsidR="00591BA7" w:rsidRPr="00EE351A">
        <w:rPr>
          <w:rFonts w:ascii="Arial" w:hAnsi="Arial" w:cs="Arial"/>
        </w:rPr>
        <w:t>reliability.</w:t>
      </w:r>
    </w:p>
    <w:p w14:paraId="162D6AB6" w14:textId="77777777" w:rsidR="008B7F44" w:rsidRDefault="008B7F44" w:rsidP="00662046">
      <w:pPr>
        <w:spacing w:after="0" w:line="360" w:lineRule="auto"/>
        <w:jc w:val="both"/>
        <w:rPr>
          <w:rFonts w:ascii="Arial" w:hAnsi="Arial" w:cs="Arial"/>
        </w:rPr>
      </w:pPr>
    </w:p>
    <w:p w14:paraId="67638F99" w14:textId="77777777" w:rsidR="007344DF" w:rsidRDefault="007344DF" w:rsidP="00662046">
      <w:pPr>
        <w:spacing w:line="480" w:lineRule="auto"/>
        <w:jc w:val="both"/>
        <w:rPr>
          <w:rFonts w:ascii="Arial" w:hAnsi="Arial" w:cs="Arial"/>
        </w:rPr>
      </w:pPr>
      <w:r w:rsidRPr="007344DF">
        <w:rPr>
          <w:rFonts w:ascii="Arial" w:hAnsi="Arial" w:cs="Arial"/>
          <w:b/>
        </w:rPr>
        <w:t>Keywords</w:t>
      </w:r>
      <w:r w:rsidRPr="007344DF">
        <w:rPr>
          <w:rFonts w:ascii="Arial" w:hAnsi="Arial" w:cs="Arial"/>
        </w:rPr>
        <w:t xml:space="preserve">:  </w:t>
      </w:r>
      <w:r>
        <w:rPr>
          <w:rFonts w:ascii="Arial" w:hAnsi="Arial" w:cs="Arial"/>
        </w:rPr>
        <w:t xml:space="preserve">patient </w:t>
      </w:r>
      <w:r w:rsidRPr="007344DF">
        <w:rPr>
          <w:rFonts w:ascii="Arial" w:hAnsi="Arial" w:cs="Arial"/>
        </w:rPr>
        <w:t xml:space="preserve">satisfaction; Friends and Family Test; </w:t>
      </w:r>
      <w:r>
        <w:rPr>
          <w:rFonts w:ascii="Arial" w:hAnsi="Arial" w:cs="Arial"/>
        </w:rPr>
        <w:t>Net Promoter Score; psychometrics; community care; social care.</w:t>
      </w:r>
    </w:p>
    <w:p w14:paraId="7188C55C" w14:textId="77777777" w:rsidR="007344DF" w:rsidRDefault="007344DF" w:rsidP="00662046">
      <w:pPr>
        <w:jc w:val="both"/>
        <w:rPr>
          <w:rFonts w:ascii="Arial" w:hAnsi="Arial" w:cs="Arial"/>
        </w:rPr>
      </w:pPr>
    </w:p>
    <w:p w14:paraId="27084007" w14:textId="77777777" w:rsidR="002440A2" w:rsidRDefault="007344DF" w:rsidP="00662046">
      <w:pPr>
        <w:jc w:val="both"/>
        <w:outlineLvl w:val="0"/>
        <w:rPr>
          <w:rFonts w:ascii="Arial" w:hAnsi="Arial" w:cs="Arial"/>
          <w:b/>
        </w:rPr>
      </w:pPr>
      <w:r w:rsidRPr="002440A2">
        <w:rPr>
          <w:rFonts w:ascii="Arial" w:hAnsi="Arial" w:cs="Arial"/>
          <w:b/>
        </w:rPr>
        <w:t xml:space="preserve">Key points: </w:t>
      </w:r>
    </w:p>
    <w:p w14:paraId="028D0BB6" w14:textId="25C9CE9D" w:rsidR="00F97E6A" w:rsidRDefault="00DC609C" w:rsidP="00662046">
      <w:pPr>
        <w:pStyle w:val="ListParagraph"/>
        <w:numPr>
          <w:ilvl w:val="0"/>
          <w:numId w:val="3"/>
        </w:numPr>
        <w:spacing w:line="480" w:lineRule="auto"/>
        <w:ind w:left="567"/>
        <w:jc w:val="both"/>
        <w:rPr>
          <w:rFonts w:ascii="Arial" w:hAnsi="Arial" w:cs="Arial"/>
        </w:rPr>
      </w:pPr>
      <w:r>
        <w:rPr>
          <w:rFonts w:ascii="Arial" w:hAnsi="Arial" w:cs="Arial"/>
        </w:rPr>
        <w:t>T</w:t>
      </w:r>
      <w:r w:rsidR="00F97E6A" w:rsidRPr="00F97E6A">
        <w:rPr>
          <w:rFonts w:ascii="Arial" w:hAnsi="Arial" w:cs="Arial"/>
        </w:rPr>
        <w:t xml:space="preserve">he Net Promoter Score </w:t>
      </w:r>
      <w:r>
        <w:rPr>
          <w:rFonts w:ascii="Arial" w:hAnsi="Arial" w:cs="Arial"/>
        </w:rPr>
        <w:t>(implemented as the Friends and Family Test in England)</w:t>
      </w:r>
      <w:r w:rsidR="00F97E6A" w:rsidRPr="00F97E6A">
        <w:rPr>
          <w:rFonts w:ascii="Arial" w:hAnsi="Arial" w:cs="Arial"/>
        </w:rPr>
        <w:t xml:space="preserve"> is </w:t>
      </w:r>
      <w:r w:rsidR="00006FC8">
        <w:rPr>
          <w:rFonts w:ascii="Arial" w:hAnsi="Arial" w:cs="Arial"/>
        </w:rPr>
        <w:t>internationally</w:t>
      </w:r>
      <w:r w:rsidR="00F97E6A" w:rsidRPr="00F97E6A">
        <w:rPr>
          <w:rFonts w:ascii="Arial" w:hAnsi="Arial" w:cs="Arial"/>
        </w:rPr>
        <w:t xml:space="preserve"> used as a measure for service improvement and as an outcome in research.  Yet its value and properties have not been empirically inspected</w:t>
      </w:r>
      <w:r w:rsidR="00F97E6A">
        <w:rPr>
          <w:rFonts w:ascii="Arial" w:hAnsi="Arial" w:cs="Arial"/>
        </w:rPr>
        <w:t>;</w:t>
      </w:r>
    </w:p>
    <w:p w14:paraId="7806FD4F" w14:textId="77777777" w:rsidR="001A1559" w:rsidRDefault="001A1559" w:rsidP="00662046">
      <w:pPr>
        <w:pStyle w:val="ListParagraph"/>
        <w:numPr>
          <w:ilvl w:val="0"/>
          <w:numId w:val="3"/>
        </w:numPr>
        <w:spacing w:line="480" w:lineRule="auto"/>
        <w:ind w:left="567"/>
        <w:jc w:val="both"/>
        <w:rPr>
          <w:rFonts w:ascii="Arial" w:hAnsi="Arial" w:cs="Arial"/>
        </w:rPr>
      </w:pPr>
      <w:r w:rsidRPr="00EE351A">
        <w:rPr>
          <w:rFonts w:ascii="Arial" w:hAnsi="Arial" w:cs="Arial"/>
        </w:rPr>
        <w:t xml:space="preserve">The </w:t>
      </w:r>
      <w:r w:rsidR="00DC609C">
        <w:rPr>
          <w:rFonts w:ascii="Arial" w:hAnsi="Arial" w:cs="Arial"/>
        </w:rPr>
        <w:t>Net Promoter Score</w:t>
      </w:r>
      <w:r>
        <w:rPr>
          <w:rFonts w:ascii="Arial" w:hAnsi="Arial" w:cs="Arial"/>
        </w:rPr>
        <w:t xml:space="preserve"> generated findings of value to those seeking to improve services: for example, the test</w:t>
      </w:r>
      <w:r w:rsidRPr="00EE351A">
        <w:rPr>
          <w:rFonts w:ascii="Arial" w:hAnsi="Arial" w:cs="Arial"/>
        </w:rPr>
        <w:t xml:space="preserve"> was lowest for those still within six months of their initial referral</w:t>
      </w:r>
      <w:r>
        <w:rPr>
          <w:rFonts w:ascii="Arial" w:hAnsi="Arial" w:cs="Arial"/>
        </w:rPr>
        <w:t>, perhaps indicating need to improve care experiences early in the episode.</w:t>
      </w:r>
    </w:p>
    <w:p w14:paraId="3F30C8BF" w14:textId="6AAF7CF2" w:rsidR="00F97E6A" w:rsidRPr="00880D25" w:rsidRDefault="00880D25" w:rsidP="00662046">
      <w:pPr>
        <w:pStyle w:val="ListParagraph"/>
        <w:numPr>
          <w:ilvl w:val="0"/>
          <w:numId w:val="3"/>
        </w:numPr>
        <w:spacing w:line="480" w:lineRule="auto"/>
        <w:ind w:left="567"/>
        <w:jc w:val="both"/>
        <w:rPr>
          <w:rFonts w:ascii="Arial" w:hAnsi="Arial" w:cs="Arial"/>
          <w:highlight w:val="yellow"/>
        </w:rPr>
      </w:pPr>
      <w:r w:rsidRPr="00880D25">
        <w:rPr>
          <w:rFonts w:ascii="Arial" w:hAnsi="Arial" w:cs="Arial"/>
          <w:highlight w:val="yellow"/>
        </w:rPr>
        <w:t>The</w:t>
      </w:r>
      <w:r w:rsidR="001A1559" w:rsidRPr="00880D25">
        <w:rPr>
          <w:rFonts w:ascii="Arial" w:hAnsi="Arial" w:cs="Arial"/>
          <w:highlight w:val="yellow"/>
        </w:rPr>
        <w:t xml:space="preserve"> </w:t>
      </w:r>
      <w:r w:rsidR="00DC609C" w:rsidRPr="00880D25">
        <w:rPr>
          <w:rFonts w:ascii="Arial" w:hAnsi="Arial" w:cs="Arial"/>
          <w:highlight w:val="yellow"/>
        </w:rPr>
        <w:t>Net Promoter Score</w:t>
      </w:r>
      <w:r w:rsidR="001A1559" w:rsidRPr="00880D25">
        <w:rPr>
          <w:rFonts w:ascii="Arial" w:hAnsi="Arial" w:cs="Arial"/>
          <w:highlight w:val="yellow"/>
        </w:rPr>
        <w:t xml:space="preserve"> was </w:t>
      </w:r>
      <w:r w:rsidRPr="00880D25">
        <w:rPr>
          <w:rFonts w:ascii="Arial" w:hAnsi="Arial" w:cs="Arial"/>
          <w:highlight w:val="yellow"/>
        </w:rPr>
        <w:t>highly but imperfectly correlated with the</w:t>
      </w:r>
      <w:r w:rsidR="001A1559" w:rsidRPr="00880D25">
        <w:rPr>
          <w:rFonts w:ascii="Arial" w:hAnsi="Arial" w:cs="Arial"/>
          <w:highlight w:val="yellow"/>
        </w:rPr>
        <w:t xml:space="preserve"> satisfaction score, suggesting they </w:t>
      </w:r>
      <w:r w:rsidR="00CA36BC">
        <w:rPr>
          <w:rFonts w:ascii="Arial" w:hAnsi="Arial" w:cs="Arial"/>
          <w:highlight w:val="yellow"/>
        </w:rPr>
        <w:t>evaluate</w:t>
      </w:r>
      <w:r w:rsidR="001A1559" w:rsidRPr="00880D25">
        <w:rPr>
          <w:rFonts w:ascii="Arial" w:hAnsi="Arial" w:cs="Arial"/>
          <w:highlight w:val="yellow"/>
        </w:rPr>
        <w:t xml:space="preserve"> distinct </w:t>
      </w:r>
      <w:r w:rsidR="00A43E23" w:rsidRPr="00880D25">
        <w:rPr>
          <w:rFonts w:ascii="Arial" w:hAnsi="Arial" w:cs="Arial"/>
          <w:highlight w:val="yellow"/>
        </w:rPr>
        <w:t xml:space="preserve">but related </w:t>
      </w:r>
      <w:r w:rsidR="001A1559" w:rsidRPr="00880D25">
        <w:rPr>
          <w:rFonts w:ascii="Arial" w:hAnsi="Arial" w:cs="Arial"/>
          <w:highlight w:val="yellow"/>
        </w:rPr>
        <w:t xml:space="preserve">constructs.  </w:t>
      </w:r>
    </w:p>
    <w:p w14:paraId="4D921A55" w14:textId="77777777" w:rsidR="00F97E6A" w:rsidRPr="001A1559" w:rsidRDefault="00F97E6A" w:rsidP="00662046">
      <w:pPr>
        <w:pStyle w:val="ListParagraph"/>
        <w:numPr>
          <w:ilvl w:val="0"/>
          <w:numId w:val="3"/>
        </w:numPr>
        <w:spacing w:line="480" w:lineRule="auto"/>
        <w:ind w:left="567"/>
        <w:jc w:val="both"/>
        <w:rPr>
          <w:rFonts w:ascii="Arial" w:hAnsi="Arial" w:cs="Arial"/>
        </w:rPr>
      </w:pPr>
      <w:r>
        <w:rPr>
          <w:rFonts w:ascii="Arial" w:hAnsi="Arial" w:cs="Arial"/>
        </w:rPr>
        <w:t xml:space="preserve">The </w:t>
      </w:r>
      <w:r w:rsidR="00DC609C">
        <w:rPr>
          <w:rFonts w:ascii="Arial" w:hAnsi="Arial" w:cs="Arial"/>
        </w:rPr>
        <w:t>Net Promoter Score</w:t>
      </w:r>
      <w:r>
        <w:rPr>
          <w:rFonts w:ascii="Arial" w:hAnsi="Arial" w:cs="Arial"/>
        </w:rPr>
        <w:t xml:space="preserve"> has </w:t>
      </w:r>
      <w:r w:rsidR="00DC609C">
        <w:rPr>
          <w:rFonts w:ascii="Arial" w:hAnsi="Arial" w:cs="Arial"/>
        </w:rPr>
        <w:t>reasonable</w:t>
      </w:r>
      <w:r>
        <w:rPr>
          <w:rFonts w:ascii="Arial" w:hAnsi="Arial" w:cs="Arial"/>
        </w:rPr>
        <w:t xml:space="preserve"> test-retest reliability, but a multi-item measure of patient experience would b</w:t>
      </w:r>
      <w:r w:rsidR="001A1559">
        <w:rPr>
          <w:rFonts w:ascii="Arial" w:hAnsi="Arial" w:cs="Arial"/>
        </w:rPr>
        <w:t>e preferred for high-stakes use.</w:t>
      </w:r>
    </w:p>
    <w:p w14:paraId="79090BA3" w14:textId="77777777" w:rsidR="007344DF" w:rsidRPr="00D72565" w:rsidRDefault="007344DF" w:rsidP="00F97E6A">
      <w:pPr>
        <w:pStyle w:val="ListParagraph"/>
        <w:numPr>
          <w:ilvl w:val="0"/>
          <w:numId w:val="3"/>
        </w:numPr>
        <w:spacing w:line="480" w:lineRule="auto"/>
        <w:ind w:left="567"/>
        <w:rPr>
          <w:rFonts w:ascii="Arial" w:hAnsi="Arial" w:cs="Arial"/>
          <w:b/>
        </w:rPr>
      </w:pPr>
      <w:r w:rsidRPr="00D72565">
        <w:rPr>
          <w:rFonts w:ascii="Arial" w:hAnsi="Arial" w:cs="Arial"/>
          <w:b/>
        </w:rPr>
        <w:br w:type="page"/>
      </w:r>
    </w:p>
    <w:p w14:paraId="6B106778" w14:textId="77777777" w:rsidR="00087679" w:rsidRDefault="00A94C55" w:rsidP="004F5F2E">
      <w:pPr>
        <w:spacing w:after="0" w:line="480" w:lineRule="auto"/>
        <w:outlineLvl w:val="0"/>
        <w:rPr>
          <w:rFonts w:ascii="Arial" w:hAnsi="Arial" w:cs="Arial"/>
          <w:b/>
        </w:rPr>
      </w:pPr>
      <w:r>
        <w:rPr>
          <w:rFonts w:ascii="Arial" w:hAnsi="Arial" w:cs="Arial"/>
          <w:b/>
        </w:rPr>
        <w:lastRenderedPageBreak/>
        <w:t>Introduction</w:t>
      </w:r>
    </w:p>
    <w:p w14:paraId="6F5E5F27" w14:textId="77777777" w:rsidR="008A4310" w:rsidRDefault="008A4310" w:rsidP="005E48D8">
      <w:pPr>
        <w:spacing w:after="0" w:line="480" w:lineRule="auto"/>
        <w:rPr>
          <w:rFonts w:ascii="Arial" w:hAnsi="Arial" w:cs="Arial"/>
        </w:rPr>
      </w:pPr>
    </w:p>
    <w:p w14:paraId="12753F0D" w14:textId="4449193E" w:rsidR="00852632" w:rsidRDefault="00CD5644" w:rsidP="00662046">
      <w:pPr>
        <w:spacing w:after="0" w:line="480" w:lineRule="auto"/>
        <w:jc w:val="both"/>
        <w:rPr>
          <w:rFonts w:ascii="Arial" w:hAnsi="Arial" w:cs="Arial"/>
        </w:rPr>
      </w:pPr>
      <w:r>
        <w:rPr>
          <w:rFonts w:ascii="Arial" w:hAnsi="Arial" w:cs="Arial"/>
        </w:rPr>
        <w:t xml:space="preserve">Improving </w:t>
      </w:r>
      <w:r w:rsidR="00A66FB5">
        <w:rPr>
          <w:rFonts w:ascii="Arial" w:hAnsi="Arial" w:cs="Arial"/>
        </w:rPr>
        <w:t>the</w:t>
      </w:r>
      <w:r w:rsidR="00750B57">
        <w:rPr>
          <w:rFonts w:ascii="Arial" w:hAnsi="Arial" w:cs="Arial"/>
        </w:rPr>
        <w:t xml:space="preserve"> care </w:t>
      </w:r>
      <w:r w:rsidR="00A66FB5">
        <w:rPr>
          <w:rFonts w:ascii="Arial" w:hAnsi="Arial" w:cs="Arial"/>
        </w:rPr>
        <w:t xml:space="preserve">experience </w:t>
      </w:r>
      <w:r w:rsidR="00750B57">
        <w:rPr>
          <w:rFonts w:ascii="Arial" w:hAnsi="Arial" w:cs="Arial"/>
        </w:rPr>
        <w:t>is</w:t>
      </w:r>
      <w:r>
        <w:rPr>
          <w:rFonts w:ascii="Arial" w:hAnsi="Arial" w:cs="Arial"/>
        </w:rPr>
        <w:t xml:space="preserve"> </w:t>
      </w:r>
      <w:r w:rsidR="008A4310">
        <w:rPr>
          <w:rFonts w:ascii="Arial" w:hAnsi="Arial" w:cs="Arial"/>
        </w:rPr>
        <w:t xml:space="preserve">prominent amongst the goals of modern </w:t>
      </w:r>
      <w:r w:rsidR="000101AA">
        <w:rPr>
          <w:rFonts w:ascii="Arial" w:hAnsi="Arial" w:cs="Arial"/>
        </w:rPr>
        <w:t>health</w:t>
      </w:r>
      <w:r w:rsidR="008A4310">
        <w:rPr>
          <w:rFonts w:ascii="Arial" w:hAnsi="Arial" w:cs="Arial"/>
        </w:rPr>
        <w:t xml:space="preserve"> services</w:t>
      </w:r>
      <w:r w:rsidR="006038AD">
        <w:rPr>
          <w:rFonts w:ascii="Arial" w:hAnsi="Arial" w:cs="Arial"/>
        </w:rPr>
        <w:t xml:space="preserve">.  In England, patient </w:t>
      </w:r>
      <w:r w:rsidR="00F87DDA">
        <w:rPr>
          <w:rFonts w:ascii="Arial" w:hAnsi="Arial" w:cs="Arial"/>
        </w:rPr>
        <w:t>reports of their</w:t>
      </w:r>
      <w:r w:rsidR="006038AD">
        <w:rPr>
          <w:rFonts w:ascii="Arial" w:hAnsi="Arial" w:cs="Arial"/>
        </w:rPr>
        <w:t xml:space="preserve"> </w:t>
      </w:r>
      <w:r w:rsidR="00F87DDA">
        <w:rPr>
          <w:rFonts w:ascii="Arial" w:hAnsi="Arial" w:cs="Arial"/>
        </w:rPr>
        <w:t>experience</w:t>
      </w:r>
      <w:r w:rsidR="006038AD">
        <w:rPr>
          <w:rFonts w:ascii="Arial" w:hAnsi="Arial" w:cs="Arial"/>
        </w:rPr>
        <w:t xml:space="preserve"> sit</w:t>
      </w:r>
      <w:r w:rsidR="00F87DDA">
        <w:rPr>
          <w:rFonts w:ascii="Arial" w:hAnsi="Arial" w:cs="Arial"/>
        </w:rPr>
        <w:t>s</w:t>
      </w:r>
      <w:r w:rsidR="006038AD">
        <w:rPr>
          <w:rFonts w:ascii="Arial" w:hAnsi="Arial" w:cs="Arial"/>
        </w:rPr>
        <w:t xml:space="preserve"> alongside clinical effectiveness and safety as the legislated definition of healthcare quality</w:t>
      </w:r>
      <w:r w:rsidR="00AC2BFF">
        <w:rPr>
          <w:rFonts w:ascii="Arial" w:hAnsi="Arial" w:cs="Arial"/>
        </w:rPr>
        <w:fldChar w:fldCharType="begin" w:fldLock="1"/>
      </w:r>
      <w:r w:rsidR="007024AA">
        <w:rPr>
          <w:rFonts w:ascii="Arial" w:hAnsi="Arial" w:cs="Arial"/>
        </w:rPr>
        <w:instrText>ADDIN CSL_CITATION { "citationItems" : [ { "id" : "ITEM-1", "itemData" : { "author" : [ { "dropping-particle" : "", "family" : "Department of Health", "given" : "", "non-dropping-particle" : "", "parse-names" : false, "suffix" : "" } ], "id" : "ITEM-1", "issued" : { "date-parts" : [ [ "2008" ] ] }, "publisher" : "Department of Health", "publisher-place" : "London", "title" : "High Quality Care for All: NHS Next Stage Review Final Report", "type" : "book" }, "uris" : [ "http://www.mendeley.com/documents/?uuid=cce87795-121e-4928-9c03-ac8a6f656afd" ] } ], "mendeley" : { "formattedCitation" : "&lt;sup&gt;1&lt;/sup&gt;", "plainTextFormattedCitation" : "1", "previouslyFormattedCitation" : "&lt;sup&gt;1&lt;/sup&gt;" }, "properties" : { "noteIndex" : 0 }, "schema" : "https://github.com/citation-style-language/schema/raw/master/csl-citation.json" }</w:instrText>
      </w:r>
      <w:r w:rsidR="00AC2BFF">
        <w:rPr>
          <w:rFonts w:ascii="Arial" w:hAnsi="Arial" w:cs="Arial"/>
        </w:rPr>
        <w:fldChar w:fldCharType="separate"/>
      </w:r>
      <w:r w:rsidR="000E56C3" w:rsidRPr="000E56C3">
        <w:rPr>
          <w:rFonts w:ascii="Arial" w:hAnsi="Arial" w:cs="Arial"/>
          <w:noProof/>
          <w:vertAlign w:val="superscript"/>
        </w:rPr>
        <w:t>1</w:t>
      </w:r>
      <w:r w:rsidR="00AC2BFF">
        <w:rPr>
          <w:rFonts w:ascii="Arial" w:hAnsi="Arial" w:cs="Arial"/>
        </w:rPr>
        <w:fldChar w:fldCharType="end"/>
      </w:r>
      <w:r w:rsidR="006038AD">
        <w:rPr>
          <w:rFonts w:ascii="Arial" w:hAnsi="Arial" w:cs="Arial"/>
        </w:rPr>
        <w:t>.  Similar high billing</w:t>
      </w:r>
      <w:r w:rsidR="00852632">
        <w:rPr>
          <w:rFonts w:ascii="Arial" w:hAnsi="Arial" w:cs="Arial"/>
        </w:rPr>
        <w:t xml:space="preserve"> </w:t>
      </w:r>
      <w:r w:rsidR="006038AD">
        <w:rPr>
          <w:rFonts w:ascii="Arial" w:hAnsi="Arial" w:cs="Arial"/>
        </w:rPr>
        <w:t xml:space="preserve">is given to </w:t>
      </w:r>
      <w:r w:rsidR="00F87DDA">
        <w:rPr>
          <w:rFonts w:ascii="Arial" w:hAnsi="Arial" w:cs="Arial"/>
        </w:rPr>
        <w:t>experiential quality</w:t>
      </w:r>
      <w:r w:rsidR="00852632">
        <w:rPr>
          <w:rFonts w:ascii="Arial" w:hAnsi="Arial" w:cs="Arial"/>
        </w:rPr>
        <w:t xml:space="preserve"> a</w:t>
      </w:r>
      <w:r w:rsidR="00750B57">
        <w:rPr>
          <w:rFonts w:ascii="Arial" w:hAnsi="Arial" w:cs="Arial"/>
        </w:rPr>
        <w:t xml:space="preserve">cross </w:t>
      </w:r>
      <w:r w:rsidR="006038AD">
        <w:rPr>
          <w:rFonts w:ascii="Arial" w:hAnsi="Arial" w:cs="Arial"/>
        </w:rPr>
        <w:t xml:space="preserve">Europe, </w:t>
      </w:r>
      <w:r w:rsidR="00CA36BC" w:rsidRPr="00CA36BC">
        <w:rPr>
          <w:rFonts w:ascii="Arial" w:hAnsi="Arial" w:cs="Arial"/>
          <w:highlight w:val="yellow"/>
        </w:rPr>
        <w:t>other Western</w:t>
      </w:r>
      <w:r w:rsidR="006038AD" w:rsidRPr="00CA36BC">
        <w:rPr>
          <w:rFonts w:ascii="Arial" w:hAnsi="Arial" w:cs="Arial"/>
          <w:highlight w:val="yellow"/>
        </w:rPr>
        <w:t xml:space="preserve"> countries</w:t>
      </w:r>
      <w:r w:rsidR="000101AA" w:rsidRPr="00CA36BC">
        <w:rPr>
          <w:rFonts w:ascii="Arial" w:hAnsi="Arial" w:cs="Arial"/>
          <w:highlight w:val="yellow"/>
        </w:rPr>
        <w:t>, and</w:t>
      </w:r>
      <w:r w:rsidR="000101AA">
        <w:rPr>
          <w:rFonts w:ascii="Arial" w:hAnsi="Arial" w:cs="Arial"/>
        </w:rPr>
        <w:t xml:space="preserve"> farther afield</w:t>
      </w:r>
      <w:r w:rsidR="00AC2BFF">
        <w:rPr>
          <w:rFonts w:ascii="Arial" w:hAnsi="Arial" w:cs="Arial"/>
        </w:rPr>
        <w:fldChar w:fldCharType="begin" w:fldLock="1"/>
      </w:r>
      <w:r w:rsidR="007024AA">
        <w:rPr>
          <w:rFonts w:ascii="Arial" w:hAnsi="Arial" w:cs="Arial"/>
        </w:rPr>
        <w:instrText>ADDIN CSL_CITATION { "citationItems" : [ { "id" : "ITEM-1", "itemData" : { "author" : [ { "dropping-particle" : "", "family" : "Gaebel", "given" : "W", "non-dropping-particle" : "", "parse-names" : false, "suffix" : "" }, { "dropping-particle" : "", "family" : "Becker", "given" : "T", "non-dropping-particle" : "", "parse-names" : false, "suffix" : "" }, { "dropping-particle" : "", "family" : "Janssen", "given" : "B", "non-dropping-particle" : "", "parse-names" : false, "suffix" : "" }, { "dropping-particle" : "", "family" : "Munk-Jorgensen", "given" : "P", "non-dropping-particle" : "", "parse-names" : false, "suffix" : "" }, { "dropping-particle" : "", "family" : "Musalek", "given" : "M", "non-dropping-particle" : "", "parse-names" : false, "suffix" : "" }, { "dropping-particle" : "", "family" : "Rossler", "given" : "W", "non-dropping-particle" : "", "parse-names" : false, "suffix" : "" }, { "dropping-particle" : "", "family" : "Sommerlad", "given" : "K", "non-dropping-particle" : "", "parse-names" : false, "suffix" : "" }, { "dropping-particle" : "", "family" : "Tansella", "given" : "M", "non-dropping-particle" : "", "parse-names" : false, "suffix" : "" }, { "dropping-particle" : "", "family" : "Thornicroft", "given" : "G", "non-dropping-particle" : "", "parse-names" : false, "suffix" : "" }, { "dropping-particle" : "", "family" : "Zielasek", "given" : "J", "non-dropping-particle" : "", "parse-names" : false, "suffix" : "" } ], "container-title" : "European Psychiatry", "id" : "ITEM-1", "issue" : "2", "issued" : { "date-parts" : [ [ "2012" ] ] }, "page" : "87-113", "title" : "EPA guidance on the quality of mental health services.", "type" : "article-journal", "volume" : "27" }, "uris" : [ "http://www.mendeley.com/documents/?uuid=d7af1b1e-b215-476f-a375-d8de9ae0ec64" ] }, { "id" : "ITEM-2", "itemData" : { "author" : [ { "dropping-particle" : "", "family" : "Hermann", "given" : "RC", "non-dropping-particle" : "", "parse-names" : false, "suffix" : "" }, { "dropping-particle" : "", "family" : "Palmer", "given" : "H", "non-dropping-particle" : "", "parse-names" : false, "suffix" : "" }, { "dropping-particle" : "", "family" : "Leff", "given" : "S", "non-dropping-particle" : "", "parse-names" : false, "suffix" : "" }, { "dropping-particle" : "", "family" : "Shwartz", "given" : "M", "non-dropping-particle" : "", "parse-names" : false, "suffix" : "" }, { "dropping-particle" : "", "family" : "Provost", "given" : "S", "non-dropping-particle" : "", "parse-names" : false, "suffix" : "" }, { "dropping-particle" : "", "family" : "Chan", "given" : "J", "non-dropping-particle" : "", "parse-names" : false, "suffix" : "" }, { "dropping-particle" : "", "family" : "Chiu", "given" : "WT", "non-dropping-particle" : "", "parse-names" : false, "suffix" : "" }, { "dropping-particle" : "", "family" : "Lagodmos", "given" : "G", "non-dropping-particle" : "", "parse-names" : false, "suffix" : "" } ], "container-title" : "Medical Care", "id" : "ITEM-2", "issue" : "12", "issued" : { "date-parts" : [ [ "2004" ] ] }, "page" : "1246-1253", "title" : "Achieving consensus across diverse stakeholders on quality measures for mental healthcare.", "type" : "article-journal", "volume" : "42" }, "uris" : [ "http://www.mendeley.com/documents/?uuid=42db20f9-c8f8-45db-953e-c0fc97c40650" ] }, { "id" : "ITEM-3", "itemData" : { "author" : [ { "dropping-particle" : "", "family" : "Kilbourne", "given" : "AM", "non-dropping-particle" : "", "parse-names" : false, "suffix" : "" }, { "dropping-particle" : "", "family" : "Keyser", "given" : "D", "non-dropping-particle" : "", "parse-names" : false, "suffix" : "" }, { "dropping-particle" : "", "family" : "Pincus", "given" : "H", "non-dropping-particle" : "", "parse-names" : false, "suffix" : "" } ], "container-title" : "Canadian Journal of Psychiatry", "id" : "ITEM-3", "issue" : "9", "issued" : { "date-parts" : [ [ "2010" ] ] }, "page" : "549-557", "title" : "Challenges and Opportunities in Measuring the Quality of Mental Health Care", "type" : "article-journal", "volume" : "55" }, "uris" : [ "http://www.mendeley.com/documents/?uuid=d2c71e3d-8a8b-47f8-86cf-f460f8fa8d2d" ] }, { "id" : "ITEM-4", "itemData" : { "author" : [ { "dropping-particle" : "", "family" : "WHO", "given" : "", "non-dropping-particle" : "", "parse-names" : false, "suffix" : "" } ], "id" : "ITEM-4", "issued" : { "date-parts" : [ [ "2007" ] ] }, "publisher-place" : "Geneva, Switzerland", "title" : "People-centred health care: A policy framework", "type" : "report" }, "uris" : [ "http://www.mendeley.com/documents/?uuid=23535a9a-428e-4812-9826-88f984ef0807" ] } ], "mendeley" : { "formattedCitation" : "&lt;sup&gt;2\u20135&lt;/sup&gt;", "plainTextFormattedCitation" : "2\u20135", "previouslyFormattedCitation" : "&lt;sup&gt;2\u20135&lt;/sup&gt;" }, "properties" : { "noteIndex" : 0 }, "schema" : "https://github.com/citation-style-language/schema/raw/master/csl-citation.json" }</w:instrText>
      </w:r>
      <w:r w:rsidR="00AC2BFF">
        <w:rPr>
          <w:rFonts w:ascii="Arial" w:hAnsi="Arial" w:cs="Arial"/>
        </w:rPr>
        <w:fldChar w:fldCharType="separate"/>
      </w:r>
      <w:r w:rsidR="000E56C3" w:rsidRPr="000E56C3">
        <w:rPr>
          <w:rFonts w:ascii="Arial" w:hAnsi="Arial" w:cs="Arial"/>
          <w:noProof/>
          <w:vertAlign w:val="superscript"/>
        </w:rPr>
        <w:t>2–5</w:t>
      </w:r>
      <w:r w:rsidR="00AC2BFF">
        <w:rPr>
          <w:rFonts w:ascii="Arial" w:hAnsi="Arial" w:cs="Arial"/>
        </w:rPr>
        <w:fldChar w:fldCharType="end"/>
      </w:r>
      <w:r w:rsidR="00750B57">
        <w:rPr>
          <w:rFonts w:ascii="Arial" w:hAnsi="Arial" w:cs="Arial"/>
        </w:rPr>
        <w:t xml:space="preserve">.  </w:t>
      </w:r>
      <w:r w:rsidR="00852632">
        <w:rPr>
          <w:rFonts w:ascii="Arial" w:hAnsi="Arial" w:cs="Arial"/>
        </w:rPr>
        <w:t xml:space="preserve">This status is no accident.  </w:t>
      </w:r>
      <w:r w:rsidR="00B47F33">
        <w:rPr>
          <w:rFonts w:ascii="Arial" w:hAnsi="Arial" w:cs="Arial"/>
        </w:rPr>
        <w:t xml:space="preserve">In addition to ethical arguments linking </w:t>
      </w:r>
      <w:r w:rsidR="00A66FB5">
        <w:rPr>
          <w:rFonts w:ascii="Arial" w:hAnsi="Arial" w:cs="Arial"/>
        </w:rPr>
        <w:t>care experiences</w:t>
      </w:r>
      <w:r w:rsidR="00B47F33">
        <w:rPr>
          <w:rFonts w:ascii="Arial" w:hAnsi="Arial" w:cs="Arial"/>
        </w:rPr>
        <w:t xml:space="preserve"> to </w:t>
      </w:r>
      <w:r w:rsidR="00A66FB5">
        <w:rPr>
          <w:rFonts w:ascii="Arial" w:hAnsi="Arial" w:cs="Arial"/>
        </w:rPr>
        <w:t>patient rights</w:t>
      </w:r>
      <w:r w:rsidR="00AC2BFF">
        <w:rPr>
          <w:rFonts w:ascii="Arial" w:hAnsi="Arial" w:cs="Arial"/>
        </w:rPr>
        <w:fldChar w:fldCharType="begin" w:fldLock="1"/>
      </w:r>
      <w:r w:rsidR="007024AA">
        <w:rPr>
          <w:rFonts w:ascii="Arial" w:hAnsi="Arial" w:cs="Arial"/>
        </w:rPr>
        <w:instrText>ADDIN CSL_CITATION { "citationItems" : [ { "id" : "ITEM-1", "itemData" : { "author" : [ { "dropping-particle" : "", "family" : "Duggan", "given" : "PS", "non-dropping-particle" : "", "parse-names" : false, "suffix" : "" }, { "dropping-particle" : "", "family" : "Geller", "given" : "G", "non-dropping-particle" : "", "parse-names" : false, "suffix" : "" }, { "dropping-particle" : "", "family" : "Cooper", "given" : "LA", "non-dropping-particle" : "", "parse-names" : false, "suffix" : "" }, { "dropping-particle" : "", "family" : "Beach", "given" : "MC", "non-dropping-particle" : "", "parse-names" : false, "suffix" : "" } ], "container-title" : "Patient Education and Counseling", "id" : "ITEM-1", "issue" : "2", "issued" : { "date-parts" : [ [ "2006" ] ] }, "page" : "271-276", "title" : "The moral nature of patient-centeredness: Is it \u201cjust the right thing to do\u201d?", "type" : "article-journal", "volume" : "62" }, "uris" : [ "http://www.mendeley.com/documents/?uuid=6fb6e9f2-24de-41e7-8b05-a1f3d5157834" ] } ], "mendeley" : { "formattedCitation" : "&lt;sup&gt;6&lt;/sup&gt;", "plainTextFormattedCitation" : "6", "previouslyFormattedCitation" : "&lt;sup&gt;6&lt;/sup&gt;" }, "properties" : { "noteIndex" : 0 }, "schema" : "https://github.com/citation-style-language/schema/raw/master/csl-citation.json" }</w:instrText>
      </w:r>
      <w:r w:rsidR="00AC2BFF">
        <w:rPr>
          <w:rFonts w:ascii="Arial" w:hAnsi="Arial" w:cs="Arial"/>
        </w:rPr>
        <w:fldChar w:fldCharType="separate"/>
      </w:r>
      <w:r w:rsidR="000E56C3" w:rsidRPr="000E56C3">
        <w:rPr>
          <w:rFonts w:ascii="Arial" w:hAnsi="Arial" w:cs="Arial"/>
          <w:noProof/>
          <w:vertAlign w:val="superscript"/>
        </w:rPr>
        <w:t>6</w:t>
      </w:r>
      <w:r w:rsidR="00AC2BFF">
        <w:rPr>
          <w:rFonts w:ascii="Arial" w:hAnsi="Arial" w:cs="Arial"/>
        </w:rPr>
        <w:fldChar w:fldCharType="end"/>
      </w:r>
      <w:r w:rsidR="00A66FB5">
        <w:rPr>
          <w:rFonts w:ascii="Arial" w:hAnsi="Arial" w:cs="Arial"/>
        </w:rPr>
        <w:t xml:space="preserve">, </w:t>
      </w:r>
      <w:r w:rsidR="00852632">
        <w:rPr>
          <w:rFonts w:ascii="Arial" w:hAnsi="Arial" w:cs="Arial"/>
        </w:rPr>
        <w:t>a robust</w:t>
      </w:r>
      <w:r w:rsidR="00A66FB5">
        <w:rPr>
          <w:rFonts w:ascii="Arial" w:hAnsi="Arial" w:cs="Arial"/>
        </w:rPr>
        <w:t xml:space="preserve"> </w:t>
      </w:r>
      <w:r w:rsidR="00852632">
        <w:rPr>
          <w:rFonts w:ascii="Arial" w:hAnsi="Arial" w:cs="Arial"/>
        </w:rPr>
        <w:t xml:space="preserve">empirical association </w:t>
      </w:r>
      <w:r w:rsidR="001E09E5">
        <w:rPr>
          <w:rFonts w:ascii="Arial" w:hAnsi="Arial" w:cs="Arial"/>
        </w:rPr>
        <w:t xml:space="preserve">has been reported between the </w:t>
      </w:r>
      <w:r w:rsidR="00852632">
        <w:rPr>
          <w:rFonts w:ascii="Arial" w:hAnsi="Arial" w:cs="Arial"/>
        </w:rPr>
        <w:t xml:space="preserve">quality of experiences to </w:t>
      </w:r>
      <w:r w:rsidR="000101AA">
        <w:rPr>
          <w:rFonts w:ascii="Arial" w:hAnsi="Arial" w:cs="Arial"/>
        </w:rPr>
        <w:t>health outcomes</w:t>
      </w:r>
      <w:r w:rsidR="00AC2BFF">
        <w:rPr>
          <w:rFonts w:ascii="Arial" w:hAnsi="Arial" w:cs="Arial"/>
        </w:rPr>
        <w:fldChar w:fldCharType="begin" w:fldLock="1"/>
      </w:r>
      <w:r w:rsidR="007024AA">
        <w:rPr>
          <w:rFonts w:ascii="Arial" w:hAnsi="Arial" w:cs="Arial"/>
        </w:rPr>
        <w:instrText>ADDIN CSL_CITATION { "citationItems" : [ { "id" : "ITEM-1", "itemData" : { "author" : [ { "dropping-particle" : "", "family" : "Doyle", "given" : "C", "non-dropping-particle" : "", "parse-names" : false, "suffix" : "" }, { "dropping-particle" : "", "family" : "Lennox", "given" : "L", "non-dropping-particle" : "", "parse-names" : false, "suffix" : "" }, { "dropping-particle" : "", "family" : "Bell", "given" : "D", "non-dropping-particle" : "", "parse-names" : false, "suffix" : "" } ], "container-title" : "BMJ Open", "id" : "ITEM-1", "issued" : { "date-parts" : [ [ "2013" ] ] }, "page" : "1-18", "title" : "A systematic review of evidence on the links between patient experience and clinical safety and effectiveness", "type" : "article-journal", "volume" : "3" }, "uris" : [ "http://www.mendeley.com/documents/?uuid=405ffc57-192f-47e2-890b-65bff0e59ba3" ] } ], "mendeley" : { "formattedCitation" : "&lt;sup&gt;7&lt;/sup&gt;", "plainTextFormattedCitation" : "7", "previouslyFormattedCitation" : "&lt;sup&gt;7&lt;/sup&gt;" }, "properties" : { "noteIndex" : 0 }, "schema" : "https://github.com/citation-style-language/schema/raw/master/csl-citation.json" }</w:instrText>
      </w:r>
      <w:r w:rsidR="00AC2BFF">
        <w:rPr>
          <w:rFonts w:ascii="Arial" w:hAnsi="Arial" w:cs="Arial"/>
        </w:rPr>
        <w:fldChar w:fldCharType="separate"/>
      </w:r>
      <w:r w:rsidR="000E56C3" w:rsidRPr="000E56C3">
        <w:rPr>
          <w:rFonts w:ascii="Arial" w:hAnsi="Arial" w:cs="Arial"/>
          <w:noProof/>
          <w:vertAlign w:val="superscript"/>
        </w:rPr>
        <w:t>7</w:t>
      </w:r>
      <w:r w:rsidR="00AC2BFF">
        <w:rPr>
          <w:rFonts w:ascii="Arial" w:hAnsi="Arial" w:cs="Arial"/>
        </w:rPr>
        <w:fldChar w:fldCharType="end"/>
      </w:r>
      <w:r w:rsidR="00D15D9D">
        <w:rPr>
          <w:rFonts w:ascii="Arial" w:hAnsi="Arial" w:cs="Arial"/>
        </w:rPr>
        <w:t>.</w:t>
      </w:r>
      <w:r w:rsidR="00A66FB5">
        <w:rPr>
          <w:rFonts w:ascii="Arial" w:hAnsi="Arial" w:cs="Arial"/>
        </w:rPr>
        <w:t xml:space="preserve">  </w:t>
      </w:r>
      <w:r w:rsidR="00F87DDA">
        <w:rPr>
          <w:rFonts w:ascii="Arial" w:hAnsi="Arial" w:cs="Arial"/>
        </w:rPr>
        <w:t xml:space="preserve">What </w:t>
      </w:r>
      <w:r w:rsidR="001E09E5">
        <w:rPr>
          <w:rFonts w:ascii="Arial" w:hAnsi="Arial" w:cs="Arial"/>
        </w:rPr>
        <w:t xml:space="preserve">precisely </w:t>
      </w:r>
      <w:r w:rsidR="00F87DDA">
        <w:rPr>
          <w:rFonts w:ascii="Arial" w:hAnsi="Arial" w:cs="Arial"/>
        </w:rPr>
        <w:t xml:space="preserve">constitutes the patient </w:t>
      </w:r>
      <w:r w:rsidR="006038AD">
        <w:rPr>
          <w:rFonts w:ascii="Arial" w:hAnsi="Arial" w:cs="Arial"/>
        </w:rPr>
        <w:t>experience is contested, but</w:t>
      </w:r>
      <w:r w:rsidR="001E09E5">
        <w:rPr>
          <w:rFonts w:ascii="Arial" w:hAnsi="Arial" w:cs="Arial"/>
        </w:rPr>
        <w:t xml:space="preserve"> potentially </w:t>
      </w:r>
      <w:r w:rsidR="006038AD">
        <w:rPr>
          <w:rFonts w:ascii="Arial" w:hAnsi="Arial" w:cs="Arial"/>
        </w:rPr>
        <w:t xml:space="preserve">includes </w:t>
      </w:r>
      <w:r w:rsidR="001E09E5">
        <w:rPr>
          <w:rFonts w:ascii="Arial" w:hAnsi="Arial" w:cs="Arial"/>
        </w:rPr>
        <w:t>an</w:t>
      </w:r>
      <w:r w:rsidR="00F87DDA">
        <w:rPr>
          <w:rFonts w:ascii="Arial" w:hAnsi="Arial" w:cs="Arial"/>
        </w:rPr>
        <w:t xml:space="preserve"> </w:t>
      </w:r>
      <w:r w:rsidR="006038AD">
        <w:rPr>
          <w:rFonts w:ascii="Arial" w:hAnsi="Arial" w:cs="Arial"/>
        </w:rPr>
        <w:t xml:space="preserve">evaluation of their interactions with all parts of the care process, including the arrangement of care, its main features, and how </w:t>
      </w:r>
      <w:r w:rsidR="001E09E5">
        <w:rPr>
          <w:rFonts w:ascii="Arial" w:hAnsi="Arial" w:cs="Arial"/>
        </w:rPr>
        <w:t>it</w:t>
      </w:r>
      <w:r w:rsidR="006038AD">
        <w:rPr>
          <w:rFonts w:ascii="Arial" w:hAnsi="Arial" w:cs="Arial"/>
        </w:rPr>
        <w:t xml:space="preserve"> is delivered</w:t>
      </w:r>
      <w:r w:rsidR="00AC2BFF">
        <w:rPr>
          <w:rFonts w:ascii="Arial" w:hAnsi="Arial" w:cs="Arial"/>
        </w:rPr>
        <w:fldChar w:fldCharType="begin" w:fldLock="1"/>
      </w:r>
      <w:r w:rsidR="007024AA">
        <w:rPr>
          <w:rFonts w:ascii="Arial" w:hAnsi="Arial" w:cs="Arial"/>
        </w:rPr>
        <w:instrText>ADDIN CSL_CITATION { "citationItems" : [ { "id" : "ITEM-1", "itemData" : { "ISSN" : "2372-0247", "author" : [ { "dropping-particle" : "", "family" : "Wolf", "given" : "Jason", "non-dropping-particle" : "", "parse-names" : false, "suffix" : "" }, { "dropping-particle" : "", "family" : "Niederhauser", "given" : "Victoria", "non-dropping-particle" : "", "parse-names" : false, "suffix" : "" }, { "dropping-particle" : "", "family" : "Marshburn", "given" : "Dianne", "non-dropping-particle" : "", "parse-names" : false, "suffix" : "" }, { "dropping-particle" : "", "family" : "LaVela", "given" : "Sherri", "non-dropping-particle" : "", "parse-names" : false, "suffix" : "" } ], "container-title" : "Patient Experience Journal", "id" : "ITEM-1", "issue" : "1", "issued" : { "date-parts" : [ [ "2014" ] ] }, "page" : "7 - 19", "title" : "Defining Patient Experience", "type" : "article", "volume" : "1" }, "uris" : [ "http://www.mendeley.com/documents/?uuid=6fa54587-6168-41f1-8723-86d235ec0e5c" ] } ], "mendeley" : { "formattedCitation" : "&lt;sup&gt;8&lt;/sup&gt;", "plainTextFormattedCitation" : "8", "previouslyFormattedCitation" : "&lt;sup&gt;8&lt;/sup&gt;" }, "properties" : { "noteIndex" : 0 }, "schema" : "https://github.com/citation-style-language/schema/raw/master/csl-citation.json" }</w:instrText>
      </w:r>
      <w:r w:rsidR="00AC2BFF">
        <w:rPr>
          <w:rFonts w:ascii="Arial" w:hAnsi="Arial" w:cs="Arial"/>
        </w:rPr>
        <w:fldChar w:fldCharType="separate"/>
      </w:r>
      <w:r w:rsidR="000E56C3" w:rsidRPr="000E56C3">
        <w:rPr>
          <w:rFonts w:ascii="Arial" w:hAnsi="Arial" w:cs="Arial"/>
          <w:noProof/>
          <w:vertAlign w:val="superscript"/>
        </w:rPr>
        <w:t>8</w:t>
      </w:r>
      <w:r w:rsidR="00AC2BFF">
        <w:rPr>
          <w:rFonts w:ascii="Arial" w:hAnsi="Arial" w:cs="Arial"/>
        </w:rPr>
        <w:fldChar w:fldCharType="end"/>
      </w:r>
      <w:r w:rsidR="006038AD">
        <w:rPr>
          <w:rFonts w:ascii="Arial" w:hAnsi="Arial" w:cs="Arial"/>
        </w:rPr>
        <w:t xml:space="preserve">.  </w:t>
      </w:r>
    </w:p>
    <w:p w14:paraId="37008E25" w14:textId="77777777" w:rsidR="00852632" w:rsidRDefault="00852632" w:rsidP="005E48D8">
      <w:pPr>
        <w:spacing w:after="0" w:line="480" w:lineRule="auto"/>
        <w:rPr>
          <w:rFonts w:ascii="Arial" w:hAnsi="Arial" w:cs="Arial"/>
        </w:rPr>
      </w:pPr>
    </w:p>
    <w:p w14:paraId="2B59F2AA" w14:textId="77777777" w:rsidR="005B76F3" w:rsidRDefault="006038AD" w:rsidP="00662046">
      <w:pPr>
        <w:spacing w:after="0" w:line="480" w:lineRule="auto"/>
        <w:jc w:val="both"/>
        <w:rPr>
          <w:rFonts w:ascii="Arial" w:hAnsi="Arial" w:cs="Arial"/>
        </w:rPr>
      </w:pPr>
      <w:r>
        <w:rPr>
          <w:rFonts w:ascii="Arial" w:hAnsi="Arial" w:cs="Arial"/>
        </w:rPr>
        <w:t xml:space="preserve">There are reasons to suspect that older people receiving specialist community mental health services particularly value </w:t>
      </w:r>
      <w:r w:rsidR="00523205">
        <w:rPr>
          <w:rFonts w:ascii="Arial" w:hAnsi="Arial" w:cs="Arial"/>
        </w:rPr>
        <w:t>experiential</w:t>
      </w:r>
      <w:r w:rsidR="00EE60FF">
        <w:rPr>
          <w:rFonts w:ascii="Arial" w:hAnsi="Arial" w:cs="Arial"/>
        </w:rPr>
        <w:t xml:space="preserve"> </w:t>
      </w:r>
      <w:r w:rsidR="001E09E5">
        <w:rPr>
          <w:rFonts w:ascii="Arial" w:hAnsi="Arial" w:cs="Arial"/>
        </w:rPr>
        <w:t>aspects</w:t>
      </w:r>
      <w:r w:rsidR="00EE60FF">
        <w:rPr>
          <w:rFonts w:ascii="Arial" w:hAnsi="Arial" w:cs="Arial"/>
        </w:rPr>
        <w:t xml:space="preserve"> of care</w:t>
      </w:r>
      <w:r>
        <w:rPr>
          <w:rFonts w:ascii="Arial" w:hAnsi="Arial" w:cs="Arial"/>
        </w:rPr>
        <w:t xml:space="preserve">.  </w:t>
      </w:r>
      <w:r w:rsidR="005E3EE4">
        <w:rPr>
          <w:rFonts w:ascii="Arial" w:hAnsi="Arial" w:cs="Arial"/>
        </w:rPr>
        <w:t xml:space="preserve">For example, </w:t>
      </w:r>
      <w:r w:rsidR="000149D9">
        <w:rPr>
          <w:rFonts w:ascii="Arial" w:hAnsi="Arial" w:cs="Arial"/>
        </w:rPr>
        <w:t xml:space="preserve">complaints are legion that mental health provision is </w:t>
      </w:r>
      <w:r w:rsidR="00F87DDA">
        <w:rPr>
          <w:rFonts w:ascii="Arial" w:hAnsi="Arial" w:cs="Arial"/>
        </w:rPr>
        <w:t>poorly integrated</w:t>
      </w:r>
      <w:r w:rsidR="000149D9">
        <w:rPr>
          <w:rFonts w:ascii="Arial" w:hAnsi="Arial" w:cs="Arial"/>
        </w:rPr>
        <w:t xml:space="preserve"> with </w:t>
      </w:r>
      <w:r w:rsidR="00F87DDA">
        <w:rPr>
          <w:rFonts w:ascii="Arial" w:hAnsi="Arial" w:cs="Arial"/>
        </w:rPr>
        <w:t xml:space="preserve">wider </w:t>
      </w:r>
      <w:r w:rsidR="000149D9">
        <w:rPr>
          <w:rFonts w:ascii="Arial" w:hAnsi="Arial" w:cs="Arial"/>
        </w:rPr>
        <w:t xml:space="preserve">physical health and social care </w:t>
      </w:r>
      <w:r w:rsidR="000E6524">
        <w:rPr>
          <w:rFonts w:ascii="Arial" w:hAnsi="Arial" w:cs="Arial"/>
        </w:rPr>
        <w:t>services, despite the frailty and multimorbidity common amongst this patient group</w:t>
      </w:r>
      <w:r w:rsidR="00AC2BFF">
        <w:rPr>
          <w:rFonts w:ascii="Arial" w:hAnsi="Arial" w:cs="Arial"/>
        </w:rPr>
        <w:fldChar w:fldCharType="begin" w:fldLock="1"/>
      </w:r>
      <w:r w:rsidR="007024AA">
        <w:rPr>
          <w:rFonts w:ascii="Arial" w:hAnsi="Arial" w:cs="Arial"/>
        </w:rPr>
        <w:instrText>ADDIN CSL_CITATION { "citationItems" : [ { "id" : "ITEM-1", "itemData" : { "DOI" : "10.1016/S0140-6736(14)61596-8", "ISSN" : "0140-6736", "author" : [ { "dropping-particle" : "", "family" : "Banerjee", "given" : "Sube", "non-dropping-particle" : "", "parse-names" : false, "suffix" : "" } ], "container-title" : "The Lancet", "id" : "ITEM-1", "issue" : "9968", "issued" : { "date-parts" : [ [ "2015", "2", "14" ] ] }, "page" : "587-589", "publisher" : "Elsevier", "title" : "Multimorbidity\u2014older adults need health care that can count past one", "type" : "article-journal", "volume" : "385" }, "uris" : [ "http://www.mendeley.com/documents/?uuid=b7c9898b-b2cb-362a-99f5-31752d042d28" ] } ], "mendeley" : { "formattedCitation" : "&lt;sup&gt;9&lt;/sup&gt;", "plainTextFormattedCitation" : "9", "previouslyFormattedCitation" : "&lt;sup&gt;9&lt;/sup&gt;" }, "properties" : { "noteIndex" : 0 }, "schema" : "https://github.com/citation-style-language/schema/raw/master/csl-citation.json" }</w:instrText>
      </w:r>
      <w:r w:rsidR="00AC2BFF">
        <w:rPr>
          <w:rFonts w:ascii="Arial" w:hAnsi="Arial" w:cs="Arial"/>
        </w:rPr>
        <w:fldChar w:fldCharType="separate"/>
      </w:r>
      <w:r w:rsidR="000E56C3" w:rsidRPr="000E56C3">
        <w:rPr>
          <w:rFonts w:ascii="Arial" w:hAnsi="Arial" w:cs="Arial"/>
          <w:noProof/>
          <w:vertAlign w:val="superscript"/>
        </w:rPr>
        <w:t>9</w:t>
      </w:r>
      <w:r w:rsidR="00AC2BFF">
        <w:rPr>
          <w:rFonts w:ascii="Arial" w:hAnsi="Arial" w:cs="Arial"/>
        </w:rPr>
        <w:fldChar w:fldCharType="end"/>
      </w:r>
      <w:r w:rsidR="000E6524">
        <w:rPr>
          <w:rFonts w:ascii="Arial" w:hAnsi="Arial" w:cs="Arial"/>
        </w:rPr>
        <w:t xml:space="preserve">.  </w:t>
      </w:r>
      <w:r w:rsidR="00C55892">
        <w:rPr>
          <w:rFonts w:ascii="Arial" w:hAnsi="Arial" w:cs="Arial"/>
        </w:rPr>
        <w:t>A</w:t>
      </w:r>
      <w:r w:rsidR="005E3EE4">
        <w:rPr>
          <w:rFonts w:ascii="Arial" w:hAnsi="Arial" w:cs="Arial"/>
        </w:rPr>
        <w:t>t an interpersonal level it is known that communication with care workers has the potential to either reinforce or com</w:t>
      </w:r>
      <w:r w:rsidR="00F87DDA">
        <w:rPr>
          <w:rFonts w:ascii="Arial" w:hAnsi="Arial" w:cs="Arial"/>
        </w:rPr>
        <w:t xml:space="preserve">promise an older person’s </w:t>
      </w:r>
      <w:r w:rsidR="005E3EE4">
        <w:rPr>
          <w:rFonts w:ascii="Arial" w:hAnsi="Arial" w:cs="Arial"/>
        </w:rPr>
        <w:t xml:space="preserve">identity and selfhood, </w:t>
      </w:r>
      <w:r w:rsidR="00F87DDA">
        <w:rPr>
          <w:rFonts w:ascii="Arial" w:hAnsi="Arial" w:cs="Arial"/>
        </w:rPr>
        <w:t xml:space="preserve">especially in the context of cognitive decline, </w:t>
      </w:r>
      <w:r w:rsidR="005E3EE4">
        <w:rPr>
          <w:rFonts w:ascii="Arial" w:hAnsi="Arial" w:cs="Arial"/>
        </w:rPr>
        <w:t>depending on how it is delivered</w:t>
      </w:r>
      <w:r w:rsidR="00AC2BFF">
        <w:rPr>
          <w:rFonts w:ascii="Arial" w:hAnsi="Arial" w:cs="Arial"/>
        </w:rPr>
        <w:fldChar w:fldCharType="begin" w:fldLock="1"/>
      </w:r>
      <w:r w:rsidR="007024AA">
        <w:rPr>
          <w:rFonts w:ascii="Arial" w:hAnsi="Arial" w:cs="Arial"/>
        </w:rPr>
        <w:instrText>ADDIN CSL_CITATION { "citationItems" : [ { "id" : "ITEM-1", "itemData" : { "author" : [ { "dropping-particle" : "", "family" : "Kitwood", "given" : "TM", "non-dropping-particle" : "", "parse-names" : false, "suffix" : "" } ], "id" : "ITEM-1", "issued" : { "date-parts" : [ [ "1997" ] ] }, "publisher" : "Open University Press", "publisher-place" : "Buckingham", "title" : "Dementia Reconsidered: The Person Comes First", "type" : "book" }, "uris" : [ "http://www.mendeley.com/documents/?uuid=4586f04a-03e6-495f-adb6-21163725345a" ] }, { "id" : "ITEM-2", "itemData" : { "DOI" : "10.1177/0733464810387578", "ISSN" : "0733-4648", "abstract" : "Client perspectives of home support (i.e., assistance with daily activities that help to maintain a safe and supportive home) have not been considered in relation to personhood: \" a standing or status that is bestowed upon one human being, by others, in the context of relationship and social being. \" Personhood and positive person work interactions conceptually guided our secondary analysis of data from a generic qualitative study including 82 semi-structured interviews with older adult home support clients in British Columbia, Canada. Findings revealed clients value a \" focus on the person, \" \" preservation of autonomy, \" and interactions characterized by recognition, validation, collaboration, and negotia-tion. Individuals involved in the delivery of home support services are in a key position to support the personhood of older adult clients.", "author" : [ { "dropping-particle" : "", "family" : "Byrne", "given" : "Kerry", "non-dropping-particle" : "", "parse-names" : false, "suffix" : "" }, { "dropping-particle" : "", "family" : "Frazee", "given" : "Krista", "non-dropping-particle" : "", "parse-names" : false, "suffix" : "" }, { "dropping-particle" : "", "family" : "Sims-Gould", "given" : "Joanie", "non-dropping-particle" : "", "parse-names" : false, "suffix" : "" }, { "dropping-particle" : "", "family" : "Martin-Matthews", "given" : "Anne", "non-dropping-particle" : "", "parse-names" : false, "suffix" : "" } ], "container-title" : "Journal of Applied Gerontology", "id" : "ITEM-2", "issue" : "3", "issued" : { "date-parts" : [ [ "2012", "6", "1" ] ] }, "page" : "377-401", "publisher" : "SAGE Publications", "title" : "Valuing the Older Person in the Context of Delivery and Receipt of Home Support: Client Perspectives", "type" : "article-journal", "volume" : "31" }, "uris" : [ "http://www.mendeley.com/documents/?uuid=52f557e4-1190-4dd6-9bf5-0e07483a4568" ] }, { "id" : "ITEM-3", "itemData" : { "DOI" : "10.1111/ijsw.12221", "ISSN" : "13696866", "author" : [ { "dropping-particle" : "", "family" : "Wilberforce", "given" : "Mark", "non-dropping-particle" : "", "parse-names" : false, "suffix" : "" }, { "dropping-particle" : "", "family" : "Challis", "given" : "David", "non-dropping-particle" : "", "parse-names" : false, "suffix" : "" }, { "dropping-particle" : "", "family" : "Davies", "given" : "Linda", "non-dropping-particle" : "", "parse-names" : false, "suffix" : "" }, { "dropping-particle" : "", "family" : "Kelly", "given" : "Michael P.", "non-dropping-particle" : "", "parse-names" : false, "suffix" : "" }, { "dropping-particle" : "", "family" : "Roberts", "given" : "Chris", "non-dropping-particle" : "", "parse-names" : false, "suffix" : "" }, { "dropping-particle" : "", "family" : "Clarkson", "given" : "Paul", "non-dropping-particle" : "", "parse-names" : false, "suffix" : "" } ], "container-title" : "International Journal of Social Welfare", "id" : "ITEM-3", "issue" : "1", "issued" : { "date-parts" : [ [ "2017", "1" ] ] }, "page" : "86-98", "title" : "Person-centredness in the community care of older people: A literature-based concept synthesis", "type" : "article-journal", "volume" : "26" }, "uris" : [ "http://www.mendeley.com/documents/?uuid=9c7393c0-1028-3468-afc4-0a6852b6b036" ] } ], "mendeley" : { "formattedCitation" : "&lt;sup&gt;10\u201312&lt;/sup&gt;", "plainTextFormattedCitation" : "10\u201312", "previouslyFormattedCitation" : "&lt;sup&gt;10\u201312&lt;/sup&gt;" }, "properties" : { "noteIndex" : 0 }, "schema" : "https://github.com/citation-style-language/schema/raw/master/csl-citation.json" }</w:instrText>
      </w:r>
      <w:r w:rsidR="00AC2BFF">
        <w:rPr>
          <w:rFonts w:ascii="Arial" w:hAnsi="Arial" w:cs="Arial"/>
        </w:rPr>
        <w:fldChar w:fldCharType="separate"/>
      </w:r>
      <w:r w:rsidR="000E56C3" w:rsidRPr="000E56C3">
        <w:rPr>
          <w:rFonts w:ascii="Arial" w:hAnsi="Arial" w:cs="Arial"/>
          <w:noProof/>
          <w:vertAlign w:val="superscript"/>
        </w:rPr>
        <w:t>10–12</w:t>
      </w:r>
      <w:r w:rsidR="00AC2BFF">
        <w:rPr>
          <w:rFonts w:ascii="Arial" w:hAnsi="Arial" w:cs="Arial"/>
        </w:rPr>
        <w:fldChar w:fldCharType="end"/>
      </w:r>
      <w:r w:rsidR="005E3EE4">
        <w:rPr>
          <w:rFonts w:ascii="Arial" w:hAnsi="Arial" w:cs="Arial"/>
        </w:rPr>
        <w:t xml:space="preserve">. </w:t>
      </w:r>
      <w:r w:rsidR="0042597B">
        <w:rPr>
          <w:rFonts w:ascii="Arial" w:hAnsi="Arial" w:cs="Arial"/>
        </w:rPr>
        <w:t xml:space="preserve"> </w:t>
      </w:r>
      <w:r w:rsidR="00523205">
        <w:rPr>
          <w:rFonts w:ascii="Arial" w:hAnsi="Arial" w:cs="Arial"/>
        </w:rPr>
        <w:t xml:space="preserve">Indeed, for patients with dementia and their </w:t>
      </w:r>
      <w:proofErr w:type="spellStart"/>
      <w:r w:rsidR="00523205">
        <w:rPr>
          <w:rFonts w:ascii="Arial" w:hAnsi="Arial" w:cs="Arial"/>
        </w:rPr>
        <w:t>carers</w:t>
      </w:r>
      <w:proofErr w:type="spellEnd"/>
      <w:r w:rsidR="00523205">
        <w:rPr>
          <w:rFonts w:ascii="Arial" w:hAnsi="Arial" w:cs="Arial"/>
        </w:rPr>
        <w:t>, preference studies have indicated that continuity of care is prioritised above other features</w:t>
      </w:r>
      <w:r w:rsidR="00AC2BFF">
        <w:rPr>
          <w:rFonts w:ascii="Arial" w:hAnsi="Arial" w:cs="Arial"/>
        </w:rPr>
        <w:fldChar w:fldCharType="begin" w:fldLock="1"/>
      </w:r>
      <w:r w:rsidR="0032332D">
        <w:rPr>
          <w:rFonts w:ascii="Arial" w:hAnsi="Arial" w:cs="Arial"/>
        </w:rPr>
        <w:instrText>ADDIN CSL_CITATION { "citationItems" : [ { "id" : "ITEM-1", "itemData" : { "author" : [ { "dropping-particle" : "", "family" : "Chester", "given" : "H", "non-dropping-particle" : "", "parse-names" : false, "suffix" : "" }, { "dropping-particle" : "", "family" : "Clarkson", "given" : "P", "non-dropping-particle" : "", "parse-names" : false, "suffix" : "" }, { "dropping-particle" : "", "family" : "Davies", "given" : "L", "non-dropping-particle" : "", "parse-names" : false, "suffix" : "" }, { "dropping-particle" : "", "family" : "Sutcliffe", "given" : "C", "non-dropping-particle" : "", "parse-names" : false, "suffix" : "" }, { "dropping-particle" : "", "family" : "Hughes", "given" : "J", "non-dropping-particle" : "", "parse-names" : false, "suffix" : "" }, { "dropping-particle" : "", "family" : "Roe", "given" : "B", "non-dropping-particle" : "", "parse-names" : false, "suffix" : "" }, { "dropping-particle" : "", "family" : "Challis", "given" : "D", "non-dropping-particle" : "", "parse-names" : false, "suffix" : "" } ], "container-title" : "Quality in Ageing and Older Adults", "id" : "ITEM-1", "issued" : { "date-parts" : [ [ "2016" ] ] }, "title" : "A discrete choice experiment to explore carer preferences", "type" : "article-journal" }, "uris" : [ "http://www.mendeley.com/documents/?uuid=1b036aeb-afb5-4307-be71-56f9552e24bc" ] } ], "mendeley" : { "formattedCitation" : "&lt;sup&gt;13&lt;/sup&gt;", "plainTextFormattedCitation" : "13", "previouslyFormattedCitation" : "&lt;sup&gt;13&lt;/sup&gt;"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13</w:t>
      </w:r>
      <w:r w:rsidR="00AC2BFF">
        <w:rPr>
          <w:rFonts w:ascii="Arial" w:hAnsi="Arial" w:cs="Arial"/>
        </w:rPr>
        <w:fldChar w:fldCharType="end"/>
      </w:r>
      <w:r w:rsidR="00523205">
        <w:rPr>
          <w:rFonts w:ascii="Arial" w:hAnsi="Arial" w:cs="Arial"/>
        </w:rPr>
        <w:t xml:space="preserve">, supporting the argument that relational aspects of care are crucial to wellbeing in this population.  </w:t>
      </w:r>
    </w:p>
    <w:p w14:paraId="34BF39B4" w14:textId="77777777" w:rsidR="00434509" w:rsidRDefault="005E3EE4" w:rsidP="005E48D8">
      <w:pPr>
        <w:spacing w:after="0" w:line="480" w:lineRule="auto"/>
        <w:rPr>
          <w:rFonts w:ascii="Arial" w:hAnsi="Arial" w:cs="Arial"/>
        </w:rPr>
      </w:pPr>
      <w:r>
        <w:rPr>
          <w:rFonts w:ascii="Arial" w:hAnsi="Arial" w:cs="Arial"/>
        </w:rPr>
        <w:t xml:space="preserve"> </w:t>
      </w:r>
    </w:p>
    <w:p w14:paraId="27156EFB" w14:textId="4A0820B2" w:rsidR="009803A1" w:rsidRDefault="000A6614" w:rsidP="00662046">
      <w:pPr>
        <w:autoSpaceDE w:val="0"/>
        <w:autoSpaceDN w:val="0"/>
        <w:adjustRightInd w:val="0"/>
        <w:spacing w:after="0" w:line="480" w:lineRule="auto"/>
        <w:jc w:val="both"/>
        <w:rPr>
          <w:rFonts w:ascii="Arial" w:hAnsi="Arial" w:cs="Arial"/>
        </w:rPr>
      </w:pPr>
      <w:r>
        <w:rPr>
          <w:rFonts w:ascii="Arial" w:hAnsi="Arial" w:cs="Arial"/>
        </w:rPr>
        <w:t xml:space="preserve">For researchers and service managers, how to measure patient experience is crucial.  In recent decades, </w:t>
      </w:r>
      <w:r w:rsidR="000149D9">
        <w:rPr>
          <w:rFonts w:ascii="Arial" w:hAnsi="Arial" w:cs="Arial"/>
        </w:rPr>
        <w:t>satisfaction metrics</w:t>
      </w:r>
      <w:r>
        <w:rPr>
          <w:rFonts w:ascii="Arial" w:hAnsi="Arial" w:cs="Arial"/>
        </w:rPr>
        <w:t xml:space="preserve"> have fallen out of favour because of conceptual and empirical concerns over what they </w:t>
      </w:r>
      <w:r w:rsidR="000149D9">
        <w:rPr>
          <w:rFonts w:ascii="Arial" w:hAnsi="Arial" w:cs="Arial"/>
        </w:rPr>
        <w:t>measure</w:t>
      </w:r>
      <w:r>
        <w:rPr>
          <w:rFonts w:ascii="Arial" w:hAnsi="Arial" w:cs="Arial"/>
        </w:rPr>
        <w:t xml:space="preserve">. </w:t>
      </w:r>
      <w:r w:rsidR="0067398A">
        <w:rPr>
          <w:rFonts w:ascii="Arial" w:hAnsi="Arial" w:cs="Arial"/>
        </w:rPr>
        <w:t xml:space="preserve"> </w:t>
      </w:r>
      <w:r w:rsidR="00C55892">
        <w:rPr>
          <w:rFonts w:ascii="Arial" w:hAnsi="Arial" w:cs="Arial"/>
        </w:rPr>
        <w:t>S</w:t>
      </w:r>
      <w:r w:rsidR="0067398A">
        <w:rPr>
          <w:rFonts w:ascii="Arial" w:hAnsi="Arial" w:cs="Arial"/>
        </w:rPr>
        <w:t xml:space="preserve">atisfaction </w:t>
      </w:r>
      <w:r w:rsidR="00C55892">
        <w:rPr>
          <w:rFonts w:ascii="Arial" w:hAnsi="Arial" w:cs="Arial"/>
        </w:rPr>
        <w:t>may be</w:t>
      </w:r>
      <w:r w:rsidR="0067398A">
        <w:rPr>
          <w:rFonts w:ascii="Arial" w:hAnsi="Arial" w:cs="Arial"/>
        </w:rPr>
        <w:t xml:space="preserve"> regarded as too passive and </w:t>
      </w:r>
      <w:r w:rsidR="00C55892">
        <w:rPr>
          <w:rFonts w:ascii="Arial" w:hAnsi="Arial" w:cs="Arial"/>
        </w:rPr>
        <w:t>lacking objectivity</w:t>
      </w:r>
      <w:r w:rsidR="0067398A">
        <w:rPr>
          <w:rFonts w:ascii="Arial" w:hAnsi="Arial" w:cs="Arial"/>
        </w:rPr>
        <w:t xml:space="preserve"> as a goal for evaluating </w:t>
      </w:r>
      <w:r w:rsidR="007024AA">
        <w:rPr>
          <w:rFonts w:ascii="Arial" w:hAnsi="Arial" w:cs="Arial"/>
        </w:rPr>
        <w:t xml:space="preserve">health </w:t>
      </w:r>
      <w:r w:rsidR="0067398A">
        <w:rPr>
          <w:rFonts w:ascii="Arial" w:hAnsi="Arial" w:cs="Arial"/>
        </w:rPr>
        <w:t xml:space="preserve">service quality, and driven </w:t>
      </w:r>
      <w:r w:rsidR="00D57820">
        <w:rPr>
          <w:rFonts w:ascii="Arial" w:hAnsi="Arial" w:cs="Arial"/>
        </w:rPr>
        <w:t xml:space="preserve">more </w:t>
      </w:r>
      <w:r w:rsidR="0067398A">
        <w:rPr>
          <w:rFonts w:ascii="Arial" w:hAnsi="Arial" w:cs="Arial"/>
        </w:rPr>
        <w:t>by expectations rather than actual experience</w:t>
      </w:r>
      <w:r w:rsidR="007024AA">
        <w:rPr>
          <w:rFonts w:ascii="Arial" w:hAnsi="Arial" w:cs="Arial"/>
        </w:rPr>
        <w:fldChar w:fldCharType="begin" w:fldLock="1"/>
      </w:r>
      <w:r w:rsidR="0032332D">
        <w:rPr>
          <w:rFonts w:ascii="Arial" w:hAnsi="Arial" w:cs="Arial"/>
        </w:rPr>
        <w:instrText>ADDIN CSL_CITATION { "citationItems" : [ { "id" : "ITEM-1", "itemData" : { "author" : [ { "dropping-particle" : "", "family" : "York", "given" : "Anne S", "non-dropping-particle" : "", "parse-names" : false, "suffix" : "" }, { "dropping-particle" : "", "family" : "McCarthy", "given" : "Kim A", "non-dropping-particle" : "", "parse-names" : false, "suffix" : "" } ], "container-title" : "International Journal of Health Care Quality Assurance", "id" : "ITEM-1", "issue" : "3", "issued" : { "date-parts" : [ [ "2009" ] ] }, "page" : "178-191", "title" : "International Journal of Health Care Quality Assurance Patient, staff and physician satisfaction: a new model, instrument and their implications) &amp;quot;Patient, staff and physician satisfaction: a new model, instrument and their implications&amp;quot;&amp;quot;Ho", "type" : "article-journal", "volume" : "24" }, "uris" : [ "http://www.mendeley.com/documents/?uuid=34104000-58a5-30fa-8bed-09826fd449f8" ] } ], "mendeley" : { "formattedCitation" : "&lt;sup&gt;14&lt;/sup&gt;", "plainTextFormattedCitation" : "14", "previouslyFormattedCitation" : "&lt;sup&gt;14&lt;/sup&gt;" }, "properties" : { "noteIndex" : 0 }, "schema" : "https://github.com/citation-style-language/schema/raw/master/csl-citation.json" }</w:instrText>
      </w:r>
      <w:r w:rsidR="007024AA">
        <w:rPr>
          <w:rFonts w:ascii="Arial" w:hAnsi="Arial" w:cs="Arial"/>
        </w:rPr>
        <w:fldChar w:fldCharType="separate"/>
      </w:r>
      <w:r w:rsidR="00471B8C" w:rsidRPr="00471B8C">
        <w:rPr>
          <w:rFonts w:ascii="Arial" w:hAnsi="Arial" w:cs="Arial"/>
          <w:noProof/>
          <w:vertAlign w:val="superscript"/>
        </w:rPr>
        <w:t>14</w:t>
      </w:r>
      <w:r w:rsidR="007024AA">
        <w:rPr>
          <w:rFonts w:ascii="Arial" w:hAnsi="Arial" w:cs="Arial"/>
        </w:rPr>
        <w:fldChar w:fldCharType="end"/>
      </w:r>
      <w:r w:rsidR="0067398A">
        <w:rPr>
          <w:rFonts w:ascii="Arial" w:hAnsi="Arial" w:cs="Arial"/>
        </w:rPr>
        <w:t xml:space="preserve">.  </w:t>
      </w:r>
      <w:r>
        <w:rPr>
          <w:rFonts w:ascii="Arial" w:hAnsi="Arial" w:cs="Arial"/>
        </w:rPr>
        <w:t xml:space="preserve"> </w:t>
      </w:r>
      <w:r w:rsidR="00A42B78">
        <w:rPr>
          <w:rFonts w:ascii="Arial" w:hAnsi="Arial" w:cs="Arial"/>
        </w:rPr>
        <w:t xml:space="preserve">One </w:t>
      </w:r>
      <w:r w:rsidR="000F4700">
        <w:rPr>
          <w:rFonts w:ascii="Arial" w:hAnsi="Arial" w:cs="Arial"/>
        </w:rPr>
        <w:t>alternative</w:t>
      </w:r>
      <w:r w:rsidR="00A42B78">
        <w:rPr>
          <w:rFonts w:ascii="Arial" w:hAnsi="Arial" w:cs="Arial"/>
        </w:rPr>
        <w:t xml:space="preserve"> receiving international </w:t>
      </w:r>
      <w:r w:rsidR="00A42B78">
        <w:rPr>
          <w:rFonts w:ascii="Arial" w:hAnsi="Arial" w:cs="Arial"/>
        </w:rPr>
        <w:lastRenderedPageBreak/>
        <w:t xml:space="preserve">attention </w:t>
      </w:r>
      <w:r w:rsidR="000F4700">
        <w:rPr>
          <w:rFonts w:ascii="Arial" w:hAnsi="Arial" w:cs="Arial"/>
        </w:rPr>
        <w:t xml:space="preserve">is the </w:t>
      </w:r>
      <w:r w:rsidR="00DC609C">
        <w:rPr>
          <w:rFonts w:ascii="Arial" w:hAnsi="Arial" w:cs="Arial"/>
        </w:rPr>
        <w:t>Net Promoter Score (NPS)</w:t>
      </w:r>
      <w:r w:rsidR="00921B72">
        <w:rPr>
          <w:rFonts w:ascii="Arial" w:hAnsi="Arial" w:cs="Arial"/>
        </w:rPr>
        <w:t xml:space="preserve"> which uses</w:t>
      </w:r>
      <w:r w:rsidR="00F53E27">
        <w:rPr>
          <w:rFonts w:ascii="Arial" w:hAnsi="Arial" w:cs="Arial"/>
        </w:rPr>
        <w:t xml:space="preserve"> a</w:t>
      </w:r>
      <w:r w:rsidR="00A42B78">
        <w:rPr>
          <w:rFonts w:ascii="Arial" w:hAnsi="Arial" w:cs="Arial"/>
        </w:rPr>
        <w:t xml:space="preserve"> single question: </w:t>
      </w:r>
      <w:r w:rsidR="005E48D8">
        <w:rPr>
          <w:rFonts w:ascii="Arial" w:hAnsi="Arial" w:cs="Arial"/>
        </w:rPr>
        <w:t>"</w:t>
      </w:r>
      <w:r w:rsidR="005E48D8" w:rsidRPr="00921B72">
        <w:rPr>
          <w:rFonts w:ascii="Arial" w:hAnsi="Arial" w:cs="Arial"/>
          <w:i/>
        </w:rPr>
        <w:t xml:space="preserve">how likely are you to recommend </w:t>
      </w:r>
      <w:r w:rsidR="00921B72">
        <w:rPr>
          <w:rFonts w:ascii="Arial" w:hAnsi="Arial" w:cs="Arial"/>
          <w:i/>
        </w:rPr>
        <w:t xml:space="preserve">this service </w:t>
      </w:r>
      <w:r w:rsidR="005E48D8" w:rsidRPr="00921B72">
        <w:rPr>
          <w:rFonts w:ascii="Arial" w:hAnsi="Arial" w:cs="Arial"/>
          <w:i/>
        </w:rPr>
        <w:t xml:space="preserve">to </w:t>
      </w:r>
      <w:r w:rsidR="009803A1" w:rsidRPr="00921B72">
        <w:rPr>
          <w:rFonts w:ascii="Arial" w:hAnsi="Arial" w:cs="Arial"/>
          <w:i/>
        </w:rPr>
        <w:t xml:space="preserve">your </w:t>
      </w:r>
      <w:r w:rsidR="005E48D8" w:rsidRPr="00921B72">
        <w:rPr>
          <w:rFonts w:ascii="Arial" w:hAnsi="Arial" w:cs="Arial"/>
          <w:i/>
        </w:rPr>
        <w:t>friends and family</w:t>
      </w:r>
      <w:r w:rsidR="00921B72" w:rsidRPr="00921B72">
        <w:rPr>
          <w:rFonts w:ascii="Arial" w:hAnsi="Arial" w:cs="Arial"/>
          <w:i/>
        </w:rPr>
        <w:t>?</w:t>
      </w:r>
      <w:r w:rsidR="005E48D8" w:rsidRPr="005E48D8">
        <w:rPr>
          <w:rFonts w:ascii="Arial" w:hAnsi="Arial" w:cs="Arial"/>
        </w:rPr>
        <w:t>”</w:t>
      </w:r>
      <w:r w:rsidR="00921B72">
        <w:rPr>
          <w:rFonts w:ascii="Arial" w:hAnsi="Arial" w:cs="Arial"/>
        </w:rPr>
        <w:t xml:space="preserve">  </w:t>
      </w:r>
      <w:r w:rsidR="00EF69A5">
        <w:rPr>
          <w:rFonts w:ascii="Arial" w:hAnsi="Arial" w:cs="Arial"/>
        </w:rPr>
        <w:t>By comparing the balance of those willing and unwilling to recommend the service, it is argued that NPS captures</w:t>
      </w:r>
      <w:r w:rsidR="00EF1B85">
        <w:rPr>
          <w:rFonts w:ascii="Arial" w:hAnsi="Arial" w:cs="Arial"/>
        </w:rPr>
        <w:t xml:space="preserve"> a strong</w:t>
      </w:r>
      <w:r w:rsidR="00C55892">
        <w:rPr>
          <w:rFonts w:ascii="Arial" w:hAnsi="Arial" w:cs="Arial"/>
        </w:rPr>
        <w:t>er</w:t>
      </w:r>
      <w:r w:rsidR="00EF1B85">
        <w:rPr>
          <w:rFonts w:ascii="Arial" w:hAnsi="Arial" w:cs="Arial"/>
        </w:rPr>
        <w:t xml:space="preserve"> valuation of a service</w:t>
      </w:r>
      <w:r w:rsidR="00C55892">
        <w:rPr>
          <w:rFonts w:ascii="Arial" w:hAnsi="Arial" w:cs="Arial"/>
        </w:rPr>
        <w:t>; such that it</w:t>
      </w:r>
      <w:r w:rsidR="00EF1B85">
        <w:rPr>
          <w:rFonts w:ascii="Arial" w:hAnsi="Arial" w:cs="Arial"/>
        </w:rPr>
        <w:t xml:space="preserve"> would</w:t>
      </w:r>
      <w:r w:rsidR="00C55892">
        <w:rPr>
          <w:rFonts w:ascii="Arial" w:hAnsi="Arial" w:cs="Arial"/>
        </w:rPr>
        <w:t xml:space="preserve"> (hypothetically)</w:t>
      </w:r>
      <w:r w:rsidR="00EF1B85">
        <w:rPr>
          <w:rFonts w:ascii="Arial" w:hAnsi="Arial" w:cs="Arial"/>
        </w:rPr>
        <w:t xml:space="preserve"> move a person to actively encourage or discourage</w:t>
      </w:r>
      <w:r w:rsidR="000A5250">
        <w:rPr>
          <w:rFonts w:ascii="Arial" w:hAnsi="Arial" w:cs="Arial"/>
        </w:rPr>
        <w:t xml:space="preserve"> others from using it.  It was this argument that saw the NPS </w:t>
      </w:r>
      <w:r w:rsidR="00D57820">
        <w:rPr>
          <w:rFonts w:ascii="Arial" w:hAnsi="Arial" w:cs="Arial"/>
        </w:rPr>
        <w:t xml:space="preserve">widely </w:t>
      </w:r>
      <w:r w:rsidR="000A5250">
        <w:rPr>
          <w:rFonts w:ascii="Arial" w:hAnsi="Arial" w:cs="Arial"/>
        </w:rPr>
        <w:t xml:space="preserve">replace satisfaction measures in business </w:t>
      </w:r>
      <w:r w:rsidR="00D57820">
        <w:rPr>
          <w:rFonts w:ascii="Arial" w:hAnsi="Arial" w:cs="Arial"/>
        </w:rPr>
        <w:t>research</w:t>
      </w:r>
      <w:r w:rsidR="000A5250">
        <w:rPr>
          <w:rFonts w:ascii="Arial" w:hAnsi="Arial" w:cs="Arial"/>
        </w:rPr>
        <w:t xml:space="preserve"> and related fields</w:t>
      </w:r>
      <w:r w:rsidR="0003206B">
        <w:rPr>
          <w:rFonts w:ascii="Arial" w:hAnsi="Arial" w:cs="Arial"/>
        </w:rPr>
        <w:fldChar w:fldCharType="begin" w:fldLock="1"/>
      </w:r>
      <w:r w:rsidR="0032332D">
        <w:rPr>
          <w:rFonts w:ascii="Arial" w:hAnsi="Arial" w:cs="Arial"/>
        </w:rPr>
        <w:instrText>ADDIN CSL_CITATION { "citationItems" : [ { "id" : "ITEM-1", "itemData" : { "author" : [ { "dropping-particle" : "", "family" : "Reichheld", "given" : "F", "non-dropping-particle" : "", "parse-names" : false, "suffix" : "" } ], "container-title" : "Harvard Business Review", "id" : "ITEM-1", "issue" : "12", "issued" : { "date-parts" : [ [ "2003" ] ] }, "page" : "46-55", "title" : "The One Number You Need to Grow", "type" : "article-journal", "volume" : "81" }, "uris" : [ "http://www.mendeley.com/documents/?uuid=cc3c805d-2e6b-31a8-9561-046d1baaffd1" ] } ], "mendeley" : { "formattedCitation" : "&lt;sup&gt;15&lt;/sup&gt;", "plainTextFormattedCitation" : "15", "previouslyFormattedCitation" : "&lt;sup&gt;15&lt;/sup&gt;" }, "properties" : { "noteIndex" : 0 }, "schema" : "https://github.com/citation-style-language/schema/raw/master/csl-citation.json" }</w:instrText>
      </w:r>
      <w:r w:rsidR="0003206B">
        <w:rPr>
          <w:rFonts w:ascii="Arial" w:hAnsi="Arial" w:cs="Arial"/>
        </w:rPr>
        <w:fldChar w:fldCharType="separate"/>
      </w:r>
      <w:r w:rsidR="00471B8C" w:rsidRPr="00471B8C">
        <w:rPr>
          <w:rFonts w:ascii="Arial" w:hAnsi="Arial" w:cs="Arial"/>
          <w:noProof/>
          <w:vertAlign w:val="superscript"/>
        </w:rPr>
        <w:t>15</w:t>
      </w:r>
      <w:r w:rsidR="0003206B">
        <w:rPr>
          <w:rFonts w:ascii="Arial" w:hAnsi="Arial" w:cs="Arial"/>
        </w:rPr>
        <w:fldChar w:fldCharType="end"/>
      </w:r>
      <w:r w:rsidR="000A5250">
        <w:rPr>
          <w:rFonts w:ascii="Arial" w:hAnsi="Arial" w:cs="Arial"/>
        </w:rPr>
        <w:t>.</w:t>
      </w:r>
      <w:r w:rsidR="00EF69A5">
        <w:rPr>
          <w:rFonts w:ascii="Arial" w:hAnsi="Arial" w:cs="Arial"/>
        </w:rPr>
        <w:t xml:space="preserve">  </w:t>
      </w:r>
    </w:p>
    <w:p w14:paraId="7C4F5CAF" w14:textId="77777777" w:rsidR="009803A1" w:rsidRDefault="009803A1" w:rsidP="005E48D8">
      <w:pPr>
        <w:autoSpaceDE w:val="0"/>
        <w:autoSpaceDN w:val="0"/>
        <w:adjustRightInd w:val="0"/>
        <w:spacing w:after="0" w:line="480" w:lineRule="auto"/>
        <w:rPr>
          <w:rFonts w:ascii="Arial" w:hAnsi="Arial" w:cs="Arial"/>
        </w:rPr>
      </w:pPr>
    </w:p>
    <w:p w14:paraId="0BA3AD0C" w14:textId="34DB2754" w:rsidR="000A6614" w:rsidRDefault="00D57820" w:rsidP="00662046">
      <w:pPr>
        <w:autoSpaceDE w:val="0"/>
        <w:autoSpaceDN w:val="0"/>
        <w:adjustRightInd w:val="0"/>
        <w:spacing w:after="0" w:line="480" w:lineRule="auto"/>
        <w:jc w:val="both"/>
        <w:rPr>
          <w:rFonts w:ascii="Arial" w:hAnsi="Arial" w:cs="Arial"/>
        </w:rPr>
      </w:pPr>
      <w:r>
        <w:rPr>
          <w:rFonts w:ascii="Arial" w:hAnsi="Arial" w:cs="Arial"/>
        </w:rPr>
        <w:t xml:space="preserve">The spread and influence of the NPS in healthcare has been substantial.  </w:t>
      </w:r>
      <w:r w:rsidR="00DC609C">
        <w:rPr>
          <w:rFonts w:ascii="Arial" w:hAnsi="Arial" w:cs="Arial"/>
        </w:rPr>
        <w:t xml:space="preserve">The </w:t>
      </w:r>
      <w:r w:rsidR="009803A1">
        <w:rPr>
          <w:rFonts w:ascii="Arial" w:hAnsi="Arial" w:cs="Arial"/>
        </w:rPr>
        <w:t xml:space="preserve">NPS </w:t>
      </w:r>
      <w:r w:rsidR="00DC609C">
        <w:rPr>
          <w:rFonts w:ascii="Arial" w:hAnsi="Arial" w:cs="Arial"/>
        </w:rPr>
        <w:t>question is a staple component of efforts to assess patient experiences in the Netherlands and the United States</w:t>
      </w:r>
      <w:r w:rsidR="00AC2BFF">
        <w:rPr>
          <w:rFonts w:ascii="Arial" w:hAnsi="Arial" w:cs="Arial"/>
        </w:rPr>
        <w:fldChar w:fldCharType="begin" w:fldLock="1"/>
      </w:r>
      <w:r w:rsidR="0032332D">
        <w:rPr>
          <w:rFonts w:ascii="Arial" w:hAnsi="Arial" w:cs="Arial"/>
        </w:rPr>
        <w:instrText>ADDIN CSL_CITATION { "citationItems" : [ { "id" : "ITEM-1", "itemData" : { "DOI" : "10.1111/hex.12297", "ISSN" : "13696513", "author" : [ { "dropping-particle" : "", "family" : "Krol", "given" : "Maarten W.", "non-dropping-particle" : "", "parse-names" : false, "suffix" : "" }, { "dropping-particle" : "", "family" : "Boer", "given" : "Dolf", "non-dropping-particle" : "de", "parse-names" : false, "suffix" : "" }, { "dropping-particle" : "", "family" : "Delnoij", "given" : "Diana M.", "non-dropping-particle" : "", "parse-names" : false, "suffix" : "" }, { "dropping-particle" : "", "family" : "Rademakers", "given" : "Jany J. D. J. M.", "non-dropping-particle" : "", "parse-names" : false, "suffix" : "" } ], "container-title" : "Health Expectations", "id" : "ITEM-1", "issue" : "6", "issued" : { "date-parts" : [ [ "2015", "12", "1" ] ] }, "page" : "3099-3109", "title" : "The Net Promoter Score - an asset to patient experience surveys?", "type" : "article-journal", "volume" : "18" }, "uris" : [ "http://www.mendeley.com/documents/?uuid=45e3b8e7-7ce5-3921-9706-96937cf18936" ] } ], "mendeley" : { "formattedCitation" : "&lt;sup&gt;16&lt;/sup&gt;", "plainTextFormattedCitation" : "16", "previouslyFormattedCitation" : "&lt;sup&gt;16&lt;/sup&gt;"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16</w:t>
      </w:r>
      <w:r w:rsidR="00AC2BFF">
        <w:rPr>
          <w:rFonts w:ascii="Arial" w:hAnsi="Arial" w:cs="Arial"/>
        </w:rPr>
        <w:fldChar w:fldCharType="end"/>
      </w:r>
      <w:r w:rsidR="00DC609C">
        <w:rPr>
          <w:rFonts w:ascii="Arial" w:hAnsi="Arial" w:cs="Arial"/>
        </w:rPr>
        <w:t xml:space="preserve">, </w:t>
      </w:r>
      <w:r w:rsidR="00DC609C" w:rsidRPr="005B76F3">
        <w:rPr>
          <w:rFonts w:ascii="Arial" w:hAnsi="Arial" w:cs="Arial"/>
        </w:rPr>
        <w:t xml:space="preserve">and </w:t>
      </w:r>
      <w:r w:rsidR="00DC609C">
        <w:rPr>
          <w:rFonts w:ascii="Arial" w:hAnsi="Arial" w:cs="Arial"/>
        </w:rPr>
        <w:t xml:space="preserve">is used </w:t>
      </w:r>
      <w:r w:rsidR="00DC609C" w:rsidRPr="005B76F3">
        <w:rPr>
          <w:rFonts w:ascii="Arial" w:hAnsi="Arial" w:cs="Arial"/>
        </w:rPr>
        <w:t>as</w:t>
      </w:r>
      <w:r w:rsidR="00DC609C">
        <w:rPr>
          <w:rFonts w:ascii="Arial" w:hAnsi="Arial" w:cs="Arial"/>
        </w:rPr>
        <w:t xml:space="preserve"> part of routine service evaluation in parts of Australia</w:t>
      </w:r>
      <w:r w:rsidR="00AC2BFF">
        <w:rPr>
          <w:rFonts w:ascii="Arial" w:hAnsi="Arial" w:cs="Arial"/>
        </w:rPr>
        <w:fldChar w:fldCharType="begin" w:fldLock="1"/>
      </w:r>
      <w:r w:rsidR="0032332D">
        <w:rPr>
          <w:rFonts w:ascii="Arial" w:hAnsi="Arial" w:cs="Arial"/>
        </w:rPr>
        <w:instrText>ADDIN CSL_CITATION { "citationItems" : [ { "id" : "ITEM-1", "itemData" : { "DOI" : "10.1071/AH15034", "ISSN" : "0156-5788", "PMID" : "26387081", "abstract" : "Objectives The present study was designed to determine what staff consider when asked to respond to the Friends and Family Test question. Methods Over 300 health service staff responded to an online questionnaire exploring whether they would recommend treatment at their organisation to friends and family (Friends and Family Test). Results Staff identified staff attitudes and behaviours, the busyness of the health service and quality of care as themes that affected their recommendation. A considerable number of staff also identified factors largely outside the control of the health service as influencing their response. Conclusions Majority of respondents based their perceptions on personal expectations, with smaller numbers citing personal experience and hearsay. Staff would need to see changes both in the quality of care and management practice to amend their recommendation on the Friends and Family Test. What is known about the topic? The Friends and Family Test is seen as a useful tool to gather the opinions of patients and staff on the patient experience, yet there has been little validation of this question. What does this paper add? The present study suggests that, as currently worded, the question does not reliably report staff perceptions regarding patient experience. The study illustrates that the relationship with the organisation and perceptions of effective management are linked to staff responses. What are the implications for practitioners? The Family and Friends Test question may need to be more clearly focused to gather the desired information. Improvement on this indicator is only likely to be seen when management teams are meeting the expectations of staff for good management practice.", "author" : [ { "dropping-particle" : "", "family" : "Leggat", "given" : "Sandra G.", "non-dropping-particle" : "", "parse-names" : false, "suffix" : "" } ], "container-title" : "Australian Health Review", "id" : "ITEM-1", "issue" : "3", "issued" : { "date-parts" : [ [ "2016", "6" ] ] }, "page" : "299", "title" : "Understanding the perspectives of health service staff on the Friends and Family Test", "type" : "article-journal", "volume" : "40" }, "uris" : [ "http://www.mendeley.com/documents/?uuid=f4a5c3ec-4beb-376d-ae1f-4edeba961668" ] } ], "mendeley" : { "formattedCitation" : "&lt;sup&gt;17&lt;/sup&gt;", "plainTextFormattedCitation" : "17", "previouslyFormattedCitation" : "&lt;sup&gt;17&lt;/sup&gt;"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17</w:t>
      </w:r>
      <w:r w:rsidR="00AC2BFF">
        <w:rPr>
          <w:rFonts w:ascii="Arial" w:hAnsi="Arial" w:cs="Arial"/>
        </w:rPr>
        <w:fldChar w:fldCharType="end"/>
      </w:r>
      <w:r w:rsidR="00DC609C">
        <w:rPr>
          <w:rFonts w:ascii="Arial" w:hAnsi="Arial" w:cs="Arial"/>
        </w:rPr>
        <w:t xml:space="preserve">. Further, it is increasingly </w:t>
      </w:r>
      <w:r>
        <w:rPr>
          <w:rFonts w:ascii="Arial" w:hAnsi="Arial" w:cs="Arial"/>
        </w:rPr>
        <w:t>used</w:t>
      </w:r>
      <w:r w:rsidR="00DC609C">
        <w:rPr>
          <w:rFonts w:ascii="Arial" w:hAnsi="Arial" w:cs="Arial"/>
        </w:rPr>
        <w:t xml:space="preserve"> as a research tool across a range of specialties</w:t>
      </w:r>
      <w:r w:rsidR="00AC2BFF">
        <w:rPr>
          <w:rFonts w:ascii="Arial" w:hAnsi="Arial" w:cs="Arial"/>
        </w:rPr>
        <w:fldChar w:fldCharType="begin" w:fldLock="1"/>
      </w:r>
      <w:r w:rsidR="005837D7">
        <w:rPr>
          <w:rFonts w:ascii="Arial" w:hAnsi="Arial" w:cs="Arial"/>
        </w:rPr>
        <w:instrText>ADDIN CSL_CITATION { "citationItems" : [ { "id" : "ITEM-1", "itemData" : { "DOI" : "10.1136/bmjqs-2014-003691", "ISSN" : "2044-5423", "PMID" : "25862755", "abstract" : "BACKGROUND Patients have the potential to provide feedback on the safety of their care. Recently, tools have been developed that ask patients to provide feedback on those factors that are known to contribute to safety, therefore providing information that can be used proactively to manage safety in hospitals. The aim of this study was to investigate whether the safety information provided by patients is different from that provided by staff and whether it is related to safety outcomes. METHOD Data were collected from 33 hospital wards across 3 acute hospital Trusts in the UK. Staff on these wards were asked to complete the four outcome measures of the Hospital Survey of Patient Safety Culture, while patients were asked to complete the Patient Measure of Safety and the friends and family test. We also collated publicly reported safety outcome data for 'harm-free care' on each ward. This patient safety thermometer measure is used in the UK NHS to record the percentage of patients on a single day of each month on every ward who have received harm-free care (ie, no pressure ulcers, falls, urinary tract infections and hospital acquired new venous thromboembolisms). These data were used to address questions about the relationship between measures and the extent to which patient and staff perceptions of safety predict safety outcomes. RESULTS The friends and family test, a single item measure of patient experience was associated with patients' perceptions of safety, but was not associated with safety outcomes. Staff responses to the patient safety culture survey were not significantly correlated with patient responses to the patient measure of safety, but both independently predicted safety outcomes. The regression models showed that staff perceptions (adjusted r(2)=0.39) and patient perceptions (adjusted r(2)=0.30) of safety independently predicted safety outcomes. When entered together both measures accounted for 49% of the variance in safety outcomes (adjusted r(2)=0.49), suggesting that there is overlap but some unique variance is also explained by these two measures. Based on responses to the Patient Measure of Safety it was also possible to identify differences between the acute Hospital Trusts. DISCUSSION The findings suggest that although the views of patients and staff predict some overlapping variance in patient safety outcomes, both also offer a unique perspective on patient safety, contributing independently to the prediction of safety outcomes. Th\u2026", "author" : [ { "dropping-particle" : "", "family" : "Lawton", "given" : "Rebecca", "non-dropping-particle" : "", "parse-names" : false, "suffix" : "" }, { "dropping-particle" : "", "family" : "O'Hara", "given" : "Jane Kathryn", "non-dropping-particle" : "", "parse-names" : false, "suffix" : "" }, { "dropping-particle" : "", "family" : "Sheard", "given" : "Laura", "non-dropping-particle" : "", "parse-names" : false, "suffix" : "" }, { "dropping-particle" : "", "family" : "Reynolds", "given" : "Caroline", "non-dropping-particle" : "", "parse-names" : false, "suffix" : "" }, { "dropping-particle" : "", "family" : "Cocks", "given" : "Kim", "non-dropping-particle" : "", "parse-names" : false, "suffix" : "" }, { "dropping-particle" : "", "family" : "Armitage", "given" : "Gerry", "non-dropping-particle" : "", "parse-names" : false, "suffix" : "" }, { "dropping-particle" : "", "family" : "Wright", "given" : "John", "non-dropping-particle" : "", "parse-names" : false, "suffix" : "" } ], "container-title" : "BMJ quality &amp; safety", "id" : "ITEM-1", "issue" : "6", "issued" : { "date-parts" : [ [ "2015", "6", "1" ] ] }, "page" : "369-76", "publisher" : "BMJ Publishing Group Ltd", "title" : "Can staff and patient perspectives on hospital safety predict harm-free care? An analysis of staff and patient survey data and routinely collected outcomes.", "type" : "article-journal", "volume" : "24" }, "uris" : [ "http://www.mendeley.com/documents/?uuid=a7dee83d-873d-3d8a-9267-098a794d9dc7" ] }, { "id" : "ITEM-2", "itemData" : { "DOI" : "10.1186/s12913-017-2718-x", "ISSN" : "1472-6963", "abstract" : "Hospital staff are interested in information on patient satisfaction and patient experience that can help them improve quality of care. Staff perceptions of quality of care have been identified as useful proxies when patient data are not available. This study explores the organizational factors and staff attitudes that influence staff perceptions of the quality of the care they provide in relation to patient satisfaction and patient experience. Cross sectional survey completed by 258 staff of a large multi-campus, integrated metropolitan hospital in Australia. Structured equation modelling was used to analyse the data. Our data suggest that different perceived organizational factors and staff attitudes contribute to different pathways for patient satisfaction and patient experience indicators. Hospital staff in our sample were more likely to indicate they provided the care that would result in higher patient satisfaction if they felt empowered within a psychologically safe environment. Conversely their views on patient experience were related to their commitment towards their hospital. There was no relationship between the staff perceptions of patient satisfaction and the staff response to the friends and family test. This study provides empirical evidence that staff perceptions of the quality of care they provide that is seen to be related to patient satisfaction and patient experience are enacted through different pathways that reflect differing perceptions of organizational factors and workplace psychological attitudes.", "author" : [ { "dropping-particle" : "", "family" : "Leggat", "given" : "Sandra G.", "non-dropping-particle" : "", "parse-names" : false, "suffix" : "" }, { "dropping-particle" : "", "family" : "Karimi", "given" : "Leila", "non-dropping-particle" : "", "parse-names" : false, "suffix" : "" }, { "dropping-particle" : "", "family" : "Bartram", "given" : "Timothy", "non-dropping-particle" : "", "parse-names" : false, "suffix" : "" } ], "container-title" : "BMC Health Services Research", "id" : "ITEM-2", "issue" : "1", "issued" : { "date-parts" : [ [ "2017", "12", "16" ] ] }, "page" : "739", "publisher" : "BioMed Central", "title" : "A path analysis study of factors influencing hospital staff perceptions of quality of care factors associated with patient satisfaction and patient experience", "type" : "article-journal", "volume" : "17" }, "uris" : [ "http://www.mendeley.com/documents/?uuid=e874a594-ec10-3986-817e-c351dfc29bd0" ] }, { "id" : "ITEM-3", "itemData" : { "DOI" : "10.3399/bjgp17X690617", "ISSN" : "1478-5242", "PMID" : "28450345", "abstract" : "BACKGROUND The Friends and Family Test (FFT) was introduced into general practices in England in 2015 to provide staff with information on patients' views of their experience of care. AIM To examine the views of practice staff and patients of the FFT, how the results are used, and to recommend improvements. DESIGN AND SETTING A qualitative study of a national representative sample of 42 general practices. METHOD Semi-structured interviews with 43 clinicians, 48 practice managers, and 27 patient representatives. Interviews were audiotaped, transcribed, and analysed thematically. RESULTS Although the FFT imposed little extra work on practices, it was judged to provide little additional insight over existing methods and to have had minimal impact on improving quality. Staff lacked confidence in the accuracy of the results given the lack of a representative sample and the risk of bias. The FFT question was judged to be inappropriate as in many areas there was no alternative practice for patients to choose, patients' individual needs would not be the same as those of their friends and relatives, and an overall assessment failed to identify any specific aspects of good- or poor-quality care. Despite being intended to support local quality improvement, there was widespread unease about the FFT, with many responders perceiving it as a tool for national bodies to monitor general practices. CONCLUSION If the use of a single-item questionnaire is to continue, changes should be made to the wording. It should be focused on stimulating local quality improvement, and practice staff should be supported to use the results effectively.", "author" : [ { "dropping-particle" : "", "family" : "Manacorda", "given" : "Tommaso", "non-dropping-particle" : "", "parse-names" : false, "suffix" : "" }, { "dropping-particle" : "", "family" : "Erens", "given" : "Bob", "non-dropping-particle" : "", "parse-names" : false, "suffix" : "" }, { "dropping-particle" : "", "family" : "Black", "given" : "Nick", "non-dropping-particle" : "", "parse-names" : false, "suffix" : "" }, { "dropping-particle" : "", "family" : "Mays", "given" : "Nicholas", "non-dropping-particle" : "", "parse-names" : false, "suffix" : "" } ], "container-title" : "The British journal of general practice : the journal of the Royal College of General Practitioners", "id" : "ITEM-3", "issue" : "658", "issued" : { "date-parts" : [ [ "2017", "5", "1" ] ] }, "page" : "e370-e376", "publisher" : "British Journal of General Practice", "title" : "The Friends and Family Test in general practice in England: a qualitative study of the views of staff and patients.", "type" : "article-journal", "volume" : "67" }, "uris" : [ "http://www.mendeley.com/documents/?uuid=c9799055-eb57-39b1-a3a3-2e397c72940d" ] } ], "mendeley" : { "formattedCitation" : "&lt;sup&gt;18\u201320&lt;/sup&gt;", "plainTextFormattedCitation" : "18\u201320", "previouslyFormattedCitation" : "&lt;sup&gt;18\u201320&lt;/sup&gt;"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18–20</w:t>
      </w:r>
      <w:r w:rsidR="00AC2BFF">
        <w:rPr>
          <w:rFonts w:ascii="Arial" w:hAnsi="Arial" w:cs="Arial"/>
        </w:rPr>
        <w:fldChar w:fldCharType="end"/>
      </w:r>
      <w:r w:rsidR="00DC609C">
        <w:rPr>
          <w:rFonts w:ascii="Arial" w:hAnsi="Arial" w:cs="Arial"/>
        </w:rPr>
        <w:t xml:space="preserve"> including psychiatry</w:t>
      </w:r>
      <w:r w:rsidR="00AC2BFF">
        <w:rPr>
          <w:rFonts w:ascii="Arial" w:hAnsi="Arial" w:cs="Arial"/>
        </w:rPr>
        <w:fldChar w:fldCharType="begin" w:fldLock="1"/>
      </w:r>
      <w:r w:rsidR="0032332D">
        <w:rPr>
          <w:rFonts w:ascii="Arial" w:hAnsi="Arial" w:cs="Arial"/>
        </w:rPr>
        <w:instrText>ADDIN CSL_CITATION { "citationItems" : [ { "id" : "ITEM-1", "itemData" : { "DOI" : "10.1007/s11414-017-9561-z", "author" : [ { "dropping-particle" : "", "family" : "Garrido", "given" : "Juan Miguel", "non-dropping-particle" : "", "parse-names" : false, "suffix" : "" }, { "dropping-particle" : "", "family" : "S\u00e1nchez-Moreno", "given" : "Jose", "non-dropping-particle" : "", "parse-names" : false, "suffix" : "" }, { "dropping-particle" : "", "family" : "V\u00e1zquez", "given" : "Mireia", "non-dropping-particle" : "", "parse-names" : false, "suffix" : "" }, { "dropping-particle" : "", "family" : "Hidalgo", "given" : "Diego", "non-dropping-particle" : "", "parse-names" : false, "suffix" : "" }, { "dropping-particle" : "", "family" : "Valent\u00ed", "given" : "Marc", "non-dropping-particle" : "", "parse-names" : false, "suffix" : "" }, { "dropping-particle" : "", "family" : "Goikolea", "given" : "Jose Manuel", "non-dropping-particle" : "", "parse-names" : false, "suffix" : "" }, { "dropping-particle" : "", "family" : "Benabarre", "given" : "Antoni", "non-dropping-particle" : "", "parse-names" : false, "suffix" : "" }, { "dropping-particle" : "", "family" : "Ylla", "given" : "Alejandro", "non-dropping-particle" : "", "parse-names" : false, "suffix" : "" }, { "dropping-particle" : "", "family" : "Grande", "given" : "Mcom Iria", "non-dropping-particle" : "", "parse-names" : false, "suffix" : "" }, { "dropping-particle" : "", "family" : "Vieta", "given" : "Eduard", "non-dropping-particle" : "", "parse-names" : false, "suffix" : "" }, { "dropping-particle" : "", "family" : "Trilla", "given" : "Antoni", "non-dropping-particle" : "", "parse-names" : false, "suffix" : "" }, { "dropping-particle" : "", "family" : "Grande", "given" : "Iria", "non-dropping-particle" : "", "parse-names" : false, "suffix" : "" } ], "container-title" : "Journal of Behavioral Health Services &amp; Research", "id" : "ITEM-1", "issued" : { "date-parts" : [ [ "2017" ] ] }, "title" : "Evaluation of Patient Satisfaction in a State Reference Center of Bipolar Disorder Patient satisfaction in a reference center of bipolar disorder GARRIDO ET AL", "type" : "article-journal" }, "uris" : [ "http://www.mendeley.com/documents/?uuid=f512f32d-8f69-3156-acc9-6625caf17d25" ] } ], "mendeley" : { "formattedCitation" : "&lt;sup&gt;21&lt;/sup&gt;", "plainTextFormattedCitation" : "21", "previouslyFormattedCitation" : "&lt;sup&gt;21&lt;/sup&gt;"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21</w:t>
      </w:r>
      <w:r w:rsidR="00AC2BFF">
        <w:rPr>
          <w:rFonts w:ascii="Arial" w:hAnsi="Arial" w:cs="Arial"/>
        </w:rPr>
        <w:fldChar w:fldCharType="end"/>
      </w:r>
      <w:r w:rsidR="006936F0">
        <w:rPr>
          <w:rFonts w:ascii="Arial" w:hAnsi="Arial" w:cs="Arial"/>
        </w:rPr>
        <w:t>,</w:t>
      </w:r>
      <w:r w:rsidR="00DC609C">
        <w:rPr>
          <w:rFonts w:ascii="Arial" w:hAnsi="Arial" w:cs="Arial"/>
        </w:rPr>
        <w:t>wider old-age care</w:t>
      </w:r>
      <w:r w:rsidR="00AC2BFF">
        <w:rPr>
          <w:rFonts w:ascii="Arial" w:hAnsi="Arial" w:cs="Arial"/>
        </w:rPr>
        <w:fldChar w:fldCharType="begin" w:fldLock="1"/>
      </w:r>
      <w:r w:rsidR="0032332D">
        <w:rPr>
          <w:rFonts w:ascii="Arial" w:hAnsi="Arial" w:cs="Arial"/>
        </w:rPr>
        <w:instrText>ADDIN CSL_CITATION { "citationItems" : [ { "id" : "ITEM-1", "itemData" : { "DOI" : "10.1016/J.IJNURSTU.2017.07.014", "ISSN" : "0020-7489", "abstract" : "BACKGROUND\nInternationally, studies have focused on whether shift length impacts on patient care. There are also ongoing concerns about patient care for older people in hospital. The study aim was to investigate how length of day shift affects patient care in older people\u2019s hospital wards. \n\nOBJECTIVES\n1) To explore how length of day shift affects patient care in older people\u2019s wards; 2) To explore how length of day shift affects the quality of communication between nursing staff and patients/families on older people\u2019s wards \n\nDESIGN\nA mixed method case study. \n\nSETTINGS\nThe study was based on two older people\u2019s wards in an acute hospital in England. One ward was piloting two, overlapping 8h day shifts for 6 months while the other ward continued with 12h day shifts. \n\nPARTICIPANTS AND METHODS\nQualitative interviews were conducted with 22 purposively recruited nursing staff (17 registered nurses; 5 nursing assistants). An analysis of patient discharge survey data was conducted (n=279). Twenty hours of observation of nursing staff\u2019s interactions with patients and families was conducted, using an adapted version of the Quality of Interaction Schedule (301 interactions observed), with open fieldnotes recorded, to contextualise the observations. \n\nRESULTS\nThere were no statistically significant differences in patient survey results, or quality of interactions, between the two wards. There were three overall themes: Effects of day shift length on patient care; Effects of day shift length on continuity of care and relationships; Effects of day shift length on communication with patients and families. Nursing staff believed that tiredness could affect care and communication but had varied views about which shift pattern was most tiring. They considered continuity of care was important, especially for older people, but had mixed views about which shift pattern best promoted care continuity. The difficulties in staffing a ward with an 8h day shift pattern, in a hospital that had a 12h day shift pattern were highlighted. Other factors that could affect patient care were noted including: ward leadership, ward acuity, use of temporary staff and their characteristics, number of consecutive shifts, skillmix and staff experience. \n\nCONCLUSIONS\nThere was no conclusive evidence that length of day shift affected patient care or nursing staff communication with patients and families. Nursing staff held varied views about the effects of day shift length on patient care. The\u2026", "author" : [ { "dropping-particle" : "", "family" : "Baillie", "given" : "Lesley", "non-dropping-particle" : "", "parse-names" : false, "suffix" : "" }, { "dropping-particle" : "", "family" : "Thomas", "given" : "Nicola", "non-dropping-particle" : "", "parse-names" : false, "suffix" : "" } ], "container-title" : "International Journal of Nursing Studies", "id" : "ITEM-1", "issued" : { "date-parts" : [ [ "2017", "10", "1" ] ] }, "page" : "154-162", "publisher" : "Pergamon", "title" : "How does the length of day shift affect patient care on older people's wards? A mixed method study", "type" : "article-journal", "volume" : "75" }, "uris" : [ "http://www.mendeley.com/documents/?uuid=c418ae1f-3e2a-3e6c-9c5e-0db97750aa0b" ] } ], "mendeley" : { "formattedCitation" : "&lt;sup&gt;22&lt;/sup&gt;", "plainTextFormattedCitation" : "22", "previouslyFormattedCitation" : "&lt;sup&gt;22&lt;/sup&gt;"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22</w:t>
      </w:r>
      <w:r w:rsidR="00AC2BFF">
        <w:rPr>
          <w:rFonts w:ascii="Arial" w:hAnsi="Arial" w:cs="Arial"/>
        </w:rPr>
        <w:fldChar w:fldCharType="end"/>
      </w:r>
      <w:r w:rsidR="00DC609C">
        <w:rPr>
          <w:rFonts w:ascii="Arial" w:hAnsi="Arial" w:cs="Arial"/>
        </w:rPr>
        <w:t xml:space="preserve"> and care home quality</w:t>
      </w:r>
      <w:r>
        <w:rPr>
          <w:rFonts w:ascii="Arial" w:hAnsi="Arial" w:cs="Arial"/>
        </w:rPr>
        <w:t>.  I</w:t>
      </w:r>
      <w:r w:rsidR="00DC609C">
        <w:rPr>
          <w:rFonts w:ascii="Arial" w:hAnsi="Arial" w:cs="Arial"/>
        </w:rPr>
        <w:t xml:space="preserve">t has </w:t>
      </w:r>
      <w:r>
        <w:rPr>
          <w:rFonts w:ascii="Arial" w:hAnsi="Arial" w:cs="Arial"/>
        </w:rPr>
        <w:t xml:space="preserve">also </w:t>
      </w:r>
      <w:r w:rsidR="00DC609C">
        <w:rPr>
          <w:rFonts w:ascii="Arial" w:hAnsi="Arial" w:cs="Arial"/>
        </w:rPr>
        <w:t>been used as the closest ‘gold standard’ for convergent validity in the development of new measures of quality in the care of older people</w:t>
      </w:r>
      <w:r w:rsidR="00AC2BFF">
        <w:rPr>
          <w:rFonts w:ascii="Arial" w:hAnsi="Arial" w:cs="Arial"/>
        </w:rPr>
        <w:fldChar w:fldCharType="begin" w:fldLock="1"/>
      </w:r>
      <w:r w:rsidR="0032332D">
        <w:rPr>
          <w:rFonts w:ascii="Arial" w:hAnsi="Arial" w:cs="Arial"/>
        </w:rPr>
        <w:instrText>ADDIN CSL_CITATION { "citationItems" : [ { "id" : "ITEM-1", "itemData" : { "author" : [ { "dropping-particle" : "", "family" : "Royal College of Psychiatrists", "given" : "", "non-dropping-particle" : "", "parse-names" : false, "suffix" : "" } ], "id" : "ITEM-1", "issued" : { "date-parts" : [ [ "2015" ] ] }, "publisher" : "Royal College of Psychiatrists", "publisher-place" : "London", "title" : "Development and validation of the Patient Feedback Questionnaire (PFQ-16) for the Quality Mark program for Elder-Friendly Hospital Wards", "type" : "book" }, "uris" : [ "http://www.mendeley.com/documents/?uuid=f1c03c6d-1bd4-3fd5-803f-24c578350c29" ] } ], "mendeley" : { "formattedCitation" : "&lt;sup&gt;23&lt;/sup&gt;", "plainTextFormattedCitation" : "23", "previouslyFormattedCitation" : "&lt;sup&gt;23&lt;/sup&gt;"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23</w:t>
      </w:r>
      <w:r w:rsidR="00AC2BFF">
        <w:rPr>
          <w:rFonts w:ascii="Arial" w:hAnsi="Arial" w:cs="Arial"/>
        </w:rPr>
        <w:fldChar w:fldCharType="end"/>
      </w:r>
      <w:r w:rsidR="00DC609C">
        <w:rPr>
          <w:rFonts w:ascii="Arial" w:hAnsi="Arial" w:cs="Arial"/>
        </w:rPr>
        <w:t xml:space="preserve">; and is used </w:t>
      </w:r>
      <w:r>
        <w:rPr>
          <w:rFonts w:ascii="Arial" w:hAnsi="Arial" w:cs="Arial"/>
        </w:rPr>
        <w:t>alongside other</w:t>
      </w:r>
      <w:r w:rsidR="00DC609C">
        <w:rPr>
          <w:rFonts w:ascii="Arial" w:hAnsi="Arial" w:cs="Arial"/>
        </w:rPr>
        <w:t xml:space="preserve"> outcome measures within RCTs</w:t>
      </w:r>
      <w:r w:rsidR="00AC2BFF">
        <w:rPr>
          <w:rFonts w:ascii="Arial" w:hAnsi="Arial" w:cs="Arial"/>
        </w:rPr>
        <w:fldChar w:fldCharType="begin" w:fldLock="1"/>
      </w:r>
      <w:r w:rsidR="0032332D">
        <w:rPr>
          <w:rFonts w:ascii="Arial" w:hAnsi="Arial" w:cs="Arial"/>
        </w:rPr>
        <w:instrText>ADDIN CSL_CITATION { "citationItems" : [ { "id" : "ITEM-1", "itemData" : { "DOI" : "10.1136/bmjqs-2016-005570", "ISSN" : "2044-5423", "PMID" : "28159854", "abstract" : "OBJECTIVE To evaluate the efficacy of the Patient Reporting and Action for a Safe Environment intervention. DESIGN A multicentre cluster randomised controlled trial. SETTING Clusters were 33 hospital wards within five hospitals in the UK. PARTICIPANTS All patients able to give informed consent were eligible to take part. Wards were allocated to the intervention or control condition. INTERVENTION The ward-level intervention comprised two tools: (1) a questionnaire that asked patients about factors contributing to safety (patient measure of safety (PMOS)) and (2) a proforma for patients to report both safety concerns and positive experiences (patient incident reporting tool). Feedback was considered in multidisciplinary action planning meetings. MEASUREMENTS Primary outcomes were routinely collected ward-level harm-free care (HFC) scores and patient-level feedback on safety (PMOS). RESULTS Intervention uptake and retention of wards was 100% and patient participation was high (86%). We found no significant effect of the intervention on any outcomes at 6 or 12\u2005months. However, for new harms (ie, those for which the wards were directly accountable) intervention wards did show greater, though non-significant, improvement compared with control wards. Analyses also indicated that improvements were largest for wards that showed the greatest compliance with the intervention. LIMITATIONS Adherence to the intervention, particularly the implementation of action plans, was poor. Patient safety outcomes may represent too blunt a measure. CONCLUSIONS Patients are willing to provide feedback about the safety of their care. However, we were unable to demonstrate any overall effect of this intervention on either measure of patient safety and therefore cannot recommend this intervention for wider uptake. Findings indicate promise for increasing HFC where wards implement \u226575% of the intervention components. TRIAL REGISTRATION NUMBER ISRCTN07689702; pre-results.", "author" : [ { "dropping-particle" : "", "family" : "Lawton", "given" : "Rebecca", "non-dropping-particle" : "", "parse-names" : false, "suffix" : "" }, { "dropping-particle" : "", "family" : "O'Hara", "given" : "Jane Kathryn", "non-dropping-particle" : "", "parse-names" : false, "suffix" : "" }, { "dropping-particle" : "", "family" : "Sheard", "given" : "Laura", "non-dropping-particle" : "", "parse-names" : false, "suffix" : "" }, { "dropping-particle" : "", "family" : "Armitage", "given" : "Gerry", "non-dropping-particle" : "", "parse-names" : false, "suffix" : "" }, { "dropping-particle" : "", "family" : "Cocks", "given" : "Kim", "non-dropping-particle" : "", "parse-names" : false, "suffix" : "" }, { "dropping-particle" : "", "family" : "Buckley", "given" : "Hannah", "non-dropping-particle" : "", "parse-names" : false, "suffix" : "" }, { "dropping-particle" : "", "family" : "Corbacho", "given" : "Belen", "non-dropping-particle" : "", "parse-names" : false, "suffix" : "" }, { "dropping-particle" : "", "family" : "Reynolds", "given" : "Caroline", "non-dropping-particle" : "", "parse-names" : false, "suffix" : "" }, { "dropping-particle" : "", "family" : "Marsh", "given" : "Claire", "non-dropping-particle" : "", "parse-names" : false, "suffix" : "" }, { "dropping-particle" : "", "family" : "Moore", "given" : "Sally", "non-dropping-particle" : "", "parse-names" : false, "suffix" : "" }, { "dropping-particle" : "", "family" : "Watt", "given" : "Ian", "non-dropping-particle" : "", "parse-names" : false, "suffix" : "" }, { "dropping-particle" : "", "family" : "Wright", "given" : "John", "non-dropping-particle" : "", "parse-names" : false, "suffix" : "" } ], "container-title" : "BMJ quality &amp; safety", "id" : "ITEM-1", "issue" : "8", "issued" : { "date-parts" : [ [ "2017", "8", "3" ] ] }, "page" : "622-631", "publisher" : "BMJ Publishing Group Ltd", "title" : "Can patient involvement improve patient safety? A cluster randomised control trial of the Patient Reporting and Action for a Safe Environment (PRASE) intervention.", "type" : "article-journal", "volume" : "26" }, "uris" : [ "http://www.mendeley.com/documents/?uuid=0f4c0ba1-146c-3a14-b778-f16aa674c9ee" ] } ], "mendeley" : { "formattedCitation" : "&lt;sup&gt;24&lt;/sup&gt;", "plainTextFormattedCitation" : "24", "previouslyFormattedCitation" : "&lt;sup&gt;24&lt;/sup&gt;"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24</w:t>
      </w:r>
      <w:r w:rsidR="00AC2BFF">
        <w:rPr>
          <w:rFonts w:ascii="Arial" w:hAnsi="Arial" w:cs="Arial"/>
        </w:rPr>
        <w:fldChar w:fldCharType="end"/>
      </w:r>
      <w:r w:rsidR="00DC609C">
        <w:rPr>
          <w:rFonts w:ascii="Arial" w:hAnsi="Arial" w:cs="Arial"/>
        </w:rPr>
        <w:t xml:space="preserve">.   </w:t>
      </w:r>
    </w:p>
    <w:p w14:paraId="2132686C" w14:textId="77777777" w:rsidR="000A6614" w:rsidRDefault="000A6614" w:rsidP="005E48D8">
      <w:pPr>
        <w:autoSpaceDE w:val="0"/>
        <w:autoSpaceDN w:val="0"/>
        <w:adjustRightInd w:val="0"/>
        <w:spacing w:after="0" w:line="480" w:lineRule="auto"/>
        <w:rPr>
          <w:rFonts w:ascii="Arial" w:hAnsi="Arial" w:cs="Arial"/>
        </w:rPr>
      </w:pPr>
    </w:p>
    <w:p w14:paraId="25DCC084" w14:textId="04D70BA4" w:rsidR="00434509" w:rsidRDefault="000A5250" w:rsidP="00662046">
      <w:pPr>
        <w:autoSpaceDE w:val="0"/>
        <w:autoSpaceDN w:val="0"/>
        <w:adjustRightInd w:val="0"/>
        <w:spacing w:after="0" w:line="480" w:lineRule="auto"/>
        <w:jc w:val="both"/>
        <w:rPr>
          <w:rFonts w:ascii="Arial" w:hAnsi="Arial" w:cs="Arial"/>
        </w:rPr>
      </w:pPr>
      <w:r>
        <w:rPr>
          <w:rFonts w:ascii="Arial" w:hAnsi="Arial" w:cs="Arial"/>
        </w:rPr>
        <w:t>In England,</w:t>
      </w:r>
      <w:r w:rsidR="00DC609C">
        <w:rPr>
          <w:rFonts w:ascii="Arial" w:hAnsi="Arial" w:cs="Arial"/>
        </w:rPr>
        <w:t xml:space="preserve"> the NPS </w:t>
      </w:r>
      <w:r w:rsidR="00921B72">
        <w:rPr>
          <w:rFonts w:ascii="Arial" w:hAnsi="Arial" w:cs="Arial"/>
        </w:rPr>
        <w:t xml:space="preserve">question </w:t>
      </w:r>
      <w:r>
        <w:rPr>
          <w:rFonts w:ascii="Arial" w:hAnsi="Arial" w:cs="Arial"/>
        </w:rPr>
        <w:t xml:space="preserve">has been implemented </w:t>
      </w:r>
      <w:r w:rsidR="001722F9">
        <w:rPr>
          <w:rFonts w:ascii="Arial" w:hAnsi="Arial" w:cs="Arial"/>
        </w:rPr>
        <w:t xml:space="preserve">as the </w:t>
      </w:r>
      <w:r w:rsidR="00D57820">
        <w:rPr>
          <w:rFonts w:ascii="Arial" w:hAnsi="Arial" w:cs="Arial"/>
        </w:rPr>
        <w:t>‘</w:t>
      </w:r>
      <w:r w:rsidR="007024AA">
        <w:rPr>
          <w:rFonts w:ascii="Arial" w:hAnsi="Arial" w:cs="Arial"/>
        </w:rPr>
        <w:t>Friends and Family Test</w:t>
      </w:r>
      <w:r w:rsidR="00D57820">
        <w:rPr>
          <w:rFonts w:ascii="Arial" w:hAnsi="Arial" w:cs="Arial"/>
        </w:rPr>
        <w:t>’</w:t>
      </w:r>
      <w:r w:rsidR="001722F9">
        <w:rPr>
          <w:rFonts w:ascii="Arial" w:hAnsi="Arial" w:cs="Arial"/>
        </w:rPr>
        <w:t xml:space="preserve">.  </w:t>
      </w:r>
      <w:r w:rsidR="00DC609C">
        <w:rPr>
          <w:rFonts w:ascii="Arial" w:hAnsi="Arial" w:cs="Arial"/>
        </w:rPr>
        <w:t xml:space="preserve"> The </w:t>
      </w:r>
      <w:r w:rsidR="00F53E27">
        <w:rPr>
          <w:rFonts w:ascii="Arial" w:hAnsi="Arial" w:cs="Arial"/>
        </w:rPr>
        <w:t xml:space="preserve">question </w:t>
      </w:r>
      <w:r w:rsidR="00A42B78">
        <w:rPr>
          <w:rFonts w:ascii="Arial" w:hAnsi="Arial" w:cs="Arial"/>
        </w:rPr>
        <w:t xml:space="preserve">was introduced to the NHS in </w:t>
      </w:r>
      <w:r w:rsidR="005E48D8">
        <w:rPr>
          <w:rFonts w:ascii="Arial" w:hAnsi="Arial" w:cs="Arial"/>
        </w:rPr>
        <w:t xml:space="preserve">2013 </w:t>
      </w:r>
      <w:r w:rsidR="00E80B3E">
        <w:rPr>
          <w:rFonts w:ascii="Arial" w:hAnsi="Arial" w:cs="Arial"/>
        </w:rPr>
        <w:t xml:space="preserve">and has been administered </w:t>
      </w:r>
      <w:r w:rsidR="00CD2E06">
        <w:rPr>
          <w:rFonts w:ascii="Arial" w:hAnsi="Arial" w:cs="Arial"/>
        </w:rPr>
        <w:t>25 million</w:t>
      </w:r>
      <w:r w:rsidR="00E80B3E">
        <w:rPr>
          <w:rFonts w:ascii="Arial" w:hAnsi="Arial" w:cs="Arial"/>
        </w:rPr>
        <w:t xml:space="preserve"> times since its inception</w:t>
      </w:r>
      <w:r w:rsidR="00F87DDA">
        <w:rPr>
          <w:rFonts w:ascii="Arial" w:hAnsi="Arial" w:cs="Arial"/>
        </w:rPr>
        <w:t xml:space="preserve">; the largest collection of </w:t>
      </w:r>
      <w:r w:rsidR="000D0628">
        <w:rPr>
          <w:rFonts w:ascii="Arial" w:hAnsi="Arial" w:cs="Arial"/>
        </w:rPr>
        <w:t xml:space="preserve">‘real-time’ </w:t>
      </w:r>
      <w:r w:rsidR="00F87DDA">
        <w:rPr>
          <w:rFonts w:ascii="Arial" w:hAnsi="Arial" w:cs="Arial"/>
        </w:rPr>
        <w:t>patient experience data in the world</w:t>
      </w:r>
      <w:r w:rsidR="00AC2BFF">
        <w:rPr>
          <w:rFonts w:ascii="Arial" w:hAnsi="Arial" w:cs="Arial"/>
        </w:rPr>
        <w:fldChar w:fldCharType="begin" w:fldLock="1"/>
      </w:r>
      <w:r w:rsidR="0032332D">
        <w:rPr>
          <w:rFonts w:ascii="Arial" w:hAnsi="Arial" w:cs="Arial"/>
        </w:rPr>
        <w:instrText>ADDIN CSL_CITATION { "citationItems" : [ { "id" : "ITEM-1", "itemData" : { "author" : [ { "dropping-particle" : "", "family" : "NHS England", "given" : "", "non-dropping-particle" : "", "parse-names" : false, "suffix" : "" } ], "id" : "ITEM-1", "issued" : { "date-parts" : [ [ "2014" ] ] }, "publisher-place" : "London", "title" : "Review of the Friends and Family Test", "type" : "report" }, "uris" : [ "http://www.mendeley.com/documents/?uuid=2a52cdb2-0784-4825-bbec-192e13fd2842" ] } ], "mendeley" : { "formattedCitation" : "&lt;sup&gt;25&lt;/sup&gt;", "plainTextFormattedCitation" : "25", "previouslyFormattedCitation" : "&lt;sup&gt;25&lt;/sup&gt;"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25</w:t>
      </w:r>
      <w:r w:rsidR="00AC2BFF">
        <w:rPr>
          <w:rFonts w:ascii="Arial" w:hAnsi="Arial" w:cs="Arial"/>
        </w:rPr>
        <w:fldChar w:fldCharType="end"/>
      </w:r>
      <w:r w:rsidR="00A42B78">
        <w:rPr>
          <w:rFonts w:ascii="Arial" w:hAnsi="Arial" w:cs="Arial"/>
        </w:rPr>
        <w:t>.</w:t>
      </w:r>
      <w:r w:rsidR="00E80B3E">
        <w:rPr>
          <w:rFonts w:ascii="Arial" w:hAnsi="Arial" w:cs="Arial"/>
        </w:rPr>
        <w:t xml:space="preserve">  </w:t>
      </w:r>
      <w:r w:rsidR="00F92C4B">
        <w:rPr>
          <w:rFonts w:ascii="Arial" w:hAnsi="Arial" w:cs="Arial"/>
        </w:rPr>
        <w:t xml:space="preserve">NHS England require that local services collect and return monthly data, with this information published online.  </w:t>
      </w:r>
      <w:r>
        <w:rPr>
          <w:rFonts w:ascii="Arial" w:hAnsi="Arial" w:cs="Arial"/>
        </w:rPr>
        <w:t xml:space="preserve">Although how the data is scored and presented has changed since it was first introduced, </w:t>
      </w:r>
      <w:r w:rsidR="0003206B">
        <w:rPr>
          <w:rFonts w:ascii="Arial" w:hAnsi="Arial" w:cs="Arial"/>
        </w:rPr>
        <w:t>the NPS question</w:t>
      </w:r>
      <w:r>
        <w:rPr>
          <w:rFonts w:ascii="Arial" w:hAnsi="Arial" w:cs="Arial"/>
        </w:rPr>
        <w:t xml:space="preserve"> remains the staple of efforts to assess patient experience in England</w:t>
      </w:r>
      <w:r w:rsidR="007024AA">
        <w:rPr>
          <w:rFonts w:ascii="Arial" w:hAnsi="Arial" w:cs="Arial"/>
        </w:rPr>
        <w:fldChar w:fldCharType="begin" w:fldLock="1"/>
      </w:r>
      <w:r w:rsidR="0032332D">
        <w:rPr>
          <w:rFonts w:ascii="Arial" w:hAnsi="Arial" w:cs="Arial"/>
        </w:rPr>
        <w:instrText>ADDIN CSL_CITATION { "citationItems" : [ { "id" : "ITEM-1", "itemData" : { "DOI" : "10.1136/BMJ.K367", "ISSN" : "1756-1833", "PMID" : "29378693", "abstract" : "Valued by policy makers but generates little insight for practitioners Don Berwick, an international leader in the safety and quality of healthcare, has called for \u201ca significant reduction in the volume and total cost of measurements currently being used and enforced in health care.\u201d1 He is not alone in arguing that a belief in accountability and market theory \u201chas brought with it excessive measurement, much of which is useless but nonetheless mandated.\u201d2 The inpatient \u201cfriends and family test\u201d was introduced in all English acute hospitals in April 2013. The aim was to provide a simple metric that, when combined with follow-up questions, could be used to drive cultural change and improve the quality of care.3 The main question is \u201cHow likely are you to recommend our service to friends and family if they needed similar care or treatment?\u201d and respondents can rank their answer from \u201cextremely likely\u201d to \u201cextremely unlikely.\u201d The test was formally reviewed after the first six months of data collection and subsequently extended to maternity, outpatient, ambulance, mental \u2026", "author" : [ { "dropping-particle" : "", "family" : "Robert", "given" : "Glenn", "non-dropping-particle" : "", "parse-names" : false, "suffix" : "" }, { "dropping-particle" : "", "family" : "Cornwell", "given" : "Jocelyn", "non-dropping-particle" : "", "parse-names" : false, "suffix" : "" }, { "dropping-particle" : "", "family" : "Black", "given" : "Nick", "non-dropping-particle" : "", "parse-names" : false, "suffix" : "" } ], "container-title" : "BMJ", "id" : "ITEM-1", "issued" : { "date-parts" : [ [ "2018", "1", "29" ] ] }, "page" : "k367", "publisher" : "British Medical Journal Publishing Group", "title" : "Friends and family test should no longer be mandatory.", "type" : "article-journal", "volume" : "360" }, "uris" : [ "http://www.mendeley.com/documents/?uuid=71a1558a-cfac-3bba-8514-b659c229e300" ] } ], "mendeley" : { "formattedCitation" : "&lt;sup&gt;26&lt;/sup&gt;", "plainTextFormattedCitation" : "26", "previouslyFormattedCitation" : "&lt;sup&gt;26&lt;/sup&gt;" }, "properties" : { "noteIndex" : 0 }, "schema" : "https://github.com/citation-style-language/schema/raw/master/csl-citation.json" }</w:instrText>
      </w:r>
      <w:r w:rsidR="007024AA">
        <w:rPr>
          <w:rFonts w:ascii="Arial" w:hAnsi="Arial" w:cs="Arial"/>
        </w:rPr>
        <w:fldChar w:fldCharType="separate"/>
      </w:r>
      <w:r w:rsidR="00471B8C" w:rsidRPr="00471B8C">
        <w:rPr>
          <w:rFonts w:ascii="Arial" w:hAnsi="Arial" w:cs="Arial"/>
          <w:noProof/>
          <w:vertAlign w:val="superscript"/>
        </w:rPr>
        <w:t>26</w:t>
      </w:r>
      <w:r w:rsidR="007024AA">
        <w:rPr>
          <w:rFonts w:ascii="Arial" w:hAnsi="Arial" w:cs="Arial"/>
        </w:rPr>
        <w:fldChar w:fldCharType="end"/>
      </w:r>
      <w:r>
        <w:rPr>
          <w:rFonts w:ascii="Arial" w:hAnsi="Arial" w:cs="Arial"/>
        </w:rPr>
        <w:t>.</w:t>
      </w:r>
    </w:p>
    <w:p w14:paraId="20D25428" w14:textId="77777777" w:rsidR="008A4310" w:rsidRDefault="008A4310" w:rsidP="005E48D8">
      <w:pPr>
        <w:spacing w:after="0" w:line="480" w:lineRule="auto"/>
        <w:rPr>
          <w:rFonts w:ascii="Arial" w:hAnsi="Arial" w:cs="Arial"/>
        </w:rPr>
      </w:pPr>
    </w:p>
    <w:p w14:paraId="3FF351F5" w14:textId="0BB38B7B" w:rsidR="0075132C" w:rsidRDefault="00FF316D" w:rsidP="00662046">
      <w:pPr>
        <w:spacing w:after="0" w:line="480" w:lineRule="auto"/>
        <w:jc w:val="both"/>
        <w:rPr>
          <w:rFonts w:ascii="Arial" w:hAnsi="Arial" w:cs="Arial"/>
        </w:rPr>
      </w:pPr>
      <w:r>
        <w:rPr>
          <w:rFonts w:ascii="Arial" w:hAnsi="Arial" w:cs="Arial"/>
        </w:rPr>
        <w:t xml:space="preserve">Despite its widespread use, there has been little examination of the results of the </w:t>
      </w:r>
      <w:r w:rsidR="00F92C4B">
        <w:rPr>
          <w:rFonts w:ascii="Arial" w:hAnsi="Arial" w:cs="Arial"/>
        </w:rPr>
        <w:t>NPS</w:t>
      </w:r>
      <w:r w:rsidR="00D6470F">
        <w:rPr>
          <w:rFonts w:ascii="Arial" w:hAnsi="Arial" w:cs="Arial"/>
        </w:rPr>
        <w:t xml:space="preserve">.  </w:t>
      </w:r>
      <w:r>
        <w:rPr>
          <w:rFonts w:ascii="Arial" w:hAnsi="Arial" w:cs="Arial"/>
        </w:rPr>
        <w:t>Several qu</w:t>
      </w:r>
      <w:r w:rsidR="00D6470F">
        <w:rPr>
          <w:rFonts w:ascii="Arial" w:hAnsi="Arial" w:cs="Arial"/>
        </w:rPr>
        <w:t>alitative studies have identified semantic and conceptual challenges that relate to the application of the test</w:t>
      </w:r>
      <w:r w:rsidR="00AC2BFF">
        <w:rPr>
          <w:rFonts w:ascii="Arial" w:hAnsi="Arial" w:cs="Arial"/>
        </w:rPr>
        <w:fldChar w:fldCharType="begin" w:fldLock="1"/>
      </w:r>
      <w:r w:rsidR="005B4762">
        <w:rPr>
          <w:rFonts w:ascii="Arial" w:hAnsi="Arial" w:cs="Arial"/>
        </w:rPr>
        <w:instrText>ADDIN CSL_CITATION { "citationItems" : [ { "id" : "ITEM-1", "itemData" : { "DOI" : "10.3399/bjgp17X690617", "ISSN" : "1478-5242", "PMID" : "28450345", "abstract" : "BACKGROUND The Friends and Family Test (FFT) was introduced into general practices in England in 2015 to provide staff with information on patients' views of their experience of care. AIM To examine the views of practice staff and patients of the FFT, how the results are used, and to recommend improvements. DESIGN AND SETTING A qualitative study of a national representative sample of 42 general practices. METHOD Semi-structured interviews with 43 clinicians, 48 practice managers, and 27 patient representatives. Interviews were audiotaped, transcribed, and analysed thematically. RESULTS Although the FFT imposed little extra work on practices, it was judged to provide little additional insight over existing methods and to have had minimal impact on improving quality. Staff lacked confidence in the accuracy of the results given the lack of a representative sample and the risk of bias. The FFT question was judged to be inappropriate as in many areas there was no alternative practice for patients to choose, patients' individual needs would not be the same as those of their friends and relatives, and an overall assessment failed to identify any specific aspects of good- or poor-quality care. Despite being intended to support local quality improvement, there was widespread unease about the FFT, with many responders perceiving it as a tool for national bodies to monitor general practices. CONCLUSION If the use of a single-item questionnaire is to continue, changes should be made to the wording. It should be focused on stimulating local quality improvement, and practice staff should be supported to use the results effectively.", "author" : [ { "dropping-particle" : "", "family" : "Manacorda", "given" : "Tommaso", "non-dropping-particle" : "", "parse-names" : false, "suffix" : "" }, { "dropping-particle" : "", "family" : "Erens", "given" : "Bob", "non-dropping-particle" : "", "parse-names" : false, "suffix" : "" }, { "dropping-particle" : "", "family" : "Black", "given" : "Nick", "non-dropping-particle" : "", "parse-names" : false, "suffix" : "" }, { "dropping-particle" : "", "family" : "Mays", "given" : "Nicholas", "non-dropping-particle" : "", "parse-names" : false, "suffix" : "" } ], "container-title" : "The British journal of general practice : the journal of the Royal College of General Practitioners", "id" : "ITEM-1", "issue" : "658", "issued" : { "date-parts" : [ [ "2017", "5", "1" ] ] }, "page" : "e370-e376", "publisher" : "British Journal of General Practice", "title" : "The Friends and Family Test in general practice in England: a qualitative study of the views of staff and patients.", "type" : "article-journal", "volume" : "67" }, "uris" : [ "http://www.mendeley.com/documents/?uuid=c9799055-eb57-39b1-a3a3-2e397c72940d" ] }, { "id" : "ITEM-2", "itemData" : { "author" : [ { "dropping-particle" : "", "family" : "Picker Institute Europe", "given" : "", "non-dropping-particle" : "", "parse-names" : false, "suffix" : "" } ], "id" : "ITEM-2", "issued" : { "date-parts" : [ [ "2014" ] ] }, "publisher-place" : "Oxford", "title" : "Policy Briefing: The Friends and Family Test", "type" : "report" }, "uris" : [ "http://www.mendeley.com/documents/?uuid=ade1529e-3a66-499a-a0b8-2ecc57cb9530" ] } ], "mendeley" : { "formattedCitation" : "&lt;sup&gt;20,27&lt;/sup&gt;", "plainTextFormattedCitation" : "20,27", "previouslyFormattedCitation" : "&lt;sup&gt;20,27&lt;/sup&gt;" }, "properties" : { "noteIndex" : 0 }, "schema" : "https://github.com/citation-style-language/schema/raw/master/csl-citation.json" }</w:instrText>
      </w:r>
      <w:r w:rsidR="00AC2BFF">
        <w:rPr>
          <w:rFonts w:ascii="Arial" w:hAnsi="Arial" w:cs="Arial"/>
        </w:rPr>
        <w:fldChar w:fldCharType="separate"/>
      </w:r>
      <w:r w:rsidR="00EF69A5" w:rsidRPr="00EF69A5">
        <w:rPr>
          <w:rFonts w:ascii="Arial" w:hAnsi="Arial" w:cs="Arial"/>
          <w:noProof/>
          <w:vertAlign w:val="superscript"/>
        </w:rPr>
        <w:t>20,27</w:t>
      </w:r>
      <w:r w:rsidR="00AC2BFF">
        <w:rPr>
          <w:rFonts w:ascii="Arial" w:hAnsi="Arial" w:cs="Arial"/>
        </w:rPr>
        <w:fldChar w:fldCharType="end"/>
      </w:r>
      <w:r w:rsidR="004D1666">
        <w:rPr>
          <w:rFonts w:ascii="Arial" w:hAnsi="Arial" w:cs="Arial"/>
        </w:rPr>
        <w:t xml:space="preserve">. </w:t>
      </w:r>
      <w:r>
        <w:rPr>
          <w:rFonts w:ascii="Arial" w:hAnsi="Arial" w:cs="Arial"/>
        </w:rPr>
        <w:t xml:space="preserve"> </w:t>
      </w:r>
      <w:r w:rsidR="00D6470F">
        <w:rPr>
          <w:rFonts w:ascii="Arial" w:hAnsi="Arial" w:cs="Arial"/>
        </w:rPr>
        <w:t xml:space="preserve">Nevertheless, others have </w:t>
      </w:r>
      <w:r w:rsidR="0075132C">
        <w:rPr>
          <w:rFonts w:ascii="Arial" w:hAnsi="Arial" w:cs="Arial"/>
        </w:rPr>
        <w:t>found</w:t>
      </w:r>
      <w:r w:rsidR="00D6470F">
        <w:rPr>
          <w:rFonts w:ascii="Arial" w:hAnsi="Arial" w:cs="Arial"/>
        </w:rPr>
        <w:t xml:space="preserve"> t</w:t>
      </w:r>
      <w:r w:rsidR="0075132C">
        <w:rPr>
          <w:rFonts w:ascii="Arial" w:hAnsi="Arial" w:cs="Arial"/>
        </w:rPr>
        <w:t xml:space="preserve">hat the </w:t>
      </w:r>
      <w:r w:rsidR="00B103D1">
        <w:rPr>
          <w:rFonts w:ascii="Arial" w:hAnsi="Arial" w:cs="Arial"/>
        </w:rPr>
        <w:t xml:space="preserve">NPS </w:t>
      </w:r>
      <w:r w:rsidR="00D6470F">
        <w:rPr>
          <w:rFonts w:ascii="Arial" w:hAnsi="Arial" w:cs="Arial"/>
        </w:rPr>
        <w:t xml:space="preserve">is positively associated with other </w:t>
      </w:r>
      <w:r w:rsidR="00B103D1">
        <w:rPr>
          <w:rFonts w:ascii="Arial" w:hAnsi="Arial" w:cs="Arial"/>
        </w:rPr>
        <w:t xml:space="preserve">health </w:t>
      </w:r>
      <w:r w:rsidR="00D6470F">
        <w:rPr>
          <w:rFonts w:ascii="Arial" w:hAnsi="Arial" w:cs="Arial"/>
        </w:rPr>
        <w:t>outcomes</w:t>
      </w:r>
      <w:r w:rsidR="00AC2BFF">
        <w:rPr>
          <w:rFonts w:ascii="Arial" w:hAnsi="Arial" w:cs="Arial"/>
        </w:rPr>
        <w:fldChar w:fldCharType="begin" w:fldLock="1"/>
      </w:r>
      <w:r w:rsidR="0032332D">
        <w:rPr>
          <w:rFonts w:ascii="Arial" w:hAnsi="Arial" w:cs="Arial"/>
        </w:rPr>
        <w:instrText>ADDIN CSL_CITATION { "citationItems" : [ { "id" : "ITEM-1", "itemData" : { "DOI" : "10.1136/bmjqs-2012-001540", "ISSN" : "2044-5423", "PMID" : "23426646", "abstract" : "BACKGROUND There is some evidence to suggest that higher job satisfaction among healthcare staff in specific settings may be linked to improved patient outcomes. This study aimed to assess the potential of staff satisfaction to be used as an indicator of institutional performance across all acute National Health Service (NHS) hospitals in England. METHODS Using staff responses from the NHS Staff Survey 2009, and correlating these with hospital standardised mortality ratios (HSMR), correlation analyses were conducted at institutional level with further analyses of staff subgroups. RESULTS Over 60 000 respondents from 147 NHS trusts were included in the analysis. There was a weak negative correlation with HSMR where staff agreed that patient care was their trust's top priority (Kendall \u03c4\u2009=\u2009-0.22, p&lt;0.001), and where they would be happy with the care for a friend or relative (Kendall \u03c4\u2009=\u2009-0.30, p&lt;0.001). These correlations were identified across clinical and non-clinical groups, with nursing staff demonstrating the most robust correlation. There was no correlation between satisfaction with the quality of care delivered by oneself and institutional HSMR. CONCLUSIONS In the context of the continued debate about the relationship of HSMR to hospital performance, these findings of a weak correlation between staff satisfaction and HSMR are intriguing and warrant further investigation. Such measures in the future have the advantage of being intuitive for lay and specialist audiences alike, and may be useful in facilitating patient choice. Whether higher staff satisfaction drives quality or merely reflects it remains unclear.", "author" : [ { "dropping-particle" : "", "family" : "Pinder", "given" : "Richard J", "non-dropping-particle" : "", "parse-names" : false, "suffix" : "" }, { "dropping-particle" : "", "family" : "Greaves", "given" : "Felix E", "non-dropping-particle" : "", "parse-names" : false, "suffix" : "" }, { "dropping-particle" : "", "family" : "Aylin", "given" : "Paul P", "non-dropping-particle" : "", "parse-names" : false, "suffix" : "" }, { "dropping-particle" : "", "family" : "Jarman", "given" : "Brian", "non-dropping-particle" : "", "parse-names" : false, "suffix" : "" }, { "dropping-particle" : "", "family" : "Bottle", "given" : "Alex", "non-dropping-particle" : "", "parse-names" : false, "suffix" : "" } ], "container-title" : "BMJ quality &amp; safety", "id" : "ITEM-1", "issue" : "7", "issued" : { "date-parts" : [ [ "2013", "7", "1" ] ] }, "page" : "563-70", "publisher" : "BMJ Publishing Group Ltd", "title" : "Staff perceptions of quality of care: an observational study of the NHS Staff Survey in hospitals in England.", "type" : "article-journal", "volume" : "22" }, "uris" : [ "http://www.mendeley.com/documents/?uuid=61b9c156-fb2c-3cfd-9221-a950b06f35b8" ] }, { "id" : "ITEM-2", "itemData" : { "DOI" : "10.1136/bmjqs-2014-003691", "ISSN" : "2044-5423", "PMID" : "25862755", "abstract" : "BACKGROUND Patients have the potential to provide feedback on the safety of their care. Recently, tools have been developed that ask patients to provide feedback on those factors that are known to contribute to safety, therefore providing information that can be used proactively to manage safety in hospitals. The aim of this study was to investigate whether the safety information provided by patients is different from that provided by staff and whether it is related to safety outcomes. METHOD Data were collected from 33 hospital wards across 3 acute hospital Trusts in the UK. Staff on these wards were asked to complete the four outcome measures of the Hospital Survey of Patient Safety Culture, while patients were asked to complete the Patient Measure of Safety and the friends and family test. We also collated publicly reported safety outcome data for 'harm-free care' on each ward. This patient safety thermometer measure is used in the UK NHS to record the percentage of patients on a single day of each month on every ward who have received harm-free care (ie, no pressure ulcers, falls, urinary tract infections and hospital acquired new venous thromboembolisms). These data were used to address questions about the relationship between measures and the extent to which patient and staff perceptions of safety predict safety outcomes. RESULTS The friends and family test, a single item measure of patient experience was associated with patients' perceptions of safety, but was not associated with safety outcomes. Staff responses to the patient safety culture survey were not significantly correlated with patient responses to the patient measure of safety, but both independently predicted safety outcomes. The regression models showed that staff perceptions (adjusted r(2)=0.39) and patient perceptions (adjusted r(2)=0.30) of safety independently predicted safety outcomes. When entered together both measures accounted for 49% of the variance in safety outcomes (adjusted r(2)=0.49), suggesting that there is overlap but some unique variance is also explained by these two measures. Based on responses to the Patient Measure of Safety it was also possible to identify differences between the acute Hospital Trusts. DISCUSSION The findings suggest that although the views of patients and staff predict some overlapping variance in patient safety outcomes, both also offer a unique perspective on patient safety, contributing independently to the prediction of safety outcomes. Th\u2026", "author" : [ { "dropping-particle" : "", "family" : "Lawton", "given" : "Rebecca", "non-dropping-particle" : "", "parse-names" : false, "suffix" : "" }, { "dropping-particle" : "", "family" : "O'Hara", "given" : "Jane Kathryn", "non-dropping-particle" : "", "parse-names" : false, "suffix" : "" }, { "dropping-particle" : "", "family" : "Sheard", "given" : "Laura", "non-dropping-particle" : "", "parse-names" : false, "suffix" : "" }, { "dropping-particle" : "", "family" : "Reynolds", "given" : "Caroline", "non-dropping-particle" : "", "parse-names" : false, "suffix" : "" }, { "dropping-particle" : "", "family" : "Cocks", "given" : "Kim", "non-dropping-particle" : "", "parse-names" : false, "suffix" : "" }, { "dropping-particle" : "", "family" : "Armitage", "given" : "Gerry", "non-dropping-particle" : "", "parse-names" : false, "suffix" : "" }, { "dropping-particle" : "", "family" : "Wright", "given" : "John", "non-dropping-particle" : "", "parse-names" : false, "suffix" : "" } ], "container-title" : "BMJ quality &amp; safety", "id" : "ITEM-2", "issue" : "6", "issued" : { "date-parts" : [ [ "2015", "6", "1" ] ] }, "page" : "369-76", "publisher" : "BMJ Publishing Group Ltd", "title" : "Can staff and patient perspectives on hospital safety predict harm-free care? An analysis of staff and patient survey data and routinely collected outcomes.", "type" : "article-journal", "volume" : "24" }, "uris" : [ "http://www.mendeley.com/documents/?uuid=a7dee83d-873d-3d8a-9267-098a794d9dc7" ] } ], "mendeley" : { "formattedCitation" : "&lt;sup&gt;18,28&lt;/sup&gt;", "plainTextFormattedCitation" : "18,28", "previouslyFormattedCitation" : "&lt;sup&gt;18,28&lt;/sup&gt;"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18,28</w:t>
      </w:r>
      <w:r w:rsidR="00AC2BFF">
        <w:rPr>
          <w:rFonts w:ascii="Arial" w:hAnsi="Arial" w:cs="Arial"/>
        </w:rPr>
        <w:fldChar w:fldCharType="end"/>
      </w:r>
      <w:r w:rsidR="005B5743">
        <w:rPr>
          <w:rFonts w:ascii="Arial" w:hAnsi="Arial" w:cs="Arial"/>
        </w:rPr>
        <w:t xml:space="preserve">, and its ease of application </w:t>
      </w:r>
      <w:r w:rsidR="00D6470F">
        <w:rPr>
          <w:rFonts w:ascii="Arial" w:hAnsi="Arial" w:cs="Arial"/>
        </w:rPr>
        <w:t xml:space="preserve">and potential for comparison across service settings and countries supports a case for further investigation.  </w:t>
      </w:r>
    </w:p>
    <w:p w14:paraId="259D9A84" w14:textId="77777777" w:rsidR="00662046" w:rsidRDefault="00662046" w:rsidP="00662046">
      <w:pPr>
        <w:spacing w:after="0" w:line="480" w:lineRule="auto"/>
        <w:jc w:val="both"/>
        <w:rPr>
          <w:rFonts w:ascii="Arial" w:hAnsi="Arial" w:cs="Arial"/>
        </w:rPr>
      </w:pPr>
    </w:p>
    <w:p w14:paraId="1CBFB7AA" w14:textId="5F22CA4F" w:rsidR="005B5743" w:rsidRDefault="00BA7B2D" w:rsidP="00662046">
      <w:pPr>
        <w:spacing w:after="0" w:line="480" w:lineRule="auto"/>
        <w:jc w:val="both"/>
        <w:rPr>
          <w:rFonts w:ascii="Arial" w:hAnsi="Arial" w:cs="Arial"/>
        </w:rPr>
      </w:pPr>
      <w:r>
        <w:rPr>
          <w:rFonts w:ascii="Arial" w:hAnsi="Arial" w:cs="Arial"/>
        </w:rPr>
        <w:t xml:space="preserve">This paper </w:t>
      </w:r>
      <w:r w:rsidR="00D6470F">
        <w:rPr>
          <w:rFonts w:ascii="Arial" w:hAnsi="Arial" w:cs="Arial"/>
        </w:rPr>
        <w:t xml:space="preserve">is the first to consider the application of the </w:t>
      </w:r>
      <w:r w:rsidR="00B103D1">
        <w:rPr>
          <w:rFonts w:ascii="Arial" w:hAnsi="Arial" w:cs="Arial"/>
        </w:rPr>
        <w:t>NPS</w:t>
      </w:r>
      <w:r>
        <w:rPr>
          <w:rFonts w:ascii="Arial" w:hAnsi="Arial" w:cs="Arial"/>
        </w:rPr>
        <w:t xml:space="preserve"> </w:t>
      </w:r>
      <w:r w:rsidR="00D6470F">
        <w:rPr>
          <w:rFonts w:ascii="Arial" w:hAnsi="Arial" w:cs="Arial"/>
        </w:rPr>
        <w:t>in community mental health services</w:t>
      </w:r>
      <w:r w:rsidR="005B76F3">
        <w:rPr>
          <w:rFonts w:ascii="Arial" w:hAnsi="Arial" w:cs="Arial"/>
        </w:rPr>
        <w:t xml:space="preserve"> for older people</w:t>
      </w:r>
      <w:r w:rsidR="00D6470F">
        <w:rPr>
          <w:rFonts w:ascii="Arial" w:hAnsi="Arial" w:cs="Arial"/>
        </w:rPr>
        <w:t>.</w:t>
      </w:r>
      <w:r w:rsidR="00CA36BC">
        <w:rPr>
          <w:rFonts w:ascii="Arial" w:hAnsi="Arial" w:cs="Arial"/>
        </w:rPr>
        <w:t xml:space="preserve">  </w:t>
      </w:r>
      <w:r w:rsidR="00CA36BC" w:rsidRPr="00CA36BC">
        <w:rPr>
          <w:rFonts w:ascii="Arial" w:hAnsi="Arial" w:cs="Arial"/>
          <w:highlight w:val="yellow"/>
        </w:rPr>
        <w:t xml:space="preserve">The research aimed to explore the value of the NPS as a service improvement tool and an outcome measure.  </w:t>
      </w:r>
      <w:r w:rsidR="00D6470F" w:rsidRPr="00CA36BC">
        <w:rPr>
          <w:rFonts w:ascii="Arial" w:hAnsi="Arial" w:cs="Arial"/>
          <w:highlight w:val="yellow"/>
        </w:rPr>
        <w:t xml:space="preserve">The study </w:t>
      </w:r>
      <w:r w:rsidR="009A7E8E" w:rsidRPr="00CA36BC">
        <w:rPr>
          <w:rFonts w:ascii="Arial" w:hAnsi="Arial" w:cs="Arial"/>
          <w:highlight w:val="yellow"/>
        </w:rPr>
        <w:t>objectives were</w:t>
      </w:r>
      <w:r w:rsidR="00D6470F" w:rsidRPr="00CA36BC">
        <w:rPr>
          <w:rFonts w:ascii="Arial" w:hAnsi="Arial" w:cs="Arial"/>
          <w:highlight w:val="yellow"/>
        </w:rPr>
        <w:t xml:space="preserve"> to</w:t>
      </w:r>
      <w:r w:rsidR="00641AA4" w:rsidRPr="00CA36BC">
        <w:rPr>
          <w:rFonts w:ascii="Arial" w:hAnsi="Arial" w:cs="Arial"/>
          <w:highlight w:val="yellow"/>
        </w:rPr>
        <w:t>:</w:t>
      </w:r>
    </w:p>
    <w:p w14:paraId="01F5B56D" w14:textId="319115E0" w:rsidR="004D729A" w:rsidRDefault="00EA22E9" w:rsidP="004D729A">
      <w:pPr>
        <w:pStyle w:val="ListParagraph"/>
        <w:numPr>
          <w:ilvl w:val="0"/>
          <w:numId w:val="2"/>
        </w:numPr>
        <w:spacing w:after="0" w:line="480" w:lineRule="auto"/>
        <w:rPr>
          <w:rFonts w:ascii="Arial" w:hAnsi="Arial" w:cs="Arial"/>
        </w:rPr>
      </w:pPr>
      <w:r>
        <w:rPr>
          <w:rFonts w:ascii="Arial" w:hAnsi="Arial" w:cs="Arial"/>
        </w:rPr>
        <w:t>Explore</w:t>
      </w:r>
      <w:r w:rsidR="004D729A" w:rsidRPr="005B5743">
        <w:rPr>
          <w:rFonts w:ascii="Arial" w:hAnsi="Arial" w:cs="Arial"/>
        </w:rPr>
        <w:t xml:space="preserve"> associations between </w:t>
      </w:r>
      <w:r>
        <w:rPr>
          <w:rFonts w:ascii="Arial" w:hAnsi="Arial" w:cs="Arial"/>
        </w:rPr>
        <w:t>the NPS</w:t>
      </w:r>
      <w:r w:rsidR="004D729A">
        <w:rPr>
          <w:rFonts w:ascii="Arial" w:hAnsi="Arial" w:cs="Arial"/>
        </w:rPr>
        <w:t xml:space="preserve"> score</w:t>
      </w:r>
      <w:r w:rsidR="004D729A" w:rsidRPr="005B5743">
        <w:rPr>
          <w:rFonts w:ascii="Arial" w:hAnsi="Arial" w:cs="Arial"/>
        </w:rPr>
        <w:t xml:space="preserve"> and patient and service</w:t>
      </w:r>
      <w:r w:rsidR="00C61F35">
        <w:rPr>
          <w:rFonts w:ascii="Arial" w:hAnsi="Arial" w:cs="Arial"/>
        </w:rPr>
        <w:t>-receipt</w:t>
      </w:r>
      <w:r w:rsidR="004D729A" w:rsidRPr="005B5743">
        <w:rPr>
          <w:rFonts w:ascii="Arial" w:hAnsi="Arial" w:cs="Arial"/>
        </w:rPr>
        <w:t xml:space="preserve"> characteristics</w:t>
      </w:r>
      <w:r w:rsidR="004D729A">
        <w:rPr>
          <w:rFonts w:ascii="Arial" w:hAnsi="Arial" w:cs="Arial"/>
        </w:rPr>
        <w:t>;</w:t>
      </w:r>
    </w:p>
    <w:p w14:paraId="4A3DC0B5" w14:textId="77777777" w:rsidR="004D729A" w:rsidRDefault="004D729A" w:rsidP="004D729A">
      <w:pPr>
        <w:pStyle w:val="ListParagraph"/>
        <w:numPr>
          <w:ilvl w:val="0"/>
          <w:numId w:val="2"/>
        </w:numPr>
        <w:spacing w:after="0" w:line="480" w:lineRule="auto"/>
        <w:rPr>
          <w:rFonts w:ascii="Arial" w:hAnsi="Arial" w:cs="Arial"/>
        </w:rPr>
      </w:pPr>
      <w:r w:rsidRPr="004D729A">
        <w:rPr>
          <w:rFonts w:ascii="Arial" w:hAnsi="Arial" w:cs="Arial"/>
        </w:rPr>
        <w:t xml:space="preserve">Evaluate the </w:t>
      </w:r>
      <w:r w:rsidR="00331050">
        <w:rPr>
          <w:rFonts w:ascii="Arial" w:hAnsi="Arial" w:cs="Arial"/>
        </w:rPr>
        <w:t>strength of association</w:t>
      </w:r>
      <w:r w:rsidRPr="004D729A">
        <w:rPr>
          <w:rFonts w:ascii="Arial" w:hAnsi="Arial" w:cs="Arial"/>
        </w:rPr>
        <w:t xml:space="preserve"> between the </w:t>
      </w:r>
      <w:r w:rsidR="00331050">
        <w:rPr>
          <w:rFonts w:ascii="Arial" w:hAnsi="Arial" w:cs="Arial"/>
        </w:rPr>
        <w:t>NPS</w:t>
      </w:r>
      <w:r w:rsidRPr="004D729A">
        <w:rPr>
          <w:rFonts w:ascii="Arial" w:hAnsi="Arial" w:cs="Arial"/>
        </w:rPr>
        <w:t xml:space="preserve"> and </w:t>
      </w:r>
      <w:r w:rsidR="00331050">
        <w:rPr>
          <w:rFonts w:ascii="Arial" w:hAnsi="Arial" w:cs="Arial"/>
        </w:rPr>
        <w:t>a</w:t>
      </w:r>
      <w:r w:rsidRPr="004D729A">
        <w:rPr>
          <w:rFonts w:ascii="Arial" w:hAnsi="Arial" w:cs="Arial"/>
        </w:rPr>
        <w:t xml:space="preserve"> satisfaction score;</w:t>
      </w:r>
    </w:p>
    <w:p w14:paraId="3E16BCBE" w14:textId="77777777" w:rsidR="00D6470F" w:rsidRPr="004D729A" w:rsidRDefault="004D729A" w:rsidP="004D729A">
      <w:pPr>
        <w:pStyle w:val="ListParagraph"/>
        <w:numPr>
          <w:ilvl w:val="0"/>
          <w:numId w:val="2"/>
        </w:numPr>
        <w:spacing w:after="0" w:line="480" w:lineRule="auto"/>
        <w:rPr>
          <w:rFonts w:ascii="Arial" w:hAnsi="Arial" w:cs="Arial"/>
        </w:rPr>
      </w:pPr>
      <w:r w:rsidRPr="004D729A">
        <w:rPr>
          <w:rFonts w:ascii="Arial" w:hAnsi="Arial" w:cs="Arial"/>
        </w:rPr>
        <w:t>Evaluate its test-retest reliability</w:t>
      </w:r>
      <w:r w:rsidR="00331050">
        <w:rPr>
          <w:rFonts w:ascii="Arial" w:hAnsi="Arial" w:cs="Arial"/>
        </w:rPr>
        <w:t xml:space="preserve"> relative to the satisfaction score.</w:t>
      </w:r>
    </w:p>
    <w:p w14:paraId="09539F77" w14:textId="77777777" w:rsidR="004D729A" w:rsidRDefault="004D729A" w:rsidP="004F5F2E">
      <w:pPr>
        <w:spacing w:after="0" w:line="480" w:lineRule="auto"/>
        <w:outlineLvl w:val="0"/>
        <w:rPr>
          <w:rFonts w:ascii="Arial" w:hAnsi="Arial" w:cs="Arial"/>
          <w:b/>
        </w:rPr>
      </w:pPr>
    </w:p>
    <w:p w14:paraId="681954EC" w14:textId="77777777" w:rsidR="009D7700" w:rsidRPr="009D7700" w:rsidRDefault="00A94C55" w:rsidP="004F5F2E">
      <w:pPr>
        <w:spacing w:after="0" w:line="480" w:lineRule="auto"/>
        <w:outlineLvl w:val="0"/>
        <w:rPr>
          <w:rFonts w:ascii="Arial" w:hAnsi="Arial" w:cs="Arial"/>
          <w:b/>
        </w:rPr>
      </w:pPr>
      <w:r>
        <w:rPr>
          <w:rFonts w:ascii="Arial" w:hAnsi="Arial" w:cs="Arial"/>
          <w:b/>
        </w:rPr>
        <w:t>Methods</w:t>
      </w:r>
    </w:p>
    <w:p w14:paraId="2EDBC085" w14:textId="77777777" w:rsidR="00EB035E" w:rsidRDefault="00EB035E" w:rsidP="005E48D8">
      <w:pPr>
        <w:spacing w:after="0" w:line="480" w:lineRule="auto"/>
        <w:rPr>
          <w:rFonts w:ascii="Arial" w:hAnsi="Arial" w:cs="Arial"/>
        </w:rPr>
      </w:pPr>
    </w:p>
    <w:p w14:paraId="3F757F8A" w14:textId="77777777" w:rsidR="00FA5429" w:rsidRDefault="00247AA6" w:rsidP="00662046">
      <w:pPr>
        <w:spacing w:after="0" w:line="480" w:lineRule="auto"/>
        <w:jc w:val="both"/>
        <w:rPr>
          <w:rFonts w:ascii="Arial" w:hAnsi="Arial" w:cs="Arial"/>
        </w:rPr>
      </w:pPr>
      <w:r>
        <w:rPr>
          <w:rFonts w:ascii="Arial" w:hAnsi="Arial" w:cs="Arial"/>
        </w:rPr>
        <w:t xml:space="preserve">A postal survey was </w:t>
      </w:r>
      <w:r w:rsidR="000F59DE">
        <w:rPr>
          <w:rFonts w:ascii="Arial" w:hAnsi="Arial" w:cs="Arial"/>
        </w:rPr>
        <w:t>conducted</w:t>
      </w:r>
      <w:r w:rsidR="000704EA">
        <w:rPr>
          <w:rFonts w:ascii="Arial" w:hAnsi="Arial" w:cs="Arial"/>
        </w:rPr>
        <w:t xml:space="preserve"> with</w:t>
      </w:r>
      <w:r>
        <w:rPr>
          <w:rFonts w:ascii="Arial" w:hAnsi="Arial" w:cs="Arial"/>
        </w:rPr>
        <w:t xml:space="preserve"> service users on the caseloads of </w:t>
      </w:r>
      <w:r w:rsidR="000D0628">
        <w:rPr>
          <w:rFonts w:ascii="Arial" w:hAnsi="Arial" w:cs="Arial"/>
        </w:rPr>
        <w:t>Community Mental Health Teams (</w:t>
      </w:r>
      <w:r w:rsidR="00007184">
        <w:rPr>
          <w:rFonts w:ascii="Arial" w:hAnsi="Arial" w:cs="Arial"/>
        </w:rPr>
        <w:t>CMHTs</w:t>
      </w:r>
      <w:r w:rsidR="000D0628">
        <w:rPr>
          <w:rFonts w:ascii="Arial" w:hAnsi="Arial" w:cs="Arial"/>
        </w:rPr>
        <w:t>)</w:t>
      </w:r>
      <w:r w:rsidR="00007184">
        <w:rPr>
          <w:rFonts w:ascii="Arial" w:hAnsi="Arial" w:cs="Arial"/>
        </w:rPr>
        <w:t xml:space="preserve"> for older people in </w:t>
      </w:r>
      <w:r w:rsidR="00AE7786">
        <w:rPr>
          <w:rFonts w:ascii="Arial" w:hAnsi="Arial" w:cs="Arial"/>
        </w:rPr>
        <w:t>four</w:t>
      </w:r>
      <w:r w:rsidR="005E38B9">
        <w:rPr>
          <w:rFonts w:ascii="Arial" w:hAnsi="Arial" w:cs="Arial"/>
        </w:rPr>
        <w:t xml:space="preserve"> NHS</w:t>
      </w:r>
      <w:r w:rsidR="000704EA">
        <w:rPr>
          <w:rFonts w:ascii="Arial" w:hAnsi="Arial" w:cs="Arial"/>
        </w:rPr>
        <w:t xml:space="preserve"> Mental Health </w:t>
      </w:r>
      <w:r w:rsidR="005E38B9">
        <w:rPr>
          <w:rFonts w:ascii="Arial" w:hAnsi="Arial" w:cs="Arial"/>
        </w:rPr>
        <w:t xml:space="preserve">Trusts; </w:t>
      </w:r>
      <w:r w:rsidR="00AE7786">
        <w:rPr>
          <w:rFonts w:ascii="Arial" w:hAnsi="Arial" w:cs="Arial"/>
        </w:rPr>
        <w:t>two</w:t>
      </w:r>
      <w:r w:rsidR="005E38B9">
        <w:rPr>
          <w:rFonts w:ascii="Arial" w:hAnsi="Arial" w:cs="Arial"/>
        </w:rPr>
        <w:t xml:space="preserve"> located in the North West of England, one in the North East, and one in London.  All service users were invited where they had been seen by a member of the CMHT</w:t>
      </w:r>
      <w:r w:rsidR="000704EA">
        <w:rPr>
          <w:rFonts w:ascii="Arial" w:hAnsi="Arial" w:cs="Arial"/>
        </w:rPr>
        <w:t>,</w:t>
      </w:r>
      <w:r w:rsidR="005E38B9">
        <w:rPr>
          <w:rFonts w:ascii="Arial" w:hAnsi="Arial" w:cs="Arial"/>
        </w:rPr>
        <w:t xml:space="preserve"> except where </w:t>
      </w:r>
      <w:r w:rsidR="000704EA">
        <w:rPr>
          <w:rFonts w:ascii="Arial" w:hAnsi="Arial" w:cs="Arial"/>
        </w:rPr>
        <w:t>their care coordinator indicated that they would</w:t>
      </w:r>
      <w:r w:rsidR="005E38B9">
        <w:rPr>
          <w:rFonts w:ascii="Arial" w:hAnsi="Arial" w:cs="Arial"/>
        </w:rPr>
        <w:t xml:space="preserve"> be unable to consent to the research or if they were in hospital/care home </w:t>
      </w:r>
      <w:r w:rsidR="000704EA">
        <w:rPr>
          <w:rFonts w:ascii="Arial" w:hAnsi="Arial" w:cs="Arial"/>
        </w:rPr>
        <w:t xml:space="preserve">or crisis </w:t>
      </w:r>
      <w:r w:rsidR="005E38B9">
        <w:rPr>
          <w:rFonts w:ascii="Arial" w:hAnsi="Arial" w:cs="Arial"/>
        </w:rPr>
        <w:t xml:space="preserve">at the time of the study. </w:t>
      </w:r>
      <w:r w:rsidR="0068776A">
        <w:rPr>
          <w:rFonts w:ascii="Arial" w:hAnsi="Arial" w:cs="Arial"/>
        </w:rPr>
        <w:t xml:space="preserve"> </w:t>
      </w:r>
      <w:r w:rsidR="00AE7786">
        <w:rPr>
          <w:rFonts w:ascii="Arial" w:hAnsi="Arial" w:cs="Arial"/>
        </w:rPr>
        <w:t>Questionnaires were dispatched from NHS Trust</w:t>
      </w:r>
      <w:r w:rsidR="006770C2">
        <w:rPr>
          <w:rFonts w:ascii="Arial" w:hAnsi="Arial" w:cs="Arial"/>
        </w:rPr>
        <w:t>s</w:t>
      </w:r>
      <w:r w:rsidR="00AE7786">
        <w:rPr>
          <w:rFonts w:ascii="Arial" w:hAnsi="Arial" w:cs="Arial"/>
        </w:rPr>
        <w:t xml:space="preserve"> </w:t>
      </w:r>
      <w:r w:rsidR="006770C2">
        <w:rPr>
          <w:rFonts w:ascii="Arial" w:hAnsi="Arial" w:cs="Arial"/>
        </w:rPr>
        <w:t>between October 2015-April 2016, w</w:t>
      </w:r>
      <w:r w:rsidR="00AE7786">
        <w:rPr>
          <w:rFonts w:ascii="Arial" w:hAnsi="Arial" w:cs="Arial"/>
        </w:rPr>
        <w:t xml:space="preserve">ith a return </w:t>
      </w:r>
      <w:r w:rsidR="006770C2">
        <w:rPr>
          <w:rFonts w:ascii="Arial" w:hAnsi="Arial" w:cs="Arial"/>
        </w:rPr>
        <w:t xml:space="preserve">freepost </w:t>
      </w:r>
      <w:r w:rsidR="00AE7786">
        <w:rPr>
          <w:rFonts w:ascii="Arial" w:hAnsi="Arial" w:cs="Arial"/>
        </w:rPr>
        <w:t xml:space="preserve">envelope </w:t>
      </w:r>
      <w:r w:rsidR="006770C2">
        <w:rPr>
          <w:rFonts w:ascii="Arial" w:hAnsi="Arial" w:cs="Arial"/>
        </w:rPr>
        <w:t xml:space="preserve">addressed </w:t>
      </w:r>
      <w:r w:rsidR="00AE7786">
        <w:rPr>
          <w:rFonts w:ascii="Arial" w:hAnsi="Arial" w:cs="Arial"/>
        </w:rPr>
        <w:t xml:space="preserve">to the researchers.  A reminder </w:t>
      </w:r>
      <w:r w:rsidR="00FA5429">
        <w:rPr>
          <w:rFonts w:ascii="Arial" w:hAnsi="Arial" w:cs="Arial"/>
        </w:rPr>
        <w:t>was</w:t>
      </w:r>
      <w:r w:rsidR="00AE7786">
        <w:rPr>
          <w:rFonts w:ascii="Arial" w:hAnsi="Arial" w:cs="Arial"/>
        </w:rPr>
        <w:t xml:space="preserve"> sent to non-respondents 3-4 weeks after the first.  </w:t>
      </w:r>
    </w:p>
    <w:p w14:paraId="19AAA714" w14:textId="77777777" w:rsidR="00FA5429" w:rsidRDefault="00FA5429" w:rsidP="005E48D8">
      <w:pPr>
        <w:spacing w:after="0" w:line="480" w:lineRule="auto"/>
        <w:rPr>
          <w:rFonts w:ascii="Arial" w:hAnsi="Arial" w:cs="Arial"/>
        </w:rPr>
      </w:pPr>
    </w:p>
    <w:p w14:paraId="42D86ADB" w14:textId="5759731C" w:rsidR="006770C2" w:rsidRDefault="0068776A" w:rsidP="00662046">
      <w:pPr>
        <w:spacing w:after="0" w:line="480" w:lineRule="auto"/>
        <w:jc w:val="both"/>
        <w:rPr>
          <w:rFonts w:ascii="Arial" w:hAnsi="Arial" w:cs="Arial"/>
        </w:rPr>
      </w:pPr>
      <w:r>
        <w:rPr>
          <w:rFonts w:ascii="Arial" w:hAnsi="Arial" w:cs="Arial"/>
        </w:rPr>
        <w:t>The questionna</w:t>
      </w:r>
      <w:r w:rsidR="00FA5429">
        <w:rPr>
          <w:rFonts w:ascii="Arial" w:hAnsi="Arial" w:cs="Arial"/>
        </w:rPr>
        <w:t>ire asked the NPS question using the Friends and Family Test phrasing with five possible response options: ‘extremely likely’, ‘likely’, ‘neither likely nor unlikely’, ‘unlikely’, ‘extremely unlikely’.  A</w:t>
      </w:r>
      <w:r>
        <w:rPr>
          <w:rFonts w:ascii="Arial" w:hAnsi="Arial" w:cs="Arial"/>
        </w:rPr>
        <w:t xml:space="preserve"> single-item satisfaction question </w:t>
      </w:r>
      <w:r w:rsidR="00FA5429">
        <w:rPr>
          <w:rFonts w:ascii="Arial" w:hAnsi="Arial" w:cs="Arial"/>
        </w:rPr>
        <w:t>asked for an equivalent rating</w:t>
      </w:r>
      <w:r>
        <w:rPr>
          <w:rFonts w:ascii="Arial" w:hAnsi="Arial" w:cs="Arial"/>
        </w:rPr>
        <w:t xml:space="preserve"> on a five</w:t>
      </w:r>
      <w:r w:rsidR="008E3D8B">
        <w:rPr>
          <w:rFonts w:ascii="Arial" w:hAnsi="Arial" w:cs="Arial"/>
        </w:rPr>
        <w:t>-</w:t>
      </w:r>
      <w:r>
        <w:rPr>
          <w:rFonts w:ascii="Arial" w:hAnsi="Arial" w:cs="Arial"/>
        </w:rPr>
        <w:t xml:space="preserve">point Likert scale (very </w:t>
      </w:r>
      <w:r w:rsidR="00D367C8">
        <w:rPr>
          <w:rFonts w:ascii="Arial" w:hAnsi="Arial" w:cs="Arial"/>
        </w:rPr>
        <w:t xml:space="preserve">satisfied – very dissatisfied).  The questionnaire also collected </w:t>
      </w:r>
      <w:r>
        <w:rPr>
          <w:rFonts w:ascii="Arial" w:hAnsi="Arial" w:cs="Arial"/>
        </w:rPr>
        <w:t xml:space="preserve">information </w:t>
      </w:r>
      <w:r w:rsidR="00AE7786">
        <w:rPr>
          <w:rFonts w:ascii="Arial" w:hAnsi="Arial" w:cs="Arial"/>
        </w:rPr>
        <w:t>on mental health and social care practitioners seen</w:t>
      </w:r>
      <w:r w:rsidR="001D12D1">
        <w:rPr>
          <w:rFonts w:ascii="Arial" w:hAnsi="Arial" w:cs="Arial"/>
        </w:rPr>
        <w:t xml:space="preserve"> in the past three months</w:t>
      </w:r>
      <w:r w:rsidR="00D367C8">
        <w:rPr>
          <w:rFonts w:ascii="Arial" w:hAnsi="Arial" w:cs="Arial"/>
        </w:rPr>
        <w:t xml:space="preserve"> and </w:t>
      </w:r>
      <w:r w:rsidR="0097430A">
        <w:rPr>
          <w:rFonts w:ascii="Arial" w:hAnsi="Arial" w:cs="Arial"/>
        </w:rPr>
        <w:t xml:space="preserve">whether an informal carer helped with its completion.  </w:t>
      </w:r>
      <w:r w:rsidR="008E3D8B">
        <w:rPr>
          <w:rFonts w:ascii="Arial" w:hAnsi="Arial" w:cs="Arial"/>
        </w:rPr>
        <w:t>T</w:t>
      </w:r>
      <w:r w:rsidR="006770C2">
        <w:rPr>
          <w:rFonts w:ascii="Arial" w:hAnsi="Arial" w:cs="Arial"/>
        </w:rPr>
        <w:t xml:space="preserve">o enable an analysis of test-retest reliability, a second identical questionnaire was mailed to respondents approximately </w:t>
      </w:r>
      <w:r w:rsidR="000F59DE">
        <w:rPr>
          <w:rFonts w:ascii="Arial" w:hAnsi="Arial" w:cs="Arial"/>
        </w:rPr>
        <w:t>three weeks</w:t>
      </w:r>
      <w:r w:rsidR="006770C2">
        <w:rPr>
          <w:rFonts w:ascii="Arial" w:hAnsi="Arial" w:cs="Arial"/>
        </w:rPr>
        <w:t xml:space="preserve"> after the first.  </w:t>
      </w:r>
    </w:p>
    <w:p w14:paraId="03881D11" w14:textId="77777777" w:rsidR="006770C2" w:rsidRDefault="006770C2" w:rsidP="005E48D8">
      <w:pPr>
        <w:spacing w:after="0" w:line="480" w:lineRule="auto"/>
        <w:rPr>
          <w:rFonts w:ascii="Arial" w:hAnsi="Arial" w:cs="Arial"/>
        </w:rPr>
      </w:pPr>
    </w:p>
    <w:p w14:paraId="17CFCFEC" w14:textId="7756B1DD" w:rsidR="00AE7786" w:rsidRDefault="00AE7786" w:rsidP="00662046">
      <w:pPr>
        <w:spacing w:after="0" w:line="480" w:lineRule="auto"/>
        <w:jc w:val="both"/>
        <w:rPr>
          <w:rFonts w:ascii="Arial" w:hAnsi="Arial" w:cs="Arial"/>
        </w:rPr>
      </w:pPr>
      <w:r>
        <w:rPr>
          <w:rFonts w:ascii="Arial" w:hAnsi="Arial" w:cs="Arial"/>
        </w:rPr>
        <w:t xml:space="preserve">The questionnaire </w:t>
      </w:r>
      <w:r w:rsidR="000F59DE">
        <w:rPr>
          <w:rFonts w:ascii="Arial" w:hAnsi="Arial" w:cs="Arial"/>
        </w:rPr>
        <w:t>included</w:t>
      </w:r>
      <w:r>
        <w:rPr>
          <w:rFonts w:ascii="Arial" w:hAnsi="Arial" w:cs="Arial"/>
        </w:rPr>
        <w:t xml:space="preserve"> a pre-printed study ID number </w:t>
      </w:r>
      <w:r w:rsidR="00DD727F">
        <w:rPr>
          <w:rFonts w:ascii="Arial" w:hAnsi="Arial" w:cs="Arial"/>
        </w:rPr>
        <w:t>so that</w:t>
      </w:r>
      <w:r>
        <w:rPr>
          <w:rFonts w:ascii="Arial" w:hAnsi="Arial" w:cs="Arial"/>
        </w:rPr>
        <w:t xml:space="preserve"> additional information from NHS Trust administrative sources could be matched to the respondent.  This </w:t>
      </w:r>
      <w:r w:rsidR="00FA5429">
        <w:rPr>
          <w:rFonts w:ascii="Arial" w:hAnsi="Arial" w:cs="Arial"/>
        </w:rPr>
        <w:t xml:space="preserve">matched data </w:t>
      </w:r>
      <w:r>
        <w:rPr>
          <w:rFonts w:ascii="Arial" w:hAnsi="Arial" w:cs="Arial"/>
        </w:rPr>
        <w:t xml:space="preserve">included basic patient characteristics </w:t>
      </w:r>
      <w:r w:rsidR="00C61F35">
        <w:rPr>
          <w:rFonts w:ascii="Arial" w:hAnsi="Arial" w:cs="Arial"/>
        </w:rPr>
        <w:t xml:space="preserve">(age, </w:t>
      </w:r>
      <w:r w:rsidR="006770C2">
        <w:rPr>
          <w:rFonts w:ascii="Arial" w:hAnsi="Arial" w:cs="Arial"/>
        </w:rPr>
        <w:t xml:space="preserve">gender) </w:t>
      </w:r>
      <w:r>
        <w:rPr>
          <w:rFonts w:ascii="Arial" w:hAnsi="Arial" w:cs="Arial"/>
        </w:rPr>
        <w:t>and</w:t>
      </w:r>
      <w:r w:rsidR="00C61F35">
        <w:rPr>
          <w:rFonts w:ascii="Arial" w:hAnsi="Arial" w:cs="Arial"/>
        </w:rPr>
        <w:t xml:space="preserve"> </w:t>
      </w:r>
      <w:r w:rsidR="00C61F35" w:rsidRPr="00C61F35">
        <w:rPr>
          <w:rFonts w:ascii="Arial" w:hAnsi="Arial" w:cs="Arial"/>
          <w:highlight w:val="yellow"/>
        </w:rPr>
        <w:t>information related to service</w:t>
      </w:r>
      <w:r w:rsidR="00C61F35">
        <w:rPr>
          <w:rFonts w:ascii="Arial" w:hAnsi="Arial" w:cs="Arial"/>
          <w:highlight w:val="yellow"/>
        </w:rPr>
        <w:t xml:space="preserve"> </w:t>
      </w:r>
      <w:r w:rsidR="00C61F35" w:rsidRPr="00C61F35">
        <w:rPr>
          <w:rFonts w:ascii="Arial" w:hAnsi="Arial" w:cs="Arial"/>
          <w:highlight w:val="yellow"/>
        </w:rPr>
        <w:t>receipt</w:t>
      </w:r>
      <w:r w:rsidR="00C61F35">
        <w:rPr>
          <w:rFonts w:ascii="Arial" w:hAnsi="Arial" w:cs="Arial"/>
        </w:rPr>
        <w:t xml:space="preserve"> (</w:t>
      </w:r>
      <w:r>
        <w:rPr>
          <w:rFonts w:ascii="Arial" w:hAnsi="Arial" w:cs="Arial"/>
        </w:rPr>
        <w:t>length of time the respondent had been on the CMHT caseload</w:t>
      </w:r>
      <w:r w:rsidR="00C61F35">
        <w:rPr>
          <w:rFonts w:ascii="Arial" w:hAnsi="Arial" w:cs="Arial"/>
        </w:rPr>
        <w:t>)</w:t>
      </w:r>
      <w:r>
        <w:rPr>
          <w:rFonts w:ascii="Arial" w:hAnsi="Arial" w:cs="Arial"/>
        </w:rPr>
        <w:t xml:space="preserve">.  It also included </w:t>
      </w:r>
      <w:r w:rsidR="006770C2">
        <w:rPr>
          <w:rFonts w:ascii="Arial" w:hAnsi="Arial" w:cs="Arial"/>
        </w:rPr>
        <w:t xml:space="preserve">a </w:t>
      </w:r>
      <w:proofErr w:type="spellStart"/>
      <w:r w:rsidR="001D12D1">
        <w:rPr>
          <w:rFonts w:ascii="Arial" w:hAnsi="Arial" w:cs="Arial"/>
        </w:rPr>
        <w:t>trichotomous</w:t>
      </w:r>
      <w:proofErr w:type="spellEnd"/>
      <w:r w:rsidR="00FA5429">
        <w:rPr>
          <w:rFonts w:ascii="Arial" w:hAnsi="Arial" w:cs="Arial"/>
        </w:rPr>
        <w:t xml:space="preserve"> diagnostic grouping</w:t>
      </w:r>
      <w:r w:rsidR="006770C2">
        <w:rPr>
          <w:rFonts w:ascii="Arial" w:hAnsi="Arial" w:cs="Arial"/>
        </w:rPr>
        <w:t xml:space="preserve"> </w:t>
      </w:r>
      <w:r w:rsidR="00FA5429">
        <w:rPr>
          <w:rFonts w:ascii="Arial" w:hAnsi="Arial" w:cs="Arial"/>
        </w:rPr>
        <w:t xml:space="preserve">(based on the NHS Payment by Results classification) </w:t>
      </w:r>
      <w:r w:rsidR="006770C2">
        <w:rPr>
          <w:rFonts w:ascii="Arial" w:hAnsi="Arial" w:cs="Arial"/>
        </w:rPr>
        <w:t xml:space="preserve">identifying patients whose primary mental health problem </w:t>
      </w:r>
      <w:r w:rsidR="000704EA">
        <w:rPr>
          <w:rFonts w:ascii="Arial" w:hAnsi="Arial" w:cs="Arial"/>
        </w:rPr>
        <w:t>was</w:t>
      </w:r>
      <w:r w:rsidR="006770C2">
        <w:rPr>
          <w:rFonts w:ascii="Arial" w:hAnsi="Arial" w:cs="Arial"/>
        </w:rPr>
        <w:t xml:space="preserve"> organic in nature</w:t>
      </w:r>
      <w:r w:rsidR="00EA22E9">
        <w:rPr>
          <w:rFonts w:ascii="Arial" w:hAnsi="Arial" w:cs="Arial"/>
        </w:rPr>
        <w:t xml:space="preserve"> </w:t>
      </w:r>
      <w:r w:rsidR="00EA22E9" w:rsidRPr="00EA22E9">
        <w:rPr>
          <w:rFonts w:ascii="Arial" w:hAnsi="Arial" w:cs="Arial"/>
          <w:highlight w:val="yellow"/>
        </w:rPr>
        <w:t>(predominantly dementia)</w:t>
      </w:r>
      <w:r w:rsidR="00FA5429">
        <w:rPr>
          <w:rFonts w:ascii="Arial" w:hAnsi="Arial" w:cs="Arial"/>
        </w:rPr>
        <w:t>; those whose diagnosis included</w:t>
      </w:r>
      <w:r w:rsidR="006770C2">
        <w:rPr>
          <w:rFonts w:ascii="Arial" w:hAnsi="Arial" w:cs="Arial"/>
        </w:rPr>
        <w:t xml:space="preserve"> psychosis</w:t>
      </w:r>
      <w:r w:rsidR="00FA5429">
        <w:rPr>
          <w:rFonts w:ascii="Arial" w:hAnsi="Arial" w:cs="Arial"/>
        </w:rPr>
        <w:t>;</w:t>
      </w:r>
      <w:r w:rsidR="006770C2">
        <w:rPr>
          <w:rFonts w:ascii="Arial" w:hAnsi="Arial" w:cs="Arial"/>
        </w:rPr>
        <w:t xml:space="preserve"> and those with other functional </w:t>
      </w:r>
      <w:r w:rsidR="00FA5429">
        <w:rPr>
          <w:rFonts w:ascii="Arial" w:hAnsi="Arial" w:cs="Arial"/>
        </w:rPr>
        <w:t>mental health problems</w:t>
      </w:r>
      <w:r w:rsidR="006770C2">
        <w:rPr>
          <w:rFonts w:ascii="Arial" w:hAnsi="Arial" w:cs="Arial"/>
        </w:rPr>
        <w:t xml:space="preserve">.   </w:t>
      </w:r>
      <w:r w:rsidR="00377B30" w:rsidRPr="00377B30">
        <w:rPr>
          <w:rFonts w:ascii="Arial" w:hAnsi="Arial" w:cs="Arial"/>
        </w:rPr>
        <w:t xml:space="preserve">The research received ethics permission from Greater Manchester South NRES ethics committee (Ref: 14/NW/0303).  </w:t>
      </w:r>
    </w:p>
    <w:p w14:paraId="1A6853CC" w14:textId="77777777" w:rsidR="0097430A" w:rsidRDefault="0097430A" w:rsidP="005E48D8">
      <w:pPr>
        <w:spacing w:after="0" w:line="480" w:lineRule="auto"/>
        <w:rPr>
          <w:rFonts w:ascii="Arial" w:hAnsi="Arial" w:cs="Arial"/>
          <w:i/>
        </w:rPr>
      </w:pPr>
    </w:p>
    <w:p w14:paraId="2F638264" w14:textId="77777777" w:rsidR="00EB035E" w:rsidRPr="0097430A" w:rsidRDefault="00FA5429" w:rsidP="004F5F2E">
      <w:pPr>
        <w:spacing w:after="0" w:line="480" w:lineRule="auto"/>
        <w:outlineLvl w:val="0"/>
        <w:rPr>
          <w:rFonts w:ascii="Arial" w:hAnsi="Arial" w:cs="Arial"/>
          <w:i/>
        </w:rPr>
      </w:pPr>
      <w:r>
        <w:rPr>
          <w:rFonts w:ascii="Arial" w:hAnsi="Arial" w:cs="Arial"/>
          <w:i/>
        </w:rPr>
        <w:t>A</w:t>
      </w:r>
      <w:r w:rsidR="0097430A">
        <w:rPr>
          <w:rFonts w:ascii="Arial" w:hAnsi="Arial" w:cs="Arial"/>
          <w:i/>
        </w:rPr>
        <w:t>nalysis</w:t>
      </w:r>
    </w:p>
    <w:p w14:paraId="178E0288" w14:textId="05ED1B9E" w:rsidR="00D367C8" w:rsidRDefault="00331050" w:rsidP="00662046">
      <w:pPr>
        <w:spacing w:after="0" w:line="480" w:lineRule="auto"/>
        <w:jc w:val="both"/>
        <w:rPr>
          <w:rFonts w:ascii="Arial" w:hAnsi="Arial" w:cs="Arial"/>
        </w:rPr>
      </w:pPr>
      <w:r>
        <w:rPr>
          <w:rFonts w:ascii="Arial" w:hAnsi="Arial" w:cs="Arial"/>
        </w:rPr>
        <w:t xml:space="preserve">To address aim (1) above, the researchers used the traditional NPS process of </w:t>
      </w:r>
      <w:r w:rsidR="006A1DDB">
        <w:rPr>
          <w:rFonts w:ascii="Arial" w:hAnsi="Arial" w:cs="Arial"/>
        </w:rPr>
        <w:t xml:space="preserve">partitioning responders into one of three categories: </w:t>
      </w:r>
      <w:r w:rsidR="00FA5429">
        <w:rPr>
          <w:rFonts w:ascii="Arial" w:hAnsi="Arial" w:cs="Arial"/>
        </w:rPr>
        <w:t xml:space="preserve">labelled as </w:t>
      </w:r>
      <w:r>
        <w:rPr>
          <w:rFonts w:ascii="Arial" w:hAnsi="Arial" w:cs="Arial"/>
        </w:rPr>
        <w:t>‘</w:t>
      </w:r>
      <w:r w:rsidR="006A1DDB">
        <w:rPr>
          <w:rFonts w:ascii="Arial" w:hAnsi="Arial" w:cs="Arial"/>
        </w:rPr>
        <w:t>promoters</w:t>
      </w:r>
      <w:r>
        <w:rPr>
          <w:rFonts w:ascii="Arial" w:hAnsi="Arial" w:cs="Arial"/>
        </w:rPr>
        <w:t>’</w:t>
      </w:r>
      <w:r w:rsidR="006A1DDB">
        <w:rPr>
          <w:rFonts w:ascii="Arial" w:hAnsi="Arial" w:cs="Arial"/>
        </w:rPr>
        <w:t xml:space="preserve">, </w:t>
      </w:r>
      <w:r>
        <w:rPr>
          <w:rFonts w:ascii="Arial" w:hAnsi="Arial" w:cs="Arial"/>
        </w:rPr>
        <w:t>‘</w:t>
      </w:r>
      <w:r w:rsidR="00D367C8">
        <w:rPr>
          <w:rFonts w:ascii="Arial" w:hAnsi="Arial" w:cs="Arial"/>
        </w:rPr>
        <w:t>passives</w:t>
      </w:r>
      <w:r>
        <w:rPr>
          <w:rFonts w:ascii="Arial" w:hAnsi="Arial" w:cs="Arial"/>
        </w:rPr>
        <w:t>’</w:t>
      </w:r>
      <w:r w:rsidR="005700CA">
        <w:rPr>
          <w:rFonts w:ascii="Arial" w:hAnsi="Arial" w:cs="Arial"/>
        </w:rPr>
        <w:t xml:space="preserve"> and </w:t>
      </w:r>
      <w:r>
        <w:rPr>
          <w:rFonts w:ascii="Arial" w:hAnsi="Arial" w:cs="Arial"/>
        </w:rPr>
        <w:t>‘</w:t>
      </w:r>
      <w:r w:rsidR="006A1DDB">
        <w:rPr>
          <w:rFonts w:ascii="Arial" w:hAnsi="Arial" w:cs="Arial"/>
        </w:rPr>
        <w:t>detractors</w:t>
      </w:r>
      <w:r>
        <w:rPr>
          <w:rFonts w:ascii="Arial" w:hAnsi="Arial" w:cs="Arial"/>
        </w:rPr>
        <w:t>’</w:t>
      </w:r>
      <w:r w:rsidR="006A1DDB">
        <w:rPr>
          <w:rFonts w:ascii="Arial" w:hAnsi="Arial" w:cs="Arial"/>
        </w:rPr>
        <w:t xml:space="preserve">.  </w:t>
      </w:r>
      <w:r w:rsidR="000C7F73">
        <w:rPr>
          <w:rFonts w:ascii="Arial" w:hAnsi="Arial" w:cs="Arial"/>
        </w:rPr>
        <w:t xml:space="preserve"> </w:t>
      </w:r>
      <w:r>
        <w:rPr>
          <w:rFonts w:ascii="Arial" w:hAnsi="Arial" w:cs="Arial"/>
        </w:rPr>
        <w:t>Unfortunately</w:t>
      </w:r>
      <w:r w:rsidR="002049D7">
        <w:rPr>
          <w:rFonts w:ascii="Arial" w:hAnsi="Arial" w:cs="Arial"/>
        </w:rPr>
        <w:t xml:space="preserve"> there is no agreed and standardised </w:t>
      </w:r>
      <w:r w:rsidR="00006FC8">
        <w:rPr>
          <w:rFonts w:ascii="Arial" w:hAnsi="Arial" w:cs="Arial"/>
        </w:rPr>
        <w:t xml:space="preserve">international </w:t>
      </w:r>
      <w:r>
        <w:rPr>
          <w:rFonts w:ascii="Arial" w:hAnsi="Arial" w:cs="Arial"/>
        </w:rPr>
        <w:t xml:space="preserve">NPS </w:t>
      </w:r>
      <w:r w:rsidR="002049D7">
        <w:rPr>
          <w:rFonts w:ascii="Arial" w:hAnsi="Arial" w:cs="Arial"/>
        </w:rPr>
        <w:t xml:space="preserve">scoring system </w:t>
      </w:r>
      <w:r w:rsidR="00006FC8">
        <w:rPr>
          <w:rFonts w:ascii="Arial" w:hAnsi="Arial" w:cs="Arial"/>
        </w:rPr>
        <w:t>for use</w:t>
      </w:r>
      <w:r>
        <w:rPr>
          <w:rFonts w:ascii="Arial" w:hAnsi="Arial" w:cs="Arial"/>
        </w:rPr>
        <w:t xml:space="preserve"> in health services</w:t>
      </w:r>
      <w:r w:rsidR="002049D7">
        <w:rPr>
          <w:rFonts w:ascii="Arial" w:hAnsi="Arial" w:cs="Arial"/>
        </w:rPr>
        <w:t>.  This paper</w:t>
      </w:r>
      <w:r>
        <w:rPr>
          <w:rFonts w:ascii="Arial" w:hAnsi="Arial" w:cs="Arial"/>
        </w:rPr>
        <w:t xml:space="preserve"> </w:t>
      </w:r>
      <w:r w:rsidR="002049D7">
        <w:rPr>
          <w:rFonts w:ascii="Arial" w:hAnsi="Arial" w:cs="Arial"/>
        </w:rPr>
        <w:t xml:space="preserve">uses the </w:t>
      </w:r>
      <w:r w:rsidR="006A1DDB" w:rsidRPr="00C55892">
        <w:rPr>
          <w:rFonts w:ascii="Arial" w:hAnsi="Arial" w:cs="Arial"/>
        </w:rPr>
        <w:t xml:space="preserve">classification </w:t>
      </w:r>
      <w:r w:rsidR="00C55892">
        <w:rPr>
          <w:rFonts w:ascii="Arial" w:hAnsi="Arial" w:cs="Arial"/>
        </w:rPr>
        <w:t xml:space="preserve">initially </w:t>
      </w:r>
      <w:r>
        <w:rPr>
          <w:rFonts w:ascii="Arial" w:hAnsi="Arial" w:cs="Arial"/>
        </w:rPr>
        <w:t>employed</w:t>
      </w:r>
      <w:r w:rsidR="00C55892">
        <w:rPr>
          <w:rFonts w:ascii="Arial" w:hAnsi="Arial" w:cs="Arial"/>
        </w:rPr>
        <w:t xml:space="preserve"> in the NHS</w:t>
      </w:r>
      <w:r w:rsidR="002049D7">
        <w:rPr>
          <w:rFonts w:ascii="Arial" w:hAnsi="Arial" w:cs="Arial"/>
        </w:rPr>
        <w:t xml:space="preserve">, </w:t>
      </w:r>
      <w:r w:rsidR="00006FC8">
        <w:rPr>
          <w:rFonts w:ascii="Arial" w:hAnsi="Arial" w:cs="Arial"/>
        </w:rPr>
        <w:t xml:space="preserve">which closely matches other international variants, </w:t>
      </w:r>
      <w:r w:rsidR="002049D7">
        <w:rPr>
          <w:rFonts w:ascii="Arial" w:hAnsi="Arial" w:cs="Arial"/>
        </w:rPr>
        <w:t>such that</w:t>
      </w:r>
      <w:r w:rsidR="006A1DDB">
        <w:rPr>
          <w:rFonts w:ascii="Arial" w:hAnsi="Arial" w:cs="Arial"/>
        </w:rPr>
        <w:t xml:space="preserve"> </w:t>
      </w:r>
      <w:r w:rsidR="005700CA">
        <w:rPr>
          <w:rFonts w:ascii="Arial" w:hAnsi="Arial" w:cs="Arial"/>
        </w:rPr>
        <w:t>those ‘extremely likely’ to recommend the service</w:t>
      </w:r>
      <w:r w:rsidR="00D367C8">
        <w:rPr>
          <w:rFonts w:ascii="Arial" w:hAnsi="Arial" w:cs="Arial"/>
        </w:rPr>
        <w:t xml:space="preserve"> were regarded as promoters</w:t>
      </w:r>
      <w:r w:rsidR="005700CA">
        <w:rPr>
          <w:rFonts w:ascii="Arial" w:hAnsi="Arial" w:cs="Arial"/>
        </w:rPr>
        <w:t>; ‘likely’</w:t>
      </w:r>
      <w:r w:rsidR="00D367C8">
        <w:rPr>
          <w:rFonts w:ascii="Arial" w:hAnsi="Arial" w:cs="Arial"/>
        </w:rPr>
        <w:t xml:space="preserve"> as passives</w:t>
      </w:r>
      <w:r w:rsidR="005700CA">
        <w:rPr>
          <w:rFonts w:ascii="Arial" w:hAnsi="Arial" w:cs="Arial"/>
        </w:rPr>
        <w:t xml:space="preserve">; and </w:t>
      </w:r>
      <w:r w:rsidR="00D367C8">
        <w:rPr>
          <w:rFonts w:ascii="Arial" w:hAnsi="Arial" w:cs="Arial"/>
        </w:rPr>
        <w:t xml:space="preserve">all other respondents were classified as </w:t>
      </w:r>
      <w:r w:rsidR="005700CA">
        <w:rPr>
          <w:rFonts w:ascii="Arial" w:hAnsi="Arial" w:cs="Arial"/>
        </w:rPr>
        <w:t>detractors</w:t>
      </w:r>
      <w:r w:rsidR="00F04501">
        <w:rPr>
          <w:rFonts w:ascii="Arial" w:hAnsi="Arial" w:cs="Arial"/>
        </w:rPr>
        <w:fldChar w:fldCharType="begin" w:fldLock="1"/>
      </w:r>
      <w:r w:rsidR="0032332D">
        <w:rPr>
          <w:rFonts w:ascii="Arial" w:hAnsi="Arial" w:cs="Arial"/>
        </w:rPr>
        <w:instrText>ADDIN CSL_CITATION { "citationItems" : [ { "id" : "ITEM-1", "itemData" : { "author" : [ { "dropping-particle" : "", "family" : "NHS England", "given" : "", "non-dropping-particle" : "", "parse-names" : false, "suffix" : "" } ], "id" : "ITEM-1", "issued" : { "date-parts" : [ [ "2014" ] ] }, "publisher-place" : "London", "title" : "Review of the Friends and Family Test", "type" : "report" }, "uris" : [ "http://www.mendeley.com/documents/?uuid=2a52cdb2-0784-4825-bbec-192e13fd2842" ] } ], "mendeley" : { "formattedCitation" : "&lt;sup&gt;25&lt;/sup&gt;", "plainTextFormattedCitation" : "25", "previouslyFormattedCitation" : "&lt;sup&gt;25&lt;/sup&gt;" }, "properties" : { "noteIndex" : 0 }, "schema" : "https://github.com/citation-style-language/schema/raw/master/csl-citation.json" }</w:instrText>
      </w:r>
      <w:r w:rsidR="00F04501">
        <w:rPr>
          <w:rFonts w:ascii="Arial" w:hAnsi="Arial" w:cs="Arial"/>
        </w:rPr>
        <w:fldChar w:fldCharType="separate"/>
      </w:r>
      <w:r w:rsidR="00471B8C" w:rsidRPr="00471B8C">
        <w:rPr>
          <w:rFonts w:ascii="Arial" w:hAnsi="Arial" w:cs="Arial"/>
          <w:noProof/>
          <w:vertAlign w:val="superscript"/>
        </w:rPr>
        <w:t>25</w:t>
      </w:r>
      <w:r w:rsidR="00F04501">
        <w:rPr>
          <w:rFonts w:ascii="Arial" w:hAnsi="Arial" w:cs="Arial"/>
        </w:rPr>
        <w:fldChar w:fldCharType="end"/>
      </w:r>
      <w:r w:rsidR="005700CA">
        <w:rPr>
          <w:rFonts w:ascii="Arial" w:hAnsi="Arial" w:cs="Arial"/>
        </w:rPr>
        <w:t xml:space="preserve">.  </w:t>
      </w:r>
      <w:r w:rsidR="00F848AE">
        <w:rPr>
          <w:rFonts w:ascii="Arial" w:hAnsi="Arial" w:cs="Arial"/>
        </w:rPr>
        <w:t xml:space="preserve">Following </w:t>
      </w:r>
      <w:proofErr w:type="spellStart"/>
      <w:r w:rsidR="00F848AE">
        <w:rPr>
          <w:rFonts w:ascii="Arial" w:hAnsi="Arial" w:cs="Arial"/>
        </w:rPr>
        <w:t>Sizmur</w:t>
      </w:r>
      <w:proofErr w:type="spellEnd"/>
      <w:r w:rsidR="00F848AE">
        <w:rPr>
          <w:rFonts w:ascii="Arial" w:hAnsi="Arial" w:cs="Arial"/>
        </w:rPr>
        <w:t xml:space="preserve"> et al</w:t>
      </w:r>
      <w:r w:rsidR="00AC2BFF">
        <w:rPr>
          <w:rFonts w:ascii="Arial" w:hAnsi="Arial" w:cs="Arial"/>
        </w:rPr>
        <w:fldChar w:fldCharType="begin" w:fldLock="1"/>
      </w:r>
      <w:r w:rsidR="0032332D">
        <w:rPr>
          <w:rFonts w:ascii="Arial" w:hAnsi="Arial" w:cs="Arial"/>
        </w:rPr>
        <w:instrText>ADDIN CSL_CITATION { "citationItems" : [ { "id" : "ITEM-1", "itemData" : { "DOI" : "10.1177/1355819614536887", "ISSN" : "1355-8196", "PMID" : "24973979", "abstract" : "OBJECTIVE To investigate the impact of demographic factors (patients' age and sex) and of the mode of administration of a national patient experience questionnaire in England: the NHS Friends and Family Test. METHODS Secondary analysis of April-August 2013 data collected using a mixed mode approach from 38,998 inpatients and 29,610 emergency department attendees at 429 wards or units in 32 hospitals. Multilevel models were applied with responses from wards nested within hospitals and trusts. Age, sex and mode of administration were entered as main effects. RESULTS There were consistent differences in response for patients and emergency department attendees related to their age and sex. Women gave less positive ratings than men, whilst the likelihood of positive responses increased with age except among the oldest age group (75 years and above). As regards mode of administration, online responses were significantly less positive than postcard responses: the mean differences in score were 22.0 points for inpatients (95% confidence interval 27.3 to 16.7) and 18.0 points for emergency department attendees (29.0 to 7.0). Telephone responses were significantly more positive than postcard responses, with a mean difference of 9.2 (1.6-16.8) in the emergency department setting. CONCLUSIONS Data from the Friends and Family Test are vulnerable to bias from demographic factors and from the mode of administration. Comparisons between organisations should be avoided. Scores may be useful at a local level where the test is implemented consistently and patients' demographic characteristics remain stable. Improving the utility of the Friends and Family Test nationally requires a standardised method for administration and adjustment of results for demographic characteristics.", "author" : [ { "dropping-particle" : "", "family" : "Sizmur", "given" : "Steve", "non-dropping-particle" : "", "parse-names" : false, "suffix" : "" }, { "dropping-particle" : "", "family" : "Graham", "given" : "Chris", "non-dropping-particle" : "", "parse-names" : false, "suffix" : "" }, { "dropping-particle" : "", "family" : "Walsh", "given" : "Joan", "non-dropping-particle" : "", "parse-names" : false, "suffix" : "" } ], "container-title" : "Journal of Health Services Research &amp; Policy", "id" : "ITEM-1", "issue" : "1", "issued" : { "date-parts" : [ [ "2015", "1", "27" ] ] }, "page" : "5-10", "title" : "Influence of patients\u2019 age and sex and the mode of administration on results from the NHS Friends and Family Test of patient experience", "type" : "article-journal", "volume" : "20" }, "uris" : [ "http://www.mendeley.com/documents/?uuid=38c182cc-2486-3b5a-876d-4cca0780381c" ] } ], "mendeley" : { "formattedCitation" : "&lt;sup&gt;29&lt;/sup&gt;", "plainTextFormattedCitation" : "29", "previouslyFormattedCitation" : "&lt;sup&gt;29&lt;/sup&gt;"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29</w:t>
      </w:r>
      <w:r w:rsidR="00AC2BFF">
        <w:rPr>
          <w:rFonts w:ascii="Arial" w:hAnsi="Arial" w:cs="Arial"/>
        </w:rPr>
        <w:fldChar w:fldCharType="end"/>
      </w:r>
      <w:r w:rsidR="00F848AE">
        <w:rPr>
          <w:rFonts w:ascii="Arial" w:hAnsi="Arial" w:cs="Arial"/>
        </w:rPr>
        <w:t xml:space="preserve">, to enable analysis of NPS results at an </w:t>
      </w:r>
      <w:r w:rsidR="00F848AE" w:rsidRPr="005700CA">
        <w:rPr>
          <w:rFonts w:ascii="Arial" w:hAnsi="Arial" w:cs="Arial"/>
        </w:rPr>
        <w:t>individual</w:t>
      </w:r>
      <w:r w:rsidR="00F848AE">
        <w:rPr>
          <w:rFonts w:ascii="Arial" w:hAnsi="Arial" w:cs="Arial"/>
        </w:rPr>
        <w:t xml:space="preserve"> level </w:t>
      </w:r>
      <w:r w:rsidR="002049D7">
        <w:rPr>
          <w:rFonts w:ascii="Arial" w:hAnsi="Arial" w:cs="Arial"/>
        </w:rPr>
        <w:t>the score was coded as</w:t>
      </w:r>
      <w:r w:rsidR="00F848AE">
        <w:rPr>
          <w:rFonts w:ascii="Arial" w:hAnsi="Arial" w:cs="Arial"/>
        </w:rPr>
        <w:t xml:space="preserve"> +100 if the </w:t>
      </w:r>
      <w:r w:rsidR="002049D7">
        <w:rPr>
          <w:rFonts w:ascii="Arial" w:hAnsi="Arial" w:cs="Arial"/>
        </w:rPr>
        <w:t>respondent</w:t>
      </w:r>
      <w:r w:rsidR="00F848AE">
        <w:rPr>
          <w:rFonts w:ascii="Arial" w:hAnsi="Arial" w:cs="Arial"/>
        </w:rPr>
        <w:t xml:space="preserve"> was a promoter; 0 if passive; and -100 if a detractor.  </w:t>
      </w:r>
      <w:r w:rsidR="005700CA">
        <w:rPr>
          <w:rFonts w:ascii="Arial" w:hAnsi="Arial" w:cs="Arial"/>
        </w:rPr>
        <w:t>T</w:t>
      </w:r>
      <w:r w:rsidR="000704EA">
        <w:rPr>
          <w:rFonts w:ascii="Arial" w:hAnsi="Arial" w:cs="Arial"/>
        </w:rPr>
        <w:t xml:space="preserve">he NPS for any group of patients </w:t>
      </w:r>
      <w:r w:rsidR="00D367C8">
        <w:rPr>
          <w:rFonts w:ascii="Arial" w:hAnsi="Arial" w:cs="Arial"/>
        </w:rPr>
        <w:t>could</w:t>
      </w:r>
      <w:r w:rsidR="000704EA">
        <w:rPr>
          <w:rFonts w:ascii="Arial" w:hAnsi="Arial" w:cs="Arial"/>
        </w:rPr>
        <w:t xml:space="preserve"> </w:t>
      </w:r>
      <w:r w:rsidR="00F848AE">
        <w:rPr>
          <w:rFonts w:ascii="Arial" w:hAnsi="Arial" w:cs="Arial"/>
        </w:rPr>
        <w:t xml:space="preserve">therefore </w:t>
      </w:r>
      <w:r w:rsidR="000704EA">
        <w:rPr>
          <w:rFonts w:ascii="Arial" w:hAnsi="Arial" w:cs="Arial"/>
        </w:rPr>
        <w:t xml:space="preserve">take any score from +100 (all respondents were promoters) to -100 (all respondents were detractors).  </w:t>
      </w:r>
      <w:r w:rsidR="00F848AE">
        <w:rPr>
          <w:rFonts w:ascii="Arial" w:hAnsi="Arial" w:cs="Arial"/>
        </w:rPr>
        <w:t xml:space="preserve">At a score of zero, the proportion of promoters and detractors </w:t>
      </w:r>
      <w:r w:rsidR="00290F6B">
        <w:rPr>
          <w:rFonts w:ascii="Arial" w:hAnsi="Arial" w:cs="Arial"/>
        </w:rPr>
        <w:t>was</w:t>
      </w:r>
      <w:r w:rsidR="00F848AE">
        <w:rPr>
          <w:rFonts w:ascii="Arial" w:hAnsi="Arial" w:cs="Arial"/>
        </w:rPr>
        <w:t xml:space="preserve"> equal.  </w:t>
      </w:r>
      <w:r w:rsidR="00EF69A5">
        <w:rPr>
          <w:rFonts w:ascii="Arial" w:hAnsi="Arial" w:cs="Arial"/>
        </w:rPr>
        <w:t xml:space="preserve">Data were analysed in Stata v14.  Simple descriptive statistics were accompanied by </w:t>
      </w:r>
      <w:r w:rsidR="009A7E8E" w:rsidRPr="009A7E8E">
        <w:rPr>
          <w:rFonts w:ascii="Arial" w:hAnsi="Arial" w:cs="Arial"/>
          <w:highlight w:val="yellow"/>
        </w:rPr>
        <w:t>non-parametric</w:t>
      </w:r>
      <w:r w:rsidR="009A7E8E">
        <w:rPr>
          <w:rFonts w:ascii="Arial" w:hAnsi="Arial" w:cs="Arial"/>
        </w:rPr>
        <w:t xml:space="preserve"> </w:t>
      </w:r>
      <w:r w:rsidR="00EF69A5">
        <w:rPr>
          <w:rFonts w:ascii="Arial" w:hAnsi="Arial" w:cs="Arial"/>
        </w:rPr>
        <w:t xml:space="preserve">hypothesis testing of differences in the NPS between groups.  Multivariate analysis was conducted using ordinary least squares and an ordered logistic model.  </w:t>
      </w:r>
    </w:p>
    <w:p w14:paraId="3E03EAD5" w14:textId="77777777" w:rsidR="00D367C8" w:rsidRDefault="00D367C8" w:rsidP="005E48D8">
      <w:pPr>
        <w:spacing w:after="0" w:line="480" w:lineRule="auto"/>
        <w:rPr>
          <w:rFonts w:ascii="Arial" w:hAnsi="Arial" w:cs="Arial"/>
        </w:rPr>
      </w:pPr>
    </w:p>
    <w:p w14:paraId="1885CA93" w14:textId="769C761A" w:rsidR="00325FC2" w:rsidRDefault="00331050" w:rsidP="00662046">
      <w:pPr>
        <w:spacing w:after="0" w:line="480" w:lineRule="auto"/>
        <w:jc w:val="both"/>
        <w:rPr>
          <w:rFonts w:ascii="Arial" w:hAnsi="Arial" w:cs="Arial"/>
        </w:rPr>
      </w:pPr>
      <w:r>
        <w:rPr>
          <w:rFonts w:ascii="Arial" w:hAnsi="Arial" w:cs="Arial"/>
        </w:rPr>
        <w:lastRenderedPageBreak/>
        <w:t>In relation to aims (2) and (3), t</w:t>
      </w:r>
      <w:r w:rsidR="00EF69A5">
        <w:rPr>
          <w:rFonts w:ascii="Arial" w:hAnsi="Arial" w:cs="Arial"/>
        </w:rPr>
        <w:t>wo further sets of analyses involved comparing the NPS and a single satisfaction question.  For these</w:t>
      </w:r>
      <w:r>
        <w:rPr>
          <w:rFonts w:ascii="Arial" w:hAnsi="Arial" w:cs="Arial"/>
        </w:rPr>
        <w:t xml:space="preserve"> analyses</w:t>
      </w:r>
      <w:r w:rsidR="00EF69A5">
        <w:rPr>
          <w:rFonts w:ascii="Arial" w:hAnsi="Arial" w:cs="Arial"/>
        </w:rPr>
        <w:t>, responses to both the NPS</w:t>
      </w:r>
      <w:r w:rsidR="0079469A">
        <w:rPr>
          <w:rFonts w:ascii="Arial" w:hAnsi="Arial" w:cs="Arial"/>
        </w:rPr>
        <w:t xml:space="preserve"> and satisfaction question were </w:t>
      </w:r>
      <w:r w:rsidR="00EF69A5">
        <w:rPr>
          <w:rFonts w:ascii="Arial" w:hAnsi="Arial" w:cs="Arial"/>
        </w:rPr>
        <w:t xml:space="preserve">analysed using their original 5-point Likert response format (so as to compare like-with-like).  The first analysis comprised a simple correlation used </w:t>
      </w:r>
      <w:r w:rsidR="0079469A">
        <w:rPr>
          <w:rFonts w:ascii="Arial" w:hAnsi="Arial" w:cs="Arial"/>
        </w:rPr>
        <w:t>Spearman’s Rank</w:t>
      </w:r>
      <w:r w:rsidR="00EF69A5">
        <w:rPr>
          <w:rFonts w:ascii="Arial" w:hAnsi="Arial" w:cs="Arial"/>
        </w:rPr>
        <w:t>.  The second comprised a t</w:t>
      </w:r>
      <w:r w:rsidR="00884DE3">
        <w:rPr>
          <w:rFonts w:ascii="Arial" w:hAnsi="Arial" w:cs="Arial"/>
        </w:rPr>
        <w:t xml:space="preserve">est-retest analysis </w:t>
      </w:r>
      <w:r w:rsidR="00567B0D" w:rsidRPr="008E54C6">
        <w:rPr>
          <w:rFonts w:ascii="Arial" w:hAnsi="Arial" w:cs="Arial"/>
          <w:highlight w:val="yellow"/>
        </w:rPr>
        <w:t>for each measure</w:t>
      </w:r>
      <w:r w:rsidR="00567B0D">
        <w:rPr>
          <w:rFonts w:ascii="Arial" w:hAnsi="Arial" w:cs="Arial"/>
        </w:rPr>
        <w:t xml:space="preserve"> </w:t>
      </w:r>
      <w:r w:rsidR="00884DE3">
        <w:rPr>
          <w:rFonts w:ascii="Arial" w:hAnsi="Arial" w:cs="Arial"/>
        </w:rPr>
        <w:t xml:space="preserve">by comparing the raw percentage agreement between the </w:t>
      </w:r>
      <w:r w:rsidR="00EF69A5">
        <w:rPr>
          <w:rFonts w:ascii="Arial" w:hAnsi="Arial" w:cs="Arial"/>
        </w:rPr>
        <w:t>response to the questions</w:t>
      </w:r>
      <w:r w:rsidR="00D367C8">
        <w:rPr>
          <w:rFonts w:ascii="Arial" w:hAnsi="Arial" w:cs="Arial"/>
        </w:rPr>
        <w:t xml:space="preserve"> at the two time points.  </w:t>
      </w:r>
      <w:r w:rsidR="00567B0D">
        <w:rPr>
          <w:rFonts w:ascii="Arial" w:hAnsi="Arial" w:cs="Arial"/>
        </w:rPr>
        <w:t xml:space="preserve">The kappa </w:t>
      </w:r>
      <w:r w:rsidR="00325FC2" w:rsidRPr="008E54C6">
        <w:rPr>
          <w:rFonts w:ascii="Arial" w:hAnsi="Arial" w:cs="Arial"/>
          <w:highlight w:val="yellow"/>
        </w:rPr>
        <w:t>statistic</w:t>
      </w:r>
      <w:r w:rsidR="00567B0D" w:rsidRPr="008E54C6">
        <w:rPr>
          <w:rFonts w:ascii="Arial" w:hAnsi="Arial" w:cs="Arial"/>
          <w:highlight w:val="yellow"/>
        </w:rPr>
        <w:t xml:space="preserve"> accounted for chance agreement, while </w:t>
      </w:r>
      <w:r w:rsidR="00325FC2" w:rsidRPr="008E54C6">
        <w:rPr>
          <w:rFonts w:ascii="Arial" w:hAnsi="Arial" w:cs="Arial"/>
          <w:highlight w:val="yellow"/>
        </w:rPr>
        <w:t xml:space="preserve">linear </w:t>
      </w:r>
      <w:r w:rsidR="00567B0D" w:rsidRPr="008E54C6">
        <w:rPr>
          <w:rFonts w:ascii="Arial" w:hAnsi="Arial" w:cs="Arial"/>
          <w:highlight w:val="yellow"/>
        </w:rPr>
        <w:t>weigh</w:t>
      </w:r>
      <w:r w:rsidR="00325FC2" w:rsidRPr="008E54C6">
        <w:rPr>
          <w:rFonts w:ascii="Arial" w:hAnsi="Arial" w:cs="Arial"/>
          <w:highlight w:val="yellow"/>
        </w:rPr>
        <w:t xml:space="preserve">ted kappa was used to enable the </w:t>
      </w:r>
      <w:r w:rsidR="00567B0D" w:rsidRPr="008E54C6">
        <w:rPr>
          <w:rFonts w:ascii="Arial" w:hAnsi="Arial" w:cs="Arial"/>
          <w:highlight w:val="yellow"/>
        </w:rPr>
        <w:t>extent of agreement between responses of different clinical meaning to be accounted for</w:t>
      </w:r>
      <w:r w:rsidR="00325FC2" w:rsidRPr="008E54C6">
        <w:rPr>
          <w:rFonts w:ascii="Arial" w:hAnsi="Arial" w:cs="Arial"/>
          <w:highlight w:val="yellow"/>
        </w:rPr>
        <w:t>.</w:t>
      </w:r>
      <w:r w:rsidR="00567B0D" w:rsidRPr="008E54C6">
        <w:rPr>
          <w:rFonts w:ascii="Arial" w:hAnsi="Arial" w:cs="Arial"/>
          <w:noProof/>
          <w:highlight w:val="yellow"/>
          <w:vertAlign w:val="superscript"/>
        </w:rPr>
        <w:t>30</w:t>
      </w:r>
      <w:r w:rsidR="00325FC2" w:rsidRPr="008E54C6">
        <w:rPr>
          <w:rFonts w:ascii="Arial" w:hAnsi="Arial" w:cs="Arial"/>
          <w:noProof/>
          <w:highlight w:val="yellow"/>
          <w:vertAlign w:val="superscript"/>
        </w:rPr>
        <w:t xml:space="preserve"> </w:t>
      </w:r>
      <w:r w:rsidR="00325FC2">
        <w:rPr>
          <w:rFonts w:ascii="Arial" w:hAnsi="Arial" w:cs="Arial"/>
        </w:rPr>
        <w:t xml:space="preserve">Widely-used thresholds of </w:t>
      </w:r>
      <w:r w:rsidR="00325FC2" w:rsidRPr="009353D0">
        <w:rPr>
          <w:rFonts w:ascii="Arial" w:hAnsi="Arial" w:cs="Arial"/>
        </w:rPr>
        <w:t>acceptability</w:t>
      </w:r>
      <w:r w:rsidR="00325FC2" w:rsidRPr="008E54C6">
        <w:rPr>
          <w:rFonts w:ascii="Arial" w:hAnsi="Arial" w:cs="Arial"/>
          <w:highlight w:val="yellow"/>
        </w:rPr>
        <w:t xml:space="preserve"> were then used to interpret the outcomes of this analysis</w:t>
      </w:r>
      <w:r w:rsidR="00325FC2">
        <w:rPr>
          <w:rFonts w:ascii="Arial" w:hAnsi="Arial" w:cs="Arial"/>
        </w:rPr>
        <w:t xml:space="preserve"> </w:t>
      </w:r>
      <w:r w:rsidR="00325FC2">
        <w:rPr>
          <w:rFonts w:ascii="Arial" w:hAnsi="Arial" w:cs="Arial"/>
        </w:rPr>
        <w:fldChar w:fldCharType="begin" w:fldLock="1"/>
      </w:r>
      <w:r w:rsidR="00325FC2">
        <w:rPr>
          <w:rFonts w:ascii="Arial" w:hAnsi="Arial" w:cs="Arial"/>
        </w:rPr>
        <w:instrText>ADDIN CSL_CITATION { "citationItems" : [ { "id" : "ITEM-1", "itemData" : { "author" : [ { "dropping-particle" : "", "family" : "Landis", "given" : "JR", "non-dropping-particle" : "", "parse-names" : false, "suffix" : "" }, { "dropping-particle" : "", "family" : "Koch", "given" : "GG", "non-dropping-particle" : "", "parse-names" : false, "suffix" : "" } ], "container-title" : "Biometrics", "id" : "ITEM-1", "issue" : "1", "issued" : { "date-parts" : [ [ "1977" ] ] }, "page" : "159-174", "title" : "The measurement of observer agreement for categorical data", "type" : "article-journal", "volume" : "33" }, "uris" : [ "http://www.mendeley.com/documents/?uuid=a3387344-a019-4917-b631-3e64303d47af" ] } ], "mendeley" : { "formattedCitation" : "&lt;sup&gt;31&lt;/sup&gt;", "plainTextFormattedCitation" : "31", "previouslyFormattedCitation" : "&lt;sup&gt;31&lt;/sup&gt;" }, "properties" : { "noteIndex" : 0 }, "schema" : "https://github.com/citation-style-language/schema/raw/master/csl-citation.json" }</w:instrText>
      </w:r>
      <w:r w:rsidR="00325FC2">
        <w:rPr>
          <w:rFonts w:ascii="Arial" w:hAnsi="Arial" w:cs="Arial"/>
        </w:rPr>
        <w:fldChar w:fldCharType="separate"/>
      </w:r>
      <w:r w:rsidR="00325FC2" w:rsidRPr="00471B8C">
        <w:rPr>
          <w:rFonts w:ascii="Arial" w:hAnsi="Arial" w:cs="Arial"/>
          <w:noProof/>
          <w:vertAlign w:val="superscript"/>
        </w:rPr>
        <w:t>31</w:t>
      </w:r>
      <w:r w:rsidR="00325FC2">
        <w:rPr>
          <w:rFonts w:ascii="Arial" w:hAnsi="Arial" w:cs="Arial"/>
        </w:rPr>
        <w:fldChar w:fldCharType="end"/>
      </w:r>
      <w:r w:rsidR="00325FC2">
        <w:rPr>
          <w:rFonts w:ascii="Arial" w:hAnsi="Arial" w:cs="Arial"/>
        </w:rPr>
        <w:t xml:space="preserve">.   </w:t>
      </w:r>
    </w:p>
    <w:p w14:paraId="7D84858C" w14:textId="779E9369" w:rsidR="00567B0D" w:rsidRPr="00567B0D" w:rsidRDefault="00567B0D" w:rsidP="005E48D8">
      <w:pPr>
        <w:spacing w:after="0" w:line="480" w:lineRule="auto"/>
        <w:rPr>
          <w:rFonts w:ascii="Arial" w:hAnsi="Arial" w:cs="Arial"/>
          <w:highlight w:val="cyan"/>
        </w:rPr>
      </w:pPr>
    </w:p>
    <w:p w14:paraId="38484454" w14:textId="47722ED8" w:rsidR="009A7E8E" w:rsidRDefault="009A7E8E" w:rsidP="005E48D8">
      <w:pPr>
        <w:spacing w:after="0" w:line="480" w:lineRule="auto"/>
        <w:rPr>
          <w:rFonts w:ascii="Arial" w:hAnsi="Arial" w:cs="Arial"/>
        </w:rPr>
      </w:pPr>
    </w:p>
    <w:p w14:paraId="027BF6A1" w14:textId="0A3B52A8" w:rsidR="009A7E8E" w:rsidRDefault="009A7E8E" w:rsidP="00662046">
      <w:pPr>
        <w:spacing w:after="0" w:line="480" w:lineRule="auto"/>
        <w:jc w:val="both"/>
        <w:rPr>
          <w:rFonts w:ascii="Arial" w:hAnsi="Arial" w:cs="Arial"/>
        </w:rPr>
      </w:pPr>
      <w:r w:rsidRPr="00C101A3">
        <w:rPr>
          <w:rFonts w:ascii="Arial" w:hAnsi="Arial" w:cs="Arial"/>
          <w:highlight w:val="yellow"/>
        </w:rPr>
        <w:t xml:space="preserve">A final analysis tested the sensitivity of results to the scoring system used.  </w:t>
      </w:r>
      <w:r w:rsidR="00F62119" w:rsidRPr="00C101A3">
        <w:rPr>
          <w:rFonts w:ascii="Arial" w:hAnsi="Arial" w:cs="Arial"/>
          <w:highlight w:val="yellow"/>
        </w:rPr>
        <w:t>In 2014 the NHS dropped the NPS scoring approach</w:t>
      </w:r>
      <w:r w:rsidR="00C101A3" w:rsidRPr="00C101A3">
        <w:rPr>
          <w:rFonts w:ascii="Arial" w:hAnsi="Arial" w:cs="Arial"/>
          <w:highlight w:val="yellow"/>
        </w:rPr>
        <w:t>.  Whilst the NPS score is driven by those extremely likely to recommend services (promoters), the NHS instead combines those ‘extremely likely’ with those ‘likely’ to recommend services as one category</w:t>
      </w:r>
      <w:r w:rsidR="00C101A3" w:rsidRPr="008E54C6">
        <w:rPr>
          <w:rFonts w:ascii="Arial" w:hAnsi="Arial" w:cs="Arial"/>
          <w:highlight w:val="yellow"/>
        </w:rPr>
        <w:t xml:space="preserve">. </w:t>
      </w:r>
      <w:r w:rsidR="00AA0DFA" w:rsidRPr="008E54C6">
        <w:rPr>
          <w:rFonts w:ascii="Arial" w:hAnsi="Arial" w:cs="Arial"/>
          <w:highlight w:val="yellow"/>
        </w:rPr>
        <w:t xml:space="preserve">It moves from the original three category (promoter, passive and detractor) category to a two category classification (recommend or not recommend). </w:t>
      </w:r>
      <w:r w:rsidR="00C101A3" w:rsidRPr="008E54C6">
        <w:rPr>
          <w:rFonts w:ascii="Arial" w:hAnsi="Arial" w:cs="Arial"/>
          <w:highlight w:val="yellow"/>
        </w:rPr>
        <w:t xml:space="preserve">The implications are tested by </w:t>
      </w:r>
      <w:r w:rsidR="00C101A3" w:rsidRPr="00C101A3">
        <w:rPr>
          <w:rFonts w:ascii="Arial" w:hAnsi="Arial" w:cs="Arial"/>
          <w:highlight w:val="yellow"/>
        </w:rPr>
        <w:t>replicating the above analysis with this alternative scoring approach.</w:t>
      </w:r>
    </w:p>
    <w:p w14:paraId="47C51F89" w14:textId="77777777" w:rsidR="00884DE3" w:rsidRPr="00DA7F2D" w:rsidRDefault="00884DE3" w:rsidP="005E48D8">
      <w:pPr>
        <w:spacing w:after="0" w:line="480" w:lineRule="auto"/>
        <w:rPr>
          <w:rFonts w:ascii="Arial" w:hAnsi="Arial" w:cs="Arial"/>
        </w:rPr>
      </w:pPr>
    </w:p>
    <w:p w14:paraId="7057B1A5" w14:textId="77777777" w:rsidR="00025A4D" w:rsidRDefault="009D7700" w:rsidP="004F5F2E">
      <w:pPr>
        <w:spacing w:after="0" w:line="480" w:lineRule="auto"/>
        <w:outlineLvl w:val="0"/>
        <w:rPr>
          <w:rFonts w:ascii="Arial" w:hAnsi="Arial" w:cs="Arial"/>
          <w:b/>
        </w:rPr>
      </w:pPr>
      <w:r>
        <w:rPr>
          <w:rFonts w:ascii="Arial" w:hAnsi="Arial" w:cs="Arial"/>
          <w:b/>
        </w:rPr>
        <w:t>Results</w:t>
      </w:r>
    </w:p>
    <w:p w14:paraId="6F46EFD7" w14:textId="343984D7" w:rsidR="00C3797D" w:rsidRDefault="00D709F3" w:rsidP="00662046">
      <w:pPr>
        <w:spacing w:after="0" w:line="480" w:lineRule="auto"/>
        <w:jc w:val="both"/>
        <w:rPr>
          <w:rFonts w:ascii="Arial" w:hAnsi="Arial" w:cs="Arial"/>
        </w:rPr>
      </w:pPr>
      <w:r>
        <w:rPr>
          <w:rFonts w:ascii="Arial" w:hAnsi="Arial" w:cs="Arial"/>
        </w:rPr>
        <w:t>A</w:t>
      </w:r>
      <w:r w:rsidR="009D7700">
        <w:rPr>
          <w:rFonts w:ascii="Arial" w:hAnsi="Arial" w:cs="Arial"/>
        </w:rPr>
        <w:t xml:space="preserve"> response rate of 29 per cent</w:t>
      </w:r>
      <w:r>
        <w:rPr>
          <w:rFonts w:ascii="Arial" w:hAnsi="Arial" w:cs="Arial"/>
        </w:rPr>
        <w:t xml:space="preserve"> was achieved</w:t>
      </w:r>
      <w:r w:rsidR="00981B6D">
        <w:rPr>
          <w:rFonts w:ascii="Arial" w:hAnsi="Arial" w:cs="Arial"/>
        </w:rPr>
        <w:t xml:space="preserve">.  </w:t>
      </w:r>
      <w:r w:rsidR="00DA657D" w:rsidRPr="00DA657D">
        <w:rPr>
          <w:rFonts w:ascii="Arial" w:hAnsi="Arial" w:cs="Arial"/>
          <w:highlight w:val="yellow"/>
        </w:rPr>
        <w:t>There was a relatively high response rate amongst those with non-psychotic functional disorders (32 per cent) and those who had been on the service caseload for over a year (33 per cent) relative to other respondents.  Response rates varied significantly between the sites, from 32 per cent (Site A) to just 19 per cent (Site B).</w:t>
      </w:r>
      <w:r w:rsidR="00DA657D">
        <w:rPr>
          <w:rFonts w:ascii="Arial" w:hAnsi="Arial" w:cs="Arial"/>
        </w:rPr>
        <w:t xml:space="preserve"> </w:t>
      </w:r>
      <w:r w:rsidR="0097430A">
        <w:rPr>
          <w:rFonts w:ascii="Arial" w:hAnsi="Arial" w:cs="Arial"/>
        </w:rPr>
        <w:t xml:space="preserve">Of </w:t>
      </w:r>
      <w:r w:rsidR="0097430A" w:rsidRPr="00466FDA">
        <w:rPr>
          <w:rFonts w:ascii="Arial" w:hAnsi="Arial" w:cs="Arial"/>
        </w:rPr>
        <w:t>3</w:t>
      </w:r>
      <w:r w:rsidR="0084290E" w:rsidRPr="00466FDA">
        <w:rPr>
          <w:rFonts w:ascii="Arial" w:hAnsi="Arial" w:cs="Arial"/>
        </w:rPr>
        <w:t>77</w:t>
      </w:r>
      <w:r w:rsidR="0097430A" w:rsidRPr="00466FDA">
        <w:rPr>
          <w:rFonts w:ascii="Arial" w:hAnsi="Arial" w:cs="Arial"/>
        </w:rPr>
        <w:t xml:space="preserve"> </w:t>
      </w:r>
      <w:r w:rsidR="00DA657D" w:rsidRPr="00466FDA">
        <w:rPr>
          <w:rFonts w:ascii="Arial" w:hAnsi="Arial" w:cs="Arial"/>
        </w:rPr>
        <w:t xml:space="preserve">respondents with a completed </w:t>
      </w:r>
      <w:r w:rsidR="0084290E" w:rsidRPr="00466FDA">
        <w:rPr>
          <w:rFonts w:ascii="Arial" w:hAnsi="Arial" w:cs="Arial"/>
        </w:rPr>
        <w:t>Friends and Family Test</w:t>
      </w:r>
      <w:r w:rsidR="0097430A" w:rsidRPr="00466FDA">
        <w:rPr>
          <w:rFonts w:ascii="Arial" w:hAnsi="Arial" w:cs="Arial"/>
        </w:rPr>
        <w:t xml:space="preserve">, </w:t>
      </w:r>
      <w:r w:rsidR="0079469A" w:rsidRPr="00466FDA">
        <w:rPr>
          <w:rFonts w:ascii="Arial" w:hAnsi="Arial" w:cs="Arial"/>
        </w:rPr>
        <w:t xml:space="preserve">at least one item of </w:t>
      </w:r>
      <w:r w:rsidR="003E5FB0" w:rsidRPr="00466FDA">
        <w:rPr>
          <w:rFonts w:ascii="Arial" w:hAnsi="Arial" w:cs="Arial"/>
        </w:rPr>
        <w:t xml:space="preserve">linked </w:t>
      </w:r>
      <w:r w:rsidR="0097430A" w:rsidRPr="00466FDA">
        <w:rPr>
          <w:rFonts w:ascii="Arial" w:hAnsi="Arial" w:cs="Arial"/>
        </w:rPr>
        <w:t>a</w:t>
      </w:r>
      <w:r w:rsidR="00981B6D" w:rsidRPr="00466FDA">
        <w:rPr>
          <w:rFonts w:ascii="Arial" w:hAnsi="Arial" w:cs="Arial"/>
        </w:rPr>
        <w:t xml:space="preserve">dministrative data was </w:t>
      </w:r>
      <w:r w:rsidR="0097430A" w:rsidRPr="00466FDA">
        <w:rPr>
          <w:rFonts w:ascii="Arial" w:hAnsi="Arial" w:cs="Arial"/>
        </w:rPr>
        <w:t>available</w:t>
      </w:r>
      <w:r w:rsidR="00981B6D" w:rsidRPr="00466FDA">
        <w:rPr>
          <w:rFonts w:ascii="Arial" w:hAnsi="Arial" w:cs="Arial"/>
        </w:rPr>
        <w:t xml:space="preserve"> for </w:t>
      </w:r>
      <w:r w:rsidRPr="00466FDA">
        <w:rPr>
          <w:rFonts w:ascii="Arial" w:hAnsi="Arial" w:cs="Arial"/>
        </w:rPr>
        <w:t>3</w:t>
      </w:r>
      <w:r w:rsidR="00FC66F7" w:rsidRPr="00466FDA">
        <w:rPr>
          <w:rFonts w:ascii="Arial" w:hAnsi="Arial" w:cs="Arial"/>
        </w:rPr>
        <w:t>5</w:t>
      </w:r>
      <w:r w:rsidR="0020460D" w:rsidRPr="00466FDA">
        <w:rPr>
          <w:rFonts w:ascii="Arial" w:hAnsi="Arial" w:cs="Arial"/>
        </w:rPr>
        <w:t>0</w:t>
      </w:r>
      <w:r w:rsidRPr="00466FDA">
        <w:rPr>
          <w:rFonts w:ascii="Arial" w:hAnsi="Arial" w:cs="Arial"/>
        </w:rPr>
        <w:t xml:space="preserve"> </w:t>
      </w:r>
      <w:r w:rsidR="00981B6D" w:rsidRPr="00466FDA">
        <w:rPr>
          <w:rFonts w:ascii="Arial" w:hAnsi="Arial" w:cs="Arial"/>
        </w:rPr>
        <w:t>people</w:t>
      </w:r>
      <w:r w:rsidR="00C3797D">
        <w:rPr>
          <w:rFonts w:ascii="Arial" w:hAnsi="Arial" w:cs="Arial"/>
        </w:rPr>
        <w:t xml:space="preserve"> from </w:t>
      </w:r>
      <w:r w:rsidR="0097430A">
        <w:rPr>
          <w:rFonts w:ascii="Arial" w:hAnsi="Arial" w:cs="Arial"/>
        </w:rPr>
        <w:t xml:space="preserve">the </w:t>
      </w:r>
      <w:r w:rsidR="00C3797D">
        <w:rPr>
          <w:rFonts w:ascii="Arial" w:hAnsi="Arial" w:cs="Arial"/>
        </w:rPr>
        <w:t>four NHS Trusts</w:t>
      </w:r>
      <w:r w:rsidR="00981B6D">
        <w:rPr>
          <w:rFonts w:ascii="Arial" w:hAnsi="Arial" w:cs="Arial"/>
        </w:rPr>
        <w:t xml:space="preserve">, </w:t>
      </w:r>
      <w:r w:rsidR="0097430A">
        <w:rPr>
          <w:rFonts w:ascii="Arial" w:hAnsi="Arial" w:cs="Arial"/>
        </w:rPr>
        <w:t>which formed</w:t>
      </w:r>
      <w:r w:rsidR="00981B6D">
        <w:rPr>
          <w:rFonts w:ascii="Arial" w:hAnsi="Arial" w:cs="Arial"/>
        </w:rPr>
        <w:t xml:space="preserve"> the </w:t>
      </w:r>
      <w:r w:rsidR="0097430A">
        <w:rPr>
          <w:rFonts w:ascii="Arial" w:hAnsi="Arial" w:cs="Arial"/>
        </w:rPr>
        <w:t xml:space="preserve">achieved </w:t>
      </w:r>
      <w:r w:rsidR="00981B6D">
        <w:rPr>
          <w:rFonts w:ascii="Arial" w:hAnsi="Arial" w:cs="Arial"/>
        </w:rPr>
        <w:t xml:space="preserve">sample for this study.  </w:t>
      </w:r>
      <w:r>
        <w:rPr>
          <w:rFonts w:ascii="Arial" w:hAnsi="Arial" w:cs="Arial"/>
        </w:rPr>
        <w:t xml:space="preserve"> Table 1 presents the respondent profile</w:t>
      </w:r>
      <w:r w:rsidR="00306E3C">
        <w:rPr>
          <w:rFonts w:ascii="Arial" w:hAnsi="Arial" w:cs="Arial"/>
        </w:rPr>
        <w:t>.</w:t>
      </w:r>
      <w:r>
        <w:rPr>
          <w:rFonts w:ascii="Arial" w:hAnsi="Arial" w:cs="Arial"/>
        </w:rPr>
        <w:t xml:space="preserve">  </w:t>
      </w:r>
    </w:p>
    <w:p w14:paraId="0F6BF056" w14:textId="77777777" w:rsidR="005E38B9" w:rsidRDefault="005E38B9" w:rsidP="005E48D8">
      <w:pPr>
        <w:spacing w:after="0" w:line="480" w:lineRule="auto"/>
        <w:rPr>
          <w:rFonts w:ascii="Arial" w:hAnsi="Arial" w:cs="Arial"/>
        </w:rPr>
      </w:pPr>
    </w:p>
    <w:p w14:paraId="3AEFD601" w14:textId="46CDCD50" w:rsidR="006C4738" w:rsidRDefault="00C2056A" w:rsidP="00662046">
      <w:pPr>
        <w:spacing w:after="0" w:line="480" w:lineRule="auto"/>
        <w:jc w:val="both"/>
        <w:rPr>
          <w:rFonts w:ascii="Arial" w:hAnsi="Arial" w:cs="Arial"/>
        </w:rPr>
      </w:pPr>
      <w:r>
        <w:rPr>
          <w:rFonts w:ascii="Arial" w:hAnsi="Arial" w:cs="Arial"/>
        </w:rPr>
        <w:t xml:space="preserve">Table 2 presents the results of the </w:t>
      </w:r>
      <w:r w:rsidR="00B103D1">
        <w:rPr>
          <w:rFonts w:ascii="Arial" w:hAnsi="Arial" w:cs="Arial"/>
        </w:rPr>
        <w:t>NPS question</w:t>
      </w:r>
      <w:r>
        <w:rPr>
          <w:rFonts w:ascii="Arial" w:hAnsi="Arial" w:cs="Arial"/>
        </w:rPr>
        <w:t>.</w:t>
      </w:r>
      <w:r w:rsidR="00707130">
        <w:rPr>
          <w:rFonts w:ascii="Arial" w:hAnsi="Arial" w:cs="Arial"/>
        </w:rPr>
        <w:t xml:space="preserve"> </w:t>
      </w:r>
      <w:r>
        <w:rPr>
          <w:rFonts w:ascii="Arial" w:hAnsi="Arial" w:cs="Arial"/>
        </w:rPr>
        <w:t xml:space="preserve"> </w:t>
      </w:r>
      <w:r w:rsidR="004A67E8">
        <w:rPr>
          <w:rFonts w:ascii="Arial" w:hAnsi="Arial" w:cs="Arial"/>
        </w:rPr>
        <w:t xml:space="preserve">A clear </w:t>
      </w:r>
      <w:r w:rsidR="002A47AD">
        <w:rPr>
          <w:rFonts w:ascii="Arial" w:hAnsi="Arial" w:cs="Arial"/>
        </w:rPr>
        <w:t xml:space="preserve">majority of service users were </w:t>
      </w:r>
      <w:r w:rsidR="002A47AD" w:rsidRPr="0079469A">
        <w:rPr>
          <w:rFonts w:ascii="Arial" w:hAnsi="Arial" w:cs="Arial"/>
        </w:rPr>
        <w:t>likely</w:t>
      </w:r>
      <w:r w:rsidR="002A47AD">
        <w:rPr>
          <w:rFonts w:ascii="Arial" w:hAnsi="Arial" w:cs="Arial"/>
        </w:rPr>
        <w:t xml:space="preserve"> or </w:t>
      </w:r>
      <w:r w:rsidR="002A47AD" w:rsidRPr="0079469A">
        <w:rPr>
          <w:rFonts w:ascii="Arial" w:hAnsi="Arial" w:cs="Arial"/>
        </w:rPr>
        <w:t>very likely</w:t>
      </w:r>
      <w:r w:rsidR="002A47AD">
        <w:rPr>
          <w:rFonts w:ascii="Arial" w:hAnsi="Arial" w:cs="Arial"/>
        </w:rPr>
        <w:t xml:space="preserve"> to recommend the mental health service to their family and friends (79 per cent)</w:t>
      </w:r>
      <w:r w:rsidR="0079469A">
        <w:rPr>
          <w:rFonts w:ascii="Arial" w:hAnsi="Arial" w:cs="Arial"/>
        </w:rPr>
        <w:t xml:space="preserve">.  Under the NPS classification, however, fewer than 40 per cent of respondents were designated as promoters (‘extremely likely’ to recommend the service), compared to just over 20 per cent being detractors.  The overall net promoter score was </w:t>
      </w:r>
      <w:r w:rsidR="0079469A" w:rsidRPr="00466FDA">
        <w:rPr>
          <w:rFonts w:ascii="Arial" w:hAnsi="Arial" w:cs="Arial"/>
        </w:rPr>
        <w:t>18.</w:t>
      </w:r>
      <w:r w:rsidR="00E94926" w:rsidRPr="00466FDA">
        <w:rPr>
          <w:rFonts w:ascii="Arial" w:hAnsi="Arial" w:cs="Arial"/>
        </w:rPr>
        <w:t>9</w:t>
      </w:r>
      <w:r w:rsidR="0079469A" w:rsidRPr="00466FDA">
        <w:rPr>
          <w:rFonts w:ascii="Arial" w:hAnsi="Arial" w:cs="Arial"/>
        </w:rPr>
        <w:t>.</w:t>
      </w:r>
      <w:r w:rsidR="0079469A">
        <w:rPr>
          <w:rFonts w:ascii="Arial" w:hAnsi="Arial" w:cs="Arial"/>
        </w:rPr>
        <w:t xml:space="preserve">  </w:t>
      </w:r>
      <w:r w:rsidR="00CC7CF2" w:rsidRPr="00CC7CF2">
        <w:rPr>
          <w:rFonts w:ascii="Arial" w:hAnsi="Arial" w:cs="Arial"/>
        </w:rPr>
        <w:t xml:space="preserve">To compare the semantics of the NPS question and a satisfaction measure, the responses on each of these five-item Likert scale questions were correlated. The magnitude of the correlation coefficient </w:t>
      </w:r>
      <w:r w:rsidR="00CC7CF2">
        <w:rPr>
          <w:rFonts w:ascii="Arial" w:hAnsi="Arial" w:cs="Arial"/>
        </w:rPr>
        <w:t>(</w:t>
      </w:r>
      <w:r w:rsidR="00CC7CF2" w:rsidRPr="00263A92">
        <w:rPr>
          <w:rFonts w:ascii="Arial" w:hAnsi="Arial" w:cs="Arial"/>
        </w:rPr>
        <w:t>rho</w:t>
      </w:r>
      <w:r w:rsidR="00CC7CF2">
        <w:rPr>
          <w:rFonts w:ascii="Arial" w:hAnsi="Arial" w:cs="Arial"/>
        </w:rPr>
        <w:t>=0.7</w:t>
      </w:r>
      <w:r w:rsidR="00AA257D">
        <w:rPr>
          <w:rFonts w:ascii="Arial" w:hAnsi="Arial" w:cs="Arial"/>
        </w:rPr>
        <w:t>08</w:t>
      </w:r>
      <w:r w:rsidR="00CC7CF2">
        <w:rPr>
          <w:rFonts w:ascii="Arial" w:hAnsi="Arial" w:cs="Arial"/>
        </w:rPr>
        <w:t>)</w:t>
      </w:r>
      <w:r w:rsidR="00CC7CF2" w:rsidRPr="00CC7CF2">
        <w:rPr>
          <w:rFonts w:ascii="Arial" w:hAnsi="Arial" w:cs="Arial"/>
        </w:rPr>
        <w:t xml:space="preserve"> </w:t>
      </w:r>
      <w:r w:rsidR="00AC141D">
        <w:rPr>
          <w:rFonts w:ascii="Arial" w:hAnsi="Arial" w:cs="Arial"/>
        </w:rPr>
        <w:t>was strong but imperfect</w:t>
      </w:r>
      <w:r w:rsidR="00CC7CF2" w:rsidRPr="00CC7CF2">
        <w:rPr>
          <w:rFonts w:ascii="Arial" w:hAnsi="Arial" w:cs="Arial"/>
        </w:rPr>
        <w:t>.</w:t>
      </w:r>
      <w:r w:rsidR="006C4738">
        <w:rPr>
          <w:rFonts w:ascii="Arial" w:hAnsi="Arial" w:cs="Arial"/>
        </w:rPr>
        <w:t xml:space="preserve">  </w:t>
      </w:r>
    </w:p>
    <w:p w14:paraId="1DF1B823" w14:textId="77777777" w:rsidR="005E38B9" w:rsidRDefault="005E38B9" w:rsidP="005E48D8">
      <w:pPr>
        <w:spacing w:after="0" w:line="480" w:lineRule="auto"/>
        <w:rPr>
          <w:rFonts w:ascii="Arial" w:hAnsi="Arial" w:cs="Arial"/>
        </w:rPr>
      </w:pPr>
    </w:p>
    <w:p w14:paraId="5D31CD09" w14:textId="77777777" w:rsidR="00C26F5A" w:rsidRDefault="00C26F5A" w:rsidP="005E48D8">
      <w:pPr>
        <w:spacing w:after="0" w:line="480" w:lineRule="auto"/>
        <w:rPr>
          <w:rFonts w:ascii="Arial" w:hAnsi="Arial" w:cs="Arial"/>
        </w:rPr>
      </w:pPr>
      <w:r>
        <w:rPr>
          <w:rFonts w:ascii="Arial" w:hAnsi="Arial" w:cs="Arial"/>
        </w:rPr>
        <w:t>[Table 1 about here]</w:t>
      </w:r>
    </w:p>
    <w:p w14:paraId="5A93C68F" w14:textId="77777777" w:rsidR="00A87753" w:rsidRDefault="00A87753" w:rsidP="005E48D8">
      <w:pPr>
        <w:spacing w:after="0" w:line="480" w:lineRule="auto"/>
        <w:rPr>
          <w:rFonts w:ascii="Arial" w:hAnsi="Arial" w:cs="Arial"/>
        </w:rPr>
      </w:pPr>
    </w:p>
    <w:p w14:paraId="72353230" w14:textId="77777777" w:rsidR="00C26F5A" w:rsidRDefault="00C26F5A" w:rsidP="005E48D8">
      <w:pPr>
        <w:spacing w:after="0" w:line="480" w:lineRule="auto"/>
        <w:rPr>
          <w:rFonts w:ascii="Arial" w:hAnsi="Arial" w:cs="Arial"/>
        </w:rPr>
      </w:pPr>
      <w:r>
        <w:rPr>
          <w:rFonts w:ascii="Arial" w:hAnsi="Arial" w:cs="Arial"/>
        </w:rPr>
        <w:t>[Table 2 about here]</w:t>
      </w:r>
    </w:p>
    <w:p w14:paraId="7DD35E42" w14:textId="77777777" w:rsidR="006C4738" w:rsidRDefault="006C4738" w:rsidP="005E48D8">
      <w:pPr>
        <w:spacing w:after="0" w:line="480" w:lineRule="auto"/>
        <w:rPr>
          <w:rFonts w:ascii="Arial" w:hAnsi="Arial" w:cs="Arial"/>
          <w:highlight w:val="yellow"/>
        </w:rPr>
      </w:pPr>
    </w:p>
    <w:p w14:paraId="30D40FE0" w14:textId="0553A179" w:rsidR="00511DE5" w:rsidRDefault="00FE2E05" w:rsidP="00662046">
      <w:pPr>
        <w:spacing w:after="0" w:line="480" w:lineRule="auto"/>
        <w:jc w:val="both"/>
        <w:rPr>
          <w:rFonts w:ascii="Arial" w:hAnsi="Arial" w:cs="Arial"/>
        </w:rPr>
      </w:pPr>
      <w:r>
        <w:rPr>
          <w:rFonts w:ascii="Arial" w:hAnsi="Arial" w:cs="Arial"/>
        </w:rPr>
        <w:t xml:space="preserve">The NPS calculation was </w:t>
      </w:r>
      <w:r w:rsidR="00247AA6">
        <w:rPr>
          <w:rFonts w:ascii="Arial" w:hAnsi="Arial" w:cs="Arial"/>
        </w:rPr>
        <w:t>repeated</w:t>
      </w:r>
      <w:r>
        <w:rPr>
          <w:rFonts w:ascii="Arial" w:hAnsi="Arial" w:cs="Arial"/>
        </w:rPr>
        <w:t xml:space="preserve"> for sub-groups as shown in Table 3.  A strong association was found between the NPS and age, indicating a lower willingness to recommend services amongst </w:t>
      </w:r>
      <w:r w:rsidR="0079469A">
        <w:rPr>
          <w:rFonts w:ascii="Arial" w:hAnsi="Arial" w:cs="Arial"/>
        </w:rPr>
        <w:t>older age groups</w:t>
      </w:r>
      <w:r>
        <w:rPr>
          <w:rFonts w:ascii="Arial" w:hAnsi="Arial" w:cs="Arial"/>
        </w:rPr>
        <w:t xml:space="preserve">.  </w:t>
      </w:r>
      <w:r w:rsidR="003848E5">
        <w:rPr>
          <w:rFonts w:ascii="Arial" w:hAnsi="Arial" w:cs="Arial"/>
        </w:rPr>
        <w:t xml:space="preserve">A broad diagnosis categorisation was </w:t>
      </w:r>
      <w:r w:rsidR="00886262">
        <w:rPr>
          <w:rFonts w:ascii="Arial" w:hAnsi="Arial" w:cs="Arial"/>
        </w:rPr>
        <w:t>not associated</w:t>
      </w:r>
      <w:r w:rsidR="003848E5">
        <w:rPr>
          <w:rFonts w:ascii="Arial" w:hAnsi="Arial" w:cs="Arial"/>
        </w:rPr>
        <w:t xml:space="preserve"> with NPS score</w:t>
      </w:r>
      <w:r w:rsidR="00886262">
        <w:rPr>
          <w:rFonts w:ascii="Arial" w:hAnsi="Arial" w:cs="Arial"/>
        </w:rPr>
        <w:t>, although</w:t>
      </w:r>
      <w:r w:rsidR="003848E5">
        <w:rPr>
          <w:rFonts w:ascii="Arial" w:hAnsi="Arial" w:cs="Arial"/>
        </w:rPr>
        <w:t xml:space="preserve"> patients with organic illnesses appear</w:t>
      </w:r>
      <w:r w:rsidR="00886262">
        <w:rPr>
          <w:rFonts w:ascii="Arial" w:hAnsi="Arial" w:cs="Arial"/>
        </w:rPr>
        <w:t>ed</w:t>
      </w:r>
      <w:r w:rsidR="003848E5">
        <w:rPr>
          <w:rFonts w:ascii="Arial" w:hAnsi="Arial" w:cs="Arial"/>
        </w:rPr>
        <w:t xml:space="preserve"> to have </w:t>
      </w:r>
      <w:r w:rsidR="0079469A">
        <w:rPr>
          <w:rFonts w:ascii="Arial" w:hAnsi="Arial" w:cs="Arial"/>
        </w:rPr>
        <w:t xml:space="preserve">marginally </w:t>
      </w:r>
      <w:r w:rsidR="003848E5">
        <w:rPr>
          <w:rFonts w:ascii="Arial" w:hAnsi="Arial" w:cs="Arial"/>
        </w:rPr>
        <w:t xml:space="preserve">poorer experiences than those receiving support for a functional mental health problem.  </w:t>
      </w:r>
      <w:r w:rsidR="00886262">
        <w:rPr>
          <w:rFonts w:ascii="Arial" w:hAnsi="Arial" w:cs="Arial"/>
        </w:rPr>
        <w:t xml:space="preserve">The </w:t>
      </w:r>
      <w:r w:rsidR="003848E5">
        <w:rPr>
          <w:rFonts w:ascii="Arial" w:hAnsi="Arial" w:cs="Arial"/>
        </w:rPr>
        <w:t xml:space="preserve">NPS </w:t>
      </w:r>
      <w:r w:rsidR="00886262">
        <w:rPr>
          <w:rFonts w:ascii="Arial" w:hAnsi="Arial" w:cs="Arial"/>
        </w:rPr>
        <w:t>was positively related to the</w:t>
      </w:r>
      <w:r w:rsidR="003848E5">
        <w:rPr>
          <w:rFonts w:ascii="Arial" w:hAnsi="Arial" w:cs="Arial"/>
        </w:rPr>
        <w:t xml:space="preserve"> length of time on the caseload </w:t>
      </w:r>
      <w:r w:rsidR="00886262">
        <w:rPr>
          <w:rFonts w:ascii="Arial" w:hAnsi="Arial" w:cs="Arial"/>
        </w:rPr>
        <w:t xml:space="preserve">and </w:t>
      </w:r>
      <w:r>
        <w:rPr>
          <w:rFonts w:ascii="Arial" w:hAnsi="Arial" w:cs="Arial"/>
        </w:rPr>
        <w:t>for those referred less than six months prior to the survey (amounting to one-in-five of the sample), respondents were</w:t>
      </w:r>
      <w:r w:rsidR="00CC7CF2">
        <w:rPr>
          <w:rFonts w:ascii="Arial" w:hAnsi="Arial" w:cs="Arial"/>
        </w:rPr>
        <w:t xml:space="preserve"> collectively</w:t>
      </w:r>
      <w:r>
        <w:rPr>
          <w:rFonts w:ascii="Arial" w:hAnsi="Arial" w:cs="Arial"/>
        </w:rPr>
        <w:t xml:space="preserve"> net </w:t>
      </w:r>
      <w:r>
        <w:rPr>
          <w:rFonts w:ascii="Arial" w:hAnsi="Arial" w:cs="Arial"/>
          <w:i/>
        </w:rPr>
        <w:t>detractors</w:t>
      </w:r>
      <w:r w:rsidR="003848E5">
        <w:rPr>
          <w:rFonts w:ascii="Arial" w:hAnsi="Arial" w:cs="Arial"/>
        </w:rPr>
        <w:t>, indicating a reluctance to recommend the service where it ha</w:t>
      </w:r>
      <w:r w:rsidR="00247AA6">
        <w:rPr>
          <w:rFonts w:ascii="Arial" w:hAnsi="Arial" w:cs="Arial"/>
        </w:rPr>
        <w:t>d</w:t>
      </w:r>
      <w:r w:rsidR="003848E5">
        <w:rPr>
          <w:rFonts w:ascii="Arial" w:hAnsi="Arial" w:cs="Arial"/>
        </w:rPr>
        <w:t xml:space="preserve"> only recently begun.</w:t>
      </w:r>
      <w:r w:rsidR="0045138E">
        <w:rPr>
          <w:rFonts w:ascii="Arial" w:hAnsi="Arial" w:cs="Arial"/>
        </w:rPr>
        <w:t xml:space="preserve"> </w:t>
      </w:r>
      <w:r w:rsidR="002A101B">
        <w:rPr>
          <w:rFonts w:ascii="Arial" w:hAnsi="Arial" w:cs="Arial"/>
        </w:rPr>
        <w:t xml:space="preserve">  </w:t>
      </w:r>
    </w:p>
    <w:p w14:paraId="5271CEA1" w14:textId="77777777" w:rsidR="005E38B9" w:rsidRDefault="005E38B9" w:rsidP="005E48D8">
      <w:pPr>
        <w:spacing w:after="0" w:line="480" w:lineRule="auto"/>
        <w:rPr>
          <w:rFonts w:ascii="Arial" w:hAnsi="Arial" w:cs="Arial"/>
        </w:rPr>
      </w:pPr>
    </w:p>
    <w:p w14:paraId="7310D08D" w14:textId="77777777" w:rsidR="00511DE5" w:rsidRDefault="00511DE5" w:rsidP="005E48D8">
      <w:pPr>
        <w:spacing w:after="0" w:line="480" w:lineRule="auto"/>
        <w:rPr>
          <w:rFonts w:ascii="Arial" w:hAnsi="Arial" w:cs="Arial"/>
        </w:rPr>
      </w:pPr>
      <w:r>
        <w:rPr>
          <w:rFonts w:ascii="Arial" w:hAnsi="Arial" w:cs="Arial"/>
        </w:rPr>
        <w:t>[Table 3]</w:t>
      </w:r>
    </w:p>
    <w:p w14:paraId="671D97CC" w14:textId="77777777" w:rsidR="005E38B9" w:rsidRPr="00FE2E05" w:rsidRDefault="005E38B9" w:rsidP="005E48D8">
      <w:pPr>
        <w:spacing w:after="0" w:line="480" w:lineRule="auto"/>
        <w:rPr>
          <w:rFonts w:ascii="Arial" w:hAnsi="Arial" w:cs="Arial"/>
        </w:rPr>
      </w:pPr>
    </w:p>
    <w:p w14:paraId="75556092" w14:textId="159A3D17" w:rsidR="00F85463" w:rsidRDefault="007C31DA" w:rsidP="00662046">
      <w:pPr>
        <w:spacing w:after="0" w:line="480" w:lineRule="auto"/>
        <w:jc w:val="both"/>
        <w:rPr>
          <w:rFonts w:ascii="Arial" w:hAnsi="Arial" w:cs="Arial"/>
        </w:rPr>
      </w:pPr>
      <w:r>
        <w:rPr>
          <w:rFonts w:ascii="Arial" w:hAnsi="Arial" w:cs="Arial"/>
        </w:rPr>
        <w:t xml:space="preserve">There was also some evidence that the </w:t>
      </w:r>
      <w:r w:rsidR="00247AA6">
        <w:rPr>
          <w:rFonts w:ascii="Arial" w:hAnsi="Arial" w:cs="Arial"/>
        </w:rPr>
        <w:t>type of</w:t>
      </w:r>
      <w:r>
        <w:rPr>
          <w:rFonts w:ascii="Arial" w:hAnsi="Arial" w:cs="Arial"/>
        </w:rPr>
        <w:t xml:space="preserve"> mental health practitioner </w:t>
      </w:r>
      <w:r w:rsidR="00247AA6">
        <w:rPr>
          <w:rFonts w:ascii="Arial" w:hAnsi="Arial" w:cs="Arial"/>
        </w:rPr>
        <w:t>supporting the respondent</w:t>
      </w:r>
      <w:r>
        <w:rPr>
          <w:rFonts w:ascii="Arial" w:hAnsi="Arial" w:cs="Arial"/>
        </w:rPr>
        <w:t xml:space="preserve"> may have been linked to </w:t>
      </w:r>
      <w:r w:rsidR="00247AA6">
        <w:rPr>
          <w:rFonts w:ascii="Arial" w:hAnsi="Arial" w:cs="Arial"/>
        </w:rPr>
        <w:t xml:space="preserve">their </w:t>
      </w:r>
      <w:r>
        <w:rPr>
          <w:rFonts w:ascii="Arial" w:hAnsi="Arial" w:cs="Arial"/>
        </w:rPr>
        <w:t>like</w:t>
      </w:r>
      <w:r w:rsidR="00247AA6">
        <w:rPr>
          <w:rFonts w:ascii="Arial" w:hAnsi="Arial" w:cs="Arial"/>
        </w:rPr>
        <w:t>lihood of recommending services.  Specifically,</w:t>
      </w:r>
      <w:r>
        <w:rPr>
          <w:rFonts w:ascii="Arial" w:hAnsi="Arial" w:cs="Arial"/>
        </w:rPr>
        <w:t xml:space="preserve"> </w:t>
      </w:r>
      <w:r>
        <w:rPr>
          <w:rFonts w:ascii="Arial" w:hAnsi="Arial" w:cs="Arial"/>
        </w:rPr>
        <w:lastRenderedPageBreak/>
        <w:t xml:space="preserve">contacts with psychiatrists and support workers </w:t>
      </w:r>
      <w:r w:rsidR="00247AA6">
        <w:rPr>
          <w:rFonts w:ascii="Arial" w:hAnsi="Arial" w:cs="Arial"/>
        </w:rPr>
        <w:t>were</w:t>
      </w:r>
      <w:r>
        <w:rPr>
          <w:rFonts w:ascii="Arial" w:hAnsi="Arial" w:cs="Arial"/>
        </w:rPr>
        <w:t xml:space="preserve"> particularly valued.  Comparisons between staff groups will be confounded, however, by the fact that </w:t>
      </w:r>
      <w:r w:rsidR="00886262" w:rsidRPr="00466FDA">
        <w:rPr>
          <w:rFonts w:ascii="Arial" w:hAnsi="Arial" w:cs="Arial"/>
        </w:rPr>
        <w:t>more than</w:t>
      </w:r>
      <w:r w:rsidRPr="00466FDA">
        <w:rPr>
          <w:rFonts w:ascii="Arial" w:hAnsi="Arial" w:cs="Arial"/>
        </w:rPr>
        <w:t xml:space="preserve"> three-quarters (7</w:t>
      </w:r>
      <w:r w:rsidR="00886262" w:rsidRPr="00466FDA">
        <w:rPr>
          <w:rFonts w:ascii="Arial" w:hAnsi="Arial" w:cs="Arial"/>
        </w:rPr>
        <w:t>8.5</w:t>
      </w:r>
      <w:r w:rsidRPr="00466FDA">
        <w:rPr>
          <w:rFonts w:ascii="Arial" w:hAnsi="Arial" w:cs="Arial"/>
        </w:rPr>
        <w:t xml:space="preserve">%) of respondents reported seeing more than one </w:t>
      </w:r>
      <w:r w:rsidR="001C7ADE" w:rsidRPr="00466FDA">
        <w:rPr>
          <w:rFonts w:ascii="Arial" w:hAnsi="Arial" w:cs="Arial"/>
        </w:rPr>
        <w:t>staff group</w:t>
      </w:r>
      <w:r w:rsidRPr="00466FDA">
        <w:rPr>
          <w:rFonts w:ascii="Arial" w:hAnsi="Arial" w:cs="Arial"/>
        </w:rPr>
        <w:t>.  Indeed</w:t>
      </w:r>
      <w:r>
        <w:rPr>
          <w:rFonts w:ascii="Arial" w:hAnsi="Arial" w:cs="Arial"/>
        </w:rPr>
        <w:t xml:space="preserve">, there was a significant positive correlation between the NPS and the </w:t>
      </w:r>
      <w:r w:rsidR="00247AA6">
        <w:rPr>
          <w:rFonts w:ascii="Arial" w:hAnsi="Arial" w:cs="Arial"/>
        </w:rPr>
        <w:t xml:space="preserve">total </w:t>
      </w:r>
      <w:r>
        <w:rPr>
          <w:rFonts w:ascii="Arial" w:hAnsi="Arial" w:cs="Arial"/>
        </w:rPr>
        <w:t xml:space="preserve">number of different practitioner groups seen.  </w:t>
      </w:r>
      <w:r w:rsidR="002C6D4C">
        <w:rPr>
          <w:rFonts w:ascii="Arial" w:hAnsi="Arial" w:cs="Arial"/>
        </w:rPr>
        <w:t xml:space="preserve">The data also indicated that </w:t>
      </w:r>
      <w:r w:rsidR="00C26F5A">
        <w:rPr>
          <w:rFonts w:ascii="Arial" w:hAnsi="Arial" w:cs="Arial"/>
        </w:rPr>
        <w:t>visits from social workers and homecare staff appeared unrelated to the NPS.</w:t>
      </w:r>
      <w:r w:rsidR="00511DE5">
        <w:rPr>
          <w:rFonts w:ascii="Arial" w:hAnsi="Arial" w:cs="Arial"/>
        </w:rPr>
        <w:t xml:space="preserve">  </w:t>
      </w:r>
      <w:r w:rsidR="00511DE5" w:rsidRPr="00886262">
        <w:rPr>
          <w:rFonts w:ascii="Arial" w:hAnsi="Arial" w:cs="Arial"/>
        </w:rPr>
        <w:t xml:space="preserve">Finally, </w:t>
      </w:r>
      <w:r w:rsidR="00886262" w:rsidRPr="00886262">
        <w:rPr>
          <w:rFonts w:ascii="Arial" w:hAnsi="Arial" w:cs="Arial"/>
        </w:rPr>
        <w:t>there was no meaningful difference in</w:t>
      </w:r>
      <w:r w:rsidR="00511DE5" w:rsidRPr="00886262">
        <w:rPr>
          <w:rFonts w:ascii="Arial" w:hAnsi="Arial" w:cs="Arial"/>
        </w:rPr>
        <w:t xml:space="preserve"> NPS mean scores between the four sites.</w:t>
      </w:r>
    </w:p>
    <w:p w14:paraId="6766BDB8" w14:textId="77777777" w:rsidR="000E23E8" w:rsidRDefault="000E23E8" w:rsidP="005E48D8">
      <w:pPr>
        <w:spacing w:after="0" w:line="480" w:lineRule="auto"/>
        <w:rPr>
          <w:rFonts w:ascii="Arial" w:hAnsi="Arial" w:cs="Arial"/>
        </w:rPr>
      </w:pPr>
    </w:p>
    <w:p w14:paraId="6B891F45" w14:textId="77777777" w:rsidR="001C7DE2" w:rsidRDefault="000E23E8" w:rsidP="00662046">
      <w:pPr>
        <w:spacing w:after="0" w:line="480" w:lineRule="auto"/>
        <w:jc w:val="both"/>
        <w:rPr>
          <w:rFonts w:ascii="Arial" w:hAnsi="Arial" w:cs="Arial"/>
        </w:rPr>
      </w:pPr>
      <w:r>
        <w:rPr>
          <w:rFonts w:ascii="Arial" w:hAnsi="Arial" w:cs="Arial"/>
        </w:rPr>
        <w:t xml:space="preserve">To explore the independent association between the NPS score and patient / support characteristics, an ordinary least squares regression was performed.  The results </w:t>
      </w:r>
      <w:r w:rsidR="00253FC4">
        <w:rPr>
          <w:rFonts w:ascii="Arial" w:hAnsi="Arial" w:cs="Arial"/>
        </w:rPr>
        <w:t xml:space="preserve">(Table 4) </w:t>
      </w:r>
      <w:r w:rsidR="00A569E4">
        <w:rPr>
          <w:rFonts w:ascii="Arial" w:hAnsi="Arial" w:cs="Arial"/>
        </w:rPr>
        <w:t>predominantly support</w:t>
      </w:r>
      <w:r w:rsidR="0079469A">
        <w:rPr>
          <w:rFonts w:ascii="Arial" w:hAnsi="Arial" w:cs="Arial"/>
        </w:rPr>
        <w:t>ed</w:t>
      </w:r>
      <w:r w:rsidR="00A569E4">
        <w:rPr>
          <w:rFonts w:ascii="Arial" w:hAnsi="Arial" w:cs="Arial"/>
        </w:rPr>
        <w:t xml:space="preserve"> the bivariate analysis presented above, indicating that there </w:t>
      </w:r>
      <w:r w:rsidR="0079469A">
        <w:rPr>
          <w:rFonts w:ascii="Arial" w:hAnsi="Arial" w:cs="Arial"/>
        </w:rPr>
        <w:t>was</w:t>
      </w:r>
      <w:r w:rsidR="00A569E4">
        <w:rPr>
          <w:rFonts w:ascii="Arial" w:hAnsi="Arial" w:cs="Arial"/>
        </w:rPr>
        <w:t xml:space="preserve"> little confounding</w:t>
      </w:r>
      <w:r w:rsidR="001A5B1B">
        <w:rPr>
          <w:rFonts w:ascii="Arial" w:hAnsi="Arial" w:cs="Arial"/>
        </w:rPr>
        <w:t xml:space="preserve"> caused by </w:t>
      </w:r>
      <w:r w:rsidR="001C7ADE">
        <w:rPr>
          <w:rFonts w:ascii="Arial" w:hAnsi="Arial" w:cs="Arial"/>
        </w:rPr>
        <w:t>shared variance with</w:t>
      </w:r>
      <w:r w:rsidR="001A5B1B">
        <w:rPr>
          <w:rFonts w:ascii="Arial" w:hAnsi="Arial" w:cs="Arial"/>
        </w:rPr>
        <w:t xml:space="preserve"> </w:t>
      </w:r>
      <w:r w:rsidR="001D12D1">
        <w:rPr>
          <w:rFonts w:ascii="Arial" w:hAnsi="Arial" w:cs="Arial"/>
        </w:rPr>
        <w:t>other variables</w:t>
      </w:r>
      <w:r w:rsidR="001A5B1B">
        <w:rPr>
          <w:rFonts w:ascii="Arial" w:hAnsi="Arial" w:cs="Arial"/>
        </w:rPr>
        <w:t xml:space="preserve">.  </w:t>
      </w:r>
      <w:r w:rsidR="001C7DE2">
        <w:rPr>
          <w:rFonts w:ascii="Arial" w:hAnsi="Arial" w:cs="Arial"/>
        </w:rPr>
        <w:t xml:space="preserve">The regression further conditioned upon whether any assistance was received in completing the questionnaire, which was not significant, but nevertheless affected some of the point estimates of other coefficients within the model.  </w:t>
      </w:r>
    </w:p>
    <w:p w14:paraId="06819BB2" w14:textId="77777777" w:rsidR="005E38B9" w:rsidRDefault="005E38B9" w:rsidP="005E48D8">
      <w:pPr>
        <w:spacing w:after="0" w:line="480" w:lineRule="auto"/>
        <w:rPr>
          <w:rFonts w:ascii="Arial" w:hAnsi="Arial" w:cs="Arial"/>
        </w:rPr>
      </w:pPr>
    </w:p>
    <w:p w14:paraId="353EB86F" w14:textId="4DBFA2CC" w:rsidR="00511DE5" w:rsidRDefault="001A5B1B" w:rsidP="00662046">
      <w:pPr>
        <w:spacing w:after="0" w:line="480" w:lineRule="auto"/>
        <w:jc w:val="both"/>
        <w:rPr>
          <w:rFonts w:ascii="Arial" w:hAnsi="Arial" w:cs="Arial"/>
        </w:rPr>
      </w:pPr>
      <w:r>
        <w:rPr>
          <w:rFonts w:ascii="Arial" w:hAnsi="Arial" w:cs="Arial"/>
        </w:rPr>
        <w:t xml:space="preserve">However, in relation to diagnosis and </w:t>
      </w:r>
      <w:r w:rsidR="0009751E">
        <w:rPr>
          <w:rFonts w:ascii="Arial" w:hAnsi="Arial" w:cs="Arial"/>
        </w:rPr>
        <w:t>staff groups</w:t>
      </w:r>
      <w:r>
        <w:rPr>
          <w:rFonts w:ascii="Arial" w:hAnsi="Arial" w:cs="Arial"/>
        </w:rPr>
        <w:t xml:space="preserve"> seen, some </w:t>
      </w:r>
      <w:r w:rsidR="001C7ADE">
        <w:rPr>
          <w:rFonts w:ascii="Arial" w:hAnsi="Arial" w:cs="Arial"/>
        </w:rPr>
        <w:t>distinct</w:t>
      </w:r>
      <w:r>
        <w:rPr>
          <w:rFonts w:ascii="Arial" w:hAnsi="Arial" w:cs="Arial"/>
        </w:rPr>
        <w:t xml:space="preserve"> patterns </w:t>
      </w:r>
      <w:r w:rsidR="001C7DE2">
        <w:rPr>
          <w:rFonts w:ascii="Arial" w:hAnsi="Arial" w:cs="Arial"/>
        </w:rPr>
        <w:t>were</w:t>
      </w:r>
      <w:r>
        <w:rPr>
          <w:rFonts w:ascii="Arial" w:hAnsi="Arial" w:cs="Arial"/>
        </w:rPr>
        <w:t xml:space="preserve"> identified.  </w:t>
      </w:r>
      <w:r w:rsidR="0009751E">
        <w:rPr>
          <w:rFonts w:ascii="Arial" w:hAnsi="Arial" w:cs="Arial"/>
        </w:rPr>
        <w:t xml:space="preserve">Patients with </w:t>
      </w:r>
      <w:r w:rsidR="001D12D1">
        <w:rPr>
          <w:rFonts w:ascii="Arial" w:hAnsi="Arial" w:cs="Arial"/>
        </w:rPr>
        <w:t>psychosis</w:t>
      </w:r>
      <w:r w:rsidR="0009751E">
        <w:rPr>
          <w:rFonts w:ascii="Arial" w:hAnsi="Arial" w:cs="Arial"/>
        </w:rPr>
        <w:t xml:space="preserve"> </w:t>
      </w:r>
      <w:r w:rsidR="00886262">
        <w:rPr>
          <w:rFonts w:ascii="Arial" w:hAnsi="Arial" w:cs="Arial"/>
        </w:rPr>
        <w:t>significantly more</w:t>
      </w:r>
      <w:r w:rsidR="0009751E">
        <w:rPr>
          <w:rFonts w:ascii="Arial" w:hAnsi="Arial" w:cs="Arial"/>
        </w:rPr>
        <w:t xml:space="preserve"> likely than patients </w:t>
      </w:r>
      <w:r w:rsidR="005B76F3">
        <w:rPr>
          <w:rFonts w:ascii="Arial" w:hAnsi="Arial" w:cs="Arial"/>
        </w:rPr>
        <w:t xml:space="preserve">with other diagnoses </w:t>
      </w:r>
      <w:r w:rsidR="0009751E">
        <w:rPr>
          <w:rFonts w:ascii="Arial" w:hAnsi="Arial" w:cs="Arial"/>
        </w:rPr>
        <w:t>to recommend the service</w:t>
      </w:r>
      <w:r w:rsidR="00886262">
        <w:rPr>
          <w:rFonts w:ascii="Arial" w:hAnsi="Arial" w:cs="Arial"/>
        </w:rPr>
        <w:t>, but only where</w:t>
      </w:r>
      <w:r w:rsidR="0009751E">
        <w:rPr>
          <w:rFonts w:ascii="Arial" w:hAnsi="Arial" w:cs="Arial"/>
        </w:rPr>
        <w:t xml:space="preserve"> they report</w:t>
      </w:r>
      <w:r w:rsidR="001C7DE2">
        <w:rPr>
          <w:rFonts w:ascii="Arial" w:hAnsi="Arial" w:cs="Arial"/>
        </w:rPr>
        <w:t>ed</w:t>
      </w:r>
      <w:r w:rsidR="0009751E">
        <w:rPr>
          <w:rFonts w:ascii="Arial" w:hAnsi="Arial" w:cs="Arial"/>
        </w:rPr>
        <w:t xml:space="preserve"> that they </w:t>
      </w:r>
      <w:r w:rsidR="005B76F3">
        <w:rPr>
          <w:rFonts w:ascii="Arial" w:hAnsi="Arial" w:cs="Arial"/>
        </w:rPr>
        <w:t xml:space="preserve">were being supported by a </w:t>
      </w:r>
      <w:r w:rsidR="0009751E">
        <w:rPr>
          <w:rFonts w:ascii="Arial" w:hAnsi="Arial" w:cs="Arial"/>
        </w:rPr>
        <w:t>psychiatrist</w:t>
      </w:r>
      <w:r w:rsidR="000F4196">
        <w:rPr>
          <w:rFonts w:ascii="Arial" w:hAnsi="Arial" w:cs="Arial"/>
        </w:rPr>
        <w:t xml:space="preserve"> (i.e. a significant interaction effect)</w:t>
      </w:r>
      <w:r w:rsidR="001D12D1">
        <w:rPr>
          <w:rFonts w:ascii="Arial" w:hAnsi="Arial" w:cs="Arial"/>
        </w:rPr>
        <w:t xml:space="preserve">.  </w:t>
      </w:r>
      <w:r w:rsidR="0009751E">
        <w:rPr>
          <w:rFonts w:ascii="Arial" w:hAnsi="Arial" w:cs="Arial"/>
        </w:rPr>
        <w:t>Notably, this positive link between the NPS an</w:t>
      </w:r>
      <w:r w:rsidR="004E0A2B">
        <w:rPr>
          <w:rFonts w:ascii="Arial" w:hAnsi="Arial" w:cs="Arial"/>
        </w:rPr>
        <w:t>d having seen a psychiatrist was</w:t>
      </w:r>
      <w:r w:rsidR="0009751E">
        <w:rPr>
          <w:rFonts w:ascii="Arial" w:hAnsi="Arial" w:cs="Arial"/>
        </w:rPr>
        <w:t xml:space="preserve"> significantly greater for those with psychosis than fo</w:t>
      </w:r>
      <w:bookmarkStart w:id="0" w:name="_GoBack"/>
      <w:bookmarkEnd w:id="0"/>
      <w:r w:rsidR="0009751E">
        <w:rPr>
          <w:rFonts w:ascii="Arial" w:hAnsi="Arial" w:cs="Arial"/>
        </w:rPr>
        <w:t xml:space="preserve">r any other diagnosis. </w:t>
      </w:r>
      <w:r w:rsidR="003B7BF2">
        <w:rPr>
          <w:rFonts w:ascii="Arial" w:hAnsi="Arial" w:cs="Arial"/>
        </w:rPr>
        <w:t xml:space="preserve">  The Trust from which the questionnaire was returned from was not associated with the NPS.  </w:t>
      </w:r>
    </w:p>
    <w:p w14:paraId="423639B7" w14:textId="77777777" w:rsidR="005E38B9" w:rsidRPr="00746BB1" w:rsidRDefault="005E38B9" w:rsidP="005E48D8">
      <w:pPr>
        <w:spacing w:after="0" w:line="480" w:lineRule="auto"/>
        <w:rPr>
          <w:rFonts w:ascii="Arial" w:hAnsi="Arial" w:cs="Arial"/>
        </w:rPr>
      </w:pPr>
    </w:p>
    <w:p w14:paraId="3550EE95" w14:textId="77777777" w:rsidR="00253FC4" w:rsidRPr="00662046" w:rsidRDefault="00253FC4" w:rsidP="005E48D8">
      <w:pPr>
        <w:spacing w:after="0" w:line="480" w:lineRule="auto"/>
        <w:rPr>
          <w:rFonts w:ascii="Arial" w:hAnsi="Arial" w:cs="Arial"/>
        </w:rPr>
      </w:pPr>
      <w:r w:rsidRPr="00662046">
        <w:rPr>
          <w:rFonts w:ascii="Arial" w:hAnsi="Arial" w:cs="Arial"/>
        </w:rPr>
        <w:t>[Table 4]</w:t>
      </w:r>
    </w:p>
    <w:p w14:paraId="7CDDA071" w14:textId="77777777" w:rsidR="005E38B9" w:rsidRPr="00E61D70" w:rsidRDefault="005E38B9" w:rsidP="005E48D8">
      <w:pPr>
        <w:spacing w:after="0" w:line="480" w:lineRule="auto"/>
        <w:rPr>
          <w:rFonts w:ascii="Arial" w:hAnsi="Arial" w:cs="Arial"/>
          <w:b/>
        </w:rPr>
      </w:pPr>
    </w:p>
    <w:p w14:paraId="5D6118D8" w14:textId="1F438042" w:rsidR="00E61D70" w:rsidRPr="00253FC4" w:rsidRDefault="00E61D70" w:rsidP="005E48D8">
      <w:pPr>
        <w:spacing w:after="0" w:line="480" w:lineRule="auto"/>
        <w:rPr>
          <w:rFonts w:ascii="Arial" w:hAnsi="Arial" w:cs="Arial"/>
        </w:rPr>
      </w:pPr>
    </w:p>
    <w:p w14:paraId="7102F1CE" w14:textId="77777777" w:rsidR="00E61D70" w:rsidRDefault="00E61D70" w:rsidP="00662046">
      <w:pPr>
        <w:spacing w:after="0" w:line="480" w:lineRule="auto"/>
        <w:jc w:val="both"/>
        <w:rPr>
          <w:rFonts w:ascii="Arial" w:hAnsi="Arial" w:cs="Arial"/>
        </w:rPr>
      </w:pPr>
      <w:r>
        <w:rPr>
          <w:rFonts w:ascii="Arial" w:hAnsi="Arial" w:cs="Arial"/>
        </w:rPr>
        <w:lastRenderedPageBreak/>
        <w:t xml:space="preserve">Two additional regression models were estimated (results available as </w:t>
      </w:r>
      <w:r w:rsidR="000F4196">
        <w:rPr>
          <w:rFonts w:ascii="Arial" w:hAnsi="Arial" w:cs="Arial"/>
        </w:rPr>
        <w:t>supporting information</w:t>
      </w:r>
      <w:r>
        <w:rPr>
          <w:rFonts w:ascii="Arial" w:hAnsi="Arial" w:cs="Arial"/>
        </w:rPr>
        <w:t xml:space="preserve">).  To test the sensitivity of these results to the </w:t>
      </w:r>
      <w:r w:rsidR="00CF0F13">
        <w:rPr>
          <w:rFonts w:ascii="Arial" w:hAnsi="Arial" w:cs="Arial"/>
        </w:rPr>
        <w:t>categorical</w:t>
      </w:r>
      <w:r>
        <w:rPr>
          <w:rFonts w:ascii="Arial" w:hAnsi="Arial" w:cs="Arial"/>
        </w:rPr>
        <w:t xml:space="preserve"> nature of the individual-level data, an ordinal logistic regression was performed, and revealed similar results to those shown in Table 4.  In addition, the same regression as shown in Table 4 was repeated, but using the generic satisfaction measure as the dependent variable, rather than the NPS.  That regression had poor explanatory power by comparison, with most coefficients being far from statistically significant.</w:t>
      </w:r>
      <w:r w:rsidR="006E2E2D">
        <w:rPr>
          <w:rFonts w:ascii="Arial" w:hAnsi="Arial" w:cs="Arial"/>
        </w:rPr>
        <w:t xml:space="preserve">  This supported the argument that </w:t>
      </w:r>
      <w:r w:rsidR="0079469A">
        <w:rPr>
          <w:rFonts w:ascii="Arial" w:hAnsi="Arial" w:cs="Arial"/>
        </w:rPr>
        <w:t>the NPS measured a</w:t>
      </w:r>
      <w:r w:rsidR="006E2E2D">
        <w:rPr>
          <w:rFonts w:ascii="Arial" w:hAnsi="Arial" w:cs="Arial"/>
        </w:rPr>
        <w:t xml:space="preserve"> different construct</w:t>
      </w:r>
      <w:r w:rsidR="0079469A">
        <w:rPr>
          <w:rFonts w:ascii="Arial" w:hAnsi="Arial" w:cs="Arial"/>
        </w:rPr>
        <w:t xml:space="preserve"> to satisfaction.  </w:t>
      </w:r>
      <w:r w:rsidR="006E2E2D">
        <w:rPr>
          <w:rFonts w:ascii="Arial" w:hAnsi="Arial" w:cs="Arial"/>
        </w:rPr>
        <w:t xml:space="preserve"> </w:t>
      </w:r>
      <w:r>
        <w:rPr>
          <w:rFonts w:ascii="Arial" w:hAnsi="Arial" w:cs="Arial"/>
        </w:rPr>
        <w:t xml:space="preserve"> </w:t>
      </w:r>
    </w:p>
    <w:p w14:paraId="190355CA" w14:textId="77777777" w:rsidR="005E38B9" w:rsidRDefault="005E38B9" w:rsidP="005E48D8">
      <w:pPr>
        <w:spacing w:after="0" w:line="480" w:lineRule="auto"/>
        <w:rPr>
          <w:rFonts w:ascii="Arial" w:hAnsi="Arial" w:cs="Arial"/>
        </w:rPr>
      </w:pPr>
    </w:p>
    <w:p w14:paraId="2FFED3DE" w14:textId="77777777" w:rsidR="00E61D70" w:rsidRDefault="00E61D70" w:rsidP="004F5F2E">
      <w:pPr>
        <w:spacing w:after="0" w:line="480" w:lineRule="auto"/>
        <w:outlineLvl w:val="0"/>
        <w:rPr>
          <w:rFonts w:ascii="Arial" w:hAnsi="Arial" w:cs="Arial"/>
          <w:b/>
          <w:i/>
        </w:rPr>
      </w:pPr>
      <w:r>
        <w:rPr>
          <w:rFonts w:ascii="Arial" w:hAnsi="Arial" w:cs="Arial"/>
          <w:b/>
          <w:i/>
        </w:rPr>
        <w:t>Test-retest reliability</w:t>
      </w:r>
    </w:p>
    <w:p w14:paraId="5E12A8F0" w14:textId="77777777" w:rsidR="005E38B9" w:rsidRDefault="005E38B9" w:rsidP="005E48D8">
      <w:pPr>
        <w:spacing w:after="0" w:line="480" w:lineRule="auto"/>
        <w:rPr>
          <w:rFonts w:ascii="Arial" w:hAnsi="Arial" w:cs="Arial"/>
          <w:b/>
          <w:i/>
        </w:rPr>
      </w:pPr>
    </w:p>
    <w:p w14:paraId="0CE7EF5C" w14:textId="0103CB38" w:rsidR="00E61D70" w:rsidRPr="00E61D70" w:rsidRDefault="00E61D70" w:rsidP="00662046">
      <w:pPr>
        <w:spacing w:after="0" w:line="480" w:lineRule="auto"/>
        <w:jc w:val="both"/>
        <w:rPr>
          <w:rFonts w:ascii="Arial" w:hAnsi="Arial" w:cs="Arial"/>
        </w:rPr>
      </w:pPr>
      <w:r>
        <w:rPr>
          <w:rFonts w:ascii="Arial" w:hAnsi="Arial" w:cs="Arial"/>
        </w:rPr>
        <w:t>For 85 respondents, a second que</w:t>
      </w:r>
      <w:r w:rsidR="001F5320">
        <w:rPr>
          <w:rFonts w:ascii="Arial" w:hAnsi="Arial" w:cs="Arial"/>
        </w:rPr>
        <w:t>stionnaire with NPS</w:t>
      </w:r>
      <w:r>
        <w:rPr>
          <w:rFonts w:ascii="Arial" w:hAnsi="Arial" w:cs="Arial"/>
        </w:rPr>
        <w:t xml:space="preserve"> </w:t>
      </w:r>
      <w:r w:rsidR="004E0A2B">
        <w:rPr>
          <w:rFonts w:ascii="Arial" w:hAnsi="Arial" w:cs="Arial"/>
        </w:rPr>
        <w:t xml:space="preserve">and general satisfaction rating </w:t>
      </w:r>
      <w:r>
        <w:rPr>
          <w:rFonts w:ascii="Arial" w:hAnsi="Arial" w:cs="Arial"/>
        </w:rPr>
        <w:t>was received</w:t>
      </w:r>
      <w:r w:rsidR="004E0A2B">
        <w:rPr>
          <w:rFonts w:ascii="Arial" w:hAnsi="Arial" w:cs="Arial"/>
        </w:rPr>
        <w:t>,</w:t>
      </w:r>
      <w:r>
        <w:rPr>
          <w:rFonts w:ascii="Arial" w:hAnsi="Arial" w:cs="Arial"/>
        </w:rPr>
        <w:t xml:space="preserve"> 3-4 weeks after the first.  </w:t>
      </w:r>
      <w:r w:rsidR="004E0A2B">
        <w:rPr>
          <w:rFonts w:ascii="Arial" w:hAnsi="Arial" w:cs="Arial"/>
        </w:rPr>
        <w:t xml:space="preserve">Table 5 shows that 60 per cent of the </w:t>
      </w:r>
      <w:r w:rsidR="001F5320">
        <w:rPr>
          <w:rFonts w:ascii="Arial" w:hAnsi="Arial" w:cs="Arial"/>
        </w:rPr>
        <w:t>NPS</w:t>
      </w:r>
      <w:r w:rsidR="004E0A2B">
        <w:rPr>
          <w:rFonts w:ascii="Arial" w:hAnsi="Arial" w:cs="Arial"/>
        </w:rPr>
        <w:t xml:space="preserve"> answers were identical </w:t>
      </w:r>
      <w:r w:rsidR="006E2E2D">
        <w:rPr>
          <w:rFonts w:ascii="Arial" w:hAnsi="Arial" w:cs="Arial"/>
        </w:rPr>
        <w:t>for both questionnaires</w:t>
      </w:r>
      <w:r w:rsidR="004E0A2B">
        <w:rPr>
          <w:rFonts w:ascii="Arial" w:hAnsi="Arial" w:cs="Arial"/>
        </w:rPr>
        <w:t>, with a marginally lower proportion (57.7%) agreement for the satisfaction rating.  Adjusting for chance agreements</w:t>
      </w:r>
      <w:r w:rsidR="00DC5EBB">
        <w:rPr>
          <w:rFonts w:ascii="Arial" w:hAnsi="Arial" w:cs="Arial"/>
        </w:rPr>
        <w:t xml:space="preserve"> </w:t>
      </w:r>
      <w:r w:rsidR="00DC5EBB" w:rsidRPr="008E54C6">
        <w:rPr>
          <w:rFonts w:ascii="Arial" w:hAnsi="Arial" w:cs="Arial"/>
          <w:highlight w:val="yellow"/>
        </w:rPr>
        <w:t>and</w:t>
      </w:r>
      <w:r w:rsidR="00DC5EBB">
        <w:rPr>
          <w:rFonts w:ascii="Arial" w:hAnsi="Arial" w:cs="Arial"/>
        </w:rPr>
        <w:t xml:space="preserve"> using the Landis and Koch</w:t>
      </w:r>
      <w:r w:rsidR="00DC5EBB">
        <w:rPr>
          <w:rFonts w:ascii="Arial" w:hAnsi="Arial" w:cs="Arial"/>
        </w:rPr>
        <w:fldChar w:fldCharType="begin" w:fldLock="1"/>
      </w:r>
      <w:r w:rsidR="00DC5EBB">
        <w:rPr>
          <w:rFonts w:ascii="Arial" w:hAnsi="Arial" w:cs="Arial"/>
        </w:rPr>
        <w:instrText>ADDIN CSL_CITATION { "citationItems" : [ { "id" : "ITEM-1", "itemData" : { "author" : [ { "dropping-particle" : "", "family" : "Landis", "given" : "JR", "non-dropping-particle" : "", "parse-names" : false, "suffix" : "" }, { "dropping-particle" : "", "family" : "Koch", "given" : "GG", "non-dropping-particle" : "", "parse-names" : false, "suffix" : "" } ], "container-title" : "Biometrics", "id" : "ITEM-1", "issue" : "1", "issued" : { "date-parts" : [ [ "1977" ] ] }, "page" : "159-174", "title" : "The measurement of observer agreement for categorical data", "type" : "article-journal", "volume" : "33" }, "uris" : [ "http://www.mendeley.com/documents/?uuid=a3387344-a019-4917-b631-3e64303d47af" ] } ], "mendeley" : { "formattedCitation" : "&lt;sup&gt;31&lt;/sup&gt;", "plainTextFormattedCitation" : "31", "previouslyFormattedCitation" : "&lt;sup&gt;31&lt;/sup&gt;" }, "properties" : { "noteIndex" : 0 }, "schema" : "https://github.com/citation-style-language/schema/raw/master/csl-citation.json" }</w:instrText>
      </w:r>
      <w:r w:rsidR="00DC5EBB">
        <w:rPr>
          <w:rFonts w:ascii="Arial" w:hAnsi="Arial" w:cs="Arial"/>
        </w:rPr>
        <w:fldChar w:fldCharType="separate"/>
      </w:r>
      <w:r w:rsidR="00DC5EBB" w:rsidRPr="00471B8C">
        <w:rPr>
          <w:rFonts w:ascii="Arial" w:hAnsi="Arial" w:cs="Arial"/>
          <w:noProof/>
          <w:vertAlign w:val="superscript"/>
        </w:rPr>
        <w:t>31</w:t>
      </w:r>
      <w:r w:rsidR="00DC5EBB">
        <w:rPr>
          <w:rFonts w:ascii="Arial" w:hAnsi="Arial" w:cs="Arial"/>
        </w:rPr>
        <w:fldChar w:fldCharType="end"/>
      </w:r>
      <w:r w:rsidR="00DC5EBB">
        <w:rPr>
          <w:rFonts w:ascii="Arial" w:hAnsi="Arial" w:cs="Arial"/>
        </w:rPr>
        <w:t xml:space="preserve"> thresholds </w:t>
      </w:r>
      <w:r w:rsidR="00DC5EBB" w:rsidRPr="008E54C6">
        <w:rPr>
          <w:rFonts w:ascii="Arial" w:hAnsi="Arial" w:cs="Arial"/>
          <w:highlight w:val="yellow"/>
        </w:rPr>
        <w:t>for interpretation</w:t>
      </w:r>
      <w:r w:rsidR="004E0A2B" w:rsidRPr="008E54C6">
        <w:rPr>
          <w:rFonts w:ascii="Arial" w:hAnsi="Arial" w:cs="Arial"/>
          <w:highlight w:val="yellow"/>
        </w:rPr>
        <w:t>,</w:t>
      </w:r>
      <w:r w:rsidR="004E0A2B">
        <w:rPr>
          <w:rFonts w:ascii="Arial" w:hAnsi="Arial" w:cs="Arial"/>
        </w:rPr>
        <w:t xml:space="preserve"> the </w:t>
      </w:r>
      <w:r w:rsidR="001D12D1">
        <w:rPr>
          <w:rFonts w:ascii="Arial" w:hAnsi="Arial" w:cs="Arial"/>
        </w:rPr>
        <w:t>k</w:t>
      </w:r>
      <w:r w:rsidR="00B67BE4">
        <w:rPr>
          <w:rFonts w:ascii="Arial" w:hAnsi="Arial" w:cs="Arial"/>
        </w:rPr>
        <w:t xml:space="preserve">appa </w:t>
      </w:r>
      <w:r w:rsidR="00B67BE4" w:rsidRPr="008E54C6">
        <w:rPr>
          <w:rFonts w:ascii="Arial" w:hAnsi="Arial" w:cs="Arial"/>
          <w:highlight w:val="yellow"/>
        </w:rPr>
        <w:t>statistic</w:t>
      </w:r>
      <w:r w:rsidR="004E0A2B">
        <w:rPr>
          <w:rFonts w:ascii="Arial" w:hAnsi="Arial" w:cs="Arial"/>
        </w:rPr>
        <w:t xml:space="preserve"> </w:t>
      </w:r>
      <w:r w:rsidR="00B67BE4">
        <w:rPr>
          <w:rFonts w:ascii="Arial" w:hAnsi="Arial" w:cs="Arial"/>
        </w:rPr>
        <w:t xml:space="preserve">for the </w:t>
      </w:r>
      <w:r w:rsidR="00DC5EBB" w:rsidRPr="008E54C6">
        <w:rPr>
          <w:rFonts w:ascii="Arial" w:hAnsi="Arial" w:cs="Arial"/>
          <w:highlight w:val="yellow"/>
        </w:rPr>
        <w:t xml:space="preserve">test-retest reliability of the </w:t>
      </w:r>
      <w:r w:rsidR="00B67BE4" w:rsidRPr="008E54C6">
        <w:rPr>
          <w:rFonts w:ascii="Arial" w:hAnsi="Arial" w:cs="Arial"/>
          <w:highlight w:val="yellow"/>
        </w:rPr>
        <w:t>NPS</w:t>
      </w:r>
      <w:r w:rsidR="00DC5EBB" w:rsidRPr="008E54C6">
        <w:rPr>
          <w:rFonts w:ascii="Arial" w:hAnsi="Arial" w:cs="Arial"/>
          <w:highlight w:val="yellow"/>
        </w:rPr>
        <w:t xml:space="preserve"> question</w:t>
      </w:r>
      <w:r w:rsidR="00B67BE4" w:rsidRPr="008E54C6">
        <w:rPr>
          <w:rFonts w:ascii="Arial" w:hAnsi="Arial" w:cs="Arial"/>
          <w:highlight w:val="yellow"/>
        </w:rPr>
        <w:t xml:space="preserve"> fell in the “moderate” range</w:t>
      </w:r>
      <w:r w:rsidR="009E40D5" w:rsidRPr="008E54C6">
        <w:rPr>
          <w:rFonts w:ascii="Arial" w:hAnsi="Arial" w:cs="Arial"/>
          <w:highlight w:val="yellow"/>
        </w:rPr>
        <w:t>,</w:t>
      </w:r>
      <w:r w:rsidR="00B67BE4" w:rsidRPr="008E54C6">
        <w:rPr>
          <w:rFonts w:ascii="Arial" w:hAnsi="Arial" w:cs="Arial"/>
          <w:highlight w:val="yellow"/>
        </w:rPr>
        <w:t xml:space="preserve"> while that for the satisfaction question fell in the “fair” range.</w:t>
      </w:r>
      <w:r w:rsidR="00DC5EBB" w:rsidRPr="008E54C6">
        <w:rPr>
          <w:rFonts w:ascii="Arial" w:hAnsi="Arial" w:cs="Arial"/>
          <w:highlight w:val="yellow"/>
        </w:rPr>
        <w:t xml:space="preserve"> When u</w:t>
      </w:r>
      <w:r w:rsidR="00B67BE4" w:rsidRPr="008E54C6">
        <w:rPr>
          <w:rFonts w:ascii="Arial" w:hAnsi="Arial" w:cs="Arial"/>
          <w:highlight w:val="yellow"/>
        </w:rPr>
        <w:t xml:space="preserve">sing linear weighted kappa to </w:t>
      </w:r>
      <w:r w:rsidR="00DC5EBB" w:rsidRPr="008E54C6">
        <w:rPr>
          <w:rFonts w:ascii="Arial" w:hAnsi="Arial" w:cs="Arial"/>
          <w:highlight w:val="yellow"/>
        </w:rPr>
        <w:t>a</w:t>
      </w:r>
      <w:r w:rsidR="00D9068C" w:rsidRPr="008E54C6">
        <w:rPr>
          <w:rFonts w:ascii="Arial" w:hAnsi="Arial" w:cs="Arial"/>
          <w:highlight w:val="yellow"/>
        </w:rPr>
        <w:t>lso a</w:t>
      </w:r>
      <w:r w:rsidR="00B67BE4" w:rsidRPr="008E54C6">
        <w:rPr>
          <w:rFonts w:ascii="Arial" w:hAnsi="Arial" w:cs="Arial"/>
          <w:highlight w:val="yellow"/>
        </w:rPr>
        <w:t xml:space="preserve">ccount for the </w:t>
      </w:r>
      <w:r w:rsidR="00B67BE4" w:rsidRPr="008E54C6">
        <w:rPr>
          <w:rFonts w:ascii="Arial" w:hAnsi="Arial" w:cs="Arial"/>
          <w:i/>
          <w:highlight w:val="yellow"/>
        </w:rPr>
        <w:t>extent</w:t>
      </w:r>
      <w:r w:rsidR="00B67BE4" w:rsidRPr="008E54C6">
        <w:rPr>
          <w:rFonts w:ascii="Arial" w:hAnsi="Arial" w:cs="Arial"/>
          <w:highlight w:val="yellow"/>
        </w:rPr>
        <w:t xml:space="preserve"> of </w:t>
      </w:r>
      <w:r w:rsidR="00466FDA" w:rsidRPr="008E54C6">
        <w:rPr>
          <w:rFonts w:ascii="Arial" w:hAnsi="Arial" w:cs="Arial"/>
          <w:highlight w:val="yellow"/>
        </w:rPr>
        <w:t>(dis)</w:t>
      </w:r>
      <w:r w:rsidR="00B67BE4" w:rsidRPr="008E54C6">
        <w:rPr>
          <w:rFonts w:ascii="Arial" w:hAnsi="Arial" w:cs="Arial"/>
          <w:highlight w:val="yellow"/>
        </w:rPr>
        <w:t>agreement between responses</w:t>
      </w:r>
      <w:r w:rsidR="00D9068C" w:rsidRPr="008E54C6">
        <w:rPr>
          <w:rFonts w:ascii="Arial" w:hAnsi="Arial" w:cs="Arial"/>
          <w:highlight w:val="yellow"/>
        </w:rPr>
        <w:t>, responses to t</w:t>
      </w:r>
      <w:r w:rsidR="00DC5EBB" w:rsidRPr="008E54C6">
        <w:rPr>
          <w:rFonts w:ascii="Arial" w:hAnsi="Arial" w:cs="Arial"/>
          <w:highlight w:val="yellow"/>
        </w:rPr>
        <w:t xml:space="preserve">he NPS </w:t>
      </w:r>
      <w:r w:rsidR="00D9068C" w:rsidRPr="008E54C6">
        <w:rPr>
          <w:rFonts w:ascii="Arial" w:hAnsi="Arial" w:cs="Arial"/>
          <w:highlight w:val="yellow"/>
        </w:rPr>
        <w:t xml:space="preserve">question had a higher level of agreement </w:t>
      </w:r>
      <w:r w:rsidR="00DC5EBB" w:rsidRPr="008E54C6">
        <w:rPr>
          <w:rFonts w:ascii="Arial" w:hAnsi="Arial" w:cs="Arial"/>
          <w:highlight w:val="yellow"/>
        </w:rPr>
        <w:t>(0.571)</w:t>
      </w:r>
      <w:r w:rsidR="00D9068C" w:rsidRPr="008E54C6">
        <w:rPr>
          <w:rFonts w:ascii="Arial" w:hAnsi="Arial" w:cs="Arial"/>
          <w:highlight w:val="yellow"/>
        </w:rPr>
        <w:t>,</w:t>
      </w:r>
      <w:r w:rsidR="00DC5EBB" w:rsidRPr="008E54C6">
        <w:rPr>
          <w:rFonts w:ascii="Arial" w:hAnsi="Arial" w:cs="Arial"/>
          <w:highlight w:val="yellow"/>
        </w:rPr>
        <w:t xml:space="preserve"> than the satisfaction question, although its test-retest reliability also fell in the “moderate range” (0.491).</w:t>
      </w:r>
      <w:r w:rsidR="00D9068C">
        <w:rPr>
          <w:rFonts w:ascii="Arial" w:hAnsi="Arial" w:cs="Arial"/>
        </w:rPr>
        <w:t xml:space="preserve"> </w:t>
      </w:r>
      <w:r w:rsidR="00466FDA">
        <w:rPr>
          <w:rFonts w:ascii="Arial" w:hAnsi="Arial" w:cs="Arial"/>
        </w:rPr>
        <w:t xml:space="preserve">Reliability improved further under quadratic weights.  </w:t>
      </w:r>
      <w:r w:rsidR="00690108">
        <w:rPr>
          <w:rFonts w:ascii="Arial" w:hAnsi="Arial" w:cs="Arial"/>
        </w:rPr>
        <w:t xml:space="preserve">This indicates that the </w:t>
      </w:r>
      <w:r w:rsidR="001F5320">
        <w:rPr>
          <w:rFonts w:ascii="Arial" w:hAnsi="Arial" w:cs="Arial"/>
        </w:rPr>
        <w:t>NPS</w:t>
      </w:r>
      <w:r w:rsidR="00690108">
        <w:rPr>
          <w:rFonts w:ascii="Arial" w:hAnsi="Arial" w:cs="Arial"/>
        </w:rPr>
        <w:t xml:space="preserve"> appeared to deviate by fewer categories at the re-testing than did the satisfaction rating</w:t>
      </w:r>
      <w:r w:rsidR="00690108" w:rsidRPr="008E54C6">
        <w:rPr>
          <w:rFonts w:ascii="Arial" w:hAnsi="Arial" w:cs="Arial"/>
          <w:highlight w:val="yellow"/>
        </w:rPr>
        <w:t xml:space="preserve">. </w:t>
      </w:r>
      <w:r w:rsidR="002D2353" w:rsidRPr="008E54C6">
        <w:rPr>
          <w:rFonts w:ascii="Arial" w:hAnsi="Arial" w:cs="Arial"/>
          <w:highlight w:val="yellow"/>
        </w:rPr>
        <w:t>It should be highlighted that this approach ex</w:t>
      </w:r>
      <w:r w:rsidR="00D9068C" w:rsidRPr="008E54C6">
        <w:rPr>
          <w:rFonts w:ascii="Arial" w:hAnsi="Arial" w:cs="Arial"/>
          <w:highlight w:val="yellow"/>
        </w:rPr>
        <w:t>p</w:t>
      </w:r>
      <w:r w:rsidR="002D2353" w:rsidRPr="008E54C6">
        <w:rPr>
          <w:rFonts w:ascii="Arial" w:hAnsi="Arial" w:cs="Arial"/>
          <w:highlight w:val="yellow"/>
        </w:rPr>
        <w:t xml:space="preserve">lored the test-retest reliability of responses to the NPS </w:t>
      </w:r>
      <w:r w:rsidR="00D9068C" w:rsidRPr="008E54C6">
        <w:rPr>
          <w:rFonts w:ascii="Arial" w:hAnsi="Arial" w:cs="Arial"/>
          <w:highlight w:val="yellow"/>
        </w:rPr>
        <w:t>question,</w:t>
      </w:r>
      <w:r w:rsidR="002D2353" w:rsidRPr="008E54C6">
        <w:rPr>
          <w:rFonts w:ascii="Arial" w:hAnsi="Arial" w:cs="Arial"/>
          <w:highlight w:val="yellow"/>
        </w:rPr>
        <w:t xml:space="preserve"> prior to these then being classified under either the original or new NHS scoring system. This enables direct comparison of how the semantics of the two questions </w:t>
      </w:r>
      <w:r w:rsidR="00D9068C" w:rsidRPr="008E54C6">
        <w:rPr>
          <w:rFonts w:ascii="Arial" w:hAnsi="Arial" w:cs="Arial"/>
          <w:highlight w:val="yellow"/>
        </w:rPr>
        <w:t>affects test-retest reliability.</w:t>
      </w:r>
    </w:p>
    <w:p w14:paraId="38D64CAD" w14:textId="6D901D2E" w:rsidR="002D5891" w:rsidRDefault="002D5891" w:rsidP="005E38B9">
      <w:pPr>
        <w:spacing w:after="0"/>
        <w:rPr>
          <w:rFonts w:ascii="Arial" w:hAnsi="Arial" w:cs="Arial"/>
          <w:b/>
        </w:rPr>
      </w:pPr>
    </w:p>
    <w:p w14:paraId="19525615" w14:textId="77777777" w:rsidR="00B67BE4" w:rsidRDefault="00B67BE4" w:rsidP="005E38B9">
      <w:pPr>
        <w:spacing w:after="0"/>
        <w:rPr>
          <w:rFonts w:ascii="Arial" w:hAnsi="Arial" w:cs="Arial"/>
          <w:b/>
        </w:rPr>
      </w:pPr>
    </w:p>
    <w:p w14:paraId="2EBDD72F" w14:textId="77777777" w:rsidR="00D1162B" w:rsidRDefault="00D1162B" w:rsidP="005E38B9">
      <w:pPr>
        <w:spacing w:after="0"/>
        <w:rPr>
          <w:rFonts w:ascii="Arial" w:hAnsi="Arial" w:cs="Arial"/>
          <w:b/>
          <w:i/>
        </w:rPr>
      </w:pPr>
    </w:p>
    <w:p w14:paraId="4CBC5722" w14:textId="084DE469" w:rsidR="007D35F6" w:rsidRPr="009A7E8E" w:rsidRDefault="00D1162B" w:rsidP="005E38B9">
      <w:pPr>
        <w:spacing w:after="0"/>
        <w:rPr>
          <w:rFonts w:ascii="Arial" w:hAnsi="Arial" w:cs="Arial"/>
          <w:b/>
          <w:i/>
          <w:highlight w:val="yellow"/>
        </w:rPr>
      </w:pPr>
      <w:r w:rsidRPr="009A7E8E">
        <w:rPr>
          <w:rFonts w:ascii="Arial" w:hAnsi="Arial" w:cs="Arial"/>
          <w:b/>
          <w:i/>
          <w:highlight w:val="yellow"/>
        </w:rPr>
        <w:t>Sensitivity analysis: Using the current NHS scoring system</w:t>
      </w:r>
    </w:p>
    <w:p w14:paraId="75ECBDB5" w14:textId="1636D16D" w:rsidR="004F7C73" w:rsidRPr="009A7E8E" w:rsidRDefault="004F7C73" w:rsidP="004F7C73">
      <w:pPr>
        <w:spacing w:after="0" w:line="480" w:lineRule="auto"/>
        <w:rPr>
          <w:rFonts w:ascii="Arial" w:hAnsi="Arial" w:cs="Arial"/>
          <w:b/>
          <w:highlight w:val="yellow"/>
        </w:rPr>
      </w:pPr>
    </w:p>
    <w:p w14:paraId="6B6B3C42" w14:textId="4192D200" w:rsidR="009353D0" w:rsidRDefault="004F7C73" w:rsidP="00662046">
      <w:pPr>
        <w:spacing w:after="0" w:line="480" w:lineRule="auto"/>
        <w:jc w:val="both"/>
        <w:rPr>
          <w:rFonts w:ascii="Arial" w:hAnsi="Arial" w:cs="Arial"/>
          <w:highlight w:val="yellow"/>
        </w:rPr>
      </w:pPr>
      <w:r w:rsidRPr="009A7E8E">
        <w:rPr>
          <w:rFonts w:ascii="Arial" w:hAnsi="Arial" w:cs="Arial"/>
          <w:highlight w:val="yellow"/>
        </w:rPr>
        <w:t xml:space="preserve">A final set of analyses explored the sensitivity of the results presented in this paper to how the Friends and Family Test question is scored.  From Table 2, under the new scoring </w:t>
      </w:r>
      <w:r w:rsidR="00D1162B" w:rsidRPr="009A7E8E">
        <w:rPr>
          <w:rFonts w:ascii="Arial" w:hAnsi="Arial" w:cs="Arial"/>
          <w:highlight w:val="yellow"/>
        </w:rPr>
        <w:t xml:space="preserve">approach used in the English NHS, </w:t>
      </w:r>
      <w:r w:rsidRPr="009A7E8E">
        <w:rPr>
          <w:rFonts w:ascii="Arial" w:hAnsi="Arial" w:cs="Arial"/>
          <w:highlight w:val="yellow"/>
        </w:rPr>
        <w:t xml:space="preserve">79 per cent of respondents would be classified </w:t>
      </w:r>
      <w:r w:rsidR="00674E91" w:rsidRPr="009A7E8E">
        <w:rPr>
          <w:rFonts w:ascii="Arial" w:hAnsi="Arial" w:cs="Arial"/>
          <w:highlight w:val="yellow"/>
        </w:rPr>
        <w:t xml:space="preserve">as </w:t>
      </w:r>
      <w:r w:rsidR="00674E91">
        <w:rPr>
          <w:rFonts w:ascii="Arial" w:hAnsi="Arial" w:cs="Arial"/>
          <w:highlight w:val="yellow"/>
        </w:rPr>
        <w:t>recommending</w:t>
      </w:r>
      <w:r w:rsidR="009353D0">
        <w:rPr>
          <w:rFonts w:ascii="Arial" w:hAnsi="Arial" w:cs="Arial"/>
          <w:highlight w:val="yellow"/>
        </w:rPr>
        <w:t xml:space="preserve"> the services </w:t>
      </w:r>
      <w:r w:rsidR="00674E91">
        <w:rPr>
          <w:rFonts w:ascii="Arial" w:hAnsi="Arial" w:cs="Arial"/>
          <w:highlight w:val="yellow"/>
        </w:rPr>
        <w:t xml:space="preserve">(‘extremely likely’ + ‘likely’) </w:t>
      </w:r>
      <w:r w:rsidRPr="009A7E8E">
        <w:rPr>
          <w:rFonts w:ascii="Arial" w:hAnsi="Arial" w:cs="Arial"/>
          <w:highlight w:val="yellow"/>
        </w:rPr>
        <w:t>and 10 per cent not recommending services</w:t>
      </w:r>
      <w:r w:rsidR="00C101A3">
        <w:rPr>
          <w:rFonts w:ascii="Arial" w:hAnsi="Arial" w:cs="Arial"/>
          <w:highlight w:val="yellow"/>
        </w:rPr>
        <w:t xml:space="preserve"> (‘extremely unlikely’ + ‘unlikely’)</w:t>
      </w:r>
      <w:r w:rsidRPr="009A7E8E">
        <w:rPr>
          <w:rFonts w:ascii="Arial" w:hAnsi="Arial" w:cs="Arial"/>
          <w:highlight w:val="yellow"/>
        </w:rPr>
        <w:t>.</w:t>
      </w:r>
      <w:r w:rsidR="00390BBA" w:rsidRPr="009A7E8E">
        <w:rPr>
          <w:rFonts w:ascii="Arial" w:hAnsi="Arial" w:cs="Arial"/>
          <w:highlight w:val="yellow"/>
        </w:rPr>
        <w:t xml:space="preserve"> </w:t>
      </w:r>
      <w:r w:rsidR="009353D0">
        <w:rPr>
          <w:rFonts w:ascii="Arial" w:hAnsi="Arial" w:cs="Arial"/>
          <w:highlight w:val="yellow"/>
        </w:rPr>
        <w:t>A further</w:t>
      </w:r>
      <w:r w:rsidR="00390BBA" w:rsidRPr="009A7E8E">
        <w:rPr>
          <w:rFonts w:ascii="Arial" w:hAnsi="Arial" w:cs="Arial"/>
          <w:highlight w:val="yellow"/>
        </w:rPr>
        <w:t xml:space="preserve"> </w:t>
      </w:r>
      <w:r w:rsidR="009353D0" w:rsidRPr="009A7E8E">
        <w:rPr>
          <w:rFonts w:ascii="Arial" w:hAnsi="Arial" w:cs="Arial"/>
          <w:highlight w:val="yellow"/>
        </w:rPr>
        <w:t xml:space="preserve">11 per cent </w:t>
      </w:r>
      <w:r w:rsidR="009353D0">
        <w:rPr>
          <w:rFonts w:ascii="Arial" w:hAnsi="Arial" w:cs="Arial"/>
          <w:highlight w:val="yellow"/>
        </w:rPr>
        <w:t>were equivocal.</w:t>
      </w:r>
    </w:p>
    <w:p w14:paraId="77DF0025" w14:textId="77777777" w:rsidR="009353D0" w:rsidRDefault="009353D0" w:rsidP="004F7C73">
      <w:pPr>
        <w:spacing w:after="0" w:line="480" w:lineRule="auto"/>
        <w:rPr>
          <w:rFonts w:ascii="Arial" w:hAnsi="Arial" w:cs="Arial"/>
          <w:highlight w:val="yellow"/>
        </w:rPr>
      </w:pPr>
    </w:p>
    <w:p w14:paraId="05887FCF" w14:textId="005D198A" w:rsidR="00D1162B" w:rsidRPr="004F7C73" w:rsidRDefault="00FA4DE3" w:rsidP="00662046">
      <w:pPr>
        <w:spacing w:after="0" w:line="480" w:lineRule="auto"/>
        <w:jc w:val="both"/>
        <w:rPr>
          <w:rFonts w:ascii="Arial" w:hAnsi="Arial" w:cs="Arial"/>
        </w:rPr>
      </w:pPr>
      <w:r w:rsidRPr="009A7E8E">
        <w:rPr>
          <w:rFonts w:ascii="Arial" w:hAnsi="Arial" w:cs="Arial"/>
          <w:highlight w:val="yellow"/>
        </w:rPr>
        <w:t xml:space="preserve">Replication of the results </w:t>
      </w:r>
      <w:r w:rsidR="00D1162B" w:rsidRPr="009A7E8E">
        <w:rPr>
          <w:rFonts w:ascii="Arial" w:hAnsi="Arial" w:cs="Arial"/>
          <w:highlight w:val="yellow"/>
        </w:rPr>
        <w:t>in Table 3 using the new scoring system revealed no meaningful differences, with all directions and strengths of association being broadly maintained, and no change is significance at the 5 per cent threshold were identified.  However, replicating the exploratory regression did not achieve the same results.  Specifically</w:t>
      </w:r>
      <w:r w:rsidR="009A7E8E" w:rsidRPr="009A7E8E">
        <w:rPr>
          <w:rFonts w:ascii="Arial" w:hAnsi="Arial" w:cs="Arial"/>
          <w:highlight w:val="yellow"/>
        </w:rPr>
        <w:t>, patients with psychosis being supported by a psychiatrist were not found to have significantly different scores to other respondents.</w:t>
      </w:r>
      <w:r w:rsidR="009A7E8E">
        <w:rPr>
          <w:rFonts w:ascii="Arial" w:hAnsi="Arial" w:cs="Arial"/>
        </w:rPr>
        <w:t xml:space="preserve">  </w:t>
      </w:r>
    </w:p>
    <w:p w14:paraId="52E7BCB5" w14:textId="77777777" w:rsidR="007D35F6" w:rsidRDefault="007D35F6" w:rsidP="005E38B9">
      <w:pPr>
        <w:spacing w:after="0"/>
        <w:rPr>
          <w:rFonts w:ascii="Arial" w:hAnsi="Arial" w:cs="Arial"/>
          <w:b/>
        </w:rPr>
      </w:pPr>
    </w:p>
    <w:p w14:paraId="104861CA" w14:textId="77777777" w:rsidR="000F4196" w:rsidRDefault="000F4196" w:rsidP="004F5F2E">
      <w:pPr>
        <w:spacing w:after="0"/>
        <w:outlineLvl w:val="0"/>
        <w:rPr>
          <w:rFonts w:ascii="Arial" w:hAnsi="Arial" w:cs="Arial"/>
          <w:b/>
        </w:rPr>
      </w:pPr>
    </w:p>
    <w:p w14:paraId="43DC4D29" w14:textId="77777777" w:rsidR="002D5891" w:rsidRDefault="002D5891" w:rsidP="004F5F2E">
      <w:pPr>
        <w:spacing w:after="0"/>
        <w:outlineLvl w:val="0"/>
        <w:rPr>
          <w:rFonts w:ascii="Arial" w:hAnsi="Arial" w:cs="Arial"/>
          <w:b/>
        </w:rPr>
      </w:pPr>
      <w:r>
        <w:rPr>
          <w:rFonts w:ascii="Arial" w:hAnsi="Arial" w:cs="Arial"/>
          <w:b/>
        </w:rPr>
        <w:t>DISCUSSION</w:t>
      </w:r>
    </w:p>
    <w:p w14:paraId="7589025F" w14:textId="77777777" w:rsidR="00866C78" w:rsidRDefault="00866C78" w:rsidP="00866C78">
      <w:pPr>
        <w:spacing w:after="240"/>
        <w:jc w:val="both"/>
        <w:rPr>
          <w:rFonts w:ascii="Arial" w:hAnsi="Arial" w:cs="Arial"/>
          <w:sz w:val="24"/>
          <w:szCs w:val="24"/>
        </w:rPr>
      </w:pPr>
    </w:p>
    <w:p w14:paraId="242CE69B" w14:textId="77777777" w:rsidR="008A4F98" w:rsidRDefault="001F5320" w:rsidP="00656A21">
      <w:pPr>
        <w:spacing w:after="0" w:line="480" w:lineRule="auto"/>
        <w:jc w:val="both"/>
        <w:rPr>
          <w:rFonts w:ascii="Arial" w:hAnsi="Arial" w:cs="Arial"/>
        </w:rPr>
      </w:pPr>
      <w:r>
        <w:rPr>
          <w:rFonts w:ascii="Arial" w:hAnsi="Arial" w:cs="Arial"/>
        </w:rPr>
        <w:t xml:space="preserve">The NPS is a staple part of </w:t>
      </w:r>
      <w:r w:rsidR="002A4392">
        <w:rPr>
          <w:rFonts w:ascii="Arial" w:hAnsi="Arial" w:cs="Arial"/>
        </w:rPr>
        <w:t>healthcare evaluation through its incorporation in several quality measures used internationally, including the Consumer Quality Index (CQI) in the Netherlands and the Consumer Assessment of Healthcare Providers and Systems (CAHPS) in the USA</w:t>
      </w:r>
      <w:r w:rsidR="0087711C">
        <w:rPr>
          <w:rFonts w:ascii="Arial" w:hAnsi="Arial" w:cs="Arial"/>
        </w:rPr>
        <w:fldChar w:fldCharType="begin" w:fldLock="1"/>
      </w:r>
      <w:r w:rsidR="0032332D">
        <w:rPr>
          <w:rFonts w:ascii="Arial" w:hAnsi="Arial" w:cs="Arial"/>
        </w:rPr>
        <w:instrText>ADDIN CSL_CITATION { "citationItems" : [ { "id" : "ITEM-1", "itemData" : { "DOI" : "10.1111/hex.12297", "ISSN" : "13696513", "author" : [ { "dropping-particle" : "", "family" : "Krol", "given" : "Maarten W.", "non-dropping-particle" : "", "parse-names" : false, "suffix" : "" }, { "dropping-particle" : "", "family" : "Boer", "given" : "Dolf", "non-dropping-particle" : "de", "parse-names" : false, "suffix" : "" }, { "dropping-particle" : "", "family" : "Delnoij", "given" : "Diana M.", "non-dropping-particle" : "", "parse-names" : false, "suffix" : "" }, { "dropping-particle" : "", "family" : "Rademakers", "given" : "Jany J. D. J. M.", "non-dropping-particle" : "", "parse-names" : false, "suffix" : "" } ], "container-title" : "Health Expectations", "id" : "ITEM-1", "issue" : "6", "issued" : { "date-parts" : [ [ "2015", "12", "1" ] ] }, "page" : "3099-3109", "title" : "The Net Promoter Score - an asset to patient experience surveys?", "type" : "article-journal", "volume" : "18" }, "uris" : [ "http://www.mendeley.com/documents/?uuid=45e3b8e7-7ce5-3921-9706-96937cf18936" ] } ], "mendeley" : { "formattedCitation" : "&lt;sup&gt;16&lt;/sup&gt;", "plainTextFormattedCitation" : "16", "previouslyFormattedCitation" : "&lt;sup&gt;16&lt;/sup&gt;" }, "properties" : { "noteIndex" : 0 }, "schema" : "https://github.com/citation-style-language/schema/raw/master/csl-citation.json" }</w:instrText>
      </w:r>
      <w:r w:rsidR="0087711C">
        <w:rPr>
          <w:rFonts w:ascii="Arial" w:hAnsi="Arial" w:cs="Arial"/>
        </w:rPr>
        <w:fldChar w:fldCharType="separate"/>
      </w:r>
      <w:r w:rsidR="00471B8C" w:rsidRPr="00471B8C">
        <w:rPr>
          <w:rFonts w:ascii="Arial" w:hAnsi="Arial" w:cs="Arial"/>
          <w:noProof/>
          <w:vertAlign w:val="superscript"/>
        </w:rPr>
        <w:t>16</w:t>
      </w:r>
      <w:r w:rsidR="0087711C">
        <w:rPr>
          <w:rFonts w:ascii="Arial" w:hAnsi="Arial" w:cs="Arial"/>
        </w:rPr>
        <w:fldChar w:fldCharType="end"/>
      </w:r>
      <w:r w:rsidR="002A4392">
        <w:rPr>
          <w:rFonts w:ascii="Arial" w:hAnsi="Arial" w:cs="Arial"/>
        </w:rPr>
        <w:t xml:space="preserve">.  </w:t>
      </w:r>
      <w:r>
        <w:rPr>
          <w:rFonts w:ascii="Arial" w:hAnsi="Arial" w:cs="Arial"/>
        </w:rPr>
        <w:t xml:space="preserve">Its collection in England as the Friends and Family Test </w:t>
      </w:r>
      <w:r w:rsidR="0061184F">
        <w:rPr>
          <w:rFonts w:ascii="Arial" w:hAnsi="Arial" w:cs="Arial"/>
        </w:rPr>
        <w:t xml:space="preserve">has been promoted as </w:t>
      </w:r>
      <w:r w:rsidR="00923372">
        <w:rPr>
          <w:rFonts w:ascii="Arial" w:hAnsi="Arial" w:cs="Arial"/>
        </w:rPr>
        <w:t xml:space="preserve">being </w:t>
      </w:r>
      <w:r w:rsidR="0061184F">
        <w:rPr>
          <w:rFonts w:ascii="Arial" w:hAnsi="Arial" w:cs="Arial"/>
        </w:rPr>
        <w:t>the largest source of data on patient opinion in the world</w:t>
      </w:r>
      <w:r w:rsidR="002A4392">
        <w:rPr>
          <w:rFonts w:ascii="Arial" w:hAnsi="Arial" w:cs="Arial"/>
        </w:rPr>
        <w:t xml:space="preserve">.  However, </w:t>
      </w:r>
      <w:r w:rsidR="0061184F">
        <w:rPr>
          <w:rFonts w:ascii="Arial" w:hAnsi="Arial" w:cs="Arial"/>
        </w:rPr>
        <w:t xml:space="preserve">its origins as an tool </w:t>
      </w:r>
      <w:r w:rsidR="002A4392">
        <w:rPr>
          <w:rFonts w:ascii="Arial" w:hAnsi="Arial" w:cs="Arial"/>
        </w:rPr>
        <w:t>for appraising market share in retail</w:t>
      </w:r>
      <w:r w:rsidR="0061184F">
        <w:rPr>
          <w:rFonts w:ascii="Arial" w:hAnsi="Arial" w:cs="Arial"/>
        </w:rPr>
        <w:t xml:space="preserve"> </w:t>
      </w:r>
      <w:r w:rsidR="002A4392">
        <w:rPr>
          <w:rFonts w:ascii="Arial" w:hAnsi="Arial" w:cs="Arial"/>
        </w:rPr>
        <w:t>industries</w:t>
      </w:r>
      <w:r w:rsidR="0061184F">
        <w:rPr>
          <w:rFonts w:ascii="Arial" w:hAnsi="Arial" w:cs="Arial"/>
        </w:rPr>
        <w:t xml:space="preserve"> raises legitimate questions as to its value in </w:t>
      </w:r>
      <w:r>
        <w:rPr>
          <w:rFonts w:ascii="Arial" w:hAnsi="Arial" w:cs="Arial"/>
        </w:rPr>
        <w:t xml:space="preserve">many </w:t>
      </w:r>
      <w:r w:rsidR="002A4392">
        <w:rPr>
          <w:rFonts w:ascii="Arial" w:hAnsi="Arial" w:cs="Arial"/>
        </w:rPr>
        <w:t xml:space="preserve">health </w:t>
      </w:r>
      <w:r>
        <w:rPr>
          <w:rFonts w:ascii="Arial" w:hAnsi="Arial" w:cs="Arial"/>
        </w:rPr>
        <w:t>services</w:t>
      </w:r>
      <w:r w:rsidR="005B4762">
        <w:rPr>
          <w:rFonts w:ascii="Arial" w:hAnsi="Arial" w:cs="Arial"/>
        </w:rPr>
        <w:fldChar w:fldCharType="begin" w:fldLock="1"/>
      </w:r>
      <w:r w:rsidR="005B4762">
        <w:rPr>
          <w:rFonts w:ascii="Arial" w:hAnsi="Arial" w:cs="Arial"/>
        </w:rPr>
        <w:instrText>ADDIN CSL_CITATION { "citationItems" : [ { "id" : "ITEM-1", "itemData" : { "author" : [ { "dropping-particle" : "", "family" : "Picker Institute Europe", "given" : "", "non-dropping-particle" : "", "parse-names" : false, "suffix" : "" } ], "id" : "ITEM-1", "issued" : { "date-parts" : [ [ "2014" ] ] }, "publisher-place" : "Oxford", "title" : "Policy Briefing: The Friends and Family Test", "type" : "report" }, "uris" : [ "http://www.mendeley.com/documents/?uuid=ade1529e-3a66-499a-a0b8-2ecc57cb9530" ] } ], "mendeley" : { "formattedCitation" : "&lt;sup&gt;27&lt;/sup&gt;", "plainTextFormattedCitation" : "27" }, "properties" : { "noteIndex" : 0 }, "schema" : "https://github.com/citation-style-language/schema/raw/master/csl-citation.json" }</w:instrText>
      </w:r>
      <w:r w:rsidR="005B4762">
        <w:rPr>
          <w:rFonts w:ascii="Arial" w:hAnsi="Arial" w:cs="Arial"/>
        </w:rPr>
        <w:fldChar w:fldCharType="separate"/>
      </w:r>
      <w:r w:rsidR="005B4762" w:rsidRPr="005B4762">
        <w:rPr>
          <w:rFonts w:ascii="Arial" w:hAnsi="Arial" w:cs="Arial"/>
          <w:noProof/>
          <w:vertAlign w:val="superscript"/>
        </w:rPr>
        <w:t>27</w:t>
      </w:r>
      <w:r w:rsidR="005B4762">
        <w:rPr>
          <w:rFonts w:ascii="Arial" w:hAnsi="Arial" w:cs="Arial"/>
        </w:rPr>
        <w:fldChar w:fldCharType="end"/>
      </w:r>
      <w:r>
        <w:rPr>
          <w:rFonts w:ascii="Arial" w:hAnsi="Arial" w:cs="Arial"/>
        </w:rPr>
        <w:t xml:space="preserve">, and in </w:t>
      </w:r>
      <w:r w:rsidR="008B6436">
        <w:rPr>
          <w:rFonts w:ascii="Arial" w:hAnsi="Arial" w:cs="Arial"/>
        </w:rPr>
        <w:t>old-age psychiatry</w:t>
      </w:r>
      <w:r>
        <w:rPr>
          <w:rFonts w:ascii="Arial" w:hAnsi="Arial" w:cs="Arial"/>
        </w:rPr>
        <w:t xml:space="preserve"> in particular</w:t>
      </w:r>
      <w:r w:rsidR="008B6436">
        <w:rPr>
          <w:rFonts w:ascii="Arial" w:hAnsi="Arial" w:cs="Arial"/>
        </w:rPr>
        <w:t xml:space="preserve">.  </w:t>
      </w:r>
      <w:r w:rsidR="005B5743">
        <w:rPr>
          <w:rFonts w:ascii="Arial" w:hAnsi="Arial" w:cs="Arial"/>
        </w:rPr>
        <w:t xml:space="preserve">Yet </w:t>
      </w:r>
      <w:r w:rsidR="0079469A">
        <w:rPr>
          <w:rFonts w:ascii="Arial" w:hAnsi="Arial" w:cs="Arial"/>
        </w:rPr>
        <w:t>studies testing</w:t>
      </w:r>
      <w:r w:rsidR="005B5743">
        <w:rPr>
          <w:rFonts w:ascii="Arial" w:hAnsi="Arial" w:cs="Arial"/>
        </w:rPr>
        <w:t xml:space="preserve"> patient experience measures </w:t>
      </w:r>
      <w:r w:rsidR="0079469A">
        <w:rPr>
          <w:rFonts w:ascii="Arial" w:hAnsi="Arial" w:cs="Arial"/>
        </w:rPr>
        <w:t>are</w:t>
      </w:r>
      <w:r w:rsidR="005B5743">
        <w:rPr>
          <w:rFonts w:ascii="Arial" w:hAnsi="Arial" w:cs="Arial"/>
        </w:rPr>
        <w:t xml:space="preserve"> </w:t>
      </w:r>
      <w:r w:rsidR="006E2E2D">
        <w:rPr>
          <w:rFonts w:ascii="Arial" w:hAnsi="Arial" w:cs="Arial"/>
        </w:rPr>
        <w:t>scarce</w:t>
      </w:r>
      <w:r w:rsidR="005B5743">
        <w:rPr>
          <w:rFonts w:ascii="Arial" w:hAnsi="Arial" w:cs="Arial"/>
        </w:rPr>
        <w:t xml:space="preserve">, and given </w:t>
      </w:r>
      <w:r w:rsidR="008A4F98">
        <w:rPr>
          <w:rFonts w:ascii="Arial" w:hAnsi="Arial" w:cs="Arial"/>
        </w:rPr>
        <w:t xml:space="preserve">the </w:t>
      </w:r>
      <w:r w:rsidR="00DA4C74">
        <w:rPr>
          <w:rFonts w:ascii="Arial" w:hAnsi="Arial" w:cs="Arial"/>
        </w:rPr>
        <w:t xml:space="preserve">substantial </w:t>
      </w:r>
      <w:r w:rsidR="008A4F98">
        <w:rPr>
          <w:rFonts w:ascii="Arial" w:hAnsi="Arial" w:cs="Arial"/>
        </w:rPr>
        <w:t xml:space="preserve">resources devoted to </w:t>
      </w:r>
      <w:r w:rsidR="0079469A">
        <w:rPr>
          <w:rFonts w:ascii="Arial" w:hAnsi="Arial" w:cs="Arial"/>
        </w:rPr>
        <w:t>asking patients the NPS question</w:t>
      </w:r>
      <w:r w:rsidR="0079469A">
        <w:rPr>
          <w:rFonts w:ascii="Arial" w:hAnsi="Arial" w:cs="Arial"/>
        </w:rPr>
        <w:fldChar w:fldCharType="begin" w:fldLock="1"/>
      </w:r>
      <w:r w:rsidR="0032332D">
        <w:rPr>
          <w:rFonts w:ascii="Arial" w:hAnsi="Arial" w:cs="Arial"/>
        </w:rPr>
        <w:instrText>ADDIN CSL_CITATION { "citationItems" : [ { "id" : "ITEM-1", "itemData" : { "DOI" : "10.1136/BMJ.K367", "ISSN" : "1756-1833", "PMID" : "29378693", "abstract" : "Valued by policy makers but generates little insight for practitioners Don Berwick, an international leader in the safety and quality of healthcare, has called for \u201ca significant reduction in the volume and total cost of measurements currently being used and enforced in health care.\u201d1 He is not alone in arguing that a belief in accountability and market theory \u201chas brought with it excessive measurement, much of which is useless but nonetheless mandated.\u201d2 The inpatient \u201cfriends and family test\u201d was introduced in all English acute hospitals in April 2013. The aim was to provide a simple metric that, when combined with follow-up questions, could be used to drive cultural change and improve the quality of care.3 The main question is \u201cHow likely are you to recommend our service to friends and family if they needed similar care or treatment?\u201d and respondents can rank their answer from \u201cextremely likely\u201d to \u201cextremely unlikely.\u201d The test was formally reviewed after the first six months of data collection and subsequently extended to maternity, outpatient, ambulance, mental \u2026", "author" : [ { "dropping-particle" : "", "family" : "Robert", "given" : "Glenn", "non-dropping-particle" : "", "parse-names" : false, "suffix" : "" }, { "dropping-particle" : "", "family" : "Cornwell", "given" : "Jocelyn", "non-dropping-particle" : "", "parse-names" : false, "suffix" : "" }, { "dropping-particle" : "", "family" : "Black", "given" : "Nick", "non-dropping-particle" : "", "parse-names" : false, "suffix" : "" } ], "container-title" : "BMJ", "id" : "ITEM-1", "issued" : { "date-parts" : [ [ "2018", "1", "29" ] ] }, "page" : "k367", "publisher" : "British Medical Journal Publishing Group", "title" : "Friends and family test should no longer be mandatory.", "type" : "article-journal", "volume" : "360" }, "uris" : [ "http://www.mendeley.com/documents/?uuid=71a1558a-cfac-3bba-8514-b659c229e300" ] } ], "mendeley" : { "formattedCitation" : "&lt;sup&gt;26&lt;/sup&gt;", "plainTextFormattedCitation" : "26", "previouslyFormattedCitation" : "&lt;sup&gt;26&lt;/sup&gt;" }, "properties" : { "noteIndex" : 0 }, "schema" : "https://github.com/citation-style-language/schema/raw/master/csl-citation.json" }</w:instrText>
      </w:r>
      <w:r w:rsidR="0079469A">
        <w:rPr>
          <w:rFonts w:ascii="Arial" w:hAnsi="Arial" w:cs="Arial"/>
        </w:rPr>
        <w:fldChar w:fldCharType="separate"/>
      </w:r>
      <w:r w:rsidR="00471B8C" w:rsidRPr="00471B8C">
        <w:rPr>
          <w:rFonts w:ascii="Arial" w:hAnsi="Arial" w:cs="Arial"/>
          <w:noProof/>
          <w:vertAlign w:val="superscript"/>
        </w:rPr>
        <w:t>26</w:t>
      </w:r>
      <w:r w:rsidR="0079469A">
        <w:rPr>
          <w:rFonts w:ascii="Arial" w:hAnsi="Arial" w:cs="Arial"/>
        </w:rPr>
        <w:fldChar w:fldCharType="end"/>
      </w:r>
      <w:r w:rsidR="008A4F98">
        <w:rPr>
          <w:rFonts w:ascii="Arial" w:hAnsi="Arial" w:cs="Arial"/>
        </w:rPr>
        <w:t xml:space="preserve">, and its growing use in research, the case for empirically exploring its value is indicated.  </w:t>
      </w:r>
    </w:p>
    <w:p w14:paraId="699797F5" w14:textId="77777777" w:rsidR="00656A21" w:rsidRDefault="00656A21" w:rsidP="00656A21">
      <w:pPr>
        <w:spacing w:after="0" w:line="480" w:lineRule="auto"/>
        <w:jc w:val="both"/>
        <w:rPr>
          <w:rFonts w:ascii="Arial" w:hAnsi="Arial" w:cs="Arial"/>
        </w:rPr>
      </w:pPr>
    </w:p>
    <w:p w14:paraId="77AD6F10" w14:textId="3ABE92A6" w:rsidR="005865E1" w:rsidRDefault="004759CB" w:rsidP="005865E1">
      <w:pPr>
        <w:spacing w:after="0" w:line="480" w:lineRule="auto"/>
        <w:jc w:val="both"/>
        <w:rPr>
          <w:rFonts w:ascii="Arial" w:hAnsi="Arial" w:cs="Arial"/>
        </w:rPr>
      </w:pPr>
      <w:r>
        <w:rPr>
          <w:rFonts w:ascii="Arial" w:hAnsi="Arial" w:cs="Arial"/>
        </w:rPr>
        <w:lastRenderedPageBreak/>
        <w:t xml:space="preserve">Analysis of the </w:t>
      </w:r>
      <w:r w:rsidR="001F5320">
        <w:rPr>
          <w:rFonts w:ascii="Arial" w:hAnsi="Arial" w:cs="Arial"/>
        </w:rPr>
        <w:t>NPS</w:t>
      </w:r>
      <w:r>
        <w:rPr>
          <w:rFonts w:ascii="Arial" w:hAnsi="Arial" w:cs="Arial"/>
        </w:rPr>
        <w:t xml:space="preserve"> found several trends of potential value to </w:t>
      </w:r>
      <w:r w:rsidR="002A4392">
        <w:rPr>
          <w:rFonts w:ascii="Arial" w:hAnsi="Arial" w:cs="Arial"/>
        </w:rPr>
        <w:t>researchers</w:t>
      </w:r>
      <w:r w:rsidR="004F779E">
        <w:rPr>
          <w:rFonts w:ascii="Arial" w:hAnsi="Arial" w:cs="Arial"/>
        </w:rPr>
        <w:t>,</w:t>
      </w:r>
      <w:r w:rsidR="002A4392">
        <w:rPr>
          <w:rFonts w:ascii="Arial" w:hAnsi="Arial" w:cs="Arial"/>
        </w:rPr>
        <w:t xml:space="preserve"> </w:t>
      </w:r>
      <w:r>
        <w:rPr>
          <w:rFonts w:ascii="Arial" w:hAnsi="Arial" w:cs="Arial"/>
        </w:rPr>
        <w:t xml:space="preserve">clinicians, service managers and commissioners.  The first relates to </w:t>
      </w:r>
      <w:r w:rsidR="00415533">
        <w:rPr>
          <w:rFonts w:ascii="Arial" w:hAnsi="Arial" w:cs="Arial"/>
        </w:rPr>
        <w:t xml:space="preserve">CMHTs </w:t>
      </w:r>
      <w:r>
        <w:rPr>
          <w:rFonts w:ascii="Arial" w:hAnsi="Arial" w:cs="Arial"/>
        </w:rPr>
        <w:t xml:space="preserve">as multidisciplinary </w:t>
      </w:r>
      <w:r w:rsidR="00415533">
        <w:rPr>
          <w:rFonts w:ascii="Arial" w:hAnsi="Arial" w:cs="Arial"/>
        </w:rPr>
        <w:t xml:space="preserve">teams, able to draw upon </w:t>
      </w:r>
      <w:r w:rsidR="00635424">
        <w:rPr>
          <w:rFonts w:ascii="Arial" w:hAnsi="Arial" w:cs="Arial"/>
        </w:rPr>
        <w:t>and care coordinate a range of specialist inputs.</w:t>
      </w:r>
      <w:r w:rsidR="00415533">
        <w:rPr>
          <w:rFonts w:ascii="Arial" w:hAnsi="Arial" w:cs="Arial"/>
        </w:rPr>
        <w:t xml:space="preserve"> </w:t>
      </w:r>
      <w:r w:rsidR="00866C78" w:rsidRPr="00866C78">
        <w:rPr>
          <w:rFonts w:ascii="Arial" w:hAnsi="Arial" w:cs="Arial"/>
        </w:rPr>
        <w:t xml:space="preserve">This study indicated that respondents’ likelihood to recommend the service increased when there were more disciplines involved in their care.  This appears to support the model of effective </w:t>
      </w:r>
      <w:r w:rsidR="00635424">
        <w:rPr>
          <w:rFonts w:ascii="Arial" w:hAnsi="Arial" w:cs="Arial"/>
        </w:rPr>
        <w:t>multidisciplinary</w:t>
      </w:r>
      <w:r w:rsidR="00866C78" w:rsidRPr="00866C78">
        <w:rPr>
          <w:rFonts w:ascii="Arial" w:hAnsi="Arial" w:cs="Arial"/>
        </w:rPr>
        <w:t xml:space="preserve"> working as being </w:t>
      </w:r>
      <w:r w:rsidR="00635424">
        <w:rPr>
          <w:rFonts w:ascii="Arial" w:hAnsi="Arial" w:cs="Arial"/>
        </w:rPr>
        <w:t>well</w:t>
      </w:r>
      <w:r w:rsidR="00866C78" w:rsidRPr="00866C78">
        <w:rPr>
          <w:rFonts w:ascii="Arial" w:hAnsi="Arial" w:cs="Arial"/>
        </w:rPr>
        <w:t xml:space="preserve"> placed to meet the needs of individuals and promote good patient experience</w:t>
      </w:r>
      <w:r w:rsidR="00635424">
        <w:rPr>
          <w:rFonts w:ascii="Arial" w:hAnsi="Arial" w:cs="Arial"/>
        </w:rPr>
        <w:t>, perhaps linked to the potential to arrange more care and resources overall</w:t>
      </w:r>
      <w:r w:rsidR="00AC2BFF">
        <w:rPr>
          <w:rFonts w:ascii="Arial" w:hAnsi="Arial" w:cs="Arial"/>
        </w:rPr>
        <w:fldChar w:fldCharType="begin" w:fldLock="1"/>
      </w:r>
      <w:r w:rsidR="0032332D">
        <w:rPr>
          <w:rFonts w:ascii="Arial" w:hAnsi="Arial" w:cs="Arial"/>
        </w:rPr>
        <w:instrText>ADDIN CSL_CITATION { "citationItems" : [ { "id" : "ITEM-1", "itemData" : { "DOI" : "10.1002/gps.4424", "ISSN" : "08856230", "author" : [ { "dropping-particle" : "", "family" : "Wilberforce", "given" : "Mark", "non-dropping-particle" : "", "parse-names" : false, "suffix" : "" }, { "dropping-particle" : "", "family" : "Tucker", "given" : "Sue", "non-dropping-particle" : "", "parse-names" : false, "suffix" : "" }, { "dropping-particle" : "", "family" : "Brand", "given" : "Christian", "non-dropping-particle" : "", "parse-names" : false, "suffix" : "" }, { "dropping-particle" : "", "family" : "Abendstern", "given" : "Michele", "non-dropping-particle" : "", "parse-names" : false, "suffix" : "" }, { "dropping-particle" : "", "family" : "Jasper", "given" : "Rowan", "non-dropping-particle" : "", "parse-names" : false, "suffix" : "" }, { "dropping-particle" : "", "family" : "Challis", "given" : "David", "non-dropping-particle" : "", "parse-names" : false, "suffix" : "" } ], "container-title" : "International Journal of Geriatric Psychiatry", "id" : "ITEM-1", "issue" : "11", "issued" : { "date-parts" : [ [ "2016", "11" ] ] }, "page" : "1208-1216", "title" : "Is integrated care associated with service costs and admission rates to institutional settings? An observational study of community mental health teams for older people in England", "type" : "article-journal", "volume" : "31" }, "uris" : [ "http://www.mendeley.com/documents/?uuid=27355284-d2c2-38d2-acf9-6f2274e83947" ] } ], "mendeley" : { "formattedCitation" : "&lt;sup&gt;32&lt;/sup&gt;", "plainTextFormattedCitation" : "32", "previouslyFormattedCitation" : "&lt;sup&gt;32&lt;/sup&gt;"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32</w:t>
      </w:r>
      <w:r w:rsidR="00AC2BFF">
        <w:rPr>
          <w:rFonts w:ascii="Arial" w:hAnsi="Arial" w:cs="Arial"/>
        </w:rPr>
        <w:fldChar w:fldCharType="end"/>
      </w:r>
      <w:r w:rsidR="00866C78" w:rsidRPr="00866C78">
        <w:rPr>
          <w:rFonts w:ascii="Arial" w:hAnsi="Arial" w:cs="Arial"/>
        </w:rPr>
        <w:t xml:space="preserve">. </w:t>
      </w:r>
      <w:r w:rsidR="005865E1">
        <w:rPr>
          <w:rFonts w:ascii="Arial" w:hAnsi="Arial" w:cs="Arial"/>
        </w:rPr>
        <w:t xml:space="preserve">  </w:t>
      </w:r>
    </w:p>
    <w:p w14:paraId="538AA994" w14:textId="77777777" w:rsidR="005865E1" w:rsidRDefault="005865E1" w:rsidP="005865E1">
      <w:pPr>
        <w:spacing w:after="0" w:line="480" w:lineRule="auto"/>
        <w:jc w:val="both"/>
        <w:rPr>
          <w:rFonts w:ascii="Arial" w:hAnsi="Arial" w:cs="Arial"/>
        </w:rPr>
      </w:pPr>
    </w:p>
    <w:p w14:paraId="09987AD8" w14:textId="77777777" w:rsidR="00866C78" w:rsidRDefault="005865E1" w:rsidP="005865E1">
      <w:pPr>
        <w:spacing w:after="0" w:line="480" w:lineRule="auto"/>
        <w:jc w:val="both"/>
        <w:rPr>
          <w:rFonts w:ascii="Arial" w:hAnsi="Arial" w:cs="Arial"/>
        </w:rPr>
      </w:pPr>
      <w:r>
        <w:rPr>
          <w:rFonts w:ascii="Arial" w:hAnsi="Arial" w:cs="Arial"/>
          <w:color w:val="000000"/>
        </w:rPr>
        <w:t>The second finding challenges the</w:t>
      </w:r>
      <w:r w:rsidR="00635424">
        <w:rPr>
          <w:rFonts w:ascii="Arial" w:hAnsi="Arial" w:cs="Arial"/>
          <w:color w:val="000000"/>
        </w:rPr>
        <w:t xml:space="preserve"> generally accepted </w:t>
      </w:r>
      <w:r w:rsidR="00F04501">
        <w:rPr>
          <w:rFonts w:ascii="Arial" w:hAnsi="Arial" w:cs="Arial"/>
          <w:color w:val="000000"/>
        </w:rPr>
        <w:t xml:space="preserve">and long-standing </w:t>
      </w:r>
      <w:r w:rsidR="00635424">
        <w:rPr>
          <w:rFonts w:ascii="Arial" w:hAnsi="Arial" w:cs="Arial"/>
          <w:color w:val="000000"/>
        </w:rPr>
        <w:t>view that patient evaluations of care quality increase with age</w:t>
      </w:r>
      <w:r w:rsidR="00AC2BFF">
        <w:rPr>
          <w:rFonts w:ascii="Arial" w:hAnsi="Arial" w:cs="Arial"/>
          <w:color w:val="000000"/>
        </w:rPr>
        <w:fldChar w:fldCharType="begin" w:fldLock="1"/>
      </w:r>
      <w:r w:rsidR="0032332D">
        <w:rPr>
          <w:rFonts w:ascii="Arial" w:hAnsi="Arial" w:cs="Arial"/>
          <w:color w:val="000000"/>
        </w:rPr>
        <w:instrText>ADDIN CSL_CITATION { "citationItems" : [ { "id" : "ITEM-1", "itemData" : { "ISSN" : "0277-9536", "PMID" : "8730914", "abstract" : "A picture of patients' satisfaction with interpersonal aspects of hospital-based care (including out-patient and accident and emergency services) was obtained from a postal survey of the general population of Lothian Region in south-east Scotland. Results were broadly in agreement with other national surveys and emphasized the high importance patients attach to being encouraged to ask questions about their treatment, and having their choices explained, including the right to a second opinion. Dissatisfaction decreased markedly with age, and also showed a weaker but significant association with measures of psychosocial health and pain. Social class was associated with feeling patronized or ignored by doctors. The opposite directions of the associations of satisfaction with older age and poorer health respectively, and the necessary correlation between age and health, imply that the effects of health status and age on satisfaction should be estimated from a multivariate model.", "author" : [ { "dropping-particle" : "", "family" : "Cohen", "given" : "G", "non-dropping-particle" : "", "parse-names" : false, "suffix" : "" } ], "container-title" : "Social science &amp; medicine (1982)", "id" : "ITEM-1", "issue" : "7", "issued" : { "date-parts" : [ [ "1996", "4" ] ] }, "page" : "1085-93", "title" : "Age and health status in a patient satisfaction survey.", "type" : "article-journal", "volume" : "42" }, "uris" : [ "http://www.mendeley.com/documents/?uuid=6e8ce550-719e-3488-a35d-2abcfd59f542" ] } ], "mendeley" : { "formattedCitation" : "&lt;sup&gt;33&lt;/sup&gt;", "plainTextFormattedCitation" : "33", "previouslyFormattedCitation" : "&lt;sup&gt;33&lt;/sup&gt;" }, "properties" : { "noteIndex" : 0 }, "schema" : "https://github.com/citation-style-language/schema/raw/master/csl-citation.json" }</w:instrText>
      </w:r>
      <w:r w:rsidR="00AC2BFF">
        <w:rPr>
          <w:rFonts w:ascii="Arial" w:hAnsi="Arial" w:cs="Arial"/>
          <w:color w:val="000000"/>
        </w:rPr>
        <w:fldChar w:fldCharType="separate"/>
      </w:r>
      <w:r w:rsidR="00471B8C" w:rsidRPr="00471B8C">
        <w:rPr>
          <w:rFonts w:ascii="Arial" w:hAnsi="Arial" w:cs="Arial"/>
          <w:noProof/>
          <w:color w:val="000000"/>
          <w:vertAlign w:val="superscript"/>
        </w:rPr>
        <w:t>33</w:t>
      </w:r>
      <w:r w:rsidR="00AC2BFF">
        <w:rPr>
          <w:rFonts w:ascii="Arial" w:hAnsi="Arial" w:cs="Arial"/>
          <w:color w:val="000000"/>
        </w:rPr>
        <w:fldChar w:fldCharType="end"/>
      </w:r>
      <w:r w:rsidR="00635424">
        <w:rPr>
          <w:rFonts w:ascii="Arial" w:hAnsi="Arial" w:cs="Arial"/>
        </w:rPr>
        <w:t xml:space="preserve">.  </w:t>
      </w:r>
      <w:r>
        <w:rPr>
          <w:rFonts w:ascii="Arial" w:hAnsi="Arial" w:cs="Arial"/>
        </w:rPr>
        <w:t>T</w:t>
      </w:r>
      <w:r w:rsidR="00635424">
        <w:rPr>
          <w:rFonts w:ascii="Arial" w:hAnsi="Arial" w:cs="Arial"/>
        </w:rPr>
        <w:t xml:space="preserve">his research finds the opposite with a general decline in reported quality amongst </w:t>
      </w:r>
      <w:r w:rsidR="0079469A">
        <w:rPr>
          <w:rFonts w:ascii="Arial" w:hAnsi="Arial" w:cs="Arial"/>
        </w:rPr>
        <w:t>the oldest age groups</w:t>
      </w:r>
      <w:r w:rsidR="00635424">
        <w:rPr>
          <w:rFonts w:ascii="Arial" w:hAnsi="Arial" w:cs="Arial"/>
        </w:rPr>
        <w:t>.  This suppor</w:t>
      </w:r>
      <w:r>
        <w:rPr>
          <w:rFonts w:ascii="Arial" w:hAnsi="Arial" w:cs="Arial"/>
        </w:rPr>
        <w:t>ts</w:t>
      </w:r>
      <w:r w:rsidR="00635424">
        <w:rPr>
          <w:rFonts w:ascii="Arial" w:hAnsi="Arial" w:cs="Arial"/>
        </w:rPr>
        <w:t xml:space="preserve"> other research with the </w:t>
      </w:r>
      <w:r w:rsidR="0087711C">
        <w:rPr>
          <w:rFonts w:ascii="Arial" w:hAnsi="Arial" w:cs="Arial"/>
        </w:rPr>
        <w:t>NPS in England</w:t>
      </w:r>
      <w:r w:rsidR="00635424">
        <w:rPr>
          <w:rFonts w:ascii="Arial" w:hAnsi="Arial" w:cs="Arial"/>
        </w:rPr>
        <w:t xml:space="preserve"> that perceptions of quality increase with age only up to a point, and contracts thereafter</w:t>
      </w:r>
      <w:r w:rsidR="00AC2BFF">
        <w:rPr>
          <w:rFonts w:ascii="Arial" w:hAnsi="Arial" w:cs="Arial"/>
        </w:rPr>
        <w:fldChar w:fldCharType="begin" w:fldLock="1"/>
      </w:r>
      <w:r w:rsidR="0032332D">
        <w:rPr>
          <w:rFonts w:ascii="Arial" w:hAnsi="Arial" w:cs="Arial"/>
        </w:rPr>
        <w:instrText>ADDIN CSL_CITATION { "citationItems" : [ { "id" : "ITEM-1", "itemData" : { "DOI" : "10.1177/1355819614536887", "ISSN" : "1355-8196", "PMID" : "24973979", "abstract" : "OBJECTIVE To investigate the impact of demographic factors (patients' age and sex) and of the mode of administration of a national patient experience questionnaire in England: the NHS Friends and Family Test. METHODS Secondary analysis of April-August 2013 data collected using a mixed mode approach from 38,998 inpatients and 29,610 emergency department attendees at 429 wards or units in 32 hospitals. Multilevel models were applied with responses from wards nested within hospitals and trusts. Age, sex and mode of administration were entered as main effects. RESULTS There were consistent differences in response for patients and emergency department attendees related to their age and sex. Women gave less positive ratings than men, whilst the likelihood of positive responses increased with age except among the oldest age group (75 years and above). As regards mode of administration, online responses were significantly less positive than postcard responses: the mean differences in score were 22.0 points for inpatients (95% confidence interval 27.3 to 16.7) and 18.0 points for emergency department attendees (29.0 to 7.0). Telephone responses were significantly more positive than postcard responses, with a mean difference of 9.2 (1.6-16.8) in the emergency department setting. CONCLUSIONS Data from the Friends and Family Test are vulnerable to bias from demographic factors and from the mode of administration. Comparisons between organisations should be avoided. Scores may be useful at a local level where the test is implemented consistently and patients' demographic characteristics remain stable. Improving the utility of the Friends and Family Test nationally requires a standardised method for administration and adjustment of results for demographic characteristics.", "author" : [ { "dropping-particle" : "", "family" : "Sizmur", "given" : "Steve", "non-dropping-particle" : "", "parse-names" : false, "suffix" : "" }, { "dropping-particle" : "", "family" : "Graham", "given" : "Chris", "non-dropping-particle" : "", "parse-names" : false, "suffix" : "" }, { "dropping-particle" : "", "family" : "Walsh", "given" : "Joan", "non-dropping-particle" : "", "parse-names" : false, "suffix" : "" } ], "container-title" : "Journal of Health Services Research &amp; Policy", "id" : "ITEM-1", "issue" : "1", "issued" : { "date-parts" : [ [ "2015", "1", "27" ] ] }, "page" : "5-10", "title" : "Influence of patients\u2019 age and sex and the mode of administration on results from the NHS Friends and Family Test of patient experience", "type" : "article-journal", "volume" : "20" }, "uris" : [ "http://www.mendeley.com/documents/?uuid=38c182cc-2486-3b5a-876d-4cca0780381c" ] } ], "mendeley" : { "formattedCitation" : "&lt;sup&gt;29&lt;/sup&gt;", "plainTextFormattedCitation" : "29", "previouslyFormattedCitation" : "&lt;sup&gt;29&lt;/sup&gt;"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29</w:t>
      </w:r>
      <w:r w:rsidR="00AC2BFF">
        <w:rPr>
          <w:rFonts w:ascii="Arial" w:hAnsi="Arial" w:cs="Arial"/>
        </w:rPr>
        <w:fldChar w:fldCharType="end"/>
      </w:r>
      <w:r>
        <w:rPr>
          <w:rFonts w:ascii="Arial" w:hAnsi="Arial" w:cs="Arial"/>
        </w:rPr>
        <w:t>.  One possible cause is provided by s</w:t>
      </w:r>
      <w:r w:rsidR="00866C78" w:rsidRPr="00866C78">
        <w:rPr>
          <w:rFonts w:ascii="Arial" w:hAnsi="Arial" w:cs="Arial"/>
        </w:rPr>
        <w:t xml:space="preserve">tudies </w:t>
      </w:r>
      <w:r>
        <w:rPr>
          <w:rFonts w:ascii="Arial" w:hAnsi="Arial" w:cs="Arial"/>
        </w:rPr>
        <w:t>showing</w:t>
      </w:r>
      <w:r w:rsidR="00866C78" w:rsidRPr="00866C78">
        <w:rPr>
          <w:rFonts w:ascii="Arial" w:hAnsi="Arial" w:cs="Arial"/>
        </w:rPr>
        <w:t xml:space="preserve"> poor</w:t>
      </w:r>
      <w:r>
        <w:rPr>
          <w:rFonts w:ascii="Arial" w:hAnsi="Arial" w:cs="Arial"/>
        </w:rPr>
        <w:t>er</w:t>
      </w:r>
      <w:r w:rsidR="00866C78" w:rsidRPr="00866C78">
        <w:rPr>
          <w:rFonts w:ascii="Arial" w:hAnsi="Arial" w:cs="Arial"/>
        </w:rPr>
        <w:t xml:space="preserve"> </w:t>
      </w:r>
      <w:r>
        <w:rPr>
          <w:rFonts w:ascii="Arial" w:hAnsi="Arial" w:cs="Arial"/>
        </w:rPr>
        <w:t xml:space="preserve">physical </w:t>
      </w:r>
      <w:r w:rsidR="00866C78" w:rsidRPr="00866C78">
        <w:rPr>
          <w:rFonts w:ascii="Arial" w:hAnsi="Arial" w:cs="Arial"/>
        </w:rPr>
        <w:t>health</w:t>
      </w:r>
      <w:r>
        <w:rPr>
          <w:rFonts w:ascii="Arial" w:hAnsi="Arial" w:cs="Arial"/>
        </w:rPr>
        <w:t xml:space="preserve"> and frailty</w:t>
      </w:r>
      <w:r w:rsidR="00866C78" w:rsidRPr="00866C78">
        <w:rPr>
          <w:rFonts w:ascii="Arial" w:hAnsi="Arial" w:cs="Arial"/>
        </w:rPr>
        <w:t xml:space="preserve"> </w:t>
      </w:r>
      <w:r>
        <w:rPr>
          <w:rFonts w:ascii="Arial" w:hAnsi="Arial" w:cs="Arial"/>
        </w:rPr>
        <w:t>being</w:t>
      </w:r>
      <w:r w:rsidR="00866C78" w:rsidRPr="00866C78">
        <w:rPr>
          <w:rFonts w:ascii="Arial" w:hAnsi="Arial" w:cs="Arial"/>
        </w:rPr>
        <w:t xml:space="preserve"> associated with lower satisfaction</w:t>
      </w:r>
      <w:r>
        <w:rPr>
          <w:rFonts w:ascii="Arial" w:hAnsi="Arial" w:cs="Arial"/>
        </w:rPr>
        <w:t xml:space="preserve"> and </w:t>
      </w:r>
      <w:r w:rsidR="00866C78" w:rsidRPr="00866C78">
        <w:rPr>
          <w:rFonts w:ascii="Arial" w:hAnsi="Arial" w:cs="Arial"/>
        </w:rPr>
        <w:t>willingness to recommend</w:t>
      </w:r>
      <w:r>
        <w:rPr>
          <w:rFonts w:ascii="Arial" w:hAnsi="Arial" w:cs="Arial"/>
        </w:rPr>
        <w:t xml:space="preserve"> services</w:t>
      </w:r>
      <w:r w:rsidR="00AC2BFF">
        <w:rPr>
          <w:rFonts w:ascii="Arial" w:hAnsi="Arial" w:cs="Arial"/>
        </w:rPr>
        <w:fldChar w:fldCharType="begin" w:fldLock="1"/>
      </w:r>
      <w:r w:rsidR="0032332D">
        <w:rPr>
          <w:rFonts w:ascii="Arial" w:hAnsi="Arial" w:cs="Arial"/>
        </w:rPr>
        <w:instrText>ADDIN CSL_CITATION { "citationItems" : [ { "id" : "ITEM-1", "itemData" : { "DOI" : "10.1046/J.1525-1497.2003.20114.X", "ISSN" : "0884-8734", "PMID" : "12534760", "abstract" : "OBJECTIVE Determine relationships between age, self-reported health, and satisfaction in a large cohort of hospitalized patients. DESIGN Cross-sectional survey. SETTING Thirty-one hospitals in a large Midwestern metropolitan area. PATIENTS/PARTICIPATION: Randomly selected medical and surgical patients (N = 64,900; mean age, 61 years; 56% female; 84% white) discharged during specific time periods from July 1990 to March 1995 who responded to a mailed survey (overall response rate, 48%). MEASUREMENTS AND MAIN RESULTS Patients' overall ratings of hospital quality and satisfaction with 5 aspects of care (physician care, nursing care, information provided, discharge instructions, and coordination of care) were measured by a validated survey, which was mailed to patients after discharge. Analyses compared satisfaction in 5 age groups (18 to 35, 36 to 50, 51 to 65, 66 to 80, and &gt; 80 years). Scores for the 5 aspects of care initially increased with age (P &lt;.001) and then declined (P &lt;.001). A similar relationship was found in analyses of the proportion of patients who rated overall quality as \"excellent\" or \"very good.\" Satisfaction was also higher in patients with better self-reported health (P &lt;.001). In analyses of patients with poor to fair health, satisfaction scores peaked at age 65 before declining. However, for patients with good to excellent health, scores peaked at age 80. Moreover, declines in satisfaction in older patients were lower in patients with better health. These findings were consistent in multivariable analyses adjusting for potential confounders. CONCLUSIONS Satisfaction exhibits a complex relationship with age, with scores increasing until age 65 to 80 and then declining. This relationship was consistent across individual satisfaction scales, but was modified by health status. The results suggest that age and health status should be taken into account when interpreting patient satisfaction data.", "author" : [ { "dropping-particle" : "", "family" : "Jaipaul", "given" : "C Komal", "non-dropping-particle" : "", "parse-names" : false, "suffix" : "" }, { "dropping-particle" : "", "family" : "Rosenthal", "given" : "Gary E", "non-dropping-particle" : "", "parse-names" : false, "suffix" : "" } ], "container-title" : "Journal of general internal medicine", "id" : "ITEM-1", "issue" : "1", "issued" : { "date-parts" : [ [ "2003", "1" ] ] }, "page" : "23-30", "publisher" : "Springer", "title" : "Are older patients more satisfied with hospital care than younger patients?", "type" : "article-journal", "volume" : "18" }, "uris" : [ "http://www.mendeley.com/documents/?uuid=e99c4c70-807a-3043-8892-bea70ef29f1f" ] } ], "mendeley" : { "formattedCitation" : "&lt;sup&gt;34&lt;/sup&gt;", "plainTextFormattedCitation" : "34", "previouslyFormattedCitation" : "&lt;sup&gt;34&lt;/sup&gt;"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34</w:t>
      </w:r>
      <w:r w:rsidR="00AC2BFF">
        <w:rPr>
          <w:rFonts w:ascii="Arial" w:hAnsi="Arial" w:cs="Arial"/>
        </w:rPr>
        <w:fldChar w:fldCharType="end"/>
      </w:r>
      <w:r w:rsidR="00866C78" w:rsidRPr="00866C78">
        <w:rPr>
          <w:rFonts w:ascii="Arial" w:hAnsi="Arial" w:cs="Arial"/>
        </w:rPr>
        <w:t xml:space="preserve">. This appears to support </w:t>
      </w:r>
      <w:r>
        <w:rPr>
          <w:rFonts w:ascii="Arial" w:hAnsi="Arial" w:cs="Arial"/>
        </w:rPr>
        <w:t>the policy drive for</w:t>
      </w:r>
      <w:r w:rsidR="00866C78" w:rsidRPr="00866C78">
        <w:rPr>
          <w:rFonts w:ascii="Arial" w:hAnsi="Arial" w:cs="Arial"/>
        </w:rPr>
        <w:t xml:space="preserve"> mental health services, particularly those for older people, to consider physical health implications </w:t>
      </w:r>
      <w:r w:rsidR="0087711C">
        <w:rPr>
          <w:rFonts w:ascii="Arial" w:hAnsi="Arial" w:cs="Arial"/>
        </w:rPr>
        <w:t xml:space="preserve">and comorbidities, </w:t>
      </w:r>
      <w:r w:rsidR="00866C78" w:rsidRPr="00866C78">
        <w:rPr>
          <w:rFonts w:ascii="Arial" w:hAnsi="Arial" w:cs="Arial"/>
        </w:rPr>
        <w:t xml:space="preserve">and </w:t>
      </w:r>
      <w:r w:rsidR="006E2E2D">
        <w:rPr>
          <w:rFonts w:ascii="Arial" w:hAnsi="Arial" w:cs="Arial"/>
        </w:rPr>
        <w:t xml:space="preserve">the </w:t>
      </w:r>
      <w:r w:rsidR="00866C78" w:rsidRPr="00866C78">
        <w:rPr>
          <w:rFonts w:ascii="Arial" w:hAnsi="Arial" w:cs="Arial"/>
        </w:rPr>
        <w:t>importance of joint working in wellbeing</w:t>
      </w:r>
      <w:r w:rsidR="00AC2BFF">
        <w:rPr>
          <w:rFonts w:ascii="Arial" w:hAnsi="Arial" w:cs="Arial"/>
        </w:rPr>
        <w:fldChar w:fldCharType="begin" w:fldLock="1"/>
      </w:r>
      <w:r w:rsidR="0032332D">
        <w:rPr>
          <w:rFonts w:ascii="Arial" w:hAnsi="Arial" w:cs="Arial"/>
        </w:rPr>
        <w:instrText>ADDIN CSL_CITATION { "citationItems" : [ { "id" : "ITEM-1", "itemData" : { "author" : [ { "dropping-particle" : "", "family" : "Mental Health Taskforce", "given" : "", "non-dropping-particle" : "", "parse-names" : false, "suffix" : "" } ], "id" : "ITEM-1", "issued" : { "date-parts" : [ [ "2016" ] ] }, "publisher" : "NHS England", "publisher-place" : "London", "title" : "The Five Year Forward View for Mental Health", "type" : "book" }, "uris" : [ "http://www.mendeley.com/documents/?uuid=72b39ca7-a3d0-3fba-a0f7-570a24ed290d" ] } ], "mendeley" : { "formattedCitation" : "&lt;sup&gt;35&lt;/sup&gt;", "plainTextFormattedCitation" : "35", "previouslyFormattedCitation" : "&lt;sup&gt;35&lt;/sup&gt;"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35</w:t>
      </w:r>
      <w:r w:rsidR="00AC2BFF">
        <w:rPr>
          <w:rFonts w:ascii="Arial" w:hAnsi="Arial" w:cs="Arial"/>
        </w:rPr>
        <w:fldChar w:fldCharType="end"/>
      </w:r>
      <w:r w:rsidR="00866C78" w:rsidRPr="00866C78">
        <w:rPr>
          <w:rFonts w:ascii="Arial" w:hAnsi="Arial" w:cs="Arial"/>
        </w:rPr>
        <w:t>.</w:t>
      </w:r>
    </w:p>
    <w:p w14:paraId="39AD6F69" w14:textId="77777777" w:rsidR="005B4762" w:rsidRDefault="005B4762" w:rsidP="005865E1">
      <w:pPr>
        <w:spacing w:after="0" w:line="480" w:lineRule="auto"/>
        <w:jc w:val="both"/>
        <w:rPr>
          <w:rFonts w:ascii="Arial" w:hAnsi="Arial" w:cs="Arial"/>
        </w:rPr>
      </w:pPr>
    </w:p>
    <w:p w14:paraId="4D97D8CC" w14:textId="77777777" w:rsidR="005B4762" w:rsidRPr="00866C78" w:rsidRDefault="005B4762" w:rsidP="005B4762">
      <w:pPr>
        <w:spacing w:after="0" w:line="480" w:lineRule="auto"/>
        <w:jc w:val="both"/>
        <w:rPr>
          <w:rStyle w:val="authorname"/>
          <w:rFonts w:ascii="Arial" w:hAnsi="Arial" w:cs="Arial"/>
        </w:rPr>
      </w:pPr>
      <w:r>
        <w:rPr>
          <w:rFonts w:ascii="Arial" w:hAnsi="Arial" w:cs="Arial"/>
        </w:rPr>
        <w:t>Third, the study also demonstrates the importance of continuity of care and patient satisfaction. The link between the two is well established</w:t>
      </w:r>
      <w:r>
        <w:rPr>
          <w:rFonts w:ascii="Arial" w:hAnsi="Arial" w:cs="Arial"/>
          <w:color w:val="000000"/>
        </w:rPr>
        <w:fldChar w:fldCharType="begin" w:fldLock="1"/>
      </w:r>
      <w:r>
        <w:rPr>
          <w:rFonts w:ascii="Arial" w:hAnsi="Arial" w:cs="Arial"/>
          <w:color w:val="000000"/>
        </w:rPr>
        <w:instrText>ADDIN CSL_CITATION { "citationItems" : [ { "id" : "ITEM-1", "itemData" : { "DOI" : "10.1186/1471-2296-6-40", "ISSN" : "1471-2296", "abstract" : "Physicians and patients highly value continuity in health care. Continuity can be measured in several ways but few studies have examined the specific association between the duration of the patient-doctor relationship and patient outcomes. This study (1) examines characteristics of rural adults who have had longer relationships with their physicians and (2) assesses if the length of relationship is associated with patients' satisfaction and likelihood of receiving recommended preventive services. Cross-sectional telephone survey of health care access indicators of adults in selected non-metropolitan counties of eight U.S. predominantly southern states. Analyses were restricted to adults who see a particular physician for their care and weighted for demographics and county sampling probabilities. Of 3176 eligible respondents, 10.8% saw the same physician for the past 12 months, 11.8% for the previous 13\u201324 months, 20.7% for the past 25\u201360 months and 56.7% for more than 60 months. Compared to persons with one year or less continuity with the same physician, respondents with over five years continuity more often were Caucasian, insured, a high school graduate, and more often reported good to excellent health and an income above $25,000. Compared to those with more than five years of continuity, participants with either less than one year or one to two years of continuity with the same physician were more often not satisfied with their overall health care (OR 2.34; OR 1.78), participants with less than one year continuity were more often not satisfied with the concern shown them by their physician (O.R. 1.90) and having their health questions answered, and those with one to two years continuity were more often not satisfied with the quality of their care (OR 2.37). No significant associations were found between physician continuity and use rates of any of the queried preventive services. Over half of this rural population has seen the same physician for more than five years. Longer continuity of care was associated with greater patient satisfaction and confidence in one's physician, but not with a greater likelihood of receiving recommended preventive services.", "author" : [ { "dropping-particle" : "", "family" : "Donahue", "given" : "Katrina E", "non-dropping-particle" : "", "parse-names" : false, "suffix" : "" }, { "dropping-particle" : "", "family" : "Ashkin", "given" : "Evan", "non-dropping-particle" : "", "parse-names" : false, "suffix" : "" }, { "dropping-particle" : "", "family" : "Pathman", "given" : "Donald E", "non-dropping-particle" : "", "parse-names" : false, "suffix" : "" } ], "container-title" : "BMC Family Practice", "id" : "ITEM-1", "issue" : "1", "issued" : { "date-parts" : [ [ "2005", "12", "4" ] ] }, "page" : "40", "publisher" : "BioMed Central", "title" : "Length of patient-physician relationship and patients' satisfaction and preventive service use in the rural south: a cross-sectional telephone study", "type" : "article-journal", "volume" : "6" }, "uris" : [ "http://www.mendeley.com/documents/?uuid=6b910f5f-08ba-3f3a-b491-b150a89e2ff3" ] }, { "id" : "ITEM-2", "itemData" : { "ISSN" : "0959-8138", "PMID" : "1606434", "abstract" : "OBJECTIVE To evaluate the influence of continuity of care on patient satisfaction with consultations. DESIGN Direct and episodic specific evaluation of patient satisfaction with recent consultation. SETTING AND SUBJECTS A representative sample of 3918 Norwegian primary care patients were asked to evaluate their consultations by filling in a questionnaire. The response rate was 78%. MAIN OUTCOME MEASURES The patient's overall satisfaction with the consultation was rated on a six point scale. Continuity of care was recorded as the duration and intensity of the present patient-doctor relationship and as patients' perception of the present doctor being their personal doctor or not. RESULTS The multivariate analysis indicated that an overall personal patient-doctor relationship increased the odds of the patient being satisfied with the consultation sevenfold (95% confidence interval 4.9 to 9.9) as compared with consultations where no such relationships existed. The duration of the patient-doctor relationship had a weak but significant association with patient satisfaction, while the intensity of contacts showed no such association. CONCLUSION Personal, continuous care is linked with patient satisfaction. If patient satisfaction is accepted as an integral part of quality health care, reinforcing personal care may be one way of increasing this quality.", "author" : [ { "dropping-particle" : "", "family" : "Hjortdahl", "given" : "P", "non-dropping-particle" : "", "parse-names" : false, "suffix" : "" }, { "dropping-particle" : "", "family" : "Laerum", "given" : "E", "non-dropping-particle" : "", "parse-names" : false, "suffix" : "" } ], "container-title" : "BMJ (Clinical research ed.)", "id" : "ITEM-2", "issue" : "6837", "issued" : { "date-parts" : [ [ "1992", "5", "16" ] ] }, "page" : "1287-90", "publisher" : "BMJ Publishing Group", "title" : "Continuity of care in general practice: effect on patient satisfaction.", "type" : "article-journal", "volume" : "304" }, "uris" : [ "http://www.mendeley.com/documents/?uuid=21c0f72d-98bd-30f4-956d-373a0fc09e1c" ] } ], "mendeley" : { "formattedCitation" : "&lt;sup&gt;36,37&lt;/sup&gt;", "plainTextFormattedCitation" : "36,37", "previouslyFormattedCitation" : "&lt;sup&gt;36,37&lt;/sup&gt;" }, "properties" : { "noteIndex" : 0 }, "schema" : "https://github.com/citation-style-language/schema/raw/master/csl-citation.json" }</w:instrText>
      </w:r>
      <w:r>
        <w:rPr>
          <w:rFonts w:ascii="Arial" w:hAnsi="Arial" w:cs="Arial"/>
          <w:color w:val="000000"/>
        </w:rPr>
        <w:fldChar w:fldCharType="separate"/>
      </w:r>
      <w:r w:rsidRPr="00471B8C">
        <w:rPr>
          <w:rFonts w:ascii="Arial" w:hAnsi="Arial" w:cs="Arial"/>
          <w:noProof/>
          <w:color w:val="000000"/>
          <w:vertAlign w:val="superscript"/>
        </w:rPr>
        <w:t>36,37</w:t>
      </w:r>
      <w:r>
        <w:rPr>
          <w:rFonts w:ascii="Arial" w:hAnsi="Arial" w:cs="Arial"/>
          <w:color w:val="000000"/>
        </w:rPr>
        <w:fldChar w:fldCharType="end"/>
      </w:r>
      <w:r>
        <w:rPr>
          <w:rFonts w:ascii="Arial" w:hAnsi="Arial" w:cs="Arial"/>
        </w:rPr>
        <w:t xml:space="preserve"> and is a core feature of many therapeutic models</w:t>
      </w:r>
      <w:r>
        <w:rPr>
          <w:rStyle w:val="authorname"/>
          <w:rFonts w:ascii="Arial" w:hAnsi="Arial" w:cs="Arial"/>
        </w:rPr>
        <w:fldChar w:fldCharType="begin" w:fldLock="1"/>
      </w:r>
      <w:r>
        <w:rPr>
          <w:rStyle w:val="authorname"/>
          <w:rFonts w:ascii="Arial" w:hAnsi="Arial" w:cs="Arial"/>
        </w:rPr>
        <w:instrText>ADDIN CSL_CITATION { "citationItems" : [ { "id" : "ITEM-1", "itemData" : { "author" : [ { "dropping-particle" : "", "family" : "Grant", "given" : "A", "non-dropping-particle" : "", "parse-names" : false, "suffix" : "" }, { "dropping-particle" : "", "family" : "Townend", "given" : "M", "non-dropping-particle" : "", "parse-names" : false, "suffix" : "" } ], "container-title" : "Cognitive behavioural therapy in mental health care", "edition" : "2nd", "editor" : [ { "dropping-particle" : "", "family" : "Townend", "given" : "M", "non-dropping-particle" : "", "parse-names" : false, "suffix" : "" }, { "dropping-particle" : "", "family" : "Mulhern", "given" : "R", "non-dropping-particle" : "", "parse-names" : false, "suffix" : "" }, { "dropping-particle" : "", "family" : "Short", "given" : "N", "non-dropping-particle" : "", "parse-names" : false, "suffix" : "" } ], "id" : "ITEM-1", "issued" : { "date-parts" : [ [ "2010" ] ] }, "page" : "9-19", "publisher" : "SAGE Publications", "publisher-place" : "London", "title" : "The therapeutic relationship", "type" : "chapter" }, "uris" : [ "http://www.mendeley.com/documents/?uuid=60cef4b4-c83c-4ab3-a432-62b1874818e1" ] } ], "mendeley" : { "formattedCitation" : "&lt;sup&gt;38&lt;/sup&gt;", "plainTextFormattedCitation" : "38", "previouslyFormattedCitation" : "&lt;sup&gt;38&lt;/sup&gt;" }, "properties" : { "noteIndex" : 0 }, "schema" : "https://github.com/citation-style-language/schema/raw/master/csl-citation.json" }</w:instrText>
      </w:r>
      <w:r>
        <w:rPr>
          <w:rStyle w:val="authorname"/>
          <w:rFonts w:ascii="Arial" w:hAnsi="Arial" w:cs="Arial"/>
        </w:rPr>
        <w:fldChar w:fldCharType="separate"/>
      </w:r>
      <w:r w:rsidRPr="00471B8C">
        <w:rPr>
          <w:rStyle w:val="authorname"/>
          <w:rFonts w:ascii="Arial" w:hAnsi="Arial" w:cs="Arial"/>
          <w:noProof/>
          <w:vertAlign w:val="superscript"/>
        </w:rPr>
        <w:t>38</w:t>
      </w:r>
      <w:r>
        <w:rPr>
          <w:rStyle w:val="authorname"/>
          <w:rFonts w:ascii="Arial" w:hAnsi="Arial" w:cs="Arial"/>
        </w:rPr>
        <w:fldChar w:fldCharType="end"/>
      </w:r>
      <w:r>
        <w:rPr>
          <w:rFonts w:ascii="Arial" w:hAnsi="Arial" w:cs="Arial"/>
        </w:rPr>
        <w:t xml:space="preserve">. This was supported by our finding that those who had contact with services for less than six months indicated they were less likely to recommend the service. </w:t>
      </w:r>
    </w:p>
    <w:p w14:paraId="5564F927" w14:textId="7320B69F" w:rsidR="00866C78" w:rsidRPr="00866C78" w:rsidRDefault="00866C78" w:rsidP="00484DDD">
      <w:pPr>
        <w:spacing w:after="0" w:line="480" w:lineRule="auto"/>
        <w:jc w:val="both"/>
      </w:pPr>
      <w:r w:rsidRPr="00866C78">
        <w:rPr>
          <w:rStyle w:val="authorname"/>
          <w:rFonts w:ascii="Arial" w:hAnsi="Arial" w:cs="Arial"/>
        </w:rPr>
        <w:t xml:space="preserve">There is also support </w:t>
      </w:r>
      <w:r w:rsidR="00674E91">
        <w:rPr>
          <w:rStyle w:val="authorname"/>
          <w:rFonts w:ascii="Arial" w:hAnsi="Arial" w:cs="Arial"/>
        </w:rPr>
        <w:t xml:space="preserve">for the notion </w:t>
      </w:r>
      <w:r w:rsidRPr="00866C78">
        <w:rPr>
          <w:rStyle w:val="authorname"/>
          <w:rFonts w:ascii="Arial" w:hAnsi="Arial" w:cs="Arial"/>
        </w:rPr>
        <w:t>that longer timescales may allow for greater adjustment to health problems. For example</w:t>
      </w:r>
      <w:r w:rsidR="0087711C">
        <w:rPr>
          <w:rStyle w:val="authorname"/>
          <w:rFonts w:ascii="Arial" w:hAnsi="Arial" w:cs="Arial"/>
        </w:rPr>
        <w:t>,</w:t>
      </w:r>
      <w:r w:rsidRPr="00866C78">
        <w:rPr>
          <w:rStyle w:val="authorname"/>
          <w:rFonts w:ascii="Arial" w:hAnsi="Arial" w:cs="Arial"/>
        </w:rPr>
        <w:t xml:space="preserve"> for those diagnosed with dementia, conflicts may arise that need to be resolved to accommodate a diagnosis, including a possible initial resistance to acceptance of diagnosis</w:t>
      </w:r>
      <w:r w:rsidR="00AC2BFF">
        <w:rPr>
          <w:rStyle w:val="authorname"/>
          <w:rFonts w:ascii="Arial" w:hAnsi="Arial" w:cs="Arial"/>
        </w:rPr>
        <w:fldChar w:fldCharType="begin" w:fldLock="1"/>
      </w:r>
      <w:r w:rsidR="0032332D">
        <w:rPr>
          <w:rStyle w:val="authorname"/>
          <w:rFonts w:ascii="Arial" w:hAnsi="Arial" w:cs="Arial"/>
        </w:rPr>
        <w:instrText>ADDIN CSL_CITATION { "citationItems" : [ { "id" : "ITEM-1", "itemData" : { "DOI" : "10.1016/j.socscimed.2007.12.024", "ISSN" : "02779536", "PMID" : "18222581", "abstract" : "Being diagnosed with Alzheimer's disease marks a status passage formally legitimating the incorporation of forgetfulness into daily life. Based on interviews with diagnosed individuals in California, USA, we examine the mechanisms through which an Alzheimer's label is employed to justify forgetfulness, to manage social interactions, and to garner support when deemed necessary, while simultaneously combating the associated demented \"master status.\" For diagnosed individuals, the transition from experience to symptom requires a redefinition of everyday forgetfulness into a medical problem. That is, respondents did not routinely perceive their experiences as pathological but rather were socialised into viewing age-related forgetfulness as symbolic of disease. Support groups sponsored by the Alzheimer's Association and memory clinics have a profound impact not only on the formation of group identity, but also on socialising forgetful individuals into diseased identities. The social disenfranchisement accompanying a diagnosis of dementia transforms forgetful older adults into \"Alzheimer's patients,\" who must manage not only the manifestations of their disease, but also negotiate their interactions and identities. Their adaptation to the \"symptoms\" of forgetfulness and resultant social relations forms new interactional strategies whereby the diagnosis becomes a resource utilised to get through everyday life. Rather than being passive recipients of a diagnosis, respondents employ the label both as a resource, and as a phenomenon that needs to be incorporated into their self identity.", "author" : [ { "dropping-particle" : "", "family" : "Beard", "given" : "Ren\u00e9e L.", "non-dropping-particle" : "", "parse-names" : false, "suffix" : "" }, { "dropping-particle" : "", "family" : "Fox", "given" : "Patrick J.", "non-dropping-particle" : "", "parse-names" : false, "suffix" : "" } ], "container-title" : "Social Science &amp; Medicine", "id" : "ITEM-1", "issue" : "7", "issued" : { "date-parts" : [ [ "2008", "4" ] ] }, "page" : "1509-1520", "title" : "Resisting social disenfranchisement: Negotiating collective identities and everyday life with memory loss", "type" : "article-journal", "volume" : "66" }, "uris" : [ "http://www.mendeley.com/documents/?uuid=9a7bbb29-041f-3f91-aa8b-53f44b55e6cb" ] } ], "mendeley" : { "formattedCitation" : "&lt;sup&gt;39&lt;/sup&gt;", "plainTextFormattedCitation" : "39", "previouslyFormattedCitation" : "&lt;sup&gt;39&lt;/sup&gt;" }, "properties" : { "noteIndex" : 0 }, "schema" : "https://github.com/citation-style-language/schema/raw/master/csl-citation.json" }</w:instrText>
      </w:r>
      <w:r w:rsidR="00AC2BFF">
        <w:rPr>
          <w:rStyle w:val="authorname"/>
          <w:rFonts w:ascii="Arial" w:hAnsi="Arial" w:cs="Arial"/>
        </w:rPr>
        <w:fldChar w:fldCharType="separate"/>
      </w:r>
      <w:r w:rsidR="00471B8C" w:rsidRPr="00471B8C">
        <w:rPr>
          <w:rStyle w:val="authorname"/>
          <w:rFonts w:ascii="Arial" w:hAnsi="Arial" w:cs="Arial"/>
          <w:noProof/>
          <w:vertAlign w:val="superscript"/>
        </w:rPr>
        <w:t>39</w:t>
      </w:r>
      <w:r w:rsidR="00AC2BFF">
        <w:rPr>
          <w:rStyle w:val="authorname"/>
          <w:rFonts w:ascii="Arial" w:hAnsi="Arial" w:cs="Arial"/>
        </w:rPr>
        <w:fldChar w:fldCharType="end"/>
      </w:r>
      <w:r w:rsidRPr="00866C78">
        <w:rPr>
          <w:rStyle w:val="authorname"/>
          <w:rFonts w:ascii="Arial" w:hAnsi="Arial" w:cs="Arial"/>
        </w:rPr>
        <w:t xml:space="preserve"> and therefore acceptance of treatment / support</w:t>
      </w:r>
      <w:r w:rsidR="00AC2BFF">
        <w:rPr>
          <w:rStyle w:val="authorname"/>
          <w:rFonts w:ascii="Arial" w:hAnsi="Arial" w:cs="Arial"/>
        </w:rPr>
        <w:fldChar w:fldCharType="begin" w:fldLock="1"/>
      </w:r>
      <w:r w:rsidR="0032332D">
        <w:rPr>
          <w:rStyle w:val="authorname"/>
          <w:rFonts w:ascii="Arial" w:hAnsi="Arial" w:cs="Arial"/>
        </w:rPr>
        <w:instrText>ADDIN CSL_CITATION { "citationItems" : [ { "id" : "ITEM-1", "itemData" : { "DOI" : "10.1371/journal.pmed.1001331", "abstract" : "Background: Early diagnosis and intervention for people with dementia is increasingly considered a priority, but practitioners are concerned with the effects of earlier diagnosis and interventions on patients and caregivers. This systematic review evaluates the qualitative evidence about how people accommodate and adapt to the diagnosis of dementia and its immediate consequences, to guide practice.", "author" : [ { "dropping-particle" : "", "family" : "Bunn", "given" : "Frances", "non-dropping-particle" : "", "parse-names" : false, "suffix" : "" }, { "dropping-particle" : "", "family" : "Goodman", "given" : "Claire", "non-dropping-particle" : "", "parse-names" : false, "suffix" : "" }, { "dropping-particle" : "", "family" : "Sworn", "given" : "Katie", "non-dropping-particle" : "", "parse-names" : false, "suffix" : "" }, { "dropping-particle" : "", "family" : "Rait", "given" : "Greta", "non-dropping-particle" : "", "parse-names" : false, "suffix" : "" }, { "dropping-particle" : "", "family" : "Brayne", "given" : "Carol", "non-dropping-particle" : "", "parse-names" : false, "suffix" : "" }, { "dropping-particle" : "", "family" : "Robinson", "given" : "Louise", "non-dropping-particle" : "", "parse-names" : false, "suffix" : "" }, { "dropping-particle" : "", "family" : "Mcneilly", "given" : "Elaine", "non-dropping-particle" : "", "parse-names" : false, "suffix" : "" }, { "dropping-particle" : "", "family" : "Iliffe", "given" : "Steve", "non-dropping-particle" : "", "parse-names" : false, "suffix" : "" } ], "container-title" : "PLOS Medicine", "id" : "ITEM-1", "issue" : "10", "issued" : { "date-parts" : [ [ "2012" ] ] }, "page" : "e1001331", "title" : "Psychosocial Factors That Shape Patient and Carer Experiences of Dementia Diagnosis and Treatment: A Systematic Review of Qualitative Studies", "type" : "article-journal", "volume" : "9" }, "uris" : [ "http://www.mendeley.com/documents/?uuid=2ba2488a-7a50-3883-aae0-7691f863e2de" ] } ], "mendeley" : { "formattedCitation" : "&lt;sup&gt;40&lt;/sup&gt;", "plainTextFormattedCitation" : "40", "previouslyFormattedCitation" : "&lt;sup&gt;40&lt;/sup&gt;" }, "properties" : { "noteIndex" : 0 }, "schema" : "https://github.com/citation-style-language/schema/raw/master/csl-citation.json" }</w:instrText>
      </w:r>
      <w:r w:rsidR="00AC2BFF">
        <w:rPr>
          <w:rStyle w:val="authorname"/>
          <w:rFonts w:ascii="Arial" w:hAnsi="Arial" w:cs="Arial"/>
        </w:rPr>
        <w:fldChar w:fldCharType="separate"/>
      </w:r>
      <w:r w:rsidR="00471B8C" w:rsidRPr="00471B8C">
        <w:rPr>
          <w:rStyle w:val="authorname"/>
          <w:rFonts w:ascii="Arial" w:hAnsi="Arial" w:cs="Arial"/>
          <w:noProof/>
          <w:vertAlign w:val="superscript"/>
        </w:rPr>
        <w:t>40</w:t>
      </w:r>
      <w:r w:rsidR="00AC2BFF">
        <w:rPr>
          <w:rStyle w:val="authorname"/>
          <w:rFonts w:ascii="Arial" w:hAnsi="Arial" w:cs="Arial"/>
        </w:rPr>
        <w:fldChar w:fldCharType="end"/>
      </w:r>
      <w:r w:rsidR="00F102BC">
        <w:rPr>
          <w:rStyle w:val="authorname"/>
          <w:rFonts w:ascii="Arial" w:hAnsi="Arial" w:cs="Arial"/>
        </w:rPr>
        <w:t>.</w:t>
      </w:r>
    </w:p>
    <w:p w14:paraId="1DB72E5A" w14:textId="77777777" w:rsidR="00484DDD" w:rsidRDefault="00484DDD" w:rsidP="00484DDD">
      <w:pPr>
        <w:spacing w:after="0" w:line="480" w:lineRule="auto"/>
        <w:jc w:val="both"/>
        <w:rPr>
          <w:rFonts w:ascii="Arial" w:hAnsi="Arial" w:cs="Arial"/>
        </w:rPr>
      </w:pPr>
    </w:p>
    <w:p w14:paraId="08B7F23A" w14:textId="64BFDF1A" w:rsidR="00D812B8" w:rsidRPr="00866C78" w:rsidRDefault="00E27D89" w:rsidP="00D812B8">
      <w:pPr>
        <w:spacing w:after="0" w:line="480" w:lineRule="auto"/>
        <w:jc w:val="both"/>
      </w:pPr>
      <w:r>
        <w:rPr>
          <w:rFonts w:ascii="Arial" w:hAnsi="Arial" w:cs="Arial"/>
        </w:rPr>
        <w:lastRenderedPageBreak/>
        <w:t xml:space="preserve">The findings also point to different </w:t>
      </w:r>
      <w:r w:rsidR="002A4392">
        <w:rPr>
          <w:rFonts w:ascii="Arial" w:hAnsi="Arial" w:cs="Arial"/>
        </w:rPr>
        <w:t>NPS</w:t>
      </w:r>
      <w:r>
        <w:rPr>
          <w:rFonts w:ascii="Arial" w:hAnsi="Arial" w:cs="Arial"/>
        </w:rPr>
        <w:t xml:space="preserve"> scores between people with organic and functional diagnoses.  </w:t>
      </w:r>
      <w:r w:rsidR="007E7E6D">
        <w:rPr>
          <w:rFonts w:ascii="Arial" w:hAnsi="Arial" w:cs="Arial"/>
        </w:rPr>
        <w:t xml:space="preserve">Despite the intense focus of NHS services to improve dementia care in recent years, these findings may indicate remaining challenges to be resolved.  </w:t>
      </w:r>
      <w:r w:rsidR="007E7E6D" w:rsidRPr="008E45F0">
        <w:rPr>
          <w:rFonts w:ascii="Arial" w:hAnsi="Arial" w:cs="Arial"/>
          <w:highlight w:val="yellow"/>
        </w:rPr>
        <w:t>Concerns identified in wider research includes waiting times, the difficulty arranging and accessing support after diagnosis, and addressing informational needs</w:t>
      </w:r>
      <w:r w:rsidR="00AC2BFF">
        <w:rPr>
          <w:rFonts w:ascii="Arial" w:hAnsi="Arial" w:cs="Arial"/>
        </w:rPr>
        <w:fldChar w:fldCharType="begin" w:fldLock="1"/>
      </w:r>
      <w:r w:rsidR="0032332D">
        <w:rPr>
          <w:rFonts w:ascii="Arial" w:hAnsi="Arial" w:cs="Arial"/>
        </w:rPr>
        <w:instrText>ADDIN CSL_CITATION { "citationItems" : [ { "id" : "ITEM-1", "itemData" : { "DOI" : "10.1093/gerona/57.3.M173", "abstract" : "Evidence suggests that amongst people with dementia there is a high prevalence of comorbid medical conditions and related complaints. The presence of dementia may complicate clinical care for other conditions and undermine a patient\u2019s ability to manage a chronic condition. The aim of this study was to scope the extent, range and nature of research activity around dementia and comorbidity. We undertook a scoping review including all types of research relating to the prevalence of comorbidities in people with dementia; current systems, structures and other issues relating to service organisation and delivery; patient and carer experiences; and the experiences and attitudes of service providers. We searched AMED, Cochrane Library, CINAHL, PubMed, NHS Evidence, Scopus, Google Scholar (searched 2012, Pubmed updated 2013), checked reference lists and performed citation searches on PubMed and Google Scholar (ongoing to February 2014). We included 54 primary studies, eight reviews and three guidelines. Much of the available literature relates to the prevalence of comorbidities in people with dementia or issues around quality of care. Less is known about service organisation and delivery or the views and experiences of people with dementia and their family carers. There is some evidence that people with dementia did not have the same access to treatment and monitoring for conditions such as visual impairment and diabetes as those with similar comorbidities but without dementia. The prevalence of comorbid conditions in people with dementia is high. Whilst current evidence suggests that people with dementia may have poorer access to services the reasons for this are not clear. There is a need for more research looking at the ways in which having dementia impacts on clinical care for other conditions and how the process of care and different services are adapting to the needs of people with dementia and comorbidity. People with dementia should be included in the debate about the management of comorbidities in older populations and there needs to be greater consideration given to including them in studies that focus on age-related healthcare issues.", "author" : [ { "dropping-particle" : "", "family" : "Bunn", "given" : "F", "non-dropping-particle" : "", "parse-names" : false, "suffix" : "" }, { "dropping-particle" : "", "family" : "Burn", "given" : "A-M", "non-dropping-particle" : "", "parse-names" : false, "suffix" : "" }, { "dropping-particle" : "", "family" : "Goodman", "given" : "C", "non-dropping-particle" : "", "parse-names" : false, "suffix" : "" }, { "dropping-particle" : "", "family" : "Rait", "given" : "G", "non-dropping-particle" : "", "parse-names" : false, "suffix" : "" }, { "dropping-particle" : "", "family" : "Norton", "given" : "S", "non-dropping-particle" : "", "parse-names" : false, "suffix" : "" }, { "dropping-particle" : "", "family" : "Robinson", "given" : "L", "non-dropping-particle" : "", "parse-names" : false, "suffix" : "" }, { "dropping-particle" : "", "family" : "Schoeman", "given" : "J", "non-dropping-particle" : "", "parse-names" : false, "suffix" : "" }, { "dropping-particle" : "", "family" : "Brayne", "given" : "C", "non-dropping-particle" : "", "parse-names" : false, "suffix" : "" } ], "container-title" : "BMC Medicine", "id" : "ITEM-1", "issue" : "192", "issued" : { "date-parts" : [ [ "2014" ] ] }, "page" : "173-M177", "publisher" : "BioMed Central", "title" : "Comorbidity and dementia: a scoping review of the literature", "type" : "article-journal", "volume" : "12" }, "uris" : [ "http://www.mendeley.com/documents/?uuid=dc78fc51-5111-314d-b5c2-3f8cd9f684f5" ] } ], "mendeley" : { "formattedCitation" : "&lt;sup&gt;41&lt;/sup&gt;", "plainTextFormattedCitation" : "41", "previouslyFormattedCitation" : "&lt;sup&gt;41&lt;/sup&gt;"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41</w:t>
      </w:r>
      <w:r w:rsidR="00AC2BFF">
        <w:rPr>
          <w:rFonts w:ascii="Arial" w:hAnsi="Arial" w:cs="Arial"/>
        </w:rPr>
        <w:fldChar w:fldCharType="end"/>
      </w:r>
      <w:r w:rsidR="00484DDD" w:rsidRPr="00880D25">
        <w:rPr>
          <w:rFonts w:ascii="Arial" w:hAnsi="Arial" w:cs="Arial"/>
          <w:highlight w:val="yellow"/>
        </w:rPr>
        <w:t xml:space="preserve">.  </w:t>
      </w:r>
      <w:r w:rsidR="005B4762" w:rsidRPr="00880D25">
        <w:rPr>
          <w:rFonts w:ascii="Arial" w:hAnsi="Arial" w:cs="Arial"/>
          <w:highlight w:val="yellow"/>
        </w:rPr>
        <w:t xml:space="preserve">However, an alternative perspective is that the results are confounded by the difference in </w:t>
      </w:r>
      <w:r w:rsidR="005B4762" w:rsidRPr="00674E91">
        <w:rPr>
          <w:rFonts w:ascii="Arial" w:hAnsi="Arial" w:cs="Arial"/>
          <w:highlight w:val="yellow"/>
        </w:rPr>
        <w:t>prognosis</w:t>
      </w:r>
      <w:r w:rsidR="00674E91" w:rsidRPr="00674E91">
        <w:rPr>
          <w:rFonts w:ascii="Arial" w:hAnsi="Arial" w:cs="Arial"/>
          <w:highlight w:val="yellow"/>
        </w:rPr>
        <w:t xml:space="preserve"> between</w:t>
      </w:r>
      <w:r w:rsidR="00674E91">
        <w:rPr>
          <w:rFonts w:ascii="Arial" w:hAnsi="Arial" w:cs="Arial"/>
          <w:highlight w:val="yellow"/>
        </w:rPr>
        <w:t xml:space="preserve"> </w:t>
      </w:r>
      <w:r w:rsidR="00674E91" w:rsidRPr="00674E91">
        <w:rPr>
          <w:rFonts w:ascii="Arial" w:hAnsi="Arial" w:cs="Arial"/>
          <w:highlight w:val="yellow"/>
        </w:rPr>
        <w:t>organic and functional illnesses.</w:t>
      </w:r>
      <w:r w:rsidR="00674E91">
        <w:rPr>
          <w:rFonts w:ascii="Arial" w:hAnsi="Arial" w:cs="Arial"/>
        </w:rPr>
        <w:t xml:space="preserve">  </w:t>
      </w:r>
      <w:r w:rsidR="005B4762" w:rsidRPr="005B4762">
        <w:rPr>
          <w:rFonts w:ascii="Arial" w:hAnsi="Arial" w:cs="Arial"/>
        </w:rPr>
        <w:t xml:space="preserve">This highlights that further clarification of what construct(s) are captured by the </w:t>
      </w:r>
      <w:r w:rsidR="00E32D7B">
        <w:rPr>
          <w:rFonts w:ascii="Arial" w:hAnsi="Arial" w:cs="Arial"/>
        </w:rPr>
        <w:t>NPS</w:t>
      </w:r>
      <w:r w:rsidR="005B4762" w:rsidRPr="005B4762">
        <w:rPr>
          <w:rFonts w:ascii="Arial" w:hAnsi="Arial" w:cs="Arial"/>
        </w:rPr>
        <w:t xml:space="preserve"> recommendation question</w:t>
      </w:r>
      <w:r w:rsidR="00D812B8">
        <w:rPr>
          <w:rFonts w:ascii="Arial" w:hAnsi="Arial" w:cs="Arial"/>
        </w:rPr>
        <w:t>.</w:t>
      </w:r>
      <w:r w:rsidR="00AE025F">
        <w:rPr>
          <w:rFonts w:ascii="Arial" w:hAnsi="Arial" w:cs="Arial"/>
        </w:rPr>
        <w:t xml:space="preserve"> </w:t>
      </w:r>
      <w:r w:rsidR="00D812B8">
        <w:rPr>
          <w:rFonts w:ascii="Arial" w:hAnsi="Arial" w:cs="Arial"/>
        </w:rPr>
        <w:t>Caution may therefore be needed before comparing</w:t>
      </w:r>
      <w:r w:rsidR="00D812B8" w:rsidRPr="00866C78">
        <w:rPr>
          <w:rFonts w:ascii="Arial" w:hAnsi="Arial" w:cs="Arial"/>
        </w:rPr>
        <w:t xml:space="preserve"> </w:t>
      </w:r>
      <w:r w:rsidR="00D812B8">
        <w:rPr>
          <w:rFonts w:ascii="Arial" w:hAnsi="Arial" w:cs="Arial"/>
        </w:rPr>
        <w:t>NPS</w:t>
      </w:r>
      <w:r w:rsidR="00D812B8" w:rsidRPr="00866C78">
        <w:rPr>
          <w:rFonts w:ascii="Arial" w:hAnsi="Arial" w:cs="Arial"/>
        </w:rPr>
        <w:t xml:space="preserve"> between those with differing prognoses and possible treatment outcomes. </w:t>
      </w:r>
    </w:p>
    <w:p w14:paraId="1779FCBA" w14:textId="00A33AC9" w:rsidR="00866C78" w:rsidRPr="00866C78" w:rsidRDefault="00866C78" w:rsidP="005B4762">
      <w:pPr>
        <w:spacing w:after="0" w:line="480" w:lineRule="auto"/>
        <w:jc w:val="both"/>
      </w:pPr>
    </w:p>
    <w:p w14:paraId="03174284" w14:textId="2D302524" w:rsidR="0087711C" w:rsidRDefault="005B4762" w:rsidP="00494E96">
      <w:pPr>
        <w:spacing w:after="0" w:line="480" w:lineRule="auto"/>
        <w:jc w:val="both"/>
        <w:rPr>
          <w:rFonts w:ascii="Arial" w:hAnsi="Arial" w:cs="Arial"/>
        </w:rPr>
      </w:pPr>
      <w:r>
        <w:rPr>
          <w:rFonts w:ascii="Arial" w:hAnsi="Arial" w:cs="Arial"/>
        </w:rPr>
        <w:t>Whilst analysis of the</w:t>
      </w:r>
      <w:r w:rsidR="00494E96">
        <w:rPr>
          <w:rFonts w:ascii="Arial" w:hAnsi="Arial" w:cs="Arial"/>
        </w:rPr>
        <w:t xml:space="preserve"> </w:t>
      </w:r>
      <w:r w:rsidR="002A4392">
        <w:rPr>
          <w:rFonts w:ascii="Arial" w:hAnsi="Arial" w:cs="Arial"/>
        </w:rPr>
        <w:t>NPS</w:t>
      </w:r>
      <w:r w:rsidR="00494E96">
        <w:rPr>
          <w:rFonts w:ascii="Arial" w:hAnsi="Arial" w:cs="Arial"/>
        </w:rPr>
        <w:t xml:space="preserve"> </w:t>
      </w:r>
      <w:r>
        <w:rPr>
          <w:rFonts w:ascii="Arial" w:hAnsi="Arial" w:cs="Arial"/>
        </w:rPr>
        <w:t>indicates some potential value, there remains concern about how it is</w:t>
      </w:r>
      <w:r w:rsidR="0087711C">
        <w:rPr>
          <w:rFonts w:ascii="Arial" w:hAnsi="Arial" w:cs="Arial"/>
        </w:rPr>
        <w:t xml:space="preserve"> used in practice.  The </w:t>
      </w:r>
      <w:r w:rsidR="00494E96">
        <w:rPr>
          <w:rFonts w:ascii="Arial" w:hAnsi="Arial" w:cs="Arial"/>
        </w:rPr>
        <w:t xml:space="preserve">supporters </w:t>
      </w:r>
      <w:r w:rsidR="0087711C">
        <w:rPr>
          <w:rFonts w:ascii="Arial" w:hAnsi="Arial" w:cs="Arial"/>
        </w:rPr>
        <w:t xml:space="preserve">of the Friends and Family Test in England </w:t>
      </w:r>
      <w:r w:rsidR="00494E96">
        <w:rPr>
          <w:rFonts w:ascii="Arial" w:hAnsi="Arial" w:cs="Arial"/>
        </w:rPr>
        <w:t xml:space="preserve">note that the question is not intended to be </w:t>
      </w:r>
      <w:r w:rsidR="0087711C">
        <w:rPr>
          <w:rFonts w:ascii="Arial" w:hAnsi="Arial" w:cs="Arial"/>
        </w:rPr>
        <w:t xml:space="preserve">used </w:t>
      </w:r>
      <w:proofErr w:type="spellStart"/>
      <w:r w:rsidR="0087711C">
        <w:rPr>
          <w:rFonts w:ascii="Arial" w:hAnsi="Arial" w:cs="Arial"/>
        </w:rPr>
        <w:t>summatively</w:t>
      </w:r>
      <w:proofErr w:type="spellEnd"/>
      <w:r w:rsidR="0087711C">
        <w:rPr>
          <w:rFonts w:ascii="Arial" w:hAnsi="Arial" w:cs="Arial"/>
        </w:rPr>
        <w:t>,</w:t>
      </w:r>
      <w:r w:rsidR="00494E96">
        <w:rPr>
          <w:rFonts w:ascii="Arial" w:hAnsi="Arial" w:cs="Arial"/>
        </w:rPr>
        <w:t xml:space="preserve"> and </w:t>
      </w:r>
      <w:r w:rsidR="0087711C">
        <w:rPr>
          <w:rFonts w:ascii="Arial" w:hAnsi="Arial" w:cs="Arial"/>
        </w:rPr>
        <w:t xml:space="preserve">is </w:t>
      </w:r>
      <w:r w:rsidR="00494E96">
        <w:rPr>
          <w:rFonts w:ascii="Arial" w:hAnsi="Arial" w:cs="Arial"/>
        </w:rPr>
        <w:t xml:space="preserve">instead </w:t>
      </w:r>
      <w:r w:rsidR="0087711C">
        <w:rPr>
          <w:rFonts w:ascii="Arial" w:hAnsi="Arial" w:cs="Arial"/>
        </w:rPr>
        <w:t>a</w:t>
      </w:r>
      <w:r w:rsidR="00494E96">
        <w:rPr>
          <w:rFonts w:ascii="Arial" w:hAnsi="Arial" w:cs="Arial"/>
        </w:rPr>
        <w:t xml:space="preserve"> starting point</w:t>
      </w:r>
      <w:r w:rsidR="0087711C">
        <w:rPr>
          <w:rFonts w:ascii="Arial" w:hAnsi="Arial" w:cs="Arial"/>
        </w:rPr>
        <w:t xml:space="preserve"> for quality appraisal</w:t>
      </w:r>
      <w:r w:rsidR="00494E96">
        <w:rPr>
          <w:rFonts w:ascii="Arial" w:hAnsi="Arial" w:cs="Arial"/>
        </w:rPr>
        <w:t xml:space="preserve">.  Indeed, the NHS expects all Friends and Family </w:t>
      </w:r>
      <w:r w:rsidR="0087711C">
        <w:rPr>
          <w:rFonts w:ascii="Arial" w:hAnsi="Arial" w:cs="Arial"/>
        </w:rPr>
        <w:t xml:space="preserve">Test </w:t>
      </w:r>
      <w:r w:rsidR="00494E96">
        <w:rPr>
          <w:rFonts w:ascii="Arial" w:hAnsi="Arial" w:cs="Arial"/>
        </w:rPr>
        <w:t>assessments to include a free text box for other comments that may improve services</w:t>
      </w:r>
      <w:r w:rsidR="00AC2BFF">
        <w:rPr>
          <w:rFonts w:ascii="Arial" w:hAnsi="Arial" w:cs="Arial"/>
        </w:rPr>
        <w:fldChar w:fldCharType="begin" w:fldLock="1"/>
      </w:r>
      <w:r w:rsidR="0032332D">
        <w:rPr>
          <w:rFonts w:ascii="Arial" w:hAnsi="Arial" w:cs="Arial"/>
        </w:rPr>
        <w:instrText>ADDIN CSL_CITATION { "citationItems" : [ { "id" : "ITEM-1", "itemData" : { "author" : [ { "dropping-particle" : "", "family" : "NHS England", "given" : "", "non-dropping-particle" : "", "parse-names" : false, "suffix" : "" } ], "id" : "ITEM-1", "issued" : { "date-parts" : [ [ "2014" ] ] }, "publisher-place" : "London", "title" : "Review of the Friends and Family Test", "type" : "report" }, "uris" : [ "http://www.mendeley.com/documents/?uuid=2a52cdb2-0784-4825-bbec-192e13fd2842" ] } ], "mendeley" : { "formattedCitation" : "&lt;sup&gt;25&lt;/sup&gt;", "plainTextFormattedCitation" : "25", "previouslyFormattedCitation" : "&lt;sup&gt;25&lt;/sup&gt;" }, "properties" : { "noteIndex" : 0 }, "schema" : "https://github.com/citation-style-language/schema/raw/master/csl-citation.json" }</w:instrText>
      </w:r>
      <w:r w:rsidR="00AC2BFF">
        <w:rPr>
          <w:rFonts w:ascii="Arial" w:hAnsi="Arial" w:cs="Arial"/>
        </w:rPr>
        <w:fldChar w:fldCharType="separate"/>
      </w:r>
      <w:r w:rsidR="00471B8C" w:rsidRPr="00471B8C">
        <w:rPr>
          <w:rFonts w:ascii="Arial" w:hAnsi="Arial" w:cs="Arial"/>
          <w:noProof/>
          <w:vertAlign w:val="superscript"/>
        </w:rPr>
        <w:t>25</w:t>
      </w:r>
      <w:r w:rsidR="00AC2BFF">
        <w:rPr>
          <w:rFonts w:ascii="Arial" w:hAnsi="Arial" w:cs="Arial"/>
        </w:rPr>
        <w:fldChar w:fldCharType="end"/>
      </w:r>
      <w:r w:rsidR="002A4392">
        <w:rPr>
          <w:rFonts w:ascii="Arial" w:hAnsi="Arial" w:cs="Arial"/>
        </w:rPr>
        <w:t xml:space="preserve">, which are reported to be </w:t>
      </w:r>
      <w:r w:rsidR="007024AA">
        <w:rPr>
          <w:rFonts w:ascii="Arial" w:hAnsi="Arial" w:cs="Arial"/>
        </w:rPr>
        <w:t>more valuable to practitioners</w:t>
      </w:r>
      <w:r w:rsidR="007024AA">
        <w:rPr>
          <w:rFonts w:ascii="Arial" w:hAnsi="Arial" w:cs="Arial"/>
        </w:rPr>
        <w:fldChar w:fldCharType="begin" w:fldLock="1"/>
      </w:r>
      <w:r w:rsidR="0032332D">
        <w:rPr>
          <w:rFonts w:ascii="Arial" w:hAnsi="Arial" w:cs="Arial"/>
        </w:rPr>
        <w:instrText>ADDIN CSL_CITATION { "citationItems" : [ { "id" : "ITEM-1", "itemData" : { "DOI" : "10.1136/BMJ.K367", "ISSN" : "1756-1833", "PMID" : "29378693", "abstract" : "Valued by policy makers but generates little insight for practitioners Don Berwick, an international leader in the safety and quality of healthcare, has called for \u201ca significant reduction in the volume and total cost of measurements currently being used and enforced in health care.\u201d1 He is not alone in arguing that a belief in accountability and market theory \u201chas brought with it excessive measurement, much of which is useless but nonetheless mandated.\u201d2 The inpatient \u201cfriends and family test\u201d was introduced in all English acute hospitals in April 2013. The aim was to provide a simple metric that, when combined with follow-up questions, could be used to drive cultural change and improve the quality of care.3 The main question is \u201cHow likely are you to recommend our service to friends and family if they needed similar care or treatment?\u201d and respondents can rank their answer from \u201cextremely likely\u201d to \u201cextremely unlikely.\u201d The test was formally reviewed after the first six months of data collection and subsequently extended to maternity, outpatient, ambulance, mental \u2026", "author" : [ { "dropping-particle" : "", "family" : "Robert", "given" : "Glenn", "non-dropping-particle" : "", "parse-names" : false, "suffix" : "" }, { "dropping-particle" : "", "family" : "Cornwell", "given" : "Jocelyn", "non-dropping-particle" : "", "parse-names" : false, "suffix" : "" }, { "dropping-particle" : "", "family" : "Black", "given" : "Nick", "non-dropping-particle" : "", "parse-names" : false, "suffix" : "" } ], "container-title" : "BMJ", "id" : "ITEM-1", "issued" : { "date-parts" : [ [ "2018", "1", "29" ] ] }, "page" : "k367", "publisher" : "British Medical Journal Publishing Group", "title" : "Friends and family test should no longer be mandatory.", "type" : "article-journal", "volume" : "360" }, "uris" : [ "http://www.mendeley.com/documents/?uuid=71a1558a-cfac-3bba-8514-b659c229e300" ] } ], "mendeley" : { "formattedCitation" : "&lt;sup&gt;26&lt;/sup&gt;", "plainTextFormattedCitation" : "26", "previouslyFormattedCitation" : "&lt;sup&gt;26&lt;/sup&gt;" }, "properties" : { "noteIndex" : 0 }, "schema" : "https://github.com/citation-style-language/schema/raw/master/csl-citation.json" }</w:instrText>
      </w:r>
      <w:r w:rsidR="007024AA">
        <w:rPr>
          <w:rFonts w:ascii="Arial" w:hAnsi="Arial" w:cs="Arial"/>
        </w:rPr>
        <w:fldChar w:fldCharType="separate"/>
      </w:r>
      <w:r w:rsidR="00471B8C" w:rsidRPr="00471B8C">
        <w:rPr>
          <w:rFonts w:ascii="Arial" w:hAnsi="Arial" w:cs="Arial"/>
          <w:noProof/>
          <w:vertAlign w:val="superscript"/>
        </w:rPr>
        <w:t>26</w:t>
      </w:r>
      <w:r w:rsidR="007024AA">
        <w:rPr>
          <w:rFonts w:ascii="Arial" w:hAnsi="Arial" w:cs="Arial"/>
        </w:rPr>
        <w:fldChar w:fldCharType="end"/>
      </w:r>
      <w:r w:rsidR="00494E96">
        <w:rPr>
          <w:rFonts w:ascii="Arial" w:hAnsi="Arial" w:cs="Arial"/>
        </w:rPr>
        <w:t xml:space="preserve">.  </w:t>
      </w:r>
      <w:r w:rsidR="0079469A">
        <w:rPr>
          <w:rFonts w:ascii="Arial" w:hAnsi="Arial" w:cs="Arial"/>
        </w:rPr>
        <w:t xml:space="preserve"> </w:t>
      </w:r>
      <w:r w:rsidR="00C101A3">
        <w:rPr>
          <w:rFonts w:ascii="Arial" w:hAnsi="Arial" w:cs="Arial"/>
        </w:rPr>
        <w:t>T</w:t>
      </w:r>
      <w:r w:rsidR="00737C9B">
        <w:rPr>
          <w:rFonts w:ascii="Arial" w:hAnsi="Arial" w:cs="Arial"/>
        </w:rPr>
        <w:t xml:space="preserve">he curiosity of treating those ‘likely’ to recommend services to friends and family as being </w:t>
      </w:r>
      <w:r w:rsidR="002049D7">
        <w:rPr>
          <w:rFonts w:ascii="Arial" w:hAnsi="Arial" w:cs="Arial"/>
        </w:rPr>
        <w:t>‘</w:t>
      </w:r>
      <w:r w:rsidR="00737C9B">
        <w:rPr>
          <w:rFonts w:ascii="Arial" w:hAnsi="Arial" w:cs="Arial"/>
        </w:rPr>
        <w:t>passive</w:t>
      </w:r>
      <w:r w:rsidR="002049D7">
        <w:rPr>
          <w:rFonts w:ascii="Arial" w:hAnsi="Arial" w:cs="Arial"/>
        </w:rPr>
        <w:t>’</w:t>
      </w:r>
      <w:r w:rsidR="00C101A3">
        <w:rPr>
          <w:rFonts w:ascii="Arial" w:hAnsi="Arial" w:cs="Arial"/>
        </w:rPr>
        <w:t xml:space="preserve"> was the subject of criticism in the NHS, and its</w:t>
      </w:r>
      <w:r w:rsidR="00737C9B">
        <w:rPr>
          <w:rFonts w:ascii="Arial" w:hAnsi="Arial" w:cs="Arial"/>
        </w:rPr>
        <w:t xml:space="preserve"> 2014 review</w:t>
      </w:r>
      <w:r w:rsidR="00C101A3">
        <w:rPr>
          <w:rFonts w:ascii="Arial" w:hAnsi="Arial" w:cs="Arial"/>
        </w:rPr>
        <w:fldChar w:fldCharType="begin" w:fldLock="1"/>
      </w:r>
      <w:r w:rsidR="00C101A3">
        <w:rPr>
          <w:rFonts w:ascii="Arial" w:hAnsi="Arial" w:cs="Arial"/>
        </w:rPr>
        <w:instrText>ADDIN CSL_CITATION { "citationItems" : [ { "id" : "ITEM-1", "itemData" : { "author" : [ { "dropping-particle" : "", "family" : "NHS England", "given" : "", "non-dropping-particle" : "", "parse-names" : false, "suffix" : "" } ], "id" : "ITEM-1", "issued" : { "date-parts" : [ [ "2014" ] ] }, "publisher-place" : "London", "title" : "Review of the Friends and Family Test", "type" : "report" }, "uris" : [ "http://www.mendeley.com/documents/?uuid=2a52cdb2-0784-4825-bbec-192e13fd2842" ] } ], "mendeley" : { "formattedCitation" : "&lt;sup&gt;25&lt;/sup&gt;", "plainTextFormattedCitation" : "25", "previouslyFormattedCitation" : "&lt;sup&gt;25&lt;/sup&gt;" }, "properties" : { "noteIndex" : 0 }, "schema" : "https://github.com/citation-style-language/schema/raw/master/csl-citation.json" }</w:instrText>
      </w:r>
      <w:r w:rsidR="00C101A3">
        <w:rPr>
          <w:rFonts w:ascii="Arial" w:hAnsi="Arial" w:cs="Arial"/>
        </w:rPr>
        <w:fldChar w:fldCharType="separate"/>
      </w:r>
      <w:r w:rsidR="00C101A3" w:rsidRPr="00471B8C">
        <w:rPr>
          <w:rFonts w:ascii="Arial" w:hAnsi="Arial" w:cs="Arial"/>
          <w:noProof/>
          <w:vertAlign w:val="superscript"/>
        </w:rPr>
        <w:t>25</w:t>
      </w:r>
      <w:r w:rsidR="00C101A3">
        <w:rPr>
          <w:rFonts w:ascii="Arial" w:hAnsi="Arial" w:cs="Arial"/>
        </w:rPr>
        <w:fldChar w:fldCharType="end"/>
      </w:r>
      <w:r w:rsidR="00737C9B">
        <w:rPr>
          <w:rFonts w:ascii="Arial" w:hAnsi="Arial" w:cs="Arial"/>
        </w:rPr>
        <w:t xml:space="preserve"> opted to change its scoring </w:t>
      </w:r>
      <w:r w:rsidR="00C101A3">
        <w:rPr>
          <w:rFonts w:ascii="Arial" w:hAnsi="Arial" w:cs="Arial"/>
        </w:rPr>
        <w:t>of the Friends and Family Test</w:t>
      </w:r>
      <w:r w:rsidR="002049D7">
        <w:rPr>
          <w:rFonts w:ascii="Arial" w:hAnsi="Arial" w:cs="Arial"/>
        </w:rPr>
        <w:t xml:space="preserve">.  </w:t>
      </w:r>
      <w:r w:rsidR="00C101A3" w:rsidRPr="008E45F0">
        <w:rPr>
          <w:rFonts w:ascii="Arial" w:hAnsi="Arial" w:cs="Arial"/>
          <w:highlight w:val="yellow"/>
        </w:rPr>
        <w:t xml:space="preserve">As shown by the sensitivity tests in this paper, this change </w:t>
      </w:r>
      <w:r w:rsidR="008E45F0" w:rsidRPr="008E45F0">
        <w:rPr>
          <w:rFonts w:ascii="Arial" w:hAnsi="Arial" w:cs="Arial"/>
          <w:highlight w:val="yellow"/>
        </w:rPr>
        <w:t xml:space="preserve">does not meaningfully </w:t>
      </w:r>
      <w:r w:rsidR="00D079E9">
        <w:rPr>
          <w:rFonts w:ascii="Arial" w:hAnsi="Arial" w:cs="Arial"/>
          <w:highlight w:val="yellow"/>
        </w:rPr>
        <w:t xml:space="preserve">affect the conclusions </w:t>
      </w:r>
      <w:r w:rsidR="008E45F0" w:rsidRPr="008E45F0">
        <w:rPr>
          <w:rFonts w:ascii="Arial" w:hAnsi="Arial" w:cs="Arial"/>
          <w:highlight w:val="yellow"/>
        </w:rPr>
        <w:t>drawn from the data.</w:t>
      </w:r>
      <w:r w:rsidR="00C101A3">
        <w:rPr>
          <w:rFonts w:ascii="Arial" w:hAnsi="Arial" w:cs="Arial"/>
        </w:rPr>
        <w:t xml:space="preserve"> </w:t>
      </w:r>
      <w:r w:rsidR="00737C9B">
        <w:rPr>
          <w:rFonts w:ascii="Arial" w:hAnsi="Arial" w:cs="Arial"/>
        </w:rPr>
        <w:t xml:space="preserve">  </w:t>
      </w:r>
    </w:p>
    <w:p w14:paraId="2E5F677E" w14:textId="77777777" w:rsidR="0087711C" w:rsidRDefault="0087711C" w:rsidP="00494E96">
      <w:pPr>
        <w:spacing w:after="0" w:line="480" w:lineRule="auto"/>
        <w:jc w:val="both"/>
        <w:rPr>
          <w:rFonts w:ascii="Arial" w:hAnsi="Arial" w:cs="Arial"/>
        </w:rPr>
      </w:pPr>
    </w:p>
    <w:p w14:paraId="1D1226B1" w14:textId="6F9F4395" w:rsidR="00866C78" w:rsidRPr="00866C78" w:rsidRDefault="00494E96" w:rsidP="00494E96">
      <w:pPr>
        <w:spacing w:after="0" w:line="480" w:lineRule="auto"/>
        <w:jc w:val="both"/>
      </w:pPr>
      <w:r>
        <w:rPr>
          <w:rFonts w:ascii="Arial" w:hAnsi="Arial" w:cs="Arial"/>
        </w:rPr>
        <w:t xml:space="preserve">Another strength of the </w:t>
      </w:r>
      <w:r w:rsidR="0087711C">
        <w:rPr>
          <w:rFonts w:ascii="Arial" w:hAnsi="Arial" w:cs="Arial"/>
        </w:rPr>
        <w:t>NPS</w:t>
      </w:r>
      <w:r>
        <w:rPr>
          <w:rFonts w:ascii="Arial" w:hAnsi="Arial" w:cs="Arial"/>
        </w:rPr>
        <w:t xml:space="preserve"> is its </w:t>
      </w:r>
      <w:r w:rsidR="00290CE8">
        <w:rPr>
          <w:rFonts w:ascii="Arial" w:hAnsi="Arial" w:cs="Arial"/>
        </w:rPr>
        <w:t>reasonable</w:t>
      </w:r>
      <w:r>
        <w:rPr>
          <w:rFonts w:ascii="Arial" w:hAnsi="Arial" w:cs="Arial"/>
        </w:rPr>
        <w:t xml:space="preserve"> test-retest reliability, both </w:t>
      </w:r>
      <w:r w:rsidR="006E2E2D">
        <w:rPr>
          <w:rFonts w:ascii="Arial" w:hAnsi="Arial" w:cs="Arial"/>
        </w:rPr>
        <w:t>of itself</w:t>
      </w:r>
      <w:r>
        <w:rPr>
          <w:rFonts w:ascii="Arial" w:hAnsi="Arial" w:cs="Arial"/>
        </w:rPr>
        <w:t xml:space="preserve"> (weighted kappa= 0.706) but also relative to the satisfaction score tested simultaneously. </w:t>
      </w:r>
      <w:r w:rsidR="006445FB">
        <w:rPr>
          <w:rFonts w:ascii="Arial" w:hAnsi="Arial" w:cs="Arial"/>
        </w:rPr>
        <w:t xml:space="preserve"> </w:t>
      </w:r>
      <w:r w:rsidR="0061127D">
        <w:rPr>
          <w:rFonts w:ascii="Arial" w:hAnsi="Arial" w:cs="Arial"/>
        </w:rPr>
        <w:t xml:space="preserve">This said, in a five-point ordinal scale, with many respondents at the ceiling, the kappa statistic </w:t>
      </w:r>
      <w:r w:rsidR="006E2E2D">
        <w:rPr>
          <w:rFonts w:ascii="Arial" w:hAnsi="Arial" w:cs="Arial"/>
        </w:rPr>
        <w:t>will</w:t>
      </w:r>
      <w:r w:rsidR="0061127D">
        <w:rPr>
          <w:rFonts w:ascii="Arial" w:hAnsi="Arial" w:cs="Arial"/>
        </w:rPr>
        <w:t xml:space="preserve"> be artificially inflated because of poor sensitivity at this maximum value.  Further, the kappa value </w:t>
      </w:r>
      <w:r w:rsidR="006445FB">
        <w:rPr>
          <w:rFonts w:ascii="Arial" w:hAnsi="Arial" w:cs="Arial"/>
        </w:rPr>
        <w:t>is still considerably lower than might be achieved by a multi-item scale.</w:t>
      </w:r>
      <w:r>
        <w:rPr>
          <w:rFonts w:ascii="Arial" w:hAnsi="Arial" w:cs="Arial"/>
        </w:rPr>
        <w:t xml:space="preserve"> </w:t>
      </w:r>
      <w:r w:rsidR="0061127D">
        <w:rPr>
          <w:rFonts w:ascii="Arial" w:hAnsi="Arial" w:cs="Arial"/>
        </w:rPr>
        <w:t xml:space="preserve"> </w:t>
      </w:r>
      <w:r w:rsidR="009F41BD" w:rsidRPr="009F41BD">
        <w:rPr>
          <w:rFonts w:ascii="Arial" w:hAnsi="Arial" w:cs="Arial"/>
          <w:highlight w:val="yellow"/>
        </w:rPr>
        <w:t>A recently developed scale to evaluate person-centredness (as part of the same study) was substantially more reliable</w:t>
      </w:r>
      <w:r w:rsidR="009F41BD" w:rsidRPr="009F41BD">
        <w:rPr>
          <w:rFonts w:ascii="Arial" w:hAnsi="Arial" w:cs="Arial"/>
          <w:highlight w:val="yellow"/>
          <w:vertAlign w:val="superscript"/>
        </w:rPr>
        <w:t>43</w:t>
      </w:r>
      <w:r w:rsidR="009F41BD" w:rsidRPr="009F41BD">
        <w:rPr>
          <w:rFonts w:ascii="Arial" w:hAnsi="Arial" w:cs="Arial"/>
          <w:highlight w:val="yellow"/>
        </w:rPr>
        <w:t>, as well as being co-produced with service users themselves</w:t>
      </w:r>
      <w:r w:rsidR="009F41BD" w:rsidRPr="009F41BD">
        <w:rPr>
          <w:rFonts w:ascii="Arial" w:hAnsi="Arial" w:cs="Arial"/>
          <w:highlight w:val="yellow"/>
          <w:vertAlign w:val="superscript"/>
        </w:rPr>
        <w:t>44</w:t>
      </w:r>
      <w:r w:rsidR="009F41BD">
        <w:rPr>
          <w:rFonts w:ascii="Arial" w:hAnsi="Arial" w:cs="Arial"/>
        </w:rPr>
        <w:t xml:space="preserve">. </w:t>
      </w:r>
      <w:r w:rsidR="0061127D">
        <w:rPr>
          <w:rFonts w:ascii="Arial" w:hAnsi="Arial" w:cs="Arial"/>
        </w:rPr>
        <w:lastRenderedPageBreak/>
        <w:t>And e</w:t>
      </w:r>
      <w:r w:rsidR="007D3E3E">
        <w:rPr>
          <w:rFonts w:ascii="Arial" w:hAnsi="Arial" w:cs="Arial"/>
        </w:rPr>
        <w:t xml:space="preserve">ven if we accept that the </w:t>
      </w:r>
      <w:r w:rsidR="0087711C">
        <w:rPr>
          <w:rFonts w:ascii="Arial" w:hAnsi="Arial" w:cs="Arial"/>
        </w:rPr>
        <w:t>NPS</w:t>
      </w:r>
      <w:r w:rsidR="00866C78" w:rsidRPr="007D3E3E">
        <w:rPr>
          <w:rFonts w:ascii="Arial" w:hAnsi="Arial" w:cs="Arial"/>
        </w:rPr>
        <w:t xml:space="preserve"> </w:t>
      </w:r>
      <w:r w:rsidR="007D3E3E">
        <w:rPr>
          <w:rFonts w:ascii="Arial" w:hAnsi="Arial" w:cs="Arial"/>
        </w:rPr>
        <w:t xml:space="preserve">has </w:t>
      </w:r>
      <w:r w:rsidR="001B1FD1">
        <w:rPr>
          <w:rFonts w:ascii="Arial" w:hAnsi="Arial" w:cs="Arial"/>
        </w:rPr>
        <w:t>its place in the quality improvement architecture</w:t>
      </w:r>
      <w:r w:rsidR="007D3E3E">
        <w:rPr>
          <w:rFonts w:ascii="Arial" w:hAnsi="Arial" w:cs="Arial"/>
        </w:rPr>
        <w:t>, it remains unclear what it is measuring</w:t>
      </w:r>
      <w:r w:rsidR="0032332D">
        <w:rPr>
          <w:rFonts w:ascii="Arial" w:hAnsi="Arial" w:cs="Arial"/>
        </w:rPr>
        <w:fldChar w:fldCharType="begin" w:fldLock="1"/>
      </w:r>
      <w:r w:rsidR="005837D7">
        <w:rPr>
          <w:rFonts w:ascii="Arial" w:hAnsi="Arial" w:cs="Arial"/>
        </w:rPr>
        <w:instrText>ADDIN CSL_CITATION { "citationItems" : [ { "id" : "ITEM-1", "itemData" : { "DOI" : "10.1071/AH15034", "ISSN" : "0156-5788", "PMID" : "26387081", "abstract" : "Objectives The present study was designed to determine what staff consider when asked to respond to the Friends and Family Test question. Methods Over 300 health service staff responded to an online questionnaire exploring whether they would recommend treatment at their organisation to friends and family (Friends and Family Test). Results Staff identified staff attitudes and behaviours, the busyness of the health service and quality of care as themes that affected their recommendation. A considerable number of staff also identified factors largely outside the control of the health service as influencing their response. Conclusions Majority of respondents based their perceptions on personal expectations, with smaller numbers citing personal experience and hearsay. Staff would need to see changes both in the quality of care and management practice to amend their recommendation on the Friends and Family Test. What is known about the topic? The Friends and Family Test is seen as a useful tool to gather the opinions of patients and staff on the patient experience, yet there has been little validation of this question. What does this paper add? The present study suggests that, as currently worded, the question does not reliably report staff perceptions regarding patient experience. The study illustrates that the relationship with the organisation and perceptions of effective management are linked to staff responses. What are the implications for practitioners? The Family and Friends Test question may need to be more clearly focused to gather the desired information. Improvement on this indicator is only likely to be seen when management teams are meeting the expectations of staff for good management practice.", "author" : [ { "dropping-particle" : "", "family" : "Leggat", "given" : "Sandra G.", "non-dropping-particle" : "", "parse-names" : false, "suffix" : "" } ], "container-title" : "Australian Health Review", "id" : "ITEM-1", "issue" : "3", "issued" : { "date-parts" : [ [ "2016", "6" ] ] }, "page" : "299", "title" : "Understanding the perspectives of health service staff on the Friends and Family Test", "type" : "article-journal", "volume" : "40" }, "uris" : [ "http://www.mendeley.com/documents/?uuid=f4a5c3ec-4beb-376d-ae1f-4edeba961668" ] } ], "mendeley" : { "formattedCitation" : "&lt;sup&gt;17&lt;/sup&gt;", "plainTextFormattedCitation" : "17", "previouslyFormattedCitation" : "&lt;sup&gt;17&lt;/sup&gt;" }, "properties" : { "noteIndex" : 0 }, "schema" : "https://github.com/citation-style-language/schema/raw/master/csl-citation.json" }</w:instrText>
      </w:r>
      <w:r w:rsidR="0032332D">
        <w:rPr>
          <w:rFonts w:ascii="Arial" w:hAnsi="Arial" w:cs="Arial"/>
        </w:rPr>
        <w:fldChar w:fldCharType="separate"/>
      </w:r>
      <w:r w:rsidR="0032332D" w:rsidRPr="0032332D">
        <w:rPr>
          <w:rFonts w:ascii="Arial" w:hAnsi="Arial" w:cs="Arial"/>
          <w:noProof/>
          <w:vertAlign w:val="superscript"/>
        </w:rPr>
        <w:t>17</w:t>
      </w:r>
      <w:r w:rsidR="0032332D">
        <w:rPr>
          <w:rFonts w:ascii="Arial" w:hAnsi="Arial" w:cs="Arial"/>
        </w:rPr>
        <w:fldChar w:fldCharType="end"/>
      </w:r>
      <w:r w:rsidR="007D3E3E">
        <w:rPr>
          <w:rFonts w:ascii="Arial" w:hAnsi="Arial" w:cs="Arial"/>
        </w:rPr>
        <w:t xml:space="preserve"> </w:t>
      </w:r>
      <w:r w:rsidR="001B1FD1">
        <w:rPr>
          <w:rFonts w:ascii="Arial" w:hAnsi="Arial" w:cs="Arial"/>
        </w:rPr>
        <w:t xml:space="preserve">especially </w:t>
      </w:r>
      <w:r w:rsidR="007D3E3E">
        <w:rPr>
          <w:rFonts w:ascii="Arial" w:hAnsi="Arial" w:cs="Arial"/>
        </w:rPr>
        <w:t xml:space="preserve">in the context of community mental health services.  </w:t>
      </w:r>
      <w:r w:rsidR="001B1FD1">
        <w:rPr>
          <w:rFonts w:ascii="Arial" w:hAnsi="Arial" w:cs="Arial"/>
        </w:rPr>
        <w:t xml:space="preserve">The question demands a difficult cognitive leap, </w:t>
      </w:r>
      <w:r w:rsidR="006445FB">
        <w:rPr>
          <w:rFonts w:ascii="Arial" w:hAnsi="Arial" w:cs="Arial"/>
        </w:rPr>
        <w:t xml:space="preserve">asking for a decision in a </w:t>
      </w:r>
      <w:r w:rsidR="001B1FD1">
        <w:rPr>
          <w:rFonts w:ascii="Arial" w:hAnsi="Arial" w:cs="Arial"/>
        </w:rPr>
        <w:t>hypothetical scenario in a hypothetical market of providers.</w:t>
      </w:r>
      <w:r w:rsidR="006445FB">
        <w:rPr>
          <w:rFonts w:ascii="Arial" w:hAnsi="Arial" w:cs="Arial"/>
        </w:rPr>
        <w:t xml:space="preserve">  </w:t>
      </w:r>
    </w:p>
    <w:p w14:paraId="5C631D94" w14:textId="77777777" w:rsidR="006445FB" w:rsidRDefault="006445FB" w:rsidP="006445FB">
      <w:pPr>
        <w:spacing w:after="0" w:line="480" w:lineRule="auto"/>
        <w:rPr>
          <w:rFonts w:ascii="Arial" w:hAnsi="Arial" w:cs="Arial"/>
        </w:rPr>
      </w:pPr>
    </w:p>
    <w:p w14:paraId="6172A954" w14:textId="6ACCEEEB" w:rsidR="00866C78" w:rsidRPr="00866C78" w:rsidRDefault="00123125" w:rsidP="00662046">
      <w:pPr>
        <w:spacing w:after="0" w:line="480" w:lineRule="auto"/>
        <w:jc w:val="both"/>
      </w:pPr>
      <w:r>
        <w:rPr>
          <w:rFonts w:ascii="Arial" w:hAnsi="Arial" w:cs="Arial"/>
        </w:rPr>
        <w:t>The research needs to be viewed in light of its limitations.  Much of the analysis presented within the study was exploratory</w:t>
      </w:r>
      <w:r w:rsidR="00866C78" w:rsidRPr="00866C78">
        <w:rPr>
          <w:rFonts w:ascii="Arial" w:hAnsi="Arial" w:cs="Arial"/>
        </w:rPr>
        <w:t xml:space="preserve"> </w:t>
      </w:r>
      <w:r>
        <w:rPr>
          <w:rFonts w:ascii="Arial" w:hAnsi="Arial" w:cs="Arial"/>
        </w:rPr>
        <w:t xml:space="preserve">in nature and used a cross-sectional sample; geared to demonstrating the potential value of the </w:t>
      </w:r>
      <w:r w:rsidR="005B3E32">
        <w:rPr>
          <w:rFonts w:ascii="Arial" w:hAnsi="Arial" w:cs="Arial"/>
        </w:rPr>
        <w:t>NPS</w:t>
      </w:r>
      <w:r>
        <w:rPr>
          <w:rFonts w:ascii="Arial" w:hAnsi="Arial" w:cs="Arial"/>
        </w:rPr>
        <w:t xml:space="preserve"> rather than for reaching firm policy conclusions. </w:t>
      </w:r>
      <w:r w:rsidR="00DA4C74">
        <w:rPr>
          <w:rFonts w:ascii="Arial" w:hAnsi="Arial" w:cs="Arial"/>
        </w:rPr>
        <w:t xml:space="preserve"> F</w:t>
      </w:r>
      <w:r w:rsidR="007C0428">
        <w:rPr>
          <w:rFonts w:ascii="Arial" w:hAnsi="Arial" w:cs="Arial"/>
        </w:rPr>
        <w:t xml:space="preserve">indings arising from </w:t>
      </w:r>
      <w:r w:rsidR="005B3E32">
        <w:rPr>
          <w:rFonts w:ascii="Arial" w:hAnsi="Arial" w:cs="Arial"/>
        </w:rPr>
        <w:t>this</w:t>
      </w:r>
      <w:r w:rsidR="007C0428">
        <w:rPr>
          <w:rFonts w:ascii="Arial" w:hAnsi="Arial" w:cs="Arial"/>
        </w:rPr>
        <w:t xml:space="preserve"> analysis should be treated as a starting point for further investigation.</w:t>
      </w:r>
      <w:r>
        <w:rPr>
          <w:rFonts w:ascii="Arial" w:hAnsi="Arial" w:cs="Arial"/>
        </w:rPr>
        <w:t xml:space="preserve"> </w:t>
      </w:r>
      <w:r w:rsidR="00866C78" w:rsidRPr="00866C78">
        <w:rPr>
          <w:rFonts w:ascii="Arial" w:hAnsi="Arial" w:cs="Arial"/>
        </w:rPr>
        <w:t xml:space="preserve"> </w:t>
      </w:r>
      <w:r w:rsidR="006A656D" w:rsidRPr="006A656D">
        <w:rPr>
          <w:rFonts w:ascii="Arial" w:hAnsi="Arial" w:cs="Arial"/>
          <w:highlight w:val="yellow"/>
        </w:rPr>
        <w:t xml:space="preserve">The response rate, although low, </w:t>
      </w:r>
      <w:r w:rsidR="00962BFA">
        <w:rPr>
          <w:rFonts w:ascii="Arial" w:hAnsi="Arial" w:cs="Arial"/>
          <w:highlight w:val="yellow"/>
        </w:rPr>
        <w:t>surpassed</w:t>
      </w:r>
      <w:r w:rsidR="006A656D" w:rsidRPr="006A656D">
        <w:rPr>
          <w:rFonts w:ascii="Arial" w:hAnsi="Arial" w:cs="Arial"/>
          <w:highlight w:val="yellow"/>
        </w:rPr>
        <w:t xml:space="preserve"> that achieved by the Care Quality Commission </w:t>
      </w:r>
      <w:r w:rsidR="00962BFA">
        <w:rPr>
          <w:rFonts w:ascii="Arial" w:hAnsi="Arial" w:cs="Arial"/>
          <w:highlight w:val="yellow"/>
        </w:rPr>
        <w:t xml:space="preserve">recent </w:t>
      </w:r>
      <w:r w:rsidR="006A656D" w:rsidRPr="006A656D">
        <w:rPr>
          <w:rFonts w:ascii="Arial" w:hAnsi="Arial" w:cs="Arial"/>
          <w:highlight w:val="yellow"/>
        </w:rPr>
        <w:t>annual survey of community mental service users</w:t>
      </w:r>
      <w:r w:rsidR="00674E91" w:rsidRPr="00674E91">
        <w:rPr>
          <w:rFonts w:ascii="Arial" w:hAnsi="Arial" w:cs="Arial"/>
          <w:highlight w:val="yellow"/>
          <w:vertAlign w:val="superscript"/>
        </w:rPr>
        <w:t>4</w:t>
      </w:r>
      <w:r w:rsidR="009F41BD">
        <w:rPr>
          <w:rFonts w:ascii="Arial" w:hAnsi="Arial" w:cs="Arial"/>
          <w:highlight w:val="yellow"/>
          <w:vertAlign w:val="superscript"/>
        </w:rPr>
        <w:t>5</w:t>
      </w:r>
      <w:r w:rsidR="006A656D" w:rsidRPr="006A656D">
        <w:rPr>
          <w:rFonts w:ascii="Arial" w:hAnsi="Arial" w:cs="Arial"/>
          <w:highlight w:val="yellow"/>
        </w:rPr>
        <w:t xml:space="preserve">, and serves to remind readers that the majority of opinions </w:t>
      </w:r>
      <w:r w:rsidR="006A656D">
        <w:rPr>
          <w:rFonts w:ascii="Arial" w:hAnsi="Arial" w:cs="Arial"/>
          <w:highlight w:val="yellow"/>
        </w:rPr>
        <w:t>go</w:t>
      </w:r>
      <w:r w:rsidR="006A656D" w:rsidRPr="006A656D">
        <w:rPr>
          <w:rFonts w:ascii="Arial" w:hAnsi="Arial" w:cs="Arial"/>
          <w:highlight w:val="yellow"/>
        </w:rPr>
        <w:t xml:space="preserve"> </w:t>
      </w:r>
      <w:r w:rsidR="006A656D">
        <w:rPr>
          <w:rFonts w:ascii="Arial" w:hAnsi="Arial" w:cs="Arial"/>
          <w:highlight w:val="yellow"/>
        </w:rPr>
        <w:t>unrecorded</w:t>
      </w:r>
      <w:r w:rsidR="006A656D" w:rsidRPr="00880D25">
        <w:rPr>
          <w:rFonts w:ascii="Arial" w:hAnsi="Arial" w:cs="Arial"/>
          <w:highlight w:val="yellow"/>
        </w:rPr>
        <w:t xml:space="preserve">.  </w:t>
      </w:r>
      <w:r w:rsidR="00880D25" w:rsidRPr="00880D25">
        <w:rPr>
          <w:rFonts w:ascii="Arial" w:hAnsi="Arial" w:cs="Arial"/>
          <w:highlight w:val="yellow"/>
        </w:rPr>
        <w:t>The proportionately fewer returns from people with organic illnesses</w:t>
      </w:r>
      <w:r w:rsidR="00962BFA">
        <w:rPr>
          <w:rFonts w:ascii="Arial" w:hAnsi="Arial" w:cs="Arial"/>
          <w:highlight w:val="yellow"/>
        </w:rPr>
        <w:t>, and those recently referred to the team,</w:t>
      </w:r>
      <w:r w:rsidR="00880D25" w:rsidRPr="00880D25">
        <w:rPr>
          <w:rFonts w:ascii="Arial" w:hAnsi="Arial" w:cs="Arial"/>
          <w:highlight w:val="yellow"/>
        </w:rPr>
        <w:t xml:space="preserve"> are likely to bias NPS scores in favour of services, suggesting that some weighting would be needed in high-stakes analysis</w:t>
      </w:r>
      <w:r w:rsidR="00880D25">
        <w:rPr>
          <w:rFonts w:ascii="Arial" w:hAnsi="Arial" w:cs="Arial"/>
        </w:rPr>
        <w:t xml:space="preserve">.  </w:t>
      </w:r>
      <w:r w:rsidR="007C0428">
        <w:rPr>
          <w:rFonts w:ascii="Arial" w:hAnsi="Arial" w:cs="Arial"/>
        </w:rPr>
        <w:t>Furthermore, s</w:t>
      </w:r>
      <w:r w:rsidR="00866C78" w:rsidRPr="00866C78">
        <w:rPr>
          <w:rFonts w:ascii="Arial" w:hAnsi="Arial" w:cs="Arial"/>
        </w:rPr>
        <w:t xml:space="preserve">ome of the data requested relied on self-reported measures (e.g. recollection of number of clinicians seen) and therefore risks inaccuracy due to impaired recall or memory distortion. Anecdotal evidence indicates that service users may not always be aware of the visiting professional’s title (e.g. </w:t>
      </w:r>
      <w:r>
        <w:rPr>
          <w:rFonts w:ascii="Arial" w:hAnsi="Arial" w:cs="Arial"/>
        </w:rPr>
        <w:t xml:space="preserve">the </w:t>
      </w:r>
      <w:r w:rsidR="00866C78" w:rsidRPr="00866C78">
        <w:rPr>
          <w:rFonts w:ascii="Arial" w:hAnsi="Arial" w:cs="Arial"/>
        </w:rPr>
        <w:t xml:space="preserve">difference between a </w:t>
      </w:r>
      <w:r>
        <w:rPr>
          <w:rFonts w:ascii="Arial" w:hAnsi="Arial" w:cs="Arial"/>
        </w:rPr>
        <w:t>p</w:t>
      </w:r>
      <w:r w:rsidR="00866C78" w:rsidRPr="00866C78">
        <w:rPr>
          <w:rFonts w:ascii="Arial" w:hAnsi="Arial" w:cs="Arial"/>
        </w:rPr>
        <w:t xml:space="preserve">sychologist and </w:t>
      </w:r>
      <w:r>
        <w:rPr>
          <w:rFonts w:ascii="Arial" w:hAnsi="Arial" w:cs="Arial"/>
        </w:rPr>
        <w:t>a p</w:t>
      </w:r>
      <w:r w:rsidR="00866C78" w:rsidRPr="00866C78">
        <w:rPr>
          <w:rFonts w:ascii="Arial" w:hAnsi="Arial" w:cs="Arial"/>
        </w:rPr>
        <w:t xml:space="preserve">sychiatrist), which may cause difficulties when attempting to complete such questionnaires. </w:t>
      </w:r>
    </w:p>
    <w:p w14:paraId="06D6F14F" w14:textId="77777777" w:rsidR="00123125" w:rsidRDefault="00123125" w:rsidP="00123125">
      <w:pPr>
        <w:spacing w:after="0" w:line="480" w:lineRule="auto"/>
        <w:jc w:val="both"/>
        <w:rPr>
          <w:rFonts w:ascii="Arial" w:hAnsi="Arial" w:cs="Arial"/>
          <w:i/>
        </w:rPr>
      </w:pPr>
    </w:p>
    <w:p w14:paraId="7EF4057D" w14:textId="4F31AB09" w:rsidR="00866C78" w:rsidRDefault="0087711C" w:rsidP="00123125">
      <w:pPr>
        <w:spacing w:after="0" w:line="480" w:lineRule="auto"/>
        <w:jc w:val="both"/>
        <w:rPr>
          <w:rFonts w:ascii="Arial" w:hAnsi="Arial" w:cs="Arial"/>
        </w:rPr>
      </w:pPr>
      <w:r>
        <w:rPr>
          <w:rFonts w:ascii="Arial" w:hAnsi="Arial" w:cs="Arial"/>
        </w:rPr>
        <w:t>Additional research could explore the NPS in more detail</w:t>
      </w:r>
      <w:r w:rsidR="00E767FE">
        <w:rPr>
          <w:rFonts w:ascii="Arial" w:hAnsi="Arial" w:cs="Arial"/>
        </w:rPr>
        <w:t xml:space="preserve">.  </w:t>
      </w:r>
      <w:r w:rsidR="006E2E2D">
        <w:rPr>
          <w:rFonts w:ascii="Arial" w:hAnsi="Arial" w:cs="Arial"/>
        </w:rPr>
        <w:t>In-</w:t>
      </w:r>
      <w:r w:rsidR="00E767FE">
        <w:rPr>
          <w:rFonts w:ascii="Arial" w:hAnsi="Arial" w:cs="Arial"/>
        </w:rPr>
        <w:t xml:space="preserve">depth cognitive debriefing methods could be used to explore patient understanding of the question and what heuristics are used in arriving at their judgement. Additional research could also seek an understanding of how the information is used for service improvement, and what information </w:t>
      </w:r>
      <w:r w:rsidR="00CC7CF2">
        <w:rPr>
          <w:rFonts w:ascii="Arial" w:hAnsi="Arial" w:cs="Arial"/>
        </w:rPr>
        <w:t>may be</w:t>
      </w:r>
      <w:r w:rsidR="00E767FE">
        <w:rPr>
          <w:rFonts w:ascii="Arial" w:hAnsi="Arial" w:cs="Arial"/>
        </w:rPr>
        <w:t xml:space="preserve"> missing.  Finally, </w:t>
      </w:r>
      <w:r w:rsidR="006E2E2D">
        <w:rPr>
          <w:rFonts w:ascii="Arial" w:hAnsi="Arial" w:cs="Arial"/>
        </w:rPr>
        <w:t xml:space="preserve">given that the </w:t>
      </w:r>
      <w:r w:rsidR="005B3E32">
        <w:rPr>
          <w:rFonts w:ascii="Arial" w:hAnsi="Arial" w:cs="Arial"/>
        </w:rPr>
        <w:t>NPS</w:t>
      </w:r>
      <w:r w:rsidR="006E2E2D">
        <w:rPr>
          <w:rFonts w:ascii="Arial" w:hAnsi="Arial" w:cs="Arial"/>
        </w:rPr>
        <w:t xml:space="preserve"> is being used as part of RCTs in lieu of better patient experience metrics, b</w:t>
      </w:r>
      <w:r w:rsidR="00E767FE">
        <w:rPr>
          <w:rFonts w:ascii="Arial" w:hAnsi="Arial" w:cs="Arial"/>
        </w:rPr>
        <w:t xml:space="preserve">oth accuracy and reliability would be enhanced by the </w:t>
      </w:r>
      <w:r w:rsidR="00E767FE">
        <w:rPr>
          <w:rFonts w:ascii="Arial" w:hAnsi="Arial" w:cs="Arial"/>
        </w:rPr>
        <w:lastRenderedPageBreak/>
        <w:t>development of multi-item scales which are severely lacking for older people’s mental health care</w:t>
      </w:r>
      <w:r w:rsidR="00DA4C74">
        <w:rPr>
          <w:rFonts w:ascii="Arial" w:hAnsi="Arial" w:cs="Arial"/>
        </w:rPr>
        <w:fldChar w:fldCharType="begin" w:fldLock="1"/>
      </w:r>
      <w:r w:rsidR="0032332D">
        <w:rPr>
          <w:rFonts w:ascii="Arial" w:hAnsi="Arial" w:cs="Arial"/>
        </w:rPr>
        <w:instrText>ADDIN CSL_CITATION { "citationItems" : [ { "id" : "ITEM-1", "itemData" : { "DOI" : "10.1186/s12877-016-0229-y", "ISSN" : "1471-2318", "abstract" : "Person-centredness is promoted as a central feature of the long-term care of older adults. Measures are needed to assist researchers, service planners and regulators in assessing this feature of quality. However, no systematic review exists to identify potential instruments and to provide a critical appraisal of their measurement properties. A systematic review of measures of person-centredness was undertaken. Inclusion criteria restricted references to multi-item instruments designed for older adult services, or otherwise with measurement properties tested in an older adult population. A two-stage critical appraisal was conducted. First, the methodological quality of included references was assessed using the COSMIN toolkit. Second, seven measurement properties were rated using widely-recognised thresholds of acceptability. These results were then synthesised to provide an overall appraisal of the strength of evidence for each measurement property for each instrument. Eleven measures tested in 22 references were included. Six instruments were designed principally for use in long-stay residential facilities, and four were for ambulatory hospital or clinic-based services. Only one measure was designed mainly for completion by users of home care services. No measure could be assessed across all seven measurement properties. Despite some instruments having promising measurement properties, this was consistently undermined by the poor methodological quality underpinning them. Testing of hypotheses to support construct validity was of particularly low quality, whilst measurement error was rarely assessed. Two measures were identified as having been the subject of the most rigorous testing. The review is unable to unequivocally recommend any measures of person-centredness for use in older adult care. Researchers are advised to improve methodological rigour when testing instruments. Efforts may be best focused on testing a narrower range of measurement properties but to a higher standard, and ensuring that translations to new languages are resisted until strong measurement properties are demonstrated in the original tongue. Limitations of the review include inevitable semantic and conceptual challenges involved in defining \u2018person-centredness\u2019. The review protocol was registered with PROSPERO (ref: CRD42014005935).", "author" : [ { "dropping-particle" : "", "family" : "Wilberforce", "given" : "Mark", "non-dropping-particle" : "", "parse-names" : false, "suffix" : "" }, { "dropping-particle" : "", "family" : "Challis", "given" : "David", "non-dropping-particle" : "", "parse-names" : false, "suffix" : "" }, { "dropping-particle" : "", "family" : "Davies", "given" : "Linda", "non-dropping-particle" : "", "parse-names" : false, "suffix" : "" }, { "dropping-particle" : "", "family" : "Kelly", "given" : "Michael P.", "non-dropping-particle" : "", "parse-names" : false, "suffix" : "" }, { "dropping-particle" : "", "family" : "Roberts", "given" : "Chris", "non-dropping-particle" : "", "parse-names" : false, "suffix" : "" }, { "dropping-particle" : "", "family" : "Loynes", "given" : "Nik", "non-dropping-particle" : "", "parse-names" : false, "suffix" : "" } ], "container-title" : "BMC Geriatrics", "id" : "ITEM-1", "issue" : "1", "issued" : { "date-parts" : [ [ "2016", "12", "7" ] ] }, "page" : "63", "publisher" : "BioMed Central", "title" : "Person-centredness in the care of older adults: a systematic review of questionnaire-based scales and their measurement properties", "type" : "article-journal", "volume" : "16" }, "uris" : [ "http://www.mendeley.com/documents/?uuid=ad19c303-b45f-3b13-b8e5-7e0ad2b7631d" ] } ], "mendeley" : { "formattedCitation" : "&lt;sup&gt;43&lt;/sup&gt;", "plainTextFormattedCitation" : "43", "previouslyFormattedCitation" : "&lt;sup&gt;43&lt;/sup&gt;" }, "properties" : { "noteIndex" : 0 }, "schema" : "https://github.com/citation-style-language/schema/raw/master/csl-citation.json" }</w:instrText>
      </w:r>
      <w:r w:rsidR="00DA4C74">
        <w:rPr>
          <w:rFonts w:ascii="Arial" w:hAnsi="Arial" w:cs="Arial"/>
        </w:rPr>
        <w:fldChar w:fldCharType="separate"/>
      </w:r>
      <w:r w:rsidR="00471B8C" w:rsidRPr="00471B8C">
        <w:rPr>
          <w:rFonts w:ascii="Arial" w:hAnsi="Arial" w:cs="Arial"/>
          <w:noProof/>
          <w:vertAlign w:val="superscript"/>
        </w:rPr>
        <w:t>4</w:t>
      </w:r>
      <w:r w:rsidR="00674E91">
        <w:rPr>
          <w:rFonts w:ascii="Arial" w:hAnsi="Arial" w:cs="Arial"/>
          <w:noProof/>
          <w:vertAlign w:val="superscript"/>
        </w:rPr>
        <w:t>2</w:t>
      </w:r>
      <w:r w:rsidR="00DA4C74">
        <w:rPr>
          <w:rFonts w:ascii="Arial" w:hAnsi="Arial" w:cs="Arial"/>
        </w:rPr>
        <w:fldChar w:fldCharType="end"/>
      </w:r>
      <w:r w:rsidR="00E767FE">
        <w:rPr>
          <w:rFonts w:ascii="Arial" w:hAnsi="Arial" w:cs="Arial"/>
        </w:rPr>
        <w:t xml:space="preserve">.  </w:t>
      </w:r>
    </w:p>
    <w:p w14:paraId="1E711F3A" w14:textId="77777777" w:rsidR="007016E5" w:rsidRDefault="007016E5" w:rsidP="0061127D">
      <w:pPr>
        <w:spacing w:line="480" w:lineRule="auto"/>
        <w:rPr>
          <w:rFonts w:ascii="Arial" w:hAnsi="Arial" w:cs="Arial"/>
        </w:rPr>
      </w:pPr>
    </w:p>
    <w:p w14:paraId="3B405A29" w14:textId="37504B9A" w:rsidR="00866C78" w:rsidRPr="006E2E2D" w:rsidRDefault="00A94C55" w:rsidP="0061127D">
      <w:pPr>
        <w:spacing w:line="480" w:lineRule="auto"/>
        <w:rPr>
          <w:rFonts w:ascii="Arial" w:hAnsi="Arial" w:cs="Arial"/>
        </w:rPr>
      </w:pPr>
      <w:r w:rsidRPr="006E2E2D">
        <w:rPr>
          <w:rFonts w:ascii="Arial" w:hAnsi="Arial" w:cs="Arial"/>
        </w:rPr>
        <w:t>In conclusion, t</w:t>
      </w:r>
      <w:r w:rsidR="0061127D" w:rsidRPr="006E2E2D">
        <w:rPr>
          <w:rFonts w:ascii="Arial" w:hAnsi="Arial" w:cs="Arial"/>
        </w:rPr>
        <w:t xml:space="preserve">he </w:t>
      </w:r>
      <w:r w:rsidR="0087711C">
        <w:rPr>
          <w:rFonts w:ascii="Arial" w:hAnsi="Arial" w:cs="Arial"/>
        </w:rPr>
        <w:t>NPS has</w:t>
      </w:r>
      <w:r w:rsidR="0061127D" w:rsidRPr="006E2E2D">
        <w:rPr>
          <w:rFonts w:ascii="Arial" w:hAnsi="Arial" w:cs="Arial"/>
        </w:rPr>
        <w:t xml:space="preserve"> gained international appeal as a means for collecting patient experience data.  In England it has divided opinion as to how suitable it is, especially for its use in mental health services for older people.  This study finds that, as a formative instrument for quality improvement, it may have value</w:t>
      </w:r>
      <w:r w:rsidR="009D2D27">
        <w:rPr>
          <w:rFonts w:ascii="Arial" w:hAnsi="Arial" w:cs="Arial"/>
        </w:rPr>
        <w:t xml:space="preserve"> where used with a large sample of service users, enabling exploration of factors that are positively associated with willingness to recommend</w:t>
      </w:r>
      <w:r w:rsidR="0061127D" w:rsidRPr="006E2E2D">
        <w:rPr>
          <w:rFonts w:ascii="Arial" w:hAnsi="Arial" w:cs="Arial"/>
        </w:rPr>
        <w:t xml:space="preserve">.  It also has reasonable </w:t>
      </w:r>
      <w:r w:rsidR="007C0428" w:rsidRPr="006E2E2D">
        <w:rPr>
          <w:rFonts w:ascii="Arial" w:hAnsi="Arial" w:cs="Arial"/>
        </w:rPr>
        <w:t xml:space="preserve">agreement in a test-retest application, and is superior to a simple service satisfaction question.  However researchers would be better served by developing </w:t>
      </w:r>
      <w:r w:rsidR="009D2D27">
        <w:rPr>
          <w:rFonts w:ascii="Arial" w:hAnsi="Arial" w:cs="Arial"/>
        </w:rPr>
        <w:t>a quality score from a multi-item instrument</w:t>
      </w:r>
      <w:r w:rsidR="007C0428" w:rsidRPr="006E2E2D">
        <w:rPr>
          <w:rFonts w:ascii="Arial" w:hAnsi="Arial" w:cs="Arial"/>
        </w:rPr>
        <w:t xml:space="preserve">, spanning the breadth of the patient experience construct and aiming for improved reliability.  </w:t>
      </w:r>
    </w:p>
    <w:p w14:paraId="2ECFA772" w14:textId="77777777" w:rsidR="00A94C55" w:rsidRDefault="00A94C55" w:rsidP="00A94C55">
      <w:pPr>
        <w:spacing w:after="0" w:line="480" w:lineRule="auto"/>
        <w:rPr>
          <w:rFonts w:ascii="Arial" w:hAnsi="Arial" w:cs="Arial"/>
          <w:b/>
          <w:sz w:val="24"/>
          <w:szCs w:val="24"/>
        </w:rPr>
      </w:pPr>
    </w:p>
    <w:p w14:paraId="6F577E01" w14:textId="77777777" w:rsidR="00E86A5B" w:rsidRDefault="00E86A5B">
      <w:pPr>
        <w:rPr>
          <w:rFonts w:ascii="Arial" w:hAnsi="Arial" w:cs="Arial"/>
          <w:sz w:val="24"/>
          <w:szCs w:val="24"/>
        </w:rPr>
      </w:pPr>
      <w:r>
        <w:rPr>
          <w:rFonts w:ascii="Arial" w:hAnsi="Arial" w:cs="Arial"/>
          <w:sz w:val="24"/>
          <w:szCs w:val="24"/>
        </w:rPr>
        <w:br w:type="page"/>
      </w:r>
    </w:p>
    <w:p w14:paraId="0A89D20B" w14:textId="77777777" w:rsidR="00E86A5B" w:rsidRDefault="00BF1AAD" w:rsidP="004F5F2E">
      <w:pPr>
        <w:spacing w:line="480" w:lineRule="auto"/>
        <w:outlineLvl w:val="0"/>
        <w:rPr>
          <w:rFonts w:ascii="Arial" w:hAnsi="Arial" w:cs="Arial"/>
          <w:b/>
          <w:sz w:val="24"/>
          <w:szCs w:val="24"/>
        </w:rPr>
      </w:pPr>
      <w:r>
        <w:rPr>
          <w:rFonts w:ascii="Arial" w:hAnsi="Arial" w:cs="Arial"/>
          <w:b/>
          <w:sz w:val="24"/>
          <w:szCs w:val="24"/>
        </w:rPr>
        <w:lastRenderedPageBreak/>
        <w:t>REFERENCES</w:t>
      </w:r>
    </w:p>
    <w:p w14:paraId="644BB634"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1. </w:t>
      </w:r>
      <w:r w:rsidRPr="00471B8C">
        <w:rPr>
          <w:rFonts w:ascii="Arial" w:hAnsi="Arial" w:cs="Arial"/>
          <w:sz w:val="24"/>
          <w:szCs w:val="24"/>
        </w:rPr>
        <w:tab/>
        <w:t xml:space="preserve">Department of Health. </w:t>
      </w:r>
      <w:r w:rsidRPr="00471B8C">
        <w:rPr>
          <w:rFonts w:ascii="Arial" w:hAnsi="Arial" w:cs="Arial"/>
          <w:i/>
          <w:sz w:val="24"/>
          <w:szCs w:val="24"/>
        </w:rPr>
        <w:t>High Quality Care for All: NHS Next Stage Review Final Report</w:t>
      </w:r>
      <w:r w:rsidRPr="00471B8C">
        <w:rPr>
          <w:rFonts w:ascii="Arial" w:hAnsi="Arial" w:cs="Arial"/>
          <w:sz w:val="24"/>
          <w:szCs w:val="24"/>
        </w:rPr>
        <w:t>. London: Department of Health; 2008.</w:t>
      </w:r>
    </w:p>
    <w:p w14:paraId="4799CA4C"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2. </w:t>
      </w:r>
      <w:r w:rsidRPr="00471B8C">
        <w:rPr>
          <w:rFonts w:ascii="Arial" w:hAnsi="Arial" w:cs="Arial"/>
          <w:sz w:val="24"/>
          <w:szCs w:val="24"/>
        </w:rPr>
        <w:tab/>
      </w:r>
      <w:proofErr w:type="spellStart"/>
      <w:r w:rsidRPr="00471B8C">
        <w:rPr>
          <w:rFonts w:ascii="Arial" w:hAnsi="Arial" w:cs="Arial"/>
          <w:sz w:val="24"/>
          <w:szCs w:val="24"/>
        </w:rPr>
        <w:t>Gaebel</w:t>
      </w:r>
      <w:proofErr w:type="spellEnd"/>
      <w:r w:rsidRPr="00471B8C">
        <w:rPr>
          <w:rFonts w:ascii="Arial" w:hAnsi="Arial" w:cs="Arial"/>
          <w:sz w:val="24"/>
          <w:szCs w:val="24"/>
        </w:rPr>
        <w:t xml:space="preserve"> W, Becker T, Janssen B. EPA guidance on the quality of mental health services. </w:t>
      </w:r>
      <w:r w:rsidRPr="0032332D">
        <w:rPr>
          <w:rFonts w:ascii="Arial" w:hAnsi="Arial" w:cs="Arial"/>
          <w:i/>
          <w:sz w:val="24"/>
          <w:szCs w:val="24"/>
        </w:rPr>
        <w:t>Eur Psychiatry</w:t>
      </w:r>
      <w:r w:rsidRPr="00471B8C">
        <w:rPr>
          <w:rFonts w:ascii="Arial" w:hAnsi="Arial" w:cs="Arial"/>
          <w:sz w:val="24"/>
          <w:szCs w:val="24"/>
        </w:rPr>
        <w:t>. 2012;27(2):87-113.</w:t>
      </w:r>
    </w:p>
    <w:p w14:paraId="71F2A48A"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3. </w:t>
      </w:r>
      <w:r w:rsidRPr="00471B8C">
        <w:rPr>
          <w:rFonts w:ascii="Arial" w:hAnsi="Arial" w:cs="Arial"/>
          <w:sz w:val="24"/>
          <w:szCs w:val="24"/>
        </w:rPr>
        <w:tab/>
        <w:t xml:space="preserve">Hermann R, Palmer H, </w:t>
      </w:r>
      <w:proofErr w:type="spellStart"/>
      <w:r w:rsidRPr="00471B8C">
        <w:rPr>
          <w:rFonts w:ascii="Arial" w:hAnsi="Arial" w:cs="Arial"/>
          <w:sz w:val="24"/>
          <w:szCs w:val="24"/>
        </w:rPr>
        <w:t>Leff</w:t>
      </w:r>
      <w:proofErr w:type="spellEnd"/>
      <w:r w:rsidRPr="00471B8C">
        <w:rPr>
          <w:rFonts w:ascii="Arial" w:hAnsi="Arial" w:cs="Arial"/>
          <w:sz w:val="24"/>
          <w:szCs w:val="24"/>
        </w:rPr>
        <w:t xml:space="preserve"> S</w:t>
      </w:r>
      <w:r w:rsidR="0032332D">
        <w:rPr>
          <w:rFonts w:ascii="Arial" w:hAnsi="Arial" w:cs="Arial"/>
          <w:sz w:val="24"/>
          <w:szCs w:val="24"/>
        </w:rPr>
        <w:t xml:space="preserve">, </w:t>
      </w:r>
      <w:proofErr w:type="spellStart"/>
      <w:r w:rsidR="0032332D">
        <w:rPr>
          <w:rFonts w:ascii="Arial" w:hAnsi="Arial" w:cs="Arial"/>
          <w:sz w:val="24"/>
          <w:szCs w:val="24"/>
        </w:rPr>
        <w:t>Shwartz</w:t>
      </w:r>
      <w:proofErr w:type="spellEnd"/>
      <w:r w:rsidR="0032332D">
        <w:rPr>
          <w:rFonts w:ascii="Arial" w:hAnsi="Arial" w:cs="Arial"/>
          <w:sz w:val="24"/>
          <w:szCs w:val="24"/>
        </w:rPr>
        <w:t xml:space="preserve"> M, Provost S, Chan J et al</w:t>
      </w:r>
      <w:r w:rsidRPr="00471B8C">
        <w:rPr>
          <w:rFonts w:ascii="Arial" w:hAnsi="Arial" w:cs="Arial"/>
          <w:sz w:val="24"/>
          <w:szCs w:val="24"/>
        </w:rPr>
        <w:t xml:space="preserve">. Achieving consensus across diverse stakeholders on quality measures for mental healthcare. </w:t>
      </w:r>
      <w:r w:rsidRPr="0032332D">
        <w:rPr>
          <w:rFonts w:ascii="Arial" w:hAnsi="Arial" w:cs="Arial"/>
          <w:i/>
          <w:sz w:val="24"/>
          <w:szCs w:val="24"/>
        </w:rPr>
        <w:t>Med Care</w:t>
      </w:r>
      <w:r w:rsidRPr="00471B8C">
        <w:rPr>
          <w:rFonts w:ascii="Arial" w:hAnsi="Arial" w:cs="Arial"/>
          <w:sz w:val="24"/>
          <w:szCs w:val="24"/>
        </w:rPr>
        <w:t>. 2004;42(12):1246-1253.</w:t>
      </w:r>
    </w:p>
    <w:p w14:paraId="049F47A9"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4. </w:t>
      </w:r>
      <w:r w:rsidRPr="00471B8C">
        <w:rPr>
          <w:rFonts w:ascii="Arial" w:hAnsi="Arial" w:cs="Arial"/>
          <w:sz w:val="24"/>
          <w:szCs w:val="24"/>
        </w:rPr>
        <w:tab/>
        <w:t xml:space="preserve">Kilbourne A, Keyser D, Pincus H. Challenges and Opportunities in Measuring the Quality of Mental Health Care. </w:t>
      </w:r>
      <w:r w:rsidRPr="0032332D">
        <w:rPr>
          <w:rFonts w:ascii="Arial" w:hAnsi="Arial" w:cs="Arial"/>
          <w:i/>
          <w:sz w:val="24"/>
          <w:szCs w:val="24"/>
        </w:rPr>
        <w:t>Can J Psychiatry</w:t>
      </w:r>
      <w:r w:rsidRPr="00471B8C">
        <w:rPr>
          <w:rFonts w:ascii="Arial" w:hAnsi="Arial" w:cs="Arial"/>
          <w:sz w:val="24"/>
          <w:szCs w:val="24"/>
        </w:rPr>
        <w:t>. 2010;55(9):549-557.</w:t>
      </w:r>
    </w:p>
    <w:p w14:paraId="6D8CC5E1"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5. </w:t>
      </w:r>
      <w:r w:rsidRPr="00471B8C">
        <w:rPr>
          <w:rFonts w:ascii="Arial" w:hAnsi="Arial" w:cs="Arial"/>
          <w:sz w:val="24"/>
          <w:szCs w:val="24"/>
        </w:rPr>
        <w:tab/>
        <w:t xml:space="preserve">WHO. </w:t>
      </w:r>
      <w:r w:rsidRPr="0032332D">
        <w:rPr>
          <w:rFonts w:ascii="Arial" w:hAnsi="Arial" w:cs="Arial"/>
          <w:i/>
          <w:sz w:val="24"/>
          <w:szCs w:val="24"/>
        </w:rPr>
        <w:t>People-Centred Health Care: A Policy Framework</w:t>
      </w:r>
      <w:r w:rsidRPr="00471B8C">
        <w:rPr>
          <w:rFonts w:ascii="Arial" w:hAnsi="Arial" w:cs="Arial"/>
          <w:sz w:val="24"/>
          <w:szCs w:val="24"/>
        </w:rPr>
        <w:t>. Geneva, Switzerland; 2007.</w:t>
      </w:r>
    </w:p>
    <w:p w14:paraId="4C903E60"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6. </w:t>
      </w:r>
      <w:r w:rsidRPr="00471B8C">
        <w:rPr>
          <w:rFonts w:ascii="Arial" w:hAnsi="Arial" w:cs="Arial"/>
          <w:sz w:val="24"/>
          <w:szCs w:val="24"/>
        </w:rPr>
        <w:tab/>
        <w:t xml:space="preserve">Duggan P, Geller G, Cooper L, Beach M. The moral nature of patient-centeredness: Is it “just the right thing to do”? </w:t>
      </w:r>
      <w:r w:rsidRPr="0032332D">
        <w:rPr>
          <w:rFonts w:ascii="Arial" w:hAnsi="Arial" w:cs="Arial"/>
          <w:i/>
          <w:sz w:val="24"/>
          <w:szCs w:val="24"/>
        </w:rPr>
        <w:t xml:space="preserve">Patient </w:t>
      </w:r>
      <w:proofErr w:type="spellStart"/>
      <w:r w:rsidRPr="0032332D">
        <w:rPr>
          <w:rFonts w:ascii="Arial" w:hAnsi="Arial" w:cs="Arial"/>
          <w:i/>
          <w:sz w:val="24"/>
          <w:szCs w:val="24"/>
        </w:rPr>
        <w:t>Educ</w:t>
      </w:r>
      <w:proofErr w:type="spellEnd"/>
      <w:r w:rsidRPr="0032332D">
        <w:rPr>
          <w:rFonts w:ascii="Arial" w:hAnsi="Arial" w:cs="Arial"/>
          <w:i/>
          <w:sz w:val="24"/>
          <w:szCs w:val="24"/>
        </w:rPr>
        <w:t xml:space="preserve"> </w:t>
      </w:r>
      <w:proofErr w:type="spellStart"/>
      <w:r w:rsidRPr="0032332D">
        <w:rPr>
          <w:rFonts w:ascii="Arial" w:hAnsi="Arial" w:cs="Arial"/>
          <w:i/>
          <w:sz w:val="24"/>
          <w:szCs w:val="24"/>
        </w:rPr>
        <w:t>Couns</w:t>
      </w:r>
      <w:proofErr w:type="spellEnd"/>
      <w:r w:rsidRPr="0032332D">
        <w:rPr>
          <w:rFonts w:ascii="Arial" w:hAnsi="Arial" w:cs="Arial"/>
          <w:i/>
          <w:sz w:val="24"/>
          <w:szCs w:val="24"/>
        </w:rPr>
        <w:t>.</w:t>
      </w:r>
      <w:r w:rsidRPr="00471B8C">
        <w:rPr>
          <w:rFonts w:ascii="Arial" w:hAnsi="Arial" w:cs="Arial"/>
          <w:sz w:val="24"/>
          <w:szCs w:val="24"/>
        </w:rPr>
        <w:t xml:space="preserve"> 2006;62(2):271-276.</w:t>
      </w:r>
    </w:p>
    <w:p w14:paraId="54B5C99B"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7. </w:t>
      </w:r>
      <w:r w:rsidRPr="00471B8C">
        <w:rPr>
          <w:rFonts w:ascii="Arial" w:hAnsi="Arial" w:cs="Arial"/>
          <w:sz w:val="24"/>
          <w:szCs w:val="24"/>
        </w:rPr>
        <w:tab/>
        <w:t xml:space="preserve">Doyle C, Lennox L, Bell D. A systematic review of evidence on the links between patient experience and clinical safety and effectiveness. </w:t>
      </w:r>
      <w:r w:rsidRPr="0032332D">
        <w:rPr>
          <w:rFonts w:ascii="Arial" w:hAnsi="Arial" w:cs="Arial"/>
          <w:i/>
          <w:sz w:val="24"/>
          <w:szCs w:val="24"/>
        </w:rPr>
        <w:t>BMJ Open</w:t>
      </w:r>
      <w:r w:rsidRPr="00471B8C">
        <w:rPr>
          <w:rFonts w:ascii="Arial" w:hAnsi="Arial" w:cs="Arial"/>
          <w:sz w:val="24"/>
          <w:szCs w:val="24"/>
        </w:rPr>
        <w:t>. 2013</w:t>
      </w:r>
      <w:proofErr w:type="gramStart"/>
      <w:r w:rsidRPr="00471B8C">
        <w:rPr>
          <w:rFonts w:ascii="Arial" w:hAnsi="Arial" w:cs="Arial"/>
          <w:sz w:val="24"/>
          <w:szCs w:val="24"/>
        </w:rPr>
        <w:t>;3:1</w:t>
      </w:r>
      <w:proofErr w:type="gramEnd"/>
      <w:r w:rsidRPr="00471B8C">
        <w:rPr>
          <w:rFonts w:ascii="Arial" w:hAnsi="Arial" w:cs="Arial"/>
          <w:sz w:val="24"/>
          <w:szCs w:val="24"/>
        </w:rPr>
        <w:t>-18.</w:t>
      </w:r>
    </w:p>
    <w:p w14:paraId="5D042C41"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8. </w:t>
      </w:r>
      <w:r w:rsidRPr="00471B8C">
        <w:rPr>
          <w:rFonts w:ascii="Arial" w:hAnsi="Arial" w:cs="Arial"/>
          <w:sz w:val="24"/>
          <w:szCs w:val="24"/>
        </w:rPr>
        <w:tab/>
        <w:t xml:space="preserve">Wolf J, </w:t>
      </w:r>
      <w:proofErr w:type="spellStart"/>
      <w:r w:rsidRPr="00471B8C">
        <w:rPr>
          <w:rFonts w:ascii="Arial" w:hAnsi="Arial" w:cs="Arial"/>
          <w:sz w:val="24"/>
          <w:szCs w:val="24"/>
        </w:rPr>
        <w:t>Niederhauser</w:t>
      </w:r>
      <w:proofErr w:type="spellEnd"/>
      <w:r w:rsidRPr="00471B8C">
        <w:rPr>
          <w:rFonts w:ascii="Arial" w:hAnsi="Arial" w:cs="Arial"/>
          <w:sz w:val="24"/>
          <w:szCs w:val="24"/>
        </w:rPr>
        <w:t xml:space="preserve"> V, </w:t>
      </w:r>
      <w:proofErr w:type="spellStart"/>
      <w:r w:rsidRPr="00471B8C">
        <w:rPr>
          <w:rFonts w:ascii="Arial" w:hAnsi="Arial" w:cs="Arial"/>
          <w:sz w:val="24"/>
          <w:szCs w:val="24"/>
        </w:rPr>
        <w:t>Marshburn</w:t>
      </w:r>
      <w:proofErr w:type="spellEnd"/>
      <w:r w:rsidRPr="00471B8C">
        <w:rPr>
          <w:rFonts w:ascii="Arial" w:hAnsi="Arial" w:cs="Arial"/>
          <w:sz w:val="24"/>
          <w:szCs w:val="24"/>
        </w:rPr>
        <w:t xml:space="preserve"> D, </w:t>
      </w:r>
      <w:proofErr w:type="spellStart"/>
      <w:r w:rsidRPr="00471B8C">
        <w:rPr>
          <w:rFonts w:ascii="Arial" w:hAnsi="Arial" w:cs="Arial"/>
          <w:sz w:val="24"/>
          <w:szCs w:val="24"/>
        </w:rPr>
        <w:t>LaVela</w:t>
      </w:r>
      <w:proofErr w:type="spellEnd"/>
      <w:r w:rsidRPr="00471B8C">
        <w:rPr>
          <w:rFonts w:ascii="Arial" w:hAnsi="Arial" w:cs="Arial"/>
          <w:sz w:val="24"/>
          <w:szCs w:val="24"/>
        </w:rPr>
        <w:t xml:space="preserve"> S. Defining Patient Experience. </w:t>
      </w:r>
      <w:r w:rsidRPr="0032332D">
        <w:rPr>
          <w:rFonts w:ascii="Arial" w:hAnsi="Arial" w:cs="Arial"/>
          <w:i/>
          <w:sz w:val="24"/>
          <w:szCs w:val="24"/>
        </w:rPr>
        <w:t>Patient Exp J.</w:t>
      </w:r>
      <w:r w:rsidRPr="00471B8C">
        <w:rPr>
          <w:rFonts w:ascii="Arial" w:hAnsi="Arial" w:cs="Arial"/>
          <w:sz w:val="24"/>
          <w:szCs w:val="24"/>
        </w:rPr>
        <w:t xml:space="preserve"> 2014;1(1):7-19.</w:t>
      </w:r>
    </w:p>
    <w:p w14:paraId="04229781"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9. </w:t>
      </w:r>
      <w:r w:rsidRPr="00471B8C">
        <w:rPr>
          <w:rFonts w:ascii="Arial" w:hAnsi="Arial" w:cs="Arial"/>
          <w:sz w:val="24"/>
          <w:szCs w:val="24"/>
        </w:rPr>
        <w:tab/>
        <w:t xml:space="preserve">Banerjee S. Multimorbidity—older adults need health care that can count past one. </w:t>
      </w:r>
      <w:r w:rsidRPr="0032332D">
        <w:rPr>
          <w:rFonts w:ascii="Arial" w:hAnsi="Arial" w:cs="Arial"/>
          <w:i/>
          <w:sz w:val="24"/>
          <w:szCs w:val="24"/>
        </w:rPr>
        <w:t>Lancet</w:t>
      </w:r>
      <w:r w:rsidRPr="00471B8C">
        <w:rPr>
          <w:rFonts w:ascii="Arial" w:hAnsi="Arial" w:cs="Arial"/>
          <w:sz w:val="24"/>
          <w:szCs w:val="24"/>
        </w:rPr>
        <w:t xml:space="preserve">. 2015;385(9968):587-589. </w:t>
      </w:r>
    </w:p>
    <w:p w14:paraId="3E1AD3D4"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10. </w:t>
      </w:r>
      <w:r w:rsidRPr="00471B8C">
        <w:rPr>
          <w:rFonts w:ascii="Arial" w:hAnsi="Arial" w:cs="Arial"/>
          <w:sz w:val="24"/>
          <w:szCs w:val="24"/>
        </w:rPr>
        <w:tab/>
      </w:r>
      <w:proofErr w:type="spellStart"/>
      <w:r w:rsidRPr="00471B8C">
        <w:rPr>
          <w:rFonts w:ascii="Arial" w:hAnsi="Arial" w:cs="Arial"/>
          <w:sz w:val="24"/>
          <w:szCs w:val="24"/>
        </w:rPr>
        <w:t>Kitwood</w:t>
      </w:r>
      <w:proofErr w:type="spellEnd"/>
      <w:r w:rsidRPr="00471B8C">
        <w:rPr>
          <w:rFonts w:ascii="Arial" w:hAnsi="Arial" w:cs="Arial"/>
          <w:sz w:val="24"/>
          <w:szCs w:val="24"/>
        </w:rPr>
        <w:t xml:space="preserve"> T. </w:t>
      </w:r>
      <w:r w:rsidRPr="0032332D">
        <w:rPr>
          <w:rFonts w:ascii="Arial" w:hAnsi="Arial" w:cs="Arial"/>
          <w:i/>
          <w:sz w:val="24"/>
          <w:szCs w:val="24"/>
        </w:rPr>
        <w:t>Dementia Reconsidered: The Person Comes First</w:t>
      </w:r>
      <w:r w:rsidRPr="00471B8C">
        <w:rPr>
          <w:rFonts w:ascii="Arial" w:hAnsi="Arial" w:cs="Arial"/>
          <w:sz w:val="24"/>
          <w:szCs w:val="24"/>
        </w:rPr>
        <w:t>. Buckingham: Open University Press; 1997.</w:t>
      </w:r>
    </w:p>
    <w:p w14:paraId="263D4D0D"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11. </w:t>
      </w:r>
      <w:r w:rsidRPr="00471B8C">
        <w:rPr>
          <w:rFonts w:ascii="Arial" w:hAnsi="Arial" w:cs="Arial"/>
          <w:sz w:val="24"/>
          <w:szCs w:val="24"/>
        </w:rPr>
        <w:tab/>
        <w:t xml:space="preserve">Byrne K, Frazee K, Sims-Gould J, Martin-Matthews A. Valuing the Older Person in the Context of Delivery and Receipt of Home Support: Client Perspectives. </w:t>
      </w:r>
      <w:r w:rsidRPr="0032332D">
        <w:rPr>
          <w:rFonts w:ascii="Arial" w:hAnsi="Arial" w:cs="Arial"/>
          <w:i/>
          <w:sz w:val="24"/>
          <w:szCs w:val="24"/>
        </w:rPr>
        <w:t xml:space="preserve">J </w:t>
      </w:r>
      <w:proofErr w:type="spellStart"/>
      <w:r w:rsidRPr="0032332D">
        <w:rPr>
          <w:rFonts w:ascii="Arial" w:hAnsi="Arial" w:cs="Arial"/>
          <w:i/>
          <w:sz w:val="24"/>
          <w:szCs w:val="24"/>
        </w:rPr>
        <w:t>Appl</w:t>
      </w:r>
      <w:proofErr w:type="spellEnd"/>
      <w:r w:rsidRPr="0032332D">
        <w:rPr>
          <w:rFonts w:ascii="Arial" w:hAnsi="Arial" w:cs="Arial"/>
          <w:i/>
          <w:sz w:val="24"/>
          <w:szCs w:val="24"/>
        </w:rPr>
        <w:t xml:space="preserve"> </w:t>
      </w:r>
      <w:proofErr w:type="spellStart"/>
      <w:r w:rsidRPr="0032332D">
        <w:rPr>
          <w:rFonts w:ascii="Arial" w:hAnsi="Arial" w:cs="Arial"/>
          <w:i/>
          <w:sz w:val="24"/>
          <w:szCs w:val="24"/>
        </w:rPr>
        <w:t>Gerontol</w:t>
      </w:r>
      <w:proofErr w:type="spellEnd"/>
      <w:r w:rsidRPr="00471B8C">
        <w:rPr>
          <w:rFonts w:ascii="Arial" w:hAnsi="Arial" w:cs="Arial"/>
          <w:sz w:val="24"/>
          <w:szCs w:val="24"/>
        </w:rPr>
        <w:t xml:space="preserve">. 2012;31(3):377-401. </w:t>
      </w:r>
    </w:p>
    <w:p w14:paraId="18C1A7D1"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12. </w:t>
      </w:r>
      <w:r w:rsidRPr="00471B8C">
        <w:rPr>
          <w:rFonts w:ascii="Arial" w:hAnsi="Arial" w:cs="Arial"/>
          <w:sz w:val="24"/>
          <w:szCs w:val="24"/>
        </w:rPr>
        <w:tab/>
        <w:t xml:space="preserve">Wilberforce M, Challis D, Davies L, Kelly MP, Roberts C, Clarkson P. Person-centredness in the community care of older people: A literature-based concept synthesis. </w:t>
      </w:r>
      <w:proofErr w:type="spellStart"/>
      <w:r w:rsidRPr="0032332D">
        <w:rPr>
          <w:rFonts w:ascii="Arial" w:hAnsi="Arial" w:cs="Arial"/>
          <w:i/>
          <w:sz w:val="24"/>
          <w:szCs w:val="24"/>
        </w:rPr>
        <w:t>Int</w:t>
      </w:r>
      <w:proofErr w:type="spellEnd"/>
      <w:r w:rsidRPr="0032332D">
        <w:rPr>
          <w:rFonts w:ascii="Arial" w:hAnsi="Arial" w:cs="Arial"/>
          <w:i/>
          <w:sz w:val="24"/>
          <w:szCs w:val="24"/>
        </w:rPr>
        <w:t xml:space="preserve"> J </w:t>
      </w:r>
      <w:proofErr w:type="spellStart"/>
      <w:r w:rsidRPr="0032332D">
        <w:rPr>
          <w:rFonts w:ascii="Arial" w:hAnsi="Arial" w:cs="Arial"/>
          <w:i/>
          <w:sz w:val="24"/>
          <w:szCs w:val="24"/>
        </w:rPr>
        <w:t>Soc</w:t>
      </w:r>
      <w:proofErr w:type="spellEnd"/>
      <w:r w:rsidRPr="0032332D">
        <w:rPr>
          <w:rFonts w:ascii="Arial" w:hAnsi="Arial" w:cs="Arial"/>
          <w:i/>
          <w:sz w:val="24"/>
          <w:szCs w:val="24"/>
        </w:rPr>
        <w:t xml:space="preserve"> </w:t>
      </w:r>
      <w:proofErr w:type="spellStart"/>
      <w:r w:rsidRPr="0032332D">
        <w:rPr>
          <w:rFonts w:ascii="Arial" w:hAnsi="Arial" w:cs="Arial"/>
          <w:i/>
          <w:sz w:val="24"/>
          <w:szCs w:val="24"/>
        </w:rPr>
        <w:t>Welf</w:t>
      </w:r>
      <w:proofErr w:type="spellEnd"/>
      <w:r w:rsidRPr="00471B8C">
        <w:rPr>
          <w:rFonts w:ascii="Arial" w:hAnsi="Arial" w:cs="Arial"/>
          <w:sz w:val="24"/>
          <w:szCs w:val="24"/>
        </w:rPr>
        <w:t xml:space="preserve">. 2017;26(1):86-98. </w:t>
      </w:r>
    </w:p>
    <w:p w14:paraId="584FCA53"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13. </w:t>
      </w:r>
      <w:r w:rsidRPr="00471B8C">
        <w:rPr>
          <w:rFonts w:ascii="Arial" w:hAnsi="Arial" w:cs="Arial"/>
          <w:sz w:val="24"/>
          <w:szCs w:val="24"/>
        </w:rPr>
        <w:tab/>
        <w:t xml:space="preserve">Chester H, Clarkson P, Davies L, et al. A discrete choice experiment to explore carer preferences. </w:t>
      </w:r>
      <w:r w:rsidRPr="0032332D">
        <w:rPr>
          <w:rFonts w:ascii="Arial" w:hAnsi="Arial" w:cs="Arial"/>
          <w:i/>
          <w:sz w:val="24"/>
          <w:szCs w:val="24"/>
        </w:rPr>
        <w:t>Qual Ageing Older Adults</w:t>
      </w:r>
      <w:r w:rsidR="0032332D">
        <w:rPr>
          <w:rFonts w:ascii="Arial" w:hAnsi="Arial" w:cs="Arial"/>
          <w:sz w:val="24"/>
          <w:szCs w:val="24"/>
        </w:rPr>
        <w:t>. 2016; 18(1):33-43.</w:t>
      </w:r>
    </w:p>
    <w:p w14:paraId="0811C459"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14. </w:t>
      </w:r>
      <w:r w:rsidRPr="00471B8C">
        <w:rPr>
          <w:rFonts w:ascii="Arial" w:hAnsi="Arial" w:cs="Arial"/>
          <w:sz w:val="24"/>
          <w:szCs w:val="24"/>
        </w:rPr>
        <w:tab/>
        <w:t>York AS, McCarthy KA. Patient, staff and physician satisfaction: a new model, instrument and their implications</w:t>
      </w:r>
      <w:r w:rsidR="0032332D">
        <w:rPr>
          <w:rFonts w:ascii="Arial" w:hAnsi="Arial" w:cs="Arial"/>
          <w:sz w:val="24"/>
          <w:szCs w:val="24"/>
        </w:rPr>
        <w:t xml:space="preserve">.  </w:t>
      </w:r>
      <w:r w:rsidRPr="0032332D">
        <w:rPr>
          <w:rFonts w:ascii="Arial" w:hAnsi="Arial" w:cs="Arial"/>
          <w:i/>
          <w:sz w:val="24"/>
          <w:szCs w:val="24"/>
        </w:rPr>
        <w:t>Int J Health Care Qual Assur</w:t>
      </w:r>
      <w:r w:rsidRPr="00471B8C">
        <w:rPr>
          <w:rFonts w:ascii="Arial" w:hAnsi="Arial" w:cs="Arial"/>
          <w:sz w:val="24"/>
          <w:szCs w:val="24"/>
        </w:rPr>
        <w:t>. 2009;24(3):178-191.</w:t>
      </w:r>
    </w:p>
    <w:p w14:paraId="2CA636EA"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15. </w:t>
      </w:r>
      <w:r w:rsidRPr="00471B8C">
        <w:rPr>
          <w:rFonts w:ascii="Arial" w:hAnsi="Arial" w:cs="Arial"/>
          <w:sz w:val="24"/>
          <w:szCs w:val="24"/>
        </w:rPr>
        <w:tab/>
        <w:t xml:space="preserve">Reichheld F. The One Number You Need to Grow. </w:t>
      </w:r>
      <w:proofErr w:type="spellStart"/>
      <w:r w:rsidRPr="0032332D">
        <w:rPr>
          <w:rFonts w:ascii="Arial" w:hAnsi="Arial" w:cs="Arial"/>
          <w:i/>
          <w:sz w:val="24"/>
          <w:szCs w:val="24"/>
        </w:rPr>
        <w:t>Harv</w:t>
      </w:r>
      <w:proofErr w:type="spellEnd"/>
      <w:r w:rsidRPr="0032332D">
        <w:rPr>
          <w:rFonts w:ascii="Arial" w:hAnsi="Arial" w:cs="Arial"/>
          <w:i/>
          <w:sz w:val="24"/>
          <w:szCs w:val="24"/>
        </w:rPr>
        <w:t xml:space="preserve"> Bus Rev.</w:t>
      </w:r>
      <w:r w:rsidRPr="00471B8C">
        <w:rPr>
          <w:rFonts w:ascii="Arial" w:hAnsi="Arial" w:cs="Arial"/>
          <w:sz w:val="24"/>
          <w:szCs w:val="24"/>
        </w:rPr>
        <w:t xml:space="preserve"> 2003;81(12):46-55. </w:t>
      </w:r>
    </w:p>
    <w:p w14:paraId="7F958BC4"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16. </w:t>
      </w:r>
      <w:r w:rsidRPr="00471B8C">
        <w:rPr>
          <w:rFonts w:ascii="Arial" w:hAnsi="Arial" w:cs="Arial"/>
          <w:sz w:val="24"/>
          <w:szCs w:val="24"/>
        </w:rPr>
        <w:tab/>
      </w:r>
      <w:proofErr w:type="spellStart"/>
      <w:r w:rsidRPr="00471B8C">
        <w:rPr>
          <w:rFonts w:ascii="Arial" w:hAnsi="Arial" w:cs="Arial"/>
          <w:sz w:val="24"/>
          <w:szCs w:val="24"/>
        </w:rPr>
        <w:t>Krol</w:t>
      </w:r>
      <w:proofErr w:type="spellEnd"/>
      <w:r w:rsidRPr="00471B8C">
        <w:rPr>
          <w:rFonts w:ascii="Arial" w:hAnsi="Arial" w:cs="Arial"/>
          <w:sz w:val="24"/>
          <w:szCs w:val="24"/>
        </w:rPr>
        <w:t xml:space="preserve"> MW, de Boer D, </w:t>
      </w:r>
      <w:proofErr w:type="spellStart"/>
      <w:r w:rsidRPr="00471B8C">
        <w:rPr>
          <w:rFonts w:ascii="Arial" w:hAnsi="Arial" w:cs="Arial"/>
          <w:sz w:val="24"/>
          <w:szCs w:val="24"/>
        </w:rPr>
        <w:t>Delnoij</w:t>
      </w:r>
      <w:proofErr w:type="spellEnd"/>
      <w:r w:rsidRPr="00471B8C">
        <w:rPr>
          <w:rFonts w:ascii="Arial" w:hAnsi="Arial" w:cs="Arial"/>
          <w:sz w:val="24"/>
          <w:szCs w:val="24"/>
        </w:rPr>
        <w:t xml:space="preserve"> DM, </w:t>
      </w:r>
      <w:proofErr w:type="spellStart"/>
      <w:r w:rsidRPr="00471B8C">
        <w:rPr>
          <w:rFonts w:ascii="Arial" w:hAnsi="Arial" w:cs="Arial"/>
          <w:sz w:val="24"/>
          <w:szCs w:val="24"/>
        </w:rPr>
        <w:t>Rademakers</w:t>
      </w:r>
      <w:proofErr w:type="spellEnd"/>
      <w:r w:rsidRPr="00471B8C">
        <w:rPr>
          <w:rFonts w:ascii="Arial" w:hAnsi="Arial" w:cs="Arial"/>
          <w:sz w:val="24"/>
          <w:szCs w:val="24"/>
        </w:rPr>
        <w:t xml:space="preserve"> JJ. The Net Promoter Score - an asset to patient experience surveys? </w:t>
      </w:r>
      <w:r w:rsidRPr="0032332D">
        <w:rPr>
          <w:rFonts w:ascii="Arial" w:hAnsi="Arial" w:cs="Arial"/>
          <w:i/>
          <w:sz w:val="24"/>
          <w:szCs w:val="24"/>
        </w:rPr>
        <w:t>Heal Expect</w:t>
      </w:r>
      <w:r w:rsidRPr="00471B8C">
        <w:rPr>
          <w:rFonts w:ascii="Arial" w:hAnsi="Arial" w:cs="Arial"/>
          <w:sz w:val="24"/>
          <w:szCs w:val="24"/>
        </w:rPr>
        <w:t xml:space="preserve">. 2015;18(6):3099-3109. </w:t>
      </w:r>
    </w:p>
    <w:p w14:paraId="271FD976"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17. </w:t>
      </w:r>
      <w:r w:rsidRPr="00471B8C">
        <w:rPr>
          <w:rFonts w:ascii="Arial" w:hAnsi="Arial" w:cs="Arial"/>
          <w:sz w:val="24"/>
          <w:szCs w:val="24"/>
        </w:rPr>
        <w:tab/>
        <w:t xml:space="preserve">Leggat SG. Understanding the perspectives of health service staff on the Friends and Family Test. </w:t>
      </w:r>
      <w:proofErr w:type="spellStart"/>
      <w:r w:rsidRPr="0032332D">
        <w:rPr>
          <w:rFonts w:ascii="Arial" w:hAnsi="Arial" w:cs="Arial"/>
          <w:i/>
          <w:sz w:val="24"/>
          <w:szCs w:val="24"/>
        </w:rPr>
        <w:t>Aust</w:t>
      </w:r>
      <w:proofErr w:type="spellEnd"/>
      <w:r w:rsidRPr="0032332D">
        <w:rPr>
          <w:rFonts w:ascii="Arial" w:hAnsi="Arial" w:cs="Arial"/>
          <w:i/>
          <w:sz w:val="24"/>
          <w:szCs w:val="24"/>
        </w:rPr>
        <w:t xml:space="preserve"> Heal Rev</w:t>
      </w:r>
      <w:r w:rsidRPr="00471B8C">
        <w:rPr>
          <w:rFonts w:ascii="Arial" w:hAnsi="Arial" w:cs="Arial"/>
          <w:sz w:val="24"/>
          <w:szCs w:val="24"/>
        </w:rPr>
        <w:t xml:space="preserve">. 2016;40(3):299. </w:t>
      </w:r>
    </w:p>
    <w:p w14:paraId="0BE65611"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18. </w:t>
      </w:r>
      <w:r w:rsidRPr="00471B8C">
        <w:rPr>
          <w:rFonts w:ascii="Arial" w:hAnsi="Arial" w:cs="Arial"/>
          <w:sz w:val="24"/>
          <w:szCs w:val="24"/>
        </w:rPr>
        <w:tab/>
        <w:t xml:space="preserve">Lawton R, O’Hara JK, Sheard L, et al. Can staff and patient perspectives on hospital safety predict harm-free care? An analysis of staff and patient survey data and routinely collected outcomes. </w:t>
      </w:r>
      <w:r w:rsidRPr="0032332D">
        <w:rPr>
          <w:rFonts w:ascii="Arial" w:hAnsi="Arial" w:cs="Arial"/>
          <w:i/>
          <w:sz w:val="24"/>
          <w:szCs w:val="24"/>
        </w:rPr>
        <w:t xml:space="preserve">BMJ </w:t>
      </w:r>
      <w:proofErr w:type="spellStart"/>
      <w:r w:rsidRPr="0032332D">
        <w:rPr>
          <w:rFonts w:ascii="Arial" w:hAnsi="Arial" w:cs="Arial"/>
          <w:i/>
          <w:sz w:val="24"/>
          <w:szCs w:val="24"/>
        </w:rPr>
        <w:t>Qual</w:t>
      </w:r>
      <w:proofErr w:type="spellEnd"/>
      <w:r w:rsidRPr="0032332D">
        <w:rPr>
          <w:rFonts w:ascii="Arial" w:hAnsi="Arial" w:cs="Arial"/>
          <w:i/>
          <w:sz w:val="24"/>
          <w:szCs w:val="24"/>
        </w:rPr>
        <w:t xml:space="preserve"> </w:t>
      </w:r>
      <w:proofErr w:type="spellStart"/>
      <w:r w:rsidRPr="0032332D">
        <w:rPr>
          <w:rFonts w:ascii="Arial" w:hAnsi="Arial" w:cs="Arial"/>
          <w:i/>
          <w:sz w:val="24"/>
          <w:szCs w:val="24"/>
        </w:rPr>
        <w:t>Saf</w:t>
      </w:r>
      <w:proofErr w:type="spellEnd"/>
      <w:r w:rsidRPr="00471B8C">
        <w:rPr>
          <w:rFonts w:ascii="Arial" w:hAnsi="Arial" w:cs="Arial"/>
          <w:sz w:val="24"/>
          <w:szCs w:val="24"/>
        </w:rPr>
        <w:t xml:space="preserve">. 2015;24(6):369-376. </w:t>
      </w:r>
    </w:p>
    <w:p w14:paraId="1E80879F" w14:textId="77777777" w:rsidR="005837D7" w:rsidRPr="005837D7"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19. </w:t>
      </w:r>
      <w:r w:rsidRPr="00471B8C">
        <w:rPr>
          <w:rFonts w:ascii="Arial" w:hAnsi="Arial" w:cs="Arial"/>
          <w:sz w:val="24"/>
          <w:szCs w:val="24"/>
        </w:rPr>
        <w:tab/>
      </w:r>
      <w:r w:rsidR="005837D7">
        <w:rPr>
          <w:rFonts w:ascii="Arial" w:hAnsi="Arial" w:cs="Arial"/>
          <w:sz w:val="24"/>
          <w:szCs w:val="24"/>
        </w:rPr>
        <w:t xml:space="preserve">Leggat S, Karimi L, Bartram T.  A path analysis study of factors influencing hospital staff perceptions of quality of care factors associated with patient satisfaction and patient experience.  </w:t>
      </w:r>
      <w:r w:rsidR="005837D7">
        <w:rPr>
          <w:rFonts w:ascii="Arial" w:hAnsi="Arial" w:cs="Arial"/>
          <w:i/>
          <w:sz w:val="24"/>
          <w:szCs w:val="24"/>
        </w:rPr>
        <w:t xml:space="preserve">BMC Health </w:t>
      </w:r>
      <w:proofErr w:type="spellStart"/>
      <w:r w:rsidR="005837D7">
        <w:rPr>
          <w:rFonts w:ascii="Arial" w:hAnsi="Arial" w:cs="Arial"/>
          <w:i/>
          <w:sz w:val="24"/>
          <w:szCs w:val="24"/>
        </w:rPr>
        <w:t>Serv</w:t>
      </w:r>
      <w:proofErr w:type="spellEnd"/>
      <w:r w:rsidR="005837D7">
        <w:rPr>
          <w:rFonts w:ascii="Arial" w:hAnsi="Arial" w:cs="Arial"/>
          <w:i/>
          <w:sz w:val="24"/>
          <w:szCs w:val="24"/>
        </w:rPr>
        <w:t xml:space="preserve"> Res. </w:t>
      </w:r>
      <w:r w:rsidR="005837D7">
        <w:rPr>
          <w:rFonts w:ascii="Arial" w:hAnsi="Arial" w:cs="Arial"/>
          <w:sz w:val="24"/>
          <w:szCs w:val="24"/>
        </w:rPr>
        <w:t>2017; 17:739.</w:t>
      </w:r>
    </w:p>
    <w:p w14:paraId="43DF9024"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lastRenderedPageBreak/>
        <w:t xml:space="preserve">20. </w:t>
      </w:r>
      <w:r w:rsidRPr="00471B8C">
        <w:rPr>
          <w:rFonts w:ascii="Arial" w:hAnsi="Arial" w:cs="Arial"/>
          <w:sz w:val="24"/>
          <w:szCs w:val="24"/>
        </w:rPr>
        <w:tab/>
      </w:r>
      <w:proofErr w:type="spellStart"/>
      <w:r w:rsidRPr="00471B8C">
        <w:rPr>
          <w:rFonts w:ascii="Arial" w:hAnsi="Arial" w:cs="Arial"/>
          <w:sz w:val="24"/>
          <w:szCs w:val="24"/>
        </w:rPr>
        <w:t>Manacorda</w:t>
      </w:r>
      <w:proofErr w:type="spellEnd"/>
      <w:r w:rsidRPr="00471B8C">
        <w:rPr>
          <w:rFonts w:ascii="Arial" w:hAnsi="Arial" w:cs="Arial"/>
          <w:sz w:val="24"/>
          <w:szCs w:val="24"/>
        </w:rPr>
        <w:t xml:space="preserve"> T, </w:t>
      </w:r>
      <w:proofErr w:type="spellStart"/>
      <w:r w:rsidRPr="00471B8C">
        <w:rPr>
          <w:rFonts w:ascii="Arial" w:hAnsi="Arial" w:cs="Arial"/>
          <w:sz w:val="24"/>
          <w:szCs w:val="24"/>
        </w:rPr>
        <w:t>Erens</w:t>
      </w:r>
      <w:proofErr w:type="spellEnd"/>
      <w:r w:rsidRPr="00471B8C">
        <w:rPr>
          <w:rFonts w:ascii="Arial" w:hAnsi="Arial" w:cs="Arial"/>
          <w:sz w:val="24"/>
          <w:szCs w:val="24"/>
        </w:rPr>
        <w:t xml:space="preserve"> B, Black N, Mays N. The Friends and Family Test in general practice in England: a qualitative study of the views of staff and patients. </w:t>
      </w:r>
      <w:r w:rsidRPr="0032332D">
        <w:rPr>
          <w:rFonts w:ascii="Arial" w:hAnsi="Arial" w:cs="Arial"/>
          <w:i/>
          <w:sz w:val="24"/>
          <w:szCs w:val="24"/>
        </w:rPr>
        <w:t xml:space="preserve">Br J Gen </w:t>
      </w:r>
      <w:proofErr w:type="spellStart"/>
      <w:r w:rsidRPr="0032332D">
        <w:rPr>
          <w:rFonts w:ascii="Arial" w:hAnsi="Arial" w:cs="Arial"/>
          <w:i/>
          <w:sz w:val="24"/>
          <w:szCs w:val="24"/>
        </w:rPr>
        <w:t>Pract</w:t>
      </w:r>
      <w:proofErr w:type="spellEnd"/>
      <w:r w:rsidRPr="00471B8C">
        <w:rPr>
          <w:rFonts w:ascii="Arial" w:hAnsi="Arial" w:cs="Arial"/>
          <w:sz w:val="24"/>
          <w:szCs w:val="24"/>
        </w:rPr>
        <w:t>. 2017</w:t>
      </w:r>
      <w:proofErr w:type="gramStart"/>
      <w:r w:rsidRPr="00471B8C">
        <w:rPr>
          <w:rFonts w:ascii="Arial" w:hAnsi="Arial" w:cs="Arial"/>
          <w:sz w:val="24"/>
          <w:szCs w:val="24"/>
        </w:rPr>
        <w:t>;67</w:t>
      </w:r>
      <w:proofErr w:type="gramEnd"/>
      <w:r w:rsidRPr="00471B8C">
        <w:rPr>
          <w:rFonts w:ascii="Arial" w:hAnsi="Arial" w:cs="Arial"/>
          <w:sz w:val="24"/>
          <w:szCs w:val="24"/>
        </w:rPr>
        <w:t xml:space="preserve">(658):e370-e376. </w:t>
      </w:r>
    </w:p>
    <w:p w14:paraId="72A98373"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21. </w:t>
      </w:r>
      <w:r w:rsidRPr="00471B8C">
        <w:rPr>
          <w:rFonts w:ascii="Arial" w:hAnsi="Arial" w:cs="Arial"/>
          <w:sz w:val="24"/>
          <w:szCs w:val="24"/>
        </w:rPr>
        <w:tab/>
        <w:t xml:space="preserve">Garrido JM, Sánchez-Moreno J, Vázquez M, et al. Evaluation of Patient Satisfaction in a State Reference </w:t>
      </w:r>
      <w:proofErr w:type="spellStart"/>
      <w:r w:rsidRPr="00471B8C">
        <w:rPr>
          <w:rFonts w:ascii="Arial" w:hAnsi="Arial" w:cs="Arial"/>
          <w:sz w:val="24"/>
          <w:szCs w:val="24"/>
        </w:rPr>
        <w:t>Center</w:t>
      </w:r>
      <w:proofErr w:type="spellEnd"/>
      <w:r w:rsidRPr="00471B8C">
        <w:rPr>
          <w:rFonts w:ascii="Arial" w:hAnsi="Arial" w:cs="Arial"/>
          <w:sz w:val="24"/>
          <w:szCs w:val="24"/>
        </w:rPr>
        <w:t xml:space="preserve"> of Bipolar Disorder </w:t>
      </w:r>
      <w:r w:rsidRPr="0032332D">
        <w:rPr>
          <w:rFonts w:ascii="Arial" w:hAnsi="Arial" w:cs="Arial"/>
          <w:i/>
          <w:sz w:val="24"/>
          <w:szCs w:val="24"/>
        </w:rPr>
        <w:t xml:space="preserve">J </w:t>
      </w:r>
      <w:proofErr w:type="spellStart"/>
      <w:r w:rsidRPr="0032332D">
        <w:rPr>
          <w:rFonts w:ascii="Arial" w:hAnsi="Arial" w:cs="Arial"/>
          <w:i/>
          <w:sz w:val="24"/>
          <w:szCs w:val="24"/>
        </w:rPr>
        <w:t>Behav</w:t>
      </w:r>
      <w:proofErr w:type="spellEnd"/>
      <w:r w:rsidRPr="0032332D">
        <w:rPr>
          <w:rFonts w:ascii="Arial" w:hAnsi="Arial" w:cs="Arial"/>
          <w:i/>
          <w:sz w:val="24"/>
          <w:szCs w:val="24"/>
        </w:rPr>
        <w:t xml:space="preserve"> Health </w:t>
      </w:r>
      <w:proofErr w:type="spellStart"/>
      <w:r w:rsidRPr="0032332D">
        <w:rPr>
          <w:rFonts w:ascii="Arial" w:hAnsi="Arial" w:cs="Arial"/>
          <w:i/>
          <w:sz w:val="24"/>
          <w:szCs w:val="24"/>
        </w:rPr>
        <w:t>Serv</w:t>
      </w:r>
      <w:proofErr w:type="spellEnd"/>
      <w:r w:rsidRPr="0032332D">
        <w:rPr>
          <w:rFonts w:ascii="Arial" w:hAnsi="Arial" w:cs="Arial"/>
          <w:i/>
          <w:sz w:val="24"/>
          <w:szCs w:val="24"/>
        </w:rPr>
        <w:t xml:space="preserve"> Res</w:t>
      </w:r>
      <w:r w:rsidRPr="00471B8C">
        <w:rPr>
          <w:rFonts w:ascii="Arial" w:hAnsi="Arial" w:cs="Arial"/>
          <w:sz w:val="24"/>
          <w:szCs w:val="24"/>
        </w:rPr>
        <w:t xml:space="preserve">. 2017. </w:t>
      </w:r>
    </w:p>
    <w:p w14:paraId="6C24D2D4"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22. </w:t>
      </w:r>
      <w:r w:rsidRPr="00471B8C">
        <w:rPr>
          <w:rFonts w:ascii="Arial" w:hAnsi="Arial" w:cs="Arial"/>
          <w:sz w:val="24"/>
          <w:szCs w:val="24"/>
        </w:rPr>
        <w:tab/>
        <w:t xml:space="preserve">Baillie L, Thomas N. How does the length of day shift affect patient care on older people’s wards? A mixed method study. </w:t>
      </w:r>
      <w:proofErr w:type="spellStart"/>
      <w:r w:rsidRPr="0032332D">
        <w:rPr>
          <w:rFonts w:ascii="Arial" w:hAnsi="Arial" w:cs="Arial"/>
          <w:i/>
          <w:sz w:val="24"/>
          <w:szCs w:val="24"/>
        </w:rPr>
        <w:t>Int</w:t>
      </w:r>
      <w:proofErr w:type="spellEnd"/>
      <w:r w:rsidRPr="0032332D">
        <w:rPr>
          <w:rFonts w:ascii="Arial" w:hAnsi="Arial" w:cs="Arial"/>
          <w:i/>
          <w:sz w:val="24"/>
          <w:szCs w:val="24"/>
        </w:rPr>
        <w:t xml:space="preserve"> J </w:t>
      </w:r>
      <w:proofErr w:type="spellStart"/>
      <w:r w:rsidRPr="0032332D">
        <w:rPr>
          <w:rFonts w:ascii="Arial" w:hAnsi="Arial" w:cs="Arial"/>
          <w:i/>
          <w:sz w:val="24"/>
          <w:szCs w:val="24"/>
        </w:rPr>
        <w:t>Nurs</w:t>
      </w:r>
      <w:proofErr w:type="spellEnd"/>
      <w:r w:rsidRPr="0032332D">
        <w:rPr>
          <w:rFonts w:ascii="Arial" w:hAnsi="Arial" w:cs="Arial"/>
          <w:i/>
          <w:sz w:val="24"/>
          <w:szCs w:val="24"/>
        </w:rPr>
        <w:t xml:space="preserve"> Stud.</w:t>
      </w:r>
      <w:r w:rsidRPr="00471B8C">
        <w:rPr>
          <w:rFonts w:ascii="Arial" w:hAnsi="Arial" w:cs="Arial"/>
          <w:sz w:val="24"/>
          <w:szCs w:val="24"/>
        </w:rPr>
        <w:t xml:space="preserve"> 2017</w:t>
      </w:r>
      <w:proofErr w:type="gramStart"/>
      <w:r w:rsidRPr="00471B8C">
        <w:rPr>
          <w:rFonts w:ascii="Arial" w:hAnsi="Arial" w:cs="Arial"/>
          <w:sz w:val="24"/>
          <w:szCs w:val="24"/>
        </w:rPr>
        <w:t>;75:154</w:t>
      </w:r>
      <w:proofErr w:type="gramEnd"/>
      <w:r w:rsidRPr="00471B8C">
        <w:rPr>
          <w:rFonts w:ascii="Arial" w:hAnsi="Arial" w:cs="Arial"/>
          <w:sz w:val="24"/>
          <w:szCs w:val="24"/>
        </w:rPr>
        <w:t xml:space="preserve">-162. </w:t>
      </w:r>
    </w:p>
    <w:p w14:paraId="5BB8F930"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23. </w:t>
      </w:r>
      <w:r w:rsidRPr="00471B8C">
        <w:rPr>
          <w:rFonts w:ascii="Arial" w:hAnsi="Arial" w:cs="Arial"/>
          <w:sz w:val="24"/>
          <w:szCs w:val="24"/>
        </w:rPr>
        <w:tab/>
        <w:t>Royal College of Psychiatrists. Development and Validation of the Patient Feedback Questionnaire (PFQ-16) for the Quality Mark Program for Elder-Friendly Hospital Wards. London: Royal College of Psychiatrists; 2015. https://www.rcpsych.ac.uk/pdf/PFQ-16 Final-Report.pdf. Accessed December 15, 2017.</w:t>
      </w:r>
    </w:p>
    <w:p w14:paraId="623C8F1C"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24. </w:t>
      </w:r>
      <w:r w:rsidRPr="00471B8C">
        <w:rPr>
          <w:rFonts w:ascii="Arial" w:hAnsi="Arial" w:cs="Arial"/>
          <w:sz w:val="24"/>
          <w:szCs w:val="24"/>
        </w:rPr>
        <w:tab/>
        <w:t xml:space="preserve">Lawton R, O’Hara JK, Sheard L, et al. Can patient involvement improve patient safety? A cluster randomised control trial of the Patient Reporting and Action for a Safe Environment (PRASE) intervention. </w:t>
      </w:r>
      <w:r w:rsidRPr="0032332D">
        <w:rPr>
          <w:rFonts w:ascii="Arial" w:hAnsi="Arial" w:cs="Arial"/>
          <w:i/>
          <w:sz w:val="24"/>
          <w:szCs w:val="24"/>
        </w:rPr>
        <w:t xml:space="preserve">BMJ </w:t>
      </w:r>
      <w:proofErr w:type="spellStart"/>
      <w:r w:rsidRPr="0032332D">
        <w:rPr>
          <w:rFonts w:ascii="Arial" w:hAnsi="Arial" w:cs="Arial"/>
          <w:i/>
          <w:sz w:val="24"/>
          <w:szCs w:val="24"/>
        </w:rPr>
        <w:t>Qual</w:t>
      </w:r>
      <w:proofErr w:type="spellEnd"/>
      <w:r w:rsidRPr="0032332D">
        <w:rPr>
          <w:rFonts w:ascii="Arial" w:hAnsi="Arial" w:cs="Arial"/>
          <w:i/>
          <w:sz w:val="24"/>
          <w:szCs w:val="24"/>
        </w:rPr>
        <w:t xml:space="preserve"> </w:t>
      </w:r>
      <w:proofErr w:type="spellStart"/>
      <w:r w:rsidRPr="0032332D">
        <w:rPr>
          <w:rFonts w:ascii="Arial" w:hAnsi="Arial" w:cs="Arial"/>
          <w:i/>
          <w:sz w:val="24"/>
          <w:szCs w:val="24"/>
        </w:rPr>
        <w:t>Saf</w:t>
      </w:r>
      <w:proofErr w:type="spellEnd"/>
      <w:r w:rsidRPr="0032332D">
        <w:rPr>
          <w:rFonts w:ascii="Arial" w:hAnsi="Arial" w:cs="Arial"/>
          <w:i/>
          <w:sz w:val="24"/>
          <w:szCs w:val="24"/>
        </w:rPr>
        <w:t>.</w:t>
      </w:r>
      <w:r w:rsidRPr="00471B8C">
        <w:rPr>
          <w:rFonts w:ascii="Arial" w:hAnsi="Arial" w:cs="Arial"/>
          <w:sz w:val="24"/>
          <w:szCs w:val="24"/>
        </w:rPr>
        <w:t xml:space="preserve"> 2017;26(8):622-631. </w:t>
      </w:r>
    </w:p>
    <w:p w14:paraId="484B1BDC"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25. </w:t>
      </w:r>
      <w:r w:rsidRPr="00471B8C">
        <w:rPr>
          <w:rFonts w:ascii="Arial" w:hAnsi="Arial" w:cs="Arial"/>
          <w:sz w:val="24"/>
          <w:szCs w:val="24"/>
        </w:rPr>
        <w:tab/>
        <w:t xml:space="preserve">NHS England. </w:t>
      </w:r>
      <w:r w:rsidRPr="00544A57">
        <w:rPr>
          <w:rFonts w:ascii="Arial" w:hAnsi="Arial" w:cs="Arial"/>
          <w:i/>
          <w:sz w:val="24"/>
          <w:szCs w:val="24"/>
        </w:rPr>
        <w:t>Review of the Friends and Family Test</w:t>
      </w:r>
      <w:r w:rsidRPr="00471B8C">
        <w:rPr>
          <w:rFonts w:ascii="Arial" w:hAnsi="Arial" w:cs="Arial"/>
          <w:sz w:val="24"/>
          <w:szCs w:val="24"/>
        </w:rPr>
        <w:t>. London</w:t>
      </w:r>
      <w:r w:rsidR="00544A57">
        <w:rPr>
          <w:rFonts w:ascii="Arial" w:hAnsi="Arial" w:cs="Arial"/>
          <w:sz w:val="24"/>
          <w:szCs w:val="24"/>
        </w:rPr>
        <w:t>:</w:t>
      </w:r>
      <w:r w:rsidRPr="00471B8C">
        <w:rPr>
          <w:rFonts w:ascii="Arial" w:hAnsi="Arial" w:cs="Arial"/>
          <w:sz w:val="24"/>
          <w:szCs w:val="24"/>
        </w:rPr>
        <w:t xml:space="preserve"> </w:t>
      </w:r>
      <w:r w:rsidR="00544A57">
        <w:rPr>
          <w:rFonts w:ascii="Arial" w:hAnsi="Arial" w:cs="Arial"/>
          <w:sz w:val="24"/>
          <w:szCs w:val="24"/>
        </w:rPr>
        <w:t xml:space="preserve">NHS England; </w:t>
      </w:r>
      <w:r w:rsidRPr="00471B8C">
        <w:rPr>
          <w:rFonts w:ascii="Arial" w:hAnsi="Arial" w:cs="Arial"/>
          <w:sz w:val="24"/>
          <w:szCs w:val="24"/>
        </w:rPr>
        <w:t>2014. https://www.england.nhs.uk/wp-content/uploads/2014/07/fft-rev1.pdf.</w:t>
      </w:r>
    </w:p>
    <w:p w14:paraId="047895FA"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26. </w:t>
      </w:r>
      <w:r w:rsidRPr="00471B8C">
        <w:rPr>
          <w:rFonts w:ascii="Arial" w:hAnsi="Arial" w:cs="Arial"/>
          <w:sz w:val="24"/>
          <w:szCs w:val="24"/>
        </w:rPr>
        <w:tab/>
        <w:t xml:space="preserve">Robert G, Cornwell J, Black N. Friends and family test should no longer be mandatory. </w:t>
      </w:r>
      <w:r w:rsidRPr="0032332D">
        <w:rPr>
          <w:rFonts w:ascii="Arial" w:hAnsi="Arial" w:cs="Arial"/>
          <w:i/>
          <w:sz w:val="24"/>
          <w:szCs w:val="24"/>
        </w:rPr>
        <w:t>BMJ</w:t>
      </w:r>
      <w:r w:rsidRPr="00471B8C">
        <w:rPr>
          <w:rFonts w:ascii="Arial" w:hAnsi="Arial" w:cs="Arial"/>
          <w:sz w:val="24"/>
          <w:szCs w:val="24"/>
        </w:rPr>
        <w:t>. 2018</w:t>
      </w:r>
      <w:proofErr w:type="gramStart"/>
      <w:r w:rsidRPr="00471B8C">
        <w:rPr>
          <w:rFonts w:ascii="Arial" w:hAnsi="Arial" w:cs="Arial"/>
          <w:sz w:val="24"/>
          <w:szCs w:val="24"/>
        </w:rPr>
        <w:t>;360:k367</w:t>
      </w:r>
      <w:proofErr w:type="gramEnd"/>
      <w:r w:rsidRPr="00471B8C">
        <w:rPr>
          <w:rFonts w:ascii="Arial" w:hAnsi="Arial" w:cs="Arial"/>
          <w:sz w:val="24"/>
          <w:szCs w:val="24"/>
        </w:rPr>
        <w:t xml:space="preserve">. </w:t>
      </w:r>
    </w:p>
    <w:p w14:paraId="211E3D23"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27. </w:t>
      </w:r>
      <w:r w:rsidRPr="00471B8C">
        <w:rPr>
          <w:rFonts w:ascii="Arial" w:hAnsi="Arial" w:cs="Arial"/>
          <w:sz w:val="24"/>
          <w:szCs w:val="24"/>
        </w:rPr>
        <w:tab/>
      </w:r>
      <w:r w:rsidR="005B4762">
        <w:rPr>
          <w:rFonts w:ascii="Arial" w:hAnsi="Arial" w:cs="Arial"/>
          <w:sz w:val="24"/>
          <w:szCs w:val="24"/>
        </w:rPr>
        <w:t xml:space="preserve">Picker Institute Europe (2014) </w:t>
      </w:r>
      <w:r w:rsidR="005B4762">
        <w:rPr>
          <w:rFonts w:ascii="Arial" w:hAnsi="Arial" w:cs="Arial"/>
          <w:i/>
          <w:sz w:val="24"/>
          <w:szCs w:val="24"/>
        </w:rPr>
        <w:t>Policy Briefing: The Friends and Family Test</w:t>
      </w:r>
      <w:r w:rsidR="005B4762">
        <w:rPr>
          <w:rFonts w:ascii="Arial" w:hAnsi="Arial" w:cs="Arial"/>
          <w:sz w:val="24"/>
          <w:szCs w:val="24"/>
        </w:rPr>
        <w:t>. Oxford: Picker Institute Europe.</w:t>
      </w:r>
      <w:r w:rsidR="00EF69A5">
        <w:rPr>
          <w:rFonts w:ascii="Arial" w:hAnsi="Arial" w:cs="Arial"/>
          <w:sz w:val="24"/>
          <w:szCs w:val="24"/>
        </w:rPr>
        <w:t xml:space="preserve">  </w:t>
      </w:r>
      <w:r w:rsidRPr="00471B8C">
        <w:rPr>
          <w:rFonts w:ascii="Arial" w:hAnsi="Arial" w:cs="Arial"/>
          <w:sz w:val="24"/>
          <w:szCs w:val="24"/>
        </w:rPr>
        <w:t xml:space="preserve"> </w:t>
      </w:r>
    </w:p>
    <w:p w14:paraId="201C2CBA"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28. </w:t>
      </w:r>
      <w:r w:rsidRPr="00471B8C">
        <w:rPr>
          <w:rFonts w:ascii="Arial" w:hAnsi="Arial" w:cs="Arial"/>
          <w:sz w:val="24"/>
          <w:szCs w:val="24"/>
        </w:rPr>
        <w:tab/>
      </w:r>
      <w:proofErr w:type="spellStart"/>
      <w:r w:rsidRPr="00471B8C">
        <w:rPr>
          <w:rFonts w:ascii="Arial" w:hAnsi="Arial" w:cs="Arial"/>
          <w:sz w:val="24"/>
          <w:szCs w:val="24"/>
        </w:rPr>
        <w:t>Pinder</w:t>
      </w:r>
      <w:proofErr w:type="spellEnd"/>
      <w:r w:rsidRPr="00471B8C">
        <w:rPr>
          <w:rFonts w:ascii="Arial" w:hAnsi="Arial" w:cs="Arial"/>
          <w:sz w:val="24"/>
          <w:szCs w:val="24"/>
        </w:rPr>
        <w:t xml:space="preserve"> RJ, Greaves FE, Aylin PP, </w:t>
      </w:r>
      <w:proofErr w:type="spellStart"/>
      <w:r w:rsidRPr="00471B8C">
        <w:rPr>
          <w:rFonts w:ascii="Arial" w:hAnsi="Arial" w:cs="Arial"/>
          <w:sz w:val="24"/>
          <w:szCs w:val="24"/>
        </w:rPr>
        <w:t>Jarman</w:t>
      </w:r>
      <w:proofErr w:type="spellEnd"/>
      <w:r w:rsidRPr="00471B8C">
        <w:rPr>
          <w:rFonts w:ascii="Arial" w:hAnsi="Arial" w:cs="Arial"/>
          <w:sz w:val="24"/>
          <w:szCs w:val="24"/>
        </w:rPr>
        <w:t xml:space="preserve"> B, Bottle A. Staff perceptions of quality of care: an observational study of the NHS Staff Survey in hospitals in England. </w:t>
      </w:r>
      <w:r w:rsidRPr="0032332D">
        <w:rPr>
          <w:rFonts w:ascii="Arial" w:hAnsi="Arial" w:cs="Arial"/>
          <w:i/>
          <w:sz w:val="24"/>
          <w:szCs w:val="24"/>
        </w:rPr>
        <w:t xml:space="preserve">BMJ </w:t>
      </w:r>
      <w:proofErr w:type="spellStart"/>
      <w:r w:rsidRPr="0032332D">
        <w:rPr>
          <w:rFonts w:ascii="Arial" w:hAnsi="Arial" w:cs="Arial"/>
          <w:i/>
          <w:sz w:val="24"/>
          <w:szCs w:val="24"/>
        </w:rPr>
        <w:t>Qual</w:t>
      </w:r>
      <w:proofErr w:type="spellEnd"/>
      <w:r w:rsidRPr="0032332D">
        <w:rPr>
          <w:rFonts w:ascii="Arial" w:hAnsi="Arial" w:cs="Arial"/>
          <w:i/>
          <w:sz w:val="24"/>
          <w:szCs w:val="24"/>
        </w:rPr>
        <w:t xml:space="preserve"> </w:t>
      </w:r>
      <w:proofErr w:type="spellStart"/>
      <w:r w:rsidRPr="0032332D">
        <w:rPr>
          <w:rFonts w:ascii="Arial" w:hAnsi="Arial" w:cs="Arial"/>
          <w:i/>
          <w:sz w:val="24"/>
          <w:szCs w:val="24"/>
        </w:rPr>
        <w:t>Saf</w:t>
      </w:r>
      <w:proofErr w:type="spellEnd"/>
      <w:r w:rsidRPr="0032332D">
        <w:rPr>
          <w:rFonts w:ascii="Arial" w:hAnsi="Arial" w:cs="Arial"/>
          <w:i/>
          <w:sz w:val="24"/>
          <w:szCs w:val="24"/>
        </w:rPr>
        <w:t>.</w:t>
      </w:r>
      <w:r w:rsidRPr="00471B8C">
        <w:rPr>
          <w:rFonts w:ascii="Arial" w:hAnsi="Arial" w:cs="Arial"/>
          <w:sz w:val="24"/>
          <w:szCs w:val="24"/>
        </w:rPr>
        <w:t xml:space="preserve"> 2013;22(7):563-570. </w:t>
      </w:r>
    </w:p>
    <w:p w14:paraId="73EC9A35"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29. </w:t>
      </w:r>
      <w:r w:rsidRPr="00471B8C">
        <w:rPr>
          <w:rFonts w:ascii="Arial" w:hAnsi="Arial" w:cs="Arial"/>
          <w:sz w:val="24"/>
          <w:szCs w:val="24"/>
        </w:rPr>
        <w:tab/>
      </w:r>
      <w:proofErr w:type="spellStart"/>
      <w:r w:rsidRPr="00471B8C">
        <w:rPr>
          <w:rFonts w:ascii="Arial" w:hAnsi="Arial" w:cs="Arial"/>
          <w:sz w:val="24"/>
          <w:szCs w:val="24"/>
        </w:rPr>
        <w:t>Sizmur</w:t>
      </w:r>
      <w:proofErr w:type="spellEnd"/>
      <w:r w:rsidRPr="00471B8C">
        <w:rPr>
          <w:rFonts w:ascii="Arial" w:hAnsi="Arial" w:cs="Arial"/>
          <w:sz w:val="24"/>
          <w:szCs w:val="24"/>
        </w:rPr>
        <w:t xml:space="preserve"> S, Graham C, Walsh J. Influence of patients’ age and sex and the mode of administration on results from the NHS Friends and Family Test of patient experience. </w:t>
      </w:r>
      <w:r w:rsidRPr="0032332D">
        <w:rPr>
          <w:rFonts w:ascii="Arial" w:hAnsi="Arial" w:cs="Arial"/>
          <w:i/>
          <w:sz w:val="24"/>
          <w:szCs w:val="24"/>
        </w:rPr>
        <w:t xml:space="preserve">J Health </w:t>
      </w:r>
      <w:proofErr w:type="spellStart"/>
      <w:r w:rsidRPr="0032332D">
        <w:rPr>
          <w:rFonts w:ascii="Arial" w:hAnsi="Arial" w:cs="Arial"/>
          <w:i/>
          <w:sz w:val="24"/>
          <w:szCs w:val="24"/>
        </w:rPr>
        <w:t>Serv</w:t>
      </w:r>
      <w:proofErr w:type="spellEnd"/>
      <w:r w:rsidRPr="0032332D">
        <w:rPr>
          <w:rFonts w:ascii="Arial" w:hAnsi="Arial" w:cs="Arial"/>
          <w:i/>
          <w:sz w:val="24"/>
          <w:szCs w:val="24"/>
        </w:rPr>
        <w:t xml:space="preserve"> Res Policy.</w:t>
      </w:r>
      <w:r w:rsidRPr="00471B8C">
        <w:rPr>
          <w:rFonts w:ascii="Arial" w:hAnsi="Arial" w:cs="Arial"/>
          <w:sz w:val="24"/>
          <w:szCs w:val="24"/>
        </w:rPr>
        <w:t xml:space="preserve"> 2015;20(1):5-10. </w:t>
      </w:r>
    </w:p>
    <w:p w14:paraId="56E4DDC3"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30. </w:t>
      </w:r>
      <w:r w:rsidRPr="00471B8C">
        <w:rPr>
          <w:rFonts w:ascii="Arial" w:hAnsi="Arial" w:cs="Arial"/>
          <w:sz w:val="24"/>
          <w:szCs w:val="24"/>
        </w:rPr>
        <w:tab/>
      </w:r>
      <w:proofErr w:type="spellStart"/>
      <w:r w:rsidRPr="00471B8C">
        <w:rPr>
          <w:rFonts w:ascii="Arial" w:hAnsi="Arial" w:cs="Arial"/>
          <w:sz w:val="24"/>
          <w:szCs w:val="24"/>
        </w:rPr>
        <w:t>Streiner</w:t>
      </w:r>
      <w:proofErr w:type="spellEnd"/>
      <w:r w:rsidRPr="00471B8C">
        <w:rPr>
          <w:rFonts w:ascii="Arial" w:hAnsi="Arial" w:cs="Arial"/>
          <w:sz w:val="24"/>
          <w:szCs w:val="24"/>
        </w:rPr>
        <w:t xml:space="preserve"> DL, Norman GR. </w:t>
      </w:r>
      <w:r w:rsidRPr="0032332D">
        <w:rPr>
          <w:rFonts w:ascii="Arial" w:hAnsi="Arial" w:cs="Arial"/>
          <w:i/>
          <w:sz w:val="24"/>
          <w:szCs w:val="24"/>
        </w:rPr>
        <w:t>Health Measurement Scales: A Practical Guide to Their Development and Use.</w:t>
      </w:r>
      <w:r w:rsidRPr="00471B8C">
        <w:rPr>
          <w:rFonts w:ascii="Arial" w:hAnsi="Arial" w:cs="Arial"/>
          <w:sz w:val="24"/>
          <w:szCs w:val="24"/>
        </w:rPr>
        <w:t xml:space="preserve"> </w:t>
      </w:r>
      <w:r w:rsidR="0032332D">
        <w:rPr>
          <w:rFonts w:ascii="Arial" w:hAnsi="Arial" w:cs="Arial"/>
          <w:sz w:val="24"/>
          <w:szCs w:val="24"/>
        </w:rPr>
        <w:t>(</w:t>
      </w:r>
      <w:r w:rsidRPr="00471B8C">
        <w:rPr>
          <w:rFonts w:ascii="Arial" w:hAnsi="Arial" w:cs="Arial"/>
          <w:sz w:val="24"/>
          <w:szCs w:val="24"/>
        </w:rPr>
        <w:t>4th Editio</w:t>
      </w:r>
      <w:r w:rsidR="0032332D">
        <w:rPr>
          <w:rFonts w:ascii="Arial" w:hAnsi="Arial" w:cs="Arial"/>
          <w:sz w:val="24"/>
          <w:szCs w:val="24"/>
        </w:rPr>
        <w:t>n)</w:t>
      </w:r>
      <w:r w:rsidRPr="00471B8C">
        <w:rPr>
          <w:rFonts w:ascii="Arial" w:hAnsi="Arial" w:cs="Arial"/>
          <w:sz w:val="24"/>
          <w:szCs w:val="24"/>
        </w:rPr>
        <w:t>. Oxford: Oxford University Press; 2008.</w:t>
      </w:r>
    </w:p>
    <w:p w14:paraId="251C5B15"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31. </w:t>
      </w:r>
      <w:r w:rsidRPr="00471B8C">
        <w:rPr>
          <w:rFonts w:ascii="Arial" w:hAnsi="Arial" w:cs="Arial"/>
          <w:sz w:val="24"/>
          <w:szCs w:val="24"/>
        </w:rPr>
        <w:tab/>
        <w:t xml:space="preserve">Landis J, Koch G. The measurement of observer agreement for categorical data. </w:t>
      </w:r>
      <w:r w:rsidRPr="0032332D">
        <w:rPr>
          <w:rFonts w:ascii="Arial" w:hAnsi="Arial" w:cs="Arial"/>
          <w:i/>
          <w:sz w:val="24"/>
          <w:szCs w:val="24"/>
        </w:rPr>
        <w:t>Biometrics</w:t>
      </w:r>
      <w:r w:rsidRPr="00471B8C">
        <w:rPr>
          <w:rFonts w:ascii="Arial" w:hAnsi="Arial" w:cs="Arial"/>
          <w:sz w:val="24"/>
          <w:szCs w:val="24"/>
        </w:rPr>
        <w:t>. 1977;33(1):159-174.</w:t>
      </w:r>
    </w:p>
    <w:p w14:paraId="4BDEF4EB"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32. </w:t>
      </w:r>
      <w:r w:rsidRPr="00471B8C">
        <w:rPr>
          <w:rFonts w:ascii="Arial" w:hAnsi="Arial" w:cs="Arial"/>
          <w:sz w:val="24"/>
          <w:szCs w:val="24"/>
        </w:rPr>
        <w:tab/>
        <w:t xml:space="preserve">Wilberforce M, Tucker S, Brand C, </w:t>
      </w:r>
      <w:proofErr w:type="spellStart"/>
      <w:r w:rsidRPr="00471B8C">
        <w:rPr>
          <w:rFonts w:ascii="Arial" w:hAnsi="Arial" w:cs="Arial"/>
          <w:sz w:val="24"/>
          <w:szCs w:val="24"/>
        </w:rPr>
        <w:t>Abendstern</w:t>
      </w:r>
      <w:proofErr w:type="spellEnd"/>
      <w:r w:rsidRPr="00471B8C">
        <w:rPr>
          <w:rFonts w:ascii="Arial" w:hAnsi="Arial" w:cs="Arial"/>
          <w:sz w:val="24"/>
          <w:szCs w:val="24"/>
        </w:rPr>
        <w:t xml:space="preserve"> M, Jasper R, Challis D. Is integrated care associated with service costs and admission rates to institutional settings? An observational study of community mental health teams for older people in England. </w:t>
      </w:r>
      <w:proofErr w:type="spellStart"/>
      <w:r w:rsidRPr="0032332D">
        <w:rPr>
          <w:rFonts w:ascii="Arial" w:hAnsi="Arial" w:cs="Arial"/>
          <w:i/>
          <w:sz w:val="24"/>
          <w:szCs w:val="24"/>
        </w:rPr>
        <w:t>Int</w:t>
      </w:r>
      <w:proofErr w:type="spellEnd"/>
      <w:r w:rsidRPr="0032332D">
        <w:rPr>
          <w:rFonts w:ascii="Arial" w:hAnsi="Arial" w:cs="Arial"/>
          <w:i/>
          <w:sz w:val="24"/>
          <w:szCs w:val="24"/>
        </w:rPr>
        <w:t xml:space="preserve"> J </w:t>
      </w:r>
      <w:proofErr w:type="spellStart"/>
      <w:r w:rsidRPr="0032332D">
        <w:rPr>
          <w:rFonts w:ascii="Arial" w:hAnsi="Arial" w:cs="Arial"/>
          <w:i/>
          <w:sz w:val="24"/>
          <w:szCs w:val="24"/>
        </w:rPr>
        <w:t>Geriatr</w:t>
      </w:r>
      <w:proofErr w:type="spellEnd"/>
      <w:r w:rsidRPr="0032332D">
        <w:rPr>
          <w:rFonts w:ascii="Arial" w:hAnsi="Arial" w:cs="Arial"/>
          <w:i/>
          <w:sz w:val="24"/>
          <w:szCs w:val="24"/>
        </w:rPr>
        <w:t xml:space="preserve"> Psychiatry</w:t>
      </w:r>
      <w:r w:rsidRPr="00471B8C">
        <w:rPr>
          <w:rFonts w:ascii="Arial" w:hAnsi="Arial" w:cs="Arial"/>
          <w:sz w:val="24"/>
          <w:szCs w:val="24"/>
        </w:rPr>
        <w:t xml:space="preserve">. 2016;31(11):1208-1216. </w:t>
      </w:r>
    </w:p>
    <w:p w14:paraId="4366AF5E"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33. </w:t>
      </w:r>
      <w:r w:rsidRPr="00471B8C">
        <w:rPr>
          <w:rFonts w:ascii="Arial" w:hAnsi="Arial" w:cs="Arial"/>
          <w:sz w:val="24"/>
          <w:szCs w:val="24"/>
        </w:rPr>
        <w:tab/>
        <w:t xml:space="preserve">Cohen G. Age and health status in a patient satisfaction survey. </w:t>
      </w:r>
      <w:r w:rsidRPr="0032332D">
        <w:rPr>
          <w:rFonts w:ascii="Arial" w:hAnsi="Arial" w:cs="Arial"/>
          <w:i/>
          <w:sz w:val="24"/>
          <w:szCs w:val="24"/>
        </w:rPr>
        <w:t>Soc Sci Med.</w:t>
      </w:r>
      <w:r w:rsidRPr="00471B8C">
        <w:rPr>
          <w:rFonts w:ascii="Arial" w:hAnsi="Arial" w:cs="Arial"/>
          <w:sz w:val="24"/>
          <w:szCs w:val="24"/>
        </w:rPr>
        <w:t xml:space="preserve"> 1996;42(7):1085-1093. </w:t>
      </w:r>
    </w:p>
    <w:p w14:paraId="55627460"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34. </w:t>
      </w:r>
      <w:r w:rsidRPr="00471B8C">
        <w:rPr>
          <w:rFonts w:ascii="Arial" w:hAnsi="Arial" w:cs="Arial"/>
          <w:sz w:val="24"/>
          <w:szCs w:val="24"/>
        </w:rPr>
        <w:tab/>
      </w:r>
      <w:proofErr w:type="spellStart"/>
      <w:r w:rsidRPr="00471B8C">
        <w:rPr>
          <w:rFonts w:ascii="Arial" w:hAnsi="Arial" w:cs="Arial"/>
          <w:sz w:val="24"/>
          <w:szCs w:val="24"/>
        </w:rPr>
        <w:t>Jaipaul</w:t>
      </w:r>
      <w:proofErr w:type="spellEnd"/>
      <w:r w:rsidRPr="00471B8C">
        <w:rPr>
          <w:rFonts w:ascii="Arial" w:hAnsi="Arial" w:cs="Arial"/>
          <w:sz w:val="24"/>
          <w:szCs w:val="24"/>
        </w:rPr>
        <w:t xml:space="preserve"> CK, Rosenthal GE. Are older patients more satisfied with hospital care than younger patients? </w:t>
      </w:r>
      <w:r w:rsidRPr="0032332D">
        <w:rPr>
          <w:rFonts w:ascii="Arial" w:hAnsi="Arial" w:cs="Arial"/>
          <w:i/>
          <w:sz w:val="24"/>
          <w:szCs w:val="24"/>
        </w:rPr>
        <w:t>J Gen Intern Med</w:t>
      </w:r>
      <w:r w:rsidRPr="00471B8C">
        <w:rPr>
          <w:rFonts w:ascii="Arial" w:hAnsi="Arial" w:cs="Arial"/>
          <w:sz w:val="24"/>
          <w:szCs w:val="24"/>
        </w:rPr>
        <w:t xml:space="preserve">. 2003;18(1):23-30. </w:t>
      </w:r>
    </w:p>
    <w:p w14:paraId="3D176ECD"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35. </w:t>
      </w:r>
      <w:r w:rsidRPr="00471B8C">
        <w:rPr>
          <w:rFonts w:ascii="Arial" w:hAnsi="Arial" w:cs="Arial"/>
          <w:sz w:val="24"/>
          <w:szCs w:val="24"/>
        </w:rPr>
        <w:tab/>
        <w:t>Mental Health Taskforce. The Five Year Forward View for Mental Health. London: NHS England; 2016. https://www.england.nhs.uk/wp-content/uploads/2016/02/Mental-Health-Taskforce-FYFV-final.pdf. Accessed December 15, 2017.</w:t>
      </w:r>
    </w:p>
    <w:p w14:paraId="470285D7"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lastRenderedPageBreak/>
        <w:t xml:space="preserve">36. </w:t>
      </w:r>
      <w:r w:rsidRPr="00471B8C">
        <w:rPr>
          <w:rFonts w:ascii="Arial" w:hAnsi="Arial" w:cs="Arial"/>
          <w:sz w:val="24"/>
          <w:szCs w:val="24"/>
        </w:rPr>
        <w:tab/>
        <w:t xml:space="preserve">Donahue KE, </w:t>
      </w:r>
      <w:proofErr w:type="spellStart"/>
      <w:r w:rsidRPr="00471B8C">
        <w:rPr>
          <w:rFonts w:ascii="Arial" w:hAnsi="Arial" w:cs="Arial"/>
          <w:sz w:val="24"/>
          <w:szCs w:val="24"/>
        </w:rPr>
        <w:t>Ashkin</w:t>
      </w:r>
      <w:proofErr w:type="spellEnd"/>
      <w:r w:rsidRPr="00471B8C">
        <w:rPr>
          <w:rFonts w:ascii="Arial" w:hAnsi="Arial" w:cs="Arial"/>
          <w:sz w:val="24"/>
          <w:szCs w:val="24"/>
        </w:rPr>
        <w:t xml:space="preserve"> E, </w:t>
      </w:r>
      <w:proofErr w:type="spellStart"/>
      <w:r w:rsidRPr="00471B8C">
        <w:rPr>
          <w:rFonts w:ascii="Arial" w:hAnsi="Arial" w:cs="Arial"/>
          <w:sz w:val="24"/>
          <w:szCs w:val="24"/>
        </w:rPr>
        <w:t>Pathman</w:t>
      </w:r>
      <w:proofErr w:type="spellEnd"/>
      <w:r w:rsidRPr="00471B8C">
        <w:rPr>
          <w:rFonts w:ascii="Arial" w:hAnsi="Arial" w:cs="Arial"/>
          <w:sz w:val="24"/>
          <w:szCs w:val="24"/>
        </w:rPr>
        <w:t xml:space="preserve"> DE. Length of patient-physician relationship and patients’ satisfaction and preventive service use in the rural south: a cross-sectional telephone study. </w:t>
      </w:r>
      <w:r w:rsidRPr="0032332D">
        <w:rPr>
          <w:rFonts w:ascii="Arial" w:hAnsi="Arial" w:cs="Arial"/>
          <w:i/>
          <w:sz w:val="24"/>
          <w:szCs w:val="24"/>
        </w:rPr>
        <w:t xml:space="preserve">BMC Fam </w:t>
      </w:r>
      <w:proofErr w:type="spellStart"/>
      <w:r w:rsidRPr="0032332D">
        <w:rPr>
          <w:rFonts w:ascii="Arial" w:hAnsi="Arial" w:cs="Arial"/>
          <w:i/>
          <w:sz w:val="24"/>
          <w:szCs w:val="24"/>
        </w:rPr>
        <w:t>Pract</w:t>
      </w:r>
      <w:proofErr w:type="spellEnd"/>
      <w:r w:rsidRPr="00471B8C">
        <w:rPr>
          <w:rFonts w:ascii="Arial" w:hAnsi="Arial" w:cs="Arial"/>
          <w:sz w:val="24"/>
          <w:szCs w:val="24"/>
        </w:rPr>
        <w:t xml:space="preserve">. 2005;6(1):40. </w:t>
      </w:r>
    </w:p>
    <w:p w14:paraId="46D55B01"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37. </w:t>
      </w:r>
      <w:r w:rsidRPr="00471B8C">
        <w:rPr>
          <w:rFonts w:ascii="Arial" w:hAnsi="Arial" w:cs="Arial"/>
          <w:sz w:val="24"/>
          <w:szCs w:val="24"/>
        </w:rPr>
        <w:tab/>
      </w:r>
      <w:proofErr w:type="spellStart"/>
      <w:r w:rsidRPr="00471B8C">
        <w:rPr>
          <w:rFonts w:ascii="Arial" w:hAnsi="Arial" w:cs="Arial"/>
          <w:sz w:val="24"/>
          <w:szCs w:val="24"/>
        </w:rPr>
        <w:t>Hjortdahl</w:t>
      </w:r>
      <w:proofErr w:type="spellEnd"/>
      <w:r w:rsidRPr="00471B8C">
        <w:rPr>
          <w:rFonts w:ascii="Arial" w:hAnsi="Arial" w:cs="Arial"/>
          <w:sz w:val="24"/>
          <w:szCs w:val="24"/>
        </w:rPr>
        <w:t xml:space="preserve"> P, </w:t>
      </w:r>
      <w:proofErr w:type="spellStart"/>
      <w:r w:rsidRPr="00471B8C">
        <w:rPr>
          <w:rFonts w:ascii="Arial" w:hAnsi="Arial" w:cs="Arial"/>
          <w:sz w:val="24"/>
          <w:szCs w:val="24"/>
        </w:rPr>
        <w:t>Laerum</w:t>
      </w:r>
      <w:proofErr w:type="spellEnd"/>
      <w:r w:rsidRPr="00471B8C">
        <w:rPr>
          <w:rFonts w:ascii="Arial" w:hAnsi="Arial" w:cs="Arial"/>
          <w:sz w:val="24"/>
          <w:szCs w:val="24"/>
        </w:rPr>
        <w:t xml:space="preserve"> E. Continuity of care in general practice: effect on patient satisfaction. </w:t>
      </w:r>
      <w:r w:rsidRPr="0032332D">
        <w:rPr>
          <w:rFonts w:ascii="Arial" w:hAnsi="Arial" w:cs="Arial"/>
          <w:i/>
          <w:sz w:val="24"/>
          <w:szCs w:val="24"/>
        </w:rPr>
        <w:t>BMJ</w:t>
      </w:r>
      <w:r w:rsidRPr="00471B8C">
        <w:rPr>
          <w:rFonts w:ascii="Arial" w:hAnsi="Arial" w:cs="Arial"/>
          <w:sz w:val="24"/>
          <w:szCs w:val="24"/>
        </w:rPr>
        <w:t xml:space="preserve">. 1992;304(6837):1287-1290. </w:t>
      </w:r>
    </w:p>
    <w:p w14:paraId="0210FD4C"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38. </w:t>
      </w:r>
      <w:r w:rsidRPr="00471B8C">
        <w:rPr>
          <w:rFonts w:ascii="Arial" w:hAnsi="Arial" w:cs="Arial"/>
          <w:sz w:val="24"/>
          <w:szCs w:val="24"/>
        </w:rPr>
        <w:tab/>
        <w:t xml:space="preserve">Grant A, Townend M. The therapeutic relationship. In: Townend M, Mulhern R, Short N, eds. </w:t>
      </w:r>
      <w:r w:rsidRPr="0032332D">
        <w:rPr>
          <w:rFonts w:ascii="Arial" w:hAnsi="Arial" w:cs="Arial"/>
          <w:i/>
          <w:sz w:val="24"/>
          <w:szCs w:val="24"/>
        </w:rPr>
        <w:t>Cognitive Behavioural Therapy in Mental Health Care.</w:t>
      </w:r>
      <w:r w:rsidRPr="00471B8C">
        <w:rPr>
          <w:rFonts w:ascii="Arial" w:hAnsi="Arial" w:cs="Arial"/>
          <w:sz w:val="24"/>
          <w:szCs w:val="24"/>
        </w:rPr>
        <w:t xml:space="preserve"> 2nd ed. London: SAGE Publications; 2010:9-19.</w:t>
      </w:r>
    </w:p>
    <w:p w14:paraId="60D20E78"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39. </w:t>
      </w:r>
      <w:r w:rsidRPr="00471B8C">
        <w:rPr>
          <w:rFonts w:ascii="Arial" w:hAnsi="Arial" w:cs="Arial"/>
          <w:sz w:val="24"/>
          <w:szCs w:val="24"/>
        </w:rPr>
        <w:tab/>
        <w:t xml:space="preserve">Beard RL, Fox PJ. Resisting social disenfranchisement: Negotiating collective identities and everyday life with memory loss. </w:t>
      </w:r>
      <w:r w:rsidRPr="0032332D">
        <w:rPr>
          <w:rFonts w:ascii="Arial" w:hAnsi="Arial" w:cs="Arial"/>
          <w:i/>
          <w:sz w:val="24"/>
          <w:szCs w:val="24"/>
        </w:rPr>
        <w:t>Soc Sci Med</w:t>
      </w:r>
      <w:r w:rsidRPr="00471B8C">
        <w:rPr>
          <w:rFonts w:ascii="Arial" w:hAnsi="Arial" w:cs="Arial"/>
          <w:sz w:val="24"/>
          <w:szCs w:val="24"/>
        </w:rPr>
        <w:t xml:space="preserve">. 2008;66(7):1509-1520. </w:t>
      </w:r>
    </w:p>
    <w:p w14:paraId="758204D5"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40. </w:t>
      </w:r>
      <w:r w:rsidRPr="00471B8C">
        <w:rPr>
          <w:rFonts w:ascii="Arial" w:hAnsi="Arial" w:cs="Arial"/>
          <w:sz w:val="24"/>
          <w:szCs w:val="24"/>
        </w:rPr>
        <w:tab/>
        <w:t xml:space="preserve">Bunn F, Goodman C, Sworn K, et al. Psychosocial Factors That Shape Patient and Carer Experiences of Dementia Diagnosis and Treatment: A Systematic Review of Qualitative Studies. </w:t>
      </w:r>
      <w:r w:rsidRPr="0041618C">
        <w:rPr>
          <w:rFonts w:ascii="Arial" w:hAnsi="Arial" w:cs="Arial"/>
          <w:i/>
          <w:sz w:val="24"/>
          <w:szCs w:val="24"/>
        </w:rPr>
        <w:t>PLOS Med</w:t>
      </w:r>
      <w:r w:rsidRPr="00471B8C">
        <w:rPr>
          <w:rFonts w:ascii="Arial" w:hAnsi="Arial" w:cs="Arial"/>
          <w:sz w:val="24"/>
          <w:szCs w:val="24"/>
        </w:rPr>
        <w:t>. 2012</w:t>
      </w:r>
      <w:proofErr w:type="gramStart"/>
      <w:r w:rsidRPr="00471B8C">
        <w:rPr>
          <w:rFonts w:ascii="Arial" w:hAnsi="Arial" w:cs="Arial"/>
          <w:sz w:val="24"/>
          <w:szCs w:val="24"/>
        </w:rPr>
        <w:t>;9</w:t>
      </w:r>
      <w:proofErr w:type="gramEnd"/>
      <w:r w:rsidRPr="00471B8C">
        <w:rPr>
          <w:rFonts w:ascii="Arial" w:hAnsi="Arial" w:cs="Arial"/>
          <w:sz w:val="24"/>
          <w:szCs w:val="24"/>
        </w:rPr>
        <w:t xml:space="preserve">(10):e1001331. </w:t>
      </w:r>
    </w:p>
    <w:p w14:paraId="18005E29" w14:textId="77777777" w:rsidR="00471B8C" w:rsidRPr="00471B8C"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 xml:space="preserve">41. </w:t>
      </w:r>
      <w:r w:rsidRPr="00471B8C">
        <w:rPr>
          <w:rFonts w:ascii="Arial" w:hAnsi="Arial" w:cs="Arial"/>
          <w:sz w:val="24"/>
          <w:szCs w:val="24"/>
        </w:rPr>
        <w:tab/>
        <w:t xml:space="preserve">Bunn F, Burn A-M, Goodman C, et al. Comorbidity and dementia: a scoping review of the literature. </w:t>
      </w:r>
      <w:r w:rsidRPr="0041618C">
        <w:rPr>
          <w:rFonts w:ascii="Arial" w:hAnsi="Arial" w:cs="Arial"/>
          <w:i/>
          <w:sz w:val="24"/>
          <w:szCs w:val="24"/>
        </w:rPr>
        <w:t>BMC Med.</w:t>
      </w:r>
      <w:r w:rsidRPr="00471B8C">
        <w:rPr>
          <w:rFonts w:ascii="Arial" w:hAnsi="Arial" w:cs="Arial"/>
          <w:sz w:val="24"/>
          <w:szCs w:val="24"/>
        </w:rPr>
        <w:t xml:space="preserve"> 2014;12(192):173-177. </w:t>
      </w:r>
    </w:p>
    <w:p w14:paraId="73F1EFD3" w14:textId="77777777" w:rsidR="009F41BD" w:rsidRDefault="00471B8C" w:rsidP="00471B8C">
      <w:pPr>
        <w:spacing w:after="0" w:line="240" w:lineRule="auto"/>
        <w:ind w:left="709" w:hanging="709"/>
        <w:outlineLvl w:val="0"/>
        <w:rPr>
          <w:rFonts w:ascii="Arial" w:hAnsi="Arial" w:cs="Arial"/>
          <w:sz w:val="24"/>
          <w:szCs w:val="24"/>
        </w:rPr>
      </w:pPr>
      <w:r w:rsidRPr="00471B8C">
        <w:rPr>
          <w:rFonts w:ascii="Arial" w:hAnsi="Arial" w:cs="Arial"/>
          <w:sz w:val="24"/>
          <w:szCs w:val="24"/>
        </w:rPr>
        <w:t>4</w:t>
      </w:r>
      <w:r w:rsidR="005B4762">
        <w:rPr>
          <w:rFonts w:ascii="Arial" w:hAnsi="Arial" w:cs="Arial"/>
          <w:sz w:val="24"/>
          <w:szCs w:val="24"/>
        </w:rPr>
        <w:t>2</w:t>
      </w:r>
      <w:r w:rsidRPr="00471B8C">
        <w:rPr>
          <w:rFonts w:ascii="Arial" w:hAnsi="Arial" w:cs="Arial"/>
          <w:sz w:val="24"/>
          <w:szCs w:val="24"/>
        </w:rPr>
        <w:t xml:space="preserve">. </w:t>
      </w:r>
      <w:r w:rsidRPr="00471B8C">
        <w:rPr>
          <w:rFonts w:ascii="Arial" w:hAnsi="Arial" w:cs="Arial"/>
          <w:sz w:val="24"/>
          <w:szCs w:val="24"/>
        </w:rPr>
        <w:tab/>
        <w:t xml:space="preserve">Wilberforce M, Challis D, Davies L, Kelly MP, Roberts C, </w:t>
      </w:r>
      <w:proofErr w:type="spellStart"/>
      <w:r w:rsidRPr="00471B8C">
        <w:rPr>
          <w:rFonts w:ascii="Arial" w:hAnsi="Arial" w:cs="Arial"/>
          <w:sz w:val="24"/>
          <w:szCs w:val="24"/>
        </w:rPr>
        <w:t>Loynes</w:t>
      </w:r>
      <w:proofErr w:type="spellEnd"/>
      <w:r w:rsidRPr="00471B8C">
        <w:rPr>
          <w:rFonts w:ascii="Arial" w:hAnsi="Arial" w:cs="Arial"/>
          <w:sz w:val="24"/>
          <w:szCs w:val="24"/>
        </w:rPr>
        <w:t xml:space="preserve"> N. Person-centredness in the care of older adults: a systematic review of questionnaire-based scales and their measurement properties. </w:t>
      </w:r>
      <w:r w:rsidRPr="0041618C">
        <w:rPr>
          <w:rFonts w:ascii="Arial" w:hAnsi="Arial" w:cs="Arial"/>
          <w:i/>
          <w:sz w:val="24"/>
          <w:szCs w:val="24"/>
        </w:rPr>
        <w:t xml:space="preserve">BMC </w:t>
      </w:r>
      <w:proofErr w:type="spellStart"/>
      <w:r w:rsidRPr="0041618C">
        <w:rPr>
          <w:rFonts w:ascii="Arial" w:hAnsi="Arial" w:cs="Arial"/>
          <w:i/>
          <w:sz w:val="24"/>
          <w:szCs w:val="24"/>
        </w:rPr>
        <w:t>Geriatr</w:t>
      </w:r>
      <w:proofErr w:type="spellEnd"/>
      <w:r w:rsidRPr="00471B8C">
        <w:rPr>
          <w:rFonts w:ascii="Arial" w:hAnsi="Arial" w:cs="Arial"/>
          <w:sz w:val="24"/>
          <w:szCs w:val="24"/>
        </w:rPr>
        <w:t>. 2016;16(1):63.</w:t>
      </w:r>
    </w:p>
    <w:p w14:paraId="5A81E1A4" w14:textId="0DF7B575" w:rsidR="009F41BD" w:rsidRPr="00D463A8" w:rsidRDefault="009F41BD" w:rsidP="00471B8C">
      <w:pPr>
        <w:spacing w:after="0" w:line="240" w:lineRule="auto"/>
        <w:ind w:left="709" w:hanging="709"/>
        <w:outlineLvl w:val="0"/>
        <w:rPr>
          <w:rFonts w:ascii="Arial" w:hAnsi="Arial" w:cs="Arial"/>
          <w:sz w:val="24"/>
          <w:szCs w:val="24"/>
          <w:highlight w:val="yellow"/>
        </w:rPr>
      </w:pPr>
      <w:r w:rsidRPr="00D463A8">
        <w:rPr>
          <w:rFonts w:ascii="Arial" w:hAnsi="Arial" w:cs="Arial"/>
          <w:sz w:val="24"/>
          <w:szCs w:val="24"/>
          <w:highlight w:val="yellow"/>
        </w:rPr>
        <w:t>43.</w:t>
      </w:r>
      <w:r w:rsidRPr="00D463A8">
        <w:rPr>
          <w:rFonts w:ascii="Arial" w:hAnsi="Arial" w:cs="Arial"/>
          <w:sz w:val="24"/>
          <w:szCs w:val="24"/>
          <w:highlight w:val="yellow"/>
        </w:rPr>
        <w:tab/>
        <w:t xml:space="preserve">Wilberforce, M., Challis, D., Davies, L. Kelly, MP., Roberts C. The preliminary measurement properties of the person-centred community care inventory (PERCCI).  </w:t>
      </w:r>
      <w:r w:rsidRPr="00D463A8">
        <w:rPr>
          <w:rFonts w:ascii="Arial" w:hAnsi="Arial" w:cs="Arial"/>
          <w:i/>
          <w:sz w:val="24"/>
          <w:szCs w:val="24"/>
          <w:highlight w:val="yellow"/>
        </w:rPr>
        <w:t>Qual Life Res</w:t>
      </w:r>
      <w:r w:rsidRPr="00D463A8">
        <w:rPr>
          <w:rFonts w:ascii="Arial" w:hAnsi="Arial" w:cs="Arial"/>
          <w:sz w:val="24"/>
          <w:szCs w:val="24"/>
          <w:highlight w:val="yellow"/>
        </w:rPr>
        <w:t>; 2018: https://doi.org/10.1007/s11136-018-1917-1</w:t>
      </w:r>
    </w:p>
    <w:p w14:paraId="61290B42" w14:textId="0876388C" w:rsidR="00471B8C" w:rsidRPr="00D463A8" w:rsidRDefault="009F41BD" w:rsidP="00471B8C">
      <w:pPr>
        <w:spacing w:after="0" w:line="240" w:lineRule="auto"/>
        <w:ind w:left="709" w:hanging="709"/>
        <w:outlineLvl w:val="0"/>
        <w:rPr>
          <w:rFonts w:ascii="Arial" w:hAnsi="Arial" w:cs="Arial"/>
          <w:sz w:val="24"/>
          <w:szCs w:val="24"/>
          <w:highlight w:val="yellow"/>
        </w:rPr>
      </w:pPr>
      <w:r w:rsidRPr="00D463A8">
        <w:rPr>
          <w:rFonts w:ascii="Arial" w:hAnsi="Arial" w:cs="Arial"/>
          <w:sz w:val="24"/>
          <w:szCs w:val="24"/>
          <w:highlight w:val="yellow"/>
        </w:rPr>
        <w:t>44.</w:t>
      </w:r>
      <w:r w:rsidR="00471B8C" w:rsidRPr="00D463A8">
        <w:rPr>
          <w:rFonts w:ascii="Arial" w:hAnsi="Arial" w:cs="Arial"/>
          <w:sz w:val="24"/>
          <w:szCs w:val="24"/>
          <w:highlight w:val="yellow"/>
        </w:rPr>
        <w:t xml:space="preserve"> </w:t>
      </w:r>
      <w:r w:rsidRPr="00D463A8">
        <w:rPr>
          <w:rFonts w:ascii="Arial" w:hAnsi="Arial" w:cs="Arial"/>
          <w:sz w:val="24"/>
          <w:szCs w:val="24"/>
          <w:highlight w:val="yellow"/>
        </w:rPr>
        <w:tab/>
        <w:t xml:space="preserve">Wilberforce, M., Batten, E., Challis, D., Davies, L., Kelly, MP., Roberts, C. The patient experience in community mental health services: A concept mapping approach to support the development of a new quality measure. </w:t>
      </w:r>
      <w:r w:rsidRPr="00D463A8">
        <w:rPr>
          <w:rFonts w:ascii="Arial" w:hAnsi="Arial" w:cs="Arial"/>
          <w:i/>
          <w:sz w:val="24"/>
          <w:szCs w:val="24"/>
          <w:highlight w:val="yellow"/>
        </w:rPr>
        <w:t>BMC Health Services Research</w:t>
      </w:r>
      <w:r w:rsidRPr="00D463A8">
        <w:rPr>
          <w:rFonts w:ascii="Arial" w:hAnsi="Arial" w:cs="Arial"/>
          <w:sz w:val="24"/>
          <w:szCs w:val="24"/>
          <w:highlight w:val="yellow"/>
        </w:rPr>
        <w:t>. 2018; 18:461.</w:t>
      </w:r>
    </w:p>
    <w:p w14:paraId="57FC3B26" w14:textId="5A4894E8" w:rsidR="00674E91" w:rsidRPr="00471B8C" w:rsidRDefault="00674E91" w:rsidP="009F41BD">
      <w:pPr>
        <w:spacing w:after="0" w:line="240" w:lineRule="auto"/>
        <w:ind w:left="709" w:hanging="709"/>
        <w:outlineLvl w:val="0"/>
        <w:rPr>
          <w:rFonts w:ascii="Arial" w:hAnsi="Arial" w:cs="Arial"/>
          <w:sz w:val="24"/>
          <w:szCs w:val="24"/>
        </w:rPr>
      </w:pPr>
      <w:r w:rsidRPr="00D463A8">
        <w:rPr>
          <w:rFonts w:ascii="Arial" w:hAnsi="Arial" w:cs="Arial"/>
          <w:sz w:val="24"/>
          <w:szCs w:val="24"/>
          <w:highlight w:val="yellow"/>
        </w:rPr>
        <w:t>4</w:t>
      </w:r>
      <w:r w:rsidR="009F41BD" w:rsidRPr="00D463A8">
        <w:rPr>
          <w:rFonts w:ascii="Arial" w:hAnsi="Arial" w:cs="Arial"/>
          <w:sz w:val="24"/>
          <w:szCs w:val="24"/>
          <w:highlight w:val="yellow"/>
        </w:rPr>
        <w:t>5</w:t>
      </w:r>
      <w:r w:rsidRPr="00D463A8">
        <w:rPr>
          <w:rFonts w:ascii="Arial" w:hAnsi="Arial" w:cs="Arial"/>
          <w:sz w:val="24"/>
          <w:szCs w:val="24"/>
          <w:highlight w:val="yellow"/>
        </w:rPr>
        <w:t>.</w:t>
      </w:r>
      <w:r w:rsidRPr="00D463A8">
        <w:rPr>
          <w:rFonts w:ascii="Arial" w:hAnsi="Arial" w:cs="Arial"/>
          <w:sz w:val="24"/>
          <w:szCs w:val="24"/>
          <w:highlight w:val="yellow"/>
        </w:rPr>
        <w:tab/>
        <w:t xml:space="preserve">Care Quality Commission.  </w:t>
      </w:r>
      <w:r w:rsidRPr="00D463A8">
        <w:rPr>
          <w:rFonts w:ascii="Arial" w:hAnsi="Arial" w:cs="Arial"/>
          <w:i/>
          <w:sz w:val="24"/>
          <w:szCs w:val="24"/>
          <w:highlight w:val="yellow"/>
        </w:rPr>
        <w:t>2017 Community Mental Health Survey: Quality and Methodology Report</w:t>
      </w:r>
      <w:r w:rsidRPr="00D463A8">
        <w:rPr>
          <w:rFonts w:ascii="Arial" w:hAnsi="Arial" w:cs="Arial"/>
          <w:sz w:val="24"/>
          <w:szCs w:val="24"/>
          <w:highlight w:val="yellow"/>
        </w:rPr>
        <w:t>. London: CQC; 2017.</w:t>
      </w:r>
    </w:p>
    <w:p w14:paraId="7EA1BDF0" w14:textId="77777777" w:rsidR="0041618C" w:rsidRDefault="0041618C">
      <w:pPr>
        <w:rPr>
          <w:rFonts w:ascii="Arial" w:hAnsi="Arial" w:cs="Arial"/>
          <w:b/>
          <w:sz w:val="24"/>
          <w:szCs w:val="24"/>
        </w:rPr>
      </w:pPr>
      <w:r>
        <w:rPr>
          <w:rFonts w:ascii="Arial" w:hAnsi="Arial" w:cs="Arial"/>
          <w:b/>
          <w:sz w:val="24"/>
          <w:szCs w:val="24"/>
        </w:rPr>
        <w:br w:type="page"/>
      </w:r>
    </w:p>
    <w:p w14:paraId="1E008DA9" w14:textId="10B8E484" w:rsidR="00ED5C31" w:rsidRPr="00FB069C" w:rsidRDefault="00ED5C31" w:rsidP="004F5F2E">
      <w:pPr>
        <w:widowControl w:val="0"/>
        <w:autoSpaceDE w:val="0"/>
        <w:autoSpaceDN w:val="0"/>
        <w:adjustRightInd w:val="0"/>
        <w:spacing w:after="0" w:line="240" w:lineRule="auto"/>
        <w:ind w:left="640" w:hanging="640"/>
        <w:outlineLvl w:val="0"/>
        <w:rPr>
          <w:rFonts w:ascii="Arial" w:hAnsi="Arial" w:cs="Arial"/>
          <w:b/>
        </w:rPr>
      </w:pPr>
      <w:r w:rsidRPr="00FB069C">
        <w:rPr>
          <w:rFonts w:ascii="Arial" w:hAnsi="Arial" w:cs="Arial"/>
          <w:b/>
        </w:rPr>
        <w:lastRenderedPageBreak/>
        <w:t>Table 1:  Respondent profile</w:t>
      </w:r>
      <w:r w:rsidR="00EA22E9">
        <w:rPr>
          <w:rFonts w:ascii="Arial" w:hAnsi="Arial" w:cs="Arial"/>
          <w:b/>
        </w:rPr>
        <w:t xml:space="preserve"> </w:t>
      </w:r>
      <w:r w:rsidR="00EA22E9" w:rsidRPr="00C61F35">
        <w:rPr>
          <w:rFonts w:ascii="Arial" w:hAnsi="Arial" w:cs="Arial"/>
          <w:b/>
          <w:highlight w:val="yellow"/>
        </w:rPr>
        <w:t>(max n=35</w:t>
      </w:r>
      <w:r w:rsidR="0020460D" w:rsidRPr="00C61F35">
        <w:rPr>
          <w:rFonts w:ascii="Arial" w:hAnsi="Arial" w:cs="Arial"/>
          <w:b/>
          <w:highlight w:val="yellow"/>
        </w:rPr>
        <w:t>0</w:t>
      </w:r>
      <w:r w:rsidR="00EA22E9" w:rsidRPr="00C61F35">
        <w:rPr>
          <w:rFonts w:ascii="Arial" w:hAnsi="Arial" w:cs="Arial"/>
          <w:b/>
          <w:highlight w:val="yellow"/>
        </w:rPr>
        <w:t>)</w:t>
      </w:r>
    </w:p>
    <w:tbl>
      <w:tblPr>
        <w:tblStyle w:val="TableGrid"/>
        <w:tblW w:w="7054" w:type="dxa"/>
        <w:tblLook w:val="04A0" w:firstRow="1" w:lastRow="0" w:firstColumn="1" w:lastColumn="0" w:noHBand="0" w:noVBand="1"/>
      </w:tblPr>
      <w:tblGrid>
        <w:gridCol w:w="1951"/>
        <w:gridCol w:w="2977"/>
        <w:gridCol w:w="1134"/>
        <w:gridCol w:w="992"/>
      </w:tblGrid>
      <w:tr w:rsidR="00ED5C31" w:rsidRPr="002A47AD" w14:paraId="54756258" w14:textId="77777777" w:rsidTr="00C43662">
        <w:tc>
          <w:tcPr>
            <w:tcW w:w="1951" w:type="dxa"/>
          </w:tcPr>
          <w:p w14:paraId="16474E69" w14:textId="77777777" w:rsidR="00ED5C31" w:rsidRPr="002A47AD" w:rsidRDefault="00ED5C31" w:rsidP="005E38B9">
            <w:pPr>
              <w:spacing w:line="360" w:lineRule="auto"/>
              <w:rPr>
                <w:rFonts w:ascii="Arial" w:hAnsi="Arial" w:cs="Arial"/>
              </w:rPr>
            </w:pPr>
          </w:p>
        </w:tc>
        <w:tc>
          <w:tcPr>
            <w:tcW w:w="2977" w:type="dxa"/>
          </w:tcPr>
          <w:p w14:paraId="4897C698" w14:textId="77777777" w:rsidR="00ED5C31" w:rsidRPr="002A47AD" w:rsidRDefault="00ED5C31" w:rsidP="005E38B9">
            <w:pPr>
              <w:spacing w:line="360" w:lineRule="auto"/>
              <w:rPr>
                <w:rFonts w:ascii="Arial" w:hAnsi="Arial" w:cs="Arial"/>
                <w:i/>
              </w:rPr>
            </w:pPr>
          </w:p>
        </w:tc>
        <w:tc>
          <w:tcPr>
            <w:tcW w:w="1134" w:type="dxa"/>
            <w:vAlign w:val="center"/>
          </w:tcPr>
          <w:p w14:paraId="01AA94C2" w14:textId="77777777" w:rsidR="00ED5C31" w:rsidRPr="002A47AD" w:rsidRDefault="00ED5C31" w:rsidP="005E38B9">
            <w:pPr>
              <w:spacing w:line="360" w:lineRule="auto"/>
              <w:jc w:val="center"/>
              <w:rPr>
                <w:rFonts w:ascii="Arial" w:hAnsi="Arial" w:cs="Arial"/>
                <w:b/>
              </w:rPr>
            </w:pPr>
            <w:r w:rsidRPr="002A47AD">
              <w:rPr>
                <w:rFonts w:ascii="Arial" w:hAnsi="Arial" w:cs="Arial"/>
                <w:b/>
              </w:rPr>
              <w:t>n</w:t>
            </w:r>
          </w:p>
        </w:tc>
        <w:tc>
          <w:tcPr>
            <w:tcW w:w="992" w:type="dxa"/>
          </w:tcPr>
          <w:p w14:paraId="08197A4C" w14:textId="77777777" w:rsidR="00ED5C31" w:rsidRPr="002A47AD" w:rsidRDefault="00ED5C31" w:rsidP="005E38B9">
            <w:pPr>
              <w:spacing w:line="360" w:lineRule="auto"/>
              <w:jc w:val="center"/>
              <w:rPr>
                <w:rFonts w:ascii="Arial" w:hAnsi="Arial" w:cs="Arial"/>
                <w:b/>
              </w:rPr>
            </w:pPr>
            <w:r w:rsidRPr="002A47AD">
              <w:rPr>
                <w:rFonts w:ascii="Arial" w:hAnsi="Arial" w:cs="Arial"/>
                <w:b/>
              </w:rPr>
              <w:t>%</w:t>
            </w:r>
          </w:p>
        </w:tc>
      </w:tr>
      <w:tr w:rsidR="00ED5C31" w:rsidRPr="002A47AD" w14:paraId="32E7C0A5" w14:textId="77777777" w:rsidTr="00C43662">
        <w:tc>
          <w:tcPr>
            <w:tcW w:w="1951" w:type="dxa"/>
            <w:vMerge w:val="restart"/>
            <w:vAlign w:val="center"/>
          </w:tcPr>
          <w:p w14:paraId="364AA54C" w14:textId="77777777" w:rsidR="00ED5C31" w:rsidRPr="002A47AD" w:rsidRDefault="00ED5C31" w:rsidP="005E38B9">
            <w:pPr>
              <w:spacing w:line="360" w:lineRule="auto"/>
              <w:rPr>
                <w:rFonts w:ascii="Arial" w:hAnsi="Arial" w:cs="Arial"/>
                <w:b/>
              </w:rPr>
            </w:pPr>
            <w:r w:rsidRPr="002A47AD">
              <w:rPr>
                <w:rFonts w:ascii="Arial" w:hAnsi="Arial" w:cs="Arial"/>
                <w:b/>
              </w:rPr>
              <w:t>Gender</w:t>
            </w:r>
          </w:p>
          <w:p w14:paraId="68B42F45" w14:textId="7B82255C" w:rsidR="00FB069C" w:rsidRPr="002A47AD" w:rsidRDefault="00FB069C" w:rsidP="0020460D">
            <w:pPr>
              <w:spacing w:line="360" w:lineRule="auto"/>
              <w:rPr>
                <w:rFonts w:ascii="Arial" w:hAnsi="Arial" w:cs="Arial"/>
              </w:rPr>
            </w:pPr>
            <w:r w:rsidRPr="002A47AD">
              <w:rPr>
                <w:rFonts w:ascii="Arial" w:hAnsi="Arial" w:cs="Arial"/>
              </w:rPr>
              <w:t>(n=3</w:t>
            </w:r>
            <w:r w:rsidR="00FC66F7">
              <w:rPr>
                <w:rFonts w:ascii="Arial" w:hAnsi="Arial" w:cs="Arial"/>
              </w:rPr>
              <w:t>5</w:t>
            </w:r>
            <w:r w:rsidR="0020460D" w:rsidRPr="0084290E">
              <w:rPr>
                <w:rFonts w:ascii="Arial" w:hAnsi="Arial" w:cs="Arial"/>
              </w:rPr>
              <w:t>0</w:t>
            </w:r>
            <w:r w:rsidRPr="0084290E">
              <w:rPr>
                <w:rFonts w:ascii="Arial" w:hAnsi="Arial" w:cs="Arial"/>
              </w:rPr>
              <w:t>)</w:t>
            </w:r>
          </w:p>
        </w:tc>
        <w:tc>
          <w:tcPr>
            <w:tcW w:w="2977" w:type="dxa"/>
            <w:vAlign w:val="center"/>
          </w:tcPr>
          <w:p w14:paraId="63866206" w14:textId="77777777" w:rsidR="00ED5C31" w:rsidRPr="002A47AD" w:rsidRDefault="00ED5C31" w:rsidP="005E38B9">
            <w:pPr>
              <w:spacing w:line="360" w:lineRule="auto"/>
              <w:rPr>
                <w:rFonts w:ascii="Arial" w:hAnsi="Arial" w:cs="Arial"/>
                <w:i/>
              </w:rPr>
            </w:pPr>
            <w:r w:rsidRPr="002A47AD">
              <w:rPr>
                <w:rFonts w:ascii="Arial" w:hAnsi="Arial" w:cs="Arial"/>
                <w:i/>
              </w:rPr>
              <w:t>Male</w:t>
            </w:r>
          </w:p>
        </w:tc>
        <w:tc>
          <w:tcPr>
            <w:tcW w:w="1134" w:type="dxa"/>
            <w:vAlign w:val="center"/>
          </w:tcPr>
          <w:p w14:paraId="356B78F7" w14:textId="5683F084" w:rsidR="00ED5C31" w:rsidRPr="002A47AD" w:rsidRDefault="00ED5C31" w:rsidP="0084290E">
            <w:pPr>
              <w:spacing w:line="360" w:lineRule="auto"/>
              <w:jc w:val="center"/>
              <w:rPr>
                <w:rFonts w:ascii="Arial" w:hAnsi="Arial" w:cs="Arial"/>
              </w:rPr>
            </w:pPr>
            <w:r w:rsidRPr="002A47AD">
              <w:rPr>
                <w:rFonts w:ascii="Arial" w:hAnsi="Arial" w:cs="Arial"/>
              </w:rPr>
              <w:t>1</w:t>
            </w:r>
            <w:r w:rsidR="0084290E">
              <w:rPr>
                <w:rFonts w:ascii="Arial" w:hAnsi="Arial" w:cs="Arial"/>
              </w:rPr>
              <w:t>38</w:t>
            </w:r>
          </w:p>
        </w:tc>
        <w:tc>
          <w:tcPr>
            <w:tcW w:w="992" w:type="dxa"/>
            <w:vAlign w:val="center"/>
          </w:tcPr>
          <w:p w14:paraId="770C6E13" w14:textId="3619EA88" w:rsidR="00ED5C31" w:rsidRPr="002A47AD" w:rsidRDefault="00ED5C31" w:rsidP="0084290E">
            <w:pPr>
              <w:spacing w:line="360" w:lineRule="auto"/>
              <w:jc w:val="center"/>
              <w:rPr>
                <w:rFonts w:ascii="Arial" w:hAnsi="Arial" w:cs="Arial"/>
              </w:rPr>
            </w:pPr>
            <w:r w:rsidRPr="002A47AD">
              <w:rPr>
                <w:rFonts w:ascii="Arial" w:hAnsi="Arial" w:cs="Arial"/>
              </w:rPr>
              <w:t>39.</w:t>
            </w:r>
            <w:r w:rsidR="0084290E">
              <w:rPr>
                <w:rFonts w:ascii="Arial" w:hAnsi="Arial" w:cs="Arial"/>
              </w:rPr>
              <w:t>4</w:t>
            </w:r>
          </w:p>
        </w:tc>
      </w:tr>
      <w:tr w:rsidR="00ED5C31" w:rsidRPr="002A47AD" w14:paraId="2E1E9694" w14:textId="77777777" w:rsidTr="00C43662">
        <w:tc>
          <w:tcPr>
            <w:tcW w:w="1951" w:type="dxa"/>
            <w:vMerge/>
            <w:vAlign w:val="center"/>
          </w:tcPr>
          <w:p w14:paraId="7FD64996" w14:textId="77777777" w:rsidR="00ED5C31" w:rsidRPr="002A47AD" w:rsidRDefault="00ED5C31" w:rsidP="005E38B9">
            <w:pPr>
              <w:spacing w:line="360" w:lineRule="auto"/>
              <w:rPr>
                <w:rFonts w:ascii="Arial" w:hAnsi="Arial" w:cs="Arial"/>
                <w:b/>
              </w:rPr>
            </w:pPr>
          </w:p>
        </w:tc>
        <w:tc>
          <w:tcPr>
            <w:tcW w:w="2977" w:type="dxa"/>
            <w:vAlign w:val="center"/>
          </w:tcPr>
          <w:p w14:paraId="5AD202EA" w14:textId="77777777" w:rsidR="00ED5C31" w:rsidRPr="002A47AD" w:rsidRDefault="00ED5C31" w:rsidP="005E38B9">
            <w:pPr>
              <w:spacing w:line="360" w:lineRule="auto"/>
              <w:rPr>
                <w:rFonts w:ascii="Arial" w:hAnsi="Arial" w:cs="Arial"/>
                <w:i/>
              </w:rPr>
            </w:pPr>
            <w:r w:rsidRPr="002A47AD">
              <w:rPr>
                <w:rFonts w:ascii="Arial" w:hAnsi="Arial" w:cs="Arial"/>
                <w:i/>
              </w:rPr>
              <w:t>Female</w:t>
            </w:r>
          </w:p>
        </w:tc>
        <w:tc>
          <w:tcPr>
            <w:tcW w:w="1134" w:type="dxa"/>
            <w:vAlign w:val="center"/>
          </w:tcPr>
          <w:p w14:paraId="45C6BBED" w14:textId="1651960D" w:rsidR="00ED5C31" w:rsidRPr="002A47AD" w:rsidRDefault="00ED5C31" w:rsidP="0084290E">
            <w:pPr>
              <w:spacing w:line="360" w:lineRule="auto"/>
              <w:jc w:val="center"/>
              <w:rPr>
                <w:rFonts w:ascii="Arial" w:hAnsi="Arial" w:cs="Arial"/>
              </w:rPr>
            </w:pPr>
            <w:r w:rsidRPr="002A47AD">
              <w:rPr>
                <w:rFonts w:ascii="Arial" w:hAnsi="Arial" w:cs="Arial"/>
              </w:rPr>
              <w:t>21</w:t>
            </w:r>
            <w:r w:rsidR="0084290E" w:rsidRPr="0084290E">
              <w:rPr>
                <w:rFonts w:ascii="Arial" w:hAnsi="Arial" w:cs="Arial"/>
              </w:rPr>
              <w:t>2</w:t>
            </w:r>
          </w:p>
        </w:tc>
        <w:tc>
          <w:tcPr>
            <w:tcW w:w="992" w:type="dxa"/>
            <w:vAlign w:val="center"/>
          </w:tcPr>
          <w:p w14:paraId="742442AB" w14:textId="203166F1" w:rsidR="00ED5C31" w:rsidRPr="002A47AD" w:rsidRDefault="00ED5C31" w:rsidP="0084290E">
            <w:pPr>
              <w:spacing w:line="360" w:lineRule="auto"/>
              <w:jc w:val="center"/>
              <w:rPr>
                <w:rFonts w:ascii="Arial" w:hAnsi="Arial" w:cs="Arial"/>
              </w:rPr>
            </w:pPr>
            <w:r w:rsidRPr="002A47AD">
              <w:rPr>
                <w:rFonts w:ascii="Arial" w:hAnsi="Arial" w:cs="Arial"/>
              </w:rPr>
              <w:t>60.</w:t>
            </w:r>
            <w:r w:rsidR="0084290E">
              <w:rPr>
                <w:rFonts w:ascii="Arial" w:hAnsi="Arial" w:cs="Arial"/>
              </w:rPr>
              <w:t>6</w:t>
            </w:r>
          </w:p>
        </w:tc>
      </w:tr>
      <w:tr w:rsidR="00ED5C31" w:rsidRPr="002A47AD" w14:paraId="19AB458A" w14:textId="77777777" w:rsidTr="00C43662">
        <w:tc>
          <w:tcPr>
            <w:tcW w:w="1951" w:type="dxa"/>
            <w:vMerge w:val="restart"/>
            <w:vAlign w:val="center"/>
          </w:tcPr>
          <w:p w14:paraId="66837A5D" w14:textId="77777777" w:rsidR="00ED5C31" w:rsidRPr="002A47AD" w:rsidRDefault="00ED5C31" w:rsidP="005E38B9">
            <w:pPr>
              <w:spacing w:line="360" w:lineRule="auto"/>
              <w:rPr>
                <w:rFonts w:ascii="Arial" w:hAnsi="Arial" w:cs="Arial"/>
                <w:b/>
              </w:rPr>
            </w:pPr>
            <w:r w:rsidRPr="002A47AD">
              <w:rPr>
                <w:rFonts w:ascii="Arial" w:hAnsi="Arial" w:cs="Arial"/>
                <w:b/>
              </w:rPr>
              <w:t>Age</w:t>
            </w:r>
          </w:p>
          <w:p w14:paraId="5CFA3061" w14:textId="47542807" w:rsidR="00FB069C" w:rsidRPr="002A47AD" w:rsidRDefault="00FB069C" w:rsidP="0084290E">
            <w:pPr>
              <w:spacing w:line="360" w:lineRule="auto"/>
              <w:rPr>
                <w:rFonts w:ascii="Arial" w:hAnsi="Arial" w:cs="Arial"/>
              </w:rPr>
            </w:pPr>
            <w:r w:rsidRPr="002A47AD">
              <w:rPr>
                <w:rFonts w:ascii="Arial" w:hAnsi="Arial" w:cs="Arial"/>
              </w:rPr>
              <w:t>(n=3</w:t>
            </w:r>
            <w:r w:rsidR="00FC66F7">
              <w:rPr>
                <w:rFonts w:ascii="Arial" w:hAnsi="Arial" w:cs="Arial"/>
              </w:rPr>
              <w:t>5</w:t>
            </w:r>
            <w:r w:rsidR="0084290E">
              <w:rPr>
                <w:rFonts w:ascii="Arial" w:hAnsi="Arial" w:cs="Arial"/>
              </w:rPr>
              <w:t>0</w:t>
            </w:r>
            <w:r w:rsidRPr="002A47AD">
              <w:rPr>
                <w:rFonts w:ascii="Arial" w:hAnsi="Arial" w:cs="Arial"/>
              </w:rPr>
              <w:t>)</w:t>
            </w:r>
          </w:p>
        </w:tc>
        <w:tc>
          <w:tcPr>
            <w:tcW w:w="2977" w:type="dxa"/>
            <w:vAlign w:val="center"/>
          </w:tcPr>
          <w:p w14:paraId="051ED6FA" w14:textId="77777777" w:rsidR="00ED5C31" w:rsidRPr="002A47AD" w:rsidRDefault="00ED5C31" w:rsidP="005E38B9">
            <w:pPr>
              <w:spacing w:line="360" w:lineRule="auto"/>
              <w:rPr>
                <w:rFonts w:ascii="Arial" w:hAnsi="Arial" w:cs="Arial"/>
                <w:i/>
              </w:rPr>
            </w:pPr>
            <w:r w:rsidRPr="002A47AD">
              <w:rPr>
                <w:rFonts w:ascii="Arial" w:hAnsi="Arial" w:cs="Arial"/>
                <w:i/>
              </w:rPr>
              <w:t>&lt;70 years</w:t>
            </w:r>
          </w:p>
        </w:tc>
        <w:tc>
          <w:tcPr>
            <w:tcW w:w="1134" w:type="dxa"/>
            <w:vAlign w:val="center"/>
          </w:tcPr>
          <w:p w14:paraId="0B29F137" w14:textId="69789A7F" w:rsidR="00ED5C31" w:rsidRPr="002A47AD" w:rsidRDefault="0084290E" w:rsidP="004A67E8">
            <w:pPr>
              <w:spacing w:line="360" w:lineRule="auto"/>
              <w:jc w:val="center"/>
              <w:rPr>
                <w:rFonts w:ascii="Arial" w:hAnsi="Arial" w:cs="Arial"/>
              </w:rPr>
            </w:pPr>
            <w:r>
              <w:rPr>
                <w:rFonts w:ascii="Arial" w:hAnsi="Arial" w:cs="Arial"/>
              </w:rPr>
              <w:t>88</w:t>
            </w:r>
          </w:p>
        </w:tc>
        <w:tc>
          <w:tcPr>
            <w:tcW w:w="992" w:type="dxa"/>
            <w:vAlign w:val="center"/>
          </w:tcPr>
          <w:p w14:paraId="63178DE4" w14:textId="7BF7D7CA" w:rsidR="00FB069C" w:rsidRPr="002A47AD" w:rsidRDefault="004A67E8" w:rsidP="0084290E">
            <w:pPr>
              <w:spacing w:line="360" w:lineRule="auto"/>
              <w:jc w:val="center"/>
              <w:rPr>
                <w:rFonts w:ascii="Arial" w:hAnsi="Arial" w:cs="Arial"/>
              </w:rPr>
            </w:pPr>
            <w:r>
              <w:rPr>
                <w:rFonts w:ascii="Arial" w:hAnsi="Arial" w:cs="Arial"/>
              </w:rPr>
              <w:t>25.</w:t>
            </w:r>
            <w:r w:rsidR="0084290E">
              <w:rPr>
                <w:rFonts w:ascii="Arial" w:hAnsi="Arial" w:cs="Arial"/>
              </w:rPr>
              <w:t>1</w:t>
            </w:r>
          </w:p>
        </w:tc>
      </w:tr>
      <w:tr w:rsidR="00ED5C31" w:rsidRPr="002A47AD" w14:paraId="695BF15C" w14:textId="77777777" w:rsidTr="00C43662">
        <w:tc>
          <w:tcPr>
            <w:tcW w:w="1951" w:type="dxa"/>
            <w:vMerge/>
            <w:vAlign w:val="center"/>
          </w:tcPr>
          <w:p w14:paraId="5A976D36" w14:textId="77777777" w:rsidR="00ED5C31" w:rsidRPr="002A47AD" w:rsidRDefault="00ED5C31" w:rsidP="005E38B9">
            <w:pPr>
              <w:spacing w:line="360" w:lineRule="auto"/>
              <w:rPr>
                <w:rFonts w:ascii="Arial" w:hAnsi="Arial" w:cs="Arial"/>
                <w:b/>
              </w:rPr>
            </w:pPr>
          </w:p>
        </w:tc>
        <w:tc>
          <w:tcPr>
            <w:tcW w:w="2977" w:type="dxa"/>
            <w:vAlign w:val="center"/>
          </w:tcPr>
          <w:p w14:paraId="7E45A5A7" w14:textId="77777777" w:rsidR="00ED5C31" w:rsidRPr="002A47AD" w:rsidRDefault="00ED5C31" w:rsidP="005E38B9">
            <w:pPr>
              <w:spacing w:line="360" w:lineRule="auto"/>
              <w:rPr>
                <w:rFonts w:ascii="Arial" w:hAnsi="Arial" w:cs="Arial"/>
                <w:i/>
              </w:rPr>
            </w:pPr>
            <w:r w:rsidRPr="002A47AD">
              <w:rPr>
                <w:rFonts w:ascii="Arial" w:hAnsi="Arial" w:cs="Arial"/>
                <w:i/>
              </w:rPr>
              <w:t>70-79 years</w:t>
            </w:r>
          </w:p>
        </w:tc>
        <w:tc>
          <w:tcPr>
            <w:tcW w:w="1134" w:type="dxa"/>
            <w:vAlign w:val="center"/>
          </w:tcPr>
          <w:p w14:paraId="50F0ED3B" w14:textId="7E6BBD46" w:rsidR="00ED5C31" w:rsidRPr="002A47AD" w:rsidRDefault="00FB069C" w:rsidP="0084290E">
            <w:pPr>
              <w:spacing w:line="360" w:lineRule="auto"/>
              <w:jc w:val="center"/>
              <w:rPr>
                <w:rFonts w:ascii="Arial" w:hAnsi="Arial" w:cs="Arial"/>
              </w:rPr>
            </w:pPr>
            <w:r w:rsidRPr="002A47AD">
              <w:rPr>
                <w:rFonts w:ascii="Arial" w:hAnsi="Arial" w:cs="Arial"/>
              </w:rPr>
              <w:t>1</w:t>
            </w:r>
            <w:r w:rsidR="0084290E">
              <w:rPr>
                <w:rFonts w:ascii="Arial" w:hAnsi="Arial" w:cs="Arial"/>
              </w:rPr>
              <w:t>69</w:t>
            </w:r>
          </w:p>
        </w:tc>
        <w:tc>
          <w:tcPr>
            <w:tcW w:w="992" w:type="dxa"/>
            <w:vAlign w:val="center"/>
          </w:tcPr>
          <w:p w14:paraId="45C9CA1F" w14:textId="3073C832" w:rsidR="00ED5C31" w:rsidRPr="002A47AD" w:rsidRDefault="00FB069C" w:rsidP="0084290E">
            <w:pPr>
              <w:spacing w:line="360" w:lineRule="auto"/>
              <w:jc w:val="center"/>
              <w:rPr>
                <w:rFonts w:ascii="Arial" w:hAnsi="Arial" w:cs="Arial"/>
              </w:rPr>
            </w:pPr>
            <w:r w:rsidRPr="002A47AD">
              <w:rPr>
                <w:rFonts w:ascii="Arial" w:hAnsi="Arial" w:cs="Arial"/>
              </w:rPr>
              <w:t>4</w:t>
            </w:r>
            <w:r w:rsidR="0084290E">
              <w:rPr>
                <w:rFonts w:ascii="Arial" w:hAnsi="Arial" w:cs="Arial"/>
              </w:rPr>
              <w:t>8.3</w:t>
            </w:r>
          </w:p>
        </w:tc>
      </w:tr>
      <w:tr w:rsidR="00ED5C31" w:rsidRPr="002A47AD" w14:paraId="591528C5" w14:textId="77777777" w:rsidTr="00C43662">
        <w:tc>
          <w:tcPr>
            <w:tcW w:w="1951" w:type="dxa"/>
            <w:vMerge/>
            <w:vAlign w:val="center"/>
          </w:tcPr>
          <w:p w14:paraId="0747380F" w14:textId="77777777" w:rsidR="00ED5C31" w:rsidRPr="002A47AD" w:rsidRDefault="00ED5C31" w:rsidP="005E38B9">
            <w:pPr>
              <w:spacing w:line="360" w:lineRule="auto"/>
              <w:rPr>
                <w:rFonts w:ascii="Arial" w:hAnsi="Arial" w:cs="Arial"/>
                <w:b/>
              </w:rPr>
            </w:pPr>
          </w:p>
        </w:tc>
        <w:tc>
          <w:tcPr>
            <w:tcW w:w="2977" w:type="dxa"/>
            <w:vAlign w:val="center"/>
          </w:tcPr>
          <w:p w14:paraId="523E3E90" w14:textId="77777777" w:rsidR="00ED5C31" w:rsidRPr="002A47AD" w:rsidRDefault="00ED5C31" w:rsidP="005E38B9">
            <w:pPr>
              <w:spacing w:line="360" w:lineRule="auto"/>
              <w:rPr>
                <w:rFonts w:ascii="Arial" w:hAnsi="Arial" w:cs="Arial"/>
                <w:i/>
              </w:rPr>
            </w:pPr>
            <w:r w:rsidRPr="002A47AD">
              <w:rPr>
                <w:rFonts w:ascii="Arial" w:hAnsi="Arial" w:cs="Arial"/>
                <w:i/>
              </w:rPr>
              <w:t>80+ years</w:t>
            </w:r>
          </w:p>
        </w:tc>
        <w:tc>
          <w:tcPr>
            <w:tcW w:w="1134" w:type="dxa"/>
            <w:vAlign w:val="center"/>
          </w:tcPr>
          <w:p w14:paraId="38F2ED1C" w14:textId="67CFF27D" w:rsidR="00ED5C31" w:rsidRPr="002A47AD" w:rsidRDefault="00FB069C" w:rsidP="0084290E">
            <w:pPr>
              <w:spacing w:line="360" w:lineRule="auto"/>
              <w:jc w:val="center"/>
              <w:rPr>
                <w:rFonts w:ascii="Arial" w:hAnsi="Arial" w:cs="Arial"/>
              </w:rPr>
            </w:pPr>
            <w:r w:rsidRPr="002A47AD">
              <w:rPr>
                <w:rFonts w:ascii="Arial" w:hAnsi="Arial" w:cs="Arial"/>
              </w:rPr>
              <w:t>9</w:t>
            </w:r>
            <w:r w:rsidR="0084290E">
              <w:rPr>
                <w:rFonts w:ascii="Arial" w:hAnsi="Arial" w:cs="Arial"/>
              </w:rPr>
              <w:t>3</w:t>
            </w:r>
          </w:p>
        </w:tc>
        <w:tc>
          <w:tcPr>
            <w:tcW w:w="992" w:type="dxa"/>
            <w:vAlign w:val="center"/>
          </w:tcPr>
          <w:p w14:paraId="5A7F19FF" w14:textId="4709FC08" w:rsidR="00ED5C31" w:rsidRPr="002A47AD" w:rsidRDefault="00FB069C" w:rsidP="0084290E">
            <w:pPr>
              <w:spacing w:line="360" w:lineRule="auto"/>
              <w:jc w:val="center"/>
              <w:rPr>
                <w:rFonts w:ascii="Arial" w:hAnsi="Arial" w:cs="Arial"/>
              </w:rPr>
            </w:pPr>
            <w:r w:rsidRPr="002A47AD">
              <w:rPr>
                <w:rFonts w:ascii="Arial" w:hAnsi="Arial" w:cs="Arial"/>
              </w:rPr>
              <w:t>26.</w:t>
            </w:r>
            <w:r w:rsidR="0084290E">
              <w:rPr>
                <w:rFonts w:ascii="Arial" w:hAnsi="Arial" w:cs="Arial"/>
              </w:rPr>
              <w:t>6</w:t>
            </w:r>
          </w:p>
        </w:tc>
      </w:tr>
      <w:tr w:rsidR="00ED5C31" w:rsidRPr="002A47AD" w14:paraId="6549D7F4" w14:textId="77777777" w:rsidTr="00C43662">
        <w:tc>
          <w:tcPr>
            <w:tcW w:w="1951" w:type="dxa"/>
            <w:vMerge w:val="restart"/>
            <w:vAlign w:val="center"/>
          </w:tcPr>
          <w:p w14:paraId="1BCA054E" w14:textId="77777777" w:rsidR="00ED5C31" w:rsidRPr="002A47AD" w:rsidRDefault="00FB069C" w:rsidP="005E38B9">
            <w:pPr>
              <w:spacing w:line="360" w:lineRule="auto"/>
              <w:rPr>
                <w:rFonts w:ascii="Arial" w:hAnsi="Arial" w:cs="Arial"/>
                <w:b/>
              </w:rPr>
            </w:pPr>
            <w:r w:rsidRPr="002A47AD">
              <w:rPr>
                <w:rFonts w:ascii="Arial" w:hAnsi="Arial" w:cs="Arial"/>
                <w:b/>
              </w:rPr>
              <w:t>Diagnosis</w:t>
            </w:r>
          </w:p>
          <w:p w14:paraId="303A3EDA" w14:textId="7B332581" w:rsidR="00FB069C" w:rsidRPr="002A47AD" w:rsidRDefault="00FB069C" w:rsidP="0084290E">
            <w:pPr>
              <w:spacing w:line="360" w:lineRule="auto"/>
              <w:rPr>
                <w:rFonts w:ascii="Arial" w:hAnsi="Arial" w:cs="Arial"/>
              </w:rPr>
            </w:pPr>
            <w:r w:rsidRPr="002A47AD">
              <w:rPr>
                <w:rFonts w:ascii="Arial" w:hAnsi="Arial" w:cs="Arial"/>
              </w:rPr>
              <w:t>(n=3</w:t>
            </w:r>
            <w:r w:rsidR="004A67E8">
              <w:rPr>
                <w:rFonts w:ascii="Arial" w:hAnsi="Arial" w:cs="Arial"/>
              </w:rPr>
              <w:t>4</w:t>
            </w:r>
            <w:r w:rsidR="0084290E">
              <w:rPr>
                <w:rFonts w:ascii="Arial" w:hAnsi="Arial" w:cs="Arial"/>
              </w:rPr>
              <w:t>0</w:t>
            </w:r>
            <w:r w:rsidRPr="002A47AD">
              <w:rPr>
                <w:rFonts w:ascii="Arial" w:hAnsi="Arial" w:cs="Arial"/>
              </w:rPr>
              <w:t>)</w:t>
            </w:r>
          </w:p>
        </w:tc>
        <w:tc>
          <w:tcPr>
            <w:tcW w:w="2977" w:type="dxa"/>
            <w:vAlign w:val="center"/>
          </w:tcPr>
          <w:p w14:paraId="458A0FE8" w14:textId="77777777" w:rsidR="00ED5C31" w:rsidRPr="002A47AD" w:rsidRDefault="00ED5C31" w:rsidP="005E38B9">
            <w:pPr>
              <w:spacing w:line="360" w:lineRule="auto"/>
              <w:rPr>
                <w:rFonts w:ascii="Arial" w:hAnsi="Arial" w:cs="Arial"/>
                <w:i/>
              </w:rPr>
            </w:pPr>
            <w:r w:rsidRPr="002A47AD">
              <w:rPr>
                <w:rFonts w:ascii="Arial" w:hAnsi="Arial" w:cs="Arial"/>
                <w:i/>
              </w:rPr>
              <w:t>Functional (non-psychosis)</w:t>
            </w:r>
          </w:p>
        </w:tc>
        <w:tc>
          <w:tcPr>
            <w:tcW w:w="1134" w:type="dxa"/>
            <w:vAlign w:val="center"/>
          </w:tcPr>
          <w:p w14:paraId="5C910189" w14:textId="01E30082" w:rsidR="00ED5C31" w:rsidRPr="002A47AD" w:rsidRDefault="00FB069C" w:rsidP="0084290E">
            <w:pPr>
              <w:spacing w:line="360" w:lineRule="auto"/>
              <w:jc w:val="center"/>
              <w:rPr>
                <w:rFonts w:ascii="Arial" w:hAnsi="Arial" w:cs="Arial"/>
              </w:rPr>
            </w:pPr>
            <w:r w:rsidRPr="002A47AD">
              <w:rPr>
                <w:rFonts w:ascii="Arial" w:hAnsi="Arial" w:cs="Arial"/>
              </w:rPr>
              <w:t>15</w:t>
            </w:r>
            <w:r w:rsidR="0084290E">
              <w:rPr>
                <w:rFonts w:ascii="Arial" w:hAnsi="Arial" w:cs="Arial"/>
              </w:rPr>
              <w:t>3</w:t>
            </w:r>
          </w:p>
        </w:tc>
        <w:tc>
          <w:tcPr>
            <w:tcW w:w="992" w:type="dxa"/>
            <w:vAlign w:val="center"/>
          </w:tcPr>
          <w:p w14:paraId="41F4BED5" w14:textId="086F7283" w:rsidR="00ED5C31" w:rsidRPr="002A47AD" w:rsidRDefault="0084290E" w:rsidP="004A67E8">
            <w:pPr>
              <w:spacing w:line="360" w:lineRule="auto"/>
              <w:jc w:val="center"/>
              <w:rPr>
                <w:rFonts w:ascii="Arial" w:hAnsi="Arial" w:cs="Arial"/>
              </w:rPr>
            </w:pPr>
            <w:r>
              <w:rPr>
                <w:rFonts w:ascii="Arial" w:hAnsi="Arial" w:cs="Arial"/>
              </w:rPr>
              <w:t>45.0</w:t>
            </w:r>
          </w:p>
        </w:tc>
      </w:tr>
      <w:tr w:rsidR="00ED5C31" w:rsidRPr="002A47AD" w14:paraId="3FE2A5F2" w14:textId="77777777" w:rsidTr="00C43662">
        <w:tc>
          <w:tcPr>
            <w:tcW w:w="1951" w:type="dxa"/>
            <w:vMerge/>
            <w:vAlign w:val="center"/>
          </w:tcPr>
          <w:p w14:paraId="5CEE9F07" w14:textId="77777777" w:rsidR="00ED5C31" w:rsidRPr="002A47AD" w:rsidRDefault="00ED5C31" w:rsidP="005E38B9">
            <w:pPr>
              <w:spacing w:line="360" w:lineRule="auto"/>
              <w:rPr>
                <w:rFonts w:ascii="Arial" w:hAnsi="Arial" w:cs="Arial"/>
                <w:b/>
              </w:rPr>
            </w:pPr>
          </w:p>
        </w:tc>
        <w:tc>
          <w:tcPr>
            <w:tcW w:w="2977" w:type="dxa"/>
            <w:vAlign w:val="center"/>
          </w:tcPr>
          <w:p w14:paraId="4957C541" w14:textId="77777777" w:rsidR="00ED5C31" w:rsidRPr="002A47AD" w:rsidRDefault="00ED5C31" w:rsidP="005E38B9">
            <w:pPr>
              <w:spacing w:line="360" w:lineRule="auto"/>
              <w:rPr>
                <w:rFonts w:ascii="Arial" w:hAnsi="Arial" w:cs="Arial"/>
                <w:i/>
              </w:rPr>
            </w:pPr>
            <w:r w:rsidRPr="002A47AD">
              <w:rPr>
                <w:rFonts w:ascii="Arial" w:hAnsi="Arial" w:cs="Arial"/>
                <w:i/>
              </w:rPr>
              <w:t>Functional (psychosis)</w:t>
            </w:r>
          </w:p>
        </w:tc>
        <w:tc>
          <w:tcPr>
            <w:tcW w:w="1134" w:type="dxa"/>
            <w:vAlign w:val="center"/>
          </w:tcPr>
          <w:p w14:paraId="4737362A" w14:textId="1C16D253" w:rsidR="00ED5C31" w:rsidRPr="002A47AD" w:rsidRDefault="004A67E8" w:rsidP="0084290E">
            <w:pPr>
              <w:spacing w:line="360" w:lineRule="auto"/>
              <w:jc w:val="center"/>
              <w:rPr>
                <w:rFonts w:ascii="Arial" w:hAnsi="Arial" w:cs="Arial"/>
              </w:rPr>
            </w:pPr>
            <w:r>
              <w:rPr>
                <w:rFonts w:ascii="Arial" w:hAnsi="Arial" w:cs="Arial"/>
              </w:rPr>
              <w:t>7</w:t>
            </w:r>
            <w:r w:rsidR="0084290E">
              <w:rPr>
                <w:rFonts w:ascii="Arial" w:hAnsi="Arial" w:cs="Arial"/>
              </w:rPr>
              <w:t>8</w:t>
            </w:r>
          </w:p>
        </w:tc>
        <w:tc>
          <w:tcPr>
            <w:tcW w:w="992" w:type="dxa"/>
            <w:vAlign w:val="center"/>
          </w:tcPr>
          <w:p w14:paraId="2C25C426" w14:textId="516BC0EE" w:rsidR="00ED5C31" w:rsidRPr="002A47AD" w:rsidRDefault="00FB069C" w:rsidP="0084290E">
            <w:pPr>
              <w:spacing w:line="360" w:lineRule="auto"/>
              <w:jc w:val="center"/>
              <w:rPr>
                <w:rFonts w:ascii="Arial" w:hAnsi="Arial" w:cs="Arial"/>
              </w:rPr>
            </w:pPr>
            <w:r w:rsidRPr="002A47AD">
              <w:rPr>
                <w:rFonts w:ascii="Arial" w:hAnsi="Arial" w:cs="Arial"/>
              </w:rPr>
              <w:t>22.</w:t>
            </w:r>
            <w:r w:rsidR="0084290E">
              <w:rPr>
                <w:rFonts w:ascii="Arial" w:hAnsi="Arial" w:cs="Arial"/>
              </w:rPr>
              <w:t>9</w:t>
            </w:r>
          </w:p>
        </w:tc>
      </w:tr>
      <w:tr w:rsidR="00ED5C31" w:rsidRPr="002A47AD" w14:paraId="09B3BBA3" w14:textId="77777777" w:rsidTr="00C43662">
        <w:tc>
          <w:tcPr>
            <w:tcW w:w="1951" w:type="dxa"/>
            <w:vMerge/>
            <w:vAlign w:val="center"/>
          </w:tcPr>
          <w:p w14:paraId="7504FAF8" w14:textId="77777777" w:rsidR="00ED5C31" w:rsidRPr="002A47AD" w:rsidRDefault="00ED5C31" w:rsidP="005E38B9">
            <w:pPr>
              <w:spacing w:line="360" w:lineRule="auto"/>
              <w:rPr>
                <w:rFonts w:ascii="Arial" w:hAnsi="Arial" w:cs="Arial"/>
                <w:b/>
              </w:rPr>
            </w:pPr>
          </w:p>
        </w:tc>
        <w:tc>
          <w:tcPr>
            <w:tcW w:w="2977" w:type="dxa"/>
            <w:vAlign w:val="center"/>
          </w:tcPr>
          <w:p w14:paraId="5B1CF5ED" w14:textId="77777777" w:rsidR="00ED5C31" w:rsidRPr="002A47AD" w:rsidRDefault="00ED5C31" w:rsidP="005E38B9">
            <w:pPr>
              <w:spacing w:line="360" w:lineRule="auto"/>
              <w:rPr>
                <w:rFonts w:ascii="Arial" w:hAnsi="Arial" w:cs="Arial"/>
                <w:i/>
              </w:rPr>
            </w:pPr>
            <w:r w:rsidRPr="002A47AD">
              <w:rPr>
                <w:rFonts w:ascii="Arial" w:hAnsi="Arial" w:cs="Arial"/>
                <w:i/>
              </w:rPr>
              <w:t>Organic</w:t>
            </w:r>
          </w:p>
        </w:tc>
        <w:tc>
          <w:tcPr>
            <w:tcW w:w="1134" w:type="dxa"/>
            <w:vAlign w:val="center"/>
          </w:tcPr>
          <w:p w14:paraId="01136C6E" w14:textId="63694DEF" w:rsidR="00ED5C31" w:rsidRPr="002A47AD" w:rsidRDefault="00FB069C" w:rsidP="0084290E">
            <w:pPr>
              <w:spacing w:line="360" w:lineRule="auto"/>
              <w:jc w:val="center"/>
              <w:rPr>
                <w:rFonts w:ascii="Arial" w:hAnsi="Arial" w:cs="Arial"/>
              </w:rPr>
            </w:pPr>
            <w:r w:rsidRPr="002A47AD">
              <w:rPr>
                <w:rFonts w:ascii="Arial" w:hAnsi="Arial" w:cs="Arial"/>
              </w:rPr>
              <w:t>1</w:t>
            </w:r>
            <w:r w:rsidR="0084290E">
              <w:rPr>
                <w:rFonts w:ascii="Arial" w:hAnsi="Arial" w:cs="Arial"/>
              </w:rPr>
              <w:t>09</w:t>
            </w:r>
          </w:p>
        </w:tc>
        <w:tc>
          <w:tcPr>
            <w:tcW w:w="992" w:type="dxa"/>
            <w:vAlign w:val="center"/>
          </w:tcPr>
          <w:p w14:paraId="61335794" w14:textId="2591161C" w:rsidR="00ED5C31" w:rsidRPr="002A47AD" w:rsidRDefault="00FB069C" w:rsidP="0084290E">
            <w:pPr>
              <w:spacing w:line="360" w:lineRule="auto"/>
              <w:jc w:val="center"/>
              <w:rPr>
                <w:rFonts w:ascii="Arial" w:hAnsi="Arial" w:cs="Arial"/>
              </w:rPr>
            </w:pPr>
            <w:r w:rsidRPr="002A47AD">
              <w:rPr>
                <w:rFonts w:ascii="Arial" w:hAnsi="Arial" w:cs="Arial"/>
              </w:rPr>
              <w:t>32.</w:t>
            </w:r>
            <w:r w:rsidR="0084290E">
              <w:rPr>
                <w:rFonts w:ascii="Arial" w:hAnsi="Arial" w:cs="Arial"/>
              </w:rPr>
              <w:t>1</w:t>
            </w:r>
          </w:p>
        </w:tc>
      </w:tr>
      <w:tr w:rsidR="00ED5C31" w:rsidRPr="002A47AD" w14:paraId="6B3389A7" w14:textId="77777777" w:rsidTr="00C43662">
        <w:tc>
          <w:tcPr>
            <w:tcW w:w="1951" w:type="dxa"/>
            <w:vMerge w:val="restart"/>
            <w:vAlign w:val="center"/>
          </w:tcPr>
          <w:p w14:paraId="4F320640" w14:textId="77777777" w:rsidR="00ED5C31" w:rsidRPr="002A47AD" w:rsidRDefault="00ED5C31" w:rsidP="005E38B9">
            <w:pPr>
              <w:spacing w:line="360" w:lineRule="auto"/>
              <w:rPr>
                <w:rFonts w:ascii="Arial" w:hAnsi="Arial" w:cs="Arial"/>
                <w:b/>
              </w:rPr>
            </w:pPr>
            <w:r w:rsidRPr="002A47AD">
              <w:rPr>
                <w:rFonts w:ascii="Arial" w:hAnsi="Arial" w:cs="Arial"/>
                <w:b/>
              </w:rPr>
              <w:t>Time since initial referral</w:t>
            </w:r>
          </w:p>
          <w:p w14:paraId="4D269B44" w14:textId="04C6BC20" w:rsidR="00FB069C" w:rsidRPr="002A47AD" w:rsidRDefault="00FB069C" w:rsidP="0084290E">
            <w:pPr>
              <w:spacing w:line="360" w:lineRule="auto"/>
              <w:rPr>
                <w:rFonts w:ascii="Arial" w:hAnsi="Arial" w:cs="Arial"/>
              </w:rPr>
            </w:pPr>
            <w:r w:rsidRPr="002A47AD">
              <w:rPr>
                <w:rFonts w:ascii="Arial" w:hAnsi="Arial" w:cs="Arial"/>
              </w:rPr>
              <w:t>(n=3</w:t>
            </w:r>
            <w:r w:rsidR="0084290E">
              <w:rPr>
                <w:rFonts w:ascii="Arial" w:hAnsi="Arial" w:cs="Arial"/>
              </w:rPr>
              <w:t>49</w:t>
            </w:r>
            <w:r w:rsidRPr="002A47AD">
              <w:rPr>
                <w:rFonts w:ascii="Arial" w:hAnsi="Arial" w:cs="Arial"/>
              </w:rPr>
              <w:t>)</w:t>
            </w:r>
          </w:p>
        </w:tc>
        <w:tc>
          <w:tcPr>
            <w:tcW w:w="2977" w:type="dxa"/>
            <w:vAlign w:val="center"/>
          </w:tcPr>
          <w:p w14:paraId="5D1F6D9F" w14:textId="77777777" w:rsidR="00ED5C31" w:rsidRPr="002A47AD" w:rsidRDefault="00ED5C31" w:rsidP="005E38B9">
            <w:pPr>
              <w:spacing w:line="360" w:lineRule="auto"/>
              <w:rPr>
                <w:rFonts w:ascii="Arial" w:hAnsi="Arial" w:cs="Arial"/>
                <w:i/>
              </w:rPr>
            </w:pPr>
            <w:r w:rsidRPr="002A47AD">
              <w:rPr>
                <w:rFonts w:ascii="Arial" w:hAnsi="Arial" w:cs="Arial"/>
                <w:i/>
              </w:rPr>
              <w:t>&lt; 6 months</w:t>
            </w:r>
          </w:p>
        </w:tc>
        <w:tc>
          <w:tcPr>
            <w:tcW w:w="1134" w:type="dxa"/>
            <w:vAlign w:val="center"/>
          </w:tcPr>
          <w:p w14:paraId="19BD5883" w14:textId="77777777" w:rsidR="00ED5C31" w:rsidRPr="002A47AD" w:rsidRDefault="00BA4278" w:rsidP="005E38B9">
            <w:pPr>
              <w:spacing w:line="360" w:lineRule="auto"/>
              <w:jc w:val="center"/>
              <w:rPr>
                <w:rFonts w:ascii="Arial" w:hAnsi="Arial" w:cs="Arial"/>
              </w:rPr>
            </w:pPr>
            <w:r w:rsidRPr="002A47AD">
              <w:rPr>
                <w:rFonts w:ascii="Arial" w:hAnsi="Arial" w:cs="Arial"/>
              </w:rPr>
              <w:t>73</w:t>
            </w:r>
          </w:p>
        </w:tc>
        <w:tc>
          <w:tcPr>
            <w:tcW w:w="992" w:type="dxa"/>
            <w:vAlign w:val="center"/>
          </w:tcPr>
          <w:p w14:paraId="0FF954B6" w14:textId="1A6E182A" w:rsidR="00ED5C31" w:rsidRPr="002A47AD" w:rsidRDefault="004A67E8" w:rsidP="0084290E">
            <w:pPr>
              <w:spacing w:line="360" w:lineRule="auto"/>
              <w:jc w:val="center"/>
              <w:rPr>
                <w:rFonts w:ascii="Arial" w:hAnsi="Arial" w:cs="Arial"/>
              </w:rPr>
            </w:pPr>
            <w:r>
              <w:rPr>
                <w:rFonts w:ascii="Arial" w:hAnsi="Arial" w:cs="Arial"/>
              </w:rPr>
              <w:t>20.</w:t>
            </w:r>
            <w:r w:rsidR="0084290E">
              <w:rPr>
                <w:rFonts w:ascii="Arial" w:hAnsi="Arial" w:cs="Arial"/>
              </w:rPr>
              <w:t>9</w:t>
            </w:r>
          </w:p>
        </w:tc>
      </w:tr>
      <w:tr w:rsidR="00ED5C31" w:rsidRPr="002A47AD" w14:paraId="6D2F3EDC" w14:textId="77777777" w:rsidTr="00C43662">
        <w:tc>
          <w:tcPr>
            <w:tcW w:w="1951" w:type="dxa"/>
            <w:vMerge/>
            <w:vAlign w:val="center"/>
          </w:tcPr>
          <w:p w14:paraId="3334CD12" w14:textId="77777777" w:rsidR="00ED5C31" w:rsidRPr="002A47AD" w:rsidRDefault="00ED5C31" w:rsidP="005E38B9">
            <w:pPr>
              <w:spacing w:line="360" w:lineRule="auto"/>
              <w:rPr>
                <w:rFonts w:ascii="Arial" w:hAnsi="Arial" w:cs="Arial"/>
                <w:b/>
              </w:rPr>
            </w:pPr>
          </w:p>
        </w:tc>
        <w:tc>
          <w:tcPr>
            <w:tcW w:w="2977" w:type="dxa"/>
            <w:vAlign w:val="center"/>
          </w:tcPr>
          <w:p w14:paraId="0BABF9B1" w14:textId="77777777" w:rsidR="00ED5C31" w:rsidRPr="002A47AD" w:rsidRDefault="00ED5C31" w:rsidP="005E38B9">
            <w:pPr>
              <w:spacing w:line="360" w:lineRule="auto"/>
              <w:rPr>
                <w:rFonts w:ascii="Arial" w:hAnsi="Arial" w:cs="Arial"/>
                <w:i/>
              </w:rPr>
            </w:pPr>
            <w:r w:rsidRPr="002A47AD">
              <w:rPr>
                <w:rFonts w:ascii="Arial" w:hAnsi="Arial" w:cs="Arial"/>
                <w:i/>
              </w:rPr>
              <w:t>6-12 months</w:t>
            </w:r>
          </w:p>
        </w:tc>
        <w:tc>
          <w:tcPr>
            <w:tcW w:w="1134" w:type="dxa"/>
            <w:vAlign w:val="center"/>
          </w:tcPr>
          <w:p w14:paraId="5F96C015" w14:textId="06C8C083" w:rsidR="00ED5C31" w:rsidRPr="002A47AD" w:rsidRDefault="0084290E" w:rsidP="004A67E8">
            <w:pPr>
              <w:spacing w:line="360" w:lineRule="auto"/>
              <w:jc w:val="center"/>
              <w:rPr>
                <w:rFonts w:ascii="Arial" w:hAnsi="Arial" w:cs="Arial"/>
              </w:rPr>
            </w:pPr>
            <w:r>
              <w:rPr>
                <w:rFonts w:ascii="Arial" w:hAnsi="Arial" w:cs="Arial"/>
              </w:rPr>
              <w:t>93</w:t>
            </w:r>
          </w:p>
        </w:tc>
        <w:tc>
          <w:tcPr>
            <w:tcW w:w="992" w:type="dxa"/>
            <w:vAlign w:val="center"/>
          </w:tcPr>
          <w:p w14:paraId="3553DC17" w14:textId="53639762" w:rsidR="00ED5C31" w:rsidRPr="002A47AD" w:rsidRDefault="00BA4278" w:rsidP="0084290E">
            <w:pPr>
              <w:spacing w:line="360" w:lineRule="auto"/>
              <w:jc w:val="center"/>
              <w:rPr>
                <w:rFonts w:ascii="Arial" w:hAnsi="Arial" w:cs="Arial"/>
              </w:rPr>
            </w:pPr>
            <w:r w:rsidRPr="002A47AD">
              <w:rPr>
                <w:rFonts w:ascii="Arial" w:hAnsi="Arial" w:cs="Arial"/>
              </w:rPr>
              <w:t>2</w:t>
            </w:r>
            <w:r w:rsidR="0084290E">
              <w:rPr>
                <w:rFonts w:ascii="Arial" w:hAnsi="Arial" w:cs="Arial"/>
              </w:rPr>
              <w:t>6.7</w:t>
            </w:r>
          </w:p>
        </w:tc>
      </w:tr>
      <w:tr w:rsidR="00ED5C31" w:rsidRPr="002A47AD" w14:paraId="322D462C" w14:textId="77777777" w:rsidTr="00C43662">
        <w:tc>
          <w:tcPr>
            <w:tcW w:w="1951" w:type="dxa"/>
            <w:vMerge/>
            <w:vAlign w:val="center"/>
          </w:tcPr>
          <w:p w14:paraId="488B7C53" w14:textId="77777777" w:rsidR="00ED5C31" w:rsidRPr="002A47AD" w:rsidRDefault="00ED5C31" w:rsidP="005E38B9">
            <w:pPr>
              <w:spacing w:line="360" w:lineRule="auto"/>
              <w:rPr>
                <w:rFonts w:ascii="Arial" w:hAnsi="Arial" w:cs="Arial"/>
                <w:b/>
              </w:rPr>
            </w:pPr>
          </w:p>
        </w:tc>
        <w:tc>
          <w:tcPr>
            <w:tcW w:w="2977" w:type="dxa"/>
            <w:vAlign w:val="center"/>
          </w:tcPr>
          <w:p w14:paraId="2A2D667A" w14:textId="77777777" w:rsidR="00ED5C31" w:rsidRPr="002A47AD" w:rsidRDefault="00ED5C31" w:rsidP="005E38B9">
            <w:pPr>
              <w:spacing w:line="360" w:lineRule="auto"/>
              <w:rPr>
                <w:rFonts w:ascii="Arial" w:hAnsi="Arial" w:cs="Arial"/>
                <w:i/>
              </w:rPr>
            </w:pPr>
            <w:r w:rsidRPr="002A47AD">
              <w:rPr>
                <w:rFonts w:ascii="Arial" w:hAnsi="Arial" w:cs="Arial"/>
                <w:i/>
              </w:rPr>
              <w:t>12-24 months</w:t>
            </w:r>
          </w:p>
        </w:tc>
        <w:tc>
          <w:tcPr>
            <w:tcW w:w="1134" w:type="dxa"/>
            <w:vAlign w:val="center"/>
          </w:tcPr>
          <w:p w14:paraId="2AC1267F" w14:textId="5E630F17" w:rsidR="00ED5C31" w:rsidRPr="002A47AD" w:rsidRDefault="00BA4278" w:rsidP="0084290E">
            <w:pPr>
              <w:spacing w:line="360" w:lineRule="auto"/>
              <w:jc w:val="center"/>
              <w:rPr>
                <w:rFonts w:ascii="Arial" w:hAnsi="Arial" w:cs="Arial"/>
              </w:rPr>
            </w:pPr>
            <w:r w:rsidRPr="002A47AD">
              <w:rPr>
                <w:rFonts w:ascii="Arial" w:hAnsi="Arial" w:cs="Arial"/>
              </w:rPr>
              <w:t>9</w:t>
            </w:r>
            <w:r w:rsidR="0084290E">
              <w:rPr>
                <w:rFonts w:ascii="Arial" w:hAnsi="Arial" w:cs="Arial"/>
              </w:rPr>
              <w:t>0</w:t>
            </w:r>
          </w:p>
        </w:tc>
        <w:tc>
          <w:tcPr>
            <w:tcW w:w="992" w:type="dxa"/>
            <w:vAlign w:val="center"/>
          </w:tcPr>
          <w:p w14:paraId="4EEE9740" w14:textId="77777777" w:rsidR="00ED5C31" w:rsidRPr="002A47AD" w:rsidRDefault="00BA4278" w:rsidP="004A67E8">
            <w:pPr>
              <w:spacing w:line="360" w:lineRule="auto"/>
              <w:jc w:val="center"/>
              <w:rPr>
                <w:rFonts w:ascii="Arial" w:hAnsi="Arial" w:cs="Arial"/>
              </w:rPr>
            </w:pPr>
            <w:r w:rsidRPr="002A47AD">
              <w:rPr>
                <w:rFonts w:ascii="Arial" w:hAnsi="Arial" w:cs="Arial"/>
              </w:rPr>
              <w:t>25.</w:t>
            </w:r>
            <w:r w:rsidR="004A67E8">
              <w:rPr>
                <w:rFonts w:ascii="Arial" w:hAnsi="Arial" w:cs="Arial"/>
              </w:rPr>
              <w:t>8</w:t>
            </w:r>
          </w:p>
        </w:tc>
      </w:tr>
      <w:tr w:rsidR="00ED5C31" w:rsidRPr="002A47AD" w14:paraId="4C3FA4B0" w14:textId="77777777" w:rsidTr="00C43662">
        <w:tc>
          <w:tcPr>
            <w:tcW w:w="1951" w:type="dxa"/>
            <w:vMerge/>
            <w:vAlign w:val="center"/>
          </w:tcPr>
          <w:p w14:paraId="0DE9CA3F" w14:textId="77777777" w:rsidR="00ED5C31" w:rsidRPr="002A47AD" w:rsidRDefault="00ED5C31" w:rsidP="005E38B9">
            <w:pPr>
              <w:spacing w:line="360" w:lineRule="auto"/>
              <w:rPr>
                <w:rFonts w:ascii="Arial" w:hAnsi="Arial" w:cs="Arial"/>
                <w:b/>
              </w:rPr>
            </w:pPr>
          </w:p>
        </w:tc>
        <w:tc>
          <w:tcPr>
            <w:tcW w:w="2977" w:type="dxa"/>
            <w:vAlign w:val="center"/>
          </w:tcPr>
          <w:p w14:paraId="5D009892" w14:textId="77777777" w:rsidR="00ED5C31" w:rsidRPr="002A47AD" w:rsidRDefault="00ED5C31" w:rsidP="005E38B9">
            <w:pPr>
              <w:spacing w:line="360" w:lineRule="auto"/>
              <w:rPr>
                <w:rFonts w:ascii="Arial" w:hAnsi="Arial" w:cs="Arial"/>
                <w:i/>
              </w:rPr>
            </w:pPr>
            <w:r w:rsidRPr="002A47AD">
              <w:rPr>
                <w:rFonts w:ascii="Arial" w:hAnsi="Arial" w:cs="Arial"/>
                <w:i/>
              </w:rPr>
              <w:t xml:space="preserve"> &gt;24 months</w:t>
            </w:r>
          </w:p>
        </w:tc>
        <w:tc>
          <w:tcPr>
            <w:tcW w:w="1134" w:type="dxa"/>
            <w:vAlign w:val="center"/>
          </w:tcPr>
          <w:p w14:paraId="7AE9F007" w14:textId="7008DB17" w:rsidR="00ED5C31" w:rsidRPr="002A47AD" w:rsidRDefault="00BA4278" w:rsidP="0084290E">
            <w:pPr>
              <w:spacing w:line="360" w:lineRule="auto"/>
              <w:jc w:val="center"/>
              <w:rPr>
                <w:rFonts w:ascii="Arial" w:hAnsi="Arial" w:cs="Arial"/>
              </w:rPr>
            </w:pPr>
            <w:r w:rsidRPr="002A47AD">
              <w:rPr>
                <w:rFonts w:ascii="Arial" w:hAnsi="Arial" w:cs="Arial"/>
              </w:rPr>
              <w:t>9</w:t>
            </w:r>
            <w:r w:rsidR="0084290E">
              <w:rPr>
                <w:rFonts w:ascii="Arial" w:hAnsi="Arial" w:cs="Arial"/>
              </w:rPr>
              <w:t>3</w:t>
            </w:r>
          </w:p>
        </w:tc>
        <w:tc>
          <w:tcPr>
            <w:tcW w:w="992" w:type="dxa"/>
            <w:vAlign w:val="center"/>
          </w:tcPr>
          <w:p w14:paraId="7BAA3852" w14:textId="26CA59D4" w:rsidR="00ED5C31" w:rsidRPr="002A47AD" w:rsidRDefault="00BA4278" w:rsidP="0084290E">
            <w:pPr>
              <w:spacing w:line="360" w:lineRule="auto"/>
              <w:jc w:val="center"/>
              <w:rPr>
                <w:rFonts w:ascii="Arial" w:hAnsi="Arial" w:cs="Arial"/>
              </w:rPr>
            </w:pPr>
            <w:r w:rsidRPr="002A47AD">
              <w:rPr>
                <w:rFonts w:ascii="Arial" w:hAnsi="Arial" w:cs="Arial"/>
              </w:rPr>
              <w:t>26.</w:t>
            </w:r>
            <w:r w:rsidR="0084290E">
              <w:rPr>
                <w:rFonts w:ascii="Arial" w:hAnsi="Arial" w:cs="Arial"/>
              </w:rPr>
              <w:t>7</w:t>
            </w:r>
          </w:p>
        </w:tc>
      </w:tr>
      <w:tr w:rsidR="004A67E8" w:rsidRPr="002A47AD" w14:paraId="7D61FAF6" w14:textId="77777777" w:rsidTr="00C43662">
        <w:tc>
          <w:tcPr>
            <w:tcW w:w="1951" w:type="dxa"/>
            <w:vMerge w:val="restart"/>
            <w:vAlign w:val="center"/>
          </w:tcPr>
          <w:p w14:paraId="409DDA5D" w14:textId="77777777" w:rsidR="004A67E8" w:rsidRDefault="004A67E8" w:rsidP="005E38B9">
            <w:pPr>
              <w:spacing w:line="360" w:lineRule="auto"/>
              <w:rPr>
                <w:rFonts w:ascii="Arial" w:hAnsi="Arial" w:cs="Arial"/>
                <w:b/>
              </w:rPr>
            </w:pPr>
            <w:r>
              <w:rPr>
                <w:rFonts w:ascii="Arial" w:hAnsi="Arial" w:cs="Arial"/>
                <w:b/>
              </w:rPr>
              <w:t>NHS Trust</w:t>
            </w:r>
          </w:p>
          <w:p w14:paraId="02CF073E" w14:textId="33138360" w:rsidR="004A67E8" w:rsidRPr="004A67E8" w:rsidRDefault="004A67E8" w:rsidP="0084290E">
            <w:pPr>
              <w:spacing w:line="360" w:lineRule="auto"/>
              <w:rPr>
                <w:rFonts w:ascii="Arial" w:hAnsi="Arial" w:cs="Arial"/>
              </w:rPr>
            </w:pPr>
            <w:r w:rsidRPr="004A67E8">
              <w:rPr>
                <w:rFonts w:ascii="Arial" w:hAnsi="Arial" w:cs="Arial"/>
              </w:rPr>
              <w:t>(n=35</w:t>
            </w:r>
            <w:r w:rsidR="0084290E">
              <w:rPr>
                <w:rFonts w:ascii="Arial" w:hAnsi="Arial" w:cs="Arial"/>
              </w:rPr>
              <w:t>0</w:t>
            </w:r>
            <w:r w:rsidRPr="004A67E8">
              <w:rPr>
                <w:rFonts w:ascii="Arial" w:hAnsi="Arial" w:cs="Arial"/>
              </w:rPr>
              <w:t>)</w:t>
            </w:r>
          </w:p>
        </w:tc>
        <w:tc>
          <w:tcPr>
            <w:tcW w:w="2977" w:type="dxa"/>
            <w:vAlign w:val="center"/>
          </w:tcPr>
          <w:p w14:paraId="5B5586C0" w14:textId="77777777" w:rsidR="004A67E8" w:rsidRPr="004A67E8" w:rsidRDefault="004A67E8" w:rsidP="005E38B9">
            <w:pPr>
              <w:spacing w:line="360" w:lineRule="auto"/>
              <w:rPr>
                <w:rFonts w:ascii="Arial" w:hAnsi="Arial" w:cs="Arial"/>
                <w:i/>
              </w:rPr>
            </w:pPr>
            <w:r w:rsidRPr="004A67E8">
              <w:rPr>
                <w:rFonts w:ascii="Arial" w:hAnsi="Arial" w:cs="Arial"/>
                <w:i/>
              </w:rPr>
              <w:t>Site A</w:t>
            </w:r>
          </w:p>
        </w:tc>
        <w:tc>
          <w:tcPr>
            <w:tcW w:w="1134" w:type="dxa"/>
            <w:vAlign w:val="center"/>
          </w:tcPr>
          <w:p w14:paraId="7B1F5A8D" w14:textId="0C87C4A2" w:rsidR="004A67E8" w:rsidRPr="002A47AD" w:rsidRDefault="004A67E8" w:rsidP="0084290E">
            <w:pPr>
              <w:spacing w:line="360" w:lineRule="auto"/>
              <w:jc w:val="center"/>
              <w:rPr>
                <w:rFonts w:ascii="Arial" w:hAnsi="Arial" w:cs="Arial"/>
              </w:rPr>
            </w:pPr>
            <w:r>
              <w:rPr>
                <w:rFonts w:ascii="Arial" w:hAnsi="Arial" w:cs="Arial"/>
              </w:rPr>
              <w:t>4</w:t>
            </w:r>
            <w:r w:rsidR="0084290E">
              <w:rPr>
                <w:rFonts w:ascii="Arial" w:hAnsi="Arial" w:cs="Arial"/>
              </w:rPr>
              <w:t>2</w:t>
            </w:r>
          </w:p>
        </w:tc>
        <w:tc>
          <w:tcPr>
            <w:tcW w:w="992" w:type="dxa"/>
            <w:vAlign w:val="center"/>
          </w:tcPr>
          <w:p w14:paraId="7CE1CC27" w14:textId="77777777" w:rsidR="004A67E8" w:rsidRPr="002A47AD" w:rsidRDefault="004A67E8" w:rsidP="005E38B9">
            <w:pPr>
              <w:spacing w:line="360" w:lineRule="auto"/>
              <w:jc w:val="center"/>
              <w:rPr>
                <w:rFonts w:ascii="Arial" w:hAnsi="Arial" w:cs="Arial"/>
              </w:rPr>
            </w:pPr>
            <w:r>
              <w:rPr>
                <w:rFonts w:ascii="Arial" w:hAnsi="Arial" w:cs="Arial"/>
              </w:rPr>
              <w:t>12.0</w:t>
            </w:r>
          </w:p>
        </w:tc>
      </w:tr>
      <w:tr w:rsidR="004A67E8" w:rsidRPr="002A47AD" w14:paraId="05271C4C" w14:textId="77777777" w:rsidTr="00C43662">
        <w:tc>
          <w:tcPr>
            <w:tcW w:w="1951" w:type="dxa"/>
            <w:vMerge/>
            <w:vAlign w:val="center"/>
          </w:tcPr>
          <w:p w14:paraId="32E5A6E1" w14:textId="77777777" w:rsidR="004A67E8" w:rsidRPr="002A47AD" w:rsidRDefault="004A67E8" w:rsidP="005E38B9">
            <w:pPr>
              <w:spacing w:line="360" w:lineRule="auto"/>
              <w:rPr>
                <w:rFonts w:ascii="Arial" w:hAnsi="Arial" w:cs="Arial"/>
                <w:b/>
              </w:rPr>
            </w:pPr>
          </w:p>
        </w:tc>
        <w:tc>
          <w:tcPr>
            <w:tcW w:w="2977" w:type="dxa"/>
            <w:vAlign w:val="center"/>
          </w:tcPr>
          <w:p w14:paraId="2F3FD4CA" w14:textId="77777777" w:rsidR="004A67E8" w:rsidRPr="004A67E8" w:rsidRDefault="004A67E8" w:rsidP="005E38B9">
            <w:pPr>
              <w:spacing w:line="360" w:lineRule="auto"/>
              <w:rPr>
                <w:rFonts w:ascii="Arial" w:hAnsi="Arial" w:cs="Arial"/>
                <w:i/>
              </w:rPr>
            </w:pPr>
            <w:r w:rsidRPr="004A67E8">
              <w:rPr>
                <w:rFonts w:ascii="Arial" w:hAnsi="Arial" w:cs="Arial"/>
                <w:i/>
              </w:rPr>
              <w:t>Site B</w:t>
            </w:r>
          </w:p>
        </w:tc>
        <w:tc>
          <w:tcPr>
            <w:tcW w:w="1134" w:type="dxa"/>
            <w:vAlign w:val="center"/>
          </w:tcPr>
          <w:p w14:paraId="3ED31510" w14:textId="50F51226" w:rsidR="004A67E8" w:rsidRPr="002A47AD" w:rsidRDefault="004A67E8" w:rsidP="0084290E">
            <w:pPr>
              <w:spacing w:line="360" w:lineRule="auto"/>
              <w:jc w:val="center"/>
              <w:rPr>
                <w:rFonts w:ascii="Arial" w:hAnsi="Arial" w:cs="Arial"/>
              </w:rPr>
            </w:pPr>
            <w:r>
              <w:rPr>
                <w:rFonts w:ascii="Arial" w:hAnsi="Arial" w:cs="Arial"/>
              </w:rPr>
              <w:t>7</w:t>
            </w:r>
            <w:r w:rsidR="0084290E">
              <w:rPr>
                <w:rFonts w:ascii="Arial" w:hAnsi="Arial" w:cs="Arial"/>
              </w:rPr>
              <w:t>6</w:t>
            </w:r>
          </w:p>
        </w:tc>
        <w:tc>
          <w:tcPr>
            <w:tcW w:w="992" w:type="dxa"/>
            <w:vAlign w:val="center"/>
          </w:tcPr>
          <w:p w14:paraId="42DBCBD2" w14:textId="60C6805C" w:rsidR="004A67E8" w:rsidRPr="002A47AD" w:rsidRDefault="004A67E8" w:rsidP="0084290E">
            <w:pPr>
              <w:spacing w:line="360" w:lineRule="auto"/>
              <w:jc w:val="center"/>
              <w:rPr>
                <w:rFonts w:ascii="Arial" w:hAnsi="Arial" w:cs="Arial"/>
              </w:rPr>
            </w:pPr>
            <w:r>
              <w:rPr>
                <w:rFonts w:ascii="Arial" w:hAnsi="Arial" w:cs="Arial"/>
              </w:rPr>
              <w:t>21.</w:t>
            </w:r>
            <w:r w:rsidR="0084290E">
              <w:rPr>
                <w:rFonts w:ascii="Arial" w:hAnsi="Arial" w:cs="Arial"/>
              </w:rPr>
              <w:t>7</w:t>
            </w:r>
          </w:p>
        </w:tc>
      </w:tr>
      <w:tr w:rsidR="004A67E8" w:rsidRPr="002A47AD" w14:paraId="7C0DFD9D" w14:textId="77777777" w:rsidTr="00C43662">
        <w:tc>
          <w:tcPr>
            <w:tcW w:w="1951" w:type="dxa"/>
            <w:vMerge/>
            <w:vAlign w:val="center"/>
          </w:tcPr>
          <w:p w14:paraId="48753D64" w14:textId="77777777" w:rsidR="004A67E8" w:rsidRPr="002A47AD" w:rsidRDefault="004A67E8" w:rsidP="005E38B9">
            <w:pPr>
              <w:spacing w:line="360" w:lineRule="auto"/>
              <w:rPr>
                <w:rFonts w:ascii="Arial" w:hAnsi="Arial" w:cs="Arial"/>
                <w:b/>
              </w:rPr>
            </w:pPr>
          </w:p>
        </w:tc>
        <w:tc>
          <w:tcPr>
            <w:tcW w:w="2977" w:type="dxa"/>
            <w:vAlign w:val="center"/>
          </w:tcPr>
          <w:p w14:paraId="54C0FE7E" w14:textId="77777777" w:rsidR="004A67E8" w:rsidRPr="004A67E8" w:rsidRDefault="004A67E8" w:rsidP="005E38B9">
            <w:pPr>
              <w:spacing w:line="360" w:lineRule="auto"/>
              <w:rPr>
                <w:rFonts w:ascii="Arial" w:hAnsi="Arial" w:cs="Arial"/>
                <w:i/>
              </w:rPr>
            </w:pPr>
            <w:r w:rsidRPr="004A67E8">
              <w:rPr>
                <w:rFonts w:ascii="Arial" w:hAnsi="Arial" w:cs="Arial"/>
                <w:i/>
              </w:rPr>
              <w:t>Site C</w:t>
            </w:r>
          </w:p>
        </w:tc>
        <w:tc>
          <w:tcPr>
            <w:tcW w:w="1134" w:type="dxa"/>
            <w:vAlign w:val="center"/>
          </w:tcPr>
          <w:p w14:paraId="0AF00776" w14:textId="6B499A02" w:rsidR="004A67E8" w:rsidRPr="002A47AD" w:rsidRDefault="004A67E8" w:rsidP="0084290E">
            <w:pPr>
              <w:spacing w:line="360" w:lineRule="auto"/>
              <w:jc w:val="center"/>
              <w:rPr>
                <w:rFonts w:ascii="Arial" w:hAnsi="Arial" w:cs="Arial"/>
              </w:rPr>
            </w:pPr>
            <w:r>
              <w:rPr>
                <w:rFonts w:ascii="Arial" w:hAnsi="Arial" w:cs="Arial"/>
              </w:rPr>
              <w:t>16</w:t>
            </w:r>
            <w:r w:rsidR="0084290E">
              <w:rPr>
                <w:rFonts w:ascii="Arial" w:hAnsi="Arial" w:cs="Arial"/>
              </w:rPr>
              <w:t>0</w:t>
            </w:r>
          </w:p>
        </w:tc>
        <w:tc>
          <w:tcPr>
            <w:tcW w:w="992" w:type="dxa"/>
            <w:vAlign w:val="center"/>
          </w:tcPr>
          <w:p w14:paraId="355AEB9F" w14:textId="506C7569" w:rsidR="004A67E8" w:rsidRPr="002A47AD" w:rsidRDefault="0084290E" w:rsidP="005E38B9">
            <w:pPr>
              <w:spacing w:line="360" w:lineRule="auto"/>
              <w:jc w:val="center"/>
              <w:rPr>
                <w:rFonts w:ascii="Arial" w:hAnsi="Arial" w:cs="Arial"/>
              </w:rPr>
            </w:pPr>
            <w:r>
              <w:rPr>
                <w:rFonts w:ascii="Arial" w:hAnsi="Arial" w:cs="Arial"/>
              </w:rPr>
              <w:t>45.7</w:t>
            </w:r>
          </w:p>
        </w:tc>
      </w:tr>
      <w:tr w:rsidR="004A67E8" w:rsidRPr="002A47AD" w14:paraId="28FF12B2" w14:textId="77777777" w:rsidTr="00C43662">
        <w:tc>
          <w:tcPr>
            <w:tcW w:w="1951" w:type="dxa"/>
            <w:vMerge/>
            <w:vAlign w:val="center"/>
          </w:tcPr>
          <w:p w14:paraId="3FC75B7C" w14:textId="77777777" w:rsidR="004A67E8" w:rsidRPr="002A47AD" w:rsidRDefault="004A67E8" w:rsidP="005E38B9">
            <w:pPr>
              <w:spacing w:line="360" w:lineRule="auto"/>
              <w:rPr>
                <w:rFonts w:ascii="Arial" w:hAnsi="Arial" w:cs="Arial"/>
                <w:b/>
              </w:rPr>
            </w:pPr>
          </w:p>
        </w:tc>
        <w:tc>
          <w:tcPr>
            <w:tcW w:w="2977" w:type="dxa"/>
            <w:vAlign w:val="center"/>
          </w:tcPr>
          <w:p w14:paraId="5E0D69CE" w14:textId="77777777" w:rsidR="004A67E8" w:rsidRPr="004A67E8" w:rsidRDefault="004A67E8" w:rsidP="005E38B9">
            <w:pPr>
              <w:spacing w:line="360" w:lineRule="auto"/>
              <w:rPr>
                <w:rFonts w:ascii="Arial" w:hAnsi="Arial" w:cs="Arial"/>
                <w:i/>
              </w:rPr>
            </w:pPr>
            <w:r w:rsidRPr="004A67E8">
              <w:rPr>
                <w:rFonts w:ascii="Arial" w:hAnsi="Arial" w:cs="Arial"/>
                <w:i/>
              </w:rPr>
              <w:t>Site D</w:t>
            </w:r>
          </w:p>
        </w:tc>
        <w:tc>
          <w:tcPr>
            <w:tcW w:w="1134" w:type="dxa"/>
            <w:vAlign w:val="center"/>
          </w:tcPr>
          <w:p w14:paraId="43A0E1CC" w14:textId="35DAEFF7" w:rsidR="004A67E8" w:rsidRPr="002A47AD" w:rsidRDefault="004A67E8" w:rsidP="0084290E">
            <w:pPr>
              <w:spacing w:line="360" w:lineRule="auto"/>
              <w:jc w:val="center"/>
              <w:rPr>
                <w:rFonts w:ascii="Arial" w:hAnsi="Arial" w:cs="Arial"/>
              </w:rPr>
            </w:pPr>
            <w:r>
              <w:rPr>
                <w:rFonts w:ascii="Arial" w:hAnsi="Arial" w:cs="Arial"/>
              </w:rPr>
              <w:t>7</w:t>
            </w:r>
            <w:r w:rsidR="0084290E">
              <w:rPr>
                <w:rFonts w:ascii="Arial" w:hAnsi="Arial" w:cs="Arial"/>
              </w:rPr>
              <w:t>2</w:t>
            </w:r>
          </w:p>
        </w:tc>
        <w:tc>
          <w:tcPr>
            <w:tcW w:w="992" w:type="dxa"/>
            <w:vAlign w:val="center"/>
          </w:tcPr>
          <w:p w14:paraId="0E032069" w14:textId="54E096C5" w:rsidR="004A67E8" w:rsidRPr="002A47AD" w:rsidRDefault="004A67E8" w:rsidP="0084290E">
            <w:pPr>
              <w:spacing w:line="360" w:lineRule="auto"/>
              <w:jc w:val="center"/>
              <w:rPr>
                <w:rFonts w:ascii="Arial" w:hAnsi="Arial" w:cs="Arial"/>
              </w:rPr>
            </w:pPr>
            <w:r>
              <w:rPr>
                <w:rFonts w:ascii="Arial" w:hAnsi="Arial" w:cs="Arial"/>
              </w:rPr>
              <w:t>20.</w:t>
            </w:r>
            <w:r w:rsidR="0084290E">
              <w:rPr>
                <w:rFonts w:ascii="Arial" w:hAnsi="Arial" w:cs="Arial"/>
              </w:rPr>
              <w:t>6</w:t>
            </w:r>
          </w:p>
        </w:tc>
      </w:tr>
    </w:tbl>
    <w:p w14:paraId="5C7CF321" w14:textId="77777777" w:rsidR="00FB5FAD" w:rsidRDefault="00FB5FAD" w:rsidP="005E38B9">
      <w:pPr>
        <w:spacing w:after="0" w:line="360" w:lineRule="auto"/>
        <w:rPr>
          <w:rFonts w:ascii="Arial" w:hAnsi="Arial" w:cs="Arial"/>
        </w:rPr>
      </w:pPr>
    </w:p>
    <w:p w14:paraId="4088293B" w14:textId="77777777" w:rsidR="00FB5FAD" w:rsidRDefault="00FB5FAD" w:rsidP="005E38B9">
      <w:pPr>
        <w:spacing w:after="0"/>
        <w:rPr>
          <w:rFonts w:ascii="Arial" w:hAnsi="Arial" w:cs="Arial"/>
        </w:rPr>
      </w:pPr>
      <w:r>
        <w:rPr>
          <w:rFonts w:ascii="Arial" w:hAnsi="Arial" w:cs="Arial"/>
        </w:rPr>
        <w:br w:type="page"/>
      </w:r>
    </w:p>
    <w:p w14:paraId="42A29A05" w14:textId="07060F7A" w:rsidR="00BF0ABB" w:rsidRPr="00BF0ABB" w:rsidRDefault="00BF0ABB" w:rsidP="004F5F2E">
      <w:pPr>
        <w:spacing w:after="0" w:line="360" w:lineRule="auto"/>
        <w:outlineLvl w:val="0"/>
        <w:rPr>
          <w:rFonts w:ascii="Arial" w:hAnsi="Arial" w:cs="Arial"/>
          <w:b/>
        </w:rPr>
      </w:pPr>
      <w:r w:rsidRPr="00BF0ABB">
        <w:rPr>
          <w:rFonts w:ascii="Arial" w:hAnsi="Arial" w:cs="Arial"/>
          <w:b/>
        </w:rPr>
        <w:lastRenderedPageBreak/>
        <w:t xml:space="preserve">Table </w:t>
      </w:r>
      <w:r>
        <w:rPr>
          <w:rFonts w:ascii="Arial" w:hAnsi="Arial" w:cs="Arial"/>
          <w:b/>
        </w:rPr>
        <w:t>2</w:t>
      </w:r>
      <w:r w:rsidRPr="00BF0ABB">
        <w:rPr>
          <w:rFonts w:ascii="Arial" w:hAnsi="Arial" w:cs="Arial"/>
          <w:b/>
        </w:rPr>
        <w:t xml:space="preserve">:  </w:t>
      </w:r>
      <w:r w:rsidR="005B3E32">
        <w:rPr>
          <w:rFonts w:ascii="Arial" w:hAnsi="Arial" w:cs="Arial"/>
          <w:b/>
        </w:rPr>
        <w:t>NPS</w:t>
      </w:r>
      <w:r w:rsidR="00643362">
        <w:rPr>
          <w:rFonts w:ascii="Arial" w:hAnsi="Arial" w:cs="Arial"/>
          <w:b/>
        </w:rPr>
        <w:t xml:space="preserve"> profile</w:t>
      </w:r>
      <w:r w:rsidR="004A67E8">
        <w:rPr>
          <w:rFonts w:ascii="Arial" w:hAnsi="Arial" w:cs="Arial"/>
          <w:b/>
        </w:rPr>
        <w:t xml:space="preserve"> (n=35</w:t>
      </w:r>
      <w:r w:rsidR="00313644">
        <w:rPr>
          <w:rFonts w:ascii="Arial" w:hAnsi="Arial" w:cs="Arial"/>
          <w:b/>
        </w:rPr>
        <w:t>0</w:t>
      </w:r>
      <w:r w:rsidR="004A67E8">
        <w:rPr>
          <w:rFonts w:ascii="Arial" w:hAnsi="Arial" w:cs="Arial"/>
          <w:b/>
        </w:rPr>
        <w:t>)</w:t>
      </w:r>
    </w:p>
    <w:tbl>
      <w:tblPr>
        <w:tblStyle w:val="TableGrid"/>
        <w:tblW w:w="6062" w:type="dxa"/>
        <w:tblLook w:val="04A0" w:firstRow="1" w:lastRow="0" w:firstColumn="1" w:lastColumn="0" w:noHBand="0" w:noVBand="1"/>
      </w:tblPr>
      <w:tblGrid>
        <w:gridCol w:w="1668"/>
        <w:gridCol w:w="2835"/>
        <w:gridCol w:w="850"/>
        <w:gridCol w:w="709"/>
      </w:tblGrid>
      <w:tr w:rsidR="002A47AD" w14:paraId="700FF72B" w14:textId="77777777" w:rsidTr="002A47AD">
        <w:tc>
          <w:tcPr>
            <w:tcW w:w="1668" w:type="dxa"/>
          </w:tcPr>
          <w:p w14:paraId="72FB86A2" w14:textId="77777777" w:rsidR="002A47AD" w:rsidRPr="004A67E8" w:rsidRDefault="002A47AD" w:rsidP="005E38B9">
            <w:pPr>
              <w:spacing w:line="360" w:lineRule="auto"/>
              <w:rPr>
                <w:rFonts w:ascii="Arial" w:hAnsi="Arial" w:cs="Arial"/>
              </w:rPr>
            </w:pPr>
          </w:p>
        </w:tc>
        <w:tc>
          <w:tcPr>
            <w:tcW w:w="2835" w:type="dxa"/>
          </w:tcPr>
          <w:p w14:paraId="3668E65E" w14:textId="77777777" w:rsidR="002A47AD" w:rsidRPr="00FA0382" w:rsidRDefault="002A47AD" w:rsidP="005E38B9">
            <w:pPr>
              <w:spacing w:line="360" w:lineRule="auto"/>
              <w:rPr>
                <w:rFonts w:ascii="Arial" w:hAnsi="Arial" w:cs="Arial"/>
                <w:i/>
              </w:rPr>
            </w:pPr>
          </w:p>
        </w:tc>
        <w:tc>
          <w:tcPr>
            <w:tcW w:w="850" w:type="dxa"/>
            <w:vAlign w:val="center"/>
          </w:tcPr>
          <w:p w14:paraId="715A852E" w14:textId="77777777" w:rsidR="002A47AD" w:rsidRPr="00FA0382" w:rsidRDefault="002A47AD" w:rsidP="005E38B9">
            <w:pPr>
              <w:spacing w:line="360" w:lineRule="auto"/>
              <w:jc w:val="center"/>
              <w:rPr>
                <w:rFonts w:ascii="Arial" w:hAnsi="Arial" w:cs="Arial"/>
                <w:b/>
              </w:rPr>
            </w:pPr>
            <w:r>
              <w:rPr>
                <w:rFonts w:ascii="Arial" w:hAnsi="Arial" w:cs="Arial"/>
                <w:b/>
              </w:rPr>
              <w:t>n</w:t>
            </w:r>
          </w:p>
        </w:tc>
        <w:tc>
          <w:tcPr>
            <w:tcW w:w="709" w:type="dxa"/>
          </w:tcPr>
          <w:p w14:paraId="38B4182B" w14:textId="77777777" w:rsidR="002A47AD" w:rsidRDefault="002A47AD" w:rsidP="005E38B9">
            <w:pPr>
              <w:spacing w:line="360" w:lineRule="auto"/>
              <w:jc w:val="center"/>
              <w:rPr>
                <w:rFonts w:ascii="Arial" w:hAnsi="Arial" w:cs="Arial"/>
                <w:b/>
              </w:rPr>
            </w:pPr>
            <w:r>
              <w:rPr>
                <w:rFonts w:ascii="Arial" w:hAnsi="Arial" w:cs="Arial"/>
                <w:b/>
              </w:rPr>
              <w:t>%</w:t>
            </w:r>
          </w:p>
        </w:tc>
      </w:tr>
      <w:tr w:rsidR="002A47AD" w14:paraId="540394FF" w14:textId="77777777" w:rsidTr="004A67E8">
        <w:tc>
          <w:tcPr>
            <w:tcW w:w="1668" w:type="dxa"/>
            <w:vMerge w:val="restart"/>
            <w:vAlign w:val="center"/>
          </w:tcPr>
          <w:p w14:paraId="2F8A2CC0" w14:textId="77777777" w:rsidR="004A67E8" w:rsidRPr="00AE7462" w:rsidRDefault="004A67E8" w:rsidP="004A67E8">
            <w:pPr>
              <w:spacing w:line="360" w:lineRule="auto"/>
              <w:rPr>
                <w:rFonts w:ascii="Arial" w:hAnsi="Arial" w:cs="Arial"/>
              </w:rPr>
            </w:pPr>
            <w:r>
              <w:rPr>
                <w:rFonts w:ascii="Arial" w:hAnsi="Arial" w:cs="Arial"/>
              </w:rPr>
              <w:t>“</w:t>
            </w:r>
            <w:r w:rsidR="002A47AD" w:rsidRPr="00AE7462">
              <w:rPr>
                <w:rFonts w:ascii="Arial" w:hAnsi="Arial" w:cs="Arial"/>
              </w:rPr>
              <w:t>Detractor</w:t>
            </w:r>
            <w:r>
              <w:rPr>
                <w:rFonts w:ascii="Arial" w:hAnsi="Arial" w:cs="Arial"/>
              </w:rPr>
              <w:t>”</w:t>
            </w:r>
          </w:p>
        </w:tc>
        <w:tc>
          <w:tcPr>
            <w:tcW w:w="2835" w:type="dxa"/>
            <w:vAlign w:val="center"/>
          </w:tcPr>
          <w:p w14:paraId="62E38C9A" w14:textId="77777777" w:rsidR="002A47AD" w:rsidRPr="00FA0382" w:rsidRDefault="002A47AD" w:rsidP="005E38B9">
            <w:pPr>
              <w:spacing w:line="360" w:lineRule="auto"/>
              <w:rPr>
                <w:rFonts w:ascii="Arial" w:hAnsi="Arial" w:cs="Arial"/>
                <w:i/>
              </w:rPr>
            </w:pPr>
            <w:r>
              <w:rPr>
                <w:rFonts w:ascii="Arial" w:hAnsi="Arial" w:cs="Arial"/>
                <w:i/>
              </w:rPr>
              <w:t>Very unlikely</w:t>
            </w:r>
          </w:p>
        </w:tc>
        <w:tc>
          <w:tcPr>
            <w:tcW w:w="850" w:type="dxa"/>
            <w:vAlign w:val="center"/>
          </w:tcPr>
          <w:p w14:paraId="4E95DB64" w14:textId="77777777" w:rsidR="002A47AD" w:rsidRPr="00AE7462" w:rsidRDefault="002A47AD" w:rsidP="005E38B9">
            <w:pPr>
              <w:spacing w:line="360" w:lineRule="auto"/>
              <w:jc w:val="center"/>
              <w:rPr>
                <w:rFonts w:ascii="Arial" w:hAnsi="Arial" w:cs="Arial"/>
              </w:rPr>
            </w:pPr>
            <w:r w:rsidRPr="00AE7462">
              <w:rPr>
                <w:rFonts w:ascii="Arial" w:hAnsi="Arial" w:cs="Arial"/>
              </w:rPr>
              <w:t>16</w:t>
            </w:r>
          </w:p>
        </w:tc>
        <w:tc>
          <w:tcPr>
            <w:tcW w:w="709" w:type="dxa"/>
          </w:tcPr>
          <w:p w14:paraId="660E774C" w14:textId="77777777" w:rsidR="002A47AD" w:rsidRPr="00AE7462" w:rsidRDefault="002A47AD" w:rsidP="005E38B9">
            <w:pPr>
              <w:spacing w:line="360" w:lineRule="auto"/>
              <w:jc w:val="center"/>
              <w:rPr>
                <w:rFonts w:ascii="Arial" w:hAnsi="Arial" w:cs="Arial"/>
              </w:rPr>
            </w:pPr>
            <w:r w:rsidRPr="00AE7462">
              <w:rPr>
                <w:rFonts w:ascii="Arial" w:hAnsi="Arial" w:cs="Arial"/>
              </w:rPr>
              <w:t>4.6</w:t>
            </w:r>
          </w:p>
        </w:tc>
      </w:tr>
      <w:tr w:rsidR="002A47AD" w14:paraId="02627ED4" w14:textId="77777777" w:rsidTr="004A67E8">
        <w:tc>
          <w:tcPr>
            <w:tcW w:w="1668" w:type="dxa"/>
            <w:vMerge/>
            <w:vAlign w:val="center"/>
          </w:tcPr>
          <w:p w14:paraId="2877D42E" w14:textId="77777777" w:rsidR="002A47AD" w:rsidRPr="00AE7462" w:rsidRDefault="002A47AD" w:rsidP="004A67E8">
            <w:pPr>
              <w:spacing w:line="360" w:lineRule="auto"/>
              <w:rPr>
                <w:rFonts w:ascii="Arial" w:hAnsi="Arial" w:cs="Arial"/>
              </w:rPr>
            </w:pPr>
          </w:p>
        </w:tc>
        <w:tc>
          <w:tcPr>
            <w:tcW w:w="2835" w:type="dxa"/>
            <w:vAlign w:val="center"/>
          </w:tcPr>
          <w:p w14:paraId="18139E83" w14:textId="77777777" w:rsidR="002A47AD" w:rsidRPr="00FA0382" w:rsidRDefault="002A47AD" w:rsidP="005E38B9">
            <w:pPr>
              <w:spacing w:line="360" w:lineRule="auto"/>
              <w:rPr>
                <w:rFonts w:ascii="Arial" w:hAnsi="Arial" w:cs="Arial"/>
                <w:i/>
              </w:rPr>
            </w:pPr>
            <w:r>
              <w:rPr>
                <w:rFonts w:ascii="Arial" w:hAnsi="Arial" w:cs="Arial"/>
                <w:i/>
              </w:rPr>
              <w:t>Unlikely</w:t>
            </w:r>
          </w:p>
        </w:tc>
        <w:tc>
          <w:tcPr>
            <w:tcW w:w="850" w:type="dxa"/>
            <w:vAlign w:val="center"/>
          </w:tcPr>
          <w:p w14:paraId="43B4CB1A" w14:textId="77777777" w:rsidR="002A47AD" w:rsidRPr="00AE7462" w:rsidRDefault="002A47AD" w:rsidP="005E38B9">
            <w:pPr>
              <w:spacing w:line="360" w:lineRule="auto"/>
              <w:jc w:val="center"/>
              <w:rPr>
                <w:rFonts w:ascii="Arial" w:hAnsi="Arial" w:cs="Arial"/>
              </w:rPr>
            </w:pPr>
            <w:r w:rsidRPr="00AE7462">
              <w:rPr>
                <w:rFonts w:ascii="Arial" w:hAnsi="Arial" w:cs="Arial"/>
              </w:rPr>
              <w:t>19</w:t>
            </w:r>
          </w:p>
        </w:tc>
        <w:tc>
          <w:tcPr>
            <w:tcW w:w="709" w:type="dxa"/>
          </w:tcPr>
          <w:p w14:paraId="09E0712D" w14:textId="77777777" w:rsidR="002A47AD" w:rsidRPr="00AE7462" w:rsidRDefault="002A47AD" w:rsidP="005E38B9">
            <w:pPr>
              <w:spacing w:line="360" w:lineRule="auto"/>
              <w:jc w:val="center"/>
              <w:rPr>
                <w:rFonts w:ascii="Arial" w:hAnsi="Arial" w:cs="Arial"/>
              </w:rPr>
            </w:pPr>
            <w:r w:rsidRPr="00AE7462">
              <w:rPr>
                <w:rFonts w:ascii="Arial" w:hAnsi="Arial" w:cs="Arial"/>
              </w:rPr>
              <w:t>5.4</w:t>
            </w:r>
          </w:p>
        </w:tc>
      </w:tr>
      <w:tr w:rsidR="002A47AD" w14:paraId="6C894EC7" w14:textId="77777777" w:rsidTr="004A67E8">
        <w:tc>
          <w:tcPr>
            <w:tcW w:w="1668" w:type="dxa"/>
            <w:vMerge/>
            <w:vAlign w:val="center"/>
          </w:tcPr>
          <w:p w14:paraId="17A83654" w14:textId="77777777" w:rsidR="002A47AD" w:rsidRPr="00AE7462" w:rsidRDefault="002A47AD" w:rsidP="004A67E8">
            <w:pPr>
              <w:spacing w:line="360" w:lineRule="auto"/>
              <w:rPr>
                <w:rFonts w:ascii="Arial" w:hAnsi="Arial" w:cs="Arial"/>
              </w:rPr>
            </w:pPr>
          </w:p>
        </w:tc>
        <w:tc>
          <w:tcPr>
            <w:tcW w:w="2835" w:type="dxa"/>
            <w:vAlign w:val="center"/>
          </w:tcPr>
          <w:p w14:paraId="2B38E78C" w14:textId="77777777" w:rsidR="002A47AD" w:rsidRPr="00FA0382" w:rsidRDefault="002A47AD" w:rsidP="005E38B9">
            <w:pPr>
              <w:spacing w:line="360" w:lineRule="auto"/>
              <w:rPr>
                <w:rFonts w:ascii="Arial" w:hAnsi="Arial" w:cs="Arial"/>
                <w:i/>
              </w:rPr>
            </w:pPr>
            <w:r>
              <w:rPr>
                <w:rFonts w:ascii="Arial" w:hAnsi="Arial" w:cs="Arial"/>
                <w:i/>
              </w:rPr>
              <w:t>Neither likely nor unlikely</w:t>
            </w:r>
          </w:p>
        </w:tc>
        <w:tc>
          <w:tcPr>
            <w:tcW w:w="850" w:type="dxa"/>
            <w:vAlign w:val="center"/>
          </w:tcPr>
          <w:p w14:paraId="4117A4B9" w14:textId="6F615A81" w:rsidR="002A47AD" w:rsidRPr="00AE7462" w:rsidRDefault="002A47AD" w:rsidP="0084290E">
            <w:pPr>
              <w:spacing w:line="360" w:lineRule="auto"/>
              <w:jc w:val="center"/>
              <w:rPr>
                <w:rFonts w:ascii="Arial" w:hAnsi="Arial" w:cs="Arial"/>
              </w:rPr>
            </w:pPr>
            <w:r w:rsidRPr="00AE7462">
              <w:rPr>
                <w:rFonts w:ascii="Arial" w:hAnsi="Arial" w:cs="Arial"/>
              </w:rPr>
              <w:t>3</w:t>
            </w:r>
            <w:r w:rsidR="0084290E">
              <w:rPr>
                <w:rFonts w:ascii="Arial" w:hAnsi="Arial" w:cs="Arial"/>
              </w:rPr>
              <w:t>7</w:t>
            </w:r>
          </w:p>
        </w:tc>
        <w:tc>
          <w:tcPr>
            <w:tcW w:w="709" w:type="dxa"/>
          </w:tcPr>
          <w:p w14:paraId="43173642" w14:textId="415C48B8" w:rsidR="002A47AD" w:rsidRPr="00AE7462" w:rsidRDefault="002A47AD" w:rsidP="00313644">
            <w:pPr>
              <w:spacing w:line="360" w:lineRule="auto"/>
              <w:jc w:val="center"/>
              <w:rPr>
                <w:rFonts w:ascii="Arial" w:hAnsi="Arial" w:cs="Arial"/>
              </w:rPr>
            </w:pPr>
            <w:r w:rsidRPr="00AE7462">
              <w:rPr>
                <w:rFonts w:ascii="Arial" w:hAnsi="Arial" w:cs="Arial"/>
              </w:rPr>
              <w:t>10.</w:t>
            </w:r>
            <w:r w:rsidR="00313644">
              <w:rPr>
                <w:rFonts w:ascii="Arial" w:hAnsi="Arial" w:cs="Arial"/>
              </w:rPr>
              <w:t>6</w:t>
            </w:r>
          </w:p>
        </w:tc>
      </w:tr>
      <w:tr w:rsidR="002A47AD" w14:paraId="7B7FF7D8" w14:textId="77777777" w:rsidTr="004A67E8">
        <w:tc>
          <w:tcPr>
            <w:tcW w:w="1668" w:type="dxa"/>
            <w:vAlign w:val="center"/>
          </w:tcPr>
          <w:p w14:paraId="6AA00919" w14:textId="77777777" w:rsidR="002A47AD" w:rsidRPr="00AE7462" w:rsidRDefault="004A67E8" w:rsidP="004A67E8">
            <w:pPr>
              <w:spacing w:line="360" w:lineRule="auto"/>
              <w:rPr>
                <w:rFonts w:ascii="Arial" w:hAnsi="Arial" w:cs="Arial"/>
              </w:rPr>
            </w:pPr>
            <w:r>
              <w:rPr>
                <w:rFonts w:ascii="Arial" w:hAnsi="Arial" w:cs="Arial"/>
              </w:rPr>
              <w:t>“</w:t>
            </w:r>
            <w:r w:rsidR="005700CA">
              <w:rPr>
                <w:rFonts w:ascii="Arial" w:hAnsi="Arial" w:cs="Arial"/>
              </w:rPr>
              <w:t>Passive</w:t>
            </w:r>
            <w:r>
              <w:rPr>
                <w:rFonts w:ascii="Arial" w:hAnsi="Arial" w:cs="Arial"/>
              </w:rPr>
              <w:t>”</w:t>
            </w:r>
          </w:p>
        </w:tc>
        <w:tc>
          <w:tcPr>
            <w:tcW w:w="2835" w:type="dxa"/>
            <w:vAlign w:val="center"/>
          </w:tcPr>
          <w:p w14:paraId="1889F800" w14:textId="77777777" w:rsidR="002A47AD" w:rsidRPr="00FA0382" w:rsidRDefault="002A47AD" w:rsidP="005E38B9">
            <w:pPr>
              <w:spacing w:line="360" w:lineRule="auto"/>
              <w:rPr>
                <w:rFonts w:ascii="Arial" w:hAnsi="Arial" w:cs="Arial"/>
                <w:i/>
              </w:rPr>
            </w:pPr>
            <w:r>
              <w:rPr>
                <w:rFonts w:ascii="Arial" w:hAnsi="Arial" w:cs="Arial"/>
                <w:i/>
              </w:rPr>
              <w:t>Likely</w:t>
            </w:r>
          </w:p>
        </w:tc>
        <w:tc>
          <w:tcPr>
            <w:tcW w:w="850" w:type="dxa"/>
            <w:vAlign w:val="center"/>
          </w:tcPr>
          <w:p w14:paraId="7FFBCB66" w14:textId="6AC33794" w:rsidR="002A47AD" w:rsidRPr="00AE7462" w:rsidRDefault="002A47AD" w:rsidP="0084290E">
            <w:pPr>
              <w:spacing w:line="360" w:lineRule="auto"/>
              <w:jc w:val="center"/>
              <w:rPr>
                <w:rFonts w:ascii="Arial" w:hAnsi="Arial" w:cs="Arial"/>
              </w:rPr>
            </w:pPr>
            <w:r w:rsidRPr="00AE7462">
              <w:rPr>
                <w:rFonts w:ascii="Arial" w:hAnsi="Arial" w:cs="Arial"/>
              </w:rPr>
              <w:t>14</w:t>
            </w:r>
            <w:r w:rsidR="0084290E">
              <w:rPr>
                <w:rFonts w:ascii="Arial" w:hAnsi="Arial" w:cs="Arial"/>
              </w:rPr>
              <w:t>0</w:t>
            </w:r>
          </w:p>
        </w:tc>
        <w:tc>
          <w:tcPr>
            <w:tcW w:w="709" w:type="dxa"/>
          </w:tcPr>
          <w:p w14:paraId="79B6F91E" w14:textId="67822D9C" w:rsidR="002A47AD" w:rsidRPr="00AE7462" w:rsidRDefault="002A47AD" w:rsidP="00313644">
            <w:pPr>
              <w:spacing w:line="360" w:lineRule="auto"/>
              <w:jc w:val="center"/>
              <w:rPr>
                <w:rFonts w:ascii="Arial" w:hAnsi="Arial" w:cs="Arial"/>
              </w:rPr>
            </w:pPr>
            <w:r w:rsidRPr="00AE7462">
              <w:rPr>
                <w:rFonts w:ascii="Arial" w:hAnsi="Arial" w:cs="Arial"/>
              </w:rPr>
              <w:t>40.</w:t>
            </w:r>
            <w:r w:rsidR="00313644">
              <w:rPr>
                <w:rFonts w:ascii="Arial" w:hAnsi="Arial" w:cs="Arial"/>
              </w:rPr>
              <w:t>0</w:t>
            </w:r>
          </w:p>
        </w:tc>
      </w:tr>
      <w:tr w:rsidR="002A47AD" w14:paraId="49EF8BBB" w14:textId="77777777" w:rsidTr="004A67E8">
        <w:tc>
          <w:tcPr>
            <w:tcW w:w="1668" w:type="dxa"/>
            <w:vAlign w:val="center"/>
          </w:tcPr>
          <w:p w14:paraId="775414B9" w14:textId="77777777" w:rsidR="002A47AD" w:rsidRPr="00AE7462" w:rsidRDefault="004A67E8" w:rsidP="004A67E8">
            <w:pPr>
              <w:spacing w:line="360" w:lineRule="auto"/>
              <w:rPr>
                <w:rFonts w:ascii="Arial" w:hAnsi="Arial" w:cs="Arial"/>
              </w:rPr>
            </w:pPr>
            <w:r>
              <w:rPr>
                <w:rFonts w:ascii="Arial" w:hAnsi="Arial" w:cs="Arial"/>
              </w:rPr>
              <w:t>“</w:t>
            </w:r>
            <w:r w:rsidR="002A47AD" w:rsidRPr="00AE7462">
              <w:rPr>
                <w:rFonts w:ascii="Arial" w:hAnsi="Arial" w:cs="Arial"/>
              </w:rPr>
              <w:t>Promoter</w:t>
            </w:r>
            <w:r>
              <w:rPr>
                <w:rFonts w:ascii="Arial" w:hAnsi="Arial" w:cs="Arial"/>
              </w:rPr>
              <w:t>”</w:t>
            </w:r>
          </w:p>
        </w:tc>
        <w:tc>
          <w:tcPr>
            <w:tcW w:w="2835" w:type="dxa"/>
            <w:vAlign w:val="center"/>
          </w:tcPr>
          <w:p w14:paraId="6FABF5C4" w14:textId="77777777" w:rsidR="002A47AD" w:rsidRPr="00FA0382" w:rsidRDefault="002A47AD" w:rsidP="005E38B9">
            <w:pPr>
              <w:spacing w:line="360" w:lineRule="auto"/>
              <w:rPr>
                <w:rFonts w:ascii="Arial" w:hAnsi="Arial" w:cs="Arial"/>
                <w:i/>
              </w:rPr>
            </w:pPr>
            <w:r>
              <w:rPr>
                <w:rFonts w:ascii="Arial" w:hAnsi="Arial" w:cs="Arial"/>
                <w:i/>
              </w:rPr>
              <w:t>Very likely</w:t>
            </w:r>
          </w:p>
        </w:tc>
        <w:tc>
          <w:tcPr>
            <w:tcW w:w="850" w:type="dxa"/>
            <w:vAlign w:val="center"/>
          </w:tcPr>
          <w:p w14:paraId="33004415" w14:textId="77777777" w:rsidR="002A47AD" w:rsidRPr="00AE7462" w:rsidRDefault="002A47AD" w:rsidP="005E38B9">
            <w:pPr>
              <w:spacing w:line="360" w:lineRule="auto"/>
              <w:jc w:val="center"/>
              <w:rPr>
                <w:rFonts w:ascii="Arial" w:hAnsi="Arial" w:cs="Arial"/>
              </w:rPr>
            </w:pPr>
            <w:r w:rsidRPr="00AE7462">
              <w:rPr>
                <w:rFonts w:ascii="Arial" w:hAnsi="Arial" w:cs="Arial"/>
              </w:rPr>
              <w:t>138</w:t>
            </w:r>
          </w:p>
        </w:tc>
        <w:tc>
          <w:tcPr>
            <w:tcW w:w="709" w:type="dxa"/>
          </w:tcPr>
          <w:p w14:paraId="2C40B86A" w14:textId="7D09B5C4" w:rsidR="002A47AD" w:rsidRPr="00AE7462" w:rsidRDefault="002A47AD" w:rsidP="00313644">
            <w:pPr>
              <w:spacing w:line="360" w:lineRule="auto"/>
              <w:jc w:val="center"/>
              <w:rPr>
                <w:rFonts w:ascii="Arial" w:hAnsi="Arial" w:cs="Arial"/>
              </w:rPr>
            </w:pPr>
            <w:r w:rsidRPr="00AE7462">
              <w:rPr>
                <w:rFonts w:ascii="Arial" w:hAnsi="Arial" w:cs="Arial"/>
              </w:rPr>
              <w:t>39.</w:t>
            </w:r>
            <w:r w:rsidR="00313644">
              <w:rPr>
                <w:rFonts w:ascii="Arial" w:hAnsi="Arial" w:cs="Arial"/>
              </w:rPr>
              <w:t>4</w:t>
            </w:r>
          </w:p>
        </w:tc>
      </w:tr>
    </w:tbl>
    <w:p w14:paraId="05D05AE1" w14:textId="77777777" w:rsidR="00FB5FAD" w:rsidRDefault="00FB5FAD" w:rsidP="005E38B9">
      <w:pPr>
        <w:spacing w:after="0" w:line="360" w:lineRule="auto"/>
        <w:rPr>
          <w:rFonts w:ascii="Arial" w:hAnsi="Arial" w:cs="Arial"/>
        </w:rPr>
      </w:pPr>
    </w:p>
    <w:p w14:paraId="253B2A54" w14:textId="77777777" w:rsidR="00FB5FAD" w:rsidRDefault="00FB5FAD" w:rsidP="005E38B9">
      <w:pPr>
        <w:spacing w:after="0"/>
        <w:rPr>
          <w:rFonts w:ascii="Arial" w:hAnsi="Arial" w:cs="Arial"/>
        </w:rPr>
      </w:pPr>
      <w:r>
        <w:rPr>
          <w:rFonts w:ascii="Arial" w:hAnsi="Arial" w:cs="Arial"/>
        </w:rPr>
        <w:br w:type="page"/>
      </w:r>
    </w:p>
    <w:p w14:paraId="69D3A205" w14:textId="6B5C82B0" w:rsidR="00BF0ABB" w:rsidRPr="009A4BD2" w:rsidRDefault="00BF0ABB" w:rsidP="004F5F2E">
      <w:pPr>
        <w:spacing w:after="0" w:line="360" w:lineRule="auto"/>
        <w:outlineLvl w:val="0"/>
        <w:rPr>
          <w:rFonts w:ascii="Arial" w:hAnsi="Arial" w:cs="Arial"/>
          <w:b/>
          <w:sz w:val="24"/>
          <w:szCs w:val="24"/>
        </w:rPr>
      </w:pPr>
      <w:r w:rsidRPr="0076372A">
        <w:rPr>
          <w:rFonts w:ascii="Arial" w:hAnsi="Arial" w:cs="Arial"/>
          <w:b/>
          <w:szCs w:val="24"/>
        </w:rPr>
        <w:lastRenderedPageBreak/>
        <w:t xml:space="preserve"> </w:t>
      </w:r>
      <w:r w:rsidR="00C2056A" w:rsidRPr="0076372A">
        <w:rPr>
          <w:rFonts w:ascii="Arial" w:hAnsi="Arial" w:cs="Arial"/>
          <w:b/>
          <w:szCs w:val="24"/>
        </w:rPr>
        <w:t xml:space="preserve">Table 3:  </w:t>
      </w:r>
      <w:r w:rsidR="00742330" w:rsidRPr="0076372A">
        <w:rPr>
          <w:rFonts w:ascii="Arial" w:hAnsi="Arial" w:cs="Arial"/>
          <w:b/>
          <w:szCs w:val="24"/>
        </w:rPr>
        <w:t>Net promoter score</w:t>
      </w:r>
      <w:r w:rsidR="00C2056A" w:rsidRPr="0076372A">
        <w:rPr>
          <w:rFonts w:ascii="Arial" w:hAnsi="Arial" w:cs="Arial"/>
          <w:b/>
          <w:szCs w:val="24"/>
        </w:rPr>
        <w:t xml:space="preserve"> by patient </w:t>
      </w:r>
      <w:r w:rsidR="00FD4061">
        <w:rPr>
          <w:rFonts w:ascii="Arial" w:hAnsi="Arial" w:cs="Arial"/>
          <w:b/>
          <w:szCs w:val="24"/>
        </w:rPr>
        <w:t xml:space="preserve">and support </w:t>
      </w:r>
      <w:r w:rsidR="00C2056A" w:rsidRPr="0076372A">
        <w:rPr>
          <w:rFonts w:ascii="Arial" w:hAnsi="Arial" w:cs="Arial"/>
          <w:b/>
          <w:szCs w:val="24"/>
        </w:rPr>
        <w:t>characteristic</w:t>
      </w:r>
      <w:r w:rsidR="00AE7462" w:rsidRPr="0076372A">
        <w:rPr>
          <w:rFonts w:ascii="Arial" w:hAnsi="Arial" w:cs="Arial"/>
          <w:b/>
          <w:szCs w:val="24"/>
        </w:rPr>
        <w:t>s</w:t>
      </w:r>
      <w:r w:rsidR="00EA22E9">
        <w:rPr>
          <w:rFonts w:ascii="Arial" w:hAnsi="Arial" w:cs="Arial"/>
          <w:b/>
          <w:szCs w:val="24"/>
        </w:rPr>
        <w:t xml:space="preserve"> </w:t>
      </w:r>
      <w:r w:rsidR="00EA22E9" w:rsidRPr="00D66C02">
        <w:rPr>
          <w:rFonts w:ascii="Arial" w:hAnsi="Arial" w:cs="Arial"/>
          <w:b/>
          <w:szCs w:val="24"/>
          <w:highlight w:val="yellow"/>
        </w:rPr>
        <w:t>(max n=35</w:t>
      </w:r>
      <w:r w:rsidR="00313644">
        <w:rPr>
          <w:rFonts w:ascii="Arial" w:hAnsi="Arial" w:cs="Arial"/>
          <w:b/>
          <w:szCs w:val="24"/>
          <w:highlight w:val="yellow"/>
        </w:rPr>
        <w:t>0</w:t>
      </w:r>
      <w:r w:rsidR="00EA22E9" w:rsidRPr="00D66C02">
        <w:rPr>
          <w:rFonts w:ascii="Arial" w:hAnsi="Arial" w:cs="Arial"/>
          <w:b/>
          <w:szCs w:val="24"/>
          <w:highlight w:val="yellow"/>
        </w:rPr>
        <w:t>)</w:t>
      </w:r>
    </w:p>
    <w:tbl>
      <w:tblPr>
        <w:tblW w:w="9100" w:type="dxa"/>
        <w:tblCellMar>
          <w:left w:w="0" w:type="dxa"/>
          <w:right w:w="0" w:type="dxa"/>
        </w:tblCellMar>
        <w:tblLook w:val="04A0" w:firstRow="1" w:lastRow="0" w:firstColumn="1" w:lastColumn="0" w:noHBand="0" w:noVBand="1"/>
      </w:tblPr>
      <w:tblGrid>
        <w:gridCol w:w="2258"/>
        <w:gridCol w:w="3261"/>
        <w:gridCol w:w="887"/>
        <w:gridCol w:w="1172"/>
        <w:gridCol w:w="1522"/>
      </w:tblGrid>
      <w:tr w:rsidR="00D865A5" w:rsidRPr="002A47AD" w14:paraId="695E5789" w14:textId="77777777" w:rsidTr="00D66C02">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FB7AEC"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79929" w14:textId="77777777" w:rsidR="00D865A5" w:rsidRPr="002A47AD" w:rsidRDefault="00D865A5" w:rsidP="009803A1">
            <w:pPr>
              <w:spacing w:beforeLines="20" w:before="48" w:afterLines="20" w:after="48" w:line="240" w:lineRule="auto"/>
              <w:rPr>
                <w:rFonts w:ascii="Arial" w:eastAsia="Times New Roman" w:hAnsi="Arial" w:cs="Arial"/>
                <w:lang w:eastAsia="en-GB"/>
              </w:rPr>
            </w:pPr>
            <w:r w:rsidRPr="002A47AD">
              <w:rPr>
                <w:rFonts w:ascii="Arial" w:eastAsia="Times New Roman" w:hAnsi="Arial" w:cs="Arial"/>
                <w:i/>
                <w:iCs/>
                <w:lang w:eastAsia="en-GB"/>
              </w:rPr>
              <w:t> </w:t>
            </w:r>
          </w:p>
        </w:tc>
        <w:tc>
          <w:tcPr>
            <w:tcW w:w="88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2436EBB" w14:textId="77777777" w:rsidR="0064440F" w:rsidRDefault="0064440F" w:rsidP="009803A1">
            <w:pPr>
              <w:spacing w:beforeLines="20" w:before="48" w:afterLines="20" w:after="48" w:line="240" w:lineRule="auto"/>
              <w:jc w:val="center"/>
              <w:rPr>
                <w:rFonts w:ascii="Arial" w:eastAsia="Times New Roman" w:hAnsi="Arial" w:cs="Arial"/>
                <w:b/>
                <w:bCs/>
                <w:lang w:eastAsia="en-GB"/>
              </w:rPr>
            </w:pPr>
            <w:r w:rsidRPr="0064440F">
              <w:rPr>
                <w:rFonts w:ascii="Arial" w:eastAsia="Times New Roman" w:hAnsi="Arial" w:cs="Arial"/>
                <w:b/>
                <w:bCs/>
                <w:highlight w:val="yellow"/>
                <w:lang w:eastAsia="en-GB"/>
              </w:rPr>
              <w:t>Mean</w:t>
            </w:r>
          </w:p>
          <w:p w14:paraId="40AB8340" w14:textId="12F3E922"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b/>
                <w:bCs/>
                <w:lang w:eastAsia="en-GB"/>
              </w:rPr>
              <w:t>NPS</w:t>
            </w:r>
            <w:r w:rsidR="0064440F">
              <w:rPr>
                <w:rFonts w:ascii="Arial" w:eastAsia="Times New Roman" w:hAnsi="Arial" w:cs="Arial"/>
                <w:b/>
                <w:bCs/>
                <w:lang w:eastAsia="en-GB"/>
              </w:rPr>
              <w:t xml:space="preserve"> </w:t>
            </w:r>
          </w:p>
        </w:tc>
        <w:tc>
          <w:tcPr>
            <w:tcW w:w="1172" w:type="dxa"/>
            <w:tcBorders>
              <w:top w:val="single" w:sz="8" w:space="0" w:color="auto"/>
              <w:left w:val="nil"/>
              <w:bottom w:val="single" w:sz="8" w:space="0" w:color="auto"/>
              <w:right w:val="single" w:sz="4" w:space="0" w:color="auto"/>
            </w:tcBorders>
          </w:tcPr>
          <w:p w14:paraId="09FC6432" w14:textId="6761C107" w:rsidR="00D865A5" w:rsidRPr="00D66C02" w:rsidRDefault="00D865A5" w:rsidP="00D66C02">
            <w:pPr>
              <w:spacing w:beforeLines="20" w:before="48" w:afterLines="20" w:after="48" w:line="240" w:lineRule="auto"/>
              <w:jc w:val="center"/>
              <w:rPr>
                <w:rFonts w:ascii="Arial" w:eastAsia="Times New Roman" w:hAnsi="Arial" w:cs="Arial"/>
                <w:b/>
                <w:bCs/>
                <w:highlight w:val="yellow"/>
                <w:lang w:eastAsia="en-GB"/>
              </w:rPr>
            </w:pPr>
            <w:r w:rsidRPr="00D66C02">
              <w:rPr>
                <w:rFonts w:ascii="Arial" w:eastAsia="Times New Roman" w:hAnsi="Arial" w:cs="Arial"/>
                <w:b/>
                <w:bCs/>
                <w:highlight w:val="yellow"/>
                <w:lang w:eastAsia="en-GB"/>
              </w:rPr>
              <w:t>St. dev</w:t>
            </w:r>
          </w:p>
        </w:tc>
        <w:tc>
          <w:tcPr>
            <w:tcW w:w="152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ED7016C" w14:textId="65A51AA7"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b/>
                <w:bCs/>
                <w:lang w:eastAsia="en-GB"/>
              </w:rPr>
              <w:t>Significance</w:t>
            </w:r>
          </w:p>
        </w:tc>
      </w:tr>
      <w:tr w:rsidR="00D865A5" w:rsidRPr="002A47AD" w14:paraId="52CD5EE2" w14:textId="77777777" w:rsidTr="00D66C02">
        <w:tc>
          <w:tcPr>
            <w:tcW w:w="225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111A9" w14:textId="77777777" w:rsidR="00D865A5" w:rsidRPr="002A47AD" w:rsidRDefault="00D865A5" w:rsidP="009803A1">
            <w:pPr>
              <w:spacing w:beforeLines="20" w:before="48" w:afterLines="20" w:after="48" w:line="240" w:lineRule="auto"/>
              <w:rPr>
                <w:rFonts w:ascii="Arial" w:eastAsia="Times New Roman" w:hAnsi="Arial" w:cs="Arial"/>
                <w:lang w:eastAsia="en-GB"/>
              </w:rPr>
            </w:pPr>
            <w:r w:rsidRPr="002A47AD">
              <w:rPr>
                <w:rFonts w:ascii="Arial" w:eastAsia="Times New Roman" w:hAnsi="Arial" w:cs="Arial"/>
                <w:b/>
                <w:bCs/>
                <w:lang w:eastAsia="en-GB"/>
              </w:rPr>
              <w:t>Gender</w:t>
            </w:r>
          </w:p>
          <w:p w14:paraId="381F7A01" w14:textId="77777777" w:rsidR="00D865A5" w:rsidRPr="002A47AD" w:rsidRDefault="00D865A5" w:rsidP="009803A1">
            <w:pPr>
              <w:spacing w:beforeLines="20" w:before="48" w:afterLines="20" w:after="48" w:line="240" w:lineRule="auto"/>
              <w:rPr>
                <w:rFonts w:ascii="Arial" w:eastAsia="Times New Roman" w:hAnsi="Arial" w:cs="Arial"/>
                <w:lang w:eastAsia="en-GB"/>
              </w:rPr>
            </w:pPr>
            <w:r w:rsidRPr="002A47AD">
              <w:rPr>
                <w:rFonts w:ascii="Arial" w:eastAsia="Times New Roman" w:hAnsi="Arial" w:cs="Arial"/>
                <w:lang w:eastAsia="en-GB"/>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84AA3"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Male</w:t>
            </w:r>
          </w:p>
        </w:tc>
        <w:tc>
          <w:tcPr>
            <w:tcW w:w="8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F7413A0" w14:textId="159BD93A" w:rsidR="00D865A5" w:rsidRPr="002A47AD" w:rsidRDefault="00D865A5" w:rsidP="007B0432">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14.</w:t>
            </w:r>
            <w:r w:rsidR="007B0432">
              <w:rPr>
                <w:rFonts w:ascii="Arial" w:eastAsia="Times New Roman" w:hAnsi="Arial" w:cs="Arial"/>
                <w:lang w:eastAsia="en-GB"/>
              </w:rPr>
              <w:t>5</w:t>
            </w:r>
          </w:p>
        </w:tc>
        <w:tc>
          <w:tcPr>
            <w:tcW w:w="1172" w:type="dxa"/>
            <w:tcBorders>
              <w:top w:val="nil"/>
              <w:left w:val="nil"/>
              <w:bottom w:val="single" w:sz="8" w:space="0" w:color="auto"/>
              <w:right w:val="single" w:sz="4" w:space="0" w:color="auto"/>
            </w:tcBorders>
          </w:tcPr>
          <w:p w14:paraId="37C2ED24" w14:textId="3A938A7C"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76.9</w:t>
            </w:r>
          </w:p>
        </w:tc>
        <w:tc>
          <w:tcPr>
            <w:tcW w:w="1522"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321B4BF" w14:textId="799939D2"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z=-0.6</w:t>
            </w:r>
            <w:r w:rsidR="008F43EE">
              <w:rPr>
                <w:rFonts w:ascii="Arial" w:eastAsia="Times New Roman" w:hAnsi="Arial" w:cs="Arial"/>
                <w:lang w:eastAsia="en-GB"/>
              </w:rPr>
              <w:t>81</w:t>
            </w:r>
          </w:p>
          <w:p w14:paraId="0F1FD224" w14:textId="173FEA02" w:rsidR="00D865A5" w:rsidRPr="002A47AD" w:rsidRDefault="00D865A5" w:rsidP="008F43EE">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w:t>
            </w:r>
            <w:r w:rsidR="008F43EE">
              <w:rPr>
                <w:rFonts w:ascii="Arial" w:eastAsia="Times New Roman" w:hAnsi="Arial" w:cs="Arial"/>
                <w:lang w:eastAsia="en-GB"/>
              </w:rPr>
              <w:t>=0.450</w:t>
            </w:r>
          </w:p>
        </w:tc>
      </w:tr>
      <w:tr w:rsidR="00D865A5" w:rsidRPr="002A47AD" w14:paraId="08D1AC0E" w14:textId="77777777" w:rsidTr="00D66C02">
        <w:tc>
          <w:tcPr>
            <w:tcW w:w="2258" w:type="dxa"/>
            <w:vMerge/>
            <w:tcBorders>
              <w:top w:val="nil"/>
              <w:left w:val="single" w:sz="8" w:space="0" w:color="auto"/>
              <w:bottom w:val="single" w:sz="8" w:space="0" w:color="auto"/>
              <w:right w:val="single" w:sz="8" w:space="0" w:color="auto"/>
            </w:tcBorders>
            <w:vAlign w:val="center"/>
            <w:hideMark/>
          </w:tcPr>
          <w:p w14:paraId="2BBDD999"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17FBA"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Female</w:t>
            </w:r>
          </w:p>
        </w:tc>
        <w:tc>
          <w:tcPr>
            <w:tcW w:w="8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9DBE71" w14:textId="0A36B444" w:rsidR="00D865A5" w:rsidRPr="002A47AD" w:rsidRDefault="00D865A5" w:rsidP="007B0432">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21.</w:t>
            </w:r>
            <w:r w:rsidR="007B0432">
              <w:rPr>
                <w:rFonts w:ascii="Arial" w:eastAsia="Times New Roman" w:hAnsi="Arial" w:cs="Arial"/>
                <w:lang w:eastAsia="en-GB"/>
              </w:rPr>
              <w:t>7</w:t>
            </w:r>
          </w:p>
        </w:tc>
        <w:tc>
          <w:tcPr>
            <w:tcW w:w="0" w:type="auto"/>
            <w:tcBorders>
              <w:top w:val="nil"/>
              <w:left w:val="nil"/>
              <w:bottom w:val="single" w:sz="8" w:space="0" w:color="auto"/>
              <w:right w:val="single" w:sz="4" w:space="0" w:color="auto"/>
            </w:tcBorders>
          </w:tcPr>
          <w:p w14:paraId="2A0C83EA" w14:textId="25FFACD9"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66.5</w:t>
            </w:r>
          </w:p>
        </w:tc>
        <w:tc>
          <w:tcPr>
            <w:tcW w:w="0" w:type="auto"/>
            <w:vMerge/>
            <w:tcBorders>
              <w:top w:val="nil"/>
              <w:left w:val="single" w:sz="4" w:space="0" w:color="auto"/>
              <w:bottom w:val="single" w:sz="8" w:space="0" w:color="auto"/>
              <w:right w:val="single" w:sz="8" w:space="0" w:color="auto"/>
            </w:tcBorders>
            <w:vAlign w:val="center"/>
            <w:hideMark/>
          </w:tcPr>
          <w:p w14:paraId="009FAD8D" w14:textId="4C1057FE" w:rsidR="00D865A5" w:rsidRPr="002A47AD" w:rsidRDefault="00D865A5" w:rsidP="009803A1">
            <w:pPr>
              <w:spacing w:beforeLines="20" w:before="48" w:afterLines="20" w:after="48" w:line="240" w:lineRule="auto"/>
              <w:rPr>
                <w:rFonts w:ascii="Arial" w:eastAsia="Times New Roman" w:hAnsi="Arial" w:cs="Arial"/>
                <w:lang w:eastAsia="en-GB"/>
              </w:rPr>
            </w:pPr>
          </w:p>
        </w:tc>
      </w:tr>
      <w:tr w:rsidR="00D865A5" w:rsidRPr="002A47AD" w14:paraId="4C272EF9" w14:textId="77777777" w:rsidTr="00D66C02">
        <w:tc>
          <w:tcPr>
            <w:tcW w:w="225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2408B" w14:textId="77777777" w:rsidR="00D865A5" w:rsidRPr="002A47AD" w:rsidRDefault="00D865A5" w:rsidP="009803A1">
            <w:pPr>
              <w:spacing w:beforeLines="20" w:before="48" w:afterLines="20" w:after="48" w:line="240" w:lineRule="auto"/>
              <w:rPr>
                <w:rFonts w:ascii="Arial" w:eastAsia="Times New Roman" w:hAnsi="Arial" w:cs="Arial"/>
                <w:lang w:eastAsia="en-GB"/>
              </w:rPr>
            </w:pPr>
            <w:r w:rsidRPr="002A47AD">
              <w:rPr>
                <w:rFonts w:ascii="Arial" w:eastAsia="Times New Roman" w:hAnsi="Arial" w:cs="Arial"/>
                <w:b/>
                <w:bCs/>
                <w:lang w:eastAsia="en-GB"/>
              </w:rPr>
              <w:t>Age</w:t>
            </w:r>
          </w:p>
          <w:p w14:paraId="2D330753" w14:textId="77777777" w:rsidR="00D865A5" w:rsidRPr="002A47AD" w:rsidRDefault="00D865A5" w:rsidP="009803A1">
            <w:pPr>
              <w:spacing w:beforeLines="20" w:before="48" w:afterLines="20" w:after="48" w:line="240" w:lineRule="auto"/>
              <w:rPr>
                <w:rFonts w:ascii="Arial" w:eastAsia="Times New Roman" w:hAnsi="Arial" w:cs="Arial"/>
                <w:lang w:eastAsia="en-GB"/>
              </w:rPr>
            </w:pPr>
            <w:r w:rsidRPr="002A47AD">
              <w:rPr>
                <w:rFonts w:ascii="Arial" w:eastAsia="Times New Roman" w:hAnsi="Arial" w:cs="Arial"/>
                <w:lang w:eastAsia="en-GB"/>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CCFE6"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&lt;70 years</w:t>
            </w:r>
          </w:p>
        </w:tc>
        <w:tc>
          <w:tcPr>
            <w:tcW w:w="8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5B06EBE" w14:textId="795238CB" w:rsidR="00D865A5" w:rsidRPr="002A47AD" w:rsidRDefault="00D865A5" w:rsidP="007B0432">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37.</w:t>
            </w:r>
            <w:r w:rsidR="007B0432">
              <w:rPr>
                <w:rFonts w:ascii="Arial" w:eastAsia="Times New Roman" w:hAnsi="Arial" w:cs="Arial"/>
                <w:lang w:eastAsia="en-GB"/>
              </w:rPr>
              <w:t>5</w:t>
            </w:r>
          </w:p>
        </w:tc>
        <w:tc>
          <w:tcPr>
            <w:tcW w:w="1172" w:type="dxa"/>
            <w:tcBorders>
              <w:top w:val="nil"/>
              <w:left w:val="nil"/>
              <w:bottom w:val="single" w:sz="8" w:space="0" w:color="auto"/>
              <w:right w:val="single" w:sz="4" w:space="0" w:color="auto"/>
            </w:tcBorders>
          </w:tcPr>
          <w:p w14:paraId="152BDB65" w14:textId="6C6B3C67"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65.3</w:t>
            </w:r>
          </w:p>
        </w:tc>
        <w:tc>
          <w:tcPr>
            <w:tcW w:w="1522"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C952DBD" w14:textId="7554F5A3" w:rsidR="00D865A5" w:rsidRPr="002A47AD" w:rsidRDefault="008F43EE" w:rsidP="009803A1">
            <w:pPr>
              <w:spacing w:beforeLines="20" w:before="48" w:afterLines="20" w:after="48" w:line="240" w:lineRule="auto"/>
              <w:jc w:val="center"/>
              <w:rPr>
                <w:rFonts w:ascii="Arial" w:eastAsia="Times New Roman" w:hAnsi="Arial" w:cs="Arial"/>
                <w:lang w:eastAsia="en-GB"/>
              </w:rPr>
            </w:pPr>
            <w:r w:rsidRPr="008F43EE">
              <w:rPr>
                <w:rFonts w:ascii="Arial" w:eastAsia="Times New Roman" w:hAnsi="Arial" w:cs="Arial"/>
                <w:lang w:eastAsia="en-GB"/>
              </w:rPr>
              <w:t>Rho</w:t>
            </w:r>
            <w:r w:rsidR="00D865A5" w:rsidRPr="002A47AD">
              <w:rPr>
                <w:rFonts w:ascii="Arial" w:eastAsia="Times New Roman" w:hAnsi="Arial" w:cs="Arial"/>
                <w:i/>
                <w:iCs/>
                <w:lang w:eastAsia="en-GB"/>
              </w:rPr>
              <w:t xml:space="preserve">= </w:t>
            </w:r>
            <w:r w:rsidR="00D865A5" w:rsidRPr="002A47AD">
              <w:rPr>
                <w:rFonts w:ascii="Arial" w:eastAsia="Times New Roman" w:hAnsi="Arial" w:cs="Arial"/>
                <w:lang w:eastAsia="en-GB"/>
              </w:rPr>
              <w:t>- 0.12</w:t>
            </w:r>
            <w:r>
              <w:rPr>
                <w:rFonts w:ascii="Arial" w:eastAsia="Times New Roman" w:hAnsi="Arial" w:cs="Arial"/>
                <w:lang w:eastAsia="en-GB"/>
              </w:rPr>
              <w:t>9</w:t>
            </w:r>
          </w:p>
          <w:p w14:paraId="720886C5" w14:textId="1F088F9B" w:rsidR="00D865A5" w:rsidRPr="002A47AD" w:rsidRDefault="00D865A5" w:rsidP="008F43EE">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p=0.01</w:t>
            </w:r>
            <w:r w:rsidR="008F43EE">
              <w:rPr>
                <w:rFonts w:ascii="Arial" w:eastAsia="Times New Roman" w:hAnsi="Arial" w:cs="Arial"/>
                <w:lang w:eastAsia="en-GB"/>
              </w:rPr>
              <w:t>6</w:t>
            </w:r>
          </w:p>
        </w:tc>
      </w:tr>
      <w:tr w:rsidR="00D865A5" w:rsidRPr="002A47AD" w14:paraId="49A48BB0" w14:textId="77777777" w:rsidTr="00D66C02">
        <w:tc>
          <w:tcPr>
            <w:tcW w:w="2258" w:type="dxa"/>
            <w:vMerge/>
            <w:tcBorders>
              <w:top w:val="nil"/>
              <w:left w:val="single" w:sz="8" w:space="0" w:color="auto"/>
              <w:bottom w:val="single" w:sz="8" w:space="0" w:color="auto"/>
              <w:right w:val="single" w:sz="8" w:space="0" w:color="auto"/>
            </w:tcBorders>
            <w:vAlign w:val="center"/>
            <w:hideMark/>
          </w:tcPr>
          <w:p w14:paraId="1641E698"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80A6A"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70-79 years</w:t>
            </w:r>
          </w:p>
        </w:tc>
        <w:tc>
          <w:tcPr>
            <w:tcW w:w="8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5F4835C" w14:textId="429814B1" w:rsidR="00D865A5" w:rsidRPr="002A47AD" w:rsidRDefault="007B0432"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14.2</w:t>
            </w:r>
          </w:p>
        </w:tc>
        <w:tc>
          <w:tcPr>
            <w:tcW w:w="0" w:type="auto"/>
            <w:tcBorders>
              <w:top w:val="nil"/>
              <w:left w:val="nil"/>
              <w:bottom w:val="single" w:sz="8" w:space="0" w:color="auto"/>
              <w:right w:val="single" w:sz="4" w:space="0" w:color="auto"/>
            </w:tcBorders>
          </w:tcPr>
          <w:p w14:paraId="7E2E3077" w14:textId="79CF585C"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71.2</w:t>
            </w:r>
          </w:p>
        </w:tc>
        <w:tc>
          <w:tcPr>
            <w:tcW w:w="0" w:type="auto"/>
            <w:vMerge/>
            <w:tcBorders>
              <w:top w:val="nil"/>
              <w:left w:val="single" w:sz="4" w:space="0" w:color="auto"/>
              <w:bottom w:val="single" w:sz="8" w:space="0" w:color="auto"/>
              <w:right w:val="single" w:sz="8" w:space="0" w:color="auto"/>
            </w:tcBorders>
            <w:vAlign w:val="center"/>
            <w:hideMark/>
          </w:tcPr>
          <w:p w14:paraId="40604E31" w14:textId="4E8C79EC" w:rsidR="00D865A5" w:rsidRPr="002A47AD" w:rsidRDefault="00D865A5" w:rsidP="009803A1">
            <w:pPr>
              <w:spacing w:beforeLines="20" w:before="48" w:afterLines="20" w:after="48" w:line="240" w:lineRule="auto"/>
              <w:rPr>
                <w:rFonts w:ascii="Arial" w:eastAsia="Times New Roman" w:hAnsi="Arial" w:cs="Arial"/>
                <w:lang w:eastAsia="en-GB"/>
              </w:rPr>
            </w:pPr>
          </w:p>
        </w:tc>
      </w:tr>
      <w:tr w:rsidR="00D865A5" w:rsidRPr="002A47AD" w14:paraId="795414DA" w14:textId="77777777" w:rsidTr="00D66C02">
        <w:tc>
          <w:tcPr>
            <w:tcW w:w="2258" w:type="dxa"/>
            <w:vMerge/>
            <w:tcBorders>
              <w:top w:val="nil"/>
              <w:left w:val="single" w:sz="8" w:space="0" w:color="auto"/>
              <w:bottom w:val="single" w:sz="8" w:space="0" w:color="auto"/>
              <w:right w:val="single" w:sz="8" w:space="0" w:color="auto"/>
            </w:tcBorders>
            <w:vAlign w:val="center"/>
            <w:hideMark/>
          </w:tcPr>
          <w:p w14:paraId="488FA944"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D76BC"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80+ years</w:t>
            </w:r>
          </w:p>
        </w:tc>
        <w:tc>
          <w:tcPr>
            <w:tcW w:w="8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EA0ECC0" w14:textId="77777777"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9.7</w:t>
            </w:r>
          </w:p>
        </w:tc>
        <w:tc>
          <w:tcPr>
            <w:tcW w:w="0" w:type="auto"/>
            <w:tcBorders>
              <w:top w:val="nil"/>
              <w:left w:val="nil"/>
              <w:bottom w:val="single" w:sz="8" w:space="0" w:color="auto"/>
              <w:right w:val="single" w:sz="4" w:space="0" w:color="auto"/>
            </w:tcBorders>
          </w:tcPr>
          <w:p w14:paraId="05F895C3" w14:textId="5C42F74F"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73.7</w:t>
            </w:r>
          </w:p>
        </w:tc>
        <w:tc>
          <w:tcPr>
            <w:tcW w:w="0" w:type="auto"/>
            <w:vMerge/>
            <w:tcBorders>
              <w:top w:val="nil"/>
              <w:left w:val="single" w:sz="4" w:space="0" w:color="auto"/>
              <w:bottom w:val="single" w:sz="8" w:space="0" w:color="auto"/>
              <w:right w:val="single" w:sz="8" w:space="0" w:color="auto"/>
            </w:tcBorders>
            <w:vAlign w:val="center"/>
            <w:hideMark/>
          </w:tcPr>
          <w:p w14:paraId="7EA77583" w14:textId="4D064E59" w:rsidR="00D865A5" w:rsidRPr="002A47AD" w:rsidRDefault="00D865A5" w:rsidP="009803A1">
            <w:pPr>
              <w:spacing w:beforeLines="20" w:before="48" w:afterLines="20" w:after="48" w:line="240" w:lineRule="auto"/>
              <w:rPr>
                <w:rFonts w:ascii="Arial" w:eastAsia="Times New Roman" w:hAnsi="Arial" w:cs="Arial"/>
                <w:lang w:eastAsia="en-GB"/>
              </w:rPr>
            </w:pPr>
          </w:p>
        </w:tc>
      </w:tr>
      <w:tr w:rsidR="00D865A5" w:rsidRPr="002A47AD" w14:paraId="6730CC29" w14:textId="77777777" w:rsidTr="00D66C02">
        <w:tc>
          <w:tcPr>
            <w:tcW w:w="225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0EF8D" w14:textId="77777777" w:rsidR="00D865A5" w:rsidRPr="002A47AD" w:rsidRDefault="00D865A5" w:rsidP="009803A1">
            <w:pPr>
              <w:spacing w:beforeLines="20" w:before="48" w:afterLines="20" w:after="48" w:line="240" w:lineRule="auto"/>
              <w:rPr>
                <w:rFonts w:ascii="Arial" w:eastAsia="Times New Roman" w:hAnsi="Arial" w:cs="Arial"/>
                <w:lang w:eastAsia="en-GB"/>
              </w:rPr>
            </w:pPr>
            <w:r w:rsidRPr="002A47AD">
              <w:rPr>
                <w:rFonts w:ascii="Arial" w:eastAsia="Times New Roman" w:hAnsi="Arial" w:cs="Arial"/>
                <w:b/>
                <w:bCs/>
                <w:lang w:eastAsia="en-GB"/>
              </w:rPr>
              <w:t>Diagnosis</w:t>
            </w:r>
          </w:p>
          <w:p w14:paraId="03E2AD8C" w14:textId="77777777" w:rsidR="00D865A5" w:rsidRPr="002A47AD" w:rsidRDefault="00D865A5" w:rsidP="009803A1">
            <w:pPr>
              <w:spacing w:beforeLines="20" w:before="48" w:afterLines="20" w:after="48" w:line="240" w:lineRule="auto"/>
              <w:rPr>
                <w:rFonts w:ascii="Arial" w:eastAsia="Times New Roman" w:hAnsi="Arial" w:cs="Arial"/>
                <w:lang w:eastAsia="en-GB"/>
              </w:rPr>
            </w:pPr>
            <w:r w:rsidRPr="002A47AD">
              <w:rPr>
                <w:rFonts w:ascii="Arial" w:eastAsia="Times New Roman" w:hAnsi="Arial" w:cs="Arial"/>
                <w:lang w:eastAsia="en-GB"/>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8859D"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Functional (non-psychosis)</w:t>
            </w:r>
          </w:p>
        </w:tc>
        <w:tc>
          <w:tcPr>
            <w:tcW w:w="8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F9AA2E3" w14:textId="1A730695" w:rsidR="00D865A5" w:rsidRPr="002A47AD" w:rsidRDefault="00D865A5" w:rsidP="007B0432">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24.</w:t>
            </w:r>
            <w:r w:rsidR="007B0432">
              <w:rPr>
                <w:rFonts w:ascii="Arial" w:eastAsia="Times New Roman" w:hAnsi="Arial" w:cs="Arial"/>
                <w:lang w:eastAsia="en-GB"/>
              </w:rPr>
              <w:t>2</w:t>
            </w:r>
          </w:p>
        </w:tc>
        <w:tc>
          <w:tcPr>
            <w:tcW w:w="1172" w:type="dxa"/>
            <w:tcBorders>
              <w:top w:val="nil"/>
              <w:left w:val="nil"/>
              <w:bottom w:val="single" w:sz="8" w:space="0" w:color="auto"/>
              <w:right w:val="single" w:sz="4" w:space="0" w:color="auto"/>
            </w:tcBorders>
          </w:tcPr>
          <w:p w14:paraId="110E6AAF" w14:textId="1DD7B3FA"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71.3</w:t>
            </w:r>
          </w:p>
        </w:tc>
        <w:tc>
          <w:tcPr>
            <w:tcW w:w="1522"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A67C9EA" w14:textId="113BD94D"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χ</w:t>
            </w:r>
            <w:r w:rsidRPr="002A47AD">
              <w:rPr>
                <w:rFonts w:ascii="Arial" w:eastAsia="Times New Roman" w:hAnsi="Arial" w:cs="Arial"/>
                <w:vertAlign w:val="superscript"/>
                <w:lang w:eastAsia="en-GB"/>
              </w:rPr>
              <w:t>2</w:t>
            </w:r>
            <w:r w:rsidRPr="002A47AD">
              <w:rPr>
                <w:rFonts w:ascii="Arial" w:eastAsia="Times New Roman" w:hAnsi="Arial" w:cs="Arial"/>
                <w:lang w:eastAsia="en-GB"/>
              </w:rPr>
              <w:t>(2)=5.</w:t>
            </w:r>
            <w:r w:rsidR="008F43EE">
              <w:rPr>
                <w:rFonts w:ascii="Arial" w:eastAsia="Times New Roman" w:hAnsi="Arial" w:cs="Arial"/>
                <w:lang w:eastAsia="en-GB"/>
              </w:rPr>
              <w:t>137</w:t>
            </w:r>
          </w:p>
          <w:p w14:paraId="1AB9DBC5" w14:textId="4E80F1F2" w:rsidR="00D865A5" w:rsidRPr="002A47AD" w:rsidRDefault="00D865A5" w:rsidP="008F43EE">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p=0.0</w:t>
            </w:r>
            <w:r w:rsidR="008F43EE">
              <w:rPr>
                <w:rFonts w:ascii="Arial" w:eastAsia="Times New Roman" w:hAnsi="Arial" w:cs="Arial"/>
                <w:lang w:eastAsia="en-GB"/>
              </w:rPr>
              <w:t>77</w:t>
            </w:r>
          </w:p>
        </w:tc>
      </w:tr>
      <w:tr w:rsidR="00D865A5" w:rsidRPr="002A47AD" w14:paraId="08DF9B0C" w14:textId="77777777" w:rsidTr="00D66C02">
        <w:tc>
          <w:tcPr>
            <w:tcW w:w="2258" w:type="dxa"/>
            <w:vMerge/>
            <w:tcBorders>
              <w:top w:val="nil"/>
              <w:left w:val="single" w:sz="8" w:space="0" w:color="auto"/>
              <w:bottom w:val="single" w:sz="8" w:space="0" w:color="auto"/>
              <w:right w:val="single" w:sz="8" w:space="0" w:color="auto"/>
            </w:tcBorders>
            <w:vAlign w:val="center"/>
            <w:hideMark/>
          </w:tcPr>
          <w:p w14:paraId="5615388E"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77C80"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Functional (psychosis)</w:t>
            </w:r>
          </w:p>
        </w:tc>
        <w:tc>
          <w:tcPr>
            <w:tcW w:w="8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0DFF6F8" w14:textId="24797193" w:rsidR="00D865A5" w:rsidRPr="002A47AD" w:rsidRDefault="00D865A5" w:rsidP="007B0432">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2</w:t>
            </w:r>
            <w:r w:rsidR="007B0432">
              <w:rPr>
                <w:rFonts w:ascii="Arial" w:eastAsia="Times New Roman" w:hAnsi="Arial" w:cs="Arial"/>
                <w:lang w:eastAsia="en-GB"/>
              </w:rPr>
              <w:t>9</w:t>
            </w:r>
            <w:r w:rsidRPr="002A47AD">
              <w:rPr>
                <w:rFonts w:ascii="Arial" w:eastAsia="Times New Roman" w:hAnsi="Arial" w:cs="Arial"/>
                <w:lang w:eastAsia="en-GB"/>
              </w:rPr>
              <w:t>.</w:t>
            </w:r>
            <w:r w:rsidR="007B0432">
              <w:rPr>
                <w:rFonts w:ascii="Arial" w:eastAsia="Times New Roman" w:hAnsi="Arial" w:cs="Arial"/>
                <w:lang w:eastAsia="en-GB"/>
              </w:rPr>
              <w:t>5</w:t>
            </w:r>
          </w:p>
        </w:tc>
        <w:tc>
          <w:tcPr>
            <w:tcW w:w="0" w:type="auto"/>
            <w:tcBorders>
              <w:top w:val="nil"/>
              <w:left w:val="nil"/>
              <w:bottom w:val="single" w:sz="8" w:space="0" w:color="auto"/>
              <w:right w:val="single" w:sz="4" w:space="0" w:color="auto"/>
            </w:tcBorders>
          </w:tcPr>
          <w:p w14:paraId="5C64895F" w14:textId="613B4481"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67.1</w:t>
            </w:r>
          </w:p>
        </w:tc>
        <w:tc>
          <w:tcPr>
            <w:tcW w:w="0" w:type="auto"/>
            <w:vMerge/>
            <w:tcBorders>
              <w:top w:val="nil"/>
              <w:left w:val="single" w:sz="4" w:space="0" w:color="auto"/>
              <w:bottom w:val="single" w:sz="8" w:space="0" w:color="auto"/>
              <w:right w:val="single" w:sz="8" w:space="0" w:color="auto"/>
            </w:tcBorders>
            <w:vAlign w:val="center"/>
            <w:hideMark/>
          </w:tcPr>
          <w:p w14:paraId="7B1251F8" w14:textId="711F64A2" w:rsidR="00D865A5" w:rsidRPr="002A47AD" w:rsidRDefault="00D865A5" w:rsidP="009803A1">
            <w:pPr>
              <w:spacing w:beforeLines="20" w:before="48" w:afterLines="20" w:after="48" w:line="240" w:lineRule="auto"/>
              <w:rPr>
                <w:rFonts w:ascii="Arial" w:eastAsia="Times New Roman" w:hAnsi="Arial" w:cs="Arial"/>
                <w:lang w:eastAsia="en-GB"/>
              </w:rPr>
            </w:pPr>
          </w:p>
        </w:tc>
      </w:tr>
      <w:tr w:rsidR="00D865A5" w:rsidRPr="002A47AD" w14:paraId="13B8BF0F" w14:textId="77777777" w:rsidTr="00D66C02">
        <w:tc>
          <w:tcPr>
            <w:tcW w:w="2258" w:type="dxa"/>
            <w:vMerge/>
            <w:tcBorders>
              <w:top w:val="nil"/>
              <w:left w:val="single" w:sz="8" w:space="0" w:color="auto"/>
              <w:bottom w:val="single" w:sz="8" w:space="0" w:color="auto"/>
              <w:right w:val="single" w:sz="8" w:space="0" w:color="auto"/>
            </w:tcBorders>
            <w:vAlign w:val="center"/>
            <w:hideMark/>
          </w:tcPr>
          <w:p w14:paraId="054BC9E5"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D01F3" w14:textId="07B198E2"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Organic</w:t>
            </w:r>
          </w:p>
        </w:tc>
        <w:tc>
          <w:tcPr>
            <w:tcW w:w="8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790A41E" w14:textId="77777777"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4.6</w:t>
            </w:r>
          </w:p>
        </w:tc>
        <w:tc>
          <w:tcPr>
            <w:tcW w:w="0" w:type="auto"/>
            <w:tcBorders>
              <w:top w:val="nil"/>
              <w:left w:val="nil"/>
              <w:bottom w:val="single" w:sz="4" w:space="0" w:color="auto"/>
              <w:right w:val="single" w:sz="4" w:space="0" w:color="auto"/>
            </w:tcBorders>
          </w:tcPr>
          <w:p w14:paraId="73D6E28A" w14:textId="6AB707DF"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72.4</w:t>
            </w:r>
          </w:p>
        </w:tc>
        <w:tc>
          <w:tcPr>
            <w:tcW w:w="0" w:type="auto"/>
            <w:vMerge/>
            <w:tcBorders>
              <w:top w:val="nil"/>
              <w:left w:val="single" w:sz="4" w:space="0" w:color="auto"/>
              <w:bottom w:val="single" w:sz="8" w:space="0" w:color="auto"/>
              <w:right w:val="single" w:sz="8" w:space="0" w:color="auto"/>
            </w:tcBorders>
            <w:vAlign w:val="center"/>
            <w:hideMark/>
          </w:tcPr>
          <w:p w14:paraId="52F4C865" w14:textId="17F6D85B" w:rsidR="00D865A5" w:rsidRPr="002A47AD" w:rsidRDefault="00D865A5" w:rsidP="009803A1">
            <w:pPr>
              <w:spacing w:beforeLines="20" w:before="48" w:afterLines="20" w:after="48" w:line="240" w:lineRule="auto"/>
              <w:rPr>
                <w:rFonts w:ascii="Arial" w:eastAsia="Times New Roman" w:hAnsi="Arial" w:cs="Arial"/>
                <w:lang w:eastAsia="en-GB"/>
              </w:rPr>
            </w:pPr>
          </w:p>
        </w:tc>
      </w:tr>
      <w:tr w:rsidR="00D865A5" w:rsidRPr="002A47AD" w14:paraId="2BE35035" w14:textId="77777777" w:rsidTr="00D66C02">
        <w:tc>
          <w:tcPr>
            <w:tcW w:w="2258" w:type="dxa"/>
            <w:vMerge w:val="restart"/>
            <w:tcBorders>
              <w:top w:val="nil"/>
              <w:left w:val="single" w:sz="8" w:space="0" w:color="auto"/>
              <w:right w:val="single" w:sz="8" w:space="0" w:color="auto"/>
            </w:tcBorders>
            <w:vAlign w:val="center"/>
            <w:hideMark/>
          </w:tcPr>
          <w:p w14:paraId="3186594C" w14:textId="77777777" w:rsidR="00D865A5" w:rsidRDefault="00D865A5" w:rsidP="009803A1">
            <w:pPr>
              <w:spacing w:beforeLines="20" w:before="48" w:afterLines="20" w:after="48" w:line="240" w:lineRule="auto"/>
              <w:ind w:left="108"/>
              <w:rPr>
                <w:rFonts w:ascii="Arial" w:eastAsia="Times New Roman" w:hAnsi="Arial" w:cs="Arial"/>
                <w:b/>
                <w:bCs/>
                <w:lang w:eastAsia="en-GB"/>
              </w:rPr>
            </w:pPr>
            <w:r>
              <w:rPr>
                <w:rFonts w:ascii="Arial" w:eastAsia="Times New Roman" w:hAnsi="Arial" w:cs="Arial"/>
                <w:b/>
                <w:bCs/>
                <w:lang w:eastAsia="en-GB"/>
              </w:rPr>
              <w:t>Time on caseload</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C90F4"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Pr>
                <w:rFonts w:ascii="Arial" w:eastAsia="Times New Roman" w:hAnsi="Arial" w:cs="Arial"/>
                <w:i/>
                <w:lang w:eastAsia="en-GB"/>
              </w:rPr>
              <w:t>0-6 months</w:t>
            </w:r>
          </w:p>
        </w:tc>
        <w:tc>
          <w:tcPr>
            <w:tcW w:w="887"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04F19A0A" w14:textId="501543B6" w:rsidR="00D865A5" w:rsidRPr="002A47AD" w:rsidRDefault="00D865A5" w:rsidP="00B92320">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-11.</w:t>
            </w:r>
            <w:r w:rsidR="00B92320">
              <w:rPr>
                <w:rFonts w:ascii="Arial" w:eastAsia="Times New Roman" w:hAnsi="Arial" w:cs="Arial"/>
                <w:lang w:eastAsia="en-GB"/>
              </w:rPr>
              <w:t>0</w:t>
            </w:r>
          </w:p>
        </w:tc>
        <w:tc>
          <w:tcPr>
            <w:tcW w:w="0" w:type="auto"/>
            <w:tcBorders>
              <w:top w:val="single" w:sz="4" w:space="0" w:color="auto"/>
              <w:left w:val="single" w:sz="4" w:space="0" w:color="auto"/>
              <w:bottom w:val="single" w:sz="4" w:space="0" w:color="auto"/>
              <w:right w:val="single" w:sz="4" w:space="0" w:color="auto"/>
            </w:tcBorders>
          </w:tcPr>
          <w:p w14:paraId="289F4C53" w14:textId="7DA4403D"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72.6</w:t>
            </w:r>
          </w:p>
        </w:tc>
        <w:tc>
          <w:tcPr>
            <w:tcW w:w="0" w:type="auto"/>
            <w:vMerge w:val="restart"/>
            <w:tcBorders>
              <w:top w:val="nil"/>
              <w:left w:val="single" w:sz="4" w:space="0" w:color="auto"/>
              <w:right w:val="single" w:sz="8" w:space="0" w:color="auto"/>
            </w:tcBorders>
            <w:vAlign w:val="center"/>
            <w:hideMark/>
          </w:tcPr>
          <w:p w14:paraId="43AF2A5B" w14:textId="6865FC99"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Rho</w:t>
            </w:r>
            <w:r w:rsidRPr="002A47AD">
              <w:rPr>
                <w:rFonts w:ascii="Arial" w:eastAsia="Times New Roman" w:hAnsi="Arial" w:cs="Arial"/>
                <w:i/>
                <w:iCs/>
                <w:lang w:eastAsia="en-GB"/>
              </w:rPr>
              <w:t xml:space="preserve">= </w:t>
            </w:r>
            <w:r w:rsidRPr="002A47AD">
              <w:rPr>
                <w:rFonts w:ascii="Arial" w:eastAsia="Times New Roman" w:hAnsi="Arial" w:cs="Arial"/>
                <w:lang w:eastAsia="en-GB"/>
              </w:rPr>
              <w:t>0.1</w:t>
            </w:r>
            <w:r w:rsidR="008F43EE">
              <w:rPr>
                <w:rFonts w:ascii="Arial" w:eastAsia="Times New Roman" w:hAnsi="Arial" w:cs="Arial"/>
                <w:lang w:eastAsia="en-GB"/>
              </w:rPr>
              <w:t>14</w:t>
            </w:r>
          </w:p>
          <w:p w14:paraId="31F8ABCB" w14:textId="5779177A" w:rsidR="00D865A5" w:rsidRPr="002A47AD" w:rsidRDefault="00D865A5" w:rsidP="008F43EE">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p=0.0</w:t>
            </w:r>
            <w:r w:rsidR="008F43EE">
              <w:rPr>
                <w:rFonts w:ascii="Arial" w:eastAsia="Times New Roman" w:hAnsi="Arial" w:cs="Arial"/>
                <w:lang w:eastAsia="en-GB"/>
              </w:rPr>
              <w:t>34</w:t>
            </w:r>
          </w:p>
        </w:tc>
      </w:tr>
      <w:tr w:rsidR="00D865A5" w:rsidRPr="002A47AD" w14:paraId="040B2553" w14:textId="77777777" w:rsidTr="00D66C02">
        <w:tc>
          <w:tcPr>
            <w:tcW w:w="2258" w:type="dxa"/>
            <w:vMerge/>
            <w:tcBorders>
              <w:left w:val="single" w:sz="8" w:space="0" w:color="auto"/>
              <w:right w:val="single" w:sz="8" w:space="0" w:color="auto"/>
            </w:tcBorders>
            <w:vAlign w:val="center"/>
            <w:hideMark/>
          </w:tcPr>
          <w:p w14:paraId="4A88C357"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AC262"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6-12 months</w:t>
            </w:r>
          </w:p>
        </w:tc>
        <w:tc>
          <w:tcPr>
            <w:tcW w:w="887"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6C02B61" w14:textId="22C4F5DE" w:rsidR="00D865A5" w:rsidRPr="002A47AD" w:rsidRDefault="00B92320"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31.2</w:t>
            </w:r>
          </w:p>
        </w:tc>
        <w:tc>
          <w:tcPr>
            <w:tcW w:w="0" w:type="auto"/>
            <w:tcBorders>
              <w:top w:val="single" w:sz="4" w:space="0" w:color="auto"/>
              <w:left w:val="single" w:sz="4" w:space="0" w:color="auto"/>
              <w:bottom w:val="single" w:sz="4" w:space="0" w:color="auto"/>
              <w:right w:val="single" w:sz="4" w:space="0" w:color="auto"/>
            </w:tcBorders>
          </w:tcPr>
          <w:p w14:paraId="657314F5" w14:textId="26E3A183"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71.0</w:t>
            </w:r>
          </w:p>
        </w:tc>
        <w:tc>
          <w:tcPr>
            <w:tcW w:w="0" w:type="auto"/>
            <w:vMerge/>
            <w:tcBorders>
              <w:left w:val="single" w:sz="4" w:space="0" w:color="auto"/>
              <w:right w:val="single" w:sz="8" w:space="0" w:color="auto"/>
            </w:tcBorders>
            <w:vAlign w:val="center"/>
            <w:hideMark/>
          </w:tcPr>
          <w:p w14:paraId="554CF2CA" w14:textId="023FD24A" w:rsidR="00D865A5" w:rsidRPr="002A47AD" w:rsidRDefault="00D865A5" w:rsidP="009803A1">
            <w:pPr>
              <w:spacing w:beforeLines="20" w:before="48" w:afterLines="20" w:after="48" w:line="240" w:lineRule="auto"/>
              <w:jc w:val="center"/>
              <w:rPr>
                <w:rFonts w:ascii="Arial" w:eastAsia="Times New Roman" w:hAnsi="Arial" w:cs="Arial"/>
                <w:lang w:eastAsia="en-GB"/>
              </w:rPr>
            </w:pPr>
          </w:p>
        </w:tc>
      </w:tr>
      <w:tr w:rsidR="00D865A5" w:rsidRPr="002A47AD" w14:paraId="01E35CB2" w14:textId="77777777" w:rsidTr="00D66C02">
        <w:tc>
          <w:tcPr>
            <w:tcW w:w="2258" w:type="dxa"/>
            <w:vMerge/>
            <w:tcBorders>
              <w:left w:val="single" w:sz="8" w:space="0" w:color="auto"/>
              <w:right w:val="single" w:sz="8" w:space="0" w:color="auto"/>
            </w:tcBorders>
            <w:vAlign w:val="center"/>
            <w:hideMark/>
          </w:tcPr>
          <w:p w14:paraId="3AA390E2"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9FCA1"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12-24 months</w:t>
            </w:r>
          </w:p>
        </w:tc>
        <w:tc>
          <w:tcPr>
            <w:tcW w:w="887"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45D6DC1" w14:textId="77777777"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22.2</w:t>
            </w:r>
          </w:p>
        </w:tc>
        <w:tc>
          <w:tcPr>
            <w:tcW w:w="0" w:type="auto"/>
            <w:tcBorders>
              <w:top w:val="single" w:sz="4" w:space="0" w:color="auto"/>
              <w:left w:val="single" w:sz="4" w:space="0" w:color="auto"/>
              <w:bottom w:val="single" w:sz="4" w:space="0" w:color="auto"/>
              <w:right w:val="single" w:sz="4" w:space="0" w:color="auto"/>
            </w:tcBorders>
          </w:tcPr>
          <w:p w14:paraId="620EDB3C" w14:textId="6662C42E"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32.3</w:t>
            </w:r>
          </w:p>
        </w:tc>
        <w:tc>
          <w:tcPr>
            <w:tcW w:w="0" w:type="auto"/>
            <w:vMerge/>
            <w:tcBorders>
              <w:left w:val="single" w:sz="4" w:space="0" w:color="auto"/>
              <w:right w:val="single" w:sz="8" w:space="0" w:color="auto"/>
            </w:tcBorders>
            <w:vAlign w:val="center"/>
            <w:hideMark/>
          </w:tcPr>
          <w:p w14:paraId="2F48409C" w14:textId="0AF7DE11" w:rsidR="00D865A5" w:rsidRPr="002A47AD" w:rsidRDefault="00D865A5" w:rsidP="009803A1">
            <w:pPr>
              <w:spacing w:beforeLines="20" w:before="48" w:afterLines="20" w:after="48" w:line="240" w:lineRule="auto"/>
              <w:rPr>
                <w:rFonts w:ascii="Arial" w:eastAsia="Times New Roman" w:hAnsi="Arial" w:cs="Arial"/>
                <w:lang w:eastAsia="en-GB"/>
              </w:rPr>
            </w:pPr>
          </w:p>
        </w:tc>
      </w:tr>
      <w:tr w:rsidR="00D865A5" w:rsidRPr="002A47AD" w14:paraId="54A1AAC3" w14:textId="77777777" w:rsidTr="00D66C02">
        <w:tc>
          <w:tcPr>
            <w:tcW w:w="2258" w:type="dxa"/>
            <w:vMerge/>
            <w:tcBorders>
              <w:left w:val="single" w:sz="8" w:space="0" w:color="auto"/>
              <w:bottom w:val="single" w:sz="4" w:space="0" w:color="auto"/>
              <w:right w:val="single" w:sz="8" w:space="0" w:color="auto"/>
            </w:tcBorders>
            <w:vAlign w:val="center"/>
            <w:hideMark/>
          </w:tcPr>
          <w:p w14:paraId="0A67B8BD"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826D43F"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 &gt;24 months</w:t>
            </w:r>
          </w:p>
        </w:tc>
        <w:tc>
          <w:tcPr>
            <w:tcW w:w="887"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A95E74" w14:textId="7E25B392" w:rsidR="00D865A5" w:rsidRPr="002A47AD" w:rsidRDefault="00B92320"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28.0</w:t>
            </w:r>
          </w:p>
        </w:tc>
        <w:tc>
          <w:tcPr>
            <w:tcW w:w="1172" w:type="dxa"/>
            <w:tcBorders>
              <w:top w:val="single" w:sz="4" w:space="0" w:color="auto"/>
              <w:left w:val="single" w:sz="4" w:space="0" w:color="auto"/>
              <w:bottom w:val="single" w:sz="4" w:space="0" w:color="auto"/>
              <w:right w:val="single" w:sz="4" w:space="0" w:color="auto"/>
            </w:tcBorders>
          </w:tcPr>
          <w:p w14:paraId="0D70A932" w14:textId="5048D71A"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63.9</w:t>
            </w:r>
          </w:p>
        </w:tc>
        <w:tc>
          <w:tcPr>
            <w:tcW w:w="152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0995012" w14:textId="6EFD7B50" w:rsidR="00D865A5" w:rsidRPr="002A47AD" w:rsidRDefault="00D865A5" w:rsidP="009803A1">
            <w:pPr>
              <w:spacing w:beforeLines="20" w:before="48" w:afterLines="20" w:after="48" w:line="240" w:lineRule="auto"/>
              <w:rPr>
                <w:rFonts w:ascii="Arial" w:eastAsia="Times New Roman" w:hAnsi="Arial" w:cs="Arial"/>
                <w:lang w:eastAsia="en-GB"/>
              </w:rPr>
            </w:pPr>
          </w:p>
        </w:tc>
      </w:tr>
      <w:tr w:rsidR="00D865A5" w:rsidRPr="002A47AD" w14:paraId="189F3B60" w14:textId="77777777" w:rsidTr="00D66C02">
        <w:tc>
          <w:tcPr>
            <w:tcW w:w="2258" w:type="dxa"/>
            <w:vMerge w:val="restart"/>
            <w:tcBorders>
              <w:top w:val="single" w:sz="4" w:space="0" w:color="auto"/>
              <w:left w:val="single" w:sz="8" w:space="0" w:color="auto"/>
              <w:right w:val="single" w:sz="8" w:space="0" w:color="auto"/>
            </w:tcBorders>
            <w:vAlign w:val="center"/>
            <w:hideMark/>
          </w:tcPr>
          <w:p w14:paraId="5920EE14" w14:textId="77777777" w:rsidR="00D865A5" w:rsidRPr="002A47AD" w:rsidRDefault="00D865A5" w:rsidP="009803A1">
            <w:pPr>
              <w:spacing w:beforeLines="20" w:before="48" w:afterLines="20" w:after="48" w:line="240" w:lineRule="auto"/>
              <w:ind w:left="108"/>
              <w:rPr>
                <w:rFonts w:ascii="Arial" w:eastAsia="Times New Roman" w:hAnsi="Arial" w:cs="Arial"/>
                <w:lang w:eastAsia="en-GB"/>
              </w:rPr>
            </w:pPr>
            <w:r>
              <w:rPr>
                <w:rFonts w:ascii="Arial" w:eastAsia="Times New Roman" w:hAnsi="Arial" w:cs="Arial"/>
                <w:b/>
                <w:bCs/>
                <w:lang w:eastAsia="en-GB"/>
              </w:rPr>
              <w:t>Visits from CMHT workers</w:t>
            </w: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F5A5D0A"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Psychiatrist</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8B0386D" w14:textId="13CE75C2" w:rsidR="00D865A5" w:rsidRPr="002A47AD" w:rsidRDefault="00D865A5" w:rsidP="00B92320">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3</w:t>
            </w:r>
            <w:r w:rsidR="00B92320">
              <w:rPr>
                <w:rFonts w:ascii="Arial" w:eastAsia="Times New Roman" w:hAnsi="Arial" w:cs="Arial"/>
                <w:lang w:eastAsia="en-GB"/>
              </w:rPr>
              <w:t>4</w:t>
            </w:r>
            <w:r w:rsidRPr="002A47AD">
              <w:rPr>
                <w:rFonts w:ascii="Arial" w:eastAsia="Times New Roman" w:hAnsi="Arial" w:cs="Arial"/>
                <w:lang w:eastAsia="en-GB"/>
              </w:rPr>
              <w:t>.</w:t>
            </w:r>
            <w:r w:rsidR="00B92320">
              <w:rPr>
                <w:rFonts w:ascii="Arial" w:eastAsia="Times New Roman" w:hAnsi="Arial" w:cs="Arial"/>
                <w:lang w:eastAsia="en-GB"/>
              </w:rPr>
              <w:t>1</w:t>
            </w:r>
          </w:p>
        </w:tc>
        <w:tc>
          <w:tcPr>
            <w:tcW w:w="1172" w:type="dxa"/>
            <w:tcBorders>
              <w:top w:val="single" w:sz="4" w:space="0" w:color="auto"/>
              <w:left w:val="nil"/>
              <w:bottom w:val="single" w:sz="4" w:space="0" w:color="auto"/>
              <w:right w:val="single" w:sz="4" w:space="0" w:color="auto"/>
            </w:tcBorders>
          </w:tcPr>
          <w:p w14:paraId="43F4CC7D" w14:textId="5A6C2843"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68.8</w:t>
            </w:r>
          </w:p>
        </w:tc>
        <w:tc>
          <w:tcPr>
            <w:tcW w:w="152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B7187BD" w14:textId="5D6D25A4"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z=</w:t>
            </w:r>
            <w:r w:rsidR="008F43EE">
              <w:rPr>
                <w:rFonts w:ascii="Arial" w:eastAsia="Times New Roman" w:hAnsi="Arial" w:cs="Arial"/>
                <w:lang w:eastAsia="en-GB"/>
              </w:rPr>
              <w:t>3.852</w:t>
            </w:r>
          </w:p>
          <w:p w14:paraId="1D7124D8" w14:textId="77777777"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p&lt;0.001 </w:t>
            </w:r>
          </w:p>
        </w:tc>
      </w:tr>
      <w:tr w:rsidR="00D865A5" w:rsidRPr="002A47AD" w14:paraId="721DE8EC" w14:textId="77777777" w:rsidTr="00D66C02">
        <w:tc>
          <w:tcPr>
            <w:tcW w:w="2258" w:type="dxa"/>
            <w:vMerge/>
            <w:tcBorders>
              <w:left w:val="single" w:sz="8" w:space="0" w:color="auto"/>
              <w:right w:val="single" w:sz="8" w:space="0" w:color="auto"/>
            </w:tcBorders>
            <w:vAlign w:val="center"/>
            <w:hideMark/>
          </w:tcPr>
          <w:p w14:paraId="2FB5A19A"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6054E9C"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Mental health nurse</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4A5A351" w14:textId="1D3FC267" w:rsidR="00D865A5" w:rsidRPr="002A47AD" w:rsidRDefault="00B92320"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23.6</w:t>
            </w:r>
          </w:p>
        </w:tc>
        <w:tc>
          <w:tcPr>
            <w:tcW w:w="1172" w:type="dxa"/>
            <w:tcBorders>
              <w:top w:val="single" w:sz="4" w:space="0" w:color="auto"/>
              <w:left w:val="nil"/>
              <w:bottom w:val="single" w:sz="4" w:space="0" w:color="auto"/>
              <w:right w:val="single" w:sz="4" w:space="0" w:color="auto"/>
            </w:tcBorders>
          </w:tcPr>
          <w:p w14:paraId="6FF6707D" w14:textId="60987BE0"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70.8</w:t>
            </w:r>
          </w:p>
        </w:tc>
        <w:tc>
          <w:tcPr>
            <w:tcW w:w="152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17742CE" w14:textId="21B6C2A0" w:rsidR="00D865A5" w:rsidRPr="002A47AD" w:rsidRDefault="00E40A6D"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z=</w:t>
            </w:r>
            <w:r w:rsidR="00D865A5" w:rsidRPr="002A47AD">
              <w:rPr>
                <w:rFonts w:ascii="Arial" w:eastAsia="Times New Roman" w:hAnsi="Arial" w:cs="Arial"/>
                <w:lang w:eastAsia="en-GB"/>
              </w:rPr>
              <w:t>1.</w:t>
            </w:r>
            <w:r>
              <w:rPr>
                <w:rFonts w:ascii="Arial" w:eastAsia="Times New Roman" w:hAnsi="Arial" w:cs="Arial"/>
                <w:lang w:eastAsia="en-GB"/>
              </w:rPr>
              <w:t>668</w:t>
            </w:r>
          </w:p>
          <w:p w14:paraId="274A8D5D" w14:textId="2B9B8A3C" w:rsidR="00D865A5" w:rsidRPr="002A47AD" w:rsidRDefault="00D865A5" w:rsidP="00E40A6D">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p=0.0</w:t>
            </w:r>
            <w:r w:rsidR="00E40A6D">
              <w:rPr>
                <w:rFonts w:ascii="Arial" w:eastAsia="Times New Roman" w:hAnsi="Arial" w:cs="Arial"/>
                <w:lang w:eastAsia="en-GB"/>
              </w:rPr>
              <w:t>95</w:t>
            </w:r>
            <w:r w:rsidRPr="002A47AD">
              <w:rPr>
                <w:rFonts w:ascii="Arial" w:eastAsia="Times New Roman" w:hAnsi="Arial" w:cs="Arial"/>
                <w:lang w:eastAsia="en-GB"/>
              </w:rPr>
              <w:t> </w:t>
            </w:r>
          </w:p>
        </w:tc>
      </w:tr>
      <w:tr w:rsidR="00D865A5" w:rsidRPr="002A47AD" w14:paraId="04325F6D" w14:textId="77777777" w:rsidTr="00D66C02">
        <w:tc>
          <w:tcPr>
            <w:tcW w:w="2258" w:type="dxa"/>
            <w:vMerge/>
            <w:tcBorders>
              <w:left w:val="single" w:sz="8" w:space="0" w:color="auto"/>
              <w:right w:val="single" w:sz="8" w:space="0" w:color="auto"/>
            </w:tcBorders>
            <w:vAlign w:val="center"/>
            <w:hideMark/>
          </w:tcPr>
          <w:p w14:paraId="007D9229"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C5CDC13"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Social worker</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173B30C" w14:textId="0901DFAA" w:rsidR="00D865A5" w:rsidRPr="002A47AD" w:rsidRDefault="00D865A5" w:rsidP="00B92320">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1</w:t>
            </w:r>
            <w:r w:rsidR="00B92320">
              <w:rPr>
                <w:rFonts w:ascii="Arial" w:eastAsia="Times New Roman" w:hAnsi="Arial" w:cs="Arial"/>
                <w:lang w:eastAsia="en-GB"/>
              </w:rPr>
              <w:t>8</w:t>
            </w:r>
            <w:r w:rsidRPr="002A47AD">
              <w:rPr>
                <w:rFonts w:ascii="Arial" w:eastAsia="Times New Roman" w:hAnsi="Arial" w:cs="Arial"/>
                <w:lang w:eastAsia="en-GB"/>
              </w:rPr>
              <w:t>.0</w:t>
            </w:r>
          </w:p>
        </w:tc>
        <w:tc>
          <w:tcPr>
            <w:tcW w:w="1172" w:type="dxa"/>
            <w:tcBorders>
              <w:top w:val="single" w:sz="4" w:space="0" w:color="auto"/>
              <w:left w:val="nil"/>
              <w:bottom w:val="single" w:sz="4" w:space="0" w:color="auto"/>
              <w:right w:val="single" w:sz="4" w:space="0" w:color="auto"/>
            </w:tcBorders>
          </w:tcPr>
          <w:p w14:paraId="1198DA72" w14:textId="5E4B8202"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65.2</w:t>
            </w:r>
          </w:p>
        </w:tc>
        <w:tc>
          <w:tcPr>
            <w:tcW w:w="152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EA8B931" w14:textId="5F2D1520"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 z=</w:t>
            </w:r>
            <w:r w:rsidR="00E40A6D">
              <w:rPr>
                <w:rFonts w:ascii="Arial" w:eastAsia="Times New Roman" w:hAnsi="Arial" w:cs="Arial"/>
                <w:lang w:eastAsia="en-GB"/>
              </w:rPr>
              <w:t>-</w:t>
            </w:r>
            <w:r w:rsidRPr="002A47AD">
              <w:rPr>
                <w:rFonts w:ascii="Arial" w:eastAsia="Times New Roman" w:hAnsi="Arial" w:cs="Arial"/>
                <w:lang w:eastAsia="en-GB"/>
              </w:rPr>
              <w:t>0.2</w:t>
            </w:r>
            <w:r w:rsidR="00E40A6D">
              <w:rPr>
                <w:rFonts w:ascii="Arial" w:eastAsia="Times New Roman" w:hAnsi="Arial" w:cs="Arial"/>
                <w:lang w:eastAsia="en-GB"/>
              </w:rPr>
              <w:t>21</w:t>
            </w:r>
          </w:p>
          <w:p w14:paraId="79D53A81" w14:textId="3396444B" w:rsidR="00D865A5" w:rsidRPr="002A47AD" w:rsidRDefault="00D865A5" w:rsidP="00E40A6D">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w:t>
            </w:r>
            <w:r w:rsidR="00E40A6D">
              <w:rPr>
                <w:rFonts w:ascii="Arial" w:eastAsia="Times New Roman" w:hAnsi="Arial" w:cs="Arial"/>
                <w:lang w:eastAsia="en-GB"/>
              </w:rPr>
              <w:t>=0.825</w:t>
            </w:r>
          </w:p>
        </w:tc>
      </w:tr>
      <w:tr w:rsidR="00D865A5" w:rsidRPr="002A47AD" w14:paraId="5E739C0E" w14:textId="77777777" w:rsidTr="00D66C02">
        <w:tc>
          <w:tcPr>
            <w:tcW w:w="2258" w:type="dxa"/>
            <w:vMerge/>
            <w:tcBorders>
              <w:left w:val="single" w:sz="8" w:space="0" w:color="auto"/>
              <w:right w:val="single" w:sz="8" w:space="0" w:color="auto"/>
            </w:tcBorders>
            <w:vAlign w:val="center"/>
            <w:hideMark/>
          </w:tcPr>
          <w:p w14:paraId="1B83961E"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222B53F"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Psychologist</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88FFC24" w14:textId="4057D965" w:rsidR="00D865A5" w:rsidRPr="002A47AD" w:rsidRDefault="00B92320"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34.0</w:t>
            </w:r>
          </w:p>
        </w:tc>
        <w:tc>
          <w:tcPr>
            <w:tcW w:w="1172" w:type="dxa"/>
            <w:tcBorders>
              <w:top w:val="single" w:sz="4" w:space="0" w:color="auto"/>
              <w:left w:val="nil"/>
              <w:bottom w:val="single" w:sz="4" w:space="0" w:color="auto"/>
              <w:right w:val="single" w:sz="4" w:space="0" w:color="auto"/>
            </w:tcBorders>
          </w:tcPr>
          <w:p w14:paraId="30697138" w14:textId="41E613E4"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62.0</w:t>
            </w:r>
          </w:p>
        </w:tc>
        <w:tc>
          <w:tcPr>
            <w:tcW w:w="152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6C8CB25" w14:textId="38D95387"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z=1.</w:t>
            </w:r>
            <w:r w:rsidR="00E40A6D">
              <w:rPr>
                <w:rFonts w:ascii="Arial" w:eastAsia="Times New Roman" w:hAnsi="Arial" w:cs="Arial"/>
                <w:lang w:eastAsia="en-GB"/>
              </w:rPr>
              <w:t>545</w:t>
            </w:r>
          </w:p>
          <w:p w14:paraId="50260AA7" w14:textId="1BF0FAB4" w:rsidR="00D865A5" w:rsidRPr="002A47AD" w:rsidRDefault="00D865A5" w:rsidP="00E40A6D">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p=0.</w:t>
            </w:r>
            <w:r w:rsidR="00E40A6D">
              <w:rPr>
                <w:rFonts w:ascii="Arial" w:eastAsia="Times New Roman" w:hAnsi="Arial" w:cs="Arial"/>
                <w:lang w:eastAsia="en-GB"/>
              </w:rPr>
              <w:t>123</w:t>
            </w:r>
          </w:p>
        </w:tc>
      </w:tr>
      <w:tr w:rsidR="00D865A5" w:rsidRPr="002A47AD" w14:paraId="17525B9D" w14:textId="77777777" w:rsidTr="00D66C02">
        <w:tc>
          <w:tcPr>
            <w:tcW w:w="2258" w:type="dxa"/>
            <w:vMerge/>
            <w:tcBorders>
              <w:left w:val="single" w:sz="8" w:space="0" w:color="auto"/>
              <w:bottom w:val="single" w:sz="4" w:space="0" w:color="auto"/>
              <w:right w:val="single" w:sz="8" w:space="0" w:color="auto"/>
            </w:tcBorders>
            <w:vAlign w:val="center"/>
            <w:hideMark/>
          </w:tcPr>
          <w:p w14:paraId="1436BACD"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2A90BAA"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Mental health support worker</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A312D48" w14:textId="7D4759F2" w:rsidR="00D865A5" w:rsidRPr="002A47AD" w:rsidRDefault="00D865A5" w:rsidP="00B92320">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3</w:t>
            </w:r>
            <w:r w:rsidR="00B92320">
              <w:rPr>
                <w:rFonts w:ascii="Arial" w:eastAsia="Times New Roman" w:hAnsi="Arial" w:cs="Arial"/>
                <w:lang w:eastAsia="en-GB"/>
              </w:rPr>
              <w:t>6</w:t>
            </w:r>
            <w:r w:rsidRPr="002A47AD">
              <w:rPr>
                <w:rFonts w:ascii="Arial" w:eastAsia="Times New Roman" w:hAnsi="Arial" w:cs="Arial"/>
                <w:lang w:eastAsia="en-GB"/>
              </w:rPr>
              <w:t>.</w:t>
            </w:r>
            <w:r w:rsidR="00B92320">
              <w:rPr>
                <w:rFonts w:ascii="Arial" w:eastAsia="Times New Roman" w:hAnsi="Arial" w:cs="Arial"/>
                <w:lang w:eastAsia="en-GB"/>
              </w:rPr>
              <w:t>2</w:t>
            </w:r>
          </w:p>
        </w:tc>
        <w:tc>
          <w:tcPr>
            <w:tcW w:w="1172" w:type="dxa"/>
            <w:tcBorders>
              <w:top w:val="single" w:sz="4" w:space="0" w:color="auto"/>
              <w:left w:val="nil"/>
              <w:bottom w:val="single" w:sz="4" w:space="0" w:color="auto"/>
              <w:right w:val="single" w:sz="4" w:space="0" w:color="auto"/>
            </w:tcBorders>
          </w:tcPr>
          <w:p w14:paraId="3EDDADCC" w14:textId="5F948154"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65.8</w:t>
            </w:r>
          </w:p>
        </w:tc>
        <w:tc>
          <w:tcPr>
            <w:tcW w:w="152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BA309A8" w14:textId="79C762B9"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z=3.</w:t>
            </w:r>
            <w:r w:rsidR="00E40A6D">
              <w:rPr>
                <w:rFonts w:ascii="Arial" w:eastAsia="Times New Roman" w:hAnsi="Arial" w:cs="Arial"/>
                <w:lang w:eastAsia="en-GB"/>
              </w:rPr>
              <w:t>285</w:t>
            </w:r>
          </w:p>
          <w:p w14:paraId="48B65E74" w14:textId="77777777"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p=0.001 </w:t>
            </w:r>
          </w:p>
        </w:tc>
      </w:tr>
      <w:tr w:rsidR="00D865A5" w:rsidRPr="002A47AD" w14:paraId="6FFDBCA0" w14:textId="77777777" w:rsidTr="00D66C02">
        <w:tc>
          <w:tcPr>
            <w:tcW w:w="2258" w:type="dxa"/>
            <w:vMerge w:val="restart"/>
            <w:tcBorders>
              <w:top w:val="single" w:sz="4" w:space="0" w:color="auto"/>
              <w:left w:val="single" w:sz="8" w:space="0" w:color="auto"/>
              <w:right w:val="single" w:sz="8" w:space="0" w:color="auto"/>
            </w:tcBorders>
            <w:vAlign w:val="center"/>
            <w:hideMark/>
          </w:tcPr>
          <w:p w14:paraId="4D9156D9" w14:textId="77777777" w:rsidR="00D865A5" w:rsidRPr="002A47AD" w:rsidRDefault="00D865A5" w:rsidP="009803A1">
            <w:pPr>
              <w:spacing w:beforeLines="20" w:before="48" w:afterLines="20" w:after="48" w:line="240" w:lineRule="auto"/>
              <w:ind w:left="108"/>
              <w:rPr>
                <w:rFonts w:ascii="Arial" w:eastAsia="Times New Roman" w:hAnsi="Arial" w:cs="Arial"/>
                <w:lang w:eastAsia="en-GB"/>
              </w:rPr>
            </w:pPr>
            <w:r>
              <w:rPr>
                <w:rFonts w:ascii="Arial" w:eastAsia="Times New Roman" w:hAnsi="Arial" w:cs="Arial"/>
                <w:b/>
                <w:bCs/>
                <w:lang w:eastAsia="en-GB"/>
              </w:rPr>
              <w:t>Other community support</w:t>
            </w: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BBDA13E"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Home care</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4DF9C45" w14:textId="682E03B8" w:rsidR="00D865A5" w:rsidRPr="002A47AD" w:rsidRDefault="00B92320"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18.3</w:t>
            </w:r>
          </w:p>
        </w:tc>
        <w:tc>
          <w:tcPr>
            <w:tcW w:w="1172" w:type="dxa"/>
            <w:tcBorders>
              <w:top w:val="single" w:sz="4" w:space="0" w:color="auto"/>
              <w:left w:val="nil"/>
              <w:bottom w:val="single" w:sz="4" w:space="0" w:color="auto"/>
              <w:right w:val="single" w:sz="4" w:space="0" w:color="auto"/>
            </w:tcBorders>
          </w:tcPr>
          <w:p w14:paraId="01182D0D" w14:textId="7AFDAC59"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61.5</w:t>
            </w:r>
          </w:p>
        </w:tc>
        <w:tc>
          <w:tcPr>
            <w:tcW w:w="152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17AC740" w14:textId="38C3DF44"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z=</w:t>
            </w:r>
            <w:r w:rsidR="00E40A6D">
              <w:rPr>
                <w:rFonts w:ascii="Arial" w:eastAsia="Times New Roman" w:hAnsi="Arial" w:cs="Arial"/>
                <w:lang w:eastAsia="en-GB"/>
              </w:rPr>
              <w:t>-</w:t>
            </w:r>
            <w:r w:rsidRPr="002A47AD">
              <w:rPr>
                <w:rFonts w:ascii="Arial" w:eastAsia="Times New Roman" w:hAnsi="Arial" w:cs="Arial"/>
                <w:lang w:eastAsia="en-GB"/>
              </w:rPr>
              <w:t>0.</w:t>
            </w:r>
            <w:r w:rsidR="00E40A6D">
              <w:rPr>
                <w:rFonts w:ascii="Arial" w:eastAsia="Times New Roman" w:hAnsi="Arial" w:cs="Arial"/>
                <w:lang w:eastAsia="en-GB"/>
              </w:rPr>
              <w:t>258</w:t>
            </w:r>
          </w:p>
          <w:p w14:paraId="3E3AC754" w14:textId="3892D28A" w:rsidR="00D865A5" w:rsidRPr="002A47AD" w:rsidRDefault="00D865A5" w:rsidP="00E40A6D">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w:t>
            </w:r>
            <w:r w:rsidR="00E40A6D">
              <w:rPr>
                <w:rFonts w:ascii="Arial" w:eastAsia="Times New Roman" w:hAnsi="Arial" w:cs="Arial"/>
                <w:lang w:eastAsia="en-GB"/>
              </w:rPr>
              <w:t>=0.796</w:t>
            </w:r>
            <w:r w:rsidRPr="002A47AD">
              <w:rPr>
                <w:rFonts w:ascii="Arial" w:eastAsia="Times New Roman" w:hAnsi="Arial" w:cs="Arial"/>
                <w:lang w:eastAsia="en-GB"/>
              </w:rPr>
              <w:t> </w:t>
            </w:r>
          </w:p>
        </w:tc>
      </w:tr>
      <w:tr w:rsidR="00D865A5" w:rsidRPr="002A47AD" w14:paraId="42AF9838" w14:textId="77777777" w:rsidTr="00D66C02">
        <w:tc>
          <w:tcPr>
            <w:tcW w:w="2258" w:type="dxa"/>
            <w:vMerge/>
            <w:tcBorders>
              <w:left w:val="single" w:sz="8" w:space="0" w:color="auto"/>
              <w:right w:val="single" w:sz="8" w:space="0" w:color="auto"/>
            </w:tcBorders>
            <w:vAlign w:val="center"/>
            <w:hideMark/>
          </w:tcPr>
          <w:p w14:paraId="743A4187"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9F0DE89"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sidRPr="002A47AD">
              <w:rPr>
                <w:rFonts w:ascii="Arial" w:eastAsia="Times New Roman" w:hAnsi="Arial" w:cs="Arial"/>
                <w:i/>
                <w:lang w:eastAsia="en-GB"/>
              </w:rPr>
              <w:t>Day care</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8962FC6" w14:textId="3AA6DEC2" w:rsidR="00D865A5" w:rsidRPr="002A47AD" w:rsidRDefault="00B92320"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35.1</w:t>
            </w:r>
          </w:p>
        </w:tc>
        <w:tc>
          <w:tcPr>
            <w:tcW w:w="1172" w:type="dxa"/>
            <w:tcBorders>
              <w:top w:val="single" w:sz="4" w:space="0" w:color="auto"/>
              <w:left w:val="nil"/>
              <w:bottom w:val="single" w:sz="4" w:space="0" w:color="auto"/>
              <w:right w:val="single" w:sz="4" w:space="0" w:color="auto"/>
            </w:tcBorders>
          </w:tcPr>
          <w:p w14:paraId="6527EEB9" w14:textId="2FAF4C07"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70.9</w:t>
            </w:r>
          </w:p>
        </w:tc>
        <w:tc>
          <w:tcPr>
            <w:tcW w:w="152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4B3781A" w14:textId="26A40E7D" w:rsidR="00D865A5" w:rsidRPr="002A47AD" w:rsidRDefault="00D865A5"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z=</w:t>
            </w:r>
            <w:r w:rsidR="00E40A6D">
              <w:rPr>
                <w:rFonts w:ascii="Arial" w:eastAsia="Times New Roman" w:hAnsi="Arial" w:cs="Arial"/>
                <w:lang w:eastAsia="en-GB"/>
              </w:rPr>
              <w:t>1.806</w:t>
            </w:r>
          </w:p>
          <w:p w14:paraId="141347A1" w14:textId="518D513F" w:rsidR="00D865A5" w:rsidRPr="002A47AD" w:rsidRDefault="00D865A5" w:rsidP="00E40A6D">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p=0.0</w:t>
            </w:r>
            <w:r w:rsidR="00E40A6D">
              <w:rPr>
                <w:rFonts w:ascii="Arial" w:eastAsia="Times New Roman" w:hAnsi="Arial" w:cs="Arial"/>
                <w:lang w:eastAsia="en-GB"/>
              </w:rPr>
              <w:t>71</w:t>
            </w:r>
          </w:p>
        </w:tc>
      </w:tr>
      <w:tr w:rsidR="00D865A5" w:rsidRPr="002A47AD" w14:paraId="089C28C4" w14:textId="77777777" w:rsidTr="006D0BDB">
        <w:tc>
          <w:tcPr>
            <w:tcW w:w="2258" w:type="dxa"/>
            <w:vMerge/>
            <w:tcBorders>
              <w:left w:val="single" w:sz="8" w:space="0" w:color="auto"/>
              <w:bottom w:val="single" w:sz="4" w:space="0" w:color="auto"/>
              <w:right w:val="single" w:sz="8" w:space="0" w:color="auto"/>
            </w:tcBorders>
            <w:vAlign w:val="center"/>
            <w:hideMark/>
          </w:tcPr>
          <w:p w14:paraId="656F870A"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29C7DA7"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Pr>
                <w:rFonts w:ascii="Arial" w:eastAsia="Times New Roman" w:hAnsi="Arial" w:cs="Arial"/>
                <w:i/>
                <w:lang w:eastAsia="en-GB"/>
              </w:rPr>
              <w:t>Other community support</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88D1C2D" w14:textId="1D586347" w:rsidR="00D865A5" w:rsidRPr="002A47AD" w:rsidRDefault="00B92320"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38.5</w:t>
            </w:r>
          </w:p>
        </w:tc>
        <w:tc>
          <w:tcPr>
            <w:tcW w:w="1172" w:type="dxa"/>
            <w:tcBorders>
              <w:top w:val="single" w:sz="4" w:space="0" w:color="auto"/>
              <w:left w:val="nil"/>
              <w:bottom w:val="single" w:sz="4" w:space="0" w:color="auto"/>
              <w:right w:val="single" w:sz="4" w:space="0" w:color="auto"/>
            </w:tcBorders>
          </w:tcPr>
          <w:p w14:paraId="7B0DAC21" w14:textId="7661C415" w:rsidR="00D865A5" w:rsidRPr="00D66C02" w:rsidRDefault="00D66C02" w:rsidP="00D66C02">
            <w:pPr>
              <w:spacing w:beforeLines="20" w:before="48" w:afterLines="20" w:after="48" w:line="240" w:lineRule="auto"/>
              <w:jc w:val="center"/>
              <w:rPr>
                <w:rFonts w:ascii="Arial" w:eastAsia="Times New Roman" w:hAnsi="Arial" w:cs="Arial"/>
                <w:highlight w:val="yellow"/>
                <w:lang w:eastAsia="en-GB"/>
              </w:rPr>
            </w:pPr>
            <w:r w:rsidRPr="00D66C02">
              <w:rPr>
                <w:rFonts w:ascii="Arial" w:eastAsia="Times New Roman" w:hAnsi="Arial" w:cs="Arial"/>
                <w:highlight w:val="yellow"/>
                <w:lang w:eastAsia="en-GB"/>
              </w:rPr>
              <w:t>67.9</w:t>
            </w:r>
          </w:p>
        </w:tc>
        <w:tc>
          <w:tcPr>
            <w:tcW w:w="152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87EC024" w14:textId="7C76E728" w:rsidR="00D865A5" w:rsidRDefault="00D865A5"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z=</w:t>
            </w:r>
            <w:r w:rsidR="00E40A6D">
              <w:rPr>
                <w:rFonts w:ascii="Arial" w:eastAsia="Times New Roman" w:hAnsi="Arial" w:cs="Arial"/>
                <w:lang w:eastAsia="en-GB"/>
              </w:rPr>
              <w:t>2.694</w:t>
            </w:r>
          </w:p>
          <w:p w14:paraId="619E1518" w14:textId="77777777" w:rsidR="00D865A5" w:rsidRPr="002A47AD" w:rsidRDefault="00D865A5"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p=0.007</w:t>
            </w:r>
          </w:p>
        </w:tc>
      </w:tr>
      <w:tr w:rsidR="00D865A5" w:rsidRPr="002A47AD" w14:paraId="037163D1" w14:textId="77777777" w:rsidTr="006D0BDB">
        <w:tc>
          <w:tcPr>
            <w:tcW w:w="2258" w:type="dxa"/>
            <w:vMerge w:val="restart"/>
            <w:tcBorders>
              <w:top w:val="single" w:sz="4" w:space="0" w:color="auto"/>
              <w:left w:val="single" w:sz="8" w:space="0" w:color="auto"/>
              <w:right w:val="single" w:sz="8" w:space="0" w:color="auto"/>
            </w:tcBorders>
            <w:vAlign w:val="center"/>
            <w:hideMark/>
          </w:tcPr>
          <w:p w14:paraId="00308CED" w14:textId="77777777" w:rsidR="00D865A5" w:rsidRPr="002447EB" w:rsidRDefault="00D865A5" w:rsidP="009803A1">
            <w:pPr>
              <w:spacing w:beforeLines="20" w:before="48" w:afterLines="20" w:after="48" w:line="240" w:lineRule="auto"/>
              <w:ind w:left="142"/>
              <w:rPr>
                <w:rFonts w:ascii="Arial" w:eastAsia="Times New Roman" w:hAnsi="Arial" w:cs="Arial"/>
                <w:b/>
                <w:bCs/>
                <w:lang w:eastAsia="en-GB"/>
              </w:rPr>
            </w:pPr>
            <w:r>
              <w:rPr>
                <w:rFonts w:ascii="Arial" w:eastAsia="Times New Roman" w:hAnsi="Arial" w:cs="Arial"/>
                <w:b/>
                <w:bCs/>
                <w:lang w:eastAsia="en-GB"/>
              </w:rPr>
              <w:t>Total number of staff groups involved in care</w:t>
            </w: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19B125F" w14:textId="77777777" w:rsidR="00D865A5" w:rsidRPr="00CE76AF" w:rsidRDefault="00D865A5" w:rsidP="009803A1">
            <w:pPr>
              <w:spacing w:beforeLines="20" w:before="48" w:afterLines="20" w:after="48" w:line="240" w:lineRule="auto"/>
              <w:rPr>
                <w:rFonts w:ascii="Arial" w:eastAsia="Times New Roman" w:hAnsi="Arial" w:cs="Arial"/>
                <w:lang w:eastAsia="en-GB"/>
              </w:rPr>
            </w:pPr>
            <w:r>
              <w:rPr>
                <w:rFonts w:ascii="Arial" w:eastAsia="Times New Roman" w:hAnsi="Arial" w:cs="Arial"/>
                <w:lang w:eastAsia="en-GB"/>
              </w:rPr>
              <w:t>0/1</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CC226" w14:textId="2ED48B50" w:rsidR="00D865A5" w:rsidRDefault="00D865A5" w:rsidP="008F43EE">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w:t>
            </w:r>
            <w:r w:rsidR="008F43EE">
              <w:rPr>
                <w:rFonts w:ascii="Arial" w:eastAsia="Times New Roman" w:hAnsi="Arial" w:cs="Arial"/>
                <w:lang w:eastAsia="en-GB"/>
              </w:rPr>
              <w:t>2.8</w:t>
            </w:r>
          </w:p>
        </w:tc>
        <w:tc>
          <w:tcPr>
            <w:tcW w:w="1172" w:type="dxa"/>
            <w:tcBorders>
              <w:top w:val="single" w:sz="4" w:space="0" w:color="auto"/>
              <w:left w:val="single" w:sz="4" w:space="0" w:color="auto"/>
              <w:bottom w:val="single" w:sz="4" w:space="0" w:color="auto"/>
              <w:right w:val="single" w:sz="4" w:space="0" w:color="auto"/>
            </w:tcBorders>
          </w:tcPr>
          <w:p w14:paraId="2B56ACB5" w14:textId="45D93084" w:rsidR="00D865A5" w:rsidRPr="00D66C02" w:rsidRDefault="006D0BDB" w:rsidP="00D66C02">
            <w:pPr>
              <w:spacing w:beforeLines="20" w:before="48" w:afterLines="20" w:after="48" w:line="240" w:lineRule="auto"/>
              <w:jc w:val="center"/>
              <w:rPr>
                <w:rFonts w:ascii="Arial" w:eastAsia="Times New Roman" w:hAnsi="Arial" w:cs="Arial"/>
                <w:highlight w:val="yellow"/>
                <w:lang w:eastAsia="en-GB"/>
              </w:rPr>
            </w:pPr>
            <w:r>
              <w:rPr>
                <w:rFonts w:ascii="Arial" w:eastAsia="Times New Roman" w:hAnsi="Arial" w:cs="Arial"/>
                <w:highlight w:val="yellow"/>
                <w:lang w:eastAsia="en-GB"/>
              </w:rPr>
              <w:t>70.5</w:t>
            </w:r>
          </w:p>
        </w:tc>
        <w:tc>
          <w:tcPr>
            <w:tcW w:w="1522" w:type="dxa"/>
            <w:vMerge w:val="restart"/>
            <w:tcBorders>
              <w:top w:val="single" w:sz="4" w:space="0" w:color="auto"/>
              <w:left w:val="single" w:sz="4" w:space="0" w:color="auto"/>
              <w:right w:val="single" w:sz="8" w:space="0" w:color="auto"/>
            </w:tcBorders>
            <w:tcMar>
              <w:top w:w="0" w:type="dxa"/>
              <w:left w:w="108" w:type="dxa"/>
              <w:bottom w:w="0" w:type="dxa"/>
              <w:right w:w="108" w:type="dxa"/>
            </w:tcMar>
            <w:vAlign w:val="center"/>
            <w:hideMark/>
          </w:tcPr>
          <w:p w14:paraId="0B50E26E" w14:textId="3F039B33"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Rho</w:t>
            </w:r>
            <w:r w:rsidRPr="002A47AD">
              <w:rPr>
                <w:rFonts w:ascii="Arial" w:eastAsia="Times New Roman" w:hAnsi="Arial" w:cs="Arial"/>
                <w:i/>
                <w:iCs/>
                <w:lang w:eastAsia="en-GB"/>
              </w:rPr>
              <w:t xml:space="preserve">= </w:t>
            </w:r>
            <w:r>
              <w:rPr>
                <w:rFonts w:ascii="Arial" w:eastAsia="Times New Roman" w:hAnsi="Arial" w:cs="Arial"/>
                <w:lang w:eastAsia="en-GB"/>
              </w:rPr>
              <w:t>0.1</w:t>
            </w:r>
            <w:r w:rsidR="00E40A6D">
              <w:rPr>
                <w:rFonts w:ascii="Arial" w:eastAsia="Times New Roman" w:hAnsi="Arial" w:cs="Arial"/>
                <w:lang w:eastAsia="en-GB"/>
              </w:rPr>
              <w:t>80</w:t>
            </w:r>
          </w:p>
          <w:p w14:paraId="390B5966" w14:textId="5F9F94B4" w:rsidR="00D865A5" w:rsidRPr="002A47AD" w:rsidRDefault="00E40A6D" w:rsidP="00E40A6D">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p=0.001</w:t>
            </w:r>
          </w:p>
        </w:tc>
      </w:tr>
      <w:tr w:rsidR="00D865A5" w:rsidRPr="002A47AD" w14:paraId="390C1515" w14:textId="77777777" w:rsidTr="006D0BDB">
        <w:tc>
          <w:tcPr>
            <w:tcW w:w="2258" w:type="dxa"/>
            <w:vMerge/>
            <w:tcBorders>
              <w:left w:val="single" w:sz="8" w:space="0" w:color="auto"/>
              <w:right w:val="single" w:sz="8" w:space="0" w:color="auto"/>
            </w:tcBorders>
            <w:vAlign w:val="center"/>
            <w:hideMark/>
          </w:tcPr>
          <w:p w14:paraId="300F0086" w14:textId="77777777" w:rsidR="00D865A5" w:rsidRDefault="00D865A5" w:rsidP="009803A1">
            <w:pPr>
              <w:spacing w:beforeLines="20" w:before="48" w:afterLines="20" w:after="48" w:line="240" w:lineRule="auto"/>
              <w:ind w:left="142"/>
              <w:rPr>
                <w:rFonts w:ascii="Arial" w:eastAsia="Times New Roman" w:hAnsi="Arial" w:cs="Arial"/>
                <w:b/>
                <w:bCs/>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A93E5FA" w14:textId="77777777" w:rsidR="00D865A5" w:rsidRPr="00CE76AF" w:rsidRDefault="00D865A5" w:rsidP="009803A1">
            <w:pPr>
              <w:spacing w:beforeLines="20" w:before="48" w:afterLines="20" w:after="48" w:line="240" w:lineRule="auto"/>
              <w:rPr>
                <w:rFonts w:ascii="Arial" w:eastAsia="Times New Roman" w:hAnsi="Arial" w:cs="Arial"/>
                <w:lang w:eastAsia="en-GB"/>
              </w:rPr>
            </w:pPr>
            <w:r w:rsidRPr="00CE76AF">
              <w:rPr>
                <w:rFonts w:ascii="Arial" w:eastAsia="Times New Roman" w:hAnsi="Arial" w:cs="Arial"/>
                <w:lang w:eastAsia="en-GB"/>
              </w:rPr>
              <w:t>2</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EA84BC" w14:textId="2E2A5C5A" w:rsidR="00D865A5" w:rsidRDefault="008F43EE"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23.1</w:t>
            </w:r>
          </w:p>
        </w:tc>
        <w:tc>
          <w:tcPr>
            <w:tcW w:w="1172" w:type="dxa"/>
            <w:tcBorders>
              <w:top w:val="single" w:sz="4" w:space="0" w:color="auto"/>
              <w:left w:val="single" w:sz="4" w:space="0" w:color="auto"/>
              <w:bottom w:val="single" w:sz="4" w:space="0" w:color="auto"/>
              <w:right w:val="single" w:sz="4" w:space="0" w:color="auto"/>
            </w:tcBorders>
          </w:tcPr>
          <w:p w14:paraId="3D8E9213" w14:textId="19433BF6" w:rsidR="00D865A5" w:rsidRPr="00D66C02" w:rsidRDefault="006D0BDB" w:rsidP="00D66C02">
            <w:pPr>
              <w:spacing w:beforeLines="20" w:before="48" w:afterLines="20" w:after="48" w:line="240" w:lineRule="auto"/>
              <w:jc w:val="center"/>
              <w:rPr>
                <w:rFonts w:ascii="Arial" w:eastAsia="Times New Roman" w:hAnsi="Arial" w:cs="Arial"/>
                <w:highlight w:val="yellow"/>
                <w:lang w:eastAsia="en-GB"/>
              </w:rPr>
            </w:pPr>
            <w:r>
              <w:rPr>
                <w:rFonts w:ascii="Arial" w:eastAsia="Times New Roman" w:hAnsi="Arial" w:cs="Arial"/>
                <w:highlight w:val="yellow"/>
                <w:lang w:eastAsia="en-GB"/>
              </w:rPr>
              <w:t>72.6</w:t>
            </w:r>
          </w:p>
        </w:tc>
        <w:tc>
          <w:tcPr>
            <w:tcW w:w="1522" w:type="dxa"/>
            <w:vMerge/>
            <w:tcBorders>
              <w:left w:val="single" w:sz="4" w:space="0" w:color="auto"/>
              <w:right w:val="single" w:sz="8" w:space="0" w:color="auto"/>
            </w:tcBorders>
            <w:tcMar>
              <w:top w:w="0" w:type="dxa"/>
              <w:left w:w="108" w:type="dxa"/>
              <w:bottom w:w="0" w:type="dxa"/>
              <w:right w:w="108" w:type="dxa"/>
            </w:tcMar>
            <w:vAlign w:val="center"/>
            <w:hideMark/>
          </w:tcPr>
          <w:p w14:paraId="0DF2DCC4" w14:textId="372C6795" w:rsidR="00D865A5" w:rsidRPr="002A47AD" w:rsidRDefault="00D865A5" w:rsidP="009803A1">
            <w:pPr>
              <w:spacing w:beforeLines="20" w:before="48" w:afterLines="20" w:after="48" w:line="240" w:lineRule="auto"/>
              <w:jc w:val="center"/>
              <w:rPr>
                <w:rFonts w:ascii="Arial" w:eastAsia="Times New Roman" w:hAnsi="Arial" w:cs="Arial"/>
                <w:lang w:eastAsia="en-GB"/>
              </w:rPr>
            </w:pPr>
          </w:p>
        </w:tc>
      </w:tr>
      <w:tr w:rsidR="00D865A5" w:rsidRPr="002A47AD" w14:paraId="5432A91E" w14:textId="77777777" w:rsidTr="006D0BDB">
        <w:tc>
          <w:tcPr>
            <w:tcW w:w="2258" w:type="dxa"/>
            <w:vMerge/>
            <w:tcBorders>
              <w:left w:val="single" w:sz="8" w:space="0" w:color="auto"/>
              <w:right w:val="single" w:sz="8" w:space="0" w:color="auto"/>
            </w:tcBorders>
            <w:vAlign w:val="center"/>
            <w:hideMark/>
          </w:tcPr>
          <w:p w14:paraId="1F91A437" w14:textId="77777777" w:rsidR="00D865A5" w:rsidRDefault="00D865A5" w:rsidP="009803A1">
            <w:pPr>
              <w:spacing w:beforeLines="20" w:before="48" w:afterLines="20" w:after="48" w:line="240" w:lineRule="auto"/>
              <w:ind w:left="142"/>
              <w:rPr>
                <w:rFonts w:ascii="Arial" w:eastAsia="Times New Roman" w:hAnsi="Arial" w:cs="Arial"/>
                <w:b/>
                <w:bCs/>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155A6CD" w14:textId="77777777" w:rsidR="00D865A5" w:rsidRPr="00CE76AF" w:rsidRDefault="00D865A5" w:rsidP="009803A1">
            <w:pPr>
              <w:spacing w:beforeLines="20" w:before="48" w:afterLines="20" w:after="48" w:line="240" w:lineRule="auto"/>
              <w:rPr>
                <w:rFonts w:ascii="Arial" w:eastAsia="Times New Roman" w:hAnsi="Arial" w:cs="Arial"/>
                <w:lang w:eastAsia="en-GB"/>
              </w:rPr>
            </w:pPr>
            <w:r w:rsidRPr="00CE76AF">
              <w:rPr>
                <w:rFonts w:ascii="Arial" w:eastAsia="Times New Roman" w:hAnsi="Arial" w:cs="Arial"/>
                <w:lang w:eastAsia="en-GB"/>
              </w:rPr>
              <w:t>3</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ECD1A0" w14:textId="2318E16C" w:rsidR="00D865A5" w:rsidRDefault="008F43EE"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23.7</w:t>
            </w:r>
          </w:p>
        </w:tc>
        <w:tc>
          <w:tcPr>
            <w:tcW w:w="1172" w:type="dxa"/>
            <w:tcBorders>
              <w:top w:val="single" w:sz="4" w:space="0" w:color="auto"/>
              <w:left w:val="single" w:sz="4" w:space="0" w:color="auto"/>
              <w:bottom w:val="single" w:sz="4" w:space="0" w:color="auto"/>
              <w:right w:val="single" w:sz="4" w:space="0" w:color="auto"/>
            </w:tcBorders>
          </w:tcPr>
          <w:p w14:paraId="4973B1A7" w14:textId="0AF3414B" w:rsidR="00D865A5" w:rsidRPr="00D66C02" w:rsidRDefault="006D0BDB" w:rsidP="00D66C02">
            <w:pPr>
              <w:spacing w:beforeLines="20" w:before="48" w:afterLines="20" w:after="48" w:line="240" w:lineRule="auto"/>
              <w:jc w:val="center"/>
              <w:rPr>
                <w:rFonts w:ascii="Arial" w:eastAsia="Times New Roman" w:hAnsi="Arial" w:cs="Arial"/>
                <w:highlight w:val="yellow"/>
                <w:lang w:eastAsia="en-GB"/>
              </w:rPr>
            </w:pPr>
            <w:r>
              <w:rPr>
                <w:rFonts w:ascii="Arial" w:eastAsia="Times New Roman" w:hAnsi="Arial" w:cs="Arial"/>
                <w:highlight w:val="yellow"/>
                <w:lang w:eastAsia="en-GB"/>
              </w:rPr>
              <w:t>68.7</w:t>
            </w:r>
          </w:p>
        </w:tc>
        <w:tc>
          <w:tcPr>
            <w:tcW w:w="1522" w:type="dxa"/>
            <w:vMerge/>
            <w:tcBorders>
              <w:left w:val="single" w:sz="4" w:space="0" w:color="auto"/>
              <w:right w:val="single" w:sz="8" w:space="0" w:color="auto"/>
            </w:tcBorders>
            <w:tcMar>
              <w:top w:w="0" w:type="dxa"/>
              <w:left w:w="108" w:type="dxa"/>
              <w:bottom w:w="0" w:type="dxa"/>
              <w:right w:w="108" w:type="dxa"/>
            </w:tcMar>
            <w:vAlign w:val="center"/>
            <w:hideMark/>
          </w:tcPr>
          <w:p w14:paraId="4132C815" w14:textId="2186BFAA" w:rsidR="00D865A5" w:rsidRPr="002A47AD" w:rsidRDefault="00D865A5" w:rsidP="009803A1">
            <w:pPr>
              <w:spacing w:beforeLines="20" w:before="48" w:afterLines="20" w:after="48" w:line="240" w:lineRule="auto"/>
              <w:jc w:val="center"/>
              <w:rPr>
                <w:rFonts w:ascii="Arial" w:eastAsia="Times New Roman" w:hAnsi="Arial" w:cs="Arial"/>
                <w:lang w:eastAsia="en-GB"/>
              </w:rPr>
            </w:pPr>
          </w:p>
        </w:tc>
      </w:tr>
      <w:tr w:rsidR="00D865A5" w:rsidRPr="002A47AD" w14:paraId="0796DF1E" w14:textId="77777777" w:rsidTr="006D0BDB">
        <w:tc>
          <w:tcPr>
            <w:tcW w:w="2258" w:type="dxa"/>
            <w:vMerge/>
            <w:tcBorders>
              <w:left w:val="single" w:sz="8" w:space="0" w:color="auto"/>
              <w:bottom w:val="single" w:sz="4" w:space="0" w:color="auto"/>
              <w:right w:val="single" w:sz="8" w:space="0" w:color="auto"/>
            </w:tcBorders>
            <w:vAlign w:val="center"/>
            <w:hideMark/>
          </w:tcPr>
          <w:p w14:paraId="368EB56C" w14:textId="77777777" w:rsidR="00D865A5" w:rsidRDefault="00D865A5" w:rsidP="009803A1">
            <w:pPr>
              <w:spacing w:beforeLines="20" w:before="48" w:afterLines="20" w:after="48" w:line="240" w:lineRule="auto"/>
              <w:ind w:left="142"/>
              <w:rPr>
                <w:rFonts w:ascii="Arial" w:eastAsia="Times New Roman" w:hAnsi="Arial" w:cs="Arial"/>
                <w:b/>
                <w:bCs/>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BD2BBB1" w14:textId="77777777" w:rsidR="00D865A5" w:rsidRPr="00CE76AF" w:rsidRDefault="00D865A5" w:rsidP="009803A1">
            <w:pPr>
              <w:spacing w:beforeLines="20" w:before="48" w:afterLines="20" w:after="48" w:line="240" w:lineRule="auto"/>
              <w:rPr>
                <w:rFonts w:ascii="Arial" w:eastAsia="Times New Roman" w:hAnsi="Arial" w:cs="Arial"/>
                <w:lang w:eastAsia="en-GB"/>
              </w:rPr>
            </w:pPr>
            <w:r>
              <w:rPr>
                <w:rFonts w:ascii="Arial" w:eastAsia="Times New Roman" w:hAnsi="Arial" w:cs="Arial"/>
                <w:lang w:eastAsia="en-GB"/>
              </w:rPr>
              <w:t>4+</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772567" w14:textId="7E24CDE7" w:rsidR="00D865A5" w:rsidRDefault="008F43EE"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37.0</w:t>
            </w:r>
          </w:p>
        </w:tc>
        <w:tc>
          <w:tcPr>
            <w:tcW w:w="1172" w:type="dxa"/>
            <w:tcBorders>
              <w:top w:val="single" w:sz="4" w:space="0" w:color="auto"/>
              <w:left w:val="single" w:sz="4" w:space="0" w:color="auto"/>
              <w:bottom w:val="single" w:sz="4" w:space="0" w:color="auto"/>
              <w:right w:val="single" w:sz="4" w:space="0" w:color="auto"/>
            </w:tcBorders>
          </w:tcPr>
          <w:p w14:paraId="3A7D9338" w14:textId="402F62F1" w:rsidR="00D865A5" w:rsidRPr="00D66C02" w:rsidRDefault="006D0BDB" w:rsidP="00D66C02">
            <w:pPr>
              <w:spacing w:beforeLines="20" w:before="48" w:afterLines="20" w:after="48" w:line="240" w:lineRule="auto"/>
              <w:jc w:val="center"/>
              <w:rPr>
                <w:rFonts w:ascii="Arial" w:eastAsia="Times New Roman" w:hAnsi="Arial" w:cs="Arial"/>
                <w:highlight w:val="yellow"/>
                <w:lang w:eastAsia="en-GB"/>
              </w:rPr>
            </w:pPr>
            <w:r>
              <w:rPr>
                <w:rFonts w:ascii="Arial" w:eastAsia="Times New Roman" w:hAnsi="Arial" w:cs="Arial"/>
                <w:highlight w:val="yellow"/>
                <w:lang w:eastAsia="en-GB"/>
              </w:rPr>
              <w:t>59.9</w:t>
            </w:r>
          </w:p>
        </w:tc>
        <w:tc>
          <w:tcPr>
            <w:tcW w:w="152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BE2D1C9" w14:textId="767325C9" w:rsidR="00D865A5" w:rsidRPr="002A47AD" w:rsidRDefault="00D865A5" w:rsidP="009803A1">
            <w:pPr>
              <w:spacing w:beforeLines="20" w:before="48" w:afterLines="20" w:after="48" w:line="240" w:lineRule="auto"/>
              <w:jc w:val="center"/>
              <w:rPr>
                <w:rFonts w:ascii="Arial" w:eastAsia="Times New Roman" w:hAnsi="Arial" w:cs="Arial"/>
                <w:lang w:eastAsia="en-GB"/>
              </w:rPr>
            </w:pPr>
          </w:p>
        </w:tc>
      </w:tr>
      <w:tr w:rsidR="00D865A5" w:rsidRPr="002A47AD" w14:paraId="7A558CC5" w14:textId="77777777" w:rsidTr="00D66C02">
        <w:tc>
          <w:tcPr>
            <w:tcW w:w="2258" w:type="dxa"/>
            <w:vMerge w:val="restart"/>
            <w:tcBorders>
              <w:top w:val="single" w:sz="4" w:space="0" w:color="auto"/>
              <w:left w:val="single" w:sz="8" w:space="0" w:color="auto"/>
              <w:bottom w:val="single" w:sz="4" w:space="0" w:color="auto"/>
              <w:right w:val="single" w:sz="8" w:space="0" w:color="auto"/>
            </w:tcBorders>
            <w:vAlign w:val="center"/>
            <w:hideMark/>
          </w:tcPr>
          <w:p w14:paraId="41FA463C" w14:textId="77777777" w:rsidR="00D865A5" w:rsidRPr="002A47AD" w:rsidRDefault="00D865A5" w:rsidP="009803A1">
            <w:pPr>
              <w:spacing w:beforeLines="20" w:before="48" w:afterLines="20" w:after="48" w:line="240" w:lineRule="auto"/>
              <w:ind w:left="142"/>
              <w:rPr>
                <w:rFonts w:ascii="Arial" w:eastAsia="Times New Roman" w:hAnsi="Arial" w:cs="Arial"/>
                <w:lang w:eastAsia="en-GB"/>
              </w:rPr>
            </w:pPr>
            <w:r w:rsidRPr="002447EB">
              <w:rPr>
                <w:rFonts w:ascii="Arial" w:eastAsia="Times New Roman" w:hAnsi="Arial" w:cs="Arial"/>
                <w:b/>
                <w:bCs/>
                <w:lang w:eastAsia="en-GB"/>
              </w:rPr>
              <w:t>NHS Trust</w:t>
            </w: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9653873"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Pr>
                <w:rFonts w:ascii="Arial" w:eastAsia="Times New Roman" w:hAnsi="Arial" w:cs="Arial"/>
                <w:i/>
                <w:lang w:eastAsia="en-GB"/>
              </w:rPr>
              <w:t>Site A</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B3366A5" w14:textId="77777777" w:rsidR="00D865A5" w:rsidRPr="002A47AD" w:rsidRDefault="00D865A5"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28.6</w:t>
            </w:r>
          </w:p>
        </w:tc>
        <w:tc>
          <w:tcPr>
            <w:tcW w:w="1172" w:type="dxa"/>
            <w:tcBorders>
              <w:top w:val="single" w:sz="4" w:space="0" w:color="auto"/>
              <w:left w:val="nil"/>
              <w:bottom w:val="single" w:sz="4" w:space="0" w:color="auto"/>
              <w:right w:val="single" w:sz="4" w:space="0" w:color="auto"/>
            </w:tcBorders>
          </w:tcPr>
          <w:p w14:paraId="686F4A1F" w14:textId="0EEC5496" w:rsidR="00D865A5" w:rsidRPr="00D66C02" w:rsidRDefault="006D0BDB" w:rsidP="00D66C02">
            <w:pPr>
              <w:spacing w:beforeLines="20" w:before="48" w:afterLines="20" w:after="48" w:line="240" w:lineRule="auto"/>
              <w:jc w:val="center"/>
              <w:rPr>
                <w:rFonts w:ascii="Arial" w:eastAsia="Times New Roman" w:hAnsi="Arial" w:cs="Arial"/>
                <w:highlight w:val="yellow"/>
                <w:lang w:eastAsia="en-GB"/>
              </w:rPr>
            </w:pPr>
            <w:r>
              <w:rPr>
                <w:rFonts w:ascii="Arial" w:eastAsia="Times New Roman" w:hAnsi="Arial" w:cs="Arial"/>
                <w:highlight w:val="yellow"/>
                <w:lang w:eastAsia="en-GB"/>
              </w:rPr>
              <w:t>63.3</w:t>
            </w:r>
          </w:p>
        </w:tc>
        <w:tc>
          <w:tcPr>
            <w:tcW w:w="1522" w:type="dxa"/>
            <w:vMerge w:val="restar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DF5C418" w14:textId="64F4D475" w:rsidR="00D865A5" w:rsidRPr="002A47AD" w:rsidRDefault="00D865A5" w:rsidP="009803A1">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χ</w:t>
            </w:r>
            <w:r w:rsidRPr="002A47AD">
              <w:rPr>
                <w:rFonts w:ascii="Arial" w:eastAsia="Times New Roman" w:hAnsi="Arial" w:cs="Arial"/>
                <w:vertAlign w:val="superscript"/>
                <w:lang w:eastAsia="en-GB"/>
              </w:rPr>
              <w:t>2</w:t>
            </w:r>
            <w:r w:rsidRPr="002A47AD">
              <w:rPr>
                <w:rFonts w:ascii="Arial" w:eastAsia="Times New Roman" w:hAnsi="Arial" w:cs="Arial"/>
                <w:lang w:eastAsia="en-GB"/>
              </w:rPr>
              <w:t>(</w:t>
            </w:r>
            <w:r>
              <w:rPr>
                <w:rFonts w:ascii="Arial" w:eastAsia="Times New Roman" w:hAnsi="Arial" w:cs="Arial"/>
                <w:lang w:eastAsia="en-GB"/>
              </w:rPr>
              <w:t>3</w:t>
            </w:r>
            <w:r w:rsidRPr="002A47AD">
              <w:rPr>
                <w:rFonts w:ascii="Arial" w:eastAsia="Times New Roman" w:hAnsi="Arial" w:cs="Arial"/>
                <w:lang w:eastAsia="en-GB"/>
              </w:rPr>
              <w:t>)=</w:t>
            </w:r>
            <w:r>
              <w:rPr>
                <w:rFonts w:ascii="Arial" w:eastAsia="Times New Roman" w:hAnsi="Arial" w:cs="Arial"/>
                <w:lang w:eastAsia="en-GB"/>
              </w:rPr>
              <w:t>1.</w:t>
            </w:r>
            <w:r w:rsidR="00E40A6D">
              <w:rPr>
                <w:rFonts w:ascii="Arial" w:eastAsia="Times New Roman" w:hAnsi="Arial" w:cs="Arial"/>
                <w:lang w:eastAsia="en-GB"/>
              </w:rPr>
              <w:t>82</w:t>
            </w:r>
          </w:p>
          <w:p w14:paraId="5870CC2C" w14:textId="01300225" w:rsidR="00D865A5" w:rsidRPr="002A47AD" w:rsidRDefault="00D865A5" w:rsidP="00E40A6D">
            <w:pPr>
              <w:spacing w:beforeLines="20" w:before="48" w:afterLines="20" w:after="48" w:line="240" w:lineRule="auto"/>
              <w:jc w:val="center"/>
              <w:rPr>
                <w:rFonts w:ascii="Arial" w:eastAsia="Times New Roman" w:hAnsi="Arial" w:cs="Arial"/>
                <w:lang w:eastAsia="en-GB"/>
              </w:rPr>
            </w:pPr>
            <w:r w:rsidRPr="002A47AD">
              <w:rPr>
                <w:rFonts w:ascii="Arial" w:eastAsia="Times New Roman" w:hAnsi="Arial" w:cs="Arial"/>
                <w:lang w:eastAsia="en-GB"/>
              </w:rPr>
              <w:t>p</w:t>
            </w:r>
            <w:r w:rsidR="00E40A6D">
              <w:rPr>
                <w:rFonts w:ascii="Arial" w:eastAsia="Times New Roman" w:hAnsi="Arial" w:cs="Arial"/>
                <w:lang w:eastAsia="en-GB"/>
              </w:rPr>
              <w:t>=0.610</w:t>
            </w:r>
          </w:p>
        </w:tc>
      </w:tr>
      <w:tr w:rsidR="00D865A5" w:rsidRPr="002A47AD" w14:paraId="758F4C65" w14:textId="77777777" w:rsidTr="00D66C02">
        <w:tc>
          <w:tcPr>
            <w:tcW w:w="2258" w:type="dxa"/>
            <w:vMerge/>
            <w:tcBorders>
              <w:top w:val="single" w:sz="4" w:space="0" w:color="auto"/>
              <w:left w:val="single" w:sz="8" w:space="0" w:color="auto"/>
              <w:bottom w:val="single" w:sz="4" w:space="0" w:color="auto"/>
              <w:right w:val="single" w:sz="8" w:space="0" w:color="auto"/>
            </w:tcBorders>
            <w:vAlign w:val="center"/>
            <w:hideMark/>
          </w:tcPr>
          <w:p w14:paraId="3F066B23"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448E412" w14:textId="77777777" w:rsidR="00D865A5" w:rsidRPr="002A47AD" w:rsidRDefault="00D865A5" w:rsidP="009803A1">
            <w:pPr>
              <w:spacing w:beforeLines="20" w:before="48" w:afterLines="20" w:after="48" w:line="240" w:lineRule="auto"/>
              <w:rPr>
                <w:rFonts w:ascii="Arial" w:eastAsia="Times New Roman" w:hAnsi="Arial" w:cs="Arial"/>
                <w:i/>
                <w:lang w:eastAsia="en-GB"/>
              </w:rPr>
            </w:pPr>
            <w:r>
              <w:rPr>
                <w:rFonts w:ascii="Arial" w:eastAsia="Times New Roman" w:hAnsi="Arial" w:cs="Arial"/>
                <w:i/>
                <w:lang w:eastAsia="en-GB"/>
              </w:rPr>
              <w:t>Site B</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B6275E2" w14:textId="090D41DC" w:rsidR="00D865A5" w:rsidRPr="002A47AD" w:rsidRDefault="008F43EE"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13.2</w:t>
            </w:r>
          </w:p>
        </w:tc>
        <w:tc>
          <w:tcPr>
            <w:tcW w:w="1172" w:type="dxa"/>
            <w:tcBorders>
              <w:top w:val="single" w:sz="4" w:space="0" w:color="auto"/>
              <w:left w:val="nil"/>
              <w:bottom w:val="single" w:sz="4" w:space="0" w:color="auto"/>
              <w:right w:val="single" w:sz="4" w:space="0" w:color="auto"/>
            </w:tcBorders>
          </w:tcPr>
          <w:p w14:paraId="6DF1B2EF" w14:textId="4065B7D7" w:rsidR="00D865A5" w:rsidRPr="00D66C02" w:rsidRDefault="006D0BDB" w:rsidP="00D66C02">
            <w:pPr>
              <w:spacing w:beforeLines="20" w:before="48" w:afterLines="20" w:after="48" w:line="240" w:lineRule="auto"/>
              <w:jc w:val="center"/>
              <w:rPr>
                <w:rFonts w:ascii="Arial" w:eastAsia="Times New Roman" w:hAnsi="Arial" w:cs="Arial"/>
                <w:highlight w:val="yellow"/>
                <w:lang w:eastAsia="en-GB"/>
              </w:rPr>
            </w:pPr>
            <w:r>
              <w:rPr>
                <w:rFonts w:ascii="Arial" w:eastAsia="Times New Roman" w:hAnsi="Arial" w:cs="Arial"/>
                <w:highlight w:val="yellow"/>
                <w:lang w:eastAsia="en-GB"/>
              </w:rPr>
              <w:t>69.9</w:t>
            </w:r>
          </w:p>
        </w:tc>
        <w:tc>
          <w:tcPr>
            <w:tcW w:w="1522" w:type="dxa"/>
            <w:vMerge/>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B5135F1" w14:textId="107B86DE" w:rsidR="00D865A5" w:rsidRPr="002A47AD" w:rsidRDefault="00D865A5" w:rsidP="009803A1">
            <w:pPr>
              <w:spacing w:beforeLines="20" w:before="48" w:afterLines="20" w:after="48" w:line="240" w:lineRule="auto"/>
              <w:jc w:val="center"/>
              <w:rPr>
                <w:rFonts w:ascii="Arial" w:eastAsia="Times New Roman" w:hAnsi="Arial" w:cs="Arial"/>
                <w:lang w:eastAsia="en-GB"/>
              </w:rPr>
            </w:pPr>
          </w:p>
        </w:tc>
      </w:tr>
      <w:tr w:rsidR="00D865A5" w:rsidRPr="002A47AD" w14:paraId="2B8A609F" w14:textId="77777777" w:rsidTr="00D66C02">
        <w:tc>
          <w:tcPr>
            <w:tcW w:w="2258" w:type="dxa"/>
            <w:vMerge/>
            <w:tcBorders>
              <w:left w:val="single" w:sz="8" w:space="0" w:color="auto"/>
              <w:bottom w:val="single" w:sz="4" w:space="0" w:color="auto"/>
              <w:right w:val="single" w:sz="8" w:space="0" w:color="auto"/>
            </w:tcBorders>
            <w:vAlign w:val="center"/>
          </w:tcPr>
          <w:p w14:paraId="1572A39F"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9FBD803" w14:textId="77777777" w:rsidR="00D865A5" w:rsidRDefault="00D865A5" w:rsidP="009803A1">
            <w:pPr>
              <w:spacing w:beforeLines="20" w:before="48" w:afterLines="20" w:after="48" w:line="240" w:lineRule="auto"/>
              <w:rPr>
                <w:rFonts w:ascii="Arial" w:eastAsia="Times New Roman" w:hAnsi="Arial" w:cs="Arial"/>
                <w:i/>
                <w:lang w:eastAsia="en-GB"/>
              </w:rPr>
            </w:pPr>
            <w:r>
              <w:rPr>
                <w:rFonts w:ascii="Arial" w:eastAsia="Times New Roman" w:hAnsi="Arial" w:cs="Arial"/>
                <w:i/>
                <w:lang w:eastAsia="en-GB"/>
              </w:rPr>
              <w:t>Site C</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D9ACF57" w14:textId="1386376A" w:rsidR="00D865A5" w:rsidRPr="002A47AD" w:rsidRDefault="00D865A5" w:rsidP="008F43EE">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15.</w:t>
            </w:r>
            <w:r w:rsidR="008F43EE">
              <w:rPr>
                <w:rFonts w:ascii="Arial" w:eastAsia="Times New Roman" w:hAnsi="Arial" w:cs="Arial"/>
                <w:lang w:eastAsia="en-GB"/>
              </w:rPr>
              <w:t>6</w:t>
            </w:r>
          </w:p>
        </w:tc>
        <w:tc>
          <w:tcPr>
            <w:tcW w:w="1172" w:type="dxa"/>
            <w:tcBorders>
              <w:left w:val="nil"/>
              <w:bottom w:val="single" w:sz="4" w:space="0" w:color="auto"/>
              <w:right w:val="single" w:sz="4" w:space="0" w:color="auto"/>
            </w:tcBorders>
          </w:tcPr>
          <w:p w14:paraId="4B1E5760" w14:textId="5192AFFA" w:rsidR="00D865A5" w:rsidRPr="00D66C02" w:rsidRDefault="006D0BDB" w:rsidP="00D66C02">
            <w:pPr>
              <w:spacing w:beforeLines="20" w:before="48" w:afterLines="20" w:after="48" w:line="240" w:lineRule="auto"/>
              <w:jc w:val="center"/>
              <w:rPr>
                <w:rFonts w:ascii="Arial" w:eastAsia="Times New Roman" w:hAnsi="Arial" w:cs="Arial"/>
                <w:highlight w:val="yellow"/>
                <w:lang w:eastAsia="en-GB"/>
              </w:rPr>
            </w:pPr>
            <w:r>
              <w:rPr>
                <w:rFonts w:ascii="Arial" w:eastAsia="Times New Roman" w:hAnsi="Arial" w:cs="Arial"/>
                <w:highlight w:val="yellow"/>
                <w:lang w:eastAsia="en-GB"/>
              </w:rPr>
              <w:t>72.1</w:t>
            </w:r>
          </w:p>
        </w:tc>
        <w:tc>
          <w:tcPr>
            <w:tcW w:w="152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37113E28" w14:textId="6C6A752E" w:rsidR="00D865A5" w:rsidRPr="002A47AD" w:rsidRDefault="00D865A5" w:rsidP="009803A1">
            <w:pPr>
              <w:spacing w:beforeLines="20" w:before="48" w:afterLines="20" w:after="48" w:line="240" w:lineRule="auto"/>
              <w:jc w:val="center"/>
              <w:rPr>
                <w:rFonts w:ascii="Arial" w:eastAsia="Times New Roman" w:hAnsi="Arial" w:cs="Arial"/>
                <w:lang w:eastAsia="en-GB"/>
              </w:rPr>
            </w:pPr>
          </w:p>
        </w:tc>
      </w:tr>
      <w:tr w:rsidR="00D865A5" w:rsidRPr="002A47AD" w14:paraId="77975809" w14:textId="77777777" w:rsidTr="00D66C02">
        <w:tc>
          <w:tcPr>
            <w:tcW w:w="2258" w:type="dxa"/>
            <w:vMerge/>
            <w:tcBorders>
              <w:left w:val="single" w:sz="8" w:space="0" w:color="auto"/>
              <w:bottom w:val="single" w:sz="4" w:space="0" w:color="auto"/>
              <w:right w:val="single" w:sz="8" w:space="0" w:color="auto"/>
            </w:tcBorders>
            <w:vAlign w:val="center"/>
          </w:tcPr>
          <w:p w14:paraId="76A9704D" w14:textId="77777777" w:rsidR="00D865A5" w:rsidRPr="002A47AD" w:rsidRDefault="00D865A5" w:rsidP="009803A1">
            <w:pPr>
              <w:spacing w:beforeLines="20" w:before="48" w:afterLines="20" w:after="48" w:line="240" w:lineRule="auto"/>
              <w:rPr>
                <w:rFonts w:ascii="Arial" w:eastAsia="Times New Roman" w:hAnsi="Arial" w:cs="Arial"/>
                <w:lang w:eastAsia="en-GB"/>
              </w:rPr>
            </w:pPr>
          </w:p>
        </w:tc>
        <w:tc>
          <w:tcPr>
            <w:tcW w:w="326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D46312F" w14:textId="77777777" w:rsidR="00D865A5" w:rsidRDefault="00D865A5" w:rsidP="009803A1">
            <w:pPr>
              <w:spacing w:beforeLines="20" w:before="48" w:afterLines="20" w:after="48" w:line="240" w:lineRule="auto"/>
              <w:rPr>
                <w:rFonts w:ascii="Arial" w:eastAsia="Times New Roman" w:hAnsi="Arial" w:cs="Arial"/>
                <w:i/>
                <w:lang w:eastAsia="en-GB"/>
              </w:rPr>
            </w:pPr>
            <w:r>
              <w:rPr>
                <w:rFonts w:ascii="Arial" w:eastAsia="Times New Roman" w:hAnsi="Arial" w:cs="Arial"/>
                <w:i/>
                <w:lang w:eastAsia="en-GB"/>
              </w:rPr>
              <w:t>Site D</w:t>
            </w:r>
          </w:p>
        </w:tc>
        <w:tc>
          <w:tcPr>
            <w:tcW w:w="8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8D9B19D" w14:textId="77777777" w:rsidR="00D865A5" w:rsidRPr="002A47AD" w:rsidRDefault="00D865A5" w:rsidP="009803A1">
            <w:pPr>
              <w:spacing w:beforeLines="20" w:before="48" w:afterLines="20" w:after="48" w:line="240" w:lineRule="auto"/>
              <w:jc w:val="center"/>
              <w:rPr>
                <w:rFonts w:ascii="Arial" w:eastAsia="Times New Roman" w:hAnsi="Arial" w:cs="Arial"/>
                <w:lang w:eastAsia="en-GB"/>
              </w:rPr>
            </w:pPr>
            <w:r>
              <w:rPr>
                <w:rFonts w:ascii="Arial" w:eastAsia="Times New Roman" w:hAnsi="Arial" w:cs="Arial"/>
                <w:lang w:eastAsia="en-GB"/>
              </w:rPr>
              <w:t>26.4</w:t>
            </w:r>
          </w:p>
        </w:tc>
        <w:tc>
          <w:tcPr>
            <w:tcW w:w="1172" w:type="dxa"/>
            <w:tcBorders>
              <w:left w:val="nil"/>
              <w:bottom w:val="single" w:sz="4" w:space="0" w:color="auto"/>
              <w:right w:val="single" w:sz="4" w:space="0" w:color="auto"/>
            </w:tcBorders>
          </w:tcPr>
          <w:p w14:paraId="4C2CF4AF" w14:textId="70A693DF" w:rsidR="00D865A5" w:rsidRPr="00D66C02" w:rsidRDefault="006D0BDB" w:rsidP="00D66C02">
            <w:pPr>
              <w:spacing w:beforeLines="20" w:before="48" w:afterLines="20" w:after="48" w:line="240" w:lineRule="auto"/>
              <w:jc w:val="center"/>
              <w:rPr>
                <w:rFonts w:ascii="Arial" w:eastAsia="Times New Roman" w:hAnsi="Arial" w:cs="Arial"/>
                <w:highlight w:val="yellow"/>
                <w:lang w:eastAsia="en-GB"/>
              </w:rPr>
            </w:pPr>
            <w:r>
              <w:rPr>
                <w:rFonts w:ascii="Arial" w:eastAsia="Times New Roman" w:hAnsi="Arial" w:cs="Arial"/>
                <w:highlight w:val="yellow"/>
                <w:lang w:eastAsia="en-GB"/>
              </w:rPr>
              <w:t>74.5</w:t>
            </w:r>
          </w:p>
        </w:tc>
        <w:tc>
          <w:tcPr>
            <w:tcW w:w="152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027FB033" w14:textId="660AECD8" w:rsidR="00D865A5" w:rsidRPr="002A47AD" w:rsidRDefault="00D865A5" w:rsidP="009803A1">
            <w:pPr>
              <w:spacing w:beforeLines="20" w:before="48" w:afterLines="20" w:after="48" w:line="240" w:lineRule="auto"/>
              <w:jc w:val="center"/>
              <w:rPr>
                <w:rFonts w:ascii="Arial" w:eastAsia="Times New Roman" w:hAnsi="Arial" w:cs="Arial"/>
                <w:lang w:eastAsia="en-GB"/>
              </w:rPr>
            </w:pPr>
          </w:p>
        </w:tc>
      </w:tr>
    </w:tbl>
    <w:p w14:paraId="0419445E" w14:textId="77777777" w:rsidR="00C43662" w:rsidRPr="00C43662" w:rsidRDefault="00C43662" w:rsidP="005E38B9">
      <w:pPr>
        <w:spacing w:after="0" w:line="240" w:lineRule="auto"/>
        <w:rPr>
          <w:rFonts w:ascii="Times New Roman" w:eastAsia="Times New Roman" w:hAnsi="Times New Roman" w:cs="Times New Roman"/>
          <w:sz w:val="24"/>
          <w:szCs w:val="24"/>
          <w:lang w:eastAsia="en-GB"/>
        </w:rPr>
      </w:pPr>
    </w:p>
    <w:p w14:paraId="58606E56" w14:textId="77777777" w:rsidR="00884DE3" w:rsidRDefault="00884DE3" w:rsidP="005E38B9">
      <w:pPr>
        <w:spacing w:after="0" w:line="360" w:lineRule="auto"/>
        <w:rPr>
          <w:rFonts w:ascii="Arial" w:hAnsi="Arial" w:cs="Arial"/>
          <w:b/>
        </w:rPr>
      </w:pPr>
    </w:p>
    <w:p w14:paraId="0675CF2F" w14:textId="0B9BEB4F" w:rsidR="00AC20A6" w:rsidRDefault="00AC20A6" w:rsidP="004F5F2E">
      <w:pPr>
        <w:spacing w:after="0" w:line="360" w:lineRule="auto"/>
        <w:outlineLvl w:val="0"/>
        <w:rPr>
          <w:rFonts w:ascii="Arial" w:hAnsi="Arial" w:cs="Arial"/>
          <w:b/>
        </w:rPr>
      </w:pPr>
      <w:r>
        <w:rPr>
          <w:rFonts w:ascii="Arial" w:hAnsi="Arial" w:cs="Arial"/>
          <w:b/>
        </w:rPr>
        <w:t xml:space="preserve">Table 4: </w:t>
      </w:r>
      <w:r w:rsidR="004B6D18">
        <w:rPr>
          <w:rFonts w:ascii="Arial" w:hAnsi="Arial" w:cs="Arial"/>
          <w:b/>
        </w:rPr>
        <w:t>Exploratory ordinary l</w:t>
      </w:r>
      <w:r w:rsidR="000F504C">
        <w:rPr>
          <w:rFonts w:ascii="Arial" w:hAnsi="Arial" w:cs="Arial"/>
          <w:b/>
        </w:rPr>
        <w:t>east squares regression</w:t>
      </w:r>
      <w:r>
        <w:rPr>
          <w:rFonts w:ascii="Arial" w:hAnsi="Arial" w:cs="Arial"/>
          <w:b/>
        </w:rPr>
        <w:t xml:space="preserve"> </w:t>
      </w:r>
      <w:r w:rsidR="004B6D18">
        <w:rPr>
          <w:rFonts w:ascii="Arial" w:hAnsi="Arial" w:cs="Arial"/>
          <w:b/>
        </w:rPr>
        <w:t>of NPS score</w:t>
      </w:r>
      <w:r w:rsidR="00EA22E9">
        <w:rPr>
          <w:rFonts w:ascii="Arial" w:hAnsi="Arial" w:cs="Arial"/>
          <w:b/>
        </w:rPr>
        <w:t xml:space="preserve"> (n=33</w:t>
      </w:r>
      <w:r w:rsidR="00E40A6D">
        <w:rPr>
          <w:rFonts w:ascii="Arial" w:hAnsi="Arial" w:cs="Arial"/>
          <w:b/>
        </w:rPr>
        <w:t>2</w:t>
      </w:r>
      <w:r w:rsidR="00EA22E9">
        <w:rPr>
          <w:rFonts w:ascii="Arial" w:hAnsi="Arial" w:cs="Arial"/>
          <w:b/>
        </w:rPr>
        <w:t>)</w:t>
      </w:r>
    </w:p>
    <w:tbl>
      <w:tblPr>
        <w:tblW w:w="9292" w:type="dxa"/>
        <w:tblInd w:w="108" w:type="dxa"/>
        <w:tblCellMar>
          <w:left w:w="0" w:type="dxa"/>
          <w:right w:w="0" w:type="dxa"/>
        </w:tblCellMar>
        <w:tblLook w:val="04A0" w:firstRow="1" w:lastRow="0" w:firstColumn="1" w:lastColumn="0" w:noHBand="0" w:noVBand="1"/>
      </w:tblPr>
      <w:tblGrid>
        <w:gridCol w:w="2418"/>
        <w:gridCol w:w="1977"/>
        <w:gridCol w:w="1353"/>
        <w:gridCol w:w="1346"/>
        <w:gridCol w:w="1099"/>
        <w:gridCol w:w="1099"/>
      </w:tblGrid>
      <w:tr w:rsidR="004B6D18" w:rsidRPr="002A47AD" w14:paraId="0F51A74C" w14:textId="77777777" w:rsidTr="00884DE3">
        <w:tc>
          <w:tcPr>
            <w:tcW w:w="241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099EDCD" w14:textId="77777777" w:rsidR="004B6D18" w:rsidRPr="002A47AD" w:rsidRDefault="004B6D18" w:rsidP="009803A1">
            <w:pPr>
              <w:spacing w:beforeLines="40" w:before="96" w:afterLines="40" w:after="96" w:line="240" w:lineRule="auto"/>
              <w:rPr>
                <w:rFonts w:ascii="Arial" w:eastAsia="Times New Roman" w:hAnsi="Arial" w:cs="Arial"/>
                <w:lang w:eastAsia="en-GB"/>
              </w:rPr>
            </w:pPr>
            <w:r w:rsidRPr="002A47AD">
              <w:rPr>
                <w:rFonts w:ascii="Arial" w:eastAsia="Times New Roman" w:hAnsi="Arial" w:cs="Arial"/>
                <w:i/>
                <w:iCs/>
                <w:lang w:eastAsia="en-GB"/>
              </w:rPr>
              <w:t> </w:t>
            </w:r>
          </w:p>
        </w:tc>
        <w:tc>
          <w:tcPr>
            <w:tcW w:w="1977" w:type="dxa"/>
            <w:tcBorders>
              <w:top w:val="single" w:sz="4" w:space="0" w:color="auto"/>
              <w:left w:val="nil"/>
              <w:bottom w:val="single" w:sz="8" w:space="0" w:color="auto"/>
              <w:right w:val="single" w:sz="4" w:space="0" w:color="auto"/>
            </w:tcBorders>
            <w:vAlign w:val="center"/>
          </w:tcPr>
          <w:p w14:paraId="5C44C65C" w14:textId="77777777" w:rsidR="004B6D18" w:rsidRDefault="004B6D18" w:rsidP="009803A1">
            <w:pPr>
              <w:spacing w:beforeLines="40" w:before="96" w:afterLines="40" w:after="96" w:line="240" w:lineRule="auto"/>
              <w:rPr>
                <w:rFonts w:ascii="Arial" w:eastAsia="Times New Roman" w:hAnsi="Arial" w:cs="Arial"/>
                <w:b/>
                <w:bCs/>
                <w:lang w:eastAsia="en-GB"/>
              </w:rPr>
            </w:pPr>
          </w:p>
        </w:tc>
        <w:tc>
          <w:tcPr>
            <w:tcW w:w="135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57A9F0C" w14:textId="77777777" w:rsidR="004B6D18" w:rsidRPr="002A47AD" w:rsidRDefault="004B6D18" w:rsidP="009803A1">
            <w:pPr>
              <w:spacing w:beforeLines="40" w:before="96" w:afterLines="40" w:after="96" w:line="240" w:lineRule="auto"/>
              <w:jc w:val="center"/>
              <w:rPr>
                <w:rFonts w:ascii="Arial" w:eastAsia="Times New Roman" w:hAnsi="Arial" w:cs="Arial"/>
                <w:lang w:eastAsia="en-GB"/>
              </w:rPr>
            </w:pPr>
            <w:r>
              <w:rPr>
                <w:rFonts w:ascii="Arial" w:eastAsia="Times New Roman" w:hAnsi="Arial" w:cs="Arial"/>
                <w:b/>
                <w:bCs/>
                <w:lang w:eastAsia="en-GB"/>
              </w:rPr>
              <w:t>Coefficient</w:t>
            </w:r>
          </w:p>
        </w:tc>
        <w:tc>
          <w:tcPr>
            <w:tcW w:w="1346" w:type="dxa"/>
            <w:tcBorders>
              <w:top w:val="single" w:sz="4" w:space="0" w:color="auto"/>
              <w:left w:val="nil"/>
              <w:bottom w:val="single" w:sz="8" w:space="0" w:color="auto"/>
              <w:right w:val="single" w:sz="4" w:space="0" w:color="auto"/>
            </w:tcBorders>
          </w:tcPr>
          <w:p w14:paraId="5C347137" w14:textId="77777777" w:rsidR="004B6D18" w:rsidRDefault="004B6D18" w:rsidP="009803A1">
            <w:pPr>
              <w:spacing w:beforeLines="40" w:before="96" w:afterLines="40" w:after="96" w:line="240" w:lineRule="auto"/>
              <w:jc w:val="center"/>
              <w:rPr>
                <w:rFonts w:ascii="Arial" w:eastAsia="Times New Roman" w:hAnsi="Arial" w:cs="Arial"/>
                <w:b/>
                <w:bCs/>
                <w:lang w:eastAsia="en-GB"/>
              </w:rPr>
            </w:pPr>
            <w:r>
              <w:rPr>
                <w:rFonts w:ascii="Arial" w:eastAsia="Times New Roman" w:hAnsi="Arial" w:cs="Arial"/>
                <w:b/>
                <w:bCs/>
                <w:lang w:eastAsia="en-GB"/>
              </w:rPr>
              <w:t>Std error</w:t>
            </w:r>
          </w:p>
        </w:tc>
        <w:tc>
          <w:tcPr>
            <w:tcW w:w="1099" w:type="dxa"/>
            <w:tcBorders>
              <w:top w:val="single" w:sz="4" w:space="0" w:color="auto"/>
              <w:left w:val="single" w:sz="4" w:space="0" w:color="auto"/>
              <w:bottom w:val="single" w:sz="8" w:space="0" w:color="auto"/>
              <w:right w:val="single" w:sz="4" w:space="0" w:color="auto"/>
            </w:tcBorders>
          </w:tcPr>
          <w:p w14:paraId="62E82D5C" w14:textId="77777777" w:rsidR="004B6D18" w:rsidRDefault="004B6D18" w:rsidP="009803A1">
            <w:pPr>
              <w:spacing w:beforeLines="40" w:before="96" w:afterLines="40" w:after="96" w:line="240" w:lineRule="auto"/>
              <w:jc w:val="center"/>
              <w:rPr>
                <w:rFonts w:ascii="Arial" w:eastAsia="Times New Roman" w:hAnsi="Arial" w:cs="Arial"/>
                <w:b/>
                <w:bCs/>
                <w:lang w:eastAsia="en-GB"/>
              </w:rPr>
            </w:pPr>
            <w:r>
              <w:rPr>
                <w:rFonts w:ascii="Arial" w:eastAsia="Times New Roman" w:hAnsi="Arial" w:cs="Arial"/>
                <w:b/>
                <w:bCs/>
                <w:lang w:eastAsia="en-GB"/>
              </w:rPr>
              <w:t>t</w:t>
            </w:r>
          </w:p>
        </w:tc>
        <w:tc>
          <w:tcPr>
            <w:tcW w:w="1099" w:type="dxa"/>
            <w:tcBorders>
              <w:top w:val="single" w:sz="4" w:space="0" w:color="auto"/>
              <w:left w:val="single" w:sz="4" w:space="0" w:color="auto"/>
              <w:bottom w:val="single" w:sz="8" w:space="0" w:color="auto"/>
              <w:right w:val="single" w:sz="4" w:space="0" w:color="auto"/>
            </w:tcBorders>
          </w:tcPr>
          <w:p w14:paraId="00210F39" w14:textId="77777777" w:rsidR="004B6D18" w:rsidRDefault="004B6D18" w:rsidP="009803A1">
            <w:pPr>
              <w:spacing w:beforeLines="40" w:before="96" w:afterLines="40" w:after="96" w:line="240" w:lineRule="auto"/>
              <w:jc w:val="center"/>
              <w:rPr>
                <w:rFonts w:ascii="Arial" w:eastAsia="Times New Roman" w:hAnsi="Arial" w:cs="Arial"/>
                <w:b/>
                <w:bCs/>
                <w:lang w:eastAsia="en-GB"/>
              </w:rPr>
            </w:pPr>
            <w:r>
              <w:rPr>
                <w:rFonts w:ascii="Arial" w:eastAsia="Times New Roman" w:hAnsi="Arial" w:cs="Arial"/>
                <w:b/>
                <w:bCs/>
                <w:lang w:eastAsia="en-GB"/>
              </w:rPr>
              <w:t>p</w:t>
            </w:r>
          </w:p>
        </w:tc>
      </w:tr>
      <w:tr w:rsidR="0031382A" w:rsidRPr="002A47AD" w14:paraId="5B8E5765" w14:textId="77777777" w:rsidTr="00884DE3">
        <w:tc>
          <w:tcPr>
            <w:tcW w:w="439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A8BBAD1" w14:textId="77777777" w:rsidR="0031382A" w:rsidRDefault="0031382A" w:rsidP="009803A1">
            <w:pPr>
              <w:spacing w:beforeLines="40" w:before="96" w:afterLines="40" w:after="96" w:line="240" w:lineRule="auto"/>
              <w:rPr>
                <w:rFonts w:ascii="Arial" w:eastAsia="Times New Roman" w:hAnsi="Arial" w:cs="Arial"/>
                <w:lang w:eastAsia="en-GB"/>
              </w:rPr>
            </w:pPr>
            <w:r w:rsidRPr="00CF4409">
              <w:rPr>
                <w:rFonts w:ascii="Arial" w:eastAsia="Times New Roman" w:hAnsi="Arial" w:cs="Arial"/>
                <w:lang w:eastAsia="en-GB"/>
              </w:rPr>
              <w:t>Age</w:t>
            </w:r>
            <w:r>
              <w:rPr>
                <w:rFonts w:ascii="Arial" w:eastAsia="Times New Roman" w:hAnsi="Arial" w:cs="Arial"/>
                <w:lang w:eastAsia="en-GB"/>
              </w:rPr>
              <w:t xml:space="preserve"> (years)</w:t>
            </w:r>
          </w:p>
        </w:tc>
        <w:tc>
          <w:tcPr>
            <w:tcW w:w="1353"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D8AD293" w14:textId="06973238" w:rsidR="0031382A" w:rsidRPr="002A47AD" w:rsidRDefault="00AA257D"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-1.320</w:t>
            </w:r>
          </w:p>
        </w:tc>
        <w:tc>
          <w:tcPr>
            <w:tcW w:w="0" w:type="auto"/>
            <w:tcBorders>
              <w:top w:val="nil"/>
              <w:left w:val="nil"/>
              <w:bottom w:val="single" w:sz="8" w:space="0" w:color="auto"/>
              <w:right w:val="single" w:sz="4" w:space="0" w:color="auto"/>
            </w:tcBorders>
            <w:vAlign w:val="center"/>
          </w:tcPr>
          <w:p w14:paraId="01BD3DFA" w14:textId="1CE3EE7A" w:rsidR="0031382A" w:rsidRPr="002A47AD" w:rsidRDefault="0031382A" w:rsidP="009803A1">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0</w:t>
            </w:r>
            <w:r w:rsidR="00AA257D">
              <w:rPr>
                <w:rFonts w:ascii="Arial" w:eastAsia="Times New Roman" w:hAnsi="Arial" w:cs="Arial"/>
                <w:lang w:eastAsia="en-GB"/>
              </w:rPr>
              <w:t>.56</w:t>
            </w:r>
          </w:p>
        </w:tc>
        <w:tc>
          <w:tcPr>
            <w:tcW w:w="1099" w:type="dxa"/>
            <w:tcBorders>
              <w:top w:val="nil"/>
              <w:left w:val="single" w:sz="4" w:space="0" w:color="auto"/>
              <w:bottom w:val="single" w:sz="8" w:space="0" w:color="auto"/>
              <w:right w:val="single" w:sz="4" w:space="0" w:color="auto"/>
            </w:tcBorders>
            <w:vAlign w:val="center"/>
          </w:tcPr>
          <w:p w14:paraId="53FF5AF0" w14:textId="6937E181" w:rsidR="0031382A"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-2.</w:t>
            </w:r>
            <w:r w:rsidR="00AA257D">
              <w:rPr>
                <w:rFonts w:ascii="Arial" w:eastAsia="Times New Roman" w:hAnsi="Arial" w:cs="Arial"/>
                <w:lang w:eastAsia="en-GB"/>
              </w:rPr>
              <w:t>36</w:t>
            </w:r>
          </w:p>
        </w:tc>
        <w:tc>
          <w:tcPr>
            <w:tcW w:w="1099" w:type="dxa"/>
            <w:tcBorders>
              <w:top w:val="nil"/>
              <w:left w:val="single" w:sz="4" w:space="0" w:color="auto"/>
              <w:bottom w:val="single" w:sz="8" w:space="0" w:color="auto"/>
              <w:right w:val="single" w:sz="4" w:space="0" w:color="auto"/>
            </w:tcBorders>
            <w:vAlign w:val="center"/>
          </w:tcPr>
          <w:p w14:paraId="06508F19" w14:textId="05CCA0E1" w:rsidR="0031382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0.0</w:t>
            </w:r>
            <w:r w:rsidR="00AA257D">
              <w:rPr>
                <w:rFonts w:ascii="Arial" w:eastAsia="Times New Roman" w:hAnsi="Arial" w:cs="Arial"/>
                <w:lang w:eastAsia="en-GB"/>
              </w:rPr>
              <w:t>19</w:t>
            </w:r>
          </w:p>
        </w:tc>
      </w:tr>
      <w:tr w:rsidR="0000570A" w:rsidRPr="002A47AD" w14:paraId="2A602D30" w14:textId="77777777" w:rsidTr="00884DE3">
        <w:tc>
          <w:tcPr>
            <w:tcW w:w="439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EBBA90F" w14:textId="77777777" w:rsidR="0000570A" w:rsidRDefault="0000570A" w:rsidP="009803A1">
            <w:pPr>
              <w:spacing w:beforeLines="40" w:before="96" w:afterLines="40" w:after="96" w:line="240" w:lineRule="auto"/>
              <w:rPr>
                <w:rFonts w:ascii="Arial" w:eastAsia="Times New Roman" w:hAnsi="Arial" w:cs="Arial"/>
                <w:lang w:eastAsia="en-GB"/>
              </w:rPr>
            </w:pPr>
            <w:r w:rsidRPr="00932BAD">
              <w:rPr>
                <w:rFonts w:ascii="Arial" w:eastAsia="Times New Roman" w:hAnsi="Arial" w:cs="Arial"/>
                <w:lang w:eastAsia="en-GB"/>
              </w:rPr>
              <w:t>On caseload for under six months</w:t>
            </w:r>
          </w:p>
        </w:tc>
        <w:tc>
          <w:tcPr>
            <w:tcW w:w="1353"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051AFD2" w14:textId="7C85FA2D" w:rsidR="0000570A" w:rsidRPr="002A47AD" w:rsidRDefault="0000570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-3</w:t>
            </w:r>
            <w:r w:rsidR="0031382A">
              <w:rPr>
                <w:rFonts w:ascii="Arial" w:eastAsia="Times New Roman" w:hAnsi="Arial" w:cs="Arial"/>
                <w:lang w:eastAsia="en-GB"/>
              </w:rPr>
              <w:t>6.</w:t>
            </w:r>
            <w:r w:rsidR="00AA257D">
              <w:rPr>
                <w:rFonts w:ascii="Arial" w:eastAsia="Times New Roman" w:hAnsi="Arial" w:cs="Arial"/>
                <w:lang w:eastAsia="en-GB"/>
              </w:rPr>
              <w:t>25</w:t>
            </w:r>
          </w:p>
        </w:tc>
        <w:tc>
          <w:tcPr>
            <w:tcW w:w="0" w:type="auto"/>
            <w:tcBorders>
              <w:top w:val="nil"/>
              <w:left w:val="nil"/>
              <w:bottom w:val="single" w:sz="8" w:space="0" w:color="auto"/>
              <w:right w:val="single" w:sz="4" w:space="0" w:color="auto"/>
            </w:tcBorders>
            <w:vAlign w:val="center"/>
          </w:tcPr>
          <w:p w14:paraId="58D2B912" w14:textId="2D86446B" w:rsidR="0000570A" w:rsidRPr="002A47AD" w:rsidRDefault="0000570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9.9</w:t>
            </w:r>
            <w:r w:rsidR="00AA257D">
              <w:rPr>
                <w:rFonts w:ascii="Arial" w:eastAsia="Times New Roman" w:hAnsi="Arial" w:cs="Arial"/>
                <w:lang w:eastAsia="en-GB"/>
              </w:rPr>
              <w:t>8</w:t>
            </w:r>
          </w:p>
        </w:tc>
        <w:tc>
          <w:tcPr>
            <w:tcW w:w="1099" w:type="dxa"/>
            <w:tcBorders>
              <w:top w:val="nil"/>
              <w:left w:val="single" w:sz="4" w:space="0" w:color="auto"/>
              <w:bottom w:val="single" w:sz="8" w:space="0" w:color="auto"/>
              <w:right w:val="single" w:sz="4" w:space="0" w:color="auto"/>
            </w:tcBorders>
            <w:vAlign w:val="center"/>
          </w:tcPr>
          <w:p w14:paraId="2712C0B5" w14:textId="36AE64A2" w:rsidR="0000570A" w:rsidRDefault="0000570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-3.</w:t>
            </w:r>
            <w:r w:rsidR="0031382A">
              <w:rPr>
                <w:rFonts w:ascii="Arial" w:eastAsia="Times New Roman" w:hAnsi="Arial" w:cs="Arial"/>
                <w:lang w:eastAsia="en-GB"/>
              </w:rPr>
              <w:t>6</w:t>
            </w:r>
            <w:r w:rsidR="00AA257D">
              <w:rPr>
                <w:rFonts w:ascii="Arial" w:eastAsia="Times New Roman" w:hAnsi="Arial" w:cs="Arial"/>
                <w:lang w:eastAsia="en-GB"/>
              </w:rPr>
              <w:t>3</w:t>
            </w:r>
          </w:p>
        </w:tc>
        <w:tc>
          <w:tcPr>
            <w:tcW w:w="1099" w:type="dxa"/>
            <w:tcBorders>
              <w:top w:val="nil"/>
              <w:left w:val="single" w:sz="4" w:space="0" w:color="auto"/>
              <w:bottom w:val="single" w:sz="8" w:space="0" w:color="auto"/>
              <w:right w:val="single" w:sz="4" w:space="0" w:color="auto"/>
            </w:tcBorders>
            <w:vAlign w:val="center"/>
          </w:tcPr>
          <w:p w14:paraId="1577A777" w14:textId="77777777" w:rsidR="0000570A" w:rsidRPr="002A47AD" w:rsidRDefault="0000570A" w:rsidP="009803A1">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&lt;0.001</w:t>
            </w:r>
          </w:p>
        </w:tc>
      </w:tr>
      <w:tr w:rsidR="00932BAD" w:rsidRPr="002A47AD" w14:paraId="4BCD52BC" w14:textId="77777777" w:rsidTr="00884DE3">
        <w:tc>
          <w:tcPr>
            <w:tcW w:w="2418" w:type="dxa"/>
            <w:vMerge w:val="restart"/>
            <w:tcBorders>
              <w:top w:val="nil"/>
              <w:left w:val="single" w:sz="4" w:space="0" w:color="auto"/>
              <w:right w:val="single" w:sz="8" w:space="0" w:color="auto"/>
            </w:tcBorders>
            <w:tcMar>
              <w:top w:w="0" w:type="dxa"/>
              <w:left w:w="108" w:type="dxa"/>
              <w:bottom w:w="0" w:type="dxa"/>
              <w:right w:w="108" w:type="dxa"/>
            </w:tcMar>
            <w:vAlign w:val="center"/>
            <w:hideMark/>
          </w:tcPr>
          <w:p w14:paraId="46B263AD" w14:textId="77777777" w:rsidR="00932BAD" w:rsidRDefault="00932BAD" w:rsidP="009803A1">
            <w:pPr>
              <w:spacing w:beforeLines="40" w:before="96" w:afterLines="40" w:after="96" w:line="240" w:lineRule="auto"/>
              <w:rPr>
                <w:rFonts w:ascii="Arial" w:eastAsia="Times New Roman" w:hAnsi="Arial" w:cs="Arial"/>
                <w:lang w:eastAsia="en-GB"/>
              </w:rPr>
            </w:pPr>
            <w:r w:rsidRPr="00932BAD">
              <w:rPr>
                <w:rFonts w:ascii="Arial" w:eastAsia="Times New Roman" w:hAnsi="Arial" w:cs="Arial"/>
                <w:lang w:eastAsia="en-GB"/>
              </w:rPr>
              <w:t xml:space="preserve"> Diagnosis </w:t>
            </w:r>
          </w:p>
          <w:p w14:paraId="44A6CA80" w14:textId="77777777" w:rsidR="00932BAD" w:rsidRPr="00932BAD" w:rsidRDefault="00932BAD" w:rsidP="009803A1">
            <w:pPr>
              <w:spacing w:beforeLines="40" w:before="96" w:afterLines="40" w:after="96" w:line="240" w:lineRule="auto"/>
              <w:rPr>
                <w:rFonts w:ascii="Arial" w:eastAsia="Times New Roman" w:hAnsi="Arial" w:cs="Arial"/>
                <w:lang w:eastAsia="en-GB"/>
              </w:rPr>
            </w:pPr>
            <w:r w:rsidRPr="00932BAD">
              <w:rPr>
                <w:rFonts w:ascii="Arial" w:eastAsia="Times New Roman" w:hAnsi="Arial" w:cs="Arial"/>
                <w:lang w:eastAsia="en-GB"/>
              </w:rPr>
              <w:t>(ref: Functional, non-psychosis)</w:t>
            </w:r>
          </w:p>
        </w:tc>
        <w:tc>
          <w:tcPr>
            <w:tcW w:w="1977" w:type="dxa"/>
            <w:tcBorders>
              <w:top w:val="nil"/>
              <w:left w:val="nil"/>
              <w:bottom w:val="single" w:sz="8" w:space="0" w:color="auto"/>
              <w:right w:val="single" w:sz="4" w:space="0" w:color="auto"/>
            </w:tcBorders>
            <w:vAlign w:val="center"/>
          </w:tcPr>
          <w:p w14:paraId="4DB3647E" w14:textId="77777777" w:rsidR="00932BAD" w:rsidRPr="002A47AD" w:rsidRDefault="00932BAD" w:rsidP="009803A1">
            <w:pPr>
              <w:spacing w:beforeLines="40" w:before="96" w:afterLines="40" w:after="96" w:line="240" w:lineRule="auto"/>
              <w:rPr>
                <w:rFonts w:ascii="Arial" w:eastAsia="Times New Roman" w:hAnsi="Arial" w:cs="Arial"/>
                <w:lang w:eastAsia="en-GB"/>
              </w:rPr>
            </w:pPr>
            <w:r>
              <w:rPr>
                <w:rFonts w:ascii="Arial" w:eastAsia="Times New Roman" w:hAnsi="Arial" w:cs="Arial"/>
                <w:lang w:eastAsia="en-GB"/>
              </w:rPr>
              <w:t>Organic</w:t>
            </w:r>
          </w:p>
        </w:tc>
        <w:tc>
          <w:tcPr>
            <w:tcW w:w="1353"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623275D" w14:textId="3F114BA0" w:rsidR="00932BAD"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-10.</w:t>
            </w:r>
            <w:r w:rsidR="00AA257D">
              <w:rPr>
                <w:rFonts w:ascii="Arial" w:eastAsia="Times New Roman" w:hAnsi="Arial" w:cs="Arial"/>
                <w:lang w:eastAsia="en-GB"/>
              </w:rPr>
              <w:t>30</w:t>
            </w:r>
          </w:p>
        </w:tc>
        <w:tc>
          <w:tcPr>
            <w:tcW w:w="0" w:type="auto"/>
            <w:tcBorders>
              <w:top w:val="nil"/>
              <w:left w:val="nil"/>
              <w:bottom w:val="single" w:sz="8" w:space="0" w:color="auto"/>
              <w:right w:val="single" w:sz="4" w:space="0" w:color="auto"/>
            </w:tcBorders>
            <w:vAlign w:val="center"/>
          </w:tcPr>
          <w:p w14:paraId="3DAA02B6" w14:textId="14EF5DA8" w:rsidR="00932BAD" w:rsidRPr="002A47AD" w:rsidRDefault="00AA257D"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14.38</w:t>
            </w:r>
          </w:p>
        </w:tc>
        <w:tc>
          <w:tcPr>
            <w:tcW w:w="1099" w:type="dxa"/>
            <w:tcBorders>
              <w:top w:val="nil"/>
              <w:left w:val="single" w:sz="4" w:space="0" w:color="auto"/>
              <w:bottom w:val="single" w:sz="8" w:space="0" w:color="auto"/>
              <w:right w:val="single" w:sz="4" w:space="0" w:color="auto"/>
            </w:tcBorders>
            <w:vAlign w:val="center"/>
          </w:tcPr>
          <w:p w14:paraId="3E36D78F" w14:textId="77777777" w:rsidR="00932BAD" w:rsidRPr="002A47AD" w:rsidRDefault="0031382A" w:rsidP="009803A1">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-1.06</w:t>
            </w:r>
          </w:p>
        </w:tc>
        <w:tc>
          <w:tcPr>
            <w:tcW w:w="1099" w:type="dxa"/>
            <w:tcBorders>
              <w:top w:val="nil"/>
              <w:left w:val="single" w:sz="4" w:space="0" w:color="auto"/>
              <w:bottom w:val="single" w:sz="8" w:space="0" w:color="auto"/>
              <w:right w:val="single" w:sz="4" w:space="0" w:color="auto"/>
            </w:tcBorders>
            <w:vAlign w:val="center"/>
          </w:tcPr>
          <w:p w14:paraId="58F861D0" w14:textId="77777777" w:rsidR="00932BAD" w:rsidRPr="002A47AD" w:rsidRDefault="0031382A" w:rsidP="009803A1">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0.291</w:t>
            </w:r>
          </w:p>
        </w:tc>
      </w:tr>
      <w:tr w:rsidR="00932BAD" w:rsidRPr="002A47AD" w14:paraId="071DAA18" w14:textId="77777777" w:rsidTr="00884DE3">
        <w:tc>
          <w:tcPr>
            <w:tcW w:w="2418" w:type="dxa"/>
            <w:vMerge/>
            <w:tcBorders>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EEBDEE6" w14:textId="77777777" w:rsidR="00932BAD" w:rsidRPr="00932BAD" w:rsidRDefault="00932BAD" w:rsidP="009803A1">
            <w:pPr>
              <w:spacing w:beforeLines="40" w:before="96" w:afterLines="40" w:after="96" w:line="240" w:lineRule="auto"/>
              <w:rPr>
                <w:rFonts w:ascii="Arial" w:eastAsia="Times New Roman" w:hAnsi="Arial" w:cs="Arial"/>
                <w:lang w:eastAsia="en-GB"/>
              </w:rPr>
            </w:pPr>
          </w:p>
        </w:tc>
        <w:tc>
          <w:tcPr>
            <w:tcW w:w="1977" w:type="dxa"/>
            <w:tcBorders>
              <w:top w:val="nil"/>
              <w:left w:val="nil"/>
              <w:bottom w:val="single" w:sz="8" w:space="0" w:color="auto"/>
              <w:right w:val="single" w:sz="4" w:space="0" w:color="auto"/>
            </w:tcBorders>
            <w:vAlign w:val="center"/>
          </w:tcPr>
          <w:p w14:paraId="59D2E6E9" w14:textId="77777777" w:rsidR="00932BAD" w:rsidRPr="002A47AD" w:rsidRDefault="00932BAD" w:rsidP="009803A1">
            <w:pPr>
              <w:spacing w:beforeLines="40" w:before="96" w:afterLines="40" w:after="96" w:line="240" w:lineRule="auto"/>
              <w:rPr>
                <w:rFonts w:ascii="Arial" w:eastAsia="Times New Roman" w:hAnsi="Arial" w:cs="Arial"/>
                <w:lang w:eastAsia="en-GB"/>
              </w:rPr>
            </w:pPr>
            <w:r>
              <w:rPr>
                <w:rFonts w:ascii="Arial" w:eastAsia="Times New Roman" w:hAnsi="Arial" w:cs="Arial"/>
                <w:lang w:eastAsia="en-GB"/>
              </w:rPr>
              <w:t>Psychosis</w:t>
            </w:r>
          </w:p>
        </w:tc>
        <w:tc>
          <w:tcPr>
            <w:tcW w:w="1353"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AF14BD2" w14:textId="152C34D0" w:rsidR="00932BAD"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-2</w:t>
            </w:r>
            <w:r w:rsidR="00AA257D">
              <w:rPr>
                <w:rFonts w:ascii="Arial" w:eastAsia="Times New Roman" w:hAnsi="Arial" w:cs="Arial"/>
                <w:lang w:eastAsia="en-GB"/>
              </w:rPr>
              <w:t>2.90</w:t>
            </w:r>
          </w:p>
        </w:tc>
        <w:tc>
          <w:tcPr>
            <w:tcW w:w="1346" w:type="dxa"/>
            <w:tcBorders>
              <w:top w:val="nil"/>
              <w:left w:val="nil"/>
              <w:bottom w:val="single" w:sz="8" w:space="0" w:color="auto"/>
              <w:right w:val="single" w:sz="4" w:space="0" w:color="auto"/>
            </w:tcBorders>
            <w:vAlign w:val="center"/>
          </w:tcPr>
          <w:p w14:paraId="65F65C3A" w14:textId="53F9FAEC" w:rsidR="00932BAD"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14.</w:t>
            </w:r>
            <w:r w:rsidR="00AA257D">
              <w:rPr>
                <w:rFonts w:ascii="Arial" w:eastAsia="Times New Roman" w:hAnsi="Arial" w:cs="Arial"/>
                <w:lang w:eastAsia="en-GB"/>
              </w:rPr>
              <w:t>38</w:t>
            </w:r>
          </w:p>
        </w:tc>
        <w:tc>
          <w:tcPr>
            <w:tcW w:w="1099" w:type="dxa"/>
            <w:tcBorders>
              <w:top w:val="nil"/>
              <w:left w:val="single" w:sz="4" w:space="0" w:color="auto"/>
              <w:bottom w:val="single" w:sz="8" w:space="0" w:color="auto"/>
              <w:right w:val="single" w:sz="4" w:space="0" w:color="auto"/>
            </w:tcBorders>
            <w:vAlign w:val="center"/>
          </w:tcPr>
          <w:p w14:paraId="373D0BF7" w14:textId="1C5CFC9A" w:rsidR="00932BAD"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-1.</w:t>
            </w:r>
            <w:r w:rsidR="00AA257D">
              <w:rPr>
                <w:rFonts w:ascii="Arial" w:eastAsia="Times New Roman" w:hAnsi="Arial" w:cs="Arial"/>
                <w:lang w:eastAsia="en-GB"/>
              </w:rPr>
              <w:t>59</w:t>
            </w:r>
          </w:p>
        </w:tc>
        <w:tc>
          <w:tcPr>
            <w:tcW w:w="1099" w:type="dxa"/>
            <w:tcBorders>
              <w:top w:val="nil"/>
              <w:left w:val="single" w:sz="4" w:space="0" w:color="auto"/>
              <w:bottom w:val="single" w:sz="8" w:space="0" w:color="auto"/>
              <w:right w:val="single" w:sz="4" w:space="0" w:color="auto"/>
            </w:tcBorders>
            <w:vAlign w:val="center"/>
          </w:tcPr>
          <w:p w14:paraId="3C00D5FA" w14:textId="4828D097" w:rsidR="00932BAD" w:rsidRPr="002A47AD" w:rsidRDefault="00B07E37"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0.</w:t>
            </w:r>
            <w:r w:rsidR="00AA257D">
              <w:rPr>
                <w:rFonts w:ascii="Arial" w:eastAsia="Times New Roman" w:hAnsi="Arial" w:cs="Arial"/>
                <w:lang w:eastAsia="en-GB"/>
              </w:rPr>
              <w:t>112</w:t>
            </w:r>
          </w:p>
        </w:tc>
      </w:tr>
      <w:tr w:rsidR="0000570A" w:rsidRPr="002A47AD" w14:paraId="6183AE09" w14:textId="77777777" w:rsidTr="00884DE3">
        <w:tc>
          <w:tcPr>
            <w:tcW w:w="2418" w:type="dxa"/>
            <w:vMerge w:val="restart"/>
            <w:tcBorders>
              <w:top w:val="single" w:sz="8" w:space="0" w:color="auto"/>
              <w:left w:val="single" w:sz="4" w:space="0" w:color="auto"/>
              <w:right w:val="single" w:sz="8" w:space="0" w:color="auto"/>
            </w:tcBorders>
            <w:tcMar>
              <w:top w:w="0" w:type="dxa"/>
              <w:left w:w="108" w:type="dxa"/>
              <w:bottom w:w="0" w:type="dxa"/>
              <w:right w:w="108" w:type="dxa"/>
            </w:tcMar>
            <w:vAlign w:val="center"/>
            <w:hideMark/>
          </w:tcPr>
          <w:p w14:paraId="18131F22" w14:textId="77777777" w:rsidR="0000570A" w:rsidRPr="00932BAD" w:rsidRDefault="0000570A" w:rsidP="009803A1">
            <w:pPr>
              <w:spacing w:beforeLines="40" w:before="96" w:afterLines="40" w:after="96" w:line="240" w:lineRule="auto"/>
              <w:rPr>
                <w:rFonts w:ascii="Arial" w:eastAsia="Times New Roman" w:hAnsi="Arial" w:cs="Arial"/>
                <w:lang w:eastAsia="en-GB"/>
              </w:rPr>
            </w:pPr>
            <w:r w:rsidRPr="00932BAD">
              <w:rPr>
                <w:rFonts w:ascii="Arial" w:eastAsia="Times New Roman" w:hAnsi="Arial" w:cs="Arial"/>
                <w:lang w:eastAsia="en-GB"/>
              </w:rPr>
              <w:t>Staff groups seen</w:t>
            </w:r>
          </w:p>
        </w:tc>
        <w:tc>
          <w:tcPr>
            <w:tcW w:w="1977" w:type="dxa"/>
            <w:tcBorders>
              <w:top w:val="single" w:sz="8" w:space="0" w:color="auto"/>
              <w:left w:val="nil"/>
              <w:bottom w:val="single" w:sz="4" w:space="0" w:color="auto"/>
              <w:right w:val="single" w:sz="4" w:space="0" w:color="auto"/>
            </w:tcBorders>
            <w:vAlign w:val="center"/>
          </w:tcPr>
          <w:p w14:paraId="309E089C" w14:textId="77777777" w:rsidR="0000570A" w:rsidRPr="002A47AD" w:rsidRDefault="0000570A" w:rsidP="009803A1">
            <w:pPr>
              <w:spacing w:beforeLines="40" w:before="96" w:afterLines="40" w:after="96" w:line="240" w:lineRule="auto"/>
              <w:rPr>
                <w:rFonts w:ascii="Arial" w:eastAsia="Times New Roman" w:hAnsi="Arial" w:cs="Arial"/>
                <w:lang w:eastAsia="en-GB"/>
              </w:rPr>
            </w:pPr>
            <w:r>
              <w:rPr>
                <w:rFonts w:ascii="Arial" w:eastAsia="Times New Roman" w:hAnsi="Arial" w:cs="Arial"/>
                <w:lang w:eastAsia="en-GB"/>
              </w:rPr>
              <w:t>Psychiatrist</w:t>
            </w:r>
          </w:p>
        </w:tc>
        <w:tc>
          <w:tcPr>
            <w:tcW w:w="1353"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9BD176C" w14:textId="7BE140AA" w:rsidR="0000570A" w:rsidRPr="002A47AD" w:rsidRDefault="00AA257D" w:rsidP="009803A1">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17.32</w:t>
            </w:r>
          </w:p>
        </w:tc>
        <w:tc>
          <w:tcPr>
            <w:tcW w:w="1346" w:type="dxa"/>
            <w:tcBorders>
              <w:top w:val="single" w:sz="8" w:space="0" w:color="auto"/>
              <w:left w:val="nil"/>
              <w:bottom w:val="single" w:sz="4" w:space="0" w:color="auto"/>
              <w:right w:val="single" w:sz="4" w:space="0" w:color="auto"/>
            </w:tcBorders>
            <w:vAlign w:val="center"/>
          </w:tcPr>
          <w:p w14:paraId="26386067" w14:textId="2E16815F" w:rsidR="0000570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8.8</w:t>
            </w:r>
            <w:r w:rsidR="00AA257D">
              <w:rPr>
                <w:rFonts w:ascii="Arial" w:eastAsia="Times New Roman" w:hAnsi="Arial" w:cs="Arial"/>
                <w:lang w:eastAsia="en-GB"/>
              </w:rPr>
              <w:t>9</w:t>
            </w:r>
          </w:p>
        </w:tc>
        <w:tc>
          <w:tcPr>
            <w:tcW w:w="1099" w:type="dxa"/>
            <w:tcBorders>
              <w:top w:val="single" w:sz="8" w:space="0" w:color="auto"/>
              <w:left w:val="single" w:sz="4" w:space="0" w:color="auto"/>
              <w:bottom w:val="single" w:sz="4" w:space="0" w:color="auto"/>
              <w:right w:val="single" w:sz="4" w:space="0" w:color="auto"/>
            </w:tcBorders>
            <w:vAlign w:val="center"/>
          </w:tcPr>
          <w:p w14:paraId="5BD724E9" w14:textId="645EBE1B" w:rsidR="0000570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1.9</w:t>
            </w:r>
            <w:r w:rsidR="00AA257D">
              <w:rPr>
                <w:rFonts w:ascii="Arial" w:eastAsia="Times New Roman" w:hAnsi="Arial" w:cs="Arial"/>
                <w:lang w:eastAsia="en-GB"/>
              </w:rPr>
              <w:t>5</w:t>
            </w:r>
          </w:p>
        </w:tc>
        <w:tc>
          <w:tcPr>
            <w:tcW w:w="1099" w:type="dxa"/>
            <w:tcBorders>
              <w:top w:val="single" w:sz="8" w:space="0" w:color="auto"/>
              <w:left w:val="single" w:sz="4" w:space="0" w:color="auto"/>
              <w:bottom w:val="single" w:sz="4" w:space="0" w:color="auto"/>
              <w:right w:val="single" w:sz="4" w:space="0" w:color="auto"/>
            </w:tcBorders>
            <w:vAlign w:val="center"/>
          </w:tcPr>
          <w:p w14:paraId="67AFE226" w14:textId="18D9CF11" w:rsidR="0000570A" w:rsidRPr="002A47AD" w:rsidRDefault="0000570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0.0</w:t>
            </w:r>
            <w:r w:rsidR="00AA257D">
              <w:rPr>
                <w:rFonts w:ascii="Arial" w:eastAsia="Times New Roman" w:hAnsi="Arial" w:cs="Arial"/>
                <w:lang w:eastAsia="en-GB"/>
              </w:rPr>
              <w:t>52</w:t>
            </w:r>
          </w:p>
        </w:tc>
      </w:tr>
      <w:tr w:rsidR="0000570A" w:rsidRPr="002A47AD" w14:paraId="10365668" w14:textId="77777777" w:rsidTr="00884DE3">
        <w:tc>
          <w:tcPr>
            <w:tcW w:w="2418" w:type="dxa"/>
            <w:vMerge/>
            <w:tcBorders>
              <w:left w:val="single" w:sz="4" w:space="0" w:color="auto"/>
              <w:right w:val="single" w:sz="8" w:space="0" w:color="auto"/>
            </w:tcBorders>
            <w:tcMar>
              <w:top w:w="0" w:type="dxa"/>
              <w:left w:w="108" w:type="dxa"/>
              <w:bottom w:w="0" w:type="dxa"/>
              <w:right w:w="108" w:type="dxa"/>
            </w:tcMar>
            <w:vAlign w:val="center"/>
            <w:hideMark/>
          </w:tcPr>
          <w:p w14:paraId="13B86E22" w14:textId="77777777" w:rsidR="0000570A" w:rsidRDefault="0000570A" w:rsidP="009803A1">
            <w:pPr>
              <w:spacing w:beforeLines="40" w:before="96" w:afterLines="40" w:after="96" w:line="240" w:lineRule="auto"/>
              <w:rPr>
                <w:rFonts w:ascii="Arial" w:eastAsia="Times New Roman" w:hAnsi="Arial" w:cs="Arial"/>
                <w:i/>
                <w:lang w:eastAsia="en-GB"/>
              </w:rPr>
            </w:pPr>
          </w:p>
        </w:tc>
        <w:tc>
          <w:tcPr>
            <w:tcW w:w="1977" w:type="dxa"/>
            <w:tcBorders>
              <w:top w:val="single" w:sz="4" w:space="0" w:color="auto"/>
              <w:left w:val="nil"/>
              <w:bottom w:val="single" w:sz="4" w:space="0" w:color="auto"/>
              <w:right w:val="single" w:sz="4" w:space="0" w:color="auto"/>
            </w:tcBorders>
            <w:vAlign w:val="center"/>
          </w:tcPr>
          <w:p w14:paraId="2565C02E" w14:textId="77777777" w:rsidR="0000570A" w:rsidRPr="002A47AD" w:rsidRDefault="0000570A" w:rsidP="009803A1">
            <w:pPr>
              <w:spacing w:beforeLines="40" w:before="96" w:afterLines="40" w:after="96" w:line="240" w:lineRule="auto"/>
              <w:rPr>
                <w:rFonts w:ascii="Arial" w:eastAsia="Times New Roman" w:hAnsi="Arial" w:cs="Arial"/>
                <w:lang w:eastAsia="en-GB"/>
              </w:rPr>
            </w:pPr>
            <w:r>
              <w:rPr>
                <w:rFonts w:ascii="Arial" w:eastAsia="Times New Roman" w:hAnsi="Arial" w:cs="Arial"/>
                <w:lang w:eastAsia="en-GB"/>
              </w:rPr>
              <w:t>Support worker</w:t>
            </w:r>
          </w:p>
        </w:tc>
        <w:tc>
          <w:tcPr>
            <w:tcW w:w="135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B8A7688" w14:textId="5482C15B" w:rsidR="0000570A" w:rsidRPr="002A47AD" w:rsidRDefault="00AA257D" w:rsidP="009803A1">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26.55</w:t>
            </w:r>
          </w:p>
        </w:tc>
        <w:tc>
          <w:tcPr>
            <w:tcW w:w="1346" w:type="dxa"/>
            <w:tcBorders>
              <w:top w:val="single" w:sz="4" w:space="0" w:color="auto"/>
              <w:left w:val="nil"/>
              <w:bottom w:val="single" w:sz="4" w:space="0" w:color="auto"/>
              <w:right w:val="single" w:sz="4" w:space="0" w:color="auto"/>
            </w:tcBorders>
            <w:vAlign w:val="center"/>
          </w:tcPr>
          <w:p w14:paraId="19F226BC" w14:textId="3ED1F788" w:rsidR="0000570A" w:rsidRPr="002A47AD" w:rsidRDefault="00AA257D" w:rsidP="009803A1">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8.35</w:t>
            </w:r>
          </w:p>
        </w:tc>
        <w:tc>
          <w:tcPr>
            <w:tcW w:w="1099" w:type="dxa"/>
            <w:tcBorders>
              <w:top w:val="single" w:sz="4" w:space="0" w:color="auto"/>
              <w:left w:val="single" w:sz="4" w:space="0" w:color="auto"/>
              <w:bottom w:val="single" w:sz="4" w:space="0" w:color="auto"/>
              <w:right w:val="single" w:sz="4" w:space="0" w:color="auto"/>
            </w:tcBorders>
            <w:vAlign w:val="center"/>
          </w:tcPr>
          <w:p w14:paraId="79C4C047" w14:textId="251E29B5" w:rsidR="0000570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3.</w:t>
            </w:r>
            <w:r w:rsidR="00AA257D">
              <w:rPr>
                <w:rFonts w:ascii="Arial" w:eastAsia="Times New Roman" w:hAnsi="Arial" w:cs="Arial"/>
                <w:lang w:eastAsia="en-GB"/>
              </w:rPr>
              <w:t>18</w:t>
            </w:r>
          </w:p>
        </w:tc>
        <w:tc>
          <w:tcPr>
            <w:tcW w:w="1099" w:type="dxa"/>
            <w:tcBorders>
              <w:top w:val="single" w:sz="4" w:space="0" w:color="auto"/>
              <w:left w:val="single" w:sz="4" w:space="0" w:color="auto"/>
              <w:bottom w:val="single" w:sz="4" w:space="0" w:color="auto"/>
              <w:right w:val="single" w:sz="4" w:space="0" w:color="auto"/>
            </w:tcBorders>
            <w:vAlign w:val="center"/>
          </w:tcPr>
          <w:p w14:paraId="0C1156A9" w14:textId="10BE0E61" w:rsidR="0000570A" w:rsidRPr="002A47AD" w:rsidRDefault="0000570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0.00</w:t>
            </w:r>
            <w:r w:rsidR="00AA257D">
              <w:rPr>
                <w:rFonts w:ascii="Arial" w:eastAsia="Times New Roman" w:hAnsi="Arial" w:cs="Arial"/>
                <w:lang w:eastAsia="en-GB"/>
              </w:rPr>
              <w:t>2</w:t>
            </w:r>
          </w:p>
        </w:tc>
      </w:tr>
      <w:tr w:rsidR="0000570A" w:rsidRPr="002A47AD" w14:paraId="3078B4B5" w14:textId="77777777" w:rsidTr="00884DE3">
        <w:tc>
          <w:tcPr>
            <w:tcW w:w="2418"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F9D926D" w14:textId="77777777" w:rsidR="0000570A" w:rsidRDefault="0000570A" w:rsidP="009803A1">
            <w:pPr>
              <w:spacing w:beforeLines="40" w:before="96" w:afterLines="40" w:after="96" w:line="240" w:lineRule="auto"/>
              <w:rPr>
                <w:rFonts w:ascii="Arial" w:eastAsia="Times New Roman" w:hAnsi="Arial" w:cs="Arial"/>
                <w:i/>
                <w:lang w:eastAsia="en-GB"/>
              </w:rPr>
            </w:pPr>
          </w:p>
        </w:tc>
        <w:tc>
          <w:tcPr>
            <w:tcW w:w="1977" w:type="dxa"/>
            <w:tcBorders>
              <w:top w:val="single" w:sz="4" w:space="0" w:color="auto"/>
              <w:left w:val="nil"/>
              <w:bottom w:val="single" w:sz="4" w:space="0" w:color="auto"/>
              <w:right w:val="single" w:sz="4" w:space="0" w:color="auto"/>
            </w:tcBorders>
            <w:vAlign w:val="center"/>
          </w:tcPr>
          <w:p w14:paraId="2B070D61" w14:textId="77777777" w:rsidR="0000570A" w:rsidRPr="002A47AD" w:rsidRDefault="0000570A" w:rsidP="009803A1">
            <w:pPr>
              <w:spacing w:beforeLines="40" w:before="96" w:afterLines="40" w:after="96" w:line="240" w:lineRule="auto"/>
              <w:rPr>
                <w:rFonts w:ascii="Arial" w:eastAsia="Times New Roman" w:hAnsi="Arial" w:cs="Arial"/>
                <w:lang w:eastAsia="en-GB"/>
              </w:rPr>
            </w:pPr>
            <w:r>
              <w:rPr>
                <w:rFonts w:ascii="Arial" w:eastAsia="Times New Roman" w:hAnsi="Arial" w:cs="Arial"/>
                <w:lang w:eastAsia="en-GB"/>
              </w:rPr>
              <w:t>Other community support</w:t>
            </w:r>
          </w:p>
        </w:tc>
        <w:tc>
          <w:tcPr>
            <w:tcW w:w="135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8991B67" w14:textId="2B91A61C" w:rsidR="0000570A" w:rsidRPr="002A47AD" w:rsidRDefault="00AA257D" w:rsidP="009803A1">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19.98</w:t>
            </w:r>
          </w:p>
        </w:tc>
        <w:tc>
          <w:tcPr>
            <w:tcW w:w="1346" w:type="dxa"/>
            <w:tcBorders>
              <w:top w:val="single" w:sz="4" w:space="0" w:color="auto"/>
              <w:left w:val="nil"/>
              <w:bottom w:val="single" w:sz="4" w:space="0" w:color="auto"/>
              <w:right w:val="single" w:sz="4" w:space="0" w:color="auto"/>
            </w:tcBorders>
            <w:vAlign w:val="center"/>
          </w:tcPr>
          <w:p w14:paraId="34BD1E1A" w14:textId="427AFEBB" w:rsidR="0000570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9.</w:t>
            </w:r>
            <w:r w:rsidR="00AA257D">
              <w:rPr>
                <w:rFonts w:ascii="Arial" w:eastAsia="Times New Roman" w:hAnsi="Arial" w:cs="Arial"/>
                <w:lang w:eastAsia="en-GB"/>
              </w:rPr>
              <w:t>69</w:t>
            </w:r>
          </w:p>
        </w:tc>
        <w:tc>
          <w:tcPr>
            <w:tcW w:w="1099" w:type="dxa"/>
            <w:tcBorders>
              <w:top w:val="single" w:sz="4" w:space="0" w:color="auto"/>
              <w:left w:val="single" w:sz="4" w:space="0" w:color="auto"/>
              <w:bottom w:val="single" w:sz="4" w:space="0" w:color="auto"/>
              <w:right w:val="single" w:sz="4" w:space="0" w:color="auto"/>
            </w:tcBorders>
            <w:vAlign w:val="center"/>
          </w:tcPr>
          <w:p w14:paraId="5638A38F" w14:textId="6A729F44" w:rsidR="0000570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2.</w:t>
            </w:r>
            <w:r w:rsidR="00AA257D">
              <w:rPr>
                <w:rFonts w:ascii="Arial" w:eastAsia="Times New Roman" w:hAnsi="Arial" w:cs="Arial"/>
                <w:lang w:eastAsia="en-GB"/>
              </w:rPr>
              <w:t>0</w:t>
            </w:r>
            <w:r>
              <w:rPr>
                <w:rFonts w:ascii="Arial" w:eastAsia="Times New Roman" w:hAnsi="Arial" w:cs="Arial"/>
                <w:lang w:eastAsia="en-GB"/>
              </w:rPr>
              <w:t>6</w:t>
            </w:r>
          </w:p>
        </w:tc>
        <w:tc>
          <w:tcPr>
            <w:tcW w:w="1099" w:type="dxa"/>
            <w:tcBorders>
              <w:top w:val="single" w:sz="4" w:space="0" w:color="auto"/>
              <w:left w:val="single" w:sz="4" w:space="0" w:color="auto"/>
              <w:bottom w:val="single" w:sz="4" w:space="0" w:color="auto"/>
              <w:right w:val="single" w:sz="4" w:space="0" w:color="auto"/>
            </w:tcBorders>
            <w:vAlign w:val="center"/>
          </w:tcPr>
          <w:p w14:paraId="55E7962A" w14:textId="1BE16B9D" w:rsidR="0000570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0.0</w:t>
            </w:r>
            <w:r w:rsidR="00AA257D">
              <w:rPr>
                <w:rFonts w:ascii="Arial" w:eastAsia="Times New Roman" w:hAnsi="Arial" w:cs="Arial"/>
                <w:lang w:eastAsia="en-GB"/>
              </w:rPr>
              <w:t>40</w:t>
            </w:r>
          </w:p>
        </w:tc>
      </w:tr>
      <w:tr w:rsidR="0000570A" w:rsidRPr="002A47AD" w14:paraId="1028A9FD" w14:textId="77777777" w:rsidTr="00884DE3">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B9495D" w14:textId="77777777" w:rsidR="0000570A" w:rsidRPr="002A47AD" w:rsidRDefault="0000570A" w:rsidP="009803A1">
            <w:pPr>
              <w:spacing w:beforeLines="40" w:before="96" w:afterLines="40" w:after="96" w:line="240" w:lineRule="auto"/>
              <w:rPr>
                <w:rFonts w:ascii="Arial" w:eastAsia="Times New Roman" w:hAnsi="Arial" w:cs="Arial"/>
                <w:lang w:eastAsia="en-GB"/>
              </w:rPr>
            </w:pPr>
            <w:r>
              <w:rPr>
                <w:rFonts w:ascii="Arial" w:eastAsia="Times New Roman" w:hAnsi="Arial" w:cs="Arial"/>
                <w:lang w:eastAsia="en-GB"/>
              </w:rPr>
              <w:t xml:space="preserve">Interaction term:  </w:t>
            </w:r>
            <w:r w:rsidRPr="0000570A">
              <w:rPr>
                <w:rFonts w:ascii="Arial" w:eastAsia="Times New Roman" w:hAnsi="Arial" w:cs="Arial"/>
                <w:i/>
                <w:lang w:eastAsia="en-GB"/>
              </w:rPr>
              <w:t xml:space="preserve">Patient with psychosis * seen </w:t>
            </w:r>
            <w:r>
              <w:rPr>
                <w:rFonts w:ascii="Arial" w:eastAsia="Times New Roman" w:hAnsi="Arial" w:cs="Arial"/>
                <w:i/>
                <w:lang w:eastAsia="en-GB"/>
              </w:rPr>
              <w:t>by p</w:t>
            </w:r>
            <w:r w:rsidRPr="0000570A">
              <w:rPr>
                <w:rFonts w:ascii="Arial" w:eastAsia="Times New Roman" w:hAnsi="Arial" w:cs="Arial"/>
                <w:i/>
                <w:lang w:eastAsia="en-GB"/>
              </w:rPr>
              <w:t>sychiatrist</w:t>
            </w:r>
          </w:p>
        </w:tc>
        <w:tc>
          <w:tcPr>
            <w:tcW w:w="135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C4044CF" w14:textId="2E8329B3" w:rsidR="0000570A" w:rsidRPr="002A47AD" w:rsidRDefault="00AA257D" w:rsidP="009803A1">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38.44</w:t>
            </w:r>
          </w:p>
        </w:tc>
        <w:tc>
          <w:tcPr>
            <w:tcW w:w="1346" w:type="dxa"/>
            <w:tcBorders>
              <w:top w:val="single" w:sz="4" w:space="0" w:color="auto"/>
              <w:left w:val="nil"/>
              <w:bottom w:val="single" w:sz="4" w:space="0" w:color="auto"/>
              <w:right w:val="single" w:sz="4" w:space="0" w:color="auto"/>
            </w:tcBorders>
            <w:vAlign w:val="center"/>
          </w:tcPr>
          <w:p w14:paraId="289C92BE" w14:textId="0453E469" w:rsidR="0000570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18.</w:t>
            </w:r>
            <w:r w:rsidR="00AA257D">
              <w:rPr>
                <w:rFonts w:ascii="Arial" w:eastAsia="Times New Roman" w:hAnsi="Arial" w:cs="Arial"/>
                <w:lang w:eastAsia="en-GB"/>
              </w:rPr>
              <w:t>57</w:t>
            </w:r>
          </w:p>
        </w:tc>
        <w:tc>
          <w:tcPr>
            <w:tcW w:w="1099" w:type="dxa"/>
            <w:tcBorders>
              <w:top w:val="single" w:sz="4" w:space="0" w:color="auto"/>
              <w:left w:val="single" w:sz="4" w:space="0" w:color="auto"/>
              <w:bottom w:val="single" w:sz="4" w:space="0" w:color="auto"/>
              <w:right w:val="single" w:sz="4" w:space="0" w:color="auto"/>
            </w:tcBorders>
            <w:vAlign w:val="center"/>
          </w:tcPr>
          <w:p w14:paraId="19B638D3" w14:textId="2E5E8B73" w:rsidR="0000570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2.</w:t>
            </w:r>
            <w:r w:rsidR="00AA257D">
              <w:rPr>
                <w:rFonts w:ascii="Arial" w:eastAsia="Times New Roman" w:hAnsi="Arial" w:cs="Arial"/>
                <w:lang w:eastAsia="en-GB"/>
              </w:rPr>
              <w:t>07</w:t>
            </w:r>
          </w:p>
        </w:tc>
        <w:tc>
          <w:tcPr>
            <w:tcW w:w="1099" w:type="dxa"/>
            <w:tcBorders>
              <w:top w:val="single" w:sz="4" w:space="0" w:color="auto"/>
              <w:left w:val="single" w:sz="4" w:space="0" w:color="auto"/>
              <w:bottom w:val="single" w:sz="4" w:space="0" w:color="auto"/>
              <w:right w:val="single" w:sz="4" w:space="0" w:color="auto"/>
            </w:tcBorders>
            <w:vAlign w:val="center"/>
          </w:tcPr>
          <w:p w14:paraId="7EAEBA29" w14:textId="7251B61B" w:rsidR="0000570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0.0</w:t>
            </w:r>
            <w:r w:rsidR="00AA257D">
              <w:rPr>
                <w:rFonts w:ascii="Arial" w:eastAsia="Times New Roman" w:hAnsi="Arial" w:cs="Arial"/>
                <w:lang w:eastAsia="en-GB"/>
              </w:rPr>
              <w:t>39</w:t>
            </w:r>
          </w:p>
        </w:tc>
      </w:tr>
      <w:tr w:rsidR="003B7BF2" w:rsidRPr="002A47AD" w14:paraId="7BCFDB3D" w14:textId="77777777" w:rsidTr="00884DE3">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0E0264" w14:textId="77777777" w:rsidR="003B7BF2" w:rsidRDefault="003B7BF2" w:rsidP="009803A1">
            <w:pPr>
              <w:spacing w:beforeLines="40" w:before="96" w:afterLines="40" w:after="96" w:line="240" w:lineRule="auto"/>
              <w:rPr>
                <w:rFonts w:ascii="Arial" w:eastAsia="Times New Roman" w:hAnsi="Arial" w:cs="Arial"/>
                <w:lang w:eastAsia="en-GB"/>
              </w:rPr>
            </w:pPr>
            <w:r>
              <w:rPr>
                <w:rFonts w:ascii="Arial" w:eastAsia="Times New Roman" w:hAnsi="Arial" w:cs="Arial"/>
                <w:lang w:eastAsia="en-GB"/>
              </w:rPr>
              <w:t>Whether received assistance in completing the questionnaire</w:t>
            </w:r>
          </w:p>
        </w:tc>
        <w:tc>
          <w:tcPr>
            <w:tcW w:w="135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B7E61A3" w14:textId="6BD7EF2F" w:rsidR="003B7BF2" w:rsidRDefault="00A3213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w:t>
            </w:r>
            <w:r w:rsidR="00AA257D">
              <w:rPr>
                <w:rFonts w:ascii="Arial" w:eastAsia="Times New Roman" w:hAnsi="Arial" w:cs="Arial"/>
                <w:lang w:eastAsia="en-GB"/>
              </w:rPr>
              <w:t>5.44</w:t>
            </w:r>
          </w:p>
        </w:tc>
        <w:tc>
          <w:tcPr>
            <w:tcW w:w="1346" w:type="dxa"/>
            <w:tcBorders>
              <w:top w:val="single" w:sz="4" w:space="0" w:color="auto"/>
              <w:left w:val="nil"/>
              <w:bottom w:val="single" w:sz="4" w:space="0" w:color="auto"/>
              <w:right w:val="single" w:sz="4" w:space="0" w:color="auto"/>
            </w:tcBorders>
            <w:vAlign w:val="center"/>
          </w:tcPr>
          <w:p w14:paraId="4A74839B" w14:textId="1A139C87" w:rsidR="003B7BF2"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8.8</w:t>
            </w:r>
            <w:r w:rsidR="00AA257D">
              <w:rPr>
                <w:rFonts w:ascii="Arial" w:eastAsia="Times New Roman" w:hAnsi="Arial" w:cs="Arial"/>
                <w:lang w:eastAsia="en-GB"/>
              </w:rPr>
              <w:t>4</w:t>
            </w:r>
          </w:p>
        </w:tc>
        <w:tc>
          <w:tcPr>
            <w:tcW w:w="1099" w:type="dxa"/>
            <w:tcBorders>
              <w:top w:val="single" w:sz="4" w:space="0" w:color="auto"/>
              <w:left w:val="single" w:sz="4" w:space="0" w:color="auto"/>
              <w:bottom w:val="single" w:sz="4" w:space="0" w:color="auto"/>
              <w:right w:val="single" w:sz="4" w:space="0" w:color="auto"/>
            </w:tcBorders>
            <w:vAlign w:val="center"/>
          </w:tcPr>
          <w:p w14:paraId="72E9B689" w14:textId="0ADC8243" w:rsidR="003B7BF2"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-0.</w:t>
            </w:r>
            <w:r w:rsidR="00AA257D">
              <w:rPr>
                <w:rFonts w:ascii="Arial" w:eastAsia="Times New Roman" w:hAnsi="Arial" w:cs="Arial"/>
                <w:lang w:eastAsia="en-GB"/>
              </w:rPr>
              <w:t>62</w:t>
            </w:r>
          </w:p>
        </w:tc>
        <w:tc>
          <w:tcPr>
            <w:tcW w:w="1099" w:type="dxa"/>
            <w:tcBorders>
              <w:top w:val="single" w:sz="4" w:space="0" w:color="auto"/>
              <w:left w:val="single" w:sz="4" w:space="0" w:color="auto"/>
              <w:bottom w:val="single" w:sz="4" w:space="0" w:color="auto"/>
              <w:right w:val="single" w:sz="4" w:space="0" w:color="auto"/>
            </w:tcBorders>
            <w:vAlign w:val="center"/>
          </w:tcPr>
          <w:p w14:paraId="0B0C8ED3" w14:textId="344EB879" w:rsidR="003B7BF2"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0.</w:t>
            </w:r>
            <w:r w:rsidR="00AA257D">
              <w:rPr>
                <w:rFonts w:ascii="Arial" w:eastAsia="Times New Roman" w:hAnsi="Arial" w:cs="Arial"/>
                <w:lang w:eastAsia="en-GB"/>
              </w:rPr>
              <w:t>539</w:t>
            </w:r>
          </w:p>
        </w:tc>
      </w:tr>
      <w:tr w:rsidR="0000570A" w:rsidRPr="002A47AD" w14:paraId="737D67EA" w14:textId="77777777" w:rsidTr="00884DE3">
        <w:tc>
          <w:tcPr>
            <w:tcW w:w="43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AA1E7" w14:textId="77777777" w:rsidR="0000570A" w:rsidRPr="002A47AD" w:rsidRDefault="0000570A" w:rsidP="009803A1">
            <w:pPr>
              <w:spacing w:beforeLines="40" w:before="96" w:afterLines="40" w:after="96" w:line="240" w:lineRule="auto"/>
              <w:rPr>
                <w:rFonts w:ascii="Arial" w:eastAsia="Times New Roman" w:hAnsi="Arial" w:cs="Arial"/>
                <w:lang w:eastAsia="en-GB"/>
              </w:rPr>
            </w:pPr>
            <w:r>
              <w:rPr>
                <w:rFonts w:ascii="Arial" w:eastAsia="Times New Roman" w:hAnsi="Arial" w:cs="Arial"/>
                <w:i/>
                <w:lang w:eastAsia="en-GB"/>
              </w:rPr>
              <w:t>Constant</w:t>
            </w:r>
          </w:p>
        </w:tc>
        <w:tc>
          <w:tcPr>
            <w:tcW w:w="135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8C206BD" w14:textId="3C9B5DA2" w:rsidR="0000570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10</w:t>
            </w:r>
            <w:r w:rsidR="00AA257D">
              <w:rPr>
                <w:rFonts w:ascii="Arial" w:eastAsia="Times New Roman" w:hAnsi="Arial" w:cs="Arial"/>
                <w:lang w:eastAsia="en-GB"/>
              </w:rPr>
              <w:t>9</w:t>
            </w:r>
            <w:r>
              <w:rPr>
                <w:rFonts w:ascii="Arial" w:eastAsia="Times New Roman" w:hAnsi="Arial" w:cs="Arial"/>
                <w:lang w:eastAsia="en-GB"/>
              </w:rPr>
              <w:t>.</w:t>
            </w:r>
            <w:r w:rsidR="00AA257D">
              <w:rPr>
                <w:rFonts w:ascii="Arial" w:eastAsia="Times New Roman" w:hAnsi="Arial" w:cs="Arial"/>
                <w:lang w:eastAsia="en-GB"/>
              </w:rPr>
              <w:t>16</w:t>
            </w:r>
          </w:p>
        </w:tc>
        <w:tc>
          <w:tcPr>
            <w:tcW w:w="1346" w:type="dxa"/>
            <w:tcBorders>
              <w:top w:val="single" w:sz="4" w:space="0" w:color="auto"/>
              <w:left w:val="nil"/>
              <w:bottom w:val="single" w:sz="4" w:space="0" w:color="auto"/>
              <w:right w:val="single" w:sz="4" w:space="0" w:color="auto"/>
            </w:tcBorders>
            <w:vAlign w:val="center"/>
          </w:tcPr>
          <w:p w14:paraId="5689692F" w14:textId="4181F0E2" w:rsidR="0000570A" w:rsidRPr="002A47AD" w:rsidRDefault="0031382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41.</w:t>
            </w:r>
            <w:r w:rsidR="00AA257D">
              <w:rPr>
                <w:rFonts w:ascii="Arial" w:eastAsia="Times New Roman" w:hAnsi="Arial" w:cs="Arial"/>
                <w:lang w:eastAsia="en-GB"/>
              </w:rPr>
              <w:t>94</w:t>
            </w:r>
          </w:p>
        </w:tc>
        <w:tc>
          <w:tcPr>
            <w:tcW w:w="1099" w:type="dxa"/>
            <w:tcBorders>
              <w:top w:val="single" w:sz="4" w:space="0" w:color="auto"/>
              <w:left w:val="single" w:sz="4" w:space="0" w:color="auto"/>
              <w:bottom w:val="single" w:sz="4" w:space="0" w:color="auto"/>
              <w:right w:val="single" w:sz="4" w:space="0" w:color="auto"/>
            </w:tcBorders>
            <w:vAlign w:val="center"/>
          </w:tcPr>
          <w:p w14:paraId="709518D2" w14:textId="598F1118" w:rsidR="0000570A" w:rsidRPr="002A47AD" w:rsidRDefault="0000570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2.</w:t>
            </w:r>
            <w:r w:rsidR="00AA257D">
              <w:rPr>
                <w:rFonts w:ascii="Arial" w:eastAsia="Times New Roman" w:hAnsi="Arial" w:cs="Arial"/>
                <w:lang w:eastAsia="en-GB"/>
              </w:rPr>
              <w:t>60</w:t>
            </w:r>
          </w:p>
        </w:tc>
        <w:tc>
          <w:tcPr>
            <w:tcW w:w="1099" w:type="dxa"/>
            <w:tcBorders>
              <w:top w:val="single" w:sz="4" w:space="0" w:color="auto"/>
              <w:left w:val="single" w:sz="4" w:space="0" w:color="auto"/>
              <w:bottom w:val="single" w:sz="4" w:space="0" w:color="auto"/>
              <w:right w:val="single" w:sz="4" w:space="0" w:color="auto"/>
            </w:tcBorders>
            <w:vAlign w:val="center"/>
          </w:tcPr>
          <w:p w14:paraId="22E62DF2" w14:textId="00A4373B" w:rsidR="0000570A" w:rsidRPr="002A47AD" w:rsidRDefault="0000570A" w:rsidP="00AA257D">
            <w:pPr>
              <w:spacing w:beforeLines="40" w:before="96" w:afterLines="40" w:after="96" w:line="240" w:lineRule="auto"/>
              <w:jc w:val="center"/>
              <w:rPr>
                <w:rFonts w:ascii="Arial" w:eastAsia="Times New Roman" w:hAnsi="Arial" w:cs="Arial"/>
                <w:lang w:eastAsia="en-GB"/>
              </w:rPr>
            </w:pPr>
            <w:r>
              <w:rPr>
                <w:rFonts w:ascii="Arial" w:eastAsia="Times New Roman" w:hAnsi="Arial" w:cs="Arial"/>
                <w:lang w:eastAsia="en-GB"/>
              </w:rPr>
              <w:t>0.01</w:t>
            </w:r>
            <w:r w:rsidR="00AA257D">
              <w:rPr>
                <w:rFonts w:ascii="Arial" w:eastAsia="Times New Roman" w:hAnsi="Arial" w:cs="Arial"/>
                <w:lang w:eastAsia="en-GB"/>
              </w:rPr>
              <w:t>0</w:t>
            </w:r>
          </w:p>
        </w:tc>
      </w:tr>
    </w:tbl>
    <w:p w14:paraId="2D087565" w14:textId="50085C80" w:rsidR="003848E5" w:rsidRPr="004D07D8" w:rsidRDefault="0000570A" w:rsidP="00EA22E9">
      <w:pPr>
        <w:spacing w:after="0"/>
        <w:ind w:left="142"/>
        <w:rPr>
          <w:rFonts w:ascii="Arial" w:hAnsi="Arial" w:cs="Arial"/>
        </w:rPr>
      </w:pPr>
      <w:proofErr w:type="gramStart"/>
      <w:r w:rsidRPr="003848E5">
        <w:rPr>
          <w:rFonts w:ascii="Arial" w:hAnsi="Arial" w:cs="Arial"/>
        </w:rPr>
        <w:t>F(</w:t>
      </w:r>
      <w:proofErr w:type="gramEnd"/>
      <w:r w:rsidR="0031382A">
        <w:rPr>
          <w:rFonts w:ascii="Arial" w:hAnsi="Arial" w:cs="Arial"/>
        </w:rPr>
        <w:t>9</w:t>
      </w:r>
      <w:r w:rsidRPr="003848E5">
        <w:rPr>
          <w:rFonts w:ascii="Arial" w:hAnsi="Arial" w:cs="Arial"/>
        </w:rPr>
        <w:t>, 32</w:t>
      </w:r>
      <w:r w:rsidR="00AA257D">
        <w:rPr>
          <w:rFonts w:ascii="Arial" w:hAnsi="Arial" w:cs="Arial"/>
        </w:rPr>
        <w:t>2</w:t>
      </w:r>
      <w:r w:rsidRPr="003848E5">
        <w:rPr>
          <w:rFonts w:ascii="Arial" w:hAnsi="Arial" w:cs="Arial"/>
        </w:rPr>
        <w:t>)=</w:t>
      </w:r>
      <w:r w:rsidR="00AA257D">
        <w:rPr>
          <w:rFonts w:ascii="Arial" w:hAnsi="Arial" w:cs="Arial"/>
        </w:rPr>
        <w:t>6.77</w:t>
      </w:r>
      <w:r w:rsidRPr="003848E5">
        <w:rPr>
          <w:rFonts w:ascii="Arial" w:hAnsi="Arial" w:cs="Arial"/>
        </w:rPr>
        <w:t>, p&lt;0.001, R</w:t>
      </w:r>
      <w:r w:rsidRPr="003848E5">
        <w:rPr>
          <w:rFonts w:ascii="Arial" w:hAnsi="Arial" w:cs="Arial"/>
          <w:vertAlign w:val="superscript"/>
        </w:rPr>
        <w:t>2</w:t>
      </w:r>
      <w:r w:rsidR="003848E5" w:rsidRPr="003848E5">
        <w:rPr>
          <w:rFonts w:ascii="Arial" w:hAnsi="Arial" w:cs="Arial"/>
        </w:rPr>
        <w:t>=0.15</w:t>
      </w:r>
      <w:r w:rsidR="00AA257D">
        <w:rPr>
          <w:rFonts w:ascii="Arial" w:hAnsi="Arial" w:cs="Arial"/>
        </w:rPr>
        <w:t>9</w:t>
      </w:r>
      <w:r w:rsidR="003848E5" w:rsidRPr="003848E5">
        <w:rPr>
          <w:rFonts w:ascii="Arial" w:hAnsi="Arial" w:cs="Arial"/>
        </w:rPr>
        <w:t>, R</w:t>
      </w:r>
      <w:r w:rsidR="003848E5" w:rsidRPr="003848E5">
        <w:rPr>
          <w:rFonts w:ascii="Arial" w:hAnsi="Arial" w:cs="Arial"/>
          <w:vertAlign w:val="superscript"/>
        </w:rPr>
        <w:t>2</w:t>
      </w:r>
      <w:r w:rsidR="003848E5" w:rsidRPr="003848E5">
        <w:rPr>
          <w:rFonts w:ascii="Arial" w:hAnsi="Arial" w:cs="Arial"/>
        </w:rPr>
        <w:t>(</w:t>
      </w:r>
      <w:proofErr w:type="spellStart"/>
      <w:r w:rsidR="003848E5" w:rsidRPr="003848E5">
        <w:rPr>
          <w:rFonts w:ascii="Arial" w:hAnsi="Arial" w:cs="Arial"/>
        </w:rPr>
        <w:t>adj</w:t>
      </w:r>
      <w:proofErr w:type="spellEnd"/>
      <w:r w:rsidR="003848E5" w:rsidRPr="003848E5">
        <w:rPr>
          <w:rFonts w:ascii="Arial" w:hAnsi="Arial" w:cs="Arial"/>
        </w:rPr>
        <w:t>)=0.13</w:t>
      </w:r>
      <w:r w:rsidR="00AA257D">
        <w:rPr>
          <w:rFonts w:ascii="Arial" w:hAnsi="Arial" w:cs="Arial"/>
        </w:rPr>
        <w:t>6</w:t>
      </w:r>
      <w:r w:rsidR="008D4225" w:rsidRPr="008D4225">
        <w:rPr>
          <w:rFonts w:ascii="Arial" w:hAnsi="Arial" w:cs="Arial"/>
          <w:b/>
        </w:rPr>
        <w:t xml:space="preserve">. </w:t>
      </w:r>
      <w:r w:rsidR="003848E5">
        <w:rPr>
          <w:rFonts w:ascii="Arial" w:hAnsi="Arial" w:cs="Arial"/>
          <w:b/>
        </w:rPr>
        <w:br w:type="page"/>
      </w:r>
    </w:p>
    <w:p w14:paraId="388C610F" w14:textId="618A0535" w:rsidR="00CE3D5F" w:rsidRPr="00CE3D5F" w:rsidRDefault="00CE3D5F" w:rsidP="004F5F2E">
      <w:pPr>
        <w:spacing w:after="0" w:line="360" w:lineRule="auto"/>
        <w:outlineLvl w:val="0"/>
        <w:rPr>
          <w:rFonts w:ascii="Arial" w:hAnsi="Arial" w:cs="Arial"/>
          <w:b/>
        </w:rPr>
      </w:pPr>
      <w:r w:rsidRPr="00CE3D5F">
        <w:rPr>
          <w:rFonts w:ascii="Arial" w:hAnsi="Arial" w:cs="Arial"/>
          <w:b/>
        </w:rPr>
        <w:lastRenderedPageBreak/>
        <w:t xml:space="preserve">Table </w:t>
      </w:r>
      <w:r w:rsidR="00690108">
        <w:rPr>
          <w:rFonts w:ascii="Arial" w:hAnsi="Arial" w:cs="Arial"/>
          <w:b/>
        </w:rPr>
        <w:t>5</w:t>
      </w:r>
      <w:r w:rsidRPr="00CE3D5F">
        <w:rPr>
          <w:rFonts w:ascii="Arial" w:hAnsi="Arial" w:cs="Arial"/>
          <w:b/>
        </w:rPr>
        <w:t>:  Test-retest reliability</w:t>
      </w:r>
      <w:r w:rsidR="00EA22E9">
        <w:rPr>
          <w:rFonts w:ascii="Arial" w:hAnsi="Arial" w:cs="Arial"/>
          <w:b/>
        </w:rPr>
        <w:t xml:space="preserve"> </w:t>
      </w:r>
      <w:r w:rsidR="00EA22E9" w:rsidRPr="00EA22E9">
        <w:rPr>
          <w:rFonts w:ascii="Arial" w:hAnsi="Arial" w:cs="Arial"/>
          <w:b/>
          <w:highlight w:val="yellow"/>
        </w:rPr>
        <w:t>(n=85)</w:t>
      </w:r>
    </w:p>
    <w:tbl>
      <w:tblPr>
        <w:tblStyle w:val="TableGrid"/>
        <w:tblW w:w="0" w:type="auto"/>
        <w:tblLook w:val="04A0" w:firstRow="1" w:lastRow="0" w:firstColumn="1" w:lastColumn="0" w:noHBand="0" w:noVBand="1"/>
      </w:tblPr>
      <w:tblGrid>
        <w:gridCol w:w="3080"/>
        <w:gridCol w:w="3081"/>
        <w:gridCol w:w="3081"/>
      </w:tblGrid>
      <w:tr w:rsidR="00CE3D5F" w14:paraId="2FCBB262" w14:textId="77777777" w:rsidTr="00CE3D5F">
        <w:tc>
          <w:tcPr>
            <w:tcW w:w="3080" w:type="dxa"/>
            <w:vAlign w:val="center"/>
          </w:tcPr>
          <w:p w14:paraId="7C744D38" w14:textId="77777777" w:rsidR="00CE3D5F" w:rsidRDefault="00CE3D5F" w:rsidP="008E3D8B">
            <w:pPr>
              <w:spacing w:before="40" w:after="40" w:line="360" w:lineRule="auto"/>
              <w:jc w:val="center"/>
              <w:rPr>
                <w:rFonts w:ascii="Arial" w:hAnsi="Arial" w:cs="Arial"/>
              </w:rPr>
            </w:pPr>
          </w:p>
        </w:tc>
        <w:tc>
          <w:tcPr>
            <w:tcW w:w="3081" w:type="dxa"/>
            <w:vAlign w:val="center"/>
          </w:tcPr>
          <w:p w14:paraId="14C35635" w14:textId="77777777" w:rsidR="00CE3D5F" w:rsidRDefault="005B3E32" w:rsidP="008E3D8B">
            <w:pPr>
              <w:spacing w:before="40" w:after="40" w:line="360" w:lineRule="auto"/>
              <w:jc w:val="center"/>
              <w:rPr>
                <w:rFonts w:ascii="Arial" w:hAnsi="Arial" w:cs="Arial"/>
              </w:rPr>
            </w:pPr>
            <w:r>
              <w:rPr>
                <w:rFonts w:ascii="Arial" w:hAnsi="Arial" w:cs="Arial"/>
              </w:rPr>
              <w:t>Net Promoter Score</w:t>
            </w:r>
          </w:p>
        </w:tc>
        <w:tc>
          <w:tcPr>
            <w:tcW w:w="3081" w:type="dxa"/>
            <w:vAlign w:val="center"/>
          </w:tcPr>
          <w:p w14:paraId="24CEE248" w14:textId="77777777" w:rsidR="00CE3D5F" w:rsidRDefault="00CE3D5F" w:rsidP="008E3D8B">
            <w:pPr>
              <w:spacing w:before="40" w:after="40" w:line="360" w:lineRule="auto"/>
              <w:jc w:val="center"/>
              <w:rPr>
                <w:rFonts w:ascii="Arial" w:hAnsi="Arial" w:cs="Arial"/>
              </w:rPr>
            </w:pPr>
            <w:r>
              <w:rPr>
                <w:rFonts w:ascii="Arial" w:hAnsi="Arial" w:cs="Arial"/>
              </w:rPr>
              <w:t>Satisfaction rating</w:t>
            </w:r>
          </w:p>
        </w:tc>
      </w:tr>
      <w:tr w:rsidR="00CE3D5F" w14:paraId="43199EB0" w14:textId="77777777" w:rsidTr="00CE3D5F">
        <w:tc>
          <w:tcPr>
            <w:tcW w:w="3080" w:type="dxa"/>
          </w:tcPr>
          <w:p w14:paraId="3487255B" w14:textId="77777777" w:rsidR="00CE3D5F" w:rsidRDefault="008E3D8B" w:rsidP="008E3D8B">
            <w:pPr>
              <w:spacing w:before="40" w:after="40" w:line="360" w:lineRule="auto"/>
              <w:rPr>
                <w:rFonts w:ascii="Arial" w:hAnsi="Arial" w:cs="Arial"/>
              </w:rPr>
            </w:pPr>
            <w:r>
              <w:rPr>
                <w:rFonts w:ascii="Arial" w:hAnsi="Arial" w:cs="Arial"/>
              </w:rPr>
              <w:t>Raw p</w:t>
            </w:r>
            <w:r w:rsidR="00CE3D5F">
              <w:rPr>
                <w:rFonts w:ascii="Arial" w:hAnsi="Arial" w:cs="Arial"/>
              </w:rPr>
              <w:t>ercent agreement</w:t>
            </w:r>
          </w:p>
        </w:tc>
        <w:tc>
          <w:tcPr>
            <w:tcW w:w="3081" w:type="dxa"/>
          </w:tcPr>
          <w:p w14:paraId="3FB0E009" w14:textId="77777777" w:rsidR="00CE3D5F" w:rsidRDefault="00CE3D5F" w:rsidP="008E3D8B">
            <w:pPr>
              <w:spacing w:before="40" w:after="40" w:line="360" w:lineRule="auto"/>
              <w:jc w:val="center"/>
              <w:rPr>
                <w:rFonts w:ascii="Arial" w:hAnsi="Arial" w:cs="Arial"/>
              </w:rPr>
            </w:pPr>
            <w:r>
              <w:rPr>
                <w:rFonts w:ascii="Arial" w:hAnsi="Arial" w:cs="Arial"/>
              </w:rPr>
              <w:t>60.0%</w:t>
            </w:r>
          </w:p>
        </w:tc>
        <w:tc>
          <w:tcPr>
            <w:tcW w:w="3081" w:type="dxa"/>
          </w:tcPr>
          <w:p w14:paraId="7F8F9A26" w14:textId="77777777" w:rsidR="00CE3D5F" w:rsidRDefault="00CE3D5F" w:rsidP="008E3D8B">
            <w:pPr>
              <w:spacing w:before="40" w:after="40" w:line="360" w:lineRule="auto"/>
              <w:jc w:val="center"/>
              <w:rPr>
                <w:rFonts w:ascii="Arial" w:hAnsi="Arial" w:cs="Arial"/>
              </w:rPr>
            </w:pPr>
            <w:r>
              <w:rPr>
                <w:rFonts w:ascii="Arial" w:hAnsi="Arial" w:cs="Arial"/>
              </w:rPr>
              <w:t>57.7%</w:t>
            </w:r>
          </w:p>
        </w:tc>
      </w:tr>
      <w:tr w:rsidR="00CE3D5F" w14:paraId="464E4A08" w14:textId="77777777" w:rsidTr="00CE3D5F">
        <w:tc>
          <w:tcPr>
            <w:tcW w:w="3080" w:type="dxa"/>
          </w:tcPr>
          <w:p w14:paraId="48E99B95" w14:textId="77777777" w:rsidR="00CE3D5F" w:rsidRDefault="000D27E2" w:rsidP="008E3D8B">
            <w:pPr>
              <w:spacing w:before="40" w:after="40" w:line="360" w:lineRule="auto"/>
              <w:rPr>
                <w:rFonts w:ascii="Arial" w:hAnsi="Arial" w:cs="Arial"/>
              </w:rPr>
            </w:pPr>
            <w:r>
              <w:rPr>
                <w:rFonts w:ascii="Arial" w:hAnsi="Arial" w:cs="Arial"/>
              </w:rPr>
              <w:t xml:space="preserve">Simple </w:t>
            </w:r>
            <w:r w:rsidR="00CE3D5F">
              <w:rPr>
                <w:rFonts w:ascii="Arial" w:hAnsi="Arial" w:cs="Arial"/>
              </w:rPr>
              <w:t>Kappa</w:t>
            </w:r>
          </w:p>
          <w:p w14:paraId="45026E35" w14:textId="77777777" w:rsidR="00CE3D5F" w:rsidRDefault="00CE3D5F" w:rsidP="008E3D8B">
            <w:pPr>
              <w:spacing w:before="40" w:after="40" w:line="360" w:lineRule="auto"/>
              <w:rPr>
                <w:rFonts w:ascii="Arial" w:hAnsi="Arial" w:cs="Arial"/>
              </w:rPr>
            </w:pPr>
            <w:r>
              <w:rPr>
                <w:rFonts w:ascii="Arial" w:hAnsi="Arial" w:cs="Arial"/>
              </w:rPr>
              <w:t>(std error)</w:t>
            </w:r>
          </w:p>
        </w:tc>
        <w:tc>
          <w:tcPr>
            <w:tcW w:w="3081" w:type="dxa"/>
          </w:tcPr>
          <w:p w14:paraId="094AC13F" w14:textId="77777777" w:rsidR="00CE3D5F" w:rsidRDefault="00746BB1" w:rsidP="008E3D8B">
            <w:pPr>
              <w:spacing w:before="40" w:after="40" w:line="360" w:lineRule="auto"/>
              <w:jc w:val="center"/>
              <w:rPr>
                <w:rFonts w:ascii="Arial" w:hAnsi="Arial" w:cs="Arial"/>
              </w:rPr>
            </w:pPr>
            <w:r>
              <w:rPr>
                <w:rFonts w:ascii="Arial" w:hAnsi="Arial" w:cs="Arial"/>
              </w:rPr>
              <w:t>0.401</w:t>
            </w:r>
          </w:p>
          <w:p w14:paraId="13E44723" w14:textId="77777777" w:rsidR="00746BB1" w:rsidRDefault="00746BB1" w:rsidP="008E3D8B">
            <w:pPr>
              <w:spacing w:before="40" w:after="40" w:line="360" w:lineRule="auto"/>
              <w:jc w:val="center"/>
              <w:rPr>
                <w:rFonts w:ascii="Arial" w:hAnsi="Arial" w:cs="Arial"/>
              </w:rPr>
            </w:pPr>
            <w:r>
              <w:rPr>
                <w:rFonts w:ascii="Arial" w:hAnsi="Arial" w:cs="Arial"/>
              </w:rPr>
              <w:t>(0.066)</w:t>
            </w:r>
          </w:p>
        </w:tc>
        <w:tc>
          <w:tcPr>
            <w:tcW w:w="3081" w:type="dxa"/>
          </w:tcPr>
          <w:p w14:paraId="3789B480" w14:textId="77777777" w:rsidR="00CE3D5F" w:rsidRDefault="00CE3D5F" w:rsidP="008E3D8B">
            <w:pPr>
              <w:spacing w:before="40" w:after="40" w:line="360" w:lineRule="auto"/>
              <w:jc w:val="center"/>
              <w:rPr>
                <w:rFonts w:ascii="Arial" w:hAnsi="Arial" w:cs="Arial"/>
              </w:rPr>
            </w:pPr>
            <w:r>
              <w:rPr>
                <w:rFonts w:ascii="Arial" w:hAnsi="Arial" w:cs="Arial"/>
              </w:rPr>
              <w:t>0.381</w:t>
            </w:r>
          </w:p>
          <w:p w14:paraId="38DE617A" w14:textId="77777777" w:rsidR="00CE3D5F" w:rsidRDefault="00CE3D5F" w:rsidP="008E3D8B">
            <w:pPr>
              <w:spacing w:before="40" w:after="40" w:line="360" w:lineRule="auto"/>
              <w:jc w:val="center"/>
              <w:rPr>
                <w:rFonts w:ascii="Arial" w:hAnsi="Arial" w:cs="Arial"/>
              </w:rPr>
            </w:pPr>
            <w:r>
              <w:rPr>
                <w:rFonts w:ascii="Arial" w:hAnsi="Arial" w:cs="Arial"/>
              </w:rPr>
              <w:t>(0.066)</w:t>
            </w:r>
          </w:p>
        </w:tc>
      </w:tr>
      <w:tr w:rsidR="00CE3D5F" w14:paraId="43F72674" w14:textId="77777777" w:rsidTr="00CE3D5F">
        <w:tc>
          <w:tcPr>
            <w:tcW w:w="3080" w:type="dxa"/>
          </w:tcPr>
          <w:p w14:paraId="447ADE09" w14:textId="77777777" w:rsidR="00CE3D5F" w:rsidRDefault="00CE3D5F" w:rsidP="008E3D8B">
            <w:pPr>
              <w:spacing w:before="40" w:after="40" w:line="360" w:lineRule="auto"/>
              <w:rPr>
                <w:rFonts w:ascii="Arial" w:hAnsi="Arial" w:cs="Arial"/>
              </w:rPr>
            </w:pPr>
            <w:r>
              <w:rPr>
                <w:rFonts w:ascii="Arial" w:hAnsi="Arial" w:cs="Arial"/>
              </w:rPr>
              <w:t>Weighted Kappa - Linear</w:t>
            </w:r>
          </w:p>
          <w:p w14:paraId="38A4E3E6" w14:textId="77777777" w:rsidR="00CE3D5F" w:rsidRDefault="00CE3D5F" w:rsidP="008E3D8B">
            <w:pPr>
              <w:spacing w:before="40" w:after="40" w:line="360" w:lineRule="auto"/>
              <w:rPr>
                <w:rFonts w:ascii="Arial" w:hAnsi="Arial" w:cs="Arial"/>
              </w:rPr>
            </w:pPr>
            <w:r>
              <w:rPr>
                <w:rFonts w:ascii="Arial" w:hAnsi="Arial" w:cs="Arial"/>
              </w:rPr>
              <w:t>(std error)</w:t>
            </w:r>
          </w:p>
        </w:tc>
        <w:tc>
          <w:tcPr>
            <w:tcW w:w="3081" w:type="dxa"/>
          </w:tcPr>
          <w:p w14:paraId="28C7C639" w14:textId="77777777" w:rsidR="00CE3D5F" w:rsidRDefault="00746BB1" w:rsidP="008E3D8B">
            <w:pPr>
              <w:spacing w:before="40" w:after="40" w:line="360" w:lineRule="auto"/>
              <w:jc w:val="center"/>
              <w:rPr>
                <w:rFonts w:ascii="Arial" w:hAnsi="Arial" w:cs="Arial"/>
              </w:rPr>
            </w:pPr>
            <w:r>
              <w:rPr>
                <w:rFonts w:ascii="Arial" w:hAnsi="Arial" w:cs="Arial"/>
              </w:rPr>
              <w:t>0.571</w:t>
            </w:r>
          </w:p>
          <w:p w14:paraId="130C401E" w14:textId="77777777" w:rsidR="00746BB1" w:rsidRDefault="00746BB1" w:rsidP="008E3D8B">
            <w:pPr>
              <w:spacing w:before="40" w:after="40" w:line="360" w:lineRule="auto"/>
              <w:jc w:val="center"/>
              <w:rPr>
                <w:rFonts w:ascii="Arial" w:hAnsi="Arial" w:cs="Arial"/>
              </w:rPr>
            </w:pPr>
            <w:r>
              <w:rPr>
                <w:rFonts w:ascii="Arial" w:hAnsi="Arial" w:cs="Arial"/>
              </w:rPr>
              <w:t>(0.074)</w:t>
            </w:r>
          </w:p>
        </w:tc>
        <w:tc>
          <w:tcPr>
            <w:tcW w:w="3081" w:type="dxa"/>
          </w:tcPr>
          <w:p w14:paraId="58047658" w14:textId="77777777" w:rsidR="00CE3D5F" w:rsidRDefault="00CE3D5F" w:rsidP="008E3D8B">
            <w:pPr>
              <w:spacing w:before="40" w:after="40" w:line="360" w:lineRule="auto"/>
              <w:jc w:val="center"/>
              <w:rPr>
                <w:rFonts w:ascii="Arial" w:hAnsi="Arial" w:cs="Arial"/>
              </w:rPr>
            </w:pPr>
            <w:r>
              <w:rPr>
                <w:rFonts w:ascii="Arial" w:hAnsi="Arial" w:cs="Arial"/>
              </w:rPr>
              <w:t>0.492</w:t>
            </w:r>
          </w:p>
          <w:p w14:paraId="3E3CF7B1" w14:textId="77777777" w:rsidR="00CE3D5F" w:rsidRDefault="00CE3D5F" w:rsidP="008E3D8B">
            <w:pPr>
              <w:spacing w:before="40" w:after="40" w:line="360" w:lineRule="auto"/>
              <w:jc w:val="center"/>
              <w:rPr>
                <w:rFonts w:ascii="Arial" w:hAnsi="Arial" w:cs="Arial"/>
              </w:rPr>
            </w:pPr>
            <w:r>
              <w:rPr>
                <w:rFonts w:ascii="Arial" w:hAnsi="Arial" w:cs="Arial"/>
              </w:rPr>
              <w:t>(0.075)</w:t>
            </w:r>
          </w:p>
        </w:tc>
      </w:tr>
      <w:tr w:rsidR="00CE3D5F" w14:paraId="4AD482BF" w14:textId="77777777" w:rsidTr="00CE3D5F">
        <w:tc>
          <w:tcPr>
            <w:tcW w:w="3080" w:type="dxa"/>
          </w:tcPr>
          <w:p w14:paraId="7B8B1238" w14:textId="77777777" w:rsidR="00CE3D5F" w:rsidRDefault="00CE3D5F" w:rsidP="008E3D8B">
            <w:pPr>
              <w:spacing w:before="40" w:after="40" w:line="360" w:lineRule="auto"/>
              <w:rPr>
                <w:rFonts w:ascii="Arial" w:hAnsi="Arial" w:cs="Arial"/>
              </w:rPr>
            </w:pPr>
            <w:r>
              <w:rPr>
                <w:rFonts w:ascii="Arial" w:hAnsi="Arial" w:cs="Arial"/>
              </w:rPr>
              <w:t>Weighted Kappa - Quadratic</w:t>
            </w:r>
          </w:p>
          <w:p w14:paraId="2146E5A2" w14:textId="77777777" w:rsidR="00CE3D5F" w:rsidRDefault="00CE3D5F" w:rsidP="008E3D8B">
            <w:pPr>
              <w:spacing w:before="40" w:after="40" w:line="360" w:lineRule="auto"/>
              <w:rPr>
                <w:rFonts w:ascii="Arial" w:hAnsi="Arial" w:cs="Arial"/>
              </w:rPr>
            </w:pPr>
            <w:r>
              <w:rPr>
                <w:rFonts w:ascii="Arial" w:hAnsi="Arial" w:cs="Arial"/>
              </w:rPr>
              <w:t>(std error)</w:t>
            </w:r>
          </w:p>
        </w:tc>
        <w:tc>
          <w:tcPr>
            <w:tcW w:w="3081" w:type="dxa"/>
          </w:tcPr>
          <w:p w14:paraId="37E431EC" w14:textId="77777777" w:rsidR="00CE3D5F" w:rsidRDefault="00746BB1" w:rsidP="008E3D8B">
            <w:pPr>
              <w:spacing w:before="40" w:after="40" w:line="360" w:lineRule="auto"/>
              <w:jc w:val="center"/>
              <w:rPr>
                <w:rFonts w:ascii="Arial" w:hAnsi="Arial" w:cs="Arial"/>
              </w:rPr>
            </w:pPr>
            <w:r>
              <w:rPr>
                <w:rFonts w:ascii="Arial" w:hAnsi="Arial" w:cs="Arial"/>
              </w:rPr>
              <w:t>0.706</w:t>
            </w:r>
          </w:p>
          <w:p w14:paraId="485BFBCE" w14:textId="77777777" w:rsidR="00746BB1" w:rsidRDefault="00746BB1" w:rsidP="008E3D8B">
            <w:pPr>
              <w:spacing w:before="40" w:after="40" w:line="360" w:lineRule="auto"/>
              <w:jc w:val="center"/>
              <w:rPr>
                <w:rFonts w:ascii="Arial" w:hAnsi="Arial" w:cs="Arial"/>
              </w:rPr>
            </w:pPr>
            <w:r>
              <w:rPr>
                <w:rFonts w:ascii="Arial" w:hAnsi="Arial" w:cs="Arial"/>
              </w:rPr>
              <w:t>(0.107)</w:t>
            </w:r>
          </w:p>
        </w:tc>
        <w:tc>
          <w:tcPr>
            <w:tcW w:w="3081" w:type="dxa"/>
          </w:tcPr>
          <w:p w14:paraId="0BD7FC35" w14:textId="77777777" w:rsidR="00CE3D5F" w:rsidRDefault="00CE3D5F" w:rsidP="008E3D8B">
            <w:pPr>
              <w:spacing w:before="40" w:after="40" w:line="360" w:lineRule="auto"/>
              <w:jc w:val="center"/>
              <w:rPr>
                <w:rFonts w:ascii="Arial" w:hAnsi="Arial" w:cs="Arial"/>
              </w:rPr>
            </w:pPr>
            <w:r>
              <w:rPr>
                <w:rFonts w:ascii="Arial" w:hAnsi="Arial" w:cs="Arial"/>
              </w:rPr>
              <w:t>0.539</w:t>
            </w:r>
          </w:p>
          <w:p w14:paraId="77F34615" w14:textId="77777777" w:rsidR="00CE3D5F" w:rsidRDefault="00CE3D5F" w:rsidP="008E3D8B">
            <w:pPr>
              <w:spacing w:before="40" w:after="40" w:line="360" w:lineRule="auto"/>
              <w:jc w:val="center"/>
              <w:rPr>
                <w:rFonts w:ascii="Arial" w:hAnsi="Arial" w:cs="Arial"/>
              </w:rPr>
            </w:pPr>
            <w:r>
              <w:rPr>
                <w:rFonts w:ascii="Arial" w:hAnsi="Arial" w:cs="Arial"/>
              </w:rPr>
              <w:t>(0.108)</w:t>
            </w:r>
          </w:p>
        </w:tc>
      </w:tr>
    </w:tbl>
    <w:p w14:paraId="55A8C19C" w14:textId="77777777" w:rsidR="00ED5C31" w:rsidRDefault="00ED5C31" w:rsidP="005E38B9">
      <w:pPr>
        <w:spacing w:after="0" w:line="360" w:lineRule="auto"/>
        <w:rPr>
          <w:rFonts w:ascii="Arial" w:hAnsi="Arial" w:cs="Arial"/>
        </w:rPr>
      </w:pPr>
    </w:p>
    <w:p w14:paraId="461870E9" w14:textId="77777777" w:rsidR="00ED5C31" w:rsidRDefault="00ED5C31" w:rsidP="005E38B9">
      <w:pPr>
        <w:spacing w:after="0" w:line="360" w:lineRule="auto"/>
        <w:rPr>
          <w:rFonts w:ascii="Arial" w:hAnsi="Arial" w:cs="Arial"/>
        </w:rPr>
      </w:pPr>
    </w:p>
    <w:p w14:paraId="32B0826C" w14:textId="77777777" w:rsidR="00ED5C31" w:rsidRDefault="00ED5C31" w:rsidP="005E38B9">
      <w:pPr>
        <w:spacing w:after="0" w:line="360" w:lineRule="auto"/>
        <w:rPr>
          <w:rFonts w:ascii="Arial" w:hAnsi="Arial" w:cs="Arial"/>
        </w:rPr>
      </w:pPr>
    </w:p>
    <w:p w14:paraId="388832AA" w14:textId="77777777" w:rsidR="00C8730C" w:rsidRPr="00E86A5B" w:rsidRDefault="00C8730C" w:rsidP="00E86A5B">
      <w:pPr>
        <w:rPr>
          <w:rFonts w:ascii="Arial" w:hAnsi="Arial" w:cs="Arial"/>
        </w:rPr>
      </w:pPr>
    </w:p>
    <w:sectPr w:rsidR="00C8730C" w:rsidRPr="00E86A5B" w:rsidSect="00F8546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74AB7" w14:textId="77777777" w:rsidR="0054059C" w:rsidRDefault="0054059C" w:rsidP="00A94C55">
      <w:pPr>
        <w:spacing w:after="0" w:line="240" w:lineRule="auto"/>
      </w:pPr>
      <w:r>
        <w:separator/>
      </w:r>
    </w:p>
  </w:endnote>
  <w:endnote w:type="continuationSeparator" w:id="0">
    <w:p w14:paraId="22987AF2" w14:textId="77777777" w:rsidR="0054059C" w:rsidRDefault="0054059C" w:rsidP="00A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360388"/>
      <w:docPartObj>
        <w:docPartGallery w:val="Page Numbers (Bottom of Page)"/>
        <w:docPartUnique/>
      </w:docPartObj>
    </w:sdtPr>
    <w:sdtEndPr>
      <w:rPr>
        <w:noProof/>
      </w:rPr>
    </w:sdtEndPr>
    <w:sdtContent>
      <w:p w14:paraId="6CCFCF8D" w14:textId="595ABE9B" w:rsidR="0064440F" w:rsidRDefault="0064440F">
        <w:pPr>
          <w:pStyle w:val="Footer"/>
          <w:jc w:val="right"/>
        </w:pPr>
        <w:r>
          <w:fldChar w:fldCharType="begin"/>
        </w:r>
        <w:r>
          <w:instrText xml:space="preserve"> PAGE   \* MERGEFORMAT </w:instrText>
        </w:r>
        <w:r>
          <w:fldChar w:fldCharType="separate"/>
        </w:r>
        <w:r w:rsidR="00662046">
          <w:rPr>
            <w:noProof/>
          </w:rPr>
          <w:t>18</w:t>
        </w:r>
        <w:r>
          <w:rPr>
            <w:noProof/>
          </w:rPr>
          <w:fldChar w:fldCharType="end"/>
        </w:r>
      </w:p>
    </w:sdtContent>
  </w:sdt>
  <w:p w14:paraId="7B5A4955" w14:textId="77777777" w:rsidR="0064440F" w:rsidRDefault="00644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FEC12" w14:textId="77777777" w:rsidR="0054059C" w:rsidRDefault="0054059C" w:rsidP="00A94C55">
      <w:pPr>
        <w:spacing w:after="0" w:line="240" w:lineRule="auto"/>
      </w:pPr>
      <w:r>
        <w:separator/>
      </w:r>
    </w:p>
  </w:footnote>
  <w:footnote w:type="continuationSeparator" w:id="0">
    <w:p w14:paraId="5B368612" w14:textId="77777777" w:rsidR="0054059C" w:rsidRDefault="0054059C" w:rsidP="00A94C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753EC"/>
    <w:multiLevelType w:val="hybridMultilevel"/>
    <w:tmpl w:val="B5E21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A725C36"/>
    <w:multiLevelType w:val="hybridMultilevel"/>
    <w:tmpl w:val="8A88FA0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nsid w:val="63CD71B3"/>
    <w:multiLevelType w:val="hybridMultilevel"/>
    <w:tmpl w:val="6F30FE48"/>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4D"/>
    <w:rsid w:val="0000570A"/>
    <w:rsid w:val="00006FC8"/>
    <w:rsid w:val="00007184"/>
    <w:rsid w:val="000078B0"/>
    <w:rsid w:val="000101AA"/>
    <w:rsid w:val="000149D9"/>
    <w:rsid w:val="00022012"/>
    <w:rsid w:val="00025A4D"/>
    <w:rsid w:val="00025C01"/>
    <w:rsid w:val="0003206B"/>
    <w:rsid w:val="000322B4"/>
    <w:rsid w:val="000462D7"/>
    <w:rsid w:val="000535FE"/>
    <w:rsid w:val="00056433"/>
    <w:rsid w:val="00066D79"/>
    <w:rsid w:val="000704EA"/>
    <w:rsid w:val="000727DB"/>
    <w:rsid w:val="000776B0"/>
    <w:rsid w:val="00087679"/>
    <w:rsid w:val="00087F92"/>
    <w:rsid w:val="00090754"/>
    <w:rsid w:val="0009751E"/>
    <w:rsid w:val="000A2AC6"/>
    <w:rsid w:val="000A5250"/>
    <w:rsid w:val="000A6614"/>
    <w:rsid w:val="000B5C83"/>
    <w:rsid w:val="000C7F73"/>
    <w:rsid w:val="000D0628"/>
    <w:rsid w:val="000D27E2"/>
    <w:rsid w:val="000D310A"/>
    <w:rsid w:val="000D6395"/>
    <w:rsid w:val="000E23E8"/>
    <w:rsid w:val="000E56C3"/>
    <w:rsid w:val="000E6524"/>
    <w:rsid w:val="000F4196"/>
    <w:rsid w:val="000F4700"/>
    <w:rsid w:val="000F504C"/>
    <w:rsid w:val="000F59DE"/>
    <w:rsid w:val="00105592"/>
    <w:rsid w:val="00107CE2"/>
    <w:rsid w:val="00122759"/>
    <w:rsid w:val="00123125"/>
    <w:rsid w:val="00132583"/>
    <w:rsid w:val="001722F9"/>
    <w:rsid w:val="00187681"/>
    <w:rsid w:val="001A1559"/>
    <w:rsid w:val="001A5B1B"/>
    <w:rsid w:val="001A75FD"/>
    <w:rsid w:val="001B1FD1"/>
    <w:rsid w:val="001B4EBE"/>
    <w:rsid w:val="001C7ADE"/>
    <w:rsid w:val="001C7DE2"/>
    <w:rsid w:val="001D12D1"/>
    <w:rsid w:val="001E09E5"/>
    <w:rsid w:val="001E2DED"/>
    <w:rsid w:val="001F5320"/>
    <w:rsid w:val="002000A4"/>
    <w:rsid w:val="00201F89"/>
    <w:rsid w:val="0020460D"/>
    <w:rsid w:val="002049D7"/>
    <w:rsid w:val="002223EE"/>
    <w:rsid w:val="00222B2B"/>
    <w:rsid w:val="002440A2"/>
    <w:rsid w:val="002447EB"/>
    <w:rsid w:val="00247AA6"/>
    <w:rsid w:val="00253FC4"/>
    <w:rsid w:val="002564BE"/>
    <w:rsid w:val="00263A92"/>
    <w:rsid w:val="00290CE8"/>
    <w:rsid w:val="00290F6B"/>
    <w:rsid w:val="0029436B"/>
    <w:rsid w:val="002A101B"/>
    <w:rsid w:val="002A4392"/>
    <w:rsid w:val="002A47AD"/>
    <w:rsid w:val="002B3653"/>
    <w:rsid w:val="002C108F"/>
    <w:rsid w:val="002C6D4C"/>
    <w:rsid w:val="002D2353"/>
    <w:rsid w:val="002D5891"/>
    <w:rsid w:val="002F3D60"/>
    <w:rsid w:val="00306E3C"/>
    <w:rsid w:val="00313644"/>
    <w:rsid w:val="0031382A"/>
    <w:rsid w:val="0032332D"/>
    <w:rsid w:val="00325FC2"/>
    <w:rsid w:val="00331050"/>
    <w:rsid w:val="0034779F"/>
    <w:rsid w:val="00347A47"/>
    <w:rsid w:val="0035748C"/>
    <w:rsid w:val="00377B30"/>
    <w:rsid w:val="003848E5"/>
    <w:rsid w:val="00390BBA"/>
    <w:rsid w:val="003933E6"/>
    <w:rsid w:val="003A3096"/>
    <w:rsid w:val="003B18E4"/>
    <w:rsid w:val="003B7BF2"/>
    <w:rsid w:val="003E273D"/>
    <w:rsid w:val="003E5FB0"/>
    <w:rsid w:val="003E6216"/>
    <w:rsid w:val="003F41FF"/>
    <w:rsid w:val="003F656B"/>
    <w:rsid w:val="003F67DF"/>
    <w:rsid w:val="0040786B"/>
    <w:rsid w:val="00415533"/>
    <w:rsid w:val="00415910"/>
    <w:rsid w:val="0041618C"/>
    <w:rsid w:val="0042597B"/>
    <w:rsid w:val="00434509"/>
    <w:rsid w:val="00442194"/>
    <w:rsid w:val="0045138E"/>
    <w:rsid w:val="00466FDA"/>
    <w:rsid w:val="00471B8C"/>
    <w:rsid w:val="004759CB"/>
    <w:rsid w:val="00484DDD"/>
    <w:rsid w:val="0049281D"/>
    <w:rsid w:val="00494E96"/>
    <w:rsid w:val="00495D62"/>
    <w:rsid w:val="004A63AE"/>
    <w:rsid w:val="004A67E8"/>
    <w:rsid w:val="004B6D18"/>
    <w:rsid w:val="004B7154"/>
    <w:rsid w:val="004C23FA"/>
    <w:rsid w:val="004D017D"/>
    <w:rsid w:val="004D07D8"/>
    <w:rsid w:val="004D1666"/>
    <w:rsid w:val="004D729A"/>
    <w:rsid w:val="004D7DBF"/>
    <w:rsid w:val="004E0A2B"/>
    <w:rsid w:val="004E1AD5"/>
    <w:rsid w:val="004F5F2E"/>
    <w:rsid w:val="004F779E"/>
    <w:rsid w:val="004F7C73"/>
    <w:rsid w:val="00500634"/>
    <w:rsid w:val="00511DE5"/>
    <w:rsid w:val="005152D9"/>
    <w:rsid w:val="00523205"/>
    <w:rsid w:val="005348BA"/>
    <w:rsid w:val="0054059C"/>
    <w:rsid w:val="00544A57"/>
    <w:rsid w:val="005459DC"/>
    <w:rsid w:val="00546C5C"/>
    <w:rsid w:val="00550404"/>
    <w:rsid w:val="00553A74"/>
    <w:rsid w:val="005670A2"/>
    <w:rsid w:val="00567B0D"/>
    <w:rsid w:val="005700CA"/>
    <w:rsid w:val="005837D7"/>
    <w:rsid w:val="005865E1"/>
    <w:rsid w:val="00590B5B"/>
    <w:rsid w:val="005910E8"/>
    <w:rsid w:val="00591BA7"/>
    <w:rsid w:val="005A3413"/>
    <w:rsid w:val="005B3E32"/>
    <w:rsid w:val="005B4762"/>
    <w:rsid w:val="005B5743"/>
    <w:rsid w:val="005B76F3"/>
    <w:rsid w:val="005E277C"/>
    <w:rsid w:val="005E38B9"/>
    <w:rsid w:val="005E3EE4"/>
    <w:rsid w:val="005E48D8"/>
    <w:rsid w:val="006038AD"/>
    <w:rsid w:val="00610A01"/>
    <w:rsid w:val="0061127D"/>
    <w:rsid w:val="0061184F"/>
    <w:rsid w:val="00621212"/>
    <w:rsid w:val="006264DD"/>
    <w:rsid w:val="00635424"/>
    <w:rsid w:val="00641AA4"/>
    <w:rsid w:val="00643362"/>
    <w:rsid w:val="0064440F"/>
    <w:rsid w:val="006445FB"/>
    <w:rsid w:val="00656A21"/>
    <w:rsid w:val="00662046"/>
    <w:rsid w:val="00672045"/>
    <w:rsid w:val="0067398A"/>
    <w:rsid w:val="00674E91"/>
    <w:rsid w:val="006770C2"/>
    <w:rsid w:val="00677468"/>
    <w:rsid w:val="00680849"/>
    <w:rsid w:val="00680FA9"/>
    <w:rsid w:val="006823EC"/>
    <w:rsid w:val="00683E14"/>
    <w:rsid w:val="0068776A"/>
    <w:rsid w:val="00690108"/>
    <w:rsid w:val="00691A74"/>
    <w:rsid w:val="006936F0"/>
    <w:rsid w:val="006A16DC"/>
    <w:rsid w:val="006A1DDB"/>
    <w:rsid w:val="006A656D"/>
    <w:rsid w:val="006C2A72"/>
    <w:rsid w:val="006C4738"/>
    <w:rsid w:val="006D0BDB"/>
    <w:rsid w:val="006E2E2D"/>
    <w:rsid w:val="006F606A"/>
    <w:rsid w:val="007016E5"/>
    <w:rsid w:val="007024AA"/>
    <w:rsid w:val="00702EC1"/>
    <w:rsid w:val="00707130"/>
    <w:rsid w:val="007102E0"/>
    <w:rsid w:val="00710430"/>
    <w:rsid w:val="00712497"/>
    <w:rsid w:val="00717A63"/>
    <w:rsid w:val="00732154"/>
    <w:rsid w:val="007344DF"/>
    <w:rsid w:val="00737C9B"/>
    <w:rsid w:val="00742330"/>
    <w:rsid w:val="007445EA"/>
    <w:rsid w:val="00746BB1"/>
    <w:rsid w:val="00750B57"/>
    <w:rsid w:val="0075132C"/>
    <w:rsid w:val="0075501D"/>
    <w:rsid w:val="00763148"/>
    <w:rsid w:val="0076372A"/>
    <w:rsid w:val="0076541A"/>
    <w:rsid w:val="00774A8D"/>
    <w:rsid w:val="00775F28"/>
    <w:rsid w:val="00786CAD"/>
    <w:rsid w:val="007928EB"/>
    <w:rsid w:val="0079469A"/>
    <w:rsid w:val="00797E3F"/>
    <w:rsid w:val="007A4673"/>
    <w:rsid w:val="007A6CE3"/>
    <w:rsid w:val="007B0432"/>
    <w:rsid w:val="007C0428"/>
    <w:rsid w:val="007C0EEF"/>
    <w:rsid w:val="007C31DA"/>
    <w:rsid w:val="007D35F6"/>
    <w:rsid w:val="007D3E3E"/>
    <w:rsid w:val="007E58C1"/>
    <w:rsid w:val="007E7E6D"/>
    <w:rsid w:val="00800170"/>
    <w:rsid w:val="00806C74"/>
    <w:rsid w:val="008134ED"/>
    <w:rsid w:val="00841B79"/>
    <w:rsid w:val="0084290E"/>
    <w:rsid w:val="00852632"/>
    <w:rsid w:val="00855E47"/>
    <w:rsid w:val="008573D3"/>
    <w:rsid w:val="00866C78"/>
    <w:rsid w:val="00871B85"/>
    <w:rsid w:val="0087711C"/>
    <w:rsid w:val="00880D25"/>
    <w:rsid w:val="00882AFC"/>
    <w:rsid w:val="00883B5B"/>
    <w:rsid w:val="00884DE3"/>
    <w:rsid w:val="00886262"/>
    <w:rsid w:val="00887155"/>
    <w:rsid w:val="00893296"/>
    <w:rsid w:val="008A4310"/>
    <w:rsid w:val="008A4F98"/>
    <w:rsid w:val="008B41EC"/>
    <w:rsid w:val="008B4733"/>
    <w:rsid w:val="008B6436"/>
    <w:rsid w:val="008B7F44"/>
    <w:rsid w:val="008C0C09"/>
    <w:rsid w:val="008C4E17"/>
    <w:rsid w:val="008D4225"/>
    <w:rsid w:val="008E3D8B"/>
    <w:rsid w:val="008E45F0"/>
    <w:rsid w:val="008E54C6"/>
    <w:rsid w:val="008F43EE"/>
    <w:rsid w:val="00911B23"/>
    <w:rsid w:val="00916A3E"/>
    <w:rsid w:val="00921B72"/>
    <w:rsid w:val="00923372"/>
    <w:rsid w:val="009235CB"/>
    <w:rsid w:val="00932BAD"/>
    <w:rsid w:val="009353D0"/>
    <w:rsid w:val="009433CE"/>
    <w:rsid w:val="009477B1"/>
    <w:rsid w:val="00962BFA"/>
    <w:rsid w:val="00966CD1"/>
    <w:rsid w:val="00973854"/>
    <w:rsid w:val="0097430A"/>
    <w:rsid w:val="00976665"/>
    <w:rsid w:val="009803A1"/>
    <w:rsid w:val="00981B6D"/>
    <w:rsid w:val="009929C1"/>
    <w:rsid w:val="0099789F"/>
    <w:rsid w:val="009A4BD2"/>
    <w:rsid w:val="009A5E85"/>
    <w:rsid w:val="009A5EEF"/>
    <w:rsid w:val="009A7E8E"/>
    <w:rsid w:val="009D10AC"/>
    <w:rsid w:val="009D2D27"/>
    <w:rsid w:val="009D51D3"/>
    <w:rsid w:val="009D7700"/>
    <w:rsid w:val="009E40D5"/>
    <w:rsid w:val="009F41BD"/>
    <w:rsid w:val="009F531E"/>
    <w:rsid w:val="00A05E34"/>
    <w:rsid w:val="00A06977"/>
    <w:rsid w:val="00A3213A"/>
    <w:rsid w:val="00A42B78"/>
    <w:rsid w:val="00A43E23"/>
    <w:rsid w:val="00A46B75"/>
    <w:rsid w:val="00A55E8C"/>
    <w:rsid w:val="00A569E4"/>
    <w:rsid w:val="00A66FB5"/>
    <w:rsid w:val="00A72FF3"/>
    <w:rsid w:val="00A76EAE"/>
    <w:rsid w:val="00A8457E"/>
    <w:rsid w:val="00A87753"/>
    <w:rsid w:val="00A94C55"/>
    <w:rsid w:val="00AA0DFA"/>
    <w:rsid w:val="00AA257D"/>
    <w:rsid w:val="00AB24E6"/>
    <w:rsid w:val="00AB6C63"/>
    <w:rsid w:val="00AB6D76"/>
    <w:rsid w:val="00AB7013"/>
    <w:rsid w:val="00AC141D"/>
    <w:rsid w:val="00AC20A6"/>
    <w:rsid w:val="00AC2BFF"/>
    <w:rsid w:val="00AD2453"/>
    <w:rsid w:val="00AE025F"/>
    <w:rsid w:val="00AE7462"/>
    <w:rsid w:val="00AE74B6"/>
    <w:rsid w:val="00AE7786"/>
    <w:rsid w:val="00AF134D"/>
    <w:rsid w:val="00AF4D1C"/>
    <w:rsid w:val="00AF4E63"/>
    <w:rsid w:val="00B00B99"/>
    <w:rsid w:val="00B07E37"/>
    <w:rsid w:val="00B103D1"/>
    <w:rsid w:val="00B47F33"/>
    <w:rsid w:val="00B56C44"/>
    <w:rsid w:val="00B66EA5"/>
    <w:rsid w:val="00B67BE4"/>
    <w:rsid w:val="00B82E0A"/>
    <w:rsid w:val="00B92320"/>
    <w:rsid w:val="00BA4278"/>
    <w:rsid w:val="00BA7B2D"/>
    <w:rsid w:val="00BD3D4E"/>
    <w:rsid w:val="00BD3F1D"/>
    <w:rsid w:val="00BD66BE"/>
    <w:rsid w:val="00BE5DEC"/>
    <w:rsid w:val="00BF0ABB"/>
    <w:rsid w:val="00BF1AAD"/>
    <w:rsid w:val="00C00790"/>
    <w:rsid w:val="00C0785C"/>
    <w:rsid w:val="00C101A3"/>
    <w:rsid w:val="00C2056A"/>
    <w:rsid w:val="00C26F5A"/>
    <w:rsid w:val="00C3298B"/>
    <w:rsid w:val="00C3797D"/>
    <w:rsid w:val="00C43662"/>
    <w:rsid w:val="00C53118"/>
    <w:rsid w:val="00C53578"/>
    <w:rsid w:val="00C55892"/>
    <w:rsid w:val="00C608E2"/>
    <w:rsid w:val="00C61F35"/>
    <w:rsid w:val="00C64C0C"/>
    <w:rsid w:val="00C76CBB"/>
    <w:rsid w:val="00C803F6"/>
    <w:rsid w:val="00C8730C"/>
    <w:rsid w:val="00C91CEE"/>
    <w:rsid w:val="00CA36BC"/>
    <w:rsid w:val="00CC2ABD"/>
    <w:rsid w:val="00CC7CF2"/>
    <w:rsid w:val="00CD1E20"/>
    <w:rsid w:val="00CD2E06"/>
    <w:rsid w:val="00CD5644"/>
    <w:rsid w:val="00CE348F"/>
    <w:rsid w:val="00CE3D5F"/>
    <w:rsid w:val="00CE76AF"/>
    <w:rsid w:val="00CF09DD"/>
    <w:rsid w:val="00CF0F13"/>
    <w:rsid w:val="00CF4409"/>
    <w:rsid w:val="00D079E9"/>
    <w:rsid w:val="00D1162B"/>
    <w:rsid w:val="00D153F5"/>
    <w:rsid w:val="00D15D9D"/>
    <w:rsid w:val="00D304FF"/>
    <w:rsid w:val="00D363F7"/>
    <w:rsid w:val="00D367C8"/>
    <w:rsid w:val="00D463A8"/>
    <w:rsid w:val="00D52C92"/>
    <w:rsid w:val="00D57820"/>
    <w:rsid w:val="00D6470F"/>
    <w:rsid w:val="00D66C02"/>
    <w:rsid w:val="00D709F3"/>
    <w:rsid w:val="00D72565"/>
    <w:rsid w:val="00D73132"/>
    <w:rsid w:val="00D809D2"/>
    <w:rsid w:val="00D812B8"/>
    <w:rsid w:val="00D865A5"/>
    <w:rsid w:val="00D9068C"/>
    <w:rsid w:val="00D9712A"/>
    <w:rsid w:val="00DA30E0"/>
    <w:rsid w:val="00DA4C74"/>
    <w:rsid w:val="00DA657D"/>
    <w:rsid w:val="00DA7F2D"/>
    <w:rsid w:val="00DB4C5B"/>
    <w:rsid w:val="00DC5EBB"/>
    <w:rsid w:val="00DC609C"/>
    <w:rsid w:val="00DD727F"/>
    <w:rsid w:val="00DE6896"/>
    <w:rsid w:val="00E0190D"/>
    <w:rsid w:val="00E119E3"/>
    <w:rsid w:val="00E164A5"/>
    <w:rsid w:val="00E203F0"/>
    <w:rsid w:val="00E267BC"/>
    <w:rsid w:val="00E27D89"/>
    <w:rsid w:val="00E32D7B"/>
    <w:rsid w:val="00E34DC7"/>
    <w:rsid w:val="00E40067"/>
    <w:rsid w:val="00E40A6D"/>
    <w:rsid w:val="00E44687"/>
    <w:rsid w:val="00E61D70"/>
    <w:rsid w:val="00E66183"/>
    <w:rsid w:val="00E753B8"/>
    <w:rsid w:val="00E767FE"/>
    <w:rsid w:val="00E80B3E"/>
    <w:rsid w:val="00E82ACF"/>
    <w:rsid w:val="00E83AE5"/>
    <w:rsid w:val="00E86A5B"/>
    <w:rsid w:val="00E86E1F"/>
    <w:rsid w:val="00E94926"/>
    <w:rsid w:val="00EA1F0C"/>
    <w:rsid w:val="00EA22E9"/>
    <w:rsid w:val="00EA69CE"/>
    <w:rsid w:val="00EB035E"/>
    <w:rsid w:val="00EC796F"/>
    <w:rsid w:val="00ED18E7"/>
    <w:rsid w:val="00ED5C31"/>
    <w:rsid w:val="00EE351A"/>
    <w:rsid w:val="00EE60FF"/>
    <w:rsid w:val="00EF1B85"/>
    <w:rsid w:val="00EF4255"/>
    <w:rsid w:val="00EF69A5"/>
    <w:rsid w:val="00EF7B34"/>
    <w:rsid w:val="00EF7E0E"/>
    <w:rsid w:val="00F04501"/>
    <w:rsid w:val="00F05494"/>
    <w:rsid w:val="00F102BC"/>
    <w:rsid w:val="00F15E5E"/>
    <w:rsid w:val="00F30CFE"/>
    <w:rsid w:val="00F40E94"/>
    <w:rsid w:val="00F528BF"/>
    <w:rsid w:val="00F53E27"/>
    <w:rsid w:val="00F61172"/>
    <w:rsid w:val="00F62119"/>
    <w:rsid w:val="00F653C4"/>
    <w:rsid w:val="00F72BE7"/>
    <w:rsid w:val="00F81341"/>
    <w:rsid w:val="00F848AE"/>
    <w:rsid w:val="00F85463"/>
    <w:rsid w:val="00F87DDA"/>
    <w:rsid w:val="00F92C4B"/>
    <w:rsid w:val="00F97E6A"/>
    <w:rsid w:val="00FA0382"/>
    <w:rsid w:val="00FA4DE3"/>
    <w:rsid w:val="00FA5429"/>
    <w:rsid w:val="00FA61C6"/>
    <w:rsid w:val="00FB069C"/>
    <w:rsid w:val="00FB25A9"/>
    <w:rsid w:val="00FB5FAD"/>
    <w:rsid w:val="00FC3135"/>
    <w:rsid w:val="00FC4ED2"/>
    <w:rsid w:val="00FC66F7"/>
    <w:rsid w:val="00FD4061"/>
    <w:rsid w:val="00FE2E05"/>
    <w:rsid w:val="00FF2FD5"/>
    <w:rsid w:val="00FF31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ABD"/>
  </w:style>
  <w:style w:type="paragraph" w:styleId="Heading1">
    <w:name w:val="heading 1"/>
    <w:basedOn w:val="Normal"/>
    <w:next w:val="Normal"/>
    <w:link w:val="Heading1Char"/>
    <w:uiPriority w:val="9"/>
    <w:qFormat/>
    <w:rsid w:val="00CC2ABD"/>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CC2ABD"/>
    <w:pPr>
      <w:keepNext/>
      <w:keepLines/>
      <w:spacing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CC2ABD"/>
    <w:pPr>
      <w:keepNext/>
      <w:keepLines/>
      <w:spacing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CC2ABD"/>
    <w:pPr>
      <w:keepNext/>
      <w:keepLines/>
      <w:spacing w:after="0"/>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unhideWhenUsed/>
    <w:qFormat/>
    <w:rsid w:val="00CC2ABD"/>
    <w:pPr>
      <w:keepNext/>
      <w:keepLines/>
      <w:spacing w:after="0"/>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ABD"/>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CC2ABD"/>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CC2AB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CC2ABD"/>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rsid w:val="00CC2ABD"/>
    <w:rPr>
      <w:rFonts w:ascii="Times New Roman" w:eastAsiaTheme="majorEastAsia" w:hAnsi="Times New Roman" w:cstheme="majorBidi"/>
      <w:sz w:val="24"/>
    </w:rPr>
  </w:style>
  <w:style w:type="paragraph" w:styleId="Caption">
    <w:name w:val="caption"/>
    <w:basedOn w:val="Normal"/>
    <w:next w:val="Normal"/>
    <w:uiPriority w:val="35"/>
    <w:unhideWhenUsed/>
    <w:qFormat/>
    <w:rsid w:val="00CC2ABD"/>
    <w:pPr>
      <w:spacing w:line="240" w:lineRule="auto"/>
    </w:pPr>
    <w:rPr>
      <w:b/>
      <w:bCs/>
      <w:color w:val="4F81BD" w:themeColor="accent1"/>
      <w:sz w:val="18"/>
      <w:szCs w:val="18"/>
    </w:rPr>
  </w:style>
  <w:style w:type="paragraph" w:styleId="Title">
    <w:name w:val="Title"/>
    <w:basedOn w:val="Normal"/>
    <w:next w:val="Normal"/>
    <w:link w:val="TitleChar"/>
    <w:uiPriority w:val="10"/>
    <w:qFormat/>
    <w:rsid w:val="00CC2ABD"/>
    <w:pPr>
      <w:pBdr>
        <w:bottom w:val="single" w:sz="8" w:space="4" w:color="4F81BD" w:themeColor="accent1"/>
      </w:pBdr>
      <w:spacing w:after="300" w:line="240" w:lineRule="auto"/>
      <w:contextualSpacing/>
    </w:pPr>
    <w:rPr>
      <w:rFonts w:ascii="Times New Roman" w:eastAsiaTheme="majorEastAsia" w:hAnsi="Times New Roman" w:cstheme="majorBidi"/>
      <w:spacing w:val="5"/>
      <w:kern w:val="28"/>
      <w:sz w:val="72"/>
      <w:szCs w:val="52"/>
    </w:rPr>
  </w:style>
  <w:style w:type="character" w:customStyle="1" w:styleId="TitleChar">
    <w:name w:val="Title Char"/>
    <w:basedOn w:val="DefaultParagraphFont"/>
    <w:link w:val="Title"/>
    <w:uiPriority w:val="10"/>
    <w:rsid w:val="00CC2ABD"/>
    <w:rPr>
      <w:rFonts w:ascii="Times New Roman" w:eastAsiaTheme="majorEastAsia" w:hAnsi="Times New Roman" w:cstheme="majorBidi"/>
      <w:spacing w:val="5"/>
      <w:kern w:val="28"/>
      <w:sz w:val="72"/>
      <w:szCs w:val="52"/>
    </w:rPr>
  </w:style>
  <w:style w:type="paragraph" w:styleId="ListParagraph">
    <w:name w:val="List Paragraph"/>
    <w:basedOn w:val="Normal"/>
    <w:uiPriority w:val="34"/>
    <w:qFormat/>
    <w:rsid w:val="00CC2ABD"/>
    <w:pPr>
      <w:ind w:left="720"/>
      <w:contextualSpacing/>
    </w:pPr>
  </w:style>
  <w:style w:type="table" w:styleId="TableGrid">
    <w:name w:val="Table Grid"/>
    <w:basedOn w:val="TableNormal"/>
    <w:uiPriority w:val="59"/>
    <w:rsid w:val="007E5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035E"/>
    <w:rPr>
      <w:color w:val="808080"/>
    </w:rPr>
  </w:style>
  <w:style w:type="paragraph" w:styleId="BalloonText">
    <w:name w:val="Balloon Text"/>
    <w:basedOn w:val="Normal"/>
    <w:link w:val="BalloonTextChar"/>
    <w:uiPriority w:val="99"/>
    <w:semiHidden/>
    <w:unhideWhenUsed/>
    <w:rsid w:val="00EB0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5E"/>
    <w:rPr>
      <w:rFonts w:ascii="Tahoma" w:hAnsi="Tahoma" w:cs="Tahoma"/>
      <w:sz w:val="16"/>
      <w:szCs w:val="16"/>
    </w:rPr>
  </w:style>
  <w:style w:type="character" w:styleId="Hyperlink">
    <w:name w:val="Hyperlink"/>
    <w:basedOn w:val="DefaultParagraphFont"/>
    <w:uiPriority w:val="99"/>
    <w:unhideWhenUsed/>
    <w:rsid w:val="00F848AE"/>
    <w:rPr>
      <w:color w:val="0000FF" w:themeColor="hyperlink"/>
      <w:u w:val="single"/>
    </w:rPr>
  </w:style>
  <w:style w:type="paragraph" w:styleId="NormalWeb">
    <w:name w:val="Normal (Web)"/>
    <w:basedOn w:val="Normal"/>
    <w:uiPriority w:val="99"/>
    <w:semiHidden/>
    <w:unhideWhenUsed/>
    <w:rsid w:val="00775F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E5FB0"/>
    <w:rPr>
      <w:color w:val="800080" w:themeColor="followedHyperlink"/>
      <w:u w:val="single"/>
    </w:rPr>
  </w:style>
  <w:style w:type="character" w:styleId="Emphasis">
    <w:name w:val="Emphasis"/>
    <w:basedOn w:val="DefaultParagraphFont"/>
    <w:rsid w:val="00866C78"/>
    <w:rPr>
      <w:i/>
      <w:iCs/>
    </w:rPr>
  </w:style>
  <w:style w:type="character" w:customStyle="1" w:styleId="journaltitle">
    <w:name w:val="journaltitle"/>
    <w:basedOn w:val="DefaultParagraphFont"/>
    <w:rsid w:val="00866C78"/>
  </w:style>
  <w:style w:type="character" w:customStyle="1" w:styleId="authorname">
    <w:name w:val="authorname"/>
    <w:basedOn w:val="DefaultParagraphFont"/>
    <w:rsid w:val="00866C78"/>
  </w:style>
  <w:style w:type="character" w:customStyle="1" w:styleId="articlecitationyear">
    <w:name w:val="articlecitation_year"/>
    <w:basedOn w:val="DefaultParagraphFont"/>
    <w:rsid w:val="00866C78"/>
  </w:style>
  <w:style w:type="character" w:customStyle="1" w:styleId="articlecitationvolume">
    <w:name w:val="articlecitation_volume"/>
    <w:basedOn w:val="DefaultParagraphFont"/>
    <w:rsid w:val="00866C78"/>
  </w:style>
  <w:style w:type="character" w:styleId="Strong">
    <w:name w:val="Strong"/>
    <w:basedOn w:val="DefaultParagraphFont"/>
    <w:rsid w:val="00866C78"/>
    <w:rPr>
      <w:b/>
      <w:bCs/>
    </w:rPr>
  </w:style>
  <w:style w:type="paragraph" w:customStyle="1" w:styleId="copyright">
    <w:name w:val="copyright"/>
    <w:basedOn w:val="Normal"/>
    <w:rsid w:val="00866C78"/>
    <w:pPr>
      <w:autoSpaceDN w:val="0"/>
      <w:spacing w:before="100" w:after="100" w:line="240" w:lineRule="auto"/>
    </w:pPr>
    <w:rPr>
      <w:rFonts w:ascii="Times New Roman" w:eastAsia="Times New Roman" w:hAnsi="Times New Roman" w:cs="Times New Roman"/>
      <w:sz w:val="24"/>
      <w:szCs w:val="24"/>
      <w:lang w:eastAsia="en-GB"/>
    </w:rPr>
  </w:style>
  <w:style w:type="paragraph" w:customStyle="1" w:styleId="history">
    <w:name w:val="history"/>
    <w:basedOn w:val="Normal"/>
    <w:rsid w:val="00866C78"/>
    <w:pPr>
      <w:autoSpaceDN w:val="0"/>
      <w:spacing w:before="100" w:after="100" w:line="240" w:lineRule="auto"/>
    </w:pPr>
    <w:rPr>
      <w:rFonts w:ascii="Times New Roman" w:eastAsia="Times New Roman" w:hAnsi="Times New Roman" w:cs="Times New Roman"/>
      <w:sz w:val="24"/>
      <w:szCs w:val="24"/>
      <w:lang w:eastAsia="en-GB"/>
    </w:rPr>
  </w:style>
  <w:style w:type="paragraph" w:customStyle="1" w:styleId="Default">
    <w:name w:val="Default"/>
    <w:rsid w:val="00866C78"/>
    <w:pPr>
      <w:autoSpaceDE w:val="0"/>
      <w:autoSpaceDN w:val="0"/>
      <w:spacing w:after="0" w:line="240" w:lineRule="auto"/>
    </w:pPr>
    <w:rPr>
      <w:rFonts w:ascii="Arial" w:eastAsia="Calibri" w:hAnsi="Arial" w:cs="Arial"/>
      <w:color w:val="000000"/>
      <w:sz w:val="24"/>
      <w:szCs w:val="24"/>
    </w:rPr>
  </w:style>
  <w:style w:type="character" w:customStyle="1" w:styleId="mixed-citation">
    <w:name w:val="mixed-citation"/>
    <w:basedOn w:val="DefaultParagraphFont"/>
    <w:rsid w:val="00866C78"/>
  </w:style>
  <w:style w:type="character" w:customStyle="1" w:styleId="ref-title">
    <w:name w:val="ref-title"/>
    <w:basedOn w:val="DefaultParagraphFont"/>
    <w:rsid w:val="00866C78"/>
  </w:style>
  <w:style w:type="character" w:customStyle="1" w:styleId="ref-journal">
    <w:name w:val="ref-journal"/>
    <w:basedOn w:val="DefaultParagraphFont"/>
    <w:rsid w:val="00866C78"/>
  </w:style>
  <w:style w:type="character" w:customStyle="1" w:styleId="ref-vol">
    <w:name w:val="ref-vol"/>
    <w:basedOn w:val="DefaultParagraphFont"/>
    <w:rsid w:val="00866C78"/>
  </w:style>
  <w:style w:type="character" w:customStyle="1" w:styleId="nowrap">
    <w:name w:val="nowrap"/>
    <w:basedOn w:val="DefaultParagraphFont"/>
    <w:rsid w:val="00866C78"/>
  </w:style>
  <w:style w:type="paragraph" w:styleId="Header">
    <w:name w:val="header"/>
    <w:basedOn w:val="Normal"/>
    <w:link w:val="HeaderChar"/>
    <w:uiPriority w:val="99"/>
    <w:unhideWhenUsed/>
    <w:rsid w:val="00A94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55"/>
  </w:style>
  <w:style w:type="paragraph" w:styleId="Footer">
    <w:name w:val="footer"/>
    <w:basedOn w:val="Normal"/>
    <w:link w:val="FooterChar"/>
    <w:uiPriority w:val="99"/>
    <w:unhideWhenUsed/>
    <w:rsid w:val="00A94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55"/>
  </w:style>
  <w:style w:type="paragraph" w:styleId="DocumentMap">
    <w:name w:val="Document Map"/>
    <w:basedOn w:val="Normal"/>
    <w:link w:val="DocumentMapChar"/>
    <w:uiPriority w:val="99"/>
    <w:semiHidden/>
    <w:unhideWhenUsed/>
    <w:rsid w:val="004F5F2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5F2E"/>
    <w:rPr>
      <w:rFonts w:ascii="Tahoma" w:hAnsi="Tahoma" w:cs="Tahoma"/>
      <w:sz w:val="16"/>
      <w:szCs w:val="16"/>
    </w:rPr>
  </w:style>
  <w:style w:type="paragraph" w:styleId="CommentText">
    <w:name w:val="annotation text"/>
    <w:basedOn w:val="Normal"/>
    <w:link w:val="CommentTextChar"/>
    <w:uiPriority w:val="99"/>
    <w:semiHidden/>
    <w:unhideWhenUsed/>
    <w:rsid w:val="005B4762"/>
    <w:pPr>
      <w:spacing w:line="240" w:lineRule="auto"/>
    </w:pPr>
    <w:rPr>
      <w:sz w:val="20"/>
      <w:szCs w:val="20"/>
    </w:rPr>
  </w:style>
  <w:style w:type="character" w:customStyle="1" w:styleId="CommentTextChar">
    <w:name w:val="Comment Text Char"/>
    <w:basedOn w:val="DefaultParagraphFont"/>
    <w:link w:val="CommentText"/>
    <w:uiPriority w:val="99"/>
    <w:semiHidden/>
    <w:rsid w:val="005B4762"/>
    <w:rPr>
      <w:sz w:val="20"/>
      <w:szCs w:val="20"/>
    </w:rPr>
  </w:style>
  <w:style w:type="character" w:styleId="CommentReference">
    <w:name w:val="annotation reference"/>
    <w:basedOn w:val="DefaultParagraphFont"/>
    <w:uiPriority w:val="99"/>
    <w:semiHidden/>
    <w:unhideWhenUsed/>
    <w:rsid w:val="00AB6C63"/>
    <w:rPr>
      <w:sz w:val="16"/>
      <w:szCs w:val="16"/>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basedOn w:val="CommentTextChar"/>
    <w:link w:val="CommentSubject"/>
    <w:uiPriority w:val="99"/>
    <w:semiHidden/>
    <w:rsid w:val="00AB6C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ABD"/>
  </w:style>
  <w:style w:type="paragraph" w:styleId="Heading1">
    <w:name w:val="heading 1"/>
    <w:basedOn w:val="Normal"/>
    <w:next w:val="Normal"/>
    <w:link w:val="Heading1Char"/>
    <w:uiPriority w:val="9"/>
    <w:qFormat/>
    <w:rsid w:val="00CC2ABD"/>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CC2ABD"/>
    <w:pPr>
      <w:keepNext/>
      <w:keepLines/>
      <w:spacing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CC2ABD"/>
    <w:pPr>
      <w:keepNext/>
      <w:keepLines/>
      <w:spacing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CC2ABD"/>
    <w:pPr>
      <w:keepNext/>
      <w:keepLines/>
      <w:spacing w:after="0"/>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unhideWhenUsed/>
    <w:qFormat/>
    <w:rsid w:val="00CC2ABD"/>
    <w:pPr>
      <w:keepNext/>
      <w:keepLines/>
      <w:spacing w:after="0"/>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ABD"/>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CC2ABD"/>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CC2AB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CC2ABD"/>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rsid w:val="00CC2ABD"/>
    <w:rPr>
      <w:rFonts w:ascii="Times New Roman" w:eastAsiaTheme="majorEastAsia" w:hAnsi="Times New Roman" w:cstheme="majorBidi"/>
      <w:sz w:val="24"/>
    </w:rPr>
  </w:style>
  <w:style w:type="paragraph" w:styleId="Caption">
    <w:name w:val="caption"/>
    <w:basedOn w:val="Normal"/>
    <w:next w:val="Normal"/>
    <w:uiPriority w:val="35"/>
    <w:unhideWhenUsed/>
    <w:qFormat/>
    <w:rsid w:val="00CC2ABD"/>
    <w:pPr>
      <w:spacing w:line="240" w:lineRule="auto"/>
    </w:pPr>
    <w:rPr>
      <w:b/>
      <w:bCs/>
      <w:color w:val="4F81BD" w:themeColor="accent1"/>
      <w:sz w:val="18"/>
      <w:szCs w:val="18"/>
    </w:rPr>
  </w:style>
  <w:style w:type="paragraph" w:styleId="Title">
    <w:name w:val="Title"/>
    <w:basedOn w:val="Normal"/>
    <w:next w:val="Normal"/>
    <w:link w:val="TitleChar"/>
    <w:uiPriority w:val="10"/>
    <w:qFormat/>
    <w:rsid w:val="00CC2ABD"/>
    <w:pPr>
      <w:pBdr>
        <w:bottom w:val="single" w:sz="8" w:space="4" w:color="4F81BD" w:themeColor="accent1"/>
      </w:pBdr>
      <w:spacing w:after="300" w:line="240" w:lineRule="auto"/>
      <w:contextualSpacing/>
    </w:pPr>
    <w:rPr>
      <w:rFonts w:ascii="Times New Roman" w:eastAsiaTheme="majorEastAsia" w:hAnsi="Times New Roman" w:cstheme="majorBidi"/>
      <w:spacing w:val="5"/>
      <w:kern w:val="28"/>
      <w:sz w:val="72"/>
      <w:szCs w:val="52"/>
    </w:rPr>
  </w:style>
  <w:style w:type="character" w:customStyle="1" w:styleId="TitleChar">
    <w:name w:val="Title Char"/>
    <w:basedOn w:val="DefaultParagraphFont"/>
    <w:link w:val="Title"/>
    <w:uiPriority w:val="10"/>
    <w:rsid w:val="00CC2ABD"/>
    <w:rPr>
      <w:rFonts w:ascii="Times New Roman" w:eastAsiaTheme="majorEastAsia" w:hAnsi="Times New Roman" w:cstheme="majorBidi"/>
      <w:spacing w:val="5"/>
      <w:kern w:val="28"/>
      <w:sz w:val="72"/>
      <w:szCs w:val="52"/>
    </w:rPr>
  </w:style>
  <w:style w:type="paragraph" w:styleId="ListParagraph">
    <w:name w:val="List Paragraph"/>
    <w:basedOn w:val="Normal"/>
    <w:uiPriority w:val="34"/>
    <w:qFormat/>
    <w:rsid w:val="00CC2ABD"/>
    <w:pPr>
      <w:ind w:left="720"/>
      <w:contextualSpacing/>
    </w:pPr>
  </w:style>
  <w:style w:type="table" w:styleId="TableGrid">
    <w:name w:val="Table Grid"/>
    <w:basedOn w:val="TableNormal"/>
    <w:uiPriority w:val="59"/>
    <w:rsid w:val="007E5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035E"/>
    <w:rPr>
      <w:color w:val="808080"/>
    </w:rPr>
  </w:style>
  <w:style w:type="paragraph" w:styleId="BalloonText">
    <w:name w:val="Balloon Text"/>
    <w:basedOn w:val="Normal"/>
    <w:link w:val="BalloonTextChar"/>
    <w:uiPriority w:val="99"/>
    <w:semiHidden/>
    <w:unhideWhenUsed/>
    <w:rsid w:val="00EB0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5E"/>
    <w:rPr>
      <w:rFonts w:ascii="Tahoma" w:hAnsi="Tahoma" w:cs="Tahoma"/>
      <w:sz w:val="16"/>
      <w:szCs w:val="16"/>
    </w:rPr>
  </w:style>
  <w:style w:type="character" w:styleId="Hyperlink">
    <w:name w:val="Hyperlink"/>
    <w:basedOn w:val="DefaultParagraphFont"/>
    <w:uiPriority w:val="99"/>
    <w:unhideWhenUsed/>
    <w:rsid w:val="00F848AE"/>
    <w:rPr>
      <w:color w:val="0000FF" w:themeColor="hyperlink"/>
      <w:u w:val="single"/>
    </w:rPr>
  </w:style>
  <w:style w:type="paragraph" w:styleId="NormalWeb">
    <w:name w:val="Normal (Web)"/>
    <w:basedOn w:val="Normal"/>
    <w:uiPriority w:val="99"/>
    <w:semiHidden/>
    <w:unhideWhenUsed/>
    <w:rsid w:val="00775F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E5FB0"/>
    <w:rPr>
      <w:color w:val="800080" w:themeColor="followedHyperlink"/>
      <w:u w:val="single"/>
    </w:rPr>
  </w:style>
  <w:style w:type="character" w:styleId="Emphasis">
    <w:name w:val="Emphasis"/>
    <w:basedOn w:val="DefaultParagraphFont"/>
    <w:rsid w:val="00866C78"/>
    <w:rPr>
      <w:i/>
      <w:iCs/>
    </w:rPr>
  </w:style>
  <w:style w:type="character" w:customStyle="1" w:styleId="journaltitle">
    <w:name w:val="journaltitle"/>
    <w:basedOn w:val="DefaultParagraphFont"/>
    <w:rsid w:val="00866C78"/>
  </w:style>
  <w:style w:type="character" w:customStyle="1" w:styleId="authorname">
    <w:name w:val="authorname"/>
    <w:basedOn w:val="DefaultParagraphFont"/>
    <w:rsid w:val="00866C78"/>
  </w:style>
  <w:style w:type="character" w:customStyle="1" w:styleId="articlecitationyear">
    <w:name w:val="articlecitation_year"/>
    <w:basedOn w:val="DefaultParagraphFont"/>
    <w:rsid w:val="00866C78"/>
  </w:style>
  <w:style w:type="character" w:customStyle="1" w:styleId="articlecitationvolume">
    <w:name w:val="articlecitation_volume"/>
    <w:basedOn w:val="DefaultParagraphFont"/>
    <w:rsid w:val="00866C78"/>
  </w:style>
  <w:style w:type="character" w:styleId="Strong">
    <w:name w:val="Strong"/>
    <w:basedOn w:val="DefaultParagraphFont"/>
    <w:rsid w:val="00866C78"/>
    <w:rPr>
      <w:b/>
      <w:bCs/>
    </w:rPr>
  </w:style>
  <w:style w:type="paragraph" w:customStyle="1" w:styleId="copyright">
    <w:name w:val="copyright"/>
    <w:basedOn w:val="Normal"/>
    <w:rsid w:val="00866C78"/>
    <w:pPr>
      <w:autoSpaceDN w:val="0"/>
      <w:spacing w:before="100" w:after="100" w:line="240" w:lineRule="auto"/>
    </w:pPr>
    <w:rPr>
      <w:rFonts w:ascii="Times New Roman" w:eastAsia="Times New Roman" w:hAnsi="Times New Roman" w:cs="Times New Roman"/>
      <w:sz w:val="24"/>
      <w:szCs w:val="24"/>
      <w:lang w:eastAsia="en-GB"/>
    </w:rPr>
  </w:style>
  <w:style w:type="paragraph" w:customStyle="1" w:styleId="history">
    <w:name w:val="history"/>
    <w:basedOn w:val="Normal"/>
    <w:rsid w:val="00866C78"/>
    <w:pPr>
      <w:autoSpaceDN w:val="0"/>
      <w:spacing w:before="100" w:after="100" w:line="240" w:lineRule="auto"/>
    </w:pPr>
    <w:rPr>
      <w:rFonts w:ascii="Times New Roman" w:eastAsia="Times New Roman" w:hAnsi="Times New Roman" w:cs="Times New Roman"/>
      <w:sz w:val="24"/>
      <w:szCs w:val="24"/>
      <w:lang w:eastAsia="en-GB"/>
    </w:rPr>
  </w:style>
  <w:style w:type="paragraph" w:customStyle="1" w:styleId="Default">
    <w:name w:val="Default"/>
    <w:rsid w:val="00866C78"/>
    <w:pPr>
      <w:autoSpaceDE w:val="0"/>
      <w:autoSpaceDN w:val="0"/>
      <w:spacing w:after="0" w:line="240" w:lineRule="auto"/>
    </w:pPr>
    <w:rPr>
      <w:rFonts w:ascii="Arial" w:eastAsia="Calibri" w:hAnsi="Arial" w:cs="Arial"/>
      <w:color w:val="000000"/>
      <w:sz w:val="24"/>
      <w:szCs w:val="24"/>
    </w:rPr>
  </w:style>
  <w:style w:type="character" w:customStyle="1" w:styleId="mixed-citation">
    <w:name w:val="mixed-citation"/>
    <w:basedOn w:val="DefaultParagraphFont"/>
    <w:rsid w:val="00866C78"/>
  </w:style>
  <w:style w:type="character" w:customStyle="1" w:styleId="ref-title">
    <w:name w:val="ref-title"/>
    <w:basedOn w:val="DefaultParagraphFont"/>
    <w:rsid w:val="00866C78"/>
  </w:style>
  <w:style w:type="character" w:customStyle="1" w:styleId="ref-journal">
    <w:name w:val="ref-journal"/>
    <w:basedOn w:val="DefaultParagraphFont"/>
    <w:rsid w:val="00866C78"/>
  </w:style>
  <w:style w:type="character" w:customStyle="1" w:styleId="ref-vol">
    <w:name w:val="ref-vol"/>
    <w:basedOn w:val="DefaultParagraphFont"/>
    <w:rsid w:val="00866C78"/>
  </w:style>
  <w:style w:type="character" w:customStyle="1" w:styleId="nowrap">
    <w:name w:val="nowrap"/>
    <w:basedOn w:val="DefaultParagraphFont"/>
    <w:rsid w:val="00866C78"/>
  </w:style>
  <w:style w:type="paragraph" w:styleId="Header">
    <w:name w:val="header"/>
    <w:basedOn w:val="Normal"/>
    <w:link w:val="HeaderChar"/>
    <w:uiPriority w:val="99"/>
    <w:unhideWhenUsed/>
    <w:rsid w:val="00A94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55"/>
  </w:style>
  <w:style w:type="paragraph" w:styleId="Footer">
    <w:name w:val="footer"/>
    <w:basedOn w:val="Normal"/>
    <w:link w:val="FooterChar"/>
    <w:uiPriority w:val="99"/>
    <w:unhideWhenUsed/>
    <w:rsid w:val="00A94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55"/>
  </w:style>
  <w:style w:type="paragraph" w:styleId="DocumentMap">
    <w:name w:val="Document Map"/>
    <w:basedOn w:val="Normal"/>
    <w:link w:val="DocumentMapChar"/>
    <w:uiPriority w:val="99"/>
    <w:semiHidden/>
    <w:unhideWhenUsed/>
    <w:rsid w:val="004F5F2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5F2E"/>
    <w:rPr>
      <w:rFonts w:ascii="Tahoma" w:hAnsi="Tahoma" w:cs="Tahoma"/>
      <w:sz w:val="16"/>
      <w:szCs w:val="16"/>
    </w:rPr>
  </w:style>
  <w:style w:type="paragraph" w:styleId="CommentText">
    <w:name w:val="annotation text"/>
    <w:basedOn w:val="Normal"/>
    <w:link w:val="CommentTextChar"/>
    <w:uiPriority w:val="99"/>
    <w:semiHidden/>
    <w:unhideWhenUsed/>
    <w:rsid w:val="005B4762"/>
    <w:pPr>
      <w:spacing w:line="240" w:lineRule="auto"/>
    </w:pPr>
    <w:rPr>
      <w:sz w:val="20"/>
      <w:szCs w:val="20"/>
    </w:rPr>
  </w:style>
  <w:style w:type="character" w:customStyle="1" w:styleId="CommentTextChar">
    <w:name w:val="Comment Text Char"/>
    <w:basedOn w:val="DefaultParagraphFont"/>
    <w:link w:val="CommentText"/>
    <w:uiPriority w:val="99"/>
    <w:semiHidden/>
    <w:rsid w:val="005B4762"/>
    <w:rPr>
      <w:sz w:val="20"/>
      <w:szCs w:val="20"/>
    </w:rPr>
  </w:style>
  <w:style w:type="character" w:styleId="CommentReference">
    <w:name w:val="annotation reference"/>
    <w:basedOn w:val="DefaultParagraphFont"/>
    <w:uiPriority w:val="99"/>
    <w:semiHidden/>
    <w:unhideWhenUsed/>
    <w:rsid w:val="00AB6C63"/>
    <w:rPr>
      <w:sz w:val="16"/>
      <w:szCs w:val="16"/>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basedOn w:val="CommentTextChar"/>
    <w:link w:val="CommentSubject"/>
    <w:uiPriority w:val="99"/>
    <w:semiHidden/>
    <w:rsid w:val="00AB6C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62074">
      <w:bodyDiv w:val="1"/>
      <w:marLeft w:val="0"/>
      <w:marRight w:val="0"/>
      <w:marTop w:val="0"/>
      <w:marBottom w:val="0"/>
      <w:divBdr>
        <w:top w:val="none" w:sz="0" w:space="0" w:color="auto"/>
        <w:left w:val="none" w:sz="0" w:space="0" w:color="auto"/>
        <w:bottom w:val="none" w:sz="0" w:space="0" w:color="auto"/>
        <w:right w:val="none" w:sz="0" w:space="0" w:color="auto"/>
      </w:divBdr>
    </w:div>
    <w:div w:id="663356503">
      <w:bodyDiv w:val="1"/>
      <w:marLeft w:val="0"/>
      <w:marRight w:val="0"/>
      <w:marTop w:val="0"/>
      <w:marBottom w:val="0"/>
      <w:divBdr>
        <w:top w:val="none" w:sz="0" w:space="0" w:color="auto"/>
        <w:left w:val="none" w:sz="0" w:space="0" w:color="auto"/>
        <w:bottom w:val="none" w:sz="0" w:space="0" w:color="auto"/>
        <w:right w:val="none" w:sz="0" w:space="0" w:color="auto"/>
      </w:divBdr>
    </w:div>
    <w:div w:id="663977453">
      <w:bodyDiv w:val="1"/>
      <w:marLeft w:val="0"/>
      <w:marRight w:val="0"/>
      <w:marTop w:val="0"/>
      <w:marBottom w:val="0"/>
      <w:divBdr>
        <w:top w:val="none" w:sz="0" w:space="0" w:color="auto"/>
        <w:left w:val="none" w:sz="0" w:space="0" w:color="auto"/>
        <w:bottom w:val="none" w:sz="0" w:space="0" w:color="auto"/>
        <w:right w:val="none" w:sz="0" w:space="0" w:color="auto"/>
      </w:divBdr>
    </w:div>
    <w:div w:id="864640843">
      <w:bodyDiv w:val="1"/>
      <w:marLeft w:val="0"/>
      <w:marRight w:val="0"/>
      <w:marTop w:val="0"/>
      <w:marBottom w:val="0"/>
      <w:divBdr>
        <w:top w:val="none" w:sz="0" w:space="0" w:color="auto"/>
        <w:left w:val="none" w:sz="0" w:space="0" w:color="auto"/>
        <w:bottom w:val="none" w:sz="0" w:space="0" w:color="auto"/>
        <w:right w:val="none" w:sz="0" w:space="0" w:color="auto"/>
      </w:divBdr>
    </w:div>
    <w:div w:id="1171599769">
      <w:bodyDiv w:val="1"/>
      <w:marLeft w:val="0"/>
      <w:marRight w:val="0"/>
      <w:marTop w:val="0"/>
      <w:marBottom w:val="0"/>
      <w:divBdr>
        <w:top w:val="none" w:sz="0" w:space="0" w:color="auto"/>
        <w:left w:val="none" w:sz="0" w:space="0" w:color="auto"/>
        <w:bottom w:val="none" w:sz="0" w:space="0" w:color="auto"/>
        <w:right w:val="none" w:sz="0" w:space="0" w:color="auto"/>
      </w:divBdr>
    </w:div>
    <w:div w:id="1251306394">
      <w:bodyDiv w:val="1"/>
      <w:marLeft w:val="0"/>
      <w:marRight w:val="0"/>
      <w:marTop w:val="0"/>
      <w:marBottom w:val="0"/>
      <w:divBdr>
        <w:top w:val="none" w:sz="0" w:space="0" w:color="auto"/>
        <w:left w:val="none" w:sz="0" w:space="0" w:color="auto"/>
        <w:bottom w:val="none" w:sz="0" w:space="0" w:color="auto"/>
        <w:right w:val="none" w:sz="0" w:space="0" w:color="auto"/>
      </w:divBdr>
    </w:div>
    <w:div w:id="1484464152">
      <w:bodyDiv w:val="1"/>
      <w:marLeft w:val="0"/>
      <w:marRight w:val="0"/>
      <w:marTop w:val="0"/>
      <w:marBottom w:val="0"/>
      <w:divBdr>
        <w:top w:val="none" w:sz="0" w:space="0" w:color="auto"/>
        <w:left w:val="none" w:sz="0" w:space="0" w:color="auto"/>
        <w:bottom w:val="none" w:sz="0" w:space="0" w:color="auto"/>
        <w:right w:val="none" w:sz="0" w:space="0" w:color="auto"/>
      </w:divBdr>
    </w:div>
    <w:div w:id="1587762016">
      <w:bodyDiv w:val="1"/>
      <w:marLeft w:val="0"/>
      <w:marRight w:val="0"/>
      <w:marTop w:val="0"/>
      <w:marBottom w:val="0"/>
      <w:divBdr>
        <w:top w:val="none" w:sz="0" w:space="0" w:color="auto"/>
        <w:left w:val="none" w:sz="0" w:space="0" w:color="auto"/>
        <w:bottom w:val="none" w:sz="0" w:space="0" w:color="auto"/>
        <w:right w:val="none" w:sz="0" w:space="0" w:color="auto"/>
      </w:divBdr>
    </w:div>
    <w:div w:id="1831747265">
      <w:bodyDiv w:val="1"/>
      <w:marLeft w:val="0"/>
      <w:marRight w:val="0"/>
      <w:marTop w:val="0"/>
      <w:marBottom w:val="0"/>
      <w:divBdr>
        <w:top w:val="none" w:sz="0" w:space="0" w:color="auto"/>
        <w:left w:val="none" w:sz="0" w:space="0" w:color="auto"/>
        <w:bottom w:val="none" w:sz="0" w:space="0" w:color="auto"/>
        <w:right w:val="none" w:sz="0" w:space="0" w:color="auto"/>
      </w:divBdr>
    </w:div>
    <w:div w:id="2004626874">
      <w:bodyDiv w:val="1"/>
      <w:marLeft w:val="0"/>
      <w:marRight w:val="0"/>
      <w:marTop w:val="0"/>
      <w:marBottom w:val="0"/>
      <w:divBdr>
        <w:top w:val="none" w:sz="0" w:space="0" w:color="auto"/>
        <w:left w:val="none" w:sz="0" w:space="0" w:color="auto"/>
        <w:bottom w:val="none" w:sz="0" w:space="0" w:color="auto"/>
        <w:right w:val="none" w:sz="0" w:space="0" w:color="auto"/>
      </w:divBdr>
    </w:div>
    <w:div w:id="2005231708">
      <w:bodyDiv w:val="1"/>
      <w:marLeft w:val="0"/>
      <w:marRight w:val="0"/>
      <w:marTop w:val="0"/>
      <w:marBottom w:val="0"/>
      <w:divBdr>
        <w:top w:val="none" w:sz="0" w:space="0" w:color="auto"/>
        <w:left w:val="none" w:sz="0" w:space="0" w:color="auto"/>
        <w:bottom w:val="none" w:sz="0" w:space="0" w:color="auto"/>
        <w:right w:val="none" w:sz="0" w:space="0" w:color="auto"/>
      </w:divBdr>
    </w:div>
    <w:div w:id="2080057506">
      <w:bodyDiv w:val="1"/>
      <w:marLeft w:val="0"/>
      <w:marRight w:val="0"/>
      <w:marTop w:val="0"/>
      <w:marBottom w:val="0"/>
      <w:divBdr>
        <w:top w:val="none" w:sz="0" w:space="0" w:color="auto"/>
        <w:left w:val="none" w:sz="0" w:space="0" w:color="auto"/>
        <w:bottom w:val="none" w:sz="0" w:space="0" w:color="auto"/>
        <w:right w:val="none" w:sz="0" w:space="0" w:color="auto"/>
      </w:divBdr>
      <w:divsChild>
        <w:div w:id="193986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4605F-9DC8-448A-AA3D-6A03CB14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21855</Words>
  <Characters>124580</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Wilberforce</dc:creator>
  <cp:lastModifiedBy>Sarah Poll</cp:lastModifiedBy>
  <cp:revision>6</cp:revision>
  <cp:lastPrinted>2017-05-08T09:44:00Z</cp:lastPrinted>
  <dcterms:created xsi:type="dcterms:W3CDTF">2018-07-22T17:43:00Z</dcterms:created>
  <dcterms:modified xsi:type="dcterms:W3CDTF">2018-07-25T09:07:00Z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51f521f9-f9a2-351f-909e-f2d23b07833e</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http://www.zotero.org/styles/bmc-geriatrics</vt:lpwstr>
  </property>
  <property fmtid="{D5CDD505-2E9C-101B-9397-08002B2CF9AE}" pid="10" name="Mendeley Recent Style Name 2_1">
    <vt:lpwstr>BMC Geriatrics</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http://csl.mendeley.com/styles/460639241/THESIS-2</vt:lpwstr>
  </property>
  <property fmtid="{D5CDD505-2E9C-101B-9397-08002B2CF9AE}" pid="14" name="Mendeley Recent Style Name 4_1">
    <vt:lpwstr>Harvard Reference format 1 (author-date) - Mark Wilberforce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http://www.zotero.org/styles/international-journal-of-geriatric-psychiatry</vt:lpwstr>
  </property>
  <property fmtid="{D5CDD505-2E9C-101B-9397-08002B2CF9AE}" pid="18" name="Mendeley Recent Style Name 6_1">
    <vt:lpwstr>International Journal of Geriatric Psychiatry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http://www.zotero.org/styles/quality-of-life-research</vt:lpwstr>
  </property>
  <property fmtid="{D5CDD505-2E9C-101B-9397-08002B2CF9AE}" pid="24" name="Mendeley Recent Style Name 9_1">
    <vt:lpwstr>Quality of Life Research</vt:lpwstr>
  </property>
</Properties>
</file>