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AC812" w14:textId="6F00C85A" w:rsidR="009207A7" w:rsidRPr="00384599" w:rsidRDefault="00970FE0" w:rsidP="006E5553">
      <w:pPr>
        <w:jc w:val="center"/>
        <w:outlineLvl w:val="0"/>
        <w:rPr>
          <w:lang w:val="en-GB"/>
        </w:rPr>
      </w:pPr>
      <w:r w:rsidRPr="00840508">
        <w:rPr>
          <w:lang w:val="en-GB"/>
        </w:rPr>
        <w:t>‘</w:t>
      </w:r>
      <w:r w:rsidR="00280EA8" w:rsidRPr="00840508">
        <w:rPr>
          <w:lang w:val="en-GB"/>
        </w:rPr>
        <w:t>Some mode le</w:t>
      </w:r>
      <w:r w:rsidR="009207A7" w:rsidRPr="00384599">
        <w:rPr>
          <w:lang w:val="en-GB"/>
        </w:rPr>
        <w:t>ss revolting to their delicacy</w:t>
      </w:r>
      <w:r w:rsidRPr="00384599">
        <w:rPr>
          <w:lang w:val="en-GB"/>
        </w:rPr>
        <w:t>’</w:t>
      </w:r>
      <w:r w:rsidR="009207A7" w:rsidRPr="00384599">
        <w:rPr>
          <w:lang w:val="en-GB"/>
        </w:rPr>
        <w:t>:</w:t>
      </w:r>
    </w:p>
    <w:p w14:paraId="60AA2F95" w14:textId="15D36D18" w:rsidR="00280EA8" w:rsidRPr="008C7195" w:rsidRDefault="009207A7" w:rsidP="00B23FE6">
      <w:pPr>
        <w:jc w:val="center"/>
        <w:outlineLvl w:val="0"/>
        <w:rPr>
          <w:smallCaps/>
        </w:rPr>
      </w:pPr>
      <w:r w:rsidRPr="009E06A6">
        <w:rPr>
          <w:lang w:val="en-GB"/>
        </w:rPr>
        <w:t>Women’s</w:t>
      </w:r>
      <w:r w:rsidR="001D166F" w:rsidRPr="00941517">
        <w:rPr>
          <w:lang w:val="en-GB"/>
        </w:rPr>
        <w:t xml:space="preserve"> </w:t>
      </w:r>
      <w:r w:rsidR="00970FE0" w:rsidRPr="00941517">
        <w:rPr>
          <w:lang w:val="en-GB"/>
        </w:rPr>
        <w:t>I</w:t>
      </w:r>
      <w:r w:rsidR="001D166F" w:rsidRPr="00941517">
        <w:rPr>
          <w:lang w:val="en-GB"/>
        </w:rPr>
        <w:t xml:space="preserve">nstitutional </w:t>
      </w:r>
      <w:r w:rsidR="00970FE0" w:rsidRPr="00941517">
        <w:rPr>
          <w:lang w:val="en-GB"/>
        </w:rPr>
        <w:t>S</w:t>
      </w:r>
      <w:r w:rsidR="001D166F" w:rsidRPr="00941517">
        <w:rPr>
          <w:lang w:val="en-GB"/>
        </w:rPr>
        <w:t>pace</w:t>
      </w:r>
      <w:r w:rsidRPr="00941517">
        <w:rPr>
          <w:lang w:val="en-GB"/>
        </w:rPr>
        <w:t xml:space="preserve"> in the Transpennine Enlightenment, 1781-1822</w:t>
      </w:r>
    </w:p>
    <w:p w14:paraId="7BF0472F" w14:textId="77777777" w:rsidR="00014726" w:rsidRPr="008C7195" w:rsidRDefault="00014726">
      <w:pPr>
        <w:jc w:val="center"/>
        <w:rPr>
          <w:smallCaps/>
        </w:rPr>
      </w:pPr>
    </w:p>
    <w:p w14:paraId="4BE7D108" w14:textId="6AE96801" w:rsidR="00014726" w:rsidRPr="008C7195" w:rsidRDefault="00970FE0">
      <w:pPr>
        <w:jc w:val="center"/>
        <w:outlineLvl w:val="0"/>
        <w:rPr>
          <w:smallCaps/>
        </w:rPr>
      </w:pPr>
      <w:r w:rsidRPr="008C7195">
        <w:rPr>
          <w:smallCaps/>
        </w:rPr>
        <w:t>JON MEE</w:t>
      </w:r>
    </w:p>
    <w:p w14:paraId="174AFC98" w14:textId="77777777" w:rsidR="00A03D16" w:rsidRPr="008C7195" w:rsidRDefault="00A03D16" w:rsidP="00F13543">
      <w:pPr>
        <w:jc w:val="both"/>
        <w:rPr>
          <w:smallCaps/>
        </w:rPr>
      </w:pPr>
    </w:p>
    <w:p w14:paraId="32C92125" w14:textId="503BAE63" w:rsidR="00014726" w:rsidRPr="009A20BA" w:rsidRDefault="00970FE0" w:rsidP="00F13543">
      <w:pPr>
        <w:jc w:val="both"/>
        <w:rPr>
          <w:rFonts w:eastAsia="Times New Roman" w:cs="Arial"/>
          <w:shd w:val="clear" w:color="auto" w:fill="FFFFFF"/>
          <w:lang w:val="en-GB"/>
        </w:rPr>
      </w:pPr>
      <w:r w:rsidRPr="00F13543">
        <w:rPr>
          <w:rFonts w:eastAsia="Times New Roman" w:cs="Arial"/>
          <w:shd w:val="clear" w:color="auto" w:fill="FFFFFF"/>
        </w:rPr>
        <w:t xml:space="preserve">Abstract: </w:t>
      </w:r>
      <w:r w:rsidR="00A03D16" w:rsidRPr="00F13543">
        <w:rPr>
          <w:rFonts w:eastAsia="Times New Roman" w:cs="Arial"/>
          <w:shd w:val="clear" w:color="auto" w:fill="FFFFFF"/>
          <w:lang w:val="en-GB"/>
        </w:rPr>
        <w:t xml:space="preserve">This essay addresses the question of women’s roles in </w:t>
      </w:r>
      <w:r w:rsidR="00EB1006" w:rsidRPr="00F13543">
        <w:rPr>
          <w:rFonts w:eastAsia="Times New Roman" w:cs="Arial"/>
          <w:shd w:val="clear" w:color="auto" w:fill="FFFFFF"/>
          <w:lang w:val="en-GB"/>
        </w:rPr>
        <w:t xml:space="preserve">and around </w:t>
      </w:r>
      <w:r w:rsidR="00A03D16" w:rsidRPr="00F13543">
        <w:rPr>
          <w:rFonts w:eastAsia="Times New Roman" w:cs="Arial"/>
          <w:shd w:val="clear" w:color="auto" w:fill="FFFFFF"/>
          <w:lang w:val="en-GB"/>
        </w:rPr>
        <w:t xml:space="preserve">the literary and philosophical societies of the new manufacturing towns </w:t>
      </w:r>
      <w:r w:rsidR="00EB1006" w:rsidRPr="00F13543">
        <w:rPr>
          <w:rFonts w:eastAsia="Times New Roman" w:cs="Arial"/>
          <w:shd w:val="clear" w:color="auto" w:fill="FFFFFF"/>
          <w:lang w:val="en-GB"/>
        </w:rPr>
        <w:t>of</w:t>
      </w:r>
      <w:r w:rsidR="00A03D16" w:rsidRPr="00F13543">
        <w:rPr>
          <w:rFonts w:eastAsia="Times New Roman" w:cs="Arial"/>
          <w:shd w:val="clear" w:color="auto" w:fill="FFFFFF"/>
          <w:lang w:val="en-GB"/>
        </w:rPr>
        <w:t xml:space="preserve"> the early industrial revolution. </w:t>
      </w:r>
      <w:r w:rsidR="000F01EB">
        <w:rPr>
          <w:rFonts w:eastAsia="Times New Roman" w:cs="Arial"/>
          <w:shd w:val="clear" w:color="auto" w:fill="FFFFFF"/>
          <w:lang w:val="en-GB"/>
        </w:rPr>
        <w:t>Some m</w:t>
      </w:r>
      <w:r w:rsidR="000F01EB" w:rsidRPr="00F13543">
        <w:rPr>
          <w:rFonts w:eastAsia="Times New Roman" w:cs="Arial"/>
          <w:shd w:val="clear" w:color="auto" w:fill="FFFFFF"/>
          <w:lang w:val="en-GB"/>
        </w:rPr>
        <w:t xml:space="preserve">ale </w:t>
      </w:r>
      <w:r w:rsidR="00A03D16" w:rsidRPr="00F13543">
        <w:rPr>
          <w:rFonts w:eastAsia="Times New Roman" w:cs="Arial"/>
          <w:shd w:val="clear" w:color="auto" w:fill="FFFFFF"/>
          <w:lang w:val="en-GB"/>
        </w:rPr>
        <w:t xml:space="preserve">members of the societies </w:t>
      </w:r>
      <w:r w:rsidR="0017241C">
        <w:rPr>
          <w:rFonts w:eastAsia="Times New Roman" w:cs="Arial"/>
          <w:shd w:val="clear" w:color="auto" w:fill="FFFFFF"/>
          <w:lang w:val="en-GB"/>
        </w:rPr>
        <w:t>argued in favour of</w:t>
      </w:r>
      <w:r w:rsidR="0017241C" w:rsidRPr="00F13543">
        <w:rPr>
          <w:rFonts w:eastAsia="Times New Roman" w:cs="Arial"/>
          <w:shd w:val="clear" w:color="auto" w:fill="FFFFFF"/>
          <w:lang w:val="en-GB"/>
        </w:rPr>
        <w:t xml:space="preserve"> </w:t>
      </w:r>
      <w:r w:rsidR="00A03D16" w:rsidRPr="00F13543">
        <w:rPr>
          <w:rFonts w:eastAsia="Times New Roman" w:cs="Arial"/>
          <w:shd w:val="clear" w:color="auto" w:fill="FFFFFF"/>
          <w:lang w:val="en-GB"/>
        </w:rPr>
        <w:t xml:space="preserve">women’s </w:t>
      </w:r>
      <w:r w:rsidR="0017241C">
        <w:rPr>
          <w:rFonts w:eastAsia="Times New Roman" w:cs="Arial"/>
          <w:shd w:val="clear" w:color="auto" w:fill="FFFFFF"/>
          <w:lang w:val="en-GB"/>
        </w:rPr>
        <w:t xml:space="preserve">education and even their political </w:t>
      </w:r>
      <w:r w:rsidR="00A03D16" w:rsidRPr="00F13543">
        <w:rPr>
          <w:rFonts w:eastAsia="Times New Roman" w:cs="Arial"/>
          <w:shd w:val="clear" w:color="auto" w:fill="FFFFFF"/>
          <w:lang w:val="en-GB"/>
        </w:rPr>
        <w:t xml:space="preserve">rights, but in practice women were not allowed to join. </w:t>
      </w:r>
      <w:r w:rsidR="0017241C">
        <w:rPr>
          <w:rFonts w:eastAsia="Times New Roman" w:cs="Arial"/>
          <w:shd w:val="clear" w:color="auto" w:fill="FFFFFF"/>
          <w:lang w:val="en-GB"/>
        </w:rPr>
        <w:t xml:space="preserve">Women did participate, but in forms determined by </w:t>
      </w:r>
      <w:r w:rsidR="00A03D16" w:rsidRPr="00F13543">
        <w:rPr>
          <w:rFonts w:eastAsia="Times New Roman" w:cs="Arial"/>
          <w:shd w:val="clear" w:color="auto" w:fill="FFFFFF"/>
          <w:lang w:val="en-GB"/>
        </w:rPr>
        <w:t xml:space="preserve">gendered understandings of modes of knowledge exchange. </w:t>
      </w:r>
      <w:r w:rsidR="00F13543">
        <w:rPr>
          <w:rFonts w:eastAsia="Times New Roman" w:cs="Arial"/>
          <w:shd w:val="clear" w:color="auto" w:fill="FFFFFF"/>
          <w:lang w:val="en-GB"/>
        </w:rPr>
        <w:t>I</w:t>
      </w:r>
      <w:r w:rsidR="00A03D16" w:rsidRPr="00F13543">
        <w:rPr>
          <w:rFonts w:eastAsia="Times New Roman" w:cs="Arial"/>
          <w:shd w:val="clear" w:color="auto" w:fill="FFFFFF"/>
          <w:lang w:val="en-GB"/>
        </w:rPr>
        <w:t xml:space="preserve">deas of public and private </w:t>
      </w:r>
      <w:r w:rsidR="00821971">
        <w:rPr>
          <w:rFonts w:eastAsia="Times New Roman" w:cs="Arial"/>
          <w:shd w:val="clear" w:color="auto" w:fill="FFFFFF"/>
          <w:lang w:val="en-GB"/>
        </w:rPr>
        <w:t xml:space="preserve">may have shaped women’s access to scientific space in the period, </w:t>
      </w:r>
      <w:r w:rsidR="00A139B5">
        <w:rPr>
          <w:rFonts w:eastAsia="Times New Roman" w:cs="Arial"/>
          <w:shd w:val="clear" w:color="auto" w:fill="FFFFFF"/>
          <w:lang w:val="en-GB"/>
        </w:rPr>
        <w:t>but they</w:t>
      </w:r>
      <w:r w:rsidR="00821971">
        <w:rPr>
          <w:rFonts w:eastAsia="Times New Roman" w:cs="Arial"/>
          <w:shd w:val="clear" w:color="auto" w:fill="FFFFFF"/>
          <w:lang w:val="en-GB"/>
        </w:rPr>
        <w:t xml:space="preserve"> were far from </w:t>
      </w:r>
      <w:r w:rsidR="00642F37">
        <w:rPr>
          <w:rFonts w:eastAsia="Times New Roman" w:cs="Arial"/>
          <w:shd w:val="clear" w:color="auto" w:fill="FFFFFF"/>
          <w:lang w:val="en-GB"/>
        </w:rPr>
        <w:t>defining</w:t>
      </w:r>
      <w:r w:rsidR="00642F37">
        <w:rPr>
          <w:rFonts w:eastAsia="Times New Roman" w:cs="Arial"/>
          <w:shd w:val="clear" w:color="auto" w:fill="FFFFFF"/>
          <w:lang w:val="en-GB"/>
        </w:rPr>
        <w:t xml:space="preserve"> </w:t>
      </w:r>
      <w:r w:rsidR="0017241C">
        <w:rPr>
          <w:rFonts w:eastAsia="Times New Roman" w:cs="Arial"/>
          <w:shd w:val="clear" w:color="auto" w:fill="FFFFFF"/>
          <w:lang w:val="en-GB"/>
        </w:rPr>
        <w:t xml:space="preserve">the terms of </w:t>
      </w:r>
      <w:r w:rsidR="00821971">
        <w:rPr>
          <w:rFonts w:eastAsia="Times New Roman" w:cs="Arial"/>
          <w:shd w:val="clear" w:color="auto" w:fill="FFFFFF"/>
          <w:lang w:val="en-GB"/>
        </w:rPr>
        <w:t xml:space="preserve">their everyday experience of a </w:t>
      </w:r>
      <w:r w:rsidR="00F13543">
        <w:rPr>
          <w:rFonts w:eastAsia="Times New Roman" w:cs="Arial"/>
          <w:shd w:val="clear" w:color="auto" w:fill="FFFFFF"/>
          <w:lang w:val="en-GB"/>
        </w:rPr>
        <w:t xml:space="preserve">complex and diversified </w:t>
      </w:r>
      <w:r w:rsidR="00D85ED6">
        <w:rPr>
          <w:rFonts w:eastAsia="Times New Roman" w:cs="Arial"/>
          <w:shd w:val="clear" w:color="auto" w:fill="FFFFFF"/>
          <w:lang w:val="en-GB"/>
        </w:rPr>
        <w:t>terrain</w:t>
      </w:r>
      <w:r w:rsidR="00A03D16" w:rsidRPr="00F13543">
        <w:rPr>
          <w:rFonts w:eastAsia="Times New Roman" w:cs="Arial"/>
          <w:shd w:val="clear" w:color="auto" w:fill="FFFFFF"/>
          <w:lang w:val="en-GB"/>
        </w:rPr>
        <w:t xml:space="preserve">. </w:t>
      </w:r>
    </w:p>
    <w:p w14:paraId="69095EAF" w14:textId="77777777" w:rsidR="00014726" w:rsidRPr="008C7195" w:rsidRDefault="00014726" w:rsidP="00F13543">
      <w:pPr>
        <w:jc w:val="both"/>
        <w:rPr>
          <w:smallCaps/>
        </w:rPr>
      </w:pPr>
    </w:p>
    <w:p w14:paraId="4A4604A7" w14:textId="77777777" w:rsidR="00A03D16" w:rsidRPr="00384599" w:rsidRDefault="00A03D16" w:rsidP="00F13543">
      <w:pPr>
        <w:jc w:val="both"/>
        <w:rPr>
          <w:smallCaps/>
        </w:rPr>
      </w:pPr>
    </w:p>
    <w:p w14:paraId="7B2D5D45" w14:textId="6B454ADE" w:rsidR="00A03D16" w:rsidRPr="009A20BA" w:rsidRDefault="00970FE0" w:rsidP="00F13543">
      <w:pPr>
        <w:jc w:val="both"/>
        <w:rPr>
          <w:rFonts w:eastAsia="Times New Roman" w:cs="Arial"/>
          <w:shd w:val="clear" w:color="auto" w:fill="FFFFFF"/>
        </w:rPr>
      </w:pPr>
      <w:r w:rsidRPr="009A20BA">
        <w:rPr>
          <w:rFonts w:eastAsia="Times New Roman" w:cs="Arial"/>
          <w:shd w:val="clear" w:color="auto" w:fill="FFFFFF"/>
        </w:rPr>
        <w:t xml:space="preserve">Keywords: </w:t>
      </w:r>
      <w:r w:rsidRPr="009A20BA">
        <w:rPr>
          <w:rFonts w:eastAsia="Times New Roman" w:cs="Arial"/>
          <w:shd w:val="clear" w:color="auto" w:fill="FFFFFF"/>
          <w:lang w:val="en-GB"/>
        </w:rPr>
        <w:t>l</w:t>
      </w:r>
      <w:r w:rsidR="00A03D16" w:rsidRPr="009A20BA">
        <w:rPr>
          <w:rFonts w:eastAsia="Times New Roman" w:cs="Arial"/>
          <w:shd w:val="clear" w:color="auto" w:fill="FFFFFF"/>
          <w:lang w:val="en-GB"/>
        </w:rPr>
        <w:t>iterary and philosophical societies</w:t>
      </w:r>
      <w:r w:rsidRPr="009A20BA">
        <w:rPr>
          <w:rFonts w:eastAsia="Times New Roman" w:cs="Arial"/>
          <w:shd w:val="clear" w:color="auto" w:fill="FFFFFF"/>
          <w:lang w:val="en-GB"/>
        </w:rPr>
        <w:t>,</w:t>
      </w:r>
      <w:r w:rsidR="00A03D16" w:rsidRPr="009A20BA">
        <w:rPr>
          <w:rFonts w:eastAsia="Times New Roman" w:cs="Arial"/>
          <w:shd w:val="clear" w:color="auto" w:fill="FFFFFF"/>
          <w:lang w:val="en-GB"/>
        </w:rPr>
        <w:t xml:space="preserve"> manufacturing towns</w:t>
      </w:r>
      <w:r w:rsidRPr="009A20BA">
        <w:rPr>
          <w:rFonts w:eastAsia="Times New Roman" w:cs="Arial"/>
          <w:shd w:val="clear" w:color="auto" w:fill="FFFFFF"/>
          <w:lang w:val="en-GB"/>
        </w:rPr>
        <w:t>,</w:t>
      </w:r>
      <w:r w:rsidR="00A03D16" w:rsidRPr="009A20BA">
        <w:rPr>
          <w:rFonts w:eastAsia="Times New Roman" w:cs="Arial"/>
          <w:shd w:val="clear" w:color="auto" w:fill="FFFFFF"/>
          <w:lang w:val="en-GB"/>
        </w:rPr>
        <w:t xml:space="preserve"> industrial </w:t>
      </w:r>
      <w:r w:rsidR="001D166F" w:rsidRPr="009A20BA">
        <w:rPr>
          <w:rFonts w:eastAsia="Times New Roman" w:cs="Arial"/>
          <w:shd w:val="clear" w:color="auto" w:fill="FFFFFF"/>
          <w:lang w:val="en-GB"/>
        </w:rPr>
        <w:t>revolution</w:t>
      </w:r>
      <w:r w:rsidRPr="009A20BA">
        <w:rPr>
          <w:rFonts w:eastAsia="Times New Roman" w:cs="Arial"/>
          <w:shd w:val="clear" w:color="auto" w:fill="FFFFFF"/>
          <w:lang w:val="en-GB"/>
        </w:rPr>
        <w:t>,</w:t>
      </w:r>
      <w:r w:rsidR="001D166F" w:rsidRPr="009A20BA">
        <w:rPr>
          <w:rFonts w:eastAsia="Times New Roman" w:cs="Arial"/>
          <w:shd w:val="clear" w:color="auto" w:fill="FFFFFF"/>
          <w:lang w:val="en-GB"/>
        </w:rPr>
        <w:t xml:space="preserve"> knowledge</w:t>
      </w:r>
      <w:r w:rsidR="00A03D16" w:rsidRPr="009A20BA">
        <w:rPr>
          <w:rFonts w:eastAsia="Times New Roman" w:cs="Arial"/>
          <w:shd w:val="clear" w:color="auto" w:fill="FFFFFF"/>
          <w:lang w:val="en-GB"/>
        </w:rPr>
        <w:t xml:space="preserve"> exchange</w:t>
      </w:r>
      <w:r w:rsidRPr="009A20BA">
        <w:rPr>
          <w:rFonts w:eastAsia="Times New Roman" w:cs="Arial"/>
          <w:shd w:val="clear" w:color="auto" w:fill="FFFFFF"/>
          <w:lang w:val="en-GB"/>
        </w:rPr>
        <w:t>,</w:t>
      </w:r>
      <w:r w:rsidR="00A03D16" w:rsidRPr="009A20BA">
        <w:rPr>
          <w:rFonts w:eastAsia="Times New Roman" w:cs="Arial"/>
          <w:shd w:val="clear" w:color="auto" w:fill="FFFFFF"/>
          <w:lang w:val="en-GB"/>
        </w:rPr>
        <w:t xml:space="preserve"> </w:t>
      </w:r>
      <w:r w:rsidR="0017241C">
        <w:rPr>
          <w:rFonts w:eastAsia="Times New Roman" w:cs="Arial"/>
          <w:shd w:val="clear" w:color="auto" w:fill="FFFFFF"/>
          <w:lang w:val="en-GB"/>
        </w:rPr>
        <w:t>scientific space</w:t>
      </w:r>
      <w:r w:rsidRPr="009A20BA">
        <w:rPr>
          <w:rFonts w:eastAsia="Times New Roman" w:cs="Arial"/>
          <w:shd w:val="clear" w:color="auto" w:fill="FFFFFF"/>
          <w:lang w:val="en-GB"/>
        </w:rPr>
        <w:t>,</w:t>
      </w:r>
      <w:r w:rsidR="00A03D16" w:rsidRPr="009A20BA">
        <w:rPr>
          <w:rFonts w:eastAsia="Times New Roman" w:cs="Arial"/>
          <w:shd w:val="clear" w:color="auto" w:fill="FFFFFF"/>
          <w:lang w:val="en-GB"/>
        </w:rPr>
        <w:t xml:space="preserve"> </w:t>
      </w:r>
      <w:r w:rsidR="007E7ED1" w:rsidRPr="009A20BA">
        <w:rPr>
          <w:rFonts w:eastAsia="Times New Roman" w:cs="Arial"/>
          <w:shd w:val="clear" w:color="auto" w:fill="FFFFFF"/>
          <w:lang w:val="en-GB"/>
        </w:rPr>
        <w:t xml:space="preserve">Rational </w:t>
      </w:r>
      <w:r w:rsidR="00A03D16" w:rsidRPr="009A20BA">
        <w:rPr>
          <w:rFonts w:eastAsia="Times New Roman" w:cs="Arial"/>
          <w:shd w:val="clear" w:color="auto" w:fill="FFFFFF"/>
          <w:lang w:val="en-GB"/>
        </w:rPr>
        <w:t>Dissent</w:t>
      </w:r>
    </w:p>
    <w:p w14:paraId="166021C5" w14:textId="77777777" w:rsidR="009207A7" w:rsidRPr="008C7195" w:rsidRDefault="009207A7" w:rsidP="00F13543">
      <w:pPr>
        <w:jc w:val="both"/>
        <w:rPr>
          <w:smallCaps/>
        </w:rPr>
      </w:pPr>
    </w:p>
    <w:p w14:paraId="00FC463B" w14:textId="77777777" w:rsidR="00642E36" w:rsidRPr="00840508" w:rsidRDefault="00280EA8" w:rsidP="00F13543">
      <w:pPr>
        <w:jc w:val="both"/>
      </w:pPr>
      <w:r w:rsidRPr="00840508">
        <w:t xml:space="preserve"> </w:t>
      </w:r>
    </w:p>
    <w:p w14:paraId="691EF9BB" w14:textId="65A41FD3" w:rsidR="00642E36" w:rsidRPr="00AC5366" w:rsidRDefault="00642E36" w:rsidP="00F13543">
      <w:pPr>
        <w:spacing w:line="480" w:lineRule="auto"/>
        <w:jc w:val="both"/>
        <w:rPr>
          <w:rFonts w:eastAsia="Times New Roman" w:cs="Arial"/>
          <w:shd w:val="clear" w:color="auto" w:fill="FFFFFF"/>
          <w:lang w:val="en-GB"/>
        </w:rPr>
      </w:pPr>
      <w:r w:rsidRPr="009A20BA">
        <w:rPr>
          <w:rFonts w:eastAsia="Times New Roman" w:cs="Arial"/>
          <w:shd w:val="clear" w:color="auto" w:fill="FFFFFF"/>
          <w:lang w:val="en-GB"/>
        </w:rPr>
        <w:t>This essa</w:t>
      </w:r>
      <w:bookmarkStart w:id="0" w:name="_GoBack"/>
      <w:bookmarkEnd w:id="0"/>
      <w:r w:rsidRPr="009A20BA">
        <w:rPr>
          <w:rFonts w:eastAsia="Times New Roman" w:cs="Arial"/>
          <w:shd w:val="clear" w:color="auto" w:fill="FFFFFF"/>
          <w:lang w:val="en-GB"/>
        </w:rPr>
        <w:t xml:space="preserve">y </w:t>
      </w:r>
      <w:r w:rsidR="00F13543">
        <w:rPr>
          <w:rFonts w:eastAsia="Times New Roman" w:cs="Arial"/>
          <w:shd w:val="clear" w:color="auto" w:fill="FFFFFF"/>
          <w:lang w:val="en-GB"/>
        </w:rPr>
        <w:t xml:space="preserve">considers the </w:t>
      </w:r>
      <w:r w:rsidRPr="009A20BA">
        <w:rPr>
          <w:rFonts w:eastAsia="Times New Roman" w:cs="Arial"/>
          <w:shd w:val="clear" w:color="auto" w:fill="FFFFFF"/>
          <w:lang w:val="en-GB"/>
        </w:rPr>
        <w:t>participation</w:t>
      </w:r>
      <w:r w:rsidR="00F13543">
        <w:rPr>
          <w:rFonts w:eastAsia="Times New Roman" w:cs="Arial"/>
          <w:shd w:val="clear" w:color="auto" w:fill="FFFFFF"/>
          <w:lang w:val="en-GB"/>
        </w:rPr>
        <w:t xml:space="preserve"> of women</w:t>
      </w:r>
      <w:r w:rsidR="001F565F" w:rsidRPr="009A20BA">
        <w:rPr>
          <w:rFonts w:eastAsia="Times New Roman" w:cs="Arial"/>
          <w:shd w:val="clear" w:color="auto" w:fill="FFFFFF"/>
          <w:lang w:val="en-GB"/>
        </w:rPr>
        <w:t xml:space="preserve"> in</w:t>
      </w:r>
      <w:r w:rsidRPr="009A20BA">
        <w:rPr>
          <w:rFonts w:eastAsia="Times New Roman" w:cs="Arial"/>
          <w:shd w:val="clear" w:color="auto" w:fill="FFFFFF"/>
          <w:lang w:val="en-GB"/>
        </w:rPr>
        <w:t xml:space="preserve"> the literary and philosophical societies </w:t>
      </w:r>
      <w:r w:rsidR="0017241C">
        <w:rPr>
          <w:rFonts w:eastAsia="Times New Roman" w:cs="Arial"/>
          <w:shd w:val="clear" w:color="auto" w:fill="FFFFFF"/>
          <w:lang w:val="en-GB"/>
        </w:rPr>
        <w:t>set up in</w:t>
      </w:r>
      <w:r w:rsidR="0017241C" w:rsidRPr="009A20BA">
        <w:rPr>
          <w:rFonts w:eastAsia="Times New Roman" w:cs="Arial"/>
          <w:shd w:val="clear" w:color="auto" w:fill="FFFFFF"/>
          <w:lang w:val="en-GB"/>
        </w:rPr>
        <w:t xml:space="preserve"> </w:t>
      </w:r>
      <w:r w:rsidRPr="009A20BA">
        <w:rPr>
          <w:rFonts w:eastAsia="Times New Roman" w:cs="Arial"/>
          <w:shd w:val="clear" w:color="auto" w:fill="FFFFFF"/>
          <w:lang w:val="en-GB"/>
        </w:rPr>
        <w:t xml:space="preserve">the new manufacturing towns </w:t>
      </w:r>
      <w:r w:rsidR="0017241C">
        <w:rPr>
          <w:rFonts w:eastAsia="Times New Roman" w:cs="Arial"/>
          <w:shd w:val="clear" w:color="auto" w:fill="FFFFFF"/>
          <w:lang w:val="en-GB"/>
        </w:rPr>
        <w:t>of</w:t>
      </w:r>
      <w:r w:rsidRPr="009A20BA">
        <w:rPr>
          <w:rFonts w:eastAsia="Times New Roman" w:cs="Arial"/>
          <w:shd w:val="clear" w:color="auto" w:fill="FFFFFF"/>
          <w:lang w:val="en-GB"/>
        </w:rPr>
        <w:t xml:space="preserve"> the early industrial revolution, roughly between 1781 and 18</w:t>
      </w:r>
      <w:r w:rsidR="009207A7" w:rsidRPr="009A20BA">
        <w:rPr>
          <w:rFonts w:eastAsia="Times New Roman" w:cs="Arial"/>
          <w:shd w:val="clear" w:color="auto" w:fill="FFFFFF"/>
          <w:lang w:val="en-GB"/>
        </w:rPr>
        <w:t>22</w:t>
      </w:r>
      <w:r w:rsidRPr="009A20BA">
        <w:rPr>
          <w:rFonts w:eastAsia="Times New Roman" w:cs="Arial"/>
          <w:shd w:val="clear" w:color="auto" w:fill="FFFFFF"/>
          <w:lang w:val="en-GB"/>
        </w:rPr>
        <w:t>.</w:t>
      </w:r>
      <w:r w:rsidR="00C3343E" w:rsidRPr="009A20BA">
        <w:rPr>
          <w:rStyle w:val="EndnoteReference"/>
          <w:rFonts w:eastAsia="Times New Roman" w:cs="Arial"/>
          <w:shd w:val="clear" w:color="auto" w:fill="FFFFFF"/>
          <w:lang w:val="en-GB"/>
        </w:rPr>
        <w:endnoteReference w:id="1"/>
      </w:r>
      <w:r w:rsidRPr="009A20BA">
        <w:rPr>
          <w:rFonts w:eastAsia="Times New Roman" w:cs="Arial"/>
          <w:shd w:val="clear" w:color="auto" w:fill="FFFFFF"/>
          <w:lang w:val="en-GB"/>
        </w:rPr>
        <w:t xml:space="preserve"> The members of these societies, </w:t>
      </w:r>
      <w:r w:rsidR="001F565F" w:rsidRPr="009A20BA">
        <w:rPr>
          <w:rFonts w:eastAsia="Times New Roman" w:cs="Arial"/>
          <w:shd w:val="clear" w:color="auto" w:fill="FFFFFF"/>
          <w:lang w:val="en-GB"/>
        </w:rPr>
        <w:t>with</w:t>
      </w:r>
      <w:r w:rsidR="00260F73" w:rsidRPr="009A20BA">
        <w:rPr>
          <w:rFonts w:eastAsia="Times New Roman" w:cs="Arial"/>
          <w:shd w:val="clear" w:color="auto" w:fill="FFFFFF"/>
          <w:lang w:val="en-GB"/>
        </w:rPr>
        <w:t xml:space="preserve"> </w:t>
      </w:r>
      <w:r w:rsidR="005B4E9A" w:rsidRPr="009A20BA">
        <w:rPr>
          <w:rFonts w:eastAsia="Times New Roman" w:cs="Arial"/>
          <w:shd w:val="clear" w:color="auto" w:fill="FFFFFF"/>
          <w:lang w:val="en-GB"/>
        </w:rPr>
        <w:t>Rational Dissenters</w:t>
      </w:r>
      <w:r w:rsidR="009207A7" w:rsidRPr="009A20BA">
        <w:rPr>
          <w:rFonts w:eastAsia="Times New Roman" w:cs="Arial"/>
          <w:shd w:val="clear" w:color="auto" w:fill="FFFFFF"/>
          <w:lang w:val="en-GB"/>
        </w:rPr>
        <w:t xml:space="preserve"> </w:t>
      </w:r>
      <w:r w:rsidR="001D5593" w:rsidRPr="009A20BA">
        <w:rPr>
          <w:rFonts w:eastAsia="Times New Roman" w:cs="Arial"/>
          <w:shd w:val="clear" w:color="auto" w:fill="FFFFFF"/>
          <w:lang w:val="en-GB"/>
        </w:rPr>
        <w:t>to the</w:t>
      </w:r>
      <w:r w:rsidR="009207A7" w:rsidRPr="009A20BA">
        <w:rPr>
          <w:rFonts w:eastAsia="Times New Roman" w:cs="Arial"/>
          <w:shd w:val="clear" w:color="auto" w:fill="FFFFFF"/>
          <w:lang w:val="en-GB"/>
        </w:rPr>
        <w:t xml:space="preserve"> fore</w:t>
      </w:r>
      <w:r w:rsidR="005B4E9A" w:rsidRPr="009A20BA">
        <w:rPr>
          <w:rFonts w:eastAsia="Times New Roman" w:cs="Arial"/>
          <w:shd w:val="clear" w:color="auto" w:fill="FFFFFF"/>
          <w:lang w:val="en-GB"/>
        </w:rPr>
        <w:t xml:space="preserve">, </w:t>
      </w:r>
      <w:r w:rsidR="001D5593" w:rsidRPr="009A20BA">
        <w:rPr>
          <w:rFonts w:eastAsia="Times New Roman" w:cs="Arial"/>
          <w:shd w:val="clear" w:color="auto" w:fill="FFFFFF"/>
          <w:lang w:val="en-GB"/>
        </w:rPr>
        <w:t xml:space="preserve">were interested in </w:t>
      </w:r>
      <w:r w:rsidR="00970FE0" w:rsidRPr="009A20BA">
        <w:rPr>
          <w:rFonts w:eastAsia="Times New Roman" w:cs="Arial"/>
          <w:shd w:val="clear" w:color="auto" w:fill="FFFFFF"/>
          <w:lang w:val="en-GB"/>
        </w:rPr>
        <w:t>‘</w:t>
      </w:r>
      <w:r w:rsidR="001D5593" w:rsidRPr="009A20BA">
        <w:rPr>
          <w:rFonts w:eastAsia="Times New Roman" w:cs="Arial"/>
          <w:shd w:val="clear" w:color="auto" w:fill="FFFFFF"/>
          <w:lang w:val="en-GB"/>
        </w:rPr>
        <w:t>improvement</w:t>
      </w:r>
      <w:r w:rsidR="00970FE0" w:rsidRPr="009A20BA">
        <w:rPr>
          <w:rFonts w:eastAsia="Times New Roman" w:cs="Arial"/>
          <w:shd w:val="clear" w:color="auto" w:fill="FFFFFF"/>
          <w:lang w:val="en-GB"/>
        </w:rPr>
        <w:t>’</w:t>
      </w:r>
      <w:r w:rsidRPr="009A20BA">
        <w:rPr>
          <w:rFonts w:eastAsia="Times New Roman" w:cs="Arial"/>
          <w:shd w:val="clear" w:color="auto" w:fill="FFFFFF"/>
          <w:lang w:val="en-GB"/>
        </w:rPr>
        <w:t xml:space="preserve"> in technical, scientific, and literary</w:t>
      </w:r>
      <w:r w:rsidR="005B4E9A" w:rsidRPr="009A20BA">
        <w:rPr>
          <w:rFonts w:eastAsia="Times New Roman" w:cs="Arial"/>
          <w:shd w:val="clear" w:color="auto" w:fill="FFFFFF"/>
          <w:lang w:val="en-GB"/>
        </w:rPr>
        <w:t xml:space="preserve"> spheres</w:t>
      </w:r>
      <w:r w:rsidRPr="009A20BA">
        <w:rPr>
          <w:rFonts w:eastAsia="Times New Roman" w:cs="Arial"/>
          <w:shd w:val="clear" w:color="auto" w:fill="FFFFFF"/>
          <w:lang w:val="en-GB"/>
        </w:rPr>
        <w:t>, often subscribing to progressive view</w:t>
      </w:r>
      <w:r w:rsidR="00A32939" w:rsidRPr="009A20BA">
        <w:rPr>
          <w:rFonts w:eastAsia="Times New Roman" w:cs="Arial"/>
          <w:shd w:val="clear" w:color="auto" w:fill="FFFFFF"/>
          <w:lang w:val="en-GB"/>
        </w:rPr>
        <w:t>s</w:t>
      </w:r>
      <w:r w:rsidRPr="009A20BA">
        <w:rPr>
          <w:rFonts w:eastAsia="Times New Roman" w:cs="Arial"/>
          <w:shd w:val="clear" w:color="auto" w:fill="FFFFFF"/>
          <w:lang w:val="en-GB"/>
        </w:rPr>
        <w:t xml:space="preserve"> </w:t>
      </w:r>
      <w:r w:rsidR="00833B72">
        <w:rPr>
          <w:rFonts w:eastAsia="Times New Roman" w:cs="Arial"/>
          <w:shd w:val="clear" w:color="auto" w:fill="FFFFFF"/>
          <w:lang w:val="en-GB"/>
        </w:rPr>
        <w:t>on</w:t>
      </w:r>
      <w:r w:rsidRPr="009A20BA">
        <w:rPr>
          <w:rFonts w:eastAsia="Times New Roman" w:cs="Arial"/>
          <w:shd w:val="clear" w:color="auto" w:fill="FFFFFF"/>
          <w:lang w:val="en-GB"/>
        </w:rPr>
        <w:t xml:space="preserve"> women’s education. </w:t>
      </w:r>
      <w:r w:rsidR="005B4E9A" w:rsidRPr="009A20BA">
        <w:rPr>
          <w:rFonts w:eastAsia="Times New Roman" w:cs="Arial"/>
          <w:shd w:val="clear" w:color="auto" w:fill="FFFFFF"/>
          <w:lang w:val="en-GB"/>
        </w:rPr>
        <w:t>Kathryn Gleadle and Jane Rendall</w:t>
      </w:r>
      <w:r w:rsidR="00C3343E" w:rsidRPr="009A20BA">
        <w:rPr>
          <w:rFonts w:eastAsia="Times New Roman" w:cs="Arial"/>
          <w:shd w:val="clear" w:color="auto" w:fill="FFFFFF"/>
          <w:lang w:val="en-GB"/>
        </w:rPr>
        <w:t xml:space="preserve"> have shown that </w:t>
      </w:r>
      <w:r w:rsidR="00833B72">
        <w:rPr>
          <w:rFonts w:eastAsia="Times New Roman" w:cs="Arial"/>
          <w:shd w:val="clear" w:color="auto" w:fill="FFFFFF"/>
          <w:lang w:val="en-GB"/>
        </w:rPr>
        <w:t xml:space="preserve">the </w:t>
      </w:r>
      <w:r w:rsidR="00C3343E" w:rsidRPr="009A20BA">
        <w:rPr>
          <w:rFonts w:eastAsia="Times New Roman" w:cs="Arial"/>
          <w:shd w:val="clear" w:color="auto" w:fill="FFFFFF"/>
          <w:lang w:val="en-GB"/>
        </w:rPr>
        <w:t xml:space="preserve">women </w:t>
      </w:r>
      <w:r w:rsidR="009621F4" w:rsidRPr="009A20BA">
        <w:rPr>
          <w:rFonts w:eastAsia="Times New Roman" w:cs="Arial"/>
          <w:shd w:val="clear" w:color="auto" w:fill="FFFFFF"/>
          <w:lang w:val="en-GB"/>
        </w:rPr>
        <w:t>in</w:t>
      </w:r>
      <w:r w:rsidR="00C3343E" w:rsidRPr="009A20BA">
        <w:rPr>
          <w:rFonts w:eastAsia="Times New Roman" w:cs="Arial"/>
          <w:shd w:val="clear" w:color="auto" w:fill="FFFFFF"/>
          <w:lang w:val="en-GB"/>
        </w:rPr>
        <w:t xml:space="preserve"> </w:t>
      </w:r>
      <w:r w:rsidR="0017241C">
        <w:rPr>
          <w:rFonts w:eastAsia="Times New Roman" w:cs="Arial"/>
          <w:shd w:val="clear" w:color="auto" w:fill="FFFFFF"/>
          <w:lang w:val="en-GB"/>
        </w:rPr>
        <w:t xml:space="preserve">such </w:t>
      </w:r>
      <w:r w:rsidR="00C3343E" w:rsidRPr="009A20BA">
        <w:rPr>
          <w:rFonts w:eastAsia="Times New Roman" w:cs="Arial"/>
          <w:shd w:val="clear" w:color="auto" w:fill="FFFFFF"/>
          <w:lang w:val="en-GB"/>
        </w:rPr>
        <w:t>circles</w:t>
      </w:r>
      <w:r w:rsidR="007E6B8D" w:rsidRPr="009A20BA">
        <w:rPr>
          <w:rFonts w:eastAsia="Times New Roman" w:cs="Arial"/>
          <w:shd w:val="clear" w:color="auto" w:fill="FFFFFF"/>
          <w:lang w:val="en-GB"/>
        </w:rPr>
        <w:t xml:space="preserve"> </w:t>
      </w:r>
      <w:r w:rsidR="00C3343E" w:rsidRPr="009A20BA">
        <w:rPr>
          <w:rFonts w:eastAsia="Times New Roman" w:cs="Arial"/>
          <w:shd w:val="clear" w:color="auto" w:fill="FFFFFF"/>
          <w:lang w:val="en-GB"/>
        </w:rPr>
        <w:t>were often involved in philanthropic and even political activities</w:t>
      </w:r>
      <w:r w:rsidR="005B4E9A" w:rsidRPr="009A20BA">
        <w:rPr>
          <w:rFonts w:eastAsia="Times New Roman" w:cs="Arial"/>
          <w:shd w:val="clear" w:color="auto" w:fill="FFFFFF"/>
          <w:lang w:val="en-GB"/>
        </w:rPr>
        <w:t>, taking up leadership positions, for instance, in various kinds of charitable organi</w:t>
      </w:r>
      <w:r w:rsidR="00D43E5E" w:rsidRPr="009A20BA">
        <w:rPr>
          <w:rFonts w:eastAsia="Times New Roman" w:cs="Arial"/>
          <w:shd w:val="clear" w:color="auto" w:fill="FFFFFF"/>
          <w:lang w:val="en-GB"/>
        </w:rPr>
        <w:t>s</w:t>
      </w:r>
      <w:r w:rsidR="005B4E9A" w:rsidRPr="009A20BA">
        <w:rPr>
          <w:rFonts w:eastAsia="Times New Roman" w:cs="Arial"/>
          <w:shd w:val="clear" w:color="auto" w:fill="FFFFFF"/>
          <w:lang w:val="en-GB"/>
        </w:rPr>
        <w:t xml:space="preserve">ations </w:t>
      </w:r>
      <w:r w:rsidR="00BE5B53" w:rsidRPr="009A20BA">
        <w:rPr>
          <w:rFonts w:eastAsia="Times New Roman" w:cs="Arial"/>
          <w:shd w:val="clear" w:color="auto" w:fill="FFFFFF"/>
          <w:lang w:val="en-GB"/>
        </w:rPr>
        <w:t xml:space="preserve">that </w:t>
      </w:r>
      <w:r w:rsidR="00970FE0" w:rsidRPr="009A20BA">
        <w:rPr>
          <w:rFonts w:eastAsia="Times New Roman" w:cs="Arial"/>
          <w:shd w:val="clear" w:color="auto" w:fill="FFFFFF"/>
          <w:lang w:val="en-GB"/>
        </w:rPr>
        <w:t>‘</w:t>
      </w:r>
      <w:r w:rsidR="00BE5B53" w:rsidRPr="009A20BA">
        <w:rPr>
          <w:rFonts w:eastAsia="Times New Roman" w:cs="Arial"/>
          <w:shd w:val="clear" w:color="auto" w:fill="FFFFFF"/>
          <w:lang w:val="en-GB"/>
        </w:rPr>
        <w:t>cut across any simple distinctions between public and private worlds</w:t>
      </w:r>
      <w:r w:rsidR="00970FE0" w:rsidRPr="009A20BA">
        <w:rPr>
          <w:rFonts w:eastAsia="Times New Roman" w:cs="Arial"/>
          <w:shd w:val="clear" w:color="auto" w:fill="FFFFFF"/>
          <w:lang w:val="en-GB"/>
        </w:rPr>
        <w:t>’</w:t>
      </w:r>
      <w:r w:rsidR="00941517">
        <w:rPr>
          <w:rFonts w:eastAsia="Times New Roman" w:cs="Arial"/>
          <w:shd w:val="clear" w:color="auto" w:fill="FFFFFF"/>
          <w:lang w:val="en-GB"/>
        </w:rPr>
        <w:t>.</w:t>
      </w:r>
      <w:r w:rsidR="006C3197" w:rsidRPr="009A20BA">
        <w:rPr>
          <w:rStyle w:val="EndnoteReference"/>
          <w:rFonts w:eastAsia="Times New Roman" w:cs="Arial"/>
          <w:shd w:val="clear" w:color="auto" w:fill="FFFFFF"/>
          <w:lang w:val="en-GB"/>
        </w:rPr>
        <w:endnoteReference w:id="2"/>
      </w:r>
      <w:r w:rsidR="005B4E9A" w:rsidRPr="009A20BA">
        <w:rPr>
          <w:rFonts w:eastAsia="Times New Roman" w:cs="Arial"/>
          <w:shd w:val="clear" w:color="auto" w:fill="FFFFFF"/>
          <w:lang w:val="en-GB"/>
        </w:rPr>
        <w:t xml:space="preserve"> </w:t>
      </w:r>
      <w:r w:rsidR="00014726" w:rsidRPr="009A20BA">
        <w:rPr>
          <w:rFonts w:eastAsia="Times New Roman" w:cs="Arial"/>
          <w:shd w:val="clear" w:color="auto" w:fill="FFFFFF"/>
          <w:lang w:val="en-GB"/>
        </w:rPr>
        <w:t xml:space="preserve">Despite </w:t>
      </w:r>
      <w:r w:rsidR="00D43E5E" w:rsidRPr="009A20BA">
        <w:rPr>
          <w:rFonts w:eastAsia="Times New Roman" w:cs="Arial"/>
          <w:shd w:val="clear" w:color="auto" w:fill="FFFFFF"/>
          <w:lang w:val="en-GB"/>
        </w:rPr>
        <w:t xml:space="preserve">their </w:t>
      </w:r>
      <w:r w:rsidR="00014726" w:rsidRPr="009A20BA">
        <w:rPr>
          <w:rFonts w:eastAsia="Times New Roman" w:cs="Arial"/>
          <w:shd w:val="clear" w:color="auto" w:fill="FFFFFF"/>
          <w:lang w:val="en-GB"/>
        </w:rPr>
        <w:t xml:space="preserve">role in other aspects of the emergent middle-class culture of improvement, </w:t>
      </w:r>
      <w:r w:rsidR="00D43E5E" w:rsidRPr="009A20BA">
        <w:rPr>
          <w:rFonts w:eastAsia="Times New Roman" w:cs="Arial"/>
          <w:shd w:val="clear" w:color="auto" w:fill="FFFFFF"/>
          <w:lang w:val="en-GB"/>
        </w:rPr>
        <w:t xml:space="preserve">women </w:t>
      </w:r>
      <w:r w:rsidR="005B4E9A" w:rsidRPr="009A20BA">
        <w:rPr>
          <w:rFonts w:eastAsia="Times New Roman" w:cs="Arial"/>
          <w:shd w:val="clear" w:color="auto" w:fill="FFFFFF"/>
          <w:lang w:val="en-GB"/>
        </w:rPr>
        <w:t xml:space="preserve">were </w:t>
      </w:r>
      <w:r w:rsidR="008E48A0">
        <w:rPr>
          <w:rFonts w:eastAsia="Times New Roman" w:cs="Arial"/>
          <w:shd w:val="clear" w:color="auto" w:fill="FFFFFF"/>
          <w:lang w:val="en-GB"/>
        </w:rPr>
        <w:t xml:space="preserve">not </w:t>
      </w:r>
      <w:r w:rsidR="00833B72">
        <w:rPr>
          <w:rFonts w:eastAsia="Times New Roman" w:cs="Arial"/>
          <w:shd w:val="clear" w:color="auto" w:fill="FFFFFF"/>
          <w:lang w:val="en-GB"/>
        </w:rPr>
        <w:t>admitted as</w:t>
      </w:r>
      <w:r w:rsidR="00C3343E" w:rsidRPr="009A20BA">
        <w:rPr>
          <w:rFonts w:eastAsia="Times New Roman" w:cs="Arial"/>
          <w:shd w:val="clear" w:color="auto" w:fill="FFFFFF"/>
          <w:lang w:val="en-GB"/>
        </w:rPr>
        <w:t xml:space="preserve"> full members of</w:t>
      </w:r>
      <w:r w:rsidR="005B4E9A" w:rsidRPr="009A20BA">
        <w:rPr>
          <w:rFonts w:eastAsia="Times New Roman" w:cs="Arial"/>
          <w:shd w:val="clear" w:color="auto" w:fill="FFFFFF"/>
          <w:lang w:val="en-GB"/>
        </w:rPr>
        <w:t xml:space="preserve"> the early </w:t>
      </w:r>
      <w:r w:rsidR="00A32939" w:rsidRPr="009A20BA">
        <w:rPr>
          <w:rFonts w:eastAsia="Times New Roman" w:cs="Arial"/>
          <w:shd w:val="clear" w:color="auto" w:fill="FFFFFF"/>
          <w:lang w:val="en-GB"/>
        </w:rPr>
        <w:t xml:space="preserve">literary and philosophical </w:t>
      </w:r>
      <w:r w:rsidR="005B4E9A" w:rsidRPr="009A20BA">
        <w:rPr>
          <w:rFonts w:eastAsia="Times New Roman" w:cs="Arial"/>
          <w:shd w:val="clear" w:color="auto" w:fill="FFFFFF"/>
          <w:lang w:val="en-GB"/>
        </w:rPr>
        <w:t>societies</w:t>
      </w:r>
      <w:r w:rsidR="00A32939" w:rsidRPr="009A20BA">
        <w:rPr>
          <w:rFonts w:eastAsia="Times New Roman" w:cs="Arial"/>
          <w:shd w:val="clear" w:color="auto" w:fill="FFFFFF"/>
          <w:lang w:val="en-GB"/>
        </w:rPr>
        <w:t xml:space="preserve"> in</w:t>
      </w:r>
      <w:r w:rsidR="005B4E9A" w:rsidRPr="009A20BA">
        <w:rPr>
          <w:rFonts w:eastAsia="Times New Roman" w:cs="Arial"/>
          <w:shd w:val="clear" w:color="auto" w:fill="FFFFFF"/>
          <w:lang w:val="en-GB"/>
        </w:rPr>
        <w:t xml:space="preserve"> Manchester, founded in 1781, </w:t>
      </w:r>
      <w:r w:rsidR="006C3197" w:rsidRPr="009A20BA">
        <w:rPr>
          <w:rFonts w:eastAsia="Times New Roman" w:cs="Arial"/>
          <w:shd w:val="clear" w:color="auto" w:fill="FFFFFF"/>
          <w:lang w:val="en-GB"/>
        </w:rPr>
        <w:t>or</w:t>
      </w:r>
      <w:r w:rsidR="00C3343E" w:rsidRPr="009A20BA">
        <w:rPr>
          <w:rFonts w:eastAsia="Times New Roman" w:cs="Arial"/>
          <w:shd w:val="clear" w:color="auto" w:fill="FFFFFF"/>
          <w:lang w:val="en-GB"/>
        </w:rPr>
        <w:t>, more ambiguously,</w:t>
      </w:r>
      <w:r w:rsidR="005B4E9A" w:rsidRPr="009A20BA">
        <w:rPr>
          <w:rFonts w:eastAsia="Times New Roman" w:cs="Arial"/>
          <w:shd w:val="clear" w:color="auto" w:fill="FFFFFF"/>
          <w:lang w:val="en-GB"/>
        </w:rPr>
        <w:t xml:space="preserve"> Newcastle-upon-Tyne</w:t>
      </w:r>
      <w:r w:rsidR="006C3197" w:rsidRPr="009A20BA">
        <w:rPr>
          <w:rFonts w:eastAsia="Times New Roman" w:cs="Arial"/>
          <w:shd w:val="clear" w:color="auto" w:fill="FFFFFF"/>
          <w:lang w:val="en-GB"/>
        </w:rPr>
        <w:t>,</w:t>
      </w:r>
      <w:r w:rsidR="005B4E9A" w:rsidRPr="009A20BA">
        <w:rPr>
          <w:rFonts w:eastAsia="Times New Roman" w:cs="Arial"/>
          <w:shd w:val="clear" w:color="auto" w:fill="FFFFFF"/>
          <w:lang w:val="en-GB"/>
        </w:rPr>
        <w:t xml:space="preserve"> instituted in 1793</w:t>
      </w:r>
      <w:r w:rsidR="00A32939" w:rsidRPr="009A20BA">
        <w:rPr>
          <w:rFonts w:eastAsia="Times New Roman" w:cs="Arial"/>
          <w:shd w:val="clear" w:color="auto" w:fill="FFFFFF"/>
          <w:lang w:val="en-GB"/>
        </w:rPr>
        <w:t xml:space="preserve">, although they could attend lectures and </w:t>
      </w:r>
      <w:r w:rsidR="00C3343E" w:rsidRPr="009A20BA">
        <w:rPr>
          <w:rFonts w:eastAsia="Times New Roman" w:cs="Arial"/>
          <w:shd w:val="clear" w:color="auto" w:fill="FFFFFF"/>
          <w:lang w:val="en-GB"/>
        </w:rPr>
        <w:t>participate in other ways</w:t>
      </w:r>
      <w:r w:rsidR="005B4E9A" w:rsidRPr="009A20BA">
        <w:rPr>
          <w:rFonts w:eastAsia="Times New Roman" w:cs="Arial"/>
          <w:shd w:val="clear" w:color="auto" w:fill="FFFFFF"/>
          <w:lang w:val="en-GB"/>
        </w:rPr>
        <w:t xml:space="preserve">. </w:t>
      </w:r>
      <w:r w:rsidR="009A20BA">
        <w:rPr>
          <w:rFonts w:eastAsia="Times New Roman" w:cs="Arial"/>
          <w:shd w:val="clear" w:color="auto" w:fill="FFFFFF"/>
          <w:lang w:val="en-GB"/>
        </w:rPr>
        <w:t xml:space="preserve">The </w:t>
      </w:r>
      <w:r w:rsidR="0097619F" w:rsidRPr="009A20BA">
        <w:rPr>
          <w:rFonts w:eastAsia="Times New Roman" w:cs="Arial"/>
          <w:shd w:val="clear" w:color="auto" w:fill="FFFFFF"/>
          <w:lang w:val="en-GB"/>
        </w:rPr>
        <w:t>situation illuminate</w:t>
      </w:r>
      <w:r w:rsidR="009A20BA">
        <w:rPr>
          <w:rFonts w:eastAsia="Times New Roman" w:cs="Arial"/>
          <w:shd w:val="clear" w:color="auto" w:fill="FFFFFF"/>
          <w:lang w:val="en-GB"/>
        </w:rPr>
        <w:t>s</w:t>
      </w:r>
      <w:r w:rsidR="0097619F" w:rsidRPr="009A20BA">
        <w:rPr>
          <w:rFonts w:eastAsia="Times New Roman" w:cs="Arial"/>
          <w:shd w:val="clear" w:color="auto" w:fill="FFFFFF"/>
          <w:lang w:val="en-GB"/>
        </w:rPr>
        <w:t xml:space="preserve"> a specific case of women’s </w:t>
      </w:r>
      <w:r w:rsidR="009A20BA">
        <w:rPr>
          <w:rFonts w:eastAsia="Times New Roman" w:cs="Arial"/>
          <w:shd w:val="clear" w:color="auto" w:fill="FFFFFF"/>
          <w:lang w:val="en-GB"/>
        </w:rPr>
        <w:t>‘</w:t>
      </w:r>
      <w:r w:rsidR="0097619F" w:rsidRPr="009A20BA">
        <w:rPr>
          <w:rFonts w:eastAsia="Times New Roman" w:cs="Arial"/>
          <w:shd w:val="clear" w:color="auto" w:fill="FFFFFF"/>
          <w:lang w:val="en-GB"/>
        </w:rPr>
        <w:t>conditional access</w:t>
      </w:r>
      <w:r w:rsidR="009A20BA">
        <w:rPr>
          <w:rFonts w:eastAsia="Times New Roman" w:cs="Arial"/>
          <w:shd w:val="clear" w:color="auto" w:fill="FFFFFF"/>
          <w:lang w:val="en-GB"/>
        </w:rPr>
        <w:t>’</w:t>
      </w:r>
      <w:r w:rsidR="0097619F" w:rsidRPr="009A20BA">
        <w:rPr>
          <w:rFonts w:eastAsia="Times New Roman" w:cs="Arial"/>
          <w:shd w:val="clear" w:color="auto" w:fill="FFFFFF"/>
          <w:lang w:val="en-GB"/>
        </w:rPr>
        <w:t xml:space="preserve"> to knowledge </w:t>
      </w:r>
      <w:r w:rsidR="0097619F" w:rsidRPr="009A20BA">
        <w:rPr>
          <w:rFonts w:eastAsia="Times New Roman" w:cs="Arial"/>
          <w:shd w:val="clear" w:color="auto" w:fill="FFFFFF"/>
          <w:lang w:val="en-GB"/>
        </w:rPr>
        <w:lastRenderedPageBreak/>
        <w:t xml:space="preserve">in the </w:t>
      </w:r>
      <w:r w:rsidR="00A139B5" w:rsidRPr="009A20BA">
        <w:rPr>
          <w:rFonts w:eastAsia="Times New Roman" w:cs="Arial"/>
          <w:shd w:val="clear" w:color="auto" w:fill="FFFFFF"/>
          <w:lang w:val="en-GB"/>
        </w:rPr>
        <w:t>period and</w:t>
      </w:r>
      <w:r w:rsidR="0097619F" w:rsidRPr="009A20BA">
        <w:rPr>
          <w:rFonts w:eastAsia="Times New Roman" w:cs="Arial"/>
          <w:shd w:val="clear" w:color="auto" w:fill="FFFFFF"/>
          <w:lang w:val="en-GB"/>
        </w:rPr>
        <w:t xml:space="preserve"> represents a form of absent presence</w:t>
      </w:r>
      <w:r w:rsidR="009A20BA">
        <w:rPr>
          <w:rFonts w:eastAsia="Times New Roman" w:cs="Arial"/>
          <w:shd w:val="clear" w:color="auto" w:fill="FFFFFF"/>
          <w:lang w:val="en-GB"/>
        </w:rPr>
        <w:t xml:space="preserve">. </w:t>
      </w:r>
      <w:r w:rsidR="0097619F" w:rsidRPr="009A20BA">
        <w:rPr>
          <w:rFonts w:eastAsia="Times New Roman" w:cs="Arial"/>
          <w:shd w:val="clear" w:color="auto" w:fill="FFFFFF"/>
          <w:lang w:val="en-GB"/>
        </w:rPr>
        <w:t xml:space="preserve"> </w:t>
      </w:r>
      <w:r w:rsidR="009A20BA">
        <w:rPr>
          <w:rFonts w:eastAsia="Times New Roman" w:cs="Arial"/>
          <w:shd w:val="clear" w:color="auto" w:fill="FFFFFF"/>
          <w:lang w:val="en-GB"/>
        </w:rPr>
        <w:t>W</w:t>
      </w:r>
      <w:r w:rsidR="0097619F" w:rsidRPr="009A20BA">
        <w:rPr>
          <w:rFonts w:eastAsia="Times New Roman" w:cs="Arial"/>
          <w:shd w:val="clear" w:color="auto" w:fill="FFFFFF"/>
          <w:lang w:val="en-GB"/>
        </w:rPr>
        <w:t xml:space="preserve">omen were a constant </w:t>
      </w:r>
      <w:r w:rsidR="0059151C" w:rsidRPr="009A20BA">
        <w:rPr>
          <w:rFonts w:eastAsia="Times New Roman" w:cs="Arial"/>
          <w:shd w:val="clear" w:color="auto" w:fill="FFFFFF"/>
          <w:lang w:val="en-GB"/>
        </w:rPr>
        <w:t>presen</w:t>
      </w:r>
      <w:r w:rsidR="0059151C">
        <w:rPr>
          <w:rFonts w:eastAsia="Times New Roman" w:cs="Arial"/>
          <w:shd w:val="clear" w:color="auto" w:fill="FFFFFF"/>
          <w:lang w:val="en-GB"/>
        </w:rPr>
        <w:t>ce</w:t>
      </w:r>
      <w:r w:rsidR="0059151C" w:rsidRPr="009A20BA">
        <w:rPr>
          <w:rFonts w:eastAsia="Times New Roman" w:cs="Arial"/>
          <w:shd w:val="clear" w:color="auto" w:fill="FFFFFF"/>
          <w:lang w:val="en-GB"/>
        </w:rPr>
        <w:t xml:space="preserve"> </w:t>
      </w:r>
      <w:r w:rsidR="0097619F" w:rsidRPr="009A20BA">
        <w:rPr>
          <w:rFonts w:eastAsia="Times New Roman" w:cs="Arial"/>
          <w:shd w:val="clear" w:color="auto" w:fill="FFFFFF"/>
          <w:lang w:val="en-GB"/>
        </w:rPr>
        <w:t xml:space="preserve">in the penumbra of activities associated with the societies, but nowhere to be seen </w:t>
      </w:r>
      <w:r w:rsidR="00BF4531" w:rsidRPr="009A20BA">
        <w:rPr>
          <w:rFonts w:eastAsia="Times New Roman" w:cs="Arial"/>
          <w:shd w:val="clear" w:color="auto" w:fill="FFFFFF"/>
          <w:lang w:val="en-GB"/>
        </w:rPr>
        <w:t>at</w:t>
      </w:r>
      <w:r w:rsidR="0097619F" w:rsidRPr="009A20BA">
        <w:rPr>
          <w:rFonts w:eastAsia="Times New Roman" w:cs="Arial"/>
          <w:shd w:val="clear" w:color="auto" w:fill="FFFFFF"/>
          <w:lang w:val="en-GB"/>
        </w:rPr>
        <w:t xml:space="preserve"> their monthly meetings</w:t>
      </w:r>
      <w:r w:rsidR="008E48A0">
        <w:rPr>
          <w:rFonts w:eastAsia="Times New Roman" w:cs="Arial"/>
          <w:shd w:val="clear" w:color="auto" w:fill="FFFFFF"/>
          <w:lang w:val="en-GB"/>
        </w:rPr>
        <w:t>,</w:t>
      </w:r>
      <w:r w:rsidR="00BF4531" w:rsidRPr="009A20BA">
        <w:rPr>
          <w:rFonts w:eastAsia="Times New Roman" w:cs="Arial"/>
          <w:shd w:val="clear" w:color="auto" w:fill="FFFFFF"/>
          <w:lang w:val="en-GB"/>
        </w:rPr>
        <w:t xml:space="preserve"> or in their minute books</w:t>
      </w:r>
      <w:r w:rsidR="0097619F" w:rsidRPr="00AC5366">
        <w:rPr>
          <w:rFonts w:eastAsia="Times New Roman" w:cs="Arial"/>
          <w:shd w:val="clear" w:color="auto" w:fill="FFFFFF"/>
          <w:lang w:val="en-GB"/>
        </w:rPr>
        <w:t>.</w:t>
      </w:r>
      <w:r w:rsidR="009A20BA" w:rsidRPr="008C7195">
        <w:rPr>
          <w:rStyle w:val="EndnoteReference"/>
        </w:rPr>
        <w:endnoteReference w:id="3"/>
      </w:r>
      <w:r w:rsidR="0097619F" w:rsidRPr="00AC5366">
        <w:rPr>
          <w:rFonts w:eastAsia="Times New Roman" w:cs="Arial"/>
          <w:shd w:val="clear" w:color="auto" w:fill="FFFFFF"/>
          <w:lang w:val="en-GB"/>
        </w:rPr>
        <w:t xml:space="preserve"> </w:t>
      </w:r>
      <w:r w:rsidR="00821971">
        <w:t>Understanding t</w:t>
      </w:r>
      <w:r w:rsidR="009A20BA">
        <w:t xml:space="preserve">his complicated terrain </w:t>
      </w:r>
      <w:r w:rsidR="00821971">
        <w:t>nuances</w:t>
      </w:r>
      <w:r w:rsidR="00AC5366">
        <w:t xml:space="preserve"> </w:t>
      </w:r>
      <w:r w:rsidR="009A20BA" w:rsidRPr="00D43E5E">
        <w:t>David Livingstone’s claim</w:t>
      </w:r>
      <w:r w:rsidR="0059151C">
        <w:t>s about the gendering of ‘scientific space’.</w:t>
      </w:r>
      <w:r w:rsidR="009A20BA" w:rsidRPr="00D43E5E">
        <w:t xml:space="preserve"> </w:t>
      </w:r>
      <w:r w:rsidR="0059151C">
        <w:t xml:space="preserve">Despite </w:t>
      </w:r>
      <w:r w:rsidR="00821971">
        <w:t>the</w:t>
      </w:r>
      <w:r w:rsidR="0059151C">
        <w:t xml:space="preserve"> supposedly ‘disembodied character</w:t>
      </w:r>
      <w:r w:rsidR="00821971">
        <w:t xml:space="preserve"> of scientific knowing’</w:t>
      </w:r>
      <w:r w:rsidR="0059151C">
        <w:t xml:space="preserve">, Livingstone claims that in practice </w:t>
      </w:r>
      <w:r w:rsidR="009A20BA" w:rsidRPr="00D43E5E">
        <w:t>‘female corporeality rendered women unsuitable for intellectual pursuits in genera</w:t>
      </w:r>
      <w:r w:rsidR="009A20BA">
        <w:t>l and for science in particular</w:t>
      </w:r>
      <w:r w:rsidR="00260F73" w:rsidRPr="00941517">
        <w:t>.</w:t>
      </w:r>
      <w:r w:rsidR="006C3197" w:rsidRPr="008C7195">
        <w:rPr>
          <w:rStyle w:val="EndnoteReference"/>
        </w:rPr>
        <w:endnoteReference w:id="4"/>
      </w:r>
      <w:r w:rsidR="00655966" w:rsidRPr="00840508">
        <w:t xml:space="preserve"> </w:t>
      </w:r>
      <w:r w:rsidR="00AC5366">
        <w:t>My analysis</w:t>
      </w:r>
      <w:r w:rsidR="00821971">
        <w:t xml:space="preserve"> here</w:t>
      </w:r>
      <w:r w:rsidR="00AC5366">
        <w:t xml:space="preserve"> aims to provide</w:t>
      </w:r>
      <w:r w:rsidR="005050EB" w:rsidRPr="00941517">
        <w:t xml:space="preserve"> a more concrete understanding of the spaces </w:t>
      </w:r>
      <w:r w:rsidR="00821971">
        <w:t xml:space="preserve">where </w:t>
      </w:r>
      <w:r w:rsidR="00547298" w:rsidRPr="008C7195">
        <w:t>women intellectuals</w:t>
      </w:r>
      <w:r w:rsidR="005050EB" w:rsidRPr="008C7195">
        <w:t xml:space="preserve"> </w:t>
      </w:r>
      <w:r w:rsidR="001F565F" w:rsidRPr="008C7195">
        <w:t>did</w:t>
      </w:r>
      <w:r w:rsidR="005050EB" w:rsidRPr="008C7195">
        <w:t xml:space="preserve"> and </w:t>
      </w:r>
      <w:r w:rsidR="001F565F" w:rsidRPr="008C7195">
        <w:t>did</w:t>
      </w:r>
      <w:r w:rsidR="005050EB" w:rsidRPr="008C7195">
        <w:t xml:space="preserve"> not </w:t>
      </w:r>
      <w:r w:rsidR="00821971">
        <w:t>appear and the constraints on wh</w:t>
      </w:r>
      <w:r w:rsidR="002C282D">
        <w:t>at they could and could not do in them</w:t>
      </w:r>
      <w:r w:rsidR="00821971">
        <w:t xml:space="preserve"> </w:t>
      </w:r>
      <w:r w:rsidR="0059151C">
        <w:t>as they pursued scientific and other forms of improvement</w:t>
      </w:r>
      <w:r w:rsidR="002C282D">
        <w:t>.</w:t>
      </w:r>
    </w:p>
    <w:p w14:paraId="46B80C9F" w14:textId="77777777" w:rsidR="00F21E86" w:rsidRPr="008C7195" w:rsidRDefault="00E00623" w:rsidP="00F13543">
      <w:pPr>
        <w:spacing w:line="480" w:lineRule="auto"/>
        <w:jc w:val="both"/>
      </w:pPr>
      <w:r w:rsidRPr="008C7195">
        <w:tab/>
      </w:r>
    </w:p>
    <w:p w14:paraId="3BA335EA" w14:textId="491F1C8B" w:rsidR="00F21E86" w:rsidRPr="008C7195" w:rsidRDefault="00F21E86" w:rsidP="00F13543">
      <w:pPr>
        <w:spacing w:line="480" w:lineRule="auto"/>
        <w:jc w:val="both"/>
        <w:outlineLvl w:val="0"/>
      </w:pPr>
      <w:r w:rsidRPr="008C7195">
        <w:t>I</w:t>
      </w:r>
    </w:p>
    <w:p w14:paraId="4A990767" w14:textId="18D6B04C" w:rsidR="004E513B" w:rsidRPr="008C7195" w:rsidRDefault="00E00623" w:rsidP="00F13543">
      <w:pPr>
        <w:spacing w:line="480" w:lineRule="auto"/>
        <w:jc w:val="both"/>
      </w:pPr>
      <w:r w:rsidRPr="008C7195">
        <w:t xml:space="preserve">The transpennine </w:t>
      </w:r>
      <w:r w:rsidR="00EA53E8" w:rsidRPr="008C7195">
        <w:t>E</w:t>
      </w:r>
      <w:r w:rsidRPr="008C7195">
        <w:t xml:space="preserve">nlightenment was </w:t>
      </w:r>
      <w:r w:rsidR="00AC0CE2" w:rsidRPr="008C7195">
        <w:t xml:space="preserve">heavily dependent on networks of improvement structured by business, kinship, and religious ties across the expanding commercial and </w:t>
      </w:r>
      <w:r w:rsidR="00963EF4" w:rsidRPr="008C7195">
        <w:t xml:space="preserve">manufacturing </w:t>
      </w:r>
      <w:r w:rsidR="00923BFD">
        <w:t>towns</w:t>
      </w:r>
      <w:r w:rsidR="00923BFD" w:rsidRPr="008C7195">
        <w:t xml:space="preserve"> </w:t>
      </w:r>
      <w:r w:rsidR="001D045E" w:rsidRPr="008C7195">
        <w:t xml:space="preserve">of </w:t>
      </w:r>
      <w:r w:rsidR="00923BFD">
        <w:t>Britain</w:t>
      </w:r>
      <w:r w:rsidR="00620A20" w:rsidRPr="008C7195">
        <w:t xml:space="preserve">. </w:t>
      </w:r>
      <w:r w:rsidR="0097619F" w:rsidRPr="008C7195">
        <w:t xml:space="preserve">Although they aspired to a civic role that transcended sectarian differences, most of the key </w:t>
      </w:r>
      <w:r w:rsidR="00164D71" w:rsidRPr="008C7195">
        <w:t xml:space="preserve">figures </w:t>
      </w:r>
      <w:r w:rsidR="00224A21" w:rsidRPr="008C7195">
        <w:t xml:space="preserve">and office holders </w:t>
      </w:r>
      <w:r w:rsidR="0097619F" w:rsidRPr="008C7195">
        <w:t>at the Manchester society</w:t>
      </w:r>
      <w:r w:rsidR="00BF4531" w:rsidRPr="008C7195">
        <w:t>, for instance,</w:t>
      </w:r>
      <w:r w:rsidR="0097619F" w:rsidRPr="008C7195">
        <w:t xml:space="preserve"> were drawn from the congregations</w:t>
      </w:r>
      <w:r w:rsidR="00AF7475" w:rsidRPr="008C7195">
        <w:t xml:space="preserve"> of Dissenters</w:t>
      </w:r>
      <w:r w:rsidR="0097619F" w:rsidRPr="008C7195">
        <w:t>.</w:t>
      </w:r>
      <w:r w:rsidR="0097619F" w:rsidRPr="008C7195">
        <w:rPr>
          <w:rStyle w:val="EndnoteReference"/>
        </w:rPr>
        <w:endnoteReference w:id="5"/>
      </w:r>
      <w:r w:rsidR="0097619F" w:rsidRPr="008C7195">
        <w:t xml:space="preserve"> </w:t>
      </w:r>
      <w:r w:rsidR="00AC0CE2" w:rsidRPr="00840508">
        <w:t xml:space="preserve">The Manchester and </w:t>
      </w:r>
      <w:r w:rsidR="008E48A0">
        <w:t xml:space="preserve">the </w:t>
      </w:r>
      <w:r w:rsidR="00AC0CE2" w:rsidRPr="00840508">
        <w:t>Newcastle Literary and Philosophical Societies might be viewed as hubs in these networks, or as</w:t>
      </w:r>
      <w:r w:rsidR="004E513B" w:rsidRPr="00840508">
        <w:t xml:space="preserve"> emergent</w:t>
      </w:r>
      <w:r w:rsidR="00AC0CE2" w:rsidRPr="00384599">
        <w:t xml:space="preserve"> institutions that were expressing a desire </w:t>
      </w:r>
      <w:r w:rsidR="002A0C4C" w:rsidRPr="00384599">
        <w:t xml:space="preserve">for </w:t>
      </w:r>
      <w:r w:rsidR="00AC0CE2" w:rsidRPr="00384599">
        <w:t>civic involvement among the newly</w:t>
      </w:r>
      <w:r w:rsidR="00AC0CE2" w:rsidRPr="009E06A6">
        <w:t xml:space="preserve"> confident </w:t>
      </w:r>
      <w:r w:rsidR="00321287" w:rsidRPr="00941517">
        <w:t xml:space="preserve">middle </w:t>
      </w:r>
      <w:r w:rsidR="00AC0CE2" w:rsidRPr="00941517">
        <w:t>classes</w:t>
      </w:r>
      <w:r w:rsidR="002A0C4C" w:rsidRPr="008C7195">
        <w:t xml:space="preserve"> where they were excluded from political representation and local government</w:t>
      </w:r>
      <w:r w:rsidR="00AC0CE2" w:rsidRPr="008C7195">
        <w:t xml:space="preserve">. </w:t>
      </w:r>
      <w:r w:rsidR="006B2035" w:rsidRPr="008C7195">
        <w:t xml:space="preserve">They </w:t>
      </w:r>
      <w:r w:rsidR="00AC0CE2" w:rsidRPr="008C7195">
        <w:t>celebrated the free circulation of knowledge</w:t>
      </w:r>
      <w:r w:rsidR="002A0C4C" w:rsidRPr="008C7195">
        <w:t>,</w:t>
      </w:r>
      <w:r w:rsidR="00AC0CE2" w:rsidRPr="008C7195">
        <w:t xml:space="preserve"> but were not without internal conflict</w:t>
      </w:r>
      <w:r w:rsidR="00224A21" w:rsidRPr="008C7195">
        <w:t xml:space="preserve">, for instance, when Anglican </w:t>
      </w:r>
      <w:r w:rsidR="006B2035" w:rsidRPr="008C7195">
        <w:t>fears</w:t>
      </w:r>
      <w:r w:rsidR="00224A21" w:rsidRPr="008C7195">
        <w:t xml:space="preserve"> </w:t>
      </w:r>
      <w:r w:rsidR="006629E2" w:rsidRPr="008C7195">
        <w:t xml:space="preserve">about </w:t>
      </w:r>
      <w:r w:rsidR="00BF4531" w:rsidRPr="008C7195">
        <w:t xml:space="preserve">the Manchester </w:t>
      </w:r>
      <w:r w:rsidR="006629E2" w:rsidRPr="008C7195">
        <w:t>S</w:t>
      </w:r>
      <w:r w:rsidR="00BF4531" w:rsidRPr="008C7195">
        <w:t>ociety</w:t>
      </w:r>
      <w:r w:rsidR="001B7A8C">
        <w:t xml:space="preserve"> being too</w:t>
      </w:r>
      <w:r w:rsidR="00BF4531" w:rsidRPr="008C7195">
        <w:t xml:space="preserve"> </w:t>
      </w:r>
      <w:r w:rsidR="00224A21" w:rsidRPr="008C7195">
        <w:t>close</w:t>
      </w:r>
      <w:r w:rsidR="001B7A8C">
        <w:t>ly</w:t>
      </w:r>
      <w:r w:rsidR="00224A21" w:rsidRPr="008C7195">
        <w:t xml:space="preserve"> </w:t>
      </w:r>
      <w:r w:rsidR="00224A21" w:rsidRPr="008C7195">
        <w:lastRenderedPageBreak/>
        <w:t>associat</w:t>
      </w:r>
      <w:r w:rsidR="001B7A8C">
        <w:t>ed</w:t>
      </w:r>
      <w:r w:rsidR="00224A21" w:rsidRPr="008C7195">
        <w:t xml:space="preserve"> with Dissent</w:t>
      </w:r>
      <w:r w:rsidR="006B2035" w:rsidRPr="008C7195">
        <w:t xml:space="preserve"> brought a </w:t>
      </w:r>
      <w:r w:rsidR="009741AC" w:rsidRPr="008C7195">
        <w:t xml:space="preserve">series </w:t>
      </w:r>
      <w:r w:rsidR="006B2035" w:rsidRPr="008C7195">
        <w:t>of resignations</w:t>
      </w:r>
      <w:r w:rsidR="00AC0CE2" w:rsidRPr="008C7195">
        <w:t>.</w:t>
      </w:r>
      <w:r w:rsidR="006B2035" w:rsidRPr="008C7195">
        <w:rPr>
          <w:rStyle w:val="EndnoteReference"/>
        </w:rPr>
        <w:endnoteReference w:id="6"/>
      </w:r>
      <w:r w:rsidR="00AC0CE2" w:rsidRPr="008C7195">
        <w:t xml:space="preserve"> </w:t>
      </w:r>
      <w:r w:rsidR="00224A21" w:rsidRPr="008C7195">
        <w:t>For their part, scientific</w:t>
      </w:r>
      <w:r w:rsidR="00BF4531" w:rsidRPr="00840508">
        <w:t>ally</w:t>
      </w:r>
      <w:r w:rsidR="006629E2" w:rsidRPr="00384599">
        <w:t xml:space="preserve"> </w:t>
      </w:r>
      <w:r w:rsidR="00BF4531" w:rsidRPr="00384599">
        <w:t>minded</w:t>
      </w:r>
      <w:r w:rsidR="00224A21" w:rsidRPr="00384599">
        <w:t xml:space="preserve"> Dissenters </w:t>
      </w:r>
      <w:r w:rsidR="00AC0CE2" w:rsidRPr="00384599">
        <w:t xml:space="preserve">often </w:t>
      </w:r>
      <w:r w:rsidR="00BF4531" w:rsidRPr="009E06A6">
        <w:t xml:space="preserve">sought </w:t>
      </w:r>
      <w:r w:rsidR="00AF7475" w:rsidRPr="00941517">
        <w:t xml:space="preserve">affirmation </w:t>
      </w:r>
      <w:r w:rsidR="008E48A0">
        <w:t>from</w:t>
      </w:r>
      <w:r w:rsidR="002A0C4C" w:rsidRPr="008C7195">
        <w:t xml:space="preserve"> </w:t>
      </w:r>
      <w:r w:rsidR="008E48A0">
        <w:t>t</w:t>
      </w:r>
      <w:r w:rsidR="00AC0CE2" w:rsidRPr="008C7195">
        <w:t>h</w:t>
      </w:r>
      <w:r w:rsidR="002A0C4C" w:rsidRPr="008C7195">
        <w:t>e</w:t>
      </w:r>
      <w:r w:rsidR="00AC0CE2" w:rsidRPr="008C7195">
        <w:t xml:space="preserve"> Royal Society</w:t>
      </w:r>
      <w:r w:rsidR="008E48A0">
        <w:t xml:space="preserve"> and other centres of metropolitan authority</w:t>
      </w:r>
      <w:r w:rsidR="00AC0CE2" w:rsidRPr="008C7195">
        <w:t xml:space="preserve">, </w:t>
      </w:r>
      <w:r w:rsidR="006B2035" w:rsidRPr="008C7195">
        <w:t xml:space="preserve">but remained </w:t>
      </w:r>
      <w:r w:rsidR="00AC0CE2" w:rsidRPr="008C7195">
        <w:t xml:space="preserve">suspicious of their </w:t>
      </w:r>
      <w:r w:rsidR="002A0C4C" w:rsidRPr="008C7195">
        <w:t>hier</w:t>
      </w:r>
      <w:r w:rsidR="00606AA4" w:rsidRPr="008C7195">
        <w:t>ar</w:t>
      </w:r>
      <w:r w:rsidR="002A0C4C" w:rsidRPr="008C7195">
        <w:t>chical</w:t>
      </w:r>
      <w:r w:rsidR="00AC0CE2" w:rsidRPr="008C7195">
        <w:t xml:space="preserve"> structures and deference to </w:t>
      </w:r>
      <w:r w:rsidR="008E48A0">
        <w:t>aristocratic</w:t>
      </w:r>
      <w:r w:rsidR="00AC0CE2" w:rsidRPr="008C7195">
        <w:t xml:space="preserve"> </w:t>
      </w:r>
      <w:r w:rsidR="004070D7" w:rsidRPr="008C7195">
        <w:t>patronage</w:t>
      </w:r>
      <w:r w:rsidR="00AC0CE2" w:rsidRPr="008C7195">
        <w:t>.</w:t>
      </w:r>
      <w:r w:rsidR="002A0C4C" w:rsidRPr="008C7195">
        <w:rPr>
          <w:rStyle w:val="EndnoteReference"/>
        </w:rPr>
        <w:endnoteReference w:id="7"/>
      </w:r>
      <w:r w:rsidR="004E513B" w:rsidRPr="008C7195">
        <w:t xml:space="preserve"> </w:t>
      </w:r>
      <w:r w:rsidR="0049348D" w:rsidRPr="00384599">
        <w:t>John Aikin</w:t>
      </w:r>
      <w:r w:rsidR="004E513B" w:rsidRPr="00384599">
        <w:t xml:space="preserve"> junior</w:t>
      </w:r>
      <w:r w:rsidR="0049348D" w:rsidRPr="00384599">
        <w:t>’s</w:t>
      </w:r>
      <w:r w:rsidR="004E513B" w:rsidRPr="009E06A6">
        <w:t xml:space="preserve"> celebratory </w:t>
      </w:r>
      <w:r w:rsidR="004E513B" w:rsidRPr="00941517">
        <w:rPr>
          <w:i/>
        </w:rPr>
        <w:t>Description of the Land for Thirty or Forty Miles around Manchester</w:t>
      </w:r>
      <w:r w:rsidR="004E513B" w:rsidRPr="00941517">
        <w:t xml:space="preserve"> (1795)</w:t>
      </w:r>
      <w:r w:rsidR="0049348D" w:rsidRPr="008C7195">
        <w:t xml:space="preserve"> </w:t>
      </w:r>
      <w:r w:rsidR="00AC0CE2" w:rsidRPr="008C7195">
        <w:t xml:space="preserve">suggested </w:t>
      </w:r>
      <w:r w:rsidR="004417BC" w:rsidRPr="008C7195">
        <w:t>that</w:t>
      </w:r>
      <w:r w:rsidR="00AC0CE2" w:rsidRPr="008C7195">
        <w:t xml:space="preserve"> the fact </w:t>
      </w:r>
      <w:r w:rsidR="00224A21" w:rsidRPr="008C7195">
        <w:t xml:space="preserve">it </w:t>
      </w:r>
      <w:r w:rsidR="00AC0CE2" w:rsidRPr="008C7195">
        <w:t xml:space="preserve">was </w:t>
      </w:r>
      <w:r w:rsidR="00970FE0" w:rsidRPr="00AC5366">
        <w:t>‘</w:t>
      </w:r>
      <w:r w:rsidR="004417BC" w:rsidRPr="00AC5366">
        <w:t xml:space="preserve">an open town, destitute </w:t>
      </w:r>
      <w:r w:rsidR="006629E2" w:rsidRPr="008C7195">
        <w:t>[</w:t>
      </w:r>
      <w:r w:rsidR="004417BC" w:rsidRPr="00AC5366">
        <w:t>…</w:t>
      </w:r>
      <w:r w:rsidR="006629E2" w:rsidRPr="008C7195">
        <w:t>]</w:t>
      </w:r>
      <w:r w:rsidR="004417BC" w:rsidRPr="00AC5366">
        <w:t xml:space="preserve"> of a corporation, and unrepresented in parliament</w:t>
      </w:r>
      <w:r w:rsidR="00970FE0" w:rsidRPr="00AC5366">
        <w:t>’</w:t>
      </w:r>
      <w:r w:rsidR="004417BC" w:rsidRPr="00AC5366">
        <w:t xml:space="preserve"> was </w:t>
      </w:r>
      <w:r w:rsidR="00970FE0" w:rsidRPr="00AC5366">
        <w:t>‘</w:t>
      </w:r>
      <w:r w:rsidR="004417BC" w:rsidRPr="00AC5366">
        <w:t>probably to its advantage</w:t>
      </w:r>
      <w:r w:rsidR="00970FE0" w:rsidRPr="005818F8">
        <w:t>’</w:t>
      </w:r>
      <w:r w:rsidR="006629E2" w:rsidRPr="008C7195">
        <w:t>.</w:t>
      </w:r>
      <w:r w:rsidR="004417BC" w:rsidRPr="008C7195">
        <w:rPr>
          <w:rStyle w:val="EndnoteReference"/>
        </w:rPr>
        <w:endnoteReference w:id="8"/>
      </w:r>
      <w:r w:rsidR="00AC0CE2" w:rsidRPr="008C7195">
        <w:t xml:space="preserve"> </w:t>
      </w:r>
      <w:r w:rsidR="005818F8">
        <w:t xml:space="preserve">From this perspective, the old hierarchies were prospective </w:t>
      </w:r>
      <w:r w:rsidR="00C162BE">
        <w:t>obstructions</w:t>
      </w:r>
      <w:r w:rsidR="005818F8">
        <w:t xml:space="preserve"> to the free circulation of goods and ideas.</w:t>
      </w:r>
    </w:p>
    <w:p w14:paraId="72B49D37" w14:textId="1BFB2EE6" w:rsidR="00A139B5" w:rsidRDefault="00606AA4" w:rsidP="00F13543">
      <w:pPr>
        <w:spacing w:line="480" w:lineRule="auto"/>
        <w:ind w:firstLine="567"/>
        <w:jc w:val="both"/>
      </w:pPr>
      <w:r w:rsidRPr="00840508">
        <w:t xml:space="preserve">The role </w:t>
      </w:r>
      <w:r w:rsidR="00D85213" w:rsidRPr="00840508">
        <w:t xml:space="preserve">of the societies </w:t>
      </w:r>
      <w:r w:rsidR="006E44CD" w:rsidRPr="00384599">
        <w:t xml:space="preserve">in developing the relationship between science and technology has been </w:t>
      </w:r>
      <w:r w:rsidR="002D67D7" w:rsidRPr="00384599">
        <w:t xml:space="preserve">regularly discussed by historians of </w:t>
      </w:r>
      <w:r w:rsidR="00970FE0" w:rsidRPr="00941517">
        <w:t>‘</w:t>
      </w:r>
      <w:r w:rsidR="00FC2AE7" w:rsidRPr="00941517">
        <w:t xml:space="preserve">provincial </w:t>
      </w:r>
      <w:r w:rsidR="002D67D7" w:rsidRPr="008C7195">
        <w:t>science</w:t>
      </w:r>
      <w:r w:rsidR="00970FE0" w:rsidRPr="008C7195">
        <w:t>’</w:t>
      </w:r>
      <w:r w:rsidR="00BF4531" w:rsidRPr="008C7195">
        <w:t>.</w:t>
      </w:r>
      <w:r w:rsidR="006E44CD" w:rsidRPr="008C7195">
        <w:t xml:space="preserve"> </w:t>
      </w:r>
      <w:r w:rsidR="00BF4531" w:rsidRPr="008C7195">
        <w:t>M</w:t>
      </w:r>
      <w:r w:rsidRPr="008C7195">
        <w:t>ore recently, Marg</w:t>
      </w:r>
      <w:r w:rsidR="006E1E94" w:rsidRPr="008C7195">
        <w:t>a</w:t>
      </w:r>
      <w:r w:rsidRPr="008C7195">
        <w:t xml:space="preserve">ret Jacob and Joel Mokyr </w:t>
      </w:r>
      <w:r w:rsidR="00BF4531" w:rsidRPr="008C7195">
        <w:t>have seen</w:t>
      </w:r>
      <w:r w:rsidRPr="008C7195">
        <w:t xml:space="preserve"> </w:t>
      </w:r>
      <w:r w:rsidR="008E48A0" w:rsidRPr="008C7195">
        <w:t>t</w:t>
      </w:r>
      <w:r w:rsidR="008E48A0">
        <w:t>he societies</w:t>
      </w:r>
      <w:r w:rsidR="008E48A0" w:rsidRPr="008C7195">
        <w:t xml:space="preserve"> </w:t>
      </w:r>
      <w:r w:rsidRPr="008C7195">
        <w:t>as playing a key role in</w:t>
      </w:r>
      <w:r w:rsidR="00BF4531" w:rsidRPr="008C7195">
        <w:t xml:space="preserve"> the emergence of</w:t>
      </w:r>
      <w:r w:rsidRPr="008C7195">
        <w:t xml:space="preserve"> </w:t>
      </w:r>
      <w:r w:rsidR="00970FE0" w:rsidRPr="008C7195">
        <w:t>‘</w:t>
      </w:r>
      <w:r w:rsidRPr="008C7195">
        <w:t>the first knowledge economy.</w:t>
      </w:r>
      <w:r w:rsidR="00970FE0" w:rsidRPr="008C7195">
        <w:t>’</w:t>
      </w:r>
      <w:r w:rsidR="006E1E94" w:rsidRPr="008C7195">
        <w:rPr>
          <w:rStyle w:val="EndnoteReference"/>
        </w:rPr>
        <w:endnoteReference w:id="9"/>
      </w:r>
      <w:r w:rsidRPr="008C7195">
        <w:t xml:space="preserve"> Despite </w:t>
      </w:r>
      <w:r w:rsidR="00D85213" w:rsidRPr="008C7195">
        <w:t>the</w:t>
      </w:r>
      <w:r w:rsidR="006629E2" w:rsidRPr="00840508">
        <w:t xml:space="preserve"> titular connection</w:t>
      </w:r>
      <w:r w:rsidRPr="00384599">
        <w:t xml:space="preserve">, literary scholars have not shown much interest in </w:t>
      </w:r>
      <w:r w:rsidR="008E48A0">
        <w:t>them</w:t>
      </w:r>
      <w:r w:rsidRPr="00941517">
        <w:t xml:space="preserve">, </w:t>
      </w:r>
      <w:r w:rsidR="006629E2" w:rsidRPr="008C7195">
        <w:t xml:space="preserve">even though these associations </w:t>
      </w:r>
      <w:r w:rsidR="00F241CA" w:rsidRPr="008C7195">
        <w:t>were committed to the</w:t>
      </w:r>
      <w:r w:rsidRPr="008C7195">
        <w:t xml:space="preserve"> role of the arts in developing the social virtues </w:t>
      </w:r>
      <w:r w:rsidR="00F241CA" w:rsidRPr="008C7195">
        <w:t xml:space="preserve">in </w:t>
      </w:r>
      <w:r w:rsidRPr="008C7195">
        <w:t>the new manufacturing towns, and</w:t>
      </w:r>
      <w:r w:rsidR="00A139B5">
        <w:t xml:space="preserve"> showed</w:t>
      </w:r>
      <w:r w:rsidRPr="008C7195">
        <w:t xml:space="preserve"> a related concern with medico-literary ideas of taste, imagination, and genius </w:t>
      </w:r>
      <w:r w:rsidR="00321287" w:rsidRPr="008C7195">
        <w:t>in dialogue with</w:t>
      </w:r>
      <w:r w:rsidRPr="008C7195">
        <w:t xml:space="preserve"> </w:t>
      </w:r>
      <w:r w:rsidR="00321287" w:rsidRPr="008C7195">
        <w:t>the period’s emergent notion</w:t>
      </w:r>
      <w:r w:rsidRPr="008C7195">
        <w:t xml:space="preserve"> of</w:t>
      </w:r>
      <w:r w:rsidR="00655966" w:rsidRPr="008C7195">
        <w:t xml:space="preserve"> </w:t>
      </w:r>
      <w:r w:rsidR="00715CF9" w:rsidRPr="008C7195">
        <w:t>a</w:t>
      </w:r>
      <w:r w:rsidRPr="008C7195">
        <w:t xml:space="preserve"> science of the mind.</w:t>
      </w:r>
      <w:r w:rsidR="00321287" w:rsidRPr="008C7195">
        <w:t xml:space="preserve"> The</w:t>
      </w:r>
      <w:r w:rsidR="00D85213" w:rsidRPr="008C7195">
        <w:t xml:space="preserve"> </w:t>
      </w:r>
      <w:r w:rsidRPr="008C7195">
        <w:t>broadly materialist nature of the literary interests of these groups put</w:t>
      </w:r>
      <w:r w:rsidR="00F241CA" w:rsidRPr="008C7195">
        <w:t>s</w:t>
      </w:r>
      <w:r w:rsidRPr="008C7195">
        <w:t xml:space="preserve"> them at odds with emergent </w:t>
      </w:r>
      <w:r w:rsidR="00970FE0" w:rsidRPr="008C7195">
        <w:t>‘</w:t>
      </w:r>
      <w:r w:rsidR="00321287" w:rsidRPr="008C7195">
        <w:t>romantic</w:t>
      </w:r>
      <w:r w:rsidR="00970FE0" w:rsidRPr="008C7195">
        <w:t>’</w:t>
      </w:r>
      <w:r w:rsidR="00321287" w:rsidRPr="008C7195">
        <w:t xml:space="preserve"> </w:t>
      </w:r>
      <w:r w:rsidRPr="008C7195">
        <w:t xml:space="preserve">definitions of genius and imagination </w:t>
      </w:r>
      <w:r w:rsidR="00B90827" w:rsidRPr="008C7195">
        <w:t>found, for instance, in Thomas</w:t>
      </w:r>
      <w:r w:rsidR="006E44CD" w:rsidRPr="008C7195">
        <w:t xml:space="preserve"> </w:t>
      </w:r>
      <w:r w:rsidR="005D686B" w:rsidRPr="008C7195">
        <w:t>De Quincey</w:t>
      </w:r>
      <w:r w:rsidR="00BF4531" w:rsidRPr="008C7195">
        <w:t>’s</w:t>
      </w:r>
      <w:r w:rsidR="005D686B" w:rsidRPr="008C7195">
        <w:t xml:space="preserve"> </w:t>
      </w:r>
      <w:r w:rsidR="00B90827" w:rsidRPr="008C7195">
        <w:t xml:space="preserve">distinction between </w:t>
      </w:r>
      <w:r w:rsidR="00970FE0" w:rsidRPr="008C7195">
        <w:t>‘</w:t>
      </w:r>
      <w:r w:rsidR="00B90827" w:rsidRPr="008C7195">
        <w:t>the literature of power</w:t>
      </w:r>
      <w:r w:rsidR="00970FE0" w:rsidRPr="008C7195">
        <w:t>’</w:t>
      </w:r>
      <w:r w:rsidR="00B90827" w:rsidRPr="008C7195">
        <w:t xml:space="preserve"> and</w:t>
      </w:r>
      <w:r w:rsidR="00970FE0" w:rsidRPr="008C7195">
        <w:t xml:space="preserve"> ‘</w:t>
      </w:r>
      <w:r w:rsidR="00B90827" w:rsidRPr="008C7195">
        <w:t>the literature of knowledge</w:t>
      </w:r>
      <w:r w:rsidR="00970FE0" w:rsidRPr="008C7195">
        <w:t>’</w:t>
      </w:r>
      <w:r w:rsidRPr="008C7195">
        <w:t>.</w:t>
      </w:r>
      <w:r w:rsidR="007A205C" w:rsidRPr="008C7195">
        <w:rPr>
          <w:rStyle w:val="EndnoteReference"/>
        </w:rPr>
        <w:endnoteReference w:id="10"/>
      </w:r>
      <w:r w:rsidRPr="008C7195">
        <w:t xml:space="preserve"> Intriguingly, De Quincey came from Manchester</w:t>
      </w:r>
      <w:r w:rsidR="00A139B5">
        <w:t>. His</w:t>
      </w:r>
      <w:r w:rsidRPr="00384599">
        <w:t xml:space="preserve"> family physician was Thomas Percival, founder of the </w:t>
      </w:r>
      <w:r w:rsidR="006B5FFC" w:rsidRPr="009E06A6">
        <w:t>L</w:t>
      </w:r>
      <w:r w:rsidRPr="00941517">
        <w:t xml:space="preserve">iterary and </w:t>
      </w:r>
      <w:r w:rsidR="006B5FFC" w:rsidRPr="00941517">
        <w:t>P</w:t>
      </w:r>
      <w:r w:rsidRPr="00941517">
        <w:t xml:space="preserve">hilosophical </w:t>
      </w:r>
      <w:r w:rsidR="006B5FFC" w:rsidRPr="00941517">
        <w:t>S</w:t>
      </w:r>
      <w:r w:rsidRPr="00941517">
        <w:t>ociety</w:t>
      </w:r>
      <w:r w:rsidR="005D686B" w:rsidRPr="00941517">
        <w:t xml:space="preserve">. </w:t>
      </w:r>
    </w:p>
    <w:p w14:paraId="0361CE41" w14:textId="07FD7FAD" w:rsidR="005D686B" w:rsidRPr="008C7195" w:rsidRDefault="006B5FFC" w:rsidP="00F13543">
      <w:pPr>
        <w:spacing w:line="480" w:lineRule="auto"/>
        <w:ind w:firstLine="567"/>
        <w:jc w:val="both"/>
      </w:pPr>
      <w:r w:rsidRPr="00941517">
        <w:lastRenderedPageBreak/>
        <w:t xml:space="preserve">Percival’s </w:t>
      </w:r>
      <w:r w:rsidR="000125B2" w:rsidRPr="00941517">
        <w:t xml:space="preserve">literary and medical </w:t>
      </w:r>
      <w:r w:rsidR="00C45795" w:rsidRPr="00941517">
        <w:t xml:space="preserve">networks </w:t>
      </w:r>
      <w:r w:rsidRPr="00941517">
        <w:t xml:space="preserve">were international, but he was closely tied </w:t>
      </w:r>
      <w:r w:rsidR="000125B2" w:rsidRPr="008C7195">
        <w:t>to circles of</w:t>
      </w:r>
      <w:r w:rsidRPr="008C7195">
        <w:t xml:space="preserve"> Dissenters</w:t>
      </w:r>
      <w:r w:rsidR="00091F7C" w:rsidRPr="008C7195">
        <w:t xml:space="preserve"> in Liverpool</w:t>
      </w:r>
      <w:r w:rsidRPr="008C7195">
        <w:t xml:space="preserve"> that included</w:t>
      </w:r>
      <w:r w:rsidR="00C45795" w:rsidRPr="008C7195">
        <w:t xml:space="preserve"> </w:t>
      </w:r>
      <w:r w:rsidRPr="008C7195">
        <w:t xml:space="preserve">the </w:t>
      </w:r>
      <w:r w:rsidR="00C45795" w:rsidRPr="008C7195">
        <w:t>poet and banker William Roscoe and physician James Currie</w:t>
      </w:r>
      <w:r w:rsidRPr="008C7195">
        <w:t>, both of whom he</w:t>
      </w:r>
      <w:r w:rsidR="00C45795" w:rsidRPr="008C7195">
        <w:t xml:space="preserve"> recruited as members</w:t>
      </w:r>
      <w:r w:rsidRPr="008C7195">
        <w:t xml:space="preserve"> of the society at Manchester</w:t>
      </w:r>
      <w:r w:rsidR="00C45795" w:rsidRPr="008C7195">
        <w:t xml:space="preserve">. </w:t>
      </w:r>
      <w:r w:rsidR="00606AA4" w:rsidRPr="008C7195">
        <w:t xml:space="preserve">De Quincey more than once used </w:t>
      </w:r>
      <w:r w:rsidRPr="008C7195">
        <w:t xml:space="preserve">Percival and the Roscoe circle as </w:t>
      </w:r>
      <w:r w:rsidR="008872AF" w:rsidRPr="008C7195">
        <w:t xml:space="preserve">comic </w:t>
      </w:r>
      <w:r w:rsidRPr="008C7195">
        <w:t>foil</w:t>
      </w:r>
      <w:r w:rsidR="008872AF" w:rsidRPr="008C7195">
        <w:t>s</w:t>
      </w:r>
      <w:r w:rsidR="00321287" w:rsidRPr="008C7195">
        <w:t xml:space="preserve"> in his autobiographical writings</w:t>
      </w:r>
      <w:r w:rsidR="00855FE3" w:rsidRPr="008C7195">
        <w:t>.</w:t>
      </w:r>
      <w:r w:rsidR="008872AF" w:rsidRPr="008C7195">
        <w:rPr>
          <w:rStyle w:val="EndnoteReference"/>
        </w:rPr>
        <w:endnoteReference w:id="11"/>
      </w:r>
      <w:r w:rsidR="00606AA4" w:rsidRPr="008C7195">
        <w:t xml:space="preserve"> </w:t>
      </w:r>
      <w:r w:rsidRPr="008C7195">
        <w:t>His</w:t>
      </w:r>
      <w:r w:rsidR="00321287" w:rsidRPr="00840508">
        <w:t xml:space="preserve"> family connections</w:t>
      </w:r>
      <w:r w:rsidRPr="00840508">
        <w:t xml:space="preserve"> extended to </w:t>
      </w:r>
      <w:r w:rsidR="001D166F" w:rsidRPr="00384599">
        <w:t>a trip</w:t>
      </w:r>
      <w:r w:rsidR="00321287" w:rsidRPr="00384599">
        <w:t xml:space="preserve"> he took as a youth with his </w:t>
      </w:r>
      <w:r w:rsidR="00C45795" w:rsidRPr="009E06A6">
        <w:t>mother to</w:t>
      </w:r>
      <w:r w:rsidR="006325BC" w:rsidRPr="00941517">
        <w:t xml:space="preserve"> </w:t>
      </w:r>
      <w:r w:rsidR="00E954E5" w:rsidRPr="00941517">
        <w:t>Everton</w:t>
      </w:r>
      <w:r w:rsidR="008872AF" w:rsidRPr="00941517">
        <w:t xml:space="preserve"> in 1801</w:t>
      </w:r>
      <w:r w:rsidR="00C45795" w:rsidRPr="00941517">
        <w:t>, then a village outside Liverpool,</w:t>
      </w:r>
      <w:r w:rsidR="00606AA4" w:rsidRPr="00941517">
        <w:t xml:space="preserve"> where </w:t>
      </w:r>
      <w:r w:rsidRPr="00941517">
        <w:t xml:space="preserve">he </w:t>
      </w:r>
      <w:r w:rsidR="00321287" w:rsidRPr="00941517">
        <w:t xml:space="preserve">met Currie, Roscoe, and </w:t>
      </w:r>
      <w:r w:rsidRPr="008C7195">
        <w:t>their friend the pugnacious Unitarian minister William Shepherd</w:t>
      </w:r>
      <w:r w:rsidR="005D686B" w:rsidRPr="008C7195">
        <w:t xml:space="preserve">. </w:t>
      </w:r>
      <w:r w:rsidR="00963EF4" w:rsidRPr="008C7195">
        <w:t xml:space="preserve">Much later, </w:t>
      </w:r>
      <w:r w:rsidR="002436DC" w:rsidRPr="008C7195">
        <w:t xml:space="preserve">in 1837, </w:t>
      </w:r>
      <w:r w:rsidR="00855FE3" w:rsidRPr="008C7195">
        <w:t>De Quincey</w:t>
      </w:r>
      <w:r w:rsidR="00963EF4" w:rsidRPr="008C7195">
        <w:t xml:space="preserve"> </w:t>
      </w:r>
      <w:r w:rsidR="00756365">
        <w:t xml:space="preserve">wrote up </w:t>
      </w:r>
      <w:r w:rsidR="00963EF4" w:rsidRPr="008C7195">
        <w:t>h</w:t>
      </w:r>
      <w:r w:rsidR="005D686B" w:rsidRPr="008C7195">
        <w:t xml:space="preserve">is experience for </w:t>
      </w:r>
      <w:r w:rsidR="005D686B" w:rsidRPr="008C7195">
        <w:rPr>
          <w:i/>
        </w:rPr>
        <w:t>Tait’s Magazine</w:t>
      </w:r>
      <w:r w:rsidR="0074311D" w:rsidRPr="008C7195">
        <w:t xml:space="preserve"> where he introduced the visit as </w:t>
      </w:r>
      <w:r w:rsidR="00970FE0" w:rsidRPr="008C7195">
        <w:t>‘</w:t>
      </w:r>
      <w:r w:rsidR="005D686B" w:rsidRPr="008C7195">
        <w:t>an early opportunity of observing the natural character and tendencies of merely literary society</w:t>
      </w:r>
      <w:r w:rsidR="00970FE0" w:rsidRPr="008C7195">
        <w:t>’</w:t>
      </w:r>
      <w:r w:rsidR="00941517">
        <w:t>.</w:t>
      </w:r>
      <w:r w:rsidR="0074311D" w:rsidRPr="00941517">
        <w:t xml:space="preserve"> He saw in the group </w:t>
      </w:r>
      <w:r w:rsidR="00970FE0" w:rsidRPr="00941517">
        <w:t>‘</w:t>
      </w:r>
      <w:r w:rsidR="005D686B" w:rsidRPr="00941517">
        <w:t>no strong distinctions in power of thinking or in native force of character</w:t>
      </w:r>
      <w:r w:rsidR="00970FE0" w:rsidRPr="00941517">
        <w:t>’</w:t>
      </w:r>
      <w:r w:rsidR="00941517">
        <w:t>.</w:t>
      </w:r>
      <w:r w:rsidR="0074311D" w:rsidRPr="00941517">
        <w:t xml:space="preserve"> </w:t>
      </w:r>
      <w:r w:rsidR="00321287" w:rsidRPr="00941517">
        <w:t xml:space="preserve">They were </w:t>
      </w:r>
      <w:r w:rsidR="00970FE0" w:rsidRPr="008C7195">
        <w:t>‘</w:t>
      </w:r>
      <w:r w:rsidR="005D686B" w:rsidRPr="008C7195">
        <w:t>raised into circles of pretension and mark by the fact of having written a book, or of holding a notorious connexion with some department or other of the periodical press.</w:t>
      </w:r>
      <w:r w:rsidR="00970FE0" w:rsidRPr="008C7195">
        <w:t>’</w:t>
      </w:r>
      <w:r w:rsidR="0074311D" w:rsidRPr="008C7195">
        <w:rPr>
          <w:rStyle w:val="EndnoteReference"/>
        </w:rPr>
        <w:t xml:space="preserve"> </w:t>
      </w:r>
      <w:r w:rsidRPr="008C7195">
        <w:t xml:space="preserve">The implicit purpose of his group portrait was </w:t>
      </w:r>
      <w:r w:rsidR="006D0E51" w:rsidRPr="008C7195">
        <w:t xml:space="preserve">a </w:t>
      </w:r>
      <w:r w:rsidR="00855FE3" w:rsidRPr="008C7195">
        <w:t xml:space="preserve">polemical point about his </w:t>
      </w:r>
      <w:r w:rsidR="008872AF" w:rsidRPr="008C7195">
        <w:t xml:space="preserve">very different idea </w:t>
      </w:r>
      <w:r w:rsidR="00855FE3" w:rsidRPr="008C7195">
        <w:t>of the</w:t>
      </w:r>
      <w:r w:rsidR="006D0E51" w:rsidRPr="008C7195">
        <w:t xml:space="preserve"> </w:t>
      </w:r>
      <w:r w:rsidR="00970FE0" w:rsidRPr="008C7195">
        <w:t>‘</w:t>
      </w:r>
      <w:r w:rsidR="006D0E51" w:rsidRPr="008C7195">
        <w:t>literary</w:t>
      </w:r>
      <w:r w:rsidR="00970FE0" w:rsidRPr="008C7195">
        <w:t>’</w:t>
      </w:r>
      <w:r w:rsidR="006D0E51" w:rsidRPr="008C7195">
        <w:t xml:space="preserve"> as a category</w:t>
      </w:r>
      <w:r w:rsidR="005D686B" w:rsidRPr="008C7195">
        <w:t>:</w:t>
      </w:r>
    </w:p>
    <w:p w14:paraId="5A324FB4" w14:textId="77777777" w:rsidR="005D686B" w:rsidRPr="008C7195" w:rsidRDefault="005D686B" w:rsidP="00F13543">
      <w:pPr>
        <w:spacing w:line="480" w:lineRule="auto"/>
        <w:ind w:left="567"/>
        <w:jc w:val="both"/>
      </w:pPr>
      <w:r w:rsidRPr="008C7195">
        <w:t>to me, who in that year, 1801, already knew a grand renovation of poetic power – of a new birth in poetry, interesting not so much to England, as to the human mind – it was secretly amusing to contrast the little artificial usages of their petty traditional knack with the natural forms of a divine art.</w:t>
      </w:r>
    </w:p>
    <w:p w14:paraId="5728A027" w14:textId="161E241A" w:rsidR="005D686B" w:rsidRPr="008C7195" w:rsidRDefault="005D686B" w:rsidP="00F13543">
      <w:pPr>
        <w:spacing w:line="480" w:lineRule="auto"/>
        <w:jc w:val="both"/>
      </w:pPr>
      <w:r w:rsidRPr="008C7195">
        <w:t xml:space="preserve">The anecdote forms part of </w:t>
      </w:r>
      <w:r w:rsidR="0051512C">
        <w:t>a</w:t>
      </w:r>
      <w:r w:rsidR="0051512C" w:rsidRPr="008C7195">
        <w:t xml:space="preserve"> </w:t>
      </w:r>
      <w:r w:rsidRPr="008C7195">
        <w:t xml:space="preserve">narrative </w:t>
      </w:r>
      <w:r w:rsidR="008C6A6E" w:rsidRPr="008C7195">
        <w:t xml:space="preserve">about </w:t>
      </w:r>
      <w:r w:rsidRPr="008C7195">
        <w:t xml:space="preserve">the emergence of imaginative </w:t>
      </w:r>
      <w:r w:rsidR="00970FE0" w:rsidRPr="008C7195">
        <w:t>‘</w:t>
      </w:r>
      <w:r w:rsidRPr="008C7195">
        <w:t>power</w:t>
      </w:r>
      <w:r w:rsidR="00970FE0" w:rsidRPr="008C7195">
        <w:t>’</w:t>
      </w:r>
      <w:r w:rsidR="00321287" w:rsidRPr="008C7195">
        <w:t xml:space="preserve"> </w:t>
      </w:r>
      <w:r w:rsidR="00AC5366">
        <w:t>identified</w:t>
      </w:r>
      <w:r w:rsidR="00AC5366" w:rsidRPr="008C7195">
        <w:t xml:space="preserve"> </w:t>
      </w:r>
      <w:r w:rsidRPr="008C7195">
        <w:t>with Wordsworth</w:t>
      </w:r>
      <w:r w:rsidR="00C45795" w:rsidRPr="008C7195">
        <w:t>’s poetry</w:t>
      </w:r>
      <w:r w:rsidR="0051512C">
        <w:t xml:space="preserve">. De Quincey defined  ‘the literature of power’ as a category </w:t>
      </w:r>
      <w:r w:rsidRPr="008C7195">
        <w:t xml:space="preserve">against </w:t>
      </w:r>
      <w:r w:rsidR="00970FE0" w:rsidRPr="008C7195">
        <w:t>‘</w:t>
      </w:r>
      <w:r w:rsidRPr="008C7195">
        <w:t>the literature of knowledge</w:t>
      </w:r>
      <w:r w:rsidR="00807EE5">
        <w:t>.</w:t>
      </w:r>
      <w:r w:rsidR="00970FE0" w:rsidRPr="008C7195">
        <w:t>’</w:t>
      </w:r>
      <w:r w:rsidR="00855FE3" w:rsidRPr="008C7195">
        <w:t xml:space="preserve"> </w:t>
      </w:r>
      <w:r w:rsidR="00807EE5">
        <w:t>‘Knowledge,’ for De Quincey,</w:t>
      </w:r>
      <w:r w:rsidR="00091F7C" w:rsidRPr="008C7195">
        <w:t xml:space="preserve"> </w:t>
      </w:r>
      <w:r w:rsidR="00855FE3" w:rsidRPr="008C7195">
        <w:t xml:space="preserve">associated with </w:t>
      </w:r>
      <w:r w:rsidR="00321287" w:rsidRPr="008C7195">
        <w:t>science, technology,</w:t>
      </w:r>
      <w:r w:rsidR="00855FE3" w:rsidRPr="008C7195">
        <w:t xml:space="preserve"> and, above all, James Watt and his steam engine</w:t>
      </w:r>
      <w:r w:rsidR="00A137CC" w:rsidRPr="008C7195">
        <w:t xml:space="preserve">, </w:t>
      </w:r>
      <w:r w:rsidR="00A137CC" w:rsidRPr="008C7195">
        <w:lastRenderedPageBreak/>
        <w:t>crucial agents, of course, in the industrial development of Manchester’s textile industry</w:t>
      </w:r>
      <w:r w:rsidR="00855FE3" w:rsidRPr="008C7195">
        <w:t>.</w:t>
      </w:r>
      <w:r w:rsidR="00F96339" w:rsidRPr="008C7195">
        <w:rPr>
          <w:rStyle w:val="EndnoteReference"/>
        </w:rPr>
        <w:endnoteReference w:id="12"/>
      </w:r>
    </w:p>
    <w:p w14:paraId="468B732C" w14:textId="1FABC45A" w:rsidR="00F21E86" w:rsidRPr="008C7195" w:rsidRDefault="00B903BF" w:rsidP="00F13543">
      <w:pPr>
        <w:spacing w:line="480" w:lineRule="auto"/>
        <w:ind w:firstLine="720"/>
        <w:jc w:val="both"/>
      </w:pPr>
      <w:r w:rsidRPr="00840508">
        <w:t xml:space="preserve">Partial </w:t>
      </w:r>
      <w:r w:rsidR="008B529A" w:rsidRPr="00840508">
        <w:t>as they are</w:t>
      </w:r>
      <w:r w:rsidR="002436DC" w:rsidRPr="00384599">
        <w:t xml:space="preserve">, </w:t>
      </w:r>
      <w:r w:rsidR="00B55A62" w:rsidRPr="00384599">
        <w:t>De Quincey’s</w:t>
      </w:r>
      <w:r w:rsidR="008B529A" w:rsidRPr="00384599">
        <w:t xml:space="preserve"> comments </w:t>
      </w:r>
      <w:r w:rsidR="001D166F" w:rsidRPr="00384599">
        <w:t>help</w:t>
      </w:r>
      <w:r w:rsidR="002436DC" w:rsidRPr="00384599">
        <w:t xml:space="preserve"> to open the question of the situation of women in these circles</w:t>
      </w:r>
      <w:r w:rsidR="005D686B" w:rsidRPr="008C7195">
        <w:t>.</w:t>
      </w:r>
      <w:r w:rsidR="001D045E" w:rsidRPr="0051512C">
        <w:t xml:space="preserve"> </w:t>
      </w:r>
      <w:r w:rsidR="005D686B" w:rsidRPr="008C7195">
        <w:t xml:space="preserve">First, </w:t>
      </w:r>
      <w:r w:rsidR="00B55A62" w:rsidRPr="008C7195">
        <w:t>t</w:t>
      </w:r>
      <w:r w:rsidR="005D686B" w:rsidRPr="00840508">
        <w:t>he Roscoe circle</w:t>
      </w:r>
      <w:r w:rsidR="001D045E" w:rsidRPr="00840508">
        <w:t xml:space="preserve">, especially </w:t>
      </w:r>
      <w:r w:rsidR="001A6386" w:rsidRPr="00384599">
        <w:t xml:space="preserve">its </w:t>
      </w:r>
      <w:r w:rsidR="001D045E" w:rsidRPr="00384599">
        <w:t>female members</w:t>
      </w:r>
      <w:r w:rsidR="002436DC" w:rsidRPr="00384599">
        <w:t>,</w:t>
      </w:r>
      <w:r w:rsidR="001D045E" w:rsidRPr="00384599">
        <w:t xml:space="preserve"> </w:t>
      </w:r>
      <w:r w:rsidR="002436DC" w:rsidRPr="00384599">
        <w:t>as Daniel Sanjiv Roberts has shown</w:t>
      </w:r>
      <w:r w:rsidR="001D045E" w:rsidRPr="00384599">
        <w:t>,</w:t>
      </w:r>
      <w:r w:rsidR="005D686B" w:rsidRPr="00384599">
        <w:t xml:space="preserve"> </w:t>
      </w:r>
      <w:r w:rsidR="002436DC" w:rsidRPr="009E06A6">
        <w:t>were probably</w:t>
      </w:r>
      <w:r w:rsidR="005D686B" w:rsidRPr="00941517">
        <w:t xml:space="preserve"> </w:t>
      </w:r>
      <w:r w:rsidR="00F21E86" w:rsidRPr="008C7195">
        <w:t xml:space="preserve">the </w:t>
      </w:r>
      <w:r w:rsidR="005D686B" w:rsidRPr="008C7195">
        <w:t>source of some of De Quincey’s knowledge of</w:t>
      </w:r>
      <w:r w:rsidR="008B529A" w:rsidRPr="008C7195">
        <w:t xml:space="preserve"> Wordsworth in the first place.</w:t>
      </w:r>
      <w:r w:rsidR="00D85213" w:rsidRPr="008C7195">
        <w:rPr>
          <w:rStyle w:val="EndnoteReference"/>
        </w:rPr>
        <w:endnoteReference w:id="13"/>
      </w:r>
      <w:r w:rsidR="008B529A" w:rsidRPr="008C7195">
        <w:t xml:space="preserve"> T</w:t>
      </w:r>
      <w:r w:rsidR="002436DC" w:rsidRPr="008C7195">
        <w:t xml:space="preserve">he surviving copy of </w:t>
      </w:r>
      <w:r w:rsidR="006D0E51" w:rsidRPr="00840508">
        <w:t xml:space="preserve">a diary from </w:t>
      </w:r>
      <w:r w:rsidR="00A137CC" w:rsidRPr="00840508">
        <w:t xml:space="preserve">a </w:t>
      </w:r>
      <w:r w:rsidR="006325BC" w:rsidRPr="00384599">
        <w:t>later</w:t>
      </w:r>
      <w:r w:rsidR="001553E6" w:rsidRPr="00384599">
        <w:t xml:space="preserve"> </w:t>
      </w:r>
      <w:r w:rsidR="006D0E51" w:rsidRPr="00384599">
        <w:t xml:space="preserve">visit </w:t>
      </w:r>
      <w:r w:rsidR="00F21E86" w:rsidRPr="00384599">
        <w:t>in</w:t>
      </w:r>
      <w:r w:rsidR="001553E6" w:rsidRPr="00384599">
        <w:t xml:space="preserve"> </w:t>
      </w:r>
      <w:r w:rsidR="00F21E86" w:rsidRPr="00384599">
        <w:t>1803</w:t>
      </w:r>
      <w:r w:rsidR="00EC053C" w:rsidRPr="00384599">
        <w:t xml:space="preserve"> </w:t>
      </w:r>
      <w:r w:rsidR="002436DC" w:rsidRPr="009E06A6">
        <w:t>shows him seeking inf</w:t>
      </w:r>
      <w:r w:rsidR="006D0E51" w:rsidRPr="008C7195">
        <w:t xml:space="preserve">ormation about </w:t>
      </w:r>
      <w:r w:rsidRPr="008C7195">
        <w:t>Wordsworth and Coleridge</w:t>
      </w:r>
      <w:r w:rsidR="006D0E51" w:rsidRPr="008C7195">
        <w:t xml:space="preserve"> from Miss Barcroft visiting from Keswick</w:t>
      </w:r>
      <w:r w:rsidR="002436DC" w:rsidRPr="008C7195">
        <w:t>.</w:t>
      </w:r>
      <w:r w:rsidRPr="008C7195">
        <w:rPr>
          <w:rStyle w:val="EndnoteReference"/>
        </w:rPr>
        <w:endnoteReference w:id="14"/>
      </w:r>
      <w:r w:rsidR="002436DC" w:rsidRPr="008C7195">
        <w:t xml:space="preserve"> De Quincey later republished his </w:t>
      </w:r>
      <w:r w:rsidR="008B529A" w:rsidRPr="008C7195">
        <w:rPr>
          <w:i/>
        </w:rPr>
        <w:t>Tait’s Magazine</w:t>
      </w:r>
      <w:r w:rsidR="008B529A" w:rsidRPr="00840508">
        <w:t xml:space="preserve"> </w:t>
      </w:r>
      <w:r w:rsidR="002436DC" w:rsidRPr="00840508">
        <w:t>essay</w:t>
      </w:r>
      <w:r w:rsidR="008B529A" w:rsidRPr="00384599">
        <w:t xml:space="preserve"> as</w:t>
      </w:r>
      <w:r w:rsidR="002436DC" w:rsidRPr="00384599">
        <w:t xml:space="preserve"> ‘The Liverpool Coterie</w:t>
      </w:r>
      <w:r w:rsidR="00970FE0" w:rsidRPr="00384599">
        <w:t>’</w:t>
      </w:r>
      <w:r w:rsidR="001553E6" w:rsidRPr="00384599">
        <w:t>.</w:t>
      </w:r>
      <w:r w:rsidR="002436DC" w:rsidRPr="00384599">
        <w:t xml:space="preserve"> </w:t>
      </w:r>
      <w:r w:rsidR="00970FE0" w:rsidRPr="00384599">
        <w:t>‘</w:t>
      </w:r>
      <w:r w:rsidR="002436DC" w:rsidRPr="009E06A6">
        <w:t>Coterie</w:t>
      </w:r>
      <w:r w:rsidR="00970FE0" w:rsidRPr="00941517">
        <w:t>’</w:t>
      </w:r>
      <w:r w:rsidR="002436DC" w:rsidRPr="00941517">
        <w:t xml:space="preserve"> </w:t>
      </w:r>
      <w:r w:rsidR="00A137CC" w:rsidRPr="00941517">
        <w:t xml:space="preserve">in this context </w:t>
      </w:r>
      <w:r w:rsidR="0051512C">
        <w:t>is</w:t>
      </w:r>
      <w:r w:rsidR="002436DC" w:rsidRPr="00941517">
        <w:t xml:space="preserve"> implicit</w:t>
      </w:r>
      <w:r w:rsidR="0051512C">
        <w:t>ly</w:t>
      </w:r>
      <w:r w:rsidR="002436DC" w:rsidRPr="00941517">
        <w:t xml:space="preserve"> gender</w:t>
      </w:r>
      <w:r w:rsidR="0051512C">
        <w:t>ed</w:t>
      </w:r>
      <w:r w:rsidR="008B529A" w:rsidRPr="008C7195">
        <w:t xml:space="preserve">. </w:t>
      </w:r>
      <w:r w:rsidR="001D166F" w:rsidRPr="008C7195">
        <w:t xml:space="preserve">Even as he elides the presence of women in the Roscoe circle, De Quincey implies the men he notices are fussy amateurs rather than properly masculine artists capable of wielding what he will later call </w:t>
      </w:r>
      <w:r w:rsidR="00970FE0" w:rsidRPr="008C7195">
        <w:t>‘</w:t>
      </w:r>
      <w:r w:rsidR="001D166F" w:rsidRPr="008C7195">
        <w:t>the literature of power</w:t>
      </w:r>
      <w:r w:rsidR="00970FE0" w:rsidRPr="008C7195">
        <w:t>’</w:t>
      </w:r>
      <w:r w:rsidR="001553E6" w:rsidRPr="008C7195">
        <w:t>.</w:t>
      </w:r>
      <w:r w:rsidR="001D166F" w:rsidRPr="008C7195">
        <w:t xml:space="preserve"> Secondly, the word </w:t>
      </w:r>
      <w:r w:rsidR="00970FE0" w:rsidRPr="008C7195">
        <w:t>‘</w:t>
      </w:r>
      <w:r w:rsidR="001D166F" w:rsidRPr="008C7195">
        <w:t>connexion</w:t>
      </w:r>
      <w:r w:rsidR="00970FE0" w:rsidRPr="008C7195">
        <w:t>’</w:t>
      </w:r>
      <w:r w:rsidR="001D166F" w:rsidRPr="008C7195">
        <w:t xml:space="preserve"> indicates de Quincey’s awareness that this </w:t>
      </w:r>
      <w:r w:rsidR="00A139B5">
        <w:t xml:space="preserve">group </w:t>
      </w:r>
      <w:r w:rsidR="001D166F" w:rsidRPr="008C7195">
        <w:t xml:space="preserve">was </w:t>
      </w:r>
      <w:r w:rsidR="00A139B5">
        <w:t xml:space="preserve">part of a </w:t>
      </w:r>
      <w:r w:rsidR="001D166F" w:rsidRPr="008C7195">
        <w:t>heavily networked</w:t>
      </w:r>
      <w:r w:rsidR="00A139B5">
        <w:t xml:space="preserve"> landscape</w:t>
      </w:r>
      <w:r w:rsidR="001D166F" w:rsidRPr="008C7195">
        <w:t xml:space="preserve">. </w:t>
      </w:r>
      <w:r w:rsidR="005D686B" w:rsidRPr="008C7195">
        <w:t>Roscoe’s circle was a node with</w:t>
      </w:r>
      <w:r w:rsidR="001D045E" w:rsidRPr="008C7195">
        <w:t>in larger networks of families and friends</w:t>
      </w:r>
      <w:r w:rsidR="006325BC" w:rsidRPr="008C7195">
        <w:t>, often defined by religious affiliation,</w:t>
      </w:r>
      <w:r w:rsidR="001D045E" w:rsidRPr="008C7195">
        <w:t xml:space="preserve"> as well as more formal </w:t>
      </w:r>
      <w:r w:rsidR="00091F7C" w:rsidRPr="008C7195">
        <w:t>institutions</w:t>
      </w:r>
      <w:r w:rsidR="00655966" w:rsidRPr="008C7195">
        <w:t xml:space="preserve"> </w:t>
      </w:r>
      <w:r w:rsidR="001D045E" w:rsidRPr="008C7195">
        <w:t xml:space="preserve">like the </w:t>
      </w:r>
      <w:r w:rsidR="006D0E51" w:rsidRPr="008C7195">
        <w:t xml:space="preserve">Manchester </w:t>
      </w:r>
      <w:r w:rsidR="00A3753E" w:rsidRPr="008C7195">
        <w:t>L</w:t>
      </w:r>
      <w:r w:rsidRPr="008C7195">
        <w:t xml:space="preserve">iterary and </w:t>
      </w:r>
      <w:r w:rsidR="00A3753E" w:rsidRPr="008C7195">
        <w:t>P</w:t>
      </w:r>
      <w:r w:rsidRPr="008C7195">
        <w:t>hilosophical</w:t>
      </w:r>
      <w:r w:rsidR="00091F7C" w:rsidRPr="008C7195">
        <w:t xml:space="preserve"> Society</w:t>
      </w:r>
      <w:r w:rsidR="009F7722" w:rsidRPr="008C7195">
        <w:t>.</w:t>
      </w:r>
      <w:r w:rsidRPr="008C7195">
        <w:t xml:space="preserve"> </w:t>
      </w:r>
      <w:r w:rsidR="002436DC" w:rsidRPr="008C7195">
        <w:t>Currie</w:t>
      </w:r>
      <w:r w:rsidR="009F7722" w:rsidRPr="008C7195">
        <w:t>,</w:t>
      </w:r>
      <w:r w:rsidR="002436DC" w:rsidRPr="008C7195">
        <w:t xml:space="preserve"> Roscoe</w:t>
      </w:r>
      <w:r w:rsidR="009F7722" w:rsidRPr="008C7195">
        <w:t xml:space="preserve">, and another Liverpool friend William </w:t>
      </w:r>
      <w:r w:rsidR="00A139B5">
        <w:t>Rathbone</w:t>
      </w:r>
      <w:r w:rsidR="00A139B5" w:rsidRPr="008C7195">
        <w:t xml:space="preserve"> </w:t>
      </w:r>
      <w:r w:rsidR="009F7722" w:rsidRPr="008C7195">
        <w:t xml:space="preserve">IV were honorary members of </w:t>
      </w:r>
      <w:r w:rsidR="00EC053C" w:rsidRPr="008C7195">
        <w:t>t</w:t>
      </w:r>
      <w:r w:rsidR="009F7722" w:rsidRPr="008C7195">
        <w:t>he Manchester society, but also had their own</w:t>
      </w:r>
      <w:r w:rsidR="002436DC" w:rsidRPr="008C7195">
        <w:t xml:space="preserve"> </w:t>
      </w:r>
      <w:r w:rsidR="00970FE0" w:rsidRPr="008C7195">
        <w:t>‘</w:t>
      </w:r>
      <w:r w:rsidR="008B529A" w:rsidRPr="008C7195">
        <w:t>Literary Society</w:t>
      </w:r>
      <w:r w:rsidR="00970FE0" w:rsidRPr="008C7195">
        <w:t>’</w:t>
      </w:r>
      <w:r w:rsidR="008B529A" w:rsidRPr="008C7195">
        <w:t xml:space="preserve"> that </w:t>
      </w:r>
      <w:r w:rsidR="00E92734" w:rsidRPr="008C7195">
        <w:t>folded th</w:t>
      </w:r>
      <w:r w:rsidR="008B529A" w:rsidRPr="008C7195">
        <w:t>r</w:t>
      </w:r>
      <w:r w:rsidR="00E92734" w:rsidRPr="008C7195">
        <w:t xml:space="preserve">ough political pressures </w:t>
      </w:r>
      <w:r w:rsidR="009F7722" w:rsidRPr="008C7195">
        <w:t>in the early 1790s</w:t>
      </w:r>
      <w:r w:rsidR="00E92734" w:rsidRPr="008C7195">
        <w:t xml:space="preserve">. </w:t>
      </w:r>
      <w:r w:rsidR="006325BC" w:rsidRPr="008C7195">
        <w:t>Much the same group</w:t>
      </w:r>
      <w:r w:rsidR="009F7722" w:rsidRPr="008C7195">
        <w:t xml:space="preserve"> </w:t>
      </w:r>
      <w:r w:rsidR="00E92734" w:rsidRPr="008C7195">
        <w:t>participated</w:t>
      </w:r>
      <w:r w:rsidR="008B529A" w:rsidRPr="008C7195">
        <w:t xml:space="preserve"> in the Octonian </w:t>
      </w:r>
      <w:r w:rsidR="00A3753E" w:rsidRPr="008C7195">
        <w:t>Society,</w:t>
      </w:r>
      <w:r w:rsidR="00E92734" w:rsidRPr="008C7195">
        <w:t xml:space="preserve"> </w:t>
      </w:r>
      <w:r w:rsidR="006325BC" w:rsidRPr="008C7195">
        <w:t xml:space="preserve">some of </w:t>
      </w:r>
      <w:r w:rsidR="00E92734" w:rsidRPr="008C7195">
        <w:t xml:space="preserve">whose activities </w:t>
      </w:r>
      <w:r w:rsidR="001553E6" w:rsidRPr="008C7195">
        <w:t xml:space="preserve">during </w:t>
      </w:r>
      <w:r w:rsidR="00E92734" w:rsidRPr="008C7195">
        <w:t>1787-90 are recorded in the diary of Hannah</w:t>
      </w:r>
      <w:r w:rsidR="00A37B14">
        <w:t xml:space="preserve"> </w:t>
      </w:r>
      <w:r w:rsidR="00833B72">
        <w:t xml:space="preserve">Lightbody </w:t>
      </w:r>
      <w:r w:rsidR="00A37B14">
        <w:t>(</w:t>
      </w:r>
      <w:r w:rsidR="00833B72">
        <w:t>later</w:t>
      </w:r>
      <w:r w:rsidR="00833B72" w:rsidRPr="008C7195">
        <w:t xml:space="preserve"> </w:t>
      </w:r>
      <w:r w:rsidR="00833B72">
        <w:t>Greg</w:t>
      </w:r>
      <w:r w:rsidR="00A37B14">
        <w:t>)</w:t>
      </w:r>
      <w:r w:rsidR="00F77CD8" w:rsidRPr="008C7195">
        <w:t xml:space="preserve">. Hannah </w:t>
      </w:r>
      <w:r w:rsidR="00833B72">
        <w:t xml:space="preserve">Lightbody </w:t>
      </w:r>
      <w:r w:rsidR="00091F7C" w:rsidRPr="00840508">
        <w:t xml:space="preserve">Greg </w:t>
      </w:r>
      <w:r w:rsidR="00F77CD8" w:rsidRPr="00384599">
        <w:t>long remembered her delight in these discussions, which she</w:t>
      </w:r>
      <w:r w:rsidR="006325BC" w:rsidRPr="00384599">
        <w:t xml:space="preserve"> </w:t>
      </w:r>
      <w:r w:rsidRPr="00384599">
        <w:t xml:space="preserve">sometimes hosted </w:t>
      </w:r>
      <w:r w:rsidR="006325BC" w:rsidRPr="00384599">
        <w:t>with</w:t>
      </w:r>
      <w:r w:rsidR="008B529A" w:rsidRPr="00384599">
        <w:t xml:space="preserve"> her mother</w:t>
      </w:r>
      <w:r w:rsidR="00B00752" w:rsidRPr="00384599">
        <w:t>,</w:t>
      </w:r>
      <w:r w:rsidR="008B529A" w:rsidRPr="00384599">
        <w:t xml:space="preserve"> Elizabeth</w:t>
      </w:r>
      <w:r w:rsidRPr="00384599">
        <w:t>. Mother and daughter were</w:t>
      </w:r>
      <w:r w:rsidR="006D0E51" w:rsidRPr="00384599">
        <w:t xml:space="preserve"> </w:t>
      </w:r>
      <w:r w:rsidR="008B529A" w:rsidRPr="00384599">
        <w:t xml:space="preserve">friends of </w:t>
      </w:r>
      <w:r w:rsidR="006D0E51" w:rsidRPr="00384599">
        <w:t xml:space="preserve">the </w:t>
      </w:r>
      <w:r w:rsidR="008B529A" w:rsidRPr="00384599">
        <w:t>Percivals</w:t>
      </w:r>
      <w:r w:rsidR="006D0E51" w:rsidRPr="00384599">
        <w:t xml:space="preserve"> in Manchester</w:t>
      </w:r>
      <w:r w:rsidR="00F77CD8" w:rsidRPr="00384599">
        <w:t xml:space="preserve">, who </w:t>
      </w:r>
      <w:r w:rsidR="00F77CD8" w:rsidRPr="00384599">
        <w:lastRenderedPageBreak/>
        <w:t>played a part in Hannah</w:t>
      </w:r>
      <w:r w:rsidR="00B00752" w:rsidRPr="00384599">
        <w:t>’s</w:t>
      </w:r>
      <w:r w:rsidR="00F77CD8" w:rsidRPr="00384599">
        <w:t xml:space="preserve"> marrying</w:t>
      </w:r>
      <w:r w:rsidR="008B529A" w:rsidRPr="00384599">
        <w:t xml:space="preserve"> the Manchester mill owner Samuel Greg in 1790</w:t>
      </w:r>
      <w:r w:rsidR="004501A4" w:rsidRPr="00384599">
        <w:t>. The</w:t>
      </w:r>
      <w:r w:rsidR="008B529A" w:rsidRPr="00384599">
        <w:t xml:space="preserve"> diary covering the years immediately before</w:t>
      </w:r>
      <w:r w:rsidR="004501A4" w:rsidRPr="009E06A6">
        <w:t xml:space="preserve"> and just after</w:t>
      </w:r>
      <w:r w:rsidR="008B529A" w:rsidRPr="00941517">
        <w:t xml:space="preserve"> her marriage, </w:t>
      </w:r>
      <w:r w:rsidR="004501A4" w:rsidRPr="00941517">
        <w:t>when she had just</w:t>
      </w:r>
      <w:r w:rsidR="008B529A" w:rsidRPr="00941517">
        <w:t xml:space="preserve"> returned to Liverpool from school in Stoke Newington</w:t>
      </w:r>
      <w:r w:rsidR="006D0E51" w:rsidRPr="008C7195">
        <w:t xml:space="preserve"> in London</w:t>
      </w:r>
      <w:r w:rsidR="00A178A1" w:rsidRPr="008C7195">
        <w:t>, give</w:t>
      </w:r>
      <w:r w:rsidR="004501A4" w:rsidRPr="008C7195">
        <w:t>s</w:t>
      </w:r>
      <w:r w:rsidR="00A178A1" w:rsidRPr="008C7195">
        <w:t xml:space="preserve"> an insight into the activities of </w:t>
      </w:r>
      <w:r w:rsidR="004501A4" w:rsidRPr="008C7195">
        <w:t>Octonian Club</w:t>
      </w:r>
      <w:r w:rsidR="00E92734" w:rsidRPr="008C7195">
        <w:t xml:space="preserve">. </w:t>
      </w:r>
      <w:r w:rsidR="006D0E51" w:rsidRPr="008C7195">
        <w:t xml:space="preserve">Generally speaking, these were circles that supported </w:t>
      </w:r>
      <w:r w:rsidR="0059212C" w:rsidRPr="008C7195">
        <w:t xml:space="preserve">the </w:t>
      </w:r>
      <w:r w:rsidR="006D0E51" w:rsidRPr="008C7195">
        <w:t>female intellectu</w:t>
      </w:r>
      <w:r w:rsidR="004501A4" w:rsidRPr="008C7195">
        <w:t>al participation and ambition</w:t>
      </w:r>
      <w:r w:rsidR="0059212C" w:rsidRPr="008C7195">
        <w:t xml:space="preserve"> explored in my next section</w:t>
      </w:r>
      <w:r w:rsidR="00380C54">
        <w:t>,</w:t>
      </w:r>
      <w:r w:rsidR="009F7722" w:rsidRPr="008C7195">
        <w:t xml:space="preserve"> </w:t>
      </w:r>
      <w:r w:rsidR="004501A4" w:rsidRPr="008C7195">
        <w:t>within certain conditions</w:t>
      </w:r>
      <w:r w:rsidR="00F77CD8" w:rsidRPr="008C7195">
        <w:t>.</w:t>
      </w:r>
      <w:r w:rsidR="006325BC" w:rsidRPr="008C7195">
        <w:tab/>
      </w:r>
    </w:p>
    <w:p w14:paraId="79F0969A" w14:textId="77777777" w:rsidR="00F21E86" w:rsidRPr="008C7195" w:rsidRDefault="00F21E86" w:rsidP="00F13543">
      <w:pPr>
        <w:spacing w:line="480" w:lineRule="auto"/>
        <w:ind w:firstLine="720"/>
        <w:jc w:val="both"/>
      </w:pPr>
    </w:p>
    <w:p w14:paraId="55CA2346" w14:textId="44A580F8" w:rsidR="00F21E86" w:rsidRPr="008C7195" w:rsidRDefault="00F21E86" w:rsidP="00F13543">
      <w:pPr>
        <w:spacing w:line="480" w:lineRule="auto"/>
        <w:jc w:val="both"/>
        <w:outlineLvl w:val="0"/>
      </w:pPr>
      <w:r w:rsidRPr="008C7195">
        <w:t>II</w:t>
      </w:r>
    </w:p>
    <w:p w14:paraId="7F5816F0" w14:textId="78649612" w:rsidR="00F21E86" w:rsidRPr="00A37B14" w:rsidRDefault="006D0E51" w:rsidP="00F13543">
      <w:pPr>
        <w:spacing w:line="480" w:lineRule="auto"/>
        <w:jc w:val="both"/>
      </w:pPr>
      <w:r w:rsidRPr="008C7195">
        <w:t xml:space="preserve">Mokyr claims that what was distinctive about the period of the industrial revolution was </w:t>
      </w:r>
      <w:r w:rsidRPr="00A37B14">
        <w:t xml:space="preserve">its faith in </w:t>
      </w:r>
      <w:r w:rsidR="00970FE0" w:rsidRPr="00A37B14">
        <w:t>‘</w:t>
      </w:r>
      <w:r w:rsidRPr="00A37B14">
        <w:t>social progress and the improvability of mankind</w:t>
      </w:r>
      <w:r w:rsidR="00970FE0" w:rsidRPr="00A37B14">
        <w:t>’</w:t>
      </w:r>
      <w:r w:rsidR="00941517">
        <w:t>.</w:t>
      </w:r>
      <w:r w:rsidR="00EC053C" w:rsidRPr="00A37B14">
        <w:rPr>
          <w:rStyle w:val="EndnoteReference"/>
        </w:rPr>
        <w:endnoteReference w:id="15"/>
      </w:r>
      <w:r w:rsidR="00655966" w:rsidRPr="00A37B14">
        <w:t xml:space="preserve"> </w:t>
      </w:r>
      <w:r w:rsidR="00A139B5">
        <w:t>I</w:t>
      </w:r>
      <w:r w:rsidRPr="00A37B14">
        <w:t>nventions as such were rather less important</w:t>
      </w:r>
      <w:r w:rsidR="00A139B5">
        <w:t>, he argues,</w:t>
      </w:r>
      <w:r w:rsidRPr="00A37B14">
        <w:t xml:space="preserve"> than the continual process of development and dissemination supported by a faith in improvement. Mokyr sees the literary and philosophical societies, especially those in the developing manufacturing towns, as facilitating </w:t>
      </w:r>
      <w:r w:rsidR="006325BC" w:rsidRPr="00A37B14">
        <w:t>knowledge networks</w:t>
      </w:r>
      <w:r w:rsidRPr="00A37B14">
        <w:t xml:space="preserve"> </w:t>
      </w:r>
      <w:r w:rsidR="006325BC" w:rsidRPr="00A37B14">
        <w:t>that</w:t>
      </w:r>
      <w:r w:rsidRPr="00A37B14">
        <w:t xml:space="preserve"> </w:t>
      </w:r>
      <w:r w:rsidR="006C4D0F" w:rsidRPr="00A37B14">
        <w:t>sustained</w:t>
      </w:r>
      <w:r w:rsidR="004501A4" w:rsidRPr="00A37B14">
        <w:t xml:space="preserve"> a particular idea</w:t>
      </w:r>
      <w:r w:rsidRPr="00A37B14">
        <w:t xml:space="preserve"> of improvement</w:t>
      </w:r>
      <w:r w:rsidR="004501A4" w:rsidRPr="00A37B14">
        <w:t xml:space="preserve"> as </w:t>
      </w:r>
      <w:r w:rsidR="00F77CD8" w:rsidRPr="00A37B14">
        <w:t>technological advance</w:t>
      </w:r>
      <w:r w:rsidR="006325BC" w:rsidRPr="00A37B14">
        <w:t xml:space="preserve">. </w:t>
      </w:r>
      <w:r w:rsidR="006C4D0F" w:rsidRPr="00A37B14">
        <w:t>This account</w:t>
      </w:r>
      <w:r w:rsidR="004501A4" w:rsidRPr="00A37B14">
        <w:t xml:space="preserve"> is rather restricted in its emphasis on technical knowledge, </w:t>
      </w:r>
      <w:r w:rsidR="00F77CD8" w:rsidRPr="00A37B14">
        <w:t xml:space="preserve">especially </w:t>
      </w:r>
      <w:r w:rsidR="004501A4" w:rsidRPr="00A37B14">
        <w:t xml:space="preserve">given </w:t>
      </w:r>
      <w:r w:rsidR="00F77CD8" w:rsidRPr="00A37B14">
        <w:t xml:space="preserve">the concern of figures like Rathbone </w:t>
      </w:r>
      <w:r w:rsidR="0059212C" w:rsidRPr="00A37B14">
        <w:t xml:space="preserve">about </w:t>
      </w:r>
      <w:r w:rsidR="00F77CD8" w:rsidRPr="00A37B14">
        <w:t xml:space="preserve">knowledge </w:t>
      </w:r>
      <w:r w:rsidR="009F7722" w:rsidRPr="00A37B14">
        <w:t xml:space="preserve">advancing </w:t>
      </w:r>
      <w:r w:rsidR="00F77CD8" w:rsidRPr="00A37B14">
        <w:t xml:space="preserve">without </w:t>
      </w:r>
      <w:r w:rsidR="00970FE0" w:rsidRPr="00A37B14">
        <w:rPr>
          <w:rFonts w:eastAsia="Times New Roman" w:cs="Arial"/>
          <w:shd w:val="clear" w:color="auto" w:fill="FFFFFF"/>
          <w:lang w:val="en-GB"/>
        </w:rPr>
        <w:t>‘</w:t>
      </w:r>
      <w:r w:rsidR="00F77CD8" w:rsidRPr="00A37B14">
        <w:rPr>
          <w:rFonts w:eastAsia="Times New Roman" w:cs="Arial"/>
          <w:u w:val="single"/>
          <w:shd w:val="clear" w:color="auto" w:fill="FFFFFF"/>
          <w:lang w:val="en-GB"/>
        </w:rPr>
        <w:t>proportionate</w:t>
      </w:r>
      <w:r w:rsidR="00F77CD8" w:rsidRPr="00A64A59">
        <w:rPr>
          <w:rFonts w:eastAsia="Times New Roman" w:cs="Arial"/>
          <w:shd w:val="clear" w:color="auto" w:fill="FFFFFF"/>
          <w:lang w:val="en-GB"/>
        </w:rPr>
        <w:t xml:space="preserve"> advance in virtue</w:t>
      </w:r>
      <w:r w:rsidR="00970FE0" w:rsidRPr="00A64A59">
        <w:rPr>
          <w:rFonts w:eastAsia="Times New Roman" w:cs="Arial"/>
          <w:shd w:val="clear" w:color="auto" w:fill="FFFFFF"/>
          <w:lang w:val="en-GB"/>
        </w:rPr>
        <w:t>’</w:t>
      </w:r>
      <w:r w:rsidR="00941517">
        <w:rPr>
          <w:rFonts w:eastAsia="Times New Roman" w:cs="Arial"/>
          <w:shd w:val="clear" w:color="auto" w:fill="FFFFFF"/>
          <w:lang w:val="en-GB"/>
        </w:rPr>
        <w:t>.</w:t>
      </w:r>
      <w:r w:rsidR="00F77CD8" w:rsidRPr="00A64A59">
        <w:rPr>
          <w:rFonts w:eastAsia="Times New Roman" w:cs="Arial"/>
          <w:shd w:val="clear" w:color="auto" w:fill="FFFFFF"/>
          <w:lang w:val="en-GB"/>
        </w:rPr>
        <w:t xml:space="preserve"> </w:t>
      </w:r>
      <w:r w:rsidR="00F77CD8" w:rsidRPr="00A37B14">
        <w:rPr>
          <w:rFonts w:eastAsia="Times New Roman" w:cs="Arial"/>
          <w:shd w:val="clear" w:color="auto" w:fill="FFFFFF"/>
          <w:lang w:val="en-GB"/>
        </w:rPr>
        <w:t xml:space="preserve">Thomas Percival, as founder of the </w:t>
      </w:r>
      <w:r w:rsidR="009F7722" w:rsidRPr="00A37B14">
        <w:rPr>
          <w:rFonts w:eastAsia="Times New Roman" w:cs="Arial"/>
          <w:shd w:val="clear" w:color="auto" w:fill="FFFFFF"/>
          <w:lang w:val="en-GB"/>
        </w:rPr>
        <w:t xml:space="preserve">Manchester </w:t>
      </w:r>
      <w:r w:rsidR="00F77CD8" w:rsidRPr="00A37B14">
        <w:rPr>
          <w:rFonts w:eastAsia="Times New Roman" w:cs="Arial"/>
          <w:shd w:val="clear" w:color="auto" w:fill="FFFFFF"/>
          <w:lang w:val="en-GB"/>
        </w:rPr>
        <w:t xml:space="preserve">society, certainly placed this broader idea of improvement at its heart. </w:t>
      </w:r>
      <w:r w:rsidR="001D166F" w:rsidRPr="00A37B14">
        <w:t xml:space="preserve">A respected literary physician, Percival was probably most famous as the author of </w:t>
      </w:r>
      <w:r w:rsidR="001D166F" w:rsidRPr="00A37B14">
        <w:rPr>
          <w:i/>
        </w:rPr>
        <w:t>A Father’s Instructions to his Children</w:t>
      </w:r>
      <w:r w:rsidR="001D166F" w:rsidRPr="00A37B14">
        <w:t xml:space="preserve"> (1776), brought out across several editions by the respected reforming publisher Joseph Johnson.</w:t>
      </w:r>
      <w:r w:rsidR="001D166F" w:rsidRPr="00A37B14">
        <w:rPr>
          <w:rStyle w:val="EndnoteReference"/>
        </w:rPr>
        <w:endnoteReference w:id="16"/>
      </w:r>
      <w:r w:rsidR="001D166F" w:rsidRPr="00A37B14">
        <w:t xml:space="preserve"> </w:t>
      </w:r>
    </w:p>
    <w:p w14:paraId="0E9B58EA" w14:textId="1ECBCCF3" w:rsidR="001912EF" w:rsidRDefault="00207371" w:rsidP="00F13543">
      <w:pPr>
        <w:spacing w:line="480" w:lineRule="auto"/>
        <w:ind w:firstLine="567"/>
        <w:jc w:val="both"/>
      </w:pPr>
      <w:r w:rsidRPr="00A37B14">
        <w:lastRenderedPageBreak/>
        <w:t xml:space="preserve">That </w:t>
      </w:r>
      <w:r w:rsidR="00F77CD8" w:rsidRPr="00A37B14">
        <w:t>the</w:t>
      </w:r>
      <w:r w:rsidR="006D0E51" w:rsidRPr="00A37B14">
        <w:t xml:space="preserve"> </w:t>
      </w:r>
      <w:r w:rsidR="006325BC" w:rsidRPr="00A37B14">
        <w:t xml:space="preserve">Manchester </w:t>
      </w:r>
      <w:r w:rsidR="00A37B14">
        <w:t>S</w:t>
      </w:r>
      <w:r w:rsidR="00E10BB1" w:rsidRPr="00A37B14">
        <w:t xml:space="preserve">ociety </w:t>
      </w:r>
      <w:r w:rsidRPr="00A37B14">
        <w:t>seemed to</w:t>
      </w:r>
      <w:r w:rsidR="00E10BB1" w:rsidRPr="00A37B14">
        <w:t xml:space="preserve"> deliberate</w:t>
      </w:r>
      <w:r w:rsidRPr="00A37B14">
        <w:t>ly</w:t>
      </w:r>
      <w:r w:rsidR="00E10BB1" w:rsidRPr="00A37B14">
        <w:t xml:space="preserve"> change </w:t>
      </w:r>
      <w:r w:rsidRPr="00A37B14">
        <w:t>its</w:t>
      </w:r>
      <w:r w:rsidR="00E10BB1" w:rsidRPr="00A37B14">
        <w:t xml:space="preserve"> architecture</w:t>
      </w:r>
      <w:r w:rsidR="006D0E51" w:rsidRPr="00A37B14">
        <w:t xml:space="preserve"> from</w:t>
      </w:r>
      <w:r w:rsidR="009F7722" w:rsidRPr="00A37B14">
        <w:t xml:space="preserve"> </w:t>
      </w:r>
      <w:r w:rsidRPr="00A37B14">
        <w:t>a</w:t>
      </w:r>
      <w:r w:rsidR="009F7722" w:rsidRPr="00A37B14">
        <w:t xml:space="preserve"> private conversation club</w:t>
      </w:r>
      <w:r w:rsidRPr="00A37B14">
        <w:t xml:space="preserve"> – o</w:t>
      </w:r>
      <w:r w:rsidR="001D166F" w:rsidRPr="00A37B14">
        <w:t>r</w:t>
      </w:r>
      <w:r w:rsidR="0059212C" w:rsidRPr="00A37B14">
        <w:t xml:space="preserve"> from</w:t>
      </w:r>
      <w:r w:rsidR="001D166F" w:rsidRPr="00A37B14">
        <w:t xml:space="preserve"> the</w:t>
      </w:r>
      <w:r w:rsidR="006D0E51" w:rsidRPr="00A37B14">
        <w:t xml:space="preserve"> </w:t>
      </w:r>
      <w:r w:rsidR="00E10BB1" w:rsidRPr="00A37B14">
        <w:t>kind of</w:t>
      </w:r>
      <w:r w:rsidR="006D0E51" w:rsidRPr="00A37B14">
        <w:t xml:space="preserve"> </w:t>
      </w:r>
      <w:r w:rsidR="0059212C" w:rsidRPr="00A37B14">
        <w:t xml:space="preserve">more </w:t>
      </w:r>
      <w:r w:rsidR="0027264C" w:rsidRPr="00A37B14">
        <w:t xml:space="preserve">domestic intellectual </w:t>
      </w:r>
      <w:r w:rsidR="00F77CD8" w:rsidRPr="00A37B14">
        <w:t>sociability</w:t>
      </w:r>
      <w:r w:rsidR="006D0E51" w:rsidRPr="00A37B14">
        <w:t xml:space="preserve"> Currie</w:t>
      </w:r>
      <w:r w:rsidR="00F77CD8" w:rsidRPr="00A37B14">
        <w:t xml:space="preserve">, </w:t>
      </w:r>
      <w:r w:rsidR="00BE1ED5" w:rsidRPr="00A37B14">
        <w:t>Rathbone</w:t>
      </w:r>
      <w:r w:rsidR="00F77CD8" w:rsidRPr="00A37B14">
        <w:t xml:space="preserve">, and </w:t>
      </w:r>
      <w:r w:rsidR="00A37B14">
        <w:t xml:space="preserve">the unmarried </w:t>
      </w:r>
      <w:r w:rsidR="00F77CD8" w:rsidRPr="00A37B14">
        <w:t xml:space="preserve">Hannah </w:t>
      </w:r>
      <w:r w:rsidR="00833B72">
        <w:t>Lightbody</w:t>
      </w:r>
      <w:r w:rsidR="00833B72" w:rsidRPr="00A37B14">
        <w:t xml:space="preserve"> </w:t>
      </w:r>
      <w:r w:rsidR="006D0E51" w:rsidRPr="00A37B14">
        <w:t>enjoyed in Liverpool</w:t>
      </w:r>
      <w:r w:rsidRPr="00A37B14">
        <w:t xml:space="preserve"> –</w:t>
      </w:r>
      <w:r w:rsidR="006D0E51" w:rsidRPr="00A37B14">
        <w:t xml:space="preserve"> </w:t>
      </w:r>
      <w:r w:rsidRPr="00A37B14">
        <w:t xml:space="preserve">to a </w:t>
      </w:r>
      <w:r w:rsidR="006D0E51" w:rsidRPr="00A37B14">
        <w:t xml:space="preserve">role </w:t>
      </w:r>
      <w:r w:rsidR="00A37B14">
        <w:t>more visibly part of</w:t>
      </w:r>
      <w:r w:rsidR="00A37B14" w:rsidRPr="00A37B14">
        <w:t xml:space="preserve"> </w:t>
      </w:r>
      <w:r w:rsidR="006D0E51" w:rsidRPr="00A37B14">
        <w:t xml:space="preserve">Manchester’s </w:t>
      </w:r>
      <w:r w:rsidR="00BE1ED5" w:rsidRPr="00A37B14">
        <w:t xml:space="preserve">civic </w:t>
      </w:r>
      <w:r w:rsidR="006D0E51" w:rsidRPr="00A37B14">
        <w:t>life</w:t>
      </w:r>
      <w:r w:rsidRPr="00A37B14">
        <w:t xml:space="preserve"> was </w:t>
      </w:r>
      <w:r w:rsidR="00F77CD8" w:rsidRPr="00A37B14">
        <w:t xml:space="preserve">manifested most obviously in its decision </w:t>
      </w:r>
      <w:r w:rsidR="001D166F" w:rsidRPr="00A37B14">
        <w:t>to circulate</w:t>
      </w:r>
      <w:r w:rsidR="004501A4" w:rsidRPr="00A37B14">
        <w:t xml:space="preserve"> </w:t>
      </w:r>
      <w:r w:rsidR="00F77CD8" w:rsidRPr="00A37B14">
        <w:t>its transactions as</w:t>
      </w:r>
      <w:r w:rsidR="006D0E51" w:rsidRPr="00A37B14">
        <w:t xml:space="preserve"> </w:t>
      </w:r>
      <w:r w:rsidR="006D0E51" w:rsidRPr="00A37B14">
        <w:rPr>
          <w:i/>
        </w:rPr>
        <w:t>Memoirs</w:t>
      </w:r>
      <w:r w:rsidR="004501A4" w:rsidRPr="00A37B14">
        <w:rPr>
          <w:i/>
        </w:rPr>
        <w:t xml:space="preserve"> of Manchester Literary and Philosophical Society</w:t>
      </w:r>
      <w:r w:rsidR="00F77CD8" w:rsidRPr="00A37B14">
        <w:rPr>
          <w:i/>
        </w:rPr>
        <w:t xml:space="preserve">. </w:t>
      </w:r>
      <w:r w:rsidR="00F77CD8" w:rsidRPr="00A37B14">
        <w:t>Regularly</w:t>
      </w:r>
      <w:r w:rsidR="00F77CD8" w:rsidRPr="00A37B14">
        <w:rPr>
          <w:i/>
        </w:rPr>
        <w:t xml:space="preserve"> </w:t>
      </w:r>
      <w:r w:rsidR="006D0E51" w:rsidRPr="00A37B14">
        <w:t>reviewed in the national and international press</w:t>
      </w:r>
      <w:r w:rsidR="004501A4" w:rsidRPr="00A37B14">
        <w:t xml:space="preserve"> after </w:t>
      </w:r>
      <w:r w:rsidR="009F7722" w:rsidRPr="00A37B14">
        <w:t xml:space="preserve">its </w:t>
      </w:r>
      <w:r w:rsidR="004501A4" w:rsidRPr="00A37B14">
        <w:t xml:space="preserve">first volume was published in </w:t>
      </w:r>
      <w:r w:rsidR="00F77CD8" w:rsidRPr="00A37B14">
        <w:t xml:space="preserve">1785, </w:t>
      </w:r>
      <w:r w:rsidR="00F77CD8" w:rsidRPr="00A37B14">
        <w:rPr>
          <w:i/>
        </w:rPr>
        <w:t>Memoirs</w:t>
      </w:r>
      <w:r w:rsidR="00F77CD8" w:rsidRPr="00A37B14">
        <w:t xml:space="preserve"> gave the society a public presence</w:t>
      </w:r>
      <w:r w:rsidR="006D0E51" w:rsidRPr="00A37B14">
        <w:t>.</w:t>
      </w:r>
      <w:r w:rsidR="00E10BB1" w:rsidRPr="00A37B14">
        <w:t xml:space="preserve"> </w:t>
      </w:r>
      <w:r w:rsidR="00A178A1" w:rsidRPr="00A37B14">
        <w:t xml:space="preserve">Print was important to the Manchester </w:t>
      </w:r>
      <w:r w:rsidRPr="00A37B14">
        <w:t>S</w:t>
      </w:r>
      <w:r w:rsidR="00A178A1" w:rsidRPr="00A37B14">
        <w:t>ociety’s mission, but it understood part of its own generative technology as lying in</w:t>
      </w:r>
      <w:r w:rsidR="00F77CD8" w:rsidRPr="00A37B14">
        <w:t xml:space="preserve"> robust</w:t>
      </w:r>
      <w:r w:rsidR="00A178A1" w:rsidRPr="00A37B14">
        <w:t xml:space="preserve"> c</w:t>
      </w:r>
      <w:r w:rsidR="00A3753E" w:rsidRPr="00A37B14">
        <w:t>onversation</w:t>
      </w:r>
      <w:r w:rsidR="001912EF" w:rsidRPr="00A37B14">
        <w:t xml:space="preserve"> between bodies-in-rooms</w:t>
      </w:r>
      <w:r w:rsidR="00A178A1" w:rsidRPr="00A37B14">
        <w:t>:</w:t>
      </w:r>
      <w:r w:rsidR="00655966" w:rsidRPr="00A37B14">
        <w:t xml:space="preserve"> </w:t>
      </w:r>
    </w:p>
    <w:p w14:paraId="7E90ACBE" w14:textId="77777777" w:rsidR="00470561" w:rsidRPr="00A37B14" w:rsidRDefault="00470561" w:rsidP="00F13543">
      <w:pPr>
        <w:spacing w:line="480" w:lineRule="auto"/>
        <w:ind w:firstLine="567"/>
        <w:jc w:val="both"/>
      </w:pPr>
    </w:p>
    <w:p w14:paraId="78AEB789" w14:textId="13BF1A61" w:rsidR="00593BA6" w:rsidRPr="00A37B14" w:rsidRDefault="00A3753E" w:rsidP="00A37B14">
      <w:pPr>
        <w:ind w:left="567" w:right="702"/>
        <w:jc w:val="both"/>
        <w:rPr>
          <w:iCs/>
        </w:rPr>
      </w:pPr>
      <w:r w:rsidRPr="00A37B14">
        <w:rPr>
          <w:iCs/>
        </w:rPr>
        <w:t>Science</w:t>
      </w:r>
      <w:r w:rsidR="00593BA6" w:rsidRPr="00A37B14">
        <w:rPr>
          <w:iCs/>
        </w:rPr>
        <w:t>, like fire, is put in motion by collision.</w:t>
      </w:r>
      <w:r w:rsidR="00207371" w:rsidRPr="00A37B14">
        <w:rPr>
          <w:iCs/>
        </w:rPr>
        <w:t>—</w:t>
      </w:r>
      <w:r w:rsidR="00593BA6" w:rsidRPr="00A37B14">
        <w:rPr>
          <w:iCs/>
        </w:rPr>
        <w:t>Where a number of such men have frequent opportunities of meeting and conversing together, thought begets thought, and every hint is turned to advantage.</w:t>
      </w:r>
      <w:r w:rsidR="003422DD" w:rsidRPr="00A37B14">
        <w:rPr>
          <w:rStyle w:val="EndnoteReference"/>
          <w:iCs/>
        </w:rPr>
        <w:endnoteReference w:id="17"/>
      </w:r>
    </w:p>
    <w:p w14:paraId="61C3FB41" w14:textId="510C413E" w:rsidR="007F0BB0" w:rsidRPr="008C7195" w:rsidRDefault="00A178A1" w:rsidP="00A37B14">
      <w:pPr>
        <w:spacing w:line="480" w:lineRule="auto"/>
        <w:jc w:val="both"/>
      </w:pPr>
      <w:r w:rsidRPr="00A37B14">
        <w:t>Managing these collisions within a corporate body</w:t>
      </w:r>
      <w:r w:rsidR="00593BA6" w:rsidRPr="00A37B14">
        <w:t xml:space="preserve"> that </w:t>
      </w:r>
      <w:r w:rsidRPr="00A37B14">
        <w:t>aspire</w:t>
      </w:r>
      <w:r w:rsidR="00F77CD8" w:rsidRPr="00A37B14">
        <w:t xml:space="preserve">d to maintain </w:t>
      </w:r>
      <w:r w:rsidR="00970FE0" w:rsidRPr="00A37B14">
        <w:t>‘</w:t>
      </w:r>
      <w:r w:rsidR="00F77CD8" w:rsidRPr="00A37B14">
        <w:t>polite</w:t>
      </w:r>
      <w:r w:rsidR="00970FE0" w:rsidRPr="00A37B14">
        <w:t>’</w:t>
      </w:r>
      <w:r w:rsidRPr="00A37B14">
        <w:t xml:space="preserve"> discourse across</w:t>
      </w:r>
      <w:r w:rsidR="00593BA6" w:rsidRPr="00A37B14">
        <w:t xml:space="preserve"> a diversity of political and religious positions</w:t>
      </w:r>
      <w:r w:rsidRPr="00A37B14">
        <w:t xml:space="preserve"> was never easy, especially after Manchester’s politics polarized in the 1790s</w:t>
      </w:r>
      <w:r w:rsidR="004501A4" w:rsidRPr="00A37B14">
        <w:t>. I</w:t>
      </w:r>
      <w:r w:rsidRPr="00A37B14">
        <w:t>n 1791</w:t>
      </w:r>
      <w:r w:rsidR="004501A4" w:rsidRPr="00A37B14">
        <w:t>, for instance,</w:t>
      </w:r>
      <w:r w:rsidRPr="00A37B14">
        <w:t xml:space="preserve"> </w:t>
      </w:r>
      <w:r w:rsidR="006325BC" w:rsidRPr="00A37B14">
        <w:t>several</w:t>
      </w:r>
      <w:r w:rsidRPr="00A37B14">
        <w:t xml:space="preserve"> </w:t>
      </w:r>
      <w:r w:rsidR="00A3753E" w:rsidRPr="00A37B14">
        <w:t>radical</w:t>
      </w:r>
      <w:r w:rsidRPr="00A37B14">
        <w:t xml:space="preserve"> members resigned because of the society’s failure to pass a motion of support for Priestley after his home and laboratory were destroyed in the loyalist riots </w:t>
      </w:r>
      <w:r w:rsidR="00207371" w:rsidRPr="00A37B14">
        <w:t>earlier that year</w:t>
      </w:r>
      <w:r w:rsidR="00A91034" w:rsidRPr="00A37B14">
        <w:t>.</w:t>
      </w:r>
      <w:r w:rsidR="00E10BB1" w:rsidRPr="00A37B14">
        <w:t xml:space="preserve"> </w:t>
      </w:r>
      <w:r w:rsidR="009749C4" w:rsidRPr="00A37B14">
        <w:t>The</w:t>
      </w:r>
      <w:r w:rsidR="00FB06D2" w:rsidRPr="00A37B14">
        <w:t xml:space="preserve"> </w:t>
      </w:r>
      <w:r w:rsidR="009749C4" w:rsidRPr="00A37B14">
        <w:t xml:space="preserve">chapels in Manchester attended by Percival and </w:t>
      </w:r>
      <w:r w:rsidR="00BF25B6">
        <w:t>the</w:t>
      </w:r>
      <w:r w:rsidR="00BF25B6" w:rsidRPr="00A37B14">
        <w:t xml:space="preserve"> </w:t>
      </w:r>
      <w:r w:rsidR="00A37B14">
        <w:t>Greg</w:t>
      </w:r>
      <w:r w:rsidR="00BF25B6">
        <w:t>s</w:t>
      </w:r>
      <w:r w:rsidR="009749C4" w:rsidRPr="00A37B14">
        <w:t xml:space="preserve"> were attacked in similar fashion the following year</w:t>
      </w:r>
      <w:r w:rsidR="00FB06D2" w:rsidRPr="00A37B14">
        <w:t>.</w:t>
      </w:r>
      <w:r w:rsidR="004070D7" w:rsidRPr="00A37B14">
        <w:rPr>
          <w:rStyle w:val="EndnoteReference"/>
        </w:rPr>
        <w:endnoteReference w:id="18"/>
      </w:r>
      <w:r w:rsidR="00FB06D2" w:rsidRPr="00A37B14">
        <w:t xml:space="preserve"> </w:t>
      </w:r>
      <w:r w:rsidR="005F33B9" w:rsidRPr="00A37B14">
        <w:t xml:space="preserve">Mokyr’s </w:t>
      </w:r>
      <w:r w:rsidR="00FA6C16" w:rsidRPr="00A37B14">
        <w:t xml:space="preserve">emphasis on the </w:t>
      </w:r>
      <w:r w:rsidR="009749C4" w:rsidRPr="00A37B14">
        <w:t xml:space="preserve">networked </w:t>
      </w:r>
      <w:r w:rsidR="00FA6C16" w:rsidRPr="00A37B14">
        <w:t>circulation of knowledge free from ideology</w:t>
      </w:r>
      <w:r w:rsidR="009749C4" w:rsidRPr="00A37B14">
        <w:t xml:space="preserve"> via institutions like the Manchester </w:t>
      </w:r>
      <w:r w:rsidR="0007388D" w:rsidRPr="00A37B14">
        <w:t>S</w:t>
      </w:r>
      <w:r w:rsidR="009749C4" w:rsidRPr="00A37B14">
        <w:t>ociety</w:t>
      </w:r>
      <w:r w:rsidR="00FA6C16" w:rsidRPr="00A37B14">
        <w:t xml:space="preserve"> </w:t>
      </w:r>
      <w:r w:rsidR="009749C4" w:rsidRPr="00A37B14">
        <w:t>under</w:t>
      </w:r>
      <w:r w:rsidR="00FA6C16" w:rsidRPr="00A37B14">
        <w:t xml:space="preserve">plays the conflicts </w:t>
      </w:r>
      <w:r w:rsidR="00F77CD8" w:rsidRPr="00A37B14">
        <w:t xml:space="preserve">that were often uncomfortable </w:t>
      </w:r>
      <w:r w:rsidR="009749C4" w:rsidRPr="00A37B14">
        <w:t>corollaries of</w:t>
      </w:r>
      <w:r w:rsidR="00FA6C16" w:rsidRPr="00A37B14">
        <w:t xml:space="preserve"> its commitment to improvement</w:t>
      </w:r>
      <w:r w:rsidR="00F77CD8" w:rsidRPr="00A37B14">
        <w:t xml:space="preserve">, even </w:t>
      </w:r>
      <w:r w:rsidR="009749C4" w:rsidRPr="00A37B14">
        <w:t>sometimes</w:t>
      </w:r>
      <w:r w:rsidR="005625A0" w:rsidRPr="00A37B14">
        <w:t xml:space="preserve">, as in the debates on </w:t>
      </w:r>
      <w:r w:rsidR="005625A0" w:rsidRPr="00A37B14">
        <w:lastRenderedPageBreak/>
        <w:t>materialism discussed below,</w:t>
      </w:r>
      <w:r w:rsidR="009749C4" w:rsidRPr="00A37B14">
        <w:t xml:space="preserve"> </w:t>
      </w:r>
      <w:r w:rsidR="00F77CD8" w:rsidRPr="00A37B14">
        <w:t xml:space="preserve">between those who shared same </w:t>
      </w:r>
      <w:r w:rsidR="0007388D" w:rsidRPr="00A37B14">
        <w:t xml:space="preserve">general </w:t>
      </w:r>
      <w:r w:rsidR="00F77CD8" w:rsidRPr="00A37B14">
        <w:t>commitment to freedom of enquiry in matters of religion</w:t>
      </w:r>
      <w:r w:rsidR="00FA6C16" w:rsidRPr="00A37B14">
        <w:t xml:space="preserve">. </w:t>
      </w:r>
    </w:p>
    <w:p w14:paraId="6F1AA629" w14:textId="3102C5D0" w:rsidR="00FD7E84" w:rsidRPr="008C7195" w:rsidRDefault="00FA6C16" w:rsidP="00A64A59">
      <w:pPr>
        <w:spacing w:line="480" w:lineRule="auto"/>
        <w:ind w:firstLine="720"/>
        <w:jc w:val="both"/>
      </w:pPr>
      <w:r w:rsidRPr="00840508">
        <w:t>One of the early papers encouraging a broad remit for the principle of improvement</w:t>
      </w:r>
      <w:r w:rsidR="009749C4" w:rsidRPr="00840508">
        <w:t xml:space="preserve"> at the society</w:t>
      </w:r>
      <w:r w:rsidRPr="00840508">
        <w:t xml:space="preserve"> was Thomas </w:t>
      </w:r>
      <w:r w:rsidR="00F77CD8" w:rsidRPr="00384599">
        <w:t xml:space="preserve">Henry’s </w:t>
      </w:r>
      <w:r w:rsidR="00970FE0" w:rsidRPr="00384599">
        <w:t>‘</w:t>
      </w:r>
      <w:r w:rsidR="005F33B9" w:rsidRPr="00384599">
        <w:t>On the Advantages of Literatur</w:t>
      </w:r>
      <w:r w:rsidR="008C0CE7" w:rsidRPr="009E06A6">
        <w:t>e and Philosophy in General</w:t>
      </w:r>
      <w:r w:rsidR="00A37B14">
        <w:t>,</w:t>
      </w:r>
      <w:r w:rsidR="00970FE0" w:rsidRPr="00840508">
        <w:t>’</w:t>
      </w:r>
      <w:r w:rsidR="00A37B14">
        <w:t xml:space="preserve"> read to the society in</w:t>
      </w:r>
      <w:r w:rsidR="00A64A59">
        <w:t xml:space="preserve"> October 1781</w:t>
      </w:r>
      <w:r w:rsidR="0007388D" w:rsidRPr="00840508">
        <w:t>.</w:t>
      </w:r>
      <w:r w:rsidR="00A64A59">
        <w:t xml:space="preserve"> </w:t>
      </w:r>
      <w:r w:rsidRPr="00840508">
        <w:t xml:space="preserve">Developing literary tastes, Henry told his listeners and readers, would allow </w:t>
      </w:r>
      <w:r w:rsidR="00F77CD8" w:rsidRPr="00384599">
        <w:t>them</w:t>
      </w:r>
      <w:r w:rsidRPr="00384599">
        <w:t xml:space="preserve"> to</w:t>
      </w:r>
      <w:r w:rsidR="00D60017" w:rsidRPr="00384599">
        <w:t xml:space="preserve"> </w:t>
      </w:r>
      <w:r w:rsidR="00970FE0" w:rsidRPr="009E06A6">
        <w:t>‘</w:t>
      </w:r>
      <w:r w:rsidR="00D60017" w:rsidRPr="00941517">
        <w:t xml:space="preserve">indulge </w:t>
      </w:r>
      <w:r w:rsidR="0007388D" w:rsidRPr="00941517">
        <w:t>[</w:t>
      </w:r>
      <w:r w:rsidRPr="008C7195">
        <w:t>…</w:t>
      </w:r>
      <w:r w:rsidR="0007388D" w:rsidRPr="008C7195">
        <w:t>]</w:t>
      </w:r>
      <w:r w:rsidR="00D60017" w:rsidRPr="008C7195">
        <w:t xml:space="preserve"> in sweet converse with the fair sex. A Montague, a Carter, a Barbauld, and a Seward, justly demand his notice</w:t>
      </w:r>
      <w:r w:rsidR="00970FE0" w:rsidRPr="008C7195">
        <w:t>’</w:t>
      </w:r>
      <w:r w:rsidR="0007388D" w:rsidRPr="008C7195">
        <w:t>.</w:t>
      </w:r>
      <w:r w:rsidR="00D60017" w:rsidRPr="008C7195">
        <w:t xml:space="preserve"> </w:t>
      </w:r>
      <w:r w:rsidR="005527A6" w:rsidRPr="008C7195">
        <w:t xml:space="preserve">Henry imagines </w:t>
      </w:r>
      <w:r w:rsidR="005625A0" w:rsidRPr="008C7195">
        <w:t xml:space="preserve">that </w:t>
      </w:r>
      <w:r w:rsidR="005527A6" w:rsidRPr="008C7195">
        <w:t>contact with these women writers</w:t>
      </w:r>
      <w:r w:rsidR="00511065" w:rsidRPr="008C7195">
        <w:t xml:space="preserve"> will </w:t>
      </w:r>
      <w:r w:rsidR="00970FE0" w:rsidRPr="008C7195">
        <w:t>‘</w:t>
      </w:r>
      <w:r w:rsidR="00511065" w:rsidRPr="008C7195">
        <w:t>refine his taste, polish his manners, and meliorate his morals</w:t>
      </w:r>
      <w:r w:rsidR="00970FE0" w:rsidRPr="008C7195">
        <w:t>’</w:t>
      </w:r>
      <w:r w:rsidR="0007388D" w:rsidRPr="008C7195">
        <w:t>.</w:t>
      </w:r>
      <w:r w:rsidR="001D74AC">
        <w:rPr>
          <w:rStyle w:val="EndnoteReference"/>
        </w:rPr>
        <w:endnoteReference w:id="19"/>
      </w:r>
      <w:r w:rsidR="00E10BB1" w:rsidRPr="008C7195">
        <w:t xml:space="preserve"> </w:t>
      </w:r>
      <w:r w:rsidRPr="008C7195">
        <w:t>When</w:t>
      </w:r>
      <w:r w:rsidR="00FB06D2" w:rsidRPr="008C7195">
        <w:t xml:space="preserve"> Manchester physician</w:t>
      </w:r>
      <w:r w:rsidR="00655966" w:rsidRPr="008C7195">
        <w:t xml:space="preserve"> </w:t>
      </w:r>
      <w:r w:rsidRPr="008C7195">
        <w:t xml:space="preserve">John Ferriar published his </w:t>
      </w:r>
      <w:r w:rsidRPr="008C7195">
        <w:rPr>
          <w:i/>
        </w:rPr>
        <w:t>The Prince of Angola</w:t>
      </w:r>
      <w:r w:rsidR="0029384A" w:rsidRPr="008C7195">
        <w:t xml:space="preserve"> (1788) in support of the campaign</w:t>
      </w:r>
      <w:r w:rsidR="009749C4" w:rsidRPr="008C7195">
        <w:t xml:space="preserve"> for the abolition of the slave trade</w:t>
      </w:r>
      <w:r w:rsidR="00FB06D2" w:rsidRPr="008C7195">
        <w:t xml:space="preserve"> supported by fellow members of the society like Henry and Percival, </w:t>
      </w:r>
      <w:r w:rsidRPr="008C7195">
        <w:t xml:space="preserve">he made a point </w:t>
      </w:r>
      <w:r w:rsidR="0029384A" w:rsidRPr="008C7195">
        <w:t>of</w:t>
      </w:r>
      <w:r w:rsidRPr="008C7195">
        <w:t xml:space="preserve"> celebrating the </w:t>
      </w:r>
      <w:r w:rsidR="0029384A" w:rsidRPr="008C7195">
        <w:t xml:space="preserve">role of women in the moral education of </w:t>
      </w:r>
      <w:r w:rsidR="009749C4" w:rsidRPr="008C7195">
        <w:t xml:space="preserve">commercial society, </w:t>
      </w:r>
      <w:r w:rsidR="00970FE0" w:rsidRPr="008C7195">
        <w:t>‘</w:t>
      </w:r>
      <w:r w:rsidR="0029384A" w:rsidRPr="008C7195">
        <w:t>which every man of a right heart will be proud to obtain</w:t>
      </w:r>
      <w:r w:rsidR="00970FE0" w:rsidRPr="008C7195">
        <w:t>’</w:t>
      </w:r>
      <w:r w:rsidR="0007388D" w:rsidRPr="008C7195">
        <w:t>.</w:t>
      </w:r>
      <w:r w:rsidR="006A3F5A" w:rsidRPr="008C7195">
        <w:rPr>
          <w:rStyle w:val="EndnoteReference"/>
        </w:rPr>
        <w:endnoteReference w:id="20"/>
      </w:r>
      <w:r w:rsidR="009749C4" w:rsidRPr="00A37B14">
        <w:t xml:space="preserve"> </w:t>
      </w:r>
      <w:r w:rsidR="00B74AD4" w:rsidRPr="00A37B14">
        <w:t xml:space="preserve">If </w:t>
      </w:r>
      <w:r w:rsidR="009749C4" w:rsidRPr="00A37B14">
        <w:t>Ferriar and Henry</w:t>
      </w:r>
      <w:r w:rsidR="00B74AD4" w:rsidRPr="00A37B14">
        <w:t xml:space="preserve"> </w:t>
      </w:r>
      <w:r w:rsidR="009749C4" w:rsidRPr="00A37B14">
        <w:t>figure</w:t>
      </w:r>
      <w:r w:rsidR="00B74AD4" w:rsidRPr="00A37B14">
        <w:t xml:space="preserve"> women as a softening influence on male manners</w:t>
      </w:r>
      <w:r w:rsidR="005625A0" w:rsidRPr="00A37B14">
        <w:t xml:space="preserve"> here</w:t>
      </w:r>
      <w:r w:rsidR="00B74AD4" w:rsidRPr="00A37B14">
        <w:t xml:space="preserve">, </w:t>
      </w:r>
      <w:r w:rsidR="006574C0" w:rsidRPr="00A37B14">
        <w:t>Manchester</w:t>
      </w:r>
      <w:r w:rsidR="0029384A" w:rsidRPr="00A37B14">
        <w:t>’s sense of the capabilities of women</w:t>
      </w:r>
      <w:r w:rsidR="009749C4" w:rsidRPr="00A37B14">
        <w:t xml:space="preserve"> was also evolving</w:t>
      </w:r>
      <w:r w:rsidR="00B74AD4" w:rsidRPr="00A37B14">
        <w:t xml:space="preserve"> </w:t>
      </w:r>
      <w:r w:rsidR="00F77CD8" w:rsidRPr="00A37B14">
        <w:t>into</w:t>
      </w:r>
      <w:r w:rsidR="009749C4" w:rsidRPr="00A37B14">
        <w:t xml:space="preserve"> what Arianne Chernock calls</w:t>
      </w:r>
      <w:r w:rsidR="006574C0" w:rsidRPr="00A37B14">
        <w:t xml:space="preserve"> </w:t>
      </w:r>
      <w:r w:rsidR="00970FE0" w:rsidRPr="00A37B14">
        <w:t>‘</w:t>
      </w:r>
      <w:r w:rsidR="006574C0" w:rsidRPr="00A37B14">
        <w:t>a lively, even if highly contested, conversation on the rights of women</w:t>
      </w:r>
      <w:r w:rsidR="00970FE0" w:rsidRPr="00A37B14">
        <w:t>’</w:t>
      </w:r>
      <w:r w:rsidR="0007388D" w:rsidRPr="00A37B14">
        <w:t>.</w:t>
      </w:r>
      <w:r w:rsidR="0029384A" w:rsidRPr="00A37B14">
        <w:rPr>
          <w:rStyle w:val="EndnoteReference"/>
        </w:rPr>
        <w:endnoteReference w:id="21"/>
      </w:r>
      <w:r w:rsidR="006574C0" w:rsidRPr="00A37B14">
        <w:t xml:space="preserve"> </w:t>
      </w:r>
      <w:r w:rsidR="003A7FCF" w:rsidRPr="00A37B14">
        <w:t>In</w:t>
      </w:r>
      <w:r w:rsidR="000435EE" w:rsidRPr="00A37B14">
        <w:t xml:space="preserve"> Ma</w:t>
      </w:r>
      <w:r w:rsidR="00A41806" w:rsidRPr="00A37B14">
        <w:t>rch</w:t>
      </w:r>
      <w:r w:rsidR="006574C0" w:rsidRPr="00A37B14">
        <w:t xml:space="preserve"> </w:t>
      </w:r>
      <w:r w:rsidR="000435EE" w:rsidRPr="00A37B14">
        <w:t>1787,</w:t>
      </w:r>
      <w:r w:rsidR="006574C0" w:rsidRPr="00A37B14">
        <w:t xml:space="preserve"> </w:t>
      </w:r>
      <w:r w:rsidR="00A41806" w:rsidRPr="00A37B14">
        <w:t xml:space="preserve">when </w:t>
      </w:r>
      <w:r w:rsidR="0045460B" w:rsidRPr="00A37B14">
        <w:t xml:space="preserve">Ferriar’s friend </w:t>
      </w:r>
      <w:r w:rsidR="006574C0" w:rsidRPr="00A37B14">
        <w:t xml:space="preserve">Thomas Cooper </w:t>
      </w:r>
      <w:r w:rsidR="000435EE" w:rsidRPr="00A37B14">
        <w:t>read his</w:t>
      </w:r>
      <w:r w:rsidR="006574C0" w:rsidRPr="00A37B14">
        <w:t xml:space="preserve"> </w:t>
      </w:r>
      <w:r w:rsidR="00970FE0" w:rsidRPr="008C7195">
        <w:t>‘</w:t>
      </w:r>
      <w:r w:rsidR="000435EE" w:rsidRPr="00840508">
        <w:t xml:space="preserve">Propositions respecting the </w:t>
      </w:r>
      <w:r w:rsidR="0045460B" w:rsidRPr="00840508">
        <w:t>Foundation of Civil Government</w:t>
      </w:r>
      <w:r w:rsidR="00970FE0" w:rsidRPr="00384599">
        <w:t>’</w:t>
      </w:r>
      <w:r w:rsidR="0007388D" w:rsidRPr="00384599">
        <w:t>,</w:t>
      </w:r>
      <w:r w:rsidR="000435EE" w:rsidRPr="00384599">
        <w:t xml:space="preserve"> </w:t>
      </w:r>
      <w:r w:rsidR="00A41806" w:rsidRPr="00384599">
        <w:t>he</w:t>
      </w:r>
      <w:r w:rsidR="00A41806" w:rsidRPr="00A37B14">
        <w:t xml:space="preserve"> </w:t>
      </w:r>
      <w:r w:rsidR="000435EE" w:rsidRPr="00A37B14">
        <w:t>suggested that assumptions</w:t>
      </w:r>
      <w:r w:rsidR="00655966" w:rsidRPr="00A37B14">
        <w:t xml:space="preserve"> </w:t>
      </w:r>
      <w:r w:rsidR="006574C0" w:rsidRPr="00A37B14">
        <w:t xml:space="preserve">about </w:t>
      </w:r>
      <w:r w:rsidR="00970FE0" w:rsidRPr="00A37B14">
        <w:t>‘</w:t>
      </w:r>
      <w:r w:rsidR="006574C0" w:rsidRPr="00A37B14">
        <w:t>self-direction</w:t>
      </w:r>
      <w:r w:rsidR="00970FE0" w:rsidRPr="00A37B14">
        <w:t>’</w:t>
      </w:r>
      <w:r w:rsidR="006574C0" w:rsidRPr="00A37B14">
        <w:t xml:space="preserve"> for </w:t>
      </w:r>
      <w:r w:rsidR="00970FE0" w:rsidRPr="00A37B14">
        <w:t>‘</w:t>
      </w:r>
      <w:r w:rsidR="006574C0" w:rsidRPr="00A37B14">
        <w:t>unmarried women at years of discretion</w:t>
      </w:r>
      <w:r w:rsidR="00970FE0" w:rsidRPr="00A37B14">
        <w:t>’</w:t>
      </w:r>
      <w:r w:rsidR="00A41806" w:rsidRPr="00A37B14">
        <w:t xml:space="preserve"> appeared</w:t>
      </w:r>
      <w:r w:rsidR="00A12132" w:rsidRPr="00A37B14">
        <w:t xml:space="preserve"> </w:t>
      </w:r>
      <w:r w:rsidR="00970FE0" w:rsidRPr="00A37B14">
        <w:t>‘</w:t>
      </w:r>
      <w:r w:rsidR="00A12132" w:rsidRPr="00A37B14">
        <w:t>to be inequitable</w:t>
      </w:r>
      <w:r w:rsidR="00970FE0" w:rsidRPr="00A37B14">
        <w:t>’</w:t>
      </w:r>
      <w:r w:rsidR="0007388D" w:rsidRPr="00A37B14">
        <w:t>,</w:t>
      </w:r>
      <w:r w:rsidR="00A12132" w:rsidRPr="00A37B14">
        <w:t xml:space="preserve"> </w:t>
      </w:r>
      <w:r w:rsidR="00A41806" w:rsidRPr="00A37B14">
        <w:t xml:space="preserve">a situation, he suggested, extended, </w:t>
      </w:r>
      <w:r w:rsidR="00970FE0" w:rsidRPr="00A37B14">
        <w:t>‘</w:t>
      </w:r>
      <w:r w:rsidR="00A41806" w:rsidRPr="00A37B14">
        <w:t>perhaps indeed to the married</w:t>
      </w:r>
      <w:r w:rsidR="00970FE0" w:rsidRPr="00E7173F">
        <w:t>’</w:t>
      </w:r>
      <w:r w:rsidR="0007388D" w:rsidRPr="00E7173F">
        <w:t>.</w:t>
      </w:r>
      <w:r w:rsidR="001D74AC">
        <w:rPr>
          <w:rStyle w:val="EndnoteReference"/>
        </w:rPr>
        <w:endnoteReference w:id="22"/>
      </w:r>
      <w:r w:rsidR="0014185B" w:rsidRPr="00E7173F">
        <w:t xml:space="preserve"> </w:t>
      </w:r>
      <w:r w:rsidR="003A7FCF" w:rsidRPr="00E7173F">
        <w:t xml:space="preserve">When the essay was republished as an appendix to his </w:t>
      </w:r>
      <w:r w:rsidR="00215F61" w:rsidRPr="00E7173F">
        <w:rPr>
          <w:i/>
        </w:rPr>
        <w:t>Reply to Mr. Burke's invective against Mr. Cooper, and Mr. Watt, in the House of Commons</w:t>
      </w:r>
      <w:r w:rsidR="00215F61" w:rsidRPr="00E7173F">
        <w:t xml:space="preserve"> (1792), he added a lengthy </w:t>
      </w:r>
      <w:r w:rsidR="006325BC" w:rsidRPr="00E7173F">
        <w:t xml:space="preserve">note </w:t>
      </w:r>
      <w:r w:rsidR="00A41806" w:rsidRPr="00E7173F">
        <w:t xml:space="preserve">on </w:t>
      </w:r>
      <w:r w:rsidR="00970FE0" w:rsidRPr="00E7173F">
        <w:t>‘</w:t>
      </w:r>
      <w:r w:rsidR="00215F61" w:rsidRPr="00E7173F">
        <w:t>the Rights of Woman</w:t>
      </w:r>
      <w:r w:rsidR="00970FE0" w:rsidRPr="00E7173F">
        <w:t>’</w:t>
      </w:r>
      <w:r w:rsidR="0007388D" w:rsidRPr="00E7173F">
        <w:t>,</w:t>
      </w:r>
      <w:r w:rsidR="00215F61" w:rsidRPr="00E7173F">
        <w:t xml:space="preserve"> a subject he claimed he had </w:t>
      </w:r>
      <w:r w:rsidR="00215F61" w:rsidRPr="00E7173F">
        <w:lastRenderedPageBreak/>
        <w:t xml:space="preserve">repeatedly considered since the essay was originally published. The note complains that women’s </w:t>
      </w:r>
      <w:r w:rsidR="00970FE0" w:rsidRPr="00E7173F">
        <w:t>‘</w:t>
      </w:r>
      <w:r w:rsidR="00215F61" w:rsidRPr="00E7173F">
        <w:t xml:space="preserve">Minds and </w:t>
      </w:r>
      <w:r w:rsidR="0007388D" w:rsidRPr="00E7173F">
        <w:t>[</w:t>
      </w:r>
      <w:r w:rsidR="00215F61" w:rsidRPr="00E7173F">
        <w:t>…</w:t>
      </w:r>
      <w:r w:rsidR="0007388D" w:rsidRPr="00E7173F">
        <w:t>]</w:t>
      </w:r>
      <w:r w:rsidR="00215F61" w:rsidRPr="00E7173F">
        <w:t xml:space="preserve"> Persons are kept in Subjection</w:t>
      </w:r>
      <w:r w:rsidR="00970FE0" w:rsidRPr="00E7173F">
        <w:t>’</w:t>
      </w:r>
      <w:r w:rsidR="0007388D" w:rsidRPr="00E7173F">
        <w:t>,</w:t>
      </w:r>
      <w:r w:rsidR="00215F61" w:rsidRPr="00E7173F">
        <w:t xml:space="preserve"> praising the work </w:t>
      </w:r>
      <w:r w:rsidR="0014185B" w:rsidRPr="00E7173F">
        <w:t xml:space="preserve">in particular </w:t>
      </w:r>
      <w:r w:rsidR="00215F61" w:rsidRPr="00E7173F">
        <w:t>of Barbauld, Seward, and Wollstonecraft</w:t>
      </w:r>
      <w:r w:rsidR="009749C4" w:rsidRPr="00E7173F">
        <w:t xml:space="preserve"> as evidence against </w:t>
      </w:r>
      <w:r w:rsidR="00970FE0" w:rsidRPr="00E7173F">
        <w:t>‘</w:t>
      </w:r>
      <w:r w:rsidR="00E05FEA" w:rsidRPr="00E7173F">
        <w:t xml:space="preserve">the present and most iniquitous and most absurd notions </w:t>
      </w:r>
      <w:r w:rsidR="00AC7D33" w:rsidRPr="00E7173F">
        <w:t>o</w:t>
      </w:r>
      <w:r w:rsidR="00E05FEA" w:rsidRPr="00E7173F">
        <w:t>n the Subject of the disparity of Sexes</w:t>
      </w:r>
      <w:r w:rsidR="00970FE0" w:rsidRPr="00E7173F">
        <w:t>’</w:t>
      </w:r>
      <w:r w:rsidR="0007388D" w:rsidRPr="00E7173F">
        <w:t>.</w:t>
      </w:r>
      <w:r w:rsidR="0045460B" w:rsidRPr="00E7173F">
        <w:rPr>
          <w:rStyle w:val="EndnoteReference"/>
        </w:rPr>
        <w:endnoteReference w:id="23"/>
      </w:r>
      <w:r w:rsidR="009749C4" w:rsidRPr="00E7173F">
        <w:t xml:space="preserve"> </w:t>
      </w:r>
      <w:r w:rsidR="00FD7E84" w:rsidRPr="00E7173F">
        <w:t xml:space="preserve">A fellow member of the society, George Phillips </w:t>
      </w:r>
      <w:r w:rsidR="00A12132" w:rsidRPr="00E7173F">
        <w:t xml:space="preserve">called </w:t>
      </w:r>
      <w:r w:rsidR="007B0EC3" w:rsidRPr="00E7173F">
        <w:t xml:space="preserve">for </w:t>
      </w:r>
      <w:r w:rsidR="00A12132" w:rsidRPr="00E7173F">
        <w:t xml:space="preserve">women to be given the vote in his </w:t>
      </w:r>
      <w:r w:rsidR="00A12132" w:rsidRPr="008C7195">
        <w:rPr>
          <w:i/>
        </w:rPr>
        <w:t>The Necessity of a Speedy and Effectual Reform in Parliament</w:t>
      </w:r>
      <w:r w:rsidR="00A12132" w:rsidRPr="008C7195">
        <w:t xml:space="preserve"> (1793)</w:t>
      </w:r>
      <w:r w:rsidR="007B0EC3" w:rsidRPr="00840508">
        <w:t xml:space="preserve">, although he later </w:t>
      </w:r>
      <w:r w:rsidR="00B43BD1" w:rsidRPr="00840508">
        <w:t xml:space="preserve">recanted these </w:t>
      </w:r>
      <w:r w:rsidR="00970FE0" w:rsidRPr="00840508">
        <w:t>‘</w:t>
      </w:r>
      <w:r w:rsidR="00B43BD1" w:rsidRPr="00384599">
        <w:t>wild enthusiastic hopes</w:t>
      </w:r>
      <w:r w:rsidR="00970FE0" w:rsidRPr="00384599">
        <w:t>’</w:t>
      </w:r>
      <w:r w:rsidR="009749C4" w:rsidRPr="00384599">
        <w:t xml:space="preserve"> as </w:t>
      </w:r>
      <w:r w:rsidR="00970FE0" w:rsidRPr="00941517">
        <w:t>‘</w:t>
      </w:r>
      <w:r w:rsidR="00B43BD1" w:rsidRPr="00941517">
        <w:t>unattainable</w:t>
      </w:r>
      <w:r w:rsidR="00970FE0" w:rsidRPr="00941517">
        <w:t>’</w:t>
      </w:r>
      <w:r w:rsidR="0007388D" w:rsidRPr="008C7195">
        <w:t>,</w:t>
      </w:r>
      <w:r w:rsidR="004F0A1F" w:rsidRPr="008C7195">
        <w:t xml:space="preserve"> </w:t>
      </w:r>
      <w:r w:rsidR="00B74AD4" w:rsidRPr="008C7195">
        <w:t xml:space="preserve">blaming </w:t>
      </w:r>
      <w:r w:rsidR="009459D4" w:rsidRPr="008C7195">
        <w:t xml:space="preserve">his earlier enthusiasm on </w:t>
      </w:r>
      <w:r w:rsidR="00B74AD4" w:rsidRPr="008C7195">
        <w:t>the influence of Cooper and Ferriar</w:t>
      </w:r>
      <w:r w:rsidR="00B43BD1" w:rsidRPr="008C7195">
        <w:t>.</w:t>
      </w:r>
      <w:r w:rsidR="0014185B" w:rsidRPr="00E7173F">
        <w:rPr>
          <w:rStyle w:val="EndnoteReference"/>
        </w:rPr>
        <w:endnoteReference w:id="24"/>
      </w:r>
      <w:r w:rsidR="00A12132" w:rsidRPr="00E7173F">
        <w:t xml:space="preserve"> </w:t>
      </w:r>
    </w:p>
    <w:p w14:paraId="0620AFE8" w14:textId="2017CB8D" w:rsidR="00506440" w:rsidRPr="001D74AC" w:rsidRDefault="009459D4" w:rsidP="00A37B14">
      <w:pPr>
        <w:widowControl w:val="0"/>
        <w:autoSpaceDE w:val="0"/>
        <w:autoSpaceDN w:val="0"/>
        <w:adjustRightInd w:val="0"/>
        <w:spacing w:line="480" w:lineRule="auto"/>
        <w:ind w:firstLine="720"/>
        <w:jc w:val="both"/>
      </w:pPr>
      <w:r w:rsidRPr="00E7173F">
        <w:t xml:space="preserve">Debates on the </w:t>
      </w:r>
      <w:r w:rsidR="00B74AD4" w:rsidRPr="00E7173F">
        <w:t xml:space="preserve">education of women </w:t>
      </w:r>
      <w:r w:rsidR="003F2725" w:rsidRPr="00E7173F">
        <w:t xml:space="preserve">were </w:t>
      </w:r>
      <w:r w:rsidR="00B74AD4" w:rsidRPr="00E7173F">
        <w:t xml:space="preserve">part of the common </w:t>
      </w:r>
      <w:r w:rsidR="004F0A1F" w:rsidRPr="00E7173F">
        <w:t>traffic that flowed between Liverpool and Manchester</w:t>
      </w:r>
      <w:r w:rsidRPr="00E7173F">
        <w:t>:</w:t>
      </w:r>
      <w:r w:rsidR="004F0A1F" w:rsidRPr="00E7173F">
        <w:t xml:space="preserve"> </w:t>
      </w:r>
      <w:r w:rsidR="005534A0" w:rsidRPr="00E7173F">
        <w:t>Currie</w:t>
      </w:r>
      <w:r w:rsidR="006325BC" w:rsidRPr="00E7173F">
        <w:t xml:space="preserve"> </w:t>
      </w:r>
      <w:r w:rsidR="00215F61" w:rsidRPr="00E7173F">
        <w:t>regularly insisted on his delight in the conversation of women</w:t>
      </w:r>
      <w:r w:rsidR="00906BC3" w:rsidRPr="00E7173F">
        <w:t xml:space="preserve">, </w:t>
      </w:r>
      <w:r w:rsidR="001D74AC">
        <w:t xml:space="preserve">and in February 1792 </w:t>
      </w:r>
      <w:r w:rsidR="00B74AD4" w:rsidRPr="00E7173F">
        <w:t xml:space="preserve">told Graham Moore that the Literary Club had debated </w:t>
      </w:r>
      <w:r w:rsidR="00906BC3" w:rsidRPr="00E7173F">
        <w:t xml:space="preserve">the </w:t>
      </w:r>
      <w:r w:rsidRPr="00E7173F">
        <w:t>question</w:t>
      </w:r>
      <w:r w:rsidR="00906BC3" w:rsidRPr="00E7173F">
        <w:t xml:space="preserve"> of </w:t>
      </w:r>
      <w:r w:rsidR="00F77CD8" w:rsidRPr="00E7173F">
        <w:t>female education</w:t>
      </w:r>
      <w:r w:rsidR="00906BC3" w:rsidRPr="00E7173F">
        <w:t>.</w:t>
      </w:r>
      <w:r w:rsidR="00906BC3" w:rsidRPr="00E7173F">
        <w:rPr>
          <w:rStyle w:val="EndnoteReference"/>
        </w:rPr>
        <w:endnoteReference w:id="25"/>
      </w:r>
      <w:r w:rsidR="007D12F7" w:rsidRPr="00E7173F">
        <w:t xml:space="preserve"> </w:t>
      </w:r>
      <w:r w:rsidR="00F77CD8" w:rsidRPr="00E7173F">
        <w:t>He had shown</w:t>
      </w:r>
      <w:r w:rsidR="00563B1E" w:rsidRPr="00E7173F">
        <w:t xml:space="preserve"> no compunction </w:t>
      </w:r>
      <w:r w:rsidR="00E10BB1" w:rsidRPr="00E7173F">
        <w:t>about</w:t>
      </w:r>
      <w:r w:rsidR="00563B1E" w:rsidRPr="00E7173F">
        <w:t xml:space="preserve"> discussing </w:t>
      </w:r>
      <w:r w:rsidR="00E10BB1" w:rsidRPr="00E7173F">
        <w:t>cutting-edge intellectual issues</w:t>
      </w:r>
      <w:r w:rsidR="00563B1E" w:rsidRPr="00E7173F">
        <w:t xml:space="preserve"> with</w:t>
      </w:r>
      <w:r w:rsidR="00833B72">
        <w:t xml:space="preserve"> the young</w:t>
      </w:r>
      <w:r w:rsidR="00563B1E" w:rsidRPr="00E7173F">
        <w:t xml:space="preserve"> </w:t>
      </w:r>
      <w:r w:rsidRPr="00E7173F">
        <w:t xml:space="preserve">Hannah </w:t>
      </w:r>
      <w:r w:rsidR="00833B72">
        <w:t>Lightbody Greg</w:t>
      </w:r>
      <w:r w:rsidR="00563B1E" w:rsidRPr="00E7173F">
        <w:t xml:space="preserve">, </w:t>
      </w:r>
      <w:r w:rsidR="006B3463" w:rsidRPr="00E7173F">
        <w:t xml:space="preserve">going over her commonplace book with her at length, and recommending </w:t>
      </w:r>
      <w:r w:rsidR="00906BC3" w:rsidRPr="00E7173F">
        <w:t>weighty</w:t>
      </w:r>
      <w:r w:rsidR="006B3463" w:rsidRPr="00E7173F">
        <w:t xml:space="preserve"> reading like Thomas Reid’s </w:t>
      </w:r>
      <w:r w:rsidR="001D74AC" w:rsidRPr="00833832">
        <w:rPr>
          <w:i/>
        </w:rPr>
        <w:t>Essays on the</w:t>
      </w:r>
      <w:r w:rsidR="001D74AC">
        <w:t xml:space="preserve"> </w:t>
      </w:r>
      <w:r w:rsidR="006B3463" w:rsidRPr="00E7173F">
        <w:rPr>
          <w:i/>
        </w:rPr>
        <w:t xml:space="preserve">Active Powers of </w:t>
      </w:r>
      <w:r w:rsidR="001D74AC">
        <w:rPr>
          <w:i/>
        </w:rPr>
        <w:t xml:space="preserve">Man </w:t>
      </w:r>
      <w:r w:rsidR="001D74AC">
        <w:t>(1788)</w:t>
      </w:r>
      <w:r w:rsidR="00906BC3" w:rsidRPr="00E7173F">
        <w:t xml:space="preserve">, </w:t>
      </w:r>
      <w:r w:rsidR="00540968" w:rsidRPr="00E7173F">
        <w:t xml:space="preserve">which he had reviewed for the </w:t>
      </w:r>
      <w:r w:rsidR="00540968" w:rsidRPr="00E7173F">
        <w:rPr>
          <w:i/>
        </w:rPr>
        <w:t>Analytical</w:t>
      </w:r>
      <w:r w:rsidR="006B3463" w:rsidRPr="00E7173F">
        <w:t>.</w:t>
      </w:r>
      <w:r w:rsidR="0081214B" w:rsidRPr="00E7173F">
        <w:rPr>
          <w:rStyle w:val="EndnoteReference"/>
        </w:rPr>
        <w:endnoteReference w:id="26"/>
      </w:r>
      <w:r w:rsidR="006B3463" w:rsidRPr="00E7173F">
        <w:t xml:space="preserve"> </w:t>
      </w:r>
      <w:r w:rsidRPr="00E7173F">
        <w:t xml:space="preserve">Her </w:t>
      </w:r>
      <w:r w:rsidR="006B3463" w:rsidRPr="00E7173F">
        <w:t>diary contains some vivid accounts of her involvement with</w:t>
      </w:r>
      <w:r w:rsidRPr="00E7173F">
        <w:t xml:space="preserve"> Currie and other members of</w:t>
      </w:r>
      <w:r w:rsidR="006B3463" w:rsidRPr="00E7173F">
        <w:t xml:space="preserve"> the Octonian Club</w:t>
      </w:r>
      <w:r w:rsidR="001D5593" w:rsidRPr="00E7173F">
        <w:t>:</w:t>
      </w:r>
      <w:r w:rsidR="00655966" w:rsidRPr="00E7173F">
        <w:t xml:space="preserve"> </w:t>
      </w:r>
      <w:r w:rsidR="00970FE0" w:rsidRPr="00E7173F">
        <w:t>‘</w:t>
      </w:r>
      <w:r w:rsidR="00506440" w:rsidRPr="008C7195">
        <w:t>a Society of Men</w:t>
      </w:r>
      <w:r w:rsidR="00970FE0" w:rsidRPr="00840508">
        <w:t>’</w:t>
      </w:r>
      <w:r w:rsidR="0007388D" w:rsidRPr="00840508">
        <w:t>,</w:t>
      </w:r>
      <w:r w:rsidR="001D5593" w:rsidRPr="00384599">
        <w:t xml:space="preserve"> </w:t>
      </w:r>
      <w:r w:rsidR="003F2725" w:rsidRPr="009E06A6">
        <w:t>she wrote</w:t>
      </w:r>
      <w:r w:rsidR="00E10BB1" w:rsidRPr="00941517">
        <w:t>,</w:t>
      </w:r>
      <w:r w:rsidR="00506440" w:rsidRPr="00941517">
        <w:t xml:space="preserve"> </w:t>
      </w:r>
      <w:r w:rsidR="00E10BB1" w:rsidRPr="00941517">
        <w:t>‘</w:t>
      </w:r>
      <w:r w:rsidR="00506440" w:rsidRPr="00941517">
        <w:t xml:space="preserve">who bring together in their various characters, Learning, Science, Vivacity, Seriousness and solid worth. In their </w:t>
      </w:r>
      <w:r w:rsidR="00506440" w:rsidRPr="008C7195">
        <w:t>conversation the heart and head share profit</w:t>
      </w:r>
      <w:r w:rsidR="00970FE0" w:rsidRPr="008C7195">
        <w:t>’</w:t>
      </w:r>
      <w:r w:rsidR="0007388D" w:rsidRPr="008C7195">
        <w:t>.</w:t>
      </w:r>
      <w:r w:rsidR="00506440" w:rsidRPr="008C7195">
        <w:t xml:space="preserve"> </w:t>
      </w:r>
      <w:r w:rsidR="00506440" w:rsidRPr="00E7173F">
        <w:t xml:space="preserve">Currie visited her a few days </w:t>
      </w:r>
      <w:r w:rsidR="00E10BB1" w:rsidRPr="00E7173F">
        <w:t>after she wrote this entry</w:t>
      </w:r>
      <w:r w:rsidR="00506440" w:rsidRPr="00E7173F">
        <w:t xml:space="preserve"> </w:t>
      </w:r>
      <w:r w:rsidR="00563B1E" w:rsidRPr="00E7173F">
        <w:t>and</w:t>
      </w:r>
      <w:r w:rsidR="00506440" w:rsidRPr="00E7173F">
        <w:t xml:space="preserve"> discussed the controversy between Clara Reeve and Anna Seward in the </w:t>
      </w:r>
      <w:r w:rsidR="00506440" w:rsidRPr="00E7173F">
        <w:rPr>
          <w:i/>
        </w:rPr>
        <w:t>Gentleman’s Magazine</w:t>
      </w:r>
      <w:r w:rsidR="007F369D" w:rsidRPr="00E7173F">
        <w:t xml:space="preserve"> on the right of women to choose and interpret literature</w:t>
      </w:r>
      <w:r w:rsidR="006B3463" w:rsidRPr="00E7173F">
        <w:t>.</w:t>
      </w:r>
      <w:r w:rsidR="004379F6" w:rsidRPr="00E7173F">
        <w:rPr>
          <w:rStyle w:val="EndnoteReference"/>
        </w:rPr>
        <w:endnoteReference w:id="27"/>
      </w:r>
      <w:r w:rsidRPr="008C7195">
        <w:t xml:space="preserve"> </w:t>
      </w:r>
      <w:r w:rsidR="006B3463" w:rsidRPr="008C7195">
        <w:t xml:space="preserve">When </w:t>
      </w:r>
      <w:r w:rsidR="00E10BB1" w:rsidRPr="00840508">
        <w:t>Currie’s</w:t>
      </w:r>
      <w:r w:rsidR="006B3463" w:rsidRPr="00840508">
        <w:t xml:space="preserve"> friend Thomas Christie</w:t>
      </w:r>
      <w:r w:rsidR="00540968" w:rsidRPr="00840508">
        <w:t xml:space="preserve">, editor of the </w:t>
      </w:r>
      <w:r w:rsidR="00540968" w:rsidRPr="00840508">
        <w:rPr>
          <w:i/>
        </w:rPr>
        <w:t>Analytical Review</w:t>
      </w:r>
      <w:r w:rsidR="00540968" w:rsidRPr="00384599">
        <w:t>,</w:t>
      </w:r>
      <w:r w:rsidR="006B3463" w:rsidRPr="00384599">
        <w:t xml:space="preserve"> came to see </w:t>
      </w:r>
      <w:r w:rsidR="006B3463" w:rsidRPr="00384599">
        <w:lastRenderedPageBreak/>
        <w:t xml:space="preserve">him in June 1787 to assess the intellectual life of the region, Currie engaged Hannah </w:t>
      </w:r>
      <w:r w:rsidR="00E7173F">
        <w:t xml:space="preserve">Greg </w:t>
      </w:r>
      <w:r w:rsidR="006B3463" w:rsidRPr="00384599">
        <w:t>to see him two days running.</w:t>
      </w:r>
      <w:r w:rsidR="00BE7233" w:rsidRPr="008C7195">
        <w:rPr>
          <w:rStyle w:val="EndnoteReference"/>
        </w:rPr>
        <w:endnoteReference w:id="28"/>
      </w:r>
      <w:r w:rsidR="006B3463" w:rsidRPr="00E7173F">
        <w:t xml:space="preserve"> </w:t>
      </w:r>
      <w:r w:rsidR="00BC0C95" w:rsidRPr="00E7173F">
        <w:t xml:space="preserve">She was certainly </w:t>
      </w:r>
      <w:r w:rsidRPr="00E7173F">
        <w:t>alert to</w:t>
      </w:r>
      <w:r w:rsidR="00BC0C95" w:rsidRPr="00E7173F">
        <w:t xml:space="preserve"> controversial </w:t>
      </w:r>
      <w:r w:rsidR="001D166F" w:rsidRPr="00E7173F">
        <w:t>topics exercising</w:t>
      </w:r>
      <w:r w:rsidRPr="00E7173F">
        <w:t xml:space="preserve"> the Literary and Philosophical Society at Manchester</w:t>
      </w:r>
      <w:r w:rsidR="00BC0C95" w:rsidRPr="00E7173F">
        <w:t xml:space="preserve">. </w:t>
      </w:r>
      <w:r w:rsidR="001F5407" w:rsidRPr="00E7173F">
        <w:t xml:space="preserve">A diary entry in </w:t>
      </w:r>
      <w:r w:rsidR="00BC0C95" w:rsidRPr="00E7173F">
        <w:t>February</w:t>
      </w:r>
      <w:r w:rsidR="001F5407" w:rsidRPr="00E7173F">
        <w:t xml:space="preserve"> shows</w:t>
      </w:r>
      <w:r w:rsidR="00506440" w:rsidRPr="00E7173F">
        <w:t xml:space="preserve"> </w:t>
      </w:r>
      <w:r w:rsidR="00563B1E" w:rsidRPr="00E7173F">
        <w:t>Mathew Nicholson</w:t>
      </w:r>
      <w:r w:rsidR="00BC0C95" w:rsidRPr="00E7173F">
        <w:t xml:space="preserve"> had</w:t>
      </w:r>
      <w:r w:rsidR="00563B1E" w:rsidRPr="00E7173F">
        <w:t xml:space="preserve"> visited </w:t>
      </w:r>
      <w:r w:rsidR="001F5407" w:rsidRPr="00E7173F">
        <w:t xml:space="preserve">and </w:t>
      </w:r>
      <w:r w:rsidR="00506440" w:rsidRPr="00E7173F">
        <w:t>discuss</w:t>
      </w:r>
      <w:r w:rsidR="00563B1E" w:rsidRPr="00E7173F">
        <w:t xml:space="preserve">ed </w:t>
      </w:r>
      <w:r w:rsidR="00970FE0" w:rsidRPr="008C7195">
        <w:t>‘</w:t>
      </w:r>
      <w:r w:rsidR="00506440" w:rsidRPr="00840508">
        <w:t xml:space="preserve">the dispute between Mr. Cooper and </w:t>
      </w:r>
      <w:r w:rsidR="001D166F" w:rsidRPr="00840508">
        <w:t>Dr.</w:t>
      </w:r>
      <w:r w:rsidR="00506440" w:rsidRPr="00840508">
        <w:t xml:space="preserve"> Ba</w:t>
      </w:r>
      <w:r w:rsidR="00415015" w:rsidRPr="00840508">
        <w:t>rnes on Material</w:t>
      </w:r>
      <w:r w:rsidR="00415015" w:rsidRPr="00384599">
        <w:t>ism</w:t>
      </w:r>
      <w:r w:rsidR="00970FE0" w:rsidRPr="00384599">
        <w:t>’</w:t>
      </w:r>
      <w:r w:rsidR="0007388D" w:rsidRPr="00384599">
        <w:t>.</w:t>
      </w:r>
      <w:r w:rsidR="00506440" w:rsidRPr="009E06A6">
        <w:t xml:space="preserve"> This exchange of papers</w:t>
      </w:r>
      <w:r w:rsidR="00BC0C95" w:rsidRPr="00941517">
        <w:t xml:space="preserve"> </w:t>
      </w:r>
      <w:r w:rsidR="001F5407" w:rsidRPr="00941517">
        <w:t xml:space="preserve">at the Manchester society </w:t>
      </w:r>
      <w:r w:rsidR="00BE7233" w:rsidRPr="00941517">
        <w:t xml:space="preserve">between the </w:t>
      </w:r>
      <w:r w:rsidR="00C5308E" w:rsidRPr="008C7195">
        <w:t xml:space="preserve">minister </w:t>
      </w:r>
      <w:r w:rsidR="00BE7233" w:rsidRPr="008C7195">
        <w:t>Barnes</w:t>
      </w:r>
      <w:r w:rsidRPr="008C7195">
        <w:t xml:space="preserve"> </w:t>
      </w:r>
      <w:r w:rsidR="00BE7233" w:rsidRPr="008C7195">
        <w:t xml:space="preserve">and the </w:t>
      </w:r>
      <w:r w:rsidR="00293A6F" w:rsidRPr="008C7195">
        <w:t xml:space="preserve">radical </w:t>
      </w:r>
      <w:r w:rsidR="00BE7233" w:rsidRPr="008C7195">
        <w:t xml:space="preserve">firebrand Cooper </w:t>
      </w:r>
      <w:r w:rsidR="00506440" w:rsidRPr="008C7195">
        <w:t xml:space="preserve">had </w:t>
      </w:r>
      <w:r w:rsidR="001F5407" w:rsidRPr="008C7195">
        <w:t xml:space="preserve">clearly </w:t>
      </w:r>
      <w:r w:rsidR="00506440" w:rsidRPr="008C7195">
        <w:t xml:space="preserve">travelled to Liverpool and </w:t>
      </w:r>
      <w:r w:rsidR="001F5407" w:rsidRPr="008C7195">
        <w:t xml:space="preserve">continued to </w:t>
      </w:r>
      <w:r w:rsidR="00506440" w:rsidRPr="008C7195">
        <w:t>ruffle more</w:t>
      </w:r>
      <w:r w:rsidR="00BC0C95" w:rsidRPr="008C7195">
        <w:t xml:space="preserve"> than</w:t>
      </w:r>
      <w:r w:rsidR="00506440" w:rsidRPr="008C7195">
        <w:t xml:space="preserve"> a few feathers</w:t>
      </w:r>
      <w:r w:rsidR="00BC0C95" w:rsidRPr="008C7195">
        <w:t>:</w:t>
      </w:r>
    </w:p>
    <w:p w14:paraId="2F0905AA" w14:textId="233B7BFE" w:rsidR="00506440" w:rsidRPr="00840508" w:rsidRDefault="001D166F" w:rsidP="00A37B14">
      <w:pPr>
        <w:widowControl w:val="0"/>
        <w:autoSpaceDE w:val="0"/>
        <w:autoSpaceDN w:val="0"/>
        <w:adjustRightInd w:val="0"/>
        <w:spacing w:line="480" w:lineRule="auto"/>
        <w:ind w:firstLine="720"/>
        <w:jc w:val="both"/>
      </w:pPr>
      <w:r w:rsidRPr="008C7195">
        <w:t>Dr.</w:t>
      </w:r>
      <w:r w:rsidR="00506440" w:rsidRPr="008C7195">
        <w:t xml:space="preserve"> Currie and </w:t>
      </w:r>
      <w:r w:rsidRPr="00840508">
        <w:t>Mr.</w:t>
      </w:r>
      <w:r w:rsidR="00506440" w:rsidRPr="00840508">
        <w:t xml:space="preserve"> [Richard] Godwin dined with us</w:t>
      </w:r>
      <w:r w:rsidR="00E40E29" w:rsidRPr="00840508">
        <w:t xml:space="preserve"> and </w:t>
      </w:r>
      <w:r w:rsidR="00506440" w:rsidRPr="00840508">
        <w:t>had an argument on</w:t>
      </w:r>
    </w:p>
    <w:p w14:paraId="082B0EF2" w14:textId="4C4D45A3" w:rsidR="00506440" w:rsidRPr="00384599" w:rsidRDefault="00506440" w:rsidP="00A37B14">
      <w:pPr>
        <w:widowControl w:val="0"/>
        <w:autoSpaceDE w:val="0"/>
        <w:autoSpaceDN w:val="0"/>
        <w:adjustRightInd w:val="0"/>
        <w:spacing w:line="480" w:lineRule="auto"/>
        <w:ind w:firstLine="720"/>
        <w:jc w:val="both"/>
      </w:pPr>
      <w:r w:rsidRPr="00384599">
        <w:t xml:space="preserve"> materialism on which </w:t>
      </w:r>
      <w:r w:rsidR="001D166F" w:rsidRPr="00384599">
        <w:t>Dr.</w:t>
      </w:r>
      <w:r w:rsidRPr="00384599">
        <w:t xml:space="preserve"> C shone very much – Mr. Godwin was a very liberal </w:t>
      </w:r>
    </w:p>
    <w:p w14:paraId="76E918A0" w14:textId="77777777" w:rsidR="00506440" w:rsidRPr="00941517" w:rsidRDefault="00E40E29" w:rsidP="00A37B14">
      <w:pPr>
        <w:widowControl w:val="0"/>
        <w:autoSpaceDE w:val="0"/>
        <w:autoSpaceDN w:val="0"/>
        <w:adjustRightInd w:val="0"/>
        <w:spacing w:line="480" w:lineRule="auto"/>
        <w:ind w:firstLine="720"/>
        <w:jc w:val="both"/>
      </w:pPr>
      <w:r w:rsidRPr="009E06A6">
        <w:t>defender of this doctrine.</w:t>
      </w:r>
    </w:p>
    <w:p w14:paraId="6762B399" w14:textId="77CF1EAE" w:rsidR="00415015" w:rsidRPr="001D74AC" w:rsidRDefault="00756365" w:rsidP="00A37B14">
      <w:pPr>
        <w:spacing w:line="480" w:lineRule="auto"/>
        <w:jc w:val="both"/>
      </w:pPr>
      <w:r>
        <w:t>Debates on materialism</w:t>
      </w:r>
      <w:r w:rsidR="001D74AC">
        <w:t xml:space="preserve"> were not regarded as improper topics </w:t>
      </w:r>
      <w:r w:rsidR="00506440" w:rsidRPr="008C7195">
        <w:t>for the Lightbody</w:t>
      </w:r>
      <w:r w:rsidR="001D74AC">
        <w:t xml:space="preserve"> family</w:t>
      </w:r>
      <w:r w:rsidR="00506440" w:rsidRPr="008C7195">
        <w:t xml:space="preserve"> tea table, even though the </w:t>
      </w:r>
      <w:r w:rsidR="00506440" w:rsidRPr="008C7195">
        <w:rPr>
          <w:i/>
        </w:rPr>
        <w:t>British Critic</w:t>
      </w:r>
      <w:r w:rsidR="00506440" w:rsidRPr="008C7195">
        <w:t xml:space="preserve"> thought </w:t>
      </w:r>
      <w:r w:rsidR="00747950" w:rsidRPr="008C7195">
        <w:t xml:space="preserve">the </w:t>
      </w:r>
      <w:r w:rsidR="00BC0C95" w:rsidRPr="008C7195">
        <w:t>dispute</w:t>
      </w:r>
      <w:r w:rsidR="00506440" w:rsidRPr="008C7195">
        <w:t xml:space="preserve"> ought not to have been </w:t>
      </w:r>
      <w:r w:rsidR="001F5407" w:rsidRPr="008C7195">
        <w:t xml:space="preserve">given </w:t>
      </w:r>
      <w:r w:rsidR="00BC0C95" w:rsidRPr="008C7195">
        <w:t>public</w:t>
      </w:r>
      <w:r w:rsidR="001F5407" w:rsidRPr="008C7195">
        <w:t>ity</w:t>
      </w:r>
      <w:r w:rsidR="00506440" w:rsidRPr="008C7195">
        <w:t xml:space="preserve"> </w:t>
      </w:r>
      <w:r w:rsidR="001F5407" w:rsidRPr="008C7195">
        <w:t xml:space="preserve">in the Manchester society’s </w:t>
      </w:r>
      <w:r w:rsidR="005543C4" w:rsidRPr="008C7195">
        <w:t xml:space="preserve">published </w:t>
      </w:r>
      <w:r w:rsidR="001F5407" w:rsidRPr="008C7195">
        <w:t>transactions</w:t>
      </w:r>
      <w:r w:rsidR="00506440" w:rsidRPr="008C7195">
        <w:t>.</w:t>
      </w:r>
      <w:r w:rsidR="00415015" w:rsidRPr="008C7195">
        <w:rPr>
          <w:rStyle w:val="EndnoteReference"/>
        </w:rPr>
        <w:t xml:space="preserve"> </w:t>
      </w:r>
      <w:r w:rsidR="00415015" w:rsidRPr="008C7195">
        <w:rPr>
          <w:rStyle w:val="EndnoteReference"/>
        </w:rPr>
        <w:endnoteReference w:id="29"/>
      </w:r>
      <w:r w:rsidR="00655966" w:rsidRPr="008C7195">
        <w:t xml:space="preserve"> </w:t>
      </w:r>
    </w:p>
    <w:p w14:paraId="5090EFFD" w14:textId="1ECAFE1D" w:rsidR="00397A16" w:rsidRPr="00A6055A" w:rsidRDefault="00415015" w:rsidP="00A37B14">
      <w:pPr>
        <w:autoSpaceDE w:val="0"/>
        <w:autoSpaceDN w:val="0"/>
        <w:adjustRightInd w:val="0"/>
        <w:spacing w:line="480" w:lineRule="auto"/>
        <w:ind w:firstLine="720"/>
        <w:jc w:val="both"/>
      </w:pPr>
      <w:r w:rsidRPr="001D74AC">
        <w:t xml:space="preserve">Even among Hannah Lightbody’s female friends, </w:t>
      </w:r>
      <w:r w:rsidR="0084496A" w:rsidRPr="001D74AC">
        <w:t xml:space="preserve">however, </w:t>
      </w:r>
      <w:r w:rsidRPr="001D74AC">
        <w:t xml:space="preserve">there were those who thought </w:t>
      </w:r>
      <w:r w:rsidR="005625A0" w:rsidRPr="001D74AC">
        <w:t xml:space="preserve">such </w:t>
      </w:r>
      <w:r w:rsidRPr="001D74AC">
        <w:t xml:space="preserve">topics might be a distraction from </w:t>
      </w:r>
      <w:r w:rsidR="005543C4" w:rsidRPr="001D74AC">
        <w:t>traditional</w:t>
      </w:r>
      <w:r w:rsidRPr="001D74AC">
        <w:t xml:space="preserve"> </w:t>
      </w:r>
      <w:r w:rsidR="0084496A" w:rsidRPr="001D74AC">
        <w:t>f</w:t>
      </w:r>
      <w:r w:rsidRPr="001D74AC">
        <w:t xml:space="preserve">emale duties. </w:t>
      </w:r>
      <w:r w:rsidR="007D12F7" w:rsidRPr="001D74AC">
        <w:t xml:space="preserve">Ann Cropper </w:t>
      </w:r>
      <w:r w:rsidR="00506440" w:rsidRPr="001D74AC">
        <w:t>fear</w:t>
      </w:r>
      <w:r w:rsidR="007D12F7" w:rsidRPr="001D74AC">
        <w:t>ed</w:t>
      </w:r>
      <w:r w:rsidR="00506440" w:rsidRPr="001D74AC">
        <w:t xml:space="preserve"> </w:t>
      </w:r>
      <w:r w:rsidR="00731E12" w:rsidRPr="001D74AC">
        <w:t>her young friend</w:t>
      </w:r>
      <w:r w:rsidR="00506440" w:rsidRPr="001D74AC">
        <w:t xml:space="preserve"> was endangering her marriage prospects by</w:t>
      </w:r>
      <w:r w:rsidR="007F369D" w:rsidRPr="001D74AC">
        <w:t xml:space="preserve"> ignoring </w:t>
      </w:r>
      <w:r w:rsidR="00970FE0" w:rsidRPr="001D74AC">
        <w:t>‘</w:t>
      </w:r>
      <w:r w:rsidR="007F369D" w:rsidRPr="001D74AC">
        <w:t>the</w:t>
      </w:r>
      <w:r w:rsidR="00655966" w:rsidRPr="001D74AC">
        <w:t xml:space="preserve"> </w:t>
      </w:r>
      <w:r w:rsidR="0084496A" w:rsidRPr="001D74AC">
        <w:t>accomplishments peculiar to the female province in domestic life</w:t>
      </w:r>
      <w:r w:rsidR="00970FE0" w:rsidRPr="00840508">
        <w:t>’</w:t>
      </w:r>
      <w:r w:rsidR="0007388D" w:rsidRPr="00840508">
        <w:t>.</w:t>
      </w:r>
      <w:r w:rsidRPr="00840508">
        <w:t xml:space="preserve"> </w:t>
      </w:r>
      <w:r w:rsidR="0084496A" w:rsidRPr="00384599">
        <w:t>The lengthy account of the</w:t>
      </w:r>
      <w:r w:rsidR="00731E12" w:rsidRPr="00384599">
        <w:t>ir</w:t>
      </w:r>
      <w:r w:rsidR="0084496A" w:rsidRPr="009E06A6">
        <w:t xml:space="preserve"> exchange in </w:t>
      </w:r>
      <w:r w:rsidR="00731E12" w:rsidRPr="00941517">
        <w:t xml:space="preserve">Lightbody’s </w:t>
      </w:r>
      <w:r w:rsidR="0084496A" w:rsidRPr="00941517">
        <w:t xml:space="preserve">diary records </w:t>
      </w:r>
      <w:r w:rsidR="005543C4" w:rsidRPr="00941517">
        <w:t>her</w:t>
      </w:r>
      <w:r w:rsidR="0084496A" w:rsidRPr="00941517">
        <w:t xml:space="preserve"> firm reply:</w:t>
      </w:r>
      <w:r w:rsidR="007F369D" w:rsidRPr="008C7195">
        <w:t xml:space="preserve"> </w:t>
      </w:r>
      <w:r w:rsidR="00970FE0" w:rsidRPr="008C7195">
        <w:t>‘</w:t>
      </w:r>
      <w:r w:rsidR="007F369D" w:rsidRPr="008C7195">
        <w:t xml:space="preserve">a woman of Sense and taste was likely to apply those faculties to whatever duties her situation presented </w:t>
      </w:r>
      <w:r w:rsidR="0007388D" w:rsidRPr="008C7195">
        <w:t>[</w:t>
      </w:r>
      <w:r w:rsidR="007F369D" w:rsidRPr="008C7195">
        <w:t>…</w:t>
      </w:r>
      <w:r w:rsidR="0007388D" w:rsidRPr="008C7195">
        <w:t>]</w:t>
      </w:r>
      <w:r w:rsidR="007F369D" w:rsidRPr="008C7195">
        <w:t xml:space="preserve"> </w:t>
      </w:r>
      <w:r w:rsidR="009F5A96" w:rsidRPr="008C7195">
        <w:t>a cultivated mind</w:t>
      </w:r>
      <w:r w:rsidR="007F369D" w:rsidRPr="008C7195">
        <w:t xml:space="preserve"> performed best the vulgarest of duties</w:t>
      </w:r>
      <w:r w:rsidR="00970FE0" w:rsidRPr="008C7195">
        <w:t>’</w:t>
      </w:r>
      <w:r w:rsidR="0007388D" w:rsidRPr="008C7195">
        <w:t>.</w:t>
      </w:r>
      <w:r w:rsidR="0084496A" w:rsidRPr="008C7195">
        <w:rPr>
          <w:rStyle w:val="EndnoteReference"/>
        </w:rPr>
        <w:endnoteReference w:id="30"/>
      </w:r>
      <w:r w:rsidR="007F369D" w:rsidRPr="008C7195">
        <w:t xml:space="preserve"> </w:t>
      </w:r>
      <w:r w:rsidR="005543C4" w:rsidRPr="00840508">
        <w:t xml:space="preserve">As it was, </w:t>
      </w:r>
      <w:r w:rsidR="0084496A" w:rsidRPr="00840508">
        <w:t xml:space="preserve">Hannah </w:t>
      </w:r>
      <w:r w:rsidR="008B795A" w:rsidRPr="00384599">
        <w:t>Lightbody met</w:t>
      </w:r>
      <w:r w:rsidR="00270C94" w:rsidRPr="00384599">
        <w:t xml:space="preserve"> her future husband</w:t>
      </w:r>
      <w:r w:rsidR="007F369D" w:rsidRPr="00384599">
        <w:t xml:space="preserve"> Samuel </w:t>
      </w:r>
      <w:r w:rsidR="00270C94" w:rsidRPr="00384599">
        <w:t xml:space="preserve">Greg </w:t>
      </w:r>
      <w:r w:rsidR="00563B1E" w:rsidRPr="009E06A6">
        <w:t xml:space="preserve">through the networks that connected Liverpool </w:t>
      </w:r>
      <w:r w:rsidR="008B795A" w:rsidRPr="00941517">
        <w:t xml:space="preserve">with </w:t>
      </w:r>
      <w:r w:rsidR="00563B1E" w:rsidRPr="00941517">
        <w:t>Manchester</w:t>
      </w:r>
      <w:r w:rsidR="0084496A" w:rsidRPr="00941517">
        <w:t xml:space="preserve"> in a</w:t>
      </w:r>
      <w:r w:rsidR="009459D4" w:rsidRPr="00941517">
        <w:t xml:space="preserve"> business</w:t>
      </w:r>
      <w:r w:rsidR="0084496A" w:rsidRPr="008C7195">
        <w:t xml:space="preserve"> world </w:t>
      </w:r>
      <w:r w:rsidR="00970FE0" w:rsidRPr="008C7195">
        <w:t>‘</w:t>
      </w:r>
      <w:r w:rsidR="0084496A" w:rsidRPr="008C7195">
        <w:t>where</w:t>
      </w:r>
      <w:r w:rsidR="009459D4" w:rsidRPr="008C7195">
        <w:t xml:space="preserve"> </w:t>
      </w:r>
      <w:r w:rsidR="00270C94" w:rsidRPr="008C7195">
        <w:t>personal cont</w:t>
      </w:r>
      <w:r w:rsidR="0084496A" w:rsidRPr="008C7195">
        <w:t>act was the essence of success</w:t>
      </w:r>
      <w:r w:rsidR="00970FE0" w:rsidRPr="008C7195">
        <w:t>’</w:t>
      </w:r>
      <w:r w:rsidR="0007388D" w:rsidRPr="008C7195">
        <w:t>.</w:t>
      </w:r>
      <w:r w:rsidR="0084496A" w:rsidRPr="008C7195">
        <w:rPr>
          <w:rStyle w:val="EndnoteReference"/>
        </w:rPr>
        <w:endnoteReference w:id="31"/>
      </w:r>
      <w:r w:rsidR="00270C94" w:rsidRPr="008C7195">
        <w:t xml:space="preserve"> Greg had set up his first cotton mill in </w:t>
      </w:r>
      <w:r w:rsidR="00270C94" w:rsidRPr="008C7195">
        <w:lastRenderedPageBreak/>
        <w:t xml:space="preserve">1784, </w:t>
      </w:r>
      <w:r w:rsidR="0007388D" w:rsidRPr="008C7195">
        <w:t xml:space="preserve">securing loans through </w:t>
      </w:r>
      <w:r w:rsidR="00270C94" w:rsidRPr="00840508">
        <w:t>social and family contacts</w:t>
      </w:r>
      <w:r w:rsidR="000D55E0">
        <w:t>;</w:t>
      </w:r>
      <w:r w:rsidR="00270C94" w:rsidRPr="00384599">
        <w:t xml:space="preserve"> relationship</w:t>
      </w:r>
      <w:r w:rsidR="008B795A" w:rsidRPr="00384599">
        <w:t>s</w:t>
      </w:r>
      <w:r w:rsidR="00270C94" w:rsidRPr="00384599">
        <w:t xml:space="preserve"> that must have been </w:t>
      </w:r>
      <w:r w:rsidR="007D12F7" w:rsidRPr="009E06A6">
        <w:t>cemented</w:t>
      </w:r>
      <w:r w:rsidR="00270C94" w:rsidRPr="00941517">
        <w:t xml:space="preserve"> </w:t>
      </w:r>
      <w:r w:rsidR="00D3622F" w:rsidRPr="00941517">
        <w:t xml:space="preserve">further </w:t>
      </w:r>
      <w:r w:rsidR="00270C94" w:rsidRPr="00941517">
        <w:t xml:space="preserve">when he joined the </w:t>
      </w:r>
      <w:r w:rsidR="00D3622F" w:rsidRPr="00941517">
        <w:t>Literary and Philosophical Society</w:t>
      </w:r>
      <w:r w:rsidR="00270C94" w:rsidRPr="008C7195">
        <w:t xml:space="preserve"> in 1790</w:t>
      </w:r>
      <w:r w:rsidR="000D55E0">
        <w:t>,</w:t>
      </w:r>
      <w:r w:rsidR="007D12F7" w:rsidRPr="008C7195">
        <w:t xml:space="preserve"> </w:t>
      </w:r>
      <w:r w:rsidR="00D3622F" w:rsidRPr="008C7195">
        <w:t>just after his marriage</w:t>
      </w:r>
      <w:r w:rsidR="00563B1E" w:rsidRPr="008C7195">
        <w:t xml:space="preserve">. </w:t>
      </w:r>
      <w:r w:rsidR="007D12F7" w:rsidRPr="008C7195">
        <w:t xml:space="preserve">Initially, though, </w:t>
      </w:r>
      <w:r w:rsidR="00D3622F" w:rsidRPr="008C7195">
        <w:t>Hannah Greg’s</w:t>
      </w:r>
      <w:r w:rsidR="00397A16" w:rsidRPr="008C7195">
        <w:t xml:space="preserve"> experience of married life</w:t>
      </w:r>
      <w:r w:rsidR="007D12F7" w:rsidRPr="008C7195">
        <w:t xml:space="preserve"> in Manchester</w:t>
      </w:r>
      <w:r w:rsidR="00397A16" w:rsidRPr="008C7195">
        <w:t xml:space="preserve"> was not </w:t>
      </w:r>
      <w:r w:rsidR="00D3622F" w:rsidRPr="008C7195">
        <w:t xml:space="preserve">a </w:t>
      </w:r>
      <w:r w:rsidR="00397A16" w:rsidRPr="008C7195">
        <w:t>happy</w:t>
      </w:r>
      <w:r w:rsidR="00D3622F" w:rsidRPr="008C7195">
        <w:t xml:space="preserve"> one</w:t>
      </w:r>
      <w:r w:rsidR="00397A16" w:rsidRPr="008C7195">
        <w:t xml:space="preserve">. </w:t>
      </w:r>
      <w:r w:rsidR="00C5308E" w:rsidRPr="008C7195">
        <w:t>S</w:t>
      </w:r>
      <w:r w:rsidR="008B795A" w:rsidRPr="008C7195">
        <w:t xml:space="preserve">he </w:t>
      </w:r>
      <w:r w:rsidR="00730250" w:rsidRPr="008C7195">
        <w:t>chafed against the</w:t>
      </w:r>
      <w:r w:rsidR="00397A16" w:rsidRPr="008C7195">
        <w:t xml:space="preserve"> </w:t>
      </w:r>
      <w:r w:rsidR="00970FE0" w:rsidRPr="008C7195">
        <w:t>‘</w:t>
      </w:r>
      <w:r w:rsidR="00730250" w:rsidRPr="00A6055A">
        <w:t>constant rain confinement and constraint &amp;c of Manchester</w:t>
      </w:r>
      <w:r w:rsidR="00970FE0" w:rsidRPr="00A6055A">
        <w:t>’</w:t>
      </w:r>
      <w:r w:rsidR="0007388D" w:rsidRPr="00A6055A">
        <w:t>.</w:t>
      </w:r>
      <w:r w:rsidR="00655966" w:rsidRPr="00840508">
        <w:t xml:space="preserve"> </w:t>
      </w:r>
      <w:r w:rsidR="00D3622F" w:rsidRPr="00840508">
        <w:t>E</w:t>
      </w:r>
      <w:r w:rsidR="007D12F7" w:rsidRPr="00840508">
        <w:t xml:space="preserve">ven early on in her diary, </w:t>
      </w:r>
      <w:r w:rsidR="00D07FD7" w:rsidRPr="00384599">
        <w:t xml:space="preserve">back in March 1787, </w:t>
      </w:r>
      <w:r w:rsidR="00D3622F" w:rsidRPr="00384599">
        <w:t>with marriage still only a</w:t>
      </w:r>
      <w:r w:rsidR="00D07FD7" w:rsidRPr="00384599">
        <w:t>n ind</w:t>
      </w:r>
      <w:r w:rsidR="00F77CD8" w:rsidRPr="00384599">
        <w:t>i</w:t>
      </w:r>
      <w:r w:rsidR="00D07FD7" w:rsidRPr="009E06A6">
        <w:t>stinct</w:t>
      </w:r>
      <w:r w:rsidR="00D3622F" w:rsidRPr="00941517">
        <w:t xml:space="preserve"> prospect, </w:t>
      </w:r>
      <w:r w:rsidR="007D12F7" w:rsidRPr="00941517">
        <w:t>she worried about losing</w:t>
      </w:r>
      <w:r w:rsidR="00D3622F" w:rsidRPr="00941517">
        <w:t xml:space="preserve"> </w:t>
      </w:r>
      <w:r w:rsidR="00970FE0" w:rsidRPr="008C7195">
        <w:t>‘</w:t>
      </w:r>
      <w:r w:rsidR="007F369D" w:rsidRPr="008C7195">
        <w:t>my favourite system of single</w:t>
      </w:r>
      <w:r w:rsidR="00D3622F" w:rsidRPr="008C7195">
        <w:t xml:space="preserve"> blessedness – independence &amp;c</w:t>
      </w:r>
      <w:r w:rsidR="00970FE0" w:rsidRPr="008C7195">
        <w:t>’</w:t>
      </w:r>
      <w:r w:rsidR="0007388D" w:rsidRPr="008C7195">
        <w:t>.</w:t>
      </w:r>
      <w:r w:rsidR="00F77CD8" w:rsidRPr="008C7195">
        <w:t xml:space="preserve"> </w:t>
      </w:r>
      <w:r w:rsidR="009F7722" w:rsidRPr="008C7195">
        <w:t>A</w:t>
      </w:r>
      <w:r w:rsidR="00F77CD8" w:rsidRPr="008C7195">
        <w:t xml:space="preserve">fter her move to Manchester, </w:t>
      </w:r>
      <w:r w:rsidR="009F7722" w:rsidRPr="008C7195">
        <w:t xml:space="preserve">William Rathbone </w:t>
      </w:r>
      <w:r w:rsidR="005543C4" w:rsidRPr="008C7195">
        <w:t>offered understanding for</w:t>
      </w:r>
      <w:r w:rsidR="00F77CD8" w:rsidRPr="008C7195">
        <w:t xml:space="preserve"> her </w:t>
      </w:r>
      <w:r w:rsidR="00970FE0" w:rsidRPr="008C7195">
        <w:t>‘</w:t>
      </w:r>
      <w:r w:rsidR="00F77CD8" w:rsidRPr="00A6055A">
        <w:rPr>
          <w:rFonts w:eastAsia="Times New Roman" w:cs="Arial"/>
          <w:shd w:val="clear" w:color="auto" w:fill="FFFFFF"/>
          <w:lang w:val="en-GB"/>
        </w:rPr>
        <w:t>wish to be unfettered by the common offices cares &amp; employments that form a woman’s province</w:t>
      </w:r>
      <w:r w:rsidR="00970FE0" w:rsidRPr="00A6055A">
        <w:rPr>
          <w:rFonts w:eastAsia="Times New Roman" w:cs="Arial"/>
          <w:shd w:val="clear" w:color="auto" w:fill="FFFFFF"/>
          <w:lang w:val="en-GB"/>
        </w:rPr>
        <w:t>’</w:t>
      </w:r>
      <w:r w:rsidR="0007388D" w:rsidRPr="00A6055A">
        <w:rPr>
          <w:rFonts w:eastAsia="Times New Roman" w:cs="Arial"/>
          <w:shd w:val="clear" w:color="auto" w:fill="FFFFFF"/>
          <w:lang w:val="en-GB"/>
        </w:rPr>
        <w:t>.</w:t>
      </w:r>
      <w:r w:rsidR="00731E12" w:rsidRPr="008C7195">
        <w:rPr>
          <w:rStyle w:val="EndnoteReference"/>
        </w:rPr>
        <w:endnoteReference w:id="32"/>
      </w:r>
      <w:r w:rsidR="00730250" w:rsidRPr="008C7195">
        <w:t xml:space="preserve"> </w:t>
      </w:r>
    </w:p>
    <w:p w14:paraId="14AA3193" w14:textId="3F478EDC" w:rsidR="002E65FB" w:rsidRPr="008C7195" w:rsidRDefault="009F5A96" w:rsidP="00A37B14">
      <w:pPr>
        <w:spacing w:line="480" w:lineRule="auto"/>
        <w:ind w:firstLine="720"/>
        <w:jc w:val="both"/>
      </w:pPr>
      <w:r w:rsidRPr="00A6055A">
        <w:t>Nevertheless</w:t>
      </w:r>
      <w:r w:rsidR="007D12F7" w:rsidRPr="00A6055A">
        <w:t>,</w:t>
      </w:r>
      <w:r w:rsidRPr="00A6055A">
        <w:t xml:space="preserve"> </w:t>
      </w:r>
      <w:r w:rsidR="00D07FD7" w:rsidRPr="00A6055A">
        <w:t xml:space="preserve">the enquiring </w:t>
      </w:r>
      <w:r w:rsidR="009D57EE" w:rsidRPr="00A6055A">
        <w:t>woman of the 1780s</w:t>
      </w:r>
      <w:r w:rsidR="00D07FD7" w:rsidRPr="00A6055A">
        <w:t>, with her developing interest</w:t>
      </w:r>
      <w:r w:rsidR="0040144C" w:rsidRPr="00A6055A">
        <w:t xml:space="preserve"> into the </w:t>
      </w:r>
      <w:r w:rsidR="005625A0" w:rsidRPr="00A6055A">
        <w:t>science of the mind</w:t>
      </w:r>
      <w:r w:rsidR="00D07FD7" w:rsidRPr="00A6055A">
        <w:t>,</w:t>
      </w:r>
      <w:r w:rsidRPr="00A6055A">
        <w:t xml:space="preserve"> did not </w:t>
      </w:r>
      <w:r w:rsidR="00747950" w:rsidRPr="00A6055A">
        <w:t xml:space="preserve">simply </w:t>
      </w:r>
      <w:r w:rsidRPr="00A6055A">
        <w:t>disappear into married life.</w:t>
      </w:r>
      <w:r w:rsidR="007F369D" w:rsidRPr="00A6055A">
        <w:t xml:space="preserve"> </w:t>
      </w:r>
      <w:r w:rsidR="008B795A" w:rsidRPr="00A6055A">
        <w:t>For one thing, s</w:t>
      </w:r>
      <w:r w:rsidR="007F369D" w:rsidRPr="00A6055A">
        <w:t xml:space="preserve">he continued her </w:t>
      </w:r>
      <w:r w:rsidR="009D57EE" w:rsidRPr="00A6055A">
        <w:t xml:space="preserve">intellectual </w:t>
      </w:r>
      <w:r w:rsidR="001F5407" w:rsidRPr="00A6055A">
        <w:t xml:space="preserve">exchanges </w:t>
      </w:r>
      <w:r w:rsidR="007F369D" w:rsidRPr="00A6055A">
        <w:t>with Currie</w:t>
      </w:r>
      <w:r w:rsidR="00397A16" w:rsidRPr="00A6055A">
        <w:t xml:space="preserve"> and </w:t>
      </w:r>
      <w:r w:rsidR="009D57EE" w:rsidRPr="00A6055A">
        <w:t xml:space="preserve">William </w:t>
      </w:r>
      <w:r w:rsidR="00397A16" w:rsidRPr="00A6055A">
        <w:t>Rathbone</w:t>
      </w:r>
      <w:r w:rsidR="009D57EE" w:rsidRPr="00A6055A">
        <w:t xml:space="preserve"> in Liverpool</w:t>
      </w:r>
      <w:r w:rsidR="007F369D" w:rsidRPr="00A6055A">
        <w:t xml:space="preserve">. </w:t>
      </w:r>
      <w:r w:rsidRPr="00A6055A">
        <w:t xml:space="preserve">Currie </w:t>
      </w:r>
      <w:r w:rsidR="006B3463" w:rsidRPr="00A6055A">
        <w:t xml:space="preserve">advised on her first book, </w:t>
      </w:r>
      <w:r w:rsidR="00904C36" w:rsidRPr="00A6055A">
        <w:t xml:space="preserve">recommending that </w:t>
      </w:r>
      <w:r w:rsidR="00904C36" w:rsidRPr="008C7195">
        <w:t>she should</w:t>
      </w:r>
      <w:r w:rsidR="00A90388" w:rsidRPr="008C7195">
        <w:t xml:space="preserve"> write her own preface and not </w:t>
      </w:r>
      <w:r w:rsidR="00970FE0" w:rsidRPr="00840508">
        <w:t>‘</w:t>
      </w:r>
      <w:r w:rsidR="00904C36" w:rsidRPr="00840508">
        <w:t>d</w:t>
      </w:r>
      <w:r w:rsidR="00A90388" w:rsidRPr="00384599">
        <w:t>eprecate or apologise too much</w:t>
      </w:r>
      <w:r w:rsidR="00970FE0" w:rsidRPr="009E06A6">
        <w:t>’</w:t>
      </w:r>
      <w:r w:rsidR="0007388D" w:rsidRPr="00941517">
        <w:t>.</w:t>
      </w:r>
      <w:r w:rsidR="00A90388" w:rsidRPr="008C7195">
        <w:rPr>
          <w:rStyle w:val="EndnoteReference"/>
        </w:rPr>
        <w:endnoteReference w:id="33"/>
      </w:r>
      <w:r w:rsidR="00904C36" w:rsidRPr="008C7195">
        <w:t xml:space="preserve"> </w:t>
      </w:r>
      <w:r w:rsidR="00FE5763" w:rsidRPr="008C7195">
        <w:t xml:space="preserve">Initially </w:t>
      </w:r>
      <w:r w:rsidR="008561C8" w:rsidRPr="00840508">
        <w:t>printed privately</w:t>
      </w:r>
      <w:r w:rsidR="005625A0" w:rsidRPr="00840508">
        <w:t xml:space="preserve"> as</w:t>
      </w:r>
      <w:r w:rsidR="00FE5763" w:rsidRPr="00840508">
        <w:t xml:space="preserve"> </w:t>
      </w:r>
      <w:r w:rsidR="00FE5763" w:rsidRPr="00384599">
        <w:rPr>
          <w:i/>
        </w:rPr>
        <w:t>Virtue made Easy</w:t>
      </w:r>
      <w:r w:rsidR="00FE5763" w:rsidRPr="00384599">
        <w:t xml:space="preserve"> (1799</w:t>
      </w:r>
      <w:r w:rsidR="005625A0" w:rsidRPr="00384599">
        <w:t>)</w:t>
      </w:r>
      <w:r w:rsidR="00FE5763" w:rsidRPr="00384599">
        <w:t xml:space="preserve"> for circulation among friends and family</w:t>
      </w:r>
      <w:r w:rsidR="005543C4" w:rsidRPr="00384599">
        <w:t xml:space="preserve"> only</w:t>
      </w:r>
      <w:r w:rsidR="00FE5763" w:rsidRPr="00384599">
        <w:t xml:space="preserve">, </w:t>
      </w:r>
      <w:r w:rsidR="005625A0" w:rsidRPr="00A6055A">
        <w:t xml:space="preserve">it was soon published as </w:t>
      </w:r>
      <w:r w:rsidR="005625A0" w:rsidRPr="00A6055A">
        <w:rPr>
          <w:i/>
        </w:rPr>
        <w:t xml:space="preserve">A </w:t>
      </w:r>
      <w:r w:rsidR="00A24F5B" w:rsidRPr="00A6055A">
        <w:rPr>
          <w:i/>
        </w:rPr>
        <w:t>C</w:t>
      </w:r>
      <w:r w:rsidRPr="00A6055A">
        <w:rPr>
          <w:i/>
        </w:rPr>
        <w:t xml:space="preserve">ollection of </w:t>
      </w:r>
      <w:r w:rsidR="00A24F5B" w:rsidRPr="00A6055A">
        <w:rPr>
          <w:i/>
        </w:rPr>
        <w:t>M</w:t>
      </w:r>
      <w:r w:rsidRPr="00A6055A">
        <w:rPr>
          <w:i/>
        </w:rPr>
        <w:t xml:space="preserve">axims, </w:t>
      </w:r>
      <w:r w:rsidR="00A24F5B" w:rsidRPr="00A6055A">
        <w:rPr>
          <w:i/>
        </w:rPr>
        <w:t>O</w:t>
      </w:r>
      <w:r w:rsidRPr="00A6055A">
        <w:rPr>
          <w:i/>
        </w:rPr>
        <w:t>bservations, etc</w:t>
      </w:r>
      <w:r w:rsidRPr="00A6055A">
        <w:t xml:space="preserve">, </w:t>
      </w:r>
      <w:r w:rsidR="00245932" w:rsidRPr="00A6055A">
        <w:t>and updated several times over the next few years</w:t>
      </w:r>
      <w:r w:rsidR="00FE5763" w:rsidRPr="00A6055A">
        <w:t>.</w:t>
      </w:r>
      <w:r w:rsidR="000818EF" w:rsidRPr="00A6055A">
        <w:t xml:space="preserve"> </w:t>
      </w:r>
      <w:r w:rsidR="001D166F" w:rsidRPr="00A6055A">
        <w:t xml:space="preserve">Making use of the book of extracts she and Currie had discussed a decade earlier, it included excerpts, for instance, from Reid’s </w:t>
      </w:r>
      <w:r w:rsidR="001D166F" w:rsidRPr="00A6055A">
        <w:rPr>
          <w:i/>
        </w:rPr>
        <w:t>Active Powers of the Mind</w:t>
      </w:r>
      <w:r w:rsidR="001D166F" w:rsidRPr="00A6055A">
        <w:t xml:space="preserve">, in one instance using Currie’s review in the </w:t>
      </w:r>
      <w:r w:rsidR="001D166F" w:rsidRPr="00A6055A">
        <w:rPr>
          <w:i/>
        </w:rPr>
        <w:t>Analytical</w:t>
      </w:r>
      <w:r w:rsidR="001D166F" w:rsidRPr="00A6055A">
        <w:t xml:space="preserve"> as a source, as well as quoting Mary Wollstonecraft.</w:t>
      </w:r>
      <w:r w:rsidR="001D166F" w:rsidRPr="00A6055A">
        <w:rPr>
          <w:rStyle w:val="EndnoteReference"/>
        </w:rPr>
        <w:endnoteReference w:id="34"/>
      </w:r>
      <w:r w:rsidR="001D166F" w:rsidRPr="00A6055A">
        <w:t xml:space="preserve"> Rend</w:t>
      </w:r>
      <w:r w:rsidR="00C5308E" w:rsidRPr="00A6055A">
        <w:t>a</w:t>
      </w:r>
      <w:r w:rsidR="001D166F" w:rsidRPr="00A6055A">
        <w:t xml:space="preserve">ll has shown the importance of Reid and his disciple Dugald Stewart to women of </w:t>
      </w:r>
      <w:r w:rsidR="00970FE0" w:rsidRPr="00A6055A">
        <w:t>‘</w:t>
      </w:r>
      <w:r w:rsidR="001D166F" w:rsidRPr="00A6055A">
        <w:t>moderate liberal backgrounds</w:t>
      </w:r>
      <w:r w:rsidR="00970FE0" w:rsidRPr="00A6055A">
        <w:t>’</w:t>
      </w:r>
      <w:r w:rsidR="008C7195" w:rsidRPr="00A6055A">
        <w:t>,</w:t>
      </w:r>
      <w:r w:rsidR="001D166F" w:rsidRPr="00A6055A">
        <w:t xml:space="preserve"> </w:t>
      </w:r>
      <w:r w:rsidR="002D30F9" w:rsidRPr="00A6055A">
        <w:t>including Maria Edgeworth and Elizabeth Hamilton, but her</w:t>
      </w:r>
      <w:r w:rsidR="00655966" w:rsidRPr="00A6055A">
        <w:t xml:space="preserve"> </w:t>
      </w:r>
      <w:r w:rsidR="002D30F9" w:rsidRPr="00A6055A">
        <w:t>account</w:t>
      </w:r>
      <w:r w:rsidR="001D166F" w:rsidRPr="00A6055A">
        <w:t xml:space="preserve"> would certainly fit Hannah Greg</w:t>
      </w:r>
      <w:r w:rsidR="002D30F9" w:rsidRPr="00A6055A">
        <w:t xml:space="preserve"> too</w:t>
      </w:r>
      <w:r w:rsidR="001D166F" w:rsidRPr="00A6055A">
        <w:t>.</w:t>
      </w:r>
      <w:r w:rsidR="001D166F" w:rsidRPr="00A6055A">
        <w:rPr>
          <w:rStyle w:val="EndnoteReference"/>
        </w:rPr>
        <w:endnoteReference w:id="35"/>
      </w:r>
      <w:r w:rsidR="001D166F" w:rsidRPr="00A6055A">
        <w:t xml:space="preserve"> Out of Reid’s response to Hume’s skepticism, Stewart</w:t>
      </w:r>
      <w:r w:rsidR="00567F38">
        <w:t xml:space="preserve">’s </w:t>
      </w:r>
      <w:r w:rsidR="00567F38" w:rsidRPr="004F3C6D">
        <w:rPr>
          <w:i/>
        </w:rPr>
        <w:t xml:space="preserve">Elements of the </w:t>
      </w:r>
      <w:r w:rsidR="00567F38" w:rsidRPr="004F3C6D">
        <w:rPr>
          <w:i/>
        </w:rPr>
        <w:lastRenderedPageBreak/>
        <w:t>Philosophy of the Human Mind</w:t>
      </w:r>
      <w:r w:rsidR="00567F38">
        <w:t xml:space="preserve"> (1792-1827)</w:t>
      </w:r>
      <w:r w:rsidR="001D166F" w:rsidRPr="00A6055A">
        <w:t xml:space="preserve"> developed a system of practical morality that placed great importance on early education predicated on </w:t>
      </w:r>
      <w:r w:rsidR="00567F38">
        <w:t xml:space="preserve">his hope that </w:t>
      </w:r>
      <w:r w:rsidR="00567F38" w:rsidRPr="00941517">
        <w:rPr>
          <w:rFonts w:eastAsia="Times New Roman"/>
          <w:lang w:val="en-GB"/>
        </w:rPr>
        <w:t>‘by watching over the impressions and associations which the mind receives in early life, to secure it against the influence of prevailing errors; and, as far as possible, to engage its prepossessions on the side of truth</w:t>
      </w:r>
      <w:r w:rsidR="00567F38" w:rsidRPr="008C7195">
        <w:rPr>
          <w:rFonts w:eastAsia="Times New Roman"/>
          <w:lang w:val="en-GB"/>
        </w:rPr>
        <w:t>’</w:t>
      </w:r>
      <w:r w:rsidR="00567F38" w:rsidRPr="00840508">
        <w:rPr>
          <w:rFonts w:eastAsia="Times New Roman"/>
          <w:lang w:val="en-GB"/>
        </w:rPr>
        <w:t>.</w:t>
      </w:r>
      <w:r w:rsidR="00567F38">
        <w:rPr>
          <w:rStyle w:val="EndnoteReference"/>
          <w:rFonts w:eastAsia="Times New Roman"/>
          <w:lang w:val="en-GB"/>
        </w:rPr>
        <w:endnoteReference w:id="36"/>
      </w:r>
      <w:r w:rsidR="00567F38" w:rsidRPr="00840508">
        <w:rPr>
          <w:rFonts w:eastAsia="Times New Roman"/>
          <w:lang w:val="en-GB"/>
        </w:rPr>
        <w:t xml:space="preserve"> </w:t>
      </w:r>
      <w:r w:rsidR="001D166F" w:rsidRPr="00A6055A">
        <w:t xml:space="preserve"> </w:t>
      </w:r>
      <w:r w:rsidR="0095580C" w:rsidRPr="008C7195">
        <w:rPr>
          <w:rFonts w:eastAsia="Times New Roman"/>
          <w:lang w:val="en-GB"/>
        </w:rPr>
        <w:t xml:space="preserve">In </w:t>
      </w:r>
      <w:r w:rsidR="0095580C" w:rsidRPr="008C7195">
        <w:rPr>
          <w:rFonts w:eastAsia="Times New Roman"/>
          <w:i/>
          <w:lang w:val="en-GB"/>
        </w:rPr>
        <w:t>Outlines of Mo</w:t>
      </w:r>
      <w:r w:rsidR="0095580C" w:rsidRPr="00840508">
        <w:rPr>
          <w:rFonts w:eastAsia="Times New Roman"/>
          <w:i/>
          <w:lang w:val="en-GB"/>
        </w:rPr>
        <w:t>ral Philosophy</w:t>
      </w:r>
      <w:r w:rsidR="0095580C" w:rsidRPr="00840508">
        <w:rPr>
          <w:rFonts w:eastAsia="Times New Roman"/>
          <w:lang w:val="en-GB"/>
        </w:rPr>
        <w:t xml:space="preserve"> (1793), </w:t>
      </w:r>
      <w:r w:rsidR="0092558F" w:rsidRPr="00840508">
        <w:rPr>
          <w:rFonts w:eastAsia="Times New Roman"/>
          <w:lang w:val="en-GB"/>
        </w:rPr>
        <w:t xml:space="preserve">originally </w:t>
      </w:r>
      <w:r w:rsidR="008561C8" w:rsidRPr="00384599">
        <w:rPr>
          <w:rFonts w:eastAsia="Times New Roman"/>
          <w:lang w:val="en-GB"/>
        </w:rPr>
        <w:t xml:space="preserve">intended for students, </w:t>
      </w:r>
      <w:r w:rsidR="0095580C" w:rsidRPr="00384599">
        <w:rPr>
          <w:rFonts w:eastAsia="Times New Roman"/>
          <w:lang w:val="en-GB"/>
        </w:rPr>
        <w:t xml:space="preserve">he </w:t>
      </w:r>
      <w:r w:rsidR="00567F38">
        <w:t xml:space="preserve">imagined the development of </w:t>
      </w:r>
      <w:r w:rsidR="00567F38" w:rsidRPr="00A6055A">
        <w:t xml:space="preserve"> ‘a science of the mind </w:t>
      </w:r>
      <w:r w:rsidR="00567F38" w:rsidRPr="00A6055A">
        <w:rPr>
          <w:rFonts w:eastAsia="Times New Roman" w:cs="Arial"/>
          <w:shd w:val="clear" w:color="auto" w:fill="FFFFFF"/>
          <w:lang w:val="en-GB"/>
        </w:rPr>
        <w:t>not inferior in certainty to the science of body’.</w:t>
      </w:r>
      <w:r w:rsidR="00567F38">
        <w:rPr>
          <w:rStyle w:val="EndnoteReference"/>
          <w:rFonts w:eastAsia="Times New Roman" w:cs="Arial"/>
          <w:shd w:val="clear" w:color="auto" w:fill="FFFFFF"/>
          <w:lang w:val="en-GB"/>
        </w:rPr>
        <w:endnoteReference w:id="37"/>
      </w:r>
      <w:r w:rsidR="00567F38" w:rsidRPr="00384599" w:rsidDel="00567F38">
        <w:rPr>
          <w:rFonts w:eastAsia="Times New Roman"/>
          <w:lang w:val="en-GB"/>
        </w:rPr>
        <w:t xml:space="preserve"> </w:t>
      </w:r>
      <w:r w:rsidR="0095580C" w:rsidRPr="00840508">
        <w:rPr>
          <w:rFonts w:eastAsia="Times New Roman"/>
          <w:lang w:val="en-GB"/>
        </w:rPr>
        <w:t xml:space="preserve">Greg was proud that she had read the </w:t>
      </w:r>
      <w:r w:rsidR="00970FE0" w:rsidRPr="00384599">
        <w:rPr>
          <w:rFonts w:eastAsia="Times New Roman"/>
          <w:lang w:val="en-GB"/>
        </w:rPr>
        <w:t>‘</w:t>
      </w:r>
      <w:r w:rsidR="008561C8" w:rsidRPr="00384599">
        <w:rPr>
          <w:rFonts w:eastAsia="Times New Roman"/>
          <w:lang w:val="en-GB"/>
        </w:rPr>
        <w:t>large works</w:t>
      </w:r>
      <w:r w:rsidR="00970FE0" w:rsidRPr="009E06A6">
        <w:rPr>
          <w:rFonts w:eastAsia="Times New Roman"/>
          <w:lang w:val="en-GB"/>
        </w:rPr>
        <w:t>’</w:t>
      </w:r>
      <w:r w:rsidR="0095580C" w:rsidRPr="00941517">
        <w:rPr>
          <w:rFonts w:eastAsia="Times New Roman"/>
          <w:lang w:val="en-GB"/>
        </w:rPr>
        <w:t xml:space="preserve"> of Reid and Stewart, and told Rathbone that </w:t>
      </w:r>
      <w:r w:rsidR="0095580C" w:rsidRPr="00941517">
        <w:rPr>
          <w:rFonts w:eastAsia="Times New Roman"/>
          <w:i/>
          <w:lang w:val="en-GB"/>
        </w:rPr>
        <w:t>Outlines</w:t>
      </w:r>
      <w:r w:rsidR="0095580C" w:rsidRPr="00941517">
        <w:rPr>
          <w:rFonts w:eastAsia="Times New Roman"/>
          <w:lang w:val="en-GB"/>
        </w:rPr>
        <w:t xml:space="preserve"> was just what she needed when ill</w:t>
      </w:r>
      <w:r w:rsidR="008561C8" w:rsidRPr="00941517">
        <w:rPr>
          <w:rFonts w:eastAsia="Times New Roman"/>
          <w:lang w:val="en-GB"/>
        </w:rPr>
        <w:t>:</w:t>
      </w:r>
      <w:r w:rsidR="0095580C" w:rsidRPr="008C7195">
        <w:rPr>
          <w:rFonts w:eastAsia="Times New Roman"/>
          <w:lang w:val="en-GB"/>
        </w:rPr>
        <w:t xml:space="preserve"> </w:t>
      </w:r>
      <w:r w:rsidR="008561C8" w:rsidRPr="008C7195">
        <w:rPr>
          <w:rFonts w:eastAsia="Times New Roman"/>
          <w:lang w:val="en-GB"/>
        </w:rPr>
        <w:t xml:space="preserve">it </w:t>
      </w:r>
      <w:r w:rsidR="0095580C" w:rsidRPr="008C7195">
        <w:rPr>
          <w:rFonts w:eastAsia="Times New Roman"/>
          <w:lang w:val="en-GB"/>
        </w:rPr>
        <w:t xml:space="preserve">would provide </w:t>
      </w:r>
      <w:r w:rsidR="008561C8" w:rsidRPr="008C7195">
        <w:rPr>
          <w:rFonts w:eastAsia="Times New Roman"/>
          <w:lang w:val="en-GB"/>
        </w:rPr>
        <w:t xml:space="preserve">her with </w:t>
      </w:r>
      <w:r w:rsidR="00970FE0" w:rsidRPr="008C7195">
        <w:rPr>
          <w:rFonts w:eastAsia="Times New Roman"/>
          <w:lang w:val="en-GB"/>
        </w:rPr>
        <w:t>‘</w:t>
      </w:r>
      <w:r w:rsidR="0095580C" w:rsidRPr="008C7195">
        <w:rPr>
          <w:rFonts w:eastAsia="Times New Roman"/>
          <w:lang w:val="en-GB"/>
        </w:rPr>
        <w:t>a text book for conversation</w:t>
      </w:r>
      <w:r w:rsidR="00970FE0" w:rsidRPr="008C7195">
        <w:rPr>
          <w:rFonts w:eastAsia="Times New Roman"/>
          <w:lang w:val="en-GB"/>
        </w:rPr>
        <w:t>’</w:t>
      </w:r>
      <w:r w:rsidR="008C7195" w:rsidRPr="00840508">
        <w:rPr>
          <w:rFonts w:eastAsia="Times New Roman"/>
          <w:lang w:val="en-GB"/>
        </w:rPr>
        <w:t>.</w:t>
      </w:r>
      <w:r w:rsidR="004F3C6D">
        <w:rPr>
          <w:rStyle w:val="EndnoteReference"/>
          <w:rFonts w:eastAsia="Times New Roman"/>
          <w:lang w:val="en-GB"/>
        </w:rPr>
        <w:endnoteReference w:id="38"/>
      </w:r>
      <w:r w:rsidR="0095580C" w:rsidRPr="00840508">
        <w:rPr>
          <w:rFonts w:eastAsia="Times New Roman"/>
          <w:lang w:val="en-GB"/>
        </w:rPr>
        <w:t xml:space="preserve"> </w:t>
      </w:r>
      <w:r w:rsidR="002F6AEC" w:rsidRPr="00840508">
        <w:rPr>
          <w:rFonts w:eastAsia="Times New Roman"/>
          <w:lang w:val="en-GB"/>
        </w:rPr>
        <w:t xml:space="preserve">Greg’s </w:t>
      </w:r>
      <w:r w:rsidR="00A77CDD">
        <w:rPr>
          <w:rFonts w:eastAsia="Times New Roman"/>
          <w:lang w:val="en-GB"/>
        </w:rPr>
        <w:t>dedication</w:t>
      </w:r>
      <w:r w:rsidR="00A77CDD" w:rsidRPr="00840508">
        <w:rPr>
          <w:rFonts w:eastAsia="Times New Roman"/>
          <w:lang w:val="en-GB"/>
        </w:rPr>
        <w:t xml:space="preserve"> </w:t>
      </w:r>
      <w:r w:rsidR="002F6AEC" w:rsidRPr="00840508">
        <w:rPr>
          <w:rFonts w:eastAsia="Times New Roman"/>
          <w:lang w:val="en-GB"/>
        </w:rPr>
        <w:t xml:space="preserve">to her daughter </w:t>
      </w:r>
      <w:r w:rsidR="00833B72">
        <w:rPr>
          <w:rFonts w:eastAsia="Times New Roman"/>
          <w:lang w:val="en-GB"/>
        </w:rPr>
        <w:t>Bessy</w:t>
      </w:r>
      <w:r w:rsidR="00B0385A" w:rsidRPr="00384599">
        <w:rPr>
          <w:rFonts w:eastAsia="Times New Roman"/>
          <w:lang w:val="en-GB"/>
        </w:rPr>
        <w:t xml:space="preserve"> </w:t>
      </w:r>
      <w:r w:rsidR="002F6AEC" w:rsidRPr="00384599">
        <w:rPr>
          <w:rFonts w:eastAsia="Times New Roman"/>
          <w:lang w:val="en-GB"/>
        </w:rPr>
        <w:t>at the start of her collection of maxims share</w:t>
      </w:r>
      <w:r w:rsidR="00A77CDD">
        <w:rPr>
          <w:rFonts w:eastAsia="Times New Roman"/>
          <w:lang w:val="en-GB"/>
        </w:rPr>
        <w:t>s</w:t>
      </w:r>
      <w:r w:rsidR="002F6AEC" w:rsidRPr="00384599">
        <w:rPr>
          <w:rFonts w:eastAsia="Times New Roman"/>
          <w:lang w:val="en-GB"/>
        </w:rPr>
        <w:t xml:space="preserve"> Stewart’s </w:t>
      </w:r>
      <w:r w:rsidR="009A0E74" w:rsidRPr="00384599">
        <w:rPr>
          <w:rFonts w:eastAsia="Times New Roman"/>
          <w:lang w:val="en-GB"/>
        </w:rPr>
        <w:t xml:space="preserve">faith that </w:t>
      </w:r>
      <w:r w:rsidR="005625A0" w:rsidRPr="009E06A6">
        <w:rPr>
          <w:rFonts w:eastAsia="Times New Roman"/>
          <w:lang w:val="en-GB"/>
        </w:rPr>
        <w:t xml:space="preserve">early measures </w:t>
      </w:r>
      <w:r w:rsidR="003B4659" w:rsidRPr="00941517">
        <w:rPr>
          <w:rFonts w:eastAsia="Times New Roman"/>
          <w:lang w:val="en-GB"/>
        </w:rPr>
        <w:t xml:space="preserve">would </w:t>
      </w:r>
      <w:r w:rsidR="005625A0" w:rsidRPr="00941517">
        <w:rPr>
          <w:rFonts w:eastAsia="Times New Roman"/>
          <w:lang w:val="en-GB"/>
        </w:rPr>
        <w:t>cement</w:t>
      </w:r>
      <w:r w:rsidR="009A0E74" w:rsidRPr="00941517">
        <w:rPr>
          <w:rFonts w:eastAsia="Times New Roman"/>
          <w:lang w:val="en-GB"/>
        </w:rPr>
        <w:t xml:space="preserve"> </w:t>
      </w:r>
      <w:r w:rsidR="00970FE0" w:rsidRPr="00941517">
        <w:rPr>
          <w:rFonts w:eastAsia="Times New Roman"/>
          <w:lang w:val="en-GB"/>
        </w:rPr>
        <w:t>‘</w:t>
      </w:r>
      <w:r w:rsidR="008614C7" w:rsidRPr="00941517">
        <w:rPr>
          <w:rFonts w:eastAsia="Times New Roman"/>
          <w:lang w:val="en-GB"/>
        </w:rPr>
        <w:t>the natural alliance between our duty and our happiness</w:t>
      </w:r>
      <w:r w:rsidR="00970FE0" w:rsidRPr="008C7195">
        <w:rPr>
          <w:rFonts w:eastAsia="Times New Roman"/>
          <w:lang w:val="en-GB"/>
        </w:rPr>
        <w:t>’</w:t>
      </w:r>
      <w:r w:rsidR="008C7195" w:rsidRPr="008C7195">
        <w:rPr>
          <w:rFonts w:eastAsia="Times New Roman"/>
          <w:lang w:val="en-GB"/>
        </w:rPr>
        <w:t>.</w:t>
      </w:r>
      <w:r w:rsidR="00480B10" w:rsidRPr="008C7195">
        <w:rPr>
          <w:rStyle w:val="EndnoteReference"/>
          <w:rFonts w:eastAsia="Times New Roman"/>
          <w:lang w:val="en-GB"/>
        </w:rPr>
        <w:endnoteReference w:id="39"/>
      </w:r>
      <w:r w:rsidR="008614C7" w:rsidRPr="008C7195">
        <w:rPr>
          <w:rFonts w:eastAsia="Times New Roman"/>
          <w:lang w:val="en-GB"/>
        </w:rPr>
        <w:t xml:space="preserve"> </w:t>
      </w:r>
      <w:r w:rsidR="00574B62" w:rsidRPr="00A77CDD">
        <w:rPr>
          <w:rFonts w:eastAsia="Times New Roman"/>
          <w:lang w:val="en-GB"/>
        </w:rPr>
        <w:t xml:space="preserve">Addressing </w:t>
      </w:r>
      <w:r w:rsidR="00833B72">
        <w:rPr>
          <w:rFonts w:eastAsia="Times New Roman"/>
          <w:lang w:val="en-GB"/>
        </w:rPr>
        <w:t>Bessy</w:t>
      </w:r>
      <w:r w:rsidR="00655966" w:rsidRPr="00A77CDD">
        <w:rPr>
          <w:rFonts w:eastAsia="Times New Roman"/>
          <w:lang w:val="en-GB"/>
        </w:rPr>
        <w:t xml:space="preserve"> </w:t>
      </w:r>
      <w:r w:rsidR="00574B62" w:rsidRPr="00A77CDD">
        <w:rPr>
          <w:rFonts w:eastAsia="Times New Roman"/>
          <w:lang w:val="en-GB"/>
        </w:rPr>
        <w:t xml:space="preserve">as a </w:t>
      </w:r>
      <w:r w:rsidR="00970FE0" w:rsidRPr="00A77CDD">
        <w:t>‘</w:t>
      </w:r>
      <w:r w:rsidR="00574B62" w:rsidRPr="00A77CDD">
        <w:t>beloved</w:t>
      </w:r>
      <w:r w:rsidR="00574B62" w:rsidRPr="00384599">
        <w:t xml:space="preserve"> companion</w:t>
      </w:r>
      <w:r w:rsidR="00970FE0" w:rsidRPr="00384599">
        <w:t>’</w:t>
      </w:r>
      <w:r w:rsidR="00574B62" w:rsidRPr="009E06A6">
        <w:t xml:space="preserve"> </w:t>
      </w:r>
      <w:r w:rsidR="005625A0" w:rsidRPr="00941517">
        <w:t>to be</w:t>
      </w:r>
      <w:r w:rsidR="00574B62" w:rsidRPr="00941517">
        <w:t xml:space="preserve"> influence</w:t>
      </w:r>
      <w:r w:rsidR="005625A0" w:rsidRPr="00941517">
        <w:t>d</w:t>
      </w:r>
      <w:r w:rsidR="00574B62" w:rsidRPr="00941517">
        <w:t xml:space="preserve"> by </w:t>
      </w:r>
      <w:r w:rsidR="00970FE0" w:rsidRPr="00941517">
        <w:t>‘</w:t>
      </w:r>
      <w:r w:rsidR="00574B62" w:rsidRPr="008C7195">
        <w:t>esteem and confidence</w:t>
      </w:r>
      <w:r w:rsidR="00970FE0" w:rsidRPr="008C7195">
        <w:t>’</w:t>
      </w:r>
      <w:r w:rsidR="00574B62" w:rsidRPr="008C7195">
        <w:t xml:space="preserve"> rather than simpl</w:t>
      </w:r>
      <w:r w:rsidR="005625A0" w:rsidRPr="008C7195">
        <w:t>e</w:t>
      </w:r>
      <w:r w:rsidR="00574B62" w:rsidRPr="008C7195">
        <w:t xml:space="preserve"> </w:t>
      </w:r>
      <w:r w:rsidR="00970FE0" w:rsidRPr="008C7195">
        <w:t>‘</w:t>
      </w:r>
      <w:r w:rsidR="00574B62" w:rsidRPr="008C7195">
        <w:t>filial duty</w:t>
      </w:r>
      <w:r w:rsidR="00970FE0" w:rsidRPr="008C7195">
        <w:t>’</w:t>
      </w:r>
      <w:r w:rsidR="008C7195" w:rsidRPr="008C7195">
        <w:t>,</w:t>
      </w:r>
      <w:r w:rsidR="00574B62" w:rsidRPr="008C7195">
        <w:t xml:space="preserve"> Greg </w:t>
      </w:r>
      <w:r w:rsidR="005625A0" w:rsidRPr="008C7195">
        <w:t xml:space="preserve">encouraged the regular </w:t>
      </w:r>
      <w:r w:rsidR="00574B62" w:rsidRPr="008C7195">
        <w:t xml:space="preserve">perusal of </w:t>
      </w:r>
      <w:r w:rsidR="005625A0" w:rsidRPr="008C7195">
        <w:t xml:space="preserve">her </w:t>
      </w:r>
      <w:r w:rsidR="00574B62" w:rsidRPr="008C7195">
        <w:t xml:space="preserve">maxims </w:t>
      </w:r>
      <w:r w:rsidR="005625A0" w:rsidRPr="008C7195">
        <w:t xml:space="preserve">to </w:t>
      </w:r>
      <w:r w:rsidR="00970FE0" w:rsidRPr="008C7195">
        <w:t>‘</w:t>
      </w:r>
      <w:r w:rsidR="00574B62" w:rsidRPr="008C7195">
        <w:t>strengthen their impression on your mind</w:t>
      </w:r>
      <w:r w:rsidR="00970FE0" w:rsidRPr="008C7195">
        <w:t>’</w:t>
      </w:r>
      <w:r w:rsidR="00574B62" w:rsidRPr="008C7195">
        <w:t xml:space="preserve"> so that they will </w:t>
      </w:r>
      <w:r w:rsidR="00970FE0" w:rsidRPr="008C7195">
        <w:t>‘</w:t>
      </w:r>
      <w:r w:rsidR="00574B62" w:rsidRPr="008C7195">
        <w:t>more readily occur to you on the several occasions of application which your progress through life will supply</w:t>
      </w:r>
      <w:r w:rsidR="00970FE0" w:rsidRPr="008C7195">
        <w:t>’</w:t>
      </w:r>
      <w:r w:rsidR="008C7195" w:rsidRPr="008C7195">
        <w:t>.</w:t>
      </w:r>
      <w:r w:rsidR="00C5308E" w:rsidRPr="008C7195">
        <w:rPr>
          <w:rStyle w:val="EndnoteReference"/>
          <w:rFonts w:eastAsia="Times New Roman"/>
          <w:lang w:val="en-GB"/>
        </w:rPr>
        <w:t xml:space="preserve"> </w:t>
      </w:r>
      <w:r w:rsidR="00C5308E" w:rsidRPr="008C7195">
        <w:rPr>
          <w:rStyle w:val="EndnoteReference"/>
          <w:rFonts w:eastAsia="Times New Roman"/>
          <w:lang w:val="en-GB"/>
        </w:rPr>
        <w:endnoteReference w:id="40"/>
      </w:r>
      <w:r w:rsidR="00C5308E" w:rsidRPr="008C7195">
        <w:rPr>
          <w:rFonts w:eastAsia="Times New Roman"/>
          <w:lang w:val="en-GB"/>
        </w:rPr>
        <w:t xml:space="preserve"> </w:t>
      </w:r>
    </w:p>
    <w:p w14:paraId="63539CF7" w14:textId="5A1570B2" w:rsidR="00747950" w:rsidRPr="00736468" w:rsidRDefault="00833B72" w:rsidP="00A37B14">
      <w:pPr>
        <w:spacing w:line="480" w:lineRule="auto"/>
        <w:ind w:firstLine="720"/>
        <w:jc w:val="both"/>
      </w:pPr>
      <w:r>
        <w:t xml:space="preserve">Lightbody </w:t>
      </w:r>
      <w:r w:rsidR="00574B62" w:rsidRPr="008C7195">
        <w:t>Greg</w:t>
      </w:r>
      <w:r w:rsidR="008C7195" w:rsidRPr="008C7195">
        <w:t>’s</w:t>
      </w:r>
      <w:r w:rsidR="00574B62" w:rsidRPr="008C7195">
        <w:t xml:space="preserve"> esteem for Reid and Stewart </w:t>
      </w:r>
      <w:r w:rsidR="00B0385A" w:rsidRPr="008C7195">
        <w:t>extended to</w:t>
      </w:r>
      <w:r w:rsidR="00574B62" w:rsidRPr="008C7195">
        <w:t xml:space="preserve"> Maria Edgew</w:t>
      </w:r>
      <w:r w:rsidR="002E65FB" w:rsidRPr="008C7195">
        <w:t xml:space="preserve">orth, who she admired both </w:t>
      </w:r>
      <w:r w:rsidR="002E65FB" w:rsidRPr="00840508">
        <w:t>as a</w:t>
      </w:r>
      <w:r w:rsidR="00574B62" w:rsidRPr="00840508">
        <w:t>n educational writer and</w:t>
      </w:r>
      <w:r w:rsidR="003B4659" w:rsidRPr="00384599">
        <w:t xml:space="preserve"> as</w:t>
      </w:r>
      <w:r w:rsidR="00574B62" w:rsidRPr="00384599">
        <w:t xml:space="preserve"> a novelist</w:t>
      </w:r>
      <w:r w:rsidR="003B4659" w:rsidRPr="00384599">
        <w:t xml:space="preserve"> (o</w:t>
      </w:r>
      <w:r w:rsidR="00574B62" w:rsidRPr="009E06A6">
        <w:t>ne of the few she recommende</w:t>
      </w:r>
      <w:r w:rsidR="003B4659" w:rsidRPr="00941517">
        <w:t>d</w:t>
      </w:r>
      <w:r w:rsidR="00574B62" w:rsidRPr="00941517">
        <w:t xml:space="preserve"> </w:t>
      </w:r>
      <w:r w:rsidR="000763D6" w:rsidRPr="00941517">
        <w:t xml:space="preserve">for </w:t>
      </w:r>
      <w:r w:rsidR="00574B62" w:rsidRPr="00941517">
        <w:t>her children</w:t>
      </w:r>
      <w:r w:rsidR="003B4659" w:rsidRPr="00941517">
        <w:t xml:space="preserve">). </w:t>
      </w:r>
      <w:r w:rsidR="0095580C" w:rsidRPr="008C7195">
        <w:t xml:space="preserve">Her discussion of Stewart’s </w:t>
      </w:r>
      <w:r w:rsidR="0095580C" w:rsidRPr="008C7195">
        <w:rPr>
          <w:i/>
        </w:rPr>
        <w:t>Outlines</w:t>
      </w:r>
      <w:r w:rsidR="0095580C" w:rsidRPr="008C7195">
        <w:t xml:space="preserve"> </w:t>
      </w:r>
      <w:r w:rsidR="000763D6" w:rsidRPr="008C7195">
        <w:t xml:space="preserve">in 1806 moved naturally to her belief that </w:t>
      </w:r>
      <w:r w:rsidR="00970FE0" w:rsidRPr="008C7195">
        <w:t>‘</w:t>
      </w:r>
      <w:r w:rsidR="000763D6" w:rsidRPr="008C7195">
        <w:rPr>
          <w:u w:val="single"/>
        </w:rPr>
        <w:t>perpetual observation by older person’s</w:t>
      </w:r>
      <w:r w:rsidR="000763D6" w:rsidRPr="008C7195">
        <w:t xml:space="preserve"> is particularly necessary in reading Novels to young people</w:t>
      </w:r>
      <w:r w:rsidR="00970FE0" w:rsidRPr="008C7195">
        <w:t>’</w:t>
      </w:r>
      <w:r w:rsidR="008C7195">
        <w:t>,</w:t>
      </w:r>
      <w:r w:rsidR="000763D6" w:rsidRPr="008C7195">
        <w:t xml:space="preserve"> and then</w:t>
      </w:r>
      <w:r w:rsidR="008561C8" w:rsidRPr="008C7195">
        <w:t xml:space="preserve"> on to</w:t>
      </w:r>
      <w:r w:rsidR="000763D6" w:rsidRPr="008C7195">
        <w:t xml:space="preserve"> the merits of Edgeworth’s fiction.</w:t>
      </w:r>
      <w:r w:rsidR="000763D6" w:rsidRPr="008C7195">
        <w:rPr>
          <w:rStyle w:val="EndnoteReference"/>
        </w:rPr>
        <w:endnoteReference w:id="41"/>
      </w:r>
      <w:r w:rsidR="000763D6" w:rsidRPr="008C7195">
        <w:t xml:space="preserve"> </w:t>
      </w:r>
      <w:r w:rsidR="003B4659" w:rsidRPr="008C7195">
        <w:t xml:space="preserve">When </w:t>
      </w:r>
      <w:r w:rsidR="003B4659" w:rsidRPr="00736468">
        <w:t>the writer</w:t>
      </w:r>
      <w:r w:rsidR="0074311D" w:rsidRPr="00736468">
        <w:t xml:space="preserve"> </w:t>
      </w:r>
      <w:r w:rsidR="003B4659" w:rsidRPr="00736468">
        <w:t xml:space="preserve">visited the area </w:t>
      </w:r>
      <w:r w:rsidR="004A3F3D" w:rsidRPr="00736468">
        <w:t xml:space="preserve">in </w:t>
      </w:r>
      <w:r w:rsidR="002E65FB" w:rsidRPr="00736468">
        <w:t>1813</w:t>
      </w:r>
      <w:r w:rsidR="003B4659" w:rsidRPr="00736468">
        <w:t xml:space="preserve">, </w:t>
      </w:r>
      <w:r>
        <w:t xml:space="preserve">Hannah Lightbody </w:t>
      </w:r>
      <w:r w:rsidR="008561C8" w:rsidRPr="00736468">
        <w:t xml:space="preserve">Greg </w:t>
      </w:r>
      <w:r w:rsidR="003B4659" w:rsidRPr="00736468">
        <w:t xml:space="preserve">hurried to meet her, disappointed only that </w:t>
      </w:r>
      <w:r w:rsidR="000763D6" w:rsidRPr="00736468">
        <w:t xml:space="preserve">Richard </w:t>
      </w:r>
      <w:r w:rsidR="005F0F21">
        <w:t xml:space="preserve">Lovell </w:t>
      </w:r>
      <w:r w:rsidR="000763D6" w:rsidRPr="00736468">
        <w:t xml:space="preserve">Edgeworth </w:t>
      </w:r>
      <w:r>
        <w:lastRenderedPageBreak/>
        <w:t xml:space="preserve">continually </w:t>
      </w:r>
      <w:r w:rsidR="003B4659" w:rsidRPr="00736468">
        <w:t xml:space="preserve">talked over </w:t>
      </w:r>
      <w:r w:rsidR="000763D6" w:rsidRPr="00736468">
        <w:t>his daughter</w:t>
      </w:r>
      <w:r w:rsidR="009D57EE" w:rsidRPr="00736468">
        <w:t>.</w:t>
      </w:r>
      <w:r w:rsidR="004A3F3D" w:rsidRPr="00736468">
        <w:rPr>
          <w:rStyle w:val="EndnoteReference"/>
        </w:rPr>
        <w:endnoteReference w:id="42"/>
      </w:r>
      <w:r w:rsidR="009D57EE" w:rsidRPr="00736468">
        <w:t xml:space="preserve"> </w:t>
      </w:r>
      <w:r w:rsidR="002E65FB" w:rsidRPr="00736468">
        <w:t xml:space="preserve">Like Barbauld, who she had </w:t>
      </w:r>
      <w:r w:rsidR="003B4659" w:rsidRPr="00736468">
        <w:t>visited as a young woman</w:t>
      </w:r>
      <w:r w:rsidR="002E65FB" w:rsidRPr="00736468">
        <w:t xml:space="preserve">, Edgeworth offered a model of the powers of the female mind </w:t>
      </w:r>
      <w:r>
        <w:t xml:space="preserve">of the kind </w:t>
      </w:r>
      <w:r w:rsidR="002E65FB" w:rsidRPr="00736468">
        <w:t>celebrated in her maxims</w:t>
      </w:r>
      <w:r w:rsidR="00397A16" w:rsidRPr="00736468">
        <w:t>:</w:t>
      </w:r>
    </w:p>
    <w:p w14:paraId="19B9AAB1" w14:textId="2BDEC298" w:rsidR="00397A16" w:rsidRPr="00736468" w:rsidRDefault="00397A16" w:rsidP="00A37B14">
      <w:pPr>
        <w:shd w:val="clear" w:color="auto" w:fill="FFFFFF"/>
        <w:spacing w:line="480" w:lineRule="auto"/>
        <w:ind w:left="567"/>
        <w:jc w:val="both"/>
        <w:textAlignment w:val="baseline"/>
        <w:rPr>
          <w:rFonts w:eastAsia="Times New Roman"/>
          <w:bdr w:val="none" w:sz="0" w:space="0" w:color="auto" w:frame="1"/>
          <w:lang w:val="en-GB"/>
        </w:rPr>
      </w:pPr>
      <w:r w:rsidRPr="00736468">
        <w:rPr>
          <w:rFonts w:eastAsia="Times New Roman"/>
          <w:bdr w:val="none" w:sz="0" w:space="0" w:color="auto" w:frame="1"/>
          <w:lang w:val="en-GB"/>
        </w:rPr>
        <w:t xml:space="preserve">Nature has, perhaps, made the sexes mentally equal, but fortune and man, seem to have established an oppression which degrades woman from her natural situation; </w:t>
      </w:r>
      <w:r w:rsidR="008C7195">
        <w:rPr>
          <w:rFonts w:eastAsia="Times New Roman"/>
          <w:bdr w:val="none" w:sz="0" w:space="0" w:color="auto" w:frame="1"/>
          <w:lang w:val="en-GB"/>
        </w:rPr>
        <w:t>[</w:t>
      </w:r>
      <w:r w:rsidR="00752070" w:rsidRPr="00736468">
        <w:rPr>
          <w:rFonts w:eastAsia="Times New Roman"/>
          <w:bdr w:val="none" w:sz="0" w:space="0" w:color="auto" w:frame="1"/>
          <w:lang w:val="en-GB"/>
        </w:rPr>
        <w:t>…</w:t>
      </w:r>
      <w:r w:rsidR="008C7195">
        <w:rPr>
          <w:rFonts w:eastAsia="Times New Roman"/>
          <w:bdr w:val="none" w:sz="0" w:space="0" w:color="auto" w:frame="1"/>
          <w:lang w:val="en-GB"/>
        </w:rPr>
        <w:t>]</w:t>
      </w:r>
      <w:r w:rsidRPr="00736468">
        <w:rPr>
          <w:rFonts w:eastAsia="Times New Roman"/>
          <w:bdr w:val="none" w:sz="0" w:space="0" w:color="auto" w:frame="1"/>
          <w:lang w:val="en-GB"/>
        </w:rPr>
        <w:t xml:space="preserve"> The books that are intended for the instruction of the female sex, are commonly addressed to them as women, not as rational, accountable, individual human beings; their duties are made to refer to their connexion with men, and those are most insisted on which are most important to them, as those of wives, housekeepers, mothers, daughters, etc, whereas wisdom and virtue are the same to both sexes.</w:t>
      </w:r>
      <w:r w:rsidR="00FE5763" w:rsidRPr="00736468">
        <w:rPr>
          <w:rStyle w:val="EndnoteReference"/>
          <w:rFonts w:eastAsia="Times New Roman"/>
          <w:bdr w:val="none" w:sz="0" w:space="0" w:color="auto" w:frame="1"/>
          <w:lang w:val="en-GB"/>
        </w:rPr>
        <w:endnoteReference w:id="43"/>
      </w:r>
    </w:p>
    <w:p w14:paraId="02D5FE8E" w14:textId="774EC8BA" w:rsidR="008B795A" w:rsidRPr="00736468" w:rsidRDefault="00833B72" w:rsidP="00A37B14">
      <w:pPr>
        <w:spacing w:line="480" w:lineRule="auto"/>
        <w:jc w:val="both"/>
        <w:rPr>
          <w:rFonts w:eastAsia="Times New Roman"/>
          <w:bdr w:val="none" w:sz="0" w:space="0" w:color="auto" w:frame="1"/>
          <w:lang w:val="en-GB"/>
        </w:rPr>
      </w:pPr>
      <w:r>
        <w:rPr>
          <w:rFonts w:eastAsia="Times New Roman"/>
          <w:bdr w:val="none" w:sz="0" w:space="0" w:color="auto" w:frame="1"/>
          <w:lang w:val="en-GB"/>
        </w:rPr>
        <w:t xml:space="preserve">Lightbody </w:t>
      </w:r>
      <w:r w:rsidR="0074311D" w:rsidRPr="00736468">
        <w:rPr>
          <w:rFonts w:eastAsia="Times New Roman"/>
          <w:bdr w:val="none" w:sz="0" w:space="0" w:color="auto" w:frame="1"/>
          <w:lang w:val="en-GB"/>
        </w:rPr>
        <w:t xml:space="preserve">Greg demonstrated those powers by looking after her husband’s business affairs </w:t>
      </w:r>
      <w:r w:rsidR="003B4659" w:rsidRPr="00736468">
        <w:rPr>
          <w:rFonts w:eastAsia="Times New Roman"/>
          <w:bdr w:val="none" w:sz="0" w:space="0" w:color="auto" w:frame="1"/>
          <w:lang w:val="en-GB"/>
        </w:rPr>
        <w:t xml:space="preserve">when </w:t>
      </w:r>
      <w:r w:rsidR="0074311D" w:rsidRPr="00736468">
        <w:rPr>
          <w:rFonts w:eastAsia="Times New Roman"/>
          <w:bdr w:val="none" w:sz="0" w:space="0" w:color="auto" w:frame="1"/>
          <w:lang w:val="en-GB"/>
        </w:rPr>
        <w:t>he was away</w:t>
      </w:r>
      <w:r w:rsidR="003B4659" w:rsidRPr="00736468">
        <w:rPr>
          <w:rFonts w:eastAsia="Times New Roman"/>
          <w:bdr w:val="none" w:sz="0" w:space="0" w:color="auto" w:frame="1"/>
          <w:lang w:val="en-GB"/>
        </w:rPr>
        <w:t>,</w:t>
      </w:r>
      <w:r w:rsidR="0074311D" w:rsidRPr="00736468">
        <w:rPr>
          <w:rFonts w:eastAsia="Times New Roman"/>
          <w:bdr w:val="none" w:sz="0" w:space="0" w:color="auto" w:frame="1"/>
          <w:lang w:val="en-GB"/>
        </w:rPr>
        <w:t xml:space="preserve"> </w:t>
      </w:r>
      <w:r w:rsidR="003B4659" w:rsidRPr="00736468">
        <w:rPr>
          <w:rFonts w:eastAsia="Times New Roman"/>
          <w:bdr w:val="none" w:sz="0" w:space="0" w:color="auto" w:frame="1"/>
          <w:lang w:val="en-GB"/>
        </w:rPr>
        <w:t xml:space="preserve">as well as by </w:t>
      </w:r>
      <w:r w:rsidR="00397A16" w:rsidRPr="00736468">
        <w:rPr>
          <w:rFonts w:eastAsia="Times New Roman"/>
          <w:bdr w:val="none" w:sz="0" w:space="0" w:color="auto" w:frame="1"/>
          <w:lang w:val="en-GB"/>
        </w:rPr>
        <w:t xml:space="preserve">resolutely </w:t>
      </w:r>
      <w:r w:rsidR="0074311D" w:rsidRPr="00736468">
        <w:rPr>
          <w:rFonts w:eastAsia="Times New Roman"/>
          <w:bdr w:val="none" w:sz="0" w:space="0" w:color="auto" w:frame="1"/>
          <w:lang w:val="en-GB"/>
        </w:rPr>
        <w:t xml:space="preserve">defending her </w:t>
      </w:r>
      <w:r w:rsidR="003B4659" w:rsidRPr="00736468">
        <w:rPr>
          <w:rFonts w:eastAsia="Times New Roman"/>
          <w:bdr w:val="none" w:sz="0" w:space="0" w:color="auto" w:frame="1"/>
          <w:lang w:val="en-GB"/>
        </w:rPr>
        <w:t xml:space="preserve">own </w:t>
      </w:r>
      <w:r w:rsidR="0074311D" w:rsidRPr="00736468">
        <w:rPr>
          <w:rFonts w:eastAsia="Times New Roman"/>
          <w:bdr w:val="none" w:sz="0" w:space="0" w:color="auto" w:frame="1"/>
          <w:lang w:val="en-GB"/>
        </w:rPr>
        <w:t xml:space="preserve">liberal opinions and </w:t>
      </w:r>
      <w:r w:rsidR="003B4659" w:rsidRPr="00736468">
        <w:rPr>
          <w:rFonts w:eastAsia="Times New Roman"/>
          <w:bdr w:val="none" w:sz="0" w:space="0" w:color="auto" w:frame="1"/>
          <w:lang w:val="en-GB"/>
        </w:rPr>
        <w:t xml:space="preserve">the family’s </w:t>
      </w:r>
      <w:r w:rsidR="00397A16" w:rsidRPr="00736468">
        <w:rPr>
          <w:rFonts w:eastAsia="Times New Roman"/>
          <w:bdr w:val="none" w:sz="0" w:space="0" w:color="auto" w:frame="1"/>
          <w:lang w:val="en-GB"/>
        </w:rPr>
        <w:t xml:space="preserve">Irish connections through the </w:t>
      </w:r>
      <w:r w:rsidR="009966F3" w:rsidRPr="00736468">
        <w:rPr>
          <w:rFonts w:eastAsia="Times New Roman"/>
          <w:bdr w:val="none" w:sz="0" w:space="0" w:color="auto" w:frame="1"/>
          <w:lang w:val="en-GB"/>
        </w:rPr>
        <w:t>political reaction</w:t>
      </w:r>
      <w:r w:rsidR="00397A16" w:rsidRPr="00736468">
        <w:rPr>
          <w:rFonts w:eastAsia="Times New Roman"/>
          <w:bdr w:val="none" w:sz="0" w:space="0" w:color="auto" w:frame="1"/>
          <w:lang w:val="en-GB"/>
        </w:rPr>
        <w:t xml:space="preserve"> of the 1790s.</w:t>
      </w:r>
      <w:r w:rsidR="00F77CD8" w:rsidRPr="00736468">
        <w:rPr>
          <w:rStyle w:val="EndnoteReference"/>
          <w:rFonts w:eastAsia="Times New Roman"/>
          <w:bdr w:val="none" w:sz="0" w:space="0" w:color="auto" w:frame="1"/>
          <w:lang w:val="en-GB"/>
        </w:rPr>
        <w:endnoteReference w:id="44"/>
      </w:r>
      <w:r w:rsidR="00540968" w:rsidRPr="00736468">
        <w:rPr>
          <w:rFonts w:eastAsia="Times New Roman"/>
          <w:bdr w:val="none" w:sz="0" w:space="0" w:color="auto" w:frame="1"/>
          <w:lang w:val="en-GB"/>
        </w:rPr>
        <w:t xml:space="preserve"> </w:t>
      </w:r>
      <w:r w:rsidR="007678A5" w:rsidRPr="00736468">
        <w:rPr>
          <w:rFonts w:eastAsia="Times New Roman"/>
          <w:bdr w:val="none" w:sz="0" w:space="0" w:color="auto" w:frame="1"/>
          <w:lang w:val="en-GB"/>
        </w:rPr>
        <w:t>Her</w:t>
      </w:r>
      <w:r w:rsidR="009622D2" w:rsidRPr="00736468">
        <w:rPr>
          <w:rFonts w:eastAsia="Times New Roman"/>
          <w:bdr w:val="none" w:sz="0" w:space="0" w:color="auto" w:frame="1"/>
          <w:lang w:val="en-GB"/>
        </w:rPr>
        <w:t xml:space="preserve"> later</w:t>
      </w:r>
      <w:r w:rsidR="00655966" w:rsidRPr="00736468">
        <w:rPr>
          <w:rFonts w:eastAsia="Times New Roman"/>
          <w:bdr w:val="none" w:sz="0" w:space="0" w:color="auto" w:frame="1"/>
          <w:lang w:val="en-GB"/>
        </w:rPr>
        <w:t xml:space="preserve"> </w:t>
      </w:r>
      <w:r w:rsidR="007678A5" w:rsidRPr="00736468">
        <w:rPr>
          <w:rFonts w:eastAsia="Times New Roman"/>
          <w:bdr w:val="none" w:sz="0" w:space="0" w:color="auto" w:frame="1"/>
          <w:lang w:val="en-GB"/>
        </w:rPr>
        <w:t>educational interests extended from her own children to the workers at the mill</w:t>
      </w:r>
      <w:r w:rsidR="008561C8" w:rsidRPr="00736468">
        <w:rPr>
          <w:rFonts w:eastAsia="Times New Roman"/>
          <w:bdr w:val="none" w:sz="0" w:space="0" w:color="auto" w:frame="1"/>
          <w:lang w:val="en-GB"/>
        </w:rPr>
        <w:t xml:space="preserve">, where </w:t>
      </w:r>
      <w:r w:rsidR="008561C8" w:rsidRPr="008C7195">
        <w:t>s</w:t>
      </w:r>
      <w:r w:rsidR="000F4C85" w:rsidRPr="008C7195">
        <w:t xml:space="preserve">he started </w:t>
      </w:r>
      <w:r w:rsidR="00014856" w:rsidRPr="008C7195">
        <w:t>a</w:t>
      </w:r>
      <w:r w:rsidR="00293A6F" w:rsidRPr="008C7195">
        <w:t xml:space="preserve"> </w:t>
      </w:r>
      <w:r w:rsidR="000F4C85" w:rsidRPr="008C7195">
        <w:t>school, a sick club, a savings scheme, and a club</w:t>
      </w:r>
      <w:r w:rsidR="008561C8" w:rsidRPr="008C7195">
        <w:t xml:space="preserve"> for women</w:t>
      </w:r>
      <w:r w:rsidR="000F4C85" w:rsidRPr="008C7195">
        <w:t>,</w:t>
      </w:r>
      <w:r w:rsidR="00655966" w:rsidRPr="008C7195">
        <w:t xml:space="preserve"> </w:t>
      </w:r>
      <w:r w:rsidR="003B4659" w:rsidRPr="00736468">
        <w:rPr>
          <w:rFonts w:eastAsia="Times New Roman"/>
          <w:bdr w:val="none" w:sz="0" w:space="0" w:color="auto" w:frame="1"/>
          <w:lang w:val="en-GB"/>
        </w:rPr>
        <w:t xml:space="preserve">even </w:t>
      </w:r>
      <w:r w:rsidR="007678A5" w:rsidRPr="00736468">
        <w:rPr>
          <w:rFonts w:eastAsia="Times New Roman"/>
          <w:bdr w:val="none" w:sz="0" w:space="0" w:color="auto" w:frame="1"/>
          <w:lang w:val="en-GB"/>
        </w:rPr>
        <w:t xml:space="preserve">recommending Robert Owen’s </w:t>
      </w:r>
      <w:r w:rsidR="00970FE0" w:rsidRPr="00736468">
        <w:rPr>
          <w:rFonts w:eastAsia="Times New Roman"/>
          <w:bdr w:val="none" w:sz="0" w:space="0" w:color="auto" w:frame="1"/>
          <w:lang w:val="en-GB"/>
        </w:rPr>
        <w:t>‘</w:t>
      </w:r>
      <w:r w:rsidR="009622D2" w:rsidRPr="00736468">
        <w:rPr>
          <w:rFonts w:eastAsia="Times New Roman"/>
          <w:bdr w:val="none" w:sz="0" w:space="0" w:color="auto" w:frame="1"/>
          <w:lang w:val="en-GB"/>
        </w:rPr>
        <w:t>ex</w:t>
      </w:r>
      <w:r w:rsidR="008561C8" w:rsidRPr="00736468">
        <w:rPr>
          <w:rFonts w:eastAsia="Times New Roman"/>
          <w:bdr w:val="none" w:sz="0" w:space="0" w:color="auto" w:frame="1"/>
          <w:lang w:val="en-GB"/>
        </w:rPr>
        <w:t>cellent schemes</w:t>
      </w:r>
      <w:r w:rsidR="00970FE0" w:rsidRPr="00736468">
        <w:rPr>
          <w:rFonts w:eastAsia="Times New Roman"/>
          <w:bdr w:val="none" w:sz="0" w:space="0" w:color="auto" w:frame="1"/>
          <w:lang w:val="en-GB"/>
        </w:rPr>
        <w:t>’</w:t>
      </w:r>
      <w:r w:rsidR="008C7195">
        <w:rPr>
          <w:rFonts w:eastAsia="Times New Roman"/>
          <w:bdr w:val="none" w:sz="0" w:space="0" w:color="auto" w:frame="1"/>
          <w:lang w:val="en-GB"/>
        </w:rPr>
        <w:t>,</w:t>
      </w:r>
      <w:r w:rsidR="007678A5" w:rsidRPr="00736468">
        <w:rPr>
          <w:rFonts w:eastAsia="Times New Roman"/>
          <w:bdr w:val="none" w:sz="0" w:space="0" w:color="auto" w:frame="1"/>
          <w:lang w:val="en-GB"/>
        </w:rPr>
        <w:t xml:space="preserve"> despite </w:t>
      </w:r>
      <w:r w:rsidR="008561C8" w:rsidRPr="00736468">
        <w:rPr>
          <w:rFonts w:eastAsia="Times New Roman"/>
          <w:bdr w:val="none" w:sz="0" w:space="0" w:color="auto" w:frame="1"/>
          <w:lang w:val="en-GB"/>
        </w:rPr>
        <w:t xml:space="preserve">her husband’s </w:t>
      </w:r>
      <w:r w:rsidR="007678A5" w:rsidRPr="00736468">
        <w:rPr>
          <w:rFonts w:eastAsia="Times New Roman"/>
          <w:bdr w:val="none" w:sz="0" w:space="0" w:color="auto" w:frame="1"/>
          <w:lang w:val="en-GB"/>
        </w:rPr>
        <w:t xml:space="preserve">reservations about </w:t>
      </w:r>
      <w:r w:rsidR="00293A6F" w:rsidRPr="00736468">
        <w:rPr>
          <w:rFonts w:eastAsia="Times New Roman"/>
          <w:bdr w:val="none" w:sz="0" w:space="0" w:color="auto" w:frame="1"/>
          <w:lang w:val="en-GB"/>
        </w:rPr>
        <w:t>Owen</w:t>
      </w:r>
      <w:r w:rsidR="008561C8" w:rsidRPr="00736468">
        <w:rPr>
          <w:rFonts w:eastAsia="Times New Roman"/>
          <w:bdr w:val="none" w:sz="0" w:space="0" w:color="auto" w:frame="1"/>
          <w:lang w:val="en-GB"/>
        </w:rPr>
        <w:t xml:space="preserve"> based on</w:t>
      </w:r>
      <w:r w:rsidR="00293A6F" w:rsidRPr="00736468">
        <w:rPr>
          <w:rFonts w:eastAsia="Times New Roman"/>
          <w:bdr w:val="none" w:sz="0" w:space="0" w:color="auto" w:frame="1"/>
          <w:lang w:val="en-GB"/>
        </w:rPr>
        <w:t xml:space="preserve"> </w:t>
      </w:r>
      <w:r w:rsidR="00970FE0" w:rsidRPr="00736468">
        <w:rPr>
          <w:rFonts w:eastAsia="Times New Roman"/>
          <w:bdr w:val="none" w:sz="0" w:space="0" w:color="auto" w:frame="1"/>
          <w:lang w:val="en-GB"/>
        </w:rPr>
        <w:t>‘</w:t>
      </w:r>
      <w:r w:rsidR="008561C8" w:rsidRPr="00736468">
        <w:rPr>
          <w:rFonts w:eastAsia="Times New Roman"/>
          <w:bdr w:val="none" w:sz="0" w:space="0" w:color="auto" w:frame="1"/>
          <w:lang w:val="en-GB"/>
        </w:rPr>
        <w:t xml:space="preserve">early impressions of his </w:t>
      </w:r>
      <w:r w:rsidR="007678A5" w:rsidRPr="00736468">
        <w:rPr>
          <w:rFonts w:eastAsia="Times New Roman"/>
          <w:bdr w:val="none" w:sz="0" w:space="0" w:color="auto" w:frame="1"/>
          <w:lang w:val="en-GB"/>
        </w:rPr>
        <w:t>character</w:t>
      </w:r>
      <w:r w:rsidR="00970FE0" w:rsidRPr="00736468">
        <w:rPr>
          <w:rFonts w:eastAsia="Times New Roman"/>
          <w:bdr w:val="none" w:sz="0" w:space="0" w:color="auto" w:frame="1"/>
          <w:lang w:val="en-GB"/>
        </w:rPr>
        <w:t>’</w:t>
      </w:r>
      <w:r w:rsidR="008C7195">
        <w:rPr>
          <w:rFonts w:eastAsia="Times New Roman"/>
          <w:bdr w:val="none" w:sz="0" w:space="0" w:color="auto" w:frame="1"/>
          <w:lang w:val="en-GB"/>
        </w:rPr>
        <w:t>.</w:t>
      </w:r>
      <w:r w:rsidR="001860C7" w:rsidRPr="00736468">
        <w:rPr>
          <w:rStyle w:val="EndnoteReference"/>
          <w:rFonts w:eastAsia="Times New Roman"/>
          <w:bdr w:val="none" w:sz="0" w:space="0" w:color="auto" w:frame="1"/>
          <w:lang w:val="en-GB"/>
        </w:rPr>
        <w:endnoteReference w:id="45"/>
      </w:r>
      <w:r w:rsidR="007678A5" w:rsidRPr="00736468">
        <w:rPr>
          <w:rFonts w:eastAsia="Times New Roman"/>
          <w:bdr w:val="none" w:sz="0" w:space="0" w:color="auto" w:frame="1"/>
          <w:lang w:val="en-GB"/>
        </w:rPr>
        <w:t xml:space="preserve"> </w:t>
      </w:r>
      <w:r w:rsidR="009622D2" w:rsidRPr="00736468">
        <w:rPr>
          <w:rFonts w:eastAsia="Times New Roman"/>
          <w:bdr w:val="none" w:sz="0" w:space="0" w:color="auto" w:frame="1"/>
          <w:lang w:val="en-GB"/>
        </w:rPr>
        <w:t xml:space="preserve">Through various trials and tribulations in Manchester, she </w:t>
      </w:r>
      <w:r w:rsidR="00C5308E" w:rsidRPr="00736468">
        <w:rPr>
          <w:rFonts w:eastAsia="Times New Roman"/>
          <w:bdr w:val="none" w:sz="0" w:space="0" w:color="auto" w:frame="1"/>
          <w:lang w:val="en-GB"/>
        </w:rPr>
        <w:t>preserved</w:t>
      </w:r>
      <w:r w:rsidR="007678A5" w:rsidRPr="00736468">
        <w:rPr>
          <w:rFonts w:eastAsia="Times New Roman"/>
          <w:bdr w:val="none" w:sz="0" w:space="0" w:color="auto" w:frame="1"/>
          <w:lang w:val="en-GB"/>
        </w:rPr>
        <w:t xml:space="preserve"> her faith in</w:t>
      </w:r>
      <w:r w:rsidR="009622D2" w:rsidRPr="00736468">
        <w:rPr>
          <w:rFonts w:eastAsia="Times New Roman"/>
          <w:bdr w:val="none" w:sz="0" w:space="0" w:color="auto" w:frame="1"/>
          <w:lang w:val="en-GB"/>
        </w:rPr>
        <w:t xml:space="preserve"> a general</w:t>
      </w:r>
      <w:r w:rsidR="007678A5" w:rsidRPr="00736468">
        <w:rPr>
          <w:rFonts w:eastAsia="Times New Roman"/>
          <w:bdr w:val="none" w:sz="0" w:space="0" w:color="auto" w:frame="1"/>
          <w:lang w:val="en-GB"/>
        </w:rPr>
        <w:t xml:space="preserve"> improvement, even when </w:t>
      </w:r>
      <w:r w:rsidR="003B4659" w:rsidRPr="00736468">
        <w:rPr>
          <w:rFonts w:eastAsia="Times New Roman"/>
          <w:bdr w:val="none" w:sz="0" w:space="0" w:color="auto" w:frame="1"/>
          <w:lang w:val="en-GB"/>
        </w:rPr>
        <w:t>her friend</w:t>
      </w:r>
      <w:r w:rsidR="007678A5" w:rsidRPr="00736468">
        <w:rPr>
          <w:rFonts w:eastAsia="Times New Roman"/>
          <w:bdr w:val="none" w:sz="0" w:space="0" w:color="auto" w:frame="1"/>
          <w:lang w:val="en-GB"/>
        </w:rPr>
        <w:t xml:space="preserve"> Rathbone doubted </w:t>
      </w:r>
      <w:r w:rsidR="003B4659" w:rsidRPr="00736468">
        <w:rPr>
          <w:rFonts w:eastAsia="Times New Roman"/>
          <w:bdr w:val="none" w:sz="0" w:space="0" w:color="auto" w:frame="1"/>
          <w:lang w:val="en-GB"/>
        </w:rPr>
        <w:t>his</w:t>
      </w:r>
      <w:r w:rsidR="007678A5" w:rsidRPr="00736468">
        <w:rPr>
          <w:rFonts w:eastAsia="Times New Roman"/>
          <w:bdr w:val="none" w:sz="0" w:space="0" w:color="auto" w:frame="1"/>
          <w:lang w:val="en-GB"/>
        </w:rPr>
        <w:t xml:space="preserve">: </w:t>
      </w:r>
      <w:r w:rsidR="00970FE0" w:rsidRPr="00736468">
        <w:rPr>
          <w:rFonts w:eastAsia="Times New Roman"/>
          <w:bdr w:val="none" w:sz="0" w:space="0" w:color="auto" w:frame="1"/>
          <w:lang w:val="en-GB"/>
        </w:rPr>
        <w:t>‘</w:t>
      </w:r>
      <w:r w:rsidR="00C524EB" w:rsidRPr="00736468">
        <w:rPr>
          <w:rFonts w:eastAsia="Times New Roman"/>
          <w:bdr w:val="none" w:sz="0" w:space="0" w:color="auto" w:frame="1"/>
          <w:lang w:val="en-GB"/>
        </w:rPr>
        <w:t>We will hold fast our Enthusiasm</w:t>
      </w:r>
      <w:r w:rsidR="008C7195">
        <w:rPr>
          <w:rFonts w:eastAsia="Times New Roman"/>
          <w:bdr w:val="none" w:sz="0" w:space="0" w:color="auto" w:frame="1"/>
          <w:lang w:val="en-GB"/>
        </w:rPr>
        <w:t xml:space="preserve">,’ </w:t>
      </w:r>
      <w:r w:rsidR="00C524EB" w:rsidRPr="00736468">
        <w:rPr>
          <w:rFonts w:eastAsia="Times New Roman"/>
          <w:bdr w:val="none" w:sz="0" w:space="0" w:color="auto" w:frame="1"/>
          <w:lang w:val="en-GB"/>
        </w:rPr>
        <w:t xml:space="preserve">she told </w:t>
      </w:r>
      <w:r w:rsidR="007678A5" w:rsidRPr="00736468">
        <w:rPr>
          <w:rFonts w:eastAsia="Times New Roman"/>
          <w:bdr w:val="none" w:sz="0" w:space="0" w:color="auto" w:frame="1"/>
          <w:lang w:val="en-GB"/>
        </w:rPr>
        <w:t>him</w:t>
      </w:r>
      <w:r w:rsidR="00432A25" w:rsidRPr="00736468">
        <w:rPr>
          <w:rFonts w:eastAsia="Times New Roman"/>
          <w:bdr w:val="none" w:sz="0" w:space="0" w:color="auto" w:frame="1"/>
          <w:lang w:val="en-GB"/>
        </w:rPr>
        <w:t xml:space="preserve"> </w:t>
      </w:r>
      <w:r w:rsidR="00970FE0" w:rsidRPr="00736468">
        <w:rPr>
          <w:rFonts w:eastAsia="Times New Roman"/>
          <w:bdr w:val="none" w:sz="0" w:space="0" w:color="auto" w:frame="1"/>
          <w:lang w:val="en-GB"/>
        </w:rPr>
        <w:t>‘</w:t>
      </w:r>
      <w:r w:rsidR="00C524EB" w:rsidRPr="00736468">
        <w:rPr>
          <w:rFonts w:eastAsia="Times New Roman"/>
          <w:bdr w:val="none" w:sz="0" w:space="0" w:color="auto" w:frame="1"/>
          <w:lang w:val="en-GB"/>
        </w:rPr>
        <w:t>whatever betide and I believe it is at least one means of holding fast our Integrity</w:t>
      </w:r>
      <w:r w:rsidR="00970FE0" w:rsidRPr="00736468">
        <w:rPr>
          <w:rFonts w:eastAsia="Times New Roman"/>
          <w:bdr w:val="none" w:sz="0" w:space="0" w:color="auto" w:frame="1"/>
          <w:lang w:val="en-GB"/>
        </w:rPr>
        <w:t>’</w:t>
      </w:r>
      <w:r w:rsidR="008C7195">
        <w:rPr>
          <w:rFonts w:eastAsia="Times New Roman"/>
          <w:bdr w:val="none" w:sz="0" w:space="0" w:color="auto" w:frame="1"/>
          <w:lang w:val="en-GB"/>
        </w:rPr>
        <w:t>.</w:t>
      </w:r>
      <w:r w:rsidR="00DF3F5D" w:rsidRPr="00736468">
        <w:rPr>
          <w:rStyle w:val="EndnoteReference"/>
          <w:rFonts w:eastAsia="Times New Roman"/>
          <w:bdr w:val="none" w:sz="0" w:space="0" w:color="auto" w:frame="1"/>
          <w:lang w:val="en-GB"/>
        </w:rPr>
        <w:endnoteReference w:id="46"/>
      </w:r>
      <w:r w:rsidR="00C524EB" w:rsidRPr="00736468">
        <w:rPr>
          <w:rFonts w:eastAsia="Times New Roman"/>
          <w:bdr w:val="none" w:sz="0" w:space="0" w:color="auto" w:frame="1"/>
          <w:lang w:val="en-GB"/>
        </w:rPr>
        <w:t xml:space="preserve"> </w:t>
      </w:r>
    </w:p>
    <w:p w14:paraId="4DA6F00A" w14:textId="77777777" w:rsidR="007678A5" w:rsidRPr="00736468" w:rsidRDefault="007678A5" w:rsidP="00A37B14">
      <w:pPr>
        <w:widowControl w:val="0"/>
        <w:autoSpaceDE w:val="0"/>
        <w:autoSpaceDN w:val="0"/>
        <w:adjustRightInd w:val="0"/>
        <w:spacing w:line="480" w:lineRule="auto"/>
        <w:jc w:val="both"/>
        <w:rPr>
          <w:rFonts w:eastAsia="Times New Roman"/>
          <w:bdr w:val="none" w:sz="0" w:space="0" w:color="auto" w:frame="1"/>
          <w:lang w:val="en-GB"/>
        </w:rPr>
      </w:pPr>
    </w:p>
    <w:p w14:paraId="18539CE2" w14:textId="1B6DF390" w:rsidR="007678A5" w:rsidRPr="00736468" w:rsidRDefault="007678A5" w:rsidP="00A37B14">
      <w:pPr>
        <w:widowControl w:val="0"/>
        <w:autoSpaceDE w:val="0"/>
        <w:autoSpaceDN w:val="0"/>
        <w:adjustRightInd w:val="0"/>
        <w:spacing w:line="480" w:lineRule="auto"/>
        <w:jc w:val="both"/>
        <w:outlineLvl w:val="0"/>
        <w:rPr>
          <w:rFonts w:eastAsia="Times New Roman"/>
          <w:bdr w:val="none" w:sz="0" w:space="0" w:color="auto" w:frame="1"/>
          <w:lang w:val="en-GB"/>
        </w:rPr>
      </w:pPr>
      <w:r w:rsidRPr="00736468">
        <w:rPr>
          <w:rFonts w:eastAsia="Times New Roman"/>
          <w:bdr w:val="none" w:sz="0" w:space="0" w:color="auto" w:frame="1"/>
          <w:lang w:val="en-GB"/>
        </w:rPr>
        <w:lastRenderedPageBreak/>
        <w:t>III</w:t>
      </w:r>
    </w:p>
    <w:p w14:paraId="66932E2D" w14:textId="20CC7F4F" w:rsidR="000818EF" w:rsidRPr="00736468" w:rsidRDefault="008B795A" w:rsidP="00A37B14">
      <w:pPr>
        <w:widowControl w:val="0"/>
        <w:autoSpaceDE w:val="0"/>
        <w:autoSpaceDN w:val="0"/>
        <w:adjustRightInd w:val="0"/>
        <w:spacing w:line="480" w:lineRule="auto"/>
        <w:jc w:val="both"/>
      </w:pPr>
      <w:r w:rsidRPr="00736468">
        <w:rPr>
          <w:rFonts w:eastAsia="Times New Roman"/>
          <w:bdr w:val="none" w:sz="0" w:space="0" w:color="auto" w:frame="1"/>
          <w:lang w:val="en-GB"/>
        </w:rPr>
        <w:t xml:space="preserve">Hannah </w:t>
      </w:r>
      <w:r w:rsidR="00833B72">
        <w:rPr>
          <w:rFonts w:eastAsia="Times New Roman"/>
          <w:bdr w:val="none" w:sz="0" w:space="0" w:color="auto" w:frame="1"/>
          <w:lang w:val="en-GB"/>
        </w:rPr>
        <w:t xml:space="preserve">Lightbody </w:t>
      </w:r>
      <w:r w:rsidR="00432A25" w:rsidRPr="00736468">
        <w:rPr>
          <w:rFonts w:eastAsia="Times New Roman"/>
          <w:bdr w:val="none" w:sz="0" w:space="0" w:color="auto" w:frame="1"/>
          <w:lang w:val="en-GB"/>
        </w:rPr>
        <w:t xml:space="preserve">Greg </w:t>
      </w:r>
      <w:r w:rsidRPr="00736468">
        <w:rPr>
          <w:rFonts w:eastAsia="Times New Roman"/>
          <w:bdr w:val="none" w:sz="0" w:space="0" w:color="auto" w:frame="1"/>
          <w:lang w:val="en-GB"/>
        </w:rPr>
        <w:t>seems to have</w:t>
      </w:r>
      <w:r w:rsidR="00397A16" w:rsidRPr="00736468">
        <w:rPr>
          <w:rFonts w:eastAsia="Times New Roman"/>
          <w:bdr w:val="none" w:sz="0" w:space="0" w:color="auto" w:frame="1"/>
          <w:lang w:val="en-GB"/>
        </w:rPr>
        <w:t xml:space="preserve"> entertained members of the </w:t>
      </w:r>
      <w:r w:rsidR="00DF3F5D" w:rsidRPr="00736468">
        <w:rPr>
          <w:rFonts w:eastAsia="Times New Roman"/>
          <w:bdr w:val="none" w:sz="0" w:space="0" w:color="auto" w:frame="1"/>
          <w:lang w:val="en-GB"/>
        </w:rPr>
        <w:t>Literary and Philosophical</w:t>
      </w:r>
      <w:r w:rsidR="00397A16" w:rsidRPr="00736468">
        <w:rPr>
          <w:rFonts w:eastAsia="Times New Roman"/>
          <w:bdr w:val="none" w:sz="0" w:space="0" w:color="auto" w:frame="1"/>
          <w:lang w:val="en-GB"/>
        </w:rPr>
        <w:t xml:space="preserve"> </w:t>
      </w:r>
      <w:r w:rsidR="00371DE6" w:rsidRPr="00736468">
        <w:rPr>
          <w:rFonts w:eastAsia="Times New Roman"/>
          <w:bdr w:val="none" w:sz="0" w:space="0" w:color="auto" w:frame="1"/>
          <w:lang w:val="en-GB"/>
        </w:rPr>
        <w:t>at her home in King Street</w:t>
      </w:r>
      <w:r w:rsidR="00736468">
        <w:rPr>
          <w:rFonts w:eastAsia="Times New Roman"/>
          <w:bdr w:val="none" w:sz="0" w:space="0" w:color="auto" w:frame="1"/>
          <w:lang w:val="en-GB"/>
        </w:rPr>
        <w:t xml:space="preserve"> after their meetings</w:t>
      </w:r>
      <w:r w:rsidR="00397A16" w:rsidRPr="00736468">
        <w:rPr>
          <w:rFonts w:eastAsia="Times New Roman"/>
          <w:bdr w:val="none" w:sz="0" w:space="0" w:color="auto" w:frame="1"/>
          <w:lang w:val="en-GB"/>
        </w:rPr>
        <w:t xml:space="preserve"> and </w:t>
      </w:r>
      <w:r w:rsidR="00C524EB" w:rsidRPr="00736468">
        <w:rPr>
          <w:rFonts w:eastAsia="Times New Roman"/>
          <w:bdr w:val="none" w:sz="0" w:space="0" w:color="auto" w:frame="1"/>
          <w:lang w:val="en-GB"/>
        </w:rPr>
        <w:t>eventually developed a salon</w:t>
      </w:r>
      <w:r w:rsidRPr="00736468">
        <w:rPr>
          <w:rFonts w:eastAsia="Times New Roman"/>
          <w:bdr w:val="none" w:sz="0" w:space="0" w:color="auto" w:frame="1"/>
          <w:lang w:val="en-GB"/>
        </w:rPr>
        <w:t xml:space="preserve"> of her own</w:t>
      </w:r>
      <w:r w:rsidR="00C524EB" w:rsidRPr="00736468">
        <w:rPr>
          <w:rFonts w:eastAsia="Times New Roman"/>
          <w:bdr w:val="none" w:sz="0" w:space="0" w:color="auto" w:frame="1"/>
          <w:lang w:val="en-GB"/>
        </w:rPr>
        <w:t xml:space="preserve"> at Quarry Bank that allowed her to</w:t>
      </w:r>
      <w:r w:rsidR="00C524EB" w:rsidRPr="00736468">
        <w:t xml:space="preserve"> recreate something of </w:t>
      </w:r>
      <w:r w:rsidR="001D5593" w:rsidRPr="00736468">
        <w:t xml:space="preserve">the intellectual sociability </w:t>
      </w:r>
      <w:r w:rsidR="00C524EB" w:rsidRPr="00736468">
        <w:t>she had enjoyed as</w:t>
      </w:r>
      <w:r w:rsidR="00904C36" w:rsidRPr="00736468">
        <w:t xml:space="preserve"> a young woman in Liverpool.</w:t>
      </w:r>
      <w:r w:rsidR="00432A25" w:rsidRPr="00736468">
        <w:rPr>
          <w:rStyle w:val="EndnoteReference"/>
        </w:rPr>
        <w:endnoteReference w:id="47"/>
      </w:r>
      <w:r w:rsidR="001D5593" w:rsidRPr="00736468">
        <w:t xml:space="preserve"> Eliz</w:t>
      </w:r>
      <w:r w:rsidR="00904C36" w:rsidRPr="00736468">
        <w:t>a Fletcher</w:t>
      </w:r>
      <w:r w:rsidR="001D5593" w:rsidRPr="00736468">
        <w:t xml:space="preserve">, herself </w:t>
      </w:r>
      <w:r w:rsidR="007678A5" w:rsidRPr="00736468">
        <w:t xml:space="preserve">a </w:t>
      </w:r>
      <w:r w:rsidR="001D5593" w:rsidRPr="00736468">
        <w:t xml:space="preserve">hub of </w:t>
      </w:r>
      <w:r w:rsidR="00540968" w:rsidRPr="00736468">
        <w:t xml:space="preserve">intellectual sociability </w:t>
      </w:r>
      <w:r w:rsidR="001D5593" w:rsidRPr="00736468">
        <w:t xml:space="preserve">in Edinburgh, </w:t>
      </w:r>
      <w:r w:rsidR="00C524EB" w:rsidRPr="00736468">
        <w:t>credited her with raisin</w:t>
      </w:r>
      <w:r w:rsidR="00730250" w:rsidRPr="00736468">
        <w:t>g</w:t>
      </w:r>
      <w:r w:rsidR="00C524EB" w:rsidRPr="00736468">
        <w:t xml:space="preserve"> the aspirations of improvement beyond </w:t>
      </w:r>
      <w:r w:rsidR="00540968" w:rsidRPr="00736468">
        <w:t xml:space="preserve">merely </w:t>
      </w:r>
      <w:r w:rsidR="00C524EB" w:rsidRPr="00736468">
        <w:t>commercial matters</w:t>
      </w:r>
      <w:r w:rsidR="000818EF" w:rsidRPr="00736468">
        <w:t>:</w:t>
      </w:r>
    </w:p>
    <w:p w14:paraId="375F7514" w14:textId="568407E4" w:rsidR="000818EF" w:rsidRPr="008C7195" w:rsidRDefault="000818EF" w:rsidP="00A37B14">
      <w:pPr>
        <w:spacing w:line="480" w:lineRule="auto"/>
        <w:ind w:left="567"/>
        <w:jc w:val="both"/>
      </w:pPr>
      <w:r w:rsidRPr="008C7195">
        <w:t>We stayed a week with them and admired the cultivation of mind and refinement of manners which Mrs. Greg preserved in the midst of a money-making and somewhat unpolished community of merchants and manufacturers.</w:t>
      </w:r>
      <w:r w:rsidR="00DF3F5D" w:rsidRPr="008C7195">
        <w:rPr>
          <w:rStyle w:val="EndnoteReference"/>
        </w:rPr>
        <w:endnoteReference w:id="48"/>
      </w:r>
    </w:p>
    <w:p w14:paraId="137D8F51" w14:textId="603CCA05" w:rsidR="00C5308E" w:rsidRPr="00736468" w:rsidRDefault="00371DE6" w:rsidP="00A37B14">
      <w:pPr>
        <w:spacing w:line="480" w:lineRule="auto"/>
        <w:jc w:val="both"/>
      </w:pPr>
      <w:r w:rsidRPr="00736468">
        <w:t>Nevertheless,</w:t>
      </w:r>
      <w:r w:rsidR="007678A5" w:rsidRPr="00736468">
        <w:t xml:space="preserve"> despite </w:t>
      </w:r>
      <w:r w:rsidR="00736468">
        <w:t xml:space="preserve">Hannah </w:t>
      </w:r>
      <w:r w:rsidR="00833B72">
        <w:t xml:space="preserve">Lightbody </w:t>
      </w:r>
      <w:r w:rsidR="00736468">
        <w:t>Greg’s</w:t>
      </w:r>
      <w:r w:rsidR="00736468" w:rsidRPr="00736468">
        <w:t xml:space="preserve"> </w:t>
      </w:r>
      <w:r w:rsidR="007678A5" w:rsidRPr="00736468">
        <w:t xml:space="preserve">demonstrable engagement with </w:t>
      </w:r>
      <w:r w:rsidR="00286B42" w:rsidRPr="00736468">
        <w:t xml:space="preserve">the debates that flowed around the Society, there </w:t>
      </w:r>
      <w:r w:rsidRPr="00736468">
        <w:t>is no</w:t>
      </w:r>
      <w:r w:rsidR="00C524EB" w:rsidRPr="00736468">
        <w:t xml:space="preserve"> record of her ever visiting </w:t>
      </w:r>
      <w:r w:rsidR="00C45350">
        <w:t>it</w:t>
      </w:r>
      <w:r w:rsidR="00C524EB" w:rsidRPr="00736468">
        <w:t>, d</w:t>
      </w:r>
      <w:r w:rsidR="009C5C3F" w:rsidRPr="00736468">
        <w:t xml:space="preserve">espite </w:t>
      </w:r>
      <w:r w:rsidR="00C524EB" w:rsidRPr="00736468">
        <w:t xml:space="preserve">Thomas </w:t>
      </w:r>
      <w:r w:rsidR="009F5A96" w:rsidRPr="00736468">
        <w:t xml:space="preserve">Henry’s promise that members of the society would </w:t>
      </w:r>
      <w:r w:rsidR="00872257" w:rsidRPr="00736468">
        <w:t>en</w:t>
      </w:r>
      <w:r w:rsidR="009F5A96" w:rsidRPr="00736468">
        <w:t>joy the conversation of women</w:t>
      </w:r>
      <w:r w:rsidR="00C524EB" w:rsidRPr="00736468">
        <w:t xml:space="preserve">. </w:t>
      </w:r>
      <w:r w:rsidR="003B4659" w:rsidRPr="00736468">
        <w:t>The rules allowed visitors</w:t>
      </w:r>
      <w:r w:rsidR="009F5A96" w:rsidRPr="00736468">
        <w:t xml:space="preserve"> into the society’s meetings</w:t>
      </w:r>
      <w:r w:rsidR="003B4659" w:rsidRPr="00736468">
        <w:t xml:space="preserve"> </w:t>
      </w:r>
      <w:r w:rsidR="00970FE0" w:rsidRPr="00736468">
        <w:t>‘</w:t>
      </w:r>
      <w:r w:rsidR="00DA472F" w:rsidRPr="00736468">
        <w:t>with permission of the chairman</w:t>
      </w:r>
      <w:r w:rsidR="00970FE0" w:rsidRPr="00736468">
        <w:t>’</w:t>
      </w:r>
      <w:r w:rsidR="008C7195">
        <w:t>,</w:t>
      </w:r>
      <w:r w:rsidR="009F5A96" w:rsidRPr="00736468">
        <w:t xml:space="preserve"> </w:t>
      </w:r>
      <w:r w:rsidR="00C524EB" w:rsidRPr="00736468">
        <w:t xml:space="preserve">but </w:t>
      </w:r>
      <w:r w:rsidR="00286B42" w:rsidRPr="00736468">
        <w:t xml:space="preserve">there is no </w:t>
      </w:r>
      <w:r w:rsidR="00C5308E" w:rsidRPr="00736468">
        <w:t xml:space="preserve">mention </w:t>
      </w:r>
      <w:r w:rsidR="00286B42" w:rsidRPr="00736468">
        <w:t>of women ever having</w:t>
      </w:r>
      <w:r w:rsidR="007D12F7" w:rsidRPr="00736468">
        <w:t xml:space="preserve"> been among them</w:t>
      </w:r>
      <w:r w:rsidR="00DF3F5D" w:rsidRPr="00736468">
        <w:t xml:space="preserve">, even if they did attend </w:t>
      </w:r>
      <w:r w:rsidR="003B4659" w:rsidRPr="00736468">
        <w:t xml:space="preserve">public </w:t>
      </w:r>
      <w:r w:rsidR="00DF3F5D" w:rsidRPr="00736468">
        <w:t>lectures held under its auspices</w:t>
      </w:r>
      <w:r w:rsidR="003B4659" w:rsidRPr="00736468">
        <w:t>,</w:t>
      </w:r>
      <w:r w:rsidR="00DF3F5D" w:rsidRPr="00736468">
        <w:t xml:space="preserve"> as </w:t>
      </w:r>
      <w:r w:rsidR="00833B72">
        <w:t>Bessy</w:t>
      </w:r>
      <w:r w:rsidR="007678A5" w:rsidRPr="00736468">
        <w:t xml:space="preserve"> </w:t>
      </w:r>
      <w:r w:rsidR="00DF3F5D" w:rsidRPr="00736468">
        <w:t xml:space="preserve">Greg did when he went to hear John Dalton lecture on </w:t>
      </w:r>
      <w:r w:rsidR="008C7195">
        <w:t>e</w:t>
      </w:r>
      <w:r w:rsidR="00DF3F5D" w:rsidRPr="00736468">
        <w:t>lectricity in 1807</w:t>
      </w:r>
      <w:r w:rsidR="00A84C82" w:rsidRPr="00736468">
        <w:t>.</w:t>
      </w:r>
      <w:r w:rsidR="00DF3F5D" w:rsidRPr="00736468">
        <w:rPr>
          <w:rStyle w:val="EndnoteReference"/>
        </w:rPr>
        <w:endnoteReference w:id="49"/>
      </w:r>
      <w:r w:rsidR="00A84C82" w:rsidRPr="00736468">
        <w:t xml:space="preserve"> </w:t>
      </w:r>
    </w:p>
    <w:p w14:paraId="6D7D5B61" w14:textId="2408155C" w:rsidR="00963B23" w:rsidRPr="00736468" w:rsidRDefault="008F3A90" w:rsidP="00A37B14">
      <w:pPr>
        <w:spacing w:line="480" w:lineRule="auto"/>
        <w:ind w:firstLine="720"/>
        <w:jc w:val="both"/>
      </w:pPr>
      <w:r w:rsidRPr="00736468">
        <w:t>The brightest luminary</w:t>
      </w:r>
      <w:r w:rsidR="00D60017" w:rsidRPr="00736468">
        <w:t xml:space="preserve"> in </w:t>
      </w:r>
      <w:r w:rsidR="00AA29FD" w:rsidRPr="00736468">
        <w:t>Henry’s</w:t>
      </w:r>
      <w:r w:rsidR="00D60017" w:rsidRPr="00736468">
        <w:t xml:space="preserve"> list</w:t>
      </w:r>
      <w:r w:rsidR="00872257" w:rsidRPr="00736468">
        <w:t xml:space="preserve"> of conversable women writers</w:t>
      </w:r>
      <w:r w:rsidR="00D60017" w:rsidRPr="00736468">
        <w:t xml:space="preserve"> was</w:t>
      </w:r>
      <w:r w:rsidR="003B4659" w:rsidRPr="00736468">
        <w:t xml:space="preserve"> </w:t>
      </w:r>
      <w:r w:rsidR="00286B42" w:rsidRPr="00736468">
        <w:t xml:space="preserve">undoubtedly </w:t>
      </w:r>
      <w:r w:rsidR="00D60017" w:rsidRPr="00736468">
        <w:t xml:space="preserve">Barbauld, </w:t>
      </w:r>
      <w:r w:rsidRPr="00736468">
        <w:t xml:space="preserve">something of a local hero, </w:t>
      </w:r>
      <w:r w:rsidR="007678A5" w:rsidRPr="00736468">
        <w:t xml:space="preserve">with whose </w:t>
      </w:r>
      <w:r w:rsidR="00970FE0" w:rsidRPr="00736468">
        <w:t>‘</w:t>
      </w:r>
      <w:r w:rsidR="007678A5" w:rsidRPr="00736468">
        <w:t>chearful friendliness</w:t>
      </w:r>
      <w:r w:rsidR="00970FE0" w:rsidRPr="00736468">
        <w:t>’</w:t>
      </w:r>
      <w:r w:rsidR="007678A5" w:rsidRPr="00736468">
        <w:t xml:space="preserve"> Hannah Lightbody had been </w:t>
      </w:r>
      <w:r w:rsidR="00970FE0" w:rsidRPr="00736468">
        <w:t>‘</w:t>
      </w:r>
      <w:r w:rsidR="007678A5" w:rsidRPr="00736468">
        <w:t>much pleased</w:t>
      </w:r>
      <w:r w:rsidR="00970FE0" w:rsidRPr="00736468">
        <w:t>’</w:t>
      </w:r>
      <w:r w:rsidR="007678A5" w:rsidRPr="00736468">
        <w:t xml:space="preserve"> when she </w:t>
      </w:r>
      <w:r w:rsidR="003B4659" w:rsidRPr="00736468">
        <w:t xml:space="preserve">visited </w:t>
      </w:r>
      <w:r w:rsidR="007678A5" w:rsidRPr="00736468">
        <w:t>her in Hampstead in 1787</w:t>
      </w:r>
      <w:r w:rsidR="00D60017" w:rsidRPr="00736468">
        <w:t xml:space="preserve">. </w:t>
      </w:r>
      <w:r w:rsidR="00872257" w:rsidRPr="00736468">
        <w:t xml:space="preserve">Although she left </w:t>
      </w:r>
      <w:r w:rsidR="007678A5" w:rsidRPr="00736468">
        <w:t>Warrington</w:t>
      </w:r>
      <w:r w:rsidR="00872257" w:rsidRPr="00736468">
        <w:t xml:space="preserve"> in</w:t>
      </w:r>
      <w:r w:rsidR="001F435E" w:rsidRPr="00736468">
        <w:t xml:space="preserve"> 1774, </w:t>
      </w:r>
      <w:r w:rsidR="007678A5" w:rsidRPr="00736468">
        <w:t xml:space="preserve">Barbauld’s </w:t>
      </w:r>
      <w:r w:rsidR="001F435E" w:rsidRPr="00736468">
        <w:t xml:space="preserve">poetry </w:t>
      </w:r>
      <w:r w:rsidRPr="00736468">
        <w:t>retained</w:t>
      </w:r>
      <w:r w:rsidR="001F435E" w:rsidRPr="00736468">
        <w:t xml:space="preserve"> a strong </w:t>
      </w:r>
      <w:r w:rsidR="001F435E" w:rsidRPr="00736468">
        <w:lastRenderedPageBreak/>
        <w:t>sense of the</w:t>
      </w:r>
      <w:r w:rsidR="00A84C82" w:rsidRPr="00736468">
        <w:t xml:space="preserve"> mission of </w:t>
      </w:r>
      <w:r w:rsidR="00286B42" w:rsidRPr="00736468">
        <w:t xml:space="preserve">a </w:t>
      </w:r>
      <w:r w:rsidR="001F435E" w:rsidRPr="00736468">
        <w:t xml:space="preserve">transpennine </w:t>
      </w:r>
      <w:r w:rsidR="00EA53E8" w:rsidRPr="00736468">
        <w:t>E</w:t>
      </w:r>
      <w:r w:rsidR="001F435E" w:rsidRPr="00736468">
        <w:t xml:space="preserve">nlightenment emerging from </w:t>
      </w:r>
      <w:r w:rsidR="00A84C82" w:rsidRPr="00736468">
        <w:t>the region</w:t>
      </w:r>
      <w:r w:rsidR="00DA472F" w:rsidRPr="00736468">
        <w:t xml:space="preserve"> and </w:t>
      </w:r>
      <w:r w:rsidR="00A84C82" w:rsidRPr="00736468">
        <w:t>spreading across</w:t>
      </w:r>
      <w:r w:rsidR="00752070" w:rsidRPr="00736468">
        <w:t xml:space="preserve"> </w:t>
      </w:r>
      <w:r w:rsidR="00DA472F" w:rsidRPr="00736468">
        <w:t>the globe</w:t>
      </w:r>
      <w:r w:rsidR="00A84C82" w:rsidRPr="00736468">
        <w:t>:</w:t>
      </w:r>
      <w:r w:rsidR="00DA472F" w:rsidRPr="00736468">
        <w:t xml:space="preserve"> </w:t>
      </w:r>
    </w:p>
    <w:p w14:paraId="7FD6D834" w14:textId="509BC2F0" w:rsidR="00DA472F" w:rsidRDefault="00DA472F" w:rsidP="00736468">
      <w:pPr>
        <w:ind w:left="720" w:right="3111"/>
        <w:jc w:val="both"/>
        <w:rPr>
          <w:rFonts w:eastAsia="Times New Roman"/>
          <w:shd w:val="clear" w:color="auto" w:fill="FFFFFF"/>
          <w:lang w:val="en-GB"/>
        </w:rPr>
      </w:pPr>
      <w:r w:rsidRPr="00736468">
        <w:rPr>
          <w:rFonts w:eastAsia="Times New Roman"/>
          <w:shd w:val="clear" w:color="auto" w:fill="FFFFFF"/>
          <w:lang w:val="en-GB"/>
        </w:rPr>
        <w:t>But tell each land,</w:t>
      </w:r>
      <w:r w:rsidR="00371DE6" w:rsidRPr="00736468">
        <w:rPr>
          <w:rFonts w:eastAsia="Times New Roman"/>
          <w:shd w:val="clear" w:color="auto" w:fill="FFFFFF"/>
          <w:lang w:val="en-GB"/>
        </w:rPr>
        <w:t xml:space="preserve"> </w:t>
      </w:r>
      <w:r w:rsidR="00736468">
        <w:rPr>
          <w:rFonts w:eastAsia="Times New Roman"/>
          <w:shd w:val="clear" w:color="auto" w:fill="FFFFFF"/>
          <w:lang w:val="en-GB"/>
        </w:rPr>
        <w:t>(</w:t>
      </w:r>
      <w:r w:rsidRPr="00736468">
        <w:rPr>
          <w:rFonts w:eastAsia="Times New Roman"/>
          <w:shd w:val="clear" w:color="auto" w:fill="FFFFFF"/>
          <w:lang w:val="en-GB"/>
        </w:rPr>
        <w:t>while every toil they share, </w:t>
      </w:r>
      <w:r w:rsidRPr="00736468">
        <w:rPr>
          <w:rFonts w:eastAsia="Times New Roman"/>
          <w:lang w:val="en-GB"/>
        </w:rPr>
        <w:br/>
      </w:r>
      <w:r w:rsidRPr="00736468">
        <w:rPr>
          <w:rFonts w:eastAsia="Times New Roman"/>
          <w:shd w:val="clear" w:color="auto" w:fill="FFFFFF"/>
          <w:lang w:val="en-GB"/>
        </w:rPr>
        <w:t>Firm to sustain, and resolute to dare,</w:t>
      </w:r>
      <w:r w:rsidR="00736468">
        <w:rPr>
          <w:rFonts w:eastAsia="Times New Roman"/>
          <w:shd w:val="clear" w:color="auto" w:fill="FFFFFF"/>
          <w:lang w:val="en-GB"/>
        </w:rPr>
        <w:t>)</w:t>
      </w:r>
      <w:r w:rsidRPr="00736468">
        <w:rPr>
          <w:rFonts w:eastAsia="Times New Roman"/>
          <w:shd w:val="clear" w:color="auto" w:fill="FFFFFF"/>
          <w:lang w:val="en-GB"/>
        </w:rPr>
        <w:t> </w:t>
      </w:r>
      <w:r w:rsidRPr="00736468">
        <w:rPr>
          <w:rFonts w:eastAsia="Times New Roman"/>
          <w:lang w:val="en-GB"/>
        </w:rPr>
        <w:br/>
      </w:r>
      <w:r w:rsidR="00736468" w:rsidRPr="00736468">
        <w:rPr>
          <w:rFonts w:eastAsia="Times New Roman"/>
          <w:shd w:val="clear" w:color="auto" w:fill="FFFFFF"/>
          <w:lang w:val="en-GB"/>
        </w:rPr>
        <w:t>M</w:t>
      </w:r>
      <w:r w:rsidR="00736468">
        <w:rPr>
          <w:rFonts w:eastAsia="Times New Roman"/>
          <w:shd w:val="clear" w:color="auto" w:fill="FFFFFF"/>
          <w:lang w:val="en-GB"/>
        </w:rPr>
        <w:t>AN</w:t>
      </w:r>
      <w:r w:rsidR="00736468" w:rsidRPr="00736468">
        <w:rPr>
          <w:rFonts w:eastAsia="Times New Roman"/>
          <w:shd w:val="clear" w:color="auto" w:fill="FFFFFF"/>
          <w:lang w:val="en-GB"/>
        </w:rPr>
        <w:t xml:space="preserve"> </w:t>
      </w:r>
      <w:r w:rsidRPr="00736468">
        <w:rPr>
          <w:rFonts w:eastAsia="Times New Roman"/>
          <w:shd w:val="clear" w:color="auto" w:fill="FFFFFF"/>
          <w:lang w:val="en-GB"/>
        </w:rPr>
        <w:t>is the nobler growth our realms supply, </w:t>
      </w:r>
      <w:r w:rsidRPr="00736468">
        <w:rPr>
          <w:rFonts w:eastAsia="Times New Roman"/>
          <w:lang w:val="en-GB"/>
        </w:rPr>
        <w:br/>
      </w:r>
      <w:r w:rsidRPr="00736468">
        <w:rPr>
          <w:rFonts w:eastAsia="Times New Roman"/>
          <w:bCs/>
          <w:shd w:val="clear" w:color="auto" w:fill="FFFFFF"/>
          <w:lang w:val="en-GB"/>
        </w:rPr>
        <w:t xml:space="preserve">And </w:t>
      </w:r>
      <w:r w:rsidR="00736468">
        <w:rPr>
          <w:rFonts w:eastAsia="Times New Roman"/>
          <w:bCs/>
          <w:shd w:val="clear" w:color="auto" w:fill="FFFFFF"/>
          <w:lang w:val="en-GB"/>
        </w:rPr>
        <w:t>SOULS</w:t>
      </w:r>
      <w:r w:rsidR="00736468" w:rsidRPr="00736468">
        <w:rPr>
          <w:rFonts w:eastAsia="Times New Roman"/>
          <w:bCs/>
          <w:shd w:val="clear" w:color="auto" w:fill="FFFFFF"/>
          <w:lang w:val="en-GB"/>
        </w:rPr>
        <w:t xml:space="preserve"> </w:t>
      </w:r>
      <w:r w:rsidRPr="00736468">
        <w:rPr>
          <w:rFonts w:eastAsia="Times New Roman"/>
          <w:bCs/>
          <w:shd w:val="clear" w:color="auto" w:fill="FFFFFF"/>
          <w:lang w:val="en-GB"/>
        </w:rPr>
        <w:t xml:space="preserve">are </w:t>
      </w:r>
      <w:r w:rsidR="00736468" w:rsidRPr="00736468">
        <w:rPr>
          <w:rFonts w:eastAsia="Times New Roman"/>
          <w:bCs/>
          <w:shd w:val="clear" w:color="auto" w:fill="FFFFFF"/>
          <w:lang w:val="en-GB"/>
        </w:rPr>
        <w:t>ripen</w:t>
      </w:r>
      <w:r w:rsidR="00736468">
        <w:rPr>
          <w:rFonts w:eastAsia="Times New Roman"/>
          <w:bCs/>
          <w:shd w:val="clear" w:color="auto" w:fill="FFFFFF"/>
          <w:lang w:val="en-GB"/>
        </w:rPr>
        <w:t>’</w:t>
      </w:r>
      <w:r w:rsidR="00736468" w:rsidRPr="00736468">
        <w:rPr>
          <w:rFonts w:eastAsia="Times New Roman"/>
          <w:bCs/>
          <w:shd w:val="clear" w:color="auto" w:fill="FFFFFF"/>
          <w:lang w:val="en-GB"/>
        </w:rPr>
        <w:t xml:space="preserve">d </w:t>
      </w:r>
      <w:r w:rsidRPr="00736468">
        <w:rPr>
          <w:rFonts w:eastAsia="Times New Roman"/>
          <w:bCs/>
          <w:shd w:val="clear" w:color="auto" w:fill="FFFFFF"/>
          <w:lang w:val="en-GB"/>
        </w:rPr>
        <w:t>in our northern sky</w:t>
      </w:r>
      <w:r w:rsidRPr="00736468">
        <w:rPr>
          <w:rFonts w:eastAsia="Times New Roman"/>
          <w:shd w:val="clear" w:color="auto" w:fill="FFFFFF"/>
          <w:lang w:val="en-GB"/>
        </w:rPr>
        <w:t>.</w:t>
      </w:r>
      <w:r w:rsidR="008F3A90" w:rsidRPr="00736468">
        <w:rPr>
          <w:rStyle w:val="EndnoteReference"/>
          <w:rFonts w:eastAsia="Times New Roman"/>
          <w:shd w:val="clear" w:color="auto" w:fill="FFFFFF"/>
          <w:lang w:val="en-GB"/>
        </w:rPr>
        <w:endnoteReference w:id="50"/>
      </w:r>
      <w:r w:rsidRPr="00736468">
        <w:rPr>
          <w:rFonts w:eastAsia="Times New Roman"/>
          <w:shd w:val="clear" w:color="auto" w:fill="FFFFFF"/>
          <w:lang w:val="en-GB"/>
        </w:rPr>
        <w:t> </w:t>
      </w:r>
    </w:p>
    <w:p w14:paraId="7D2790CB" w14:textId="77777777" w:rsidR="00963B23" w:rsidRPr="00736468" w:rsidRDefault="00963B23" w:rsidP="00736468">
      <w:pPr>
        <w:ind w:left="720" w:right="3111"/>
        <w:jc w:val="both"/>
        <w:rPr>
          <w:rFonts w:eastAsia="Times New Roman"/>
          <w:shd w:val="clear" w:color="auto" w:fill="FFFFFF"/>
          <w:lang w:val="en-GB"/>
        </w:rPr>
      </w:pPr>
    </w:p>
    <w:p w14:paraId="703142A4" w14:textId="58D3E5CD" w:rsidR="008F3A90" w:rsidRPr="00736468" w:rsidRDefault="008F3A90" w:rsidP="00736468">
      <w:pPr>
        <w:widowControl w:val="0"/>
        <w:autoSpaceDE w:val="0"/>
        <w:autoSpaceDN w:val="0"/>
        <w:adjustRightInd w:val="0"/>
        <w:spacing w:line="480" w:lineRule="auto"/>
        <w:jc w:val="both"/>
      </w:pPr>
      <w:r w:rsidRPr="00736468">
        <w:t>Much later</w:t>
      </w:r>
      <w:r w:rsidR="00C524EB" w:rsidRPr="00736468">
        <w:t>,</w:t>
      </w:r>
      <w:r w:rsidRPr="00736468">
        <w:t xml:space="preserve"> </w:t>
      </w:r>
      <w:r w:rsidR="00C524EB" w:rsidRPr="00736468">
        <w:t>her poem</w:t>
      </w:r>
      <w:r w:rsidR="00DE3956" w:rsidRPr="00736468">
        <w:t xml:space="preserve"> </w:t>
      </w:r>
      <w:r w:rsidR="00DE3956" w:rsidRPr="00736468">
        <w:rPr>
          <w:i/>
        </w:rPr>
        <w:t>Eighteen Hundred and Eleven</w:t>
      </w:r>
      <w:r w:rsidRPr="00736468">
        <w:t xml:space="preserve"> imagined</w:t>
      </w:r>
      <w:r w:rsidR="00DE3956" w:rsidRPr="00736468">
        <w:t xml:space="preserve"> a pilgrim</w:t>
      </w:r>
      <w:r w:rsidR="007D12F7" w:rsidRPr="00736468">
        <w:t xml:space="preserve"> from America</w:t>
      </w:r>
      <w:r w:rsidR="00DE3956" w:rsidRPr="00736468">
        <w:t xml:space="preserve"> asking after Roscoe’s abode, while, to the fury of the </w:t>
      </w:r>
      <w:r w:rsidRPr="00736468">
        <w:t xml:space="preserve">Tory </w:t>
      </w:r>
      <w:r w:rsidR="00DE3956" w:rsidRPr="00736468">
        <w:t xml:space="preserve">critic J. P. Croker, London’s faded glories are </w:t>
      </w:r>
      <w:r w:rsidR="00C524EB" w:rsidRPr="00736468">
        <w:t>left to</w:t>
      </w:r>
      <w:r w:rsidR="00DE3956" w:rsidRPr="00736468">
        <w:t xml:space="preserve"> oblivion.</w:t>
      </w:r>
      <w:r w:rsidR="004234AA" w:rsidRPr="00736468">
        <w:rPr>
          <w:rStyle w:val="EndnoteReference"/>
        </w:rPr>
        <w:endnoteReference w:id="51"/>
      </w:r>
      <w:r w:rsidR="00A84C82" w:rsidRPr="00736468">
        <w:t xml:space="preserve"> De Quincey’s </w:t>
      </w:r>
      <w:r w:rsidR="00970FE0" w:rsidRPr="00736468">
        <w:t>‘</w:t>
      </w:r>
      <w:r w:rsidR="00A84C82" w:rsidRPr="00736468">
        <w:t>Liverpool Coterie</w:t>
      </w:r>
      <w:r w:rsidR="00970FE0" w:rsidRPr="00736468">
        <w:t>’</w:t>
      </w:r>
      <w:r w:rsidR="00A84C82" w:rsidRPr="00736468">
        <w:t xml:space="preserve"> </w:t>
      </w:r>
      <w:r w:rsidR="003B4659" w:rsidRPr="00736468">
        <w:t xml:space="preserve">essay </w:t>
      </w:r>
      <w:r w:rsidR="00C524EB" w:rsidRPr="00736468">
        <w:t>was</w:t>
      </w:r>
      <w:r w:rsidR="00A84C82" w:rsidRPr="00736468">
        <w:t xml:space="preserve"> </w:t>
      </w:r>
      <w:r w:rsidR="00730250" w:rsidRPr="00736468">
        <w:t>to some extent</w:t>
      </w:r>
      <w:r w:rsidR="00A84C82" w:rsidRPr="00736468">
        <w:t xml:space="preserve"> pick</w:t>
      </w:r>
      <w:r w:rsidR="00C524EB" w:rsidRPr="00736468">
        <w:t>ing</w:t>
      </w:r>
      <w:r w:rsidR="00A84C82" w:rsidRPr="00736468">
        <w:t xml:space="preserve"> up </w:t>
      </w:r>
      <w:r w:rsidR="00730250" w:rsidRPr="00736468">
        <w:t>a</w:t>
      </w:r>
      <w:r w:rsidR="00A84C82" w:rsidRPr="00736468">
        <w:t xml:space="preserve"> note sounded by Croker in </w:t>
      </w:r>
      <w:r w:rsidR="00A84C82" w:rsidRPr="00736468">
        <w:rPr>
          <w:i/>
        </w:rPr>
        <w:t>The Quarterly</w:t>
      </w:r>
      <w:r w:rsidR="00A84C82" w:rsidRPr="00736468">
        <w:t xml:space="preserve"> decades before</w:t>
      </w:r>
      <w:r w:rsidRPr="00736468">
        <w:t xml:space="preserve"> in its disparagement of </w:t>
      </w:r>
      <w:r w:rsidR="003B4659" w:rsidRPr="00736468">
        <w:t>the</w:t>
      </w:r>
      <w:r w:rsidRPr="00736468">
        <w:t xml:space="preserve"> claims</w:t>
      </w:r>
      <w:r w:rsidR="003B4659" w:rsidRPr="00736468">
        <w:t xml:space="preserve"> of provincial opinion</w:t>
      </w:r>
      <w:r w:rsidR="00A84C82" w:rsidRPr="00736468">
        <w:t>.</w:t>
      </w:r>
      <w:r w:rsidR="00730250" w:rsidRPr="00736468">
        <w:t xml:space="preserve"> </w:t>
      </w:r>
      <w:r w:rsidR="00E9532F" w:rsidRPr="00736468">
        <w:t>C</w:t>
      </w:r>
      <w:r w:rsidR="008C7195">
        <w:t>r</w:t>
      </w:r>
      <w:r w:rsidR="00E9532F" w:rsidRPr="00736468">
        <w:t xml:space="preserve">oker and De Quincey were equally aware of the range and effectiveness of the </w:t>
      </w:r>
      <w:r w:rsidR="00970FE0" w:rsidRPr="00736468">
        <w:t>‘</w:t>
      </w:r>
      <w:r w:rsidR="0027264C" w:rsidRPr="00736468">
        <w:t>connexion</w:t>
      </w:r>
      <w:r w:rsidR="00970FE0" w:rsidRPr="00736468">
        <w:t>’</w:t>
      </w:r>
      <w:r w:rsidR="0027264C" w:rsidRPr="00736468">
        <w:t xml:space="preserve"> </w:t>
      </w:r>
      <w:r w:rsidR="003B4659" w:rsidRPr="00736468">
        <w:t>that linked Barbauld and Roscoe</w:t>
      </w:r>
      <w:r w:rsidR="007463FD" w:rsidRPr="00736468">
        <w:t>,</w:t>
      </w:r>
      <w:r w:rsidR="00730250" w:rsidRPr="00736468">
        <w:t xml:space="preserve"> and equally hostile</w:t>
      </w:r>
      <w:r w:rsidR="00863106" w:rsidRPr="00736468">
        <w:t>.</w:t>
      </w:r>
      <w:r w:rsidR="00DE3956" w:rsidRPr="00736468">
        <w:t xml:space="preserve"> </w:t>
      </w:r>
      <w:r w:rsidR="00801296" w:rsidRPr="00736468">
        <w:t>With</w:t>
      </w:r>
      <w:r w:rsidRPr="00736468">
        <w:t xml:space="preserve"> her brother</w:t>
      </w:r>
      <w:r w:rsidR="008C7195">
        <w:t>,</w:t>
      </w:r>
      <w:r w:rsidRPr="00736468">
        <w:t xml:space="preserve"> John Aikin junior</w:t>
      </w:r>
      <w:r w:rsidR="00801296" w:rsidRPr="00736468">
        <w:t>, Barbauld</w:t>
      </w:r>
      <w:r w:rsidR="00DE3956" w:rsidRPr="00736468">
        <w:t xml:space="preserve"> </w:t>
      </w:r>
      <w:r w:rsidRPr="00736468">
        <w:t>served almost as</w:t>
      </w:r>
      <w:r w:rsidR="00DE3956" w:rsidRPr="00736468">
        <w:t xml:space="preserve"> London agent</w:t>
      </w:r>
      <w:r w:rsidRPr="00736468">
        <w:t>s</w:t>
      </w:r>
      <w:r w:rsidR="00DE3956" w:rsidRPr="00736468">
        <w:t xml:space="preserve"> for </w:t>
      </w:r>
      <w:r w:rsidRPr="00736468">
        <w:t>their</w:t>
      </w:r>
      <w:r w:rsidR="00DE3956" w:rsidRPr="00736468">
        <w:t xml:space="preserve"> friends in the north</w:t>
      </w:r>
      <w:r w:rsidRPr="00736468">
        <w:t xml:space="preserve">. </w:t>
      </w:r>
      <w:r w:rsidR="00F21320" w:rsidRPr="00736468">
        <w:t xml:space="preserve">In 1795, </w:t>
      </w:r>
      <w:r w:rsidR="00145F92">
        <w:t>Aikin’s</w:t>
      </w:r>
      <w:r w:rsidR="00145F92" w:rsidRPr="00736468">
        <w:t xml:space="preserve"> </w:t>
      </w:r>
      <w:r w:rsidR="00DE3956" w:rsidRPr="00736468">
        <w:rPr>
          <w:i/>
        </w:rPr>
        <w:t xml:space="preserve">Description of </w:t>
      </w:r>
      <w:r w:rsidR="0027264C" w:rsidRPr="00736468">
        <w:rPr>
          <w:i/>
        </w:rPr>
        <w:t>…</w:t>
      </w:r>
      <w:r w:rsidR="00DE3956" w:rsidRPr="00736468">
        <w:rPr>
          <w:i/>
        </w:rPr>
        <w:t>Manchester</w:t>
      </w:r>
      <w:r w:rsidR="00DE3956" w:rsidRPr="00736468">
        <w:t xml:space="preserve">, published with the help of information gathered by </w:t>
      </w:r>
      <w:r w:rsidR="00E9532F" w:rsidRPr="00736468">
        <w:t xml:space="preserve">Thomas </w:t>
      </w:r>
      <w:r w:rsidR="00DE3956" w:rsidRPr="00736468">
        <w:t xml:space="preserve">Percival and </w:t>
      </w:r>
      <w:r w:rsidR="00E9532F" w:rsidRPr="00736468">
        <w:t>his friends</w:t>
      </w:r>
      <w:r w:rsidRPr="00736468">
        <w:t xml:space="preserve">, </w:t>
      </w:r>
      <w:r w:rsidR="00F21320" w:rsidRPr="00736468">
        <w:t xml:space="preserve">had </w:t>
      </w:r>
      <w:r w:rsidRPr="00736468">
        <w:t>offered a vision of</w:t>
      </w:r>
      <w:r w:rsidR="00F21320" w:rsidRPr="00736468">
        <w:t xml:space="preserve"> Manchester as </w:t>
      </w:r>
      <w:r w:rsidR="00F21320" w:rsidRPr="008C7195">
        <w:t>‘the heart of this vast system, the circulating branches of which spread all around it</w:t>
      </w:r>
      <w:r w:rsidR="00970FE0" w:rsidRPr="008C7195">
        <w:t>,’</w:t>
      </w:r>
      <w:r w:rsidR="00F21320" w:rsidRPr="008C7195">
        <w:t xml:space="preserve"> a renovated body politic</w:t>
      </w:r>
      <w:r w:rsidRPr="00736468">
        <w:t xml:space="preserve"> </w:t>
      </w:r>
      <w:r w:rsidR="00F21320" w:rsidRPr="00736468">
        <w:t>that challenged</w:t>
      </w:r>
      <w:r w:rsidRPr="00736468">
        <w:t xml:space="preserve"> </w:t>
      </w:r>
      <w:r w:rsidR="0027264C" w:rsidRPr="00736468">
        <w:t xml:space="preserve">the </w:t>
      </w:r>
      <w:r w:rsidRPr="00736468">
        <w:t>aristocratic hegemony</w:t>
      </w:r>
      <w:r w:rsidR="0027264C" w:rsidRPr="00736468">
        <w:t xml:space="preserve"> Tory’s like Croker cherished</w:t>
      </w:r>
      <w:r w:rsidR="00DE3956" w:rsidRPr="00736468">
        <w:t>.</w:t>
      </w:r>
      <w:r w:rsidR="004234AA" w:rsidRPr="00736468">
        <w:rPr>
          <w:rStyle w:val="EndnoteReference"/>
        </w:rPr>
        <w:endnoteReference w:id="52"/>
      </w:r>
      <w:r w:rsidR="00655966" w:rsidRPr="00736468">
        <w:t xml:space="preserve"> </w:t>
      </w:r>
    </w:p>
    <w:p w14:paraId="2CD6823E" w14:textId="38887C5A" w:rsidR="008F3A90" w:rsidRPr="00736468" w:rsidRDefault="00B15E25" w:rsidP="00736468">
      <w:pPr>
        <w:widowControl w:val="0"/>
        <w:autoSpaceDE w:val="0"/>
        <w:autoSpaceDN w:val="0"/>
        <w:adjustRightInd w:val="0"/>
        <w:spacing w:line="480" w:lineRule="auto"/>
        <w:ind w:firstLine="720"/>
        <w:jc w:val="both"/>
      </w:pPr>
      <w:r w:rsidRPr="00736468">
        <w:t>R</w:t>
      </w:r>
      <w:r w:rsidR="00A84C82" w:rsidRPr="00736468">
        <w:t xml:space="preserve">ecent </w:t>
      </w:r>
      <w:r w:rsidRPr="00736468">
        <w:t xml:space="preserve">literary </w:t>
      </w:r>
      <w:r w:rsidR="00A84C82" w:rsidRPr="00736468">
        <w:t xml:space="preserve">criticism </w:t>
      </w:r>
      <w:r w:rsidRPr="00736468">
        <w:t xml:space="preserve">has been astute on the way </w:t>
      </w:r>
      <w:r w:rsidR="00A84C82" w:rsidRPr="00736468">
        <w:t xml:space="preserve">Barbauld figured her poetry as a form of gift relation cementing </w:t>
      </w:r>
      <w:r w:rsidR="008F3A90" w:rsidRPr="00736468">
        <w:t>the connections that Croker and De Quincey despised.</w:t>
      </w:r>
      <w:r w:rsidRPr="00736468">
        <w:t xml:space="preserve"> </w:t>
      </w:r>
      <w:r w:rsidR="00865DC0" w:rsidRPr="00736468">
        <w:t>I</w:t>
      </w:r>
      <w:r w:rsidRPr="00736468">
        <w:t xml:space="preserve">nterestingly, in this regard, Hannah Greg described her </w:t>
      </w:r>
      <w:r w:rsidR="00977A4F" w:rsidRPr="00736468">
        <w:t>collections of maxims as a</w:t>
      </w:r>
      <w:r w:rsidRPr="00736468">
        <w:t xml:space="preserve"> </w:t>
      </w:r>
      <w:r w:rsidR="00970FE0" w:rsidRPr="00736468">
        <w:t>‘</w:t>
      </w:r>
      <w:r w:rsidRPr="00736468">
        <w:t>gift</w:t>
      </w:r>
      <w:r w:rsidR="00970FE0" w:rsidRPr="00736468">
        <w:t>’</w:t>
      </w:r>
      <w:r w:rsidRPr="00736468">
        <w:t xml:space="preserve"> to her children, </w:t>
      </w:r>
      <w:r w:rsidR="008F3A90" w:rsidRPr="00736468">
        <w:t xml:space="preserve">and even imagined </w:t>
      </w:r>
      <w:r w:rsidR="00801296" w:rsidRPr="00736468">
        <w:t>them</w:t>
      </w:r>
      <w:r w:rsidR="0027264C" w:rsidRPr="00736468">
        <w:t xml:space="preserve"> appearing as</w:t>
      </w:r>
      <w:r w:rsidR="00655966" w:rsidRPr="00736468">
        <w:t xml:space="preserve"> </w:t>
      </w:r>
      <w:r w:rsidR="00970FE0" w:rsidRPr="00736468">
        <w:t>‘</w:t>
      </w:r>
      <w:r w:rsidR="0027264C" w:rsidRPr="00736468">
        <w:t xml:space="preserve">mottoes on </w:t>
      </w:r>
      <w:r w:rsidR="00F55BCA" w:rsidRPr="00736468">
        <w:t xml:space="preserve">common jugs, </w:t>
      </w:r>
      <w:r w:rsidR="008F3A90" w:rsidRPr="00736468">
        <w:t>cups</w:t>
      </w:r>
      <w:r w:rsidR="00F55BCA" w:rsidRPr="00736468">
        <w:t>, &amp;c</w:t>
      </w:r>
      <w:r w:rsidR="00E32CED" w:rsidRPr="00736468">
        <w:t>; those that are too long for this purpose might be printed on handkerchiefs, or used for writing copies in charity schools.</w:t>
      </w:r>
      <w:r w:rsidR="00970FE0" w:rsidRPr="00736468">
        <w:t>’</w:t>
      </w:r>
      <w:r w:rsidR="00E32CED" w:rsidRPr="00736468">
        <w:rPr>
          <w:rStyle w:val="EndnoteReference"/>
        </w:rPr>
        <w:endnoteReference w:id="53"/>
      </w:r>
      <w:r w:rsidR="008F3A90" w:rsidRPr="00736468">
        <w:t xml:space="preserve"> </w:t>
      </w:r>
      <w:r w:rsidR="007463FD" w:rsidRPr="00736468">
        <w:t>Joanna Wharton has shown how Barbauld’s poems</w:t>
      </w:r>
      <w:r w:rsidR="00E9532F" w:rsidRPr="00736468">
        <w:t xml:space="preserve"> exploited </w:t>
      </w:r>
      <w:r w:rsidR="00801296" w:rsidRPr="00736468">
        <w:t>such ideas</w:t>
      </w:r>
      <w:r w:rsidR="00E9532F" w:rsidRPr="00736468">
        <w:t xml:space="preserve"> to create a materialist </w:t>
      </w:r>
      <w:r w:rsidR="00E9532F" w:rsidRPr="00736468">
        <w:lastRenderedPageBreak/>
        <w:t xml:space="preserve">understanding </w:t>
      </w:r>
      <w:r w:rsidR="007463FD" w:rsidRPr="00736468">
        <w:t xml:space="preserve">of </w:t>
      </w:r>
      <w:r w:rsidR="00E9532F" w:rsidRPr="00736468">
        <w:t>the operations of mind, a topic</w:t>
      </w:r>
      <w:r w:rsidR="00E32CED" w:rsidRPr="00736468">
        <w:t xml:space="preserve"> much</w:t>
      </w:r>
      <w:r w:rsidR="00E9532F" w:rsidRPr="00736468">
        <w:t xml:space="preserve"> debated</w:t>
      </w:r>
      <w:r w:rsidR="00E32CED" w:rsidRPr="00736468">
        <w:t>, as we have seen,</w:t>
      </w:r>
      <w:r w:rsidR="00E9532F" w:rsidRPr="00736468">
        <w:t xml:space="preserve"> in Liverpool and Manchester</w:t>
      </w:r>
      <w:r w:rsidR="007463FD" w:rsidRPr="00736468">
        <w:t>.</w:t>
      </w:r>
      <w:r w:rsidR="00FF4A4A" w:rsidRPr="00736468">
        <w:rPr>
          <w:rStyle w:val="EndnoteReference"/>
        </w:rPr>
        <w:endnoteReference w:id="54"/>
      </w:r>
      <w:r w:rsidR="007463FD" w:rsidRPr="00736468">
        <w:t xml:space="preserve"> </w:t>
      </w:r>
      <w:r w:rsidR="00BB034A" w:rsidRPr="00736468">
        <w:t xml:space="preserve">These </w:t>
      </w:r>
      <w:r w:rsidR="00D25DB6" w:rsidRPr="00736468">
        <w:t xml:space="preserve">poems </w:t>
      </w:r>
      <w:r w:rsidRPr="00736468">
        <w:t>also</w:t>
      </w:r>
      <w:r w:rsidR="00D25DB6" w:rsidRPr="00736468">
        <w:t xml:space="preserve"> frequently</w:t>
      </w:r>
      <w:r w:rsidRPr="00736468">
        <w:t xml:space="preserve"> figure themselves as part of a process of network formation that is potentially fragile and needs actively creating and maintaining, especially when faced with the kind of dispersal that followed, for instance, graduation from Warrington or, especially</w:t>
      </w:r>
      <w:r w:rsidR="005F741E" w:rsidRPr="00736468">
        <w:t>,</w:t>
      </w:r>
      <w:r w:rsidRPr="00736468">
        <w:t xml:space="preserve"> for </w:t>
      </w:r>
      <w:r w:rsidR="007463FD" w:rsidRPr="00736468">
        <w:t xml:space="preserve">her </w:t>
      </w:r>
      <w:r w:rsidRPr="00736468">
        <w:t>women friends</w:t>
      </w:r>
      <w:r w:rsidR="008F3A90" w:rsidRPr="00736468">
        <w:t xml:space="preserve"> after </w:t>
      </w:r>
      <w:r w:rsidRPr="00736468">
        <w:t xml:space="preserve">marriage. No poems register these </w:t>
      </w:r>
      <w:r w:rsidR="004906EA" w:rsidRPr="00736468">
        <w:t xml:space="preserve">more affectionately than </w:t>
      </w:r>
      <w:r w:rsidR="00730250" w:rsidRPr="00736468">
        <w:t>those</w:t>
      </w:r>
      <w:r w:rsidR="004906EA" w:rsidRPr="00736468">
        <w:t xml:space="preserve"> on the departure of Mary and </w:t>
      </w:r>
      <w:r w:rsidR="00517F2E" w:rsidRPr="00736468">
        <w:t xml:space="preserve">Joseph </w:t>
      </w:r>
      <w:r w:rsidR="00863106" w:rsidRPr="00736468">
        <w:t xml:space="preserve">Priestley </w:t>
      </w:r>
      <w:r w:rsidR="004906EA" w:rsidRPr="00736468">
        <w:t>from</w:t>
      </w:r>
      <w:r w:rsidR="00863106" w:rsidRPr="00736468">
        <w:t xml:space="preserve"> Warrington in </w:t>
      </w:r>
      <w:r w:rsidR="000A3A36" w:rsidRPr="00736468">
        <w:t>1767</w:t>
      </w:r>
      <w:r w:rsidR="004906EA" w:rsidRPr="00736468">
        <w:t>.</w:t>
      </w:r>
      <w:r w:rsidR="00FF4A4A" w:rsidRPr="00736468">
        <w:rPr>
          <w:rStyle w:val="EndnoteReference"/>
        </w:rPr>
        <w:endnoteReference w:id="55"/>
      </w:r>
      <w:r w:rsidR="004906EA" w:rsidRPr="00736468">
        <w:t xml:space="preserve"> Joseph Priestley</w:t>
      </w:r>
      <w:r w:rsidR="00785FDC" w:rsidRPr="00736468">
        <w:t xml:space="preserve"> </w:t>
      </w:r>
      <w:r w:rsidRPr="00736468">
        <w:t>had taken</w:t>
      </w:r>
      <w:r w:rsidR="00863106" w:rsidRPr="00736468">
        <w:t xml:space="preserve"> the ministry of Mill Hill Chapel in Leeds</w:t>
      </w:r>
      <w:r w:rsidR="004906EA" w:rsidRPr="00736468">
        <w:t xml:space="preserve">, </w:t>
      </w:r>
      <w:r w:rsidRPr="00736468">
        <w:t xml:space="preserve">across the </w:t>
      </w:r>
      <w:r w:rsidR="00371DE6" w:rsidRPr="00736468">
        <w:t>P</w:t>
      </w:r>
      <w:r w:rsidRPr="00736468">
        <w:t xml:space="preserve">ennines from Warrington, </w:t>
      </w:r>
      <w:r w:rsidR="004906EA" w:rsidRPr="00736468">
        <w:t xml:space="preserve">where </w:t>
      </w:r>
      <w:r w:rsidR="008C0CE7" w:rsidRPr="00736468">
        <w:t xml:space="preserve">Barbauld visited </w:t>
      </w:r>
      <w:r w:rsidR="004906EA" w:rsidRPr="00736468">
        <w:t>the couple on more than one occasion</w:t>
      </w:r>
      <w:r w:rsidR="001D045E" w:rsidRPr="00736468">
        <w:t xml:space="preserve">. On one of these </w:t>
      </w:r>
      <w:r w:rsidR="00801296" w:rsidRPr="00736468">
        <w:t>trips</w:t>
      </w:r>
      <w:r w:rsidR="001D045E" w:rsidRPr="00736468">
        <w:t>,</w:t>
      </w:r>
      <w:r w:rsidR="008C0CE7" w:rsidRPr="00736468">
        <w:t xml:space="preserve"> </w:t>
      </w:r>
      <w:r w:rsidR="001D045E" w:rsidRPr="00736468">
        <w:t>she also met Priestley’s close</w:t>
      </w:r>
      <w:r w:rsidR="008C0CE7" w:rsidRPr="00736468">
        <w:t xml:space="preserve"> friend William Tu</w:t>
      </w:r>
      <w:r w:rsidR="00FD7039" w:rsidRPr="00736468">
        <w:t>r</w:t>
      </w:r>
      <w:r w:rsidR="008C0CE7" w:rsidRPr="00736468">
        <w:t>ner, minister at Wakefield, to whose son</w:t>
      </w:r>
      <w:r w:rsidR="00517F2E" w:rsidRPr="00736468">
        <w:t>, also William Turner,</w:t>
      </w:r>
      <w:r w:rsidR="008C0CE7" w:rsidRPr="00736468">
        <w:t xml:space="preserve"> she presented</w:t>
      </w:r>
      <w:r w:rsidR="00AF4E0C" w:rsidRPr="00736468">
        <w:t xml:space="preserve"> </w:t>
      </w:r>
      <w:r w:rsidR="004C4DBB" w:rsidRPr="00736468">
        <w:t>the poem</w:t>
      </w:r>
      <w:r w:rsidR="00FD7039" w:rsidRPr="00736468">
        <w:t xml:space="preserve"> </w:t>
      </w:r>
      <w:r w:rsidR="00970FE0" w:rsidRPr="00736468">
        <w:t>‘</w:t>
      </w:r>
      <w:r w:rsidR="00FD7039" w:rsidRPr="00736468">
        <w:t>Verses written in the Leaves of an Ivory Pocketbook</w:t>
      </w:r>
      <w:r w:rsidR="00970FE0" w:rsidRPr="00736468">
        <w:t>’</w:t>
      </w:r>
      <w:r w:rsidR="00517F2E" w:rsidRPr="00736468">
        <w:t xml:space="preserve"> with its associationist linking of the </w:t>
      </w:r>
      <w:r w:rsidR="00801296" w:rsidRPr="00736468">
        <w:t>development of the boy’s mind to her inscription on the tablet</w:t>
      </w:r>
      <w:r w:rsidR="00517F2E" w:rsidRPr="00736468">
        <w:t>.</w:t>
      </w:r>
      <w:r w:rsidR="00A21867" w:rsidRPr="00736468">
        <w:rPr>
          <w:rStyle w:val="EndnoteReference"/>
        </w:rPr>
        <w:endnoteReference w:id="56"/>
      </w:r>
      <w:r w:rsidR="00517F2E" w:rsidRPr="00736468">
        <w:t xml:space="preserve"> The</w:t>
      </w:r>
      <w:r w:rsidR="001D045E" w:rsidRPr="00736468">
        <w:t xml:space="preserve"> inscribed</w:t>
      </w:r>
      <w:r w:rsidR="00517F2E" w:rsidRPr="00736468">
        <w:t xml:space="preserve"> </w:t>
      </w:r>
      <w:r w:rsidR="001D045E" w:rsidRPr="00736468">
        <w:t>ivory pocketbook</w:t>
      </w:r>
      <w:r w:rsidR="00517F2E" w:rsidRPr="00736468">
        <w:t xml:space="preserve"> itself </w:t>
      </w:r>
      <w:r w:rsidR="001D045E" w:rsidRPr="00736468">
        <w:t>was a memorial</w:t>
      </w:r>
      <w:r w:rsidR="00517F2E" w:rsidRPr="00736468">
        <w:t xml:space="preserve"> of the networks to which </w:t>
      </w:r>
      <w:r w:rsidR="00801296" w:rsidRPr="00736468">
        <w:t xml:space="preserve">Croker and </w:t>
      </w:r>
      <w:r w:rsidR="00517F2E" w:rsidRPr="00736468">
        <w:t xml:space="preserve">De Quincey objected, a </w:t>
      </w:r>
      <w:r w:rsidR="007463FD" w:rsidRPr="00736468">
        <w:t>gift</w:t>
      </w:r>
      <w:r w:rsidR="00517F2E" w:rsidRPr="00736468">
        <w:t xml:space="preserve"> that </w:t>
      </w:r>
      <w:r w:rsidR="007463FD" w:rsidRPr="00736468">
        <w:t xml:space="preserve">preserved the </w:t>
      </w:r>
      <w:r w:rsidR="00517F2E" w:rsidRPr="00736468">
        <w:t>Aikin-Barbaulds</w:t>
      </w:r>
      <w:r w:rsidR="005F741E" w:rsidRPr="00736468">
        <w:t>’ links</w:t>
      </w:r>
      <w:r w:rsidR="00517F2E" w:rsidRPr="00736468">
        <w:t xml:space="preserve"> with the Priest</w:t>
      </w:r>
      <w:r w:rsidR="004906EA" w:rsidRPr="00736468">
        <w:t>le</w:t>
      </w:r>
      <w:r w:rsidR="00517F2E" w:rsidRPr="00736468">
        <w:t>ys and the Turners. It was not merely</w:t>
      </w:r>
      <w:r w:rsidR="000528A3" w:rsidRPr="00736468">
        <w:t xml:space="preserve"> </w:t>
      </w:r>
      <w:r w:rsidR="005527A6" w:rsidRPr="00736468">
        <w:t xml:space="preserve">a friendship gift, </w:t>
      </w:r>
      <w:r w:rsidR="00A3753E" w:rsidRPr="00736468">
        <w:t>but</w:t>
      </w:r>
      <w:r w:rsidR="007463FD" w:rsidRPr="00736468">
        <w:t xml:space="preserve"> </w:t>
      </w:r>
      <w:r w:rsidR="00517F2E" w:rsidRPr="00736468">
        <w:t>also</w:t>
      </w:r>
      <w:r w:rsidR="005527A6" w:rsidRPr="00736468">
        <w:t xml:space="preserve"> </w:t>
      </w:r>
      <w:r w:rsidR="008F3A90" w:rsidRPr="008C7195">
        <w:t>intended</w:t>
      </w:r>
      <w:r w:rsidR="007463FD" w:rsidRPr="008C7195">
        <w:t>, as Wharton shows,</w:t>
      </w:r>
      <w:r w:rsidR="00517F2E" w:rsidRPr="008C7195">
        <w:t xml:space="preserve"> to make</w:t>
      </w:r>
      <w:r w:rsidR="005527A6" w:rsidRPr="008C7195">
        <w:t xml:space="preserve"> an </w:t>
      </w:r>
      <w:r w:rsidR="00970FE0" w:rsidRPr="008C7195">
        <w:t>‘</w:t>
      </w:r>
      <w:r w:rsidR="005527A6" w:rsidRPr="008C7195">
        <w:t>impression</w:t>
      </w:r>
      <w:r w:rsidR="00970FE0" w:rsidRPr="008C7195">
        <w:t>’</w:t>
      </w:r>
      <w:r w:rsidR="00A21867" w:rsidRPr="008C7195">
        <w:t xml:space="preserve"> (l.</w:t>
      </w:r>
      <w:r w:rsidR="00BB034A" w:rsidRPr="008C7195">
        <w:t>5</w:t>
      </w:r>
      <w:r w:rsidR="00A21867" w:rsidRPr="008C7195">
        <w:t>)</w:t>
      </w:r>
      <w:r w:rsidR="005527A6" w:rsidRPr="008C7195">
        <w:t xml:space="preserve"> on the boy’s mind </w:t>
      </w:r>
      <w:r w:rsidR="00517F2E" w:rsidRPr="008C7195">
        <w:t>with Barbauld’s</w:t>
      </w:r>
      <w:r w:rsidR="004906EA" w:rsidRPr="00840508">
        <w:t xml:space="preserve"> </w:t>
      </w:r>
      <w:r w:rsidR="00970FE0" w:rsidRPr="00840508">
        <w:t>‘</w:t>
      </w:r>
      <w:r w:rsidR="004906EA" w:rsidRPr="00840508">
        <w:t>pencil of Instruction</w:t>
      </w:r>
      <w:r w:rsidR="00801296" w:rsidRPr="00840508">
        <w:t>,</w:t>
      </w:r>
      <w:r w:rsidR="00970FE0" w:rsidRPr="00840508">
        <w:t>’</w:t>
      </w:r>
      <w:r w:rsidR="00A21867" w:rsidRPr="00840508">
        <w:t xml:space="preserve"> (l.</w:t>
      </w:r>
      <w:r w:rsidR="00BB034A" w:rsidRPr="00840508">
        <w:t>6</w:t>
      </w:r>
      <w:r w:rsidR="00A21867" w:rsidRPr="00840508">
        <w:t>)</w:t>
      </w:r>
      <w:r w:rsidR="005527A6" w:rsidRPr="00736468">
        <w:t xml:space="preserve"> </w:t>
      </w:r>
      <w:r w:rsidR="00801296" w:rsidRPr="00736468">
        <w:t>exactly the kind of impression Hannah Greg hoped her maxims would make if painted onto cups and jugs.</w:t>
      </w:r>
    </w:p>
    <w:p w14:paraId="4CDC3667" w14:textId="008F335A" w:rsidR="005F741E" w:rsidRPr="008C7195" w:rsidRDefault="005527A6" w:rsidP="00736468">
      <w:pPr>
        <w:widowControl w:val="0"/>
        <w:autoSpaceDE w:val="0"/>
        <w:autoSpaceDN w:val="0"/>
        <w:adjustRightInd w:val="0"/>
        <w:spacing w:line="480" w:lineRule="auto"/>
        <w:ind w:firstLine="720"/>
        <w:jc w:val="both"/>
      </w:pPr>
      <w:r w:rsidRPr="00736468">
        <w:t>Barbauld made sufficient impression on Turner for him to remember her</w:t>
      </w:r>
      <w:r w:rsidR="00517F2E" w:rsidRPr="00736468">
        <w:t xml:space="preserve"> as </w:t>
      </w:r>
      <w:r w:rsidR="00970FE0" w:rsidRPr="00736468">
        <w:t>‘</w:t>
      </w:r>
      <w:r w:rsidR="00517F2E" w:rsidRPr="00736468">
        <w:t>un</w:t>
      </w:r>
      <w:r w:rsidR="000528A3" w:rsidRPr="00736468">
        <w:t>questionably the first of our female poets, and one of the most eloquent and powerful of our prose writers</w:t>
      </w:r>
      <w:r w:rsidR="00970FE0" w:rsidRPr="00736468">
        <w:t>’</w:t>
      </w:r>
      <w:r w:rsidR="008C0CE7" w:rsidRPr="00736468">
        <w:t xml:space="preserve"> in </w:t>
      </w:r>
      <w:r w:rsidR="00801296" w:rsidRPr="00736468">
        <w:t xml:space="preserve">the </w:t>
      </w:r>
      <w:r w:rsidR="008C0CE7" w:rsidRPr="00736468">
        <w:t xml:space="preserve">obituary </w:t>
      </w:r>
      <w:r w:rsidR="00801296" w:rsidRPr="00736468">
        <w:t xml:space="preserve">he provided to </w:t>
      </w:r>
      <w:r w:rsidR="008C0CE7" w:rsidRPr="00736468">
        <w:rPr>
          <w:i/>
        </w:rPr>
        <w:t>The Newcastle Magazine</w:t>
      </w:r>
      <w:r w:rsidR="00801296" w:rsidRPr="00736468">
        <w:t xml:space="preserve"> in 1825</w:t>
      </w:r>
      <w:r w:rsidR="00C60D1C" w:rsidRPr="00736468">
        <w:t>.</w:t>
      </w:r>
      <w:r w:rsidR="000528A3" w:rsidRPr="00736468">
        <w:t xml:space="preserve"> </w:t>
      </w:r>
      <w:r w:rsidR="00C60D1C" w:rsidRPr="00736468">
        <w:t>The obituary</w:t>
      </w:r>
      <w:r w:rsidR="000528A3" w:rsidRPr="00736468">
        <w:t xml:space="preserve"> </w:t>
      </w:r>
      <w:r w:rsidR="00801296" w:rsidRPr="00736468">
        <w:t xml:space="preserve">also saw </w:t>
      </w:r>
      <w:r w:rsidR="000528A3" w:rsidRPr="00736468">
        <w:t>the first printing of the ivory pocketbook poem</w:t>
      </w:r>
      <w:r w:rsidR="004906EA" w:rsidRPr="00736468">
        <w:t xml:space="preserve"> </w:t>
      </w:r>
      <w:r w:rsidR="00840508">
        <w:t>–</w:t>
      </w:r>
      <w:r w:rsidR="00C60D1C" w:rsidRPr="00736468">
        <w:t xml:space="preserve"> </w:t>
      </w:r>
      <w:r w:rsidR="004906EA" w:rsidRPr="00736468">
        <w:t xml:space="preserve">with </w:t>
      </w:r>
      <w:r w:rsidR="004906EA" w:rsidRPr="00736468">
        <w:lastRenderedPageBreak/>
        <w:t>several others</w:t>
      </w:r>
      <w:r w:rsidR="00C60D1C" w:rsidRPr="00736468">
        <w:t xml:space="preserve"> – and effectively, one might say, confirmed the </w:t>
      </w:r>
      <w:r w:rsidR="00E9532F" w:rsidRPr="00736468">
        <w:t xml:space="preserve">indelible </w:t>
      </w:r>
      <w:r w:rsidR="00C60D1C" w:rsidRPr="00736468">
        <w:t xml:space="preserve">success of </w:t>
      </w:r>
      <w:r w:rsidR="00655541" w:rsidRPr="00736468">
        <w:t>her attempt to bind</w:t>
      </w:r>
      <w:r w:rsidR="00C60D1C" w:rsidRPr="00736468">
        <w:t xml:space="preserve"> the boy into the networks of improvement that emanated from Warrington</w:t>
      </w:r>
      <w:r w:rsidR="008C0CE7" w:rsidRPr="00736468">
        <w:t>.</w:t>
      </w:r>
      <w:r w:rsidR="00AD6249" w:rsidRPr="00736468">
        <w:rPr>
          <w:rStyle w:val="EndnoteReference"/>
        </w:rPr>
        <w:endnoteReference w:id="57"/>
      </w:r>
      <w:r w:rsidR="00655966" w:rsidRPr="00736468">
        <w:t xml:space="preserve"> </w:t>
      </w:r>
      <w:r w:rsidR="008F3A90" w:rsidRPr="00736468">
        <w:t>Y</w:t>
      </w:r>
      <w:r w:rsidR="00C60D1C" w:rsidRPr="00736468">
        <w:t>oung William Turner went on</w:t>
      </w:r>
      <w:r w:rsidR="000528A3" w:rsidRPr="00736468">
        <w:t xml:space="preserve"> to become a student at </w:t>
      </w:r>
      <w:r w:rsidR="00E9532F" w:rsidRPr="00736468">
        <w:t>the Academy</w:t>
      </w:r>
      <w:r w:rsidR="007463FD" w:rsidRPr="00736468">
        <w:t xml:space="preserve"> </w:t>
      </w:r>
      <w:r w:rsidR="00840508">
        <w:t xml:space="preserve">from </w:t>
      </w:r>
      <w:r w:rsidR="000528A3" w:rsidRPr="00736468">
        <w:t>1777</w:t>
      </w:r>
      <w:r w:rsidR="00246EC9" w:rsidRPr="00736468">
        <w:t xml:space="preserve"> until 1781</w:t>
      </w:r>
      <w:r w:rsidR="00F53A80" w:rsidRPr="00736468">
        <w:t>.</w:t>
      </w:r>
      <w:r w:rsidR="00AD6249" w:rsidRPr="00736468">
        <w:rPr>
          <w:rStyle w:val="EndnoteReference"/>
        </w:rPr>
        <w:endnoteReference w:id="58"/>
      </w:r>
      <w:r w:rsidR="00F53A80" w:rsidRPr="00736468">
        <w:t xml:space="preserve"> Barbauld herself had </w:t>
      </w:r>
      <w:r w:rsidR="00655541" w:rsidRPr="00736468">
        <w:t xml:space="preserve">left </w:t>
      </w:r>
      <w:r w:rsidR="008F3A90" w:rsidRPr="00736468">
        <w:t xml:space="preserve">the area </w:t>
      </w:r>
      <w:r w:rsidR="00655541" w:rsidRPr="00736468">
        <w:t>by this stage</w:t>
      </w:r>
      <w:r w:rsidR="00246EC9" w:rsidRPr="00736468">
        <w:t xml:space="preserve">, </w:t>
      </w:r>
      <w:r w:rsidR="00801296" w:rsidRPr="00736468">
        <w:t xml:space="preserve">of course, </w:t>
      </w:r>
      <w:r w:rsidR="00F53A80" w:rsidRPr="00736468">
        <w:t>but</w:t>
      </w:r>
      <w:r w:rsidR="00C60D1C" w:rsidRPr="00736468">
        <w:t xml:space="preserve"> </w:t>
      </w:r>
      <w:r w:rsidR="000528A3" w:rsidRPr="00736468">
        <w:t xml:space="preserve">he would </w:t>
      </w:r>
      <w:r w:rsidR="00C60D1C" w:rsidRPr="00736468">
        <w:t xml:space="preserve">surely </w:t>
      </w:r>
      <w:r w:rsidR="00AD6249" w:rsidRPr="00736468">
        <w:t xml:space="preserve">have </w:t>
      </w:r>
      <w:r w:rsidR="00C60D1C" w:rsidRPr="00736468">
        <w:t xml:space="preserve">been aware of her </w:t>
      </w:r>
      <w:r w:rsidR="00801296" w:rsidRPr="00736468">
        <w:t xml:space="preserve">virtual </w:t>
      </w:r>
      <w:r w:rsidR="00C60D1C" w:rsidRPr="00736468">
        <w:t xml:space="preserve">presence, at least </w:t>
      </w:r>
      <w:r w:rsidR="00F53A80" w:rsidRPr="00736468">
        <w:t>via</w:t>
      </w:r>
      <w:r w:rsidR="00C60D1C" w:rsidRPr="00736468">
        <w:t xml:space="preserve"> </w:t>
      </w:r>
      <w:r w:rsidR="00970FE0" w:rsidRPr="00736468">
        <w:t>‘</w:t>
      </w:r>
      <w:r w:rsidR="00C60D1C" w:rsidRPr="00736468">
        <w:t>convers</w:t>
      </w:r>
      <w:r w:rsidR="00F53A80" w:rsidRPr="00736468">
        <w:t>at</w:t>
      </w:r>
      <w:r w:rsidR="00C60D1C" w:rsidRPr="00736468">
        <w:t>ion</w:t>
      </w:r>
      <w:r w:rsidR="00970FE0" w:rsidRPr="00736468">
        <w:t>’</w:t>
      </w:r>
      <w:r w:rsidR="00C60D1C" w:rsidRPr="00736468">
        <w:t xml:space="preserve"> in Henry’s sense of reading</w:t>
      </w:r>
      <w:r w:rsidR="00801296" w:rsidRPr="00736468">
        <w:t>, but perhaps also by word of mouth</w:t>
      </w:r>
      <w:r w:rsidR="00F53A80" w:rsidRPr="00736468">
        <w:t xml:space="preserve">. Equally unsurprisingly, </w:t>
      </w:r>
      <w:r w:rsidR="00801296" w:rsidRPr="00736468">
        <w:t xml:space="preserve">as if fulfilling a script written by Barbauld, </w:t>
      </w:r>
      <w:r w:rsidR="00655541" w:rsidRPr="00736468">
        <w:t xml:space="preserve">Turner </w:t>
      </w:r>
      <w:r w:rsidR="00F53A80" w:rsidRPr="00736468">
        <w:t>was made an honorary member of the</w:t>
      </w:r>
      <w:r w:rsidR="00246EC9" w:rsidRPr="008C7195">
        <w:t xml:space="preserve"> </w:t>
      </w:r>
      <w:r w:rsidR="00801296" w:rsidRPr="008C7195">
        <w:t xml:space="preserve">Manchester </w:t>
      </w:r>
      <w:r w:rsidR="00111C25" w:rsidRPr="008C7195">
        <w:t xml:space="preserve">Literary and Philosophical Society </w:t>
      </w:r>
      <w:r w:rsidR="00F53A80" w:rsidRPr="008C7195">
        <w:t>in 1783</w:t>
      </w:r>
      <w:r w:rsidR="000C7A56" w:rsidRPr="008C7195">
        <w:t xml:space="preserve">. </w:t>
      </w:r>
      <w:r w:rsidR="00F53A80" w:rsidRPr="008C7195">
        <w:t xml:space="preserve">By this </w:t>
      </w:r>
      <w:r w:rsidR="00840508" w:rsidRPr="008C7195">
        <w:t>stage,</w:t>
      </w:r>
      <w:r w:rsidR="00F53A80" w:rsidRPr="008C7195">
        <w:t xml:space="preserve"> he had taken over a</w:t>
      </w:r>
      <w:r w:rsidR="000C7A56" w:rsidRPr="008C7195">
        <w:t xml:space="preserve"> </w:t>
      </w:r>
      <w:r w:rsidR="00111C25" w:rsidRPr="008C7195">
        <w:t>Dissenting</w:t>
      </w:r>
      <w:r w:rsidR="00BE0AB1" w:rsidRPr="008C7195">
        <w:t xml:space="preserve"> </w:t>
      </w:r>
      <w:r w:rsidR="000C7A56" w:rsidRPr="008C7195">
        <w:t>congregation</w:t>
      </w:r>
      <w:r w:rsidR="001D045E" w:rsidRPr="008C7195">
        <w:t xml:space="preserve"> </w:t>
      </w:r>
      <w:r w:rsidR="000C7A56" w:rsidRPr="008C7195">
        <w:t xml:space="preserve">in </w:t>
      </w:r>
      <w:r w:rsidR="00BB034A" w:rsidRPr="008C7195">
        <w:t>Newcastle-upon-Tyne but</w:t>
      </w:r>
      <w:r w:rsidR="00F53A80" w:rsidRPr="00840508">
        <w:t xml:space="preserve"> took with him</w:t>
      </w:r>
      <w:r w:rsidR="000C7A56" w:rsidRPr="00840508">
        <w:t xml:space="preserve"> </w:t>
      </w:r>
      <w:r w:rsidR="00840508">
        <w:t>the Society’s</w:t>
      </w:r>
      <w:r w:rsidR="00840508" w:rsidRPr="00840508">
        <w:t xml:space="preserve"> </w:t>
      </w:r>
      <w:r w:rsidR="000C7A56" w:rsidRPr="00840508">
        <w:t xml:space="preserve">self-organizing </w:t>
      </w:r>
      <w:r w:rsidR="00801296" w:rsidRPr="00840508">
        <w:t xml:space="preserve">principle </w:t>
      </w:r>
      <w:r w:rsidR="000C7A56" w:rsidRPr="00840508">
        <w:t xml:space="preserve">of knowledge association. </w:t>
      </w:r>
      <w:r w:rsidR="000A3A36" w:rsidRPr="00840508">
        <w:t>Initially he set up a small informal</w:t>
      </w:r>
      <w:r w:rsidR="000C7A56" w:rsidRPr="00840508">
        <w:t xml:space="preserve"> conversation </w:t>
      </w:r>
      <w:r w:rsidR="00970FE0" w:rsidRPr="00840508">
        <w:t>‘</w:t>
      </w:r>
      <w:r w:rsidR="000C7A56" w:rsidRPr="00840508">
        <w:t>club</w:t>
      </w:r>
      <w:r w:rsidR="00970FE0" w:rsidRPr="00840508">
        <w:t>’</w:t>
      </w:r>
      <w:r w:rsidR="000C7A56" w:rsidRPr="00840508">
        <w:t xml:space="preserve"> with friends</w:t>
      </w:r>
      <w:r w:rsidR="007010ED" w:rsidRPr="00840508">
        <w:t xml:space="preserve">, </w:t>
      </w:r>
      <w:r w:rsidR="00F53A80" w:rsidRPr="00840508">
        <w:t xml:space="preserve">and, </w:t>
      </w:r>
      <w:r w:rsidR="00801296" w:rsidRPr="00840508">
        <w:t xml:space="preserve">continuing </w:t>
      </w:r>
      <w:r w:rsidR="00F53A80" w:rsidRPr="00840508">
        <w:t xml:space="preserve">Percival’s trajectory, </w:t>
      </w:r>
      <w:r w:rsidR="00FD7039" w:rsidRPr="00840508">
        <w:t>the</w:t>
      </w:r>
      <w:r w:rsidR="00F53A80" w:rsidRPr="00840508">
        <w:t>n</w:t>
      </w:r>
      <w:r w:rsidR="00FD7039" w:rsidRPr="00840508">
        <w:t xml:space="preserve"> published</w:t>
      </w:r>
      <w:r w:rsidR="000C7A56" w:rsidRPr="00840508">
        <w:t xml:space="preserve"> </w:t>
      </w:r>
      <w:r w:rsidR="000C7A56" w:rsidRPr="00840508">
        <w:rPr>
          <w:i/>
        </w:rPr>
        <w:t>Speculations on the Propriety of Attempting the Establishment of a Literary Society in Newcastle</w:t>
      </w:r>
      <w:r w:rsidR="000A3A36" w:rsidRPr="00840508">
        <w:t xml:space="preserve"> (1792)</w:t>
      </w:r>
      <w:r w:rsidR="00F53A80" w:rsidRPr="00840508">
        <w:t>, explicitly a</w:t>
      </w:r>
      <w:r w:rsidR="000A3A36" w:rsidRPr="00840508">
        <w:t>cknowledging</w:t>
      </w:r>
      <w:r w:rsidR="000C7A56" w:rsidRPr="00384599">
        <w:t xml:space="preserve"> the importance of </w:t>
      </w:r>
      <w:r w:rsidR="00F53A80" w:rsidRPr="00384599">
        <w:t>the preced</w:t>
      </w:r>
      <w:r w:rsidR="00F53A80" w:rsidRPr="009E06A6">
        <w:t xml:space="preserve">ent set at Manchester, not least via the ethos of </w:t>
      </w:r>
      <w:r w:rsidR="00F53A80" w:rsidRPr="00941517">
        <w:rPr>
          <w:lang w:val="en-GB"/>
        </w:rPr>
        <w:t>conversation between bodies in rooms:</w:t>
      </w:r>
      <w:r w:rsidR="00D25DB6" w:rsidRPr="00941517">
        <w:rPr>
          <w:iCs/>
          <w:lang w:val="en-GB"/>
        </w:rPr>
        <w:t xml:space="preserve"> </w:t>
      </w:r>
      <w:r w:rsidR="00970FE0" w:rsidRPr="00941517">
        <w:rPr>
          <w:iCs/>
          <w:lang w:val="en-GB"/>
        </w:rPr>
        <w:t>‘</w:t>
      </w:r>
      <w:r w:rsidR="00F53A80" w:rsidRPr="00941517">
        <w:rPr>
          <w:iCs/>
          <w:lang w:val="en-GB"/>
        </w:rPr>
        <w:t>Knowledge, like fire, is br</w:t>
      </w:r>
      <w:r w:rsidR="00F53A80" w:rsidRPr="008C7195">
        <w:rPr>
          <w:iCs/>
          <w:lang w:val="en-GB"/>
        </w:rPr>
        <w:t>ought forth by collision; and in the free conversation of associated friends many lights have been struck out, and served as hints for the most important discoveries, which would not, probably, have occurred to their authors, in the retirements of private meditation</w:t>
      </w:r>
      <w:r w:rsidR="00970FE0" w:rsidRPr="008C7195">
        <w:t>’</w:t>
      </w:r>
      <w:r w:rsidR="00840508">
        <w:t>.</w:t>
      </w:r>
      <w:r w:rsidR="00AF7F35" w:rsidRPr="008C7195">
        <w:rPr>
          <w:rStyle w:val="EndnoteReference"/>
        </w:rPr>
        <w:endnoteReference w:id="59"/>
      </w:r>
      <w:r w:rsidR="00D25DB6" w:rsidRPr="008C7195">
        <w:t xml:space="preserve"> </w:t>
      </w:r>
    </w:p>
    <w:p w14:paraId="7214485B" w14:textId="6D66A954" w:rsidR="000E1B1F" w:rsidRPr="00840508" w:rsidRDefault="00801296" w:rsidP="00736468">
      <w:pPr>
        <w:widowControl w:val="0"/>
        <w:autoSpaceDE w:val="0"/>
        <w:autoSpaceDN w:val="0"/>
        <w:adjustRightInd w:val="0"/>
        <w:spacing w:line="480" w:lineRule="auto"/>
        <w:ind w:firstLine="720"/>
        <w:jc w:val="both"/>
      </w:pPr>
      <w:r w:rsidRPr="008C7195">
        <w:rPr>
          <w:iCs/>
          <w:lang w:val="en-GB"/>
        </w:rPr>
        <w:t xml:space="preserve">Further following </w:t>
      </w:r>
      <w:r w:rsidR="00F26984" w:rsidRPr="008C7195">
        <w:rPr>
          <w:iCs/>
          <w:lang w:val="en-GB"/>
        </w:rPr>
        <w:t xml:space="preserve">the </w:t>
      </w:r>
      <w:r w:rsidRPr="008C7195">
        <w:rPr>
          <w:iCs/>
          <w:lang w:val="en-GB"/>
        </w:rPr>
        <w:t>script</w:t>
      </w:r>
      <w:r w:rsidR="00F26984" w:rsidRPr="008C7195">
        <w:rPr>
          <w:iCs/>
          <w:lang w:val="en-GB"/>
        </w:rPr>
        <w:t xml:space="preserve"> </w:t>
      </w:r>
      <w:r w:rsidR="00887F56" w:rsidRPr="008C7195">
        <w:rPr>
          <w:iCs/>
          <w:lang w:val="en-GB"/>
        </w:rPr>
        <w:t xml:space="preserve">he had been given by </w:t>
      </w:r>
      <w:r w:rsidR="00F26984" w:rsidRPr="008C7195">
        <w:rPr>
          <w:iCs/>
          <w:lang w:val="en-GB"/>
        </w:rPr>
        <w:t>Barbauld</w:t>
      </w:r>
      <w:r w:rsidR="005F741E" w:rsidRPr="008C7195">
        <w:rPr>
          <w:iCs/>
          <w:lang w:val="en-GB"/>
        </w:rPr>
        <w:t xml:space="preserve"> as a boy</w:t>
      </w:r>
      <w:r w:rsidRPr="008C7195">
        <w:rPr>
          <w:iCs/>
          <w:lang w:val="en-GB"/>
        </w:rPr>
        <w:t xml:space="preserve">, </w:t>
      </w:r>
      <w:r w:rsidRPr="00840508">
        <w:rPr>
          <w:lang w:val="en-GB"/>
        </w:rPr>
        <w:t xml:space="preserve">he </w:t>
      </w:r>
      <w:r w:rsidR="00840508">
        <w:rPr>
          <w:lang w:val="en-GB"/>
        </w:rPr>
        <w:t>supported</w:t>
      </w:r>
      <w:r w:rsidR="00840508" w:rsidRPr="00840508">
        <w:rPr>
          <w:lang w:val="en-GB"/>
        </w:rPr>
        <w:t xml:space="preserve"> </w:t>
      </w:r>
      <w:r w:rsidR="00EA25FB" w:rsidRPr="00840508">
        <w:rPr>
          <w:lang w:val="en-GB"/>
        </w:rPr>
        <w:t>women’s education, as Ruth W</w:t>
      </w:r>
      <w:r w:rsidR="00D25DB6" w:rsidRPr="00840508">
        <w:rPr>
          <w:lang w:val="en-GB"/>
        </w:rPr>
        <w:t>a</w:t>
      </w:r>
      <w:r w:rsidR="00EA25FB" w:rsidRPr="00840508">
        <w:rPr>
          <w:lang w:val="en-GB"/>
        </w:rPr>
        <w:t xml:space="preserve">tts has shown, </w:t>
      </w:r>
      <w:r w:rsidR="00887F56" w:rsidRPr="00840508">
        <w:rPr>
          <w:lang w:val="en-GB"/>
        </w:rPr>
        <w:t xml:space="preserve">encouraging </w:t>
      </w:r>
      <w:r w:rsidR="00EA25FB" w:rsidRPr="00840508">
        <w:rPr>
          <w:lang w:val="en-GB"/>
        </w:rPr>
        <w:t>his daughter to read Wollstonecraft</w:t>
      </w:r>
      <w:r w:rsidR="00655541" w:rsidRPr="00840508">
        <w:rPr>
          <w:lang w:val="en-GB"/>
        </w:rPr>
        <w:t xml:space="preserve">’s </w:t>
      </w:r>
      <w:r w:rsidR="00655541" w:rsidRPr="00840508">
        <w:rPr>
          <w:i/>
          <w:lang w:val="en-GB"/>
        </w:rPr>
        <w:t>Rights of Woman</w:t>
      </w:r>
      <w:r w:rsidR="00EA25FB" w:rsidRPr="00840508">
        <w:rPr>
          <w:lang w:val="en-GB"/>
        </w:rPr>
        <w:t xml:space="preserve"> and </w:t>
      </w:r>
      <w:r w:rsidR="00655541" w:rsidRPr="00840508">
        <w:rPr>
          <w:lang w:val="en-GB"/>
        </w:rPr>
        <w:t xml:space="preserve">to </w:t>
      </w:r>
      <w:r w:rsidR="00EA25FB" w:rsidRPr="00840508">
        <w:rPr>
          <w:lang w:val="en-GB"/>
        </w:rPr>
        <w:t>attend science lectures at the Royal Institution.</w:t>
      </w:r>
      <w:r w:rsidR="00374F3D" w:rsidRPr="008C7195">
        <w:rPr>
          <w:rStyle w:val="EndnoteReference"/>
          <w:lang w:val="en-GB"/>
        </w:rPr>
        <w:endnoteReference w:id="60"/>
      </w:r>
      <w:r w:rsidR="00EA25FB" w:rsidRPr="008C7195">
        <w:rPr>
          <w:lang w:val="en-GB"/>
        </w:rPr>
        <w:t xml:space="preserve"> Mary Turner later married </w:t>
      </w:r>
      <w:r w:rsidR="00655541" w:rsidRPr="008C7195">
        <w:rPr>
          <w:lang w:val="en-GB"/>
        </w:rPr>
        <w:t>John Gooch Robberds</w:t>
      </w:r>
      <w:r w:rsidR="007463FD" w:rsidRPr="008C7195">
        <w:rPr>
          <w:lang w:val="en-GB"/>
        </w:rPr>
        <w:t>,</w:t>
      </w:r>
      <w:r w:rsidR="00655541" w:rsidRPr="008C7195">
        <w:rPr>
          <w:lang w:val="en-GB"/>
        </w:rPr>
        <w:t xml:space="preserve"> </w:t>
      </w:r>
      <w:r w:rsidR="00111C25" w:rsidRPr="008C7195">
        <w:rPr>
          <w:lang w:val="en-GB"/>
        </w:rPr>
        <w:t>minister at Cross Street Chapel</w:t>
      </w:r>
      <w:r w:rsidR="00655541" w:rsidRPr="008C7195">
        <w:rPr>
          <w:lang w:val="en-GB"/>
        </w:rPr>
        <w:t xml:space="preserve"> </w:t>
      </w:r>
      <w:r w:rsidRPr="008C7195">
        <w:rPr>
          <w:lang w:val="en-GB"/>
        </w:rPr>
        <w:t>in Manchester</w:t>
      </w:r>
      <w:r w:rsidR="00887F56" w:rsidRPr="008C7195">
        <w:rPr>
          <w:lang w:val="en-GB"/>
        </w:rPr>
        <w:t xml:space="preserve">, part of a network of exchange between Manchester and </w:t>
      </w:r>
      <w:r w:rsidR="00887F56" w:rsidRPr="008C7195">
        <w:rPr>
          <w:lang w:val="en-GB"/>
        </w:rPr>
        <w:lastRenderedPageBreak/>
        <w:t>Newcastle whose lines Elizabeth Gaskell also travelled.</w:t>
      </w:r>
      <w:r w:rsidR="00887F56" w:rsidRPr="008C7195">
        <w:rPr>
          <w:rStyle w:val="EndnoteReference"/>
          <w:lang w:val="en-GB"/>
        </w:rPr>
        <w:endnoteReference w:id="61"/>
      </w:r>
      <w:r w:rsidR="00887F56" w:rsidRPr="008C7195">
        <w:rPr>
          <w:lang w:val="en-GB"/>
        </w:rPr>
        <w:t xml:space="preserve"> Late in her life, </w:t>
      </w:r>
      <w:r w:rsidR="005F741E" w:rsidRPr="008C7195">
        <w:rPr>
          <w:lang w:val="en-GB"/>
        </w:rPr>
        <w:t xml:space="preserve">Mary Robberds </w:t>
      </w:r>
      <w:r w:rsidR="00EA25FB" w:rsidRPr="008C7195">
        <w:rPr>
          <w:lang w:val="en-GB"/>
        </w:rPr>
        <w:t xml:space="preserve">fondly remembered visiting the Aikins and the Barbaulds on </w:t>
      </w:r>
      <w:r w:rsidR="005F741E" w:rsidRPr="008C7195">
        <w:rPr>
          <w:lang w:val="en-GB"/>
        </w:rPr>
        <w:t xml:space="preserve">a </w:t>
      </w:r>
      <w:r w:rsidR="00EA25FB" w:rsidRPr="008C7195">
        <w:rPr>
          <w:lang w:val="en-GB"/>
        </w:rPr>
        <w:t>trip to London.</w:t>
      </w:r>
      <w:r w:rsidR="00111C25" w:rsidRPr="008C7195">
        <w:rPr>
          <w:rStyle w:val="EndnoteReference"/>
          <w:lang w:val="en-GB"/>
        </w:rPr>
        <w:endnoteReference w:id="62"/>
      </w:r>
      <w:r w:rsidR="00EA25FB" w:rsidRPr="008C7195">
        <w:rPr>
          <w:lang w:val="en-GB"/>
        </w:rPr>
        <w:t xml:space="preserve"> </w:t>
      </w:r>
      <w:r w:rsidR="00655541" w:rsidRPr="008C7195">
        <w:rPr>
          <w:lang w:val="en-GB"/>
        </w:rPr>
        <w:t>Her father</w:t>
      </w:r>
      <w:r w:rsidR="001D045E" w:rsidRPr="008C7195">
        <w:rPr>
          <w:lang w:val="en-GB"/>
        </w:rPr>
        <w:t xml:space="preserve"> described </w:t>
      </w:r>
      <w:r w:rsidR="001277B6" w:rsidRPr="008C7195">
        <w:rPr>
          <w:lang w:val="en-GB"/>
        </w:rPr>
        <w:t>his obituary</w:t>
      </w:r>
      <w:r w:rsidR="00EA25FB" w:rsidRPr="008C7195">
        <w:rPr>
          <w:lang w:val="en-GB"/>
        </w:rPr>
        <w:t xml:space="preserve"> for Barbauld</w:t>
      </w:r>
      <w:r w:rsidR="00111C25" w:rsidRPr="008C7195">
        <w:rPr>
          <w:lang w:val="en-GB"/>
        </w:rPr>
        <w:t xml:space="preserve"> as a </w:t>
      </w:r>
      <w:r w:rsidR="00970FE0" w:rsidRPr="008C7195">
        <w:rPr>
          <w:lang w:val="en-GB"/>
        </w:rPr>
        <w:t>‘</w:t>
      </w:r>
      <w:r w:rsidR="00111C25" w:rsidRPr="008C7195">
        <w:rPr>
          <w:lang w:val="en-GB"/>
        </w:rPr>
        <w:t>grateful tribute</w:t>
      </w:r>
      <w:r w:rsidR="00970FE0" w:rsidRPr="008C7195">
        <w:rPr>
          <w:lang w:val="en-GB"/>
        </w:rPr>
        <w:t>’</w:t>
      </w:r>
      <w:r w:rsidR="00457890" w:rsidRPr="008C7195">
        <w:rPr>
          <w:lang w:val="en-GB"/>
        </w:rPr>
        <w:t xml:space="preserve"> from someone </w:t>
      </w:r>
      <w:r w:rsidR="00970FE0" w:rsidRPr="008C7195">
        <w:t>‘</w:t>
      </w:r>
      <w:r w:rsidR="00457890" w:rsidRPr="00840508">
        <w:t>who, in his earliest years, was honoured by her notice, and through his whole life by her friendly regard.</w:t>
      </w:r>
      <w:r w:rsidR="00970FE0" w:rsidRPr="00840508">
        <w:t>’</w:t>
      </w:r>
      <w:r w:rsidR="00182FE1" w:rsidRPr="008C7195">
        <w:rPr>
          <w:rStyle w:val="EndnoteReference"/>
        </w:rPr>
        <w:endnoteReference w:id="63"/>
      </w:r>
      <w:r w:rsidR="00457890" w:rsidRPr="008C7195">
        <w:t xml:space="preserve"> Nevertheless, </w:t>
      </w:r>
      <w:r w:rsidR="001D045E" w:rsidRPr="008C7195">
        <w:t>an</w:t>
      </w:r>
      <w:r w:rsidR="00457890" w:rsidRPr="008C7195">
        <w:t xml:space="preserve"> anxiety about making public manuscript poems addressed to family and friends </w:t>
      </w:r>
      <w:r w:rsidR="001D045E" w:rsidRPr="008C7195">
        <w:t xml:space="preserve">runs throughout </w:t>
      </w:r>
      <w:r w:rsidR="00F26984" w:rsidRPr="008C7195">
        <w:t>it</w:t>
      </w:r>
      <w:r w:rsidR="001D045E" w:rsidRPr="008C7195">
        <w:t xml:space="preserve">. </w:t>
      </w:r>
      <w:r w:rsidR="00F26984" w:rsidRPr="008C7195">
        <w:t>Q</w:t>
      </w:r>
      <w:r w:rsidR="00457890" w:rsidRPr="008C7195">
        <w:t>uestion</w:t>
      </w:r>
      <w:r w:rsidR="00F26984" w:rsidRPr="008C7195">
        <w:t>s</w:t>
      </w:r>
      <w:r w:rsidR="00457890" w:rsidRPr="008C7195">
        <w:t xml:space="preserve"> of t</w:t>
      </w:r>
      <w:r w:rsidR="00457890" w:rsidRPr="00840508">
        <w:t xml:space="preserve">he </w:t>
      </w:r>
      <w:r w:rsidR="00C65C04" w:rsidRPr="00840508">
        <w:t xml:space="preserve">conditions </w:t>
      </w:r>
      <w:r w:rsidR="00457890" w:rsidRPr="00840508">
        <w:t xml:space="preserve">of female participation also appeared during the early years of the Literary and Philosophical Society. </w:t>
      </w:r>
    </w:p>
    <w:p w14:paraId="0F28AEF1" w14:textId="2E73D9C4" w:rsidR="00503BC5" w:rsidRPr="008C7195" w:rsidRDefault="008C50C1" w:rsidP="00736468">
      <w:pPr>
        <w:spacing w:line="480" w:lineRule="auto"/>
        <w:ind w:firstLine="567"/>
        <w:jc w:val="both"/>
        <w:rPr>
          <w:lang w:val="en-GB"/>
        </w:rPr>
      </w:pPr>
      <w:r w:rsidRPr="00384599">
        <w:t xml:space="preserve">Here the fact that the archive of the Newcastle Literary and Philosophical Society has survived </w:t>
      </w:r>
      <w:r w:rsidR="00C65C04" w:rsidRPr="00384599">
        <w:t>reveals that the</w:t>
      </w:r>
      <w:r w:rsidRPr="009E06A6">
        <w:t xml:space="preserve"> question of female membership was explicitly raised</w:t>
      </w:r>
      <w:r w:rsidR="007463FD" w:rsidRPr="00941517">
        <w:t xml:space="preserve"> there</w:t>
      </w:r>
      <w:r w:rsidRPr="00941517">
        <w:t xml:space="preserve"> (and, so, at least, it was not </w:t>
      </w:r>
      <w:r w:rsidR="007463FD" w:rsidRPr="00941517">
        <w:t xml:space="preserve">simply </w:t>
      </w:r>
      <w:r w:rsidRPr="00941517">
        <w:t xml:space="preserve">unthinkable that Henry’s </w:t>
      </w:r>
      <w:r w:rsidR="00970FE0" w:rsidRPr="008C7195">
        <w:t>‘</w:t>
      </w:r>
      <w:r w:rsidRPr="008C7195">
        <w:t>conversation</w:t>
      </w:r>
      <w:r w:rsidR="00970FE0" w:rsidRPr="008C7195">
        <w:t>’</w:t>
      </w:r>
      <w:r w:rsidRPr="008C7195">
        <w:t xml:space="preserve"> might be literal)</w:t>
      </w:r>
      <w:r w:rsidR="00503BC5" w:rsidRPr="008C7195">
        <w:rPr>
          <w:lang w:val="en-GB"/>
        </w:rPr>
        <w:t xml:space="preserve">. </w:t>
      </w:r>
      <w:r w:rsidR="001277B6" w:rsidRPr="008C7195">
        <w:rPr>
          <w:lang w:val="en-GB"/>
        </w:rPr>
        <w:t>In 1798, n</w:t>
      </w:r>
      <w:r w:rsidR="008219BC" w:rsidRPr="008C7195">
        <w:rPr>
          <w:lang w:val="en-GB"/>
        </w:rPr>
        <w:t xml:space="preserve">ot long after signing </w:t>
      </w:r>
      <w:r w:rsidR="008219BC" w:rsidRPr="008C7195">
        <w:t xml:space="preserve">a request for the library to order the posthumous works of Wollstonecraft, </w:t>
      </w:r>
      <w:r w:rsidR="00111C25" w:rsidRPr="008C7195">
        <w:t>a new member</w:t>
      </w:r>
      <w:r w:rsidR="00C65C04" w:rsidRPr="008C7195">
        <w:t>, named</w:t>
      </w:r>
      <w:r w:rsidR="00111C25" w:rsidRPr="008C7195">
        <w:t xml:space="preserve"> </w:t>
      </w:r>
      <w:r w:rsidR="00503BC5" w:rsidRPr="008C7195">
        <w:rPr>
          <w:lang w:val="en-GB"/>
        </w:rPr>
        <w:t xml:space="preserve">John </w:t>
      </w:r>
      <w:r w:rsidR="00655541" w:rsidRPr="008C7195">
        <w:rPr>
          <w:lang w:val="en-GB"/>
        </w:rPr>
        <w:t>Clennell</w:t>
      </w:r>
      <w:r w:rsidR="00C65C04" w:rsidRPr="008C7195">
        <w:rPr>
          <w:lang w:val="en-GB"/>
        </w:rPr>
        <w:t>,</w:t>
      </w:r>
      <w:r w:rsidR="00503BC5" w:rsidRPr="008C7195">
        <w:rPr>
          <w:lang w:val="en-GB"/>
        </w:rPr>
        <w:t xml:space="preserve"> got wind of a discussion of female membership</w:t>
      </w:r>
      <w:r w:rsidR="00655541" w:rsidRPr="008C7195">
        <w:rPr>
          <w:lang w:val="en-GB"/>
        </w:rPr>
        <w:t xml:space="preserve"> at the committee</w:t>
      </w:r>
      <w:r w:rsidR="00503BC5" w:rsidRPr="008C7195">
        <w:rPr>
          <w:lang w:val="en-GB"/>
        </w:rPr>
        <w:t xml:space="preserve">. He </w:t>
      </w:r>
      <w:r w:rsidR="00655541" w:rsidRPr="008C7195">
        <w:rPr>
          <w:lang w:val="en-GB"/>
        </w:rPr>
        <w:t>wrote</w:t>
      </w:r>
      <w:r w:rsidR="00503BC5" w:rsidRPr="008C7195">
        <w:rPr>
          <w:lang w:val="en-GB"/>
        </w:rPr>
        <w:t xml:space="preserve"> a note in the recommendation book </w:t>
      </w:r>
      <w:r w:rsidR="00655541" w:rsidRPr="008C7195">
        <w:rPr>
          <w:lang w:val="en-GB"/>
        </w:rPr>
        <w:t xml:space="preserve">asking after </w:t>
      </w:r>
      <w:r w:rsidR="008219BC" w:rsidRPr="008C7195">
        <w:rPr>
          <w:lang w:val="en-GB"/>
        </w:rPr>
        <w:t>the committee’s intentions</w:t>
      </w:r>
      <w:r w:rsidR="00EA25FB" w:rsidRPr="008C7195">
        <w:rPr>
          <w:lang w:val="en-GB"/>
        </w:rPr>
        <w:t xml:space="preserve">. </w:t>
      </w:r>
      <w:r w:rsidR="00C65C04" w:rsidRPr="008C7195">
        <w:rPr>
          <w:lang w:val="en-GB"/>
        </w:rPr>
        <w:t>He</w:t>
      </w:r>
      <w:r w:rsidR="00A76109" w:rsidRPr="008C7195">
        <w:rPr>
          <w:lang w:val="en-GB"/>
        </w:rPr>
        <w:t xml:space="preserve"> received the following re</w:t>
      </w:r>
      <w:r w:rsidR="001277B6" w:rsidRPr="008C7195">
        <w:rPr>
          <w:lang w:val="en-GB"/>
        </w:rPr>
        <w:t>ply</w:t>
      </w:r>
      <w:r w:rsidR="00503BC5" w:rsidRPr="008C7195">
        <w:rPr>
          <w:lang w:val="en-GB"/>
        </w:rPr>
        <w:t>:</w:t>
      </w:r>
    </w:p>
    <w:p w14:paraId="26CC0BF9" w14:textId="3AFE09D2" w:rsidR="007F0BB0" w:rsidRPr="008C7195" w:rsidRDefault="00503BC5" w:rsidP="00736468">
      <w:pPr>
        <w:spacing w:line="480" w:lineRule="auto"/>
        <w:ind w:left="567"/>
        <w:jc w:val="both"/>
        <w:rPr>
          <w:lang w:val="en-GB"/>
        </w:rPr>
      </w:pPr>
      <w:r w:rsidRPr="008C7195">
        <w:rPr>
          <w:lang w:val="en-GB"/>
        </w:rPr>
        <w:t>Ladies are and always have been admissible as members, by the way set down in the Rules of the Society; what was suggested, was, w</w:t>
      </w:r>
      <w:r w:rsidR="00D567B8" w:rsidRPr="008C7195">
        <w:rPr>
          <w:lang w:val="en-GB"/>
        </w:rPr>
        <w:t>hether some mode less revolting to their delicacy</w:t>
      </w:r>
      <w:r w:rsidR="00D567B8" w:rsidRPr="00840508">
        <w:rPr>
          <w:lang w:val="en-GB"/>
        </w:rPr>
        <w:t xml:space="preserve"> could not be adopted; but as that required an </w:t>
      </w:r>
      <w:r w:rsidR="008219BC" w:rsidRPr="00840508">
        <w:rPr>
          <w:lang w:val="en-GB"/>
        </w:rPr>
        <w:t>alteration of, or addition to t</w:t>
      </w:r>
      <w:r w:rsidR="00D567B8" w:rsidRPr="00384599">
        <w:rPr>
          <w:lang w:val="en-GB"/>
        </w:rPr>
        <w:t>he Rules, it was necessarily deferred till the ann</w:t>
      </w:r>
      <w:r w:rsidR="003B2CD2" w:rsidRPr="00384599">
        <w:rPr>
          <w:lang w:val="en-GB"/>
        </w:rPr>
        <w:t>iversary meeting in March</w:t>
      </w:r>
      <w:r w:rsidR="00D567B8" w:rsidRPr="009E06A6">
        <w:rPr>
          <w:lang w:val="en-GB"/>
        </w:rPr>
        <w:t>.</w:t>
      </w:r>
      <w:r w:rsidR="00F757A8" w:rsidRPr="008C7195">
        <w:rPr>
          <w:rStyle w:val="EndnoteReference"/>
          <w:lang w:val="en-GB"/>
        </w:rPr>
        <w:endnoteReference w:id="64"/>
      </w:r>
    </w:p>
    <w:p w14:paraId="7AC70057" w14:textId="4806DC8F" w:rsidR="005F741E" w:rsidRPr="004D3356" w:rsidRDefault="00D567B8" w:rsidP="00736468">
      <w:pPr>
        <w:spacing w:line="480" w:lineRule="auto"/>
        <w:jc w:val="both"/>
        <w:rPr>
          <w:lang w:val="en-GB"/>
        </w:rPr>
      </w:pPr>
      <w:r w:rsidRPr="008C7195">
        <w:rPr>
          <w:lang w:val="en-GB"/>
        </w:rPr>
        <w:t>The mode of membership less r</w:t>
      </w:r>
      <w:r w:rsidR="00111C25" w:rsidRPr="008C7195">
        <w:rPr>
          <w:lang w:val="en-GB"/>
        </w:rPr>
        <w:t xml:space="preserve">evolting to their delicacy was </w:t>
      </w:r>
      <w:r w:rsidR="00970FE0" w:rsidRPr="008C7195">
        <w:rPr>
          <w:lang w:val="en-GB"/>
        </w:rPr>
        <w:t>‘</w:t>
      </w:r>
      <w:r w:rsidR="00111C25" w:rsidRPr="008C7195">
        <w:rPr>
          <w:lang w:val="en-GB"/>
        </w:rPr>
        <w:t>reading membership</w:t>
      </w:r>
      <w:r w:rsidR="00970FE0" w:rsidRPr="008C7195">
        <w:rPr>
          <w:lang w:val="en-GB"/>
        </w:rPr>
        <w:t>’</w:t>
      </w:r>
      <w:r w:rsidR="00AF2244" w:rsidRPr="008C7195">
        <w:rPr>
          <w:lang w:val="en-GB"/>
        </w:rPr>
        <w:t xml:space="preserve"> agreed by the committee in March 1799</w:t>
      </w:r>
      <w:r w:rsidRPr="008C7195">
        <w:rPr>
          <w:lang w:val="en-GB"/>
        </w:rPr>
        <w:t xml:space="preserve">. </w:t>
      </w:r>
      <w:r w:rsidR="00C65C04" w:rsidRPr="008C7195">
        <w:rPr>
          <w:lang w:val="en-GB"/>
        </w:rPr>
        <w:t>It</w:t>
      </w:r>
      <w:r w:rsidR="001277B6" w:rsidRPr="00840508">
        <w:rPr>
          <w:lang w:val="en-GB"/>
        </w:rPr>
        <w:t xml:space="preserve"> allowed for privatised reading, borrowing </w:t>
      </w:r>
      <w:r w:rsidR="001277B6" w:rsidRPr="00840508">
        <w:rPr>
          <w:lang w:val="en-GB"/>
        </w:rPr>
        <w:lastRenderedPageBreak/>
        <w:t>books from the library, but not for partici</w:t>
      </w:r>
      <w:r w:rsidR="00EA25FB" w:rsidRPr="00840508">
        <w:rPr>
          <w:lang w:val="en-GB"/>
        </w:rPr>
        <w:t>pation in the collision of mind at the meetings</w:t>
      </w:r>
      <w:r w:rsidR="00655541" w:rsidRPr="00840508">
        <w:rPr>
          <w:lang w:val="en-GB"/>
        </w:rPr>
        <w:t xml:space="preserve"> (only two women had joined by 1810).</w:t>
      </w:r>
      <w:r w:rsidR="001277B6" w:rsidRPr="00840508">
        <w:rPr>
          <w:lang w:val="en-GB"/>
        </w:rPr>
        <w:t xml:space="preserve"> </w:t>
      </w:r>
      <w:r w:rsidR="00C65C04" w:rsidRPr="00840508">
        <w:rPr>
          <w:lang w:val="en-GB"/>
        </w:rPr>
        <w:t>When Clennell</w:t>
      </w:r>
      <w:r w:rsidR="000E7E6A" w:rsidRPr="00840508">
        <w:rPr>
          <w:lang w:val="en-GB"/>
        </w:rPr>
        <w:t xml:space="preserve"> </w:t>
      </w:r>
      <w:r w:rsidR="00C65C04" w:rsidRPr="00840508">
        <w:rPr>
          <w:lang w:val="en-GB"/>
        </w:rPr>
        <w:t xml:space="preserve">suggested </w:t>
      </w:r>
      <w:r w:rsidR="000E7E6A" w:rsidRPr="00840508">
        <w:rPr>
          <w:lang w:val="en-GB"/>
        </w:rPr>
        <w:t>that the decision about new membership be</w:t>
      </w:r>
      <w:r w:rsidR="00111C25" w:rsidRPr="00840508">
        <w:rPr>
          <w:lang w:val="en-GB"/>
        </w:rPr>
        <w:t xml:space="preserve"> advertised in the newspapers, </w:t>
      </w:r>
      <w:r w:rsidR="00970FE0" w:rsidRPr="00840508">
        <w:rPr>
          <w:lang w:val="en-GB"/>
        </w:rPr>
        <w:t>‘</w:t>
      </w:r>
      <w:r w:rsidR="000E7E6A" w:rsidRPr="00840508">
        <w:rPr>
          <w:lang w:val="en-GB"/>
        </w:rPr>
        <w:t xml:space="preserve">as the first </w:t>
      </w:r>
      <w:r w:rsidR="00111C25" w:rsidRPr="00840508">
        <w:rPr>
          <w:lang w:val="en-GB"/>
        </w:rPr>
        <w:t>to admit Ladies into its circle</w:t>
      </w:r>
      <w:r w:rsidR="00970FE0" w:rsidRPr="00840508">
        <w:rPr>
          <w:lang w:val="en-GB"/>
        </w:rPr>
        <w:t>’</w:t>
      </w:r>
      <w:r w:rsidR="00840508">
        <w:rPr>
          <w:lang w:val="en-GB"/>
        </w:rPr>
        <w:t>,</w:t>
      </w:r>
      <w:r w:rsidR="000E7E6A" w:rsidRPr="00840508">
        <w:rPr>
          <w:lang w:val="en-GB"/>
        </w:rPr>
        <w:t xml:space="preserve"> in order to encourage other societies to follow its </w:t>
      </w:r>
      <w:r w:rsidR="00C65C04" w:rsidRPr="00840508">
        <w:rPr>
          <w:lang w:val="en-GB"/>
        </w:rPr>
        <w:t>example</w:t>
      </w:r>
      <w:r w:rsidR="000E7E6A" w:rsidRPr="00840508">
        <w:rPr>
          <w:lang w:val="en-GB"/>
        </w:rPr>
        <w:t>, the committee refused, drily r</w:t>
      </w:r>
      <w:r w:rsidR="00111C25" w:rsidRPr="00840508">
        <w:rPr>
          <w:lang w:val="en-GB"/>
        </w:rPr>
        <w:t xml:space="preserve">esponding via the </w:t>
      </w:r>
      <w:r w:rsidR="00C65C04" w:rsidRPr="00840508">
        <w:rPr>
          <w:lang w:val="en-GB"/>
        </w:rPr>
        <w:t xml:space="preserve">recommendation </w:t>
      </w:r>
      <w:r w:rsidR="00111C25" w:rsidRPr="00840508">
        <w:rPr>
          <w:lang w:val="en-GB"/>
        </w:rPr>
        <w:t xml:space="preserve">book: </w:t>
      </w:r>
      <w:r w:rsidR="00970FE0" w:rsidRPr="00840508">
        <w:rPr>
          <w:lang w:val="en-GB"/>
        </w:rPr>
        <w:t>‘</w:t>
      </w:r>
      <w:r w:rsidR="000E7E6A" w:rsidRPr="00840508">
        <w:rPr>
          <w:lang w:val="en-GB"/>
        </w:rPr>
        <w:t>The Committee does not think any informa</w:t>
      </w:r>
      <w:r w:rsidR="00111C25" w:rsidRPr="00840508">
        <w:rPr>
          <w:lang w:val="en-GB"/>
        </w:rPr>
        <w:t>tion of this sort is necessary</w:t>
      </w:r>
      <w:r w:rsidR="00970FE0" w:rsidRPr="00840508">
        <w:rPr>
          <w:lang w:val="en-GB"/>
        </w:rPr>
        <w:t>’</w:t>
      </w:r>
      <w:r w:rsidR="00840508">
        <w:rPr>
          <w:lang w:val="en-GB"/>
        </w:rPr>
        <w:t>.</w:t>
      </w:r>
      <w:r w:rsidR="00F757A8" w:rsidRPr="008C7195">
        <w:rPr>
          <w:rStyle w:val="EndnoteReference"/>
          <w:lang w:val="en-GB"/>
        </w:rPr>
        <w:endnoteReference w:id="65"/>
      </w:r>
      <w:r w:rsidR="007F0BB0" w:rsidRPr="008C7195">
        <w:rPr>
          <w:lang w:val="en-GB"/>
        </w:rPr>
        <w:t xml:space="preserve"> </w:t>
      </w:r>
      <w:r w:rsidR="000E7E6A" w:rsidRPr="008C7195">
        <w:rPr>
          <w:lang w:val="en-GB"/>
        </w:rPr>
        <w:t xml:space="preserve">Women were, </w:t>
      </w:r>
      <w:r w:rsidR="00111C25" w:rsidRPr="008C7195">
        <w:rPr>
          <w:lang w:val="en-GB"/>
        </w:rPr>
        <w:t>however</w:t>
      </w:r>
      <w:r w:rsidR="000E7E6A" w:rsidRPr="008C7195">
        <w:rPr>
          <w:lang w:val="en-GB"/>
        </w:rPr>
        <w:t xml:space="preserve">, encouraged to attend Turner’s lectures on Chemistry, held </w:t>
      </w:r>
      <w:r w:rsidR="00111C25" w:rsidRPr="008C7195">
        <w:rPr>
          <w:lang w:val="en-GB"/>
        </w:rPr>
        <w:t>under the auspices of the society</w:t>
      </w:r>
      <w:r w:rsidR="000E7E6A" w:rsidRPr="008C7195">
        <w:rPr>
          <w:lang w:val="en-GB"/>
        </w:rPr>
        <w:t>, but op</w:t>
      </w:r>
      <w:r w:rsidR="00246EC9" w:rsidRPr="008C7195">
        <w:rPr>
          <w:lang w:val="en-GB"/>
        </w:rPr>
        <w:t>en</w:t>
      </w:r>
      <w:r w:rsidR="000E7E6A" w:rsidRPr="008C7195">
        <w:rPr>
          <w:lang w:val="en-GB"/>
        </w:rPr>
        <w:t xml:space="preserve"> to paying non-members</w:t>
      </w:r>
      <w:r w:rsidR="00111C25" w:rsidRPr="008C7195">
        <w:rPr>
          <w:lang w:val="en-GB"/>
        </w:rPr>
        <w:t xml:space="preserve">, repeating the pattern found in </w:t>
      </w:r>
      <w:r w:rsidR="00C65C04" w:rsidRPr="008C7195">
        <w:rPr>
          <w:lang w:val="en-GB"/>
        </w:rPr>
        <w:t>Manchester</w:t>
      </w:r>
      <w:r w:rsidR="000E7E6A" w:rsidRPr="008C7195">
        <w:rPr>
          <w:lang w:val="en-GB"/>
        </w:rPr>
        <w:t xml:space="preserve">. </w:t>
      </w:r>
      <w:r w:rsidR="00280EA8" w:rsidRPr="008C7195">
        <w:rPr>
          <w:lang w:val="en-GB"/>
        </w:rPr>
        <w:t xml:space="preserve">The situation suggests a nuance to Livingstone’s claim that </w:t>
      </w:r>
      <w:r w:rsidR="00970FE0" w:rsidRPr="00840508">
        <w:rPr>
          <w:lang w:val="en-GB"/>
        </w:rPr>
        <w:t>‘</w:t>
      </w:r>
      <w:r w:rsidR="00280EA8" w:rsidRPr="00840508">
        <w:rPr>
          <w:lang w:val="en-GB"/>
        </w:rPr>
        <w:t>scientific space, by and large, was masculine space</w:t>
      </w:r>
      <w:r w:rsidR="00970FE0" w:rsidRPr="00840508">
        <w:rPr>
          <w:lang w:val="en-GB"/>
        </w:rPr>
        <w:t>’</w:t>
      </w:r>
      <w:r w:rsidR="00840508">
        <w:rPr>
          <w:lang w:val="en-GB"/>
        </w:rPr>
        <w:t>.</w:t>
      </w:r>
      <w:r w:rsidR="00F757A8" w:rsidRPr="008C7195">
        <w:rPr>
          <w:rStyle w:val="EndnoteReference"/>
          <w:lang w:val="en-GB"/>
        </w:rPr>
        <w:endnoteReference w:id="66"/>
      </w:r>
      <w:r w:rsidR="00280EA8" w:rsidRPr="008C7195">
        <w:rPr>
          <w:lang w:val="en-GB"/>
        </w:rPr>
        <w:t xml:space="preserve"> </w:t>
      </w:r>
      <w:r w:rsidR="00970FE0" w:rsidRPr="008C7195">
        <w:rPr>
          <w:lang w:val="en-GB"/>
        </w:rPr>
        <w:t>‘</w:t>
      </w:r>
      <w:r w:rsidR="003B2CD2" w:rsidRPr="008C7195">
        <w:rPr>
          <w:lang w:val="en-GB"/>
        </w:rPr>
        <w:t>Space</w:t>
      </w:r>
      <w:r w:rsidR="00970FE0" w:rsidRPr="008C7195">
        <w:rPr>
          <w:lang w:val="en-GB"/>
        </w:rPr>
        <w:t>’</w:t>
      </w:r>
      <w:r w:rsidR="00C65C04" w:rsidRPr="008C7195">
        <w:rPr>
          <w:lang w:val="en-GB"/>
        </w:rPr>
        <w:t xml:space="preserve"> in these societies was being implicitly </w:t>
      </w:r>
      <w:r w:rsidR="003B2CD2" w:rsidRPr="008C7195">
        <w:rPr>
          <w:lang w:val="en-GB"/>
        </w:rPr>
        <w:t xml:space="preserve">defined </w:t>
      </w:r>
      <w:r w:rsidR="00607E2D" w:rsidRPr="008C7195">
        <w:rPr>
          <w:lang w:val="en-GB"/>
        </w:rPr>
        <w:t xml:space="preserve">not just in relation to female </w:t>
      </w:r>
      <w:r w:rsidR="00970FE0" w:rsidRPr="008C7195">
        <w:rPr>
          <w:lang w:val="en-GB"/>
        </w:rPr>
        <w:t>‘</w:t>
      </w:r>
      <w:r w:rsidR="00607E2D" w:rsidRPr="008C7195">
        <w:rPr>
          <w:lang w:val="en-GB"/>
        </w:rPr>
        <w:t>corporeality</w:t>
      </w:r>
      <w:r w:rsidR="00970FE0" w:rsidRPr="00840508">
        <w:rPr>
          <w:lang w:val="en-GB"/>
        </w:rPr>
        <w:t>’</w:t>
      </w:r>
      <w:r w:rsidR="00840508">
        <w:rPr>
          <w:lang w:val="en-GB"/>
        </w:rPr>
        <w:t>,</w:t>
      </w:r>
      <w:r w:rsidR="00607E2D" w:rsidRPr="00840508">
        <w:rPr>
          <w:lang w:val="en-GB"/>
        </w:rPr>
        <w:t xml:space="preserve"> but </w:t>
      </w:r>
      <w:r w:rsidR="00C65C04" w:rsidRPr="00840508">
        <w:rPr>
          <w:lang w:val="en-GB"/>
        </w:rPr>
        <w:t xml:space="preserve">also </w:t>
      </w:r>
      <w:r w:rsidR="003B2CD2" w:rsidRPr="00840508">
        <w:rPr>
          <w:lang w:val="en-GB"/>
        </w:rPr>
        <w:t>by</w:t>
      </w:r>
      <w:r w:rsidR="00C65C04" w:rsidRPr="00840508">
        <w:rPr>
          <w:lang w:val="en-GB"/>
        </w:rPr>
        <w:t xml:space="preserve"> assumptions about</w:t>
      </w:r>
      <w:r w:rsidR="003B2CD2" w:rsidRPr="00840508">
        <w:rPr>
          <w:lang w:val="en-GB"/>
        </w:rPr>
        <w:t xml:space="preserve"> practises, where, for instance, a lectur</w:t>
      </w:r>
      <w:r w:rsidR="00111C25" w:rsidRPr="00840508">
        <w:rPr>
          <w:lang w:val="en-GB"/>
        </w:rPr>
        <w:t>e</w:t>
      </w:r>
      <w:r w:rsidR="00C65C04" w:rsidRPr="00840508">
        <w:rPr>
          <w:lang w:val="en-GB"/>
        </w:rPr>
        <w:t xml:space="preserve"> was assumed to be, like reading,</w:t>
      </w:r>
      <w:r w:rsidR="00655541" w:rsidRPr="00840508">
        <w:rPr>
          <w:lang w:val="en-GB"/>
        </w:rPr>
        <w:t xml:space="preserve"> </w:t>
      </w:r>
      <w:r w:rsidR="00C65C04" w:rsidRPr="00840508">
        <w:rPr>
          <w:lang w:val="en-GB"/>
        </w:rPr>
        <w:t xml:space="preserve">a </w:t>
      </w:r>
      <w:r w:rsidR="00655541" w:rsidRPr="00840508">
        <w:rPr>
          <w:lang w:val="en-GB"/>
        </w:rPr>
        <w:t>more</w:t>
      </w:r>
      <w:r w:rsidR="00C65C04" w:rsidRPr="00840508">
        <w:rPr>
          <w:lang w:val="en-GB"/>
        </w:rPr>
        <w:t xml:space="preserve"> passive form of intellectual participation</w:t>
      </w:r>
      <w:r w:rsidR="005F741E" w:rsidRPr="00840508">
        <w:rPr>
          <w:lang w:val="en-GB"/>
        </w:rPr>
        <w:t>,</w:t>
      </w:r>
      <w:r w:rsidR="003B2CD2" w:rsidRPr="00840508">
        <w:rPr>
          <w:lang w:val="en-GB"/>
        </w:rPr>
        <w:t xml:space="preserve"> </w:t>
      </w:r>
      <w:r w:rsidR="00C65C04" w:rsidRPr="00840508">
        <w:rPr>
          <w:lang w:val="en-GB"/>
        </w:rPr>
        <w:t xml:space="preserve">more </w:t>
      </w:r>
      <w:r w:rsidR="003B2CD2" w:rsidRPr="00840508">
        <w:rPr>
          <w:lang w:val="en-GB"/>
        </w:rPr>
        <w:t xml:space="preserve">appropriate </w:t>
      </w:r>
      <w:r w:rsidR="00C65C04" w:rsidRPr="00840508">
        <w:rPr>
          <w:lang w:val="en-GB"/>
        </w:rPr>
        <w:t xml:space="preserve">to female </w:t>
      </w:r>
      <w:r w:rsidR="00970FE0" w:rsidRPr="00840508">
        <w:rPr>
          <w:lang w:val="en-GB"/>
        </w:rPr>
        <w:t>‘</w:t>
      </w:r>
      <w:r w:rsidR="00C65C04" w:rsidRPr="00840508">
        <w:rPr>
          <w:lang w:val="en-GB"/>
        </w:rPr>
        <w:t>delicacy</w:t>
      </w:r>
      <w:r w:rsidR="00970FE0" w:rsidRPr="00840508">
        <w:rPr>
          <w:lang w:val="en-GB"/>
        </w:rPr>
        <w:t>’</w:t>
      </w:r>
      <w:r w:rsidR="00840508">
        <w:rPr>
          <w:lang w:val="en-GB"/>
        </w:rPr>
        <w:t>,</w:t>
      </w:r>
      <w:r w:rsidR="00EA4E04" w:rsidRPr="00840508">
        <w:rPr>
          <w:lang w:val="en-GB"/>
        </w:rPr>
        <w:t xml:space="preserve"> </w:t>
      </w:r>
      <w:r w:rsidR="003B2CD2" w:rsidRPr="00840508">
        <w:rPr>
          <w:lang w:val="en-GB"/>
        </w:rPr>
        <w:t>than a meeting where the collision of mind with mind might grow heated.</w:t>
      </w:r>
      <w:r w:rsidR="00655966" w:rsidRPr="008C7195">
        <w:rPr>
          <w:lang w:val="en-GB"/>
        </w:rPr>
        <w:t xml:space="preserve"> </w:t>
      </w:r>
    </w:p>
    <w:p w14:paraId="76188431" w14:textId="53D6CD29" w:rsidR="00B55A62" w:rsidRPr="008C7195" w:rsidRDefault="00111C25" w:rsidP="00736468">
      <w:pPr>
        <w:spacing w:line="480" w:lineRule="auto"/>
        <w:ind w:firstLine="720"/>
        <w:jc w:val="both"/>
        <w:rPr>
          <w:lang w:val="en-GB"/>
        </w:rPr>
      </w:pPr>
      <w:r w:rsidRPr="008C7195">
        <w:rPr>
          <w:lang w:val="en-GB"/>
        </w:rPr>
        <w:t>Just as</w:t>
      </w:r>
      <w:r w:rsidR="00655966" w:rsidRPr="008C7195">
        <w:rPr>
          <w:lang w:val="en-GB"/>
        </w:rPr>
        <w:t xml:space="preserve"> </w:t>
      </w:r>
      <w:r w:rsidR="001277B6" w:rsidRPr="008C7195">
        <w:rPr>
          <w:lang w:val="en-GB"/>
        </w:rPr>
        <w:t>Hannah</w:t>
      </w:r>
      <w:r w:rsidR="009674ED" w:rsidRPr="008C7195">
        <w:rPr>
          <w:lang w:val="en-GB"/>
        </w:rPr>
        <w:t xml:space="preserve"> Greg</w:t>
      </w:r>
      <w:r w:rsidR="001277B6" w:rsidRPr="008C7195">
        <w:rPr>
          <w:lang w:val="en-GB"/>
        </w:rPr>
        <w:t xml:space="preserve">’s daughter </w:t>
      </w:r>
      <w:r w:rsidR="00833B72">
        <w:rPr>
          <w:lang w:val="en-GB"/>
        </w:rPr>
        <w:t>Bessy</w:t>
      </w:r>
      <w:r w:rsidR="009674ED" w:rsidRPr="008C7195">
        <w:rPr>
          <w:lang w:val="en-GB"/>
        </w:rPr>
        <w:t xml:space="preserve"> was able to attend John Dalton’s popular lectures</w:t>
      </w:r>
      <w:r w:rsidR="00607E2D" w:rsidRPr="008C7195">
        <w:rPr>
          <w:lang w:val="en-GB"/>
        </w:rPr>
        <w:t>, so</w:t>
      </w:r>
      <w:r w:rsidR="009674ED" w:rsidRPr="008C7195">
        <w:rPr>
          <w:lang w:val="en-GB"/>
        </w:rPr>
        <w:t xml:space="preserve"> </w:t>
      </w:r>
      <w:r w:rsidR="001F42C8" w:rsidRPr="00840508">
        <w:rPr>
          <w:lang w:val="en-GB"/>
        </w:rPr>
        <w:t xml:space="preserve">too </w:t>
      </w:r>
      <w:r w:rsidR="00D71456" w:rsidRPr="00840508">
        <w:rPr>
          <w:lang w:val="en-GB"/>
        </w:rPr>
        <w:t>Turner’s daughter Mary helped prepare the diagrams for her father’s lectures</w:t>
      </w:r>
      <w:r w:rsidR="00607E2D" w:rsidRPr="00840508">
        <w:rPr>
          <w:lang w:val="en-GB"/>
        </w:rPr>
        <w:t xml:space="preserve"> on Chemistry</w:t>
      </w:r>
      <w:r w:rsidR="00D71456" w:rsidRPr="00840508">
        <w:rPr>
          <w:lang w:val="en-GB"/>
        </w:rPr>
        <w:t xml:space="preserve"> </w:t>
      </w:r>
      <w:r w:rsidR="00607E2D" w:rsidRPr="00840508">
        <w:rPr>
          <w:lang w:val="en-GB"/>
        </w:rPr>
        <w:t xml:space="preserve">in the rooms of </w:t>
      </w:r>
      <w:r w:rsidR="00D71456" w:rsidRPr="00840508">
        <w:rPr>
          <w:lang w:val="en-GB"/>
        </w:rPr>
        <w:t xml:space="preserve">the </w:t>
      </w:r>
      <w:r w:rsidR="00607E2D" w:rsidRPr="00840508">
        <w:rPr>
          <w:lang w:val="en-GB"/>
        </w:rPr>
        <w:t>Literary and Philosophical Society at Newcastle</w:t>
      </w:r>
      <w:r w:rsidR="00D71456" w:rsidRPr="00840508">
        <w:rPr>
          <w:lang w:val="en-GB"/>
        </w:rPr>
        <w:t xml:space="preserve">: </w:t>
      </w:r>
      <w:r w:rsidR="00970FE0" w:rsidRPr="00840508">
        <w:rPr>
          <w:lang w:val="en-GB"/>
        </w:rPr>
        <w:t>‘</w:t>
      </w:r>
      <w:r w:rsidR="00D71456" w:rsidRPr="00840508">
        <w:rPr>
          <w:lang w:val="en-GB"/>
        </w:rPr>
        <w:t>As I could do them priv</w:t>
      </w:r>
      <w:r w:rsidR="00655541" w:rsidRPr="00840508">
        <w:rPr>
          <w:lang w:val="en-GB"/>
        </w:rPr>
        <w:t>atel</w:t>
      </w:r>
      <w:r w:rsidR="00D71456" w:rsidRPr="00840508">
        <w:rPr>
          <w:lang w:val="en-GB"/>
        </w:rPr>
        <w:t>y before the lecture there could be no objection, &amp; I quite enjoyed the work; it also enabled me better to understand the lecture</w:t>
      </w:r>
      <w:r w:rsidR="00970FE0" w:rsidRPr="00941517">
        <w:rPr>
          <w:lang w:val="en-GB"/>
        </w:rPr>
        <w:t>’</w:t>
      </w:r>
      <w:r w:rsidR="00840508">
        <w:rPr>
          <w:lang w:val="en-GB"/>
        </w:rPr>
        <w:t>.</w:t>
      </w:r>
      <w:r w:rsidR="00EA4E04" w:rsidRPr="008C7195">
        <w:rPr>
          <w:rStyle w:val="EndnoteReference"/>
          <w:lang w:val="en-GB"/>
        </w:rPr>
        <w:endnoteReference w:id="67"/>
      </w:r>
      <w:r w:rsidR="00655541" w:rsidRPr="008C7195">
        <w:rPr>
          <w:lang w:val="en-GB"/>
        </w:rPr>
        <w:t xml:space="preserve"> </w:t>
      </w:r>
      <w:r w:rsidR="00970FE0" w:rsidRPr="008C7195">
        <w:rPr>
          <w:lang w:val="en-GB"/>
        </w:rPr>
        <w:t>‘</w:t>
      </w:r>
      <w:r w:rsidR="00D71456" w:rsidRPr="008C7195">
        <w:rPr>
          <w:lang w:val="en-GB"/>
        </w:rPr>
        <w:t>Privately</w:t>
      </w:r>
      <w:r w:rsidR="00970FE0" w:rsidRPr="008C7195">
        <w:rPr>
          <w:lang w:val="en-GB"/>
        </w:rPr>
        <w:t>’</w:t>
      </w:r>
      <w:r w:rsidR="00D71456" w:rsidRPr="008C7195">
        <w:rPr>
          <w:lang w:val="en-GB"/>
        </w:rPr>
        <w:t xml:space="preserve"> is a word that communicate</w:t>
      </w:r>
      <w:r w:rsidR="00655541" w:rsidRPr="008C7195">
        <w:rPr>
          <w:lang w:val="en-GB"/>
        </w:rPr>
        <w:t>s</w:t>
      </w:r>
      <w:r w:rsidR="00D71456" w:rsidRPr="008C7195">
        <w:rPr>
          <w:lang w:val="en-GB"/>
        </w:rPr>
        <w:t xml:space="preserve"> </w:t>
      </w:r>
      <w:r w:rsidR="00655541" w:rsidRPr="00840508">
        <w:rPr>
          <w:lang w:val="en-GB"/>
        </w:rPr>
        <w:t>a</w:t>
      </w:r>
      <w:r w:rsidR="00D71456" w:rsidRPr="00840508">
        <w:rPr>
          <w:lang w:val="en-GB"/>
        </w:rPr>
        <w:t xml:space="preserve"> frisson that surrounded women</w:t>
      </w:r>
      <w:r w:rsidR="001F42C8" w:rsidRPr="00840508">
        <w:rPr>
          <w:lang w:val="en-GB"/>
        </w:rPr>
        <w:t xml:space="preserve">’s </w:t>
      </w:r>
      <w:r w:rsidR="00970FE0" w:rsidRPr="00840508">
        <w:rPr>
          <w:lang w:val="en-GB"/>
        </w:rPr>
        <w:t>‘</w:t>
      </w:r>
      <w:r w:rsidR="00D71456" w:rsidRPr="00840508">
        <w:rPr>
          <w:lang w:val="en-GB"/>
        </w:rPr>
        <w:t>public</w:t>
      </w:r>
      <w:r w:rsidR="00970FE0" w:rsidRPr="00840508">
        <w:rPr>
          <w:lang w:val="en-GB"/>
        </w:rPr>
        <w:t>’</w:t>
      </w:r>
      <w:r w:rsidR="00D71456" w:rsidRPr="00840508">
        <w:rPr>
          <w:lang w:val="en-GB"/>
        </w:rPr>
        <w:t xml:space="preserve"> access to knowledge. </w:t>
      </w:r>
      <w:r w:rsidR="00246EC9" w:rsidRPr="00840508">
        <w:rPr>
          <w:lang w:val="en-GB"/>
        </w:rPr>
        <w:t xml:space="preserve">These </w:t>
      </w:r>
      <w:r w:rsidR="00C65C04" w:rsidRPr="00840508">
        <w:rPr>
          <w:lang w:val="en-GB"/>
        </w:rPr>
        <w:t xml:space="preserve">assumptions </w:t>
      </w:r>
      <w:r w:rsidR="00246EC9" w:rsidRPr="00840508">
        <w:rPr>
          <w:lang w:val="en-GB"/>
        </w:rPr>
        <w:t xml:space="preserve">even within progressive </w:t>
      </w:r>
      <w:r w:rsidR="00484B9D" w:rsidRPr="00840508">
        <w:rPr>
          <w:lang w:val="en-GB"/>
        </w:rPr>
        <w:t>group</w:t>
      </w:r>
      <w:r w:rsidR="00C65C04" w:rsidRPr="00840508">
        <w:rPr>
          <w:lang w:val="en-GB"/>
        </w:rPr>
        <w:t>s</w:t>
      </w:r>
      <w:r w:rsidR="00246EC9" w:rsidRPr="00840508">
        <w:rPr>
          <w:lang w:val="en-GB"/>
        </w:rPr>
        <w:t xml:space="preserve"> may have been reinforced </w:t>
      </w:r>
      <w:r w:rsidR="00484B9D" w:rsidRPr="00840508">
        <w:rPr>
          <w:lang w:val="en-GB"/>
        </w:rPr>
        <w:t xml:space="preserve">c. 1800 </w:t>
      </w:r>
      <w:r w:rsidR="00246EC9" w:rsidRPr="00840508">
        <w:rPr>
          <w:lang w:val="en-GB"/>
        </w:rPr>
        <w:t xml:space="preserve">by political tensions </w:t>
      </w:r>
      <w:r w:rsidR="00280EA8" w:rsidRPr="00840508">
        <w:rPr>
          <w:lang w:val="en-GB"/>
        </w:rPr>
        <w:t>that made them seem unpropitious to Turner for pushing at the</w:t>
      </w:r>
      <w:r w:rsidR="00280EA8" w:rsidRPr="00384599">
        <w:rPr>
          <w:lang w:val="en-GB"/>
        </w:rPr>
        <w:t xml:space="preserve"> boundaries of participation</w:t>
      </w:r>
      <w:r w:rsidR="00C65C04" w:rsidRPr="009E06A6">
        <w:rPr>
          <w:lang w:val="en-GB"/>
        </w:rPr>
        <w:t xml:space="preserve"> within the society</w:t>
      </w:r>
      <w:r w:rsidR="00246EC9" w:rsidRPr="00941517">
        <w:rPr>
          <w:lang w:val="en-GB"/>
        </w:rPr>
        <w:t xml:space="preserve">. Both </w:t>
      </w:r>
      <w:r w:rsidR="00246EC9" w:rsidRPr="004D3356">
        <w:rPr>
          <w:rFonts w:eastAsia="Times New Roman" w:cs="Arial"/>
          <w:lang w:val="en-GB"/>
        </w:rPr>
        <w:lastRenderedPageBreak/>
        <w:t>Barbauld and</w:t>
      </w:r>
      <w:r w:rsidR="00840508">
        <w:rPr>
          <w:rFonts w:eastAsia="Times New Roman" w:cs="Arial"/>
          <w:lang w:val="en-GB"/>
        </w:rPr>
        <w:t xml:space="preserve"> Mary</w:t>
      </w:r>
      <w:r w:rsidR="00246EC9" w:rsidRPr="004D3356">
        <w:rPr>
          <w:rFonts w:eastAsia="Times New Roman" w:cs="Arial"/>
          <w:lang w:val="en-GB"/>
        </w:rPr>
        <w:t xml:space="preserve"> Hays were nominated for honorary membership on 14 July 1801. There were </w:t>
      </w:r>
      <w:r w:rsidRPr="004D3356">
        <w:rPr>
          <w:rFonts w:eastAsia="Times New Roman" w:cs="Arial"/>
          <w:lang w:val="en-GB"/>
        </w:rPr>
        <w:t>six</w:t>
      </w:r>
      <w:r w:rsidR="00246EC9" w:rsidRPr="004D3356">
        <w:rPr>
          <w:rFonts w:eastAsia="Times New Roman" w:cs="Arial"/>
          <w:lang w:val="en-GB"/>
        </w:rPr>
        <w:t xml:space="preserve"> proposers, including Clennell, but not </w:t>
      </w:r>
      <w:r w:rsidR="007463FD" w:rsidRPr="004D3356">
        <w:rPr>
          <w:rFonts w:eastAsia="Times New Roman" w:cs="Arial"/>
          <w:lang w:val="en-GB"/>
        </w:rPr>
        <w:t>Turner</w:t>
      </w:r>
      <w:r w:rsidR="00246EC9" w:rsidRPr="004D3356">
        <w:rPr>
          <w:rFonts w:eastAsia="Times New Roman" w:cs="Arial"/>
          <w:lang w:val="en-GB"/>
        </w:rPr>
        <w:t xml:space="preserve">. </w:t>
      </w:r>
      <w:r w:rsidR="00607E2D" w:rsidRPr="004D3356">
        <w:rPr>
          <w:rFonts w:eastAsia="Times New Roman" w:cs="Arial"/>
          <w:lang w:val="en-GB"/>
        </w:rPr>
        <w:t>T</w:t>
      </w:r>
      <w:r w:rsidR="00246EC9" w:rsidRPr="004D3356">
        <w:rPr>
          <w:rFonts w:eastAsia="Times New Roman" w:cs="Arial"/>
          <w:lang w:val="en-GB"/>
        </w:rPr>
        <w:t>he men</w:t>
      </w:r>
      <w:r w:rsidR="007463FD" w:rsidRPr="004D3356">
        <w:rPr>
          <w:rFonts w:eastAsia="Times New Roman" w:cs="Arial"/>
          <w:lang w:val="en-GB"/>
        </w:rPr>
        <w:t xml:space="preserve"> proposed</w:t>
      </w:r>
      <w:r w:rsidR="00246EC9" w:rsidRPr="004D3356">
        <w:rPr>
          <w:rFonts w:eastAsia="Times New Roman" w:cs="Arial"/>
          <w:lang w:val="en-GB"/>
        </w:rPr>
        <w:t xml:space="preserve"> were elected, </w:t>
      </w:r>
      <w:r w:rsidR="00607E2D" w:rsidRPr="004D3356">
        <w:rPr>
          <w:rFonts w:eastAsia="Times New Roman" w:cs="Arial"/>
          <w:lang w:val="en-GB"/>
        </w:rPr>
        <w:t xml:space="preserve">but </w:t>
      </w:r>
      <w:r w:rsidR="00246EC9" w:rsidRPr="004D3356">
        <w:rPr>
          <w:rFonts w:eastAsia="Times New Roman" w:cs="Arial"/>
          <w:lang w:val="en-GB"/>
        </w:rPr>
        <w:t xml:space="preserve">the women were not. </w:t>
      </w:r>
      <w:r w:rsidR="007463FD" w:rsidRPr="004D3356">
        <w:rPr>
          <w:rFonts w:eastAsia="Times New Roman" w:cs="Arial"/>
          <w:lang w:val="en-GB"/>
        </w:rPr>
        <w:t>T</w:t>
      </w:r>
      <w:r w:rsidR="00246EC9" w:rsidRPr="004D3356">
        <w:rPr>
          <w:rFonts w:eastAsia="Times New Roman" w:cs="Arial"/>
          <w:lang w:val="en-GB"/>
        </w:rPr>
        <w:t xml:space="preserve">he monthly minutes from the summer of 1801 onwards show a significant increase in the number of establishment figures </w:t>
      </w:r>
      <w:r w:rsidR="007463FD" w:rsidRPr="004D3356">
        <w:rPr>
          <w:rFonts w:eastAsia="Times New Roman" w:cs="Arial"/>
          <w:lang w:val="en-GB"/>
        </w:rPr>
        <w:t>j</w:t>
      </w:r>
      <w:r w:rsidR="00246EC9" w:rsidRPr="004D3356">
        <w:rPr>
          <w:rFonts w:eastAsia="Times New Roman" w:cs="Arial"/>
          <w:lang w:val="en-GB"/>
        </w:rPr>
        <w:t>oining the society</w:t>
      </w:r>
      <w:r w:rsidR="00FE4691" w:rsidRPr="004D3356">
        <w:rPr>
          <w:rFonts w:eastAsia="Times New Roman" w:cs="Arial"/>
          <w:lang w:val="en-GB"/>
        </w:rPr>
        <w:t>.</w:t>
      </w:r>
      <w:r w:rsidR="00EA4E04" w:rsidRPr="004D3356">
        <w:rPr>
          <w:rStyle w:val="EndnoteReference"/>
          <w:rFonts w:eastAsia="Times New Roman" w:cs="Arial"/>
          <w:lang w:val="en-GB"/>
        </w:rPr>
        <w:endnoteReference w:id="68"/>
      </w:r>
      <w:r w:rsidR="00FE4691" w:rsidRPr="004D3356">
        <w:rPr>
          <w:rFonts w:eastAsia="Times New Roman" w:cs="Arial"/>
          <w:lang w:val="en-GB"/>
        </w:rPr>
        <w:t xml:space="preserve"> Turner’s circumspection</w:t>
      </w:r>
      <w:r w:rsidR="009C5C3F" w:rsidRPr="004D3356">
        <w:rPr>
          <w:rFonts w:eastAsia="Times New Roman" w:cs="Arial"/>
          <w:lang w:val="en-GB"/>
        </w:rPr>
        <w:t xml:space="preserve"> </w:t>
      </w:r>
      <w:r w:rsidR="00FE4691" w:rsidRPr="004D3356">
        <w:rPr>
          <w:rFonts w:eastAsia="Times New Roman" w:cs="Arial"/>
          <w:lang w:val="en-GB"/>
        </w:rPr>
        <w:t xml:space="preserve">may reflect his desire to have the </w:t>
      </w:r>
      <w:r w:rsidR="009C5C3F" w:rsidRPr="004D3356">
        <w:rPr>
          <w:rFonts w:eastAsia="Times New Roman" w:cs="Arial"/>
          <w:lang w:val="en-GB"/>
        </w:rPr>
        <w:t xml:space="preserve">Newcastle </w:t>
      </w:r>
      <w:r w:rsidR="00FE4691" w:rsidRPr="004D3356">
        <w:rPr>
          <w:rFonts w:eastAsia="Times New Roman" w:cs="Arial"/>
          <w:lang w:val="en-GB"/>
        </w:rPr>
        <w:t xml:space="preserve">society survive ideological differences, notwithstanding his continuing personal reverence for Barbauld reflected in the obituary twenty </w:t>
      </w:r>
      <w:r w:rsidR="00B55A62" w:rsidRPr="004D3356">
        <w:rPr>
          <w:rFonts w:eastAsia="Times New Roman" w:cs="Arial"/>
          <w:lang w:val="en-GB"/>
        </w:rPr>
        <w:t>years or so later.</w:t>
      </w:r>
      <w:r w:rsidR="00AC7D33" w:rsidRPr="004D3356">
        <w:rPr>
          <w:rFonts w:eastAsia="Times New Roman" w:cs="Arial"/>
          <w:lang w:val="en-GB"/>
        </w:rPr>
        <w:t xml:space="preserve"> </w:t>
      </w:r>
    </w:p>
    <w:p w14:paraId="259442A4" w14:textId="796D2461" w:rsidR="00111C25" w:rsidRPr="00941517" w:rsidRDefault="00FE4691" w:rsidP="00736468">
      <w:pPr>
        <w:spacing w:line="480" w:lineRule="auto"/>
        <w:ind w:firstLine="567"/>
        <w:jc w:val="both"/>
      </w:pPr>
      <w:r w:rsidRPr="008C7195">
        <w:rPr>
          <w:lang w:val="en-GB"/>
        </w:rPr>
        <w:t xml:space="preserve">John </w:t>
      </w:r>
      <w:r w:rsidR="00D567B8" w:rsidRPr="008C7195">
        <w:rPr>
          <w:lang w:val="en-GB"/>
        </w:rPr>
        <w:t>Clennell</w:t>
      </w:r>
      <w:r w:rsidR="008F576F" w:rsidRPr="008C7195">
        <w:rPr>
          <w:lang w:val="en-GB"/>
        </w:rPr>
        <w:t>, though,</w:t>
      </w:r>
      <w:r w:rsidR="00D567B8" w:rsidRPr="008C7195">
        <w:rPr>
          <w:lang w:val="en-GB"/>
        </w:rPr>
        <w:t xml:space="preserve"> </w:t>
      </w:r>
      <w:r w:rsidR="000E7E6A" w:rsidRPr="00840508">
        <w:rPr>
          <w:lang w:val="en-GB"/>
        </w:rPr>
        <w:t>did not all</w:t>
      </w:r>
      <w:r w:rsidR="00316B15" w:rsidRPr="00840508">
        <w:rPr>
          <w:lang w:val="en-GB"/>
        </w:rPr>
        <w:t>ow matters to rest there</w:t>
      </w:r>
      <w:r w:rsidRPr="00840508">
        <w:rPr>
          <w:lang w:val="en-GB"/>
        </w:rPr>
        <w:t xml:space="preserve">. </w:t>
      </w:r>
      <w:r w:rsidR="00111C25" w:rsidRPr="00840508">
        <w:rPr>
          <w:lang w:val="en-GB"/>
        </w:rPr>
        <w:t>Around</w:t>
      </w:r>
      <w:r w:rsidR="00316B15" w:rsidRPr="00840508">
        <w:rPr>
          <w:lang w:val="en-GB"/>
        </w:rPr>
        <w:t xml:space="preserve"> 1807</w:t>
      </w:r>
      <w:r w:rsidR="00111C25" w:rsidRPr="00840508">
        <w:rPr>
          <w:lang w:val="en-GB"/>
        </w:rPr>
        <w:t>, failing in his hat-making business, Clennell left Newcastle for London</w:t>
      </w:r>
      <w:r w:rsidR="00316B15" w:rsidRPr="00840508">
        <w:rPr>
          <w:lang w:val="en-GB"/>
        </w:rPr>
        <w:t>. He set up the</w:t>
      </w:r>
      <w:r w:rsidR="00D567B8" w:rsidRPr="00840508">
        <w:rPr>
          <w:lang w:val="en-GB"/>
        </w:rPr>
        <w:t xml:space="preserve"> </w:t>
      </w:r>
      <w:r w:rsidR="00E85260" w:rsidRPr="00384599">
        <w:rPr>
          <w:lang w:val="en-GB"/>
        </w:rPr>
        <w:t xml:space="preserve">Hackney Literary and Philosophical Society in 1811 and then, after it failed, </w:t>
      </w:r>
      <w:r w:rsidR="002660FE" w:rsidRPr="00384599">
        <w:rPr>
          <w:lang w:val="en-GB"/>
        </w:rPr>
        <w:t xml:space="preserve">probably because he went to prison briefly for debt, </w:t>
      </w:r>
      <w:r w:rsidR="00E85260" w:rsidRPr="009E06A6">
        <w:rPr>
          <w:lang w:val="en-GB"/>
        </w:rPr>
        <w:t xml:space="preserve">the Hackney Literary </w:t>
      </w:r>
      <w:r w:rsidR="004F5E7C" w:rsidRPr="00941517">
        <w:rPr>
          <w:lang w:val="en-GB"/>
        </w:rPr>
        <w:t>Institution and Subscription Library</w:t>
      </w:r>
      <w:r w:rsidR="00E85260" w:rsidRPr="00941517">
        <w:rPr>
          <w:lang w:val="en-GB"/>
        </w:rPr>
        <w:t xml:space="preserve"> in 1815.</w:t>
      </w:r>
      <w:r w:rsidR="00EA4E04" w:rsidRPr="008C7195">
        <w:rPr>
          <w:rStyle w:val="EndnoteReference"/>
          <w:lang w:val="en-GB"/>
        </w:rPr>
        <w:endnoteReference w:id="69"/>
      </w:r>
      <w:r w:rsidR="003E4059" w:rsidRPr="008C7195">
        <w:rPr>
          <w:lang w:val="en-GB"/>
        </w:rPr>
        <w:t xml:space="preserve"> </w:t>
      </w:r>
      <w:r w:rsidR="00970FE0" w:rsidRPr="008C7195">
        <w:rPr>
          <w:lang w:val="en-GB"/>
        </w:rPr>
        <w:t>‘</w:t>
      </w:r>
      <w:r w:rsidR="00E85260" w:rsidRPr="008C7195">
        <w:rPr>
          <w:lang w:val="en-GB"/>
        </w:rPr>
        <w:t>A respe</w:t>
      </w:r>
      <w:r w:rsidR="00AA29FD" w:rsidRPr="008C7195">
        <w:rPr>
          <w:lang w:val="en-GB"/>
        </w:rPr>
        <w:t>c</w:t>
      </w:r>
      <w:r w:rsidR="00E85260" w:rsidRPr="008C7195">
        <w:rPr>
          <w:lang w:val="en-GB"/>
        </w:rPr>
        <w:t>t</w:t>
      </w:r>
      <w:r w:rsidR="00AA29FD" w:rsidRPr="008C7195">
        <w:rPr>
          <w:lang w:val="en-GB"/>
        </w:rPr>
        <w:t>ab</w:t>
      </w:r>
      <w:r w:rsidR="00E85260" w:rsidRPr="008C7195">
        <w:rPr>
          <w:lang w:val="en-GB"/>
        </w:rPr>
        <w:t>le number of ladies</w:t>
      </w:r>
      <w:r w:rsidR="00970FE0" w:rsidRPr="008C7195">
        <w:rPr>
          <w:lang w:val="en-GB"/>
        </w:rPr>
        <w:t>’</w:t>
      </w:r>
      <w:r w:rsidR="00E85260" w:rsidRPr="00840508">
        <w:rPr>
          <w:lang w:val="en-GB"/>
        </w:rPr>
        <w:t xml:space="preserve"> were present at its </w:t>
      </w:r>
      <w:r w:rsidR="00840508">
        <w:rPr>
          <w:lang w:val="en-GB"/>
        </w:rPr>
        <w:t>inaugural</w:t>
      </w:r>
      <w:r w:rsidR="00840508" w:rsidRPr="00840508">
        <w:rPr>
          <w:lang w:val="en-GB"/>
        </w:rPr>
        <w:t xml:space="preserve"> </w:t>
      </w:r>
      <w:r w:rsidR="00E85260" w:rsidRPr="00840508">
        <w:rPr>
          <w:lang w:val="en-GB"/>
        </w:rPr>
        <w:t xml:space="preserve">meeting </w:t>
      </w:r>
      <w:r w:rsidR="00607E2D" w:rsidRPr="00840508">
        <w:rPr>
          <w:lang w:val="en-GB"/>
        </w:rPr>
        <w:t xml:space="preserve">in </w:t>
      </w:r>
      <w:r w:rsidR="00E85260" w:rsidRPr="00840508">
        <w:rPr>
          <w:lang w:val="en-GB"/>
        </w:rPr>
        <w:t>the Lamb Tavern in Homerton on 18 October</w:t>
      </w:r>
      <w:r w:rsidR="00607E2D" w:rsidRPr="00840508">
        <w:rPr>
          <w:lang w:val="en-GB"/>
        </w:rPr>
        <w:t>.</w:t>
      </w:r>
      <w:r w:rsidR="00AC7D33" w:rsidRPr="00840508">
        <w:rPr>
          <w:lang w:val="en-GB"/>
        </w:rPr>
        <w:t xml:space="preserve"> </w:t>
      </w:r>
      <w:r w:rsidR="003E4059" w:rsidRPr="00840508">
        <w:rPr>
          <w:lang w:val="en-GB"/>
        </w:rPr>
        <w:t xml:space="preserve">Wollstonecraft’s </w:t>
      </w:r>
      <w:r w:rsidR="003E4059" w:rsidRPr="00840508">
        <w:rPr>
          <w:i/>
          <w:lang w:val="en-GB"/>
        </w:rPr>
        <w:t>Rights of Woman</w:t>
      </w:r>
      <w:r w:rsidR="003E4059" w:rsidRPr="00840508">
        <w:rPr>
          <w:lang w:val="en-GB"/>
        </w:rPr>
        <w:t xml:space="preserve"> was the first book proposed for purchase </w:t>
      </w:r>
      <w:r w:rsidR="00177B4B" w:rsidRPr="00840508">
        <w:rPr>
          <w:lang w:val="en-GB"/>
        </w:rPr>
        <w:t>at its first meeting</w:t>
      </w:r>
      <w:r w:rsidR="003E4059" w:rsidRPr="00840508">
        <w:rPr>
          <w:lang w:val="en-GB"/>
        </w:rPr>
        <w:t>.</w:t>
      </w:r>
      <w:r w:rsidR="00655966" w:rsidRPr="00840508">
        <w:rPr>
          <w:lang w:val="en-GB"/>
        </w:rPr>
        <w:t xml:space="preserve"> </w:t>
      </w:r>
      <w:r w:rsidR="003E4059" w:rsidRPr="00840508">
        <w:rPr>
          <w:lang w:val="en-GB"/>
        </w:rPr>
        <w:t xml:space="preserve">Women </w:t>
      </w:r>
      <w:r w:rsidR="007E7ED1" w:rsidRPr="00840508">
        <w:rPr>
          <w:lang w:val="en-GB"/>
        </w:rPr>
        <w:t>also participated in</w:t>
      </w:r>
      <w:r w:rsidR="003E4059" w:rsidRPr="00840508">
        <w:rPr>
          <w:lang w:val="en-GB"/>
        </w:rPr>
        <w:t xml:space="preserve"> the meetings that </w:t>
      </w:r>
      <w:r w:rsidR="00280EA8" w:rsidRPr="00840508">
        <w:rPr>
          <w:lang w:val="en-GB"/>
        </w:rPr>
        <w:t>convened</w:t>
      </w:r>
      <w:r w:rsidR="003E4059" w:rsidRPr="00840508">
        <w:rPr>
          <w:lang w:val="en-GB"/>
        </w:rPr>
        <w:t xml:space="preserve"> – </w:t>
      </w:r>
      <w:r w:rsidR="00177B4B" w:rsidRPr="00840508">
        <w:rPr>
          <w:lang w:val="en-GB"/>
        </w:rPr>
        <w:t xml:space="preserve">initially </w:t>
      </w:r>
      <w:r w:rsidR="003E4059" w:rsidRPr="00840508">
        <w:rPr>
          <w:lang w:val="en-GB"/>
        </w:rPr>
        <w:t>in Clennell’s home</w:t>
      </w:r>
      <w:r w:rsidR="00664E23" w:rsidRPr="00840508">
        <w:rPr>
          <w:lang w:val="en-GB"/>
        </w:rPr>
        <w:t xml:space="preserve"> </w:t>
      </w:r>
      <w:r w:rsidR="003E4059" w:rsidRPr="00840508">
        <w:rPr>
          <w:lang w:val="en-GB"/>
        </w:rPr>
        <w:t xml:space="preserve">– to discuss papers given by members. </w:t>
      </w:r>
      <w:r w:rsidR="002660FE" w:rsidRPr="00840508">
        <w:rPr>
          <w:lang w:val="en-GB"/>
        </w:rPr>
        <w:t xml:space="preserve">The society struggled to keep its membership much above </w:t>
      </w:r>
      <w:r w:rsidR="00607E2D" w:rsidRPr="00384599">
        <w:rPr>
          <w:lang w:val="en-GB"/>
        </w:rPr>
        <w:t>seventeen</w:t>
      </w:r>
      <w:r w:rsidR="002660FE" w:rsidRPr="009E06A6">
        <w:rPr>
          <w:lang w:val="en-GB"/>
        </w:rPr>
        <w:t xml:space="preserve">, but at least two women </w:t>
      </w:r>
      <w:r w:rsidRPr="00941517">
        <w:rPr>
          <w:lang w:val="en-GB"/>
        </w:rPr>
        <w:t>can be identified as</w:t>
      </w:r>
      <w:r w:rsidR="002660FE" w:rsidRPr="00941517">
        <w:rPr>
          <w:lang w:val="en-GB"/>
        </w:rPr>
        <w:t xml:space="preserve"> active participants</w:t>
      </w:r>
      <w:r w:rsidR="007E7ED1" w:rsidRPr="00941517">
        <w:rPr>
          <w:lang w:val="en-GB"/>
        </w:rPr>
        <w:t xml:space="preserve">: </w:t>
      </w:r>
      <w:r w:rsidR="002660FE" w:rsidRPr="00941517">
        <w:rPr>
          <w:lang w:val="en-GB"/>
        </w:rPr>
        <w:t>Miss Williams and Miss Wafford</w:t>
      </w:r>
      <w:r w:rsidR="00AA5FC0" w:rsidRPr="00941517">
        <w:rPr>
          <w:lang w:val="en-GB"/>
        </w:rPr>
        <w:t>. Wafford</w:t>
      </w:r>
      <w:r w:rsidR="002660FE" w:rsidRPr="00941517">
        <w:rPr>
          <w:lang w:val="en-GB"/>
        </w:rPr>
        <w:t xml:space="preserve"> </w:t>
      </w:r>
      <w:r w:rsidR="00970FE0" w:rsidRPr="00941517">
        <w:rPr>
          <w:lang w:val="en-GB"/>
        </w:rPr>
        <w:t>‘</w:t>
      </w:r>
      <w:r w:rsidR="002660FE" w:rsidRPr="008C7195">
        <w:rPr>
          <w:lang w:val="en-GB"/>
        </w:rPr>
        <w:t>politely attended</w:t>
      </w:r>
      <w:r w:rsidR="00970FE0" w:rsidRPr="008C7195">
        <w:rPr>
          <w:lang w:val="en-GB"/>
        </w:rPr>
        <w:t>’</w:t>
      </w:r>
      <w:r w:rsidR="002660FE" w:rsidRPr="008C7195">
        <w:rPr>
          <w:lang w:val="en-GB"/>
        </w:rPr>
        <w:t xml:space="preserve"> a committee meeting in December 1816 to indicate her intention to remain a subscriber</w:t>
      </w:r>
      <w:r w:rsidR="004D3356">
        <w:rPr>
          <w:lang w:val="en-GB"/>
        </w:rPr>
        <w:t>, but there’s no mention of her speaking</w:t>
      </w:r>
      <w:r w:rsidR="002660FE" w:rsidRPr="008C7195">
        <w:rPr>
          <w:lang w:val="en-GB"/>
        </w:rPr>
        <w:t xml:space="preserve">. </w:t>
      </w:r>
      <w:r w:rsidR="00EA4E04" w:rsidRPr="008C7195">
        <w:rPr>
          <w:lang w:val="en-GB"/>
        </w:rPr>
        <w:t>On</w:t>
      </w:r>
      <w:r w:rsidR="00655966" w:rsidRPr="008C7195">
        <w:rPr>
          <w:lang w:val="en-GB"/>
        </w:rPr>
        <w:t xml:space="preserve"> </w:t>
      </w:r>
      <w:r w:rsidR="00E85260" w:rsidRPr="008C7195">
        <w:rPr>
          <w:lang w:val="en-GB"/>
        </w:rPr>
        <w:t xml:space="preserve">6 March 1817 </w:t>
      </w:r>
      <w:r w:rsidR="00C74BA0" w:rsidRPr="008C7195">
        <w:rPr>
          <w:lang w:val="en-GB"/>
        </w:rPr>
        <w:t>when</w:t>
      </w:r>
      <w:r w:rsidR="00E85260" w:rsidRPr="008C7195">
        <w:rPr>
          <w:lang w:val="en-GB"/>
        </w:rPr>
        <w:t xml:space="preserve"> a Mr. Lumby </w:t>
      </w:r>
      <w:r w:rsidR="00C74BA0" w:rsidRPr="008C7195">
        <w:rPr>
          <w:lang w:val="en-GB"/>
        </w:rPr>
        <w:t xml:space="preserve">– who had proposed </w:t>
      </w:r>
      <w:r w:rsidR="009D5001" w:rsidRPr="008C7195">
        <w:rPr>
          <w:lang w:val="en-GB"/>
        </w:rPr>
        <w:t xml:space="preserve">Miss Williams as a member back in 1815 </w:t>
      </w:r>
      <w:r w:rsidR="00C74BA0" w:rsidRPr="008C7195">
        <w:rPr>
          <w:lang w:val="en-GB"/>
        </w:rPr>
        <w:t xml:space="preserve">- </w:t>
      </w:r>
      <w:r w:rsidR="00E85260" w:rsidRPr="008C7195">
        <w:rPr>
          <w:lang w:val="en-GB"/>
        </w:rPr>
        <w:t xml:space="preserve">gave a paper </w:t>
      </w:r>
      <w:r w:rsidR="00E85260" w:rsidRPr="008C7195">
        <w:t xml:space="preserve">on </w:t>
      </w:r>
      <w:r w:rsidR="00970FE0" w:rsidRPr="008C7195">
        <w:t>‘</w:t>
      </w:r>
      <w:r w:rsidR="00E85260" w:rsidRPr="008C7195">
        <w:t>the character of the female heart</w:t>
      </w:r>
      <w:r w:rsidR="00970FE0" w:rsidRPr="008C7195">
        <w:t>’</w:t>
      </w:r>
      <w:r w:rsidR="00E85260" w:rsidRPr="008C7195">
        <w:t xml:space="preserve"> at which </w:t>
      </w:r>
      <w:r w:rsidR="00970FE0" w:rsidRPr="008C7195">
        <w:t>‘</w:t>
      </w:r>
      <w:r w:rsidR="00E85260" w:rsidRPr="008C7195">
        <w:t>some ladies expressed disapprobation</w:t>
      </w:r>
      <w:r w:rsidR="00970FE0" w:rsidRPr="008C7195">
        <w:t>’</w:t>
      </w:r>
      <w:r w:rsidR="00840508">
        <w:t>.</w:t>
      </w:r>
      <w:r w:rsidR="002660FE" w:rsidRPr="00840508">
        <w:t xml:space="preserve"> </w:t>
      </w:r>
      <w:r w:rsidR="00607E2D" w:rsidRPr="00840508">
        <w:t>T</w:t>
      </w:r>
      <w:r w:rsidR="0024518A" w:rsidRPr="00840508">
        <w:t>he meeting was adjourned</w:t>
      </w:r>
      <w:r w:rsidR="00607E2D" w:rsidRPr="00384599">
        <w:t xml:space="preserve"> after the </w:t>
      </w:r>
      <w:r w:rsidR="003B45EC" w:rsidRPr="009E06A6">
        <w:t>exchange</w:t>
      </w:r>
      <w:r w:rsidR="00607E2D" w:rsidRPr="00941517">
        <w:t>.</w:t>
      </w:r>
      <w:r w:rsidR="0024518A" w:rsidRPr="00941517">
        <w:t xml:space="preserve"> </w:t>
      </w:r>
      <w:r w:rsidR="00607E2D" w:rsidRPr="00941517">
        <w:t>A</w:t>
      </w:r>
      <w:r w:rsidR="0024518A" w:rsidRPr="00941517">
        <w:t xml:space="preserve"> scribbled </w:t>
      </w:r>
      <w:r w:rsidR="00A66B3F" w:rsidRPr="00941517">
        <w:t xml:space="preserve">final </w:t>
      </w:r>
      <w:r w:rsidR="0024518A" w:rsidRPr="00941517">
        <w:t>note</w:t>
      </w:r>
      <w:r w:rsidR="007416FF" w:rsidRPr="00941517">
        <w:t xml:space="preserve"> in the minute book</w:t>
      </w:r>
      <w:r w:rsidR="0024518A" w:rsidRPr="008C7195">
        <w:t xml:space="preserve"> says the society was </w:t>
      </w:r>
      <w:r w:rsidR="0024518A" w:rsidRPr="008C7195">
        <w:lastRenderedPageBreak/>
        <w:t xml:space="preserve">dissolved in May with the funds divided between the remaining members. </w:t>
      </w:r>
      <w:r w:rsidR="00607E2D" w:rsidRPr="008C7195">
        <w:t>I</w:t>
      </w:r>
      <w:r w:rsidR="007416FF" w:rsidRPr="008C7195">
        <w:t>t</w:t>
      </w:r>
      <w:r w:rsidRPr="008C7195">
        <w:t xml:space="preserve"> i</w:t>
      </w:r>
      <w:r w:rsidR="007416FF" w:rsidRPr="008C7195">
        <w:t xml:space="preserve">s hard not to grant this final episode some symbolic import. </w:t>
      </w:r>
      <w:r w:rsidR="0024518A" w:rsidRPr="008C7195">
        <w:t xml:space="preserve">Moving from Newcastle to Hackney, Clennell had continued to </w:t>
      </w:r>
      <w:r w:rsidR="007416FF" w:rsidRPr="008C7195">
        <w:t>seek the active participation of women in his idea of knowledge networks, but other men – however progressive the</w:t>
      </w:r>
      <w:r w:rsidR="00280EA8" w:rsidRPr="008C7195">
        <w:t>ir aspirations may have been</w:t>
      </w:r>
      <w:r w:rsidR="003B2CD2" w:rsidRPr="008C7195">
        <w:t xml:space="preserve"> about female </w:t>
      </w:r>
      <w:r w:rsidR="00970FE0" w:rsidRPr="008C7195">
        <w:t>‘</w:t>
      </w:r>
      <w:r w:rsidR="003B2CD2" w:rsidRPr="008C7195">
        <w:t>conversation</w:t>
      </w:r>
      <w:r w:rsidR="00970FE0" w:rsidRPr="008C7195">
        <w:t>’</w:t>
      </w:r>
      <w:r w:rsidR="00280EA8" w:rsidRPr="008C7195">
        <w:t xml:space="preserve"> </w:t>
      </w:r>
      <w:r w:rsidR="00840508">
        <w:t>–</w:t>
      </w:r>
      <w:r w:rsidR="00280EA8" w:rsidRPr="00840508">
        <w:t xml:space="preserve"> </w:t>
      </w:r>
      <w:r w:rsidR="007416FF" w:rsidRPr="00840508">
        <w:t xml:space="preserve">struggled to find a way to conduct </w:t>
      </w:r>
      <w:r w:rsidR="007416FF" w:rsidRPr="00384599">
        <w:t xml:space="preserve">themselves when faced with </w:t>
      </w:r>
      <w:r w:rsidR="00280EA8" w:rsidRPr="009E06A6">
        <w:t xml:space="preserve">the </w:t>
      </w:r>
      <w:r w:rsidR="004D3356">
        <w:t>vocal</w:t>
      </w:r>
      <w:r w:rsidR="004D3356" w:rsidRPr="00941517">
        <w:t xml:space="preserve"> </w:t>
      </w:r>
      <w:r w:rsidR="003B2CD2" w:rsidRPr="00941517">
        <w:t>and embodied</w:t>
      </w:r>
      <w:r w:rsidR="00280EA8" w:rsidRPr="00941517">
        <w:t xml:space="preserve"> </w:t>
      </w:r>
      <w:r w:rsidR="00607E2D" w:rsidRPr="00941517">
        <w:t xml:space="preserve">participation </w:t>
      </w:r>
      <w:r w:rsidR="007416FF" w:rsidRPr="00941517">
        <w:t>of women.</w:t>
      </w:r>
      <w:r w:rsidR="003B2CD2" w:rsidRPr="00941517">
        <w:t xml:space="preserve"> </w:t>
      </w:r>
    </w:p>
    <w:p w14:paraId="43CD445A" w14:textId="4F066BEE" w:rsidR="00484B9D" w:rsidRPr="008C7195" w:rsidRDefault="003B2CD2" w:rsidP="00736468">
      <w:pPr>
        <w:spacing w:line="480" w:lineRule="auto"/>
        <w:ind w:firstLine="567"/>
        <w:jc w:val="both"/>
      </w:pPr>
      <w:r w:rsidRPr="008C7195">
        <w:t xml:space="preserve">These were not hard and fast rules operating in a fixed landscape. </w:t>
      </w:r>
      <w:r w:rsidR="004E19E6" w:rsidRPr="008C7195">
        <w:t>Boundaries were obviously in operation, but they were continually tested and revised as circumstances</w:t>
      </w:r>
      <w:r w:rsidR="00B55A62" w:rsidRPr="008C7195">
        <w:t xml:space="preserve"> and </w:t>
      </w:r>
      <w:r w:rsidR="00C97D0D" w:rsidRPr="008C7195">
        <w:t>practices</w:t>
      </w:r>
      <w:r w:rsidR="004E19E6" w:rsidRPr="008C7195">
        <w:t xml:space="preserve"> altered</w:t>
      </w:r>
      <w:r w:rsidR="009674ED" w:rsidRPr="008C7195">
        <w:t xml:space="preserve">. </w:t>
      </w:r>
      <w:r w:rsidR="004E19E6" w:rsidRPr="008C7195">
        <w:t>The</w:t>
      </w:r>
      <w:r w:rsidR="008911DC" w:rsidRPr="008C7195">
        <w:t>se</w:t>
      </w:r>
      <w:r w:rsidR="004E19E6" w:rsidRPr="008C7195">
        <w:t xml:space="preserve"> were matters of </w:t>
      </w:r>
      <w:r w:rsidR="00970FE0" w:rsidRPr="008C7195">
        <w:t>‘</w:t>
      </w:r>
      <w:r w:rsidR="004E19E6" w:rsidRPr="008C7195">
        <w:t>small change</w:t>
      </w:r>
      <w:r w:rsidR="00970FE0" w:rsidRPr="008C7195">
        <w:t>’</w:t>
      </w:r>
      <w:r w:rsidR="00840508">
        <w:t>,</w:t>
      </w:r>
      <w:r w:rsidR="004E19E6" w:rsidRPr="00840508">
        <w:t xml:space="preserve"> </w:t>
      </w:r>
      <w:r w:rsidR="00882F2D" w:rsidRPr="00840508">
        <w:t xml:space="preserve">in </w:t>
      </w:r>
      <w:r w:rsidR="004E19E6" w:rsidRPr="00384599">
        <w:t>Harriet Guest</w:t>
      </w:r>
      <w:r w:rsidR="00882F2D" w:rsidRPr="00384599">
        <w:t>’s terms</w:t>
      </w:r>
      <w:r w:rsidR="004E19E6" w:rsidRPr="00384599">
        <w:t>, where definitions of space were continually being negot</w:t>
      </w:r>
      <w:r w:rsidR="00B55A62" w:rsidRPr="00384599">
        <w:t>iated and contested within,</w:t>
      </w:r>
      <w:r w:rsidR="004E19E6" w:rsidRPr="009E06A6">
        <w:t xml:space="preserve"> outside</w:t>
      </w:r>
      <w:r w:rsidR="00B55A62" w:rsidRPr="00941517">
        <w:t>, and around</w:t>
      </w:r>
      <w:r w:rsidR="004E19E6" w:rsidRPr="00941517">
        <w:t xml:space="preserve"> the architecture of institutions.</w:t>
      </w:r>
      <w:r w:rsidR="00882F2D" w:rsidRPr="008C7195">
        <w:rPr>
          <w:rStyle w:val="EndnoteReference"/>
        </w:rPr>
        <w:endnoteReference w:id="70"/>
      </w:r>
      <w:r w:rsidR="004E19E6" w:rsidRPr="008C7195">
        <w:t xml:space="preserve"> </w:t>
      </w:r>
      <w:r w:rsidR="00EA25FB" w:rsidRPr="008C7195">
        <w:t>From the 1790s, as Kathryn Gleadle and Jane Rendall ha</w:t>
      </w:r>
      <w:r w:rsidR="003F6768" w:rsidRPr="008C7195">
        <w:t>ve</w:t>
      </w:r>
      <w:r w:rsidR="00EA25FB" w:rsidRPr="008C7195">
        <w:t xml:space="preserve"> shown, </w:t>
      </w:r>
      <w:r w:rsidR="007E6B8D" w:rsidRPr="008C7195">
        <w:t xml:space="preserve">liberal </w:t>
      </w:r>
      <w:r w:rsidR="00EA25FB" w:rsidRPr="00840508">
        <w:t>women like Eliza Fletcher began to take a role in managing various philanthropic ventures that often brought vociferous oppo</w:t>
      </w:r>
      <w:r w:rsidR="00D71456" w:rsidRPr="00840508">
        <w:t>sition</w:t>
      </w:r>
      <w:r w:rsidR="003F6768" w:rsidRPr="00840508">
        <w:t xml:space="preserve"> for their </w:t>
      </w:r>
      <w:r w:rsidR="00970FE0" w:rsidRPr="00840508">
        <w:t>‘</w:t>
      </w:r>
      <w:r w:rsidR="003F6768" w:rsidRPr="00840508">
        <w:t>democratic</w:t>
      </w:r>
      <w:r w:rsidR="00970FE0" w:rsidRPr="00840508">
        <w:t>’</w:t>
      </w:r>
      <w:r w:rsidR="003F6768" w:rsidRPr="00840508">
        <w:t xml:space="preserve"> tendencies</w:t>
      </w:r>
      <w:r w:rsidR="00EA25FB" w:rsidRPr="00840508">
        <w:t xml:space="preserve">. </w:t>
      </w:r>
      <w:r w:rsidR="003F6768" w:rsidRPr="00840508">
        <w:t xml:space="preserve">Gleadle argues this </w:t>
      </w:r>
      <w:r w:rsidR="00E954E5" w:rsidRPr="00840508">
        <w:t>activism</w:t>
      </w:r>
      <w:r w:rsidR="003F6768" w:rsidRPr="00840508">
        <w:t xml:space="preserve"> was an important aspect of provincial Unitarian networks that helped foster a political consciousness among women into the nineteenth century.</w:t>
      </w:r>
      <w:r w:rsidR="00882F2D" w:rsidRPr="008C7195">
        <w:rPr>
          <w:rStyle w:val="EndnoteReference"/>
        </w:rPr>
        <w:endnoteReference w:id="71"/>
      </w:r>
      <w:r w:rsidR="003F6768" w:rsidRPr="008C7195">
        <w:t xml:space="preserve"> </w:t>
      </w:r>
      <w:r w:rsidR="00E954E5" w:rsidRPr="008C7195">
        <w:t xml:space="preserve">There are other avenues for research into the place of these initiatives in the transpennine </w:t>
      </w:r>
      <w:r w:rsidR="00EA53E8" w:rsidRPr="008C7195">
        <w:t>E</w:t>
      </w:r>
      <w:r w:rsidR="00E954E5" w:rsidRPr="008C7195">
        <w:t>nlightenment</w:t>
      </w:r>
      <w:r w:rsidR="003F6768" w:rsidRPr="008C7195">
        <w:t>.</w:t>
      </w:r>
      <w:r w:rsidR="00E954E5" w:rsidRPr="008C7195">
        <w:t xml:space="preserve"> </w:t>
      </w:r>
      <w:r w:rsidR="00BA1118" w:rsidRPr="008C7195">
        <w:t>There is every sign that by c.1</w:t>
      </w:r>
      <w:r w:rsidR="00BA1118" w:rsidRPr="00840508">
        <w:t>820 women were pushing against the</w:t>
      </w:r>
      <w:r w:rsidR="007D0E93" w:rsidRPr="00840508">
        <w:t xml:space="preserve"> invisible</w:t>
      </w:r>
      <w:r w:rsidR="00BA1118" w:rsidRPr="00840508">
        <w:t xml:space="preserve"> barriers </w:t>
      </w:r>
      <w:r w:rsidR="00933B5D" w:rsidRPr="00840508">
        <w:t>in and around the literary and philosophical soci</w:t>
      </w:r>
      <w:r w:rsidR="007D0E93" w:rsidRPr="00840508">
        <w:t>e</w:t>
      </w:r>
      <w:r w:rsidR="00933B5D" w:rsidRPr="00840508">
        <w:t xml:space="preserve">ties. </w:t>
      </w:r>
      <w:r w:rsidR="00493BDB" w:rsidRPr="00840508">
        <w:t>In</w:t>
      </w:r>
      <w:r w:rsidR="00655966" w:rsidRPr="00840508">
        <w:t xml:space="preserve"> </w:t>
      </w:r>
      <w:r w:rsidR="007D0E93" w:rsidRPr="00840508">
        <w:t xml:space="preserve">1819, </w:t>
      </w:r>
      <w:r w:rsidR="00493BDB" w:rsidRPr="00840508">
        <w:t xml:space="preserve">for instance, </w:t>
      </w:r>
      <w:r w:rsidR="007736A2" w:rsidRPr="00840508">
        <w:t xml:space="preserve">a </w:t>
      </w:r>
      <w:r w:rsidR="00493BDB" w:rsidRPr="00840508">
        <w:t xml:space="preserve">correspondent to the </w:t>
      </w:r>
      <w:r w:rsidR="00493BDB" w:rsidRPr="00840508">
        <w:rPr>
          <w:i/>
        </w:rPr>
        <w:t>Leeds Mercury</w:t>
      </w:r>
      <w:r w:rsidR="00493BDB" w:rsidRPr="00840508">
        <w:t xml:space="preserve"> argued that a new society being proposed for the town ought to follow the policy </w:t>
      </w:r>
      <w:r w:rsidR="00970FE0" w:rsidRPr="00840508">
        <w:rPr>
          <w:rFonts w:ascii="Times New Roman" w:hAnsi="Times New Roman"/>
        </w:rPr>
        <w:t>‘</w:t>
      </w:r>
      <w:r w:rsidR="007D0E93" w:rsidRPr="00840508">
        <w:rPr>
          <w:rFonts w:ascii="Times New Roman" w:hAnsi="Times New Roman"/>
        </w:rPr>
        <w:t>at the celebrated societies of Liverpool and Manchester</w:t>
      </w:r>
      <w:r w:rsidR="00970FE0" w:rsidRPr="00384599">
        <w:rPr>
          <w:rFonts w:ascii="Times New Roman" w:hAnsi="Times New Roman"/>
        </w:rPr>
        <w:t>’</w:t>
      </w:r>
      <w:r w:rsidR="00384599">
        <w:rPr>
          <w:rFonts w:ascii="Times New Roman" w:hAnsi="Times New Roman"/>
        </w:rPr>
        <w:t>,</w:t>
      </w:r>
      <w:r w:rsidR="00493BDB" w:rsidRPr="00384599">
        <w:rPr>
          <w:rFonts w:ascii="Times New Roman" w:hAnsi="Times New Roman"/>
        </w:rPr>
        <w:t xml:space="preserve"> where </w:t>
      </w:r>
      <w:r w:rsidR="00970FE0" w:rsidRPr="00384599">
        <w:rPr>
          <w:rFonts w:ascii="Times New Roman" w:hAnsi="Times New Roman"/>
        </w:rPr>
        <w:t>‘</w:t>
      </w:r>
      <w:r w:rsidR="007D0E93" w:rsidRPr="00384599">
        <w:rPr>
          <w:rFonts w:ascii="Times New Roman" w:hAnsi="Times New Roman"/>
        </w:rPr>
        <w:t>ladies are admitted</w:t>
      </w:r>
      <w:r w:rsidR="00970FE0" w:rsidRPr="00384599">
        <w:rPr>
          <w:rFonts w:ascii="Times New Roman" w:hAnsi="Times New Roman"/>
        </w:rPr>
        <w:t>’</w:t>
      </w:r>
      <w:r w:rsidR="00384599">
        <w:rPr>
          <w:rFonts w:ascii="Times New Roman" w:hAnsi="Times New Roman"/>
        </w:rPr>
        <w:t>.</w:t>
      </w:r>
      <w:r w:rsidR="007D0E93" w:rsidRPr="00384599">
        <w:rPr>
          <w:rFonts w:ascii="Times New Roman" w:hAnsi="Times New Roman"/>
        </w:rPr>
        <w:t xml:space="preserve"> </w:t>
      </w:r>
      <w:r w:rsidR="003131B8" w:rsidRPr="00384599">
        <w:rPr>
          <w:rFonts w:ascii="Times New Roman" w:hAnsi="Times New Roman"/>
        </w:rPr>
        <w:t>Women do seem to have gained entry</w:t>
      </w:r>
      <w:r w:rsidR="00493BDB" w:rsidRPr="00384599">
        <w:rPr>
          <w:rFonts w:ascii="Times New Roman" w:hAnsi="Times New Roman"/>
        </w:rPr>
        <w:t xml:space="preserve"> </w:t>
      </w:r>
      <w:r w:rsidR="003131B8" w:rsidRPr="00384599">
        <w:rPr>
          <w:rFonts w:ascii="Times New Roman" w:hAnsi="Times New Roman"/>
        </w:rPr>
        <w:t>to exhibitions and lectures</w:t>
      </w:r>
      <w:r w:rsidR="00493BDB" w:rsidRPr="00384599">
        <w:rPr>
          <w:rFonts w:ascii="Times New Roman" w:hAnsi="Times New Roman"/>
        </w:rPr>
        <w:t xml:space="preserve"> </w:t>
      </w:r>
      <w:r w:rsidR="003131B8" w:rsidRPr="00384599">
        <w:rPr>
          <w:rFonts w:ascii="Times New Roman" w:hAnsi="Times New Roman"/>
        </w:rPr>
        <w:t>at</w:t>
      </w:r>
      <w:r w:rsidR="00493BDB" w:rsidRPr="00384599">
        <w:rPr>
          <w:rFonts w:ascii="Times New Roman" w:hAnsi="Times New Roman"/>
        </w:rPr>
        <w:t xml:space="preserve"> the Philosophical and Literary Society of Leeds, but </w:t>
      </w:r>
      <w:r w:rsidR="003131B8" w:rsidRPr="00384599">
        <w:rPr>
          <w:rFonts w:ascii="Times New Roman" w:hAnsi="Times New Roman"/>
        </w:rPr>
        <w:t xml:space="preserve">only </w:t>
      </w:r>
      <w:r w:rsidR="003131B8" w:rsidRPr="00384599">
        <w:rPr>
          <w:rFonts w:ascii="Times New Roman" w:hAnsi="Times New Roman"/>
        </w:rPr>
        <w:lastRenderedPageBreak/>
        <w:t>became members in 1845</w:t>
      </w:r>
      <w:r w:rsidR="007736A2" w:rsidRPr="00384599">
        <w:rPr>
          <w:rFonts w:ascii="Times New Roman" w:hAnsi="Times New Roman"/>
        </w:rPr>
        <w:t>.</w:t>
      </w:r>
      <w:r w:rsidR="007D0E93" w:rsidRPr="008C7195">
        <w:rPr>
          <w:rStyle w:val="EndnoteReference"/>
          <w:rFonts w:ascii="Times New Roman" w:hAnsi="Times New Roman"/>
        </w:rPr>
        <w:endnoteReference w:id="72"/>
      </w:r>
      <w:r w:rsidR="00655966" w:rsidRPr="008C7195">
        <w:rPr>
          <w:rFonts w:ascii="Times New Roman" w:hAnsi="Times New Roman"/>
        </w:rPr>
        <w:t xml:space="preserve"> </w:t>
      </w:r>
      <w:r w:rsidR="003131B8" w:rsidRPr="008C7195">
        <w:t>Earlier</w:t>
      </w:r>
      <w:r w:rsidR="003F6768" w:rsidRPr="008C7195">
        <w:t>, t</w:t>
      </w:r>
      <w:r w:rsidR="004E19E6" w:rsidRPr="008C7195">
        <w:t xml:space="preserve">he </w:t>
      </w:r>
      <w:r w:rsidR="003F6768" w:rsidRPr="008C7195">
        <w:t xml:space="preserve">larger patterns of </w:t>
      </w:r>
      <w:r w:rsidR="004E19E6" w:rsidRPr="008C7195">
        <w:t>sociability</w:t>
      </w:r>
      <w:r w:rsidR="00AC7D33" w:rsidRPr="008C7195">
        <w:t xml:space="preserve"> and philanthropic activity</w:t>
      </w:r>
      <w:r w:rsidR="004E19E6" w:rsidRPr="00840508">
        <w:t xml:space="preserve"> encouraged by Barbauld</w:t>
      </w:r>
      <w:r w:rsidR="007E6B8D" w:rsidRPr="00840508">
        <w:t>,</w:t>
      </w:r>
      <w:r w:rsidR="004E19E6" w:rsidRPr="00840508">
        <w:t xml:space="preserve"> </w:t>
      </w:r>
      <w:r w:rsidR="00833B72">
        <w:t xml:space="preserve">Lightbody </w:t>
      </w:r>
      <w:r w:rsidR="004E19E6" w:rsidRPr="00840508">
        <w:t>Greg</w:t>
      </w:r>
      <w:r w:rsidR="003F6768" w:rsidRPr="00840508">
        <w:t xml:space="preserve">, </w:t>
      </w:r>
      <w:r w:rsidR="007E6B8D" w:rsidRPr="00840508">
        <w:t xml:space="preserve">and </w:t>
      </w:r>
      <w:r w:rsidR="003F6768" w:rsidRPr="00840508">
        <w:t xml:space="preserve">others, </w:t>
      </w:r>
      <w:r w:rsidR="00151441" w:rsidRPr="00840508">
        <w:t>helped sustain</w:t>
      </w:r>
      <w:r w:rsidR="004E19E6" w:rsidRPr="00840508">
        <w:t xml:space="preserve"> the literary and philosophical societies, but</w:t>
      </w:r>
      <w:r w:rsidR="00C97D0D">
        <w:t xml:space="preserve"> women</w:t>
      </w:r>
      <w:r w:rsidR="004E19E6" w:rsidRPr="00840508">
        <w:t xml:space="preserve"> </w:t>
      </w:r>
      <w:r w:rsidR="00151441" w:rsidRPr="00840508">
        <w:t>never gained</w:t>
      </w:r>
      <w:r w:rsidR="007D0E93" w:rsidRPr="00840508">
        <w:t xml:space="preserve"> </w:t>
      </w:r>
      <w:r w:rsidR="00151441" w:rsidRPr="00840508">
        <w:t>full access</w:t>
      </w:r>
      <w:r w:rsidR="00C97D0D">
        <w:t xml:space="preserve"> to them</w:t>
      </w:r>
      <w:r w:rsidR="003F6768" w:rsidRPr="00840508">
        <w:t xml:space="preserve">. </w:t>
      </w:r>
      <w:r w:rsidR="00833B72">
        <w:t xml:space="preserve">Lightbody </w:t>
      </w:r>
      <w:r w:rsidR="009674ED" w:rsidRPr="00840508">
        <w:t xml:space="preserve">Greg ended up creating her own shadow institution for her children and their friends in the shape of the </w:t>
      </w:r>
      <w:r w:rsidR="009674ED" w:rsidRPr="004D3356">
        <w:rPr>
          <w:rFonts w:eastAsia="Times New Roman"/>
          <w:bdr w:val="none" w:sz="0" w:space="0" w:color="auto" w:frame="1"/>
          <w:lang w:val="en-GB"/>
        </w:rPr>
        <w:t>Duodecimo Club set</w:t>
      </w:r>
      <w:r w:rsidR="00B55A62" w:rsidRPr="004D3356">
        <w:rPr>
          <w:rFonts w:eastAsia="Times New Roman"/>
          <w:bdr w:val="none" w:sz="0" w:space="0" w:color="auto" w:frame="1"/>
          <w:lang w:val="en-GB"/>
        </w:rPr>
        <w:t xml:space="preserve"> up as a holiday game in 1811. </w:t>
      </w:r>
      <w:r w:rsidR="00BB034A" w:rsidRPr="004D3356">
        <w:rPr>
          <w:rFonts w:eastAsia="Times New Roman"/>
          <w:bdr w:val="none" w:sz="0" w:space="0" w:color="auto" w:frame="1"/>
          <w:lang w:val="en-GB"/>
        </w:rPr>
        <w:t xml:space="preserve">In a letter to her nephew Tom Pares, she described it as </w:t>
      </w:r>
      <w:r w:rsidR="00970FE0" w:rsidRPr="004D3356">
        <w:rPr>
          <w:rFonts w:eastAsia="Times New Roman"/>
          <w:bdr w:val="none" w:sz="0" w:space="0" w:color="auto" w:frame="1"/>
          <w:lang w:val="en-GB"/>
        </w:rPr>
        <w:t>‘</w:t>
      </w:r>
      <w:r w:rsidR="00BB034A" w:rsidRPr="004D3356">
        <w:rPr>
          <w:rFonts w:eastAsia="Times New Roman"/>
          <w:bdr w:val="none" w:sz="0" w:space="0" w:color="auto" w:frame="1"/>
          <w:lang w:val="en-GB"/>
        </w:rPr>
        <w:t>a domestic Literary &amp; Philosophical Society</w:t>
      </w:r>
      <w:r w:rsidR="00970FE0" w:rsidRPr="004D3356">
        <w:rPr>
          <w:rFonts w:eastAsia="Times New Roman"/>
          <w:bdr w:val="none" w:sz="0" w:space="0" w:color="auto" w:frame="1"/>
          <w:lang w:val="en-GB"/>
        </w:rPr>
        <w:t>’</w:t>
      </w:r>
      <w:r w:rsidR="00384599">
        <w:rPr>
          <w:rFonts w:eastAsia="Times New Roman"/>
          <w:bdr w:val="none" w:sz="0" w:space="0" w:color="auto" w:frame="1"/>
          <w:lang w:val="en-GB"/>
        </w:rPr>
        <w:t>.</w:t>
      </w:r>
      <w:r w:rsidR="00BB034A" w:rsidRPr="004D3356">
        <w:rPr>
          <w:rStyle w:val="EndnoteReference"/>
          <w:rFonts w:eastAsia="Times New Roman"/>
          <w:bdr w:val="none" w:sz="0" w:space="0" w:color="auto" w:frame="1"/>
          <w:lang w:val="en-GB"/>
        </w:rPr>
        <w:endnoteReference w:id="73"/>
      </w:r>
      <w:r w:rsidR="00BB034A" w:rsidRPr="004D3356">
        <w:rPr>
          <w:rFonts w:eastAsia="Times New Roman"/>
          <w:bdr w:val="none" w:sz="0" w:space="0" w:color="auto" w:frame="1"/>
          <w:lang w:val="en-GB"/>
        </w:rPr>
        <w:t xml:space="preserve"> Her presidential address survives along with some of the papers prepared by the children, chosen for reading after the model of the </w:t>
      </w:r>
      <w:r w:rsidR="00970FE0" w:rsidRPr="004D3356">
        <w:rPr>
          <w:rFonts w:eastAsia="Times New Roman"/>
          <w:bdr w:val="none" w:sz="0" w:space="0" w:color="auto" w:frame="1"/>
          <w:lang w:val="en-GB"/>
        </w:rPr>
        <w:t>‘</w:t>
      </w:r>
      <w:r w:rsidR="00BB034A" w:rsidRPr="004D3356">
        <w:rPr>
          <w:rFonts w:eastAsia="Times New Roman"/>
          <w:bdr w:val="none" w:sz="0" w:space="0" w:color="auto" w:frame="1"/>
          <w:lang w:val="en-GB"/>
        </w:rPr>
        <w:t>Budget box</w:t>
      </w:r>
      <w:r w:rsidR="00970FE0" w:rsidRPr="004D3356">
        <w:rPr>
          <w:rFonts w:eastAsia="Times New Roman"/>
          <w:bdr w:val="none" w:sz="0" w:space="0" w:color="auto" w:frame="1"/>
          <w:lang w:val="en-GB"/>
        </w:rPr>
        <w:t>’</w:t>
      </w:r>
      <w:r w:rsidR="00BB034A" w:rsidRPr="004D3356">
        <w:rPr>
          <w:rFonts w:eastAsia="Times New Roman"/>
          <w:bdr w:val="none" w:sz="0" w:space="0" w:color="auto" w:frame="1"/>
          <w:lang w:val="en-GB"/>
        </w:rPr>
        <w:t xml:space="preserve"> in Barbauld and her brother’s </w:t>
      </w:r>
      <w:r w:rsidR="00BB034A" w:rsidRPr="004D3356">
        <w:rPr>
          <w:rFonts w:eastAsia="Times New Roman"/>
          <w:i/>
          <w:bdr w:val="none" w:sz="0" w:space="0" w:color="auto" w:frame="1"/>
          <w:lang w:val="en-GB"/>
        </w:rPr>
        <w:t>Evenings at Home</w:t>
      </w:r>
      <w:r w:rsidR="00BB034A" w:rsidRPr="004D3356">
        <w:rPr>
          <w:rFonts w:eastAsia="Times New Roman"/>
          <w:bdr w:val="none" w:sz="0" w:space="0" w:color="auto" w:frame="1"/>
          <w:lang w:val="en-GB"/>
        </w:rPr>
        <w:t xml:space="preserve"> (1796).</w:t>
      </w:r>
      <w:r w:rsidR="00BB034A" w:rsidRPr="004D3356">
        <w:rPr>
          <w:rStyle w:val="EndnoteReference"/>
          <w:rFonts w:eastAsia="Times New Roman"/>
          <w:bdr w:val="none" w:sz="0" w:space="0" w:color="auto" w:frame="1"/>
          <w:lang w:val="en-GB"/>
        </w:rPr>
        <w:endnoteReference w:id="74"/>
      </w:r>
      <w:r w:rsidR="00BB034A" w:rsidRPr="004D3356">
        <w:rPr>
          <w:rFonts w:eastAsia="Times New Roman"/>
          <w:bdr w:val="none" w:sz="0" w:space="0" w:color="auto" w:frame="1"/>
          <w:lang w:val="en-GB"/>
        </w:rPr>
        <w:t xml:space="preserve"> Although she claimed it was partly intended </w:t>
      </w:r>
      <w:r w:rsidR="00BB034A" w:rsidRPr="004D3356">
        <w:rPr>
          <w:lang w:val="en-GB"/>
        </w:rPr>
        <w:t xml:space="preserve">to </w:t>
      </w:r>
      <w:r w:rsidR="00970FE0" w:rsidRPr="004D3356">
        <w:rPr>
          <w:lang w:val="en-GB"/>
        </w:rPr>
        <w:t>‘</w:t>
      </w:r>
      <w:r w:rsidR="00BB034A" w:rsidRPr="004D3356">
        <w:rPr>
          <w:lang w:val="en-GB"/>
        </w:rPr>
        <w:t xml:space="preserve">give [Robert] the opportunity of </w:t>
      </w:r>
      <w:r w:rsidR="00BB034A" w:rsidRPr="004D3356">
        <w:rPr>
          <w:u w:val="single"/>
          <w:lang w:val="en-GB"/>
        </w:rPr>
        <w:t>feeling his way</w:t>
      </w:r>
      <w:r w:rsidR="00BB034A" w:rsidRPr="004D3356">
        <w:rPr>
          <w:lang w:val="en-GB"/>
        </w:rPr>
        <w:t xml:space="preserve"> with papers intended for the [Manchester] society</w:t>
      </w:r>
      <w:r w:rsidR="00970FE0" w:rsidRPr="004D3356">
        <w:rPr>
          <w:rFonts w:eastAsia="Times New Roman"/>
          <w:bdr w:val="none" w:sz="0" w:space="0" w:color="auto" w:frame="1"/>
          <w:lang w:val="en-GB"/>
        </w:rPr>
        <w:t>’</w:t>
      </w:r>
      <w:r w:rsidR="00384599">
        <w:rPr>
          <w:rFonts w:eastAsia="Times New Roman"/>
          <w:bdr w:val="none" w:sz="0" w:space="0" w:color="auto" w:frame="1"/>
          <w:lang w:val="en-GB"/>
        </w:rPr>
        <w:t>,</w:t>
      </w:r>
      <w:r w:rsidR="00BB034A" w:rsidRPr="004D3356">
        <w:rPr>
          <w:rFonts w:eastAsia="Times New Roman"/>
          <w:bdr w:val="none" w:sz="0" w:space="0" w:color="auto" w:frame="1"/>
          <w:lang w:val="en-GB"/>
        </w:rPr>
        <w:t xml:space="preserve"> it is difficult not to read the episode as a sign of Hannah </w:t>
      </w:r>
      <w:r w:rsidR="00833B72">
        <w:rPr>
          <w:rFonts w:eastAsia="Times New Roman"/>
          <w:bdr w:val="none" w:sz="0" w:space="0" w:color="auto" w:frame="1"/>
          <w:lang w:val="en-GB"/>
        </w:rPr>
        <w:t xml:space="preserve">Lightbody </w:t>
      </w:r>
      <w:r w:rsidR="00BB034A" w:rsidRPr="004D3356">
        <w:rPr>
          <w:rFonts w:eastAsia="Times New Roman"/>
          <w:bdr w:val="none" w:sz="0" w:space="0" w:color="auto" w:frame="1"/>
          <w:lang w:val="en-GB"/>
        </w:rPr>
        <w:t xml:space="preserve">Greg’s own unfulfilled desire to participate there, but I’d like to end with a counterpoint to De Quincey’s account of the Roscoe circle. </w:t>
      </w:r>
      <w:r w:rsidR="00E954E5" w:rsidRPr="004D3356">
        <w:rPr>
          <w:rFonts w:eastAsia="Times New Roman"/>
          <w:bdr w:val="none" w:sz="0" w:space="0" w:color="auto" w:frame="1"/>
          <w:lang w:val="en-GB"/>
        </w:rPr>
        <w:t>Mary Robberds</w:t>
      </w:r>
      <w:r w:rsidR="003B45EC" w:rsidRPr="004D3356">
        <w:rPr>
          <w:rFonts w:eastAsia="Times New Roman"/>
          <w:bdr w:val="none" w:sz="0" w:space="0" w:color="auto" w:frame="1"/>
          <w:lang w:val="en-GB"/>
        </w:rPr>
        <w:t xml:space="preserve"> recalled</w:t>
      </w:r>
      <w:r w:rsidR="00E954E5" w:rsidRPr="004D3356">
        <w:rPr>
          <w:rFonts w:eastAsia="Times New Roman"/>
          <w:bdr w:val="none" w:sz="0" w:space="0" w:color="auto" w:frame="1"/>
          <w:lang w:val="en-GB"/>
        </w:rPr>
        <w:t xml:space="preserve"> a visit</w:t>
      </w:r>
      <w:r w:rsidR="006F1994" w:rsidRPr="004D3356">
        <w:rPr>
          <w:rFonts w:eastAsia="Times New Roman"/>
          <w:bdr w:val="none" w:sz="0" w:space="0" w:color="auto" w:frame="1"/>
          <w:lang w:val="en-GB"/>
        </w:rPr>
        <w:t xml:space="preserve"> arranged by Mrs. Crompton</w:t>
      </w:r>
      <w:r w:rsidR="00E954E5" w:rsidRPr="004D3356">
        <w:rPr>
          <w:rFonts w:eastAsia="Times New Roman"/>
          <w:bdr w:val="none" w:sz="0" w:space="0" w:color="auto" w:frame="1"/>
          <w:lang w:val="en-GB"/>
        </w:rPr>
        <w:t xml:space="preserve"> to</w:t>
      </w:r>
      <w:r w:rsidR="00484B9D" w:rsidRPr="004D3356">
        <w:rPr>
          <w:rFonts w:eastAsia="Times New Roman"/>
          <w:bdr w:val="none" w:sz="0" w:space="0" w:color="auto" w:frame="1"/>
          <w:lang w:val="en-GB"/>
        </w:rPr>
        <w:t xml:space="preserve"> </w:t>
      </w:r>
      <w:r w:rsidR="00970FE0" w:rsidRPr="004D3356">
        <w:rPr>
          <w:rFonts w:eastAsia="Times New Roman"/>
          <w:bdr w:val="none" w:sz="0" w:space="0" w:color="auto" w:frame="1"/>
          <w:lang w:val="en-GB"/>
        </w:rPr>
        <w:t>‘</w:t>
      </w:r>
      <w:r w:rsidR="00484B9D" w:rsidRPr="004D3356">
        <w:rPr>
          <w:rFonts w:eastAsia="Times New Roman"/>
          <w:bdr w:val="none" w:sz="0" w:space="0" w:color="auto" w:frame="1"/>
          <w:lang w:val="en-GB"/>
        </w:rPr>
        <w:t>the celebrated Mr. Roscoe</w:t>
      </w:r>
      <w:r w:rsidR="00970FE0" w:rsidRPr="004D3356">
        <w:rPr>
          <w:rFonts w:eastAsia="Times New Roman"/>
          <w:bdr w:val="none" w:sz="0" w:space="0" w:color="auto" w:frame="1"/>
          <w:lang w:val="en-GB"/>
        </w:rPr>
        <w:t>’</w:t>
      </w:r>
      <w:r w:rsidR="00AC7D33" w:rsidRPr="004D3356">
        <w:rPr>
          <w:rFonts w:eastAsia="Times New Roman"/>
          <w:bdr w:val="none" w:sz="0" w:space="0" w:color="auto" w:frame="1"/>
          <w:lang w:val="en-GB"/>
        </w:rPr>
        <w:t xml:space="preserve"> in</w:t>
      </w:r>
      <w:r w:rsidR="00E954E5" w:rsidRPr="004D3356">
        <w:rPr>
          <w:rFonts w:eastAsia="Times New Roman"/>
          <w:bdr w:val="none" w:sz="0" w:space="0" w:color="auto" w:frame="1"/>
          <w:lang w:val="en-GB"/>
        </w:rPr>
        <w:t xml:space="preserve"> the</w:t>
      </w:r>
      <w:r w:rsidR="00AC7D33" w:rsidRPr="004D3356">
        <w:rPr>
          <w:rFonts w:eastAsia="Times New Roman"/>
          <w:bdr w:val="none" w:sz="0" w:space="0" w:color="auto" w:frame="1"/>
          <w:lang w:val="en-GB"/>
        </w:rPr>
        <w:t xml:space="preserve"> </w:t>
      </w:r>
      <w:r w:rsidR="00970FE0" w:rsidRPr="004D3356">
        <w:rPr>
          <w:rFonts w:eastAsia="Times New Roman"/>
          <w:bdr w:val="none" w:sz="0" w:space="0" w:color="auto" w:frame="1"/>
          <w:lang w:val="en-GB"/>
        </w:rPr>
        <w:t>‘</w:t>
      </w:r>
      <w:r w:rsidR="00AC7D33" w:rsidRPr="004D3356">
        <w:rPr>
          <w:rFonts w:eastAsia="Times New Roman"/>
          <w:bdr w:val="none" w:sz="0" w:space="0" w:color="auto" w:frame="1"/>
          <w:lang w:val="en-GB"/>
        </w:rPr>
        <w:t>Recollections</w:t>
      </w:r>
      <w:r w:rsidR="00970FE0" w:rsidRPr="004D3356">
        <w:rPr>
          <w:rFonts w:eastAsia="Times New Roman"/>
          <w:bdr w:val="none" w:sz="0" w:space="0" w:color="auto" w:frame="1"/>
          <w:lang w:val="en-GB"/>
        </w:rPr>
        <w:t>’</w:t>
      </w:r>
      <w:r w:rsidR="00AC7D33" w:rsidRPr="004D3356">
        <w:rPr>
          <w:rFonts w:eastAsia="Times New Roman"/>
          <w:bdr w:val="none" w:sz="0" w:space="0" w:color="auto" w:frame="1"/>
          <w:lang w:val="en-GB"/>
        </w:rPr>
        <w:t xml:space="preserve"> written towards the end of her life</w:t>
      </w:r>
      <w:r w:rsidR="00484B9D" w:rsidRPr="004D3356">
        <w:rPr>
          <w:rFonts w:eastAsia="Times New Roman"/>
          <w:bdr w:val="none" w:sz="0" w:space="0" w:color="auto" w:frame="1"/>
          <w:lang w:val="en-GB"/>
        </w:rPr>
        <w:t>:</w:t>
      </w:r>
    </w:p>
    <w:p w14:paraId="0E88C803" w14:textId="6F8B2072" w:rsidR="003B2219" w:rsidRPr="008C7195" w:rsidRDefault="00484B9D" w:rsidP="00736468">
      <w:pPr>
        <w:spacing w:line="480" w:lineRule="auto"/>
        <w:ind w:left="567"/>
        <w:jc w:val="both"/>
        <w:rPr>
          <w:bdr w:val="none" w:sz="0" w:space="0" w:color="auto" w:frame="1"/>
          <w:lang w:val="en-GB"/>
        </w:rPr>
      </w:pPr>
      <w:r w:rsidRPr="008C7195">
        <w:rPr>
          <w:bdr w:val="none" w:sz="0" w:space="0" w:color="auto" w:frame="1"/>
          <w:lang w:val="en-GB"/>
        </w:rPr>
        <w:t>His conversation was a great treat and I enjoyed the evening very much … there were several other clever men in Liverpool at that time, some of them I saw, Dr C</w:t>
      </w:r>
      <w:r w:rsidR="00AC7D33" w:rsidRPr="008C7195">
        <w:rPr>
          <w:bdr w:val="none" w:sz="0" w:space="0" w:color="auto" w:frame="1"/>
          <w:lang w:val="en-GB"/>
        </w:rPr>
        <w:t>urrie, Dr Shepherd, Mr Yates &amp;c.</w:t>
      </w:r>
      <w:r w:rsidRPr="00840508">
        <w:rPr>
          <w:bdr w:val="none" w:sz="0" w:space="0" w:color="auto" w:frame="1"/>
          <w:lang w:val="en-GB"/>
        </w:rPr>
        <w:t xml:space="preserve"> I like to recollect the visit</w:t>
      </w:r>
      <w:r w:rsidR="00882F2D" w:rsidRPr="00840508">
        <w:rPr>
          <w:bdr w:val="none" w:sz="0" w:space="0" w:color="auto" w:frame="1"/>
          <w:lang w:val="en-GB"/>
        </w:rPr>
        <w:t>.</w:t>
      </w:r>
      <w:r w:rsidR="00882F2D" w:rsidRPr="004D3356">
        <w:rPr>
          <w:rStyle w:val="EndnoteReference"/>
          <w:rFonts w:eastAsia="Times New Roman"/>
          <w:bdr w:val="none" w:sz="0" w:space="0" w:color="auto" w:frame="1"/>
          <w:lang w:val="en-GB"/>
        </w:rPr>
        <w:endnoteReference w:id="75"/>
      </w:r>
      <w:r w:rsidR="00655966" w:rsidRPr="008C7195">
        <w:rPr>
          <w:bdr w:val="none" w:sz="0" w:space="0" w:color="auto" w:frame="1"/>
          <w:lang w:val="en-GB"/>
        </w:rPr>
        <w:t xml:space="preserve"> </w:t>
      </w:r>
      <w:r w:rsidR="007E6B8D" w:rsidRPr="004D3356">
        <w:tab/>
      </w:r>
      <w:r w:rsidR="003B2219" w:rsidRPr="004D3356">
        <w:tab/>
      </w:r>
    </w:p>
    <w:p w14:paraId="5E902A0E" w14:textId="046FE6BD" w:rsidR="003969F7" w:rsidRDefault="009D57EE" w:rsidP="00736468">
      <w:pPr>
        <w:spacing w:line="480" w:lineRule="auto"/>
        <w:jc w:val="both"/>
      </w:pPr>
      <w:r w:rsidRPr="004D3356">
        <w:t xml:space="preserve">Here is De Quincey’s </w:t>
      </w:r>
      <w:r w:rsidR="00970FE0" w:rsidRPr="004D3356">
        <w:t>‘</w:t>
      </w:r>
      <w:r w:rsidRPr="004D3356">
        <w:t>Liverpool coterie</w:t>
      </w:r>
      <w:r w:rsidR="00970FE0" w:rsidRPr="004D3356">
        <w:t>’</w:t>
      </w:r>
      <w:r w:rsidR="00484B9D" w:rsidRPr="004D3356">
        <w:t xml:space="preserve"> remembered very differently, </w:t>
      </w:r>
      <w:r w:rsidR="008F576F" w:rsidRPr="004D3356">
        <w:t>certainly as a product of</w:t>
      </w:r>
      <w:r w:rsidRPr="004D3356">
        <w:t xml:space="preserve"> </w:t>
      </w:r>
      <w:r w:rsidR="00970FE0" w:rsidRPr="004D3356">
        <w:t>‘</w:t>
      </w:r>
      <w:r w:rsidRPr="004D3356">
        <w:t>connexion</w:t>
      </w:r>
      <w:r w:rsidR="00970FE0" w:rsidRPr="004D3356">
        <w:t>’</w:t>
      </w:r>
      <w:r w:rsidR="00AC7D33" w:rsidRPr="004D3356">
        <w:t xml:space="preserve"> but one </w:t>
      </w:r>
      <w:r w:rsidR="00484B9D" w:rsidRPr="004D3356">
        <w:t>that included women</w:t>
      </w:r>
      <w:r w:rsidR="00AC7D33" w:rsidRPr="004D3356">
        <w:t xml:space="preserve"> as a positive presence</w:t>
      </w:r>
      <w:r w:rsidR="00484B9D" w:rsidRPr="004D3356">
        <w:t xml:space="preserve"> in the</w:t>
      </w:r>
      <w:r w:rsidR="00AC7D33" w:rsidRPr="004D3356">
        <w:t xml:space="preserve"> </w:t>
      </w:r>
      <w:r w:rsidR="008F576F" w:rsidRPr="004D3356">
        <w:t xml:space="preserve">conversable </w:t>
      </w:r>
      <w:r w:rsidR="00AC7D33" w:rsidRPr="004D3356">
        <w:t>networks of the</w:t>
      </w:r>
      <w:r w:rsidR="00484B9D" w:rsidRPr="004D3356">
        <w:t xml:space="preserve"> </w:t>
      </w:r>
      <w:r w:rsidR="00AC7D33" w:rsidRPr="004D3356">
        <w:t xml:space="preserve">transpennine </w:t>
      </w:r>
      <w:r w:rsidR="00EA53E8" w:rsidRPr="004D3356">
        <w:t>E</w:t>
      </w:r>
      <w:r w:rsidR="00AC7D33" w:rsidRPr="004D3356">
        <w:t>nlightenment</w:t>
      </w:r>
      <w:r w:rsidR="00484B9D" w:rsidRPr="004D3356">
        <w:t xml:space="preserve">. </w:t>
      </w:r>
    </w:p>
    <w:p w14:paraId="5001DA57" w14:textId="54F28DD7" w:rsidR="00384599" w:rsidRPr="008C7195" w:rsidRDefault="00384599" w:rsidP="00736468">
      <w:pPr>
        <w:spacing w:line="480" w:lineRule="auto"/>
        <w:jc w:val="both"/>
        <w:rPr>
          <w:bdr w:val="none" w:sz="0" w:space="0" w:color="auto" w:frame="1"/>
          <w:lang w:val="en-GB"/>
        </w:rPr>
      </w:pPr>
      <w:r>
        <w:t>NOTES</w:t>
      </w:r>
    </w:p>
    <w:sectPr w:rsidR="00384599" w:rsidRPr="008C7195" w:rsidSect="00791A60">
      <w:footerReference w:type="even" r:id="rId8"/>
      <w:footerReference w:type="default" r:id="rId9"/>
      <w:endnotePr>
        <w:numFmt w:val="decimal"/>
      </w:end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0BC62" w14:textId="77777777" w:rsidR="00104816" w:rsidRDefault="00104816" w:rsidP="00D60017">
      <w:r>
        <w:separator/>
      </w:r>
    </w:p>
  </w:endnote>
  <w:endnote w:type="continuationSeparator" w:id="0">
    <w:p w14:paraId="61C57180" w14:textId="77777777" w:rsidR="00104816" w:rsidRDefault="00104816" w:rsidP="00D60017">
      <w:r>
        <w:continuationSeparator/>
      </w:r>
    </w:p>
  </w:endnote>
  <w:endnote w:id="1">
    <w:p w14:paraId="39EB12B8" w14:textId="28864497" w:rsidR="00274F86" w:rsidRPr="004D3356" w:rsidRDefault="00274F86" w:rsidP="006C3197">
      <w:pPr>
        <w:pStyle w:val="p1"/>
        <w:spacing w:line="480" w:lineRule="auto"/>
        <w:rPr>
          <w:rFonts w:ascii="Cambria" w:hAnsi="Cambria" w:cs="Diwan Thuluth"/>
          <w:sz w:val="24"/>
          <w:szCs w:val="24"/>
        </w:rPr>
      </w:pPr>
      <w:r w:rsidRPr="00941517">
        <w:rPr>
          <w:rStyle w:val="EndnoteReference"/>
          <w:rFonts w:ascii="Cambria" w:hAnsi="Cambria"/>
          <w:sz w:val="24"/>
          <w:szCs w:val="24"/>
        </w:rPr>
        <w:endnoteRef/>
      </w:r>
      <w:r w:rsidRPr="00941517">
        <w:rPr>
          <w:rFonts w:ascii="Cambria" w:hAnsi="Cambria"/>
          <w:sz w:val="24"/>
          <w:szCs w:val="24"/>
        </w:rPr>
        <w:t xml:space="preserve"> On the broad context of the societies in Manchester and Newcastle, see Jon Mee and Jennifer Wilkes, ‘Transpennine Enlightenment: The Literary and Philosophical Societies and Knowledge Networks in the North, 1781-1830’</w:t>
      </w:r>
      <w:r>
        <w:rPr>
          <w:rFonts w:ascii="Cambria" w:hAnsi="Cambria"/>
          <w:sz w:val="24"/>
          <w:szCs w:val="24"/>
        </w:rPr>
        <w:t>,</w:t>
      </w:r>
      <w:r w:rsidRPr="00941517">
        <w:rPr>
          <w:rFonts w:ascii="Cambria" w:hAnsi="Cambria"/>
          <w:sz w:val="24"/>
          <w:szCs w:val="24"/>
        </w:rPr>
        <w:t xml:space="preserve"> </w:t>
      </w:r>
      <w:r w:rsidRPr="00941517">
        <w:rPr>
          <w:rFonts w:ascii="Cambria" w:hAnsi="Cambria"/>
          <w:i/>
          <w:sz w:val="24"/>
          <w:szCs w:val="24"/>
        </w:rPr>
        <w:t>Journal for Eighteenth-Century Studies</w:t>
      </w:r>
      <w:r w:rsidRPr="00941517">
        <w:rPr>
          <w:rFonts w:ascii="Cambria" w:hAnsi="Cambria"/>
          <w:sz w:val="24"/>
          <w:szCs w:val="24"/>
        </w:rPr>
        <w:t xml:space="preserve"> 38.4 (2015), 599-612.</w:t>
      </w:r>
    </w:p>
  </w:endnote>
  <w:endnote w:id="2">
    <w:p w14:paraId="6AA0A559" w14:textId="475A8054" w:rsidR="00800193" w:rsidRPr="001B7A8C" w:rsidRDefault="00274F86" w:rsidP="00800193">
      <w:pPr>
        <w:spacing w:line="480" w:lineRule="auto"/>
        <w:rPr>
          <w:rFonts w:eastAsia="Times New Roman" w:cs="Arial"/>
          <w:sz w:val="22"/>
          <w:szCs w:val="22"/>
          <w:lang w:eastAsia="en-GB"/>
        </w:rPr>
      </w:pPr>
      <w:r w:rsidRPr="00941517">
        <w:rPr>
          <w:rStyle w:val="EndnoteReference"/>
        </w:rPr>
        <w:endnoteRef/>
      </w:r>
      <w:r w:rsidRPr="00941517">
        <w:t xml:space="preserve"> See Jane Rendall, ‘Women that Would Plague Me with Rational Conversation: Aspiring Women and Scottish Whigs, c. 1790 – 1830’</w:t>
      </w:r>
      <w:r>
        <w:t>,</w:t>
      </w:r>
      <w:r w:rsidRPr="00941517">
        <w:t xml:space="preserve"> in </w:t>
      </w:r>
      <w:r w:rsidRPr="00941517">
        <w:rPr>
          <w:i/>
        </w:rPr>
        <w:t>Women Gender and Enlightenment</w:t>
      </w:r>
      <w:r w:rsidRPr="00941517">
        <w:t>, ed</w:t>
      </w:r>
      <w:r>
        <w:t>s</w:t>
      </w:r>
      <w:r w:rsidRPr="00941517">
        <w:t>. Sarah Knott and Barbara Taylor (Basingstoke: Palgrave Macmillan, 2005), 327</w:t>
      </w:r>
      <w:r w:rsidR="00800193">
        <w:t xml:space="preserve">, and </w:t>
      </w:r>
      <w:r w:rsidRPr="00941517">
        <w:t>Kathryn Gleadle, ‘British Women and Radical Politics in the Late Nonconformist Enlightenment, c. 1780-1830’</w:t>
      </w:r>
      <w:r>
        <w:t>,</w:t>
      </w:r>
      <w:r w:rsidRPr="00941517">
        <w:t xml:space="preserve"> in </w:t>
      </w:r>
      <w:r w:rsidRPr="00941517">
        <w:rPr>
          <w:i/>
        </w:rPr>
        <w:t>Women, Privilege, and Power: British Politics, 1750 to the Present</w:t>
      </w:r>
      <w:r w:rsidRPr="00941517">
        <w:t xml:space="preserve">, ed. Amanda Vickery (Stanford: Stanford University Press, 2001), 123-151. My essay has also benefited from Rendall’s keynote address </w:t>
      </w:r>
      <w:r w:rsidRPr="00941517">
        <w:rPr>
          <w:rFonts w:eastAsia="Times New Roman"/>
        </w:rPr>
        <w:t>‘Female Improvers: Women, Philanthropy and Border Crossings’</w:t>
      </w:r>
      <w:r w:rsidRPr="00941517">
        <w:rPr>
          <w:rFonts w:eastAsia="Times New Roman"/>
          <w:lang w:val="en-GB" w:eastAsia="en-GB"/>
        </w:rPr>
        <w:t xml:space="preserve"> </w:t>
      </w:r>
      <w:r w:rsidRPr="00941517">
        <w:t>at the British Association for Romantic Studies conference, University of York, 28 July 2017</w:t>
      </w:r>
      <w:r w:rsidR="00800193">
        <w:t xml:space="preserve">. </w:t>
      </w:r>
      <w:r>
        <w:t>Catriona Kennedy and Felicity</w:t>
      </w:r>
      <w:r w:rsidR="00800193">
        <w:t xml:space="preserve"> </w:t>
      </w:r>
      <w:r>
        <w:t xml:space="preserve">Nussbaum’s </w:t>
      </w:r>
      <w:r w:rsidR="00800193">
        <w:t xml:space="preserve">generously responded </w:t>
      </w:r>
      <w:r>
        <w:t>to earlier drafts</w:t>
      </w:r>
      <w:r w:rsidRPr="00941517">
        <w:t>.</w:t>
      </w:r>
      <w:r w:rsidR="00800193">
        <w:t xml:space="preserve"> </w:t>
      </w:r>
      <w:r w:rsidR="00800193" w:rsidRPr="00941517">
        <w:t>I am grateful to the staff at Quarry Bank for their help with the archive</w:t>
      </w:r>
      <w:r w:rsidR="00800193">
        <w:t xml:space="preserve"> and to </w:t>
      </w:r>
      <w:r w:rsidR="00800193">
        <w:rPr>
          <w:lang w:val="en-GB"/>
        </w:rPr>
        <w:t>Michelle Levy and Simon Fraser University for inviting me to give an early version of this paper.</w:t>
      </w:r>
      <w:r w:rsidR="00800193">
        <w:rPr>
          <w:rFonts w:eastAsia="Times New Roman" w:cs="Arial"/>
          <w:sz w:val="22"/>
          <w:szCs w:val="22"/>
          <w:lang w:eastAsia="en-GB"/>
        </w:rPr>
        <w:t xml:space="preserve"> </w:t>
      </w:r>
    </w:p>
    <w:p w14:paraId="0A39ED65" w14:textId="0715CE86" w:rsidR="00274F86" w:rsidRPr="00941517" w:rsidRDefault="00274F86" w:rsidP="00371DE6">
      <w:pPr>
        <w:tabs>
          <w:tab w:val="left" w:pos="6946"/>
        </w:tabs>
        <w:spacing w:line="480" w:lineRule="auto"/>
      </w:pPr>
    </w:p>
  </w:endnote>
  <w:endnote w:id="3">
    <w:p w14:paraId="1AB62CD8" w14:textId="77777777" w:rsidR="00274F86" w:rsidRPr="00941517" w:rsidRDefault="00274F86" w:rsidP="009A20BA">
      <w:pPr>
        <w:pStyle w:val="p1"/>
        <w:spacing w:line="480" w:lineRule="auto"/>
        <w:rPr>
          <w:rFonts w:ascii="Cambria" w:hAnsi="Cambria"/>
          <w:sz w:val="24"/>
          <w:szCs w:val="24"/>
        </w:rPr>
      </w:pPr>
      <w:r w:rsidRPr="00941517">
        <w:rPr>
          <w:rStyle w:val="EndnoteReference"/>
          <w:rFonts w:ascii="Cambria" w:hAnsi="Cambria"/>
          <w:sz w:val="24"/>
          <w:szCs w:val="24"/>
        </w:rPr>
        <w:endnoteRef/>
      </w:r>
      <w:r w:rsidRPr="00941517">
        <w:rPr>
          <w:rFonts w:ascii="Cambria" w:hAnsi="Cambria"/>
          <w:sz w:val="24"/>
          <w:szCs w:val="24"/>
        </w:rPr>
        <w:t xml:space="preserve"> See Michele le </w:t>
      </w:r>
      <w:r w:rsidRPr="005610A2">
        <w:rPr>
          <w:rFonts w:ascii="Cambria" w:hAnsi="Cambria"/>
          <w:sz w:val="24"/>
          <w:szCs w:val="24"/>
        </w:rPr>
        <w:t>Doeuff</w:t>
      </w:r>
      <w:r w:rsidRPr="00941517">
        <w:rPr>
          <w:rFonts w:ascii="Cambria" w:hAnsi="Cambria"/>
          <w:sz w:val="24"/>
          <w:szCs w:val="24"/>
        </w:rPr>
        <w:t xml:space="preserve">, </w:t>
      </w:r>
      <w:r w:rsidRPr="005610A2">
        <w:rPr>
          <w:rFonts w:ascii="Cambria" w:hAnsi="Cambria"/>
          <w:i/>
          <w:sz w:val="24"/>
          <w:szCs w:val="24"/>
        </w:rPr>
        <w:t>The Sex of Knowing</w:t>
      </w:r>
      <w:r>
        <w:rPr>
          <w:rFonts w:ascii="Cambria" w:hAnsi="Cambria"/>
          <w:sz w:val="24"/>
          <w:szCs w:val="24"/>
        </w:rPr>
        <w:t>,</w:t>
      </w:r>
      <w:r w:rsidRPr="00941517">
        <w:rPr>
          <w:rFonts w:ascii="Cambria" w:hAnsi="Cambria"/>
          <w:sz w:val="24"/>
          <w:szCs w:val="24"/>
        </w:rPr>
        <w:t xml:space="preserve"> trans. Kathryn Hamer and Lorraine Code (London: Routledge, 2003), 24.</w:t>
      </w:r>
    </w:p>
  </w:endnote>
  <w:endnote w:id="4">
    <w:p w14:paraId="3F4DEBF3" w14:textId="4538FCD0" w:rsidR="00274F86" w:rsidRPr="00941517" w:rsidRDefault="00274F86" w:rsidP="002A0C4C">
      <w:pPr>
        <w:pStyle w:val="EndnoteText"/>
        <w:spacing w:line="480" w:lineRule="auto"/>
        <w:rPr>
          <w:lang w:val="en-GB"/>
        </w:rPr>
      </w:pPr>
      <w:r w:rsidRPr="00941517">
        <w:rPr>
          <w:rStyle w:val="EndnoteReference"/>
        </w:rPr>
        <w:endnoteRef/>
      </w:r>
      <w:r w:rsidRPr="00941517">
        <w:t xml:space="preserve"> David N. Livingstone, </w:t>
      </w:r>
      <w:r w:rsidRPr="004D3356">
        <w:rPr>
          <w:rFonts w:eastAsia="Times New Roman" w:cs="Arial"/>
          <w:i/>
        </w:rPr>
        <w:t xml:space="preserve">Putting Science in </w:t>
      </w:r>
      <w:r>
        <w:rPr>
          <w:rFonts w:eastAsia="Times New Roman" w:cs="Arial"/>
          <w:i/>
        </w:rPr>
        <w:t>i</w:t>
      </w:r>
      <w:r w:rsidRPr="004D3356">
        <w:rPr>
          <w:rFonts w:eastAsia="Times New Roman" w:cs="Arial"/>
          <w:i/>
        </w:rPr>
        <w:t>ts Place: Geographies of Scientific Knowledge</w:t>
      </w:r>
      <w:r w:rsidRPr="004D3356">
        <w:rPr>
          <w:rFonts w:eastAsia="Times New Roman" w:cs="Arial"/>
        </w:rPr>
        <w:t xml:space="preserve"> (Chicago: University of Chicago Press, 2003), 78</w:t>
      </w:r>
      <w:r>
        <w:rPr>
          <w:rFonts w:eastAsia="Times New Roman" w:cs="Arial"/>
        </w:rPr>
        <w:t>.</w:t>
      </w:r>
    </w:p>
  </w:endnote>
  <w:endnote w:id="5">
    <w:p w14:paraId="5CDDDA82" w14:textId="05548586" w:rsidR="00274F86" w:rsidRPr="001B7A8C" w:rsidRDefault="00274F86" w:rsidP="006B2035">
      <w:pPr>
        <w:spacing w:line="480" w:lineRule="auto"/>
        <w:rPr>
          <w:rFonts w:eastAsia="Times New Roman" w:cs="Arial"/>
          <w:sz w:val="22"/>
          <w:szCs w:val="22"/>
          <w:lang w:eastAsia="en-GB"/>
        </w:rPr>
      </w:pPr>
      <w:r w:rsidRPr="00941517">
        <w:rPr>
          <w:rStyle w:val="EndnoteReference"/>
        </w:rPr>
        <w:endnoteRef/>
      </w:r>
      <w:r w:rsidRPr="00941517">
        <w:t xml:space="preserve"> The meetings of the </w:t>
      </w:r>
      <w:r>
        <w:t>S</w:t>
      </w:r>
      <w:r w:rsidRPr="00941517">
        <w:t xml:space="preserve">ociety were in rooms at Cross Street Chapel, where Thomas </w:t>
      </w:r>
      <w:r w:rsidRPr="00941517">
        <w:t xml:space="preserve">Barnes, </w:t>
      </w:r>
      <w:r>
        <w:t>a</w:t>
      </w:r>
      <w:r w:rsidRPr="00941517">
        <w:t xml:space="preserve"> founding member, was a minister. </w:t>
      </w:r>
      <w:r w:rsidR="002C282D">
        <w:t xml:space="preserve">Nearby </w:t>
      </w:r>
      <w:r w:rsidRPr="00941517">
        <w:rPr>
          <w:lang w:val="en-GB"/>
        </w:rPr>
        <w:t xml:space="preserve">Mosley Street Chapel was set up in 1789 </w:t>
      </w:r>
      <w:r w:rsidR="002C282D">
        <w:rPr>
          <w:lang w:val="en-GB"/>
        </w:rPr>
        <w:t>with</w:t>
      </w:r>
      <w:r>
        <w:rPr>
          <w:lang w:val="en-GB"/>
        </w:rPr>
        <w:t xml:space="preserve"> </w:t>
      </w:r>
      <w:r w:rsidR="002C282D">
        <w:rPr>
          <w:lang w:val="en-GB"/>
        </w:rPr>
        <w:t xml:space="preserve">the </w:t>
      </w:r>
      <w:r>
        <w:rPr>
          <w:lang w:val="en-GB"/>
        </w:rPr>
        <w:t xml:space="preserve">more distinctly Unitarian </w:t>
      </w:r>
      <w:r w:rsidR="002C282D">
        <w:rPr>
          <w:lang w:val="en-GB"/>
        </w:rPr>
        <w:t xml:space="preserve">liturgy </w:t>
      </w:r>
      <w:r w:rsidR="002C282D" w:rsidRPr="00941517">
        <w:rPr>
          <w:lang w:val="en-GB"/>
        </w:rPr>
        <w:t xml:space="preserve">used by John Yates at the Liverpool chapel </w:t>
      </w:r>
      <w:r w:rsidR="002C282D" w:rsidRPr="00941517">
        <w:t xml:space="preserve">where </w:t>
      </w:r>
      <w:r w:rsidR="00800193">
        <w:t xml:space="preserve">the unmarried </w:t>
      </w:r>
      <w:r w:rsidR="002C282D" w:rsidRPr="00941517">
        <w:t xml:space="preserve">Hannah Lightbody </w:t>
      </w:r>
      <w:r w:rsidR="002C282D">
        <w:t xml:space="preserve">Greg </w:t>
      </w:r>
      <w:r w:rsidR="002C282D" w:rsidRPr="00941517">
        <w:t>worshipped</w:t>
      </w:r>
      <w:r w:rsidRPr="00941517">
        <w:rPr>
          <w:lang w:val="en-GB"/>
        </w:rPr>
        <w:t xml:space="preserve">. Priestley told Theophilus Lindsey that Barnes ‘could not conceal his jealousy of Mr. Hawkes’s Unitarian chapel’. See Priestley to Rev. T. Lindsey, October 1789 in </w:t>
      </w:r>
      <w:r w:rsidRPr="00941517">
        <w:rPr>
          <w:i/>
          <w:lang w:val="en-GB"/>
        </w:rPr>
        <w:t>Life and Correspondence of Joseph Priestley</w:t>
      </w:r>
      <w:r w:rsidRPr="00941517">
        <w:rPr>
          <w:lang w:val="en-GB"/>
        </w:rPr>
        <w:t>, ed. J. T. Rutt, vol</w:t>
      </w:r>
      <w:r>
        <w:rPr>
          <w:lang w:val="en-GB"/>
        </w:rPr>
        <w:t xml:space="preserve">. </w:t>
      </w:r>
      <w:r w:rsidRPr="00941517">
        <w:rPr>
          <w:lang w:val="en-GB"/>
        </w:rPr>
        <w:t>2 (London, 1832), 35.</w:t>
      </w:r>
      <w:r>
        <w:rPr>
          <w:lang w:val="en-GB"/>
        </w:rPr>
        <w:t xml:space="preserve"> </w:t>
      </w:r>
      <w:r w:rsidR="002C282D">
        <w:rPr>
          <w:lang w:val="en-GB"/>
        </w:rPr>
        <w:t>Hannah Lightbody Greg wrote from Liverpool</w:t>
      </w:r>
      <w:r w:rsidRPr="00941517">
        <w:t xml:space="preserve"> to encourage her future husband</w:t>
      </w:r>
      <w:r>
        <w:t>, Samuel Greg,</w:t>
      </w:r>
      <w:r w:rsidRPr="00941517">
        <w:t xml:space="preserve"> to attend ‘of your own inclination rather than a compliance with my opinion &amp; desires’</w:t>
      </w:r>
      <w:r>
        <w:t>.</w:t>
      </w:r>
      <w:r w:rsidRPr="00941517">
        <w:t xml:space="preserve"> </w:t>
      </w:r>
      <w:r w:rsidR="002C282D">
        <w:t xml:space="preserve">They worshipped there together after their marriage. </w:t>
      </w:r>
      <w:r w:rsidRPr="00941517">
        <w:t xml:space="preserve">See Hannah Greg Papers, Quarry Bank, National Trust. QBA765.1/9/6/5. </w:t>
      </w:r>
      <w:r w:rsidR="002C282D">
        <w:rPr>
          <w:rFonts w:eastAsia="Times New Roman" w:cs="Arial"/>
          <w:sz w:val="22"/>
          <w:szCs w:val="22"/>
          <w:lang w:eastAsia="en-GB"/>
        </w:rPr>
        <w:t>I use the name Hannah Lightbody Greg throughout to refer to the unmarried and married woman.</w:t>
      </w:r>
    </w:p>
  </w:endnote>
  <w:endnote w:id="6">
    <w:p w14:paraId="5E69A7BA" w14:textId="2AB05A75" w:rsidR="00274F86" w:rsidRPr="00941517" w:rsidRDefault="00274F86" w:rsidP="006B2035">
      <w:pPr>
        <w:pStyle w:val="EndnoteText"/>
        <w:spacing w:line="480" w:lineRule="auto"/>
        <w:rPr>
          <w:lang w:val="en-GB"/>
        </w:rPr>
      </w:pPr>
      <w:r w:rsidRPr="00941517">
        <w:rPr>
          <w:rStyle w:val="EndnoteReference"/>
        </w:rPr>
        <w:endnoteRef/>
      </w:r>
      <w:r w:rsidRPr="00941517">
        <w:t xml:space="preserve"> Arnold Thackray, ‘Natural Knowledge in Cultural Context: The Manchester Model’</w:t>
      </w:r>
      <w:r>
        <w:t>,</w:t>
      </w:r>
      <w:r w:rsidRPr="00941517">
        <w:t xml:space="preserve"> </w:t>
      </w:r>
      <w:r w:rsidRPr="00941517">
        <w:rPr>
          <w:i/>
        </w:rPr>
        <w:t>American Historical Review</w:t>
      </w:r>
      <w:r w:rsidRPr="00941517">
        <w:t xml:space="preserve">, 79 (1974), 693, notes </w:t>
      </w:r>
      <w:r w:rsidR="00800193">
        <w:t>various</w:t>
      </w:r>
      <w:r>
        <w:t xml:space="preserve"> </w:t>
      </w:r>
      <w:r w:rsidR="00800193">
        <w:t xml:space="preserve">issues </w:t>
      </w:r>
      <w:r>
        <w:t xml:space="preserve">in the 1780s </w:t>
      </w:r>
      <w:r w:rsidR="00800193">
        <w:t>that provoked</w:t>
      </w:r>
      <w:r>
        <w:t xml:space="preserve"> Anglican members</w:t>
      </w:r>
      <w:r w:rsidR="00800193">
        <w:t xml:space="preserve"> to resign</w:t>
      </w:r>
      <w:r w:rsidRPr="00941517">
        <w:t>.</w:t>
      </w:r>
    </w:p>
  </w:endnote>
  <w:endnote w:id="7">
    <w:p w14:paraId="46148C63" w14:textId="571C589E" w:rsidR="00274F86" w:rsidRPr="00941517" w:rsidRDefault="00274F86" w:rsidP="006B2035">
      <w:pPr>
        <w:pStyle w:val="EndnoteText"/>
        <w:spacing w:line="480" w:lineRule="auto"/>
        <w:rPr>
          <w:lang w:val="en-GB"/>
        </w:rPr>
      </w:pPr>
      <w:r w:rsidRPr="00941517">
        <w:rPr>
          <w:rStyle w:val="EndnoteReference"/>
        </w:rPr>
        <w:endnoteRef/>
      </w:r>
      <w:r w:rsidRPr="00941517">
        <w:t xml:space="preserve"> </w:t>
      </w:r>
      <w:r w:rsidRPr="00941517">
        <w:rPr>
          <w:lang w:val="en-GB"/>
        </w:rPr>
        <w:t>Priestley claimed that the Royal Society ‘shunned’ him ‘on account of his religious or political opinions’</w:t>
      </w:r>
      <w:r>
        <w:rPr>
          <w:lang w:val="en-GB"/>
        </w:rPr>
        <w:t>,</w:t>
      </w:r>
      <w:r w:rsidRPr="00941517">
        <w:rPr>
          <w:lang w:val="en-GB"/>
        </w:rPr>
        <w:t xml:space="preserve"> and ‘at length withdrew myself from them’</w:t>
      </w:r>
      <w:r>
        <w:rPr>
          <w:lang w:val="en-GB"/>
        </w:rPr>
        <w:t>.</w:t>
      </w:r>
      <w:r w:rsidRPr="00941517">
        <w:rPr>
          <w:lang w:val="en-GB"/>
        </w:rPr>
        <w:t xml:space="preserve"> See Priestley, </w:t>
      </w:r>
      <w:r w:rsidRPr="00941517">
        <w:rPr>
          <w:i/>
          <w:lang w:val="en-GB"/>
        </w:rPr>
        <w:t>Memoirs of the Rev. Joseph Priestley</w:t>
      </w:r>
      <w:r w:rsidRPr="00941517">
        <w:rPr>
          <w:lang w:val="en-GB"/>
        </w:rPr>
        <w:t xml:space="preserve"> (London: 1809), 108.</w:t>
      </w:r>
    </w:p>
  </w:endnote>
  <w:endnote w:id="8">
    <w:p w14:paraId="1D5A7FAB" w14:textId="11DC094E" w:rsidR="00274F86" w:rsidRPr="00941517" w:rsidRDefault="00274F86" w:rsidP="00D85213">
      <w:pPr>
        <w:pStyle w:val="EndnoteText"/>
        <w:spacing w:line="480" w:lineRule="auto"/>
        <w:rPr>
          <w:lang w:val="en-GB"/>
        </w:rPr>
      </w:pPr>
      <w:r w:rsidRPr="00941517">
        <w:rPr>
          <w:rStyle w:val="EndnoteReference"/>
        </w:rPr>
        <w:endnoteRef/>
      </w:r>
      <w:r w:rsidRPr="00941517">
        <w:t xml:space="preserve"> </w:t>
      </w:r>
      <w:r w:rsidRPr="00941517">
        <w:rPr>
          <w:lang w:eastAsia="en-GB"/>
        </w:rPr>
        <w:t xml:space="preserve">John Aikin, </w:t>
      </w:r>
      <w:r w:rsidRPr="00941517">
        <w:rPr>
          <w:i/>
          <w:lang w:eastAsia="en-GB"/>
        </w:rPr>
        <w:t>A Description of the Country from Thirty to Forty Miles around Manchester</w:t>
      </w:r>
      <w:r w:rsidRPr="00941517">
        <w:rPr>
          <w:lang w:eastAsia="en-GB"/>
        </w:rPr>
        <w:t xml:space="preserve"> (London: 1795), 191.</w:t>
      </w:r>
    </w:p>
  </w:endnote>
  <w:endnote w:id="9">
    <w:p w14:paraId="5C9540C2" w14:textId="59AB2548" w:rsidR="00274F86" w:rsidRPr="00941517" w:rsidRDefault="00274F86" w:rsidP="00AD29D8">
      <w:pPr>
        <w:spacing w:line="480" w:lineRule="auto"/>
        <w:rPr>
          <w:lang w:val="en-GB"/>
        </w:rPr>
      </w:pPr>
      <w:r w:rsidRPr="00941517">
        <w:rPr>
          <w:rStyle w:val="EndnoteReference"/>
        </w:rPr>
        <w:endnoteRef/>
      </w:r>
      <w:r w:rsidRPr="00941517">
        <w:t xml:space="preserve"> </w:t>
      </w:r>
      <w:r w:rsidRPr="00941517">
        <w:rPr>
          <w:lang w:val="en-GB"/>
        </w:rPr>
        <w:t xml:space="preserve">See </w:t>
      </w:r>
      <w:r w:rsidRPr="00941517">
        <w:t>Thackray’s article, note 6 above; Roy</w:t>
      </w:r>
      <w:r w:rsidRPr="00941517">
        <w:rPr>
          <w:lang w:val="en-GB"/>
        </w:rPr>
        <w:t xml:space="preserve"> Porter, </w:t>
      </w:r>
      <w:r w:rsidRPr="00941517">
        <w:t xml:space="preserve">‘Science, </w:t>
      </w:r>
      <w:r>
        <w:t>P</w:t>
      </w:r>
      <w:r w:rsidRPr="00941517">
        <w:t xml:space="preserve">rovincial </w:t>
      </w:r>
      <w:r>
        <w:t>C</w:t>
      </w:r>
      <w:r w:rsidRPr="00941517">
        <w:t xml:space="preserve">ulture and </w:t>
      </w:r>
      <w:r>
        <w:t>P</w:t>
      </w:r>
      <w:r w:rsidRPr="00941517">
        <w:t xml:space="preserve">ublic </w:t>
      </w:r>
      <w:r>
        <w:t>O</w:t>
      </w:r>
      <w:r w:rsidRPr="00941517">
        <w:t xml:space="preserve">pinion in </w:t>
      </w:r>
      <w:r>
        <w:t>E</w:t>
      </w:r>
      <w:r w:rsidRPr="00941517">
        <w:t xml:space="preserve">nlightenment England’, </w:t>
      </w:r>
      <w:r w:rsidRPr="00941517">
        <w:rPr>
          <w:i/>
        </w:rPr>
        <w:t>British Journal for Eighteenth Century Studies</w:t>
      </w:r>
      <w:r w:rsidRPr="00941517">
        <w:t xml:space="preserve">, 3 (1980) 20-46; Joel Mokyr, </w:t>
      </w:r>
      <w:r w:rsidRPr="00941517">
        <w:rPr>
          <w:i/>
        </w:rPr>
        <w:t>The Enlightened Economy: Britain and the Industrial Revolution, 1700-1850</w:t>
      </w:r>
      <w:r w:rsidRPr="00941517">
        <w:t xml:space="preserve"> (New Haven: Yale University Press, 2009); and Margaret Jacob, </w:t>
      </w:r>
      <w:r w:rsidRPr="00941517">
        <w:rPr>
          <w:i/>
        </w:rPr>
        <w:t>The First Knowledge Economy: Human Capital and the European Economy, 1750-1850</w:t>
      </w:r>
      <w:r w:rsidRPr="00941517">
        <w:t xml:space="preserve"> (Cambridge: Cambridge University Press, 2014).</w:t>
      </w:r>
    </w:p>
  </w:endnote>
  <w:endnote w:id="10">
    <w:p w14:paraId="33E08476" w14:textId="03804703" w:rsidR="00274F86" w:rsidRPr="00AE1839" w:rsidRDefault="00274F86" w:rsidP="00B903BF">
      <w:pPr>
        <w:autoSpaceDE w:val="0"/>
        <w:autoSpaceDN w:val="0"/>
        <w:adjustRightInd w:val="0"/>
        <w:spacing w:line="480" w:lineRule="auto"/>
        <w:rPr>
          <w:sz w:val="19"/>
          <w:szCs w:val="19"/>
        </w:rPr>
      </w:pPr>
      <w:r w:rsidRPr="00941517">
        <w:rPr>
          <w:rStyle w:val="EndnoteReference"/>
        </w:rPr>
        <w:endnoteRef/>
      </w:r>
      <w:r w:rsidRPr="00941517">
        <w:t xml:space="preserve"> De Quincey began developing this opposition as early as the 1823, when he published his ‘Letters to a Young Man whose Education has been Neglected’</w:t>
      </w:r>
      <w:r>
        <w:t>.</w:t>
      </w:r>
      <w:r w:rsidRPr="00941517">
        <w:t xml:space="preserve"> </w:t>
      </w:r>
      <w:r>
        <w:t>See</w:t>
      </w:r>
      <w:r w:rsidRPr="00941517">
        <w:rPr>
          <w:lang w:val="en-GB"/>
        </w:rPr>
        <w:t>, X.48</w:t>
      </w:r>
      <w:r w:rsidRPr="00941517">
        <w:t xml:space="preserve">. </w:t>
      </w:r>
      <w:r>
        <w:t>His famous</w:t>
      </w:r>
      <w:r w:rsidRPr="00941517">
        <w:t xml:space="preserve"> elaboration appeared in a review of an edition of Pope edited by Roscoe. De Quincey offered it as a categorical difference between the fine and the mechanical arts, especially the improvability of the steam engine as opposed to the singularity of ‘power’ as the expression of ‘sympathy with the infinite</w:t>
      </w:r>
      <w:r w:rsidRPr="00AE1839">
        <w:t>’</w:t>
      </w:r>
      <w:r>
        <w:t>.</w:t>
      </w:r>
      <w:r w:rsidRPr="00941517">
        <w:t xml:space="preserve"> See</w:t>
      </w:r>
      <w:r w:rsidRPr="00941517">
        <w:rPr>
          <w:lang w:val="en-GB"/>
        </w:rPr>
        <w:t xml:space="preserve"> </w:t>
      </w:r>
      <w:r w:rsidRPr="00941517">
        <w:rPr>
          <w:i/>
          <w:lang w:val="en-GB"/>
        </w:rPr>
        <w:t>Collected Writings of Thomas de Quincey</w:t>
      </w:r>
      <w:r w:rsidRPr="00941517">
        <w:rPr>
          <w:lang w:val="en-GB"/>
        </w:rPr>
        <w:t xml:space="preserve">, ed. David Masson (Edinburgh: A. and C. Black, (1889-90), </w:t>
      </w:r>
      <w:r w:rsidRPr="00941517">
        <w:rPr>
          <w:i/>
          <w:lang w:val="en-GB"/>
        </w:rPr>
        <w:t xml:space="preserve"> </w:t>
      </w:r>
      <w:r w:rsidRPr="00941517">
        <w:t xml:space="preserve">XI.56 and 57-8. </w:t>
      </w:r>
    </w:p>
  </w:endnote>
  <w:endnote w:id="11">
    <w:p w14:paraId="71A5E9CB" w14:textId="16AAB056" w:rsidR="00274F86" w:rsidRPr="00941517" w:rsidRDefault="00274F86" w:rsidP="001D166F">
      <w:pPr>
        <w:pStyle w:val="EndnoteText"/>
        <w:spacing w:line="480" w:lineRule="auto"/>
        <w:rPr>
          <w:lang w:val="en-GB"/>
        </w:rPr>
      </w:pPr>
      <w:r w:rsidRPr="00941517">
        <w:rPr>
          <w:rStyle w:val="EndnoteReference"/>
        </w:rPr>
        <w:endnoteRef/>
      </w:r>
      <w:r w:rsidRPr="00941517">
        <w:t xml:space="preserve"> </w:t>
      </w:r>
      <w:r w:rsidRPr="00941517">
        <w:rPr>
          <w:lang w:val="en-GB"/>
        </w:rPr>
        <w:t xml:space="preserve">De Quincey’s treatment of Percival was </w:t>
      </w:r>
      <w:r w:rsidR="00907BE9">
        <w:rPr>
          <w:lang w:val="en-GB"/>
        </w:rPr>
        <w:t>kinder</w:t>
      </w:r>
      <w:r w:rsidRPr="00941517">
        <w:rPr>
          <w:lang w:val="en-GB"/>
        </w:rPr>
        <w:t xml:space="preserve"> than </w:t>
      </w:r>
      <w:r w:rsidR="00907BE9">
        <w:rPr>
          <w:lang w:val="en-GB"/>
        </w:rPr>
        <w:t xml:space="preserve">his account </w:t>
      </w:r>
      <w:r w:rsidRPr="00941517">
        <w:rPr>
          <w:lang w:val="en-GB"/>
        </w:rPr>
        <w:t xml:space="preserve">of the Liverpool circle. He enjoyed telling the story of Percival shocking his mother by reading from correspondence with </w:t>
      </w:r>
      <w:r w:rsidR="00907BE9">
        <w:rPr>
          <w:lang w:val="en-GB"/>
        </w:rPr>
        <w:t>freethinkers</w:t>
      </w:r>
      <w:r w:rsidRPr="00941517">
        <w:rPr>
          <w:lang w:val="en-GB"/>
        </w:rPr>
        <w:t xml:space="preserve"> in France, and misremembered, somewhat maliciously, the title of Percival’s most famous book (see note 17 below), but then recalled one of its tales as ‘</w:t>
      </w:r>
      <w:r w:rsidRPr="00941517">
        <w:rPr>
          <w:rFonts w:eastAsia="Times New Roman"/>
          <w:bdr w:val="none" w:sz="0" w:space="0" w:color="auto" w:frame="1"/>
          <w:lang w:val="en-GB"/>
        </w:rPr>
        <w:t>deep and memorable: my sister wept over it and wept over the remembrance of it’</w:t>
      </w:r>
      <w:r>
        <w:rPr>
          <w:rFonts w:eastAsia="Times New Roman"/>
          <w:bdr w:val="none" w:sz="0" w:space="0" w:color="auto" w:frame="1"/>
          <w:lang w:val="en-GB"/>
        </w:rPr>
        <w:t>. See</w:t>
      </w:r>
      <w:r w:rsidRPr="00941517">
        <w:rPr>
          <w:lang w:val="en-GB"/>
        </w:rPr>
        <w:t xml:space="preserve"> </w:t>
      </w:r>
      <w:r w:rsidRPr="00941517">
        <w:rPr>
          <w:i/>
          <w:lang w:val="en-GB"/>
        </w:rPr>
        <w:t>Collected Writings</w:t>
      </w:r>
      <w:r w:rsidRPr="00941517">
        <w:rPr>
          <w:lang w:val="en-GB"/>
        </w:rPr>
        <w:t>, I.131.</w:t>
      </w:r>
    </w:p>
  </w:endnote>
  <w:endnote w:id="12">
    <w:p w14:paraId="0821CE82" w14:textId="61057088" w:rsidR="00274F86" w:rsidRPr="00941517" w:rsidRDefault="00274F86" w:rsidP="00F96339">
      <w:pPr>
        <w:pStyle w:val="EndnoteText"/>
        <w:spacing w:line="480" w:lineRule="auto"/>
        <w:rPr>
          <w:lang w:val="en-GB"/>
        </w:rPr>
      </w:pPr>
      <w:r w:rsidRPr="00941517">
        <w:rPr>
          <w:rStyle w:val="EndnoteReference"/>
        </w:rPr>
        <w:endnoteRef/>
      </w:r>
      <w:r w:rsidRPr="00941517">
        <w:t xml:space="preserve"> ‘A Manchester Swedenborgian and A Liverpool Literary Coterie’</w:t>
      </w:r>
      <w:r>
        <w:t>,</w:t>
      </w:r>
      <w:r w:rsidRPr="00941517">
        <w:t xml:space="preserve"> </w:t>
      </w:r>
      <w:r w:rsidRPr="00941517">
        <w:rPr>
          <w:i/>
        </w:rPr>
        <w:t>Collected Writings</w:t>
      </w:r>
      <w:r w:rsidRPr="00941517">
        <w:t>, II.123 and 129.</w:t>
      </w:r>
    </w:p>
  </w:endnote>
  <w:endnote w:id="13">
    <w:p w14:paraId="72AA25C6" w14:textId="41309564" w:rsidR="00274F86" w:rsidRPr="00941517" w:rsidRDefault="00274F86" w:rsidP="0014185B">
      <w:pPr>
        <w:spacing w:line="480" w:lineRule="auto"/>
      </w:pPr>
      <w:r w:rsidRPr="00941517">
        <w:rPr>
          <w:rStyle w:val="EndnoteReference"/>
        </w:rPr>
        <w:endnoteRef/>
      </w:r>
      <w:r w:rsidRPr="00941517">
        <w:t xml:space="preserve"> Daniel Sanjiv Roberts, </w:t>
      </w:r>
      <w:r w:rsidRPr="00941517">
        <w:rPr>
          <w:i/>
        </w:rPr>
        <w:t>Revisionary Gleam: De Quincey, Coleridge, and the High Romantic Argument</w:t>
      </w:r>
      <w:r w:rsidRPr="00941517">
        <w:t xml:space="preserve"> (Liverpool: Liverpool University Press, 2000), 73 and 77-8.</w:t>
      </w:r>
    </w:p>
  </w:endnote>
  <w:endnote w:id="14">
    <w:p w14:paraId="04780A1B" w14:textId="28BAEB79" w:rsidR="00274F86" w:rsidRPr="00941517" w:rsidRDefault="00274F86" w:rsidP="00AD29D8">
      <w:pPr>
        <w:pStyle w:val="EndnoteText"/>
        <w:spacing w:line="480" w:lineRule="auto"/>
        <w:rPr>
          <w:lang w:val="en-GB"/>
        </w:rPr>
      </w:pPr>
      <w:r w:rsidRPr="00941517">
        <w:rPr>
          <w:rStyle w:val="EndnoteReference"/>
        </w:rPr>
        <w:endnoteRef/>
      </w:r>
      <w:r w:rsidRPr="00941517">
        <w:t xml:space="preserve"> ‘The Diary of Thomas De Quincey’, Liverpool Record Office, </w:t>
      </w:r>
      <w:r w:rsidRPr="001B7A8C">
        <w:rPr>
          <w:rFonts w:eastAsia="Times New Roman"/>
          <w:shd w:val="clear" w:color="auto" w:fill="FFFFFF"/>
        </w:rPr>
        <w:t>920 MD 424/1</w:t>
      </w:r>
      <w:r w:rsidRPr="00941517">
        <w:t xml:space="preserve">. </w:t>
      </w:r>
    </w:p>
  </w:endnote>
  <w:endnote w:id="15">
    <w:p w14:paraId="42200372" w14:textId="41485609" w:rsidR="00274F86" w:rsidRPr="00941517" w:rsidRDefault="00274F86" w:rsidP="0092558F">
      <w:pPr>
        <w:pStyle w:val="EndnoteText"/>
        <w:spacing w:line="480" w:lineRule="auto"/>
        <w:rPr>
          <w:lang w:val="en-GB"/>
        </w:rPr>
      </w:pPr>
      <w:r w:rsidRPr="00941517">
        <w:rPr>
          <w:rStyle w:val="EndnoteReference"/>
        </w:rPr>
        <w:endnoteRef/>
      </w:r>
      <w:r w:rsidRPr="00941517">
        <w:t xml:space="preserve"> Mokyr, </w:t>
      </w:r>
      <w:r w:rsidRPr="00941517">
        <w:rPr>
          <w:i/>
        </w:rPr>
        <w:t>Enlightened Economy</w:t>
      </w:r>
      <w:r w:rsidRPr="00941517">
        <w:t>, 33.</w:t>
      </w:r>
    </w:p>
  </w:endnote>
  <w:endnote w:id="16">
    <w:p w14:paraId="57F4F58C" w14:textId="72AF7276" w:rsidR="00274F86" w:rsidRPr="00941517" w:rsidRDefault="00274F86" w:rsidP="00AD29D8">
      <w:pPr>
        <w:pStyle w:val="EndnoteText"/>
        <w:spacing w:line="480" w:lineRule="auto"/>
        <w:rPr>
          <w:lang w:val="en-GB"/>
        </w:rPr>
      </w:pPr>
      <w:r w:rsidRPr="00941517">
        <w:rPr>
          <w:rStyle w:val="EndnoteReference"/>
        </w:rPr>
        <w:endnoteRef/>
      </w:r>
      <w:r w:rsidRPr="00941517">
        <w:t xml:space="preserve"> </w:t>
      </w:r>
      <w:r w:rsidRPr="00941517">
        <w:rPr>
          <w:lang w:val="en-GB"/>
        </w:rPr>
        <w:t xml:space="preserve">Thomas Percival, </w:t>
      </w:r>
      <w:r w:rsidRPr="00941517">
        <w:rPr>
          <w:i/>
          <w:lang w:val="en-GB"/>
        </w:rPr>
        <w:t>A Father’s Instructions to his Children</w:t>
      </w:r>
      <w:r w:rsidRPr="00941517">
        <w:rPr>
          <w:lang w:val="en-GB"/>
        </w:rPr>
        <w:t xml:space="preserve"> (London, 1776) was published by Johnson </w:t>
      </w:r>
      <w:r w:rsidR="00907BE9">
        <w:rPr>
          <w:lang w:val="en-GB"/>
        </w:rPr>
        <w:t>over</w:t>
      </w:r>
      <w:r w:rsidR="00907BE9" w:rsidRPr="00941517">
        <w:rPr>
          <w:lang w:val="en-GB"/>
        </w:rPr>
        <w:t xml:space="preserve"> </w:t>
      </w:r>
      <w:r w:rsidRPr="00941517">
        <w:rPr>
          <w:lang w:val="en-GB"/>
        </w:rPr>
        <w:t xml:space="preserve">several editions with William Eyres at Warrington, publisher of the early volumes of the Manchester </w:t>
      </w:r>
      <w:r w:rsidRPr="00941517">
        <w:rPr>
          <w:i/>
          <w:lang w:val="en-GB"/>
        </w:rPr>
        <w:t>Memoirs</w:t>
      </w:r>
      <w:r w:rsidRPr="00941517">
        <w:rPr>
          <w:lang w:val="en-GB"/>
        </w:rPr>
        <w:t xml:space="preserve">. </w:t>
      </w:r>
    </w:p>
  </w:endnote>
  <w:endnote w:id="17">
    <w:p w14:paraId="108B6326" w14:textId="249D8E5E" w:rsidR="00274F86" w:rsidRPr="00941517" w:rsidRDefault="00274F86" w:rsidP="006A3F5A">
      <w:pPr>
        <w:pStyle w:val="EndnoteText"/>
        <w:spacing w:line="480" w:lineRule="auto"/>
        <w:rPr>
          <w:lang w:val="en-GB"/>
        </w:rPr>
      </w:pPr>
      <w:r w:rsidRPr="00941517">
        <w:rPr>
          <w:rStyle w:val="EndnoteReference"/>
        </w:rPr>
        <w:endnoteRef/>
      </w:r>
      <w:r w:rsidRPr="00941517">
        <w:t xml:space="preserve"> Mokyr, </w:t>
      </w:r>
      <w:r w:rsidRPr="00941517">
        <w:rPr>
          <w:i/>
        </w:rPr>
        <w:t>Enlightened Economy</w:t>
      </w:r>
      <w:r w:rsidRPr="00941517">
        <w:t>, 33.</w:t>
      </w:r>
    </w:p>
  </w:endnote>
  <w:endnote w:id="18">
    <w:p w14:paraId="4E9257BE" w14:textId="7BC43275" w:rsidR="00274F86" w:rsidRPr="00941517" w:rsidRDefault="00274F86" w:rsidP="00A22DE1">
      <w:pPr>
        <w:spacing w:line="480" w:lineRule="auto"/>
        <w:rPr>
          <w:lang w:val="en-GB"/>
        </w:rPr>
      </w:pPr>
      <w:r w:rsidRPr="00941517">
        <w:rPr>
          <w:rStyle w:val="EndnoteReference"/>
        </w:rPr>
        <w:endnoteRef/>
      </w:r>
      <w:r w:rsidRPr="00941517">
        <w:t xml:space="preserve"> See Francis Nicholson, ‘The Literary and Philosophical Society 1781-1851</w:t>
      </w:r>
      <w:r w:rsidRPr="00AE1839">
        <w:t>’</w:t>
      </w:r>
      <w:r>
        <w:t>,</w:t>
      </w:r>
      <w:r w:rsidRPr="00AE1839">
        <w:t xml:space="preserve"> </w:t>
      </w:r>
      <w:r w:rsidRPr="00941517">
        <w:rPr>
          <w:i/>
        </w:rPr>
        <w:t>Memoirs of the Literary and Philosophical Society</w:t>
      </w:r>
      <w:r w:rsidRPr="00941517">
        <w:t>,</w:t>
      </w:r>
      <w:r w:rsidRPr="00941517" w:rsidDel="003F2725">
        <w:rPr>
          <w:i/>
        </w:rPr>
        <w:t xml:space="preserve"> </w:t>
      </w:r>
      <w:r w:rsidRPr="00941517">
        <w:rPr>
          <w:lang w:val="en-GB" w:eastAsia="en-GB"/>
        </w:rPr>
        <w:t>68 (1924), 105</w:t>
      </w:r>
      <w:r w:rsidR="00907BE9">
        <w:rPr>
          <w:lang w:val="en-GB" w:eastAsia="en-GB"/>
        </w:rPr>
        <w:t xml:space="preserve">, and </w:t>
      </w:r>
      <w:r w:rsidR="00907BE9" w:rsidRPr="000F01EB">
        <w:rPr>
          <w:rFonts w:cs="Helvetica Neue"/>
        </w:rPr>
        <w:t>Pauline Handforth, ‘Manchester Radical Politics, 1789-94’</w:t>
      </w:r>
      <w:r w:rsidR="00907BE9">
        <w:rPr>
          <w:rFonts w:cs="Helvetica Neue"/>
        </w:rPr>
        <w:t>,</w:t>
      </w:r>
      <w:r w:rsidR="00907BE9" w:rsidRPr="000F01EB">
        <w:rPr>
          <w:rFonts w:cs="Helvetica Neue"/>
        </w:rPr>
        <w:t xml:space="preserve"> </w:t>
      </w:r>
      <w:r w:rsidR="00907BE9" w:rsidRPr="000F01EB">
        <w:rPr>
          <w:rFonts w:cs="Helvetica Neue"/>
          <w:i/>
        </w:rPr>
        <w:t>Transactions of the Lancashire and Cheshire Antiquarian Society</w:t>
      </w:r>
      <w:r w:rsidR="00907BE9" w:rsidRPr="000F01EB">
        <w:rPr>
          <w:rFonts w:cs="Helvetica Neue"/>
        </w:rPr>
        <w:t xml:space="preserve"> 66 (1956)</w:t>
      </w:r>
      <w:r w:rsidR="00907BE9">
        <w:rPr>
          <w:rFonts w:cs="Helvetica Neue"/>
        </w:rPr>
        <w:t>,</w:t>
      </w:r>
      <w:r w:rsidR="00907BE9" w:rsidRPr="000F01EB">
        <w:rPr>
          <w:rFonts w:cs="Helvetica Neue"/>
        </w:rPr>
        <w:t xml:space="preserve"> 87-106</w:t>
      </w:r>
      <w:r w:rsidRPr="00941517">
        <w:rPr>
          <w:lang w:val="en-GB" w:eastAsia="en-GB"/>
        </w:rPr>
        <w:t xml:space="preserve">. </w:t>
      </w:r>
      <w:r w:rsidRPr="00941517">
        <w:t>Percival remained in the society</w:t>
      </w:r>
      <w:r w:rsidR="00907BE9">
        <w:t>,</w:t>
      </w:r>
      <w:r w:rsidRPr="00941517">
        <w:t xml:space="preserve"> as did John Ferriar and Samuel Greg. </w:t>
      </w:r>
      <w:r w:rsidR="00907BE9">
        <w:t xml:space="preserve">Thomas </w:t>
      </w:r>
      <w:r w:rsidRPr="00941517">
        <w:t>Cooper resign</w:t>
      </w:r>
      <w:r w:rsidR="00907BE9">
        <w:t>ed</w:t>
      </w:r>
      <w:r w:rsidRPr="00941517">
        <w:t xml:space="preserve"> and </w:t>
      </w:r>
      <w:r>
        <w:t xml:space="preserve">shortly afterwards </w:t>
      </w:r>
      <w:r w:rsidRPr="00941517">
        <w:t>left for the United States with Priestley.</w:t>
      </w:r>
      <w:r w:rsidRPr="001B7A8C">
        <w:rPr>
          <w:rFonts w:cs="Helvetica Neue"/>
          <w:sz w:val="34"/>
          <w:szCs w:val="34"/>
        </w:rPr>
        <w:t xml:space="preserve"> </w:t>
      </w:r>
      <w:r w:rsidRPr="00941517">
        <w:rPr>
          <w:lang w:val="en-GB" w:eastAsia="en-GB"/>
        </w:rPr>
        <w:t xml:space="preserve">Currie wrote to Percival in </w:t>
      </w:r>
      <w:r w:rsidRPr="00941517">
        <w:t>November 1791: ‘I heard the decision at Manchester with great regret, as well as its consequences. Some hesitation I would have felt on the propriety of bringing forward the subject at all; but as it was brought forward, at any case I should have assuredly voted for such an address as you would have proposed, which I think would have done the society honour’</w:t>
      </w:r>
      <w:r>
        <w:t>.</w:t>
      </w:r>
      <w:r w:rsidRPr="00AE1839">
        <w:t xml:space="preserve"> See </w:t>
      </w:r>
      <w:r w:rsidRPr="00AE1839">
        <w:rPr>
          <w:i/>
        </w:rPr>
        <w:t>Memoir of the Life, Writings, and Corresponde</w:t>
      </w:r>
      <w:r w:rsidRPr="00941517">
        <w:rPr>
          <w:i/>
        </w:rPr>
        <w:t>nce of James Currie</w:t>
      </w:r>
      <w:r w:rsidRPr="00941517">
        <w:t xml:space="preserve">, ed. W. W. Currie, 2 vols (London: 1831), II.69-70. </w:t>
      </w:r>
    </w:p>
  </w:endnote>
  <w:endnote w:id="19">
    <w:p w14:paraId="145F72BD" w14:textId="74FA77B7" w:rsidR="00274F86" w:rsidRPr="001D74AC" w:rsidRDefault="00274F86" w:rsidP="001D74AC">
      <w:pPr>
        <w:pStyle w:val="EndnoteText"/>
        <w:spacing w:line="480" w:lineRule="auto"/>
        <w:rPr>
          <w:lang w:val="en-GB"/>
        </w:rPr>
      </w:pPr>
      <w:r>
        <w:rPr>
          <w:rStyle w:val="EndnoteReference"/>
        </w:rPr>
        <w:endnoteRef/>
      </w:r>
      <w:r>
        <w:t xml:space="preserve"> </w:t>
      </w:r>
      <w:r w:rsidRPr="00941517">
        <w:t>See Thomas Henry, ‘On the Advantages of Literature and Philosophy in General’</w:t>
      </w:r>
      <w:r>
        <w:t>,</w:t>
      </w:r>
      <w:r w:rsidRPr="00AE1839">
        <w:t xml:space="preserve"> </w:t>
      </w:r>
      <w:r w:rsidRPr="00AE1839">
        <w:rPr>
          <w:i/>
        </w:rPr>
        <w:t>Memoirs of the Literary and Philosophical Society</w:t>
      </w:r>
      <w:r w:rsidRPr="00AE1839">
        <w:t xml:space="preserve"> 1 (1785), 18</w:t>
      </w:r>
      <w:r>
        <w:t>.</w:t>
      </w:r>
    </w:p>
  </w:endnote>
  <w:endnote w:id="20">
    <w:p w14:paraId="4DFCA14D" w14:textId="65E5EA0A" w:rsidR="00274F86" w:rsidRPr="00941517" w:rsidRDefault="00274F86" w:rsidP="00530BF7">
      <w:pPr>
        <w:pStyle w:val="EndnoteText"/>
        <w:spacing w:line="480" w:lineRule="auto"/>
        <w:rPr>
          <w:lang w:val="en-GB"/>
        </w:rPr>
      </w:pPr>
      <w:r w:rsidRPr="00941517">
        <w:rPr>
          <w:rStyle w:val="EndnoteReference"/>
        </w:rPr>
        <w:endnoteRef/>
      </w:r>
      <w:r>
        <w:t xml:space="preserve"> </w:t>
      </w:r>
      <w:r w:rsidRPr="00AE1839">
        <w:rPr>
          <w:lang w:val="en-GB"/>
        </w:rPr>
        <w:t xml:space="preserve">John Ferriar, </w:t>
      </w:r>
      <w:r w:rsidRPr="00AE1839">
        <w:rPr>
          <w:i/>
          <w:lang w:val="en-GB"/>
        </w:rPr>
        <w:t xml:space="preserve">The Prince of Angola: A Tragedy </w:t>
      </w:r>
      <w:r>
        <w:rPr>
          <w:i/>
          <w:lang w:val="en-GB"/>
        </w:rPr>
        <w:t>A</w:t>
      </w:r>
      <w:r w:rsidRPr="00AE1839">
        <w:rPr>
          <w:i/>
          <w:lang w:val="en-GB"/>
        </w:rPr>
        <w:t xml:space="preserve">ltered from the Play of Oroonoko </w:t>
      </w:r>
      <w:r w:rsidRPr="00AE1839">
        <w:rPr>
          <w:lang w:val="en-GB"/>
        </w:rPr>
        <w:t>(Manchester: 1788), viii.</w:t>
      </w:r>
    </w:p>
  </w:endnote>
  <w:endnote w:id="21">
    <w:p w14:paraId="0C2853F3" w14:textId="3B3F3D47" w:rsidR="00274F86" w:rsidRPr="00941517" w:rsidRDefault="00274F86" w:rsidP="006A3F5A">
      <w:pPr>
        <w:pStyle w:val="EndnoteText"/>
        <w:spacing w:line="480" w:lineRule="auto"/>
        <w:rPr>
          <w:lang w:val="en-GB"/>
        </w:rPr>
      </w:pPr>
      <w:r w:rsidRPr="00941517">
        <w:rPr>
          <w:rStyle w:val="EndnoteReference"/>
        </w:rPr>
        <w:endnoteRef/>
      </w:r>
      <w:r w:rsidRPr="00941517">
        <w:t xml:space="preserve"> </w:t>
      </w:r>
      <w:r w:rsidRPr="00941517">
        <w:rPr>
          <w:lang w:val="en-GB"/>
        </w:rPr>
        <w:t xml:space="preserve">Arianne Chernock, </w:t>
      </w:r>
      <w:r w:rsidRPr="00941517">
        <w:rPr>
          <w:i/>
          <w:lang w:val="en-GB"/>
        </w:rPr>
        <w:t>Men and the Making of Modern British Feminism</w:t>
      </w:r>
      <w:r w:rsidRPr="00941517">
        <w:rPr>
          <w:lang w:val="en-GB"/>
        </w:rPr>
        <w:t xml:space="preserve"> (Stanford: Stanford University Press, 2010), 23.</w:t>
      </w:r>
    </w:p>
  </w:endnote>
  <w:endnote w:id="22">
    <w:p w14:paraId="409C13C9" w14:textId="64716DDB" w:rsidR="00274F86" w:rsidRPr="000F01EB" w:rsidRDefault="00274F86" w:rsidP="000F01EB">
      <w:pPr>
        <w:pStyle w:val="EndnoteText"/>
        <w:spacing w:line="480" w:lineRule="auto"/>
        <w:rPr>
          <w:lang w:val="en-GB"/>
        </w:rPr>
      </w:pPr>
      <w:r>
        <w:rPr>
          <w:rStyle w:val="EndnoteReference"/>
        </w:rPr>
        <w:endnoteRef/>
      </w:r>
      <w:r>
        <w:t xml:space="preserve"> </w:t>
      </w:r>
      <w:r w:rsidRPr="00941517">
        <w:rPr>
          <w:lang w:val="en-GB"/>
        </w:rPr>
        <w:t xml:space="preserve">See </w:t>
      </w:r>
      <w:r>
        <w:rPr>
          <w:lang w:val="en-GB"/>
        </w:rPr>
        <w:t xml:space="preserve">Thomas </w:t>
      </w:r>
      <w:r w:rsidRPr="00941517">
        <w:rPr>
          <w:lang w:val="en-GB"/>
        </w:rPr>
        <w:t xml:space="preserve">Cooper, </w:t>
      </w:r>
      <w:r w:rsidRPr="00941517">
        <w:t>‘Propositions respecting the Foundation of Civil Government</w:t>
      </w:r>
      <w:r w:rsidRPr="00AE1839">
        <w:t>’</w:t>
      </w:r>
      <w:r>
        <w:t>,</w:t>
      </w:r>
      <w:r w:rsidRPr="00AE1839">
        <w:rPr>
          <w:lang w:val="en-GB"/>
        </w:rPr>
        <w:t xml:space="preserve"> </w:t>
      </w:r>
      <w:r w:rsidRPr="00AE1839">
        <w:rPr>
          <w:i/>
          <w:lang w:val="en-GB"/>
        </w:rPr>
        <w:t>Memoirs of the Literary and Philosophical Society</w:t>
      </w:r>
      <w:r w:rsidRPr="00AE1839">
        <w:rPr>
          <w:lang w:val="en-GB"/>
        </w:rPr>
        <w:t>, 3 (1790), 491</w:t>
      </w:r>
      <w:r>
        <w:rPr>
          <w:lang w:val="en-GB"/>
        </w:rPr>
        <w:t>.</w:t>
      </w:r>
    </w:p>
  </w:endnote>
  <w:endnote w:id="23">
    <w:p w14:paraId="02295637" w14:textId="472378A3" w:rsidR="00274F86" w:rsidRPr="00941517" w:rsidRDefault="00274F86" w:rsidP="001D74AC">
      <w:pPr>
        <w:spacing w:line="480" w:lineRule="auto"/>
        <w:rPr>
          <w:lang w:val="en-GB"/>
        </w:rPr>
      </w:pPr>
      <w:r w:rsidRPr="00941517">
        <w:rPr>
          <w:rStyle w:val="EndnoteReference"/>
        </w:rPr>
        <w:endnoteRef/>
      </w:r>
      <w:r w:rsidRPr="00941517">
        <w:t xml:space="preserve"> </w:t>
      </w:r>
      <w:r w:rsidRPr="00941517">
        <w:rPr>
          <w:lang w:val="en-GB"/>
        </w:rPr>
        <w:t xml:space="preserve">See Cooper, </w:t>
      </w:r>
      <w:r w:rsidRPr="00941517">
        <w:t>‘</w:t>
      </w:r>
      <w:r w:rsidRPr="000F01EB">
        <w:rPr>
          <w:i/>
        </w:rPr>
        <w:t>Reply to Mr. Burke's invective against Mr. Cooper, and Mr. Watt, in the House of Commons</w:t>
      </w:r>
      <w:r w:rsidRPr="000F01EB">
        <w:t xml:space="preserve"> (London: 1792), 81.</w:t>
      </w:r>
    </w:p>
  </w:endnote>
  <w:endnote w:id="24">
    <w:p w14:paraId="06DD33A8" w14:textId="7EBFE123" w:rsidR="00274F86" w:rsidRPr="00AE1839" w:rsidRDefault="00274F86" w:rsidP="004F0A1F">
      <w:pPr>
        <w:spacing w:line="480" w:lineRule="auto"/>
      </w:pPr>
      <w:r w:rsidRPr="00941517">
        <w:rPr>
          <w:rStyle w:val="EndnoteReference"/>
        </w:rPr>
        <w:endnoteRef/>
      </w:r>
      <w:r w:rsidRPr="00941517">
        <w:t xml:space="preserve"> Phillips recanted his earlier ideas</w:t>
      </w:r>
      <w:r w:rsidR="000F01EB">
        <w:t xml:space="preserve">. </w:t>
      </w:r>
      <w:r w:rsidRPr="00941517">
        <w:t xml:space="preserve"> </w:t>
      </w:r>
      <w:r w:rsidR="000F01EB">
        <w:t>See</w:t>
      </w:r>
      <w:r w:rsidR="000F01EB" w:rsidRPr="00941517">
        <w:t xml:space="preserve"> </w:t>
      </w:r>
      <w:r w:rsidRPr="00941517">
        <w:t>his manuscript autobiography, written c. 1845, Warwickshire Record Office, MI 247</w:t>
      </w:r>
      <w:r w:rsidR="000F01EB">
        <w:t xml:space="preserve">, and </w:t>
      </w:r>
      <w:r w:rsidRPr="00941517">
        <w:t xml:space="preserve">David Brown, ‘From </w:t>
      </w:r>
      <w:r>
        <w:t>“</w:t>
      </w:r>
      <w:r w:rsidRPr="00941517">
        <w:t>Cotton Lord</w:t>
      </w:r>
      <w:r>
        <w:t>”</w:t>
      </w:r>
      <w:r w:rsidRPr="00941517">
        <w:t xml:space="preserve"> to Landed Aristocrat: The Rise of Sir George Phillips Bart., 1766-1847</w:t>
      </w:r>
      <w:r w:rsidRPr="00AE1839">
        <w:t>’</w:t>
      </w:r>
      <w:r>
        <w:t>,</w:t>
      </w:r>
      <w:r w:rsidRPr="00AE1839">
        <w:t xml:space="preserve"> </w:t>
      </w:r>
      <w:r w:rsidRPr="00AE1839">
        <w:rPr>
          <w:i/>
        </w:rPr>
        <w:t>Historical Research</w:t>
      </w:r>
      <w:r w:rsidRPr="00AE1839">
        <w:t>, 69 (1996)</w:t>
      </w:r>
      <w:r>
        <w:t>,</w:t>
      </w:r>
      <w:r w:rsidRPr="00AE1839">
        <w:t xml:space="preserve"> 66-82.</w:t>
      </w:r>
    </w:p>
  </w:endnote>
  <w:endnote w:id="25">
    <w:p w14:paraId="6F1365EF" w14:textId="7A213B0C" w:rsidR="00274F86" w:rsidRPr="00AE1839" w:rsidRDefault="00274F86" w:rsidP="006A3F5A">
      <w:pPr>
        <w:spacing w:line="480" w:lineRule="auto"/>
      </w:pPr>
      <w:r w:rsidRPr="00941517">
        <w:rPr>
          <w:rStyle w:val="EndnoteReference"/>
        </w:rPr>
        <w:endnoteRef/>
      </w:r>
      <w:r w:rsidRPr="00941517">
        <w:t xml:space="preserve"> </w:t>
      </w:r>
      <w:r w:rsidRPr="00941517">
        <w:rPr>
          <w:lang w:val="en-GB"/>
        </w:rPr>
        <w:t>Currie told Ann Duncan: ‘</w:t>
      </w:r>
      <w:r w:rsidRPr="00941517">
        <w:t>Of all society I must esteem that of men of sound sense and enlarged understandings; and next to that, I am fond of the company of women</w:t>
      </w:r>
      <w:r w:rsidRPr="00AE1839">
        <w:t>’</w:t>
      </w:r>
      <w:r>
        <w:t>.</w:t>
      </w:r>
      <w:r w:rsidRPr="00AE1839">
        <w:t xml:space="preserve"> See </w:t>
      </w:r>
      <w:r w:rsidRPr="00AE1839">
        <w:rPr>
          <w:i/>
        </w:rPr>
        <w:t xml:space="preserve">Memoir of </w:t>
      </w:r>
      <w:r>
        <w:rPr>
          <w:i/>
        </w:rPr>
        <w:t>.</w:t>
      </w:r>
      <w:r w:rsidRPr="00AE1839">
        <w:rPr>
          <w:i/>
        </w:rPr>
        <w:t>.. James Currie</w:t>
      </w:r>
      <w:r w:rsidRPr="00AE1839">
        <w:t xml:space="preserve">, I.58, and for the letter to Moore, ibid. II.141. </w:t>
      </w:r>
    </w:p>
  </w:endnote>
  <w:endnote w:id="26">
    <w:p w14:paraId="1B2538AD" w14:textId="0EA3F75A" w:rsidR="00274F86" w:rsidRPr="000F01EB" w:rsidRDefault="00274F86" w:rsidP="004379F6">
      <w:pPr>
        <w:spacing w:line="480" w:lineRule="auto"/>
        <w:rPr>
          <w:rFonts w:eastAsia="Times New Roman"/>
          <w:shd w:val="clear" w:color="auto" w:fill="FFFFFF"/>
          <w:lang w:val="en-GB"/>
        </w:rPr>
      </w:pPr>
      <w:r w:rsidRPr="00941517">
        <w:rPr>
          <w:rStyle w:val="EndnoteReference"/>
        </w:rPr>
        <w:endnoteRef/>
      </w:r>
      <w:r w:rsidRPr="00941517">
        <w:t xml:space="preserve"> The diary shows that she studied ‘Reid on the active Powers</w:t>
      </w:r>
      <w:r w:rsidRPr="00AE1839">
        <w:t xml:space="preserve">’ in August 1788. See ‘The Diary of Hannah Lightbody 1786/1770’, ed. David Sekers, </w:t>
      </w:r>
      <w:r w:rsidRPr="00941517">
        <w:rPr>
          <w:i/>
        </w:rPr>
        <w:t>Enlightenment and Dissent</w:t>
      </w:r>
      <w:r w:rsidRPr="00941517">
        <w:t xml:space="preserve">, 24 (2008), 13, 15, 79, 135-6. Currie reviewed Reid’s book for the </w:t>
      </w:r>
      <w:r w:rsidRPr="00941517">
        <w:rPr>
          <w:i/>
        </w:rPr>
        <w:t>Analytical Review</w:t>
      </w:r>
      <w:r w:rsidRPr="00941517">
        <w:t xml:space="preserve"> </w:t>
      </w:r>
      <w:r w:rsidRPr="00941517">
        <w:rPr>
          <w:lang w:val="en-GB"/>
        </w:rPr>
        <w:t>1 (June and August 1788), 145-53 and 521-9</w:t>
      </w:r>
      <w:r w:rsidRPr="00941517">
        <w:t xml:space="preserve">. </w:t>
      </w:r>
    </w:p>
  </w:endnote>
  <w:endnote w:id="27">
    <w:p w14:paraId="7DFC17DD" w14:textId="2F3193C8" w:rsidR="00274F86" w:rsidRPr="00941517" w:rsidRDefault="00274F86" w:rsidP="004379F6">
      <w:pPr>
        <w:pStyle w:val="EndnoteText"/>
        <w:spacing w:line="480" w:lineRule="auto"/>
        <w:rPr>
          <w:lang w:val="en-GB"/>
        </w:rPr>
      </w:pPr>
      <w:r w:rsidRPr="00941517">
        <w:rPr>
          <w:rStyle w:val="EndnoteReference"/>
        </w:rPr>
        <w:endnoteRef/>
      </w:r>
      <w:r w:rsidRPr="00941517">
        <w:t xml:space="preserve"> ‘Diary’</w:t>
      </w:r>
      <w:r>
        <w:t>,</w:t>
      </w:r>
      <w:r w:rsidRPr="00AE1839">
        <w:t xml:space="preserve"> 11. In this exchange that ran over several issues of </w:t>
      </w:r>
      <w:r w:rsidRPr="00AE1839">
        <w:rPr>
          <w:i/>
        </w:rPr>
        <w:t>The Gentleman’s Magazine</w:t>
      </w:r>
      <w:r w:rsidRPr="00941517">
        <w:t xml:space="preserve"> in 1786, Seward, a favourite author in these circles, defended the right of women to choose and interpret literature.</w:t>
      </w:r>
    </w:p>
  </w:endnote>
  <w:endnote w:id="28">
    <w:p w14:paraId="4B2C8361" w14:textId="7BA3B43A" w:rsidR="00274F86" w:rsidRPr="00941517" w:rsidRDefault="00274F86" w:rsidP="00BE7233">
      <w:pPr>
        <w:pStyle w:val="EndnoteText"/>
        <w:spacing w:line="480" w:lineRule="auto"/>
        <w:rPr>
          <w:lang w:val="en-GB"/>
        </w:rPr>
      </w:pPr>
      <w:r w:rsidRPr="00941517">
        <w:rPr>
          <w:rStyle w:val="EndnoteReference"/>
        </w:rPr>
        <w:endnoteRef/>
      </w:r>
      <w:r w:rsidRPr="00941517">
        <w:t xml:space="preserve"> </w:t>
      </w:r>
      <w:r w:rsidRPr="00941517">
        <w:rPr>
          <w:lang w:val="en-GB"/>
        </w:rPr>
        <w:t>The diary, 30, shows that Currie took Christie to call on Hannah Lightbody on 18 June 1787 and then the next evening entertained her at supper with Christie and Roscoe.</w:t>
      </w:r>
    </w:p>
  </w:endnote>
  <w:endnote w:id="29">
    <w:p w14:paraId="05B8F117" w14:textId="40194F35" w:rsidR="00274F86" w:rsidRPr="00941517" w:rsidRDefault="00274F86" w:rsidP="00415015">
      <w:pPr>
        <w:spacing w:line="480" w:lineRule="auto"/>
        <w:rPr>
          <w:rFonts w:cs="Times"/>
        </w:rPr>
      </w:pPr>
      <w:r w:rsidRPr="00941517">
        <w:rPr>
          <w:rStyle w:val="EndnoteReference"/>
        </w:rPr>
        <w:endnoteRef/>
      </w:r>
      <w:r w:rsidRPr="00941517">
        <w:t xml:space="preserve"> ‘Diary’</w:t>
      </w:r>
      <w:r>
        <w:t>,</w:t>
      </w:r>
      <w:r w:rsidRPr="00AE1839">
        <w:t xml:space="preserve"> 14 and 23.  </w:t>
      </w:r>
      <w:r w:rsidRPr="00AE1839">
        <w:rPr>
          <w:lang w:val="en-GB"/>
        </w:rPr>
        <w:t xml:space="preserve">The key texts in the exchange on materialism were Barnes </w:t>
      </w:r>
      <w:r w:rsidRPr="00AE1839">
        <w:t>‘On the Influence of the Imagination and the Passions upon our Understanding’</w:t>
      </w:r>
      <w:r>
        <w:t>,</w:t>
      </w:r>
      <w:r w:rsidRPr="00AE1839">
        <w:t xml:space="preserve"> </w:t>
      </w:r>
      <w:r w:rsidRPr="00AE1839">
        <w:rPr>
          <w:lang w:val="en-GB"/>
        </w:rPr>
        <w:t xml:space="preserve">read </w:t>
      </w:r>
      <w:r w:rsidR="006B75E3">
        <w:rPr>
          <w:lang w:val="en-GB"/>
        </w:rPr>
        <w:t>to</w:t>
      </w:r>
      <w:r w:rsidR="006B75E3" w:rsidRPr="00AE1839">
        <w:rPr>
          <w:lang w:val="en-GB"/>
        </w:rPr>
        <w:t xml:space="preserve"> </w:t>
      </w:r>
      <w:r w:rsidRPr="00AE1839">
        <w:rPr>
          <w:lang w:val="en-GB"/>
        </w:rPr>
        <w:t xml:space="preserve">the society in February 1783, </w:t>
      </w:r>
      <w:r w:rsidRPr="00941517">
        <w:rPr>
          <w:lang w:val="en-GB"/>
        </w:rPr>
        <w:t xml:space="preserve">published in the first volume of the society’s </w:t>
      </w:r>
      <w:r w:rsidRPr="00941517">
        <w:rPr>
          <w:i/>
          <w:lang w:val="en-GB"/>
        </w:rPr>
        <w:t>Memoirs</w:t>
      </w:r>
      <w:r w:rsidRPr="00941517">
        <w:rPr>
          <w:lang w:val="en-GB"/>
        </w:rPr>
        <w:t xml:space="preserve">, and Thomas Cooper’s </w:t>
      </w:r>
      <w:r w:rsidRPr="00941517">
        <w:t>‘Sketch of the Controversy on Materialism’</w:t>
      </w:r>
      <w:r>
        <w:t>,</w:t>
      </w:r>
      <w:r w:rsidRPr="00AE1839">
        <w:t xml:space="preserve"> read on 17 Jan 1787, published in his </w:t>
      </w:r>
      <w:r w:rsidRPr="00AE1839">
        <w:rPr>
          <w:i/>
        </w:rPr>
        <w:t>Tracts Ethical T</w:t>
      </w:r>
      <w:r w:rsidRPr="00941517">
        <w:rPr>
          <w:i/>
        </w:rPr>
        <w:t>heological and Political</w:t>
      </w:r>
      <w:r w:rsidRPr="00941517">
        <w:t xml:space="preserve"> (London: 1789). </w:t>
      </w:r>
      <w:r w:rsidRPr="00941517">
        <w:rPr>
          <w:lang w:val="en-GB"/>
        </w:rPr>
        <w:t xml:space="preserve">See also </w:t>
      </w:r>
      <w:r w:rsidRPr="00941517">
        <w:rPr>
          <w:i/>
          <w:lang w:val="en-GB"/>
        </w:rPr>
        <w:t>The British Critic</w:t>
      </w:r>
      <w:r w:rsidRPr="00941517">
        <w:rPr>
          <w:lang w:val="en-GB"/>
        </w:rPr>
        <w:t xml:space="preserve"> 2 (December 1793), 2.</w:t>
      </w:r>
    </w:p>
  </w:endnote>
  <w:endnote w:id="30">
    <w:p w14:paraId="2305B275" w14:textId="3E9B4E0E" w:rsidR="00274F86" w:rsidRPr="00941517" w:rsidRDefault="00274F86" w:rsidP="0084496A">
      <w:pPr>
        <w:pStyle w:val="EndnoteText"/>
        <w:spacing w:line="480" w:lineRule="auto"/>
        <w:rPr>
          <w:lang w:val="en-GB"/>
        </w:rPr>
      </w:pPr>
      <w:r w:rsidRPr="00941517">
        <w:rPr>
          <w:rStyle w:val="EndnoteReference"/>
        </w:rPr>
        <w:endnoteRef/>
      </w:r>
      <w:r w:rsidRPr="00941517">
        <w:t xml:space="preserve"> </w:t>
      </w:r>
      <w:r w:rsidRPr="00941517">
        <w:rPr>
          <w:lang w:val="en-GB"/>
        </w:rPr>
        <w:t>‘Diary’</w:t>
      </w:r>
      <w:r>
        <w:rPr>
          <w:lang w:val="en-GB"/>
        </w:rPr>
        <w:t>,</w:t>
      </w:r>
      <w:r w:rsidRPr="00AE1839">
        <w:rPr>
          <w:lang w:val="en-GB"/>
        </w:rPr>
        <w:t xml:space="preserve"> Sunday 19 May 1787, 23-27. Their exchange took place a week or so after she had been present at the argument between Currie and Godwin on materialism.</w:t>
      </w:r>
    </w:p>
  </w:endnote>
  <w:endnote w:id="31">
    <w:p w14:paraId="2C9C07B3" w14:textId="12E06B2D" w:rsidR="00274F86" w:rsidRPr="00941517" w:rsidRDefault="00274F86" w:rsidP="00D3622F">
      <w:pPr>
        <w:pStyle w:val="EndnoteText"/>
        <w:spacing w:line="480" w:lineRule="auto"/>
        <w:rPr>
          <w:lang w:val="en-GB"/>
        </w:rPr>
      </w:pPr>
      <w:r w:rsidRPr="00941517">
        <w:rPr>
          <w:rStyle w:val="EndnoteReference"/>
        </w:rPr>
        <w:endnoteRef/>
      </w:r>
      <w:r w:rsidRPr="00941517">
        <w:t xml:space="preserve"> </w:t>
      </w:r>
      <w:r w:rsidRPr="00941517">
        <w:rPr>
          <w:lang w:val="en-GB"/>
        </w:rPr>
        <w:t xml:space="preserve">Mary Rose, </w:t>
      </w:r>
      <w:r w:rsidRPr="00941517">
        <w:rPr>
          <w:i/>
          <w:lang w:val="en-GB"/>
        </w:rPr>
        <w:t>The Gregs of Quarry Bank Mill: The Rise and Decline of a Family Firm, 1750-1914</w:t>
      </w:r>
      <w:r w:rsidRPr="00941517">
        <w:rPr>
          <w:lang w:val="en-GB"/>
        </w:rPr>
        <w:t xml:space="preserve"> (Cambridge: Cambridge University Press, 1986), 16. Rose sees Samuel Greg joining the Manchester society as a consolidation of his Manchester commercial networks. </w:t>
      </w:r>
      <w:r w:rsidRPr="00AE1839">
        <w:t xml:space="preserve">David Sekers, </w:t>
      </w:r>
      <w:hyperlink r:id="rId1" w:history="1">
        <w:r w:rsidRPr="00941517">
          <w:rPr>
            <w:i/>
          </w:rPr>
          <w:t>A Lady of Cotton: Hannah Greg, Mistress of Quarry Bank Mill</w:t>
        </w:r>
      </w:hyperlink>
      <w:r w:rsidRPr="00941517">
        <w:t xml:space="preserve"> (Stroud: History Press, 2013), 89, speculates</w:t>
      </w:r>
      <w:r w:rsidRPr="00941517">
        <w:rPr>
          <w:lang w:val="en-GB"/>
        </w:rPr>
        <w:t xml:space="preserve"> that Hannah Greg may have influenced her husband’s decision to join the society.</w:t>
      </w:r>
    </w:p>
  </w:endnote>
  <w:endnote w:id="32">
    <w:p w14:paraId="78E025A8" w14:textId="160DE31E" w:rsidR="00274F86" w:rsidRPr="00AE1839" w:rsidRDefault="00274F86" w:rsidP="00A90388">
      <w:pPr>
        <w:pStyle w:val="EndnoteText"/>
        <w:spacing w:line="480" w:lineRule="auto"/>
        <w:rPr>
          <w:lang w:val="en-GB"/>
        </w:rPr>
      </w:pPr>
      <w:r w:rsidRPr="00941517">
        <w:rPr>
          <w:rStyle w:val="EndnoteReference"/>
        </w:rPr>
        <w:endnoteRef/>
      </w:r>
      <w:r w:rsidRPr="00941517">
        <w:t xml:space="preserve"> </w:t>
      </w:r>
      <w:r w:rsidRPr="00941517">
        <w:rPr>
          <w:lang w:val="en-GB"/>
        </w:rPr>
        <w:t>‘Diary’</w:t>
      </w:r>
      <w:r>
        <w:rPr>
          <w:lang w:val="en-GB"/>
        </w:rPr>
        <w:t>,</w:t>
      </w:r>
      <w:r w:rsidRPr="00AE1839">
        <w:rPr>
          <w:lang w:val="en-GB"/>
        </w:rPr>
        <w:t xml:space="preserve"> 117 and 17 and Rathbone to Greg, RP II.1 56.</w:t>
      </w:r>
    </w:p>
  </w:endnote>
  <w:endnote w:id="33">
    <w:p w14:paraId="1EEACCD3" w14:textId="77777777" w:rsidR="00274F86" w:rsidRPr="00941517" w:rsidRDefault="00274F86" w:rsidP="00A90388">
      <w:pPr>
        <w:pStyle w:val="EndnoteText"/>
        <w:spacing w:line="480" w:lineRule="auto"/>
        <w:rPr>
          <w:lang w:val="en-GB"/>
        </w:rPr>
      </w:pPr>
      <w:r w:rsidRPr="00941517">
        <w:rPr>
          <w:rStyle w:val="EndnoteReference"/>
        </w:rPr>
        <w:endnoteRef/>
      </w:r>
      <w:r w:rsidRPr="00941517">
        <w:t xml:space="preserve"> </w:t>
      </w:r>
      <w:r w:rsidRPr="00941517">
        <w:rPr>
          <w:lang w:val="en-GB"/>
        </w:rPr>
        <w:t xml:space="preserve">See Currie’s to Hannah Greg letter of 27 March 1800 in </w:t>
      </w:r>
      <w:r w:rsidRPr="00941517">
        <w:rPr>
          <w:i/>
          <w:lang w:val="en-GB"/>
        </w:rPr>
        <w:t>Memoir</w:t>
      </w:r>
      <w:r w:rsidRPr="00941517">
        <w:rPr>
          <w:lang w:val="en-GB"/>
        </w:rPr>
        <w:t>, ed. W. W. Currie, II.188.</w:t>
      </w:r>
    </w:p>
  </w:endnote>
  <w:endnote w:id="34">
    <w:p w14:paraId="65439A73" w14:textId="79148256" w:rsidR="00274F86" w:rsidRPr="00941517" w:rsidRDefault="00274F86">
      <w:pPr>
        <w:pStyle w:val="EndnoteText"/>
        <w:spacing w:line="480" w:lineRule="auto"/>
        <w:rPr>
          <w:lang w:val="en-GB"/>
        </w:rPr>
      </w:pPr>
      <w:r w:rsidRPr="00941517">
        <w:rPr>
          <w:rStyle w:val="EndnoteReference"/>
        </w:rPr>
        <w:endnoteRef/>
      </w:r>
      <w:r w:rsidRPr="00941517">
        <w:t xml:space="preserve"> </w:t>
      </w:r>
      <w:r w:rsidRPr="000F01EB">
        <w:rPr>
          <w:i/>
        </w:rPr>
        <w:t>A Collection of Maxims, Observations, etc</w:t>
      </w:r>
      <w:r w:rsidRPr="000F01EB">
        <w:t xml:space="preserve"> (Liverpool, 1799) was developed into </w:t>
      </w:r>
      <w:r w:rsidRPr="000F01EB">
        <w:rPr>
          <w:i/>
        </w:rPr>
        <w:t>The Moralist</w:t>
      </w:r>
      <w:r w:rsidRPr="000F01EB">
        <w:t xml:space="preserve"> (Liverpool, 1800) and </w:t>
      </w:r>
      <w:r w:rsidRPr="000F01EB">
        <w:rPr>
          <w:rFonts w:eastAsia="Times New Roman"/>
          <w:i/>
          <w:shd w:val="clear" w:color="auto" w:fill="FFFFFF"/>
          <w:lang w:val="en-GB"/>
        </w:rPr>
        <w:t>The Monitor, or a Collection of Precepts, Observations, etc</w:t>
      </w:r>
      <w:r w:rsidRPr="000F01EB">
        <w:rPr>
          <w:rFonts w:eastAsia="Times New Roman"/>
          <w:shd w:val="clear" w:color="auto" w:fill="FFFFFF"/>
          <w:lang w:val="en-GB"/>
        </w:rPr>
        <w:t xml:space="preserve">. (Liverpool, 1804). </w:t>
      </w:r>
      <w:r w:rsidR="006B75E3" w:rsidRPr="006B75E3">
        <w:rPr>
          <w:rFonts w:eastAsia="Times New Roman"/>
          <w:shd w:val="clear" w:color="auto" w:fill="FFFFFF"/>
          <w:lang w:val="en-GB"/>
        </w:rPr>
        <w:t>Lightbody Greg described her book as a</w:t>
      </w:r>
      <w:r w:rsidR="006B75E3">
        <w:rPr>
          <w:rFonts w:eastAsia="Times New Roman"/>
          <w:i/>
          <w:shd w:val="clear" w:color="auto" w:fill="FFFFFF"/>
          <w:lang w:val="en-GB"/>
        </w:rPr>
        <w:t xml:space="preserve"> </w:t>
      </w:r>
      <w:r w:rsidRPr="00833832">
        <w:rPr>
          <w:rFonts w:eastAsia="Times New Roman"/>
          <w:shd w:val="clear" w:color="auto" w:fill="FFFFFF"/>
          <w:lang w:val="en-GB"/>
        </w:rPr>
        <w:t>‘useful legacy to her children, gleaned from her reading and reflection’</w:t>
      </w:r>
      <w:r>
        <w:rPr>
          <w:rFonts w:eastAsia="Times New Roman"/>
          <w:shd w:val="clear" w:color="auto" w:fill="FFFFFF"/>
          <w:lang w:val="en-GB"/>
        </w:rPr>
        <w:t>,</w:t>
      </w:r>
      <w:r w:rsidRPr="00833832">
        <w:rPr>
          <w:rFonts w:eastAsia="Times New Roman"/>
          <w:shd w:val="clear" w:color="auto" w:fill="FFFFFF"/>
          <w:lang w:val="en-GB"/>
        </w:rPr>
        <w:t xml:space="preserve"> printed only because of difficulties in gaining enough copies for a large family, and ‘not intended for the public</w:t>
      </w:r>
      <w:r>
        <w:rPr>
          <w:rFonts w:eastAsia="Times New Roman"/>
          <w:shd w:val="clear" w:color="auto" w:fill="FFFFFF"/>
          <w:lang w:val="en-GB"/>
        </w:rPr>
        <w:t>,</w:t>
      </w:r>
      <w:r w:rsidRPr="00833832">
        <w:rPr>
          <w:rFonts w:eastAsia="Times New Roman"/>
          <w:shd w:val="clear" w:color="auto" w:fill="FFFFFF"/>
          <w:lang w:val="en-GB"/>
        </w:rPr>
        <w:t>’</w:t>
      </w:r>
      <w:r>
        <w:rPr>
          <w:rFonts w:eastAsia="Times New Roman"/>
          <w:shd w:val="clear" w:color="auto" w:fill="FFFFFF"/>
          <w:lang w:val="en-GB"/>
        </w:rPr>
        <w:t xml:space="preserve"> </w:t>
      </w:r>
      <w:r w:rsidR="006B75E3" w:rsidRPr="006B75E3">
        <w:rPr>
          <w:rFonts w:eastAsia="Times New Roman"/>
          <w:i/>
          <w:shd w:val="clear" w:color="auto" w:fill="FFFFFF"/>
          <w:lang w:val="en-GB"/>
        </w:rPr>
        <w:t>Collection of Maxims</w:t>
      </w:r>
      <w:r w:rsidR="006B75E3">
        <w:rPr>
          <w:rFonts w:eastAsia="Times New Roman"/>
          <w:shd w:val="clear" w:color="auto" w:fill="FFFFFF"/>
          <w:lang w:val="en-GB"/>
        </w:rPr>
        <w:t xml:space="preserve">, </w:t>
      </w:r>
      <w:r>
        <w:rPr>
          <w:rFonts w:eastAsia="Times New Roman"/>
          <w:shd w:val="clear" w:color="auto" w:fill="FFFFFF"/>
          <w:lang w:val="en-GB"/>
        </w:rPr>
        <w:t>[i]-ii.</w:t>
      </w:r>
      <w:r w:rsidRPr="00833832">
        <w:rPr>
          <w:rFonts w:eastAsia="Times New Roman"/>
          <w:shd w:val="clear" w:color="auto" w:fill="FFFFFF"/>
          <w:lang w:val="en-GB"/>
        </w:rPr>
        <w:t xml:space="preserve"> </w:t>
      </w:r>
      <w:r>
        <w:rPr>
          <w:lang w:val="en-GB"/>
        </w:rPr>
        <w:t>An</w:t>
      </w:r>
      <w:r w:rsidRPr="00941517">
        <w:rPr>
          <w:lang w:val="en-GB"/>
        </w:rPr>
        <w:t xml:space="preserve"> extract on the principle of self-love from Currie’s review </w:t>
      </w:r>
      <w:r>
        <w:rPr>
          <w:lang w:val="en-GB"/>
        </w:rPr>
        <w:t>of Reid</w:t>
      </w:r>
      <w:r w:rsidRPr="00941517">
        <w:rPr>
          <w:lang w:val="en-GB"/>
        </w:rPr>
        <w:t xml:space="preserve"> and </w:t>
      </w:r>
      <w:r>
        <w:rPr>
          <w:lang w:val="en-GB"/>
        </w:rPr>
        <w:t>a sentence from</w:t>
      </w:r>
      <w:r w:rsidRPr="00941517">
        <w:rPr>
          <w:lang w:val="en-GB"/>
        </w:rPr>
        <w:t xml:space="preserve"> Wollstonecraft</w:t>
      </w:r>
      <w:r>
        <w:rPr>
          <w:lang w:val="en-GB"/>
        </w:rPr>
        <w:t xml:space="preserve"> are at 3 and</w:t>
      </w:r>
      <w:r w:rsidRPr="00941517">
        <w:rPr>
          <w:lang w:val="en-GB"/>
        </w:rPr>
        <w:t xml:space="preserve"> 49</w:t>
      </w:r>
      <w:r>
        <w:rPr>
          <w:lang w:val="en-GB"/>
        </w:rPr>
        <w:t xml:space="preserve"> respectively</w:t>
      </w:r>
      <w:r w:rsidRPr="00941517">
        <w:rPr>
          <w:lang w:val="en-GB"/>
        </w:rPr>
        <w:t xml:space="preserve">. </w:t>
      </w:r>
    </w:p>
  </w:endnote>
  <w:endnote w:id="35">
    <w:p w14:paraId="3E579A2A" w14:textId="5C9FB924" w:rsidR="00274F86" w:rsidRPr="004F3C6D" w:rsidRDefault="00274F86" w:rsidP="00554BFE">
      <w:pPr>
        <w:pStyle w:val="p1"/>
        <w:spacing w:line="480" w:lineRule="auto"/>
        <w:rPr>
          <w:rFonts w:ascii="Cambria" w:hAnsi="Cambria"/>
        </w:rPr>
      </w:pPr>
      <w:r w:rsidRPr="00941517">
        <w:rPr>
          <w:rStyle w:val="EndnoteReference"/>
          <w:rFonts w:ascii="Cambria" w:hAnsi="Cambria"/>
          <w:sz w:val="24"/>
          <w:szCs w:val="24"/>
        </w:rPr>
        <w:endnoteRef/>
      </w:r>
      <w:r w:rsidRPr="00941517">
        <w:rPr>
          <w:rFonts w:ascii="Cambria" w:hAnsi="Cambria"/>
          <w:sz w:val="24"/>
          <w:szCs w:val="24"/>
        </w:rPr>
        <w:t xml:space="preserve"> See Jane Rendall, </w:t>
      </w:r>
      <w:r w:rsidRPr="00941517">
        <w:rPr>
          <w:rFonts w:ascii="Cambria" w:hAnsi="Cambria"/>
          <w:sz w:val="24"/>
          <w:szCs w:val="24"/>
          <w:shd w:val="clear" w:color="auto" w:fill="FFFFFF"/>
        </w:rPr>
        <w:t>‘Adaptations: Gender, History, and Political Economy in the Work of Dugald Stewart</w:t>
      </w:r>
      <w:r w:rsidRPr="00AE1839">
        <w:rPr>
          <w:rFonts w:ascii="Cambria" w:hAnsi="Cambria"/>
          <w:sz w:val="24"/>
          <w:szCs w:val="24"/>
          <w:shd w:val="clear" w:color="auto" w:fill="FFFFFF"/>
        </w:rPr>
        <w:t>’</w:t>
      </w:r>
      <w:r>
        <w:rPr>
          <w:rFonts w:ascii="Cambria" w:hAnsi="Cambria"/>
          <w:sz w:val="24"/>
          <w:szCs w:val="24"/>
          <w:shd w:val="clear" w:color="auto" w:fill="FFFFFF"/>
        </w:rPr>
        <w:t>,</w:t>
      </w:r>
      <w:r w:rsidRPr="00AE1839">
        <w:rPr>
          <w:rFonts w:ascii="Cambria" w:hAnsi="Cambria"/>
          <w:sz w:val="24"/>
          <w:szCs w:val="24"/>
          <w:shd w:val="clear" w:color="auto" w:fill="FFFFFF"/>
        </w:rPr>
        <w:t xml:space="preserve"> </w:t>
      </w:r>
      <w:r w:rsidRPr="00AE1839">
        <w:rPr>
          <w:rFonts w:ascii="Cambria" w:hAnsi="Cambria"/>
          <w:i/>
          <w:sz w:val="24"/>
          <w:szCs w:val="24"/>
          <w:shd w:val="clear" w:color="auto" w:fill="FFFFFF"/>
        </w:rPr>
        <w:t>History of European Ideas</w:t>
      </w:r>
      <w:r w:rsidRPr="00AE1839">
        <w:rPr>
          <w:rFonts w:ascii="Cambria" w:hAnsi="Cambria"/>
          <w:sz w:val="24"/>
          <w:szCs w:val="24"/>
          <w:shd w:val="clear" w:color="auto" w:fill="FFFFFF"/>
        </w:rPr>
        <w:t xml:space="preserve">, 38, no 1 (March 2012), 144, and the elaboration in </w:t>
      </w:r>
      <w:r w:rsidRPr="00AE1839">
        <w:rPr>
          <w:rFonts w:ascii="Cambria" w:hAnsi="Cambria"/>
          <w:sz w:val="24"/>
          <w:szCs w:val="24"/>
        </w:rPr>
        <w:t>‘</w:t>
      </w:r>
      <w:r>
        <w:rPr>
          <w:rFonts w:ascii="Cambria" w:hAnsi="Cambria"/>
          <w:sz w:val="24"/>
          <w:szCs w:val="24"/>
        </w:rPr>
        <w:t>“</w:t>
      </w:r>
      <w:r w:rsidRPr="00AE1839">
        <w:rPr>
          <w:rFonts w:ascii="Cambria" w:hAnsi="Cambria"/>
          <w:sz w:val="24"/>
          <w:szCs w:val="24"/>
        </w:rPr>
        <w:t>Elementary Principles of Education</w:t>
      </w:r>
      <w:r>
        <w:rPr>
          <w:rFonts w:ascii="Cambria" w:hAnsi="Cambria"/>
          <w:sz w:val="24"/>
          <w:szCs w:val="24"/>
        </w:rPr>
        <w:t>”</w:t>
      </w:r>
      <w:r w:rsidRPr="00AE1839">
        <w:rPr>
          <w:rFonts w:ascii="Cambria" w:hAnsi="Cambria"/>
          <w:sz w:val="24"/>
          <w:szCs w:val="24"/>
        </w:rPr>
        <w:t>: Elizabeth Hamilton, Maria Edgeworth and the Uses of Common Sense Philosophy’</w:t>
      </w:r>
      <w:r>
        <w:rPr>
          <w:rFonts w:ascii="Cambria" w:hAnsi="Cambria"/>
          <w:sz w:val="24"/>
          <w:szCs w:val="24"/>
        </w:rPr>
        <w:t>,</w:t>
      </w:r>
      <w:r w:rsidRPr="00AE1839">
        <w:rPr>
          <w:rFonts w:ascii="Cambria" w:hAnsi="Cambria"/>
          <w:sz w:val="24"/>
          <w:szCs w:val="24"/>
        </w:rPr>
        <w:t xml:space="preserve"> </w:t>
      </w:r>
      <w:r w:rsidRPr="00AE1839">
        <w:rPr>
          <w:rFonts w:ascii="Cambria" w:hAnsi="Cambria"/>
          <w:i/>
          <w:sz w:val="24"/>
          <w:szCs w:val="24"/>
        </w:rPr>
        <w:t>History of European Ideas</w:t>
      </w:r>
      <w:r w:rsidRPr="00AE1839">
        <w:rPr>
          <w:rFonts w:ascii="Cambria" w:hAnsi="Cambria"/>
          <w:sz w:val="24"/>
          <w:szCs w:val="24"/>
        </w:rPr>
        <w:t>, 39 no. 5, (2013)</w:t>
      </w:r>
      <w:r>
        <w:rPr>
          <w:rFonts w:ascii="Cambria" w:hAnsi="Cambria"/>
          <w:sz w:val="24"/>
          <w:szCs w:val="24"/>
        </w:rPr>
        <w:t>:</w:t>
      </w:r>
      <w:r w:rsidRPr="00AE1839">
        <w:rPr>
          <w:rFonts w:ascii="Cambria" w:hAnsi="Cambria"/>
          <w:sz w:val="24"/>
          <w:szCs w:val="24"/>
        </w:rPr>
        <w:t xml:space="preserve"> 613-630</w:t>
      </w:r>
      <w:r w:rsidRPr="004F3C6D">
        <w:rPr>
          <w:rFonts w:ascii="Cambria" w:hAnsi="Cambria" w:cs="Arial"/>
          <w:sz w:val="24"/>
          <w:szCs w:val="24"/>
        </w:rPr>
        <w:t>.</w:t>
      </w:r>
    </w:p>
  </w:endnote>
  <w:endnote w:id="36">
    <w:p w14:paraId="2390BAA8" w14:textId="1E47F9FB" w:rsidR="00274F86" w:rsidRPr="00C02F31" w:rsidRDefault="00274F86" w:rsidP="00554BFE">
      <w:pPr>
        <w:pStyle w:val="EndnoteText"/>
        <w:spacing w:line="480" w:lineRule="auto"/>
        <w:rPr>
          <w:lang w:val="en-GB"/>
        </w:rPr>
      </w:pPr>
      <w:r>
        <w:rPr>
          <w:rStyle w:val="EndnoteReference"/>
        </w:rPr>
        <w:endnoteRef/>
      </w:r>
      <w:r>
        <w:t xml:space="preserve"> </w:t>
      </w:r>
      <w:r w:rsidRPr="00941517">
        <w:t xml:space="preserve">See Stewart’s </w:t>
      </w:r>
      <w:r w:rsidRPr="00941517">
        <w:rPr>
          <w:i/>
        </w:rPr>
        <w:t>Elements of the Philosophy of the H</w:t>
      </w:r>
      <w:r w:rsidRPr="00AE1839">
        <w:rPr>
          <w:i/>
        </w:rPr>
        <w:t>uman Mind</w:t>
      </w:r>
      <w:r w:rsidRPr="00AE1839">
        <w:t xml:space="preserve"> </w:t>
      </w:r>
      <w:r>
        <w:t xml:space="preserve">3 vols </w:t>
      </w:r>
      <w:r w:rsidRPr="00AE1839">
        <w:t>(London, 1792</w:t>
      </w:r>
      <w:r>
        <w:t>-1827</w:t>
      </w:r>
      <w:r w:rsidRPr="00AE1839">
        <w:t xml:space="preserve">), </w:t>
      </w:r>
      <w:r>
        <w:t>I.20</w:t>
      </w:r>
      <w:r w:rsidRPr="00AE1839">
        <w:t>.</w:t>
      </w:r>
    </w:p>
  </w:endnote>
  <w:endnote w:id="37">
    <w:p w14:paraId="76BAB8E8" w14:textId="27C07893" w:rsidR="00274F86" w:rsidRPr="004F3C6D" w:rsidRDefault="00274F86" w:rsidP="004F3C6D">
      <w:pPr>
        <w:pStyle w:val="EndnoteText"/>
        <w:spacing w:line="480" w:lineRule="auto"/>
        <w:rPr>
          <w:lang w:val="en-GB"/>
        </w:rPr>
      </w:pPr>
      <w:r>
        <w:rPr>
          <w:rStyle w:val="EndnoteReference"/>
        </w:rPr>
        <w:endnoteRef/>
      </w:r>
      <w:r>
        <w:t xml:space="preserve"> Stewart, Outlines of the Philosophy of Mind (Edinburgh, 1793), 20.</w:t>
      </w:r>
    </w:p>
  </w:endnote>
  <w:endnote w:id="38">
    <w:p w14:paraId="385A216D" w14:textId="30D0A778" w:rsidR="00274F86" w:rsidRPr="004F3C6D" w:rsidRDefault="00274F86" w:rsidP="004F3C6D">
      <w:pPr>
        <w:pStyle w:val="EndnoteText"/>
        <w:spacing w:line="480" w:lineRule="auto"/>
        <w:rPr>
          <w:lang w:val="en-GB"/>
        </w:rPr>
      </w:pPr>
      <w:r>
        <w:rPr>
          <w:rStyle w:val="EndnoteReference"/>
        </w:rPr>
        <w:endnoteRef/>
      </w:r>
      <w:r>
        <w:t xml:space="preserve"> </w:t>
      </w:r>
      <w:r w:rsidR="006B75E3">
        <w:t xml:space="preserve">Lightbody </w:t>
      </w:r>
      <w:r w:rsidRPr="00AE1839">
        <w:t>Greg</w:t>
      </w:r>
      <w:r w:rsidRPr="00AE1839">
        <w:rPr>
          <w:lang w:val="en-GB"/>
        </w:rPr>
        <w:t xml:space="preserve"> told Rathbone that </w:t>
      </w:r>
      <w:r w:rsidRPr="00C02F31">
        <w:rPr>
          <w:rFonts w:eastAsia="Times New Roman"/>
          <w:shd w:val="clear" w:color="auto" w:fill="FFFFFF"/>
          <w:lang w:val="en-GB"/>
        </w:rPr>
        <w:t>she had ‘both Reid and Stewarts’ large works from which I have formerly experienced more pleasure as well as improvement than perhaps from any books I ever read’</w:t>
      </w:r>
      <w:r>
        <w:rPr>
          <w:rFonts w:eastAsia="Times New Roman"/>
          <w:shd w:val="clear" w:color="auto" w:fill="FFFFFF"/>
          <w:lang w:val="en-GB"/>
        </w:rPr>
        <w:t>,</w:t>
      </w:r>
      <w:r w:rsidRPr="00C02F31">
        <w:rPr>
          <w:rFonts w:eastAsia="Times New Roman"/>
          <w:shd w:val="clear" w:color="auto" w:fill="FFFFFF"/>
          <w:lang w:val="en-GB"/>
        </w:rPr>
        <w:t xml:space="preserve"> but as she was unwell [Stewart’s] ‘</w:t>
      </w:r>
      <w:r>
        <w:rPr>
          <w:rFonts w:eastAsia="Times New Roman"/>
          <w:shd w:val="clear" w:color="auto" w:fill="FFFFFF"/>
          <w:lang w:val="en-GB"/>
        </w:rPr>
        <w:t>“</w:t>
      </w:r>
      <w:r w:rsidRPr="00C02F31">
        <w:rPr>
          <w:rFonts w:eastAsia="Times New Roman"/>
          <w:shd w:val="clear" w:color="auto" w:fill="FFFFFF"/>
          <w:lang w:val="en-GB"/>
        </w:rPr>
        <w:t>Outlines</w:t>
      </w:r>
      <w:r>
        <w:rPr>
          <w:rFonts w:eastAsia="Times New Roman"/>
          <w:shd w:val="clear" w:color="auto" w:fill="FFFFFF"/>
          <w:lang w:val="en-GB"/>
        </w:rPr>
        <w:t>”</w:t>
      </w:r>
      <w:r w:rsidRPr="00C02F31">
        <w:rPr>
          <w:rFonts w:eastAsia="Times New Roman"/>
          <w:shd w:val="clear" w:color="auto" w:fill="FFFFFF"/>
          <w:lang w:val="en-GB"/>
        </w:rPr>
        <w:t xml:space="preserve"> will just suit us – and be a text book for conversation into which my reading generally</w:t>
      </w:r>
      <w:r>
        <w:rPr>
          <w:rFonts w:eastAsia="Times New Roman"/>
          <w:shd w:val="clear" w:color="auto" w:fill="FFFFFF"/>
          <w:lang w:val="en-GB"/>
        </w:rPr>
        <w:t xml:space="preserve"> </w:t>
      </w:r>
      <w:r w:rsidRPr="00C02F31">
        <w:rPr>
          <w:rFonts w:eastAsia="Times New Roman"/>
          <w:shd w:val="clear" w:color="auto" w:fill="FFFFFF"/>
          <w:lang w:val="en-GB"/>
        </w:rPr>
        <w:t>subsides’</w:t>
      </w:r>
      <w:r>
        <w:rPr>
          <w:rFonts w:eastAsia="Times New Roman"/>
          <w:shd w:val="clear" w:color="auto" w:fill="FFFFFF"/>
          <w:lang w:val="en-GB"/>
        </w:rPr>
        <w:t>.</w:t>
      </w:r>
      <w:r w:rsidRPr="00C02F31">
        <w:rPr>
          <w:rFonts w:eastAsia="Times New Roman"/>
          <w:shd w:val="clear" w:color="auto" w:fill="FFFFFF"/>
          <w:lang w:val="en-GB"/>
        </w:rPr>
        <w:t xml:space="preserve"> Rathbone Papers, LUL, RP II.169.</w:t>
      </w:r>
    </w:p>
  </w:endnote>
  <w:endnote w:id="39">
    <w:p w14:paraId="2F76227F" w14:textId="4D9250A6" w:rsidR="00274F86" w:rsidRPr="00941517" w:rsidRDefault="00274F86" w:rsidP="004F3C6D">
      <w:pPr>
        <w:spacing w:line="480" w:lineRule="auto"/>
        <w:rPr>
          <w:lang w:val="en-GB"/>
        </w:rPr>
      </w:pPr>
      <w:r w:rsidRPr="00941517">
        <w:rPr>
          <w:rStyle w:val="EndnoteReference"/>
        </w:rPr>
        <w:endnoteRef/>
      </w:r>
      <w:r w:rsidRPr="00941517">
        <w:t xml:space="preserve"> </w:t>
      </w:r>
      <w:r>
        <w:t xml:space="preserve">See </w:t>
      </w:r>
      <w:r w:rsidRPr="00941517">
        <w:t xml:space="preserve">Stewart, </w:t>
      </w:r>
      <w:r>
        <w:rPr>
          <w:bCs/>
          <w:i/>
          <w:iCs/>
          <w:lang w:val="en-GB"/>
        </w:rPr>
        <w:t>Elements</w:t>
      </w:r>
      <w:r w:rsidRPr="00AE1839">
        <w:rPr>
          <w:bCs/>
          <w:iCs/>
          <w:lang w:val="en-GB"/>
        </w:rPr>
        <w:t xml:space="preserve">, </w:t>
      </w:r>
      <w:r>
        <w:rPr>
          <w:bCs/>
          <w:iCs/>
          <w:lang w:val="en-GB"/>
        </w:rPr>
        <w:t>I.40</w:t>
      </w:r>
      <w:r w:rsidRPr="00AE1839">
        <w:rPr>
          <w:bCs/>
          <w:iCs/>
          <w:lang w:val="en-GB"/>
        </w:rPr>
        <w:t xml:space="preserve">. </w:t>
      </w:r>
      <w:r w:rsidRPr="00AE1839">
        <w:t>Hannah Greg’s papers contain an</w:t>
      </w:r>
      <w:r w:rsidRPr="00941517">
        <w:t xml:space="preserve"> exercise book addressed to her children’s Duodecimo Society in which ‘Stewarts Philosophy of the Human Mind’ is copied as a preface. QBA 765.1/9/6/33. In 1814, she told her son of her concern that she had passed her taste for poetry to him rather than the stronger fare of Stewart. QBA765.1/9/6/17.</w:t>
      </w:r>
    </w:p>
  </w:endnote>
  <w:endnote w:id="40">
    <w:p w14:paraId="6DD5CB62" w14:textId="6DB76FF3" w:rsidR="00274F86" w:rsidRPr="00941517" w:rsidRDefault="00274F86" w:rsidP="00C5308E">
      <w:pPr>
        <w:pStyle w:val="EndnoteText"/>
        <w:spacing w:line="480" w:lineRule="auto"/>
        <w:rPr>
          <w:lang w:val="en-GB"/>
        </w:rPr>
      </w:pPr>
      <w:r w:rsidRPr="00941517">
        <w:rPr>
          <w:rStyle w:val="EndnoteReference"/>
        </w:rPr>
        <w:endnoteRef/>
      </w:r>
      <w:r>
        <w:t xml:space="preserve"> Greg, </w:t>
      </w:r>
      <w:r w:rsidRPr="000F01EB">
        <w:rPr>
          <w:i/>
        </w:rPr>
        <w:t>Collection of Maxims</w:t>
      </w:r>
      <w:r>
        <w:t>, iv.</w:t>
      </w:r>
    </w:p>
  </w:endnote>
  <w:endnote w:id="41">
    <w:p w14:paraId="224CBCED" w14:textId="2E87BC16" w:rsidR="00274F86" w:rsidRPr="00AE1839" w:rsidRDefault="00274F86" w:rsidP="0078177B">
      <w:pPr>
        <w:pStyle w:val="p1"/>
        <w:spacing w:line="480" w:lineRule="auto"/>
        <w:rPr>
          <w:rFonts w:ascii="Cambria" w:hAnsi="Cambria"/>
          <w:sz w:val="24"/>
          <w:szCs w:val="24"/>
        </w:rPr>
      </w:pPr>
      <w:r w:rsidRPr="00941517">
        <w:rPr>
          <w:rStyle w:val="EndnoteReference"/>
          <w:rFonts w:ascii="Cambria" w:hAnsi="Cambria"/>
          <w:sz w:val="24"/>
          <w:szCs w:val="24"/>
        </w:rPr>
        <w:endnoteRef/>
      </w:r>
      <w:r w:rsidRPr="00941517">
        <w:rPr>
          <w:rFonts w:ascii="Cambria" w:hAnsi="Cambria"/>
          <w:sz w:val="24"/>
          <w:szCs w:val="24"/>
        </w:rPr>
        <w:t xml:space="preserve"> </w:t>
      </w:r>
      <w:r w:rsidRPr="000F01EB">
        <w:rPr>
          <w:rFonts w:ascii="Cambria" w:hAnsi="Cambria" w:cs="Arial"/>
          <w:sz w:val="24"/>
          <w:szCs w:val="24"/>
        </w:rPr>
        <w:t>Greg described Edgeworth as ‘</w:t>
      </w:r>
      <w:r w:rsidRPr="00941517">
        <w:rPr>
          <w:rFonts w:ascii="Cambria" w:hAnsi="Cambria"/>
          <w:sz w:val="24"/>
          <w:szCs w:val="24"/>
        </w:rPr>
        <w:t xml:space="preserve">inimitable in telling a story, or drawing a character, but I question whether I should have read </w:t>
      </w:r>
      <w:r>
        <w:rPr>
          <w:rFonts w:ascii="Cambria" w:hAnsi="Cambria"/>
          <w:sz w:val="24"/>
          <w:szCs w:val="24"/>
        </w:rPr>
        <w:t>“</w:t>
      </w:r>
      <w:r w:rsidRPr="00941517">
        <w:rPr>
          <w:rFonts w:ascii="Cambria" w:hAnsi="Cambria"/>
          <w:sz w:val="24"/>
          <w:szCs w:val="24"/>
        </w:rPr>
        <w:t>Leonora</w:t>
      </w:r>
      <w:r>
        <w:rPr>
          <w:rFonts w:ascii="Cambria" w:hAnsi="Cambria"/>
          <w:sz w:val="24"/>
          <w:szCs w:val="24"/>
        </w:rPr>
        <w:t>”</w:t>
      </w:r>
      <w:r w:rsidRPr="00941517">
        <w:rPr>
          <w:rFonts w:ascii="Cambria" w:hAnsi="Cambria"/>
          <w:sz w:val="24"/>
          <w:szCs w:val="24"/>
        </w:rPr>
        <w:t xml:space="preserve"> to them had I not found that they had picked it up at Lpool last winter − It is rather too French I think’</w:t>
      </w:r>
      <w:r>
        <w:rPr>
          <w:rFonts w:ascii="Cambria" w:hAnsi="Cambria"/>
          <w:sz w:val="24"/>
          <w:szCs w:val="24"/>
        </w:rPr>
        <w:t>.</w:t>
      </w:r>
      <w:r w:rsidRPr="00941517">
        <w:rPr>
          <w:rFonts w:ascii="Cambria" w:hAnsi="Cambria"/>
          <w:sz w:val="24"/>
          <w:szCs w:val="24"/>
        </w:rPr>
        <w:t xml:space="preserve"> (Rathbone Papers, LUL, </w:t>
      </w:r>
      <w:r w:rsidRPr="00AE1839">
        <w:rPr>
          <w:rFonts w:ascii="Cambria" w:hAnsi="Cambria"/>
          <w:sz w:val="24"/>
          <w:szCs w:val="24"/>
        </w:rPr>
        <w:t>ibid).</w:t>
      </w:r>
    </w:p>
  </w:endnote>
  <w:endnote w:id="42">
    <w:p w14:paraId="6436382A" w14:textId="5E93F1F3" w:rsidR="00274F86" w:rsidRPr="00941517" w:rsidRDefault="00274F86" w:rsidP="000763D6">
      <w:pPr>
        <w:pStyle w:val="p1"/>
        <w:spacing w:line="480" w:lineRule="auto"/>
        <w:rPr>
          <w:rFonts w:ascii="Cambria" w:hAnsi="Cambria"/>
          <w:sz w:val="24"/>
          <w:szCs w:val="24"/>
        </w:rPr>
      </w:pPr>
      <w:r w:rsidRPr="00941517">
        <w:rPr>
          <w:rStyle w:val="EndnoteReference"/>
          <w:rFonts w:ascii="Cambria" w:hAnsi="Cambria"/>
          <w:sz w:val="24"/>
          <w:szCs w:val="24"/>
        </w:rPr>
        <w:endnoteRef/>
      </w:r>
      <w:r w:rsidRPr="00941517">
        <w:rPr>
          <w:rFonts w:ascii="Cambria" w:hAnsi="Cambria"/>
          <w:sz w:val="24"/>
          <w:szCs w:val="24"/>
        </w:rPr>
        <w:t xml:space="preserve"> She described the Edgeworths as ‘amiable, attached and most happy in each other’</w:t>
      </w:r>
      <w:r>
        <w:rPr>
          <w:rFonts w:ascii="Cambria" w:hAnsi="Cambria"/>
          <w:sz w:val="24"/>
          <w:szCs w:val="24"/>
        </w:rPr>
        <w:t>,</w:t>
      </w:r>
      <w:r w:rsidRPr="00AE1839">
        <w:rPr>
          <w:rFonts w:ascii="Cambria" w:hAnsi="Cambria"/>
          <w:sz w:val="24"/>
          <w:szCs w:val="24"/>
        </w:rPr>
        <w:t xml:space="preserve"> but complained ‘Mr E talks so incessantly &amp; in such a boastfully egotistical manner that we could scarce hear Miss E speak’</w:t>
      </w:r>
      <w:r>
        <w:rPr>
          <w:rFonts w:ascii="Cambria" w:hAnsi="Cambria"/>
          <w:sz w:val="24"/>
          <w:szCs w:val="24"/>
        </w:rPr>
        <w:t>.</w:t>
      </w:r>
      <w:r w:rsidRPr="000F01EB">
        <w:rPr>
          <w:rFonts w:ascii="Cambria" w:hAnsi="Cambria" w:cs="Arial"/>
          <w:sz w:val="24"/>
          <w:szCs w:val="24"/>
        </w:rPr>
        <w:t xml:space="preserve"> Edgeworth gave </w:t>
      </w:r>
      <w:r w:rsidR="006B75E3">
        <w:rPr>
          <w:rFonts w:ascii="Cambria" w:hAnsi="Cambria" w:cs="Arial"/>
          <w:sz w:val="24"/>
          <w:szCs w:val="24"/>
        </w:rPr>
        <w:t>her own</w:t>
      </w:r>
      <w:r w:rsidR="006B75E3" w:rsidRPr="000F01EB">
        <w:rPr>
          <w:rFonts w:ascii="Cambria" w:hAnsi="Cambria" w:cs="Arial"/>
          <w:sz w:val="24"/>
          <w:szCs w:val="24"/>
        </w:rPr>
        <w:t xml:space="preserve"> </w:t>
      </w:r>
      <w:r w:rsidRPr="000F01EB">
        <w:rPr>
          <w:rFonts w:ascii="Cambria" w:hAnsi="Cambria" w:cs="Arial"/>
          <w:sz w:val="24"/>
          <w:szCs w:val="24"/>
        </w:rPr>
        <w:t xml:space="preserve">account to </w:t>
      </w:r>
      <w:r w:rsidRPr="00941517">
        <w:rPr>
          <w:rFonts w:ascii="Cambria" w:hAnsi="Cambria"/>
          <w:sz w:val="24"/>
          <w:szCs w:val="24"/>
        </w:rPr>
        <w:t>Charlotte Sneyd on 19 April 1813: ‘While we were at Mr Holland’s Mrs Gregg, wife to Mr Ewart’s partner came from Manchester to spend a day with us. She is a particular friend of Mr Holland’s &amp; behold we found her to be the very lady with the 12 well behaved children at whose house Mrs E Hamilton spent so much time. She described the family to us in one of her letters’</w:t>
      </w:r>
      <w:r>
        <w:rPr>
          <w:rFonts w:ascii="Cambria" w:hAnsi="Cambria"/>
          <w:sz w:val="24"/>
          <w:szCs w:val="24"/>
        </w:rPr>
        <w:t>.</w:t>
      </w:r>
      <w:r w:rsidRPr="00AE1839">
        <w:rPr>
          <w:rFonts w:ascii="Cambria" w:hAnsi="Cambria"/>
          <w:sz w:val="24"/>
          <w:szCs w:val="24"/>
        </w:rPr>
        <w:t xml:space="preserve"> I am grateful to Jane Rendall for providing this reference</w:t>
      </w:r>
      <w:r w:rsidRPr="00941517">
        <w:rPr>
          <w:rFonts w:ascii="Cambria" w:hAnsi="Cambria"/>
          <w:sz w:val="24"/>
          <w:szCs w:val="24"/>
        </w:rPr>
        <w:t xml:space="preserve"> from the Edgeworth correspondence in the National Museum of Ireland, Dublin</w:t>
      </w:r>
      <w:r w:rsidR="000F01EB">
        <w:rPr>
          <w:rFonts w:ascii="Cambria" w:hAnsi="Cambria"/>
          <w:sz w:val="24"/>
          <w:szCs w:val="24"/>
        </w:rPr>
        <w:t>, MS 10166/7, no. 901</w:t>
      </w:r>
      <w:r w:rsidRPr="00941517">
        <w:rPr>
          <w:rFonts w:ascii="Cambria" w:hAnsi="Cambria"/>
          <w:sz w:val="24"/>
          <w:szCs w:val="24"/>
        </w:rPr>
        <w:t>.</w:t>
      </w:r>
    </w:p>
  </w:endnote>
  <w:endnote w:id="43">
    <w:p w14:paraId="0F158378" w14:textId="1EA443F7" w:rsidR="00274F86" w:rsidRPr="00941517" w:rsidRDefault="00274F86" w:rsidP="00DF3F5D">
      <w:pPr>
        <w:pStyle w:val="EndnoteText"/>
        <w:spacing w:line="480" w:lineRule="auto"/>
        <w:rPr>
          <w:lang w:val="en-GB"/>
        </w:rPr>
      </w:pPr>
      <w:r w:rsidRPr="00941517">
        <w:rPr>
          <w:rStyle w:val="EndnoteReference"/>
        </w:rPr>
        <w:endnoteRef/>
      </w:r>
      <w:r w:rsidRPr="00941517">
        <w:t xml:space="preserve"> </w:t>
      </w:r>
      <w:r w:rsidRPr="00941517">
        <w:rPr>
          <w:i/>
          <w:lang w:val="en-GB"/>
        </w:rPr>
        <w:t xml:space="preserve">Collection of Maxims </w:t>
      </w:r>
      <w:r w:rsidRPr="00941517">
        <w:rPr>
          <w:lang w:val="en-GB"/>
        </w:rPr>
        <w:t>(1799), 44</w:t>
      </w:r>
      <w:r>
        <w:rPr>
          <w:lang w:val="en-GB"/>
        </w:rPr>
        <w:t>.</w:t>
      </w:r>
    </w:p>
  </w:endnote>
  <w:endnote w:id="44">
    <w:p w14:paraId="7B176335" w14:textId="1CE8DDA0" w:rsidR="00274F86" w:rsidRPr="00941517" w:rsidRDefault="00274F86" w:rsidP="002E2D0E">
      <w:pPr>
        <w:spacing w:line="480" w:lineRule="auto"/>
      </w:pPr>
      <w:r w:rsidRPr="00941517">
        <w:rPr>
          <w:rStyle w:val="EndnoteReference"/>
        </w:rPr>
        <w:endnoteRef/>
      </w:r>
      <w:r w:rsidRPr="00941517">
        <w:t xml:space="preserve"> </w:t>
      </w:r>
      <w:r w:rsidR="000F01EB">
        <w:rPr>
          <w:lang w:val="en-GB"/>
        </w:rPr>
        <w:t>N</w:t>
      </w:r>
      <w:r w:rsidRPr="00941517">
        <w:rPr>
          <w:lang w:val="en-GB"/>
        </w:rPr>
        <w:t xml:space="preserve">othing better conveys </w:t>
      </w:r>
      <w:r w:rsidR="000F01EB">
        <w:rPr>
          <w:lang w:val="en-GB"/>
        </w:rPr>
        <w:t xml:space="preserve">Greg’s </w:t>
      </w:r>
      <w:r w:rsidR="00907BE9">
        <w:rPr>
          <w:lang w:val="en-GB"/>
        </w:rPr>
        <w:t xml:space="preserve">situation </w:t>
      </w:r>
      <w:r w:rsidR="000F01EB">
        <w:rPr>
          <w:lang w:val="en-GB"/>
        </w:rPr>
        <w:t>in the 1790s</w:t>
      </w:r>
      <w:r w:rsidR="000F01EB" w:rsidRPr="00941517">
        <w:rPr>
          <w:lang w:val="en-GB"/>
        </w:rPr>
        <w:t xml:space="preserve"> </w:t>
      </w:r>
      <w:r w:rsidRPr="00941517">
        <w:rPr>
          <w:lang w:val="en-GB"/>
        </w:rPr>
        <w:t xml:space="preserve">than the letter written to her nephew Tom </w:t>
      </w:r>
      <w:r w:rsidRPr="00AE1839">
        <w:rPr>
          <w:lang w:val="en-GB"/>
        </w:rPr>
        <w:t>Pares</w:t>
      </w:r>
      <w:r w:rsidR="000F01EB">
        <w:rPr>
          <w:lang w:val="en-GB"/>
        </w:rPr>
        <w:t xml:space="preserve"> </w:t>
      </w:r>
      <w:r w:rsidR="00907BE9">
        <w:rPr>
          <w:lang w:val="en-GB"/>
        </w:rPr>
        <w:t>written in 1823</w:t>
      </w:r>
      <w:r w:rsidRPr="000F01EB">
        <w:rPr>
          <w:rFonts w:eastAsia="Times New Roman" w:cs="Arial"/>
          <w:shd w:val="clear" w:color="auto" w:fill="FFFFFF"/>
          <w:lang w:val="en-GB"/>
        </w:rPr>
        <w:t>:</w:t>
      </w:r>
      <w:r w:rsidRPr="000F01EB">
        <w:rPr>
          <w:lang w:val="en-GB"/>
        </w:rPr>
        <w:t xml:space="preserve"> ‘I have lived thro’ the French Revolution and the Irish Rebellion, and tho’ it may sound absurd for an obscure Female to say that I became almost personally versed in the tumults of the national interests … in the busiest period of it, and even in my own family, I was called to think and feel </w:t>
      </w:r>
      <w:r>
        <w:rPr>
          <w:lang w:val="en-GB"/>
        </w:rPr>
        <w:t>–</w:t>
      </w:r>
      <w:r w:rsidRPr="000F01EB">
        <w:rPr>
          <w:lang w:val="en-GB"/>
        </w:rPr>
        <w:t xml:space="preserve"> if not to act upon subjects that seldom fall much into a woman’s way.  All this is over now but if it has not qualified me for a Counseller – …, let me remind you that my inferior judgment can sometimes from advantage of position at a distance more of the Outline of the general bearings, of a station than they who absolutely occupy it’</w:t>
      </w:r>
      <w:r>
        <w:rPr>
          <w:lang w:val="en-GB"/>
        </w:rPr>
        <w:t>.</w:t>
      </w:r>
      <w:r w:rsidRPr="000F01EB">
        <w:rPr>
          <w:lang w:val="en-GB"/>
        </w:rPr>
        <w:t xml:space="preserve"> </w:t>
      </w:r>
      <w:r w:rsidRPr="00941517">
        <w:t>To Thomas Pares, III, 9 June 1823, Pares Collection, Derbyshire Record Office, Matlock, D5336/3/214/30.</w:t>
      </w:r>
    </w:p>
  </w:endnote>
  <w:endnote w:id="45">
    <w:p w14:paraId="27853B3A" w14:textId="298C6F6E" w:rsidR="00274F86" w:rsidRPr="00941517" w:rsidRDefault="00274F86" w:rsidP="009622D2">
      <w:pPr>
        <w:pStyle w:val="EndnoteText"/>
        <w:spacing w:line="480" w:lineRule="auto"/>
        <w:rPr>
          <w:lang w:val="en-GB"/>
        </w:rPr>
      </w:pPr>
      <w:r w:rsidRPr="00941517">
        <w:rPr>
          <w:rStyle w:val="EndnoteReference"/>
        </w:rPr>
        <w:endnoteRef/>
      </w:r>
      <w:r w:rsidRPr="00941517">
        <w:t xml:space="preserve"> See Rathbone Papers, LUL, RP VI 1.109. Samuel Greg’s </w:t>
      </w:r>
      <w:r w:rsidR="006B75E3">
        <w:t>views</w:t>
      </w:r>
      <w:r w:rsidRPr="00941517">
        <w:t xml:space="preserve"> probably stemmed from their time </w:t>
      </w:r>
      <w:r w:rsidR="006B75E3">
        <w:t>in</w:t>
      </w:r>
      <w:r w:rsidRPr="00941517">
        <w:t xml:space="preserve"> the Literary and Philosophical Society </w:t>
      </w:r>
      <w:r w:rsidR="006B75E3">
        <w:t>before Owen left for New Lanark in 1799</w:t>
      </w:r>
      <w:r w:rsidRPr="00941517">
        <w:t>. See E. M. Fraser, ‘Robert Owen in Manchester, 1787-1800</w:t>
      </w:r>
      <w:r w:rsidRPr="00AE1839">
        <w:t>’</w:t>
      </w:r>
      <w:r>
        <w:t>,</w:t>
      </w:r>
      <w:r w:rsidRPr="00AE1839">
        <w:t xml:space="preserve"> </w:t>
      </w:r>
      <w:r w:rsidRPr="00AE1839">
        <w:rPr>
          <w:i/>
        </w:rPr>
        <w:t>Memoirs of the Literary and Philosophical</w:t>
      </w:r>
      <w:r w:rsidRPr="00941517">
        <w:t>, 82 (1937-8), 29-41.</w:t>
      </w:r>
    </w:p>
  </w:endnote>
  <w:endnote w:id="46">
    <w:p w14:paraId="4B45D653" w14:textId="641630EB" w:rsidR="00274F86" w:rsidRPr="00941517" w:rsidRDefault="00274F86" w:rsidP="00432A25">
      <w:pPr>
        <w:pStyle w:val="EndnoteText"/>
        <w:spacing w:line="480" w:lineRule="auto"/>
        <w:rPr>
          <w:lang w:val="en-GB"/>
        </w:rPr>
      </w:pPr>
      <w:r w:rsidRPr="00941517">
        <w:rPr>
          <w:rStyle w:val="EndnoteReference"/>
        </w:rPr>
        <w:endnoteRef/>
      </w:r>
      <w:r w:rsidRPr="00941517">
        <w:t xml:space="preserve"> Greg to Rathbone, 29 July 1794, </w:t>
      </w:r>
      <w:r w:rsidRPr="00941517">
        <w:rPr>
          <w:lang w:val="en-GB"/>
        </w:rPr>
        <w:t xml:space="preserve">RP </w:t>
      </w:r>
      <w:r w:rsidRPr="000F01EB">
        <w:rPr>
          <w:rFonts w:eastAsia="Times New Roman" w:cs="Arial"/>
          <w:shd w:val="clear" w:color="auto" w:fill="FFFFFF"/>
          <w:lang w:val="en-GB"/>
        </w:rPr>
        <w:t>II.1</w:t>
      </w:r>
      <w:r w:rsidRPr="000F01EB">
        <w:rPr>
          <w:rFonts w:eastAsia="Times New Roman" w:cs="Arial"/>
          <w:b/>
          <w:shd w:val="clear" w:color="auto" w:fill="FFFFFF"/>
          <w:lang w:val="en-GB"/>
        </w:rPr>
        <w:t xml:space="preserve"> </w:t>
      </w:r>
      <w:r w:rsidRPr="000F01EB">
        <w:rPr>
          <w:rFonts w:eastAsia="Times New Roman" w:cs="Arial"/>
          <w:shd w:val="clear" w:color="auto" w:fill="FFFFFF"/>
          <w:lang w:val="en-GB"/>
        </w:rPr>
        <w:t>62</w:t>
      </w:r>
      <w:r w:rsidRPr="000F01EB">
        <w:rPr>
          <w:rFonts w:eastAsia="Times New Roman" w:cs="Arial"/>
          <w:b/>
          <w:shd w:val="clear" w:color="auto" w:fill="FFFFFF"/>
          <w:lang w:val="en-GB"/>
        </w:rPr>
        <w:t xml:space="preserve">.  </w:t>
      </w:r>
    </w:p>
  </w:endnote>
  <w:endnote w:id="47">
    <w:p w14:paraId="7D9519C7" w14:textId="754823F4" w:rsidR="00274F86" w:rsidRPr="00941517" w:rsidRDefault="00274F86" w:rsidP="00CD4960">
      <w:pPr>
        <w:pStyle w:val="EndnoteText"/>
        <w:spacing w:line="480" w:lineRule="auto"/>
        <w:rPr>
          <w:lang w:val="en-GB"/>
        </w:rPr>
      </w:pPr>
      <w:r w:rsidRPr="00941517">
        <w:rPr>
          <w:rStyle w:val="EndnoteReference"/>
        </w:rPr>
        <w:endnoteRef/>
      </w:r>
      <w:r w:rsidRPr="00941517">
        <w:t xml:space="preserve"> See </w:t>
      </w:r>
      <w:r w:rsidRPr="00941517">
        <w:rPr>
          <w:i/>
          <w:lang w:val="en-GB"/>
        </w:rPr>
        <w:t>A Lady of Cotton</w:t>
      </w:r>
      <w:r w:rsidRPr="00941517">
        <w:rPr>
          <w:lang w:val="en-GB"/>
        </w:rPr>
        <w:t>, 98 and 214-25.</w:t>
      </w:r>
      <w:r w:rsidR="008E48A0">
        <w:rPr>
          <w:lang w:val="en-GB"/>
        </w:rPr>
        <w:t xml:space="preserve"> The source for the claim that Lightbody Greg entertained members of the society at her home is Ellen Melly’s MS ‘Reminiscences’ (1889) now in the archives at Quarry Bank.</w:t>
      </w:r>
    </w:p>
  </w:endnote>
  <w:endnote w:id="48">
    <w:p w14:paraId="513C018C" w14:textId="27AF7BB8" w:rsidR="00274F86" w:rsidRPr="00AE1839" w:rsidRDefault="00274F86" w:rsidP="00432A25">
      <w:pPr>
        <w:pStyle w:val="EndnoteText"/>
        <w:spacing w:line="480" w:lineRule="auto"/>
        <w:rPr>
          <w:lang w:val="en-GB"/>
        </w:rPr>
      </w:pPr>
      <w:r w:rsidRPr="00941517">
        <w:rPr>
          <w:rStyle w:val="EndnoteReference"/>
        </w:rPr>
        <w:endnoteRef/>
      </w:r>
      <w:r w:rsidRPr="00941517">
        <w:t xml:space="preserve"> </w:t>
      </w:r>
      <w:r w:rsidRPr="00941517">
        <w:rPr>
          <w:i/>
          <w:lang w:val="en-GB"/>
        </w:rPr>
        <w:t xml:space="preserve">Autobiography of Mrs Fletcher: with </w:t>
      </w:r>
      <w:r>
        <w:rPr>
          <w:i/>
          <w:lang w:val="en-GB"/>
        </w:rPr>
        <w:t>L</w:t>
      </w:r>
      <w:r w:rsidRPr="00941517">
        <w:rPr>
          <w:i/>
          <w:lang w:val="en-GB"/>
        </w:rPr>
        <w:t xml:space="preserve">etters and </w:t>
      </w:r>
      <w:r>
        <w:rPr>
          <w:i/>
          <w:lang w:val="en-GB"/>
        </w:rPr>
        <w:t>O</w:t>
      </w:r>
      <w:r w:rsidRPr="00941517">
        <w:rPr>
          <w:i/>
          <w:lang w:val="en-GB"/>
        </w:rPr>
        <w:t xml:space="preserve">ther </w:t>
      </w:r>
      <w:r>
        <w:rPr>
          <w:i/>
          <w:lang w:val="en-GB"/>
        </w:rPr>
        <w:t>F</w:t>
      </w:r>
      <w:r w:rsidRPr="00941517">
        <w:rPr>
          <w:i/>
          <w:lang w:val="en-GB"/>
        </w:rPr>
        <w:t xml:space="preserve">amily </w:t>
      </w:r>
      <w:r>
        <w:rPr>
          <w:i/>
          <w:lang w:val="en-GB"/>
        </w:rPr>
        <w:t>M</w:t>
      </w:r>
      <w:r w:rsidRPr="00941517">
        <w:rPr>
          <w:i/>
          <w:lang w:val="en-GB"/>
        </w:rPr>
        <w:t>emorials</w:t>
      </w:r>
      <w:r w:rsidRPr="00941517">
        <w:rPr>
          <w:lang w:val="en-GB"/>
        </w:rPr>
        <w:t xml:space="preserve"> (Edinburgh, 1875), 97. See the discussion of Fletcher’s circle in Rendall, ‘</w:t>
      </w:r>
      <w:r w:rsidRPr="00AE1839">
        <w:rPr>
          <w:lang w:val="en-GB"/>
        </w:rPr>
        <w:t xml:space="preserve">Women that </w:t>
      </w:r>
      <w:r>
        <w:rPr>
          <w:lang w:val="en-GB"/>
        </w:rPr>
        <w:t>W</w:t>
      </w:r>
      <w:r w:rsidRPr="00AE1839">
        <w:rPr>
          <w:lang w:val="en-GB"/>
        </w:rPr>
        <w:t xml:space="preserve">ould </w:t>
      </w:r>
      <w:r>
        <w:rPr>
          <w:lang w:val="en-GB"/>
        </w:rPr>
        <w:t>P</w:t>
      </w:r>
      <w:r w:rsidRPr="00AE1839">
        <w:rPr>
          <w:lang w:val="en-GB"/>
        </w:rPr>
        <w:t>lague me’</w:t>
      </w:r>
      <w:r>
        <w:rPr>
          <w:lang w:val="en-GB"/>
        </w:rPr>
        <w:t>.</w:t>
      </w:r>
    </w:p>
  </w:endnote>
  <w:endnote w:id="49">
    <w:p w14:paraId="06143812" w14:textId="276DB005" w:rsidR="00274F86" w:rsidRPr="00941517" w:rsidRDefault="00274F86">
      <w:pPr>
        <w:pStyle w:val="EndnoteText"/>
        <w:spacing w:line="480" w:lineRule="auto"/>
        <w:rPr>
          <w:lang w:val="en-GB"/>
        </w:rPr>
      </w:pPr>
      <w:r w:rsidRPr="00941517">
        <w:rPr>
          <w:rStyle w:val="EndnoteReference"/>
        </w:rPr>
        <w:endnoteRef/>
      </w:r>
      <w:r w:rsidRPr="00941517">
        <w:t xml:space="preserve"> </w:t>
      </w:r>
      <w:r w:rsidRPr="00941517">
        <w:rPr>
          <w:i/>
          <w:lang w:val="en-GB"/>
        </w:rPr>
        <w:t>A Lady of Cotton</w:t>
      </w:r>
      <w:r w:rsidRPr="00941517">
        <w:rPr>
          <w:lang w:val="en-GB"/>
        </w:rPr>
        <w:t>, 215.</w:t>
      </w:r>
    </w:p>
  </w:endnote>
  <w:endnote w:id="50">
    <w:p w14:paraId="50B7C6B5" w14:textId="122A19F6" w:rsidR="00274F86" w:rsidRPr="00941517" w:rsidRDefault="00274F86" w:rsidP="00FF4A4A">
      <w:pPr>
        <w:spacing w:line="480" w:lineRule="auto"/>
        <w:rPr>
          <w:rFonts w:cs="Arial"/>
        </w:rPr>
      </w:pPr>
      <w:r w:rsidRPr="00941517">
        <w:rPr>
          <w:rStyle w:val="EndnoteReference"/>
        </w:rPr>
        <w:endnoteRef/>
      </w:r>
      <w:r w:rsidRPr="00941517">
        <w:t xml:space="preserve"> </w:t>
      </w:r>
      <w:r w:rsidRPr="000F01EB">
        <w:rPr>
          <w:shd w:val="clear" w:color="auto" w:fill="FFFFFF"/>
          <w:lang w:val="en-GB"/>
        </w:rPr>
        <w:t xml:space="preserve">See ‘The Invitation’, ll. 151-4, </w:t>
      </w:r>
      <w:r w:rsidRPr="00941517">
        <w:rPr>
          <w:rFonts w:cs="Arial"/>
          <w:i/>
        </w:rPr>
        <w:t>The Poems of Anna Letitia Barbauld</w:t>
      </w:r>
      <w:r w:rsidRPr="00941517">
        <w:rPr>
          <w:rFonts w:cs="Arial"/>
        </w:rPr>
        <w:t xml:space="preserve"> (Athens, Ga.: University of Georgia Press, 1994), 9-14.</w:t>
      </w:r>
    </w:p>
  </w:endnote>
  <w:endnote w:id="51">
    <w:p w14:paraId="1661136D" w14:textId="50024981" w:rsidR="00274F86" w:rsidRPr="00941517" w:rsidRDefault="00274F86" w:rsidP="00FF4A4A">
      <w:pPr>
        <w:pStyle w:val="EndnoteText"/>
        <w:spacing w:line="480" w:lineRule="auto"/>
        <w:rPr>
          <w:lang w:val="en-GB"/>
        </w:rPr>
      </w:pPr>
      <w:r w:rsidRPr="00941517">
        <w:rPr>
          <w:rStyle w:val="EndnoteReference"/>
        </w:rPr>
        <w:endnoteRef/>
      </w:r>
      <w:r w:rsidRPr="00941517">
        <w:t xml:space="preserve"> ‘Eighteen Hundred and Eleven’</w:t>
      </w:r>
      <w:r>
        <w:t>,</w:t>
      </w:r>
      <w:r w:rsidRPr="00AE1839">
        <w:t xml:space="preserve"> in </w:t>
      </w:r>
      <w:r w:rsidRPr="00AE1839">
        <w:rPr>
          <w:i/>
        </w:rPr>
        <w:t>Poems</w:t>
      </w:r>
      <w:r w:rsidRPr="00AE1839">
        <w:t xml:space="preserve">, 152-160. </w:t>
      </w:r>
      <w:r w:rsidRPr="00AE1839">
        <w:rPr>
          <w:lang w:val="en-GB"/>
        </w:rPr>
        <w:t xml:space="preserve">Croker’s review appeared in </w:t>
      </w:r>
      <w:r w:rsidRPr="00941517">
        <w:rPr>
          <w:i/>
          <w:lang w:val="en-GB"/>
        </w:rPr>
        <w:t>Quarterly Review</w:t>
      </w:r>
      <w:r w:rsidRPr="00941517">
        <w:rPr>
          <w:lang w:val="en-GB"/>
        </w:rPr>
        <w:t>, 7 (1812), 309-13.</w:t>
      </w:r>
    </w:p>
  </w:endnote>
  <w:endnote w:id="52">
    <w:p w14:paraId="40F0A038" w14:textId="35B2AD27" w:rsidR="00274F86" w:rsidRPr="00941517" w:rsidRDefault="00274F86" w:rsidP="00FF4A4A">
      <w:pPr>
        <w:pStyle w:val="EndnoteText"/>
        <w:spacing w:line="480" w:lineRule="auto"/>
        <w:rPr>
          <w:lang w:val="en-GB"/>
        </w:rPr>
      </w:pPr>
      <w:r w:rsidRPr="00941517">
        <w:rPr>
          <w:rStyle w:val="EndnoteReference"/>
        </w:rPr>
        <w:endnoteRef/>
      </w:r>
      <w:r w:rsidRPr="00941517">
        <w:t xml:space="preserve"> </w:t>
      </w:r>
      <w:r w:rsidRPr="00941517">
        <w:rPr>
          <w:lang w:val="en-GB"/>
        </w:rPr>
        <w:t xml:space="preserve">See Aikin, </w:t>
      </w:r>
      <w:r w:rsidRPr="00941517">
        <w:rPr>
          <w:i/>
          <w:lang w:val="en-GB"/>
        </w:rPr>
        <w:t>Description of … Manchester</w:t>
      </w:r>
      <w:r w:rsidRPr="00941517">
        <w:rPr>
          <w:lang w:val="en-GB"/>
        </w:rPr>
        <w:t>, 3.</w:t>
      </w:r>
    </w:p>
  </w:endnote>
  <w:endnote w:id="53">
    <w:p w14:paraId="480BD069" w14:textId="70485D02" w:rsidR="00274F86" w:rsidRPr="00941517" w:rsidRDefault="00274F86" w:rsidP="004234AA">
      <w:pPr>
        <w:pStyle w:val="EndnoteText"/>
        <w:spacing w:line="480" w:lineRule="auto"/>
        <w:rPr>
          <w:lang w:val="en-GB"/>
        </w:rPr>
      </w:pPr>
      <w:r w:rsidRPr="00941517">
        <w:rPr>
          <w:rStyle w:val="EndnoteReference"/>
        </w:rPr>
        <w:endnoteRef/>
      </w:r>
      <w:r w:rsidRPr="00941517">
        <w:t xml:space="preserve"> </w:t>
      </w:r>
      <w:r w:rsidRPr="00941517">
        <w:rPr>
          <w:bCs/>
          <w:i/>
          <w:iCs/>
          <w:lang w:val="en-GB"/>
        </w:rPr>
        <w:t>Virtue made easy</w:t>
      </w:r>
      <w:r w:rsidRPr="00941517">
        <w:rPr>
          <w:bCs/>
          <w:iCs/>
          <w:lang w:val="en-GB"/>
        </w:rPr>
        <w:t xml:space="preserve"> (1799), iv.</w:t>
      </w:r>
    </w:p>
  </w:endnote>
  <w:endnote w:id="54">
    <w:p w14:paraId="4FA5C3DE" w14:textId="73C39EAD" w:rsidR="00274F86" w:rsidRPr="00AE1839" w:rsidRDefault="00274F86" w:rsidP="00F757A8">
      <w:pPr>
        <w:pStyle w:val="p1"/>
        <w:spacing w:line="480" w:lineRule="auto"/>
        <w:rPr>
          <w:rFonts w:ascii="Cambria" w:hAnsi="Cambria"/>
          <w:sz w:val="24"/>
          <w:szCs w:val="24"/>
        </w:rPr>
      </w:pPr>
      <w:r w:rsidRPr="00941517">
        <w:rPr>
          <w:rStyle w:val="EndnoteReference"/>
          <w:rFonts w:ascii="Cambria" w:hAnsi="Cambria"/>
          <w:sz w:val="24"/>
          <w:szCs w:val="24"/>
        </w:rPr>
        <w:endnoteRef/>
      </w:r>
      <w:r w:rsidRPr="00941517">
        <w:rPr>
          <w:rFonts w:ascii="Cambria" w:hAnsi="Cambria"/>
          <w:sz w:val="24"/>
          <w:szCs w:val="24"/>
        </w:rPr>
        <w:t xml:space="preserve"> Wharton, ‘Inscribing on the Mind: Anna Letitia Barbauld’s </w:t>
      </w:r>
      <w:r>
        <w:rPr>
          <w:rFonts w:ascii="Cambria" w:hAnsi="Cambria"/>
          <w:sz w:val="24"/>
          <w:szCs w:val="24"/>
        </w:rPr>
        <w:t>“</w:t>
      </w:r>
      <w:r w:rsidRPr="00941517">
        <w:rPr>
          <w:rFonts w:ascii="Cambria" w:hAnsi="Cambria"/>
          <w:sz w:val="24"/>
          <w:szCs w:val="24"/>
        </w:rPr>
        <w:t>Sensible Objects</w:t>
      </w:r>
      <w:r>
        <w:rPr>
          <w:rFonts w:ascii="Cambria" w:hAnsi="Cambria"/>
          <w:i/>
          <w:sz w:val="24"/>
          <w:szCs w:val="24"/>
        </w:rPr>
        <w:t>”</w:t>
      </w:r>
      <w:r w:rsidRPr="00AE1839">
        <w:rPr>
          <w:rFonts w:ascii="Cambria" w:hAnsi="Cambria"/>
          <w:sz w:val="24"/>
          <w:szCs w:val="24"/>
        </w:rPr>
        <w:t xml:space="preserve">,’ </w:t>
      </w:r>
      <w:r w:rsidRPr="00AE1839">
        <w:rPr>
          <w:rFonts w:ascii="Cambria" w:hAnsi="Cambria"/>
          <w:i/>
          <w:sz w:val="24"/>
          <w:szCs w:val="24"/>
        </w:rPr>
        <w:t>Journal for Eighteenth Century Studies</w:t>
      </w:r>
      <w:r w:rsidRPr="00AE1839">
        <w:rPr>
          <w:rFonts w:ascii="Cambria" w:hAnsi="Cambria"/>
          <w:sz w:val="24"/>
          <w:szCs w:val="24"/>
        </w:rPr>
        <w:t>, 35. 4 (2012)</w:t>
      </w:r>
      <w:r>
        <w:rPr>
          <w:rFonts w:ascii="Cambria" w:hAnsi="Cambria"/>
          <w:sz w:val="24"/>
          <w:szCs w:val="24"/>
        </w:rPr>
        <w:t>:</w:t>
      </w:r>
      <w:r w:rsidRPr="00AE1839">
        <w:rPr>
          <w:rFonts w:ascii="Cambria" w:hAnsi="Cambria"/>
          <w:sz w:val="24"/>
          <w:szCs w:val="24"/>
        </w:rPr>
        <w:t xml:space="preserve"> 535-550.</w:t>
      </w:r>
    </w:p>
  </w:endnote>
  <w:endnote w:id="55">
    <w:p w14:paraId="622A626E" w14:textId="32AB365B" w:rsidR="00274F86" w:rsidRPr="00AE1839" w:rsidRDefault="00274F86" w:rsidP="00EF2204">
      <w:pPr>
        <w:pStyle w:val="EndnoteText"/>
        <w:spacing w:line="480" w:lineRule="auto"/>
        <w:rPr>
          <w:lang w:val="en-GB"/>
        </w:rPr>
      </w:pPr>
      <w:r w:rsidRPr="00941517">
        <w:rPr>
          <w:rStyle w:val="EndnoteReference"/>
        </w:rPr>
        <w:endnoteRef/>
      </w:r>
      <w:r w:rsidRPr="00941517">
        <w:t xml:space="preserve"> </w:t>
      </w:r>
      <w:r w:rsidRPr="00941517">
        <w:rPr>
          <w:lang w:val="en-GB"/>
        </w:rPr>
        <w:t xml:space="preserve">See, for instance, </w:t>
      </w:r>
      <w:r w:rsidRPr="00941517">
        <w:t xml:space="preserve">‘To Mrs. P, with some Drawings of Birds and Insects, </w:t>
      </w:r>
      <w:r w:rsidRPr="00AE1839">
        <w:rPr>
          <w:lang w:val="en-GB"/>
        </w:rPr>
        <w:t>written for Mary Priestley</w:t>
      </w:r>
      <w:r>
        <w:rPr>
          <w:lang w:val="en-GB"/>
        </w:rPr>
        <w:t>’</w:t>
      </w:r>
      <w:r w:rsidRPr="00AE1839">
        <w:rPr>
          <w:lang w:val="en-GB"/>
        </w:rPr>
        <w:t>, discussed by Wharton</w:t>
      </w:r>
      <w:r>
        <w:rPr>
          <w:lang w:val="en-GB"/>
        </w:rPr>
        <w:t>,</w:t>
      </w:r>
      <w:r w:rsidRPr="00AE1839">
        <w:rPr>
          <w:lang w:val="en-GB"/>
        </w:rPr>
        <w:t xml:space="preserve"> ibid.</w:t>
      </w:r>
      <w:r>
        <w:rPr>
          <w:lang w:val="en-GB"/>
        </w:rPr>
        <w:t>,</w:t>
      </w:r>
      <w:r w:rsidRPr="00AE1839">
        <w:rPr>
          <w:lang w:val="en-GB"/>
        </w:rPr>
        <w:t xml:space="preserve"> 542.</w:t>
      </w:r>
    </w:p>
  </w:endnote>
  <w:endnote w:id="56">
    <w:p w14:paraId="3822AF09" w14:textId="30C725A8" w:rsidR="00274F86" w:rsidRPr="00941517" w:rsidRDefault="00274F86" w:rsidP="00F757A8">
      <w:pPr>
        <w:pStyle w:val="EndnoteText"/>
        <w:spacing w:line="480" w:lineRule="auto"/>
        <w:rPr>
          <w:lang w:val="en-GB"/>
        </w:rPr>
      </w:pPr>
      <w:r w:rsidRPr="00941517">
        <w:rPr>
          <w:rStyle w:val="EndnoteReference"/>
        </w:rPr>
        <w:endnoteRef/>
      </w:r>
      <w:r w:rsidRPr="00941517">
        <w:t xml:space="preserve"> </w:t>
      </w:r>
      <w:r w:rsidRPr="00941517">
        <w:rPr>
          <w:i/>
        </w:rPr>
        <w:t>Poems of Barbauld</w:t>
      </w:r>
      <w:r w:rsidRPr="00941517">
        <w:t>, 27-8. See Wharton’s excellent discussion, ibid.</w:t>
      </w:r>
      <w:r>
        <w:t>,</w:t>
      </w:r>
      <w:r w:rsidRPr="00941517">
        <w:t xml:space="preserve"> 536-7.</w:t>
      </w:r>
    </w:p>
  </w:endnote>
  <w:endnote w:id="57">
    <w:p w14:paraId="44EA7A3D" w14:textId="5BD4AEA4" w:rsidR="00274F86" w:rsidRPr="00AE1839" w:rsidRDefault="00274F86" w:rsidP="00AD6249">
      <w:pPr>
        <w:pStyle w:val="EndnoteText"/>
        <w:spacing w:line="480" w:lineRule="auto"/>
        <w:rPr>
          <w:lang w:val="en-GB"/>
        </w:rPr>
      </w:pPr>
      <w:r w:rsidRPr="00941517">
        <w:rPr>
          <w:rStyle w:val="EndnoteReference"/>
        </w:rPr>
        <w:endnoteRef/>
      </w:r>
      <w:r w:rsidRPr="00941517">
        <w:t xml:space="preserve"> William Turner, ‘Mrs. Barbauld’, </w:t>
      </w:r>
      <w:r w:rsidRPr="00AE1839">
        <w:rPr>
          <w:i/>
          <w:lang w:val="en-GB"/>
        </w:rPr>
        <w:t>Newcastle Magazine</w:t>
      </w:r>
      <w:r w:rsidRPr="00AE1839">
        <w:rPr>
          <w:lang w:val="en-GB"/>
        </w:rPr>
        <w:t>, 4 (April 1825) 183. The poem was printed at 185-6. The obituary continued into the next number.</w:t>
      </w:r>
    </w:p>
  </w:endnote>
  <w:endnote w:id="58">
    <w:p w14:paraId="0D4717B6" w14:textId="746D059B" w:rsidR="00274F86" w:rsidRPr="00941517" w:rsidRDefault="00274F86" w:rsidP="00F757A8">
      <w:pPr>
        <w:pStyle w:val="EndnoteText"/>
        <w:spacing w:line="480" w:lineRule="auto"/>
        <w:rPr>
          <w:lang w:val="en-GB"/>
        </w:rPr>
      </w:pPr>
      <w:r w:rsidRPr="00941517">
        <w:rPr>
          <w:rStyle w:val="EndnoteReference"/>
        </w:rPr>
        <w:endnoteRef/>
      </w:r>
      <w:r w:rsidRPr="00941517">
        <w:t xml:space="preserve"> </w:t>
      </w:r>
      <w:r w:rsidR="00907BE9">
        <w:rPr>
          <w:lang w:val="en-GB"/>
        </w:rPr>
        <w:t xml:space="preserve">On </w:t>
      </w:r>
      <w:r w:rsidRPr="00941517">
        <w:rPr>
          <w:lang w:val="en-GB"/>
        </w:rPr>
        <w:t xml:space="preserve"> Turner, see Stephen Harbottle</w:t>
      </w:r>
      <w:r w:rsidRPr="00941517">
        <w:rPr>
          <w:i/>
          <w:lang w:val="en-GB"/>
        </w:rPr>
        <w:t>, The Reverend</w:t>
      </w:r>
      <w:r w:rsidRPr="00941517">
        <w:rPr>
          <w:lang w:val="en-GB"/>
        </w:rPr>
        <w:t xml:space="preserve"> </w:t>
      </w:r>
      <w:r w:rsidRPr="00941517">
        <w:rPr>
          <w:i/>
          <w:lang w:val="en-GB"/>
        </w:rPr>
        <w:t xml:space="preserve">William Turner: Dissent and Reform in Georgian Newcastle upon </w:t>
      </w:r>
      <w:r w:rsidRPr="000F01EB">
        <w:rPr>
          <w:i/>
          <w:lang w:val="en-GB"/>
        </w:rPr>
        <w:t>Tyne</w:t>
      </w:r>
      <w:r w:rsidRPr="00941517">
        <w:rPr>
          <w:lang w:val="en-GB"/>
        </w:rPr>
        <w:t xml:space="preserve"> (Newcastle: Northern Universities Press, 1997).</w:t>
      </w:r>
    </w:p>
  </w:endnote>
  <w:endnote w:id="59">
    <w:p w14:paraId="250BA83C" w14:textId="7A87F0DD" w:rsidR="00274F86" w:rsidRPr="00941517" w:rsidRDefault="00274F86" w:rsidP="00F757A8">
      <w:pPr>
        <w:pStyle w:val="EndnoteText"/>
        <w:spacing w:line="480" w:lineRule="auto"/>
        <w:rPr>
          <w:lang w:val="en-GB"/>
        </w:rPr>
      </w:pPr>
      <w:r w:rsidRPr="00941517">
        <w:rPr>
          <w:rStyle w:val="EndnoteReference"/>
        </w:rPr>
        <w:endnoteRef/>
      </w:r>
      <w:r w:rsidRPr="00941517">
        <w:t xml:space="preserve"> </w:t>
      </w:r>
      <w:r w:rsidRPr="00941517">
        <w:rPr>
          <w:i/>
        </w:rPr>
        <w:t>Speculations on the Propriety of Attempting the Establishment of a Literary Society in Newcastle</w:t>
      </w:r>
      <w:r w:rsidRPr="00941517">
        <w:t xml:space="preserve"> [Newcastle, 1793], 2.</w:t>
      </w:r>
    </w:p>
  </w:endnote>
  <w:endnote w:id="60">
    <w:p w14:paraId="2E45AD55" w14:textId="3B8DCFC0" w:rsidR="00274F86" w:rsidRPr="008B7DA7" w:rsidRDefault="00274F86" w:rsidP="00182FE1">
      <w:pPr>
        <w:pStyle w:val="EndnoteText"/>
        <w:spacing w:line="480" w:lineRule="auto"/>
        <w:rPr>
          <w:lang w:val="en-GB"/>
        </w:rPr>
      </w:pPr>
      <w:r w:rsidRPr="00941517">
        <w:rPr>
          <w:rStyle w:val="EndnoteReference"/>
        </w:rPr>
        <w:endnoteRef/>
      </w:r>
      <w:r w:rsidRPr="00941517">
        <w:t xml:space="preserve"> </w:t>
      </w:r>
      <w:r w:rsidRPr="00941517">
        <w:rPr>
          <w:lang w:val="en-GB"/>
        </w:rPr>
        <w:t xml:space="preserve">Ruth Watts, </w:t>
      </w:r>
      <w:r w:rsidRPr="00941517">
        <w:rPr>
          <w:i/>
          <w:lang w:val="en-GB"/>
        </w:rPr>
        <w:t>Gender, Power and the Unitarians in England 1760-1860</w:t>
      </w:r>
      <w:r w:rsidRPr="00941517">
        <w:rPr>
          <w:lang w:val="en-GB"/>
        </w:rPr>
        <w:t xml:space="preserve"> (London: Routledge, 1988), 66, 68, and 123. See William to Mary Turner, 29 January 1812, in </w:t>
      </w:r>
      <w:r w:rsidRPr="00941517">
        <w:rPr>
          <w:i/>
        </w:rPr>
        <w:t>Private Voices The Diaries of Elizabeth Gaskell and Sophia Holland</w:t>
      </w:r>
      <w:r w:rsidRPr="00941517">
        <w:t xml:space="preserve">, ed. J.A.V. Chapple and Anita Wilson, (Keele: </w:t>
      </w:r>
      <w:proofErr w:type="spellStart"/>
      <w:r w:rsidRPr="00941517">
        <w:t>Keele</w:t>
      </w:r>
      <w:proofErr w:type="spellEnd"/>
      <w:r w:rsidRPr="00941517">
        <w:t xml:space="preserve"> University Press, 1996)</w:t>
      </w:r>
      <w:r w:rsidR="00907BE9">
        <w:t xml:space="preserve">. </w:t>
      </w:r>
      <w:r w:rsidRPr="00941517">
        <w:t>Turner notes that his daughter has ‘perused the strong and often coarse, though too often well-founded strictures, of Mrs Wollstonecraft’</w:t>
      </w:r>
      <w:r>
        <w:t>,</w:t>
      </w:r>
      <w:r w:rsidRPr="008B7DA7">
        <w:t xml:space="preserve"> 115.</w:t>
      </w:r>
    </w:p>
  </w:endnote>
  <w:endnote w:id="61">
    <w:p w14:paraId="5EB3E06E" w14:textId="4696A6A6" w:rsidR="00274F86" w:rsidRPr="008B7DA7" w:rsidRDefault="00274F86" w:rsidP="00887F56">
      <w:pPr>
        <w:pStyle w:val="EndnoteText"/>
        <w:spacing w:line="480" w:lineRule="auto"/>
        <w:rPr>
          <w:lang w:val="en-GB"/>
        </w:rPr>
      </w:pPr>
      <w:r w:rsidRPr="00941517">
        <w:rPr>
          <w:rStyle w:val="EndnoteReference"/>
        </w:rPr>
        <w:endnoteRef/>
      </w:r>
      <w:r w:rsidRPr="00941517">
        <w:t xml:space="preserve"> </w:t>
      </w:r>
      <w:r w:rsidRPr="00941517">
        <w:rPr>
          <w:lang w:val="en-GB"/>
        </w:rPr>
        <w:t xml:space="preserve">Gaskell stayed with the Turners in Newcastle before her marriage. See John Chapple, </w:t>
      </w:r>
      <w:r w:rsidRPr="00941517">
        <w:rPr>
          <w:i/>
          <w:lang w:val="en-GB"/>
        </w:rPr>
        <w:t>Elizabeth Gaskell: The Early Years</w:t>
      </w:r>
      <w:r w:rsidRPr="00AE1839">
        <w:rPr>
          <w:lang w:val="en-GB"/>
        </w:rPr>
        <w:t xml:space="preserve"> (Manchester: Manchester University Pre</w:t>
      </w:r>
      <w:r w:rsidRPr="00941517">
        <w:rPr>
          <w:lang w:val="en-GB"/>
        </w:rPr>
        <w:t xml:space="preserve">ss, 2009), 351-70. Her father was reputedly a tutor at Manchester Academy, ibid. 33, and certainly worshipped at Cross Street, 33-4. Her husband – William Gaskell </w:t>
      </w:r>
      <w:r>
        <w:rPr>
          <w:lang w:val="en-GB"/>
        </w:rPr>
        <w:t>–</w:t>
      </w:r>
      <w:r w:rsidRPr="008B7DA7">
        <w:rPr>
          <w:lang w:val="en-GB"/>
        </w:rPr>
        <w:t xml:space="preserve"> became Unitarian minister there. Hannah Greg knew Gaskell’s Manchester networks. See ibid.</w:t>
      </w:r>
      <w:r>
        <w:rPr>
          <w:lang w:val="en-GB"/>
        </w:rPr>
        <w:t>,</w:t>
      </w:r>
      <w:r w:rsidRPr="008B7DA7">
        <w:rPr>
          <w:lang w:val="en-GB"/>
        </w:rPr>
        <w:t xml:space="preserve"> 139-44.</w:t>
      </w:r>
    </w:p>
  </w:endnote>
  <w:endnote w:id="62">
    <w:p w14:paraId="42176933" w14:textId="4E67D10F" w:rsidR="00274F86" w:rsidRPr="008B7DA7" w:rsidRDefault="00274F86" w:rsidP="00887F56">
      <w:pPr>
        <w:spacing w:line="480" w:lineRule="auto"/>
      </w:pPr>
      <w:r w:rsidRPr="00941517">
        <w:rPr>
          <w:rStyle w:val="EndnoteReference"/>
        </w:rPr>
        <w:endnoteRef/>
      </w:r>
      <w:r w:rsidRPr="00941517">
        <w:t xml:space="preserve"> Mary Robberds, ‘Recollections of a Long Life</w:t>
      </w:r>
      <w:r w:rsidRPr="00AE1839">
        <w:t>’,</w:t>
      </w:r>
      <w:r w:rsidRPr="008B7DA7">
        <w:t xml:space="preserve"> in </w:t>
      </w:r>
      <w:r w:rsidRPr="008B7DA7">
        <w:rPr>
          <w:i/>
        </w:rPr>
        <w:t>Private Voices</w:t>
      </w:r>
      <w:r w:rsidRPr="008B7DA7">
        <w:t>, 109-10.</w:t>
      </w:r>
    </w:p>
  </w:endnote>
  <w:endnote w:id="63">
    <w:p w14:paraId="705EC2DC" w14:textId="3943D3A6" w:rsidR="00274F86" w:rsidRPr="008B7DA7" w:rsidRDefault="00274F86" w:rsidP="00887F56">
      <w:pPr>
        <w:pStyle w:val="EndnoteText"/>
        <w:spacing w:line="480" w:lineRule="auto"/>
        <w:rPr>
          <w:lang w:val="en-GB"/>
        </w:rPr>
      </w:pPr>
      <w:r w:rsidRPr="00941517">
        <w:rPr>
          <w:rStyle w:val="EndnoteReference"/>
        </w:rPr>
        <w:endnoteRef/>
      </w:r>
      <w:r w:rsidRPr="00941517">
        <w:t xml:space="preserve"> </w:t>
      </w:r>
      <w:r w:rsidRPr="00941517">
        <w:rPr>
          <w:lang w:val="en-GB"/>
        </w:rPr>
        <w:t>Turner, ‘Mrs. Barbauld’</w:t>
      </w:r>
      <w:r>
        <w:rPr>
          <w:lang w:val="en-GB"/>
        </w:rPr>
        <w:t>,</w:t>
      </w:r>
      <w:r w:rsidRPr="00AE1839">
        <w:rPr>
          <w:lang w:val="en-GB"/>
        </w:rPr>
        <w:t xml:space="preserve"> 183</w:t>
      </w:r>
      <w:r w:rsidRPr="008B7DA7">
        <w:rPr>
          <w:lang w:val="en-GB"/>
        </w:rPr>
        <w:t>.</w:t>
      </w:r>
    </w:p>
  </w:endnote>
  <w:endnote w:id="64">
    <w:p w14:paraId="3ECB91CF" w14:textId="07FAA77D" w:rsidR="00274F86" w:rsidRPr="00941517" w:rsidRDefault="00274F86" w:rsidP="008822AB">
      <w:pPr>
        <w:pStyle w:val="EndnoteText"/>
        <w:spacing w:line="480" w:lineRule="auto"/>
        <w:rPr>
          <w:lang w:val="en-GB"/>
        </w:rPr>
      </w:pPr>
      <w:r w:rsidRPr="00941517">
        <w:rPr>
          <w:rStyle w:val="EndnoteReference"/>
        </w:rPr>
        <w:endnoteRef/>
      </w:r>
      <w:r w:rsidRPr="00941517">
        <w:t xml:space="preserve"> See the manuscript volume ‘Books Recommended to be Ordered’</w:t>
      </w:r>
      <w:r>
        <w:t>,</w:t>
      </w:r>
      <w:r w:rsidRPr="00941517">
        <w:t xml:space="preserve"> Library of the Literary and Philosophical Society of Newcastle upon Tyne. The new category of membership was confirmed at the annual meeting 15 March 1799. See </w:t>
      </w:r>
      <w:r w:rsidRPr="00941517">
        <w:rPr>
          <w:i/>
        </w:rPr>
        <w:t>A Historical Sketch of the Transactions of the Literary and Philosophical Society of Newcastle upon Tyne</w:t>
      </w:r>
      <w:r w:rsidRPr="00941517">
        <w:t xml:space="preserve"> (Newcastle, 1807), 1.</w:t>
      </w:r>
    </w:p>
  </w:endnote>
  <w:endnote w:id="65">
    <w:p w14:paraId="5C6DCC92" w14:textId="74AE634E" w:rsidR="00274F86" w:rsidRPr="00941517" w:rsidRDefault="00274F86" w:rsidP="000F4C85">
      <w:pPr>
        <w:pStyle w:val="EndnoteText"/>
        <w:spacing w:line="480" w:lineRule="auto"/>
        <w:rPr>
          <w:lang w:val="en-GB"/>
        </w:rPr>
      </w:pPr>
      <w:r w:rsidRPr="00941517">
        <w:rPr>
          <w:rStyle w:val="EndnoteReference"/>
        </w:rPr>
        <w:endnoteRef/>
      </w:r>
      <w:r w:rsidRPr="00941517">
        <w:t xml:space="preserve"> ‘Books Recommended to be Ordered’</w:t>
      </w:r>
      <w:r>
        <w:t>.</w:t>
      </w:r>
    </w:p>
  </w:endnote>
  <w:endnote w:id="66">
    <w:p w14:paraId="092B6184" w14:textId="497922AC" w:rsidR="00274F86" w:rsidRPr="00941517" w:rsidRDefault="00274F86" w:rsidP="000F4C85">
      <w:pPr>
        <w:pStyle w:val="EndnoteText"/>
        <w:spacing w:line="480" w:lineRule="auto"/>
        <w:rPr>
          <w:lang w:val="en-GB"/>
        </w:rPr>
      </w:pPr>
      <w:r w:rsidRPr="00941517">
        <w:rPr>
          <w:rStyle w:val="EndnoteReference"/>
        </w:rPr>
        <w:endnoteRef/>
      </w:r>
      <w:r w:rsidRPr="00941517">
        <w:t xml:space="preserve"> Livingstone, </w:t>
      </w:r>
      <w:r w:rsidRPr="00941517">
        <w:rPr>
          <w:i/>
        </w:rPr>
        <w:t>Putting Science</w:t>
      </w:r>
      <w:r w:rsidRPr="00941517">
        <w:t>, 78.</w:t>
      </w:r>
    </w:p>
  </w:endnote>
  <w:endnote w:id="67">
    <w:p w14:paraId="0D4D884B" w14:textId="3F875A12" w:rsidR="00274F86" w:rsidRPr="00AE1839" w:rsidRDefault="00274F86" w:rsidP="006F1994">
      <w:pPr>
        <w:spacing w:line="480" w:lineRule="auto"/>
      </w:pPr>
      <w:r w:rsidRPr="00941517">
        <w:rPr>
          <w:rStyle w:val="EndnoteReference"/>
        </w:rPr>
        <w:endnoteRef/>
      </w:r>
      <w:r w:rsidRPr="00941517">
        <w:t xml:space="preserve"> ‘Recollections’</w:t>
      </w:r>
      <w:r>
        <w:t>,</w:t>
      </w:r>
      <w:r w:rsidRPr="00941517">
        <w:t xml:space="preserve"> 110</w:t>
      </w:r>
      <w:r w:rsidRPr="00AE1839">
        <w:t>.</w:t>
      </w:r>
    </w:p>
  </w:endnote>
  <w:endnote w:id="68">
    <w:p w14:paraId="3FA4B1AA" w14:textId="3CBB569B" w:rsidR="00274F86" w:rsidRPr="00941517" w:rsidRDefault="00274F86" w:rsidP="00EA4E04">
      <w:pPr>
        <w:pStyle w:val="EndnoteText"/>
        <w:spacing w:line="480" w:lineRule="auto"/>
        <w:rPr>
          <w:lang w:val="en-GB"/>
        </w:rPr>
      </w:pPr>
      <w:r w:rsidRPr="00941517">
        <w:rPr>
          <w:rStyle w:val="EndnoteReference"/>
        </w:rPr>
        <w:endnoteRef/>
      </w:r>
      <w:r w:rsidRPr="00941517">
        <w:t xml:space="preserve"> ‘Committee Minutes, 1794-1806’</w:t>
      </w:r>
      <w:r>
        <w:t>,</w:t>
      </w:r>
      <w:r w:rsidRPr="00941517">
        <w:t xml:space="preserve"> Library</w:t>
      </w:r>
      <w:r w:rsidRPr="00AE1839">
        <w:t xml:space="preserve"> of the Literary and Philosophical Society of Newcastle upon Tyne. I am grateful to the Society’s current President Paul Gaulinas, for thi</w:t>
      </w:r>
      <w:r w:rsidRPr="00941517">
        <w:t>s</w:t>
      </w:r>
      <w:r w:rsidR="000F01EB">
        <w:t xml:space="preserve"> and other</w:t>
      </w:r>
      <w:r w:rsidRPr="00941517">
        <w:t xml:space="preserve"> information</w:t>
      </w:r>
      <w:r w:rsidR="000F01EB">
        <w:t xml:space="preserve"> regarding the Society</w:t>
      </w:r>
      <w:r w:rsidRPr="00941517">
        <w:t>.</w:t>
      </w:r>
    </w:p>
  </w:endnote>
  <w:endnote w:id="69">
    <w:p w14:paraId="7ECC9310" w14:textId="66BDCB5E" w:rsidR="00274F86" w:rsidRPr="00941517" w:rsidRDefault="00274F86" w:rsidP="00973FE3">
      <w:pPr>
        <w:spacing w:line="480" w:lineRule="auto"/>
        <w:rPr>
          <w:lang w:val="en-GB"/>
        </w:rPr>
      </w:pPr>
      <w:r w:rsidRPr="00941517">
        <w:rPr>
          <w:rStyle w:val="EndnoteReference"/>
        </w:rPr>
        <w:endnoteRef/>
      </w:r>
      <w:r w:rsidRPr="00941517">
        <w:t xml:space="preserve"> </w:t>
      </w:r>
      <w:r w:rsidRPr="00941517">
        <w:rPr>
          <w:lang w:val="en-GB"/>
        </w:rPr>
        <w:t xml:space="preserve">See Clennell’s obituary, </w:t>
      </w:r>
      <w:r w:rsidRPr="00941517">
        <w:rPr>
          <w:rFonts w:cs="Cambria"/>
          <w:i/>
          <w:iCs/>
        </w:rPr>
        <w:t xml:space="preserve">Monthly Repository </w:t>
      </w:r>
      <w:r w:rsidRPr="00941517">
        <w:rPr>
          <w:rFonts w:cs="Cambria"/>
        </w:rPr>
        <w:t>17 (1822) 771-2 stresses his Unitarian piety, but notes his predilection for ‘literary pursuits</w:t>
      </w:r>
      <w:r w:rsidRPr="00AE1839">
        <w:rPr>
          <w:rFonts w:cs="Cambria"/>
        </w:rPr>
        <w:t xml:space="preserve">’ over business. Clennell was related to Turner through marriage. </w:t>
      </w:r>
      <w:r w:rsidRPr="00941517">
        <w:rPr>
          <w:rFonts w:cs="Cambria"/>
        </w:rPr>
        <w:t xml:space="preserve">Clennell applied to the Literary Fund for relief from his debts in 1812. See </w:t>
      </w:r>
      <w:r w:rsidRPr="000F01EB">
        <w:rPr>
          <w:rFonts w:eastAsia="Arial Unicode MS" w:cs="Arial Unicode MS"/>
        </w:rPr>
        <w:t>Loan 96 RLF 1/285</w:t>
      </w:r>
      <w:r w:rsidRPr="00941517">
        <w:t>/1, Royal Literary Fund, British Library.</w:t>
      </w:r>
    </w:p>
  </w:endnote>
  <w:endnote w:id="70">
    <w:p w14:paraId="198C3296" w14:textId="71455D89" w:rsidR="00274F86" w:rsidRPr="008B7DA7" w:rsidRDefault="00274F86" w:rsidP="003B2219">
      <w:pPr>
        <w:pStyle w:val="EndnoteText"/>
        <w:spacing w:line="480" w:lineRule="auto"/>
        <w:rPr>
          <w:lang w:val="en-GB"/>
        </w:rPr>
      </w:pPr>
      <w:r w:rsidRPr="00941517">
        <w:rPr>
          <w:rStyle w:val="EndnoteReference"/>
        </w:rPr>
        <w:endnoteRef/>
      </w:r>
      <w:r w:rsidRPr="00941517">
        <w:t xml:space="preserve"> See </w:t>
      </w:r>
      <w:r w:rsidRPr="00941517">
        <w:rPr>
          <w:lang w:val="en-GB"/>
        </w:rPr>
        <w:t xml:space="preserve">Guest, </w:t>
      </w:r>
      <w:r w:rsidRPr="00941517">
        <w:rPr>
          <w:i/>
          <w:lang w:val="en-GB"/>
        </w:rPr>
        <w:t>Small Change:</w:t>
      </w:r>
      <w:r w:rsidRPr="00941517">
        <w:rPr>
          <w:lang w:val="en-GB"/>
        </w:rPr>
        <w:t xml:space="preserve"> </w:t>
      </w:r>
      <w:r w:rsidRPr="00941517">
        <w:rPr>
          <w:i/>
          <w:lang w:val="en-GB"/>
        </w:rPr>
        <w:t>Women, Learning, Patriotism, 1750-1810</w:t>
      </w:r>
      <w:r w:rsidRPr="00941517">
        <w:rPr>
          <w:lang w:val="en-GB"/>
        </w:rPr>
        <w:t xml:space="preserve"> (Chicago: University of Chicago P</w:t>
      </w:r>
      <w:r w:rsidRPr="008B7DA7">
        <w:rPr>
          <w:lang w:val="en-GB"/>
        </w:rPr>
        <w:t>ress, 2000)</w:t>
      </w:r>
      <w:r>
        <w:rPr>
          <w:lang w:val="en-GB"/>
        </w:rPr>
        <w:t>.</w:t>
      </w:r>
    </w:p>
  </w:endnote>
  <w:endnote w:id="71">
    <w:p w14:paraId="75716BFD" w14:textId="06E51759" w:rsidR="00274F86" w:rsidRPr="00AE1839" w:rsidRDefault="00274F86" w:rsidP="007D0E93">
      <w:pPr>
        <w:pStyle w:val="EndnoteText"/>
        <w:spacing w:line="480" w:lineRule="auto"/>
        <w:rPr>
          <w:lang w:val="en-GB"/>
        </w:rPr>
      </w:pPr>
      <w:r w:rsidRPr="00941517">
        <w:rPr>
          <w:rStyle w:val="EndnoteReference"/>
        </w:rPr>
        <w:endnoteRef/>
      </w:r>
      <w:r w:rsidRPr="00941517">
        <w:t xml:space="preserve"> See </w:t>
      </w:r>
      <w:r w:rsidRPr="00941517">
        <w:rPr>
          <w:lang w:val="en-GB"/>
        </w:rPr>
        <w:t xml:space="preserve">Gleadle, </w:t>
      </w:r>
      <w:r w:rsidRPr="00941517">
        <w:t>‘British Women and Radical Politics</w:t>
      </w:r>
      <w:r w:rsidRPr="00AE1839">
        <w:t>’</w:t>
      </w:r>
      <w:r>
        <w:t>.</w:t>
      </w:r>
    </w:p>
  </w:endnote>
  <w:endnote w:id="72">
    <w:p w14:paraId="3FA6C37E" w14:textId="24FAD0C5" w:rsidR="00274F86" w:rsidRPr="000F01EB" w:rsidRDefault="00274F86" w:rsidP="007D0E93">
      <w:pPr>
        <w:pStyle w:val="EndnoteText"/>
        <w:spacing w:line="480" w:lineRule="auto"/>
      </w:pPr>
      <w:r w:rsidRPr="000F01EB">
        <w:rPr>
          <w:rStyle w:val="EndnoteReference"/>
        </w:rPr>
        <w:endnoteRef/>
      </w:r>
      <w:r w:rsidRPr="000F01EB">
        <w:t xml:space="preserve"> See </w:t>
      </w:r>
      <w:r w:rsidRPr="000F01EB">
        <w:rPr>
          <w:i/>
        </w:rPr>
        <w:t>The Leeds Mercury</w:t>
      </w:r>
      <w:r w:rsidRPr="000F01EB">
        <w:t xml:space="preserve">, 20 February 1819 and R. J. Morris, </w:t>
      </w:r>
      <w:r w:rsidRPr="000F01EB">
        <w:rPr>
          <w:i/>
        </w:rPr>
        <w:t>Class, Sect, and Party: The Making of the British Middle Classes, Leeds 1820-50</w:t>
      </w:r>
      <w:r w:rsidRPr="000F01EB">
        <w:t xml:space="preserve"> (Manchester: Manchester University Press, 1990), 242.  </w:t>
      </w:r>
    </w:p>
  </w:endnote>
  <w:endnote w:id="73">
    <w:p w14:paraId="1E1EB11B" w14:textId="656FE09E" w:rsidR="00274F86" w:rsidRPr="00941517" w:rsidRDefault="00274F86" w:rsidP="007D0E93">
      <w:pPr>
        <w:spacing w:line="480" w:lineRule="auto"/>
      </w:pPr>
      <w:r w:rsidRPr="00941517">
        <w:rPr>
          <w:rStyle w:val="EndnoteReference"/>
        </w:rPr>
        <w:endnoteRef/>
      </w:r>
      <w:r w:rsidRPr="00941517">
        <w:t xml:space="preserve"> </w:t>
      </w:r>
      <w:r w:rsidRPr="00941517">
        <w:rPr>
          <w:lang w:val="en-GB"/>
        </w:rPr>
        <w:t xml:space="preserve">Hannah Greg to Thomas Pares III, 10 July 1812 Pares Papers, DRO, </w:t>
      </w:r>
      <w:r w:rsidRPr="000F01EB">
        <w:rPr>
          <w:lang w:val="en-GB"/>
        </w:rPr>
        <w:t xml:space="preserve">D5/36/3/214/6/2. </w:t>
      </w:r>
      <w:r w:rsidRPr="00941517">
        <w:rPr>
          <w:lang w:val="en-GB"/>
        </w:rPr>
        <w:t xml:space="preserve">Papers relating to the Duodecimo are at </w:t>
      </w:r>
      <w:r w:rsidRPr="00941517">
        <w:rPr>
          <w:lang w:val="en-GB" w:eastAsia="en-GB"/>
        </w:rPr>
        <w:t>QBA765.1/9/6/29-43</w:t>
      </w:r>
      <w:r w:rsidRPr="00AE1839">
        <w:rPr>
          <w:lang w:val="en-GB"/>
        </w:rPr>
        <w:t xml:space="preserve">. Robert Hyde </w:t>
      </w:r>
      <w:r w:rsidRPr="00941517">
        <w:t>Greg did join the Manchester society</w:t>
      </w:r>
      <w:r w:rsidR="006B75E3">
        <w:t>. He was part of a group</w:t>
      </w:r>
      <w:r w:rsidRPr="00941517">
        <w:t xml:space="preserve"> </w:t>
      </w:r>
      <w:r w:rsidR="006B75E3">
        <w:t xml:space="preserve">that founded the Manchester </w:t>
      </w:r>
      <w:r w:rsidRPr="00941517">
        <w:t>the Statistical Society, whose enquiries into social conditions of Manchester in the 1830s and 40s</w:t>
      </w:r>
      <w:r w:rsidR="008E48A0">
        <w:t xml:space="preserve">, in a dark turn to </w:t>
      </w:r>
      <w:r w:rsidR="00A139B5">
        <w:t>the dialectic of this</w:t>
      </w:r>
      <w:r w:rsidR="008E48A0">
        <w:t xml:space="preserve"> transpennine enlightenment, </w:t>
      </w:r>
      <w:r w:rsidR="006B75E3">
        <w:t>were intended to prevent the regulation of working hours. See</w:t>
      </w:r>
      <w:r w:rsidRPr="00941517">
        <w:t xml:space="preserve"> M J. Cullen’s </w:t>
      </w:r>
      <w:hyperlink r:id="rId2" w:tooltip="title-24" w:history="1">
        <w:r w:rsidRPr="00941517">
          <w:rPr>
            <w:i/>
          </w:rPr>
          <w:t>The Statistical movement in early Victorian Britain: the foundations of empirical social research</w:t>
        </w:r>
      </w:hyperlink>
      <w:r w:rsidRPr="00941517">
        <w:t xml:space="preserve"> (Hassocks: Harvester Press, 1975), 107-11. </w:t>
      </w:r>
    </w:p>
  </w:endnote>
  <w:endnote w:id="74">
    <w:p w14:paraId="1A7D0E16" w14:textId="2921E3FF" w:rsidR="00274F86" w:rsidRPr="008B7DA7" w:rsidRDefault="00274F86" w:rsidP="00A97910">
      <w:pPr>
        <w:pStyle w:val="EndnoteText"/>
        <w:spacing w:line="480" w:lineRule="auto"/>
        <w:rPr>
          <w:lang w:val="en-GB"/>
        </w:rPr>
      </w:pPr>
      <w:r w:rsidRPr="00941517">
        <w:rPr>
          <w:rStyle w:val="EndnoteReference"/>
        </w:rPr>
        <w:endnoteRef/>
      </w:r>
      <w:r w:rsidRPr="00941517">
        <w:t xml:space="preserve"> See Aikin and Barbauld, </w:t>
      </w:r>
      <w:r w:rsidRPr="00941517">
        <w:rPr>
          <w:i/>
        </w:rPr>
        <w:t xml:space="preserve">Evenings at Home; or, the </w:t>
      </w:r>
      <w:r>
        <w:rPr>
          <w:i/>
        </w:rPr>
        <w:t>J</w:t>
      </w:r>
      <w:r w:rsidRPr="00941517">
        <w:rPr>
          <w:i/>
        </w:rPr>
        <w:t xml:space="preserve">uvenile </w:t>
      </w:r>
      <w:r>
        <w:rPr>
          <w:i/>
        </w:rPr>
        <w:t>B</w:t>
      </w:r>
      <w:r w:rsidRPr="00941517">
        <w:rPr>
          <w:i/>
        </w:rPr>
        <w:t xml:space="preserve">udget </w:t>
      </w:r>
      <w:r>
        <w:rPr>
          <w:i/>
        </w:rPr>
        <w:t>O</w:t>
      </w:r>
      <w:r w:rsidRPr="00941517">
        <w:rPr>
          <w:i/>
        </w:rPr>
        <w:t>pened</w:t>
      </w:r>
      <w:r w:rsidRPr="00941517">
        <w:t xml:space="preserve"> vol. 1 (London, 1792)</w:t>
      </w:r>
      <w:r>
        <w:t>,</w:t>
      </w:r>
      <w:r w:rsidRPr="00941517">
        <w:t xml:space="preserve"> 2-3.  </w:t>
      </w:r>
      <w:r w:rsidR="008E48A0">
        <w:t xml:space="preserve">Lightbody Greg, though, claimed to have built on practices at the home of the </w:t>
      </w:r>
      <w:proofErr w:type="spellStart"/>
      <w:r w:rsidR="008E48A0">
        <w:t>Percivals</w:t>
      </w:r>
      <w:proofErr w:type="spellEnd"/>
      <w:r w:rsidR="008E48A0">
        <w:t>.</w:t>
      </w:r>
    </w:p>
  </w:endnote>
  <w:endnote w:id="75">
    <w:p w14:paraId="02398D91" w14:textId="094D55DA" w:rsidR="00274F86" w:rsidRPr="000F01EB" w:rsidRDefault="00274F86" w:rsidP="00C652CD">
      <w:pPr>
        <w:pStyle w:val="Heading3"/>
        <w:shd w:val="clear" w:color="auto" w:fill="FFFFFF"/>
        <w:spacing w:before="75" w:after="150" w:line="480" w:lineRule="auto"/>
        <w:rPr>
          <w:rFonts w:ascii="Cambria" w:eastAsia="Times New Roman" w:hAnsi="Cambria"/>
          <w:color w:val="auto"/>
          <w:lang w:val="en-GB" w:eastAsia="en-GB"/>
        </w:rPr>
      </w:pPr>
      <w:r w:rsidRPr="000F01EB">
        <w:rPr>
          <w:rStyle w:val="EndnoteReference"/>
          <w:rFonts w:ascii="Cambria" w:hAnsi="Cambria"/>
          <w:color w:val="auto"/>
        </w:rPr>
        <w:endnoteRef/>
      </w:r>
      <w:r w:rsidRPr="000F01EB">
        <w:rPr>
          <w:rFonts w:ascii="Cambria" w:hAnsi="Cambria"/>
          <w:color w:val="auto"/>
        </w:rPr>
        <w:t xml:space="preserve"> </w:t>
      </w:r>
      <w:r w:rsidRPr="000F01EB">
        <w:rPr>
          <w:rFonts w:ascii="Cambria" w:hAnsi="Cambria"/>
          <w:color w:val="auto"/>
          <w:lang w:val="en-GB"/>
        </w:rPr>
        <w:t>Robberds, ‘Recollections’</w:t>
      </w:r>
      <w:r>
        <w:rPr>
          <w:rFonts w:ascii="Cambria" w:hAnsi="Cambria"/>
          <w:color w:val="auto"/>
          <w:lang w:val="en-GB"/>
        </w:rPr>
        <w:t>,</w:t>
      </w:r>
      <w:r w:rsidRPr="000F01EB">
        <w:rPr>
          <w:rFonts w:ascii="Cambria" w:hAnsi="Cambria"/>
          <w:color w:val="auto"/>
          <w:lang w:val="en-GB"/>
        </w:rPr>
        <w:t xml:space="preserve"> 112.</w:t>
      </w:r>
    </w:p>
    <w:p w14:paraId="2B151023" w14:textId="43B156E2" w:rsidR="00274F86" w:rsidRPr="00941517" w:rsidRDefault="00274F86">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Diwan Thuluth">
    <w:panose1 w:val="00000400000000000000"/>
    <w:charset w:val="B2"/>
    <w:family w:val="auto"/>
    <w:pitch w:val="variable"/>
    <w:sig w:usb0="00002003" w:usb1="00000000" w:usb2="00000000" w:usb3="00000000" w:csb0="0000004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E913" w14:textId="77777777" w:rsidR="00274F86" w:rsidRDefault="00274F86" w:rsidP="00D60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62E61" w14:textId="77777777" w:rsidR="00274F86" w:rsidRDefault="00274F86" w:rsidP="00D60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6369" w14:textId="7A5C808A" w:rsidR="00274F86" w:rsidRDefault="00274F86" w:rsidP="00D60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67262" w14:textId="77777777" w:rsidR="00274F86" w:rsidRDefault="00274F86" w:rsidP="00D600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245FC" w14:textId="77777777" w:rsidR="00104816" w:rsidRDefault="00104816" w:rsidP="00D60017">
      <w:r>
        <w:separator/>
      </w:r>
    </w:p>
  </w:footnote>
  <w:footnote w:type="continuationSeparator" w:id="0">
    <w:p w14:paraId="490788B0" w14:textId="77777777" w:rsidR="00104816" w:rsidRDefault="00104816" w:rsidP="00D60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7681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BE1E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716AD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C6801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C5204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2432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A209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2C2C4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DA6B6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A7C4E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44A51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836033"/>
    <w:multiLevelType w:val="multilevel"/>
    <w:tmpl w:val="B376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153FA"/>
    <w:multiLevelType w:val="hybridMultilevel"/>
    <w:tmpl w:val="C2885434"/>
    <w:lvl w:ilvl="0" w:tplc="BD9EE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7D7"/>
    <w:rsid w:val="00001D0D"/>
    <w:rsid w:val="00001D4D"/>
    <w:rsid w:val="000024EF"/>
    <w:rsid w:val="000038D6"/>
    <w:rsid w:val="00004017"/>
    <w:rsid w:val="000125B2"/>
    <w:rsid w:val="00014726"/>
    <w:rsid w:val="00014856"/>
    <w:rsid w:val="00016E03"/>
    <w:rsid w:val="00036F9D"/>
    <w:rsid w:val="00042C23"/>
    <w:rsid w:val="0004306F"/>
    <w:rsid w:val="000435EE"/>
    <w:rsid w:val="00044D10"/>
    <w:rsid w:val="000467E4"/>
    <w:rsid w:val="000528A3"/>
    <w:rsid w:val="00062596"/>
    <w:rsid w:val="000642F3"/>
    <w:rsid w:val="0007388D"/>
    <w:rsid w:val="00074511"/>
    <w:rsid w:val="000763D6"/>
    <w:rsid w:val="000818EF"/>
    <w:rsid w:val="00091F7C"/>
    <w:rsid w:val="000A1885"/>
    <w:rsid w:val="000A3A36"/>
    <w:rsid w:val="000C7685"/>
    <w:rsid w:val="000C7A56"/>
    <w:rsid w:val="000D0BA3"/>
    <w:rsid w:val="000D55E0"/>
    <w:rsid w:val="000D735A"/>
    <w:rsid w:val="000E1039"/>
    <w:rsid w:val="000E1B1F"/>
    <w:rsid w:val="000E211E"/>
    <w:rsid w:val="000E5EF0"/>
    <w:rsid w:val="000E5F77"/>
    <w:rsid w:val="000E7E6A"/>
    <w:rsid w:val="000F01EB"/>
    <w:rsid w:val="000F2578"/>
    <w:rsid w:val="000F4C85"/>
    <w:rsid w:val="0010156E"/>
    <w:rsid w:val="00104816"/>
    <w:rsid w:val="00106169"/>
    <w:rsid w:val="00111C25"/>
    <w:rsid w:val="0011720B"/>
    <w:rsid w:val="001172D1"/>
    <w:rsid w:val="00121183"/>
    <w:rsid w:val="00123263"/>
    <w:rsid w:val="001277B6"/>
    <w:rsid w:val="001306DE"/>
    <w:rsid w:val="0014185B"/>
    <w:rsid w:val="00145F92"/>
    <w:rsid w:val="00151441"/>
    <w:rsid w:val="001553E6"/>
    <w:rsid w:val="00164D71"/>
    <w:rsid w:val="00167946"/>
    <w:rsid w:val="00170368"/>
    <w:rsid w:val="00170EBB"/>
    <w:rsid w:val="0017241C"/>
    <w:rsid w:val="00173B67"/>
    <w:rsid w:val="00173C00"/>
    <w:rsid w:val="00177B4B"/>
    <w:rsid w:val="00182FE1"/>
    <w:rsid w:val="0018475A"/>
    <w:rsid w:val="00185C24"/>
    <w:rsid w:val="00185E1F"/>
    <w:rsid w:val="00185F79"/>
    <w:rsid w:val="001860C7"/>
    <w:rsid w:val="001912EF"/>
    <w:rsid w:val="0019773B"/>
    <w:rsid w:val="001A0924"/>
    <w:rsid w:val="001A6386"/>
    <w:rsid w:val="001B0557"/>
    <w:rsid w:val="001B7A8C"/>
    <w:rsid w:val="001D045E"/>
    <w:rsid w:val="001D166F"/>
    <w:rsid w:val="001D5593"/>
    <w:rsid w:val="001D74AC"/>
    <w:rsid w:val="001D7A31"/>
    <w:rsid w:val="001E17A7"/>
    <w:rsid w:val="001F0A61"/>
    <w:rsid w:val="001F42C8"/>
    <w:rsid w:val="001F435E"/>
    <w:rsid w:val="001F5407"/>
    <w:rsid w:val="001F565F"/>
    <w:rsid w:val="001F5958"/>
    <w:rsid w:val="00207371"/>
    <w:rsid w:val="0020756E"/>
    <w:rsid w:val="00215F61"/>
    <w:rsid w:val="00224A21"/>
    <w:rsid w:val="00224FFF"/>
    <w:rsid w:val="00226702"/>
    <w:rsid w:val="002340CD"/>
    <w:rsid w:val="00235231"/>
    <w:rsid w:val="002436DC"/>
    <w:rsid w:val="0024518A"/>
    <w:rsid w:val="00245932"/>
    <w:rsid w:val="00246EC9"/>
    <w:rsid w:val="00247A8A"/>
    <w:rsid w:val="00260F73"/>
    <w:rsid w:val="002660FE"/>
    <w:rsid w:val="0026753F"/>
    <w:rsid w:val="00270C94"/>
    <w:rsid w:val="0027264C"/>
    <w:rsid w:val="00274443"/>
    <w:rsid w:val="00274F86"/>
    <w:rsid w:val="00280EA8"/>
    <w:rsid w:val="00284799"/>
    <w:rsid w:val="00286835"/>
    <w:rsid w:val="00286B42"/>
    <w:rsid w:val="0029384A"/>
    <w:rsid w:val="00293A6F"/>
    <w:rsid w:val="002979B4"/>
    <w:rsid w:val="002A0C4C"/>
    <w:rsid w:val="002A1F31"/>
    <w:rsid w:val="002A4A62"/>
    <w:rsid w:val="002A68D1"/>
    <w:rsid w:val="002B4849"/>
    <w:rsid w:val="002C282D"/>
    <w:rsid w:val="002C64A8"/>
    <w:rsid w:val="002D30F9"/>
    <w:rsid w:val="002D67D7"/>
    <w:rsid w:val="002E2D0E"/>
    <w:rsid w:val="002E2D92"/>
    <w:rsid w:val="002E65FB"/>
    <w:rsid w:val="002F3D17"/>
    <w:rsid w:val="002F4A6F"/>
    <w:rsid w:val="002F6AEC"/>
    <w:rsid w:val="0030501E"/>
    <w:rsid w:val="003131B8"/>
    <w:rsid w:val="00316B15"/>
    <w:rsid w:val="00321287"/>
    <w:rsid w:val="0032290A"/>
    <w:rsid w:val="00335D1C"/>
    <w:rsid w:val="00337D18"/>
    <w:rsid w:val="003422DD"/>
    <w:rsid w:val="00347A98"/>
    <w:rsid w:val="00350EA3"/>
    <w:rsid w:val="003516AD"/>
    <w:rsid w:val="00371DE6"/>
    <w:rsid w:val="00374F3D"/>
    <w:rsid w:val="00380C54"/>
    <w:rsid w:val="00384599"/>
    <w:rsid w:val="0038569D"/>
    <w:rsid w:val="0039468D"/>
    <w:rsid w:val="003969F7"/>
    <w:rsid w:val="00397A16"/>
    <w:rsid w:val="003A09FF"/>
    <w:rsid w:val="003A2215"/>
    <w:rsid w:val="003A447E"/>
    <w:rsid w:val="003A7FCF"/>
    <w:rsid w:val="003B2219"/>
    <w:rsid w:val="003B2AD7"/>
    <w:rsid w:val="003B2CD2"/>
    <w:rsid w:val="003B45EC"/>
    <w:rsid w:val="003B4659"/>
    <w:rsid w:val="003B58CC"/>
    <w:rsid w:val="003B6F66"/>
    <w:rsid w:val="003C3715"/>
    <w:rsid w:val="003C37B8"/>
    <w:rsid w:val="003C6AFE"/>
    <w:rsid w:val="003D1424"/>
    <w:rsid w:val="003D1930"/>
    <w:rsid w:val="003D5796"/>
    <w:rsid w:val="003E4059"/>
    <w:rsid w:val="003E6113"/>
    <w:rsid w:val="003E6463"/>
    <w:rsid w:val="003F2725"/>
    <w:rsid w:val="003F6768"/>
    <w:rsid w:val="00400346"/>
    <w:rsid w:val="0040144C"/>
    <w:rsid w:val="004045E4"/>
    <w:rsid w:val="004070D7"/>
    <w:rsid w:val="00413EC9"/>
    <w:rsid w:val="00415015"/>
    <w:rsid w:val="004234AA"/>
    <w:rsid w:val="00426C63"/>
    <w:rsid w:val="00432A25"/>
    <w:rsid w:val="004379F6"/>
    <w:rsid w:val="004417BC"/>
    <w:rsid w:val="00444317"/>
    <w:rsid w:val="004501A4"/>
    <w:rsid w:val="004502C7"/>
    <w:rsid w:val="0045460B"/>
    <w:rsid w:val="00457890"/>
    <w:rsid w:val="004622C7"/>
    <w:rsid w:val="00463AC0"/>
    <w:rsid w:val="00466ABC"/>
    <w:rsid w:val="00466D00"/>
    <w:rsid w:val="00470561"/>
    <w:rsid w:val="00480B10"/>
    <w:rsid w:val="004817CE"/>
    <w:rsid w:val="00484B3C"/>
    <w:rsid w:val="00484B9D"/>
    <w:rsid w:val="004906EA"/>
    <w:rsid w:val="004910AE"/>
    <w:rsid w:val="0049348D"/>
    <w:rsid w:val="00493BDB"/>
    <w:rsid w:val="004A088D"/>
    <w:rsid w:val="004A2086"/>
    <w:rsid w:val="004A3F3D"/>
    <w:rsid w:val="004A6988"/>
    <w:rsid w:val="004B1A70"/>
    <w:rsid w:val="004B29FC"/>
    <w:rsid w:val="004B64FA"/>
    <w:rsid w:val="004B6969"/>
    <w:rsid w:val="004C4DBB"/>
    <w:rsid w:val="004D25C0"/>
    <w:rsid w:val="004D3356"/>
    <w:rsid w:val="004D3CED"/>
    <w:rsid w:val="004D5247"/>
    <w:rsid w:val="004E19E6"/>
    <w:rsid w:val="004E39A7"/>
    <w:rsid w:val="004E513B"/>
    <w:rsid w:val="004F0A1F"/>
    <w:rsid w:val="004F3C6D"/>
    <w:rsid w:val="004F43BC"/>
    <w:rsid w:val="004F5E7C"/>
    <w:rsid w:val="00502544"/>
    <w:rsid w:val="005039E0"/>
    <w:rsid w:val="00503BC5"/>
    <w:rsid w:val="00504FC5"/>
    <w:rsid w:val="005050EB"/>
    <w:rsid w:val="00506440"/>
    <w:rsid w:val="00506EEC"/>
    <w:rsid w:val="00511065"/>
    <w:rsid w:val="005125C8"/>
    <w:rsid w:val="00513660"/>
    <w:rsid w:val="0051512C"/>
    <w:rsid w:val="00517F2E"/>
    <w:rsid w:val="005254ED"/>
    <w:rsid w:val="00530BF7"/>
    <w:rsid w:val="00533B2A"/>
    <w:rsid w:val="005371EC"/>
    <w:rsid w:val="00540932"/>
    <w:rsid w:val="00540968"/>
    <w:rsid w:val="00543DF6"/>
    <w:rsid w:val="0054534B"/>
    <w:rsid w:val="00547298"/>
    <w:rsid w:val="005527A6"/>
    <w:rsid w:val="005534A0"/>
    <w:rsid w:val="00554031"/>
    <w:rsid w:val="005543C4"/>
    <w:rsid w:val="00554BFE"/>
    <w:rsid w:val="00557376"/>
    <w:rsid w:val="005625A0"/>
    <w:rsid w:val="00563B1E"/>
    <w:rsid w:val="00565D2A"/>
    <w:rsid w:val="00567F38"/>
    <w:rsid w:val="00572BD3"/>
    <w:rsid w:val="00574B62"/>
    <w:rsid w:val="005818F8"/>
    <w:rsid w:val="0059151C"/>
    <w:rsid w:val="0059212C"/>
    <w:rsid w:val="00593BA6"/>
    <w:rsid w:val="0059474E"/>
    <w:rsid w:val="00594A4C"/>
    <w:rsid w:val="00594BDA"/>
    <w:rsid w:val="005976A0"/>
    <w:rsid w:val="005A2A10"/>
    <w:rsid w:val="005A5CF8"/>
    <w:rsid w:val="005B2331"/>
    <w:rsid w:val="005B29D4"/>
    <w:rsid w:val="005B4E9A"/>
    <w:rsid w:val="005D30E0"/>
    <w:rsid w:val="005D3C45"/>
    <w:rsid w:val="005D6295"/>
    <w:rsid w:val="005D686B"/>
    <w:rsid w:val="005D7B85"/>
    <w:rsid w:val="005E5A28"/>
    <w:rsid w:val="005F0F21"/>
    <w:rsid w:val="005F1E28"/>
    <w:rsid w:val="005F3240"/>
    <w:rsid w:val="005F33B9"/>
    <w:rsid w:val="005F49CA"/>
    <w:rsid w:val="005F5965"/>
    <w:rsid w:val="005F741E"/>
    <w:rsid w:val="0060006C"/>
    <w:rsid w:val="0060255B"/>
    <w:rsid w:val="00603B62"/>
    <w:rsid w:val="00603F69"/>
    <w:rsid w:val="006047A9"/>
    <w:rsid w:val="0060482F"/>
    <w:rsid w:val="00605FE2"/>
    <w:rsid w:val="00606AA4"/>
    <w:rsid w:val="00607E2D"/>
    <w:rsid w:val="00610386"/>
    <w:rsid w:val="00617165"/>
    <w:rsid w:val="00620A20"/>
    <w:rsid w:val="00625C3D"/>
    <w:rsid w:val="006325BC"/>
    <w:rsid w:val="00642E36"/>
    <w:rsid w:val="00642F37"/>
    <w:rsid w:val="006512D6"/>
    <w:rsid w:val="0065152D"/>
    <w:rsid w:val="00655541"/>
    <w:rsid w:val="00655966"/>
    <w:rsid w:val="006574C0"/>
    <w:rsid w:val="00660164"/>
    <w:rsid w:val="00661437"/>
    <w:rsid w:val="006629E2"/>
    <w:rsid w:val="00664E23"/>
    <w:rsid w:val="0068394D"/>
    <w:rsid w:val="006866C2"/>
    <w:rsid w:val="006A3F5A"/>
    <w:rsid w:val="006B2035"/>
    <w:rsid w:val="006B3463"/>
    <w:rsid w:val="006B3CA8"/>
    <w:rsid w:val="006B45C7"/>
    <w:rsid w:val="006B47F0"/>
    <w:rsid w:val="006B5FFC"/>
    <w:rsid w:val="006B75E3"/>
    <w:rsid w:val="006C0548"/>
    <w:rsid w:val="006C0E52"/>
    <w:rsid w:val="006C3197"/>
    <w:rsid w:val="006C4D0F"/>
    <w:rsid w:val="006D0E51"/>
    <w:rsid w:val="006E1E94"/>
    <w:rsid w:val="006E44CD"/>
    <w:rsid w:val="006E5553"/>
    <w:rsid w:val="006E7294"/>
    <w:rsid w:val="006F0F66"/>
    <w:rsid w:val="006F1994"/>
    <w:rsid w:val="00700EFC"/>
    <w:rsid w:val="007010ED"/>
    <w:rsid w:val="00715CF9"/>
    <w:rsid w:val="00722038"/>
    <w:rsid w:val="00724F38"/>
    <w:rsid w:val="007251BA"/>
    <w:rsid w:val="00730250"/>
    <w:rsid w:val="007319FF"/>
    <w:rsid w:val="00731E12"/>
    <w:rsid w:val="00736468"/>
    <w:rsid w:val="007416FF"/>
    <w:rsid w:val="0074311D"/>
    <w:rsid w:val="00743D68"/>
    <w:rsid w:val="007463FD"/>
    <w:rsid w:val="00747950"/>
    <w:rsid w:val="00752070"/>
    <w:rsid w:val="007542CC"/>
    <w:rsid w:val="00754825"/>
    <w:rsid w:val="00756365"/>
    <w:rsid w:val="007678A5"/>
    <w:rsid w:val="007736A2"/>
    <w:rsid w:val="0078177B"/>
    <w:rsid w:val="00785FDC"/>
    <w:rsid w:val="00791A60"/>
    <w:rsid w:val="00794FF6"/>
    <w:rsid w:val="007A205C"/>
    <w:rsid w:val="007A2F77"/>
    <w:rsid w:val="007A51E4"/>
    <w:rsid w:val="007A5768"/>
    <w:rsid w:val="007B0E98"/>
    <w:rsid w:val="007B0EC3"/>
    <w:rsid w:val="007C0F19"/>
    <w:rsid w:val="007C459B"/>
    <w:rsid w:val="007C7A9A"/>
    <w:rsid w:val="007D0E93"/>
    <w:rsid w:val="007D0F61"/>
    <w:rsid w:val="007D12F7"/>
    <w:rsid w:val="007D48CF"/>
    <w:rsid w:val="007E01FD"/>
    <w:rsid w:val="007E1E2B"/>
    <w:rsid w:val="007E314D"/>
    <w:rsid w:val="007E4517"/>
    <w:rsid w:val="007E6B8D"/>
    <w:rsid w:val="007E7ED1"/>
    <w:rsid w:val="007F0BB0"/>
    <w:rsid w:val="007F369D"/>
    <w:rsid w:val="007F4179"/>
    <w:rsid w:val="007F5333"/>
    <w:rsid w:val="007F6999"/>
    <w:rsid w:val="00800193"/>
    <w:rsid w:val="00801296"/>
    <w:rsid w:val="00804A6C"/>
    <w:rsid w:val="00806401"/>
    <w:rsid w:val="00807EE5"/>
    <w:rsid w:val="00811ED7"/>
    <w:rsid w:val="0081214B"/>
    <w:rsid w:val="008177EB"/>
    <w:rsid w:val="00821971"/>
    <w:rsid w:val="008219BC"/>
    <w:rsid w:val="00824435"/>
    <w:rsid w:val="00833832"/>
    <w:rsid w:val="00833B72"/>
    <w:rsid w:val="00837C58"/>
    <w:rsid w:val="00837F4A"/>
    <w:rsid w:val="00840508"/>
    <w:rsid w:val="0084496A"/>
    <w:rsid w:val="00851EC3"/>
    <w:rsid w:val="008528FF"/>
    <w:rsid w:val="00855072"/>
    <w:rsid w:val="00855FE3"/>
    <w:rsid w:val="008561C8"/>
    <w:rsid w:val="00860B0A"/>
    <w:rsid w:val="008614C7"/>
    <w:rsid w:val="00862805"/>
    <w:rsid w:val="00863027"/>
    <w:rsid w:val="00863106"/>
    <w:rsid w:val="00865DC0"/>
    <w:rsid w:val="00870070"/>
    <w:rsid w:val="00872257"/>
    <w:rsid w:val="0087393E"/>
    <w:rsid w:val="0087763C"/>
    <w:rsid w:val="008822AB"/>
    <w:rsid w:val="00882F2D"/>
    <w:rsid w:val="00885843"/>
    <w:rsid w:val="00887052"/>
    <w:rsid w:val="008872AF"/>
    <w:rsid w:val="00887F56"/>
    <w:rsid w:val="0089101E"/>
    <w:rsid w:val="008911DC"/>
    <w:rsid w:val="008A044D"/>
    <w:rsid w:val="008A122F"/>
    <w:rsid w:val="008A1FE8"/>
    <w:rsid w:val="008A4FB8"/>
    <w:rsid w:val="008B529A"/>
    <w:rsid w:val="008B795A"/>
    <w:rsid w:val="008B7B15"/>
    <w:rsid w:val="008B7DA7"/>
    <w:rsid w:val="008C0CE7"/>
    <w:rsid w:val="008C15A8"/>
    <w:rsid w:val="008C4BCD"/>
    <w:rsid w:val="008C50C1"/>
    <w:rsid w:val="008C6A6E"/>
    <w:rsid w:val="008C7195"/>
    <w:rsid w:val="008D11CD"/>
    <w:rsid w:val="008D2DFE"/>
    <w:rsid w:val="008D6BCF"/>
    <w:rsid w:val="008E059C"/>
    <w:rsid w:val="008E0AA4"/>
    <w:rsid w:val="008E29B2"/>
    <w:rsid w:val="008E48A0"/>
    <w:rsid w:val="008E4DCA"/>
    <w:rsid w:val="008E7C53"/>
    <w:rsid w:val="008F1360"/>
    <w:rsid w:val="008F3A90"/>
    <w:rsid w:val="008F576F"/>
    <w:rsid w:val="008F70B6"/>
    <w:rsid w:val="00904C36"/>
    <w:rsid w:val="00906BC3"/>
    <w:rsid w:val="00907BE9"/>
    <w:rsid w:val="009126B2"/>
    <w:rsid w:val="0091371C"/>
    <w:rsid w:val="009207A7"/>
    <w:rsid w:val="00921FE3"/>
    <w:rsid w:val="00923BFD"/>
    <w:rsid w:val="0092558F"/>
    <w:rsid w:val="00933B5D"/>
    <w:rsid w:val="00940B02"/>
    <w:rsid w:val="00941517"/>
    <w:rsid w:val="0094500E"/>
    <w:rsid w:val="009459D4"/>
    <w:rsid w:val="00946E6E"/>
    <w:rsid w:val="0095239A"/>
    <w:rsid w:val="0095580C"/>
    <w:rsid w:val="009621F4"/>
    <w:rsid w:val="009622D2"/>
    <w:rsid w:val="00962337"/>
    <w:rsid w:val="00963B23"/>
    <w:rsid w:val="00963EF4"/>
    <w:rsid w:val="00966266"/>
    <w:rsid w:val="009674ED"/>
    <w:rsid w:val="00970FE0"/>
    <w:rsid w:val="00971CA7"/>
    <w:rsid w:val="00973FE3"/>
    <w:rsid w:val="009741AC"/>
    <w:rsid w:val="009749C4"/>
    <w:rsid w:val="0097619F"/>
    <w:rsid w:val="00977A4F"/>
    <w:rsid w:val="009944BD"/>
    <w:rsid w:val="009966F3"/>
    <w:rsid w:val="009A06CB"/>
    <w:rsid w:val="009A0E74"/>
    <w:rsid w:val="009A20BA"/>
    <w:rsid w:val="009A56F0"/>
    <w:rsid w:val="009B61B0"/>
    <w:rsid w:val="009C1304"/>
    <w:rsid w:val="009C4F65"/>
    <w:rsid w:val="009C5C3F"/>
    <w:rsid w:val="009C6ED4"/>
    <w:rsid w:val="009D2B52"/>
    <w:rsid w:val="009D4573"/>
    <w:rsid w:val="009D5001"/>
    <w:rsid w:val="009D57EE"/>
    <w:rsid w:val="009E06A6"/>
    <w:rsid w:val="009E67FD"/>
    <w:rsid w:val="009F565A"/>
    <w:rsid w:val="009F5A96"/>
    <w:rsid w:val="009F698F"/>
    <w:rsid w:val="009F7722"/>
    <w:rsid w:val="00A03D16"/>
    <w:rsid w:val="00A050AB"/>
    <w:rsid w:val="00A12132"/>
    <w:rsid w:val="00A12C79"/>
    <w:rsid w:val="00A130D7"/>
    <w:rsid w:val="00A137CC"/>
    <w:rsid w:val="00A139B5"/>
    <w:rsid w:val="00A178A1"/>
    <w:rsid w:val="00A21867"/>
    <w:rsid w:val="00A22DE1"/>
    <w:rsid w:val="00A24F5B"/>
    <w:rsid w:val="00A30227"/>
    <w:rsid w:val="00A32939"/>
    <w:rsid w:val="00A3753E"/>
    <w:rsid w:val="00A37B14"/>
    <w:rsid w:val="00A41806"/>
    <w:rsid w:val="00A46D51"/>
    <w:rsid w:val="00A50BB3"/>
    <w:rsid w:val="00A57D0A"/>
    <w:rsid w:val="00A6055A"/>
    <w:rsid w:val="00A60E04"/>
    <w:rsid w:val="00A637A0"/>
    <w:rsid w:val="00A64A59"/>
    <w:rsid w:val="00A663D7"/>
    <w:rsid w:val="00A66B3F"/>
    <w:rsid w:val="00A70B87"/>
    <w:rsid w:val="00A744A8"/>
    <w:rsid w:val="00A76109"/>
    <w:rsid w:val="00A77CDD"/>
    <w:rsid w:val="00A81A07"/>
    <w:rsid w:val="00A84C82"/>
    <w:rsid w:val="00A90388"/>
    <w:rsid w:val="00A91034"/>
    <w:rsid w:val="00A97910"/>
    <w:rsid w:val="00AA29FD"/>
    <w:rsid w:val="00AA446F"/>
    <w:rsid w:val="00AA5FC0"/>
    <w:rsid w:val="00AB0289"/>
    <w:rsid w:val="00AB1604"/>
    <w:rsid w:val="00AB529A"/>
    <w:rsid w:val="00AC0CE2"/>
    <w:rsid w:val="00AC5366"/>
    <w:rsid w:val="00AC7D33"/>
    <w:rsid w:val="00AD1117"/>
    <w:rsid w:val="00AD29D8"/>
    <w:rsid w:val="00AD6249"/>
    <w:rsid w:val="00AE15A2"/>
    <w:rsid w:val="00AE1839"/>
    <w:rsid w:val="00AE2F23"/>
    <w:rsid w:val="00AE656E"/>
    <w:rsid w:val="00AF2244"/>
    <w:rsid w:val="00AF4E0C"/>
    <w:rsid w:val="00AF7475"/>
    <w:rsid w:val="00AF7F35"/>
    <w:rsid w:val="00B00752"/>
    <w:rsid w:val="00B00A47"/>
    <w:rsid w:val="00B0385A"/>
    <w:rsid w:val="00B03E83"/>
    <w:rsid w:val="00B15E25"/>
    <w:rsid w:val="00B16DEF"/>
    <w:rsid w:val="00B23FE6"/>
    <w:rsid w:val="00B303E4"/>
    <w:rsid w:val="00B30B19"/>
    <w:rsid w:val="00B3228D"/>
    <w:rsid w:val="00B43BD1"/>
    <w:rsid w:val="00B55A62"/>
    <w:rsid w:val="00B74AD4"/>
    <w:rsid w:val="00B75F5D"/>
    <w:rsid w:val="00B878CC"/>
    <w:rsid w:val="00B903BF"/>
    <w:rsid w:val="00B90827"/>
    <w:rsid w:val="00BA1118"/>
    <w:rsid w:val="00BA78BB"/>
    <w:rsid w:val="00BB034A"/>
    <w:rsid w:val="00BB1659"/>
    <w:rsid w:val="00BB7A13"/>
    <w:rsid w:val="00BC0C95"/>
    <w:rsid w:val="00BD28BA"/>
    <w:rsid w:val="00BD679A"/>
    <w:rsid w:val="00BE0AB1"/>
    <w:rsid w:val="00BE1ED5"/>
    <w:rsid w:val="00BE4E23"/>
    <w:rsid w:val="00BE5B53"/>
    <w:rsid w:val="00BE7233"/>
    <w:rsid w:val="00BF03B6"/>
    <w:rsid w:val="00BF0901"/>
    <w:rsid w:val="00BF25B6"/>
    <w:rsid w:val="00BF2EB3"/>
    <w:rsid w:val="00BF4531"/>
    <w:rsid w:val="00BF53E2"/>
    <w:rsid w:val="00BF7C58"/>
    <w:rsid w:val="00C0631F"/>
    <w:rsid w:val="00C06A6C"/>
    <w:rsid w:val="00C112D1"/>
    <w:rsid w:val="00C162BE"/>
    <w:rsid w:val="00C21668"/>
    <w:rsid w:val="00C24773"/>
    <w:rsid w:val="00C3343E"/>
    <w:rsid w:val="00C3352A"/>
    <w:rsid w:val="00C45350"/>
    <w:rsid w:val="00C45795"/>
    <w:rsid w:val="00C524EB"/>
    <w:rsid w:val="00C5308E"/>
    <w:rsid w:val="00C574C8"/>
    <w:rsid w:val="00C6080B"/>
    <w:rsid w:val="00C60D1C"/>
    <w:rsid w:val="00C62138"/>
    <w:rsid w:val="00C652CD"/>
    <w:rsid w:val="00C65C04"/>
    <w:rsid w:val="00C7001B"/>
    <w:rsid w:val="00C74BA0"/>
    <w:rsid w:val="00C7674E"/>
    <w:rsid w:val="00C76FBE"/>
    <w:rsid w:val="00C810D1"/>
    <w:rsid w:val="00C87323"/>
    <w:rsid w:val="00C92982"/>
    <w:rsid w:val="00C93047"/>
    <w:rsid w:val="00C94E9A"/>
    <w:rsid w:val="00C97D0D"/>
    <w:rsid w:val="00CA5DC6"/>
    <w:rsid w:val="00CA76EA"/>
    <w:rsid w:val="00CA7FF1"/>
    <w:rsid w:val="00CB4766"/>
    <w:rsid w:val="00CB64A1"/>
    <w:rsid w:val="00CC35F1"/>
    <w:rsid w:val="00CC48F8"/>
    <w:rsid w:val="00CD4960"/>
    <w:rsid w:val="00CD4BE7"/>
    <w:rsid w:val="00CD594B"/>
    <w:rsid w:val="00CD652D"/>
    <w:rsid w:val="00CD79E8"/>
    <w:rsid w:val="00CE5443"/>
    <w:rsid w:val="00CF0757"/>
    <w:rsid w:val="00CF5137"/>
    <w:rsid w:val="00D00364"/>
    <w:rsid w:val="00D0490A"/>
    <w:rsid w:val="00D07FD7"/>
    <w:rsid w:val="00D14A34"/>
    <w:rsid w:val="00D14A64"/>
    <w:rsid w:val="00D214CD"/>
    <w:rsid w:val="00D22028"/>
    <w:rsid w:val="00D25DB6"/>
    <w:rsid w:val="00D260D0"/>
    <w:rsid w:val="00D27856"/>
    <w:rsid w:val="00D35651"/>
    <w:rsid w:val="00D3622F"/>
    <w:rsid w:val="00D43E5E"/>
    <w:rsid w:val="00D520F0"/>
    <w:rsid w:val="00D564B5"/>
    <w:rsid w:val="00D567B8"/>
    <w:rsid w:val="00D60017"/>
    <w:rsid w:val="00D606E6"/>
    <w:rsid w:val="00D63541"/>
    <w:rsid w:val="00D63724"/>
    <w:rsid w:val="00D6556D"/>
    <w:rsid w:val="00D71456"/>
    <w:rsid w:val="00D81EC1"/>
    <w:rsid w:val="00D85213"/>
    <w:rsid w:val="00D85ED6"/>
    <w:rsid w:val="00D91F66"/>
    <w:rsid w:val="00D93831"/>
    <w:rsid w:val="00D95E7C"/>
    <w:rsid w:val="00D9738D"/>
    <w:rsid w:val="00DA472F"/>
    <w:rsid w:val="00DA7ABA"/>
    <w:rsid w:val="00DB2472"/>
    <w:rsid w:val="00DB2844"/>
    <w:rsid w:val="00DB7396"/>
    <w:rsid w:val="00DC7466"/>
    <w:rsid w:val="00DD647F"/>
    <w:rsid w:val="00DE3956"/>
    <w:rsid w:val="00DF2674"/>
    <w:rsid w:val="00DF28B6"/>
    <w:rsid w:val="00DF3F5D"/>
    <w:rsid w:val="00E00623"/>
    <w:rsid w:val="00E01BD6"/>
    <w:rsid w:val="00E02F33"/>
    <w:rsid w:val="00E05FEA"/>
    <w:rsid w:val="00E07CB6"/>
    <w:rsid w:val="00E10BB1"/>
    <w:rsid w:val="00E1286F"/>
    <w:rsid w:val="00E273FF"/>
    <w:rsid w:val="00E32CED"/>
    <w:rsid w:val="00E40E29"/>
    <w:rsid w:val="00E442C2"/>
    <w:rsid w:val="00E56352"/>
    <w:rsid w:val="00E572E3"/>
    <w:rsid w:val="00E614EE"/>
    <w:rsid w:val="00E7173F"/>
    <w:rsid w:val="00E73319"/>
    <w:rsid w:val="00E73F65"/>
    <w:rsid w:val="00E85260"/>
    <w:rsid w:val="00E92734"/>
    <w:rsid w:val="00E94472"/>
    <w:rsid w:val="00E9532F"/>
    <w:rsid w:val="00E954E5"/>
    <w:rsid w:val="00EA25FB"/>
    <w:rsid w:val="00EA4B9B"/>
    <w:rsid w:val="00EA4E04"/>
    <w:rsid w:val="00EA53E8"/>
    <w:rsid w:val="00EA5B74"/>
    <w:rsid w:val="00EB1006"/>
    <w:rsid w:val="00EB5C12"/>
    <w:rsid w:val="00EB70D9"/>
    <w:rsid w:val="00EC053C"/>
    <w:rsid w:val="00EC0AA5"/>
    <w:rsid w:val="00EC1252"/>
    <w:rsid w:val="00EC6CD7"/>
    <w:rsid w:val="00ED79A6"/>
    <w:rsid w:val="00EE02E6"/>
    <w:rsid w:val="00EE57F8"/>
    <w:rsid w:val="00EE7AA5"/>
    <w:rsid w:val="00EE7B9C"/>
    <w:rsid w:val="00EF2204"/>
    <w:rsid w:val="00EF50C0"/>
    <w:rsid w:val="00EF6363"/>
    <w:rsid w:val="00F13543"/>
    <w:rsid w:val="00F13D6C"/>
    <w:rsid w:val="00F14D90"/>
    <w:rsid w:val="00F21320"/>
    <w:rsid w:val="00F21E86"/>
    <w:rsid w:val="00F241CA"/>
    <w:rsid w:val="00F26984"/>
    <w:rsid w:val="00F322D0"/>
    <w:rsid w:val="00F353BD"/>
    <w:rsid w:val="00F35A10"/>
    <w:rsid w:val="00F40117"/>
    <w:rsid w:val="00F403D6"/>
    <w:rsid w:val="00F42A6F"/>
    <w:rsid w:val="00F53A80"/>
    <w:rsid w:val="00F54807"/>
    <w:rsid w:val="00F55BCA"/>
    <w:rsid w:val="00F5625A"/>
    <w:rsid w:val="00F65B69"/>
    <w:rsid w:val="00F6664F"/>
    <w:rsid w:val="00F757A8"/>
    <w:rsid w:val="00F77CD8"/>
    <w:rsid w:val="00F95494"/>
    <w:rsid w:val="00F96339"/>
    <w:rsid w:val="00F97849"/>
    <w:rsid w:val="00FA6046"/>
    <w:rsid w:val="00FA6C16"/>
    <w:rsid w:val="00FB06D2"/>
    <w:rsid w:val="00FB2A5D"/>
    <w:rsid w:val="00FC2AE7"/>
    <w:rsid w:val="00FD4995"/>
    <w:rsid w:val="00FD7039"/>
    <w:rsid w:val="00FD7E84"/>
    <w:rsid w:val="00FE11FA"/>
    <w:rsid w:val="00FE1EFF"/>
    <w:rsid w:val="00FE307E"/>
    <w:rsid w:val="00FE3721"/>
    <w:rsid w:val="00FE4691"/>
    <w:rsid w:val="00FE5763"/>
    <w:rsid w:val="00FE752D"/>
    <w:rsid w:val="00FF0121"/>
    <w:rsid w:val="00FF02A6"/>
    <w:rsid w:val="00FF4A4A"/>
    <w:rsid w:val="00FF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A2E88F"/>
  <w14:defaultImageDpi w14:val="300"/>
  <w15:chartTrackingRefBased/>
  <w15:docId w15:val="{B5C5A9D4-2174-4345-BD92-45AA18B0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Unresolved Mention"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547298"/>
    <w:pPr>
      <w:spacing w:before="100" w:beforeAutospacing="1" w:after="100" w:afterAutospacing="1"/>
      <w:outlineLvl w:val="0"/>
    </w:pPr>
    <w:rPr>
      <w:rFonts w:ascii="Times New Roman" w:hAnsi="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3B221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47A98"/>
    <w:pPr>
      <w:pBdr>
        <w:top w:val="nil"/>
        <w:left w:val="nil"/>
        <w:bottom w:val="nil"/>
        <w:right w:val="nil"/>
        <w:between w:val="nil"/>
        <w:bar w:val="nil"/>
      </w:pBdr>
      <w:ind w:left="567" w:right="567"/>
    </w:pPr>
    <w:rPr>
      <w:rFonts w:eastAsia="Arial Unicode MS"/>
      <w:color w:val="000000"/>
      <w:sz w:val="24"/>
      <w:szCs w:val="24"/>
      <w:bdr w:val="nil"/>
      <w:lang w:val="en-US"/>
    </w:rPr>
  </w:style>
  <w:style w:type="character" w:styleId="CommentReference">
    <w:name w:val="annotation reference"/>
    <w:uiPriority w:val="99"/>
    <w:semiHidden/>
    <w:unhideWhenUsed/>
    <w:rsid w:val="00CC48F8"/>
    <w:rPr>
      <w:sz w:val="18"/>
      <w:szCs w:val="18"/>
    </w:rPr>
  </w:style>
  <w:style w:type="paragraph" w:styleId="CommentText">
    <w:name w:val="annotation text"/>
    <w:basedOn w:val="Normal"/>
    <w:link w:val="CommentTextChar"/>
    <w:uiPriority w:val="99"/>
    <w:semiHidden/>
    <w:unhideWhenUsed/>
    <w:rsid w:val="00CC48F8"/>
  </w:style>
  <w:style w:type="character" w:customStyle="1" w:styleId="CommentTextChar">
    <w:name w:val="Comment Text Char"/>
    <w:link w:val="CommentText"/>
    <w:uiPriority w:val="99"/>
    <w:semiHidden/>
    <w:rsid w:val="00CC48F8"/>
    <w:rPr>
      <w:sz w:val="24"/>
      <w:szCs w:val="24"/>
      <w:lang w:val="en-US"/>
    </w:rPr>
  </w:style>
  <w:style w:type="paragraph" w:styleId="CommentSubject">
    <w:name w:val="annotation subject"/>
    <w:basedOn w:val="CommentText"/>
    <w:next w:val="CommentText"/>
    <w:link w:val="CommentSubjectChar"/>
    <w:uiPriority w:val="99"/>
    <w:semiHidden/>
    <w:unhideWhenUsed/>
    <w:rsid w:val="00CC48F8"/>
    <w:rPr>
      <w:b/>
      <w:bCs/>
      <w:sz w:val="20"/>
      <w:szCs w:val="20"/>
    </w:rPr>
  </w:style>
  <w:style w:type="character" w:customStyle="1" w:styleId="CommentSubjectChar">
    <w:name w:val="Comment Subject Char"/>
    <w:link w:val="CommentSubject"/>
    <w:uiPriority w:val="99"/>
    <w:semiHidden/>
    <w:rsid w:val="00CC48F8"/>
    <w:rPr>
      <w:b/>
      <w:bCs/>
      <w:sz w:val="24"/>
      <w:szCs w:val="24"/>
      <w:lang w:val="en-US"/>
    </w:rPr>
  </w:style>
  <w:style w:type="paragraph" w:styleId="BalloonText">
    <w:name w:val="Balloon Text"/>
    <w:basedOn w:val="Normal"/>
    <w:link w:val="BalloonTextChar"/>
    <w:uiPriority w:val="99"/>
    <w:semiHidden/>
    <w:unhideWhenUsed/>
    <w:rsid w:val="00CC48F8"/>
    <w:rPr>
      <w:rFonts w:ascii="Lucida Grande" w:hAnsi="Lucida Grande" w:cs="Lucida Grande"/>
      <w:sz w:val="18"/>
      <w:szCs w:val="18"/>
    </w:rPr>
  </w:style>
  <w:style w:type="character" w:customStyle="1" w:styleId="BalloonTextChar">
    <w:name w:val="Balloon Text Char"/>
    <w:link w:val="BalloonText"/>
    <w:uiPriority w:val="99"/>
    <w:semiHidden/>
    <w:rsid w:val="00CC48F8"/>
    <w:rPr>
      <w:rFonts w:ascii="Lucida Grande" w:hAnsi="Lucida Grande" w:cs="Lucida Grande"/>
      <w:sz w:val="18"/>
      <w:szCs w:val="18"/>
      <w:lang w:val="en-US"/>
    </w:rPr>
  </w:style>
  <w:style w:type="paragraph" w:styleId="Footer">
    <w:name w:val="footer"/>
    <w:basedOn w:val="Normal"/>
    <w:link w:val="FooterChar"/>
    <w:uiPriority w:val="99"/>
    <w:unhideWhenUsed/>
    <w:rsid w:val="00D60017"/>
    <w:pPr>
      <w:tabs>
        <w:tab w:val="center" w:pos="4320"/>
        <w:tab w:val="right" w:pos="8640"/>
      </w:tabs>
    </w:pPr>
  </w:style>
  <w:style w:type="character" w:customStyle="1" w:styleId="FooterChar">
    <w:name w:val="Footer Char"/>
    <w:link w:val="Footer"/>
    <w:uiPriority w:val="99"/>
    <w:rsid w:val="00D60017"/>
    <w:rPr>
      <w:sz w:val="24"/>
      <w:szCs w:val="24"/>
      <w:lang w:val="en-US"/>
    </w:rPr>
  </w:style>
  <w:style w:type="character" w:styleId="PageNumber">
    <w:name w:val="page number"/>
    <w:uiPriority w:val="99"/>
    <w:semiHidden/>
    <w:unhideWhenUsed/>
    <w:rsid w:val="00D60017"/>
  </w:style>
  <w:style w:type="paragraph" w:styleId="EndnoteText">
    <w:name w:val="endnote text"/>
    <w:basedOn w:val="Normal"/>
    <w:link w:val="EndnoteTextChar"/>
    <w:uiPriority w:val="99"/>
    <w:unhideWhenUsed/>
    <w:rsid w:val="00D60017"/>
  </w:style>
  <w:style w:type="character" w:customStyle="1" w:styleId="EndnoteTextChar">
    <w:name w:val="Endnote Text Char"/>
    <w:link w:val="EndnoteText"/>
    <w:uiPriority w:val="99"/>
    <w:rsid w:val="00D60017"/>
    <w:rPr>
      <w:sz w:val="24"/>
      <w:szCs w:val="24"/>
      <w:lang w:val="en-US"/>
    </w:rPr>
  </w:style>
  <w:style w:type="character" w:styleId="EndnoteReference">
    <w:name w:val="endnote reference"/>
    <w:uiPriority w:val="99"/>
    <w:unhideWhenUsed/>
    <w:rsid w:val="00D60017"/>
    <w:rPr>
      <w:vertAlign w:val="superscript"/>
    </w:rPr>
  </w:style>
  <w:style w:type="paragraph" w:customStyle="1" w:styleId="MediumGrid1-Accent21">
    <w:name w:val="Medium Grid 1 - Accent 21"/>
    <w:basedOn w:val="Normal"/>
    <w:uiPriority w:val="34"/>
    <w:qFormat/>
    <w:rsid w:val="000C7A56"/>
    <w:pPr>
      <w:spacing w:line="480" w:lineRule="auto"/>
      <w:ind w:firstLine="720"/>
      <w:contextualSpacing/>
    </w:pPr>
    <w:rPr>
      <w:rFonts w:eastAsia="Cambria"/>
      <w:lang w:val="en-GB"/>
    </w:rPr>
  </w:style>
  <w:style w:type="paragraph" w:styleId="FootnoteText">
    <w:name w:val="footnote text"/>
    <w:basedOn w:val="Normal"/>
    <w:link w:val="FootnoteTextChar"/>
    <w:uiPriority w:val="99"/>
    <w:unhideWhenUsed/>
    <w:rsid w:val="006866C2"/>
  </w:style>
  <w:style w:type="character" w:customStyle="1" w:styleId="FootnoteTextChar">
    <w:name w:val="Footnote Text Char"/>
    <w:link w:val="FootnoteText"/>
    <w:uiPriority w:val="99"/>
    <w:rsid w:val="006866C2"/>
    <w:rPr>
      <w:sz w:val="24"/>
      <w:szCs w:val="24"/>
      <w:lang w:val="en-US"/>
    </w:rPr>
  </w:style>
  <w:style w:type="character" w:styleId="FootnoteReference">
    <w:name w:val="footnote reference"/>
    <w:uiPriority w:val="99"/>
    <w:unhideWhenUsed/>
    <w:rsid w:val="006866C2"/>
    <w:rPr>
      <w:vertAlign w:val="superscript"/>
    </w:rPr>
  </w:style>
  <w:style w:type="character" w:customStyle="1" w:styleId="Heading1Char">
    <w:name w:val="Heading 1 Char"/>
    <w:link w:val="Heading1"/>
    <w:uiPriority w:val="9"/>
    <w:rsid w:val="00547298"/>
    <w:rPr>
      <w:rFonts w:ascii="Times New Roman" w:hAnsi="Times New Roman"/>
      <w:b/>
      <w:bCs/>
      <w:kern w:val="36"/>
      <w:sz w:val="48"/>
      <w:szCs w:val="48"/>
    </w:rPr>
  </w:style>
  <w:style w:type="paragraph" w:customStyle="1" w:styleId="p1">
    <w:name w:val="p1"/>
    <w:basedOn w:val="Normal"/>
    <w:rsid w:val="00014726"/>
    <w:rPr>
      <w:rFonts w:ascii="Times" w:hAnsi="Times"/>
      <w:sz w:val="21"/>
      <w:szCs w:val="21"/>
      <w:lang w:val="en-GB" w:eastAsia="en-GB"/>
    </w:rPr>
  </w:style>
  <w:style w:type="character" w:customStyle="1" w:styleId="s1">
    <w:name w:val="s1"/>
    <w:rsid w:val="00014726"/>
    <w:rPr>
      <w:rFonts w:ascii="Helvetica" w:hAnsi="Helvetica" w:hint="default"/>
      <w:sz w:val="21"/>
      <w:szCs w:val="21"/>
    </w:rPr>
  </w:style>
  <w:style w:type="character" w:styleId="Emphasis">
    <w:name w:val="Emphasis"/>
    <w:uiPriority w:val="20"/>
    <w:qFormat/>
    <w:rsid w:val="003B2AD7"/>
    <w:rPr>
      <w:i/>
      <w:iCs/>
    </w:rPr>
  </w:style>
  <w:style w:type="character" w:styleId="Hyperlink">
    <w:name w:val="Hyperlink"/>
    <w:uiPriority w:val="99"/>
    <w:semiHidden/>
    <w:unhideWhenUsed/>
    <w:rsid w:val="0094500E"/>
    <w:rPr>
      <w:color w:val="0000FF"/>
      <w:u w:val="single"/>
    </w:rPr>
  </w:style>
  <w:style w:type="paragraph" w:customStyle="1" w:styleId="p2">
    <w:name w:val="p2"/>
    <w:basedOn w:val="Normal"/>
    <w:rsid w:val="007C459B"/>
    <w:rPr>
      <w:rFonts w:ascii="Helvetica" w:hAnsi="Helvetica"/>
      <w:sz w:val="17"/>
      <w:szCs w:val="17"/>
      <w:lang w:val="en-GB" w:eastAsia="en-GB"/>
    </w:rPr>
  </w:style>
  <w:style w:type="character" w:customStyle="1" w:styleId="apple-converted-space">
    <w:name w:val="apple-converted-space"/>
    <w:rsid w:val="007C459B"/>
  </w:style>
  <w:style w:type="character" w:customStyle="1" w:styleId="s2">
    <w:name w:val="s2"/>
    <w:rsid w:val="007C459B"/>
    <w:rPr>
      <w:rFonts w:ascii="Times New Roman" w:hAnsi="Times New Roman" w:cs="Times New Roman" w:hint="default"/>
      <w:sz w:val="17"/>
      <w:szCs w:val="17"/>
    </w:rPr>
  </w:style>
  <w:style w:type="paragraph" w:styleId="Revision">
    <w:name w:val="Revision"/>
    <w:hidden/>
    <w:uiPriority w:val="71"/>
    <w:rsid w:val="007E6B8D"/>
    <w:rPr>
      <w:sz w:val="24"/>
      <w:szCs w:val="24"/>
      <w:lang w:val="en-US"/>
    </w:rPr>
  </w:style>
  <w:style w:type="character" w:customStyle="1" w:styleId="a-size-large">
    <w:name w:val="a-size-large"/>
    <w:basedOn w:val="DefaultParagraphFont"/>
    <w:rsid w:val="00DB7396"/>
  </w:style>
  <w:style w:type="character" w:customStyle="1" w:styleId="Heading3Char">
    <w:name w:val="Heading 3 Char"/>
    <w:basedOn w:val="DefaultParagraphFont"/>
    <w:link w:val="Heading3"/>
    <w:uiPriority w:val="9"/>
    <w:semiHidden/>
    <w:rsid w:val="003B2219"/>
    <w:rPr>
      <w:rFonts w:asciiTheme="majorHAnsi" w:eastAsiaTheme="majorEastAsia" w:hAnsiTheme="majorHAnsi" w:cstheme="majorBidi"/>
      <w:color w:val="1F3763" w:themeColor="accent1" w:themeShade="7F"/>
      <w:sz w:val="24"/>
      <w:szCs w:val="24"/>
      <w:lang w:val="en-US"/>
    </w:rPr>
  </w:style>
  <w:style w:type="character" w:customStyle="1" w:styleId="searchword">
    <w:name w:val="searchword"/>
    <w:basedOn w:val="DefaultParagraphFont"/>
    <w:rsid w:val="003B2219"/>
  </w:style>
  <w:style w:type="character" w:styleId="FollowedHyperlink">
    <w:name w:val="FollowedHyperlink"/>
    <w:basedOn w:val="DefaultParagraphFont"/>
    <w:uiPriority w:val="99"/>
    <w:semiHidden/>
    <w:unhideWhenUsed/>
    <w:rsid w:val="00C652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9066">
      <w:bodyDiv w:val="1"/>
      <w:marLeft w:val="0"/>
      <w:marRight w:val="0"/>
      <w:marTop w:val="0"/>
      <w:marBottom w:val="0"/>
      <w:divBdr>
        <w:top w:val="none" w:sz="0" w:space="0" w:color="auto"/>
        <w:left w:val="none" w:sz="0" w:space="0" w:color="auto"/>
        <w:bottom w:val="none" w:sz="0" w:space="0" w:color="auto"/>
        <w:right w:val="none" w:sz="0" w:space="0" w:color="auto"/>
      </w:divBdr>
    </w:div>
    <w:div w:id="272061158">
      <w:bodyDiv w:val="1"/>
      <w:marLeft w:val="0"/>
      <w:marRight w:val="0"/>
      <w:marTop w:val="0"/>
      <w:marBottom w:val="0"/>
      <w:divBdr>
        <w:top w:val="none" w:sz="0" w:space="0" w:color="auto"/>
        <w:left w:val="none" w:sz="0" w:space="0" w:color="auto"/>
        <w:bottom w:val="none" w:sz="0" w:space="0" w:color="auto"/>
        <w:right w:val="none" w:sz="0" w:space="0" w:color="auto"/>
      </w:divBdr>
    </w:div>
    <w:div w:id="295573712">
      <w:bodyDiv w:val="1"/>
      <w:marLeft w:val="0"/>
      <w:marRight w:val="0"/>
      <w:marTop w:val="0"/>
      <w:marBottom w:val="0"/>
      <w:divBdr>
        <w:top w:val="none" w:sz="0" w:space="0" w:color="auto"/>
        <w:left w:val="none" w:sz="0" w:space="0" w:color="auto"/>
        <w:bottom w:val="none" w:sz="0" w:space="0" w:color="auto"/>
        <w:right w:val="none" w:sz="0" w:space="0" w:color="auto"/>
      </w:divBdr>
    </w:div>
    <w:div w:id="349065538">
      <w:bodyDiv w:val="1"/>
      <w:marLeft w:val="0"/>
      <w:marRight w:val="0"/>
      <w:marTop w:val="0"/>
      <w:marBottom w:val="0"/>
      <w:divBdr>
        <w:top w:val="none" w:sz="0" w:space="0" w:color="auto"/>
        <w:left w:val="none" w:sz="0" w:space="0" w:color="auto"/>
        <w:bottom w:val="none" w:sz="0" w:space="0" w:color="auto"/>
        <w:right w:val="none" w:sz="0" w:space="0" w:color="auto"/>
      </w:divBdr>
    </w:div>
    <w:div w:id="365788424">
      <w:bodyDiv w:val="1"/>
      <w:marLeft w:val="0"/>
      <w:marRight w:val="0"/>
      <w:marTop w:val="0"/>
      <w:marBottom w:val="0"/>
      <w:divBdr>
        <w:top w:val="none" w:sz="0" w:space="0" w:color="auto"/>
        <w:left w:val="none" w:sz="0" w:space="0" w:color="auto"/>
        <w:bottom w:val="none" w:sz="0" w:space="0" w:color="auto"/>
        <w:right w:val="none" w:sz="0" w:space="0" w:color="auto"/>
      </w:divBdr>
    </w:div>
    <w:div w:id="418646838">
      <w:bodyDiv w:val="1"/>
      <w:marLeft w:val="0"/>
      <w:marRight w:val="0"/>
      <w:marTop w:val="0"/>
      <w:marBottom w:val="0"/>
      <w:divBdr>
        <w:top w:val="none" w:sz="0" w:space="0" w:color="auto"/>
        <w:left w:val="none" w:sz="0" w:space="0" w:color="auto"/>
        <w:bottom w:val="none" w:sz="0" w:space="0" w:color="auto"/>
        <w:right w:val="none" w:sz="0" w:space="0" w:color="auto"/>
      </w:divBdr>
    </w:div>
    <w:div w:id="440954261">
      <w:bodyDiv w:val="1"/>
      <w:marLeft w:val="0"/>
      <w:marRight w:val="0"/>
      <w:marTop w:val="0"/>
      <w:marBottom w:val="0"/>
      <w:divBdr>
        <w:top w:val="none" w:sz="0" w:space="0" w:color="auto"/>
        <w:left w:val="none" w:sz="0" w:space="0" w:color="auto"/>
        <w:bottom w:val="none" w:sz="0" w:space="0" w:color="auto"/>
        <w:right w:val="none" w:sz="0" w:space="0" w:color="auto"/>
      </w:divBdr>
    </w:div>
    <w:div w:id="441075554">
      <w:bodyDiv w:val="1"/>
      <w:marLeft w:val="0"/>
      <w:marRight w:val="0"/>
      <w:marTop w:val="0"/>
      <w:marBottom w:val="0"/>
      <w:divBdr>
        <w:top w:val="none" w:sz="0" w:space="0" w:color="auto"/>
        <w:left w:val="none" w:sz="0" w:space="0" w:color="auto"/>
        <w:bottom w:val="none" w:sz="0" w:space="0" w:color="auto"/>
        <w:right w:val="none" w:sz="0" w:space="0" w:color="auto"/>
      </w:divBdr>
    </w:div>
    <w:div w:id="457719335">
      <w:bodyDiv w:val="1"/>
      <w:marLeft w:val="0"/>
      <w:marRight w:val="0"/>
      <w:marTop w:val="0"/>
      <w:marBottom w:val="0"/>
      <w:divBdr>
        <w:top w:val="none" w:sz="0" w:space="0" w:color="auto"/>
        <w:left w:val="none" w:sz="0" w:space="0" w:color="auto"/>
        <w:bottom w:val="none" w:sz="0" w:space="0" w:color="auto"/>
        <w:right w:val="none" w:sz="0" w:space="0" w:color="auto"/>
      </w:divBdr>
    </w:div>
    <w:div w:id="498740533">
      <w:bodyDiv w:val="1"/>
      <w:marLeft w:val="0"/>
      <w:marRight w:val="0"/>
      <w:marTop w:val="0"/>
      <w:marBottom w:val="0"/>
      <w:divBdr>
        <w:top w:val="none" w:sz="0" w:space="0" w:color="auto"/>
        <w:left w:val="none" w:sz="0" w:space="0" w:color="auto"/>
        <w:bottom w:val="none" w:sz="0" w:space="0" w:color="auto"/>
        <w:right w:val="none" w:sz="0" w:space="0" w:color="auto"/>
      </w:divBdr>
    </w:div>
    <w:div w:id="521481878">
      <w:bodyDiv w:val="1"/>
      <w:marLeft w:val="0"/>
      <w:marRight w:val="0"/>
      <w:marTop w:val="0"/>
      <w:marBottom w:val="0"/>
      <w:divBdr>
        <w:top w:val="none" w:sz="0" w:space="0" w:color="auto"/>
        <w:left w:val="none" w:sz="0" w:space="0" w:color="auto"/>
        <w:bottom w:val="none" w:sz="0" w:space="0" w:color="auto"/>
        <w:right w:val="none" w:sz="0" w:space="0" w:color="auto"/>
      </w:divBdr>
    </w:div>
    <w:div w:id="593518857">
      <w:bodyDiv w:val="1"/>
      <w:marLeft w:val="0"/>
      <w:marRight w:val="0"/>
      <w:marTop w:val="0"/>
      <w:marBottom w:val="0"/>
      <w:divBdr>
        <w:top w:val="none" w:sz="0" w:space="0" w:color="auto"/>
        <w:left w:val="none" w:sz="0" w:space="0" w:color="auto"/>
        <w:bottom w:val="none" w:sz="0" w:space="0" w:color="auto"/>
        <w:right w:val="none" w:sz="0" w:space="0" w:color="auto"/>
      </w:divBdr>
    </w:div>
    <w:div w:id="793601047">
      <w:bodyDiv w:val="1"/>
      <w:marLeft w:val="0"/>
      <w:marRight w:val="0"/>
      <w:marTop w:val="0"/>
      <w:marBottom w:val="0"/>
      <w:divBdr>
        <w:top w:val="none" w:sz="0" w:space="0" w:color="auto"/>
        <w:left w:val="none" w:sz="0" w:space="0" w:color="auto"/>
        <w:bottom w:val="none" w:sz="0" w:space="0" w:color="auto"/>
        <w:right w:val="none" w:sz="0" w:space="0" w:color="auto"/>
      </w:divBdr>
    </w:div>
    <w:div w:id="848108213">
      <w:bodyDiv w:val="1"/>
      <w:marLeft w:val="0"/>
      <w:marRight w:val="0"/>
      <w:marTop w:val="0"/>
      <w:marBottom w:val="0"/>
      <w:divBdr>
        <w:top w:val="none" w:sz="0" w:space="0" w:color="auto"/>
        <w:left w:val="none" w:sz="0" w:space="0" w:color="auto"/>
        <w:bottom w:val="none" w:sz="0" w:space="0" w:color="auto"/>
        <w:right w:val="none" w:sz="0" w:space="0" w:color="auto"/>
      </w:divBdr>
    </w:div>
    <w:div w:id="891307264">
      <w:bodyDiv w:val="1"/>
      <w:marLeft w:val="0"/>
      <w:marRight w:val="0"/>
      <w:marTop w:val="0"/>
      <w:marBottom w:val="0"/>
      <w:divBdr>
        <w:top w:val="none" w:sz="0" w:space="0" w:color="auto"/>
        <w:left w:val="none" w:sz="0" w:space="0" w:color="auto"/>
        <w:bottom w:val="none" w:sz="0" w:space="0" w:color="auto"/>
        <w:right w:val="none" w:sz="0" w:space="0" w:color="auto"/>
      </w:divBdr>
    </w:div>
    <w:div w:id="906764611">
      <w:bodyDiv w:val="1"/>
      <w:marLeft w:val="0"/>
      <w:marRight w:val="0"/>
      <w:marTop w:val="0"/>
      <w:marBottom w:val="0"/>
      <w:divBdr>
        <w:top w:val="none" w:sz="0" w:space="0" w:color="auto"/>
        <w:left w:val="none" w:sz="0" w:space="0" w:color="auto"/>
        <w:bottom w:val="none" w:sz="0" w:space="0" w:color="auto"/>
        <w:right w:val="none" w:sz="0" w:space="0" w:color="auto"/>
      </w:divBdr>
    </w:div>
    <w:div w:id="925068620">
      <w:bodyDiv w:val="1"/>
      <w:marLeft w:val="0"/>
      <w:marRight w:val="0"/>
      <w:marTop w:val="0"/>
      <w:marBottom w:val="0"/>
      <w:divBdr>
        <w:top w:val="none" w:sz="0" w:space="0" w:color="auto"/>
        <w:left w:val="none" w:sz="0" w:space="0" w:color="auto"/>
        <w:bottom w:val="none" w:sz="0" w:space="0" w:color="auto"/>
        <w:right w:val="none" w:sz="0" w:space="0" w:color="auto"/>
      </w:divBdr>
    </w:div>
    <w:div w:id="944077207">
      <w:bodyDiv w:val="1"/>
      <w:marLeft w:val="0"/>
      <w:marRight w:val="0"/>
      <w:marTop w:val="0"/>
      <w:marBottom w:val="0"/>
      <w:divBdr>
        <w:top w:val="none" w:sz="0" w:space="0" w:color="auto"/>
        <w:left w:val="none" w:sz="0" w:space="0" w:color="auto"/>
        <w:bottom w:val="none" w:sz="0" w:space="0" w:color="auto"/>
        <w:right w:val="none" w:sz="0" w:space="0" w:color="auto"/>
      </w:divBdr>
    </w:div>
    <w:div w:id="990717466">
      <w:bodyDiv w:val="1"/>
      <w:marLeft w:val="0"/>
      <w:marRight w:val="0"/>
      <w:marTop w:val="0"/>
      <w:marBottom w:val="0"/>
      <w:divBdr>
        <w:top w:val="none" w:sz="0" w:space="0" w:color="auto"/>
        <w:left w:val="none" w:sz="0" w:space="0" w:color="auto"/>
        <w:bottom w:val="none" w:sz="0" w:space="0" w:color="auto"/>
        <w:right w:val="none" w:sz="0" w:space="0" w:color="auto"/>
      </w:divBdr>
    </w:div>
    <w:div w:id="996347476">
      <w:bodyDiv w:val="1"/>
      <w:marLeft w:val="0"/>
      <w:marRight w:val="0"/>
      <w:marTop w:val="0"/>
      <w:marBottom w:val="0"/>
      <w:divBdr>
        <w:top w:val="none" w:sz="0" w:space="0" w:color="auto"/>
        <w:left w:val="none" w:sz="0" w:space="0" w:color="auto"/>
        <w:bottom w:val="none" w:sz="0" w:space="0" w:color="auto"/>
        <w:right w:val="none" w:sz="0" w:space="0" w:color="auto"/>
      </w:divBdr>
    </w:div>
    <w:div w:id="1031147604">
      <w:bodyDiv w:val="1"/>
      <w:marLeft w:val="0"/>
      <w:marRight w:val="0"/>
      <w:marTop w:val="0"/>
      <w:marBottom w:val="0"/>
      <w:divBdr>
        <w:top w:val="none" w:sz="0" w:space="0" w:color="auto"/>
        <w:left w:val="none" w:sz="0" w:space="0" w:color="auto"/>
        <w:bottom w:val="none" w:sz="0" w:space="0" w:color="auto"/>
        <w:right w:val="none" w:sz="0" w:space="0" w:color="auto"/>
      </w:divBdr>
    </w:div>
    <w:div w:id="1128552986">
      <w:bodyDiv w:val="1"/>
      <w:marLeft w:val="0"/>
      <w:marRight w:val="0"/>
      <w:marTop w:val="0"/>
      <w:marBottom w:val="0"/>
      <w:divBdr>
        <w:top w:val="none" w:sz="0" w:space="0" w:color="auto"/>
        <w:left w:val="none" w:sz="0" w:space="0" w:color="auto"/>
        <w:bottom w:val="none" w:sz="0" w:space="0" w:color="auto"/>
        <w:right w:val="none" w:sz="0" w:space="0" w:color="auto"/>
      </w:divBdr>
    </w:div>
    <w:div w:id="1316452090">
      <w:bodyDiv w:val="1"/>
      <w:marLeft w:val="0"/>
      <w:marRight w:val="0"/>
      <w:marTop w:val="0"/>
      <w:marBottom w:val="0"/>
      <w:divBdr>
        <w:top w:val="none" w:sz="0" w:space="0" w:color="auto"/>
        <w:left w:val="none" w:sz="0" w:space="0" w:color="auto"/>
        <w:bottom w:val="none" w:sz="0" w:space="0" w:color="auto"/>
        <w:right w:val="none" w:sz="0" w:space="0" w:color="auto"/>
      </w:divBdr>
    </w:div>
    <w:div w:id="1344013692">
      <w:bodyDiv w:val="1"/>
      <w:marLeft w:val="0"/>
      <w:marRight w:val="0"/>
      <w:marTop w:val="0"/>
      <w:marBottom w:val="0"/>
      <w:divBdr>
        <w:top w:val="none" w:sz="0" w:space="0" w:color="auto"/>
        <w:left w:val="none" w:sz="0" w:space="0" w:color="auto"/>
        <w:bottom w:val="none" w:sz="0" w:space="0" w:color="auto"/>
        <w:right w:val="none" w:sz="0" w:space="0" w:color="auto"/>
      </w:divBdr>
    </w:div>
    <w:div w:id="1388145237">
      <w:bodyDiv w:val="1"/>
      <w:marLeft w:val="0"/>
      <w:marRight w:val="0"/>
      <w:marTop w:val="0"/>
      <w:marBottom w:val="0"/>
      <w:divBdr>
        <w:top w:val="none" w:sz="0" w:space="0" w:color="auto"/>
        <w:left w:val="none" w:sz="0" w:space="0" w:color="auto"/>
        <w:bottom w:val="none" w:sz="0" w:space="0" w:color="auto"/>
        <w:right w:val="none" w:sz="0" w:space="0" w:color="auto"/>
      </w:divBdr>
    </w:div>
    <w:div w:id="1420525224">
      <w:bodyDiv w:val="1"/>
      <w:marLeft w:val="0"/>
      <w:marRight w:val="0"/>
      <w:marTop w:val="0"/>
      <w:marBottom w:val="0"/>
      <w:divBdr>
        <w:top w:val="none" w:sz="0" w:space="0" w:color="auto"/>
        <w:left w:val="none" w:sz="0" w:space="0" w:color="auto"/>
        <w:bottom w:val="none" w:sz="0" w:space="0" w:color="auto"/>
        <w:right w:val="none" w:sz="0" w:space="0" w:color="auto"/>
      </w:divBdr>
    </w:div>
    <w:div w:id="1460949142">
      <w:bodyDiv w:val="1"/>
      <w:marLeft w:val="0"/>
      <w:marRight w:val="0"/>
      <w:marTop w:val="0"/>
      <w:marBottom w:val="0"/>
      <w:divBdr>
        <w:top w:val="none" w:sz="0" w:space="0" w:color="auto"/>
        <w:left w:val="none" w:sz="0" w:space="0" w:color="auto"/>
        <w:bottom w:val="none" w:sz="0" w:space="0" w:color="auto"/>
        <w:right w:val="none" w:sz="0" w:space="0" w:color="auto"/>
      </w:divBdr>
    </w:div>
    <w:div w:id="1482848750">
      <w:bodyDiv w:val="1"/>
      <w:marLeft w:val="0"/>
      <w:marRight w:val="0"/>
      <w:marTop w:val="0"/>
      <w:marBottom w:val="0"/>
      <w:divBdr>
        <w:top w:val="none" w:sz="0" w:space="0" w:color="auto"/>
        <w:left w:val="none" w:sz="0" w:space="0" w:color="auto"/>
        <w:bottom w:val="none" w:sz="0" w:space="0" w:color="auto"/>
        <w:right w:val="none" w:sz="0" w:space="0" w:color="auto"/>
      </w:divBdr>
    </w:div>
    <w:div w:id="1656185726">
      <w:bodyDiv w:val="1"/>
      <w:marLeft w:val="0"/>
      <w:marRight w:val="0"/>
      <w:marTop w:val="0"/>
      <w:marBottom w:val="0"/>
      <w:divBdr>
        <w:top w:val="none" w:sz="0" w:space="0" w:color="auto"/>
        <w:left w:val="none" w:sz="0" w:space="0" w:color="auto"/>
        <w:bottom w:val="none" w:sz="0" w:space="0" w:color="auto"/>
        <w:right w:val="none" w:sz="0" w:space="0" w:color="auto"/>
      </w:divBdr>
    </w:div>
    <w:div w:id="1735160714">
      <w:bodyDiv w:val="1"/>
      <w:marLeft w:val="0"/>
      <w:marRight w:val="0"/>
      <w:marTop w:val="0"/>
      <w:marBottom w:val="0"/>
      <w:divBdr>
        <w:top w:val="none" w:sz="0" w:space="0" w:color="auto"/>
        <w:left w:val="none" w:sz="0" w:space="0" w:color="auto"/>
        <w:bottom w:val="none" w:sz="0" w:space="0" w:color="auto"/>
        <w:right w:val="none" w:sz="0" w:space="0" w:color="auto"/>
      </w:divBdr>
    </w:div>
    <w:div w:id="1801878944">
      <w:bodyDiv w:val="1"/>
      <w:marLeft w:val="0"/>
      <w:marRight w:val="0"/>
      <w:marTop w:val="0"/>
      <w:marBottom w:val="0"/>
      <w:divBdr>
        <w:top w:val="none" w:sz="0" w:space="0" w:color="auto"/>
        <w:left w:val="none" w:sz="0" w:space="0" w:color="auto"/>
        <w:bottom w:val="none" w:sz="0" w:space="0" w:color="auto"/>
        <w:right w:val="none" w:sz="0" w:space="0" w:color="auto"/>
      </w:divBdr>
    </w:div>
    <w:div w:id="1859392256">
      <w:bodyDiv w:val="1"/>
      <w:marLeft w:val="0"/>
      <w:marRight w:val="0"/>
      <w:marTop w:val="0"/>
      <w:marBottom w:val="0"/>
      <w:divBdr>
        <w:top w:val="none" w:sz="0" w:space="0" w:color="auto"/>
        <w:left w:val="none" w:sz="0" w:space="0" w:color="auto"/>
        <w:bottom w:val="none" w:sz="0" w:space="0" w:color="auto"/>
        <w:right w:val="none" w:sz="0" w:space="0" w:color="auto"/>
      </w:divBdr>
    </w:div>
    <w:div w:id="2053845260">
      <w:bodyDiv w:val="1"/>
      <w:marLeft w:val="0"/>
      <w:marRight w:val="0"/>
      <w:marTop w:val="0"/>
      <w:marBottom w:val="0"/>
      <w:divBdr>
        <w:top w:val="none" w:sz="0" w:space="0" w:color="auto"/>
        <w:left w:val="none" w:sz="0" w:space="0" w:color="auto"/>
        <w:bottom w:val="none" w:sz="0" w:space="0" w:color="auto"/>
        <w:right w:val="none" w:sz="0" w:space="0" w:color="auto"/>
      </w:divBdr>
    </w:div>
    <w:div w:id="2053964672">
      <w:bodyDiv w:val="1"/>
      <w:marLeft w:val="0"/>
      <w:marRight w:val="0"/>
      <w:marTop w:val="0"/>
      <w:marBottom w:val="0"/>
      <w:divBdr>
        <w:top w:val="none" w:sz="0" w:space="0" w:color="auto"/>
        <w:left w:val="none" w:sz="0" w:space="0" w:color="auto"/>
        <w:bottom w:val="none" w:sz="0" w:space="0" w:color="auto"/>
        <w:right w:val="none" w:sz="0" w:space="0" w:color="auto"/>
      </w:divBdr>
    </w:div>
    <w:div w:id="2143844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yorsearch.york.ac.uk/primo_library/libweb/action/myAccountLoan.do?command=details&amp;loanID=33907819770001381&amp;type=active&amp;pagingActivated=true&amp;partialResult=false" TargetMode="External"/><Relationship Id="rId1" Type="http://schemas.openxmlformats.org/officeDocument/2006/relationships/hyperlink" Target="https://kindle.amazon.com/work/lady-cotton-hannah-mistress-quarry-ebook/B00ABLFVFM/B00APDX8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9FE8-1C6A-F649-AF53-80E7FE79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34</Pages>
  <Words>6197</Words>
  <Characters>33404</Characters>
  <Application>Microsoft Office Word</Application>
  <DocSecurity>0</DocSecurity>
  <Lines>521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39545</CharactersWithSpaces>
  <SharedDoc>false</SharedDoc>
  <HLinks>
    <vt:vector size="12" baseType="variant">
      <vt:variant>
        <vt:i4>1900584</vt:i4>
      </vt:variant>
      <vt:variant>
        <vt:i4>3</vt:i4>
      </vt:variant>
      <vt:variant>
        <vt:i4>0</vt:i4>
      </vt:variant>
      <vt:variant>
        <vt:i4>5</vt:i4>
      </vt:variant>
      <vt:variant>
        <vt:lpwstr>https://kindle.amazon.com/work/lady-cotton-hannah-mistress-quarry-ebook/B00ABLFVFM/B00APDX8AG</vt:lpwstr>
      </vt:variant>
      <vt:variant>
        <vt:lpwstr/>
      </vt:variant>
      <vt:variant>
        <vt:i4>6488183</vt:i4>
      </vt:variant>
      <vt:variant>
        <vt:i4>0</vt:i4>
      </vt:variant>
      <vt:variant>
        <vt:i4>0</vt:i4>
      </vt:variant>
      <vt:variant>
        <vt:i4>5</vt:i4>
      </vt:variant>
      <vt:variant>
        <vt:lpwstr>https://link.springer.com/chapter/10.1007/978-1-349-17733-2_8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Mee</dc:creator>
  <cp:keywords/>
  <dc:description/>
  <cp:lastModifiedBy>Microsoft Office User</cp:lastModifiedBy>
  <cp:revision>11</cp:revision>
  <cp:lastPrinted>2018-07-02T10:36:00Z</cp:lastPrinted>
  <dcterms:created xsi:type="dcterms:W3CDTF">2018-05-04T15:45:00Z</dcterms:created>
  <dcterms:modified xsi:type="dcterms:W3CDTF">2018-07-02T10:41:00Z</dcterms:modified>
</cp:coreProperties>
</file>