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62C8B" w:rsidRPr="00B30A4C" w:rsidRDefault="00DB55F3" w:rsidP="004C531E">
      <w:pPr>
        <w:pStyle w:val="RSCM01ReceivedAccepted"/>
        <w:rPr>
          <w:noProof w:val="0"/>
        </w:rPr>
      </w:pPr>
      <w:r w:rsidRPr="00B30A4C">
        <mc:AlternateContent>
          <mc:Choice Requires="wps">
            <w:drawing>
              <wp:anchor distT="180340" distB="0" distL="114300" distR="114300" simplePos="0" relativeHeight="251662336" behindDoc="1" locked="1" layoutInCell="0" allowOverlap="0" wp14:anchorId="00AF3327" wp14:editId="5C49FC9D">
                <wp:simplePos x="0" y="0"/>
                <wp:positionH relativeFrom="column">
                  <wp:posOffset>0</wp:posOffset>
                </wp:positionH>
                <wp:positionV relativeFrom="margin">
                  <wp:align>bottom</wp:align>
                </wp:positionV>
                <wp:extent cx="3159125" cy="1080770"/>
                <wp:effectExtent l="0" t="0" r="3175" b="0"/>
                <wp:wrapTopAndBottom/>
                <wp:docPr id="8"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9125" cy="1080770"/>
                        </a:xfrm>
                        <a:prstGeom prst="rect">
                          <a:avLst/>
                        </a:prstGeom>
                        <a:solidFill>
                          <a:srgbClr val="FFFFFF"/>
                        </a:solidFill>
                        <a:ln w="9525">
                          <a:noFill/>
                          <a:miter lim="800000"/>
                          <a:headEnd/>
                          <a:tailEnd/>
                        </a:ln>
                      </wps:spPr>
                      <wps:txbx>
                        <w:txbxContent>
                          <w:p w:rsidR="002D0955" w:rsidRDefault="002D0955" w:rsidP="00CB2B95">
                            <w:pPr>
                              <w:pStyle w:val="RSCF01FootnoteAuthorAddress"/>
                            </w:pPr>
                            <w:r w:rsidRPr="000F2A9F">
                              <w:t xml:space="preserve">Department of Chemistry, </w:t>
                            </w:r>
                            <w:r>
                              <w:t xml:space="preserve">The </w:t>
                            </w:r>
                            <w:r w:rsidRPr="000F2A9F">
                              <w:t>University of York, Heslington, York, YO10 5DD, United Kingdom</w:t>
                            </w:r>
                          </w:p>
                          <w:p w:rsidR="002D0955" w:rsidRDefault="002D0955" w:rsidP="004227DC">
                            <w:pPr>
                              <w:pStyle w:val="RSCF01FootnoteAuthorAddress"/>
                            </w:pPr>
                            <w:r>
                              <w:t>Materials Chemistry Research Center, Department of Chemistry</w:t>
                            </w:r>
                            <w:r w:rsidR="004227DC">
                              <w:t xml:space="preserve"> and </w:t>
                            </w:r>
                            <w:r w:rsidR="004227DC" w:rsidRPr="004227DC">
                              <w:t>Center of Excellence for Innovation in Chemistry</w:t>
                            </w:r>
                            <w:r>
                              <w:t xml:space="preserve">, Faculty of Science, Khon Kaen University, Khon Kaen, 40002, Thailand, </w:t>
                            </w:r>
                            <w:r w:rsidRPr="000F2A9F">
                              <w:t>E-mail:</w:t>
                            </w:r>
                            <w:r>
                              <w:t xml:space="preserve"> andrew@kku</w:t>
                            </w:r>
                            <w:r w:rsidRPr="000F2A9F">
                              <w:t>.ac.</w:t>
                            </w:r>
                            <w:r>
                              <w:t>th</w:t>
                            </w:r>
                          </w:p>
                          <w:p w:rsidR="002D0955" w:rsidRPr="00241ACD" w:rsidRDefault="002D0955" w:rsidP="00241ACD">
                            <w:pPr>
                              <w:pStyle w:val="RSCF02FootnotestoTitleAuthors"/>
                            </w:pPr>
                            <w:r>
                              <w:t>*</w:t>
                            </w:r>
                            <w:r w:rsidRPr="00241ACD">
                              <w:t xml:space="preserve"> </w:t>
                            </w:r>
                            <w:r>
                              <w:t>Corresponding author</w:t>
                            </w:r>
                          </w:p>
                          <w:p w:rsidR="002D0955" w:rsidRPr="00241ACD" w:rsidRDefault="002D0955" w:rsidP="00241ACD">
                            <w:pPr>
                              <w:pStyle w:val="RSCF02FootnotestoTitleAuthors"/>
                            </w:pPr>
                            <w:r w:rsidRPr="00241ACD">
                              <w:t xml:space="preserve">Electronic Supplementary Information (ESI) available: </w:t>
                            </w:r>
                            <w:r>
                              <w:t>Experimental details, characterisation data and single crystal XRD structures are presented</w:t>
                            </w:r>
                            <w:r w:rsidRPr="00241ACD">
                              <w: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48.75pt;height:85.1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" o:allowincell="f" o:allowoverlap="f" stroked="f">
                <o:lock v:ext="edit" aspectratio="t"/>
                <v:textbox style="mso-fit-shape-to-text:t" inset="0,1mm,0,1mm">
                  <w:txbxContent>
                    <w:p w:rsidR="002D0955" w:rsidRDefault="002D0955" w:rsidP="00CB2B95">
                      <w:pPr>
                        <w:pStyle w:val="RSCF01FootnoteAuthorAddress"/>
                      </w:pPr>
                      <w:r w:rsidRPr="000F2A9F">
                        <w:t xml:space="preserve">Department of Chemistry, </w:t>
                      </w:r>
                      <w:r>
                        <w:t xml:space="preserve">The </w:t>
                      </w:r>
                      <w:r w:rsidRPr="000F2A9F">
                        <w:t xml:space="preserve">University of York, </w:t>
                      </w:r>
                      <w:proofErr w:type="spellStart"/>
                      <w:r w:rsidRPr="000F2A9F">
                        <w:t>Heslington</w:t>
                      </w:r>
                      <w:proofErr w:type="spellEnd"/>
                      <w:r w:rsidRPr="000F2A9F">
                        <w:t>, York, YO10 5DD, United Kingdom</w:t>
                      </w:r>
                    </w:p>
                    <w:p w:rsidR="002D0955" w:rsidRDefault="002D0955" w:rsidP="004227DC">
                      <w:pPr>
                        <w:pStyle w:val="RSCF01FootnoteAuthorAddress"/>
                      </w:pPr>
                      <w:r>
                        <w:t xml:space="preserve">Materials Chemistry Research </w:t>
                      </w:r>
                      <w:proofErr w:type="spellStart"/>
                      <w:r>
                        <w:t>Center</w:t>
                      </w:r>
                      <w:proofErr w:type="spellEnd"/>
                      <w:r>
                        <w:t>, Department of Chemistry</w:t>
                      </w:r>
                      <w:r w:rsidR="004227DC">
                        <w:t xml:space="preserve"> and </w:t>
                      </w:r>
                      <w:proofErr w:type="spellStart"/>
                      <w:r w:rsidR="004227DC" w:rsidRPr="004227DC">
                        <w:t>Center</w:t>
                      </w:r>
                      <w:proofErr w:type="spellEnd"/>
                      <w:r w:rsidR="004227DC" w:rsidRPr="004227DC">
                        <w:t xml:space="preserve"> of Excellence for Innovation in Chemistry</w:t>
                      </w:r>
                      <w:r>
                        <w:t xml:space="preserve">, Faculty of Science, </w:t>
                      </w:r>
                      <w:proofErr w:type="spellStart"/>
                      <w:r>
                        <w:t>Khon</w:t>
                      </w:r>
                      <w:proofErr w:type="spellEnd"/>
                      <w:r>
                        <w:t xml:space="preserve"> </w:t>
                      </w:r>
                      <w:proofErr w:type="spellStart"/>
                      <w:r>
                        <w:t>Kaen</w:t>
                      </w:r>
                      <w:proofErr w:type="spellEnd"/>
                      <w:r>
                        <w:t xml:space="preserve"> University, </w:t>
                      </w:r>
                      <w:proofErr w:type="spellStart"/>
                      <w:r>
                        <w:t>Khon</w:t>
                      </w:r>
                      <w:proofErr w:type="spellEnd"/>
                      <w:r>
                        <w:t xml:space="preserve"> </w:t>
                      </w:r>
                      <w:proofErr w:type="spellStart"/>
                      <w:r>
                        <w:t>Kaen</w:t>
                      </w:r>
                      <w:proofErr w:type="spellEnd"/>
                      <w:r>
                        <w:t xml:space="preserve">, 40002, Thailand, </w:t>
                      </w:r>
                      <w:r w:rsidRPr="000F2A9F">
                        <w:t>E-mail:</w:t>
                      </w:r>
                      <w:r>
                        <w:t xml:space="preserve"> andrew@kku</w:t>
                      </w:r>
                      <w:r w:rsidRPr="000F2A9F">
                        <w:t>.ac.</w:t>
                      </w:r>
                      <w:r>
                        <w:t>th</w:t>
                      </w:r>
                    </w:p>
                    <w:p w:rsidR="002D0955" w:rsidRPr="00241ACD" w:rsidRDefault="002D0955" w:rsidP="00241ACD">
                      <w:pPr>
                        <w:pStyle w:val="RSCF02FootnotestoTitleAuthors"/>
                      </w:pPr>
                      <w:r>
                        <w:t>*</w:t>
                      </w:r>
                      <w:r w:rsidRPr="00241ACD">
                        <w:t xml:space="preserve"> </w:t>
                      </w:r>
                      <w:r>
                        <w:t>Corresponding author</w:t>
                      </w:r>
                    </w:p>
                    <w:p w:rsidR="002D0955" w:rsidRPr="00241ACD" w:rsidRDefault="002D0955" w:rsidP="00241ACD">
                      <w:pPr>
                        <w:pStyle w:val="RSCF02FootnotestoTitleAuthors"/>
                      </w:pPr>
                      <w:r w:rsidRPr="00241ACD">
                        <w:t xml:space="preserve">Electronic Supplementary Information (ESI) available: </w:t>
                      </w:r>
                      <w:r>
                        <w:t>Experimental details, characterisation data and single crystal XRD structures are presented</w:t>
                      </w:r>
                      <w:r w:rsidRPr="00241ACD">
                        <w:t>. See DOI: 10.1039/x0xx00000x</w:t>
                      </w:r>
                    </w:p>
                  </w:txbxContent>
                </v:textbox>
                <w10:wrap type="topAndBottom" anchory="margin"/>
                <w10:anchorlock/>
              </v:shape>
            </w:pict>
          </mc:Fallback>
        </mc:AlternateContent>
      </w:r>
      <w:r w:rsidR="00F62C8B" w:rsidRPr="00B30A4C">
        <w:rPr>
          <w:noProof w:val="0"/>
        </w:rPr>
        <w:t>Received 00th January 20</w:t>
      </w:r>
      <w:r w:rsidR="00F15F90" w:rsidRPr="00B30A4C">
        <w:rPr>
          <w:noProof w:val="0"/>
        </w:rPr>
        <w:t>xx</w:t>
      </w:r>
      <w:r w:rsidR="00F62C8B" w:rsidRPr="00B30A4C">
        <w:rPr>
          <w:noProof w:val="0"/>
        </w:rPr>
        <w:t>,</w:t>
      </w:r>
    </w:p>
    <w:p w:rsidR="00F62C8B" w:rsidRPr="00B30A4C" w:rsidRDefault="00F62C8B" w:rsidP="004C531E">
      <w:pPr>
        <w:pStyle w:val="RSCM01ReceivedAccepted"/>
        <w:rPr>
          <w:noProof w:val="0"/>
        </w:rPr>
      </w:pPr>
      <w:r w:rsidRPr="00B30A4C">
        <w:rPr>
          <w:noProof w:val="0"/>
        </w:rPr>
        <w:t>Accepted 00th January 20</w:t>
      </w:r>
      <w:r w:rsidR="00F15F90" w:rsidRPr="00B30A4C">
        <w:rPr>
          <w:noProof w:val="0"/>
        </w:rPr>
        <w:t>xx</w:t>
      </w:r>
    </w:p>
    <w:p w:rsidR="00F62C8B" w:rsidRPr="00B30A4C" w:rsidRDefault="00F62C8B" w:rsidP="004C531E">
      <w:pPr>
        <w:pStyle w:val="RSCM02DOI"/>
      </w:pPr>
      <w:r w:rsidRPr="00B30A4C">
        <w:t>DOI: 10.1039/x0xx00000x</w:t>
      </w:r>
    </w:p>
    <w:p w:rsidR="00A9649E" w:rsidRPr="00B30A4C" w:rsidRDefault="00A9649E" w:rsidP="004C531E">
      <w:pPr>
        <w:pStyle w:val="RSCM03Website"/>
      </w:pPr>
      <w:r w:rsidRPr="00B30A4C">
        <w:t>www.rsc.org/</w:t>
      </w:r>
    </w:p>
    <w:p w:rsidR="004414A5" w:rsidRPr="00B30A4C" w:rsidRDefault="00F62C8B" w:rsidP="00C32EDF">
      <w:pPr>
        <w:pStyle w:val="RSCH01PaperTitle"/>
      </w:pPr>
      <w:r w:rsidRPr="00B30A4C">
        <w:br w:type="column"/>
      </w:r>
      <w:r w:rsidR="001F520A" w:rsidRPr="00B30A4C">
        <w:lastRenderedPageBreak/>
        <w:t xml:space="preserve">Development of pharmaceutically relevant </w:t>
      </w:r>
      <w:r w:rsidR="00CB2B95" w:rsidRPr="00B30A4C">
        <w:t xml:space="preserve">bio-based </w:t>
      </w:r>
      <w:r w:rsidR="001F520A" w:rsidRPr="00B30A4C">
        <w:t>intermediates though a</w:t>
      </w:r>
      <w:r w:rsidR="00D47D54" w:rsidRPr="00B30A4C">
        <w:t xml:space="preserve">ldol condensation </w:t>
      </w:r>
      <w:r w:rsidR="00CB2B95" w:rsidRPr="00B30A4C">
        <w:t>and Claisen-Schmidt reactions</w:t>
      </w:r>
      <w:r w:rsidR="00D47D54" w:rsidRPr="00B30A4C">
        <w:t xml:space="preserve"> of dihydrolevoglucosenone</w:t>
      </w:r>
      <w:r w:rsidR="001F520A" w:rsidRPr="00B30A4C">
        <w:t xml:space="preserve"> (Cyrene®)</w:t>
      </w:r>
    </w:p>
    <w:p w:rsidR="00670ED4" w:rsidRPr="00B30A4C" w:rsidRDefault="00D36AC9" w:rsidP="00F21465">
      <w:pPr>
        <w:pStyle w:val="RSCH02PaperAuthorsandByline"/>
        <w:sectPr w:rsidR="00670ED4" w:rsidRPr="00B30A4C" w:rsidSect="00514CBA">
          <w:headerReference w:type="even" r:id="rId9"/>
          <w:headerReference w:type="default" r:id="rId10"/>
          <w:footerReference w:type="even" r:id="rId11"/>
          <w:footerReference w:type="default" r:id="rId12"/>
          <w:headerReference w:type="first" r:id="rId13"/>
          <w:footerReference w:type="first" r:id="rId14"/>
          <w:pgSz w:w="11907" w:h="16840" w:code="9"/>
          <w:pgMar w:top="1009" w:right="851" w:bottom="1758" w:left="851" w:header="851" w:footer="1049" w:gutter="0"/>
          <w:cols w:num="2" w:space="227" w:equalWidth="0">
            <w:col w:w="1985" w:space="227"/>
            <w:col w:w="7993"/>
          </w:cols>
          <w:titlePg/>
          <w:docGrid w:linePitch="360"/>
        </w:sectPr>
      </w:pPr>
      <w:r w:rsidRPr="00B30A4C">
        <w:t>Liam Hughes</w:t>
      </w:r>
      <w:r w:rsidR="00CC7C64" w:rsidRPr="00B30A4C">
        <w:t>,</w:t>
      </w:r>
      <w:r w:rsidR="00CC7C64" w:rsidRPr="00B30A4C">
        <w:rPr>
          <w:vertAlign w:val="superscript"/>
        </w:rPr>
        <w:t>a</w:t>
      </w:r>
      <w:r w:rsidR="00CC7C64" w:rsidRPr="00B30A4C">
        <w:t xml:space="preserve"> </w:t>
      </w:r>
      <w:r w:rsidRPr="00B30A4C">
        <w:t>Con R. McElroy</w:t>
      </w:r>
      <w:r w:rsidRPr="00B30A4C">
        <w:rPr>
          <w:vertAlign w:val="superscript"/>
        </w:rPr>
        <w:t>a</w:t>
      </w:r>
      <w:r w:rsidR="00CC7C64" w:rsidRPr="00B30A4C">
        <w:t xml:space="preserve"> </w:t>
      </w:r>
      <w:r w:rsidR="00F56F38" w:rsidRPr="00B30A4C">
        <w:t xml:space="preserve">Adrian </w:t>
      </w:r>
      <w:r w:rsidR="00DB48EB" w:rsidRPr="00B30A4C">
        <w:t>C</w:t>
      </w:r>
      <w:r w:rsidR="008757A3" w:rsidRPr="00B30A4C">
        <w:t>.</w:t>
      </w:r>
      <w:r w:rsidR="00DB48EB" w:rsidRPr="00B30A4C">
        <w:t xml:space="preserve"> </w:t>
      </w:r>
      <w:r w:rsidR="00F56F38" w:rsidRPr="00B30A4C">
        <w:t>Whitwood</w:t>
      </w:r>
      <w:r w:rsidR="006160AF" w:rsidRPr="00B30A4C">
        <w:rPr>
          <w:vertAlign w:val="superscript"/>
        </w:rPr>
        <w:t>a</w:t>
      </w:r>
      <w:r w:rsidR="006160AF" w:rsidRPr="00B30A4C">
        <w:t xml:space="preserve"> </w:t>
      </w:r>
      <w:r w:rsidR="00CC7C64" w:rsidRPr="00B30A4C">
        <w:t xml:space="preserve">and </w:t>
      </w:r>
      <w:r w:rsidRPr="00B30A4C">
        <w:t>Andrew J. Hunt</w:t>
      </w:r>
      <w:r w:rsidR="00F64757" w:rsidRPr="00B30A4C">
        <w:rPr>
          <w:vertAlign w:val="superscript"/>
        </w:rPr>
        <w:t>b*</w:t>
      </w:r>
      <w:r w:rsidR="0025490A" w:rsidRPr="00B30A4C">
        <w:t xml:space="preserve"> </w:t>
      </w:r>
    </w:p>
    <w:p w:rsidR="00180ABE" w:rsidRPr="00B30A4C" w:rsidRDefault="000B084F" w:rsidP="001453CC">
      <w:pPr>
        <w:pStyle w:val="RSCB01COMAbstract"/>
        <w:rPr>
          <w:rStyle w:val="06CHeading"/>
          <w:rFonts w:asciiTheme="minorHAnsi" w:hAnsiTheme="minorHAnsi" w:cstheme="minorBidi"/>
          <w:b/>
          <w:smallCaps w:val="0"/>
          <w:noProof w:val="0"/>
          <w:w w:val="100"/>
          <w:szCs w:val="22"/>
        </w:rPr>
      </w:pPr>
      <w:r w:rsidRPr="00B30A4C">
        <w:rPr>
          <w:noProof w:val="0"/>
        </w:rPr>
        <w:lastRenderedPageBreak/>
        <w:t xml:space="preserve">Dihydrolevoglucosenone (Cyrene®) has been successfully utilised as a bio-based platform molecule for the </w:t>
      </w:r>
      <w:r w:rsidR="008E5AAE" w:rsidRPr="00B30A4C">
        <w:rPr>
          <w:rStyle w:val="06CHeading"/>
          <w:rFonts w:asciiTheme="minorHAnsi" w:hAnsiTheme="minorHAnsi" w:cstheme="minorBidi"/>
          <w:b/>
          <w:smallCaps w:val="0"/>
          <w:noProof w:val="0"/>
          <w:w w:val="100"/>
          <w:szCs w:val="22"/>
        </w:rPr>
        <w:t xml:space="preserve">synthesis of pharmaceutically </w:t>
      </w:r>
      <w:r w:rsidR="00E10EBF" w:rsidRPr="00B30A4C">
        <w:rPr>
          <w:rStyle w:val="06CHeading"/>
          <w:rFonts w:asciiTheme="minorHAnsi" w:hAnsiTheme="minorHAnsi" w:cstheme="minorBidi"/>
          <w:b/>
          <w:smallCaps w:val="0"/>
          <w:noProof w:val="0"/>
          <w:w w:val="100"/>
          <w:szCs w:val="22"/>
        </w:rPr>
        <w:t>relevant</w:t>
      </w:r>
      <w:r w:rsidR="008E5AAE" w:rsidRPr="00B30A4C">
        <w:rPr>
          <w:rStyle w:val="06CHeading"/>
          <w:rFonts w:asciiTheme="minorHAnsi" w:hAnsiTheme="minorHAnsi" w:cstheme="minorBidi"/>
          <w:b/>
          <w:smallCaps w:val="0"/>
          <w:noProof w:val="0"/>
          <w:w w:val="100"/>
          <w:szCs w:val="22"/>
        </w:rPr>
        <w:t xml:space="preserve"> intermediates through</w:t>
      </w:r>
      <w:r w:rsidR="00E10EBF" w:rsidRPr="00B30A4C">
        <w:rPr>
          <w:rStyle w:val="06CHeading"/>
          <w:rFonts w:asciiTheme="minorHAnsi" w:hAnsiTheme="minorHAnsi" w:cstheme="minorBidi"/>
          <w:b/>
          <w:smallCaps w:val="0"/>
          <w:noProof w:val="0"/>
          <w:w w:val="100"/>
          <w:szCs w:val="22"/>
        </w:rPr>
        <w:t xml:space="preserve"> </w:t>
      </w:r>
      <w:r w:rsidR="008E5AAE" w:rsidRPr="00B30A4C">
        <w:rPr>
          <w:rStyle w:val="06CHeading"/>
          <w:rFonts w:asciiTheme="minorHAnsi" w:hAnsiTheme="minorHAnsi" w:cstheme="minorBidi"/>
          <w:b/>
          <w:smallCaps w:val="0"/>
          <w:noProof w:val="0"/>
          <w:w w:val="100"/>
          <w:szCs w:val="22"/>
        </w:rPr>
        <w:t xml:space="preserve">aldol </w:t>
      </w:r>
      <w:r w:rsidR="00E10EBF" w:rsidRPr="00B30A4C">
        <w:rPr>
          <w:rStyle w:val="06CHeading"/>
          <w:rFonts w:asciiTheme="minorHAnsi" w:hAnsiTheme="minorHAnsi" w:cstheme="minorBidi"/>
          <w:b/>
          <w:smallCaps w:val="0"/>
          <w:noProof w:val="0"/>
          <w:w w:val="100"/>
          <w:szCs w:val="22"/>
        </w:rPr>
        <w:t>condensation</w:t>
      </w:r>
      <w:r w:rsidR="008E5AAE" w:rsidRPr="00B30A4C">
        <w:rPr>
          <w:rStyle w:val="06CHeading"/>
          <w:rFonts w:asciiTheme="minorHAnsi" w:hAnsiTheme="minorHAnsi" w:cstheme="minorBidi"/>
          <w:b/>
          <w:smallCaps w:val="0"/>
          <w:noProof w:val="0"/>
          <w:w w:val="100"/>
          <w:szCs w:val="22"/>
        </w:rPr>
        <w:t xml:space="preserve"> reaction</w:t>
      </w:r>
      <w:r w:rsidR="00E10EBF" w:rsidRPr="00B30A4C">
        <w:rPr>
          <w:rStyle w:val="06CHeading"/>
          <w:rFonts w:asciiTheme="minorHAnsi" w:hAnsiTheme="minorHAnsi" w:cstheme="minorBidi"/>
          <w:b/>
          <w:smallCaps w:val="0"/>
          <w:noProof w:val="0"/>
          <w:w w:val="100"/>
          <w:szCs w:val="22"/>
        </w:rPr>
        <w:t>s</w:t>
      </w:r>
      <w:r w:rsidR="008E5AAE" w:rsidRPr="00B30A4C">
        <w:rPr>
          <w:rStyle w:val="06CHeading"/>
          <w:rFonts w:asciiTheme="minorHAnsi" w:hAnsiTheme="minorHAnsi" w:cstheme="minorBidi"/>
          <w:b/>
          <w:smallCaps w:val="0"/>
          <w:noProof w:val="0"/>
          <w:w w:val="100"/>
          <w:szCs w:val="22"/>
        </w:rPr>
        <w:t xml:space="preserve">. Utilising </w:t>
      </w:r>
      <w:r w:rsidR="00E10EBF" w:rsidRPr="00B30A4C">
        <w:rPr>
          <w:rStyle w:val="06CHeading"/>
          <w:rFonts w:asciiTheme="minorHAnsi" w:hAnsiTheme="minorHAnsi" w:cstheme="minorBidi"/>
          <w:b/>
          <w:smallCaps w:val="0"/>
          <w:noProof w:val="0"/>
          <w:w w:val="100"/>
          <w:szCs w:val="22"/>
        </w:rPr>
        <w:t xml:space="preserve">sustainable </w:t>
      </w:r>
      <w:r w:rsidR="008E5AAE" w:rsidRPr="00B30A4C">
        <w:rPr>
          <w:rStyle w:val="06CHeading"/>
          <w:rFonts w:asciiTheme="minorHAnsi" w:hAnsiTheme="minorHAnsi" w:cstheme="minorBidi"/>
          <w:b/>
          <w:smallCaps w:val="0"/>
          <w:noProof w:val="0"/>
          <w:w w:val="100"/>
          <w:szCs w:val="22"/>
        </w:rPr>
        <w:t>synthetic methodologies</w:t>
      </w:r>
      <w:r w:rsidR="00D23EC6" w:rsidRPr="00B30A4C">
        <w:rPr>
          <w:rStyle w:val="06CHeading"/>
          <w:rFonts w:asciiTheme="minorHAnsi" w:hAnsiTheme="minorHAnsi" w:cstheme="minorBidi"/>
          <w:b/>
          <w:smallCaps w:val="0"/>
          <w:noProof w:val="0"/>
          <w:w w:val="100"/>
          <w:szCs w:val="22"/>
        </w:rPr>
        <w:t>,</w:t>
      </w:r>
      <w:r w:rsidR="008E5AAE" w:rsidRPr="00B30A4C">
        <w:rPr>
          <w:rStyle w:val="06CHeading"/>
          <w:rFonts w:asciiTheme="minorHAnsi" w:hAnsiTheme="minorHAnsi" w:cstheme="minorBidi"/>
          <w:b/>
          <w:smallCaps w:val="0"/>
          <w:noProof w:val="0"/>
          <w:w w:val="100"/>
          <w:szCs w:val="22"/>
        </w:rPr>
        <w:t xml:space="preserve"> the</w:t>
      </w:r>
      <w:r w:rsidR="007B12C6" w:rsidRPr="00B30A4C">
        <w:rPr>
          <w:rStyle w:val="06CHeading"/>
          <w:rFonts w:asciiTheme="minorHAnsi" w:hAnsiTheme="minorHAnsi" w:cstheme="minorBidi"/>
          <w:b/>
          <w:smallCaps w:val="0"/>
          <w:noProof w:val="0"/>
          <w:w w:val="100"/>
          <w:szCs w:val="22"/>
        </w:rPr>
        <w:t xml:space="preserve"> s</w:t>
      </w:r>
      <w:r w:rsidR="00D47D54" w:rsidRPr="00B30A4C">
        <w:rPr>
          <w:rStyle w:val="06CHeading"/>
          <w:rFonts w:asciiTheme="minorHAnsi" w:hAnsiTheme="minorHAnsi" w:cstheme="minorBidi"/>
          <w:b/>
          <w:smallCaps w:val="0"/>
          <w:noProof w:val="0"/>
          <w:w w:val="100"/>
          <w:szCs w:val="22"/>
        </w:rPr>
        <w:t>elf-aldol</w:t>
      </w:r>
      <w:r w:rsidR="008B20AB" w:rsidRPr="00B30A4C">
        <w:rPr>
          <w:rStyle w:val="06CHeading"/>
          <w:rFonts w:asciiTheme="minorHAnsi" w:hAnsiTheme="minorHAnsi" w:cstheme="minorBidi"/>
          <w:b/>
          <w:smallCaps w:val="0"/>
          <w:noProof w:val="0"/>
          <w:w w:val="100"/>
          <w:szCs w:val="22"/>
        </w:rPr>
        <w:t xml:space="preserve"> condensations </w:t>
      </w:r>
      <w:r w:rsidR="00E10EBF" w:rsidRPr="00B30A4C">
        <w:rPr>
          <w:rStyle w:val="06CHeading"/>
          <w:rFonts w:asciiTheme="minorHAnsi" w:hAnsiTheme="minorHAnsi" w:cstheme="minorBidi"/>
          <w:b/>
          <w:smallCaps w:val="0"/>
          <w:noProof w:val="0"/>
          <w:w w:val="100"/>
          <w:szCs w:val="22"/>
        </w:rPr>
        <w:t xml:space="preserve">reaction </w:t>
      </w:r>
      <w:r w:rsidR="008B20AB" w:rsidRPr="00B30A4C">
        <w:rPr>
          <w:rStyle w:val="06CHeading"/>
          <w:rFonts w:asciiTheme="minorHAnsi" w:hAnsiTheme="minorHAnsi" w:cstheme="minorBidi"/>
          <w:b/>
          <w:smallCaps w:val="0"/>
          <w:noProof w:val="0"/>
          <w:w w:val="100"/>
          <w:szCs w:val="22"/>
        </w:rPr>
        <w:t xml:space="preserve">of Cyrene </w:t>
      </w:r>
      <w:r w:rsidR="00E10EBF" w:rsidRPr="00B30A4C">
        <w:rPr>
          <w:rStyle w:val="06CHeading"/>
          <w:rFonts w:asciiTheme="minorHAnsi" w:hAnsiTheme="minorHAnsi" w:cstheme="minorBidi"/>
          <w:b/>
          <w:smallCaps w:val="0"/>
          <w:noProof w:val="0"/>
          <w:w w:val="100"/>
          <w:szCs w:val="22"/>
        </w:rPr>
        <w:t>was achieved</w:t>
      </w:r>
      <w:r w:rsidR="008B20AB" w:rsidRPr="00B30A4C">
        <w:rPr>
          <w:rStyle w:val="06CHeading"/>
          <w:rFonts w:asciiTheme="minorHAnsi" w:hAnsiTheme="minorHAnsi" w:cstheme="minorBidi"/>
          <w:b/>
          <w:smallCaps w:val="0"/>
          <w:noProof w:val="0"/>
          <w:w w:val="100"/>
          <w:szCs w:val="22"/>
        </w:rPr>
        <w:t xml:space="preserve"> in high purity</w:t>
      </w:r>
      <w:r w:rsidR="007B12C6" w:rsidRPr="00B30A4C">
        <w:rPr>
          <w:rStyle w:val="06CHeading"/>
          <w:rFonts w:asciiTheme="minorHAnsi" w:hAnsiTheme="minorHAnsi" w:cstheme="minorBidi"/>
          <w:b/>
          <w:smallCaps w:val="0"/>
          <w:noProof w:val="0"/>
          <w:w w:val="100"/>
          <w:szCs w:val="22"/>
        </w:rPr>
        <w:t>, with</w:t>
      </w:r>
      <w:r w:rsidR="008B20AB" w:rsidRPr="00B30A4C">
        <w:rPr>
          <w:rStyle w:val="06CHeading"/>
          <w:rFonts w:asciiTheme="minorHAnsi" w:hAnsiTheme="minorHAnsi" w:cstheme="minorBidi"/>
          <w:b/>
          <w:smallCaps w:val="0"/>
          <w:noProof w:val="0"/>
          <w:w w:val="100"/>
          <w:szCs w:val="22"/>
        </w:rPr>
        <w:t xml:space="preserve"> isolated yields of </w:t>
      </w:r>
      <w:r w:rsidR="007D695A" w:rsidRPr="00B30A4C">
        <w:rPr>
          <w:rStyle w:val="06CHeading"/>
          <w:rFonts w:asciiTheme="minorHAnsi" w:hAnsiTheme="minorHAnsi" w:cstheme="minorBidi"/>
          <w:b/>
          <w:smallCaps w:val="0"/>
          <w:noProof w:val="0"/>
          <w:w w:val="100"/>
          <w:szCs w:val="22"/>
        </w:rPr>
        <w:t>81.3</w:t>
      </w:r>
      <w:r w:rsidR="008B20AB" w:rsidRPr="00F51BE3">
        <w:t xml:space="preserve">%. </w:t>
      </w:r>
      <w:r w:rsidR="00D23EC6" w:rsidRPr="00B30A4C">
        <w:rPr>
          <w:noProof w:val="0"/>
        </w:rPr>
        <w:t>Claisen-Schmidt</w:t>
      </w:r>
      <w:r w:rsidR="007B12C6" w:rsidRPr="00F51BE3">
        <w:t xml:space="preserve"> </w:t>
      </w:r>
      <w:r w:rsidR="007B12C6" w:rsidRPr="00B30A4C">
        <w:rPr>
          <w:rStyle w:val="06CHeading"/>
          <w:rFonts w:asciiTheme="minorHAnsi" w:hAnsiTheme="minorHAnsi" w:cstheme="minorBidi"/>
          <w:b/>
          <w:smallCaps w:val="0"/>
          <w:noProof w:val="0"/>
          <w:w w:val="100"/>
          <w:szCs w:val="22"/>
        </w:rPr>
        <w:t>reactions with</w:t>
      </w:r>
      <w:r w:rsidR="008B20AB" w:rsidRPr="00B30A4C">
        <w:rPr>
          <w:rStyle w:val="06CHeading"/>
          <w:rFonts w:asciiTheme="minorHAnsi" w:hAnsiTheme="minorHAnsi" w:cstheme="minorBidi"/>
          <w:b/>
          <w:smallCaps w:val="0"/>
          <w:noProof w:val="0"/>
          <w:w w:val="100"/>
          <w:szCs w:val="22"/>
        </w:rPr>
        <w:t xml:space="preserve"> a range of aromatic and heteroaromatic aldehydes </w:t>
      </w:r>
      <w:r w:rsidR="00B8327F" w:rsidRPr="00B30A4C">
        <w:rPr>
          <w:rStyle w:val="06CHeading"/>
          <w:rFonts w:asciiTheme="minorHAnsi" w:hAnsiTheme="minorHAnsi" w:cstheme="minorBidi"/>
          <w:b/>
          <w:smallCaps w:val="0"/>
          <w:noProof w:val="0"/>
          <w:w w:val="100"/>
          <w:szCs w:val="22"/>
        </w:rPr>
        <w:t>yielded</w:t>
      </w:r>
      <w:r w:rsidR="008B20AB" w:rsidRPr="00B30A4C">
        <w:rPr>
          <w:rStyle w:val="06CHeading"/>
          <w:rFonts w:asciiTheme="minorHAnsi" w:hAnsiTheme="minorHAnsi" w:cstheme="minorBidi"/>
          <w:b/>
          <w:smallCaps w:val="0"/>
          <w:noProof w:val="0"/>
          <w:w w:val="100"/>
          <w:szCs w:val="22"/>
        </w:rPr>
        <w:t xml:space="preserve"> </w:t>
      </w:r>
      <w:r w:rsidR="007B12C6" w:rsidRPr="00B30A4C">
        <w:rPr>
          <w:rStyle w:val="06CHeading"/>
          <w:rFonts w:asciiTheme="minorHAnsi" w:hAnsiTheme="minorHAnsi" w:cstheme="minorBidi"/>
          <w:b/>
          <w:smallCaps w:val="0"/>
          <w:noProof w:val="0"/>
          <w:w w:val="100"/>
          <w:szCs w:val="22"/>
        </w:rPr>
        <w:t>novel c</w:t>
      </w:r>
      <w:r w:rsidR="008B20AB" w:rsidRPr="00B30A4C">
        <w:rPr>
          <w:rStyle w:val="06CHeading"/>
          <w:rFonts w:asciiTheme="minorHAnsi" w:hAnsiTheme="minorHAnsi" w:cstheme="minorBidi"/>
          <w:b/>
          <w:smallCaps w:val="0"/>
          <w:noProof w:val="0"/>
          <w:w w:val="100"/>
          <w:szCs w:val="22"/>
        </w:rPr>
        <w:t>yrene</w:t>
      </w:r>
      <w:r w:rsidR="00270124" w:rsidRPr="00B30A4C">
        <w:rPr>
          <w:rStyle w:val="06CHeading"/>
          <w:rFonts w:asciiTheme="minorHAnsi" w:hAnsiTheme="minorHAnsi" w:cstheme="minorBidi"/>
          <w:b/>
          <w:smallCaps w:val="0"/>
          <w:noProof w:val="0"/>
          <w:w w:val="100"/>
          <w:szCs w:val="22"/>
        </w:rPr>
        <w:t>-</w:t>
      </w:r>
      <w:r w:rsidR="008B20AB" w:rsidRPr="00B30A4C">
        <w:rPr>
          <w:rStyle w:val="06CHeading"/>
          <w:rFonts w:asciiTheme="minorHAnsi" w:hAnsiTheme="minorHAnsi" w:cstheme="minorBidi"/>
          <w:b/>
          <w:smallCaps w:val="0"/>
          <w:noProof w:val="0"/>
          <w:w w:val="100"/>
          <w:szCs w:val="22"/>
        </w:rPr>
        <w:t>based compounds</w:t>
      </w:r>
      <w:r w:rsidR="007B12C6" w:rsidRPr="00B30A4C">
        <w:rPr>
          <w:rStyle w:val="06CHeading"/>
          <w:rFonts w:asciiTheme="minorHAnsi" w:hAnsiTheme="minorHAnsi" w:cstheme="minorBidi"/>
          <w:b/>
          <w:smallCaps w:val="0"/>
          <w:noProof w:val="0"/>
          <w:w w:val="100"/>
          <w:szCs w:val="22"/>
        </w:rPr>
        <w:t>, c</w:t>
      </w:r>
      <w:r w:rsidR="008B20AB" w:rsidRPr="00B30A4C">
        <w:rPr>
          <w:rStyle w:val="06CHeading"/>
          <w:rFonts w:asciiTheme="minorHAnsi" w:hAnsiTheme="minorHAnsi" w:cstheme="minorBidi"/>
          <w:b/>
          <w:smallCaps w:val="0"/>
          <w:noProof w:val="0"/>
          <w:w w:val="100"/>
          <w:szCs w:val="22"/>
        </w:rPr>
        <w:t>haracteris</w:t>
      </w:r>
      <w:r w:rsidR="007B12C6" w:rsidRPr="00B30A4C">
        <w:rPr>
          <w:rStyle w:val="06CHeading"/>
          <w:rFonts w:asciiTheme="minorHAnsi" w:hAnsiTheme="minorHAnsi" w:cstheme="minorBidi"/>
          <w:b/>
          <w:smallCaps w:val="0"/>
          <w:noProof w:val="0"/>
          <w:w w:val="100"/>
          <w:szCs w:val="22"/>
        </w:rPr>
        <w:t>ed by</w:t>
      </w:r>
      <w:r w:rsidR="008B20AB" w:rsidRPr="00B30A4C">
        <w:rPr>
          <w:rStyle w:val="06CHeading"/>
          <w:rFonts w:asciiTheme="minorHAnsi" w:hAnsiTheme="minorHAnsi" w:cstheme="minorBidi"/>
          <w:b/>
          <w:smallCaps w:val="0"/>
          <w:noProof w:val="0"/>
          <w:w w:val="100"/>
          <w:szCs w:val="22"/>
        </w:rPr>
        <w:t xml:space="preserve"> single-crystal </w:t>
      </w:r>
      <w:r w:rsidR="00270124" w:rsidRPr="00B30A4C">
        <w:rPr>
          <w:rStyle w:val="06CHeading"/>
          <w:rFonts w:asciiTheme="minorHAnsi" w:hAnsiTheme="minorHAnsi" w:cstheme="minorBidi"/>
          <w:b/>
          <w:smallCaps w:val="0"/>
          <w:noProof w:val="0"/>
          <w:w w:val="100"/>
          <w:szCs w:val="22"/>
        </w:rPr>
        <w:t>X-ray</w:t>
      </w:r>
      <w:r w:rsidR="008B20AB" w:rsidRPr="00B30A4C">
        <w:rPr>
          <w:rStyle w:val="06CHeading"/>
          <w:rFonts w:asciiTheme="minorHAnsi" w:hAnsiTheme="minorHAnsi" w:cstheme="minorBidi"/>
          <w:b/>
          <w:smallCaps w:val="0"/>
          <w:noProof w:val="0"/>
          <w:w w:val="100"/>
          <w:szCs w:val="22"/>
        </w:rPr>
        <w:t xml:space="preserve"> diffraction</w:t>
      </w:r>
      <w:r w:rsidR="008E5AAE" w:rsidRPr="00B30A4C">
        <w:rPr>
          <w:rStyle w:val="06CHeading"/>
          <w:rFonts w:asciiTheme="minorHAnsi" w:hAnsiTheme="minorHAnsi" w:cstheme="minorBidi"/>
          <w:b/>
          <w:smallCaps w:val="0"/>
          <w:noProof w:val="0"/>
          <w:w w:val="100"/>
          <w:szCs w:val="22"/>
        </w:rPr>
        <w:t>, FT-IR, NMR and MS</w:t>
      </w:r>
      <w:r w:rsidR="001453CC" w:rsidRPr="00B30A4C">
        <w:rPr>
          <w:rStyle w:val="06CHeading"/>
          <w:rFonts w:asciiTheme="minorHAnsi" w:hAnsiTheme="minorHAnsi" w:cstheme="minorBidi"/>
          <w:b/>
          <w:smallCaps w:val="0"/>
          <w:noProof w:val="0"/>
          <w:w w:val="100"/>
          <w:szCs w:val="22"/>
        </w:rPr>
        <w:t>.</w:t>
      </w:r>
    </w:p>
    <w:p w:rsidR="00B94C18" w:rsidRPr="00B30A4C" w:rsidRDefault="00AC691D" w:rsidP="00B94C18">
      <w:pPr>
        <w:pStyle w:val="RSCB02ArticleText"/>
      </w:pPr>
      <w:r w:rsidRPr="00B30A4C">
        <w:t>Dihydrolevoglucosenone (Cyrene)</w:t>
      </w:r>
      <w:r w:rsidR="007B12C6" w:rsidRPr="00B30A4C">
        <w:t xml:space="preserve"> has received significant attention as</w:t>
      </w:r>
      <w:r w:rsidRPr="00B30A4C">
        <w:t xml:space="preserve"> a bio-</w:t>
      </w:r>
      <w:r w:rsidR="002A7067">
        <w:t>based</w:t>
      </w:r>
      <w:r w:rsidR="00AF7B9B" w:rsidRPr="00B30A4C">
        <w:t xml:space="preserve"> solvent for the replacement of traditional </w:t>
      </w:r>
      <w:r w:rsidR="00623C66" w:rsidRPr="00B30A4C">
        <w:t xml:space="preserve">petroleum derived and toxic </w:t>
      </w:r>
      <w:r w:rsidR="00AF7B9B" w:rsidRPr="00B30A4C">
        <w:t>dipolar aprotic solvents such as NMP</w:t>
      </w:r>
      <w:r w:rsidR="00623C66" w:rsidRPr="00B30A4C">
        <w:t xml:space="preserve"> or DMF</w:t>
      </w:r>
      <w:r w:rsidR="007B12C6" w:rsidRPr="00B30A4C">
        <w:t>.</w:t>
      </w:r>
      <w:r w:rsidR="00AF7B9B" w:rsidRPr="00B30A4C">
        <w:rPr>
          <w:vertAlign w:val="superscript"/>
        </w:rPr>
        <w:t>1</w:t>
      </w:r>
      <w:r w:rsidR="007B12C6" w:rsidRPr="00B30A4C">
        <w:t xml:space="preserve"> </w:t>
      </w:r>
      <w:r w:rsidR="00B94C18" w:rsidRPr="00B30A4C">
        <w:t xml:space="preserve">This bio-based </w:t>
      </w:r>
      <w:r w:rsidR="00AF7B9B" w:rsidRPr="00B30A4C">
        <w:t xml:space="preserve">molecule </w:t>
      </w:r>
      <w:r w:rsidR="00B94C18" w:rsidRPr="00B30A4C">
        <w:t xml:space="preserve">is produced through the </w:t>
      </w:r>
      <w:r w:rsidR="00B8327F" w:rsidRPr="00B30A4C">
        <w:t xml:space="preserve">hydrogenation </w:t>
      </w:r>
      <w:r w:rsidR="00B94C18" w:rsidRPr="00B30A4C">
        <w:t xml:space="preserve">of levoglucosenone, which itself is obtained </w:t>
      </w:r>
      <w:r w:rsidR="00940FDC" w:rsidRPr="00B30A4C">
        <w:rPr>
          <w:i/>
        </w:rPr>
        <w:t>via</w:t>
      </w:r>
      <w:r w:rsidR="00B94C18" w:rsidRPr="00B30A4C">
        <w:t xml:space="preserve"> the acid-catalysed pyrolysis of cellulose.</w:t>
      </w:r>
      <w:r w:rsidR="00A861AA" w:rsidRPr="00B30A4C">
        <w:rPr>
          <w:vertAlign w:val="superscript"/>
        </w:rPr>
        <w:t>2</w:t>
      </w:r>
      <w:r w:rsidR="00B94C18" w:rsidRPr="00B30A4C">
        <w:t xml:space="preserve">  </w:t>
      </w:r>
      <w:r w:rsidR="00334FDC" w:rsidRPr="00B30A4C">
        <w:tab/>
      </w:r>
      <w:r w:rsidR="00B94C18" w:rsidRPr="00B30A4C">
        <w:t xml:space="preserve">Katz </w:t>
      </w:r>
      <w:r w:rsidR="00B94C18" w:rsidRPr="00B30A4C">
        <w:rPr>
          <w:i/>
        </w:rPr>
        <w:t>et al.</w:t>
      </w:r>
      <w:r w:rsidR="00B94C18" w:rsidRPr="00B30A4C">
        <w:t xml:space="preserve"> investigated the use of cyrene as a green solvent in the synthesis of metal organic frameworks (MOFs) including ZIF-8 MOF.</w:t>
      </w:r>
      <w:r w:rsidR="00A861AA" w:rsidRPr="00B30A4C">
        <w:rPr>
          <w:vertAlign w:val="superscript"/>
        </w:rPr>
        <w:t>3</w:t>
      </w:r>
      <w:r w:rsidR="00B8327F" w:rsidRPr="00B30A4C">
        <w:t xml:space="preserve"> Analysis of reaction media pointed to the formation of a by</w:t>
      </w:r>
      <w:r w:rsidR="00D23EC6" w:rsidRPr="00B30A4C">
        <w:t>-</w:t>
      </w:r>
      <w:r w:rsidR="00B8327F" w:rsidRPr="00B30A4C">
        <w:t>product</w:t>
      </w:r>
      <w:r w:rsidR="00B77A90" w:rsidRPr="00B30A4C">
        <w:t xml:space="preserve"> in C</w:t>
      </w:r>
      <w:r w:rsidR="00B8327F" w:rsidRPr="00B30A4C">
        <w:t>yrene systems that was not present when dimethylformamide (DMF)</w:t>
      </w:r>
      <w:r w:rsidR="00B77A90" w:rsidRPr="00B30A4C">
        <w:t xml:space="preserve"> was applied as the solvent</w:t>
      </w:r>
      <w:r w:rsidR="00B8327F" w:rsidRPr="00B30A4C">
        <w:t>.</w:t>
      </w:r>
      <w:r w:rsidR="00905752" w:rsidRPr="00B30A4C">
        <w:t xml:space="preserve"> </w:t>
      </w:r>
      <w:r w:rsidR="00AE060B" w:rsidRPr="00B30A4C">
        <w:rPr>
          <w:vertAlign w:val="superscript"/>
        </w:rPr>
        <w:t>1</w:t>
      </w:r>
      <w:r w:rsidR="00AE060B" w:rsidRPr="00B30A4C">
        <w:t xml:space="preserve">H NMR spectroscopy and single-crystal </w:t>
      </w:r>
      <w:r w:rsidR="00270124" w:rsidRPr="00B30A4C">
        <w:t>X-ray</w:t>
      </w:r>
      <w:r w:rsidR="00AE060B" w:rsidRPr="00B30A4C">
        <w:t xml:space="preserve"> diffraction confirmed the</w:t>
      </w:r>
      <w:r w:rsidR="00334FDC" w:rsidRPr="00B30A4C">
        <w:t xml:space="preserve"> </w:t>
      </w:r>
      <w:r w:rsidR="00B94C18" w:rsidRPr="00B30A4C">
        <w:t xml:space="preserve">formation of </w:t>
      </w:r>
      <w:r w:rsidR="00334FDC" w:rsidRPr="00B30A4C">
        <w:t>a</w:t>
      </w:r>
      <w:r w:rsidR="00B94C18" w:rsidRPr="00B30A4C">
        <w:t xml:space="preserve"> </w:t>
      </w:r>
      <w:r w:rsidR="00AE060B" w:rsidRPr="00B30A4C">
        <w:t xml:space="preserve">base catalysed </w:t>
      </w:r>
      <w:r w:rsidR="00334FDC" w:rsidRPr="00B30A4C">
        <w:t>cyrene self-aldol condensation product</w:t>
      </w:r>
      <w:r w:rsidR="00A861AA" w:rsidRPr="00B30A4C">
        <w:t>.</w:t>
      </w:r>
      <w:r w:rsidR="00A861AA" w:rsidRPr="00B30A4C">
        <w:rPr>
          <w:vertAlign w:val="superscript"/>
        </w:rPr>
        <w:t>3</w:t>
      </w:r>
    </w:p>
    <w:p w:rsidR="00B94C18" w:rsidRPr="00B30A4C" w:rsidRDefault="001F2799" w:rsidP="00B94C18">
      <w:pPr>
        <w:pStyle w:val="RSCB02ArticleText"/>
      </w:pPr>
      <w:r w:rsidRPr="00B30A4C">
        <w:tab/>
      </w:r>
      <w:r w:rsidR="00AE060B" w:rsidRPr="00B30A4C">
        <w:t xml:space="preserve">While investigating the use of </w:t>
      </w:r>
      <w:r w:rsidR="00B77A90" w:rsidRPr="00B30A4C">
        <w:t>C</w:t>
      </w:r>
      <w:r w:rsidR="00AE060B" w:rsidRPr="00B30A4C">
        <w:t xml:space="preserve">yrene as a solvent for the Sonogashira reaction, </w:t>
      </w:r>
      <w:r w:rsidR="00B94C18" w:rsidRPr="00B30A4C">
        <w:t xml:space="preserve">Wilson </w:t>
      </w:r>
      <w:r w:rsidR="00B94C18" w:rsidRPr="00B30A4C">
        <w:rPr>
          <w:i/>
        </w:rPr>
        <w:t>et al.</w:t>
      </w:r>
      <w:r w:rsidR="00B94C18" w:rsidRPr="00B30A4C">
        <w:t xml:space="preserve"> identified that Cyrene showed a particular</w:t>
      </w:r>
      <w:r w:rsidR="00AE060B" w:rsidRPr="00B30A4C">
        <w:t xml:space="preserve"> sensitivity to inorganic bases.</w:t>
      </w:r>
      <w:r w:rsidR="00AE060B" w:rsidRPr="00B30A4C">
        <w:rPr>
          <w:vertAlign w:val="superscript"/>
        </w:rPr>
        <w:t>4</w:t>
      </w:r>
      <w:r w:rsidR="00AE060B" w:rsidRPr="00B30A4C">
        <w:t xml:space="preserve"> It was</w:t>
      </w:r>
      <w:r w:rsidR="00B94C18" w:rsidRPr="00B30A4C">
        <w:t xml:space="preserve"> </w:t>
      </w:r>
      <w:r w:rsidR="00AE060B" w:rsidRPr="00B30A4C">
        <w:t>demonstrated that cyrene can undergo</w:t>
      </w:r>
      <w:r w:rsidR="00B94C18" w:rsidRPr="00B30A4C">
        <w:t xml:space="preserve"> </w:t>
      </w:r>
      <w:r w:rsidR="00AE060B" w:rsidRPr="00B30A4C">
        <w:t>a</w:t>
      </w:r>
      <w:r w:rsidR="00B94C18" w:rsidRPr="00B30A4C">
        <w:t xml:space="preserve"> self-aldol condensation even at room temperature. </w:t>
      </w:r>
      <w:r w:rsidR="00AE060B" w:rsidRPr="00B30A4C">
        <w:t>T</w:t>
      </w:r>
      <w:r w:rsidR="00B94C18" w:rsidRPr="00B30A4C">
        <w:t>he use of Et</w:t>
      </w:r>
      <w:r w:rsidR="00B94C18" w:rsidRPr="00B30A4C">
        <w:rPr>
          <w:vertAlign w:val="subscript"/>
        </w:rPr>
        <w:t>3</w:t>
      </w:r>
      <w:r w:rsidR="00B94C18" w:rsidRPr="00B30A4C">
        <w:t>N at low temperatures avoided the aldol reaction occurring</w:t>
      </w:r>
      <w:r w:rsidR="00AE060B" w:rsidRPr="00B30A4C">
        <w:t xml:space="preserve">, leading to </w:t>
      </w:r>
      <w:r w:rsidR="00D231E2" w:rsidRPr="00B30A4C">
        <w:t>a 100% conversion and a 96% yield for the</w:t>
      </w:r>
      <w:r w:rsidR="00AE060B" w:rsidRPr="00B30A4C">
        <w:t xml:space="preserve"> </w:t>
      </w:r>
      <w:r w:rsidR="00D231E2" w:rsidRPr="00B30A4C">
        <w:t>reaction of 1-</w:t>
      </w:r>
      <w:r w:rsidR="00D231E2" w:rsidRPr="00B30A4C">
        <w:lastRenderedPageBreak/>
        <w:t>iodo</w:t>
      </w:r>
      <w:r w:rsidR="00270124" w:rsidRPr="00B30A4C">
        <w:t>-</w:t>
      </w:r>
      <w:r w:rsidR="00D231E2" w:rsidRPr="00B30A4C">
        <w:t>4-fluorobenzene and phenylacetylene.</w:t>
      </w:r>
      <w:r w:rsidR="00D231E2" w:rsidRPr="00B30A4C">
        <w:rPr>
          <w:vertAlign w:val="superscript"/>
        </w:rPr>
        <w:t>4</w:t>
      </w:r>
      <w:r w:rsidR="00B94C18" w:rsidRPr="00B30A4C">
        <w:t xml:space="preserve"> </w:t>
      </w:r>
      <w:r w:rsidR="00E10EBF" w:rsidRPr="00B30A4C">
        <w:t>Despite such observations, to date limited research has focussed on the use of Cyrene as a bio-based platform molecule</w:t>
      </w:r>
      <w:r w:rsidR="006F66E0" w:rsidRPr="00B30A4C">
        <w:t xml:space="preserve"> and its use</w:t>
      </w:r>
      <w:r w:rsidR="00D23EC6" w:rsidRPr="00B30A4C">
        <w:t xml:space="preserve"> in aldol or Claisen-Schmidt reactions</w:t>
      </w:r>
      <w:r w:rsidR="00E10EBF" w:rsidRPr="00B30A4C">
        <w:t>.</w:t>
      </w:r>
    </w:p>
    <w:p w:rsidR="00B94C18" w:rsidRPr="00B30A4C" w:rsidRDefault="006160AF" w:rsidP="00D231E2">
      <w:pPr>
        <w:pStyle w:val="RSCB02ArticleText"/>
      </w:pPr>
      <w:r w:rsidRPr="00B30A4C">
        <w:tab/>
      </w:r>
      <w:r w:rsidR="00D231E2" w:rsidRPr="00B30A4C">
        <w:t>The aldol condensation reaction is a key tool for in the formation of new carbon–carbon bonds.</w:t>
      </w:r>
      <w:r w:rsidR="00D231E2" w:rsidRPr="00B30A4C">
        <w:rPr>
          <w:vertAlign w:val="superscript"/>
        </w:rPr>
        <w:t>5</w:t>
      </w:r>
      <w:r w:rsidR="000153AC" w:rsidRPr="00B30A4C">
        <w:t xml:space="preserve"> </w:t>
      </w:r>
      <w:r w:rsidR="00B94C18" w:rsidRPr="00B30A4C">
        <w:t>Crossed-aldol reactions between cyclic compounds with a similar structure to cyrene, such as cyclohexanone and cyclopentanone have bee</w:t>
      </w:r>
      <w:r w:rsidR="00DF47A7" w:rsidRPr="00B30A4C">
        <w:t>n widely reported before.</w:t>
      </w:r>
      <w:r w:rsidR="000153AC" w:rsidRPr="00B30A4C">
        <w:rPr>
          <w:vertAlign w:val="superscript"/>
        </w:rPr>
        <w:t>5-8</w:t>
      </w:r>
      <w:r w:rsidR="00DF47A7" w:rsidRPr="00B30A4C">
        <w:t xml:space="preserve"> </w:t>
      </w:r>
      <w:r w:rsidR="00B94C18" w:rsidRPr="00B30A4C">
        <w:t xml:space="preserve">In order to minimise the self-condensation reaction, aldehydes are used as they are more reactive than ketones, with benzaldehydes and derivatives being most commonly utilised. Benzaldehyde lacks α-hydrogens and thus can only act as an acceptor within the reaction, thus decreasing the number of possible products. Due to the inherent chirality of cyrene (resulting from the anhydro bridge), aldol reactions could result in the formation of a range of novel bio-derived chiral platform molecules, which could </w:t>
      </w:r>
      <w:r w:rsidR="00B77A90" w:rsidRPr="00B30A4C">
        <w:t xml:space="preserve">potentially be used as frameworks </w:t>
      </w:r>
      <w:r w:rsidR="00B94C18" w:rsidRPr="00B30A4C">
        <w:t xml:space="preserve">in pharmaceutical synthesis. </w:t>
      </w:r>
    </w:p>
    <w:p w:rsidR="00B94C18" w:rsidRPr="00B30A4C" w:rsidRDefault="001F2799" w:rsidP="00B94C18">
      <w:pPr>
        <w:pStyle w:val="RSCB02ArticleText"/>
      </w:pPr>
      <w:r w:rsidRPr="00B30A4C">
        <w:tab/>
      </w:r>
      <w:r w:rsidR="00B94C18" w:rsidRPr="00B30A4C">
        <w:t xml:space="preserve">Herein, </w:t>
      </w:r>
      <w:r w:rsidR="00E10EBF" w:rsidRPr="00B30A4C">
        <w:t xml:space="preserve">Cyrene is utilised as a bio-based platform molecule for the synthesis of pharmaceutically relevant intermediates through aldol </w:t>
      </w:r>
      <w:r w:rsidR="001D1D47" w:rsidRPr="00B30A4C">
        <w:t>condensation</w:t>
      </w:r>
      <w:r w:rsidR="00E10EBF" w:rsidRPr="00B30A4C">
        <w:t xml:space="preserve"> reactions.</w:t>
      </w:r>
      <w:r w:rsidR="001D1D47" w:rsidRPr="00B30A4C">
        <w:t xml:space="preserve"> T</w:t>
      </w:r>
      <w:r w:rsidR="00B94C18" w:rsidRPr="00B30A4C">
        <w:t xml:space="preserve">he </w:t>
      </w:r>
      <w:r w:rsidR="00E10EBF" w:rsidRPr="00B30A4C">
        <w:t xml:space="preserve">formation of </w:t>
      </w:r>
      <w:r w:rsidR="00B94C18" w:rsidRPr="00B30A4C">
        <w:t xml:space="preserve">self-aldol product of cyrene was optimised and purified using a facile </w:t>
      </w:r>
      <w:r w:rsidR="00D23EC6" w:rsidRPr="00B30A4C">
        <w:t xml:space="preserve">sustainable </w:t>
      </w:r>
      <w:r w:rsidR="00B94C18" w:rsidRPr="00B30A4C">
        <w:t>synthe</w:t>
      </w:r>
      <w:r w:rsidR="00B77A90" w:rsidRPr="00B30A4C">
        <w:t>tic</w:t>
      </w:r>
      <w:r w:rsidR="00B94C18" w:rsidRPr="00B30A4C">
        <w:t xml:space="preserve"> method. </w:t>
      </w:r>
      <w:r w:rsidR="001453CC" w:rsidRPr="00B30A4C">
        <w:rPr>
          <w:rFonts w:cstheme="minorHAnsi"/>
        </w:rPr>
        <w:t xml:space="preserve">Optimisation was achieved with respect to base catalysts, temperature and solvent volume. </w:t>
      </w:r>
      <w:r w:rsidR="001453CC" w:rsidRPr="00B30A4C">
        <w:t>The c</w:t>
      </w:r>
      <w:r w:rsidR="00B94C18" w:rsidRPr="00B30A4C">
        <w:t xml:space="preserve">rossed aldol condensation reactions between Cyrene and a range of aromatic and heteroaromatic aldehydes were also catalysed by </w:t>
      </w:r>
      <w:r w:rsidR="00E52FC4" w:rsidRPr="00B30A4C">
        <w:t>K</w:t>
      </w:r>
      <w:r w:rsidR="00E52FC4" w:rsidRPr="00B30A4C">
        <w:rPr>
          <w:vertAlign w:val="subscript"/>
        </w:rPr>
        <w:t>3</w:t>
      </w:r>
      <w:r w:rsidR="00E52FC4" w:rsidRPr="00B30A4C">
        <w:t>PO</w:t>
      </w:r>
      <w:r w:rsidR="00E52FC4" w:rsidRPr="00B30A4C">
        <w:rPr>
          <w:vertAlign w:val="subscript"/>
        </w:rPr>
        <w:t>4</w:t>
      </w:r>
      <w:r w:rsidR="00B94C18" w:rsidRPr="00B30A4C">
        <w:t xml:space="preserve"> to synthesise </w:t>
      </w:r>
      <w:r w:rsidR="002225B5" w:rsidRPr="00B30A4C">
        <w:t>eighteen</w:t>
      </w:r>
      <w:r w:rsidR="001453CC" w:rsidRPr="00B30A4C">
        <w:t xml:space="preserve"> </w:t>
      </w:r>
      <w:r w:rsidR="00B94C18" w:rsidRPr="00B30A4C">
        <w:t xml:space="preserve">novel Cyrene based compounds. Characterisation of the products was carried out by </w:t>
      </w:r>
      <w:r w:rsidR="00B94C18" w:rsidRPr="00B30A4C">
        <w:rPr>
          <w:vertAlign w:val="superscript"/>
        </w:rPr>
        <w:t>1</w:t>
      </w:r>
      <w:r w:rsidR="00B94C18" w:rsidRPr="00B30A4C">
        <w:t xml:space="preserve">H and </w:t>
      </w:r>
      <w:r w:rsidR="00B94C18" w:rsidRPr="00B30A4C">
        <w:rPr>
          <w:vertAlign w:val="superscript"/>
        </w:rPr>
        <w:t>13</w:t>
      </w:r>
      <w:r w:rsidR="00B94C18" w:rsidRPr="00B30A4C">
        <w:t xml:space="preserve">C NMR spectroscopy, GC-FID, GC-MS, IR spectroscopy and where </w:t>
      </w:r>
      <w:r w:rsidR="00B77A90" w:rsidRPr="00B30A4C">
        <w:t xml:space="preserve">possible, </w:t>
      </w:r>
      <w:r w:rsidR="00B94C18" w:rsidRPr="00B30A4C">
        <w:t xml:space="preserve">single-crystal </w:t>
      </w:r>
      <w:r w:rsidR="00270124" w:rsidRPr="00B30A4C">
        <w:t>X-ray</w:t>
      </w:r>
      <w:r w:rsidR="00B94C18" w:rsidRPr="00B30A4C">
        <w:t xml:space="preserve"> diffraction.</w:t>
      </w:r>
    </w:p>
    <w:p w:rsidR="00506BDD" w:rsidRDefault="001F2799" w:rsidP="004E3E12">
      <w:pPr>
        <w:pStyle w:val="RSCB02ArticleText"/>
      </w:pPr>
      <w:r w:rsidRPr="00B30A4C">
        <w:tab/>
      </w:r>
      <w:r w:rsidR="00DB18EE" w:rsidRPr="00B30A4C">
        <w:t xml:space="preserve">Firstly, </w:t>
      </w:r>
      <w:r w:rsidR="00F56F38" w:rsidRPr="00B30A4C">
        <w:t xml:space="preserve">the synthetic route to the Cyrene self-Aldol condensation product was </w:t>
      </w:r>
      <w:r w:rsidR="00DB18EE" w:rsidRPr="00B30A4C">
        <w:t>optimis</w:t>
      </w:r>
      <w:r w:rsidR="00F56F38" w:rsidRPr="00B30A4C">
        <w:t>ed with respect to</w:t>
      </w:r>
      <w:r w:rsidR="00DB18EE" w:rsidRPr="00B30A4C">
        <w:t xml:space="preserve"> </w:t>
      </w:r>
      <w:r w:rsidR="00F56F38" w:rsidRPr="00B30A4C">
        <w:t>the base catalyst</w:t>
      </w:r>
      <w:r w:rsidR="00DB18EE" w:rsidRPr="00B30A4C">
        <w:t xml:space="preserve">, temperature, </w:t>
      </w:r>
      <w:r w:rsidR="00F56F38" w:rsidRPr="00B30A4C">
        <w:t xml:space="preserve">ratio </w:t>
      </w:r>
      <w:r w:rsidR="00DB18EE" w:rsidRPr="00B30A4C">
        <w:t xml:space="preserve">of solvent and reaction time. </w:t>
      </w:r>
      <w:r w:rsidR="003E5E6F" w:rsidRPr="00B30A4C">
        <w:t xml:space="preserve">Previous work reported that Cyrene exhibited high sensitivity to inorganic bases and identified </w:t>
      </w:r>
      <w:r w:rsidR="00E52FC4" w:rsidRPr="00B30A4C">
        <w:t>K</w:t>
      </w:r>
      <w:r w:rsidR="00E52FC4" w:rsidRPr="00B30A4C">
        <w:rPr>
          <w:vertAlign w:val="subscript"/>
        </w:rPr>
        <w:t>3</w:t>
      </w:r>
      <w:r w:rsidR="00E52FC4" w:rsidRPr="00B30A4C">
        <w:t>PO</w:t>
      </w:r>
      <w:r w:rsidR="00E52FC4" w:rsidRPr="00B30A4C">
        <w:rPr>
          <w:vertAlign w:val="subscript"/>
        </w:rPr>
        <w:t>4</w:t>
      </w:r>
      <w:r w:rsidR="003E5E6F" w:rsidRPr="00B30A4C">
        <w:t xml:space="preserve"> as a promising catalyst</w:t>
      </w:r>
      <w:r w:rsidR="00DF47A7" w:rsidRPr="00B30A4C">
        <w:t>.</w:t>
      </w:r>
      <w:r w:rsidR="003E5E6F" w:rsidRPr="00B30A4C">
        <w:rPr>
          <w:vertAlign w:val="superscript"/>
        </w:rPr>
        <w:t>4</w:t>
      </w:r>
      <w:r w:rsidR="003E5E6F" w:rsidRPr="00B30A4C">
        <w:t xml:space="preserve"> </w:t>
      </w:r>
      <w:r w:rsidR="00097500" w:rsidRPr="00B30A4C">
        <w:t xml:space="preserve">A number of bases were screened for formation of </w:t>
      </w:r>
      <w:r w:rsidR="00F56F38" w:rsidRPr="00B30A4C">
        <w:t>this product</w:t>
      </w:r>
      <w:r w:rsidR="00097500" w:rsidRPr="00B30A4C">
        <w:t>, with nearly all reporting self</w:t>
      </w:r>
      <w:r w:rsidR="00905752" w:rsidRPr="00B30A4C">
        <w:t>-</w:t>
      </w:r>
      <w:r w:rsidR="00097500" w:rsidRPr="00B30A4C">
        <w:t>aldol in reactio</w:t>
      </w:r>
      <w:r w:rsidR="00905752" w:rsidRPr="00B30A4C">
        <w:t>n</w:t>
      </w:r>
      <w:r w:rsidR="00097500" w:rsidRPr="00B30A4C">
        <w:t xml:space="preserve">s </w:t>
      </w:r>
      <w:r w:rsidR="00097500" w:rsidRPr="00B30A4C">
        <w:lastRenderedPageBreak/>
        <w:t xml:space="preserve">conducted at 50 </w:t>
      </w:r>
      <w:r w:rsidR="00097500" w:rsidRPr="00B30A4C">
        <w:rPr>
          <w:rFonts w:cstheme="minorHAnsi"/>
        </w:rPr>
        <w:t>°</w:t>
      </w:r>
      <w:r w:rsidR="00097500" w:rsidRPr="00B30A4C">
        <w:t>C or higher</w:t>
      </w:r>
      <w:r w:rsidR="008F4107" w:rsidRPr="00B30A4C">
        <w:t xml:space="preserve"> over a 24 hour period</w:t>
      </w:r>
      <w:r w:rsidR="00097500" w:rsidRPr="00B30A4C">
        <w:t>, but with no yields give.</w:t>
      </w:r>
      <w:r w:rsidR="00F56F38" w:rsidRPr="00B30A4C">
        <w:t xml:space="preserve"> </w:t>
      </w:r>
      <w:r w:rsidR="00097500" w:rsidRPr="00B30A4C">
        <w:t>T</w:t>
      </w:r>
      <w:r w:rsidR="003E5E6F" w:rsidRPr="00B30A4C">
        <w:t>herefore</w:t>
      </w:r>
      <w:r w:rsidR="00097500" w:rsidRPr="00B30A4C">
        <w:t xml:space="preserve"> in order to advance the current knowledge of this reaction</w:t>
      </w:r>
      <w:r w:rsidR="003E5E6F" w:rsidRPr="00B30A4C">
        <w:t>, it was important to</w:t>
      </w:r>
      <w:r w:rsidR="00097500" w:rsidRPr="00B30A4C">
        <w:t xml:space="preserve"> fully</w:t>
      </w:r>
      <w:r w:rsidR="003E5E6F" w:rsidRPr="00B30A4C">
        <w:t xml:space="preserve"> investigate base selection (table 1). </w:t>
      </w:r>
    </w:p>
    <w:p w:rsidR="00506BDD" w:rsidRPr="00B30A4C" w:rsidRDefault="00506BDD" w:rsidP="00506BDD">
      <w:pPr>
        <w:pStyle w:val="RSCB02ArticleText"/>
      </w:pPr>
    </w:p>
    <w:p w:rsidR="00506BDD" w:rsidRPr="00B30A4C" w:rsidRDefault="00506BDD" w:rsidP="00506BDD">
      <w:pPr>
        <w:pStyle w:val="RSCT01TableTitlewithtopbar"/>
        <w:rPr>
          <w:w w:val="108"/>
        </w:rPr>
      </w:pPr>
      <w:r w:rsidRPr="00B30A4C">
        <w:rPr>
          <w:b/>
          <w:w w:val="108"/>
        </w:rPr>
        <w:t xml:space="preserve">Table 1: </w:t>
      </w:r>
      <w:r w:rsidRPr="00B30A4C">
        <w:rPr>
          <w:w w:val="108"/>
        </w:rPr>
        <w:t xml:space="preserve">Base catalyst screening in the self-condensation reaction. </w:t>
      </w:r>
    </w:p>
    <w:p w:rsidR="00506BDD" w:rsidRPr="00B30A4C" w:rsidRDefault="005D1D6B" w:rsidP="00506BDD">
      <w:pPr>
        <w:pStyle w:val="RSCT01TableTitlewithtopbar"/>
        <w:rPr>
          <w:w w:val="10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17.8pt;margin-top:1.6pt;width:220.6pt;height:76.75pt;z-index:251674624">
            <v:imagedata r:id="rId15" o:title=""/>
            <w10:wrap type="square"/>
          </v:shape>
          <o:OLEObject Type="Embed" ProgID="ChemDraw.Document.6.0" ShapeID="_x0000_s1033" DrawAspect="Content" ObjectID="_1589192867" r:id="rId16"/>
        </w:pict>
      </w:r>
    </w:p>
    <w:tbl>
      <w:tblPr>
        <w:tblW w:w="4982" w:type="dxa"/>
        <w:tblInd w:w="108" w:type="dxa"/>
        <w:tblLook w:val="04A0" w:firstRow="1" w:lastRow="0" w:firstColumn="1" w:lastColumn="0" w:noHBand="0" w:noVBand="1"/>
      </w:tblPr>
      <w:tblGrid>
        <w:gridCol w:w="688"/>
        <w:gridCol w:w="791"/>
        <w:gridCol w:w="899"/>
        <w:gridCol w:w="1254"/>
        <w:gridCol w:w="1350"/>
      </w:tblGrid>
      <w:tr w:rsidR="00506BDD" w:rsidRPr="00B30A4C" w:rsidTr="007053F0">
        <w:trPr>
          <w:trHeight w:val="310"/>
        </w:trPr>
        <w:tc>
          <w:tcPr>
            <w:tcW w:w="688" w:type="dxa"/>
            <w:shd w:val="clear" w:color="auto" w:fill="auto"/>
            <w:noWrap/>
            <w:vAlign w:val="center"/>
            <w:hideMark/>
          </w:tcPr>
          <w:p w:rsidR="00506BDD" w:rsidRPr="00DD78A7" w:rsidRDefault="00506BDD" w:rsidP="007053F0">
            <w:pPr>
              <w:pStyle w:val="RSCT03TableBody"/>
              <w:spacing w:line="240" w:lineRule="auto"/>
              <w:rPr>
                <w:b/>
                <w:w w:val="108"/>
              </w:rPr>
            </w:pPr>
            <w:r w:rsidRPr="00DD78A7">
              <w:rPr>
                <w:b/>
                <w:w w:val="108"/>
              </w:rPr>
              <w:t>Entry</w:t>
            </w:r>
          </w:p>
        </w:tc>
        <w:tc>
          <w:tcPr>
            <w:tcW w:w="779" w:type="dxa"/>
            <w:shd w:val="clear" w:color="auto" w:fill="auto"/>
            <w:noWrap/>
            <w:vAlign w:val="center"/>
            <w:hideMark/>
          </w:tcPr>
          <w:p w:rsidR="00506BDD" w:rsidRPr="00DD78A7" w:rsidRDefault="00506BDD" w:rsidP="007053F0">
            <w:pPr>
              <w:pStyle w:val="RSCT03TableBody"/>
              <w:spacing w:line="240" w:lineRule="auto"/>
              <w:rPr>
                <w:b/>
                <w:w w:val="108"/>
              </w:rPr>
            </w:pPr>
            <w:r w:rsidRPr="00DD78A7">
              <w:rPr>
                <w:b/>
                <w:w w:val="108"/>
              </w:rPr>
              <w:t>Catalyst</w:t>
            </w:r>
          </w:p>
        </w:tc>
        <w:tc>
          <w:tcPr>
            <w:tcW w:w="911" w:type="dxa"/>
            <w:vAlign w:val="center"/>
          </w:tcPr>
          <w:p w:rsidR="00506BDD" w:rsidRPr="00DD78A7" w:rsidRDefault="00506BDD" w:rsidP="007053F0">
            <w:pPr>
              <w:pStyle w:val="RSCT03TableBody"/>
              <w:spacing w:line="240" w:lineRule="auto"/>
              <w:rPr>
                <w:b/>
                <w:w w:val="108"/>
              </w:rPr>
            </w:pPr>
            <w:r w:rsidRPr="00DD78A7">
              <w:rPr>
                <w:b/>
                <w:w w:val="108"/>
              </w:rPr>
              <w:t>pKa</w:t>
            </w:r>
            <w:r w:rsidRPr="00DD78A7">
              <w:rPr>
                <w:b/>
                <w:w w:val="108"/>
                <w:vertAlign w:val="superscript"/>
              </w:rPr>
              <w:t>a</w:t>
            </w:r>
          </w:p>
        </w:tc>
        <w:tc>
          <w:tcPr>
            <w:tcW w:w="1254" w:type="dxa"/>
            <w:shd w:val="clear" w:color="auto" w:fill="auto"/>
            <w:noWrap/>
            <w:vAlign w:val="center"/>
            <w:hideMark/>
          </w:tcPr>
          <w:p w:rsidR="00506BDD" w:rsidRPr="00DD78A7" w:rsidRDefault="00506BDD" w:rsidP="007053F0">
            <w:pPr>
              <w:pStyle w:val="RSCT03TableBody"/>
              <w:spacing w:line="240" w:lineRule="auto"/>
              <w:rPr>
                <w:b/>
                <w:w w:val="108"/>
              </w:rPr>
            </w:pPr>
            <w:r w:rsidRPr="00DD78A7">
              <w:rPr>
                <w:b/>
                <w:w w:val="108"/>
              </w:rPr>
              <w:t>Isolated Yield (%)</w:t>
            </w:r>
          </w:p>
        </w:tc>
        <w:tc>
          <w:tcPr>
            <w:tcW w:w="1350" w:type="dxa"/>
            <w:shd w:val="clear" w:color="auto" w:fill="auto"/>
            <w:noWrap/>
            <w:vAlign w:val="center"/>
          </w:tcPr>
          <w:p w:rsidR="00506BDD" w:rsidRPr="00DD78A7" w:rsidRDefault="00506BDD" w:rsidP="007053F0">
            <w:pPr>
              <w:pStyle w:val="RSCT03TableBody"/>
              <w:spacing w:line="240" w:lineRule="auto"/>
              <w:rPr>
                <w:b/>
              </w:rPr>
            </w:pPr>
            <w:r w:rsidRPr="00DD78A7">
              <w:rPr>
                <w:b/>
              </w:rPr>
              <w:t xml:space="preserve">GSK reagent assessment </w:t>
            </w:r>
            <w:r w:rsidRPr="00DD78A7">
              <w:rPr>
                <w:b/>
                <w:vertAlign w:val="superscript"/>
              </w:rPr>
              <w:t>9</w:t>
            </w:r>
          </w:p>
        </w:tc>
      </w:tr>
      <w:tr w:rsidR="00506BDD" w:rsidRPr="00B30A4C" w:rsidTr="007053F0">
        <w:trPr>
          <w:trHeight w:val="234"/>
        </w:trPr>
        <w:tc>
          <w:tcPr>
            <w:tcW w:w="688" w:type="dxa"/>
            <w:shd w:val="clear" w:color="auto" w:fill="auto"/>
            <w:noWrap/>
            <w:vAlign w:val="center"/>
            <w:hideMark/>
          </w:tcPr>
          <w:p w:rsidR="00506BDD" w:rsidRPr="00B30A4C" w:rsidRDefault="00506BDD" w:rsidP="007053F0">
            <w:pPr>
              <w:pStyle w:val="RSCT03TableBody"/>
              <w:spacing w:line="240" w:lineRule="auto"/>
              <w:rPr>
                <w:w w:val="108"/>
              </w:rPr>
            </w:pPr>
            <w:r w:rsidRPr="00B30A4C">
              <w:rPr>
                <w:w w:val="108"/>
              </w:rPr>
              <w:t>1</w:t>
            </w:r>
          </w:p>
        </w:tc>
        <w:tc>
          <w:tcPr>
            <w:tcW w:w="779" w:type="dxa"/>
            <w:shd w:val="clear" w:color="auto" w:fill="auto"/>
            <w:noWrap/>
            <w:vAlign w:val="center"/>
            <w:hideMark/>
          </w:tcPr>
          <w:p w:rsidR="00506BDD" w:rsidRPr="00B30A4C" w:rsidRDefault="00506BDD" w:rsidP="007053F0">
            <w:pPr>
              <w:pStyle w:val="RSCT03TableBody"/>
              <w:spacing w:line="240" w:lineRule="auto"/>
              <w:rPr>
                <w:w w:val="108"/>
              </w:rPr>
            </w:pPr>
            <w:r w:rsidRPr="00B30A4C">
              <w:rPr>
                <w:w w:val="108"/>
              </w:rPr>
              <w:t>NEt</w:t>
            </w:r>
            <w:r w:rsidRPr="00B30A4C">
              <w:rPr>
                <w:w w:val="108"/>
                <w:vertAlign w:val="subscript"/>
              </w:rPr>
              <w:t>3</w:t>
            </w:r>
          </w:p>
        </w:tc>
        <w:tc>
          <w:tcPr>
            <w:tcW w:w="911" w:type="dxa"/>
            <w:vAlign w:val="center"/>
          </w:tcPr>
          <w:p w:rsidR="00506BDD" w:rsidRPr="00B30A4C" w:rsidRDefault="00506BDD" w:rsidP="007053F0">
            <w:pPr>
              <w:pStyle w:val="RSCT03TableBody"/>
              <w:spacing w:line="240" w:lineRule="auto"/>
              <w:rPr>
                <w:w w:val="108"/>
              </w:rPr>
            </w:pPr>
            <w:r w:rsidRPr="00B30A4C">
              <w:rPr>
                <w:w w:val="108"/>
              </w:rPr>
              <w:t>10.75</w:t>
            </w:r>
          </w:p>
        </w:tc>
        <w:tc>
          <w:tcPr>
            <w:tcW w:w="1254" w:type="dxa"/>
            <w:shd w:val="clear" w:color="auto" w:fill="auto"/>
            <w:noWrap/>
            <w:vAlign w:val="center"/>
            <w:hideMark/>
          </w:tcPr>
          <w:p w:rsidR="00506BDD" w:rsidRPr="00B30A4C" w:rsidRDefault="00506BDD" w:rsidP="007053F0">
            <w:pPr>
              <w:pStyle w:val="RSCT03TableBody"/>
              <w:spacing w:line="240" w:lineRule="auto"/>
              <w:rPr>
                <w:w w:val="108"/>
              </w:rPr>
            </w:pPr>
            <w:r w:rsidRPr="00B30A4C">
              <w:rPr>
                <w:w w:val="108"/>
              </w:rPr>
              <w:t>0.0</w:t>
            </w:r>
          </w:p>
        </w:tc>
        <w:tc>
          <w:tcPr>
            <w:tcW w:w="1350" w:type="dxa"/>
            <w:shd w:val="clear" w:color="auto" w:fill="FFFF00"/>
            <w:noWrap/>
            <w:vAlign w:val="center"/>
          </w:tcPr>
          <w:p w:rsidR="00506BDD" w:rsidRPr="00503920" w:rsidRDefault="003E6A45" w:rsidP="007053F0">
            <w:pPr>
              <w:pStyle w:val="RSCT03TableBody"/>
              <w:spacing w:line="240" w:lineRule="auto"/>
              <w:rPr>
                <w:w w:val="108"/>
              </w:rPr>
            </w:pPr>
            <w:r w:rsidRPr="00503920">
              <w:rPr>
                <w:w w:val="108"/>
              </w:rPr>
              <w:t>Some issues</w:t>
            </w:r>
          </w:p>
        </w:tc>
      </w:tr>
      <w:tr w:rsidR="00506BDD" w:rsidRPr="00B30A4C" w:rsidTr="00DD78A7">
        <w:trPr>
          <w:trHeight w:val="234"/>
        </w:trPr>
        <w:tc>
          <w:tcPr>
            <w:tcW w:w="688" w:type="dxa"/>
            <w:shd w:val="clear" w:color="auto" w:fill="auto"/>
            <w:noWrap/>
            <w:vAlign w:val="center"/>
            <w:hideMark/>
          </w:tcPr>
          <w:p w:rsidR="00506BDD" w:rsidRPr="00B30A4C" w:rsidRDefault="00506BDD" w:rsidP="007053F0">
            <w:pPr>
              <w:pStyle w:val="RSCT03TableBody"/>
              <w:spacing w:line="240" w:lineRule="auto"/>
              <w:rPr>
                <w:w w:val="108"/>
              </w:rPr>
            </w:pPr>
            <w:r w:rsidRPr="00B30A4C">
              <w:rPr>
                <w:w w:val="108"/>
              </w:rPr>
              <w:t>2</w:t>
            </w:r>
          </w:p>
        </w:tc>
        <w:tc>
          <w:tcPr>
            <w:tcW w:w="779" w:type="dxa"/>
            <w:shd w:val="clear" w:color="auto" w:fill="auto"/>
            <w:noWrap/>
            <w:vAlign w:val="center"/>
            <w:hideMark/>
          </w:tcPr>
          <w:p w:rsidR="00506BDD" w:rsidRPr="00B30A4C" w:rsidRDefault="00506BDD" w:rsidP="007053F0">
            <w:pPr>
              <w:pStyle w:val="RSCT03TableBody"/>
              <w:spacing w:line="240" w:lineRule="auto"/>
              <w:rPr>
                <w:w w:val="108"/>
              </w:rPr>
            </w:pPr>
            <w:r w:rsidRPr="00B30A4C">
              <w:rPr>
                <w:w w:val="108"/>
              </w:rPr>
              <w:t>Pyridine</w:t>
            </w:r>
          </w:p>
        </w:tc>
        <w:tc>
          <w:tcPr>
            <w:tcW w:w="911" w:type="dxa"/>
            <w:vAlign w:val="center"/>
          </w:tcPr>
          <w:p w:rsidR="00506BDD" w:rsidRPr="00B30A4C" w:rsidRDefault="00506BDD" w:rsidP="007053F0">
            <w:pPr>
              <w:pStyle w:val="RSCT03TableBody"/>
              <w:spacing w:line="240" w:lineRule="auto"/>
              <w:rPr>
                <w:w w:val="108"/>
              </w:rPr>
            </w:pPr>
            <w:r w:rsidRPr="00B30A4C">
              <w:rPr>
                <w:w w:val="108"/>
              </w:rPr>
              <w:t>5.25</w:t>
            </w:r>
          </w:p>
        </w:tc>
        <w:tc>
          <w:tcPr>
            <w:tcW w:w="1254" w:type="dxa"/>
            <w:shd w:val="clear" w:color="auto" w:fill="auto"/>
            <w:noWrap/>
            <w:vAlign w:val="center"/>
            <w:hideMark/>
          </w:tcPr>
          <w:p w:rsidR="00506BDD" w:rsidRPr="00B30A4C" w:rsidRDefault="00506BDD" w:rsidP="007053F0">
            <w:pPr>
              <w:pStyle w:val="RSCT03TableBody"/>
              <w:spacing w:line="240" w:lineRule="auto"/>
              <w:rPr>
                <w:w w:val="108"/>
              </w:rPr>
            </w:pPr>
            <w:r w:rsidRPr="00B30A4C">
              <w:rPr>
                <w:w w:val="108"/>
              </w:rPr>
              <w:t>0.0</w:t>
            </w:r>
          </w:p>
        </w:tc>
        <w:tc>
          <w:tcPr>
            <w:tcW w:w="1350" w:type="dxa"/>
            <w:shd w:val="clear" w:color="auto" w:fill="00B050"/>
            <w:noWrap/>
            <w:vAlign w:val="center"/>
          </w:tcPr>
          <w:p w:rsidR="00506BDD" w:rsidRPr="00B30A4C" w:rsidRDefault="00503920" w:rsidP="007053F0">
            <w:pPr>
              <w:pStyle w:val="RSCT03TableBody"/>
              <w:spacing w:line="240" w:lineRule="auto"/>
              <w:rPr>
                <w:w w:val="108"/>
              </w:rPr>
            </w:pPr>
            <w:r>
              <w:rPr>
                <w:w w:val="108"/>
              </w:rPr>
              <w:t>Few issues</w:t>
            </w:r>
          </w:p>
        </w:tc>
      </w:tr>
      <w:tr w:rsidR="00506BDD" w:rsidRPr="00B30A4C" w:rsidTr="00DD78A7">
        <w:trPr>
          <w:trHeight w:val="234"/>
        </w:trPr>
        <w:tc>
          <w:tcPr>
            <w:tcW w:w="688" w:type="dxa"/>
            <w:shd w:val="clear" w:color="auto" w:fill="auto"/>
            <w:noWrap/>
            <w:vAlign w:val="center"/>
            <w:hideMark/>
          </w:tcPr>
          <w:p w:rsidR="00506BDD" w:rsidRPr="00B30A4C" w:rsidRDefault="00506BDD" w:rsidP="007053F0">
            <w:pPr>
              <w:pStyle w:val="RSCT03TableBody"/>
              <w:spacing w:line="240" w:lineRule="auto"/>
              <w:rPr>
                <w:w w:val="108"/>
              </w:rPr>
            </w:pPr>
            <w:r w:rsidRPr="00B30A4C">
              <w:rPr>
                <w:w w:val="108"/>
              </w:rPr>
              <w:t>3</w:t>
            </w:r>
          </w:p>
        </w:tc>
        <w:tc>
          <w:tcPr>
            <w:tcW w:w="779" w:type="dxa"/>
            <w:shd w:val="clear" w:color="auto" w:fill="auto"/>
            <w:noWrap/>
            <w:vAlign w:val="center"/>
            <w:hideMark/>
          </w:tcPr>
          <w:p w:rsidR="00506BDD" w:rsidRPr="00B30A4C" w:rsidRDefault="00506BDD" w:rsidP="007053F0">
            <w:pPr>
              <w:pStyle w:val="RSCT03TableBody"/>
              <w:spacing w:line="240" w:lineRule="auto"/>
              <w:rPr>
                <w:w w:val="108"/>
              </w:rPr>
            </w:pPr>
            <w:r w:rsidRPr="00B30A4C">
              <w:rPr>
                <w:w w:val="108"/>
              </w:rPr>
              <w:t>KOAc</w:t>
            </w:r>
          </w:p>
        </w:tc>
        <w:tc>
          <w:tcPr>
            <w:tcW w:w="911" w:type="dxa"/>
            <w:vAlign w:val="center"/>
          </w:tcPr>
          <w:p w:rsidR="00506BDD" w:rsidRPr="00B30A4C" w:rsidRDefault="00506BDD" w:rsidP="007053F0">
            <w:pPr>
              <w:pStyle w:val="RSCT03TableBody"/>
              <w:spacing w:line="240" w:lineRule="auto"/>
              <w:rPr>
                <w:w w:val="108"/>
              </w:rPr>
            </w:pPr>
            <w:r w:rsidRPr="00B30A4C">
              <w:rPr>
                <w:w w:val="108"/>
              </w:rPr>
              <w:t>4.76</w:t>
            </w:r>
          </w:p>
        </w:tc>
        <w:tc>
          <w:tcPr>
            <w:tcW w:w="1254" w:type="dxa"/>
            <w:shd w:val="clear" w:color="auto" w:fill="auto"/>
            <w:noWrap/>
            <w:vAlign w:val="center"/>
            <w:hideMark/>
          </w:tcPr>
          <w:p w:rsidR="00506BDD" w:rsidRPr="00B30A4C" w:rsidRDefault="00506BDD" w:rsidP="007053F0">
            <w:pPr>
              <w:pStyle w:val="RSCT03TableBody"/>
              <w:spacing w:line="240" w:lineRule="auto"/>
              <w:rPr>
                <w:w w:val="108"/>
              </w:rPr>
            </w:pPr>
            <w:r w:rsidRPr="00B30A4C">
              <w:rPr>
                <w:w w:val="108"/>
              </w:rPr>
              <w:t>0.0</w:t>
            </w:r>
          </w:p>
        </w:tc>
        <w:tc>
          <w:tcPr>
            <w:tcW w:w="1350" w:type="dxa"/>
            <w:shd w:val="clear" w:color="auto" w:fill="00B050"/>
            <w:noWrap/>
            <w:vAlign w:val="center"/>
          </w:tcPr>
          <w:p w:rsidR="00506BDD" w:rsidRPr="00B30A4C" w:rsidRDefault="003E6A45" w:rsidP="007053F0">
            <w:pPr>
              <w:pStyle w:val="RSCT03TableBody"/>
              <w:spacing w:line="240" w:lineRule="auto"/>
              <w:rPr>
                <w:w w:val="108"/>
              </w:rPr>
            </w:pPr>
            <w:r>
              <w:rPr>
                <w:w w:val="108"/>
              </w:rPr>
              <w:t>Few issues</w:t>
            </w:r>
          </w:p>
        </w:tc>
      </w:tr>
      <w:tr w:rsidR="00506BDD" w:rsidRPr="00B30A4C" w:rsidTr="007053F0">
        <w:trPr>
          <w:trHeight w:val="234"/>
        </w:trPr>
        <w:tc>
          <w:tcPr>
            <w:tcW w:w="688" w:type="dxa"/>
            <w:shd w:val="clear" w:color="auto" w:fill="auto"/>
            <w:noWrap/>
            <w:vAlign w:val="center"/>
            <w:hideMark/>
          </w:tcPr>
          <w:p w:rsidR="00506BDD" w:rsidRPr="00B30A4C" w:rsidRDefault="00506BDD" w:rsidP="007053F0">
            <w:pPr>
              <w:pStyle w:val="RSCT03TableBody"/>
              <w:spacing w:line="240" w:lineRule="auto"/>
              <w:rPr>
                <w:w w:val="108"/>
              </w:rPr>
            </w:pPr>
            <w:r w:rsidRPr="00B30A4C">
              <w:rPr>
                <w:w w:val="108"/>
              </w:rPr>
              <w:t>4</w:t>
            </w:r>
          </w:p>
        </w:tc>
        <w:tc>
          <w:tcPr>
            <w:tcW w:w="779" w:type="dxa"/>
            <w:shd w:val="clear" w:color="auto" w:fill="auto"/>
            <w:noWrap/>
            <w:vAlign w:val="center"/>
            <w:hideMark/>
          </w:tcPr>
          <w:p w:rsidR="00506BDD" w:rsidRPr="00B30A4C" w:rsidRDefault="00506BDD" w:rsidP="007053F0">
            <w:pPr>
              <w:pStyle w:val="RSCT03TableBody"/>
              <w:spacing w:line="240" w:lineRule="auto"/>
              <w:rPr>
                <w:w w:val="108"/>
              </w:rPr>
            </w:pPr>
            <w:r w:rsidRPr="00B30A4C">
              <w:rPr>
                <w:w w:val="108"/>
              </w:rPr>
              <w:t>CaCO</w:t>
            </w:r>
            <w:r w:rsidRPr="00B30A4C">
              <w:rPr>
                <w:w w:val="108"/>
                <w:vertAlign w:val="subscript"/>
              </w:rPr>
              <w:t>3</w:t>
            </w:r>
          </w:p>
        </w:tc>
        <w:tc>
          <w:tcPr>
            <w:tcW w:w="911" w:type="dxa"/>
            <w:vAlign w:val="center"/>
          </w:tcPr>
          <w:p w:rsidR="00506BDD" w:rsidRPr="00B30A4C" w:rsidRDefault="00506BDD" w:rsidP="007053F0">
            <w:pPr>
              <w:pStyle w:val="RSCT03TableBody"/>
              <w:spacing w:line="240" w:lineRule="auto"/>
              <w:rPr>
                <w:w w:val="108"/>
              </w:rPr>
            </w:pPr>
            <w:r w:rsidRPr="00B30A4C">
              <w:rPr>
                <w:w w:val="108"/>
              </w:rPr>
              <w:t>9.00</w:t>
            </w:r>
          </w:p>
        </w:tc>
        <w:tc>
          <w:tcPr>
            <w:tcW w:w="1254" w:type="dxa"/>
            <w:shd w:val="clear" w:color="auto" w:fill="auto"/>
            <w:noWrap/>
            <w:vAlign w:val="center"/>
            <w:hideMark/>
          </w:tcPr>
          <w:p w:rsidR="00506BDD" w:rsidRPr="00B30A4C" w:rsidRDefault="00506BDD" w:rsidP="007053F0">
            <w:pPr>
              <w:pStyle w:val="RSCT03TableBody"/>
              <w:spacing w:line="240" w:lineRule="auto"/>
              <w:rPr>
                <w:w w:val="108"/>
              </w:rPr>
            </w:pPr>
            <w:r w:rsidRPr="00B30A4C">
              <w:rPr>
                <w:w w:val="108"/>
              </w:rPr>
              <w:t>0.0</w:t>
            </w:r>
          </w:p>
        </w:tc>
        <w:tc>
          <w:tcPr>
            <w:tcW w:w="1350" w:type="dxa"/>
            <w:shd w:val="clear" w:color="auto" w:fill="FFFFFF" w:themeFill="background1"/>
            <w:noWrap/>
            <w:vAlign w:val="center"/>
          </w:tcPr>
          <w:p w:rsidR="00506BDD" w:rsidRPr="00B30A4C" w:rsidRDefault="00506BDD" w:rsidP="007053F0">
            <w:pPr>
              <w:pStyle w:val="RSCT03TableBody"/>
              <w:spacing w:line="240" w:lineRule="auto"/>
              <w:rPr>
                <w:w w:val="108"/>
              </w:rPr>
            </w:pPr>
            <w:r w:rsidRPr="00B30A4C">
              <w:rPr>
                <w:w w:val="108"/>
              </w:rPr>
              <w:t>N/A</w:t>
            </w:r>
          </w:p>
        </w:tc>
      </w:tr>
      <w:tr w:rsidR="00506BDD" w:rsidRPr="00B30A4C" w:rsidTr="00DD78A7">
        <w:trPr>
          <w:trHeight w:val="234"/>
        </w:trPr>
        <w:tc>
          <w:tcPr>
            <w:tcW w:w="688" w:type="dxa"/>
            <w:shd w:val="clear" w:color="auto" w:fill="auto"/>
            <w:noWrap/>
            <w:vAlign w:val="center"/>
            <w:hideMark/>
          </w:tcPr>
          <w:p w:rsidR="00506BDD" w:rsidRPr="00B30A4C" w:rsidRDefault="00506BDD" w:rsidP="007053F0">
            <w:pPr>
              <w:pStyle w:val="RSCT03TableBody"/>
              <w:spacing w:line="240" w:lineRule="auto"/>
              <w:rPr>
                <w:w w:val="108"/>
              </w:rPr>
            </w:pPr>
            <w:r w:rsidRPr="00B30A4C">
              <w:rPr>
                <w:w w:val="108"/>
              </w:rPr>
              <w:t>5</w:t>
            </w:r>
          </w:p>
        </w:tc>
        <w:tc>
          <w:tcPr>
            <w:tcW w:w="779" w:type="dxa"/>
            <w:shd w:val="clear" w:color="auto" w:fill="auto"/>
            <w:noWrap/>
            <w:vAlign w:val="center"/>
            <w:hideMark/>
          </w:tcPr>
          <w:p w:rsidR="00506BDD" w:rsidRPr="00B30A4C" w:rsidRDefault="00506BDD" w:rsidP="007053F0">
            <w:pPr>
              <w:pStyle w:val="RSCT03TableBody"/>
              <w:spacing w:line="240" w:lineRule="auto"/>
              <w:rPr>
                <w:w w:val="108"/>
              </w:rPr>
            </w:pPr>
            <w:r w:rsidRPr="00B30A4C">
              <w:rPr>
                <w:w w:val="108"/>
              </w:rPr>
              <w:t>K</w:t>
            </w:r>
            <w:r w:rsidRPr="00B30A4C">
              <w:rPr>
                <w:w w:val="108"/>
                <w:vertAlign w:val="subscript"/>
              </w:rPr>
              <w:t>2</w:t>
            </w:r>
            <w:r w:rsidRPr="00B30A4C">
              <w:rPr>
                <w:w w:val="108"/>
              </w:rPr>
              <w:t>CO</w:t>
            </w:r>
            <w:r w:rsidRPr="00B30A4C">
              <w:rPr>
                <w:w w:val="108"/>
                <w:vertAlign w:val="subscript"/>
              </w:rPr>
              <w:t>3</w:t>
            </w:r>
          </w:p>
        </w:tc>
        <w:tc>
          <w:tcPr>
            <w:tcW w:w="911" w:type="dxa"/>
            <w:vAlign w:val="center"/>
          </w:tcPr>
          <w:p w:rsidR="00506BDD" w:rsidRPr="00B30A4C" w:rsidRDefault="00506BDD" w:rsidP="007053F0">
            <w:pPr>
              <w:pStyle w:val="RSCT03TableBody"/>
              <w:spacing w:line="240" w:lineRule="auto"/>
              <w:rPr>
                <w:w w:val="108"/>
              </w:rPr>
            </w:pPr>
            <w:r w:rsidRPr="00B30A4C">
              <w:rPr>
                <w:w w:val="108"/>
              </w:rPr>
              <w:t>10.25</w:t>
            </w:r>
          </w:p>
        </w:tc>
        <w:tc>
          <w:tcPr>
            <w:tcW w:w="1254" w:type="dxa"/>
            <w:shd w:val="clear" w:color="auto" w:fill="auto"/>
            <w:noWrap/>
            <w:vAlign w:val="center"/>
            <w:hideMark/>
          </w:tcPr>
          <w:p w:rsidR="00506BDD" w:rsidRPr="00B30A4C" w:rsidRDefault="00506BDD" w:rsidP="007053F0">
            <w:pPr>
              <w:pStyle w:val="RSCT03TableBody"/>
              <w:spacing w:line="240" w:lineRule="auto"/>
              <w:rPr>
                <w:w w:val="108"/>
              </w:rPr>
            </w:pPr>
            <w:r w:rsidRPr="00B30A4C">
              <w:rPr>
                <w:w w:val="108"/>
              </w:rPr>
              <w:t>32.3</w:t>
            </w:r>
          </w:p>
        </w:tc>
        <w:tc>
          <w:tcPr>
            <w:tcW w:w="1350" w:type="dxa"/>
            <w:shd w:val="clear" w:color="auto" w:fill="00B050"/>
            <w:noWrap/>
            <w:vAlign w:val="center"/>
          </w:tcPr>
          <w:p w:rsidR="00506BDD" w:rsidRPr="00B30A4C" w:rsidRDefault="00EF721B" w:rsidP="007053F0">
            <w:pPr>
              <w:pStyle w:val="RSCT03TableBody"/>
              <w:spacing w:line="240" w:lineRule="auto"/>
              <w:rPr>
                <w:w w:val="108"/>
              </w:rPr>
            </w:pPr>
            <w:r>
              <w:rPr>
                <w:w w:val="108"/>
              </w:rPr>
              <w:t>Few issues</w:t>
            </w:r>
          </w:p>
        </w:tc>
      </w:tr>
      <w:tr w:rsidR="00506BDD" w:rsidRPr="00B30A4C" w:rsidTr="00DD78A7">
        <w:trPr>
          <w:trHeight w:val="234"/>
        </w:trPr>
        <w:tc>
          <w:tcPr>
            <w:tcW w:w="688" w:type="dxa"/>
            <w:shd w:val="clear" w:color="auto" w:fill="auto"/>
            <w:noWrap/>
            <w:vAlign w:val="center"/>
            <w:hideMark/>
          </w:tcPr>
          <w:p w:rsidR="00506BDD" w:rsidRPr="00B30A4C" w:rsidRDefault="00506BDD" w:rsidP="007053F0">
            <w:pPr>
              <w:pStyle w:val="RSCT03TableBody"/>
              <w:spacing w:line="240" w:lineRule="auto"/>
              <w:rPr>
                <w:w w:val="108"/>
              </w:rPr>
            </w:pPr>
            <w:r w:rsidRPr="00B30A4C">
              <w:rPr>
                <w:w w:val="108"/>
              </w:rPr>
              <w:t>6</w:t>
            </w:r>
          </w:p>
        </w:tc>
        <w:tc>
          <w:tcPr>
            <w:tcW w:w="779" w:type="dxa"/>
            <w:shd w:val="clear" w:color="auto" w:fill="auto"/>
            <w:noWrap/>
            <w:vAlign w:val="center"/>
            <w:hideMark/>
          </w:tcPr>
          <w:p w:rsidR="00506BDD" w:rsidRPr="00B30A4C" w:rsidRDefault="00506BDD" w:rsidP="007053F0">
            <w:pPr>
              <w:pStyle w:val="RSCT03TableBody"/>
              <w:spacing w:line="240" w:lineRule="auto"/>
              <w:rPr>
                <w:w w:val="108"/>
              </w:rPr>
            </w:pPr>
            <w:r w:rsidRPr="00B30A4C">
              <w:rPr>
                <w:w w:val="108"/>
              </w:rPr>
              <w:t>KOH</w:t>
            </w:r>
          </w:p>
        </w:tc>
        <w:tc>
          <w:tcPr>
            <w:tcW w:w="911" w:type="dxa"/>
            <w:vAlign w:val="center"/>
          </w:tcPr>
          <w:p w:rsidR="00506BDD" w:rsidRPr="00B30A4C" w:rsidRDefault="00506BDD" w:rsidP="007053F0">
            <w:pPr>
              <w:pStyle w:val="RSCT03TableBody"/>
              <w:spacing w:line="240" w:lineRule="auto"/>
              <w:rPr>
                <w:w w:val="108"/>
              </w:rPr>
            </w:pPr>
            <w:r w:rsidRPr="00B30A4C">
              <w:rPr>
                <w:w w:val="108"/>
              </w:rPr>
              <w:t>15.7</w:t>
            </w:r>
          </w:p>
        </w:tc>
        <w:tc>
          <w:tcPr>
            <w:tcW w:w="1254" w:type="dxa"/>
            <w:shd w:val="clear" w:color="auto" w:fill="auto"/>
            <w:noWrap/>
            <w:vAlign w:val="center"/>
            <w:hideMark/>
          </w:tcPr>
          <w:p w:rsidR="00506BDD" w:rsidRPr="00B30A4C" w:rsidRDefault="00506BDD" w:rsidP="007053F0">
            <w:pPr>
              <w:pStyle w:val="RSCT03TableBody"/>
              <w:spacing w:line="240" w:lineRule="auto"/>
              <w:rPr>
                <w:w w:val="108"/>
              </w:rPr>
            </w:pPr>
            <w:r w:rsidRPr="00B30A4C">
              <w:rPr>
                <w:w w:val="108"/>
              </w:rPr>
              <w:t>72.5</w:t>
            </w:r>
          </w:p>
        </w:tc>
        <w:tc>
          <w:tcPr>
            <w:tcW w:w="1350" w:type="dxa"/>
            <w:shd w:val="clear" w:color="auto" w:fill="00B050"/>
            <w:noWrap/>
            <w:vAlign w:val="center"/>
          </w:tcPr>
          <w:p w:rsidR="00506BDD" w:rsidRPr="00B30A4C" w:rsidRDefault="003E6A45" w:rsidP="007053F0">
            <w:pPr>
              <w:pStyle w:val="RSCT03TableBody"/>
              <w:spacing w:line="240" w:lineRule="auto"/>
              <w:rPr>
                <w:w w:val="108"/>
              </w:rPr>
            </w:pPr>
            <w:r>
              <w:rPr>
                <w:w w:val="108"/>
              </w:rPr>
              <w:t>Few issues</w:t>
            </w:r>
          </w:p>
        </w:tc>
      </w:tr>
      <w:tr w:rsidR="00506BDD" w:rsidRPr="00B30A4C" w:rsidTr="007053F0">
        <w:trPr>
          <w:trHeight w:val="234"/>
        </w:trPr>
        <w:tc>
          <w:tcPr>
            <w:tcW w:w="688" w:type="dxa"/>
            <w:shd w:val="clear" w:color="auto" w:fill="auto"/>
            <w:noWrap/>
            <w:vAlign w:val="center"/>
            <w:hideMark/>
          </w:tcPr>
          <w:p w:rsidR="00506BDD" w:rsidRPr="00B30A4C" w:rsidRDefault="00506BDD" w:rsidP="007053F0">
            <w:pPr>
              <w:pStyle w:val="RSCT03TableBody"/>
              <w:spacing w:line="240" w:lineRule="auto"/>
              <w:rPr>
                <w:w w:val="108"/>
              </w:rPr>
            </w:pPr>
            <w:r w:rsidRPr="00B30A4C">
              <w:rPr>
                <w:w w:val="108"/>
              </w:rPr>
              <w:t>7</w:t>
            </w:r>
          </w:p>
        </w:tc>
        <w:tc>
          <w:tcPr>
            <w:tcW w:w="779" w:type="dxa"/>
            <w:shd w:val="clear" w:color="auto" w:fill="auto"/>
            <w:noWrap/>
            <w:vAlign w:val="center"/>
            <w:hideMark/>
          </w:tcPr>
          <w:p w:rsidR="00506BDD" w:rsidRPr="00B30A4C" w:rsidRDefault="00506BDD" w:rsidP="007053F0">
            <w:pPr>
              <w:pStyle w:val="RSCT03TableBody"/>
              <w:spacing w:line="240" w:lineRule="auto"/>
              <w:rPr>
                <w:w w:val="108"/>
              </w:rPr>
            </w:pPr>
            <w:r w:rsidRPr="00B30A4C">
              <w:rPr>
                <w:w w:val="108"/>
              </w:rPr>
              <w:t>t-BuOK</w:t>
            </w:r>
          </w:p>
        </w:tc>
        <w:tc>
          <w:tcPr>
            <w:tcW w:w="911" w:type="dxa"/>
            <w:vAlign w:val="center"/>
          </w:tcPr>
          <w:p w:rsidR="00506BDD" w:rsidRPr="00B30A4C" w:rsidRDefault="00506BDD" w:rsidP="007053F0">
            <w:pPr>
              <w:pStyle w:val="RSCT03TableBody"/>
              <w:spacing w:line="240" w:lineRule="auto"/>
              <w:rPr>
                <w:w w:val="108"/>
              </w:rPr>
            </w:pPr>
            <w:r w:rsidRPr="00B30A4C">
              <w:rPr>
                <w:w w:val="108"/>
              </w:rPr>
              <w:t>17</w:t>
            </w:r>
          </w:p>
        </w:tc>
        <w:tc>
          <w:tcPr>
            <w:tcW w:w="1254" w:type="dxa"/>
            <w:shd w:val="clear" w:color="auto" w:fill="auto"/>
            <w:noWrap/>
            <w:vAlign w:val="center"/>
            <w:hideMark/>
          </w:tcPr>
          <w:p w:rsidR="00506BDD" w:rsidRPr="00B30A4C" w:rsidRDefault="00506BDD" w:rsidP="007053F0">
            <w:pPr>
              <w:pStyle w:val="RSCT03TableBody"/>
              <w:spacing w:line="240" w:lineRule="auto"/>
              <w:rPr>
                <w:w w:val="108"/>
              </w:rPr>
            </w:pPr>
            <w:r w:rsidRPr="00B30A4C">
              <w:rPr>
                <w:w w:val="108"/>
              </w:rPr>
              <w:t>81.0</w:t>
            </w:r>
          </w:p>
        </w:tc>
        <w:tc>
          <w:tcPr>
            <w:tcW w:w="1350" w:type="dxa"/>
            <w:shd w:val="clear" w:color="auto" w:fill="FFFF00"/>
            <w:noWrap/>
            <w:vAlign w:val="center"/>
          </w:tcPr>
          <w:p w:rsidR="00506BDD" w:rsidRPr="00B30A4C" w:rsidRDefault="003E6A45" w:rsidP="007053F0">
            <w:pPr>
              <w:pStyle w:val="RSCT03TableBody"/>
              <w:spacing w:line="240" w:lineRule="auto"/>
              <w:rPr>
                <w:w w:val="108"/>
              </w:rPr>
            </w:pPr>
            <w:r w:rsidRPr="00503920">
              <w:rPr>
                <w:w w:val="108"/>
              </w:rPr>
              <w:t>Some issues</w:t>
            </w:r>
          </w:p>
        </w:tc>
      </w:tr>
      <w:tr w:rsidR="00506BDD" w:rsidRPr="00B30A4C" w:rsidTr="00DD78A7">
        <w:trPr>
          <w:trHeight w:val="234"/>
        </w:trPr>
        <w:tc>
          <w:tcPr>
            <w:tcW w:w="688" w:type="dxa"/>
            <w:shd w:val="clear" w:color="auto" w:fill="auto"/>
            <w:noWrap/>
            <w:vAlign w:val="center"/>
            <w:hideMark/>
          </w:tcPr>
          <w:p w:rsidR="00506BDD" w:rsidRPr="00B30A4C" w:rsidRDefault="00506BDD" w:rsidP="007053F0">
            <w:pPr>
              <w:pStyle w:val="RSCT03TableBody"/>
              <w:spacing w:line="240" w:lineRule="auto"/>
              <w:rPr>
                <w:w w:val="108"/>
              </w:rPr>
            </w:pPr>
            <w:r w:rsidRPr="00B30A4C">
              <w:rPr>
                <w:w w:val="108"/>
              </w:rPr>
              <w:t>8</w:t>
            </w:r>
          </w:p>
        </w:tc>
        <w:tc>
          <w:tcPr>
            <w:tcW w:w="779" w:type="dxa"/>
            <w:shd w:val="clear" w:color="auto" w:fill="auto"/>
            <w:noWrap/>
            <w:vAlign w:val="center"/>
            <w:hideMark/>
          </w:tcPr>
          <w:p w:rsidR="00506BDD" w:rsidRPr="00B30A4C" w:rsidRDefault="00506BDD" w:rsidP="007053F0">
            <w:pPr>
              <w:pStyle w:val="RSCT03TableBody"/>
              <w:spacing w:line="240" w:lineRule="auto"/>
              <w:rPr>
                <w:w w:val="108"/>
              </w:rPr>
            </w:pPr>
            <w:r w:rsidRPr="00B30A4C">
              <w:rPr>
                <w:w w:val="108"/>
              </w:rPr>
              <w:t>K</w:t>
            </w:r>
            <w:r w:rsidRPr="00B30A4C">
              <w:rPr>
                <w:w w:val="108"/>
                <w:vertAlign w:val="subscript"/>
              </w:rPr>
              <w:t>3</w:t>
            </w:r>
            <w:r w:rsidRPr="00B30A4C">
              <w:rPr>
                <w:w w:val="108"/>
              </w:rPr>
              <w:t>PO</w:t>
            </w:r>
            <w:r w:rsidRPr="00B30A4C">
              <w:rPr>
                <w:w w:val="108"/>
                <w:vertAlign w:val="subscript"/>
              </w:rPr>
              <w:t>4</w:t>
            </w:r>
          </w:p>
        </w:tc>
        <w:tc>
          <w:tcPr>
            <w:tcW w:w="911" w:type="dxa"/>
            <w:vAlign w:val="center"/>
          </w:tcPr>
          <w:p w:rsidR="00506BDD" w:rsidRPr="00B30A4C" w:rsidRDefault="00506BDD" w:rsidP="007053F0">
            <w:pPr>
              <w:pStyle w:val="RSCT03TableBody"/>
              <w:spacing w:line="240" w:lineRule="auto"/>
              <w:rPr>
                <w:w w:val="108"/>
              </w:rPr>
            </w:pPr>
            <w:r w:rsidRPr="00B30A4C">
              <w:rPr>
                <w:w w:val="108"/>
              </w:rPr>
              <w:t>12.32</w:t>
            </w:r>
          </w:p>
        </w:tc>
        <w:tc>
          <w:tcPr>
            <w:tcW w:w="1254" w:type="dxa"/>
            <w:shd w:val="clear" w:color="auto" w:fill="auto"/>
            <w:noWrap/>
            <w:vAlign w:val="center"/>
            <w:hideMark/>
          </w:tcPr>
          <w:p w:rsidR="00506BDD" w:rsidRPr="00B30A4C" w:rsidRDefault="00506BDD" w:rsidP="007053F0">
            <w:pPr>
              <w:pStyle w:val="RSCT03TableBody"/>
              <w:spacing w:line="240" w:lineRule="auto"/>
              <w:rPr>
                <w:w w:val="108"/>
              </w:rPr>
            </w:pPr>
            <w:r w:rsidRPr="00B30A4C">
              <w:rPr>
                <w:w w:val="108"/>
              </w:rPr>
              <w:t>81.3</w:t>
            </w:r>
          </w:p>
        </w:tc>
        <w:tc>
          <w:tcPr>
            <w:tcW w:w="1350" w:type="dxa"/>
            <w:shd w:val="clear" w:color="auto" w:fill="00B050"/>
            <w:noWrap/>
            <w:vAlign w:val="center"/>
          </w:tcPr>
          <w:p w:rsidR="00506BDD" w:rsidRPr="00503920" w:rsidRDefault="00503920" w:rsidP="007053F0">
            <w:pPr>
              <w:pStyle w:val="RSCT03TableBody"/>
              <w:spacing w:line="240" w:lineRule="auto"/>
              <w:rPr>
                <w:w w:val="108"/>
              </w:rPr>
            </w:pPr>
            <w:r>
              <w:rPr>
                <w:w w:val="108"/>
              </w:rPr>
              <w:t>Few issues</w:t>
            </w:r>
          </w:p>
        </w:tc>
      </w:tr>
    </w:tbl>
    <w:p w:rsidR="00506BDD" w:rsidRPr="00B30A4C" w:rsidRDefault="00490BE1" w:rsidP="00506BDD">
      <w:pPr>
        <w:pStyle w:val="RSCT05TableFootnotewithoutbottombar"/>
        <w:pBdr>
          <w:bottom w:val="single" w:sz="4" w:space="1" w:color="auto"/>
        </w:pBdr>
      </w:pPr>
      <w:r w:rsidRPr="00B30A4C">
        <w:rPr>
          <w:noProof/>
        </w:rPr>
        <w:drawing>
          <wp:anchor distT="0" distB="0" distL="114300" distR="114300" simplePos="0" relativeHeight="251670528" behindDoc="0" locked="0" layoutInCell="1" allowOverlap="1" wp14:anchorId="4D9B9E82" wp14:editId="661CCDB9">
            <wp:simplePos x="0" y="0"/>
            <wp:positionH relativeFrom="column">
              <wp:posOffset>3418205</wp:posOffset>
            </wp:positionH>
            <wp:positionV relativeFrom="paragraph">
              <wp:posOffset>245745</wp:posOffset>
            </wp:positionV>
            <wp:extent cx="3005455" cy="3578860"/>
            <wp:effectExtent l="0" t="0" r="444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am paper figure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5455" cy="3578860"/>
                    </a:xfrm>
                    <a:prstGeom prst="rect">
                      <a:avLst/>
                    </a:prstGeom>
                  </pic:spPr>
                </pic:pic>
              </a:graphicData>
            </a:graphic>
            <wp14:sizeRelH relativeFrom="page">
              <wp14:pctWidth>0</wp14:pctWidth>
            </wp14:sizeRelH>
            <wp14:sizeRelV relativeFrom="page">
              <wp14:pctHeight>0</wp14:pctHeight>
            </wp14:sizeRelV>
          </wp:anchor>
        </w:drawing>
      </w:r>
      <w:r w:rsidR="00506BDD" w:rsidRPr="00B30A4C">
        <w:rPr>
          <w:vertAlign w:val="superscript"/>
        </w:rPr>
        <w:t>a</w:t>
      </w:r>
      <w:r w:rsidR="00506BDD" w:rsidRPr="00B30A4C">
        <w:t xml:space="preserve"> In water. Reaction conditions: Cyrene (97.6 mMol), base (4.87 mMol) and ethanol were heated to 1</w:t>
      </w:r>
      <w:r w:rsidR="00506BDD">
        <w:t>2</w:t>
      </w:r>
      <w:r w:rsidR="00506BDD" w:rsidRPr="00B30A4C">
        <w:t>0 ◦C</w:t>
      </w:r>
      <w:r w:rsidR="00506BDD">
        <w:t xml:space="preserve"> for 40 minutes</w:t>
      </w:r>
      <w:r w:rsidR="00506BDD" w:rsidRPr="00B30A4C">
        <w:t>. N/A indicates that this base is not present in the GSK acid-base reagent guide, however, CaCO</w:t>
      </w:r>
      <w:r w:rsidR="00506BDD" w:rsidRPr="00B30A4C">
        <w:rPr>
          <w:vertAlign w:val="subscript"/>
        </w:rPr>
        <w:t xml:space="preserve">3 </w:t>
      </w:r>
      <w:r w:rsidR="00506BDD" w:rsidRPr="00B30A4C">
        <w:t>is likely to be a green base.</w:t>
      </w:r>
    </w:p>
    <w:p w:rsidR="00506BDD" w:rsidRDefault="00506BDD" w:rsidP="004E3E12">
      <w:pPr>
        <w:pStyle w:val="RSCB02ArticleText"/>
      </w:pPr>
    </w:p>
    <w:p w:rsidR="00C73428" w:rsidRDefault="001941AA" w:rsidP="004E3E12">
      <w:pPr>
        <w:pStyle w:val="RSCB02ArticleText"/>
      </w:pPr>
      <w:r w:rsidRPr="00B30A4C">
        <w:t>GC-FID showed no conversion after 40 minutes for the two organic bases</w:t>
      </w:r>
      <w:r w:rsidR="008F4107" w:rsidRPr="00B30A4C">
        <w:t xml:space="preserve"> (entries 1 and 2, table 1)</w:t>
      </w:r>
      <w:r w:rsidRPr="00B30A4C">
        <w:t xml:space="preserve">. </w:t>
      </w:r>
      <w:r w:rsidR="007C621A" w:rsidRPr="007C621A">
        <w:t>Neither organic bases employed catalysed the reaction, this is particularly interesting in the case of triethylamine which has a similar pKa to potassium carbonate, which does result in the formation of the Aldol product</w:t>
      </w:r>
      <w:r w:rsidR="007C621A">
        <w:t xml:space="preserve"> (table 1)</w:t>
      </w:r>
      <w:r w:rsidR="007C621A" w:rsidRPr="007C621A">
        <w:t>. The reason for this result is currently unknown but is consistent with previously reported studies</w:t>
      </w:r>
      <w:r w:rsidR="007C621A" w:rsidRPr="00B30A4C">
        <w:t>.</w:t>
      </w:r>
      <w:r w:rsidR="007C621A" w:rsidRPr="00B30A4C">
        <w:rPr>
          <w:vertAlign w:val="superscript"/>
        </w:rPr>
        <w:t>4</w:t>
      </w:r>
      <w:r w:rsidR="007C621A">
        <w:t xml:space="preserve"> </w:t>
      </w:r>
      <w:r w:rsidRPr="00B30A4C">
        <w:t xml:space="preserve">No </w:t>
      </w:r>
      <w:r w:rsidR="008F4107" w:rsidRPr="00B30A4C">
        <w:t xml:space="preserve">solid </w:t>
      </w:r>
      <w:r w:rsidRPr="00B30A4C">
        <w:t>product was</w:t>
      </w:r>
      <w:r w:rsidR="008F4107" w:rsidRPr="00B30A4C">
        <w:t xml:space="preserve"> observed </w:t>
      </w:r>
      <w:r w:rsidRPr="00B30A4C">
        <w:t>from the reaction using potassium acetate</w:t>
      </w:r>
      <w:r w:rsidR="00E73F1B">
        <w:t xml:space="preserve"> </w:t>
      </w:r>
      <w:r w:rsidR="008F4107" w:rsidRPr="00B30A4C">
        <w:t>however</w:t>
      </w:r>
      <w:r w:rsidR="003C7C78">
        <w:t>,</w:t>
      </w:r>
      <w:r w:rsidR="008F4107" w:rsidRPr="00B30A4C">
        <w:t xml:space="preserve"> </w:t>
      </w:r>
      <w:r w:rsidR="003C7C78" w:rsidRPr="00B30A4C">
        <w:t xml:space="preserve">GC-FID </w:t>
      </w:r>
      <w:r w:rsidR="008F4107" w:rsidRPr="00B30A4C">
        <w:t>indicated</w:t>
      </w:r>
      <w:r w:rsidR="001D1D47" w:rsidRPr="00B30A4C">
        <w:t xml:space="preserve"> </w:t>
      </w:r>
      <w:r w:rsidR="00905752" w:rsidRPr="00B30A4C">
        <w:t>the</w:t>
      </w:r>
      <w:r w:rsidRPr="00B30A4C">
        <w:t xml:space="preserve"> initial signs of conversion </w:t>
      </w:r>
      <w:r w:rsidR="008F4107" w:rsidRPr="00B30A4C">
        <w:t>(entry 3, table 1)</w:t>
      </w:r>
      <w:r w:rsidRPr="00B30A4C">
        <w:t>. Calcium carbonate was also unsuccessful in catalysing this reaction</w:t>
      </w:r>
      <w:r w:rsidR="00DD4B9F" w:rsidRPr="00B30A4C">
        <w:t>, although the stronger base</w:t>
      </w:r>
      <w:r w:rsidRPr="00B30A4C">
        <w:t xml:space="preserve"> </w:t>
      </w:r>
      <w:r w:rsidR="00DD4B9F" w:rsidRPr="00B30A4C">
        <w:t>p</w:t>
      </w:r>
      <w:r w:rsidRPr="00B30A4C">
        <w:t>otassium carbonate produced the lowest yield of the successful inorganic bases</w:t>
      </w:r>
      <w:r w:rsidR="00DD4B9F" w:rsidRPr="00B30A4C">
        <w:t xml:space="preserve"> (entries 4 and 5, table 1)</w:t>
      </w:r>
      <w:r w:rsidRPr="00B30A4C">
        <w:t xml:space="preserve">. </w:t>
      </w:r>
      <w:r w:rsidR="00026F2F">
        <w:t xml:space="preserve">Previous studies did indicate the presence of the </w:t>
      </w:r>
      <w:r w:rsidR="00026F2F" w:rsidRPr="00B30A4C">
        <w:t>Cyrene self-Aldol condensation product</w:t>
      </w:r>
      <w:r w:rsidR="00026F2F">
        <w:t xml:space="preserve"> when reacting </w:t>
      </w:r>
      <w:r w:rsidR="003C7C78">
        <w:t xml:space="preserve">with either </w:t>
      </w:r>
      <w:r w:rsidR="003C7C78" w:rsidRPr="00B30A4C">
        <w:t>KOAc</w:t>
      </w:r>
      <w:r w:rsidR="003C7C78">
        <w:t xml:space="preserve"> or </w:t>
      </w:r>
      <w:r w:rsidR="003C7C78" w:rsidRPr="00B30A4C">
        <w:t>CaCO</w:t>
      </w:r>
      <w:r w:rsidR="003C7C78" w:rsidRPr="00B30A4C">
        <w:rPr>
          <w:vertAlign w:val="subscript"/>
        </w:rPr>
        <w:t>3</w:t>
      </w:r>
      <w:r w:rsidR="003C7C78">
        <w:rPr>
          <w:vertAlign w:val="subscript"/>
        </w:rPr>
        <w:t xml:space="preserve"> </w:t>
      </w:r>
      <w:r w:rsidR="00026F2F">
        <w:t xml:space="preserve">for 8 hours at 100 °C, however no </w:t>
      </w:r>
      <w:r w:rsidR="003C7C78">
        <w:t xml:space="preserve">% </w:t>
      </w:r>
      <w:r w:rsidR="00026F2F">
        <w:t>yields were reported.</w:t>
      </w:r>
      <w:r w:rsidR="00026F2F" w:rsidRPr="00E73F1B">
        <w:rPr>
          <w:vertAlign w:val="superscript"/>
        </w:rPr>
        <w:t>4</w:t>
      </w:r>
      <w:r w:rsidR="00026F2F">
        <w:t xml:space="preserve"> It is likely that the shorter reaction times of 40 minutes used</w:t>
      </w:r>
      <w:r w:rsidR="00292054">
        <w:t xml:space="preserve"> in</w:t>
      </w:r>
      <w:r w:rsidR="00026F2F">
        <w:t xml:space="preserve"> this current study were not long enough to generate any product with these weaker inorganic bases. </w:t>
      </w:r>
      <w:r w:rsidR="002D79E8">
        <w:t xml:space="preserve">Inorganic bases with a </w:t>
      </w:r>
      <w:r w:rsidR="002D79E8" w:rsidRPr="00B30A4C">
        <w:t>pKa</w:t>
      </w:r>
      <w:r w:rsidR="002D79E8" w:rsidRPr="00B30A4C">
        <w:rPr>
          <w:vertAlign w:val="superscript"/>
        </w:rPr>
        <w:t>a</w:t>
      </w:r>
      <w:r w:rsidR="002D79E8">
        <w:rPr>
          <w:vertAlign w:val="superscript"/>
        </w:rPr>
        <w:t xml:space="preserve"> </w:t>
      </w:r>
      <w:r w:rsidR="002D79E8">
        <w:t xml:space="preserve">over 10 all led to the formation of </w:t>
      </w:r>
      <w:r w:rsidR="002D79E8" w:rsidRPr="00B30A4C">
        <w:t>self-Aldol condensation product</w:t>
      </w:r>
      <w:r w:rsidR="002D79E8">
        <w:t xml:space="preserve"> after 40 minutes (table 1). </w:t>
      </w:r>
      <w:r w:rsidRPr="00B30A4C">
        <w:t xml:space="preserve">The remaining bases performed comparatively well, with </w:t>
      </w:r>
      <w:r w:rsidR="00E52FC4" w:rsidRPr="00B30A4C">
        <w:t>K</w:t>
      </w:r>
      <w:r w:rsidR="00E52FC4" w:rsidRPr="00B30A4C">
        <w:rPr>
          <w:vertAlign w:val="subscript"/>
        </w:rPr>
        <w:t>3</w:t>
      </w:r>
      <w:r w:rsidR="00E52FC4" w:rsidRPr="00B30A4C">
        <w:t>PO</w:t>
      </w:r>
      <w:r w:rsidR="00E52FC4" w:rsidRPr="00B30A4C">
        <w:rPr>
          <w:vertAlign w:val="subscript"/>
        </w:rPr>
        <w:t>4</w:t>
      </w:r>
      <w:r w:rsidRPr="00B30A4C">
        <w:t xml:space="preserve"> </w:t>
      </w:r>
      <w:r w:rsidR="005E5A4A" w:rsidRPr="00B30A4C">
        <w:t xml:space="preserve">and </w:t>
      </w:r>
      <w:r w:rsidR="005E5A4A" w:rsidRPr="00B30A4C">
        <w:rPr>
          <w:i/>
        </w:rPr>
        <w:t>t</w:t>
      </w:r>
      <w:r w:rsidR="005E5A4A" w:rsidRPr="00B30A4C">
        <w:t xml:space="preserve">-BuOK </w:t>
      </w:r>
      <w:r w:rsidRPr="00B30A4C">
        <w:t>giving essentially the same conversion</w:t>
      </w:r>
      <w:r w:rsidR="005E5A4A" w:rsidRPr="00B30A4C">
        <w:t xml:space="preserve"> although the latter</w:t>
      </w:r>
      <w:r w:rsidRPr="00B30A4C">
        <w:t xml:space="preserve"> reached completion within 20 minutes. </w:t>
      </w:r>
      <w:r w:rsidR="005E5A4A" w:rsidRPr="00B30A4C">
        <w:t xml:space="preserve">In order to </w:t>
      </w:r>
      <w:r w:rsidR="00273D48" w:rsidRPr="00B30A4C">
        <w:t>determine</w:t>
      </w:r>
      <w:r w:rsidR="005E5A4A" w:rsidRPr="00B30A4C">
        <w:t xml:space="preserve"> which base to carry forward, the </w:t>
      </w:r>
      <w:r w:rsidRPr="00B30A4C">
        <w:t>greenness and safety of the two</w:t>
      </w:r>
      <w:r w:rsidR="005E5A4A" w:rsidRPr="00B30A4C">
        <w:t xml:space="preserve"> were </w:t>
      </w:r>
      <w:r w:rsidR="00905752" w:rsidRPr="00B30A4C">
        <w:t>considered</w:t>
      </w:r>
      <w:r w:rsidRPr="00B30A4C">
        <w:t xml:space="preserve">. </w:t>
      </w:r>
      <w:r w:rsidR="00AF23CE" w:rsidRPr="00B30A4C">
        <w:t xml:space="preserve">Applying the GSK acid-base selection guide, </w:t>
      </w:r>
      <w:r w:rsidR="008B6E66">
        <w:t>p</w:t>
      </w:r>
      <w:r w:rsidRPr="00B30A4C">
        <w:t xml:space="preserve">otassium </w:t>
      </w:r>
      <w:r w:rsidRPr="00B30A4C">
        <w:rPr>
          <w:i/>
        </w:rPr>
        <w:t>ter</w:t>
      </w:r>
      <w:r w:rsidR="00353B84" w:rsidRPr="00B30A4C">
        <w:rPr>
          <w:i/>
        </w:rPr>
        <w:t>t</w:t>
      </w:r>
      <w:r w:rsidR="00353B84" w:rsidRPr="00B30A4C">
        <w:t xml:space="preserve">-butoxide scores lower than </w:t>
      </w:r>
      <w:r w:rsidRPr="00B30A4C">
        <w:lastRenderedPageBreak/>
        <w:t xml:space="preserve">potassium-phosphate in </w:t>
      </w:r>
      <w:r w:rsidR="005E5A4A" w:rsidRPr="00B30A4C">
        <w:t xml:space="preserve">both </w:t>
      </w:r>
      <w:r w:rsidRPr="00B30A4C">
        <w:t>EHS and greenness categories</w:t>
      </w:r>
      <w:r w:rsidR="00F56F38" w:rsidRPr="00B30A4C">
        <w:t xml:space="preserve">, it is also </w:t>
      </w:r>
      <w:r w:rsidRPr="00B30A4C">
        <w:t>highly flammable a</w:t>
      </w:r>
      <w:r w:rsidR="00DF47A7" w:rsidRPr="00B30A4C">
        <w:t>nd can cause severe skin burns.</w:t>
      </w:r>
      <w:r w:rsidR="000153AC" w:rsidRPr="00B30A4C">
        <w:rPr>
          <w:vertAlign w:val="superscript"/>
        </w:rPr>
        <w:t>9</w:t>
      </w:r>
      <w:r w:rsidR="00DF47A7" w:rsidRPr="00B30A4C">
        <w:t xml:space="preserve"> </w:t>
      </w:r>
    </w:p>
    <w:p w:rsidR="004E3E12" w:rsidRDefault="00C73428" w:rsidP="004E3E12">
      <w:pPr>
        <w:pStyle w:val="RSCB02ArticleText"/>
      </w:pPr>
      <w:r>
        <w:tab/>
      </w:r>
      <w:r w:rsidR="00DA77A6" w:rsidRPr="00DA77A6">
        <w:t>K</w:t>
      </w:r>
      <w:r w:rsidR="00DA77A6" w:rsidRPr="0086075E">
        <w:rPr>
          <w:vertAlign w:val="subscript"/>
        </w:rPr>
        <w:t>3</w:t>
      </w:r>
      <w:r w:rsidR="00DA77A6" w:rsidRPr="00DA77A6">
        <w:t>PO</w:t>
      </w:r>
      <w:r w:rsidR="00DA77A6" w:rsidRPr="0086075E">
        <w:rPr>
          <w:vertAlign w:val="subscript"/>
        </w:rPr>
        <w:t>4</w:t>
      </w:r>
      <w:r w:rsidR="00DA77A6" w:rsidRPr="00DA77A6">
        <w:t xml:space="preserve"> is a strong inorganic base (pKa = 12.32</w:t>
      </w:r>
      <w:r w:rsidR="00DA77A6">
        <w:t>, Table 1</w:t>
      </w:r>
      <w:r w:rsidR="00DA77A6" w:rsidRPr="00DA77A6">
        <w:t>), but, is cruci</w:t>
      </w:r>
      <w:r w:rsidR="00DA77A6">
        <w:t>ally non-toxic, inexpensive,</w:t>
      </w:r>
      <w:r w:rsidR="00DA77A6" w:rsidRPr="00DA77A6">
        <w:t xml:space="preserve"> commercially available</w:t>
      </w:r>
      <w:r w:rsidR="0086669D">
        <w:t>,</w:t>
      </w:r>
      <w:r w:rsidR="00DA77A6" w:rsidRPr="00DA77A6">
        <w:t xml:space="preserve"> soluble in many organic solvents</w:t>
      </w:r>
      <w:r w:rsidR="00DA77A6">
        <w:t xml:space="preserve"> and</w:t>
      </w:r>
      <w:r w:rsidR="00DA77A6" w:rsidRPr="00DA77A6">
        <w:t xml:space="preserve"> has a</w:t>
      </w:r>
      <w:r w:rsidR="00DA77A6">
        <w:t xml:space="preserve"> high decomposition temperature.  </w:t>
      </w:r>
      <w:r w:rsidR="00DA77A6" w:rsidRPr="00DA77A6">
        <w:t>K</w:t>
      </w:r>
      <w:r w:rsidR="00DA77A6" w:rsidRPr="0086075E">
        <w:rPr>
          <w:vertAlign w:val="subscript"/>
        </w:rPr>
        <w:t>3</w:t>
      </w:r>
      <w:r w:rsidR="00DA77A6" w:rsidRPr="00DA77A6">
        <w:t>PO</w:t>
      </w:r>
      <w:r w:rsidR="00DA77A6" w:rsidRPr="0086075E">
        <w:rPr>
          <w:vertAlign w:val="subscript"/>
        </w:rPr>
        <w:t>4</w:t>
      </w:r>
      <w:r w:rsidR="00DA77A6" w:rsidRPr="00DA77A6">
        <w:t xml:space="preserve"> </w:t>
      </w:r>
      <w:r w:rsidR="00292054">
        <w:t>ha</w:t>
      </w:r>
      <w:r w:rsidR="00DA77A6" w:rsidRPr="00DA77A6">
        <w:t>s also been utilised as a non-nucleophilic base in several reactions.</w:t>
      </w:r>
      <w:r w:rsidR="00FA451F" w:rsidRPr="0086075E">
        <w:rPr>
          <w:vertAlign w:val="superscript"/>
        </w:rPr>
        <w:t>10</w:t>
      </w:r>
      <w:r w:rsidR="00DA77A6" w:rsidRPr="00DA77A6">
        <w:t xml:space="preserve"> The choice of K</w:t>
      </w:r>
      <w:r w:rsidR="00DA77A6" w:rsidRPr="0086075E">
        <w:rPr>
          <w:vertAlign w:val="subscript"/>
        </w:rPr>
        <w:t>3</w:t>
      </w:r>
      <w:r w:rsidR="00DA77A6" w:rsidRPr="00DA77A6">
        <w:t>PO</w:t>
      </w:r>
      <w:r w:rsidR="00DA77A6" w:rsidRPr="0086075E">
        <w:rPr>
          <w:vertAlign w:val="subscript"/>
        </w:rPr>
        <w:t>4</w:t>
      </w:r>
      <w:r w:rsidR="00DA77A6" w:rsidRPr="00DA77A6">
        <w:t xml:space="preserve"> as a “green” base was based on several factors including those highlighted i</w:t>
      </w:r>
      <w:r w:rsidR="004E3E12">
        <w:t>n GSK</w:t>
      </w:r>
      <w:r w:rsidR="004E3E12" w:rsidRPr="00B30A4C">
        <w:t xml:space="preserve"> acid-base selection guide</w:t>
      </w:r>
      <w:r w:rsidR="004E3E12">
        <w:t>.</w:t>
      </w:r>
      <w:r w:rsidR="004E3E12" w:rsidRPr="0086075E">
        <w:rPr>
          <w:vertAlign w:val="superscript"/>
        </w:rPr>
        <w:t>9</w:t>
      </w:r>
      <w:r w:rsidR="004E3E12">
        <w:t xml:space="preserve"> These included having favourable scores for</w:t>
      </w:r>
      <w:r w:rsidR="00DA77A6" w:rsidRPr="00DA77A6">
        <w:t xml:space="preserve"> EHS, clean synthesis and greenness.     On completion of the reaction the base can be washed out of the product using water.  </w:t>
      </w:r>
      <w:r w:rsidR="004E3E12">
        <w:t>Importantly, th</w:t>
      </w:r>
      <w:r w:rsidR="00DA77A6" w:rsidRPr="00DA77A6">
        <w:t>e recovered base could potentially be recy</w:t>
      </w:r>
      <w:r w:rsidR="004E3E12">
        <w:t>cled within the reaction or utilised</w:t>
      </w:r>
      <w:r w:rsidR="00DA77A6" w:rsidRPr="00DA77A6">
        <w:t xml:space="preserve"> for further downstream applications including i</w:t>
      </w:r>
      <w:r w:rsidR="004E3E12">
        <w:t>t</w:t>
      </w:r>
      <w:r w:rsidR="00DA77A6" w:rsidRPr="00DA77A6">
        <w:t xml:space="preserve">s use a fertilisers. </w:t>
      </w:r>
      <w:r w:rsidR="001941AA" w:rsidRPr="00B30A4C">
        <w:t xml:space="preserve">Therefore, although </w:t>
      </w:r>
      <w:r w:rsidR="001941AA" w:rsidRPr="00B30A4C">
        <w:rPr>
          <w:i/>
        </w:rPr>
        <w:t>t</w:t>
      </w:r>
      <w:r w:rsidR="001941AA" w:rsidRPr="00B30A4C">
        <w:t>-BuOK catalyses the reaction</w:t>
      </w:r>
      <w:r w:rsidR="005E5A4A" w:rsidRPr="00B30A4C">
        <w:t xml:space="preserve"> at a greater rate</w:t>
      </w:r>
      <w:r w:rsidR="001941AA" w:rsidRPr="00B30A4C">
        <w:t xml:space="preserve">, </w:t>
      </w:r>
      <w:r w:rsidR="00E52FC4" w:rsidRPr="00B30A4C">
        <w:t>K</w:t>
      </w:r>
      <w:r w:rsidR="00E52FC4" w:rsidRPr="00B30A4C">
        <w:rPr>
          <w:vertAlign w:val="subscript"/>
        </w:rPr>
        <w:t>3</w:t>
      </w:r>
      <w:r w:rsidR="00E52FC4" w:rsidRPr="00B30A4C">
        <w:t>PO</w:t>
      </w:r>
      <w:r w:rsidR="00E52FC4" w:rsidRPr="00B30A4C">
        <w:rPr>
          <w:vertAlign w:val="subscript"/>
        </w:rPr>
        <w:t>4</w:t>
      </w:r>
      <w:r w:rsidR="001941AA" w:rsidRPr="00B30A4C">
        <w:t xml:space="preserve"> </w:t>
      </w:r>
      <w:r w:rsidR="0000553E" w:rsidRPr="00B30A4C">
        <w:t>was selected as the optimal base to take forward</w:t>
      </w:r>
      <w:r w:rsidR="001941AA" w:rsidRPr="00B30A4C">
        <w:t xml:space="preserve">. </w:t>
      </w:r>
    </w:p>
    <w:p w:rsidR="00506BDD" w:rsidRDefault="004E3E12" w:rsidP="004E3E12">
      <w:pPr>
        <w:pStyle w:val="RSCB02ArticleText"/>
      </w:pPr>
      <w:r>
        <w:tab/>
      </w:r>
      <w:r w:rsidRPr="00B30A4C">
        <w:t>In addition to the base, it was also important to determine if a lower temperature of reaction could be applied whilst maintaining yield. The maximum temperature of reaction employed was 120 °C, as the MSDS for Cyrene advises staying below 140 °C due to potential degradation.</w:t>
      </w:r>
      <w:r w:rsidR="00FA451F">
        <w:rPr>
          <w:vertAlign w:val="superscript"/>
        </w:rPr>
        <w:t>11</w:t>
      </w:r>
      <w:r w:rsidRPr="00B30A4C">
        <w:t xml:space="preserve"> As can be seen in Figure 1A, there is a strong correlation between temperature and yield meaning one cannot be lowered without adversely affecting the other. </w:t>
      </w:r>
    </w:p>
    <w:p w:rsidR="00506BDD" w:rsidRPr="00B30A4C" w:rsidRDefault="00506BDD" w:rsidP="00506BDD">
      <w:pPr>
        <w:pStyle w:val="RSCI02FigureSchemeChartwithtopbar"/>
      </w:pPr>
      <w:r w:rsidRPr="00DD78A7">
        <w:rPr>
          <w:b/>
        </w:rPr>
        <w:t>Figure 1.</w:t>
      </w:r>
      <w:r w:rsidRPr="00B30A4C">
        <w:t xml:space="preserve"> A) Optimisation of temperature (Cyrene (97.6 mMol), </w:t>
      </w:r>
      <w:r w:rsidRPr="00B30A4C">
        <w:rPr>
          <w:rFonts w:ascii="Calibri" w:eastAsia="Times New Roman" w:hAnsi="Calibri" w:cs="Calibri"/>
          <w:color w:val="000000"/>
          <w:lang w:eastAsia="en-GB"/>
        </w:rPr>
        <w:t>K</w:t>
      </w:r>
      <w:r w:rsidRPr="00B30A4C">
        <w:rPr>
          <w:rFonts w:ascii="Calibri" w:eastAsia="Times New Roman" w:hAnsi="Calibri" w:cs="Calibri"/>
          <w:color w:val="000000"/>
          <w:vertAlign w:val="subscript"/>
          <w:lang w:eastAsia="en-GB"/>
        </w:rPr>
        <w:t>3</w:t>
      </w:r>
      <w:r w:rsidRPr="00B30A4C">
        <w:rPr>
          <w:rFonts w:ascii="Calibri" w:eastAsia="Times New Roman" w:hAnsi="Calibri" w:cs="Calibri"/>
          <w:color w:val="000000"/>
          <w:lang w:eastAsia="en-GB"/>
        </w:rPr>
        <w:t>PO</w:t>
      </w:r>
      <w:r w:rsidRPr="00B30A4C">
        <w:rPr>
          <w:rFonts w:ascii="Calibri" w:eastAsia="Times New Roman" w:hAnsi="Calibri" w:cs="Calibri"/>
          <w:color w:val="000000"/>
          <w:vertAlign w:val="subscript"/>
          <w:lang w:eastAsia="en-GB"/>
        </w:rPr>
        <w:t>4</w:t>
      </w:r>
      <w:r w:rsidRPr="00B30A4C">
        <w:t xml:space="preserve"> (4.87 mMol) and ethanol (0.5 ml)) </w:t>
      </w:r>
      <w:r>
        <w:t xml:space="preserve">for 30 minutes </w:t>
      </w:r>
      <w:r w:rsidRPr="00B30A4C">
        <w:t xml:space="preserve">and B) Optimisation of solvent ratio (Cyrene (97.6 mMol), </w:t>
      </w:r>
      <w:r w:rsidRPr="00B30A4C">
        <w:rPr>
          <w:rFonts w:ascii="Calibri" w:eastAsia="Times New Roman" w:hAnsi="Calibri" w:cs="Calibri"/>
          <w:color w:val="000000"/>
          <w:lang w:eastAsia="en-GB"/>
        </w:rPr>
        <w:t>K</w:t>
      </w:r>
      <w:r w:rsidRPr="00B30A4C">
        <w:rPr>
          <w:rFonts w:ascii="Calibri" w:eastAsia="Times New Roman" w:hAnsi="Calibri" w:cs="Calibri"/>
          <w:color w:val="000000"/>
          <w:vertAlign w:val="subscript"/>
          <w:lang w:eastAsia="en-GB"/>
        </w:rPr>
        <w:t>3</w:t>
      </w:r>
      <w:r w:rsidRPr="00B30A4C">
        <w:rPr>
          <w:rFonts w:ascii="Calibri" w:eastAsia="Times New Roman" w:hAnsi="Calibri" w:cs="Calibri"/>
          <w:color w:val="000000"/>
          <w:lang w:eastAsia="en-GB"/>
        </w:rPr>
        <w:t>PO</w:t>
      </w:r>
      <w:r w:rsidRPr="00B30A4C">
        <w:rPr>
          <w:rFonts w:ascii="Calibri" w:eastAsia="Times New Roman" w:hAnsi="Calibri" w:cs="Calibri"/>
          <w:color w:val="000000"/>
          <w:vertAlign w:val="subscript"/>
          <w:lang w:eastAsia="en-GB"/>
        </w:rPr>
        <w:t>4</w:t>
      </w:r>
      <w:r w:rsidRPr="00B30A4C">
        <w:t xml:space="preserve"> </w:t>
      </w:r>
      <w:r>
        <w:t>(</w:t>
      </w:r>
      <w:r w:rsidRPr="00B30A4C">
        <w:t>4.87 mMol) at 120 ◦C</w:t>
      </w:r>
      <w:r>
        <w:t xml:space="preserve"> for 30 minutes</w:t>
      </w:r>
      <w:r w:rsidRPr="00B30A4C">
        <w:t xml:space="preserve">. </w:t>
      </w:r>
    </w:p>
    <w:p w:rsidR="00490BE1" w:rsidRDefault="00506BDD" w:rsidP="004C6E00">
      <w:pPr>
        <w:pStyle w:val="RSCB02ArticleText"/>
      </w:pPr>
      <w:r>
        <w:tab/>
      </w:r>
    </w:p>
    <w:p w:rsidR="00490BE1" w:rsidRDefault="00490BE1" w:rsidP="004C6E00">
      <w:pPr>
        <w:pStyle w:val="RSCB02ArticleText"/>
      </w:pPr>
    </w:p>
    <w:p w:rsidR="00490BE1" w:rsidRDefault="00AC32E3" w:rsidP="00490BE1">
      <w:pPr>
        <w:pStyle w:val="RSCB02ArticleText"/>
      </w:pPr>
      <w:r>
        <w:tab/>
      </w:r>
      <w:r w:rsidR="00490BE1" w:rsidRPr="00B30A4C">
        <w:t>Finally, optimisation of the ethanol</w:t>
      </w:r>
      <w:r w:rsidR="00490BE1">
        <w:t xml:space="preserve"> co-solvent</w:t>
      </w:r>
      <w:r w:rsidR="00490BE1" w:rsidRPr="00B30A4C">
        <w:t xml:space="preserve"> to Cyrene ratio was conducted to better understand the role of the </w:t>
      </w:r>
      <w:r w:rsidR="00490BE1" w:rsidRPr="00B30A4C">
        <w:lastRenderedPageBreak/>
        <w:t xml:space="preserve">solvent. </w:t>
      </w:r>
      <w:r w:rsidR="00490BE1">
        <w:t xml:space="preserve">Importantly, </w:t>
      </w:r>
      <w:r w:rsidR="00292054">
        <w:t>C</w:t>
      </w:r>
      <w:r w:rsidR="00490BE1">
        <w:t>yrene</w:t>
      </w:r>
      <w:r w:rsidR="00490BE1" w:rsidRPr="003536E3">
        <w:t xml:space="preserve"> is actually </w:t>
      </w:r>
      <w:r w:rsidR="00490BE1">
        <w:t>both the reagent and solvent in this reaction. Cyrene has been</w:t>
      </w:r>
      <w:r w:rsidR="00490BE1" w:rsidRPr="003536E3">
        <w:t xml:space="preserve"> recognised as a bio-based </w:t>
      </w:r>
      <w:r w:rsidR="00490BE1">
        <w:t xml:space="preserve">alternative </w:t>
      </w:r>
      <w:r w:rsidR="00490BE1" w:rsidRPr="003536E3">
        <w:t xml:space="preserve">dipolar aprotic solvent, </w:t>
      </w:r>
      <w:r w:rsidR="00490BE1">
        <w:t xml:space="preserve">with </w:t>
      </w:r>
      <w:r w:rsidR="00490BE1" w:rsidRPr="003536E3">
        <w:t>similar in properties to NMP or DMF.</w:t>
      </w:r>
      <w:r w:rsidR="00490BE1" w:rsidRPr="0065261A">
        <w:rPr>
          <w:vertAlign w:val="superscript"/>
        </w:rPr>
        <w:t>1</w:t>
      </w:r>
      <w:r w:rsidR="00490BE1">
        <w:t xml:space="preserve"> </w:t>
      </w:r>
      <w:r w:rsidR="00490BE1" w:rsidRPr="003536E3">
        <w:t xml:space="preserve">High yields of the self-aldol product can </w:t>
      </w:r>
      <w:r w:rsidR="00490BE1">
        <w:t>actually be</w:t>
      </w:r>
      <w:r w:rsidR="00490BE1" w:rsidRPr="003536E3">
        <w:t xml:space="preserve"> obtained when the reaction is </w:t>
      </w:r>
      <w:r w:rsidR="00490BE1">
        <w:t xml:space="preserve">run in the absence of ethanol </w:t>
      </w:r>
      <w:r w:rsidR="00490BE1" w:rsidRPr="00B30A4C">
        <w:t>(Figure 1,B)</w:t>
      </w:r>
      <w:r w:rsidR="00490BE1">
        <w:t>.</w:t>
      </w:r>
      <w:r w:rsidR="00490BE1" w:rsidRPr="00506BDD">
        <w:t xml:space="preserve"> </w:t>
      </w:r>
      <w:r w:rsidR="00490BE1">
        <w:t xml:space="preserve">This is </w:t>
      </w:r>
      <w:r w:rsidR="00490BE1" w:rsidRPr="00B30A4C">
        <w:t>presumably due to the higher concentration of base</w:t>
      </w:r>
      <w:r w:rsidR="00490BE1">
        <w:t>,</w:t>
      </w:r>
      <w:r w:rsidR="00490BE1" w:rsidRPr="00B30A4C">
        <w:t xml:space="preserve"> resulting in a greater number of interactions between it and Cyrene.</w:t>
      </w:r>
    </w:p>
    <w:p w:rsidR="00AC32E3" w:rsidRDefault="00490BE1" w:rsidP="004C6E00">
      <w:pPr>
        <w:pStyle w:val="RSCB02ArticleText"/>
      </w:pPr>
      <w:r>
        <w:tab/>
      </w:r>
      <w:r w:rsidR="00292054">
        <w:t>In t</w:t>
      </w:r>
      <w:r w:rsidR="0057316E" w:rsidRPr="00B30A4C">
        <w:t xml:space="preserve">he absence of </w:t>
      </w:r>
      <w:r w:rsidR="00C73428">
        <w:t xml:space="preserve">any </w:t>
      </w:r>
      <w:r w:rsidR="002D79E8">
        <w:t>co-</w:t>
      </w:r>
      <w:r w:rsidR="0057316E" w:rsidRPr="00B30A4C">
        <w:t xml:space="preserve">solvent, the product quickly </w:t>
      </w:r>
      <w:r w:rsidR="000153AC" w:rsidRPr="00B30A4C">
        <w:t>degrade</w:t>
      </w:r>
      <w:r w:rsidR="00B333F7" w:rsidRPr="00B30A4C">
        <w:t>s,</w:t>
      </w:r>
      <w:r w:rsidR="000153AC" w:rsidRPr="00B30A4C">
        <w:t xml:space="preserve"> resulting in </w:t>
      </w:r>
      <w:r w:rsidR="00B333F7" w:rsidRPr="00B30A4C">
        <w:t xml:space="preserve">the formation of a </w:t>
      </w:r>
      <w:r w:rsidR="002D79E8">
        <w:t xml:space="preserve">tar and </w:t>
      </w:r>
      <w:r w:rsidR="00B333F7" w:rsidRPr="00B30A4C">
        <w:t>char</w:t>
      </w:r>
      <w:r w:rsidR="0057316E" w:rsidRPr="00B30A4C">
        <w:t xml:space="preserve">. </w:t>
      </w:r>
      <w:r w:rsidR="003536E3" w:rsidRPr="003536E3">
        <w:t xml:space="preserve">This results in extensive solvent usage to further wash and purify the </w:t>
      </w:r>
      <w:r w:rsidR="00DA77A6" w:rsidRPr="00B30A4C">
        <w:t>Cyrene self-Aldol condensation product</w:t>
      </w:r>
      <w:r w:rsidR="003536E3" w:rsidRPr="003536E3">
        <w:t xml:space="preserve">.  Such purification steps are resource and energy intensive, in addition the negative impact of potential losses of product during such processes. </w:t>
      </w:r>
      <w:r w:rsidR="0057316E" w:rsidRPr="00B30A4C">
        <w:t>The</w:t>
      </w:r>
      <w:r w:rsidR="004C6E00" w:rsidRPr="00B30A4C">
        <w:t xml:space="preserve">refore the optimal </w:t>
      </w:r>
      <w:r w:rsidR="0057316E" w:rsidRPr="00B30A4C">
        <w:t>solvent</w:t>
      </w:r>
      <w:r w:rsidR="004C6E00" w:rsidRPr="00B30A4C">
        <w:t xml:space="preserve"> ratio was</w:t>
      </w:r>
      <w:r w:rsidR="000A6987" w:rsidRPr="00B30A4C">
        <w:t xml:space="preserve"> set at</w:t>
      </w:r>
      <w:r w:rsidR="004C6E00" w:rsidRPr="00B30A4C">
        <w:t xml:space="preserve"> 0.5 mL of ethanol per</w:t>
      </w:r>
      <w:r w:rsidR="0057316E" w:rsidRPr="00B30A4C">
        <w:t xml:space="preserve"> 1 mL of Cyrene.</w:t>
      </w:r>
      <w:r w:rsidR="004C6E00" w:rsidRPr="00B30A4C">
        <w:t xml:space="preserve"> </w:t>
      </w:r>
      <w:r w:rsidR="003536E3" w:rsidRPr="003536E3">
        <w:t xml:space="preserve">Ethanol was selected </w:t>
      </w:r>
      <w:r w:rsidR="003536E3">
        <w:t xml:space="preserve">as a co-solvent </w:t>
      </w:r>
      <w:r w:rsidR="003536E3" w:rsidRPr="003536E3">
        <w:t xml:space="preserve">based on a number of factors including its miscibility with </w:t>
      </w:r>
      <w:r w:rsidR="00292054">
        <w:t>C</w:t>
      </w:r>
      <w:r w:rsidR="003536E3" w:rsidRPr="003536E3">
        <w:t xml:space="preserve">yrene, green credentials as a bio-based solvent, cost, and importantly, at the ratio of </w:t>
      </w:r>
      <w:r w:rsidR="00292054">
        <w:t>C</w:t>
      </w:r>
      <w:r w:rsidR="003536E3" w:rsidRPr="003536E3">
        <w:t xml:space="preserve">yrene to ethanol </w:t>
      </w:r>
      <w:r w:rsidR="003536E3">
        <w:t xml:space="preserve">it </w:t>
      </w:r>
      <w:r w:rsidR="003536E3" w:rsidRPr="003536E3">
        <w:t xml:space="preserve">had no negative impact on the solubility of the bases.  </w:t>
      </w:r>
      <w:r w:rsidR="003536E3">
        <w:t>Another suitable solvent</w:t>
      </w:r>
      <w:r w:rsidR="003536E3" w:rsidRPr="003536E3">
        <w:t xml:space="preserve"> tested included methanol however, ethanol was selected based on its</w:t>
      </w:r>
      <w:r w:rsidR="003536E3">
        <w:t xml:space="preserve"> bio-based greener credentials</w:t>
      </w:r>
      <w:r w:rsidR="003536E3" w:rsidRPr="003536E3">
        <w:t>.</w:t>
      </w:r>
      <w:r w:rsidR="004C6E00" w:rsidRPr="00B30A4C">
        <w:tab/>
      </w:r>
    </w:p>
    <w:p w:rsidR="004C6E00" w:rsidRPr="00B30A4C" w:rsidRDefault="00AC32E3" w:rsidP="004C6E00">
      <w:pPr>
        <w:pStyle w:val="RSCB02ArticleText"/>
      </w:pPr>
      <w:r>
        <w:tab/>
      </w:r>
      <w:r w:rsidR="001941AA" w:rsidRPr="00B30A4C">
        <w:t xml:space="preserve">The </w:t>
      </w:r>
      <w:r w:rsidR="006D5E8A" w:rsidRPr="00B30A4C">
        <w:t>K</w:t>
      </w:r>
      <w:r w:rsidR="006D5E8A" w:rsidRPr="00B30A4C">
        <w:rPr>
          <w:vertAlign w:val="subscript"/>
        </w:rPr>
        <w:t>3</w:t>
      </w:r>
      <w:r w:rsidR="006D5E8A" w:rsidRPr="00B30A4C">
        <w:t>PO</w:t>
      </w:r>
      <w:r w:rsidR="006D5E8A" w:rsidRPr="00B30A4C">
        <w:rPr>
          <w:vertAlign w:val="subscript"/>
        </w:rPr>
        <w:t xml:space="preserve">4 </w:t>
      </w:r>
      <w:r w:rsidR="006D5E8A" w:rsidRPr="00B30A4C">
        <w:t xml:space="preserve">catalysed </w:t>
      </w:r>
      <w:r w:rsidR="001941AA" w:rsidRPr="00B30A4C">
        <w:t>self-aldol condensation of Cyrene</w:t>
      </w:r>
      <w:r w:rsidR="006D5E8A" w:rsidRPr="00B30A4C">
        <w:t xml:space="preserve"> at 120 </w:t>
      </w:r>
      <w:r w:rsidR="006D5E8A" w:rsidRPr="00B30A4C">
        <w:rPr>
          <w:rFonts w:cstheme="minorHAnsi"/>
        </w:rPr>
        <w:t>°</w:t>
      </w:r>
      <w:r w:rsidR="006D5E8A" w:rsidRPr="00B30A4C">
        <w:t xml:space="preserve">C and 0.5 vol/vol of ethanol gave </w:t>
      </w:r>
      <w:r w:rsidR="001941AA" w:rsidRPr="00B30A4C">
        <w:t>product</w:t>
      </w:r>
      <w:r w:rsidR="006D5E8A" w:rsidRPr="00B30A4C">
        <w:t xml:space="preserve"> with a</w:t>
      </w:r>
      <w:r w:rsidR="002D79E8">
        <w:t>n</w:t>
      </w:r>
      <w:r w:rsidR="006D5E8A" w:rsidRPr="00B30A4C">
        <w:t xml:space="preserve"> </w:t>
      </w:r>
      <w:r w:rsidR="00AD0D92" w:rsidRPr="00B30A4C">
        <w:t xml:space="preserve">isolated </w:t>
      </w:r>
      <w:r w:rsidR="00DB18EE" w:rsidRPr="00B30A4C">
        <w:t>yield of 81.3</w:t>
      </w:r>
      <w:r w:rsidR="001941AA" w:rsidRPr="00B30A4C">
        <w:t>%</w:t>
      </w:r>
      <w:r w:rsidR="00AD0D92" w:rsidRPr="00B30A4C">
        <w:t>.</w:t>
      </w:r>
      <w:r w:rsidR="001941AA" w:rsidRPr="00B30A4C">
        <w:t xml:space="preserve"> The reaction was completed within a short time (40 min) and with the minimum amount of solvent required. </w:t>
      </w:r>
      <w:r w:rsidR="00DB18EE" w:rsidRPr="00B30A4C">
        <w:t>This reaction time was a considerable improvement over the previous reported synthesis of this molecule (</w:t>
      </w:r>
      <w:r w:rsidR="00150D15" w:rsidRPr="00B30A4C">
        <w:t>previously 8 hours heating in a microwave was reported</w:t>
      </w:r>
      <w:r w:rsidR="00DB18EE" w:rsidRPr="00B30A4C">
        <w:t>).</w:t>
      </w:r>
      <w:r w:rsidR="00353B84" w:rsidRPr="00B30A4C">
        <w:rPr>
          <w:vertAlign w:val="superscript"/>
        </w:rPr>
        <w:t>4</w:t>
      </w:r>
      <w:r w:rsidR="00DB18EE" w:rsidRPr="00B30A4C">
        <w:t xml:space="preserve"> </w:t>
      </w:r>
      <w:r w:rsidR="001941AA" w:rsidRPr="00B30A4C">
        <w:t>The product was characteris</w:t>
      </w:r>
      <w:r w:rsidR="006D5E8A" w:rsidRPr="00B30A4C">
        <w:t>ed</w:t>
      </w:r>
      <w:r w:rsidR="001941AA" w:rsidRPr="00B30A4C">
        <w:t xml:space="preserve"> by </w:t>
      </w:r>
      <w:r w:rsidR="001941AA" w:rsidRPr="00B30A4C">
        <w:rPr>
          <w:vertAlign w:val="superscript"/>
        </w:rPr>
        <w:t>1</w:t>
      </w:r>
      <w:r w:rsidR="001941AA" w:rsidRPr="00B30A4C">
        <w:t xml:space="preserve">H and </w:t>
      </w:r>
      <w:r w:rsidR="001941AA" w:rsidRPr="00B30A4C">
        <w:rPr>
          <w:vertAlign w:val="superscript"/>
        </w:rPr>
        <w:t>13</w:t>
      </w:r>
      <w:r w:rsidR="001941AA" w:rsidRPr="00B30A4C">
        <w:t xml:space="preserve">C NMR spectroscopy, GC-FID, GC-MS and IR spectroscopy (See </w:t>
      </w:r>
      <w:r w:rsidR="00DB18EE" w:rsidRPr="00B30A4C">
        <w:t xml:space="preserve">Electronic </w:t>
      </w:r>
      <w:r w:rsidR="001941AA" w:rsidRPr="00B30A4C">
        <w:t>supporting information</w:t>
      </w:r>
      <w:r w:rsidR="00DB18EE" w:rsidRPr="00B30A4C">
        <w:t>)</w:t>
      </w:r>
      <w:r w:rsidR="001941AA" w:rsidRPr="00B30A4C">
        <w:t>.</w:t>
      </w:r>
      <w:r w:rsidR="00C3258D">
        <w:t xml:space="preserve"> </w:t>
      </w:r>
      <w:r w:rsidR="00C3258D" w:rsidRPr="00C3258D">
        <w:t xml:space="preserve">Additional experiments </w:t>
      </w:r>
      <w:r w:rsidR="00C3258D">
        <w:t>were undertaken in a pre</w:t>
      </w:r>
      <w:r w:rsidR="00C3258D" w:rsidRPr="00C3258D">
        <w:t xml:space="preserve">ssure reactor </w:t>
      </w:r>
      <w:r w:rsidR="00C3258D" w:rsidRPr="00B30A4C">
        <w:t xml:space="preserve">at 120 </w:t>
      </w:r>
      <w:r w:rsidR="00C3258D" w:rsidRPr="00B30A4C">
        <w:rPr>
          <w:rFonts w:cstheme="minorHAnsi"/>
        </w:rPr>
        <w:t>°</w:t>
      </w:r>
      <w:r w:rsidR="00C3258D">
        <w:t xml:space="preserve">C for </w:t>
      </w:r>
      <w:r w:rsidR="00C3258D" w:rsidRPr="00C3258D">
        <w:t>40 minutes</w:t>
      </w:r>
      <w:r w:rsidR="00C3258D">
        <w:t xml:space="preserve">, however, </w:t>
      </w:r>
      <w:r w:rsidR="00C3258D" w:rsidRPr="00C3258D">
        <w:t xml:space="preserve">these demonstrated comparable yields to those undertaken at ambient pressure </w:t>
      </w:r>
      <w:r w:rsidR="00C3258D">
        <w:t>over the same time</w:t>
      </w:r>
      <w:r w:rsidR="00C3258D" w:rsidRPr="00C3258D">
        <w:t xml:space="preserve">. </w:t>
      </w:r>
      <w:r w:rsidR="00DB18EE" w:rsidRPr="00B30A4C">
        <w:t xml:space="preserve"> Consequently, the reaction </w:t>
      </w:r>
      <w:r w:rsidR="00C3258D">
        <w:t xml:space="preserve">at ambient pressure </w:t>
      </w:r>
      <w:r w:rsidR="00DB18EE" w:rsidRPr="00B30A4C">
        <w:t xml:space="preserve">was scaled up by a factor of 10 which had no detrimental effect on the yield or the purity (GC-FID). Recrystallisation of the product in hot acetonitrile has been shown to produce large, white crystals (see Electronic supporting information). </w:t>
      </w:r>
      <w:r w:rsidR="005276D6" w:rsidRPr="00B30A4C">
        <w:t xml:space="preserve">Other green metrics for the optimised self-aldol condensation of Cyrene indicated an atom economy of 93%, a reaction mass efficiency of 76.6% and a PMI of 2.78.  </w:t>
      </w:r>
    </w:p>
    <w:p w:rsidR="0023062A" w:rsidRPr="00B30A4C" w:rsidRDefault="001F2799" w:rsidP="0077455F">
      <w:pPr>
        <w:pStyle w:val="RSCB02ArticleText"/>
      </w:pPr>
      <w:r w:rsidRPr="00B30A4C">
        <w:tab/>
      </w:r>
      <w:r w:rsidR="000837FC" w:rsidRPr="00B30A4C">
        <w:t xml:space="preserve">Due to the ease by which Cyrene undergoes a self-Aldol condensation reaction, a range of crossed-aldol reactions </w:t>
      </w:r>
      <w:r w:rsidR="006D5E8A" w:rsidRPr="00B30A4C">
        <w:t>were attempted in order to</w:t>
      </w:r>
      <w:r w:rsidR="000837FC" w:rsidRPr="00B30A4C">
        <w:t xml:space="preserve"> design novel Cyrene based compounds. </w:t>
      </w:r>
      <w:r w:rsidR="00AE76FF" w:rsidRPr="00B30A4C">
        <w:t>It was</w:t>
      </w:r>
      <w:r w:rsidR="000837FC" w:rsidRPr="00B30A4C">
        <w:t xml:space="preserve"> important</w:t>
      </w:r>
      <w:r w:rsidR="00AE76FF" w:rsidRPr="00B30A4C">
        <w:t xml:space="preserve"> to select substrates which</w:t>
      </w:r>
      <w:r w:rsidR="000837FC" w:rsidRPr="00B30A4C">
        <w:t xml:space="preserve"> facilitate</w:t>
      </w:r>
      <w:r w:rsidR="00AE76FF" w:rsidRPr="00B30A4C">
        <w:t>d</w:t>
      </w:r>
      <w:r w:rsidR="000837FC" w:rsidRPr="00B30A4C">
        <w:t xml:space="preserve"> the crossed reaction and minimise any self-condensation. To eliminate</w:t>
      </w:r>
      <w:r w:rsidR="00E52FC4" w:rsidRPr="00B30A4C">
        <w:t xml:space="preserve"> self-condensation</w:t>
      </w:r>
      <w:r w:rsidR="006D5E8A" w:rsidRPr="00B30A4C">
        <w:t>,</w:t>
      </w:r>
      <w:r w:rsidR="000837FC" w:rsidRPr="00B30A4C">
        <w:t xml:space="preserve"> the Cyrene enolate is required to be more reactive to the acceptor than</w:t>
      </w:r>
      <w:r w:rsidR="00BB3DAF" w:rsidRPr="00B30A4C">
        <w:t xml:space="preserve"> to</w:t>
      </w:r>
      <w:r w:rsidR="000837FC" w:rsidRPr="00B30A4C">
        <w:t xml:space="preserve"> another Cyrene molecule. In addition, the acceptor must not </w:t>
      </w:r>
      <w:r w:rsidR="004C6E00" w:rsidRPr="00B30A4C">
        <w:t>easily form an</w:t>
      </w:r>
      <w:r w:rsidR="000837FC" w:rsidRPr="00B30A4C">
        <w:t xml:space="preserve"> enolate and react with another acceptor or Cyrene molecule. If these conditions are not </w:t>
      </w:r>
      <w:r w:rsidR="00BB3DAF" w:rsidRPr="00B30A4C">
        <w:t>fulfilled</w:t>
      </w:r>
      <w:r w:rsidR="000837FC" w:rsidRPr="00B30A4C">
        <w:t>, a whole range of compounds can be sy</w:t>
      </w:r>
      <w:r w:rsidR="00AE76FF" w:rsidRPr="00B30A4C">
        <w:t>nthesised</w:t>
      </w:r>
      <w:r w:rsidR="000837FC" w:rsidRPr="00B30A4C">
        <w:t>.</w:t>
      </w:r>
      <w:r w:rsidR="00AE76FF" w:rsidRPr="00B30A4C">
        <w:t xml:space="preserve">  To meet these conditions, the chosen substrates must not contain any α-protons </w:t>
      </w:r>
      <w:r w:rsidR="00BB3DAF" w:rsidRPr="00B30A4C">
        <w:t xml:space="preserve">thus ensuring it does not </w:t>
      </w:r>
      <w:r w:rsidR="00AE76FF" w:rsidRPr="00B30A4C">
        <w:t>enolise and must be an aldehyde as they are more reactive than ketones. Benzaldehyde and a range of additional aryl and heteroaryl aldehydes were therefore chosen. The reaction between a ketone, such as Cyrene, and an aromatic aldehyde in a crossed aldol reaction is referred to as the Claisen-Schmidt reaction.</w:t>
      </w:r>
      <w:r w:rsidR="00FA451F">
        <w:rPr>
          <w:vertAlign w:val="superscript"/>
        </w:rPr>
        <w:t>12</w:t>
      </w:r>
      <w:r w:rsidR="0023062A" w:rsidRPr="00B30A4C">
        <w:t xml:space="preserve"> </w:t>
      </w:r>
      <w:r w:rsidR="0077455F" w:rsidRPr="00B30A4C">
        <w:t>The reactions attempted</w:t>
      </w:r>
      <w:r w:rsidR="00F946DC" w:rsidRPr="00B30A4C">
        <w:t xml:space="preserve"> with corresponding GC-conversions and isolated </w:t>
      </w:r>
      <w:r w:rsidR="0077455F" w:rsidRPr="00B30A4C">
        <w:t>yields</w:t>
      </w:r>
      <w:r w:rsidR="00144F72" w:rsidRPr="00B30A4C">
        <w:t xml:space="preserve"> </w:t>
      </w:r>
      <w:r w:rsidR="0077455F" w:rsidRPr="00B30A4C">
        <w:t xml:space="preserve">obtained are summarised in Table 2. </w:t>
      </w:r>
    </w:p>
    <w:p w:rsidR="006F66E0" w:rsidRPr="00B30A4C" w:rsidRDefault="005D1D6B" w:rsidP="006F66E0">
      <w:pPr>
        <w:pStyle w:val="RSCT01TableTitlewithtopbar"/>
      </w:pPr>
      <w:r>
        <w:rPr>
          <w:b/>
        </w:rPr>
        <w:pict>
          <v:shape id="_x0000_s1032" type="#_x0000_t75" style="position:absolute;left:0;text-align:left;margin-left:28.9pt;margin-top:24.75pt;width:183.6pt;height:70.5pt;z-index:251672576">
            <v:imagedata r:id="rId18" o:title=""/>
            <w10:wrap type="square"/>
          </v:shape>
          <o:OLEObject Type="Embed" ProgID="ChemDraw.Document.6.0" ShapeID="_x0000_s1032" DrawAspect="Content" ObjectID="_1589192868" r:id="rId19"/>
        </w:pict>
      </w:r>
      <w:r w:rsidR="006F66E0" w:rsidRPr="00DD78A7">
        <w:rPr>
          <w:b/>
        </w:rPr>
        <w:t>Table 2.</w:t>
      </w:r>
      <w:r w:rsidR="006F66E0" w:rsidRPr="00B30A4C">
        <w:t xml:space="preserve"> Claisen-Schmidt reaction between Cyrene and substrate </w:t>
      </w:r>
    </w:p>
    <w:p w:rsidR="006F66E0" w:rsidRPr="00B30A4C" w:rsidRDefault="006F66E0" w:rsidP="006F66E0">
      <w:pPr>
        <w:pStyle w:val="RSCT01TableTitlewithtopbar"/>
      </w:pPr>
    </w:p>
    <w:p w:rsidR="006F66E0" w:rsidRPr="00B30A4C" w:rsidRDefault="006F66E0" w:rsidP="006F66E0">
      <w:pPr>
        <w:pStyle w:val="RSCT01TableTitlewithtopbar"/>
      </w:pPr>
    </w:p>
    <w:p w:rsidR="006F66E0" w:rsidRPr="00B30A4C" w:rsidRDefault="006F66E0" w:rsidP="006F66E0">
      <w:pPr>
        <w:pStyle w:val="RSCT01TableTitlewithtopbar"/>
      </w:pPr>
    </w:p>
    <w:p w:rsidR="006F66E0" w:rsidRPr="00B30A4C" w:rsidRDefault="006F66E0" w:rsidP="006F66E0">
      <w:pPr>
        <w:pStyle w:val="RSCT01TableTitlewithtopbar"/>
      </w:pPr>
    </w:p>
    <w:p w:rsidR="006F66E0" w:rsidRPr="00B30A4C" w:rsidRDefault="006F66E0" w:rsidP="006F66E0">
      <w:pPr>
        <w:pStyle w:val="RSCT01TableTitlewithtopbar"/>
      </w:pPr>
    </w:p>
    <w:p w:rsidR="006F66E0" w:rsidRPr="00B30A4C" w:rsidRDefault="006F66E0" w:rsidP="006F66E0">
      <w:pPr>
        <w:pStyle w:val="RSCT01TableTitlewithtopbar"/>
      </w:pPr>
    </w:p>
    <w:tbl>
      <w:tblPr>
        <w:tblW w:w="0" w:type="auto"/>
        <w:tblInd w:w="108" w:type="dxa"/>
        <w:tblLayout w:type="fixed"/>
        <w:tblLook w:val="04A0" w:firstRow="1" w:lastRow="0" w:firstColumn="1" w:lastColumn="0" w:noHBand="0" w:noVBand="1"/>
      </w:tblPr>
      <w:tblGrid>
        <w:gridCol w:w="709"/>
        <w:gridCol w:w="2410"/>
        <w:gridCol w:w="850"/>
        <w:gridCol w:w="993"/>
      </w:tblGrid>
      <w:tr w:rsidR="00AC2F5F" w:rsidRPr="00B30A4C" w:rsidTr="00DD78A7">
        <w:trPr>
          <w:trHeight w:val="293"/>
        </w:trPr>
        <w:tc>
          <w:tcPr>
            <w:tcW w:w="709" w:type="dxa"/>
            <w:tcBorders>
              <w:left w:val="nil"/>
              <w:bottom w:val="single" w:sz="4" w:space="0" w:color="auto"/>
              <w:right w:val="nil"/>
            </w:tcBorders>
            <w:shd w:val="clear" w:color="auto" w:fill="auto"/>
            <w:noWrap/>
            <w:vAlign w:val="bottom"/>
            <w:hideMark/>
          </w:tcPr>
          <w:p w:rsidR="00AC2F5F" w:rsidRPr="00DD78A7" w:rsidRDefault="00AC2F5F" w:rsidP="00F64F08">
            <w:pPr>
              <w:pStyle w:val="RSCT03TableBody"/>
              <w:rPr>
                <w:b/>
              </w:rPr>
            </w:pPr>
            <w:r w:rsidRPr="00DD78A7">
              <w:rPr>
                <w:b/>
              </w:rPr>
              <w:t>Entry</w:t>
            </w:r>
          </w:p>
        </w:tc>
        <w:tc>
          <w:tcPr>
            <w:tcW w:w="2410" w:type="dxa"/>
            <w:tcBorders>
              <w:left w:val="nil"/>
              <w:bottom w:val="single" w:sz="4" w:space="0" w:color="auto"/>
              <w:right w:val="nil"/>
            </w:tcBorders>
            <w:shd w:val="clear" w:color="auto" w:fill="auto"/>
            <w:noWrap/>
            <w:vAlign w:val="bottom"/>
            <w:hideMark/>
          </w:tcPr>
          <w:p w:rsidR="00AC2F5F" w:rsidRPr="00DD78A7" w:rsidRDefault="00AC2F5F" w:rsidP="00F64F08">
            <w:pPr>
              <w:pStyle w:val="RSCT03TableBody"/>
              <w:rPr>
                <w:b/>
              </w:rPr>
            </w:pPr>
            <w:r w:rsidRPr="00DD78A7">
              <w:rPr>
                <w:b/>
              </w:rPr>
              <w:t>Substrate (R)</w:t>
            </w:r>
          </w:p>
        </w:tc>
        <w:tc>
          <w:tcPr>
            <w:tcW w:w="850" w:type="dxa"/>
            <w:tcBorders>
              <w:left w:val="nil"/>
              <w:bottom w:val="single" w:sz="4" w:space="0" w:color="auto"/>
              <w:right w:val="nil"/>
            </w:tcBorders>
            <w:shd w:val="clear" w:color="auto" w:fill="auto"/>
            <w:noWrap/>
            <w:vAlign w:val="bottom"/>
            <w:hideMark/>
          </w:tcPr>
          <w:p w:rsidR="00AC2F5F" w:rsidRPr="00DD78A7" w:rsidRDefault="00330FE0" w:rsidP="00F64F08">
            <w:pPr>
              <w:pStyle w:val="RSCT03TableBody"/>
              <w:rPr>
                <w:b/>
              </w:rPr>
            </w:pPr>
            <w:r w:rsidRPr="00DD78A7">
              <w:rPr>
                <w:b/>
              </w:rPr>
              <w:t xml:space="preserve">Isolated </w:t>
            </w:r>
            <w:r w:rsidR="00AC2F5F" w:rsidRPr="00DD78A7">
              <w:rPr>
                <w:b/>
              </w:rPr>
              <w:t>Yield (%)</w:t>
            </w:r>
          </w:p>
        </w:tc>
        <w:tc>
          <w:tcPr>
            <w:tcW w:w="993" w:type="dxa"/>
            <w:tcBorders>
              <w:left w:val="nil"/>
              <w:bottom w:val="single" w:sz="4" w:space="0" w:color="auto"/>
              <w:right w:val="nil"/>
            </w:tcBorders>
            <w:shd w:val="clear" w:color="auto" w:fill="auto"/>
            <w:noWrap/>
            <w:vAlign w:val="bottom"/>
            <w:hideMark/>
          </w:tcPr>
          <w:p w:rsidR="00AC2F5F" w:rsidRPr="00DD78A7" w:rsidRDefault="00AC2F5F" w:rsidP="00F64F08">
            <w:pPr>
              <w:pStyle w:val="RSCT03TableBody"/>
              <w:rPr>
                <w:b/>
              </w:rPr>
            </w:pPr>
            <w:r w:rsidRPr="00DD78A7">
              <w:rPr>
                <w:b/>
              </w:rPr>
              <w:t>GC-FID Conversion (%)</w:t>
            </w:r>
          </w:p>
        </w:tc>
      </w:tr>
      <w:tr w:rsidR="00AC2F5F" w:rsidRPr="00B30A4C" w:rsidTr="00DD78A7">
        <w:trPr>
          <w:trHeight w:val="293"/>
        </w:trPr>
        <w:tc>
          <w:tcPr>
            <w:tcW w:w="709"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1</w:t>
            </w:r>
          </w:p>
        </w:tc>
        <w:tc>
          <w:tcPr>
            <w:tcW w:w="241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Benzaldehyde</w:t>
            </w:r>
          </w:p>
        </w:tc>
        <w:tc>
          <w:tcPr>
            <w:tcW w:w="85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1.8</w:t>
            </w:r>
          </w:p>
        </w:tc>
        <w:tc>
          <w:tcPr>
            <w:tcW w:w="993"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12.3</w:t>
            </w:r>
          </w:p>
        </w:tc>
      </w:tr>
      <w:tr w:rsidR="00AC2F5F" w:rsidRPr="00B30A4C" w:rsidTr="00DD78A7">
        <w:trPr>
          <w:trHeight w:val="293"/>
        </w:trPr>
        <w:tc>
          <w:tcPr>
            <w:tcW w:w="709"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2</w:t>
            </w:r>
          </w:p>
        </w:tc>
        <w:tc>
          <w:tcPr>
            <w:tcW w:w="241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4-Cl Benzaldehyde</w:t>
            </w:r>
          </w:p>
        </w:tc>
        <w:tc>
          <w:tcPr>
            <w:tcW w:w="85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30.7</w:t>
            </w:r>
          </w:p>
        </w:tc>
        <w:tc>
          <w:tcPr>
            <w:tcW w:w="993"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85.7</w:t>
            </w:r>
          </w:p>
        </w:tc>
      </w:tr>
      <w:tr w:rsidR="00AC2F5F" w:rsidRPr="00B30A4C" w:rsidTr="00DD78A7">
        <w:trPr>
          <w:trHeight w:val="293"/>
        </w:trPr>
        <w:tc>
          <w:tcPr>
            <w:tcW w:w="709"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3</w:t>
            </w:r>
          </w:p>
        </w:tc>
        <w:tc>
          <w:tcPr>
            <w:tcW w:w="241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Salicylaldehyde</w:t>
            </w:r>
          </w:p>
        </w:tc>
        <w:tc>
          <w:tcPr>
            <w:tcW w:w="85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83.1</w:t>
            </w:r>
          </w:p>
        </w:tc>
        <w:tc>
          <w:tcPr>
            <w:tcW w:w="993"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95.0</w:t>
            </w:r>
          </w:p>
        </w:tc>
      </w:tr>
      <w:tr w:rsidR="00AC2F5F" w:rsidRPr="00B30A4C" w:rsidTr="00DD78A7">
        <w:trPr>
          <w:trHeight w:val="293"/>
        </w:trPr>
        <w:tc>
          <w:tcPr>
            <w:tcW w:w="709"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4</w:t>
            </w:r>
          </w:p>
        </w:tc>
        <w:tc>
          <w:tcPr>
            <w:tcW w:w="241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Furfural</w:t>
            </w:r>
          </w:p>
        </w:tc>
        <w:tc>
          <w:tcPr>
            <w:tcW w:w="85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63.2</w:t>
            </w:r>
          </w:p>
        </w:tc>
        <w:tc>
          <w:tcPr>
            <w:tcW w:w="993"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94.9</w:t>
            </w:r>
          </w:p>
        </w:tc>
      </w:tr>
      <w:tr w:rsidR="00AC2F5F" w:rsidRPr="00B30A4C" w:rsidTr="00DD78A7">
        <w:trPr>
          <w:trHeight w:val="293"/>
        </w:trPr>
        <w:tc>
          <w:tcPr>
            <w:tcW w:w="709"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5</w:t>
            </w:r>
          </w:p>
        </w:tc>
        <w:tc>
          <w:tcPr>
            <w:tcW w:w="241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2-Thiophene Carboxaldehyde</w:t>
            </w:r>
          </w:p>
        </w:tc>
        <w:tc>
          <w:tcPr>
            <w:tcW w:w="85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77.3</w:t>
            </w:r>
          </w:p>
        </w:tc>
        <w:tc>
          <w:tcPr>
            <w:tcW w:w="993"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97.7</w:t>
            </w:r>
          </w:p>
        </w:tc>
      </w:tr>
      <w:tr w:rsidR="00AC2F5F" w:rsidRPr="00B30A4C" w:rsidTr="00DD78A7">
        <w:trPr>
          <w:trHeight w:val="293"/>
        </w:trPr>
        <w:tc>
          <w:tcPr>
            <w:tcW w:w="709"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6</w:t>
            </w:r>
          </w:p>
        </w:tc>
        <w:tc>
          <w:tcPr>
            <w:tcW w:w="241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Trans-Cinnamaldehyde</w:t>
            </w:r>
          </w:p>
        </w:tc>
        <w:tc>
          <w:tcPr>
            <w:tcW w:w="850" w:type="dxa"/>
            <w:tcBorders>
              <w:top w:val="nil"/>
              <w:left w:val="nil"/>
              <w:bottom w:val="nil"/>
              <w:right w:val="nil"/>
            </w:tcBorders>
            <w:shd w:val="clear" w:color="auto" w:fill="auto"/>
            <w:noWrap/>
            <w:vAlign w:val="center"/>
            <w:hideMark/>
          </w:tcPr>
          <w:p w:rsidR="00AC2F5F" w:rsidRPr="00B30A4C" w:rsidRDefault="00330FE0" w:rsidP="00F64F08">
            <w:pPr>
              <w:pStyle w:val="RSCT03TableBody"/>
              <w:spacing w:after="100" w:afterAutospacing="1"/>
            </w:pPr>
            <w:r w:rsidRPr="00B30A4C">
              <w:t>/</w:t>
            </w:r>
          </w:p>
        </w:tc>
        <w:tc>
          <w:tcPr>
            <w:tcW w:w="993"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19.2</w:t>
            </w:r>
          </w:p>
        </w:tc>
      </w:tr>
      <w:tr w:rsidR="00AC2F5F" w:rsidRPr="00B30A4C" w:rsidTr="00DD78A7">
        <w:trPr>
          <w:trHeight w:val="293"/>
        </w:trPr>
        <w:tc>
          <w:tcPr>
            <w:tcW w:w="709"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7</w:t>
            </w:r>
          </w:p>
        </w:tc>
        <w:tc>
          <w:tcPr>
            <w:tcW w:w="241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4-Methyl Benzaldehyde</w:t>
            </w:r>
          </w:p>
        </w:tc>
        <w:tc>
          <w:tcPr>
            <w:tcW w:w="85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40.9</w:t>
            </w:r>
          </w:p>
        </w:tc>
        <w:tc>
          <w:tcPr>
            <w:tcW w:w="993"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93.4</w:t>
            </w:r>
          </w:p>
        </w:tc>
      </w:tr>
      <w:tr w:rsidR="00AC2F5F" w:rsidRPr="00B30A4C" w:rsidTr="00DD78A7">
        <w:trPr>
          <w:trHeight w:val="293"/>
        </w:trPr>
        <w:tc>
          <w:tcPr>
            <w:tcW w:w="709"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8</w:t>
            </w:r>
          </w:p>
        </w:tc>
        <w:tc>
          <w:tcPr>
            <w:tcW w:w="241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4-Nitro Benzaldehyde</w:t>
            </w:r>
          </w:p>
        </w:tc>
        <w:tc>
          <w:tcPr>
            <w:tcW w:w="85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94.7</w:t>
            </w:r>
          </w:p>
        </w:tc>
        <w:tc>
          <w:tcPr>
            <w:tcW w:w="993"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100.0</w:t>
            </w:r>
          </w:p>
        </w:tc>
      </w:tr>
      <w:tr w:rsidR="00AC2F5F" w:rsidRPr="00B30A4C" w:rsidTr="00DD78A7">
        <w:trPr>
          <w:trHeight w:val="293"/>
        </w:trPr>
        <w:tc>
          <w:tcPr>
            <w:tcW w:w="709"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9</w:t>
            </w:r>
          </w:p>
        </w:tc>
        <w:tc>
          <w:tcPr>
            <w:tcW w:w="241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3-Nitro Benzaldehyde</w:t>
            </w:r>
          </w:p>
        </w:tc>
        <w:tc>
          <w:tcPr>
            <w:tcW w:w="85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43.8</w:t>
            </w:r>
          </w:p>
        </w:tc>
        <w:tc>
          <w:tcPr>
            <w:tcW w:w="993"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83.7</w:t>
            </w:r>
          </w:p>
        </w:tc>
      </w:tr>
      <w:tr w:rsidR="00AC2F5F" w:rsidRPr="00B30A4C" w:rsidTr="00DD78A7">
        <w:trPr>
          <w:trHeight w:val="293"/>
        </w:trPr>
        <w:tc>
          <w:tcPr>
            <w:tcW w:w="709"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10</w:t>
            </w:r>
          </w:p>
        </w:tc>
        <w:tc>
          <w:tcPr>
            <w:tcW w:w="241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2-Nitro Benzaldehyde</w:t>
            </w:r>
          </w:p>
        </w:tc>
        <w:tc>
          <w:tcPr>
            <w:tcW w:w="85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58.2</w:t>
            </w:r>
          </w:p>
        </w:tc>
        <w:tc>
          <w:tcPr>
            <w:tcW w:w="993"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62.4</w:t>
            </w:r>
          </w:p>
        </w:tc>
      </w:tr>
      <w:tr w:rsidR="00AC2F5F" w:rsidRPr="00B30A4C" w:rsidTr="00DD78A7">
        <w:trPr>
          <w:trHeight w:val="293"/>
        </w:trPr>
        <w:tc>
          <w:tcPr>
            <w:tcW w:w="709"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11</w:t>
            </w:r>
          </w:p>
        </w:tc>
        <w:tc>
          <w:tcPr>
            <w:tcW w:w="241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4-Fluoro Benzaldehyde</w:t>
            </w:r>
          </w:p>
        </w:tc>
        <w:tc>
          <w:tcPr>
            <w:tcW w:w="85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31.5</w:t>
            </w:r>
          </w:p>
        </w:tc>
        <w:tc>
          <w:tcPr>
            <w:tcW w:w="993"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NA</w:t>
            </w:r>
          </w:p>
        </w:tc>
      </w:tr>
      <w:tr w:rsidR="00AC2F5F" w:rsidRPr="00B30A4C" w:rsidTr="00DD78A7">
        <w:trPr>
          <w:trHeight w:val="293"/>
        </w:trPr>
        <w:tc>
          <w:tcPr>
            <w:tcW w:w="709"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12</w:t>
            </w:r>
          </w:p>
        </w:tc>
        <w:tc>
          <w:tcPr>
            <w:tcW w:w="241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3-Hydroxy Benzaldehyde</w:t>
            </w:r>
          </w:p>
        </w:tc>
        <w:tc>
          <w:tcPr>
            <w:tcW w:w="85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8.3</w:t>
            </w:r>
          </w:p>
        </w:tc>
        <w:tc>
          <w:tcPr>
            <w:tcW w:w="993"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77.9</w:t>
            </w:r>
          </w:p>
        </w:tc>
      </w:tr>
      <w:tr w:rsidR="00AC2F5F" w:rsidRPr="00B30A4C" w:rsidTr="00DD78A7">
        <w:trPr>
          <w:trHeight w:val="293"/>
        </w:trPr>
        <w:tc>
          <w:tcPr>
            <w:tcW w:w="709"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13</w:t>
            </w:r>
          </w:p>
        </w:tc>
        <w:tc>
          <w:tcPr>
            <w:tcW w:w="241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2-Hydroxy, 5-Nitro Benzaldehyde</w:t>
            </w:r>
          </w:p>
        </w:tc>
        <w:tc>
          <w:tcPr>
            <w:tcW w:w="85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1.2</w:t>
            </w:r>
          </w:p>
        </w:tc>
        <w:tc>
          <w:tcPr>
            <w:tcW w:w="993"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60.6</w:t>
            </w:r>
          </w:p>
        </w:tc>
      </w:tr>
      <w:tr w:rsidR="00AC2F5F" w:rsidRPr="00B30A4C" w:rsidTr="00DD78A7">
        <w:trPr>
          <w:trHeight w:val="293"/>
        </w:trPr>
        <w:tc>
          <w:tcPr>
            <w:tcW w:w="709"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14</w:t>
            </w:r>
          </w:p>
        </w:tc>
        <w:tc>
          <w:tcPr>
            <w:tcW w:w="241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4-Pyridine Carboxaldehyde</w:t>
            </w:r>
          </w:p>
        </w:tc>
        <w:tc>
          <w:tcPr>
            <w:tcW w:w="85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13.8</w:t>
            </w:r>
          </w:p>
        </w:tc>
        <w:tc>
          <w:tcPr>
            <w:tcW w:w="993"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89.7</w:t>
            </w:r>
          </w:p>
        </w:tc>
      </w:tr>
      <w:tr w:rsidR="00AC2F5F" w:rsidRPr="00B30A4C" w:rsidTr="00DD78A7">
        <w:trPr>
          <w:trHeight w:val="293"/>
        </w:trPr>
        <w:tc>
          <w:tcPr>
            <w:tcW w:w="709"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15</w:t>
            </w:r>
          </w:p>
        </w:tc>
        <w:tc>
          <w:tcPr>
            <w:tcW w:w="241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3-Pyridine Carboxaldehyde</w:t>
            </w:r>
          </w:p>
        </w:tc>
        <w:tc>
          <w:tcPr>
            <w:tcW w:w="85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2.7</w:t>
            </w:r>
          </w:p>
        </w:tc>
        <w:tc>
          <w:tcPr>
            <w:tcW w:w="993"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93.6</w:t>
            </w:r>
          </w:p>
        </w:tc>
      </w:tr>
      <w:tr w:rsidR="00AC2F5F" w:rsidRPr="00B30A4C" w:rsidTr="00DD78A7">
        <w:trPr>
          <w:trHeight w:val="293"/>
        </w:trPr>
        <w:tc>
          <w:tcPr>
            <w:tcW w:w="709"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16</w:t>
            </w:r>
          </w:p>
        </w:tc>
        <w:tc>
          <w:tcPr>
            <w:tcW w:w="241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2-Pyridine Carboxaldehyde</w:t>
            </w:r>
          </w:p>
        </w:tc>
        <w:tc>
          <w:tcPr>
            <w:tcW w:w="85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13.0</w:t>
            </w:r>
          </w:p>
        </w:tc>
        <w:tc>
          <w:tcPr>
            <w:tcW w:w="993"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91.0</w:t>
            </w:r>
          </w:p>
        </w:tc>
      </w:tr>
      <w:tr w:rsidR="00AC2F5F" w:rsidRPr="00B30A4C" w:rsidTr="00DD78A7">
        <w:trPr>
          <w:trHeight w:val="293"/>
        </w:trPr>
        <w:tc>
          <w:tcPr>
            <w:tcW w:w="709"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17</w:t>
            </w:r>
          </w:p>
        </w:tc>
        <w:tc>
          <w:tcPr>
            <w:tcW w:w="241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2,4-Dichloro Benzaldehyde</w:t>
            </w:r>
          </w:p>
        </w:tc>
        <w:tc>
          <w:tcPr>
            <w:tcW w:w="850" w:type="dxa"/>
            <w:tcBorders>
              <w:top w:val="nil"/>
              <w:left w:val="nil"/>
              <w:bottom w:val="nil"/>
              <w:right w:val="nil"/>
            </w:tcBorders>
            <w:shd w:val="clear" w:color="auto" w:fill="auto"/>
            <w:noWrap/>
            <w:vAlign w:val="center"/>
            <w:hideMark/>
          </w:tcPr>
          <w:p w:rsidR="00AC2F5F" w:rsidRPr="00B30A4C" w:rsidRDefault="00330FE0" w:rsidP="00F64F08">
            <w:pPr>
              <w:pStyle w:val="RSCT03TableBody"/>
              <w:spacing w:after="100" w:afterAutospacing="1"/>
            </w:pPr>
            <w:r w:rsidRPr="00B30A4C">
              <w:t>/</w:t>
            </w:r>
          </w:p>
        </w:tc>
        <w:tc>
          <w:tcPr>
            <w:tcW w:w="993"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96.7</w:t>
            </w:r>
          </w:p>
        </w:tc>
      </w:tr>
      <w:tr w:rsidR="00AC2F5F" w:rsidRPr="00B30A4C" w:rsidTr="00DD78A7">
        <w:trPr>
          <w:trHeight w:val="293"/>
        </w:trPr>
        <w:tc>
          <w:tcPr>
            <w:tcW w:w="709"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18</w:t>
            </w:r>
          </w:p>
        </w:tc>
        <w:tc>
          <w:tcPr>
            <w:tcW w:w="2410"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2,4-Dimethoxy Benzaldehyde</w:t>
            </w:r>
          </w:p>
        </w:tc>
        <w:tc>
          <w:tcPr>
            <w:tcW w:w="850" w:type="dxa"/>
            <w:tcBorders>
              <w:top w:val="nil"/>
              <w:left w:val="nil"/>
              <w:bottom w:val="nil"/>
              <w:right w:val="nil"/>
            </w:tcBorders>
            <w:shd w:val="clear" w:color="auto" w:fill="auto"/>
            <w:noWrap/>
            <w:vAlign w:val="center"/>
            <w:hideMark/>
          </w:tcPr>
          <w:p w:rsidR="00AC2F5F" w:rsidRPr="00B30A4C" w:rsidRDefault="00330FE0" w:rsidP="00F64F08">
            <w:pPr>
              <w:pStyle w:val="RSCT03TableBody"/>
              <w:spacing w:after="100" w:afterAutospacing="1"/>
            </w:pPr>
            <w:r w:rsidRPr="00B30A4C">
              <w:t>/</w:t>
            </w:r>
          </w:p>
        </w:tc>
        <w:tc>
          <w:tcPr>
            <w:tcW w:w="993" w:type="dxa"/>
            <w:tcBorders>
              <w:top w:val="nil"/>
              <w:left w:val="nil"/>
              <w:bottom w:val="nil"/>
              <w:right w:val="nil"/>
            </w:tcBorders>
            <w:shd w:val="clear" w:color="auto" w:fill="auto"/>
            <w:noWrap/>
            <w:vAlign w:val="center"/>
            <w:hideMark/>
          </w:tcPr>
          <w:p w:rsidR="00AC2F5F" w:rsidRPr="00B30A4C" w:rsidRDefault="00AC2F5F" w:rsidP="00F64F08">
            <w:pPr>
              <w:pStyle w:val="RSCT03TableBody"/>
              <w:spacing w:after="100" w:afterAutospacing="1"/>
            </w:pPr>
            <w:r w:rsidRPr="00B30A4C">
              <w:t>91.2</w:t>
            </w:r>
          </w:p>
        </w:tc>
      </w:tr>
      <w:tr w:rsidR="00AC2F5F" w:rsidRPr="00B30A4C" w:rsidTr="00DD78A7">
        <w:trPr>
          <w:trHeight w:val="293"/>
        </w:trPr>
        <w:tc>
          <w:tcPr>
            <w:tcW w:w="709" w:type="dxa"/>
            <w:tcBorders>
              <w:top w:val="nil"/>
              <w:left w:val="nil"/>
              <w:right w:val="nil"/>
            </w:tcBorders>
            <w:shd w:val="clear" w:color="auto" w:fill="auto"/>
            <w:noWrap/>
            <w:vAlign w:val="center"/>
          </w:tcPr>
          <w:p w:rsidR="00AC2F5F" w:rsidRPr="00B30A4C" w:rsidRDefault="00AC2F5F" w:rsidP="00F64F08">
            <w:pPr>
              <w:pStyle w:val="RSCT03TableBody"/>
              <w:spacing w:after="100" w:afterAutospacing="1"/>
            </w:pPr>
            <w:r w:rsidRPr="00B30A4C">
              <w:t>19</w:t>
            </w:r>
          </w:p>
        </w:tc>
        <w:tc>
          <w:tcPr>
            <w:tcW w:w="2410" w:type="dxa"/>
            <w:tcBorders>
              <w:top w:val="nil"/>
              <w:left w:val="nil"/>
              <w:right w:val="nil"/>
            </w:tcBorders>
            <w:shd w:val="clear" w:color="auto" w:fill="auto"/>
            <w:noWrap/>
            <w:vAlign w:val="center"/>
          </w:tcPr>
          <w:p w:rsidR="00AC2F5F" w:rsidRPr="00B30A4C" w:rsidRDefault="00AC2F5F" w:rsidP="00F64F08">
            <w:pPr>
              <w:pStyle w:val="RSCT03TableBody"/>
            </w:pPr>
            <w:r w:rsidRPr="00B30A4C">
              <w:t>Benzaldehyde*</w:t>
            </w:r>
          </w:p>
        </w:tc>
        <w:tc>
          <w:tcPr>
            <w:tcW w:w="850" w:type="dxa"/>
            <w:tcBorders>
              <w:top w:val="nil"/>
              <w:left w:val="nil"/>
              <w:right w:val="nil"/>
            </w:tcBorders>
            <w:shd w:val="clear" w:color="auto" w:fill="auto"/>
            <w:noWrap/>
            <w:vAlign w:val="center"/>
          </w:tcPr>
          <w:p w:rsidR="00AC2F5F" w:rsidRPr="00B30A4C" w:rsidRDefault="00AC2F5F" w:rsidP="00F64F08">
            <w:pPr>
              <w:pStyle w:val="RSCT03TableBody"/>
            </w:pPr>
            <w:r w:rsidRPr="00B30A4C">
              <w:t>67.3</w:t>
            </w:r>
          </w:p>
        </w:tc>
        <w:tc>
          <w:tcPr>
            <w:tcW w:w="993" w:type="dxa"/>
            <w:tcBorders>
              <w:top w:val="nil"/>
              <w:left w:val="nil"/>
              <w:right w:val="nil"/>
            </w:tcBorders>
            <w:shd w:val="clear" w:color="auto" w:fill="auto"/>
            <w:noWrap/>
            <w:vAlign w:val="center"/>
          </w:tcPr>
          <w:p w:rsidR="00AC2F5F" w:rsidRPr="00B30A4C" w:rsidRDefault="00AC2F5F" w:rsidP="00F64F08">
            <w:pPr>
              <w:pStyle w:val="RSCT03TableBody"/>
            </w:pPr>
            <w:r w:rsidRPr="00B30A4C">
              <w:t>99.3</w:t>
            </w:r>
          </w:p>
        </w:tc>
      </w:tr>
      <w:tr w:rsidR="00AC2F5F" w:rsidRPr="00B30A4C" w:rsidTr="00DD78A7">
        <w:trPr>
          <w:trHeight w:val="293"/>
        </w:trPr>
        <w:tc>
          <w:tcPr>
            <w:tcW w:w="709" w:type="dxa"/>
            <w:tcBorders>
              <w:top w:val="nil"/>
              <w:left w:val="nil"/>
              <w:right w:val="nil"/>
            </w:tcBorders>
            <w:shd w:val="clear" w:color="auto" w:fill="auto"/>
            <w:noWrap/>
            <w:vAlign w:val="center"/>
          </w:tcPr>
          <w:p w:rsidR="00AC2F5F" w:rsidRPr="00B30A4C" w:rsidRDefault="00AC2F5F" w:rsidP="00F64F08">
            <w:pPr>
              <w:pStyle w:val="RSCT03TableBody"/>
              <w:spacing w:after="100" w:afterAutospacing="1"/>
            </w:pPr>
            <w:r w:rsidRPr="00B30A4C">
              <w:t>20</w:t>
            </w:r>
          </w:p>
        </w:tc>
        <w:tc>
          <w:tcPr>
            <w:tcW w:w="2410" w:type="dxa"/>
            <w:tcBorders>
              <w:top w:val="nil"/>
              <w:left w:val="nil"/>
              <w:right w:val="nil"/>
            </w:tcBorders>
            <w:shd w:val="clear" w:color="auto" w:fill="auto"/>
            <w:noWrap/>
            <w:vAlign w:val="center"/>
          </w:tcPr>
          <w:p w:rsidR="00AC2F5F" w:rsidRPr="00B30A4C" w:rsidRDefault="00AC2F5F" w:rsidP="00F64F08">
            <w:pPr>
              <w:pStyle w:val="RSCT03TableBody"/>
            </w:pPr>
            <w:r w:rsidRPr="00B30A4C">
              <w:t>Trans-Cinnamaldehyde*</w:t>
            </w:r>
          </w:p>
        </w:tc>
        <w:tc>
          <w:tcPr>
            <w:tcW w:w="850" w:type="dxa"/>
            <w:tcBorders>
              <w:top w:val="nil"/>
              <w:left w:val="nil"/>
              <w:right w:val="nil"/>
            </w:tcBorders>
            <w:shd w:val="clear" w:color="auto" w:fill="auto"/>
            <w:noWrap/>
            <w:vAlign w:val="center"/>
          </w:tcPr>
          <w:p w:rsidR="00AC2F5F" w:rsidRPr="00B30A4C" w:rsidRDefault="00AC2F5F" w:rsidP="00F64F08">
            <w:pPr>
              <w:pStyle w:val="RSCT03TableBody"/>
            </w:pPr>
            <w:r w:rsidRPr="00B30A4C">
              <w:t>47.2</w:t>
            </w:r>
          </w:p>
        </w:tc>
        <w:tc>
          <w:tcPr>
            <w:tcW w:w="993" w:type="dxa"/>
            <w:tcBorders>
              <w:top w:val="nil"/>
              <w:left w:val="nil"/>
              <w:right w:val="nil"/>
            </w:tcBorders>
            <w:shd w:val="clear" w:color="auto" w:fill="auto"/>
            <w:noWrap/>
            <w:vAlign w:val="center"/>
          </w:tcPr>
          <w:p w:rsidR="00AC2F5F" w:rsidRPr="00B30A4C" w:rsidRDefault="00AC2F5F" w:rsidP="00F64F08">
            <w:pPr>
              <w:pStyle w:val="RSCT03TableBody"/>
            </w:pPr>
            <w:r w:rsidRPr="00B30A4C">
              <w:t>99.0</w:t>
            </w:r>
          </w:p>
        </w:tc>
      </w:tr>
    </w:tbl>
    <w:p w:rsidR="0023062A" w:rsidRPr="00B30A4C" w:rsidRDefault="006F66E0" w:rsidP="006F66E0">
      <w:pPr>
        <w:pStyle w:val="RSCT05TableFootnotewithoutbottombar"/>
        <w:pBdr>
          <w:bottom w:val="single" w:sz="4" w:space="1" w:color="auto"/>
        </w:pBdr>
      </w:pPr>
      <w:r w:rsidRPr="00B30A4C">
        <w:t xml:space="preserve">* Heated to 120 </w:t>
      </w:r>
      <w:r w:rsidRPr="00B30A4C">
        <w:rPr>
          <w:rFonts w:cstheme="minorHAnsi"/>
        </w:rPr>
        <w:t>°</w:t>
      </w:r>
      <w:r w:rsidRPr="00B30A4C">
        <w:t>C in a closed pressure vessel with stirring (550 rpm) for 18 hours</w:t>
      </w:r>
      <w:r w:rsidR="00CF112E" w:rsidRPr="00B30A4C">
        <w:t>, NA indicates the likely decomposition of the product in the injection liner of the GC.</w:t>
      </w:r>
    </w:p>
    <w:p w:rsidR="0077455F" w:rsidRPr="00B30A4C" w:rsidRDefault="0023062A" w:rsidP="0077455F">
      <w:pPr>
        <w:pStyle w:val="RSCB02ArticleText"/>
      </w:pPr>
      <w:r w:rsidRPr="00B30A4C">
        <w:tab/>
      </w:r>
      <w:r w:rsidR="0077455F" w:rsidRPr="00B30A4C">
        <w:t xml:space="preserve">The reactions were carried under the optimised conditions used for the self-condensation except </w:t>
      </w:r>
      <w:r w:rsidR="0059627E" w:rsidRPr="00B30A4C">
        <w:t xml:space="preserve">reaction time was extended to 18 hours </w:t>
      </w:r>
      <w:r w:rsidR="0077455F" w:rsidRPr="00B30A4C">
        <w:t xml:space="preserve">(Table 2). </w:t>
      </w:r>
      <w:r w:rsidR="00BB3DAF" w:rsidRPr="00B30A4C">
        <w:t>The only exception being</w:t>
      </w:r>
      <w:r w:rsidR="0077455F" w:rsidRPr="00B30A4C">
        <w:t xml:space="preserve"> </w:t>
      </w:r>
      <w:r w:rsidR="00BB3DAF" w:rsidRPr="00B30A4C">
        <w:t>r</w:t>
      </w:r>
      <w:r w:rsidR="0077455F" w:rsidRPr="00B30A4C">
        <w:t>eaction 8</w:t>
      </w:r>
      <w:r w:rsidR="00273D48" w:rsidRPr="00B30A4C">
        <w:t>,</w:t>
      </w:r>
      <w:r w:rsidR="00BB3DAF" w:rsidRPr="00B30A4C">
        <w:t xml:space="preserve"> which</w:t>
      </w:r>
      <w:r w:rsidR="0077455F" w:rsidRPr="00B30A4C">
        <w:t xml:space="preserve"> was run for</w:t>
      </w:r>
      <w:r w:rsidR="00C73428">
        <w:t xml:space="preserve"> only</w:t>
      </w:r>
      <w:r w:rsidR="0077455F" w:rsidRPr="00B30A4C">
        <w:t xml:space="preserve"> 20 minutes </w:t>
      </w:r>
      <w:r w:rsidR="00273D48" w:rsidRPr="00B30A4C">
        <w:t>and resulted in a solid</w:t>
      </w:r>
      <w:r w:rsidR="00BB3DAF" w:rsidRPr="00B30A4C">
        <w:t xml:space="preserve"> </w:t>
      </w:r>
      <w:r w:rsidR="00273D48" w:rsidRPr="00B30A4C">
        <w:t>product</w:t>
      </w:r>
      <w:r w:rsidR="0077455F" w:rsidRPr="00B30A4C">
        <w:t>. As observed in table 2</w:t>
      </w:r>
      <w:r w:rsidR="00F946DC" w:rsidRPr="00B30A4C">
        <w:t>, the conversions for the Claisen-Schmidt reaction are high</w:t>
      </w:r>
      <w:r w:rsidR="00144F72" w:rsidRPr="00B30A4C">
        <w:t xml:space="preserve"> (typically &gt;80%).  </w:t>
      </w:r>
      <w:r w:rsidR="00490BE1" w:rsidRPr="00490BE1">
        <w:t xml:space="preserve">In keeping with qualitative metrics </w:t>
      </w:r>
      <w:r w:rsidR="00396C28">
        <w:t xml:space="preserve">developed </w:t>
      </w:r>
      <w:r w:rsidR="00490BE1" w:rsidRPr="00490BE1">
        <w:t>for the pharmaceutical sector, a green work up methodology was used in the form of recrystallisation.</w:t>
      </w:r>
      <w:r w:rsidR="0086669D" w:rsidRPr="00DD78A7">
        <w:rPr>
          <w:vertAlign w:val="superscript"/>
        </w:rPr>
        <w:t>13</w:t>
      </w:r>
      <w:r w:rsidR="00490BE1" w:rsidRPr="00490BE1">
        <w:t xml:space="preserve"> On the small sc</w:t>
      </w:r>
      <w:r w:rsidR="00396C28">
        <w:t>ale</w:t>
      </w:r>
      <w:r w:rsidR="00490BE1">
        <w:t xml:space="preserve"> employed</w:t>
      </w:r>
      <w:r w:rsidR="00396C28">
        <w:t xml:space="preserve"> within this study</w:t>
      </w:r>
      <w:r w:rsidR="00490BE1">
        <w:t>, the work up</w:t>
      </w:r>
      <w:r w:rsidR="00490BE1" w:rsidRPr="00490BE1">
        <w:t xml:space="preserve"> </w:t>
      </w:r>
      <w:r w:rsidR="00396C28">
        <w:t xml:space="preserve">of some molecules </w:t>
      </w:r>
      <w:r w:rsidR="00490BE1" w:rsidRPr="00490BE1">
        <w:t xml:space="preserve">showed </w:t>
      </w:r>
      <w:r w:rsidR="00490BE1">
        <w:t xml:space="preserve">a </w:t>
      </w:r>
      <w:r w:rsidR="00490BE1" w:rsidRPr="00490BE1">
        <w:t>much lower recovered yield in comparison to GC data. Further optimisation at scale would undoubtedly result in far higher recovery</w:t>
      </w:r>
      <w:r w:rsidR="00396C28">
        <w:t>.  Such procedures could lead</w:t>
      </w:r>
      <w:r w:rsidR="00490BE1" w:rsidRPr="00490BE1">
        <w:t xml:space="preserve"> to </w:t>
      </w:r>
      <w:r w:rsidR="00396C28">
        <w:t xml:space="preserve">the </w:t>
      </w:r>
      <w:r w:rsidR="00490BE1">
        <w:t>generat</w:t>
      </w:r>
      <w:r w:rsidR="00396C28">
        <w:t>ion of</w:t>
      </w:r>
      <w:r w:rsidR="00490BE1">
        <w:t xml:space="preserve"> pharmaceutical</w:t>
      </w:r>
      <w:r w:rsidR="00490BE1" w:rsidRPr="00490BE1">
        <w:t xml:space="preserve"> scaffolds </w:t>
      </w:r>
      <w:r w:rsidR="00396C28">
        <w:t xml:space="preserve">at scale </w:t>
      </w:r>
      <w:r w:rsidR="00490BE1" w:rsidRPr="00490BE1">
        <w:t>for further functionalisation, although this is outside the scope of the current work</w:t>
      </w:r>
      <w:r w:rsidR="00490BE1">
        <w:t>. In addition the use of chromatography could</w:t>
      </w:r>
      <w:r w:rsidR="00396C28">
        <w:t xml:space="preserve"> also</w:t>
      </w:r>
      <w:r w:rsidR="00490BE1">
        <w:t xml:space="preserve"> aid in improving the yields of recovery but would </w:t>
      </w:r>
      <w:r w:rsidR="00396C28">
        <w:t>result in extensive solvent and silica waste, leading to poor green credentials for the process</w:t>
      </w:r>
      <w:r w:rsidR="00BA310F">
        <w:t>. A</w:t>
      </w:r>
      <w:r w:rsidR="00396C28">
        <w:t xml:space="preserve">s such was not considered an appropriate purification process for this work.  </w:t>
      </w:r>
      <w:r w:rsidR="00144F72" w:rsidRPr="00B30A4C">
        <w:t xml:space="preserve">According to GC and GC-MS analysis the </w:t>
      </w:r>
      <w:r w:rsidR="00F946DC" w:rsidRPr="00B30A4C">
        <w:t>selectivity to</w:t>
      </w:r>
      <w:r w:rsidR="00144F72" w:rsidRPr="00B30A4C">
        <w:t>wards</w:t>
      </w:r>
      <w:r w:rsidR="00F946DC" w:rsidRPr="00B30A4C">
        <w:t xml:space="preserve"> the product </w:t>
      </w:r>
      <w:r w:rsidR="00144F72" w:rsidRPr="00B30A4C">
        <w:t xml:space="preserve">is </w:t>
      </w:r>
      <w:r w:rsidR="00F60706" w:rsidRPr="00B30A4C">
        <w:t xml:space="preserve">also </w:t>
      </w:r>
      <w:r w:rsidR="00144F72" w:rsidRPr="00B30A4C">
        <w:t>exceptionally high (in many cases the only product</w:t>
      </w:r>
      <w:r w:rsidR="00F60706" w:rsidRPr="00B30A4C">
        <w:t xml:space="preserve"> generated in the reaction</w:t>
      </w:r>
      <w:r w:rsidR="00144F72" w:rsidRPr="00B30A4C">
        <w:t>), however,</w:t>
      </w:r>
      <w:r w:rsidR="00F946DC" w:rsidRPr="00B30A4C">
        <w:t xml:space="preserve"> </w:t>
      </w:r>
      <w:r w:rsidR="0077455F" w:rsidRPr="00B30A4C">
        <w:t>the isolated yields have been negatively affected due to difficulties in working up</w:t>
      </w:r>
      <w:r w:rsidR="00396C28">
        <w:t xml:space="preserve"> (table 2)</w:t>
      </w:r>
      <w:r w:rsidR="0077455F" w:rsidRPr="00B30A4C">
        <w:t xml:space="preserve">. </w:t>
      </w:r>
      <w:r w:rsidR="0059627E" w:rsidRPr="00B30A4C">
        <w:t>Therefore,</w:t>
      </w:r>
      <w:r w:rsidR="0077455F" w:rsidRPr="00B30A4C">
        <w:t xml:space="preserve"> conversion was used to compare the differences between reactions. </w:t>
      </w:r>
    </w:p>
    <w:p w:rsidR="0077455F" w:rsidRPr="00B30A4C" w:rsidRDefault="00396C28" w:rsidP="0077455F">
      <w:pPr>
        <w:pStyle w:val="RSCB02ArticleText"/>
      </w:pPr>
      <w:r w:rsidRPr="00B30A4C">
        <w:rPr>
          <w:noProof/>
          <w:lang w:eastAsia="en-GB"/>
        </w:rPr>
        <w:drawing>
          <wp:anchor distT="0" distB="0" distL="114300" distR="114300" simplePos="0" relativeHeight="251669504" behindDoc="0" locked="0" layoutInCell="1" allowOverlap="1" wp14:anchorId="7FF8CC96" wp14:editId="06CD8684">
            <wp:simplePos x="0" y="0"/>
            <wp:positionH relativeFrom="column">
              <wp:posOffset>3305810</wp:posOffset>
            </wp:positionH>
            <wp:positionV relativeFrom="paragraph">
              <wp:posOffset>1729105</wp:posOffset>
            </wp:positionV>
            <wp:extent cx="3168015" cy="1908810"/>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8015" cy="1908810"/>
                    </a:xfrm>
                    <a:prstGeom prst="rect">
                      <a:avLst/>
                    </a:prstGeom>
                  </pic:spPr>
                </pic:pic>
              </a:graphicData>
            </a:graphic>
          </wp:anchor>
        </w:drawing>
      </w:r>
      <w:r w:rsidR="000153AC" w:rsidRPr="00B30A4C">
        <w:tab/>
      </w:r>
      <w:r w:rsidR="0077455F" w:rsidRPr="00B30A4C">
        <w:t>It can be seen that the reactions using benzaldehyde and trans-cinnamaldehyde (entries 1 and 6</w:t>
      </w:r>
      <w:r w:rsidR="002D0955" w:rsidRPr="00B30A4C">
        <w:t>, Table 2</w:t>
      </w:r>
      <w:r w:rsidR="0077455F" w:rsidRPr="00B30A4C">
        <w:t>) resulted in the lowest conversion by far. Trans-cinnamaldehyde gave slightly higher, potentially due to less steric hindrance around the carbonyl. It is unclear why these two performed the worst as even electron donating substituents (entries 3, 7 and 12</w:t>
      </w:r>
      <w:r w:rsidR="002D0955" w:rsidRPr="00B30A4C">
        <w:t>, Table 2</w:t>
      </w:r>
      <w:r w:rsidR="0077455F" w:rsidRPr="00B30A4C">
        <w:t>) which would give less electrophilic carbonyls produced higher conversions, however when repeated within a high-pressure reactor the conversions increased significantly</w:t>
      </w:r>
      <w:r w:rsidR="00422E20" w:rsidRPr="00B30A4C">
        <w:t>(entry 19 and 20</w:t>
      </w:r>
      <w:r w:rsidR="002D0955" w:rsidRPr="00B30A4C">
        <w:t>, Table 2</w:t>
      </w:r>
      <w:r w:rsidR="00422E20" w:rsidRPr="00B30A4C">
        <w:t>)</w:t>
      </w:r>
      <w:r w:rsidR="0077455F" w:rsidRPr="00B30A4C">
        <w:t xml:space="preserve">.  </w:t>
      </w:r>
      <w:r w:rsidR="00BF77FC" w:rsidRPr="00B30A4C">
        <w:t>Previous studies have reported</w:t>
      </w:r>
      <w:r w:rsidR="0077455F" w:rsidRPr="00B30A4C">
        <w:t xml:space="preserve"> </w:t>
      </w:r>
      <w:r w:rsidR="00BF77FC" w:rsidRPr="00B30A4C">
        <w:t xml:space="preserve">that the reaction of </w:t>
      </w:r>
      <w:r w:rsidR="0077455F" w:rsidRPr="00B30A4C">
        <w:t xml:space="preserve">cyclohexanone </w:t>
      </w:r>
      <w:r w:rsidR="00BF77FC" w:rsidRPr="00B30A4C">
        <w:t>with</w:t>
      </w:r>
      <w:r w:rsidR="0077455F" w:rsidRPr="00B30A4C">
        <w:t xml:space="preserve"> benzaldehyde </w:t>
      </w:r>
      <w:r w:rsidR="00BF77FC" w:rsidRPr="00B30A4C">
        <w:t xml:space="preserve">also gives </w:t>
      </w:r>
      <w:r w:rsidR="0077455F" w:rsidRPr="00B30A4C">
        <w:t>a slightly lower yield.</w:t>
      </w:r>
      <w:r w:rsidR="000153AC" w:rsidRPr="00B30A4C">
        <w:rPr>
          <w:vertAlign w:val="superscript"/>
        </w:rPr>
        <w:t>8</w:t>
      </w:r>
      <w:r w:rsidR="0077455F" w:rsidRPr="00B30A4C">
        <w:t xml:space="preserve"> </w:t>
      </w:r>
      <w:r w:rsidR="00BF77FC" w:rsidRPr="00B30A4C">
        <w:t xml:space="preserve">Lower yields were not observed with </w:t>
      </w:r>
      <w:r w:rsidR="0077455F" w:rsidRPr="00B30A4C">
        <w:t>benzaldehyde</w:t>
      </w:r>
      <w:r w:rsidR="00BF77FC" w:rsidRPr="00B30A4C">
        <w:t xml:space="preserve"> when </w:t>
      </w:r>
      <w:r w:rsidR="0077455F" w:rsidRPr="00B30A4C">
        <w:t xml:space="preserve">the catalysts used co-ordinated with the </w:t>
      </w:r>
      <w:r w:rsidR="00BF77FC" w:rsidRPr="00B30A4C">
        <w:t>reagents</w:t>
      </w:r>
      <w:r w:rsidR="0077455F" w:rsidRPr="00B30A4C">
        <w:t xml:space="preserve">, </w:t>
      </w:r>
      <w:r w:rsidR="00BF77FC" w:rsidRPr="00B30A4C">
        <w:t xml:space="preserve">thus </w:t>
      </w:r>
      <w:r w:rsidR="0077455F" w:rsidRPr="00B30A4C">
        <w:t>bringing them in close proximity</w:t>
      </w:r>
      <w:r w:rsidR="00BF77FC" w:rsidRPr="00B30A4C">
        <w:t xml:space="preserve"> to each other and resulting in </w:t>
      </w:r>
      <w:r w:rsidR="0077455F" w:rsidRPr="00B30A4C">
        <w:t>higher yields.</w:t>
      </w:r>
      <w:r w:rsidR="000153AC" w:rsidRPr="00B30A4C">
        <w:rPr>
          <w:vertAlign w:val="superscript"/>
        </w:rPr>
        <w:t>6</w:t>
      </w:r>
      <w:r w:rsidR="0077455F" w:rsidRPr="00B30A4C">
        <w:t xml:space="preserve"> </w:t>
      </w:r>
    </w:p>
    <w:p w:rsidR="00334FDC" w:rsidRPr="00B30A4C" w:rsidRDefault="001F2799" w:rsidP="001F2799">
      <w:pPr>
        <w:pStyle w:val="RSCB02ArticleText"/>
      </w:pPr>
      <w:r w:rsidRPr="00B30A4C">
        <w:tab/>
        <w:t>The GC conversions were high for the remaining reactions</w:t>
      </w:r>
      <w:r w:rsidR="000B084F" w:rsidRPr="00B30A4C">
        <w:t>.</w:t>
      </w:r>
      <w:r w:rsidRPr="00B30A4C">
        <w:t xml:space="preserve"> For compounds where a large substituent, such as a nitro group, is in the 2 and/or 5 positions (entries 10 and 13</w:t>
      </w:r>
      <w:r w:rsidR="002D0955" w:rsidRPr="00B30A4C">
        <w:t>, Table 2</w:t>
      </w:r>
      <w:r w:rsidRPr="00B30A4C">
        <w:t xml:space="preserve">) the conversions are lower which can be attributed to steric hindrance between the enolate and the aldehyde. The extremely fast rate and </w:t>
      </w:r>
      <w:r w:rsidR="00DA25D9" w:rsidRPr="00B30A4C">
        <w:t>quantitative</w:t>
      </w:r>
      <w:r w:rsidRPr="00B30A4C">
        <w:t xml:space="preserve"> conversion of the reaction using 4-</w:t>
      </w:r>
      <w:r w:rsidR="002E2C63" w:rsidRPr="00B30A4C">
        <w:t>nitro</w:t>
      </w:r>
      <w:r w:rsidRPr="00B30A4C">
        <w:t>benzaldehyde compared to all the other reactions is due to the strong electron withdrawing effect of the nitro group and its conjugation with the aldehyde in the 4-position (entry 8</w:t>
      </w:r>
      <w:r w:rsidR="002D0955" w:rsidRPr="00B30A4C">
        <w:t>, Table 2</w:t>
      </w:r>
      <w:r w:rsidRPr="00B30A4C">
        <w:t xml:space="preserve">). </w:t>
      </w:r>
      <w:r w:rsidR="00E52FC4" w:rsidRPr="00B30A4C">
        <w:t>3-</w:t>
      </w:r>
      <w:r w:rsidR="002E2C63" w:rsidRPr="00B30A4C">
        <w:t>nitro</w:t>
      </w:r>
      <w:r w:rsidR="00E52FC4" w:rsidRPr="00B30A4C">
        <w:t xml:space="preserve">benzaldehyde reacted slower as the substituent is not conjugated with the aldehyde. </w:t>
      </w:r>
    </w:p>
    <w:p w:rsidR="000B084F" w:rsidRPr="00B30A4C" w:rsidRDefault="00334FDC" w:rsidP="001F2799">
      <w:pPr>
        <w:pStyle w:val="RSCB02ArticleText"/>
      </w:pPr>
      <w:r w:rsidRPr="00B30A4C">
        <w:tab/>
        <w:t xml:space="preserve">Where electronic effects could play a part is in the reactions using heteroaromatics. In </w:t>
      </w:r>
      <w:r w:rsidR="002E2C63" w:rsidRPr="00B30A4C">
        <w:t xml:space="preserve">furfural </w:t>
      </w:r>
      <w:r w:rsidRPr="00B30A4C">
        <w:t xml:space="preserve">and 2-thiophene carboxaldehyde, the lone pair of electrons in </w:t>
      </w:r>
      <w:r w:rsidR="00DA25D9" w:rsidRPr="00B30A4C">
        <w:t xml:space="preserve">the </w:t>
      </w:r>
      <w:r w:rsidRPr="00B30A4C">
        <w:t>sp</w:t>
      </w:r>
      <w:r w:rsidRPr="00B30A4C">
        <w:rPr>
          <w:vertAlign w:val="superscript"/>
        </w:rPr>
        <w:t>2</w:t>
      </w:r>
      <w:r w:rsidRPr="00B30A4C">
        <w:t xml:space="preserve"> orbital</w:t>
      </w:r>
      <w:r w:rsidR="00DA25D9" w:rsidRPr="00B30A4C">
        <w:t xml:space="preserve"> are in</w:t>
      </w:r>
      <w:r w:rsidRPr="00B30A4C">
        <w:t xml:space="preserve"> the same plane as the orbitals that contribute to the aromaticity of the ring. This means the electrons are donated in to the ring rather than causing electrostatic repulsion with the lone pairs on the oxygen of the carbonyl, which would decrease its electrophilicity.</w:t>
      </w:r>
      <w:r w:rsidR="000B084F" w:rsidRPr="00B30A4C">
        <w:t xml:space="preserve"> </w:t>
      </w:r>
    </w:p>
    <w:p w:rsidR="001F2799" w:rsidRPr="00B30A4C" w:rsidRDefault="000B084F" w:rsidP="001F2799">
      <w:pPr>
        <w:pStyle w:val="RSCB02ArticleText"/>
      </w:pPr>
      <w:r w:rsidRPr="00B30A4C">
        <w:tab/>
        <w:t>The less electronegative sulphur atom will donate its lone pair towards the ring more than the oxygen will. This could explain the higher conversion for entry 5 than for entry 4 (Table 2). Within 2-pyridine carboxaldehyde, the lone pair of the nitrogen is within a sp</w:t>
      </w:r>
      <w:r w:rsidRPr="00B30A4C">
        <w:rPr>
          <w:vertAlign w:val="superscript"/>
        </w:rPr>
        <w:t>2</w:t>
      </w:r>
      <w:r w:rsidRPr="00B30A4C">
        <w:t xml:space="preserve"> orbital in a different plane to the orbitals of the ring. This means they are not donated and the pyridine ring is described as π-deficient. The electrons then experience repulsion with the carbonyl lone pair electrons and decrease its electrophilicity. This could explain the slightly lower conversions for entry 16, Table 2. Literature data has reported this effect previously.</w:t>
      </w:r>
      <w:r w:rsidRPr="00B30A4C">
        <w:rPr>
          <w:vertAlign w:val="superscript"/>
        </w:rPr>
        <w:t>6</w:t>
      </w:r>
      <w:r w:rsidRPr="00B30A4C">
        <w:t xml:space="preserve"> The steric effect due to the smaller 5-membered ring could also contribute to this.</w:t>
      </w:r>
    </w:p>
    <w:p w:rsidR="00AE76FF" w:rsidRPr="00B30A4C" w:rsidRDefault="00BF77FC" w:rsidP="006F66E0">
      <w:pPr>
        <w:pStyle w:val="RSCB02ArticleText"/>
      </w:pPr>
      <w:r w:rsidRPr="00B30A4C">
        <w:tab/>
      </w:r>
      <w:r w:rsidR="0023062A" w:rsidRPr="00B30A4C">
        <w:t xml:space="preserve">These products were characterised by single-crystal </w:t>
      </w:r>
      <w:r w:rsidR="00270124" w:rsidRPr="00B30A4C">
        <w:t>X-ray</w:t>
      </w:r>
      <w:r w:rsidR="0023062A" w:rsidRPr="00B30A4C">
        <w:t xml:space="preserve"> diffraction, FT-IR, NMR and MS. Analysis by XRD lead to production of six crystal structures. Full details of the structures can be found in electronic supporting information.  The XRD confirmed the formation of a single crystal structure with one orientation. The chirality from the starting material has been retained and the crystal system is shown to be orthorhombic with a space group of P2</w:t>
      </w:r>
      <w:r w:rsidR="0023062A" w:rsidRPr="00B30A4C">
        <w:rPr>
          <w:vertAlign w:val="subscript"/>
        </w:rPr>
        <w:t>1</w:t>
      </w:r>
      <w:r w:rsidR="0023062A" w:rsidRPr="00B30A4C">
        <w:t>2</w:t>
      </w:r>
      <w:r w:rsidR="0023062A" w:rsidRPr="00B30A4C">
        <w:rPr>
          <w:vertAlign w:val="subscript"/>
        </w:rPr>
        <w:t>1</w:t>
      </w:r>
      <w:r w:rsidR="0023062A" w:rsidRPr="00B30A4C">
        <w:t>2</w:t>
      </w:r>
      <w:r w:rsidR="0023062A" w:rsidRPr="00B30A4C">
        <w:rPr>
          <w:vertAlign w:val="subscript"/>
        </w:rPr>
        <w:t>1</w:t>
      </w:r>
      <w:r w:rsidR="0023062A" w:rsidRPr="00B30A4C">
        <w:t xml:space="preserve">. However, the expected structure for salicylaldehyde (Table 2, entry 3) was not obtained.  In this case, following the aldol condensation, the phenoxy oxygen of the salicylaldehyde unit has attacked the carbonyl of Cyrene, resulting in a three-ringed system (Figure 2). This structure is also confirmed via </w:t>
      </w:r>
      <w:r w:rsidR="0023062A" w:rsidRPr="00B30A4C">
        <w:rPr>
          <w:vertAlign w:val="superscript"/>
        </w:rPr>
        <w:t>13</w:t>
      </w:r>
      <w:r w:rsidR="0023062A" w:rsidRPr="00B30A4C">
        <w:t>C NMR and is potentially more interesting due to the widespread use of fused ring compounds in the pharmaceutical industry.</w:t>
      </w:r>
      <w:r w:rsidR="00FA451F">
        <w:rPr>
          <w:vertAlign w:val="superscript"/>
        </w:rPr>
        <w:t>14</w:t>
      </w:r>
      <w:r w:rsidR="0023062A" w:rsidRPr="00B30A4C">
        <w:t xml:space="preserve"> Product isolation for 2,4-dichloro benzaldehyde and 2,4-dimethoxy benzaldehyde proved to be challenging and as such limited product was isolated from reactions with these substrates. </w:t>
      </w:r>
      <w:r w:rsidR="00F60706" w:rsidRPr="00B30A4C">
        <w:t>All Claisen-Schmidt reactions demonstrated atom economies in excess of 90%.</w:t>
      </w:r>
      <w:r w:rsidR="0023062A" w:rsidRPr="00B30A4C">
        <w:t xml:space="preserve"> Further work will focus on improving product isolation for all Claisen-Schmidt reaction products of cyrene</w:t>
      </w:r>
      <w:r w:rsidR="006F66E0" w:rsidRPr="00B30A4C">
        <w:t>.</w:t>
      </w:r>
    </w:p>
    <w:p w:rsidR="00396C28" w:rsidRDefault="00396C28" w:rsidP="00DD78A7">
      <w:pPr>
        <w:pStyle w:val="RSCI02FigureSchemeChartwithtopbar"/>
      </w:pPr>
      <w:r w:rsidRPr="00DD78A7">
        <w:rPr>
          <w:b/>
        </w:rPr>
        <w:t>Figure 2.</w:t>
      </w:r>
      <w:r w:rsidRPr="00B30A4C">
        <w:t xml:space="preserve"> Single X-ray crystal structure for the Claisen-Schmidt reaction product of cyrene and salicylaldehyde.</w:t>
      </w:r>
    </w:p>
    <w:p w:rsidR="00396C28" w:rsidRDefault="00396C28" w:rsidP="00CB2B95">
      <w:pPr>
        <w:pStyle w:val="RSCB02ArticleText"/>
      </w:pPr>
    </w:p>
    <w:p w:rsidR="00CB2B95" w:rsidRPr="00B30A4C" w:rsidRDefault="00396C28" w:rsidP="00CB2B95">
      <w:pPr>
        <w:pStyle w:val="RSCB02ArticleText"/>
      </w:pPr>
      <w:r>
        <w:tab/>
      </w:r>
      <w:r w:rsidR="009C2FA1" w:rsidRPr="00B30A4C">
        <w:t>In order to investigate potential pharmaceutical relevance of the compounds synthesised, they were subjected to the LLAMA protocol which allows lead-likeness of all of these structures to be assessed.</w:t>
      </w:r>
      <w:r w:rsidR="00FA451F">
        <w:rPr>
          <w:vertAlign w:val="superscript"/>
        </w:rPr>
        <w:t>15</w:t>
      </w:r>
      <w:r w:rsidR="00945A0C" w:rsidRPr="00B30A4C">
        <w:t xml:space="preserve"> Here, structures are e</w:t>
      </w:r>
      <w:r w:rsidR="00434B21" w:rsidRPr="00B30A4C">
        <w:t xml:space="preserve">ntered in to a database and are then in turn subjected to a number </w:t>
      </w:r>
      <w:r w:rsidR="00945A0C" w:rsidRPr="00B30A4C">
        <w:t>of pharmaceutically relevant reactions</w:t>
      </w:r>
      <w:r w:rsidR="00434B21" w:rsidRPr="00B30A4C">
        <w:t xml:space="preserve"> to generate a virtual</w:t>
      </w:r>
      <w:r w:rsidR="00945A0C" w:rsidRPr="00B30A4C">
        <w:t xml:space="preserve"> </w:t>
      </w:r>
      <w:r w:rsidR="00434B21" w:rsidRPr="00B30A4C">
        <w:t xml:space="preserve">library of products. These are then assessed on </w:t>
      </w:r>
      <w:r w:rsidR="00945A0C" w:rsidRPr="00B30A4C">
        <w:t xml:space="preserve">key properties (heavy atom count, AlogP, number of aromatic rings and an undesirable functional group filter) </w:t>
      </w:r>
      <w:r w:rsidR="00434B21" w:rsidRPr="00B30A4C">
        <w:t>with penalty points assigned depending on distance from the ideal space. This value is termed the lead-likeness</w:t>
      </w:r>
      <w:r w:rsidR="007D695A" w:rsidRPr="00B30A4C">
        <w:t xml:space="preserve"> (Figure S27-S29, supporting information)</w:t>
      </w:r>
      <w:r w:rsidR="00434B21" w:rsidRPr="00B30A4C">
        <w:t>. Scaffolds that had only one reaction</w:t>
      </w:r>
      <w:r w:rsidR="00DB55F3" w:rsidRPr="00B30A4C">
        <w:t xml:space="preserve"> (decoration)</w:t>
      </w:r>
      <w:r w:rsidR="00434B21" w:rsidRPr="00B30A4C">
        <w:t xml:space="preserve"> resulted in </w:t>
      </w:r>
      <w:r w:rsidR="00DB55F3" w:rsidRPr="00B30A4C">
        <w:t>84</w:t>
      </w:r>
      <w:r w:rsidR="00434B21" w:rsidRPr="00B30A4C">
        <w:t xml:space="preserve"> new structures of which </w:t>
      </w:r>
      <w:r w:rsidR="00E70339" w:rsidRPr="00B30A4C">
        <w:t>35 came with a lead-likeness penalty of 0</w:t>
      </w:r>
      <w:r w:rsidR="00DB55F3" w:rsidRPr="00B30A4C">
        <w:t xml:space="preserve"> and 12 with a penalty of 1</w:t>
      </w:r>
      <w:r w:rsidR="00E70339" w:rsidRPr="00B30A4C">
        <w:t>. This suggests that</w:t>
      </w:r>
      <w:r w:rsidR="00DB55F3" w:rsidRPr="00B30A4C">
        <w:t xml:space="preserve"> these structures have potential as API scaffolds.</w:t>
      </w:r>
      <w:r w:rsidR="00434B21" w:rsidRPr="00B30A4C">
        <w:t xml:space="preserve"> </w:t>
      </w:r>
      <w:r w:rsidR="00F727DC" w:rsidRPr="00B30A4C">
        <w:t xml:space="preserve">Unsurprisingly all compounds had 0% likeness on the ZINC database </w:t>
      </w:r>
      <w:r w:rsidR="00F727DC" w:rsidRPr="00B30A4C">
        <w:rPr>
          <w:i/>
        </w:rPr>
        <w:t>i.e.</w:t>
      </w:r>
      <w:r w:rsidR="00F727DC" w:rsidRPr="00B30A4C">
        <w:t xml:space="preserve"> entirely novel.</w:t>
      </w:r>
    </w:p>
    <w:p w:rsidR="00CB2B95" w:rsidRPr="00B30A4C" w:rsidRDefault="00BF77FC" w:rsidP="00150D15">
      <w:pPr>
        <w:pStyle w:val="RSCB02ArticleText"/>
      </w:pPr>
      <w:r w:rsidRPr="00B30A4C">
        <w:tab/>
      </w:r>
      <w:r w:rsidR="000153AC" w:rsidRPr="00B30A4C">
        <w:t>In conclusion, t</w:t>
      </w:r>
      <w:r w:rsidR="00EE0AD0" w:rsidRPr="00B30A4C">
        <w:t>he yield and conversion of the self-</w:t>
      </w:r>
      <w:r w:rsidR="00150D15" w:rsidRPr="00B30A4C">
        <w:t>aldol condensation reaction</w:t>
      </w:r>
      <w:r w:rsidR="00EE0AD0" w:rsidRPr="00B30A4C">
        <w:t xml:space="preserve"> of cyrene was </w:t>
      </w:r>
      <w:r w:rsidR="00150D15" w:rsidRPr="00B30A4C">
        <w:t>optim</w:t>
      </w:r>
      <w:r w:rsidR="00EE0AD0" w:rsidRPr="00B30A4C">
        <w:t>ised</w:t>
      </w:r>
      <w:r w:rsidR="00150D15" w:rsidRPr="00B30A4C">
        <w:t xml:space="preserve"> </w:t>
      </w:r>
      <w:r w:rsidR="00EE0AD0" w:rsidRPr="00B30A4C">
        <w:t>with respect to</w:t>
      </w:r>
      <w:r w:rsidR="00150D15" w:rsidRPr="00B30A4C">
        <w:t xml:space="preserve"> </w:t>
      </w:r>
      <w:r w:rsidR="00EE0AD0" w:rsidRPr="00B30A4C">
        <w:t xml:space="preserve">temperature, co-solvent ratio and </w:t>
      </w:r>
      <w:r w:rsidR="00150D15" w:rsidRPr="00B30A4C">
        <w:t>base</w:t>
      </w:r>
      <w:r w:rsidR="00EE0AD0" w:rsidRPr="00B30A4C">
        <w:t xml:space="preserve"> catalyst</w:t>
      </w:r>
      <w:r w:rsidR="00150D15" w:rsidRPr="00B30A4C">
        <w:t>, with K</w:t>
      </w:r>
      <w:r w:rsidR="00150D15" w:rsidRPr="00B30A4C">
        <w:rPr>
          <w:vertAlign w:val="subscript"/>
        </w:rPr>
        <w:t>3</w:t>
      </w:r>
      <w:r w:rsidR="00150D15" w:rsidRPr="00B30A4C">
        <w:t>PO</w:t>
      </w:r>
      <w:r w:rsidR="00150D15" w:rsidRPr="00B30A4C">
        <w:rPr>
          <w:vertAlign w:val="subscript"/>
        </w:rPr>
        <w:t>4</w:t>
      </w:r>
      <w:r w:rsidR="00150D15" w:rsidRPr="00B30A4C">
        <w:t xml:space="preserve"> performing the best in this study. </w:t>
      </w:r>
      <w:r w:rsidR="007D695A" w:rsidRPr="00B30A4C">
        <w:t xml:space="preserve">Importantly, </w:t>
      </w:r>
      <w:r w:rsidR="00150D15" w:rsidRPr="00B30A4C">
        <w:t>reaction</w:t>
      </w:r>
      <w:r w:rsidR="007D695A" w:rsidRPr="00B30A4C">
        <w:t xml:space="preserve"> time</w:t>
      </w:r>
      <w:r w:rsidR="00150D15" w:rsidRPr="00B30A4C">
        <w:t xml:space="preserve"> has </w:t>
      </w:r>
      <w:r w:rsidR="007D695A" w:rsidRPr="00B30A4C">
        <w:t xml:space="preserve">been reduced from </w:t>
      </w:r>
      <w:r w:rsidR="00CF112E" w:rsidRPr="00B30A4C">
        <w:t>the previously reported</w:t>
      </w:r>
      <w:r w:rsidR="00150D15" w:rsidRPr="00B30A4C">
        <w:t xml:space="preserve"> 8 hours in a microwave</w:t>
      </w:r>
      <w:r w:rsidR="007D695A" w:rsidRPr="00B30A4C">
        <w:t>,</w:t>
      </w:r>
      <w:r w:rsidR="00150D15" w:rsidRPr="00B30A4C">
        <w:t xml:space="preserve"> to a 40 minute reaction at reflux whilst achieving better or equivalent yields respectively. Analysis by </w:t>
      </w:r>
      <w:r w:rsidR="00150D15" w:rsidRPr="00B30A4C">
        <w:rPr>
          <w:vertAlign w:val="superscript"/>
        </w:rPr>
        <w:t>1</w:t>
      </w:r>
      <w:r w:rsidR="00150D15" w:rsidRPr="00B30A4C">
        <w:t xml:space="preserve">H and </w:t>
      </w:r>
      <w:r w:rsidR="00150D15" w:rsidRPr="00B30A4C">
        <w:rPr>
          <w:vertAlign w:val="superscript"/>
        </w:rPr>
        <w:t>13</w:t>
      </w:r>
      <w:r w:rsidR="00150D15" w:rsidRPr="00B30A4C">
        <w:t xml:space="preserve">C NMR, GC-MS and GC-FID demonstrated high product </w:t>
      </w:r>
      <w:r w:rsidR="00A01195" w:rsidRPr="00B30A4C">
        <w:t>purity,</w:t>
      </w:r>
      <w:r w:rsidR="00150D15" w:rsidRPr="00B30A4C">
        <w:t xml:space="preserve"> </w:t>
      </w:r>
      <w:r w:rsidR="00A01195" w:rsidRPr="00B30A4C">
        <w:t>thus enabling</w:t>
      </w:r>
      <w:r w:rsidR="00150D15" w:rsidRPr="00B30A4C">
        <w:t xml:space="preserve"> it</w:t>
      </w:r>
      <w:r w:rsidR="00A01195" w:rsidRPr="00B30A4C">
        <w:t>s</w:t>
      </w:r>
      <w:r w:rsidR="00150D15" w:rsidRPr="00B30A4C">
        <w:t xml:space="preserve"> </w:t>
      </w:r>
      <w:r w:rsidR="00A01195" w:rsidRPr="00B30A4C">
        <w:t>use</w:t>
      </w:r>
      <w:r w:rsidR="00150D15" w:rsidRPr="00B30A4C">
        <w:t xml:space="preserve"> as a bio-derived platf</w:t>
      </w:r>
      <w:r w:rsidR="00CF112E" w:rsidRPr="00B30A4C">
        <w:t>orm molecule</w:t>
      </w:r>
      <w:r w:rsidR="00150D15" w:rsidRPr="00B30A4C">
        <w:t>.</w:t>
      </w:r>
      <w:r w:rsidR="00A01195" w:rsidRPr="00B30A4C">
        <w:t xml:space="preserve">  </w:t>
      </w:r>
    </w:p>
    <w:p w:rsidR="00150D15" w:rsidRPr="00B30A4C" w:rsidRDefault="000153AC" w:rsidP="00150D15">
      <w:pPr>
        <w:pStyle w:val="RSCB02ArticleText"/>
      </w:pPr>
      <w:r w:rsidRPr="00B30A4C">
        <w:tab/>
      </w:r>
      <w:r w:rsidR="00CB2B95" w:rsidRPr="00B30A4C">
        <w:t xml:space="preserve">In addition eighteen previously unreported structures were synthesised through the Claisen-Schmidt reaction of cyrene and aldehydes.  </w:t>
      </w:r>
      <w:r w:rsidR="00150D15" w:rsidRPr="00B30A4C">
        <w:t xml:space="preserve">The </w:t>
      </w:r>
      <w:r w:rsidR="00270124" w:rsidRPr="00B30A4C">
        <w:t>X-ray</w:t>
      </w:r>
      <w:r w:rsidR="00150D15" w:rsidRPr="00B30A4C">
        <w:t xml:space="preserve"> crystal structures </w:t>
      </w:r>
      <w:r w:rsidR="007D695A" w:rsidRPr="00B30A4C">
        <w:t xml:space="preserve">and use of the LLAMA protocol </w:t>
      </w:r>
      <w:r w:rsidR="00150D15" w:rsidRPr="00B30A4C">
        <w:t xml:space="preserve">showed how these compounds have similar structures to current drug analogues and therefore it is conceivable that they could have similar uses. </w:t>
      </w:r>
      <w:r w:rsidR="00CB2B95" w:rsidRPr="00B30A4C">
        <w:t>T</w:t>
      </w:r>
      <w:r w:rsidR="00150D15" w:rsidRPr="00B30A4C">
        <w:t xml:space="preserve">his </w:t>
      </w:r>
      <w:r w:rsidR="00CB2B95" w:rsidRPr="00B30A4C">
        <w:t>work</w:t>
      </w:r>
      <w:r w:rsidR="00150D15" w:rsidRPr="00B30A4C">
        <w:t xml:space="preserve"> identifies potential </w:t>
      </w:r>
      <w:r w:rsidR="00CB2B95" w:rsidRPr="00B30A4C">
        <w:t>new routes to</w:t>
      </w:r>
      <w:r w:rsidR="00150D15" w:rsidRPr="00B30A4C">
        <w:t xml:space="preserve"> bio-based molecules </w:t>
      </w:r>
      <w:r w:rsidR="00CB2B95" w:rsidRPr="00B30A4C">
        <w:t xml:space="preserve">which may enable them to </w:t>
      </w:r>
      <w:r w:rsidR="00150D15" w:rsidRPr="00B30A4C">
        <w:t xml:space="preserve">compete with petrochemical </w:t>
      </w:r>
      <w:r w:rsidR="00CB2B95" w:rsidRPr="00B30A4C">
        <w:t>products</w:t>
      </w:r>
      <w:r w:rsidR="00150D15" w:rsidRPr="00B30A4C">
        <w:t xml:space="preserve"> in the future. </w:t>
      </w:r>
    </w:p>
    <w:p w:rsidR="00584D2B" w:rsidRPr="00B30A4C" w:rsidRDefault="00584D2B" w:rsidP="00584D2B">
      <w:pPr>
        <w:pStyle w:val="RSCB04AHeadingSection"/>
      </w:pPr>
      <w:r w:rsidRPr="00B30A4C">
        <w:t>Conflict</w:t>
      </w:r>
      <w:r w:rsidR="00476602" w:rsidRPr="00B30A4C">
        <w:t>s</w:t>
      </w:r>
      <w:r w:rsidRPr="00B30A4C">
        <w:t xml:space="preserve"> of interest</w:t>
      </w:r>
    </w:p>
    <w:p w:rsidR="00BC6382" w:rsidRPr="00B30A4C" w:rsidRDefault="00BC6382" w:rsidP="00BC6382">
      <w:pPr>
        <w:rPr>
          <w:rFonts w:cs="Times New Roman"/>
          <w:w w:val="108"/>
          <w:sz w:val="18"/>
          <w:szCs w:val="18"/>
        </w:rPr>
      </w:pPr>
      <w:r w:rsidRPr="00B30A4C">
        <w:rPr>
          <w:rFonts w:cs="Times New Roman"/>
          <w:w w:val="108"/>
          <w:sz w:val="18"/>
          <w:szCs w:val="18"/>
        </w:rPr>
        <w:t>Th</w:t>
      </w:r>
      <w:r w:rsidR="00BD277B" w:rsidRPr="00B30A4C">
        <w:rPr>
          <w:rFonts w:cs="Times New Roman"/>
          <w:w w:val="108"/>
          <w:sz w:val="18"/>
          <w:szCs w:val="18"/>
        </w:rPr>
        <w:t>ere are no conflicts to declare</w:t>
      </w:r>
      <w:r w:rsidRPr="00B30A4C">
        <w:rPr>
          <w:rFonts w:cs="Times New Roman"/>
          <w:w w:val="108"/>
          <w:sz w:val="18"/>
          <w:szCs w:val="18"/>
        </w:rPr>
        <w:t>.</w:t>
      </w:r>
    </w:p>
    <w:p w:rsidR="00D010E8" w:rsidRPr="00B30A4C" w:rsidRDefault="00E61949" w:rsidP="00EF6BD4">
      <w:pPr>
        <w:pStyle w:val="RSCB04SectionHeading"/>
      </w:pPr>
      <w:r w:rsidRPr="00B30A4C">
        <w:t>Notes and references</w:t>
      </w:r>
    </w:p>
    <w:p w:rsidR="002A5421" w:rsidRPr="00B30A4C" w:rsidRDefault="002A5421" w:rsidP="00241ACD">
      <w:pPr>
        <w:pStyle w:val="RSCF02FootnotestoTitleAuthors"/>
        <w:spacing w:line="200" w:lineRule="exact"/>
        <w:rPr>
          <w:sz w:val="18"/>
          <w:szCs w:val="18"/>
        </w:rPr>
      </w:pPr>
    </w:p>
    <w:p w:rsidR="00623C66" w:rsidRPr="00B30A4C" w:rsidRDefault="00623C66" w:rsidP="00623C66">
      <w:pPr>
        <w:pStyle w:val="RSCR02References"/>
      </w:pPr>
      <w:r w:rsidRPr="00B30A4C">
        <w:t xml:space="preserve">J. Sherwood, M. De bruyn, A. Constantinou, L. Moity, C. R. McElroy, T. J. Farmer, T. Duncan, W. Raverty, A. J. Hunt and J. H. Clark, </w:t>
      </w:r>
      <w:r w:rsidRPr="00B30A4C">
        <w:rPr>
          <w:i/>
        </w:rPr>
        <w:t>Chem. Commun.,</w:t>
      </w:r>
      <w:r w:rsidRPr="00B30A4C">
        <w:t xml:space="preserve"> 2014, </w:t>
      </w:r>
      <w:r w:rsidRPr="00B30A4C">
        <w:rPr>
          <w:b/>
        </w:rPr>
        <w:t>50</w:t>
      </w:r>
      <w:r w:rsidRPr="00B30A4C">
        <w:t>, 9650-9652</w:t>
      </w:r>
    </w:p>
    <w:p w:rsidR="00623C66" w:rsidRPr="00B30A4C" w:rsidRDefault="00623C66" w:rsidP="00623C66">
      <w:pPr>
        <w:pStyle w:val="RSCR02References"/>
      </w:pPr>
      <w:r w:rsidRPr="00B30A4C">
        <w:t>A. Alves Costa Pacheco, J. Sherwood, A. Zhenova, C. R. McElroy, A. J. Hunt, H. L. Parker, T. J. Farmer, A. Constantinou, M. De bruyn, A. C. Whitwood, W. Raverty</w:t>
      </w:r>
      <w:r w:rsidR="00FA451F">
        <w:t xml:space="preserve"> and</w:t>
      </w:r>
      <w:r w:rsidRPr="00B30A4C">
        <w:t xml:space="preserve"> J. H. Clark, </w:t>
      </w:r>
      <w:r w:rsidRPr="00B30A4C">
        <w:rPr>
          <w:i/>
        </w:rPr>
        <w:t>ChemSusChem</w:t>
      </w:r>
      <w:r w:rsidRPr="00B30A4C">
        <w:t xml:space="preserve">, 2016, </w:t>
      </w:r>
      <w:r w:rsidRPr="00B30A4C">
        <w:rPr>
          <w:b/>
        </w:rPr>
        <w:t>9</w:t>
      </w:r>
      <w:r w:rsidRPr="00B30A4C">
        <w:t>, 3503-3512</w:t>
      </w:r>
    </w:p>
    <w:p w:rsidR="00A861AA" w:rsidRPr="00B30A4C" w:rsidRDefault="00A861AA" w:rsidP="00A861AA">
      <w:pPr>
        <w:pStyle w:val="RSCR02References"/>
      </w:pPr>
      <w:r w:rsidRPr="00B30A4C">
        <w:t xml:space="preserve">J. Zhang, G. White, M. Ryan, A. J. Hunt, and M. J. Katz, </w:t>
      </w:r>
      <w:r w:rsidRPr="00B30A4C">
        <w:rPr>
          <w:i/>
        </w:rPr>
        <w:t>ACS Sustainable Chem. Eng.</w:t>
      </w:r>
      <w:r w:rsidRPr="00B30A4C">
        <w:t xml:space="preserve">, 2016, </w:t>
      </w:r>
      <w:r w:rsidRPr="00B30A4C">
        <w:rPr>
          <w:b/>
        </w:rPr>
        <w:t>4</w:t>
      </w:r>
      <w:r w:rsidRPr="00B30A4C">
        <w:t>, 7186-7192</w:t>
      </w:r>
    </w:p>
    <w:p w:rsidR="00A861AA" w:rsidRPr="00B30A4C" w:rsidRDefault="00A861AA" w:rsidP="00A861AA">
      <w:pPr>
        <w:pStyle w:val="RSCR02References"/>
      </w:pPr>
      <w:r w:rsidRPr="00B30A4C">
        <w:t xml:space="preserve">K. L. Wilson, A. R. Kennedy, J. Murray, B. Greatrex, C. Jamieson and A. J. B. Watson, </w:t>
      </w:r>
      <w:r w:rsidRPr="00B30A4C">
        <w:rPr>
          <w:i/>
          <w:iCs/>
        </w:rPr>
        <w:t xml:space="preserve">Beilstein J. Org. Chem. </w:t>
      </w:r>
      <w:r w:rsidRPr="00B30A4C">
        <w:t>2016,</w:t>
      </w:r>
      <w:r w:rsidRPr="00B30A4C">
        <w:rPr>
          <w:b/>
        </w:rPr>
        <w:t xml:space="preserve"> </w:t>
      </w:r>
      <w:r w:rsidRPr="00B30A4C">
        <w:rPr>
          <w:b/>
          <w:iCs/>
        </w:rPr>
        <w:t>12</w:t>
      </w:r>
      <w:r w:rsidRPr="00B30A4C">
        <w:rPr>
          <w:i/>
          <w:iCs/>
        </w:rPr>
        <w:t xml:space="preserve">, </w:t>
      </w:r>
      <w:r w:rsidRPr="00B30A4C">
        <w:t>2005–2011.</w:t>
      </w:r>
    </w:p>
    <w:p w:rsidR="000153AC" w:rsidRPr="00B30A4C" w:rsidRDefault="000153AC" w:rsidP="000153AC">
      <w:pPr>
        <w:pStyle w:val="RSCR02References"/>
      </w:pPr>
      <w:r w:rsidRPr="00B30A4C">
        <w:t xml:space="preserve">C. Palomo, M. Oiarbide, and J. M. Garcia, </w:t>
      </w:r>
      <w:r w:rsidRPr="00B30A4C">
        <w:rPr>
          <w:i/>
        </w:rPr>
        <w:t>Chem. Soc. Rev</w:t>
      </w:r>
      <w:r w:rsidRPr="00B30A4C">
        <w:t>., 2004, 33, 65</w:t>
      </w:r>
    </w:p>
    <w:p w:rsidR="00353B84" w:rsidRPr="00B30A4C" w:rsidRDefault="00A861AA" w:rsidP="000153AC">
      <w:pPr>
        <w:pStyle w:val="RSCR02References"/>
      </w:pPr>
      <w:r w:rsidRPr="00B30A4C">
        <w:t xml:space="preserve">S. Bhagat, R. Sharma and A. K. Chakraborti, </w:t>
      </w:r>
      <w:r w:rsidRPr="00B30A4C">
        <w:rPr>
          <w:i/>
        </w:rPr>
        <w:t>J. Mol. Catal. A: Chem.</w:t>
      </w:r>
      <w:r w:rsidRPr="00B30A4C">
        <w:t xml:space="preserve">, 2006, </w:t>
      </w:r>
      <w:r w:rsidRPr="00B30A4C">
        <w:rPr>
          <w:b/>
        </w:rPr>
        <w:t>260</w:t>
      </w:r>
      <w:r w:rsidRPr="00B30A4C">
        <w:t>, 235-240</w:t>
      </w:r>
    </w:p>
    <w:p w:rsidR="00353B84" w:rsidRPr="00B30A4C" w:rsidRDefault="00A861AA" w:rsidP="00A861AA">
      <w:pPr>
        <w:pStyle w:val="RSCR02References"/>
      </w:pPr>
      <w:r w:rsidRPr="00B30A4C">
        <w:t xml:space="preserve">L. An, J. Zou and L. Zhang, </w:t>
      </w:r>
      <w:r w:rsidRPr="00B30A4C">
        <w:rPr>
          <w:i/>
        </w:rPr>
        <w:t>Catal. Commun.</w:t>
      </w:r>
      <w:r w:rsidRPr="00B30A4C">
        <w:t xml:space="preserve">, 2008, </w:t>
      </w:r>
      <w:r w:rsidRPr="00B30A4C">
        <w:rPr>
          <w:b/>
        </w:rPr>
        <w:t>9</w:t>
      </w:r>
      <w:r w:rsidRPr="00B30A4C">
        <w:t>, 349-354</w:t>
      </w:r>
      <w:r w:rsidR="00353B84" w:rsidRPr="00B30A4C">
        <w:t>.</w:t>
      </w:r>
    </w:p>
    <w:p w:rsidR="00A861AA" w:rsidRPr="00B30A4C" w:rsidRDefault="00A861AA" w:rsidP="00A861AA">
      <w:pPr>
        <w:pStyle w:val="RSCR02References"/>
      </w:pPr>
      <w:r w:rsidRPr="00B30A4C">
        <w:t xml:space="preserve">J. Li, W. Yang, G. Chen and T. Li, </w:t>
      </w:r>
      <w:r w:rsidRPr="00B30A4C">
        <w:rPr>
          <w:i/>
        </w:rPr>
        <w:t>Synth. Commun.</w:t>
      </w:r>
      <w:r w:rsidRPr="00B30A4C">
        <w:t xml:space="preserve">, 2003, </w:t>
      </w:r>
      <w:r w:rsidRPr="00B30A4C">
        <w:rPr>
          <w:b/>
        </w:rPr>
        <w:t>33</w:t>
      </w:r>
      <w:r w:rsidRPr="00B30A4C">
        <w:t>, 2619-2625.</w:t>
      </w:r>
    </w:p>
    <w:p w:rsidR="00103351" w:rsidRDefault="00DF47A7" w:rsidP="00103351">
      <w:pPr>
        <w:pStyle w:val="RSCR02References"/>
      </w:pPr>
      <w:r w:rsidRPr="00B30A4C">
        <w:t>R.</w:t>
      </w:r>
      <w:r w:rsidR="00FA451F">
        <w:t xml:space="preserve"> </w:t>
      </w:r>
      <w:r w:rsidRPr="00B30A4C">
        <w:t>K. Henderson, A.</w:t>
      </w:r>
      <w:r w:rsidR="00FA451F">
        <w:t xml:space="preserve"> </w:t>
      </w:r>
      <w:r w:rsidRPr="00B30A4C">
        <w:t>P. Hill, A.</w:t>
      </w:r>
      <w:r w:rsidR="00FA451F">
        <w:t xml:space="preserve"> </w:t>
      </w:r>
      <w:r w:rsidRPr="00B30A4C">
        <w:t>M. Redman and H.</w:t>
      </w:r>
      <w:r w:rsidR="00FA451F">
        <w:t xml:space="preserve"> </w:t>
      </w:r>
      <w:r w:rsidRPr="00B30A4C">
        <w:t xml:space="preserve">F. Sneddon, </w:t>
      </w:r>
      <w:r w:rsidRPr="00B30A4C">
        <w:rPr>
          <w:i/>
        </w:rPr>
        <w:t>Green Chem</w:t>
      </w:r>
      <w:r w:rsidRPr="00B30A4C">
        <w:t>., 2015,</w:t>
      </w:r>
      <w:r w:rsidRPr="00B30A4C">
        <w:rPr>
          <w:b/>
        </w:rPr>
        <w:t>17</w:t>
      </w:r>
      <w:r w:rsidRPr="00B30A4C">
        <w:t>, 945-949.</w:t>
      </w:r>
    </w:p>
    <w:p w:rsidR="00FA451F" w:rsidRDefault="00FA451F" w:rsidP="00FA451F">
      <w:pPr>
        <w:pStyle w:val="RSCR02References"/>
      </w:pPr>
      <w:r>
        <w:t>J.L.L.</w:t>
      </w:r>
      <w:r w:rsidRPr="004E3E12">
        <w:t xml:space="preserve"> Beitia</w:t>
      </w:r>
      <w:r>
        <w:t>,</w:t>
      </w:r>
      <w:r w:rsidRPr="004E3E12">
        <w:t xml:space="preserve"> </w:t>
      </w:r>
      <w:r w:rsidRPr="00DD78A7">
        <w:rPr>
          <w:i/>
        </w:rPr>
        <w:t>Synlett</w:t>
      </w:r>
      <w:r>
        <w:t xml:space="preserve">, 2011, </w:t>
      </w:r>
      <w:r w:rsidRPr="00DD78A7">
        <w:rPr>
          <w:b/>
        </w:rPr>
        <w:t>1</w:t>
      </w:r>
      <w:r>
        <w:t>, 139-140</w:t>
      </w:r>
    </w:p>
    <w:p w:rsidR="00CA1159" w:rsidRPr="00B30A4C" w:rsidRDefault="00CA1159" w:rsidP="00CA1159">
      <w:pPr>
        <w:pStyle w:val="RSCR02References"/>
      </w:pPr>
      <w:r w:rsidRPr="00B30A4C">
        <w:t>(a) Data kindly provided by Circa Group Ltd., the manufacturer of Cyrene, by F. Hoffmann La Roche Ltd., hereby acknowledged as the source of the data. (b) Safety Data Sheet of Circa Group Pty Ltd. (c) R. Azzi-Hartmann, unpublished work.</w:t>
      </w:r>
    </w:p>
    <w:p w:rsidR="009316A6" w:rsidRDefault="00FA451F" w:rsidP="00CF112E">
      <w:pPr>
        <w:pStyle w:val="RSCR02References"/>
      </w:pPr>
      <w:r>
        <w:t>(a)</w:t>
      </w:r>
      <w:r w:rsidR="0086669D">
        <w:t xml:space="preserve"> </w:t>
      </w:r>
      <w:r w:rsidR="00103351" w:rsidRPr="00B30A4C">
        <w:t>L. Claisen</w:t>
      </w:r>
      <w:r>
        <w:t xml:space="preserve"> and</w:t>
      </w:r>
      <w:r w:rsidR="00103351" w:rsidRPr="00B30A4C">
        <w:t xml:space="preserve"> A. Claparède, </w:t>
      </w:r>
      <w:r w:rsidR="00103351" w:rsidRPr="00B30A4C">
        <w:rPr>
          <w:i/>
        </w:rPr>
        <w:t>Ber. Dtsch. Chem. Ges</w:t>
      </w:r>
      <w:r w:rsidR="00103351" w:rsidRPr="00B30A4C">
        <w:t xml:space="preserve">., 1881, </w:t>
      </w:r>
      <w:r w:rsidR="00103351" w:rsidRPr="00B30A4C">
        <w:rPr>
          <w:b/>
        </w:rPr>
        <w:t>14</w:t>
      </w:r>
      <w:r w:rsidR="00103351" w:rsidRPr="00B30A4C">
        <w:t xml:space="preserve">, 2460; </w:t>
      </w:r>
      <w:r>
        <w:t>(b)</w:t>
      </w:r>
      <w:r w:rsidR="0086669D">
        <w:t xml:space="preserve"> </w:t>
      </w:r>
      <w:r w:rsidR="00103351" w:rsidRPr="00B30A4C">
        <w:t xml:space="preserve">J. Gustav Schmidt, </w:t>
      </w:r>
      <w:r w:rsidR="00103351" w:rsidRPr="00B30A4C">
        <w:rPr>
          <w:i/>
        </w:rPr>
        <w:t>Ber. Dtsch. Chem. Ges</w:t>
      </w:r>
      <w:r w:rsidR="00103351" w:rsidRPr="00B30A4C">
        <w:t xml:space="preserve">., 1881, </w:t>
      </w:r>
      <w:r w:rsidR="00103351" w:rsidRPr="00B30A4C">
        <w:rPr>
          <w:b/>
        </w:rPr>
        <w:t>14</w:t>
      </w:r>
      <w:r w:rsidR="00103351" w:rsidRPr="00B30A4C">
        <w:t>, 1459;</w:t>
      </w:r>
      <w:r>
        <w:t xml:space="preserve"> (c)</w:t>
      </w:r>
      <w:r w:rsidR="00103351" w:rsidRPr="00B30A4C">
        <w:t xml:space="preserve"> A.</w:t>
      </w:r>
      <w:r w:rsidR="00B82D51">
        <w:t xml:space="preserve"> </w:t>
      </w:r>
      <w:r w:rsidR="00103351" w:rsidRPr="00B30A4C">
        <w:t>T. Nielsen and W</w:t>
      </w:r>
      <w:r w:rsidR="00B82D51">
        <w:t xml:space="preserve"> </w:t>
      </w:r>
      <w:r w:rsidR="00103351" w:rsidRPr="00B30A4C">
        <w:t xml:space="preserve">.J. Houlihan, </w:t>
      </w:r>
      <w:r w:rsidR="00103351" w:rsidRPr="00B30A4C">
        <w:rPr>
          <w:i/>
        </w:rPr>
        <w:t>Org. React</w:t>
      </w:r>
      <w:r w:rsidR="00103351" w:rsidRPr="00B30A4C">
        <w:t xml:space="preserve">., 1968, </w:t>
      </w:r>
      <w:r w:rsidR="00103351" w:rsidRPr="00B30A4C">
        <w:rPr>
          <w:b/>
        </w:rPr>
        <w:t>16</w:t>
      </w:r>
      <w:r w:rsidR="00103351" w:rsidRPr="00B30A4C">
        <w:t>, 1.</w:t>
      </w:r>
      <w:r w:rsidR="00DF47A7" w:rsidRPr="00B30A4C">
        <w:t xml:space="preserve"> </w:t>
      </w:r>
    </w:p>
    <w:p w:rsidR="00FA451F" w:rsidRDefault="00FA451F" w:rsidP="00FA451F">
      <w:pPr>
        <w:pStyle w:val="RSCR02References"/>
      </w:pPr>
      <w:r>
        <w:t>C.</w:t>
      </w:r>
      <w:r w:rsidR="00B82D51">
        <w:t xml:space="preserve"> </w:t>
      </w:r>
      <w:r>
        <w:t>R. McElroy, A.</w:t>
      </w:r>
      <w:r w:rsidRPr="00EF721B">
        <w:t xml:space="preserve"> </w:t>
      </w:r>
      <w:r>
        <w:t>Constantinou, L.</w:t>
      </w:r>
      <w:r w:rsidR="00B82D51">
        <w:t xml:space="preserve"> </w:t>
      </w:r>
      <w:r>
        <w:t>C.</w:t>
      </w:r>
      <w:r w:rsidRPr="00EF721B">
        <w:t xml:space="preserve"> </w:t>
      </w:r>
      <w:r>
        <w:t>Jones, L. Summerton and J.</w:t>
      </w:r>
      <w:r w:rsidR="00B82D51">
        <w:t xml:space="preserve"> </w:t>
      </w:r>
      <w:r>
        <w:t>H. Clark,</w:t>
      </w:r>
      <w:r w:rsidRPr="00EF721B">
        <w:rPr>
          <w:i/>
        </w:rPr>
        <w:t xml:space="preserve"> Green Chem.</w:t>
      </w:r>
      <w:r w:rsidRPr="00EF721B">
        <w:t>, 2015,</w:t>
      </w:r>
      <w:r>
        <w:t xml:space="preserve"> </w:t>
      </w:r>
      <w:r w:rsidRPr="00EF721B">
        <w:rPr>
          <w:b/>
        </w:rPr>
        <w:t>17</w:t>
      </w:r>
      <w:r w:rsidRPr="00EF721B">
        <w:t>, 3111-3121</w:t>
      </w:r>
    </w:p>
    <w:p w:rsidR="00CF112E" w:rsidRPr="00B30A4C" w:rsidRDefault="00CF112E" w:rsidP="00CF112E">
      <w:pPr>
        <w:pStyle w:val="RSCR02References"/>
      </w:pPr>
      <w:r w:rsidRPr="00B30A4C">
        <w:t>H. K. Maurya, maebaldolreaction.blogspot.com, 2011, 1P, 1-29 (</w:t>
      </w:r>
      <w:hyperlink r:id="rId21" w:history="1">
        <w:r w:rsidRPr="00B30A4C">
          <w:rPr>
            <w:rStyle w:val="Hyperlink"/>
          </w:rPr>
          <w:t>http://maebaldolreaction.blogspot.in/</w:t>
        </w:r>
      </w:hyperlink>
      <w:r w:rsidRPr="00B30A4C">
        <w:t>), accessed March 2018</w:t>
      </w:r>
    </w:p>
    <w:p w:rsidR="00CF112E" w:rsidRPr="00B30A4C" w:rsidRDefault="00CF112E" w:rsidP="00B0470A">
      <w:pPr>
        <w:pStyle w:val="RSCR02References"/>
      </w:pPr>
      <w:r w:rsidRPr="00B30A4C">
        <w:t>I. Colomer, C. J. Empson, P. Craven, Z. Owen, R. G. Doveston, I. Churcher</w:t>
      </w:r>
      <w:r w:rsidR="00FA451F">
        <w:t xml:space="preserve"> and</w:t>
      </w:r>
      <w:r w:rsidRPr="00B30A4C">
        <w:t xml:space="preserve"> S. P. Marsden, </w:t>
      </w:r>
      <w:r w:rsidRPr="00B30A4C">
        <w:rPr>
          <w:i/>
        </w:rPr>
        <w:t>Chem. Commun</w:t>
      </w:r>
      <w:r w:rsidRPr="00B30A4C">
        <w:t xml:space="preserve">., </w:t>
      </w:r>
      <w:r w:rsidRPr="00B30A4C">
        <w:rPr>
          <w:bCs/>
        </w:rPr>
        <w:t>2016</w:t>
      </w:r>
      <w:r w:rsidRPr="00B30A4C">
        <w:t xml:space="preserve">, </w:t>
      </w:r>
      <w:r w:rsidRPr="00B30A4C">
        <w:rPr>
          <w:b/>
        </w:rPr>
        <w:t>52</w:t>
      </w:r>
      <w:r w:rsidRPr="00B30A4C">
        <w:t>, 7209-7212.</w:t>
      </w:r>
    </w:p>
    <w:sectPr w:rsidR="00CF112E" w:rsidRPr="00B30A4C"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D6B" w:rsidRDefault="005D1D6B" w:rsidP="00E547DB">
      <w:pPr>
        <w:spacing w:after="0" w:line="240" w:lineRule="auto"/>
      </w:pPr>
      <w:r>
        <w:separator/>
      </w:r>
    </w:p>
    <w:p w:rsidR="005D1D6B" w:rsidRDefault="005D1D6B"/>
    <w:p w:rsidR="005D1D6B" w:rsidRDefault="005D1D6B"/>
    <w:p w:rsidR="005D1D6B" w:rsidRDefault="005D1D6B"/>
    <w:p w:rsidR="005D1D6B" w:rsidRDefault="005D1D6B"/>
    <w:p w:rsidR="005D1D6B" w:rsidRDefault="005D1D6B"/>
  </w:endnote>
  <w:endnote w:type="continuationSeparator" w:id="0">
    <w:p w:rsidR="005D1D6B" w:rsidRDefault="005D1D6B" w:rsidP="00E547DB">
      <w:pPr>
        <w:spacing w:after="0" w:line="240" w:lineRule="auto"/>
      </w:pPr>
      <w:r>
        <w:continuationSeparator/>
      </w:r>
    </w:p>
    <w:p w:rsidR="005D1D6B" w:rsidRDefault="005D1D6B"/>
    <w:p w:rsidR="005D1D6B" w:rsidRDefault="005D1D6B"/>
    <w:p w:rsidR="005D1D6B" w:rsidRDefault="005D1D6B"/>
    <w:p w:rsidR="005D1D6B" w:rsidRDefault="005D1D6B"/>
    <w:p w:rsidR="005D1D6B" w:rsidRDefault="005D1D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E060827D-C365-4663-8D99-1A33E99DD730}"/>
    <w:embedBold r:id="rId2" w:fontKey="{0C3AA6CA-3323-4F4E-8423-98DBB817CC59}"/>
    <w:embedItalic r:id="rId3" w:fontKey="{D40445E7-F9CB-4758-B6FC-0211E4CA5AA9}"/>
  </w:font>
  <w:font w:name="Tahoma">
    <w:panose1 w:val="020B0604030504040204"/>
    <w:charset w:val="00"/>
    <w:family w:val="swiss"/>
    <w:pitch w:val="variable"/>
    <w:sig w:usb0="E1002EFF" w:usb1="C000605B" w:usb2="00000029" w:usb3="00000000" w:csb0="000101FF" w:csb1="00000000"/>
    <w:embedRegular r:id="rId4" w:fontKey="{814BEC06-935A-46A1-8F29-65235DA492CE}"/>
  </w:font>
  <w:font w:name="Cambria">
    <w:panose1 w:val="02040503050406030204"/>
    <w:charset w:val="00"/>
    <w:family w:val="roman"/>
    <w:pitch w:val="variable"/>
    <w:sig w:usb0="E00002FF" w:usb1="400004FF" w:usb2="00000000" w:usb3="00000000" w:csb0="0000019F" w:csb1="00000000"/>
    <w:embedRegular r:id="rId5" w:fontKey="{F2888E20-3424-4BC3-A1F9-7BAC75962C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955" w:rsidRPr="006602F1" w:rsidRDefault="002D0955"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7723B5">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955" w:rsidRPr="006602F1" w:rsidRDefault="002D0955"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DD78A7">
      <w:rPr>
        <w:b/>
        <w:noProof/>
        <w:spacing w:val="10"/>
        <w:sz w:val="16"/>
        <w:szCs w:val="16"/>
      </w:rPr>
      <w:t>5</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955" w:rsidRPr="006602F1" w:rsidRDefault="00DB55F3"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407BA3AE" wp14:editId="62432EB0">
              <wp:simplePos x="0" y="0"/>
              <wp:positionH relativeFrom="column">
                <wp:align>center</wp:align>
              </wp:positionH>
              <wp:positionV relativeFrom="page">
                <wp:align>bottom</wp:align>
              </wp:positionV>
              <wp:extent cx="7700645" cy="39624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rsidR="002D0955" w:rsidRPr="00F20A7C" w:rsidRDefault="002D0955"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" fillcolor="#a5a5a5 [2092]" stroked="f">
              <v:textbox>
                <w:txbxContent>
                  <w:p w:rsidR="002D0955" w:rsidRPr="00F20A7C" w:rsidRDefault="002D0955"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2D0955" w:rsidRPr="002C0803">
      <w:rPr>
        <w:noProof/>
        <w:spacing w:val="2"/>
        <w:sz w:val="16"/>
        <w:szCs w:val="16"/>
      </w:rPr>
      <w:t xml:space="preserve">This journal is </w:t>
    </w:r>
    <w:r w:rsidR="002D0955" w:rsidRPr="002C0803">
      <w:rPr>
        <w:rFonts w:cstheme="minorHAnsi"/>
        <w:noProof/>
        <w:spacing w:val="2"/>
        <w:sz w:val="16"/>
        <w:szCs w:val="16"/>
      </w:rPr>
      <w:t>©</w:t>
    </w:r>
    <w:r w:rsidR="002D0955" w:rsidRPr="002C0803">
      <w:rPr>
        <w:noProof/>
        <w:spacing w:val="2"/>
        <w:sz w:val="16"/>
        <w:szCs w:val="16"/>
      </w:rPr>
      <w:t xml:space="preserve"> The</w:t>
    </w:r>
    <w:r w:rsidR="002D0955">
      <w:rPr>
        <w:noProof/>
        <w:spacing w:val="2"/>
        <w:sz w:val="16"/>
        <w:szCs w:val="16"/>
      </w:rPr>
      <w:t xml:space="preserve"> Royal Society of Chemistry 20xx</w:t>
    </w:r>
    <w:r w:rsidR="002D0955" w:rsidRPr="006602F1">
      <w:rPr>
        <w:i/>
        <w:noProof/>
        <w:sz w:val="16"/>
        <w:szCs w:val="16"/>
      </w:rPr>
      <w:tab/>
    </w:r>
    <w:r w:rsidR="002D0955">
      <w:rPr>
        <w:i/>
        <w:noProof/>
        <w:spacing w:val="10"/>
        <w:sz w:val="16"/>
        <w:szCs w:val="16"/>
      </w:rPr>
      <w:t>J</w:t>
    </w:r>
    <w:r w:rsidR="002D0955" w:rsidRPr="002C0803">
      <w:rPr>
        <w:i/>
        <w:noProof/>
        <w:spacing w:val="10"/>
        <w:sz w:val="16"/>
        <w:szCs w:val="16"/>
      </w:rPr>
      <w:t xml:space="preserve">. </w:t>
    </w:r>
    <w:r w:rsidR="002D0955">
      <w:rPr>
        <w:i/>
        <w:noProof/>
        <w:spacing w:val="10"/>
        <w:sz w:val="16"/>
        <w:szCs w:val="16"/>
      </w:rPr>
      <w:t>Name</w:t>
    </w:r>
    <w:r w:rsidR="002D0955" w:rsidRPr="002C0803">
      <w:rPr>
        <w:noProof/>
        <w:spacing w:val="10"/>
        <w:sz w:val="16"/>
        <w:szCs w:val="16"/>
      </w:rPr>
      <w:t>., 201</w:t>
    </w:r>
    <w:r w:rsidR="002D0955">
      <w:rPr>
        <w:noProof/>
        <w:spacing w:val="10"/>
        <w:sz w:val="16"/>
        <w:szCs w:val="16"/>
      </w:rPr>
      <w:t>3</w:t>
    </w:r>
    <w:r w:rsidR="002D0955" w:rsidRPr="002C0803">
      <w:rPr>
        <w:noProof/>
        <w:spacing w:val="10"/>
        <w:sz w:val="16"/>
        <w:szCs w:val="16"/>
      </w:rPr>
      <w:t xml:space="preserve">, </w:t>
    </w:r>
    <w:r w:rsidR="002D0955" w:rsidRPr="002C0803">
      <w:rPr>
        <w:b/>
        <w:noProof/>
        <w:spacing w:val="10"/>
        <w:sz w:val="16"/>
        <w:szCs w:val="16"/>
      </w:rPr>
      <w:t>00</w:t>
    </w:r>
    <w:r w:rsidR="002D0955" w:rsidRPr="002C0803">
      <w:rPr>
        <w:noProof/>
        <w:spacing w:val="10"/>
        <w:sz w:val="16"/>
        <w:szCs w:val="16"/>
      </w:rPr>
      <w:t>, 1-3</w:t>
    </w:r>
    <w:r w:rsidR="002D0955" w:rsidRPr="002C0803">
      <w:rPr>
        <w:spacing w:val="10"/>
        <w:sz w:val="16"/>
        <w:szCs w:val="16"/>
      </w:rPr>
      <w:t xml:space="preserve"> | </w:t>
    </w:r>
    <w:r w:rsidR="002D0955" w:rsidRPr="008C1387">
      <w:rPr>
        <w:b/>
        <w:spacing w:val="10"/>
        <w:sz w:val="16"/>
        <w:szCs w:val="16"/>
      </w:rPr>
      <w:fldChar w:fldCharType="begin"/>
    </w:r>
    <w:r w:rsidR="002D0955" w:rsidRPr="008C1387">
      <w:rPr>
        <w:b/>
        <w:spacing w:val="10"/>
        <w:sz w:val="16"/>
        <w:szCs w:val="16"/>
      </w:rPr>
      <w:instrText xml:space="preserve"> PAGE   \* MERGEFORMAT </w:instrText>
    </w:r>
    <w:r w:rsidR="002D0955" w:rsidRPr="008C1387">
      <w:rPr>
        <w:b/>
        <w:spacing w:val="10"/>
        <w:sz w:val="16"/>
        <w:szCs w:val="16"/>
      </w:rPr>
      <w:fldChar w:fldCharType="separate"/>
    </w:r>
    <w:r w:rsidR="007723B5">
      <w:rPr>
        <w:b/>
        <w:noProof/>
        <w:spacing w:val="10"/>
        <w:sz w:val="16"/>
        <w:szCs w:val="16"/>
      </w:rPr>
      <w:t>1</w:t>
    </w:r>
    <w:r w:rsidR="002D0955" w:rsidRPr="008C1387">
      <w:rPr>
        <w:b/>
        <w:noProof/>
        <w:spacing w:val="10"/>
        <w:sz w:val="16"/>
        <w:szCs w:val="16"/>
      </w:rPr>
      <w:fldChar w:fldCharType="end"/>
    </w:r>
    <w:r w:rsidR="002D0955"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D6B" w:rsidRDefault="005D1D6B" w:rsidP="00E547DB">
      <w:pPr>
        <w:spacing w:after="0" w:line="240" w:lineRule="auto"/>
      </w:pPr>
      <w:r>
        <w:separator/>
      </w:r>
    </w:p>
    <w:p w:rsidR="005D1D6B" w:rsidRDefault="005D1D6B"/>
    <w:p w:rsidR="005D1D6B" w:rsidRDefault="005D1D6B"/>
    <w:p w:rsidR="005D1D6B" w:rsidRDefault="005D1D6B"/>
    <w:p w:rsidR="005D1D6B" w:rsidRDefault="005D1D6B"/>
    <w:p w:rsidR="005D1D6B" w:rsidRDefault="005D1D6B"/>
  </w:footnote>
  <w:footnote w:type="continuationSeparator" w:id="0">
    <w:p w:rsidR="005D1D6B" w:rsidRDefault="005D1D6B" w:rsidP="00E547DB">
      <w:pPr>
        <w:spacing w:after="0" w:line="240" w:lineRule="auto"/>
      </w:pPr>
      <w:r>
        <w:continuationSeparator/>
      </w:r>
    </w:p>
    <w:p w:rsidR="005D1D6B" w:rsidRDefault="005D1D6B"/>
    <w:p w:rsidR="005D1D6B" w:rsidRDefault="005D1D6B"/>
    <w:p w:rsidR="005D1D6B" w:rsidRDefault="005D1D6B"/>
    <w:p w:rsidR="005D1D6B" w:rsidRDefault="005D1D6B"/>
    <w:p w:rsidR="005D1D6B" w:rsidRDefault="005D1D6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955" w:rsidRPr="00E70DCE" w:rsidRDefault="002D0955"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sidR="00DB55F3">
      <w:rPr>
        <w:noProof/>
        <w:lang w:eastAsia="en-GB"/>
      </w:rPr>
      <mc:AlternateContent>
        <mc:Choice Requires="wps">
          <w:drawing>
            <wp:anchor distT="0" distB="0" distL="114300" distR="114300" simplePos="0" relativeHeight="251668480" behindDoc="0" locked="0" layoutInCell="1" allowOverlap="1" wp14:anchorId="7C39744F" wp14:editId="432FE699">
              <wp:simplePos x="0" y="0"/>
              <wp:positionH relativeFrom="column">
                <wp:align>center</wp:align>
              </wp:positionH>
              <wp:positionV relativeFrom="page">
                <wp:align>bottom</wp:align>
              </wp:positionV>
              <wp:extent cx="7700645" cy="396240"/>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rsidR="002D0955" w:rsidRPr="00F20A7C" w:rsidRDefault="002D095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RMMn3jECAABABAAADgAAAAAAAAAAAAAAAAAuAgAA&#10;ZHJzL2Uyb0RvYy54bWxQSwECLQAUAAYACAAAACEA/zb6gNwAAAAFAQAADwAAAAAAAAAAAAAAAACL&#10;BAAAZHJzL2Rvd25yZXYueG1sUEsFBgAAAAAEAAQA8wAAAJQFAAAAAA==&#10;" fillcolor="#a5a5a5 [2092]" stroked="f">
              <v:textbox>
                <w:txbxContent>
                  <w:p w:rsidR="002D0955" w:rsidRPr="00F20A7C" w:rsidRDefault="002D095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DB55F3">
      <w:rPr>
        <w:noProof/>
        <w:lang w:eastAsia="en-GB"/>
      </w:rPr>
      <mc:AlternateContent>
        <mc:Choice Requires="wps">
          <w:drawing>
            <wp:anchor distT="0" distB="0" distL="114300" distR="114300" simplePos="0" relativeHeight="251666432" behindDoc="0" locked="0" layoutInCell="1" allowOverlap="1" wp14:anchorId="1FAE44A4" wp14:editId="7B8BFEDF">
              <wp:simplePos x="0" y="0"/>
              <wp:positionH relativeFrom="column">
                <wp:align>center</wp:align>
              </wp:positionH>
              <wp:positionV relativeFrom="page">
                <wp:align>top</wp:align>
              </wp:positionV>
              <wp:extent cx="7700645" cy="396240"/>
              <wp:effectExtent l="0" t="0" r="0" b="38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rsidR="002D0955" w:rsidRPr="00F20A7C" w:rsidRDefault="002D095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" fillcolor="#a5a5a5 [2092]" stroked="f">
              <v:textbox>
                <w:txbxContent>
                  <w:p w:rsidR="002D0955" w:rsidRPr="00F20A7C" w:rsidRDefault="002D095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955" w:rsidRPr="009316A6" w:rsidRDefault="00DB55F3"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44BDB32A" wp14:editId="3C8F195E">
              <wp:simplePos x="0" y="0"/>
              <wp:positionH relativeFrom="column">
                <wp:align>center</wp:align>
              </wp:positionH>
              <wp:positionV relativeFrom="page">
                <wp:align>bottom</wp:align>
              </wp:positionV>
              <wp:extent cx="7700645" cy="399415"/>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9415"/>
                      </a:xfrm>
                      <a:prstGeom prst="rect">
                        <a:avLst/>
                      </a:prstGeom>
                      <a:solidFill>
                        <a:schemeClr val="bg1">
                          <a:lumMod val="65000"/>
                        </a:schemeClr>
                      </a:solidFill>
                      <a:ln w="9525">
                        <a:noFill/>
                        <a:miter lim="800000"/>
                        <a:headEnd/>
                        <a:tailEnd/>
                      </a:ln>
                    </wps:spPr>
                    <wps:txbx>
                      <w:txbxContent>
                        <w:p w:rsidR="002D0955" w:rsidRPr="00F20A7C" w:rsidRDefault="002D095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" fillcolor="#a5a5a5 [2092]" stroked="f">
              <v:textbox>
                <w:txbxContent>
                  <w:p w:rsidR="002D0955" w:rsidRPr="00F20A7C" w:rsidRDefault="002D095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2D0955">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58CCED16" wp14:editId="48B038D6">
              <wp:simplePos x="0" y="0"/>
              <wp:positionH relativeFrom="column">
                <wp:align>center</wp:align>
              </wp:positionH>
              <wp:positionV relativeFrom="page">
                <wp:align>top</wp:align>
              </wp:positionV>
              <wp:extent cx="7700645" cy="4248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424815"/>
                      </a:xfrm>
                      <a:prstGeom prst="rect">
                        <a:avLst/>
                      </a:prstGeom>
                      <a:solidFill>
                        <a:schemeClr val="bg1">
                          <a:lumMod val="65000"/>
                        </a:schemeClr>
                      </a:solidFill>
                      <a:ln w="9525">
                        <a:noFill/>
                        <a:miter lim="800000"/>
                        <a:headEnd/>
                        <a:tailEnd/>
                      </a:ln>
                    </wps:spPr>
                    <wps:txbx>
                      <w:txbxContent>
                        <w:p w:rsidR="002D0955" w:rsidRPr="00F20A7C" w:rsidRDefault="002D095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" fillcolor="#a5a5a5 [2092]" stroked="f">
              <v:textbox>
                <w:txbxContent>
                  <w:p w:rsidR="002D0955" w:rsidRPr="00F20A7C" w:rsidRDefault="002D095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2D0955">
      <w:rPr>
        <w:rFonts w:cstheme="minorHAnsi"/>
        <w:b/>
        <w:color w:val="999999"/>
        <w:sz w:val="20"/>
        <w:szCs w:val="20"/>
      </w:rPr>
      <w:ptab w:relativeTo="margin" w:alignment="right" w:leader="none"/>
    </w:r>
    <w:r w:rsidR="002D0955" w:rsidRPr="00E46BDF">
      <w:rPr>
        <w:rFonts w:cstheme="minorHAnsi"/>
        <w:b/>
        <w:color w:val="999999"/>
        <w:sz w:val="20"/>
        <w:szCs w:val="20"/>
      </w:rPr>
      <w:t xml:space="preserve"> </w:t>
    </w:r>
    <w:r w:rsidR="002D0955" w:rsidRPr="00E70DCE">
      <w:rPr>
        <w:rFonts w:cstheme="minorHAnsi"/>
        <w:b/>
        <w:color w:val="999999"/>
        <w:sz w:val="20"/>
        <w:szCs w:val="20"/>
      </w:rPr>
      <w:t>COMMUNICATION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955" w:rsidRDefault="00DB55F3"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2B814D66" wp14:editId="1A830BDD">
              <wp:simplePos x="0" y="0"/>
              <wp:positionH relativeFrom="column">
                <wp:align>center</wp:align>
              </wp:positionH>
              <wp:positionV relativeFrom="page">
                <wp:align>top</wp:align>
              </wp:positionV>
              <wp:extent cx="7700645" cy="399415"/>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9415"/>
                      </a:xfrm>
                      <a:prstGeom prst="rect">
                        <a:avLst/>
                      </a:prstGeom>
                      <a:solidFill>
                        <a:schemeClr val="bg1">
                          <a:lumMod val="65000"/>
                        </a:schemeClr>
                      </a:solidFill>
                      <a:ln w="9525">
                        <a:noFill/>
                        <a:miter lim="800000"/>
                        <a:headEnd/>
                        <a:tailEnd/>
                      </a:ln>
                    </wps:spPr>
                    <wps:txbx>
                      <w:txbxContent>
                        <w:p w:rsidR="002D0955" w:rsidRPr="00F20A7C" w:rsidRDefault="002D095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" fillcolor="#a5a5a5 [2092]" stroked="f">
              <v:textbox>
                <w:txbxContent>
                  <w:p w:rsidR="002D0955" w:rsidRPr="00F20A7C" w:rsidRDefault="002D095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2D0955">
      <w:rPr>
        <w:b/>
        <w:sz w:val="32"/>
        <w:szCs w:val="32"/>
      </w:rPr>
      <w:t>Journal Name</w:t>
    </w:r>
    <w:r w:rsidR="002D0955">
      <w:rPr>
        <w:b/>
        <w:sz w:val="32"/>
        <w:szCs w:val="32"/>
      </w:rPr>
      <w:tab/>
    </w:r>
    <w:r w:rsidR="002D0955">
      <w:rPr>
        <w:b/>
        <w:noProof/>
        <w:sz w:val="32"/>
        <w:szCs w:val="32"/>
        <w:lang w:eastAsia="en-GB"/>
      </w:rPr>
      <w:drawing>
        <wp:inline distT="0" distB="0" distL="0" distR="0" wp14:anchorId="306ACD8A" wp14:editId="0C5C0014">
          <wp:extent cx="972312" cy="6492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2D0955" w:rsidRPr="00180ABE" w:rsidRDefault="002D0955"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F58C5"/>
    <w:multiLevelType w:val="hybridMultilevel"/>
    <w:tmpl w:val="A68CDAAE"/>
    <w:lvl w:ilvl="0" w:tplc="08090001">
      <w:start w:val="99"/>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AD15262"/>
    <w:multiLevelType w:val="hybridMultilevel"/>
    <w:tmpl w:val="F6A0DC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7"/>
  </w:num>
  <w:num w:numId="5">
    <w:abstractNumId w:val="6"/>
  </w:num>
  <w:num w:numId="6">
    <w:abstractNumId w:val="2"/>
  </w:num>
  <w:num w:numId="7">
    <w:abstractNumId w:val="0"/>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rian Whitwood">
    <w15:presenceInfo w15:providerId="None" w15:userId="Adrian Whitwoo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stylePaneSortMethod w:val="0000"/>
  <w:trackRevisions/>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382"/>
    <w:rsid w:val="0000553E"/>
    <w:rsid w:val="00005B8A"/>
    <w:rsid w:val="000153AC"/>
    <w:rsid w:val="000207B6"/>
    <w:rsid w:val="00022D8A"/>
    <w:rsid w:val="00026F2F"/>
    <w:rsid w:val="000570E4"/>
    <w:rsid w:val="000622D1"/>
    <w:rsid w:val="00071E41"/>
    <w:rsid w:val="00073639"/>
    <w:rsid w:val="000736DC"/>
    <w:rsid w:val="000837FC"/>
    <w:rsid w:val="00097500"/>
    <w:rsid w:val="000A2670"/>
    <w:rsid w:val="000A6987"/>
    <w:rsid w:val="000B084F"/>
    <w:rsid w:val="000C0A9D"/>
    <w:rsid w:val="000D2FAC"/>
    <w:rsid w:val="000D5891"/>
    <w:rsid w:val="000D6963"/>
    <w:rsid w:val="000E7A32"/>
    <w:rsid w:val="000F0959"/>
    <w:rsid w:val="000F3A41"/>
    <w:rsid w:val="00103351"/>
    <w:rsid w:val="001179A4"/>
    <w:rsid w:val="00120227"/>
    <w:rsid w:val="00126027"/>
    <w:rsid w:val="00144F72"/>
    <w:rsid w:val="001453CC"/>
    <w:rsid w:val="001508E9"/>
    <w:rsid w:val="00150D15"/>
    <w:rsid w:val="001633D9"/>
    <w:rsid w:val="001721CF"/>
    <w:rsid w:val="00180ABE"/>
    <w:rsid w:val="001923AB"/>
    <w:rsid w:val="001941AA"/>
    <w:rsid w:val="001A377C"/>
    <w:rsid w:val="001C1EB8"/>
    <w:rsid w:val="001D1D47"/>
    <w:rsid w:val="001E340D"/>
    <w:rsid w:val="001F1447"/>
    <w:rsid w:val="001F2799"/>
    <w:rsid w:val="001F520A"/>
    <w:rsid w:val="00206A82"/>
    <w:rsid w:val="0021422E"/>
    <w:rsid w:val="002167E7"/>
    <w:rsid w:val="002225B5"/>
    <w:rsid w:val="0023062A"/>
    <w:rsid w:val="002331CF"/>
    <w:rsid w:val="00237C8A"/>
    <w:rsid w:val="00241ACD"/>
    <w:rsid w:val="00243D3C"/>
    <w:rsid w:val="00245A5B"/>
    <w:rsid w:val="00253551"/>
    <w:rsid w:val="0025490A"/>
    <w:rsid w:val="00270124"/>
    <w:rsid w:val="00270DD5"/>
    <w:rsid w:val="00271235"/>
    <w:rsid w:val="00272D6F"/>
    <w:rsid w:val="00273D48"/>
    <w:rsid w:val="00277234"/>
    <w:rsid w:val="00290E41"/>
    <w:rsid w:val="00292054"/>
    <w:rsid w:val="002A5421"/>
    <w:rsid w:val="002A7067"/>
    <w:rsid w:val="002C0803"/>
    <w:rsid w:val="002C3D7C"/>
    <w:rsid w:val="002D0955"/>
    <w:rsid w:val="002D79E8"/>
    <w:rsid w:val="002E2C63"/>
    <w:rsid w:val="002E5B1D"/>
    <w:rsid w:val="002F52C3"/>
    <w:rsid w:val="00312608"/>
    <w:rsid w:val="00330FE0"/>
    <w:rsid w:val="0033311D"/>
    <w:rsid w:val="00334FDC"/>
    <w:rsid w:val="00342C47"/>
    <w:rsid w:val="00352AA4"/>
    <w:rsid w:val="003536E3"/>
    <w:rsid w:val="00353B84"/>
    <w:rsid w:val="00354579"/>
    <w:rsid w:val="00356F00"/>
    <w:rsid w:val="00373571"/>
    <w:rsid w:val="00377481"/>
    <w:rsid w:val="00386E8C"/>
    <w:rsid w:val="00396C28"/>
    <w:rsid w:val="003A7E95"/>
    <w:rsid w:val="003B739C"/>
    <w:rsid w:val="003C6313"/>
    <w:rsid w:val="003C6F60"/>
    <w:rsid w:val="003C7C78"/>
    <w:rsid w:val="003D47D3"/>
    <w:rsid w:val="003D4ECA"/>
    <w:rsid w:val="003E55B2"/>
    <w:rsid w:val="003E5E6F"/>
    <w:rsid w:val="003E6A45"/>
    <w:rsid w:val="003F263C"/>
    <w:rsid w:val="003F5DEE"/>
    <w:rsid w:val="003F6F32"/>
    <w:rsid w:val="004227DC"/>
    <w:rsid w:val="00422E20"/>
    <w:rsid w:val="0043180D"/>
    <w:rsid w:val="00434B21"/>
    <w:rsid w:val="004414A5"/>
    <w:rsid w:val="0044700B"/>
    <w:rsid w:val="004554C6"/>
    <w:rsid w:val="00456785"/>
    <w:rsid w:val="00467C80"/>
    <w:rsid w:val="00472CC7"/>
    <w:rsid w:val="00474052"/>
    <w:rsid w:val="00476602"/>
    <w:rsid w:val="00485FDB"/>
    <w:rsid w:val="004877C8"/>
    <w:rsid w:val="004901D3"/>
    <w:rsid w:val="00490BE1"/>
    <w:rsid w:val="004B2B67"/>
    <w:rsid w:val="004B4B53"/>
    <w:rsid w:val="004B5EA4"/>
    <w:rsid w:val="004C531E"/>
    <w:rsid w:val="004C66B3"/>
    <w:rsid w:val="004C6C90"/>
    <w:rsid w:val="004C6E00"/>
    <w:rsid w:val="004E3E12"/>
    <w:rsid w:val="004F3E86"/>
    <w:rsid w:val="005037CD"/>
    <w:rsid w:val="00503920"/>
    <w:rsid w:val="00504795"/>
    <w:rsid w:val="00506BDD"/>
    <w:rsid w:val="00514CBA"/>
    <w:rsid w:val="005151EA"/>
    <w:rsid w:val="0052630A"/>
    <w:rsid w:val="005276D6"/>
    <w:rsid w:val="0053177A"/>
    <w:rsid w:val="00532EC2"/>
    <w:rsid w:val="00533EA1"/>
    <w:rsid w:val="00537B2A"/>
    <w:rsid w:val="005564D4"/>
    <w:rsid w:val="00565057"/>
    <w:rsid w:val="0057316E"/>
    <w:rsid w:val="005771C3"/>
    <w:rsid w:val="00577B54"/>
    <w:rsid w:val="005812D7"/>
    <w:rsid w:val="00584D2B"/>
    <w:rsid w:val="00586CF1"/>
    <w:rsid w:val="00590F6D"/>
    <w:rsid w:val="0059627E"/>
    <w:rsid w:val="005A5ED7"/>
    <w:rsid w:val="005C1A41"/>
    <w:rsid w:val="005C4565"/>
    <w:rsid w:val="005D1D6B"/>
    <w:rsid w:val="005D6151"/>
    <w:rsid w:val="005E05CD"/>
    <w:rsid w:val="005E5A4A"/>
    <w:rsid w:val="0060107D"/>
    <w:rsid w:val="006028C9"/>
    <w:rsid w:val="006160AF"/>
    <w:rsid w:val="00623C66"/>
    <w:rsid w:val="00641030"/>
    <w:rsid w:val="00645D52"/>
    <w:rsid w:val="0065133B"/>
    <w:rsid w:val="006602F1"/>
    <w:rsid w:val="00663CE8"/>
    <w:rsid w:val="00667668"/>
    <w:rsid w:val="00670ED4"/>
    <w:rsid w:val="00672928"/>
    <w:rsid w:val="006A4A09"/>
    <w:rsid w:val="006A69C8"/>
    <w:rsid w:val="006D5E8A"/>
    <w:rsid w:val="006D6163"/>
    <w:rsid w:val="006E58B1"/>
    <w:rsid w:val="006F01C4"/>
    <w:rsid w:val="006F1E44"/>
    <w:rsid w:val="006F487B"/>
    <w:rsid w:val="006F66E0"/>
    <w:rsid w:val="006F740B"/>
    <w:rsid w:val="007167CD"/>
    <w:rsid w:val="00744A41"/>
    <w:rsid w:val="00747B2C"/>
    <w:rsid w:val="007723B5"/>
    <w:rsid w:val="0077455F"/>
    <w:rsid w:val="00775B9A"/>
    <w:rsid w:val="00780A41"/>
    <w:rsid w:val="00794787"/>
    <w:rsid w:val="007A37D8"/>
    <w:rsid w:val="007B12C6"/>
    <w:rsid w:val="007B3B95"/>
    <w:rsid w:val="007C3D03"/>
    <w:rsid w:val="007C621A"/>
    <w:rsid w:val="007D1EFA"/>
    <w:rsid w:val="007D5FE4"/>
    <w:rsid w:val="007D695A"/>
    <w:rsid w:val="007F770A"/>
    <w:rsid w:val="008560DE"/>
    <w:rsid w:val="0086075E"/>
    <w:rsid w:val="00865B29"/>
    <w:rsid w:val="0086669D"/>
    <w:rsid w:val="008757A3"/>
    <w:rsid w:val="0088525A"/>
    <w:rsid w:val="00885A3F"/>
    <w:rsid w:val="00887021"/>
    <w:rsid w:val="008A0ADE"/>
    <w:rsid w:val="008A0D60"/>
    <w:rsid w:val="008B20AB"/>
    <w:rsid w:val="008B6E66"/>
    <w:rsid w:val="008C1387"/>
    <w:rsid w:val="008C682F"/>
    <w:rsid w:val="008E509B"/>
    <w:rsid w:val="008E5713"/>
    <w:rsid w:val="008E5AAE"/>
    <w:rsid w:val="008F374E"/>
    <w:rsid w:val="008F4107"/>
    <w:rsid w:val="008F4811"/>
    <w:rsid w:val="008F525A"/>
    <w:rsid w:val="009026D4"/>
    <w:rsid w:val="00905752"/>
    <w:rsid w:val="009135DF"/>
    <w:rsid w:val="0092763E"/>
    <w:rsid w:val="009316A6"/>
    <w:rsid w:val="00936114"/>
    <w:rsid w:val="009400E9"/>
    <w:rsid w:val="00940FDC"/>
    <w:rsid w:val="00945A0C"/>
    <w:rsid w:val="00946830"/>
    <w:rsid w:val="00962779"/>
    <w:rsid w:val="009654EC"/>
    <w:rsid w:val="009726BB"/>
    <w:rsid w:val="009844D0"/>
    <w:rsid w:val="009918D9"/>
    <w:rsid w:val="00996EA5"/>
    <w:rsid w:val="009A392D"/>
    <w:rsid w:val="009B3748"/>
    <w:rsid w:val="009C2FA1"/>
    <w:rsid w:val="009C3F0B"/>
    <w:rsid w:val="009D17C3"/>
    <w:rsid w:val="009D47C2"/>
    <w:rsid w:val="009E51F8"/>
    <w:rsid w:val="009F2649"/>
    <w:rsid w:val="009F73B7"/>
    <w:rsid w:val="00A01195"/>
    <w:rsid w:val="00A074D7"/>
    <w:rsid w:val="00A16A99"/>
    <w:rsid w:val="00A17BC5"/>
    <w:rsid w:val="00A17D23"/>
    <w:rsid w:val="00A208E1"/>
    <w:rsid w:val="00A5119E"/>
    <w:rsid w:val="00A521AB"/>
    <w:rsid w:val="00A56CD0"/>
    <w:rsid w:val="00A61D3E"/>
    <w:rsid w:val="00A64F0D"/>
    <w:rsid w:val="00A7643E"/>
    <w:rsid w:val="00A83D41"/>
    <w:rsid w:val="00A861AA"/>
    <w:rsid w:val="00A9649E"/>
    <w:rsid w:val="00AA1341"/>
    <w:rsid w:val="00AB16D0"/>
    <w:rsid w:val="00AB2C1B"/>
    <w:rsid w:val="00AC2F5F"/>
    <w:rsid w:val="00AC32E3"/>
    <w:rsid w:val="00AC3BF2"/>
    <w:rsid w:val="00AC5541"/>
    <w:rsid w:val="00AC691D"/>
    <w:rsid w:val="00AD0D92"/>
    <w:rsid w:val="00AD5483"/>
    <w:rsid w:val="00AE060B"/>
    <w:rsid w:val="00AE76FF"/>
    <w:rsid w:val="00AF0249"/>
    <w:rsid w:val="00AF150F"/>
    <w:rsid w:val="00AF23CE"/>
    <w:rsid w:val="00AF4737"/>
    <w:rsid w:val="00AF7B9B"/>
    <w:rsid w:val="00B0470A"/>
    <w:rsid w:val="00B2364D"/>
    <w:rsid w:val="00B30A4C"/>
    <w:rsid w:val="00B333F7"/>
    <w:rsid w:val="00B47959"/>
    <w:rsid w:val="00B53582"/>
    <w:rsid w:val="00B6239D"/>
    <w:rsid w:val="00B66314"/>
    <w:rsid w:val="00B67630"/>
    <w:rsid w:val="00B722DE"/>
    <w:rsid w:val="00B77A90"/>
    <w:rsid w:val="00B80DDB"/>
    <w:rsid w:val="00B81EE1"/>
    <w:rsid w:val="00B82D51"/>
    <w:rsid w:val="00B82FDD"/>
    <w:rsid w:val="00B8327F"/>
    <w:rsid w:val="00B94C18"/>
    <w:rsid w:val="00BA310F"/>
    <w:rsid w:val="00BA5830"/>
    <w:rsid w:val="00BA761E"/>
    <w:rsid w:val="00BB1C35"/>
    <w:rsid w:val="00BB3DAF"/>
    <w:rsid w:val="00BB3FBE"/>
    <w:rsid w:val="00BC603D"/>
    <w:rsid w:val="00BC6382"/>
    <w:rsid w:val="00BC6EC6"/>
    <w:rsid w:val="00BD277B"/>
    <w:rsid w:val="00BD6A30"/>
    <w:rsid w:val="00BD7395"/>
    <w:rsid w:val="00BE1DB8"/>
    <w:rsid w:val="00BF77FC"/>
    <w:rsid w:val="00C126C5"/>
    <w:rsid w:val="00C136DB"/>
    <w:rsid w:val="00C3016F"/>
    <w:rsid w:val="00C31922"/>
    <w:rsid w:val="00C3258D"/>
    <w:rsid w:val="00C32EDF"/>
    <w:rsid w:val="00C405FD"/>
    <w:rsid w:val="00C42573"/>
    <w:rsid w:val="00C5024A"/>
    <w:rsid w:val="00C57107"/>
    <w:rsid w:val="00C62C2D"/>
    <w:rsid w:val="00C73428"/>
    <w:rsid w:val="00C9227C"/>
    <w:rsid w:val="00CA1159"/>
    <w:rsid w:val="00CA2740"/>
    <w:rsid w:val="00CB2B95"/>
    <w:rsid w:val="00CC12E6"/>
    <w:rsid w:val="00CC2E25"/>
    <w:rsid w:val="00CC7C64"/>
    <w:rsid w:val="00CD0B47"/>
    <w:rsid w:val="00CE0C96"/>
    <w:rsid w:val="00CE11FC"/>
    <w:rsid w:val="00CF112E"/>
    <w:rsid w:val="00D010E8"/>
    <w:rsid w:val="00D01BBD"/>
    <w:rsid w:val="00D02C04"/>
    <w:rsid w:val="00D138E8"/>
    <w:rsid w:val="00D208BA"/>
    <w:rsid w:val="00D21668"/>
    <w:rsid w:val="00D216BC"/>
    <w:rsid w:val="00D231E2"/>
    <w:rsid w:val="00D23EC6"/>
    <w:rsid w:val="00D36AC9"/>
    <w:rsid w:val="00D42F8F"/>
    <w:rsid w:val="00D43A97"/>
    <w:rsid w:val="00D45ADF"/>
    <w:rsid w:val="00D47D54"/>
    <w:rsid w:val="00D7087F"/>
    <w:rsid w:val="00DA07F1"/>
    <w:rsid w:val="00DA25D9"/>
    <w:rsid w:val="00DA77A6"/>
    <w:rsid w:val="00DB18EE"/>
    <w:rsid w:val="00DB48EB"/>
    <w:rsid w:val="00DB55F3"/>
    <w:rsid w:val="00DD06F4"/>
    <w:rsid w:val="00DD4B9F"/>
    <w:rsid w:val="00DD500F"/>
    <w:rsid w:val="00DD78A7"/>
    <w:rsid w:val="00DF47A7"/>
    <w:rsid w:val="00DF53E4"/>
    <w:rsid w:val="00E10EBF"/>
    <w:rsid w:val="00E2136E"/>
    <w:rsid w:val="00E25AF8"/>
    <w:rsid w:val="00E31A6A"/>
    <w:rsid w:val="00E35FA0"/>
    <w:rsid w:val="00E46BDF"/>
    <w:rsid w:val="00E52FC4"/>
    <w:rsid w:val="00E547DB"/>
    <w:rsid w:val="00E555BF"/>
    <w:rsid w:val="00E61949"/>
    <w:rsid w:val="00E67D52"/>
    <w:rsid w:val="00E70339"/>
    <w:rsid w:val="00E70DCE"/>
    <w:rsid w:val="00E73F1B"/>
    <w:rsid w:val="00E8035B"/>
    <w:rsid w:val="00EA446A"/>
    <w:rsid w:val="00EA72BF"/>
    <w:rsid w:val="00EA7DC1"/>
    <w:rsid w:val="00EB0F15"/>
    <w:rsid w:val="00EB5BA2"/>
    <w:rsid w:val="00EB5C28"/>
    <w:rsid w:val="00EC2FBC"/>
    <w:rsid w:val="00ED507D"/>
    <w:rsid w:val="00EE0AD0"/>
    <w:rsid w:val="00EF0D19"/>
    <w:rsid w:val="00EF1577"/>
    <w:rsid w:val="00EF504D"/>
    <w:rsid w:val="00EF6BD4"/>
    <w:rsid w:val="00EF721B"/>
    <w:rsid w:val="00F02296"/>
    <w:rsid w:val="00F022FC"/>
    <w:rsid w:val="00F1219A"/>
    <w:rsid w:val="00F15F90"/>
    <w:rsid w:val="00F17F62"/>
    <w:rsid w:val="00F21465"/>
    <w:rsid w:val="00F45DCA"/>
    <w:rsid w:val="00F51BE3"/>
    <w:rsid w:val="00F56F38"/>
    <w:rsid w:val="00F6065C"/>
    <w:rsid w:val="00F60706"/>
    <w:rsid w:val="00F61EB1"/>
    <w:rsid w:val="00F62C8B"/>
    <w:rsid w:val="00F64757"/>
    <w:rsid w:val="00F727DC"/>
    <w:rsid w:val="00F802D4"/>
    <w:rsid w:val="00F91982"/>
    <w:rsid w:val="00F946DC"/>
    <w:rsid w:val="00FA311A"/>
    <w:rsid w:val="00FA451F"/>
    <w:rsid w:val="00FC1AAD"/>
    <w:rsid w:val="00FE0FE8"/>
    <w:rsid w:val="00FE1F64"/>
    <w:rsid w:val="00FE447D"/>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RSCB04AHeadingSectionChar">
    <w:name w:val="RSC B04 A Heading (Section) Char"/>
    <w:basedOn w:val="DefaultParagraphFon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character" w:styleId="CommentReference">
    <w:name w:val="annotation reference"/>
    <w:basedOn w:val="DefaultParagraphFont"/>
    <w:uiPriority w:val="99"/>
    <w:semiHidden/>
    <w:unhideWhenUsed/>
    <w:rsid w:val="00DB18EE"/>
    <w:rPr>
      <w:sz w:val="16"/>
      <w:szCs w:val="16"/>
    </w:rPr>
  </w:style>
  <w:style w:type="paragraph" w:styleId="CommentText">
    <w:name w:val="annotation text"/>
    <w:basedOn w:val="Normal"/>
    <w:link w:val="CommentTextChar"/>
    <w:uiPriority w:val="99"/>
    <w:semiHidden/>
    <w:unhideWhenUsed/>
    <w:rsid w:val="00DB18EE"/>
    <w:pPr>
      <w:spacing w:line="240" w:lineRule="auto"/>
    </w:pPr>
    <w:rPr>
      <w:sz w:val="20"/>
      <w:szCs w:val="20"/>
    </w:rPr>
  </w:style>
  <w:style w:type="character" w:customStyle="1" w:styleId="CommentTextChar">
    <w:name w:val="Comment Text Char"/>
    <w:basedOn w:val="DefaultParagraphFont"/>
    <w:link w:val="CommentText"/>
    <w:uiPriority w:val="99"/>
    <w:semiHidden/>
    <w:rsid w:val="00DB18EE"/>
    <w:rPr>
      <w:sz w:val="20"/>
      <w:szCs w:val="20"/>
    </w:rPr>
  </w:style>
  <w:style w:type="paragraph" w:styleId="CommentSubject">
    <w:name w:val="annotation subject"/>
    <w:basedOn w:val="CommentText"/>
    <w:next w:val="CommentText"/>
    <w:link w:val="CommentSubjectChar"/>
    <w:uiPriority w:val="99"/>
    <w:semiHidden/>
    <w:unhideWhenUsed/>
    <w:rsid w:val="00DB18EE"/>
    <w:rPr>
      <w:b/>
      <w:bCs/>
    </w:rPr>
  </w:style>
  <w:style w:type="character" w:customStyle="1" w:styleId="CommentSubjectChar">
    <w:name w:val="Comment Subject Char"/>
    <w:basedOn w:val="CommentTextChar"/>
    <w:link w:val="CommentSubject"/>
    <w:uiPriority w:val="99"/>
    <w:semiHidden/>
    <w:rsid w:val="00DB18E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RSCB04AHeadingSectionChar">
    <w:name w:val="RSC B04 A Heading (Section) Char"/>
    <w:basedOn w:val="DefaultParagraphFon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character" w:styleId="CommentReference">
    <w:name w:val="annotation reference"/>
    <w:basedOn w:val="DefaultParagraphFont"/>
    <w:uiPriority w:val="99"/>
    <w:semiHidden/>
    <w:unhideWhenUsed/>
    <w:rsid w:val="00DB18EE"/>
    <w:rPr>
      <w:sz w:val="16"/>
      <w:szCs w:val="16"/>
    </w:rPr>
  </w:style>
  <w:style w:type="paragraph" w:styleId="CommentText">
    <w:name w:val="annotation text"/>
    <w:basedOn w:val="Normal"/>
    <w:link w:val="CommentTextChar"/>
    <w:uiPriority w:val="99"/>
    <w:semiHidden/>
    <w:unhideWhenUsed/>
    <w:rsid w:val="00DB18EE"/>
    <w:pPr>
      <w:spacing w:line="240" w:lineRule="auto"/>
    </w:pPr>
    <w:rPr>
      <w:sz w:val="20"/>
      <w:szCs w:val="20"/>
    </w:rPr>
  </w:style>
  <w:style w:type="character" w:customStyle="1" w:styleId="CommentTextChar">
    <w:name w:val="Comment Text Char"/>
    <w:basedOn w:val="DefaultParagraphFont"/>
    <w:link w:val="CommentText"/>
    <w:uiPriority w:val="99"/>
    <w:semiHidden/>
    <w:rsid w:val="00DB18EE"/>
    <w:rPr>
      <w:sz w:val="20"/>
      <w:szCs w:val="20"/>
    </w:rPr>
  </w:style>
  <w:style w:type="paragraph" w:styleId="CommentSubject">
    <w:name w:val="annotation subject"/>
    <w:basedOn w:val="CommentText"/>
    <w:next w:val="CommentText"/>
    <w:link w:val="CommentSubjectChar"/>
    <w:uiPriority w:val="99"/>
    <w:semiHidden/>
    <w:unhideWhenUsed/>
    <w:rsid w:val="00DB18EE"/>
    <w:rPr>
      <w:b/>
      <w:bCs/>
    </w:rPr>
  </w:style>
  <w:style w:type="character" w:customStyle="1" w:styleId="CommentSubjectChar">
    <w:name w:val="Comment Subject Char"/>
    <w:basedOn w:val="CommentTextChar"/>
    <w:link w:val="CommentSubject"/>
    <w:uiPriority w:val="99"/>
    <w:semiHidden/>
    <w:rsid w:val="00DB18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maebaldolreaction.blogspot.in/"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C7666-4BE7-4C25-B22E-58857136B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2A1698F9.dotm</Template>
  <TotalTime>0</TotalTime>
  <Pages>3</Pages>
  <Words>3388</Words>
  <Characters>19315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22658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Hordern</dc:creator>
  <cp:lastModifiedBy>Rob McElroy</cp:lastModifiedBy>
  <cp:revision>2</cp:revision>
  <cp:lastPrinted>2014-10-09T15:34:00Z</cp:lastPrinted>
  <dcterms:created xsi:type="dcterms:W3CDTF">2018-05-30T12:41:00Z</dcterms:created>
  <dcterms:modified xsi:type="dcterms:W3CDTF">2018-05-30T12:41:00Z</dcterms:modified>
</cp:coreProperties>
</file>