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3CBC61" w14:textId="550F9DD9" w:rsidR="00FB0852" w:rsidRDefault="00FB0852" w:rsidP="00B6393F">
      <w:pPr>
        <w:spacing w:line="480" w:lineRule="auto"/>
        <w:jc w:val="center"/>
        <w:rPr>
          <w:rFonts w:ascii="Times New Roman" w:hAnsi="Times New Roman" w:cs="Times New Roman"/>
          <w:b/>
          <w:sz w:val="32"/>
          <w:szCs w:val="28"/>
        </w:rPr>
      </w:pPr>
      <w:r w:rsidRPr="000E1A2A">
        <w:rPr>
          <w:rFonts w:ascii="Times New Roman" w:hAnsi="Times New Roman" w:cs="Times New Roman"/>
          <w:b/>
          <w:color w:val="FF0000"/>
          <w:szCs w:val="28"/>
        </w:rPr>
        <w:t xml:space="preserve">This is a pre-copyedited, author-produced version of an article accepted for publication in Medical Law Review following peer review. The version of record is available online at: </w:t>
      </w:r>
      <w:hyperlink r:id="rId8" w:history="1">
        <w:r w:rsidRPr="00D40163">
          <w:rPr>
            <w:rStyle w:val="Hyperlink"/>
            <w:rFonts w:ascii="Times New Roman" w:hAnsi="Times New Roman" w:cs="Times New Roman"/>
            <w:b/>
            <w:szCs w:val="28"/>
          </w:rPr>
          <w:t>https://academic.oup.com/medlaw/advance-article/doi/10.1093/medlaw/fwy016/4976466</w:t>
        </w:r>
      </w:hyperlink>
      <w:bookmarkStart w:id="0" w:name="_GoBack"/>
      <w:bookmarkEnd w:id="0"/>
    </w:p>
    <w:p w14:paraId="7493C867" w14:textId="77777777" w:rsidR="00C673CC" w:rsidRPr="00D56B97" w:rsidRDefault="00AC229E" w:rsidP="00B6393F">
      <w:pPr>
        <w:spacing w:line="480" w:lineRule="auto"/>
        <w:jc w:val="center"/>
        <w:rPr>
          <w:rFonts w:ascii="Times New Roman" w:hAnsi="Times New Roman" w:cs="Times New Roman"/>
          <w:b/>
          <w:sz w:val="32"/>
          <w:szCs w:val="28"/>
        </w:rPr>
      </w:pPr>
      <w:r w:rsidRPr="00D56B97">
        <w:rPr>
          <w:rFonts w:ascii="Times New Roman" w:hAnsi="Times New Roman" w:cs="Times New Roman"/>
          <w:b/>
          <w:sz w:val="32"/>
          <w:szCs w:val="28"/>
        </w:rPr>
        <w:t>THE RELATIONSHIP BETWEEN AUTONOMY AND ADULT MENTAL CAPACITY IN THE LAW OF ENGLAND AND WALES</w:t>
      </w:r>
    </w:p>
    <w:p w14:paraId="7493C868" w14:textId="77777777" w:rsidR="00F40964" w:rsidRPr="00D56B97" w:rsidRDefault="00F40964" w:rsidP="00B6393F">
      <w:pPr>
        <w:spacing w:line="480" w:lineRule="auto"/>
        <w:jc w:val="center"/>
        <w:rPr>
          <w:rFonts w:ascii="Times New Roman" w:hAnsi="Times New Roman" w:cs="Times New Roman"/>
          <w:b/>
          <w:sz w:val="28"/>
          <w:szCs w:val="28"/>
        </w:rPr>
      </w:pPr>
      <w:r w:rsidRPr="00D56B97">
        <w:rPr>
          <w:rFonts w:ascii="Times New Roman" w:hAnsi="Times New Roman" w:cs="Times New Roman"/>
          <w:b/>
          <w:sz w:val="28"/>
          <w:szCs w:val="28"/>
        </w:rPr>
        <w:t>SUMMARY</w:t>
      </w:r>
    </w:p>
    <w:p w14:paraId="7493C869" w14:textId="5F9B046A" w:rsidR="00A41A1D" w:rsidRPr="00D56B97" w:rsidRDefault="00A41A1D" w:rsidP="00A41A1D">
      <w:pPr>
        <w:spacing w:line="480" w:lineRule="auto"/>
        <w:jc w:val="both"/>
        <w:rPr>
          <w:rFonts w:ascii="Times New Roman" w:hAnsi="Times New Roman" w:cs="Times New Roman"/>
          <w:szCs w:val="28"/>
        </w:rPr>
      </w:pPr>
      <w:r w:rsidRPr="00D56B97">
        <w:rPr>
          <w:rFonts w:ascii="Times New Roman" w:hAnsi="Times New Roman" w:cs="Times New Roman"/>
          <w:szCs w:val="28"/>
        </w:rPr>
        <w:t>Judges in England and Wales tell three</w:t>
      </w:r>
      <w:r w:rsidR="008E3879" w:rsidRPr="00D56B97">
        <w:rPr>
          <w:rFonts w:ascii="Times New Roman" w:hAnsi="Times New Roman" w:cs="Times New Roman"/>
          <w:szCs w:val="28"/>
        </w:rPr>
        <w:t xml:space="preserve"> apparently</w:t>
      </w:r>
      <w:r w:rsidRPr="00D56B97">
        <w:rPr>
          <w:rFonts w:ascii="Times New Roman" w:hAnsi="Times New Roman" w:cs="Times New Roman"/>
          <w:szCs w:val="28"/>
        </w:rPr>
        <w:t xml:space="preserve"> contradictory stories about the relationship between autonomy and mental capacity. Sometimes, cap</w:t>
      </w:r>
      <w:r w:rsidR="00D821B7" w:rsidRPr="00D56B97">
        <w:rPr>
          <w:rFonts w:ascii="Times New Roman" w:hAnsi="Times New Roman" w:cs="Times New Roman"/>
          <w:szCs w:val="28"/>
        </w:rPr>
        <w:t>acity is a</w:t>
      </w:r>
      <w:r w:rsidR="007A7D26" w:rsidRPr="00D56B97">
        <w:rPr>
          <w:rFonts w:ascii="Times New Roman" w:hAnsi="Times New Roman" w:cs="Times New Roman"/>
          <w:szCs w:val="28"/>
        </w:rPr>
        <w:t>utonomy’s gatekeeper:</w:t>
      </w:r>
      <w:r w:rsidRPr="00D56B97">
        <w:rPr>
          <w:rFonts w:ascii="Times New Roman" w:hAnsi="Times New Roman" w:cs="Times New Roman"/>
          <w:szCs w:val="28"/>
        </w:rPr>
        <w:t xml:space="preserve"> those w</w:t>
      </w:r>
      <w:r w:rsidR="00D821B7" w:rsidRPr="00D56B97">
        <w:rPr>
          <w:rFonts w:ascii="Times New Roman" w:hAnsi="Times New Roman" w:cs="Times New Roman"/>
          <w:szCs w:val="28"/>
        </w:rPr>
        <w:t>ith capacity are autonomous, but</w:t>
      </w:r>
      <w:r w:rsidRPr="00D56B97">
        <w:rPr>
          <w:rFonts w:ascii="Times New Roman" w:hAnsi="Times New Roman" w:cs="Times New Roman"/>
          <w:szCs w:val="28"/>
        </w:rPr>
        <w:t xml:space="preserve"> those without capacity are not. Sometimes, capacity is necessary for autonomy but insufficient; for voluntariness, freedom from undue external influences, is also required. Finally, sometimes autonomy survives incapacity, and a person without capacity is nevertheless treated as autonomous. T</w:t>
      </w:r>
      <w:r w:rsidR="007A7D26" w:rsidRPr="00D56B97">
        <w:rPr>
          <w:rFonts w:ascii="Times New Roman" w:hAnsi="Times New Roman" w:cs="Times New Roman"/>
          <w:szCs w:val="28"/>
        </w:rPr>
        <w:t>hese three accounts coexist,</w:t>
      </w:r>
      <w:r w:rsidR="008E3879" w:rsidRPr="00D56B97">
        <w:rPr>
          <w:rFonts w:ascii="Times New Roman" w:hAnsi="Times New Roman" w:cs="Times New Roman"/>
          <w:szCs w:val="28"/>
        </w:rPr>
        <w:t xml:space="preserve"> so</w:t>
      </w:r>
      <w:r w:rsidRPr="00D56B97">
        <w:rPr>
          <w:rFonts w:ascii="Times New Roman" w:hAnsi="Times New Roman" w:cs="Times New Roman"/>
          <w:szCs w:val="28"/>
        </w:rPr>
        <w:t xml:space="preserve"> no story of evolution, in which one account comes to </w:t>
      </w:r>
      <w:proofErr w:type="gramStart"/>
      <w:r w:rsidRPr="00D56B97">
        <w:rPr>
          <w:rFonts w:ascii="Times New Roman" w:hAnsi="Times New Roman" w:cs="Times New Roman"/>
          <w:szCs w:val="28"/>
        </w:rPr>
        <w:t>replace</w:t>
      </w:r>
      <w:proofErr w:type="gramEnd"/>
      <w:r w:rsidRPr="00D56B97">
        <w:rPr>
          <w:rFonts w:ascii="Times New Roman" w:hAnsi="Times New Roman" w:cs="Times New Roman"/>
          <w:szCs w:val="28"/>
        </w:rPr>
        <w:t xml:space="preserve"> another, can be told. Similarly, no story of judicial factions is plausible, for judges switch account to suit the facts of a particular case. This article </w:t>
      </w:r>
      <w:r w:rsidR="005119C1" w:rsidRPr="00D56B97">
        <w:rPr>
          <w:rFonts w:ascii="Times New Roman" w:hAnsi="Times New Roman" w:cs="Times New Roman"/>
          <w:szCs w:val="28"/>
        </w:rPr>
        <w:t xml:space="preserve">gives </w:t>
      </w:r>
      <w:r w:rsidR="00AD5123" w:rsidRPr="00D56B97">
        <w:rPr>
          <w:rFonts w:ascii="Times New Roman" w:hAnsi="Times New Roman" w:cs="Times New Roman"/>
          <w:szCs w:val="28"/>
        </w:rPr>
        <w:t xml:space="preserve">examples </w:t>
      </w:r>
      <w:r w:rsidR="007608D9">
        <w:rPr>
          <w:rFonts w:ascii="Times New Roman" w:hAnsi="Times New Roman" w:cs="Times New Roman"/>
          <w:szCs w:val="28"/>
        </w:rPr>
        <w:t xml:space="preserve">of </w:t>
      </w:r>
      <w:r w:rsidR="00AD5123" w:rsidRPr="00D56B97">
        <w:rPr>
          <w:rFonts w:ascii="Times New Roman" w:hAnsi="Times New Roman" w:cs="Times New Roman"/>
          <w:szCs w:val="28"/>
        </w:rPr>
        <w:t>all</w:t>
      </w:r>
      <w:r w:rsidRPr="00D56B97">
        <w:rPr>
          <w:rFonts w:ascii="Times New Roman" w:hAnsi="Times New Roman" w:cs="Times New Roman"/>
          <w:szCs w:val="28"/>
        </w:rPr>
        <w:t xml:space="preserve"> three accounts,</w:t>
      </w:r>
      <w:r w:rsidR="00AD5123" w:rsidRPr="00D56B97">
        <w:rPr>
          <w:rFonts w:ascii="Times New Roman" w:hAnsi="Times New Roman" w:cs="Times New Roman"/>
          <w:szCs w:val="28"/>
        </w:rPr>
        <w:t xml:space="preserve"> traces their recent history, and</w:t>
      </w:r>
      <w:r w:rsidRPr="00D56B97">
        <w:rPr>
          <w:rFonts w:ascii="Times New Roman" w:hAnsi="Times New Roman" w:cs="Times New Roman"/>
          <w:szCs w:val="28"/>
        </w:rPr>
        <w:t xml:space="preserve"> shows how each serves one</w:t>
      </w:r>
      <w:r w:rsidR="00AD5123" w:rsidRPr="00D56B97">
        <w:rPr>
          <w:rFonts w:ascii="Times New Roman" w:hAnsi="Times New Roman" w:cs="Times New Roman"/>
          <w:szCs w:val="28"/>
        </w:rPr>
        <w:t xml:space="preserve"> or two characteristic purposes. It then</w:t>
      </w:r>
      <w:r w:rsidRPr="00D56B97">
        <w:rPr>
          <w:rFonts w:ascii="Times New Roman" w:hAnsi="Times New Roman" w:cs="Times New Roman"/>
          <w:szCs w:val="28"/>
        </w:rPr>
        <w:t xml:space="preserve"> </w:t>
      </w:r>
      <w:r w:rsidR="00AD5123" w:rsidRPr="00D56B97">
        <w:rPr>
          <w:rFonts w:ascii="Times New Roman" w:hAnsi="Times New Roman" w:cs="Times New Roman"/>
          <w:szCs w:val="28"/>
        </w:rPr>
        <w:t>shows how they can be combined</w:t>
      </w:r>
      <w:r w:rsidRPr="00D56B97">
        <w:rPr>
          <w:rFonts w:ascii="Times New Roman" w:hAnsi="Times New Roman" w:cs="Times New Roman"/>
          <w:szCs w:val="28"/>
        </w:rPr>
        <w:t xml:space="preserve"> into a coherent descriptive account of the relationship between autonomy and mental capacity in domestic law.</w:t>
      </w:r>
    </w:p>
    <w:p w14:paraId="7493C86A" w14:textId="77777777" w:rsidR="00F40964" w:rsidRPr="00D56B97" w:rsidRDefault="00F40964" w:rsidP="00B6393F">
      <w:pPr>
        <w:spacing w:line="480" w:lineRule="auto"/>
        <w:jc w:val="center"/>
        <w:rPr>
          <w:rFonts w:ascii="Times New Roman" w:hAnsi="Times New Roman" w:cs="Times New Roman"/>
          <w:b/>
          <w:sz w:val="28"/>
          <w:szCs w:val="28"/>
        </w:rPr>
      </w:pPr>
      <w:r w:rsidRPr="00D56B97">
        <w:rPr>
          <w:rFonts w:ascii="Times New Roman" w:hAnsi="Times New Roman" w:cs="Times New Roman"/>
          <w:b/>
          <w:sz w:val="28"/>
          <w:szCs w:val="28"/>
        </w:rPr>
        <w:t>KEYWORDS</w:t>
      </w:r>
    </w:p>
    <w:p w14:paraId="7493C86B" w14:textId="77777777" w:rsidR="00F40964" w:rsidRPr="00D56B97" w:rsidRDefault="00F40964" w:rsidP="00B6393F">
      <w:pPr>
        <w:spacing w:line="480" w:lineRule="auto"/>
        <w:jc w:val="center"/>
        <w:rPr>
          <w:rFonts w:ascii="Times New Roman" w:hAnsi="Times New Roman" w:cs="Times New Roman"/>
          <w:szCs w:val="28"/>
        </w:rPr>
      </w:pPr>
      <w:r w:rsidRPr="00D56B97">
        <w:rPr>
          <w:rFonts w:ascii="Times New Roman" w:hAnsi="Times New Roman" w:cs="Times New Roman"/>
          <w:szCs w:val="28"/>
        </w:rPr>
        <w:t xml:space="preserve">Autonomy, Court of Protection, Inherent Jurisdiction, Mental Capacity, Undue Influence, Voluntariness.  </w:t>
      </w:r>
    </w:p>
    <w:p w14:paraId="7493C86C" w14:textId="77777777" w:rsidR="00E14DBF" w:rsidRPr="00D56B97" w:rsidRDefault="00AC229E" w:rsidP="003A4BA6">
      <w:pPr>
        <w:spacing w:line="480" w:lineRule="auto"/>
        <w:jc w:val="center"/>
        <w:rPr>
          <w:rFonts w:ascii="Times New Roman" w:hAnsi="Times New Roman" w:cs="Times New Roman"/>
          <w:b/>
          <w:sz w:val="28"/>
          <w:szCs w:val="28"/>
        </w:rPr>
      </w:pPr>
      <w:r w:rsidRPr="00D56B97">
        <w:rPr>
          <w:rFonts w:ascii="Times New Roman" w:hAnsi="Times New Roman" w:cs="Times New Roman"/>
          <w:b/>
          <w:sz w:val="28"/>
          <w:szCs w:val="28"/>
        </w:rPr>
        <w:t>I. INTRODUCTION</w:t>
      </w:r>
    </w:p>
    <w:p w14:paraId="7493C86D" w14:textId="2B4847CA" w:rsidR="00DB6DEC" w:rsidRPr="00D56B97" w:rsidRDefault="00DB6DEC" w:rsidP="00DB6DEC">
      <w:pPr>
        <w:spacing w:line="480" w:lineRule="auto"/>
        <w:jc w:val="both"/>
        <w:rPr>
          <w:rFonts w:ascii="Times New Roman" w:eastAsia="Calibri" w:hAnsi="Times New Roman" w:cs="Times New Roman"/>
        </w:rPr>
      </w:pPr>
      <w:r w:rsidRPr="00D56B97">
        <w:rPr>
          <w:rFonts w:ascii="Times New Roman" w:eastAsia="Calibri" w:hAnsi="Times New Roman" w:cs="Times New Roman"/>
        </w:rPr>
        <w:lastRenderedPageBreak/>
        <w:t>This article is about a gap between judicial r</w:t>
      </w:r>
      <w:r w:rsidR="00FE3F1B" w:rsidRPr="00D56B97">
        <w:rPr>
          <w:rFonts w:ascii="Times New Roman" w:eastAsia="Calibri" w:hAnsi="Times New Roman" w:cs="Times New Roman"/>
        </w:rPr>
        <w:t>hetoric and behaviour. Judges in</w:t>
      </w:r>
      <w:r w:rsidRPr="00D56B97">
        <w:rPr>
          <w:rFonts w:ascii="Times New Roman" w:eastAsia="Calibri" w:hAnsi="Times New Roman" w:cs="Times New Roman"/>
        </w:rPr>
        <w:t xml:space="preserve"> particular cases describe the relationship between autonomy and mental capacity in a variety of ways, but if their decisions across the full range of cases are to be coherently accounted for, then the relationship cannot be as</w:t>
      </w:r>
      <w:r w:rsidR="004B79F5" w:rsidRPr="00D56B97">
        <w:rPr>
          <w:rFonts w:ascii="Times New Roman" w:eastAsia="Calibri" w:hAnsi="Times New Roman" w:cs="Times New Roman"/>
        </w:rPr>
        <w:t xml:space="preserve"> simple as</w:t>
      </w:r>
      <w:r w:rsidRPr="00D56B97">
        <w:rPr>
          <w:rFonts w:ascii="Times New Roman" w:eastAsia="Calibri" w:hAnsi="Times New Roman" w:cs="Times New Roman"/>
        </w:rPr>
        <w:t xml:space="preserve"> they </w:t>
      </w:r>
      <w:r w:rsidR="007A7D26" w:rsidRPr="00D56B97">
        <w:rPr>
          <w:rFonts w:ascii="Times New Roman" w:eastAsia="Calibri" w:hAnsi="Times New Roman" w:cs="Times New Roman"/>
        </w:rPr>
        <w:t>say</w:t>
      </w:r>
      <w:r w:rsidRPr="00D56B97">
        <w:rPr>
          <w:rFonts w:ascii="Times New Roman" w:eastAsia="Calibri" w:hAnsi="Times New Roman" w:cs="Times New Roman"/>
        </w:rPr>
        <w:t xml:space="preserve"> it</w:t>
      </w:r>
      <w:r w:rsidR="007A7D26" w:rsidRPr="00D56B97">
        <w:rPr>
          <w:rFonts w:ascii="Times New Roman" w:eastAsia="Calibri" w:hAnsi="Times New Roman" w:cs="Times New Roman"/>
        </w:rPr>
        <w:t xml:space="preserve"> is</w:t>
      </w:r>
      <w:r w:rsidRPr="00D56B97">
        <w:rPr>
          <w:rFonts w:ascii="Times New Roman" w:eastAsia="Calibri" w:hAnsi="Times New Roman" w:cs="Times New Roman"/>
        </w:rPr>
        <w:t>. The existence of t</w:t>
      </w:r>
      <w:r w:rsidR="008E3879" w:rsidRPr="00D56B97">
        <w:rPr>
          <w:rFonts w:ascii="Times New Roman" w:eastAsia="Calibri" w:hAnsi="Times New Roman" w:cs="Times New Roman"/>
        </w:rPr>
        <w:t>his gap does not imply that the judiciary</w:t>
      </w:r>
      <w:r w:rsidRPr="00D56B97">
        <w:rPr>
          <w:rFonts w:ascii="Times New Roman" w:eastAsia="Calibri" w:hAnsi="Times New Roman" w:cs="Times New Roman"/>
        </w:rPr>
        <w:t xml:space="preserve"> have done anything wrong. Judgments are, as Harrington says, ‘exercises aimed at persuading specific audiences of the truth of certain facts and the desirability of certain courses of conduct’;</w:t>
      </w:r>
      <w:r w:rsidRPr="00D56B97">
        <w:rPr>
          <w:rFonts w:ascii="Times New Roman" w:eastAsia="Calibri" w:hAnsi="Times New Roman" w:cs="Times New Roman"/>
          <w:vertAlign w:val="superscript"/>
        </w:rPr>
        <w:footnoteReference w:id="1"/>
      </w:r>
      <w:r w:rsidR="006E20EB" w:rsidRPr="00D56B97">
        <w:rPr>
          <w:rFonts w:ascii="Times New Roman" w:eastAsia="Calibri" w:hAnsi="Times New Roman" w:cs="Times New Roman"/>
        </w:rPr>
        <w:t xml:space="preserve"> and</w:t>
      </w:r>
      <w:r w:rsidRPr="00D56B97">
        <w:rPr>
          <w:rFonts w:ascii="Times New Roman" w:eastAsia="Calibri" w:hAnsi="Times New Roman" w:cs="Times New Roman"/>
        </w:rPr>
        <w:t xml:space="preserve"> published judgments are directed towards a variety of readerships</w:t>
      </w:r>
      <w:r w:rsidR="006E20EB" w:rsidRPr="00D56B97">
        <w:rPr>
          <w:rFonts w:ascii="Times New Roman" w:eastAsia="Calibri" w:hAnsi="Times New Roman" w:cs="Times New Roman"/>
        </w:rPr>
        <w:t xml:space="preserve"> with a variety of</w:t>
      </w:r>
      <w:r w:rsidRPr="00D56B97">
        <w:rPr>
          <w:rFonts w:ascii="Times New Roman" w:eastAsia="Calibri" w:hAnsi="Times New Roman" w:cs="Times New Roman"/>
        </w:rPr>
        <w:t xml:space="preserve"> interests and needs.</w:t>
      </w:r>
      <w:r w:rsidRPr="00D56B97">
        <w:rPr>
          <w:rFonts w:ascii="Times New Roman" w:eastAsia="Calibri" w:hAnsi="Times New Roman" w:cs="Times New Roman"/>
          <w:vertAlign w:val="superscript"/>
        </w:rPr>
        <w:footnoteReference w:id="2"/>
      </w:r>
      <w:r w:rsidRPr="00D56B97">
        <w:rPr>
          <w:rFonts w:ascii="Times New Roman" w:eastAsia="Calibri" w:hAnsi="Times New Roman" w:cs="Times New Roman"/>
        </w:rPr>
        <w:t xml:space="preserve"> In particular, those audiences </w:t>
      </w:r>
      <w:r w:rsidR="00B57940">
        <w:rPr>
          <w:rFonts w:ascii="Times New Roman" w:eastAsia="Calibri" w:hAnsi="Times New Roman" w:cs="Times New Roman"/>
        </w:rPr>
        <w:t>(</w:t>
      </w:r>
      <w:r w:rsidRPr="00D56B97">
        <w:rPr>
          <w:rFonts w:ascii="Times New Roman" w:eastAsia="Calibri" w:hAnsi="Times New Roman" w:cs="Times New Roman"/>
        </w:rPr>
        <w:t>especially the parties</w:t>
      </w:r>
      <w:r w:rsidR="00B57940">
        <w:rPr>
          <w:rFonts w:ascii="Times New Roman" w:eastAsia="Calibri" w:hAnsi="Times New Roman" w:cs="Times New Roman"/>
        </w:rPr>
        <w:t>)</w:t>
      </w:r>
      <w:r w:rsidRPr="00D56B97">
        <w:rPr>
          <w:rFonts w:ascii="Times New Roman" w:eastAsia="Calibri" w:hAnsi="Times New Roman" w:cs="Times New Roman"/>
        </w:rPr>
        <w:t xml:space="preserve"> primarily interested in the outcome of the particular case can have different needs to those audiences more interested in the case</w:t>
      </w:r>
      <w:r w:rsidR="00E47FA8" w:rsidRPr="00D56B97">
        <w:rPr>
          <w:rFonts w:ascii="Times New Roman" w:eastAsia="Calibri" w:hAnsi="Times New Roman" w:cs="Times New Roman"/>
        </w:rPr>
        <w:t>’</w:t>
      </w:r>
      <w:r w:rsidRPr="00D56B97">
        <w:rPr>
          <w:rFonts w:ascii="Times New Roman" w:eastAsia="Calibri" w:hAnsi="Times New Roman" w:cs="Times New Roman"/>
        </w:rPr>
        <w:t>s implications for the law as a whole. In mental capacity law, where the consequences of a decision are often profound and controversy is seldom far away, the needs of these two audiences can be in tensio</w:t>
      </w:r>
      <w:r w:rsidR="003E22B7" w:rsidRPr="00D56B97">
        <w:rPr>
          <w:rFonts w:ascii="Times New Roman" w:eastAsia="Calibri" w:hAnsi="Times New Roman" w:cs="Times New Roman"/>
        </w:rPr>
        <w:t>n. The immediate audience</w:t>
      </w:r>
      <w:r w:rsidR="00C86041">
        <w:rPr>
          <w:rFonts w:ascii="Times New Roman" w:eastAsia="Calibri" w:hAnsi="Times New Roman" w:cs="Times New Roman"/>
        </w:rPr>
        <w:t>s</w:t>
      </w:r>
      <w:r w:rsidR="003E22B7" w:rsidRPr="00D56B97">
        <w:rPr>
          <w:rFonts w:ascii="Times New Roman" w:eastAsia="Calibri" w:hAnsi="Times New Roman" w:cs="Times New Roman"/>
        </w:rPr>
        <w:t xml:space="preserve"> need</w:t>
      </w:r>
      <w:r w:rsidRPr="00D56B97">
        <w:rPr>
          <w:rFonts w:ascii="Times New Roman" w:eastAsia="Calibri" w:hAnsi="Times New Roman" w:cs="Times New Roman"/>
        </w:rPr>
        <w:t xml:space="preserve"> final resolution of an often prolonged conflict in a way that acknowledges that their concerns matter.</w:t>
      </w:r>
      <w:r w:rsidR="00E63D32" w:rsidRPr="00D56B97">
        <w:rPr>
          <w:rStyle w:val="FootnoteReference"/>
          <w:rFonts w:ascii="Times New Roman" w:eastAsia="Calibri" w:hAnsi="Times New Roman" w:cs="Times New Roman"/>
        </w:rPr>
        <w:footnoteReference w:id="3"/>
      </w:r>
      <w:r w:rsidRPr="00D56B97">
        <w:rPr>
          <w:rFonts w:ascii="Times New Roman" w:eastAsia="Calibri" w:hAnsi="Times New Roman" w:cs="Times New Roman"/>
        </w:rPr>
        <w:t xml:space="preserve"> This demand is often met by simple, unequivocal declarations of principle: for instance, ‘</w:t>
      </w:r>
      <w:bookmarkStart w:id="1" w:name="para45"/>
      <w:r w:rsidRPr="00D56B97">
        <w:rPr>
          <w:rFonts w:ascii="Times New Roman" w:eastAsia="Calibri" w:hAnsi="Times New Roman" w:cs="Times New Roman"/>
        </w:rPr>
        <w:t>the purpose of the best interests test is to consider matters from the patient's point of view</w:t>
      </w:r>
      <w:bookmarkEnd w:id="1"/>
      <w:r w:rsidRPr="00D56B97">
        <w:rPr>
          <w:rFonts w:ascii="Times New Roman" w:eastAsia="Calibri" w:hAnsi="Times New Roman" w:cs="Times New Roman"/>
        </w:rPr>
        <w:t>’.</w:t>
      </w:r>
      <w:r w:rsidRPr="00D56B97">
        <w:rPr>
          <w:rFonts w:ascii="Times New Roman" w:eastAsia="Calibri" w:hAnsi="Times New Roman" w:cs="Times New Roman"/>
          <w:vertAlign w:val="superscript"/>
        </w:rPr>
        <w:footnoteReference w:id="4"/>
      </w:r>
      <w:r w:rsidRPr="00D56B97">
        <w:rPr>
          <w:rFonts w:ascii="Times New Roman" w:eastAsia="Calibri" w:hAnsi="Times New Roman" w:cs="Times New Roman"/>
        </w:rPr>
        <w:t xml:space="preserve"> There is nothing wrong with such declarations. They serve some purposes well. Th</w:t>
      </w:r>
      <w:r w:rsidR="000F5969" w:rsidRPr="00D56B97">
        <w:rPr>
          <w:rFonts w:ascii="Times New Roman" w:eastAsia="Calibri" w:hAnsi="Times New Roman" w:cs="Times New Roman"/>
        </w:rPr>
        <w:t>is article, however, shows that they</w:t>
      </w:r>
      <w:r w:rsidRPr="00D56B97">
        <w:rPr>
          <w:rFonts w:ascii="Times New Roman" w:eastAsia="Calibri" w:hAnsi="Times New Roman" w:cs="Times New Roman"/>
        </w:rPr>
        <w:t xml:space="preserve"> do not </w:t>
      </w:r>
      <w:r w:rsidR="009A5FE3" w:rsidRPr="00D56B97">
        <w:rPr>
          <w:rFonts w:ascii="Times New Roman" w:eastAsia="Calibri" w:hAnsi="Times New Roman" w:cs="Times New Roman"/>
        </w:rPr>
        <w:t xml:space="preserve">always </w:t>
      </w:r>
      <w:r w:rsidRPr="00D56B97">
        <w:rPr>
          <w:rFonts w:ascii="Times New Roman" w:eastAsia="Calibri" w:hAnsi="Times New Roman" w:cs="Times New Roman"/>
        </w:rPr>
        <w:t xml:space="preserve">serve an audience </w:t>
      </w:r>
      <w:r w:rsidR="00954BD0" w:rsidRPr="00D56B97">
        <w:rPr>
          <w:rFonts w:ascii="Times New Roman" w:eastAsia="Calibri" w:hAnsi="Times New Roman" w:cs="Times New Roman"/>
        </w:rPr>
        <w:t>attempting to understand the wider legal regime well</w:t>
      </w:r>
      <w:r w:rsidRPr="00D56B97">
        <w:rPr>
          <w:rFonts w:ascii="Times New Roman" w:eastAsia="Calibri" w:hAnsi="Times New Roman" w:cs="Times New Roman"/>
        </w:rPr>
        <w:t>. They focus attention too tightly on whatever issue is controversial in the particular case, neglect what is irrelevant to it, emphasise certainty over complexity; and so present a distorted view. When m</w:t>
      </w:r>
      <w:r w:rsidR="006D339B" w:rsidRPr="00D56B97">
        <w:rPr>
          <w:rFonts w:ascii="Times New Roman" w:eastAsia="Calibri" w:hAnsi="Times New Roman" w:cs="Times New Roman"/>
        </w:rPr>
        <w:t>o</w:t>
      </w:r>
      <w:r w:rsidR="00C742BC" w:rsidRPr="00D56B97">
        <w:rPr>
          <w:rFonts w:ascii="Times New Roman" w:eastAsia="Calibri" w:hAnsi="Times New Roman" w:cs="Times New Roman"/>
        </w:rPr>
        <w:t xml:space="preserve">st published judgments, </w:t>
      </w:r>
      <w:r w:rsidRPr="00D56B97">
        <w:rPr>
          <w:rFonts w:ascii="Times New Roman" w:eastAsia="Calibri" w:hAnsi="Times New Roman" w:cs="Times New Roman"/>
        </w:rPr>
        <w:t>justifiably,</w:t>
      </w:r>
      <w:r w:rsidR="00C742BC" w:rsidRPr="00D56B97">
        <w:rPr>
          <w:rStyle w:val="FootnoteReference"/>
          <w:rFonts w:ascii="Times New Roman" w:eastAsia="Calibri" w:hAnsi="Times New Roman" w:cs="Times New Roman"/>
        </w:rPr>
        <w:footnoteReference w:id="5"/>
      </w:r>
      <w:r w:rsidRPr="00D56B97">
        <w:rPr>
          <w:rFonts w:ascii="Times New Roman" w:eastAsia="Calibri" w:hAnsi="Times New Roman" w:cs="Times New Roman"/>
        </w:rPr>
        <w:t xml:space="preserve"> prioritise the immediate audience in this way, then extractin</w:t>
      </w:r>
      <w:r w:rsidR="00E47FA8" w:rsidRPr="00D56B97">
        <w:rPr>
          <w:rFonts w:ascii="Times New Roman" w:eastAsia="Calibri" w:hAnsi="Times New Roman" w:cs="Times New Roman"/>
        </w:rPr>
        <w:t>g a coherent description of the</w:t>
      </w:r>
      <w:r w:rsidRPr="00D56B97">
        <w:rPr>
          <w:rFonts w:ascii="Times New Roman" w:eastAsia="Calibri" w:hAnsi="Times New Roman" w:cs="Times New Roman"/>
        </w:rPr>
        <w:t xml:space="preserve"> legal regime from the patchwork of partial accounts can take some work.</w:t>
      </w:r>
    </w:p>
    <w:p w14:paraId="7493C86E" w14:textId="1DD06A9E" w:rsidR="00580C1A" w:rsidRPr="00D56B97" w:rsidRDefault="002B3A6E" w:rsidP="00CA462F">
      <w:pPr>
        <w:spacing w:line="480" w:lineRule="auto"/>
        <w:ind w:firstLine="720"/>
        <w:jc w:val="both"/>
        <w:rPr>
          <w:rFonts w:ascii="Times New Roman" w:hAnsi="Times New Roman" w:cs="Times New Roman"/>
        </w:rPr>
      </w:pPr>
      <w:r w:rsidRPr="00D56B97">
        <w:rPr>
          <w:rFonts w:ascii="Times New Roman" w:hAnsi="Times New Roman" w:cs="Times New Roman"/>
        </w:rPr>
        <w:t>O</w:t>
      </w:r>
      <w:r w:rsidR="00697456" w:rsidRPr="00D56B97">
        <w:rPr>
          <w:rFonts w:ascii="Times New Roman" w:hAnsi="Times New Roman" w:cs="Times New Roman"/>
        </w:rPr>
        <w:t>ne</w:t>
      </w:r>
      <w:r w:rsidR="001A5837" w:rsidRPr="00D56B97">
        <w:rPr>
          <w:rFonts w:ascii="Times New Roman" w:hAnsi="Times New Roman" w:cs="Times New Roman"/>
        </w:rPr>
        <w:t xml:space="preserve"> aspect of </w:t>
      </w:r>
      <w:r w:rsidR="006F3F6B" w:rsidRPr="00D56B97">
        <w:rPr>
          <w:rFonts w:ascii="Times New Roman" w:hAnsi="Times New Roman" w:cs="Times New Roman"/>
        </w:rPr>
        <w:t>domestic mental capacit</w:t>
      </w:r>
      <w:r w:rsidR="000212C2" w:rsidRPr="00D56B97">
        <w:rPr>
          <w:rFonts w:ascii="Times New Roman" w:hAnsi="Times New Roman" w:cs="Times New Roman"/>
        </w:rPr>
        <w:t xml:space="preserve">y law </w:t>
      </w:r>
      <w:r w:rsidR="00697456" w:rsidRPr="00D56B97">
        <w:rPr>
          <w:rFonts w:ascii="Times New Roman" w:hAnsi="Times New Roman" w:cs="Times New Roman"/>
        </w:rPr>
        <w:t>exhibits such a patchwork</w:t>
      </w:r>
      <w:r w:rsidR="006F3F6B" w:rsidRPr="00D56B97">
        <w:rPr>
          <w:rFonts w:ascii="Times New Roman" w:hAnsi="Times New Roman" w:cs="Times New Roman"/>
        </w:rPr>
        <w:t xml:space="preserve"> of partial accounts. </w:t>
      </w:r>
      <w:r w:rsidR="001A5837" w:rsidRPr="00D56B97">
        <w:rPr>
          <w:rFonts w:ascii="Times New Roman" w:hAnsi="Times New Roman" w:cs="Times New Roman"/>
        </w:rPr>
        <w:t>J</w:t>
      </w:r>
      <w:r w:rsidR="006F3F6B" w:rsidRPr="00D56B97">
        <w:rPr>
          <w:rFonts w:ascii="Times New Roman" w:hAnsi="Times New Roman" w:cs="Times New Roman"/>
        </w:rPr>
        <w:t>udge</w:t>
      </w:r>
      <w:r w:rsidR="005C58D1" w:rsidRPr="00D56B97">
        <w:rPr>
          <w:rFonts w:ascii="Times New Roman" w:hAnsi="Times New Roman" w:cs="Times New Roman"/>
        </w:rPr>
        <w:t>s tend to use whatever ideas about</w:t>
      </w:r>
      <w:r w:rsidR="006F3F6B" w:rsidRPr="00D56B97">
        <w:rPr>
          <w:rFonts w:ascii="Times New Roman" w:hAnsi="Times New Roman" w:cs="Times New Roman"/>
        </w:rPr>
        <w:t xml:space="preserve"> </w:t>
      </w:r>
      <w:r w:rsidR="005C58D1" w:rsidRPr="00D56B97">
        <w:rPr>
          <w:rFonts w:ascii="Times New Roman" w:hAnsi="Times New Roman" w:cs="Times New Roman"/>
        </w:rPr>
        <w:t xml:space="preserve">personal </w:t>
      </w:r>
      <w:r w:rsidR="006F3F6B" w:rsidRPr="00D56B97">
        <w:rPr>
          <w:rFonts w:ascii="Times New Roman" w:hAnsi="Times New Roman" w:cs="Times New Roman"/>
        </w:rPr>
        <w:t>‘autonomy’, a word that is not legally defined,</w:t>
      </w:r>
      <w:r w:rsidR="005C58D1" w:rsidRPr="00D56B97">
        <w:rPr>
          <w:rFonts w:ascii="Times New Roman" w:hAnsi="Times New Roman" w:cs="Times New Roman"/>
        </w:rPr>
        <w:t xml:space="preserve"> best </w:t>
      </w:r>
      <w:r w:rsidR="005C58D1" w:rsidRPr="00D56B97">
        <w:rPr>
          <w:rFonts w:ascii="Times New Roman" w:hAnsi="Times New Roman" w:cs="Times New Roman"/>
        </w:rPr>
        <w:lastRenderedPageBreak/>
        <w:t>suit their rhetorical needs in the immediate case, whether or not their usage can coherently account for t</w:t>
      </w:r>
      <w:r w:rsidR="005E00B9" w:rsidRPr="00D56B97">
        <w:rPr>
          <w:rFonts w:ascii="Times New Roman" w:hAnsi="Times New Roman" w:cs="Times New Roman"/>
        </w:rPr>
        <w:t xml:space="preserve">he law as a whole. As a result, </w:t>
      </w:r>
      <w:r w:rsidR="005C58D1" w:rsidRPr="00D56B97">
        <w:rPr>
          <w:rFonts w:ascii="Times New Roman" w:hAnsi="Times New Roman" w:cs="Times New Roman"/>
        </w:rPr>
        <w:t>three apparently contr</w:t>
      </w:r>
      <w:r w:rsidR="001A5837" w:rsidRPr="00D56B97">
        <w:rPr>
          <w:rFonts w:ascii="Times New Roman" w:hAnsi="Times New Roman" w:cs="Times New Roman"/>
        </w:rPr>
        <w:t xml:space="preserve">adictory accounts </w:t>
      </w:r>
      <w:r w:rsidR="00C86041">
        <w:rPr>
          <w:rFonts w:ascii="Times New Roman" w:hAnsi="Times New Roman" w:cs="Times New Roman"/>
        </w:rPr>
        <w:t xml:space="preserve">of </w:t>
      </w:r>
      <w:r w:rsidR="005E00B9" w:rsidRPr="00D56B97">
        <w:rPr>
          <w:rFonts w:ascii="Times New Roman" w:hAnsi="Times New Roman" w:cs="Times New Roman"/>
        </w:rPr>
        <w:t xml:space="preserve">the relationship between mental capacity and autonomy </w:t>
      </w:r>
      <w:r w:rsidR="000548A1" w:rsidRPr="00D56B97">
        <w:rPr>
          <w:rFonts w:ascii="Times New Roman" w:hAnsi="Times New Roman" w:cs="Times New Roman"/>
        </w:rPr>
        <w:t xml:space="preserve">coexist. On one account, people with mental capacity about a matter are autonomous enough to make their own decisions about it, but those without such capacity are not. </w:t>
      </w:r>
      <w:r w:rsidR="00A10B00" w:rsidRPr="00D56B97">
        <w:rPr>
          <w:rFonts w:ascii="Times New Roman" w:hAnsi="Times New Roman" w:cs="Times New Roman"/>
        </w:rPr>
        <w:t>Mental capacity alo</w:t>
      </w:r>
      <w:r w:rsidR="00CE75B4" w:rsidRPr="00D56B97">
        <w:rPr>
          <w:rFonts w:ascii="Times New Roman" w:hAnsi="Times New Roman" w:cs="Times New Roman"/>
        </w:rPr>
        <w:t>ne decides the issue of autonomy</w:t>
      </w:r>
      <w:r w:rsidR="00A10B00" w:rsidRPr="00D56B97">
        <w:rPr>
          <w:rFonts w:ascii="Times New Roman" w:hAnsi="Times New Roman" w:cs="Times New Roman"/>
        </w:rPr>
        <w:t xml:space="preserve">. </w:t>
      </w:r>
      <w:r w:rsidR="000548A1" w:rsidRPr="00D56B97">
        <w:rPr>
          <w:rFonts w:ascii="Times New Roman" w:hAnsi="Times New Roman" w:cs="Times New Roman"/>
        </w:rPr>
        <w:t xml:space="preserve">On the second account, however, mental capacity alone is not </w:t>
      </w:r>
      <w:r w:rsidR="0079082A" w:rsidRPr="00D56B97">
        <w:rPr>
          <w:rFonts w:ascii="Times New Roman" w:hAnsi="Times New Roman" w:cs="Times New Roman"/>
        </w:rPr>
        <w:t>enough for someone</w:t>
      </w:r>
      <w:r w:rsidR="000548A1" w:rsidRPr="00D56B97">
        <w:rPr>
          <w:rFonts w:ascii="Times New Roman" w:hAnsi="Times New Roman" w:cs="Times New Roman"/>
        </w:rPr>
        <w:t xml:space="preserve"> to</w:t>
      </w:r>
      <w:r w:rsidR="0079082A" w:rsidRPr="00D56B97">
        <w:rPr>
          <w:rFonts w:ascii="Times New Roman" w:hAnsi="Times New Roman" w:cs="Times New Roman"/>
        </w:rPr>
        <w:t xml:space="preserve"> be considered autonomous. F</w:t>
      </w:r>
      <w:r w:rsidR="000548A1" w:rsidRPr="00D56B97">
        <w:rPr>
          <w:rFonts w:ascii="Times New Roman" w:hAnsi="Times New Roman" w:cs="Times New Roman"/>
        </w:rPr>
        <w:t xml:space="preserve">reedom from coercion and undue influences is also required. Finally, in the third account, even when someone </w:t>
      </w:r>
      <w:r w:rsidR="00641E69" w:rsidRPr="00D56B97">
        <w:rPr>
          <w:rFonts w:ascii="Times New Roman" w:hAnsi="Times New Roman" w:cs="Times New Roman"/>
        </w:rPr>
        <w:t>lack</w:t>
      </w:r>
      <w:r w:rsidR="000548A1" w:rsidRPr="00D56B97">
        <w:rPr>
          <w:rFonts w:ascii="Times New Roman" w:hAnsi="Times New Roman" w:cs="Times New Roman"/>
        </w:rPr>
        <w:t>s</w:t>
      </w:r>
      <w:r w:rsidR="00641E69" w:rsidRPr="00D56B97">
        <w:rPr>
          <w:rFonts w:ascii="Times New Roman" w:hAnsi="Times New Roman" w:cs="Times New Roman"/>
        </w:rPr>
        <w:t xml:space="preserve"> mental capacity about a matter</w:t>
      </w:r>
      <w:r w:rsidR="004D6ECE">
        <w:rPr>
          <w:rFonts w:ascii="Times New Roman" w:hAnsi="Times New Roman" w:cs="Times New Roman"/>
        </w:rPr>
        <w:t>,</w:t>
      </w:r>
      <w:r w:rsidR="00641E69" w:rsidRPr="00D56B97">
        <w:rPr>
          <w:rFonts w:ascii="Times New Roman" w:hAnsi="Times New Roman" w:cs="Times New Roman"/>
        </w:rPr>
        <w:t xml:space="preserve"> </w:t>
      </w:r>
      <w:r w:rsidR="000548A1" w:rsidRPr="00D56B97">
        <w:rPr>
          <w:rFonts w:ascii="Times New Roman" w:hAnsi="Times New Roman" w:cs="Times New Roman"/>
        </w:rPr>
        <w:t>they may</w:t>
      </w:r>
      <w:r w:rsidR="00641E69" w:rsidRPr="00D56B97">
        <w:rPr>
          <w:rFonts w:ascii="Times New Roman" w:hAnsi="Times New Roman" w:cs="Times New Roman"/>
        </w:rPr>
        <w:t xml:space="preserve"> be autonomous with regard to it.</w:t>
      </w:r>
      <w:r w:rsidR="000548A1" w:rsidRPr="00D56B97">
        <w:rPr>
          <w:rFonts w:ascii="Times New Roman" w:hAnsi="Times New Roman" w:cs="Times New Roman"/>
        </w:rPr>
        <w:t xml:space="preserve"> </w:t>
      </w:r>
      <w:r w:rsidR="00442238" w:rsidRPr="00D56B97">
        <w:rPr>
          <w:rFonts w:ascii="Times New Roman" w:hAnsi="Times New Roman" w:cs="Times New Roman"/>
        </w:rPr>
        <w:t>At first sight, t</w:t>
      </w:r>
      <w:r w:rsidR="002C09B3" w:rsidRPr="00D56B97">
        <w:rPr>
          <w:rFonts w:ascii="Times New Roman" w:hAnsi="Times New Roman" w:cs="Times New Roman"/>
        </w:rPr>
        <w:t>hese accounts appear to contradict one another; but</w:t>
      </w:r>
      <w:r w:rsidR="001A5837" w:rsidRPr="00D56B97">
        <w:rPr>
          <w:rFonts w:ascii="Times New Roman" w:hAnsi="Times New Roman" w:cs="Times New Roman"/>
        </w:rPr>
        <w:t xml:space="preserve"> all</w:t>
      </w:r>
      <w:r w:rsidR="002C09B3" w:rsidRPr="00D56B97">
        <w:rPr>
          <w:rFonts w:ascii="Times New Roman" w:hAnsi="Times New Roman" w:cs="Times New Roman"/>
        </w:rPr>
        <w:t xml:space="preserve"> the cases in which they appear</w:t>
      </w:r>
      <w:r w:rsidR="00641E69" w:rsidRPr="00D56B97">
        <w:rPr>
          <w:rFonts w:ascii="Times New Roman" w:hAnsi="Times New Roman" w:cs="Times New Roman"/>
        </w:rPr>
        <w:t xml:space="preserve"> were decided within the current law</w:t>
      </w:r>
      <w:r w:rsidR="002C09B3" w:rsidRPr="00D56B97">
        <w:rPr>
          <w:rFonts w:ascii="Times New Roman" w:hAnsi="Times New Roman" w:cs="Times New Roman"/>
        </w:rPr>
        <w:t>,</w:t>
      </w:r>
      <w:r w:rsidR="00641E69" w:rsidRPr="00D56B97">
        <w:rPr>
          <w:rFonts w:ascii="Times New Roman" w:hAnsi="Times New Roman" w:cs="Times New Roman"/>
        </w:rPr>
        <w:t xml:space="preserve"> and it is possible to </w:t>
      </w:r>
      <w:r w:rsidR="002C09B3" w:rsidRPr="00D56B97">
        <w:rPr>
          <w:rFonts w:ascii="Times New Roman" w:hAnsi="Times New Roman" w:cs="Times New Roman"/>
        </w:rPr>
        <w:t>draw them together into a coherent structure</w:t>
      </w:r>
      <w:r w:rsidR="00641E69" w:rsidRPr="00D56B97">
        <w:rPr>
          <w:rFonts w:ascii="Times New Roman" w:hAnsi="Times New Roman" w:cs="Times New Roman"/>
        </w:rPr>
        <w:t xml:space="preserve"> that captures</w:t>
      </w:r>
      <w:r w:rsidR="002C09B3" w:rsidRPr="00D56B97">
        <w:rPr>
          <w:rFonts w:ascii="Times New Roman" w:hAnsi="Times New Roman" w:cs="Times New Roman"/>
        </w:rPr>
        <w:t xml:space="preserve"> the important features of</w:t>
      </w:r>
      <w:r w:rsidR="00641E69" w:rsidRPr="00D56B97">
        <w:rPr>
          <w:rFonts w:ascii="Times New Roman" w:hAnsi="Times New Roman" w:cs="Times New Roman"/>
        </w:rPr>
        <w:t xml:space="preserve"> </w:t>
      </w:r>
      <w:r w:rsidR="001A5837" w:rsidRPr="00D56B97">
        <w:rPr>
          <w:rFonts w:ascii="Times New Roman" w:hAnsi="Times New Roman" w:cs="Times New Roman"/>
        </w:rPr>
        <w:t>each</w:t>
      </w:r>
      <w:r w:rsidR="00641E69" w:rsidRPr="00D56B97">
        <w:rPr>
          <w:rFonts w:ascii="Times New Roman" w:hAnsi="Times New Roman" w:cs="Times New Roman"/>
        </w:rPr>
        <w:t>.</w:t>
      </w:r>
      <w:r w:rsidR="005D2B1E" w:rsidRPr="00D56B97">
        <w:rPr>
          <w:rFonts w:ascii="Times New Roman" w:hAnsi="Times New Roman" w:cs="Times New Roman"/>
        </w:rPr>
        <w:t xml:space="preserve"> </w:t>
      </w:r>
      <w:r w:rsidR="004D6ECE">
        <w:rPr>
          <w:rFonts w:ascii="Times New Roman" w:hAnsi="Times New Roman" w:cs="Times New Roman"/>
        </w:rPr>
        <w:t>One of the unique contributions that this article make</w:t>
      </w:r>
      <w:r w:rsidR="000F5EF2">
        <w:rPr>
          <w:rFonts w:ascii="Times New Roman" w:hAnsi="Times New Roman" w:cs="Times New Roman"/>
        </w:rPr>
        <w:t>s is to give this unified account</w:t>
      </w:r>
      <w:r w:rsidR="00B108D8" w:rsidRPr="00D56B97">
        <w:rPr>
          <w:rFonts w:ascii="Times New Roman" w:hAnsi="Times New Roman" w:cs="Times New Roman"/>
        </w:rPr>
        <w:t xml:space="preserve"> in section V</w:t>
      </w:r>
      <w:r w:rsidR="00580C1A" w:rsidRPr="00D56B97">
        <w:rPr>
          <w:rFonts w:ascii="Times New Roman" w:hAnsi="Times New Roman" w:cs="Times New Roman"/>
        </w:rPr>
        <w:t xml:space="preserve">. </w:t>
      </w:r>
      <w:r w:rsidR="005D2B1E" w:rsidRPr="00D56B97">
        <w:rPr>
          <w:rFonts w:ascii="Times New Roman" w:hAnsi="Times New Roman" w:cs="Times New Roman"/>
        </w:rPr>
        <w:t xml:space="preserve">This article, then, is not an argument for legal reform. It is, instead, </w:t>
      </w:r>
      <w:r w:rsidR="001A5837" w:rsidRPr="00D56B97">
        <w:rPr>
          <w:rFonts w:ascii="Times New Roman" w:hAnsi="Times New Roman" w:cs="Times New Roman"/>
        </w:rPr>
        <w:t>a corrective</w:t>
      </w:r>
      <w:r w:rsidR="00641E69" w:rsidRPr="00D56B97">
        <w:rPr>
          <w:rFonts w:ascii="Times New Roman" w:hAnsi="Times New Roman" w:cs="Times New Roman"/>
        </w:rPr>
        <w:t xml:space="preserve"> acc</w:t>
      </w:r>
      <w:r w:rsidR="003365E6" w:rsidRPr="00D56B97">
        <w:rPr>
          <w:rFonts w:ascii="Times New Roman" w:hAnsi="Times New Roman" w:cs="Times New Roman"/>
        </w:rPr>
        <w:t>ount of how the law currently</w:t>
      </w:r>
      <w:r w:rsidR="00641E69" w:rsidRPr="00D56B97">
        <w:rPr>
          <w:rFonts w:ascii="Times New Roman" w:hAnsi="Times New Roman" w:cs="Times New Roman"/>
        </w:rPr>
        <w:t xml:space="preserve"> treats the relationship betwe</w:t>
      </w:r>
      <w:r w:rsidR="00A63D8A" w:rsidRPr="00D56B97">
        <w:rPr>
          <w:rFonts w:ascii="Times New Roman" w:hAnsi="Times New Roman" w:cs="Times New Roman"/>
        </w:rPr>
        <w:t>en autonomy and mental capacity.</w:t>
      </w:r>
    </w:p>
    <w:p w14:paraId="7493C86F" w14:textId="3D9E199D" w:rsidR="00DF27F6" w:rsidRPr="00D56B97" w:rsidRDefault="00683503" w:rsidP="00DF27F6">
      <w:pPr>
        <w:spacing w:line="480" w:lineRule="auto"/>
        <w:ind w:firstLine="720"/>
        <w:jc w:val="both"/>
        <w:rPr>
          <w:rFonts w:ascii="Times New Roman" w:eastAsia="Calibri" w:hAnsi="Times New Roman" w:cs="Times New Roman"/>
        </w:rPr>
      </w:pPr>
      <w:r>
        <w:rPr>
          <w:rFonts w:ascii="Times New Roman" w:eastAsia="Calibri" w:hAnsi="Times New Roman" w:cs="Times New Roman"/>
        </w:rPr>
        <w:t>In particular, t</w:t>
      </w:r>
      <w:r w:rsidR="00DF27F6" w:rsidRPr="00D56B97">
        <w:rPr>
          <w:rFonts w:ascii="Times New Roman" w:eastAsia="Calibri" w:hAnsi="Times New Roman" w:cs="Times New Roman"/>
        </w:rPr>
        <w:t xml:space="preserve">his article evaluates a gap between how ‘autonomy’ appears if </w:t>
      </w:r>
      <w:r w:rsidR="0093556C" w:rsidRPr="00D56B97">
        <w:rPr>
          <w:rFonts w:ascii="Times New Roman" w:eastAsia="Calibri" w:hAnsi="Times New Roman" w:cs="Times New Roman"/>
        </w:rPr>
        <w:t xml:space="preserve">judicial comments in </w:t>
      </w:r>
      <w:r>
        <w:rPr>
          <w:rFonts w:ascii="Times New Roman" w:eastAsia="Calibri" w:hAnsi="Times New Roman" w:cs="Times New Roman"/>
        </w:rPr>
        <w:t>certain</w:t>
      </w:r>
      <w:r w:rsidR="0093556C" w:rsidRPr="00D56B97">
        <w:rPr>
          <w:rFonts w:ascii="Times New Roman" w:eastAsia="Calibri" w:hAnsi="Times New Roman" w:cs="Times New Roman"/>
        </w:rPr>
        <w:t xml:space="preserve"> cases</w:t>
      </w:r>
      <w:r w:rsidR="00FD5ABB" w:rsidRPr="00D56B97">
        <w:rPr>
          <w:rFonts w:ascii="Times New Roman" w:eastAsia="Calibri" w:hAnsi="Times New Roman" w:cs="Times New Roman"/>
        </w:rPr>
        <w:t xml:space="preserve"> are taken at face value</w:t>
      </w:r>
      <w:r>
        <w:rPr>
          <w:rFonts w:ascii="Times New Roman" w:eastAsia="Calibri" w:hAnsi="Times New Roman" w:cs="Times New Roman"/>
        </w:rPr>
        <w:t>,</w:t>
      </w:r>
      <w:r w:rsidR="00DF27F6" w:rsidRPr="00D56B97">
        <w:rPr>
          <w:rFonts w:ascii="Times New Roman" w:eastAsia="Calibri" w:hAnsi="Times New Roman" w:cs="Times New Roman"/>
        </w:rPr>
        <w:t xml:space="preserve"> and how it appears if </w:t>
      </w:r>
      <w:r w:rsidR="0093556C" w:rsidRPr="00D56B97">
        <w:rPr>
          <w:rFonts w:ascii="Times New Roman" w:eastAsia="Calibri" w:hAnsi="Times New Roman" w:cs="Times New Roman"/>
        </w:rPr>
        <w:t>the law is treated as</w:t>
      </w:r>
      <w:r w:rsidR="00DF27F6" w:rsidRPr="00D56B97">
        <w:rPr>
          <w:rFonts w:ascii="Times New Roman" w:eastAsia="Calibri" w:hAnsi="Times New Roman" w:cs="Times New Roman"/>
        </w:rPr>
        <w:t xml:space="preserve"> consistent a</w:t>
      </w:r>
      <w:r w:rsidR="0093556C" w:rsidRPr="00D56B97">
        <w:rPr>
          <w:rFonts w:ascii="Times New Roman" w:eastAsia="Calibri" w:hAnsi="Times New Roman" w:cs="Times New Roman"/>
        </w:rPr>
        <w:t>cross the full range of</w:t>
      </w:r>
      <w:r w:rsidR="00DF27F6" w:rsidRPr="00D56B97">
        <w:rPr>
          <w:rFonts w:ascii="Times New Roman" w:eastAsia="Calibri" w:hAnsi="Times New Roman" w:cs="Times New Roman"/>
        </w:rPr>
        <w:t xml:space="preserve"> cases. It is not an attempt to evaluate practice against an</w:t>
      </w:r>
      <w:r w:rsidR="0093556C" w:rsidRPr="00D56B97">
        <w:rPr>
          <w:rFonts w:ascii="Times New Roman" w:eastAsia="Calibri" w:hAnsi="Times New Roman" w:cs="Times New Roman"/>
        </w:rPr>
        <w:t>y</w:t>
      </w:r>
      <w:r w:rsidR="00DF27F6" w:rsidRPr="00D56B97">
        <w:rPr>
          <w:rFonts w:ascii="Times New Roman" w:eastAsia="Calibri" w:hAnsi="Times New Roman" w:cs="Times New Roman"/>
        </w:rPr>
        <w:t xml:space="preserve"> already-determined philosophical account of autonomy, valuable as such work may also be.</w:t>
      </w:r>
      <w:r w:rsidR="00DF27F6" w:rsidRPr="00D56B97">
        <w:rPr>
          <w:rFonts w:ascii="Times New Roman" w:eastAsia="Calibri" w:hAnsi="Times New Roman" w:cs="Times New Roman"/>
          <w:vertAlign w:val="superscript"/>
        </w:rPr>
        <w:footnoteReference w:id="6"/>
      </w:r>
      <w:r w:rsidR="00DF27F6" w:rsidRPr="00D56B97">
        <w:rPr>
          <w:rFonts w:ascii="Times New Roman" w:eastAsia="Calibri" w:hAnsi="Times New Roman" w:cs="Times New Roman"/>
        </w:rPr>
        <w:t xml:space="preserve"> Instead, it is an attempt to take seriously Wittgenstein’s suggestion to</w:t>
      </w:r>
      <w:r w:rsidR="0093556C" w:rsidRPr="00D56B97">
        <w:rPr>
          <w:rFonts w:ascii="Times New Roman" w:eastAsia="Calibri" w:hAnsi="Times New Roman" w:cs="Times New Roman"/>
        </w:rPr>
        <w:t xml:space="preserve"> start not with conceptual analysis, but in practice</w:t>
      </w:r>
      <w:r w:rsidR="000B648D" w:rsidRPr="00D56B97">
        <w:rPr>
          <w:rFonts w:ascii="Times New Roman" w:eastAsia="Calibri" w:hAnsi="Times New Roman" w:cs="Times New Roman"/>
        </w:rPr>
        <w:t>:</w:t>
      </w:r>
      <w:r w:rsidR="0093556C" w:rsidRPr="00D56B97">
        <w:rPr>
          <w:rFonts w:ascii="Times New Roman" w:eastAsia="Calibri" w:hAnsi="Times New Roman" w:cs="Times New Roman"/>
        </w:rPr>
        <w:t xml:space="preserve"> to </w:t>
      </w:r>
      <w:r w:rsidR="00DF27F6" w:rsidRPr="00D56B97">
        <w:rPr>
          <w:rFonts w:ascii="Times New Roman" w:eastAsia="Calibri" w:hAnsi="Times New Roman" w:cs="Times New Roman"/>
        </w:rPr>
        <w:t>‘</w:t>
      </w:r>
      <w:r w:rsidR="00DF27F6" w:rsidRPr="00D56B97">
        <w:rPr>
          <w:rFonts w:ascii="Times New Roman" w:eastAsia="Calibri" w:hAnsi="Times New Roman" w:cs="Times New Roman"/>
          <w:i/>
        </w:rPr>
        <w:t>look and see’</w:t>
      </w:r>
      <w:r w:rsidR="00DF27F6" w:rsidRPr="00D56B97">
        <w:rPr>
          <w:rFonts w:ascii="Times New Roman" w:eastAsia="Calibri" w:hAnsi="Times New Roman" w:cs="Times New Roman"/>
        </w:rPr>
        <w:t xml:space="preserve"> how a word is used.</w:t>
      </w:r>
      <w:r w:rsidR="00DF27F6" w:rsidRPr="00D56B97">
        <w:rPr>
          <w:rFonts w:ascii="Times New Roman" w:eastAsia="Calibri" w:hAnsi="Times New Roman" w:cs="Times New Roman"/>
          <w:vertAlign w:val="superscript"/>
        </w:rPr>
        <w:footnoteReference w:id="7"/>
      </w:r>
      <w:r w:rsidR="00DF27F6" w:rsidRPr="00D56B97">
        <w:rPr>
          <w:rFonts w:ascii="Times New Roman" w:eastAsia="Calibri" w:hAnsi="Times New Roman" w:cs="Times New Roman"/>
        </w:rPr>
        <w:t xml:space="preserve"> </w:t>
      </w:r>
      <w:r w:rsidR="0093556C" w:rsidRPr="00D56B97">
        <w:rPr>
          <w:rFonts w:ascii="Times New Roman" w:eastAsia="Calibri" w:hAnsi="Times New Roman" w:cs="Times New Roman"/>
        </w:rPr>
        <w:t>As he notes</w:t>
      </w:r>
      <w:r w:rsidR="00DF27F6" w:rsidRPr="00D56B97">
        <w:rPr>
          <w:rFonts w:ascii="Times New Roman" w:eastAsia="Calibri" w:hAnsi="Times New Roman" w:cs="Times New Roman"/>
        </w:rPr>
        <w:t xml:space="preserve">, </w:t>
      </w:r>
      <w:r w:rsidR="0093556C" w:rsidRPr="00D56B97">
        <w:rPr>
          <w:rFonts w:ascii="Times New Roman" w:eastAsia="Calibri" w:hAnsi="Times New Roman" w:cs="Times New Roman"/>
        </w:rPr>
        <w:t>‘</w:t>
      </w:r>
      <w:r w:rsidR="00DF27F6" w:rsidRPr="00D56B97">
        <w:rPr>
          <w:rFonts w:ascii="Times New Roman" w:eastAsia="Calibri" w:hAnsi="Times New Roman" w:cs="Times New Roman"/>
        </w:rPr>
        <w:t>looking</w:t>
      </w:r>
      <w:r w:rsidR="0093556C" w:rsidRPr="00D56B97">
        <w:rPr>
          <w:rFonts w:ascii="Times New Roman" w:eastAsia="Calibri" w:hAnsi="Times New Roman" w:cs="Times New Roman"/>
        </w:rPr>
        <w:t>’</w:t>
      </w:r>
      <w:r w:rsidR="00DF27F6" w:rsidRPr="00D56B97">
        <w:rPr>
          <w:rFonts w:ascii="Times New Roman" w:eastAsia="Calibri" w:hAnsi="Times New Roman" w:cs="Times New Roman"/>
        </w:rPr>
        <w:t xml:space="preserve"> </w:t>
      </w:r>
      <w:r w:rsidR="0093556C" w:rsidRPr="00D56B97">
        <w:rPr>
          <w:rFonts w:ascii="Times New Roman" w:eastAsia="Calibri" w:hAnsi="Times New Roman" w:cs="Times New Roman"/>
        </w:rPr>
        <w:t xml:space="preserve">sometimes </w:t>
      </w:r>
      <w:r w:rsidR="00DF27F6" w:rsidRPr="00D56B97">
        <w:rPr>
          <w:rFonts w:ascii="Times New Roman" w:eastAsia="Calibri" w:hAnsi="Times New Roman" w:cs="Times New Roman"/>
        </w:rPr>
        <w:t>does</w:t>
      </w:r>
      <w:r w:rsidR="0093556C" w:rsidRPr="00D56B97">
        <w:rPr>
          <w:rFonts w:ascii="Times New Roman" w:eastAsia="Calibri" w:hAnsi="Times New Roman" w:cs="Times New Roman"/>
        </w:rPr>
        <w:t xml:space="preserve"> not reveal a common core to a</w:t>
      </w:r>
      <w:r w:rsidR="00DF27F6" w:rsidRPr="00D56B97">
        <w:rPr>
          <w:rFonts w:ascii="Times New Roman" w:eastAsia="Calibri" w:hAnsi="Times New Roman" w:cs="Times New Roman"/>
        </w:rPr>
        <w:t xml:space="preserve"> concept, one which would be p</w:t>
      </w:r>
      <w:r w:rsidR="00BE0616" w:rsidRPr="00D56B97">
        <w:rPr>
          <w:rFonts w:ascii="Times New Roman" w:eastAsia="Calibri" w:hAnsi="Times New Roman" w:cs="Times New Roman"/>
        </w:rPr>
        <w:t>resent in all uses of it</w:t>
      </w:r>
      <w:r w:rsidR="00DF27F6" w:rsidRPr="00D56B97">
        <w:rPr>
          <w:rFonts w:ascii="Times New Roman" w:eastAsia="Calibri" w:hAnsi="Times New Roman" w:cs="Times New Roman"/>
        </w:rPr>
        <w:t>, but rather ‘a complicated network’ of overlapping similarities.</w:t>
      </w:r>
      <w:r w:rsidR="00DF27F6" w:rsidRPr="00D56B97">
        <w:rPr>
          <w:rFonts w:ascii="Times New Roman" w:eastAsia="Calibri" w:hAnsi="Times New Roman" w:cs="Times New Roman"/>
          <w:vertAlign w:val="superscript"/>
        </w:rPr>
        <w:footnoteReference w:id="8"/>
      </w:r>
      <w:r w:rsidR="00333B6C" w:rsidRPr="00D56B97">
        <w:rPr>
          <w:rFonts w:ascii="Times New Roman" w:eastAsia="Calibri" w:hAnsi="Times New Roman" w:cs="Times New Roman"/>
        </w:rPr>
        <w:t xml:space="preserve"> </w:t>
      </w:r>
      <w:r w:rsidR="006A08FF" w:rsidRPr="00D56B97">
        <w:rPr>
          <w:rFonts w:ascii="Times New Roman" w:eastAsia="Calibri" w:hAnsi="Times New Roman" w:cs="Times New Roman"/>
        </w:rPr>
        <w:t>H</w:t>
      </w:r>
      <w:r w:rsidR="00333B6C" w:rsidRPr="00D56B97">
        <w:rPr>
          <w:rFonts w:ascii="Times New Roman" w:eastAsia="Calibri" w:hAnsi="Times New Roman" w:cs="Times New Roman"/>
        </w:rPr>
        <w:t>e goes on to</w:t>
      </w:r>
      <w:r w:rsidR="00DF27F6" w:rsidRPr="00D56B97">
        <w:rPr>
          <w:rFonts w:ascii="Times New Roman" w:eastAsia="Calibri" w:hAnsi="Times New Roman" w:cs="Times New Roman"/>
        </w:rPr>
        <w:t xml:space="preserve"> suggest</w:t>
      </w:r>
      <w:r w:rsidR="006A08FF" w:rsidRPr="00D56B97">
        <w:rPr>
          <w:rFonts w:ascii="Times New Roman" w:eastAsia="Calibri" w:hAnsi="Times New Roman" w:cs="Times New Roman"/>
        </w:rPr>
        <w:t xml:space="preserve"> that </w:t>
      </w:r>
      <w:r w:rsidR="00DF27F6" w:rsidRPr="00D56B97">
        <w:rPr>
          <w:rFonts w:ascii="Times New Roman" w:eastAsia="Calibri" w:hAnsi="Times New Roman" w:cs="Times New Roman"/>
        </w:rPr>
        <w:t xml:space="preserve">when </w:t>
      </w:r>
      <w:r w:rsidR="00612FA7" w:rsidRPr="00D56B97">
        <w:rPr>
          <w:rFonts w:ascii="Times New Roman" w:eastAsia="Calibri" w:hAnsi="Times New Roman" w:cs="Times New Roman"/>
        </w:rPr>
        <w:t xml:space="preserve">the </w:t>
      </w:r>
      <w:r w:rsidR="00DF27F6" w:rsidRPr="00D56B97">
        <w:rPr>
          <w:rFonts w:ascii="Times New Roman" w:eastAsia="Calibri" w:hAnsi="Times New Roman" w:cs="Times New Roman"/>
        </w:rPr>
        <w:t xml:space="preserve">uses of a concept </w:t>
      </w:r>
      <w:r w:rsidR="006A08FF" w:rsidRPr="00D56B97">
        <w:rPr>
          <w:rFonts w:ascii="Times New Roman" w:eastAsia="Calibri" w:hAnsi="Times New Roman" w:cs="Times New Roman"/>
        </w:rPr>
        <w:t>lack a</w:t>
      </w:r>
      <w:r w:rsidR="00DF27F6" w:rsidRPr="00D56B97">
        <w:rPr>
          <w:rFonts w:ascii="Times New Roman" w:eastAsia="Calibri" w:hAnsi="Times New Roman" w:cs="Times New Roman"/>
        </w:rPr>
        <w:t xml:space="preserve"> common core, then the scholarly assumption that a short, precise definition can capture the en</w:t>
      </w:r>
      <w:r w:rsidR="00333B6C" w:rsidRPr="00D56B97">
        <w:rPr>
          <w:rFonts w:ascii="Times New Roman" w:eastAsia="Calibri" w:hAnsi="Times New Roman" w:cs="Times New Roman"/>
        </w:rPr>
        <w:t>t</w:t>
      </w:r>
      <w:r w:rsidR="006A08FF" w:rsidRPr="00D56B97">
        <w:rPr>
          <w:rFonts w:ascii="Times New Roman" w:eastAsia="Calibri" w:hAnsi="Times New Roman" w:cs="Times New Roman"/>
        </w:rPr>
        <w:t>ire concept becomes hard to justify</w:t>
      </w:r>
      <w:r w:rsidR="00DF27F6" w:rsidRPr="00D56B97">
        <w:rPr>
          <w:rFonts w:ascii="Times New Roman" w:eastAsia="Calibri" w:hAnsi="Times New Roman" w:cs="Times New Roman"/>
        </w:rPr>
        <w:t>.</w:t>
      </w:r>
      <w:r w:rsidR="00DF27F6" w:rsidRPr="00D56B97">
        <w:rPr>
          <w:rFonts w:ascii="Times New Roman" w:eastAsia="Calibri" w:hAnsi="Times New Roman" w:cs="Times New Roman"/>
          <w:vertAlign w:val="superscript"/>
        </w:rPr>
        <w:footnoteReference w:id="9"/>
      </w:r>
      <w:r w:rsidR="00DF27F6" w:rsidRPr="00D56B97">
        <w:rPr>
          <w:rFonts w:ascii="Times New Roman" w:eastAsia="Calibri" w:hAnsi="Times New Roman" w:cs="Times New Roman"/>
        </w:rPr>
        <w:t xml:space="preserve"> Nevertheless, it is</w:t>
      </w:r>
      <w:r w:rsidR="006A08FF" w:rsidRPr="00D56B97">
        <w:rPr>
          <w:rFonts w:ascii="Times New Roman" w:eastAsia="Calibri" w:hAnsi="Times New Roman" w:cs="Times New Roman"/>
        </w:rPr>
        <w:t xml:space="preserve"> often</w:t>
      </w:r>
      <w:r w:rsidR="00DF27F6" w:rsidRPr="00D56B97">
        <w:rPr>
          <w:rFonts w:ascii="Times New Roman" w:eastAsia="Calibri" w:hAnsi="Times New Roman" w:cs="Times New Roman"/>
        </w:rPr>
        <w:t xml:space="preserve"> useful to start with a rough definition, if only to indicate a broad area of interest. </w:t>
      </w:r>
      <w:r w:rsidR="006A08FF" w:rsidRPr="00D56B97">
        <w:rPr>
          <w:rFonts w:ascii="Times New Roman" w:eastAsia="Calibri" w:hAnsi="Times New Roman" w:cs="Times New Roman"/>
        </w:rPr>
        <w:t>For the</w:t>
      </w:r>
      <w:r w:rsidR="00066E3F" w:rsidRPr="00D56B97">
        <w:rPr>
          <w:rFonts w:ascii="Times New Roman" w:eastAsia="Calibri" w:hAnsi="Times New Roman" w:cs="Times New Roman"/>
        </w:rPr>
        <w:t xml:space="preserve"> purposes </w:t>
      </w:r>
      <w:r w:rsidR="00066E3F" w:rsidRPr="00D56B97">
        <w:rPr>
          <w:rFonts w:ascii="Times New Roman" w:eastAsia="Calibri" w:hAnsi="Times New Roman" w:cs="Times New Roman"/>
        </w:rPr>
        <w:lastRenderedPageBreak/>
        <w:t>of getting started</w:t>
      </w:r>
      <w:r w:rsidR="000B648D" w:rsidRPr="00D56B97">
        <w:rPr>
          <w:rFonts w:ascii="Times New Roman" w:eastAsia="Calibri" w:hAnsi="Times New Roman" w:cs="Times New Roman"/>
        </w:rPr>
        <w:t>, then</w:t>
      </w:r>
      <w:r w:rsidR="00071A4E" w:rsidRPr="00D56B97">
        <w:rPr>
          <w:rFonts w:ascii="Times New Roman" w:eastAsia="Calibri" w:hAnsi="Times New Roman" w:cs="Times New Roman"/>
        </w:rPr>
        <w:t>,</w:t>
      </w:r>
      <w:r w:rsidR="006A08FF" w:rsidRPr="00D56B97">
        <w:rPr>
          <w:rFonts w:ascii="Times New Roman" w:eastAsia="Calibri" w:hAnsi="Times New Roman" w:cs="Times New Roman"/>
        </w:rPr>
        <w:t xml:space="preserve"> autonomy</w:t>
      </w:r>
      <w:r w:rsidR="00DF27F6" w:rsidRPr="00D56B97">
        <w:rPr>
          <w:rFonts w:ascii="Times New Roman" w:eastAsia="Calibri" w:hAnsi="Times New Roman" w:cs="Times New Roman"/>
        </w:rPr>
        <w:t xml:space="preserve"> is a person’s capacity for self-government, in the sense that they are able to be in control of their own life.</w:t>
      </w:r>
      <w:r w:rsidR="00DF27F6" w:rsidRPr="00D56B97">
        <w:rPr>
          <w:rFonts w:ascii="Times New Roman" w:eastAsia="Calibri" w:hAnsi="Times New Roman" w:cs="Times New Roman"/>
          <w:vertAlign w:val="superscript"/>
        </w:rPr>
        <w:footnoteReference w:id="10"/>
      </w:r>
      <w:r w:rsidR="00DF27F6" w:rsidRPr="00D56B97">
        <w:rPr>
          <w:rFonts w:ascii="Times New Roman" w:eastAsia="Calibri" w:hAnsi="Times New Roman" w:cs="Times New Roman"/>
        </w:rPr>
        <w:t xml:space="preserve"> This definition is broad enough to capture the judicial uses of the word that follow, but narrow enough to have an interesting feature. If autonomy is capacity for self-government, then it is not the same thing as the simple freedom from external restraints.</w:t>
      </w:r>
      <w:r w:rsidR="00DF27F6" w:rsidRPr="00D56B97">
        <w:rPr>
          <w:rFonts w:ascii="Times New Roman" w:eastAsia="Calibri" w:hAnsi="Times New Roman" w:cs="Times New Roman"/>
          <w:vertAlign w:val="superscript"/>
        </w:rPr>
        <w:footnoteReference w:id="11"/>
      </w:r>
      <w:r w:rsidR="00DF27F6" w:rsidRPr="00D56B97">
        <w:rPr>
          <w:rFonts w:ascii="Times New Roman" w:eastAsia="Calibri" w:hAnsi="Times New Roman" w:cs="Times New Roman"/>
        </w:rPr>
        <w:t xml:space="preserve"> </w:t>
      </w:r>
    </w:p>
    <w:p w14:paraId="7493C870" w14:textId="5F7F1C22" w:rsidR="00DF27F6" w:rsidRPr="00D56B97" w:rsidRDefault="00DF27F6" w:rsidP="00F7258D">
      <w:pPr>
        <w:spacing w:line="480" w:lineRule="auto"/>
        <w:ind w:firstLine="720"/>
        <w:jc w:val="both"/>
        <w:rPr>
          <w:rFonts w:ascii="Times New Roman" w:eastAsia="Calibri" w:hAnsi="Times New Roman" w:cs="Times New Roman"/>
        </w:rPr>
      </w:pPr>
      <w:r w:rsidRPr="00D56B97">
        <w:rPr>
          <w:rFonts w:ascii="Times New Roman" w:eastAsia="Calibri" w:hAnsi="Times New Roman" w:cs="Times New Roman"/>
        </w:rPr>
        <w:t>In the courts, self-government and freedom from external restraints have an intimate, justificatory relationship,</w:t>
      </w:r>
      <w:r w:rsidRPr="00D56B97">
        <w:rPr>
          <w:rFonts w:ascii="Times New Roman" w:eastAsia="Calibri" w:hAnsi="Times New Roman" w:cs="Times New Roman"/>
          <w:vertAlign w:val="superscript"/>
        </w:rPr>
        <w:footnoteReference w:id="12"/>
      </w:r>
      <w:r w:rsidRPr="00D56B97">
        <w:rPr>
          <w:rFonts w:ascii="Times New Roman" w:eastAsia="Calibri" w:hAnsi="Times New Roman" w:cs="Times New Roman"/>
        </w:rPr>
        <w:t xml:space="preserve"> which allows a typology of arguments that rely on autonomy to be made. There are two major types. First is the ‘appeal to respect for autonomy’:</w:t>
      </w:r>
      <w:r w:rsidRPr="00D56B97">
        <w:rPr>
          <w:rFonts w:ascii="Times New Roman" w:eastAsia="Calibri" w:hAnsi="Times New Roman" w:cs="Times New Roman"/>
          <w:vertAlign w:val="superscript"/>
        </w:rPr>
        <w:footnoteReference w:id="13"/>
      </w:r>
      <w:r w:rsidRPr="00D56B97">
        <w:rPr>
          <w:rFonts w:ascii="Times New Roman" w:eastAsia="Calibri" w:hAnsi="Times New Roman" w:cs="Times New Roman"/>
        </w:rPr>
        <w:t xml:space="preserve"> if someone is believed to be capable of self-government, and self-government is believed to be good, then that is a reason to refrain from interfering in their life against their will. Such arguments are common in capacity cases, and can even determine their outcome.</w:t>
      </w:r>
      <w:r w:rsidRPr="00D56B97">
        <w:rPr>
          <w:rFonts w:ascii="Times New Roman" w:eastAsia="Calibri" w:hAnsi="Times New Roman" w:cs="Times New Roman"/>
          <w:vertAlign w:val="superscript"/>
        </w:rPr>
        <w:footnoteReference w:id="14"/>
      </w:r>
      <w:r w:rsidRPr="00D56B97">
        <w:rPr>
          <w:rFonts w:ascii="Times New Roman" w:eastAsia="Calibri" w:hAnsi="Times New Roman" w:cs="Times New Roman"/>
        </w:rPr>
        <w:t xml:space="preserve"> </w:t>
      </w:r>
      <w:r w:rsidR="001A423D" w:rsidRPr="00D56B97">
        <w:rPr>
          <w:rFonts w:ascii="Times New Roman" w:eastAsia="Calibri" w:hAnsi="Times New Roman" w:cs="Times New Roman"/>
        </w:rPr>
        <w:t xml:space="preserve">Attention to this </w:t>
      </w:r>
      <w:r w:rsidR="00454B35" w:rsidRPr="00D56B97">
        <w:rPr>
          <w:rFonts w:ascii="Times New Roman" w:eastAsia="Calibri" w:hAnsi="Times New Roman" w:cs="Times New Roman"/>
        </w:rPr>
        <w:t xml:space="preserve">type of </w:t>
      </w:r>
      <w:r w:rsidR="001A423D" w:rsidRPr="00D56B97">
        <w:rPr>
          <w:rFonts w:ascii="Times New Roman" w:eastAsia="Calibri" w:hAnsi="Times New Roman" w:cs="Times New Roman"/>
        </w:rPr>
        <w:t>argument is central to the methodology here</w:t>
      </w:r>
      <w:r w:rsidRPr="00D56B97">
        <w:rPr>
          <w:rFonts w:ascii="Times New Roman" w:eastAsia="Calibri" w:hAnsi="Times New Roman" w:cs="Times New Roman"/>
        </w:rPr>
        <w:t>; for if it is to be successful, then that person must already be plausibly considered to be autonomous.</w:t>
      </w:r>
      <w:r w:rsidRPr="00D56B97">
        <w:rPr>
          <w:rFonts w:ascii="Times New Roman" w:eastAsia="Calibri" w:hAnsi="Times New Roman" w:cs="Times New Roman"/>
          <w:vertAlign w:val="superscript"/>
        </w:rPr>
        <w:footnoteReference w:id="15"/>
      </w:r>
      <w:r w:rsidRPr="00D56B97">
        <w:rPr>
          <w:rFonts w:ascii="Times New Roman" w:eastAsia="Calibri" w:hAnsi="Times New Roman" w:cs="Times New Roman"/>
        </w:rPr>
        <w:t xml:space="preserve"> In other words, </w:t>
      </w:r>
      <w:r w:rsidR="007A0BAF" w:rsidRPr="00D56B97">
        <w:rPr>
          <w:rFonts w:ascii="Times New Roman" w:eastAsia="Calibri" w:hAnsi="Times New Roman" w:cs="Times New Roman"/>
        </w:rPr>
        <w:t>paying attention to when the appeal to respect for autonomy is successful</w:t>
      </w:r>
      <w:r w:rsidRPr="00D56B97">
        <w:rPr>
          <w:rFonts w:ascii="Times New Roman" w:eastAsia="Calibri" w:hAnsi="Times New Roman" w:cs="Times New Roman"/>
        </w:rPr>
        <w:t xml:space="preserve"> offers a </w:t>
      </w:r>
      <w:r w:rsidR="00F7258D" w:rsidRPr="00D56B97">
        <w:rPr>
          <w:rFonts w:ascii="Times New Roman" w:eastAsia="Calibri" w:hAnsi="Times New Roman" w:cs="Times New Roman"/>
        </w:rPr>
        <w:t>way to assess</w:t>
      </w:r>
      <w:r w:rsidRPr="00D56B97">
        <w:rPr>
          <w:rFonts w:ascii="Times New Roman" w:eastAsia="Calibri" w:hAnsi="Times New Roman" w:cs="Times New Roman"/>
        </w:rPr>
        <w:t xml:space="preserve"> who is conside</w:t>
      </w:r>
      <w:r w:rsidR="00612047" w:rsidRPr="00D56B97">
        <w:rPr>
          <w:rFonts w:ascii="Times New Roman" w:eastAsia="Calibri" w:hAnsi="Times New Roman" w:cs="Times New Roman"/>
        </w:rPr>
        <w:t>red autonomous by the courts</w:t>
      </w:r>
      <w:r w:rsidR="00BF764A" w:rsidRPr="00D56B97">
        <w:rPr>
          <w:rFonts w:ascii="Times New Roman" w:eastAsia="Calibri" w:hAnsi="Times New Roman" w:cs="Times New Roman"/>
        </w:rPr>
        <w:t>, one</w:t>
      </w:r>
      <w:r w:rsidR="00F7258D" w:rsidRPr="00D56B97">
        <w:rPr>
          <w:rFonts w:ascii="Times New Roman" w:eastAsia="Calibri" w:hAnsi="Times New Roman" w:cs="Times New Roman"/>
        </w:rPr>
        <w:t xml:space="preserve"> </w:t>
      </w:r>
      <w:r w:rsidR="001A423D" w:rsidRPr="00D56B97">
        <w:rPr>
          <w:rFonts w:ascii="Times New Roman" w:eastAsia="Calibri" w:hAnsi="Times New Roman" w:cs="Times New Roman"/>
        </w:rPr>
        <w:t>that</w:t>
      </w:r>
      <w:r w:rsidR="00F7258D" w:rsidRPr="00D56B97">
        <w:rPr>
          <w:rFonts w:ascii="Times New Roman" w:eastAsia="Calibri" w:hAnsi="Times New Roman" w:cs="Times New Roman"/>
        </w:rPr>
        <w:t xml:space="preserve"> that need not take</w:t>
      </w:r>
      <w:r w:rsidR="001A423D" w:rsidRPr="00D56B97">
        <w:rPr>
          <w:rFonts w:ascii="Times New Roman" w:eastAsia="Calibri" w:hAnsi="Times New Roman" w:cs="Times New Roman"/>
        </w:rPr>
        <w:t xml:space="preserve"> individual</w:t>
      </w:r>
      <w:r w:rsidR="00F7258D" w:rsidRPr="00D56B97">
        <w:rPr>
          <w:rFonts w:ascii="Times New Roman" w:eastAsia="Calibri" w:hAnsi="Times New Roman" w:cs="Times New Roman"/>
        </w:rPr>
        <w:t xml:space="preserve"> judicial comments at face value. Th</w:t>
      </w:r>
      <w:r w:rsidR="001A423D" w:rsidRPr="00D56B97">
        <w:rPr>
          <w:rFonts w:ascii="Times New Roman" w:eastAsia="Calibri" w:hAnsi="Times New Roman" w:cs="Times New Roman"/>
        </w:rPr>
        <w:t>is</w:t>
      </w:r>
      <w:r w:rsidR="00F7258D" w:rsidRPr="00D56B97">
        <w:rPr>
          <w:rFonts w:ascii="Times New Roman" w:eastAsia="Calibri" w:hAnsi="Times New Roman" w:cs="Times New Roman"/>
        </w:rPr>
        <w:t xml:space="preserve"> appeal </w:t>
      </w:r>
      <w:r w:rsidRPr="00D56B97">
        <w:rPr>
          <w:rFonts w:ascii="Times New Roman" w:eastAsia="Calibri" w:hAnsi="Times New Roman" w:cs="Times New Roman"/>
        </w:rPr>
        <w:t xml:space="preserve">should, however, be distinguished from another argument, the ‘appeal to the value of autonomy’, which simply asserts </w:t>
      </w:r>
      <w:r w:rsidR="000F64E4">
        <w:rPr>
          <w:rFonts w:ascii="Times New Roman" w:eastAsia="Calibri" w:hAnsi="Times New Roman" w:cs="Times New Roman"/>
        </w:rPr>
        <w:t xml:space="preserve">that </w:t>
      </w:r>
      <w:r w:rsidRPr="00D56B97">
        <w:rPr>
          <w:rFonts w:ascii="Times New Roman" w:eastAsia="Calibri" w:hAnsi="Times New Roman" w:cs="Times New Roman"/>
        </w:rPr>
        <w:t>autonomy is valuable and should be promoted.</w:t>
      </w:r>
      <w:r w:rsidRPr="00D56B97">
        <w:rPr>
          <w:rFonts w:ascii="Times New Roman" w:eastAsia="Calibri" w:hAnsi="Times New Roman" w:cs="Times New Roman"/>
          <w:vertAlign w:val="superscript"/>
        </w:rPr>
        <w:footnoteReference w:id="16"/>
      </w:r>
      <w:r w:rsidRPr="00D56B97">
        <w:rPr>
          <w:rFonts w:ascii="Times New Roman" w:eastAsia="Calibri" w:hAnsi="Times New Roman" w:cs="Times New Roman"/>
        </w:rPr>
        <w:t xml:space="preserve"> This latter argument can also determine the outcome of domestic cases,</w:t>
      </w:r>
      <w:r w:rsidRPr="00D56B97">
        <w:rPr>
          <w:rFonts w:ascii="Times New Roman" w:eastAsia="Calibri" w:hAnsi="Times New Roman" w:cs="Times New Roman"/>
          <w:vertAlign w:val="superscript"/>
        </w:rPr>
        <w:footnoteReference w:id="17"/>
      </w:r>
      <w:r w:rsidRPr="00D56B97">
        <w:rPr>
          <w:rFonts w:ascii="Times New Roman" w:eastAsia="Calibri" w:hAnsi="Times New Roman" w:cs="Times New Roman"/>
        </w:rPr>
        <w:t xml:space="preserve"> but it operates differently. Basing a decision on the idea that autonomy is valuable and should be promoted does not </w:t>
      </w:r>
      <w:r w:rsidRPr="00D56B97">
        <w:rPr>
          <w:rFonts w:ascii="Times New Roman" w:eastAsia="Calibri" w:hAnsi="Times New Roman" w:cs="Times New Roman"/>
        </w:rPr>
        <w:lastRenderedPageBreak/>
        <w:t>require belief that the person is already autonomous. For that reason, although appeals to the value of autonomy are fascinating in their own right, they are not useful here.</w:t>
      </w:r>
    </w:p>
    <w:p w14:paraId="7493C871" w14:textId="12567904" w:rsidR="00666726" w:rsidRPr="00D56B97" w:rsidRDefault="006F7526" w:rsidP="00CA462F">
      <w:pPr>
        <w:spacing w:line="480" w:lineRule="auto"/>
        <w:ind w:firstLine="720"/>
        <w:jc w:val="both"/>
        <w:rPr>
          <w:rFonts w:ascii="Times New Roman" w:hAnsi="Times New Roman" w:cs="Times New Roman"/>
        </w:rPr>
      </w:pPr>
      <w:r w:rsidRPr="00D56B97">
        <w:rPr>
          <w:rFonts w:ascii="Times New Roman" w:hAnsi="Times New Roman" w:cs="Times New Roman"/>
        </w:rPr>
        <w:t>In addition to</w:t>
      </w:r>
      <w:r w:rsidR="006F247D" w:rsidRPr="00D56B97">
        <w:rPr>
          <w:rFonts w:ascii="Times New Roman" w:hAnsi="Times New Roman" w:cs="Times New Roman"/>
        </w:rPr>
        <w:t xml:space="preserve"> excluding appeals to the value of autonomy, this article </w:t>
      </w:r>
      <w:r w:rsidR="007E3976" w:rsidRPr="00D56B97">
        <w:rPr>
          <w:rFonts w:ascii="Times New Roman" w:hAnsi="Times New Roman" w:cs="Times New Roman"/>
        </w:rPr>
        <w:t>also takes the process of</w:t>
      </w:r>
      <w:r w:rsidR="00BD28E3" w:rsidRPr="00D56B97">
        <w:rPr>
          <w:rFonts w:ascii="Times New Roman" w:hAnsi="Times New Roman" w:cs="Times New Roman"/>
        </w:rPr>
        <w:t xml:space="preserve"> </w:t>
      </w:r>
      <w:r w:rsidR="007E3976" w:rsidRPr="00D56B97">
        <w:rPr>
          <w:rFonts w:ascii="Times New Roman" w:hAnsi="Times New Roman" w:cs="Times New Roman"/>
        </w:rPr>
        <w:t>mental capacity assessment as largely unproblematic</w:t>
      </w:r>
      <w:r w:rsidR="006F247D" w:rsidRPr="00D56B97">
        <w:rPr>
          <w:rFonts w:ascii="Times New Roman" w:hAnsi="Times New Roman" w:cs="Times New Roman"/>
        </w:rPr>
        <w:t>. This is not because assessments of capacity are an uncontentious matter</w:t>
      </w:r>
      <w:r w:rsidR="00384149" w:rsidRPr="00D56B97">
        <w:rPr>
          <w:rFonts w:ascii="Times New Roman" w:hAnsi="Times New Roman" w:cs="Times New Roman"/>
        </w:rPr>
        <w:t>. T</w:t>
      </w:r>
      <w:r w:rsidR="00BC09D6" w:rsidRPr="00D56B97">
        <w:rPr>
          <w:rFonts w:ascii="Times New Roman" w:hAnsi="Times New Roman" w:cs="Times New Roman"/>
        </w:rPr>
        <w:t>hey are</w:t>
      </w:r>
      <w:r w:rsidR="006F247D" w:rsidRPr="00D56B97">
        <w:rPr>
          <w:rFonts w:ascii="Times New Roman" w:hAnsi="Times New Roman" w:cs="Times New Roman"/>
        </w:rPr>
        <w:t xml:space="preserve"> not</w:t>
      </w:r>
      <w:r w:rsidR="00CA3536" w:rsidRPr="00D56B97">
        <w:rPr>
          <w:rFonts w:ascii="Times New Roman" w:hAnsi="Times New Roman" w:cs="Times New Roman"/>
        </w:rPr>
        <w:t>.</w:t>
      </w:r>
      <w:r w:rsidR="00F40F52" w:rsidRPr="00D56B97">
        <w:rPr>
          <w:rStyle w:val="FootnoteReference"/>
          <w:rFonts w:ascii="Times New Roman" w:hAnsi="Times New Roman" w:cs="Times New Roman"/>
        </w:rPr>
        <w:footnoteReference w:id="18"/>
      </w:r>
      <w:r w:rsidR="00BC09D6" w:rsidRPr="00D56B97">
        <w:rPr>
          <w:rFonts w:ascii="Times New Roman" w:hAnsi="Times New Roman" w:cs="Times New Roman"/>
        </w:rPr>
        <w:t xml:space="preserve"> </w:t>
      </w:r>
      <w:r w:rsidR="00BD28E3" w:rsidRPr="00D56B97">
        <w:rPr>
          <w:rFonts w:ascii="Times New Roman" w:hAnsi="Times New Roman" w:cs="Times New Roman"/>
        </w:rPr>
        <w:t>Indeed</w:t>
      </w:r>
      <w:r w:rsidR="00CA3536" w:rsidRPr="00D56B97">
        <w:rPr>
          <w:rFonts w:ascii="Times New Roman" w:hAnsi="Times New Roman" w:cs="Times New Roman"/>
        </w:rPr>
        <w:t>,</w:t>
      </w:r>
      <w:r w:rsidR="00CF751A" w:rsidRPr="00D56B97">
        <w:rPr>
          <w:rFonts w:ascii="Times New Roman" w:hAnsi="Times New Roman" w:cs="Times New Roman"/>
        </w:rPr>
        <w:t xml:space="preserve"> the Mental Capacity Act 2005 (MCA</w:t>
      </w:r>
      <w:r w:rsidR="00CA3536" w:rsidRPr="00D56B97">
        <w:rPr>
          <w:rFonts w:ascii="Times New Roman" w:hAnsi="Times New Roman" w:cs="Times New Roman"/>
        </w:rPr>
        <w:t xml:space="preserve">) </w:t>
      </w:r>
      <w:r w:rsidR="00BD28E3" w:rsidRPr="00D56B97">
        <w:rPr>
          <w:rFonts w:ascii="Times New Roman" w:hAnsi="Times New Roman" w:cs="Times New Roman"/>
        </w:rPr>
        <w:t>directly ties incapacity to</w:t>
      </w:r>
      <w:r w:rsidR="00CA3536" w:rsidRPr="00D56B97">
        <w:rPr>
          <w:rFonts w:ascii="Times New Roman" w:hAnsi="Times New Roman" w:cs="Times New Roman"/>
        </w:rPr>
        <w:t xml:space="preserve"> ‘an impairment of, or a disturbance in the functioning of, the mind or brain’</w:t>
      </w:r>
      <w:r w:rsidR="00BD28E3" w:rsidRPr="00D56B97">
        <w:rPr>
          <w:rFonts w:ascii="Times New Roman" w:hAnsi="Times New Roman" w:cs="Times New Roman"/>
        </w:rPr>
        <w:t>;</w:t>
      </w:r>
      <w:r w:rsidR="00CA3536" w:rsidRPr="00D56B97">
        <w:rPr>
          <w:rStyle w:val="FootnoteReference"/>
          <w:rFonts w:ascii="Times New Roman" w:hAnsi="Times New Roman" w:cs="Times New Roman"/>
        </w:rPr>
        <w:footnoteReference w:id="19"/>
      </w:r>
      <w:r w:rsidR="00BD28E3" w:rsidRPr="00D56B97">
        <w:rPr>
          <w:rFonts w:ascii="Times New Roman" w:hAnsi="Times New Roman" w:cs="Times New Roman"/>
        </w:rPr>
        <w:t xml:space="preserve"> and, although this</w:t>
      </w:r>
      <w:r w:rsidR="00F03B74" w:rsidRPr="00D56B97">
        <w:rPr>
          <w:rFonts w:ascii="Times New Roman" w:hAnsi="Times New Roman" w:cs="Times New Roman"/>
        </w:rPr>
        <w:t xml:space="preserve"> is</w:t>
      </w:r>
      <w:r w:rsidR="00BD28E3" w:rsidRPr="00D56B97">
        <w:rPr>
          <w:rFonts w:ascii="Times New Roman" w:hAnsi="Times New Roman" w:cs="Times New Roman"/>
        </w:rPr>
        <w:t xml:space="preserve"> often broadly read, it is almost certainly a case of unjustified discrimination on the grounds of disability.</w:t>
      </w:r>
      <w:r w:rsidR="00BD28E3" w:rsidRPr="00D56B97">
        <w:rPr>
          <w:rStyle w:val="FootnoteReference"/>
          <w:rFonts w:ascii="Times New Roman" w:hAnsi="Times New Roman" w:cs="Times New Roman"/>
        </w:rPr>
        <w:footnoteReference w:id="20"/>
      </w:r>
      <w:r w:rsidR="00080445" w:rsidRPr="00D56B97">
        <w:rPr>
          <w:rFonts w:ascii="Times New Roman" w:hAnsi="Times New Roman" w:cs="Times New Roman"/>
        </w:rPr>
        <w:t xml:space="preserve"> T</w:t>
      </w:r>
      <w:r w:rsidR="00C3030B" w:rsidRPr="00D56B97">
        <w:rPr>
          <w:rFonts w:ascii="Times New Roman" w:hAnsi="Times New Roman" w:cs="Times New Roman"/>
        </w:rPr>
        <w:t>he focus in this article</w:t>
      </w:r>
      <w:r w:rsidR="00080445" w:rsidRPr="00D56B97">
        <w:rPr>
          <w:rFonts w:ascii="Times New Roman" w:hAnsi="Times New Roman" w:cs="Times New Roman"/>
        </w:rPr>
        <w:t>, however,</w:t>
      </w:r>
      <w:r w:rsidR="004E415D" w:rsidRPr="00D56B97">
        <w:rPr>
          <w:rFonts w:ascii="Times New Roman" w:hAnsi="Times New Roman" w:cs="Times New Roman"/>
        </w:rPr>
        <w:t xml:space="preserve"> is on what follows</w:t>
      </w:r>
      <w:r w:rsidR="00BD28E3" w:rsidRPr="00D56B97">
        <w:rPr>
          <w:rFonts w:ascii="Times New Roman" w:hAnsi="Times New Roman" w:cs="Times New Roman"/>
        </w:rPr>
        <w:t xml:space="preserve"> from a finding of incapacity</w:t>
      </w:r>
      <w:r w:rsidR="00080445" w:rsidRPr="00D56B97">
        <w:rPr>
          <w:rFonts w:ascii="Times New Roman" w:hAnsi="Times New Roman" w:cs="Times New Roman"/>
        </w:rPr>
        <w:t xml:space="preserve">, not on the finding itself; so </w:t>
      </w:r>
      <w:r w:rsidR="00A142C4" w:rsidRPr="00D56B97">
        <w:rPr>
          <w:rFonts w:ascii="Times New Roman" w:hAnsi="Times New Roman" w:cs="Times New Roman"/>
        </w:rPr>
        <w:t>these questions are largely put</w:t>
      </w:r>
      <w:r w:rsidR="00080445" w:rsidRPr="00D56B97">
        <w:rPr>
          <w:rFonts w:ascii="Times New Roman" w:hAnsi="Times New Roman" w:cs="Times New Roman"/>
        </w:rPr>
        <w:t xml:space="preserve"> to one side. Similarly, none of the three accounts</w:t>
      </w:r>
      <w:r w:rsidR="00A142C4" w:rsidRPr="00D56B97">
        <w:rPr>
          <w:rFonts w:ascii="Times New Roman" w:hAnsi="Times New Roman" w:cs="Times New Roman"/>
        </w:rPr>
        <w:t xml:space="preserve"> of the relationship between autonomy and capacity</w:t>
      </w:r>
      <w:r w:rsidR="00080445" w:rsidRPr="00D56B97">
        <w:rPr>
          <w:rFonts w:ascii="Times New Roman" w:hAnsi="Times New Roman" w:cs="Times New Roman"/>
        </w:rPr>
        <w:t xml:space="preserve"> that appear in the courts</w:t>
      </w:r>
      <w:r w:rsidR="00A142C4" w:rsidRPr="00D56B97">
        <w:rPr>
          <w:rFonts w:ascii="Times New Roman" w:hAnsi="Times New Roman" w:cs="Times New Roman"/>
        </w:rPr>
        <w:t xml:space="preserve"> directly address</w:t>
      </w:r>
      <w:r w:rsidR="00080445" w:rsidRPr="00D56B97">
        <w:rPr>
          <w:rFonts w:ascii="Times New Roman" w:hAnsi="Times New Roman" w:cs="Times New Roman"/>
        </w:rPr>
        <w:t xml:space="preserve"> the Mental Health Act 1983</w:t>
      </w:r>
      <w:r w:rsidR="00CF751A" w:rsidRPr="00D56B97">
        <w:rPr>
          <w:rFonts w:ascii="Times New Roman" w:hAnsi="Times New Roman" w:cs="Times New Roman"/>
        </w:rPr>
        <w:t xml:space="preserve"> (MHA</w:t>
      </w:r>
      <w:r w:rsidR="00BE74E6" w:rsidRPr="00D56B97">
        <w:rPr>
          <w:rFonts w:ascii="Times New Roman" w:hAnsi="Times New Roman" w:cs="Times New Roman"/>
        </w:rPr>
        <w:t>)</w:t>
      </w:r>
      <w:r w:rsidR="00080445" w:rsidRPr="00D56B97">
        <w:rPr>
          <w:rFonts w:ascii="Times New Roman" w:hAnsi="Times New Roman" w:cs="Times New Roman"/>
        </w:rPr>
        <w:t xml:space="preserve">. </w:t>
      </w:r>
      <w:r w:rsidR="00BE74E6" w:rsidRPr="00D56B97">
        <w:rPr>
          <w:rFonts w:ascii="Times New Roman" w:hAnsi="Times New Roman" w:cs="Times New Roman"/>
        </w:rPr>
        <w:t xml:space="preserve">That Act </w:t>
      </w:r>
      <w:r w:rsidR="009632A1">
        <w:rPr>
          <w:rFonts w:ascii="Times New Roman" w:hAnsi="Times New Roman" w:cs="Times New Roman"/>
        </w:rPr>
        <w:t xml:space="preserve">is </w:t>
      </w:r>
      <w:r w:rsidR="009632A1" w:rsidRPr="009632A1">
        <w:rPr>
          <w:rFonts w:ascii="Times New Roman" w:hAnsi="Times New Roman" w:cs="Times New Roman"/>
          <w:color w:val="FF0000"/>
        </w:rPr>
        <w:t>undoubtedly sometimes relevant to</w:t>
      </w:r>
      <w:r w:rsidR="00BE74E6" w:rsidRPr="00D56B97">
        <w:rPr>
          <w:rFonts w:ascii="Times New Roman" w:hAnsi="Times New Roman" w:cs="Times New Roman"/>
        </w:rPr>
        <w:t xml:space="preserve"> whether or not a person will be considered autonomous by t</w:t>
      </w:r>
      <w:r w:rsidR="00B571B4" w:rsidRPr="00D56B97">
        <w:rPr>
          <w:rFonts w:ascii="Times New Roman" w:hAnsi="Times New Roman" w:cs="Times New Roman"/>
        </w:rPr>
        <w:t xml:space="preserve">he </w:t>
      </w:r>
      <w:r w:rsidR="009632A1" w:rsidRPr="00D56B97">
        <w:rPr>
          <w:rFonts w:ascii="Times New Roman" w:hAnsi="Times New Roman" w:cs="Times New Roman"/>
        </w:rPr>
        <w:t>courts</w:t>
      </w:r>
      <w:r w:rsidR="00AB7B53" w:rsidRPr="00AB7B53">
        <w:rPr>
          <w:rFonts w:ascii="Times New Roman" w:hAnsi="Times New Roman" w:cs="Times New Roman"/>
          <w:color w:val="FF0000"/>
        </w:rPr>
        <w:t xml:space="preserve">; but the relationship between it and the MCA is too complex to give adequate </w:t>
      </w:r>
      <w:r w:rsidR="007923CC">
        <w:rPr>
          <w:rFonts w:ascii="Times New Roman" w:hAnsi="Times New Roman" w:cs="Times New Roman"/>
          <w:color w:val="FF0000"/>
        </w:rPr>
        <w:t>detail</w:t>
      </w:r>
      <w:r w:rsidR="007923CC" w:rsidRPr="00AB7B53">
        <w:rPr>
          <w:rFonts w:ascii="Times New Roman" w:hAnsi="Times New Roman" w:cs="Times New Roman"/>
          <w:color w:val="FF0000"/>
        </w:rPr>
        <w:t xml:space="preserve"> </w:t>
      </w:r>
      <w:r w:rsidR="00AB7B53" w:rsidRPr="00AB7B53">
        <w:rPr>
          <w:rFonts w:ascii="Times New Roman" w:hAnsi="Times New Roman" w:cs="Times New Roman"/>
          <w:color w:val="FF0000"/>
        </w:rPr>
        <w:t>here</w:t>
      </w:r>
      <w:r w:rsidR="00080445" w:rsidRPr="00D56B97">
        <w:rPr>
          <w:rFonts w:ascii="Times New Roman" w:hAnsi="Times New Roman" w:cs="Times New Roman"/>
        </w:rPr>
        <w:t>.</w:t>
      </w:r>
      <w:r w:rsidR="00AB7B53" w:rsidRPr="007923CC">
        <w:rPr>
          <w:rStyle w:val="FootnoteReference"/>
          <w:rFonts w:ascii="Times New Roman" w:hAnsi="Times New Roman" w:cs="Times New Roman"/>
          <w:color w:val="FF0000"/>
        </w:rPr>
        <w:footnoteReference w:id="21"/>
      </w:r>
      <w:r w:rsidR="000A4FFC" w:rsidRPr="00D56B97">
        <w:rPr>
          <w:rFonts w:ascii="Times New Roman" w:hAnsi="Times New Roman" w:cs="Times New Roman"/>
        </w:rPr>
        <w:t xml:space="preserve"> Finally,</w:t>
      </w:r>
      <w:r w:rsidR="00666726" w:rsidRPr="00D56B97">
        <w:rPr>
          <w:rFonts w:ascii="Times New Roman" w:hAnsi="Times New Roman" w:cs="Times New Roman"/>
        </w:rPr>
        <w:t xml:space="preserve"> </w:t>
      </w:r>
      <w:r w:rsidR="006B4C80" w:rsidRPr="00D56B97">
        <w:rPr>
          <w:rFonts w:ascii="Times New Roman" w:hAnsi="Times New Roman" w:cs="Times New Roman"/>
        </w:rPr>
        <w:t>nothing here suggests</w:t>
      </w:r>
      <w:r w:rsidR="00666726" w:rsidRPr="00D56B97">
        <w:rPr>
          <w:rFonts w:ascii="Times New Roman" w:hAnsi="Times New Roman" w:cs="Times New Roman"/>
        </w:rPr>
        <w:t xml:space="preserve"> that there is any legal</w:t>
      </w:r>
      <w:r w:rsidR="00666726" w:rsidRPr="00D56B97">
        <w:rPr>
          <w:rFonts w:ascii="Times New Roman" w:hAnsi="Times New Roman" w:cs="Times New Roman"/>
          <w:i/>
        </w:rPr>
        <w:t xml:space="preserve"> </w:t>
      </w:r>
      <w:r w:rsidR="00666726" w:rsidRPr="00D56B97">
        <w:rPr>
          <w:rFonts w:ascii="Times New Roman" w:hAnsi="Times New Roman" w:cs="Times New Roman"/>
        </w:rPr>
        <w:t xml:space="preserve">conflict </w:t>
      </w:r>
      <w:r w:rsidR="000A4FFC" w:rsidRPr="00D56B97">
        <w:rPr>
          <w:rFonts w:ascii="Times New Roman" w:hAnsi="Times New Roman" w:cs="Times New Roman"/>
        </w:rPr>
        <w:t>in the cases that are used</w:t>
      </w:r>
      <w:r w:rsidR="006B4C80" w:rsidRPr="00D56B97">
        <w:rPr>
          <w:rFonts w:ascii="Times New Roman" w:hAnsi="Times New Roman" w:cs="Times New Roman"/>
        </w:rPr>
        <w:t xml:space="preserve"> as examples of the different</w:t>
      </w:r>
      <w:r w:rsidR="00666726" w:rsidRPr="00D56B97">
        <w:rPr>
          <w:rFonts w:ascii="Times New Roman" w:hAnsi="Times New Roman" w:cs="Times New Roman"/>
        </w:rPr>
        <w:t xml:space="preserve"> account</w:t>
      </w:r>
      <w:r w:rsidR="006B4C80" w:rsidRPr="00D56B97">
        <w:rPr>
          <w:rFonts w:ascii="Times New Roman" w:hAnsi="Times New Roman" w:cs="Times New Roman"/>
        </w:rPr>
        <w:t>s</w:t>
      </w:r>
      <w:r w:rsidR="00666726" w:rsidRPr="00D56B97">
        <w:rPr>
          <w:rFonts w:ascii="Times New Roman" w:hAnsi="Times New Roman" w:cs="Times New Roman"/>
        </w:rPr>
        <w:t xml:space="preserve"> of the relationship between autonomy an</w:t>
      </w:r>
      <w:r w:rsidR="00C3030B" w:rsidRPr="00D56B97">
        <w:rPr>
          <w:rFonts w:ascii="Times New Roman" w:hAnsi="Times New Roman" w:cs="Times New Roman"/>
        </w:rPr>
        <w:t>d capacity. Indeed, section V</w:t>
      </w:r>
      <w:r w:rsidR="00666726" w:rsidRPr="00D56B97">
        <w:rPr>
          <w:rFonts w:ascii="Times New Roman" w:hAnsi="Times New Roman" w:cs="Times New Roman"/>
        </w:rPr>
        <w:t xml:space="preserve">, which </w:t>
      </w:r>
      <w:r w:rsidR="00AD1D77">
        <w:rPr>
          <w:rFonts w:ascii="Times New Roman" w:hAnsi="Times New Roman" w:cs="Times New Roman"/>
        </w:rPr>
        <w:t>offers</w:t>
      </w:r>
      <w:r w:rsidR="00AD1D77" w:rsidRPr="00D56B97">
        <w:rPr>
          <w:rFonts w:ascii="Times New Roman" w:hAnsi="Times New Roman" w:cs="Times New Roman"/>
        </w:rPr>
        <w:t xml:space="preserve"> </w:t>
      </w:r>
      <w:r w:rsidR="00666726" w:rsidRPr="00D56B97">
        <w:rPr>
          <w:rFonts w:ascii="Times New Roman" w:hAnsi="Times New Roman" w:cs="Times New Roman"/>
        </w:rPr>
        <w:t xml:space="preserve">a coherent account, shows </w:t>
      </w:r>
      <w:r w:rsidR="00C3030B" w:rsidRPr="00D56B97">
        <w:rPr>
          <w:rFonts w:ascii="Times New Roman" w:hAnsi="Times New Roman" w:cs="Times New Roman"/>
        </w:rPr>
        <w:t>that there is not even any necessary</w:t>
      </w:r>
      <w:r w:rsidR="00252CCD" w:rsidRPr="00D56B97">
        <w:rPr>
          <w:rFonts w:ascii="Times New Roman" w:hAnsi="Times New Roman" w:cs="Times New Roman"/>
        </w:rPr>
        <w:t xml:space="preserve"> </w:t>
      </w:r>
      <w:r w:rsidR="00666726" w:rsidRPr="00D56B97">
        <w:rPr>
          <w:rFonts w:ascii="Times New Roman" w:hAnsi="Times New Roman" w:cs="Times New Roman"/>
        </w:rPr>
        <w:t xml:space="preserve">conceptual conflict. </w:t>
      </w:r>
      <w:r w:rsidR="000A4FFC" w:rsidRPr="00D56B97">
        <w:rPr>
          <w:rFonts w:ascii="Times New Roman" w:hAnsi="Times New Roman" w:cs="Times New Roman"/>
        </w:rPr>
        <w:t>The c</w:t>
      </w:r>
      <w:r w:rsidR="00252CCD" w:rsidRPr="00D56B97">
        <w:rPr>
          <w:rFonts w:ascii="Times New Roman" w:hAnsi="Times New Roman" w:cs="Times New Roman"/>
        </w:rPr>
        <w:t>onfli</w:t>
      </w:r>
      <w:r w:rsidR="00C3030B" w:rsidRPr="00D56B97">
        <w:rPr>
          <w:rFonts w:ascii="Times New Roman" w:hAnsi="Times New Roman" w:cs="Times New Roman"/>
        </w:rPr>
        <w:t>ct is only in the rhetoric used,</w:t>
      </w:r>
      <w:r w:rsidR="000A4FFC" w:rsidRPr="00D56B97">
        <w:rPr>
          <w:rFonts w:ascii="Times New Roman" w:hAnsi="Times New Roman" w:cs="Times New Roman"/>
        </w:rPr>
        <w:t xml:space="preserve"> </w:t>
      </w:r>
      <w:r w:rsidR="00C3030B" w:rsidRPr="00D56B97">
        <w:rPr>
          <w:rFonts w:ascii="Times New Roman" w:hAnsi="Times New Roman" w:cs="Times New Roman"/>
        </w:rPr>
        <w:t>but</w:t>
      </w:r>
      <w:r w:rsidR="000A4FFC" w:rsidRPr="00D56B97">
        <w:rPr>
          <w:rFonts w:ascii="Times New Roman" w:hAnsi="Times New Roman" w:cs="Times New Roman"/>
        </w:rPr>
        <w:t xml:space="preserve"> the rhetoric used matters</w:t>
      </w:r>
      <w:r w:rsidR="005463A6" w:rsidRPr="00D56B97">
        <w:rPr>
          <w:rFonts w:ascii="Times New Roman" w:hAnsi="Times New Roman" w:cs="Times New Roman"/>
        </w:rPr>
        <w:t>. I</w:t>
      </w:r>
      <w:r w:rsidR="00C4431F" w:rsidRPr="00D56B97">
        <w:rPr>
          <w:rFonts w:ascii="Times New Roman" w:hAnsi="Times New Roman" w:cs="Times New Roman"/>
        </w:rPr>
        <w:t>t can lead to misunderstandings of the law.</w:t>
      </w:r>
      <w:r w:rsidR="000A4FFC" w:rsidRPr="00D56B97">
        <w:rPr>
          <w:rFonts w:ascii="Times New Roman" w:hAnsi="Times New Roman" w:cs="Times New Roman"/>
        </w:rPr>
        <w:t xml:space="preserve"> </w:t>
      </w:r>
      <w:r w:rsidR="007E3976" w:rsidRPr="00D56B97">
        <w:rPr>
          <w:rFonts w:ascii="Times New Roman" w:hAnsi="Times New Roman" w:cs="Times New Roman"/>
        </w:rPr>
        <w:t xml:space="preserve">Mental capacity cases, rightly or wrongly, often decide </w:t>
      </w:r>
      <w:r w:rsidR="00666726" w:rsidRPr="00D56B97">
        <w:rPr>
          <w:rFonts w:ascii="Times New Roman" w:hAnsi="Times New Roman" w:cs="Times New Roman"/>
        </w:rPr>
        <w:t xml:space="preserve">the most important questions in a person’s life: for instance, whether a woman will be allowed to live with </w:t>
      </w:r>
      <w:r w:rsidR="00666726" w:rsidRPr="00D56B97">
        <w:rPr>
          <w:rFonts w:ascii="Times New Roman" w:hAnsi="Times New Roman" w:cs="Times New Roman"/>
        </w:rPr>
        <w:lastRenderedPageBreak/>
        <w:t>her husband,</w:t>
      </w:r>
      <w:r w:rsidR="00666726" w:rsidRPr="00D56B97">
        <w:rPr>
          <w:rFonts w:ascii="Times New Roman" w:hAnsi="Times New Roman" w:cs="Times New Roman"/>
          <w:vertAlign w:val="superscript"/>
        </w:rPr>
        <w:footnoteReference w:id="22"/>
      </w:r>
      <w:r w:rsidR="00666726" w:rsidRPr="00D56B97">
        <w:rPr>
          <w:rFonts w:ascii="Times New Roman" w:hAnsi="Times New Roman" w:cs="Times New Roman"/>
        </w:rPr>
        <w:t xml:space="preserve"> what contact a young man will have with his mother,</w:t>
      </w:r>
      <w:r w:rsidR="00666726" w:rsidRPr="00D56B97">
        <w:rPr>
          <w:rFonts w:ascii="Times New Roman" w:hAnsi="Times New Roman" w:cs="Times New Roman"/>
          <w:vertAlign w:val="superscript"/>
        </w:rPr>
        <w:footnoteReference w:id="23"/>
      </w:r>
      <w:r w:rsidR="00666726" w:rsidRPr="00D56B97">
        <w:rPr>
          <w:rFonts w:ascii="Times New Roman" w:hAnsi="Times New Roman" w:cs="Times New Roman"/>
        </w:rPr>
        <w:t xml:space="preserve"> or whether a woman will be given a caesarean section against her wishes.</w:t>
      </w:r>
      <w:r w:rsidR="00666726" w:rsidRPr="00D56B97">
        <w:rPr>
          <w:rFonts w:ascii="Times New Roman" w:hAnsi="Times New Roman" w:cs="Times New Roman"/>
          <w:vertAlign w:val="superscript"/>
        </w:rPr>
        <w:footnoteReference w:id="24"/>
      </w:r>
      <w:r w:rsidR="000A4FFC" w:rsidRPr="00D56B97">
        <w:rPr>
          <w:rFonts w:ascii="Times New Roman" w:hAnsi="Times New Roman" w:cs="Times New Roman"/>
        </w:rPr>
        <w:t xml:space="preserve"> Clarity about both the law and its justification is therefore essential. W</w:t>
      </w:r>
      <w:r w:rsidR="00F41071" w:rsidRPr="00D56B97">
        <w:rPr>
          <w:rFonts w:ascii="Times New Roman" w:hAnsi="Times New Roman" w:cs="Times New Roman"/>
        </w:rPr>
        <w:t>ith that in mind, it is best</w:t>
      </w:r>
      <w:r w:rsidR="000A4FFC" w:rsidRPr="00D56B97">
        <w:rPr>
          <w:rFonts w:ascii="Times New Roman" w:hAnsi="Times New Roman" w:cs="Times New Roman"/>
        </w:rPr>
        <w:t xml:space="preserve"> to start with the most oversimplified</w:t>
      </w:r>
      <w:r w:rsidR="00B70A8A" w:rsidRPr="00D56B97">
        <w:rPr>
          <w:rFonts w:ascii="Times New Roman" w:hAnsi="Times New Roman" w:cs="Times New Roman"/>
        </w:rPr>
        <w:t xml:space="preserve"> account</w:t>
      </w:r>
      <w:r w:rsidR="000A4FFC" w:rsidRPr="00D56B97">
        <w:rPr>
          <w:rFonts w:ascii="Times New Roman" w:hAnsi="Times New Roman" w:cs="Times New Roman"/>
        </w:rPr>
        <w:t>.</w:t>
      </w:r>
    </w:p>
    <w:p w14:paraId="7493C872" w14:textId="77777777" w:rsidR="00C46BDC" w:rsidRPr="00D56B97" w:rsidRDefault="00AC229E" w:rsidP="00AC229E">
      <w:pPr>
        <w:spacing w:line="480" w:lineRule="auto"/>
        <w:jc w:val="center"/>
        <w:rPr>
          <w:rFonts w:ascii="Times New Roman" w:hAnsi="Times New Roman" w:cs="Times New Roman"/>
          <w:b/>
        </w:rPr>
      </w:pPr>
      <w:r w:rsidRPr="00D56B97">
        <w:rPr>
          <w:rFonts w:ascii="Times New Roman" w:hAnsi="Times New Roman" w:cs="Times New Roman"/>
          <w:b/>
          <w:sz w:val="28"/>
        </w:rPr>
        <w:t>II</w:t>
      </w:r>
      <w:r w:rsidRPr="00D56B97">
        <w:rPr>
          <w:rFonts w:ascii="Times New Roman" w:hAnsi="Times New Roman" w:cs="Times New Roman"/>
          <w:b/>
          <w:sz w:val="36"/>
          <w:szCs w:val="28"/>
        </w:rPr>
        <w:t xml:space="preserve">. </w:t>
      </w:r>
      <w:r w:rsidRPr="00D56B97">
        <w:rPr>
          <w:rFonts w:ascii="Times New Roman" w:hAnsi="Times New Roman" w:cs="Times New Roman"/>
          <w:b/>
          <w:sz w:val="28"/>
          <w:szCs w:val="28"/>
        </w:rPr>
        <w:t>THE GATEKEEPER ACCOUNT</w:t>
      </w:r>
    </w:p>
    <w:p w14:paraId="7493C873" w14:textId="00924139" w:rsidR="002D0B3D" w:rsidRPr="00D56B97" w:rsidRDefault="00C549E6" w:rsidP="00021A54">
      <w:pPr>
        <w:spacing w:line="480" w:lineRule="auto"/>
        <w:jc w:val="both"/>
        <w:rPr>
          <w:rFonts w:ascii="Times New Roman" w:hAnsi="Times New Roman" w:cs="Times New Roman"/>
        </w:rPr>
      </w:pPr>
      <w:r w:rsidRPr="00D56B97">
        <w:rPr>
          <w:rFonts w:ascii="Times New Roman" w:hAnsi="Times New Roman" w:cs="Times New Roman"/>
        </w:rPr>
        <w:t>The least complex</w:t>
      </w:r>
      <w:r w:rsidR="0092432F" w:rsidRPr="00D56B97">
        <w:rPr>
          <w:rFonts w:ascii="Times New Roman" w:hAnsi="Times New Roman" w:cs="Times New Roman"/>
        </w:rPr>
        <w:t xml:space="preserve"> account of</w:t>
      </w:r>
      <w:r w:rsidR="00F72F51" w:rsidRPr="00D56B97">
        <w:rPr>
          <w:rFonts w:ascii="Times New Roman" w:hAnsi="Times New Roman" w:cs="Times New Roman"/>
        </w:rPr>
        <w:t xml:space="preserve"> the relationship between autonomy and capacity is to treat </w:t>
      </w:r>
      <w:r w:rsidR="007E7339" w:rsidRPr="00D56B97">
        <w:rPr>
          <w:rFonts w:ascii="Times New Roman" w:hAnsi="Times New Roman" w:cs="Times New Roman"/>
        </w:rPr>
        <w:t xml:space="preserve">mental </w:t>
      </w:r>
      <w:r w:rsidR="00F72F51" w:rsidRPr="00D56B97">
        <w:rPr>
          <w:rFonts w:ascii="Times New Roman" w:hAnsi="Times New Roman" w:cs="Times New Roman"/>
        </w:rPr>
        <w:t>capacity as the threshold for</w:t>
      </w:r>
      <w:r w:rsidRPr="00D56B97">
        <w:rPr>
          <w:rFonts w:ascii="Times New Roman" w:hAnsi="Times New Roman" w:cs="Times New Roman"/>
        </w:rPr>
        <w:t xml:space="preserve"> </w:t>
      </w:r>
      <w:r w:rsidR="00F72F51" w:rsidRPr="00D56B97">
        <w:rPr>
          <w:rFonts w:ascii="Times New Roman" w:hAnsi="Times New Roman" w:cs="Times New Roman"/>
        </w:rPr>
        <w:t>autonomy. On this view, i</w:t>
      </w:r>
      <w:r w:rsidR="00FF5B5D" w:rsidRPr="00D56B97">
        <w:rPr>
          <w:rFonts w:ascii="Times New Roman" w:hAnsi="Times New Roman" w:cs="Times New Roman"/>
        </w:rPr>
        <w:t xml:space="preserve">f someone has </w:t>
      </w:r>
      <w:r w:rsidR="00F72F51" w:rsidRPr="00D56B97">
        <w:rPr>
          <w:rFonts w:ascii="Times New Roman" w:hAnsi="Times New Roman" w:cs="Times New Roman"/>
        </w:rPr>
        <w:t xml:space="preserve">mental </w:t>
      </w:r>
      <w:r w:rsidR="00FF5B5D" w:rsidRPr="00D56B97">
        <w:rPr>
          <w:rFonts w:ascii="Times New Roman" w:hAnsi="Times New Roman" w:cs="Times New Roman"/>
        </w:rPr>
        <w:t>capacity</w:t>
      </w:r>
      <w:r w:rsidR="00097002" w:rsidRPr="00D56B97">
        <w:rPr>
          <w:rFonts w:ascii="Times New Roman" w:hAnsi="Times New Roman" w:cs="Times New Roman"/>
        </w:rPr>
        <w:t xml:space="preserve"> with</w:t>
      </w:r>
      <w:r w:rsidR="003A7640" w:rsidRPr="00D56B97">
        <w:rPr>
          <w:rFonts w:ascii="Times New Roman" w:hAnsi="Times New Roman" w:cs="Times New Roman"/>
        </w:rPr>
        <w:t xml:space="preserve"> </w:t>
      </w:r>
      <w:r w:rsidR="007E7339" w:rsidRPr="00D56B97">
        <w:rPr>
          <w:rFonts w:ascii="Times New Roman" w:hAnsi="Times New Roman" w:cs="Times New Roman"/>
        </w:rPr>
        <w:t>regard</w:t>
      </w:r>
      <w:r w:rsidR="003A7640" w:rsidRPr="00D56B97">
        <w:rPr>
          <w:rFonts w:ascii="Times New Roman" w:hAnsi="Times New Roman" w:cs="Times New Roman"/>
        </w:rPr>
        <w:t xml:space="preserve"> to a pa</w:t>
      </w:r>
      <w:r w:rsidR="007E7339" w:rsidRPr="00D56B97">
        <w:rPr>
          <w:rFonts w:ascii="Times New Roman" w:hAnsi="Times New Roman" w:cs="Times New Roman"/>
        </w:rPr>
        <w:t>rticular decision</w:t>
      </w:r>
      <w:r w:rsidR="00FF5B5D" w:rsidRPr="00D56B97">
        <w:rPr>
          <w:rFonts w:ascii="Times New Roman" w:hAnsi="Times New Roman" w:cs="Times New Roman"/>
        </w:rPr>
        <w:t xml:space="preserve">, then they are </w:t>
      </w:r>
      <w:r w:rsidR="00282EB6" w:rsidRPr="00D56B97">
        <w:rPr>
          <w:rFonts w:ascii="Times New Roman" w:hAnsi="Times New Roman" w:cs="Times New Roman"/>
        </w:rPr>
        <w:t xml:space="preserve">autonomous with regard to that particular matter, </w:t>
      </w:r>
      <w:r w:rsidR="003A7640" w:rsidRPr="00D56B97">
        <w:rPr>
          <w:rFonts w:ascii="Times New Roman" w:hAnsi="Times New Roman" w:cs="Times New Roman"/>
        </w:rPr>
        <w:t xml:space="preserve">so </w:t>
      </w:r>
      <w:r w:rsidRPr="00D56B97">
        <w:rPr>
          <w:rFonts w:ascii="Times New Roman" w:hAnsi="Times New Roman" w:cs="Times New Roman"/>
        </w:rPr>
        <w:t>the state</w:t>
      </w:r>
      <w:r w:rsidR="00127F09" w:rsidRPr="00D56B97">
        <w:rPr>
          <w:rFonts w:ascii="Times New Roman" w:hAnsi="Times New Roman" w:cs="Times New Roman"/>
        </w:rPr>
        <w:t xml:space="preserve"> should not interfere </w:t>
      </w:r>
      <w:r w:rsidR="002A7225" w:rsidRPr="00D56B97">
        <w:rPr>
          <w:rFonts w:ascii="Times New Roman" w:hAnsi="Times New Roman" w:cs="Times New Roman"/>
        </w:rPr>
        <w:t>with</w:t>
      </w:r>
      <w:r w:rsidR="00282EB6" w:rsidRPr="00D56B97">
        <w:rPr>
          <w:rFonts w:ascii="Times New Roman" w:hAnsi="Times New Roman" w:cs="Times New Roman"/>
        </w:rPr>
        <w:t xml:space="preserve"> their</w:t>
      </w:r>
      <w:r w:rsidR="004F6D28" w:rsidRPr="00D56B97">
        <w:rPr>
          <w:rFonts w:ascii="Times New Roman" w:hAnsi="Times New Roman" w:cs="Times New Roman"/>
        </w:rPr>
        <w:t xml:space="preserve"> </w:t>
      </w:r>
      <w:r w:rsidR="00C24AF0" w:rsidRPr="00D56B97">
        <w:rPr>
          <w:rFonts w:ascii="Times New Roman" w:hAnsi="Times New Roman" w:cs="Times New Roman"/>
        </w:rPr>
        <w:t>decision</w:t>
      </w:r>
      <w:r w:rsidR="003A7640" w:rsidRPr="00D56B97">
        <w:rPr>
          <w:rFonts w:ascii="Times New Roman" w:hAnsi="Times New Roman" w:cs="Times New Roman"/>
        </w:rPr>
        <w:t xml:space="preserve">. If, conversely, </w:t>
      </w:r>
      <w:r w:rsidR="00FF5B5D" w:rsidRPr="00D56B97">
        <w:rPr>
          <w:rFonts w:ascii="Times New Roman" w:hAnsi="Times New Roman" w:cs="Times New Roman"/>
        </w:rPr>
        <w:t xml:space="preserve">they do not have </w:t>
      </w:r>
      <w:r w:rsidR="002A7225" w:rsidRPr="00D56B97">
        <w:rPr>
          <w:rFonts w:ascii="Times New Roman" w:hAnsi="Times New Roman" w:cs="Times New Roman"/>
        </w:rPr>
        <w:t xml:space="preserve">mental </w:t>
      </w:r>
      <w:r w:rsidR="00FF5B5D" w:rsidRPr="00D56B97">
        <w:rPr>
          <w:rFonts w:ascii="Times New Roman" w:hAnsi="Times New Roman" w:cs="Times New Roman"/>
        </w:rPr>
        <w:t>capacity</w:t>
      </w:r>
      <w:r w:rsidR="00282EB6" w:rsidRPr="00D56B97">
        <w:rPr>
          <w:rFonts w:ascii="Times New Roman" w:hAnsi="Times New Roman" w:cs="Times New Roman"/>
        </w:rPr>
        <w:t xml:space="preserve"> with regard to the</w:t>
      </w:r>
      <w:r w:rsidR="00127F09" w:rsidRPr="00D56B97">
        <w:rPr>
          <w:rFonts w:ascii="Times New Roman" w:hAnsi="Times New Roman" w:cs="Times New Roman"/>
        </w:rPr>
        <w:t xml:space="preserve"> decision</w:t>
      </w:r>
      <w:r w:rsidR="00FF5B5D" w:rsidRPr="00D56B97">
        <w:rPr>
          <w:rFonts w:ascii="Times New Roman" w:hAnsi="Times New Roman" w:cs="Times New Roman"/>
        </w:rPr>
        <w:t>, then they are not</w:t>
      </w:r>
      <w:r w:rsidR="002A7225" w:rsidRPr="00D56B97">
        <w:rPr>
          <w:rFonts w:ascii="Times New Roman" w:hAnsi="Times New Roman" w:cs="Times New Roman"/>
        </w:rPr>
        <w:t xml:space="preserve"> </w:t>
      </w:r>
      <w:r w:rsidR="00FF5B5D" w:rsidRPr="00D56B97">
        <w:rPr>
          <w:rFonts w:ascii="Times New Roman" w:hAnsi="Times New Roman" w:cs="Times New Roman"/>
        </w:rPr>
        <w:t>autonomous</w:t>
      </w:r>
      <w:r w:rsidR="00282EB6" w:rsidRPr="00D56B97">
        <w:rPr>
          <w:rFonts w:ascii="Times New Roman" w:hAnsi="Times New Roman" w:cs="Times New Roman"/>
        </w:rPr>
        <w:t>, so</w:t>
      </w:r>
      <w:r w:rsidRPr="00D56B97">
        <w:rPr>
          <w:rFonts w:ascii="Times New Roman" w:hAnsi="Times New Roman" w:cs="Times New Roman"/>
        </w:rPr>
        <w:t xml:space="preserve"> the state</w:t>
      </w:r>
      <w:r w:rsidR="00282EB6" w:rsidRPr="00D56B97">
        <w:rPr>
          <w:rFonts w:ascii="Times New Roman" w:hAnsi="Times New Roman" w:cs="Times New Roman"/>
        </w:rPr>
        <w:t xml:space="preserve"> need not</w:t>
      </w:r>
      <w:r w:rsidR="002A7225" w:rsidRPr="00D56B97">
        <w:rPr>
          <w:rFonts w:ascii="Times New Roman" w:hAnsi="Times New Roman" w:cs="Times New Roman"/>
        </w:rPr>
        <w:t xml:space="preserve"> exercise </w:t>
      </w:r>
      <w:r w:rsidR="00282EB6" w:rsidRPr="00D56B97">
        <w:rPr>
          <w:rFonts w:ascii="Times New Roman" w:hAnsi="Times New Roman" w:cs="Times New Roman"/>
        </w:rPr>
        <w:t>such</w:t>
      </w:r>
      <w:r w:rsidR="002A7225" w:rsidRPr="00D56B97">
        <w:rPr>
          <w:rFonts w:ascii="Times New Roman" w:hAnsi="Times New Roman" w:cs="Times New Roman"/>
        </w:rPr>
        <w:t xml:space="preserve"> restraint</w:t>
      </w:r>
      <w:r w:rsidR="00F3143D" w:rsidRPr="00D56B97">
        <w:rPr>
          <w:rFonts w:ascii="Times New Roman" w:hAnsi="Times New Roman" w:cs="Times New Roman"/>
        </w:rPr>
        <w:t>.</w:t>
      </w:r>
      <w:r w:rsidR="003508A0" w:rsidRPr="00D56B97">
        <w:rPr>
          <w:rFonts w:ascii="Times New Roman" w:hAnsi="Times New Roman" w:cs="Times New Roman"/>
        </w:rPr>
        <w:t xml:space="preserve"> As Donnelly says</w:t>
      </w:r>
      <w:r w:rsidR="003A44B8" w:rsidRPr="00D56B97">
        <w:rPr>
          <w:rFonts w:ascii="Times New Roman" w:hAnsi="Times New Roman" w:cs="Times New Roman"/>
        </w:rPr>
        <w:t xml:space="preserve">, </w:t>
      </w:r>
      <w:r w:rsidR="000375F5" w:rsidRPr="00D56B97">
        <w:rPr>
          <w:rFonts w:ascii="Times New Roman" w:hAnsi="Times New Roman" w:cs="Times New Roman"/>
        </w:rPr>
        <w:t>capacity</w:t>
      </w:r>
      <w:r w:rsidRPr="00D56B97">
        <w:rPr>
          <w:rFonts w:ascii="Times New Roman" w:hAnsi="Times New Roman" w:cs="Times New Roman"/>
        </w:rPr>
        <w:t xml:space="preserve"> </w:t>
      </w:r>
      <w:r w:rsidR="000375F5" w:rsidRPr="00D56B97">
        <w:rPr>
          <w:rFonts w:ascii="Times New Roman" w:hAnsi="Times New Roman" w:cs="Times New Roman"/>
        </w:rPr>
        <w:t xml:space="preserve">acts as </w:t>
      </w:r>
      <w:r w:rsidR="003A44B8" w:rsidRPr="00D56B97">
        <w:rPr>
          <w:rFonts w:ascii="Times New Roman" w:hAnsi="Times New Roman" w:cs="Times New Roman"/>
        </w:rPr>
        <w:t>autonomy’s ‘gateke</w:t>
      </w:r>
      <w:r w:rsidR="003A7640" w:rsidRPr="00D56B97">
        <w:rPr>
          <w:rFonts w:ascii="Times New Roman" w:hAnsi="Times New Roman" w:cs="Times New Roman"/>
        </w:rPr>
        <w:t>eper’.</w:t>
      </w:r>
      <w:r w:rsidR="00FF5B5D" w:rsidRPr="00D56B97">
        <w:rPr>
          <w:rFonts w:ascii="Times New Roman" w:hAnsi="Times New Roman" w:cs="Times New Roman"/>
          <w:vertAlign w:val="superscript"/>
        </w:rPr>
        <w:footnoteReference w:id="25"/>
      </w:r>
      <w:r w:rsidR="00FF5B5D" w:rsidRPr="00D56B97">
        <w:rPr>
          <w:rFonts w:ascii="Times New Roman" w:hAnsi="Times New Roman" w:cs="Times New Roman"/>
        </w:rPr>
        <w:t xml:space="preserve"> </w:t>
      </w:r>
      <w:r w:rsidR="00004BD3" w:rsidRPr="00D56B97">
        <w:rPr>
          <w:rFonts w:ascii="Times New Roman" w:hAnsi="Times New Roman" w:cs="Times New Roman"/>
        </w:rPr>
        <w:t>Usually, gatekeeper accounts</w:t>
      </w:r>
      <w:r w:rsidR="002D0B3D" w:rsidRPr="00D56B97">
        <w:rPr>
          <w:rFonts w:ascii="Times New Roman" w:hAnsi="Times New Roman" w:cs="Times New Roman"/>
        </w:rPr>
        <w:t xml:space="preserve"> acknowledge that those without mental capacity</w:t>
      </w:r>
      <w:r w:rsidR="00004BD3" w:rsidRPr="00D56B97">
        <w:rPr>
          <w:rFonts w:ascii="Times New Roman" w:hAnsi="Times New Roman" w:cs="Times New Roman"/>
        </w:rPr>
        <w:t xml:space="preserve"> </w:t>
      </w:r>
      <w:r w:rsidR="002D0B3D" w:rsidRPr="00D56B97">
        <w:rPr>
          <w:rFonts w:ascii="Times New Roman" w:hAnsi="Times New Roman" w:cs="Times New Roman"/>
        </w:rPr>
        <w:t>have some capa</w:t>
      </w:r>
      <w:r w:rsidR="00004BD3" w:rsidRPr="00D56B97">
        <w:rPr>
          <w:rFonts w:ascii="Times New Roman" w:hAnsi="Times New Roman" w:cs="Times New Roman"/>
        </w:rPr>
        <w:t>b</w:t>
      </w:r>
      <w:r w:rsidR="00DE6E56" w:rsidRPr="00D56B97">
        <w:rPr>
          <w:rFonts w:ascii="Times New Roman" w:hAnsi="Times New Roman" w:cs="Times New Roman"/>
        </w:rPr>
        <w:t>ility for self-government. T</w:t>
      </w:r>
      <w:r w:rsidR="00004BD3" w:rsidRPr="00D56B97">
        <w:rPr>
          <w:rFonts w:ascii="Times New Roman" w:hAnsi="Times New Roman" w:cs="Times New Roman"/>
        </w:rPr>
        <w:t>hey only deny that</w:t>
      </w:r>
      <w:r w:rsidR="002D0B3D" w:rsidRPr="00D56B97">
        <w:rPr>
          <w:rFonts w:ascii="Times New Roman" w:hAnsi="Times New Roman" w:cs="Times New Roman"/>
        </w:rPr>
        <w:t xml:space="preserve"> </w:t>
      </w:r>
      <w:r w:rsidR="00004BD3" w:rsidRPr="00D56B97">
        <w:rPr>
          <w:rFonts w:ascii="Times New Roman" w:hAnsi="Times New Roman" w:cs="Times New Roman"/>
        </w:rPr>
        <w:t xml:space="preserve">it </w:t>
      </w:r>
      <w:r w:rsidR="005301D2">
        <w:rPr>
          <w:rFonts w:ascii="Times New Roman" w:hAnsi="Times New Roman" w:cs="Times New Roman"/>
        </w:rPr>
        <w:t xml:space="preserve">is </w:t>
      </w:r>
      <w:r w:rsidR="00004BD3" w:rsidRPr="00D56B97">
        <w:rPr>
          <w:rFonts w:ascii="Times New Roman" w:hAnsi="Times New Roman" w:cs="Times New Roman"/>
        </w:rPr>
        <w:t>sufficient</w:t>
      </w:r>
      <w:r w:rsidR="002D0B3D" w:rsidRPr="00D56B97">
        <w:rPr>
          <w:rFonts w:ascii="Times New Roman" w:hAnsi="Times New Roman" w:cs="Times New Roman"/>
        </w:rPr>
        <w:t xml:space="preserve"> to be </w:t>
      </w:r>
      <w:r w:rsidR="00004BD3" w:rsidRPr="00D56B97">
        <w:rPr>
          <w:rFonts w:ascii="Times New Roman" w:hAnsi="Times New Roman" w:cs="Times New Roman"/>
        </w:rPr>
        <w:t>overriding</w:t>
      </w:r>
      <w:r w:rsidR="002D0B3D" w:rsidRPr="00D56B97">
        <w:rPr>
          <w:rFonts w:ascii="Times New Roman" w:hAnsi="Times New Roman" w:cs="Times New Roman"/>
        </w:rPr>
        <w:t xml:space="preserve"> in law. </w:t>
      </w:r>
      <w:r w:rsidR="00004BD3" w:rsidRPr="00D56B97">
        <w:rPr>
          <w:rFonts w:ascii="Times New Roman" w:hAnsi="Times New Roman" w:cs="Times New Roman"/>
        </w:rPr>
        <w:t>In other words, their distinguishing feature is not whether or not they think those without capacity have any capability for autonomy, but that they treat the presence or absence of mental capacity as the sole criteria for deciding whether an appeal to respect for autonomy will be successful.</w:t>
      </w:r>
    </w:p>
    <w:p w14:paraId="7493C874" w14:textId="77777777" w:rsidR="000F0816" w:rsidRPr="00D56B97" w:rsidRDefault="00902E20" w:rsidP="00AC229E">
      <w:pPr>
        <w:spacing w:line="480" w:lineRule="auto"/>
        <w:jc w:val="center"/>
        <w:rPr>
          <w:rFonts w:ascii="Times New Roman" w:hAnsi="Times New Roman" w:cs="Times New Roman"/>
          <w:i/>
        </w:rPr>
      </w:pPr>
      <w:r w:rsidRPr="00D56B97">
        <w:rPr>
          <w:rFonts w:ascii="Times New Roman" w:hAnsi="Times New Roman" w:cs="Times New Roman"/>
          <w:i/>
        </w:rPr>
        <w:t>A. Recent Examples</w:t>
      </w:r>
      <w:r w:rsidR="004660C7" w:rsidRPr="00D56B97">
        <w:rPr>
          <w:rFonts w:ascii="Times New Roman" w:hAnsi="Times New Roman" w:cs="Times New Roman"/>
          <w:i/>
        </w:rPr>
        <w:t xml:space="preserve"> of the Gatekeeper A</w:t>
      </w:r>
      <w:r w:rsidR="000F0816" w:rsidRPr="00D56B97">
        <w:rPr>
          <w:rFonts w:ascii="Times New Roman" w:hAnsi="Times New Roman" w:cs="Times New Roman"/>
          <w:i/>
        </w:rPr>
        <w:t>ccount</w:t>
      </w:r>
    </w:p>
    <w:p w14:paraId="7493C875" w14:textId="59828EE1" w:rsidR="00FF5B5D" w:rsidRPr="00D56B97" w:rsidRDefault="00127F09" w:rsidP="00021A54">
      <w:pPr>
        <w:spacing w:line="480" w:lineRule="auto"/>
        <w:jc w:val="both"/>
        <w:rPr>
          <w:rFonts w:ascii="Times New Roman" w:hAnsi="Times New Roman" w:cs="Times New Roman"/>
        </w:rPr>
      </w:pPr>
      <w:r w:rsidRPr="00D56B97">
        <w:rPr>
          <w:rFonts w:ascii="Times New Roman" w:hAnsi="Times New Roman" w:cs="Times New Roman"/>
        </w:rPr>
        <w:t>The gatekeeper account</w:t>
      </w:r>
      <w:r w:rsidR="00B2073D" w:rsidRPr="00D56B97">
        <w:rPr>
          <w:rFonts w:ascii="Times New Roman" w:hAnsi="Times New Roman" w:cs="Times New Roman"/>
        </w:rPr>
        <w:t xml:space="preserve"> was dominant</w:t>
      </w:r>
      <w:r w:rsidR="003A44B8" w:rsidRPr="00D56B97">
        <w:rPr>
          <w:rFonts w:ascii="Times New Roman" w:hAnsi="Times New Roman" w:cs="Times New Roman"/>
        </w:rPr>
        <w:t xml:space="preserve"> by the end of the last century</w:t>
      </w:r>
      <w:r w:rsidR="00D02F8E" w:rsidRPr="00D56B97">
        <w:rPr>
          <w:rFonts w:ascii="Times New Roman" w:hAnsi="Times New Roman" w:cs="Times New Roman"/>
        </w:rPr>
        <w:t xml:space="preserve">. </w:t>
      </w:r>
      <w:r w:rsidR="003E531F" w:rsidRPr="00D56B97">
        <w:rPr>
          <w:rFonts w:ascii="Times New Roman" w:hAnsi="Times New Roman" w:cs="Times New Roman"/>
        </w:rPr>
        <w:t>In</w:t>
      </w:r>
      <w:r w:rsidR="00FF5B5D" w:rsidRPr="00D56B97">
        <w:rPr>
          <w:rFonts w:ascii="Times New Roman" w:hAnsi="Times New Roman" w:cs="Times New Roman"/>
        </w:rPr>
        <w:t xml:space="preserve"> </w:t>
      </w:r>
      <w:r w:rsidR="00FF5B5D" w:rsidRPr="00D56B97">
        <w:rPr>
          <w:rFonts w:ascii="Times New Roman" w:hAnsi="Times New Roman" w:cs="Times New Roman"/>
          <w:i/>
        </w:rPr>
        <w:t>Bland</w:t>
      </w:r>
      <w:r w:rsidR="00F3143D" w:rsidRPr="00D56B97">
        <w:rPr>
          <w:rFonts w:ascii="Times New Roman" w:hAnsi="Times New Roman" w:cs="Times New Roman"/>
          <w:i/>
        </w:rPr>
        <w:t>,</w:t>
      </w:r>
      <w:r w:rsidR="00450845" w:rsidRPr="00D56B97">
        <w:rPr>
          <w:rFonts w:ascii="Times New Roman" w:hAnsi="Times New Roman" w:cs="Times New Roman"/>
        </w:rPr>
        <w:t xml:space="preserve"> </w:t>
      </w:r>
      <w:r w:rsidR="00E81CC4" w:rsidRPr="00D56B97">
        <w:rPr>
          <w:rFonts w:ascii="Times New Roman" w:hAnsi="Times New Roman" w:cs="Times New Roman"/>
        </w:rPr>
        <w:t>Lord Mustill stated</w:t>
      </w:r>
      <w:r w:rsidR="00F3143D" w:rsidRPr="00D56B97">
        <w:rPr>
          <w:rFonts w:ascii="Times New Roman" w:hAnsi="Times New Roman" w:cs="Times New Roman"/>
        </w:rPr>
        <w:t xml:space="preserve"> that</w:t>
      </w:r>
      <w:r w:rsidR="003E531F" w:rsidRPr="00D56B97">
        <w:rPr>
          <w:rFonts w:ascii="Times New Roman" w:hAnsi="Times New Roman" w:cs="Times New Roman"/>
        </w:rPr>
        <w:t xml:space="preserve"> </w:t>
      </w:r>
      <w:r w:rsidR="0008122B" w:rsidRPr="00D56B97">
        <w:rPr>
          <w:rFonts w:ascii="Times New Roman" w:hAnsi="Times New Roman" w:cs="Times New Roman"/>
        </w:rPr>
        <w:t>‘i</w:t>
      </w:r>
      <w:r w:rsidR="00FF5B5D" w:rsidRPr="00D56B97">
        <w:rPr>
          <w:rFonts w:ascii="Times New Roman" w:hAnsi="Times New Roman" w:cs="Times New Roman"/>
        </w:rPr>
        <w:t>f the patient is capable of making a decision</w:t>
      </w:r>
      <w:r w:rsidR="00EB5F10" w:rsidRPr="00D56B97">
        <w:rPr>
          <w:rFonts w:ascii="Times New Roman" w:hAnsi="Times New Roman" w:cs="Times New Roman"/>
        </w:rPr>
        <w:t xml:space="preserve"> </w:t>
      </w:r>
      <w:r w:rsidR="00FF5B5D" w:rsidRPr="00D56B97">
        <w:rPr>
          <w:rFonts w:ascii="Times New Roman" w:hAnsi="Times New Roman" w:cs="Times New Roman"/>
        </w:rPr>
        <w:t>…his choice must be obeyed’;</w:t>
      </w:r>
      <w:r w:rsidR="00FF5B5D" w:rsidRPr="00D56B97">
        <w:rPr>
          <w:rFonts w:ascii="Times New Roman" w:hAnsi="Times New Roman" w:cs="Times New Roman"/>
          <w:vertAlign w:val="superscript"/>
        </w:rPr>
        <w:footnoteReference w:id="26"/>
      </w:r>
      <w:r w:rsidR="000375F5" w:rsidRPr="00D56B97">
        <w:rPr>
          <w:rFonts w:ascii="Times New Roman" w:hAnsi="Times New Roman" w:cs="Times New Roman"/>
        </w:rPr>
        <w:t xml:space="preserve"> but someone’s </w:t>
      </w:r>
      <w:r w:rsidR="003E531F" w:rsidRPr="00D56B97">
        <w:rPr>
          <w:rFonts w:ascii="Times New Roman" w:hAnsi="Times New Roman" w:cs="Times New Roman"/>
        </w:rPr>
        <w:t>‘inability to make’</w:t>
      </w:r>
      <w:r w:rsidR="00E81CC4" w:rsidRPr="00D56B97">
        <w:rPr>
          <w:rFonts w:ascii="Times New Roman" w:hAnsi="Times New Roman" w:cs="Times New Roman"/>
        </w:rPr>
        <w:t xml:space="preserve"> </w:t>
      </w:r>
      <w:r w:rsidR="00F3143D" w:rsidRPr="00D56B97">
        <w:rPr>
          <w:rFonts w:ascii="Times New Roman" w:hAnsi="Times New Roman" w:cs="Times New Roman"/>
        </w:rPr>
        <w:t xml:space="preserve">a </w:t>
      </w:r>
      <w:r w:rsidR="000375F5" w:rsidRPr="00D56B97">
        <w:rPr>
          <w:rFonts w:ascii="Times New Roman" w:hAnsi="Times New Roman" w:cs="Times New Roman"/>
        </w:rPr>
        <w:t xml:space="preserve">necessary decision </w:t>
      </w:r>
      <w:r w:rsidR="003E531F" w:rsidRPr="00D56B97">
        <w:rPr>
          <w:rFonts w:ascii="Times New Roman" w:hAnsi="Times New Roman" w:cs="Times New Roman"/>
        </w:rPr>
        <w:t xml:space="preserve">allows </w:t>
      </w:r>
      <w:r w:rsidR="00F3143D" w:rsidRPr="00D56B97">
        <w:rPr>
          <w:rFonts w:ascii="Times New Roman" w:hAnsi="Times New Roman" w:cs="Times New Roman"/>
        </w:rPr>
        <w:t>someone else to decide</w:t>
      </w:r>
      <w:r w:rsidR="000375F5" w:rsidRPr="00D56B97">
        <w:rPr>
          <w:rFonts w:ascii="Times New Roman" w:hAnsi="Times New Roman" w:cs="Times New Roman"/>
        </w:rPr>
        <w:t xml:space="preserve"> in that person’s</w:t>
      </w:r>
      <w:r w:rsidR="003E531F" w:rsidRPr="00D56B97">
        <w:rPr>
          <w:rFonts w:ascii="Times New Roman" w:hAnsi="Times New Roman" w:cs="Times New Roman"/>
        </w:rPr>
        <w:t xml:space="preserve"> ‘best interest’.</w:t>
      </w:r>
      <w:r w:rsidR="003E531F" w:rsidRPr="00D56B97">
        <w:rPr>
          <w:rStyle w:val="FootnoteReference"/>
          <w:rFonts w:ascii="Times New Roman" w:hAnsi="Times New Roman" w:cs="Times New Roman"/>
        </w:rPr>
        <w:footnoteReference w:id="27"/>
      </w:r>
      <w:r w:rsidR="00450845" w:rsidRPr="00D56B97">
        <w:rPr>
          <w:rFonts w:ascii="Times New Roman" w:hAnsi="Times New Roman" w:cs="Times New Roman"/>
        </w:rPr>
        <w:t xml:space="preserve"> </w:t>
      </w:r>
      <w:r w:rsidR="00DE425B" w:rsidRPr="00D56B97">
        <w:rPr>
          <w:rFonts w:ascii="Times New Roman" w:hAnsi="Times New Roman" w:cs="Times New Roman"/>
        </w:rPr>
        <w:t xml:space="preserve">This idea was expressly linked to autonomy in </w:t>
      </w:r>
      <w:r w:rsidR="00DE425B" w:rsidRPr="00D56B97">
        <w:rPr>
          <w:rFonts w:ascii="Times New Roman" w:hAnsi="Times New Roman" w:cs="Times New Roman"/>
          <w:i/>
        </w:rPr>
        <w:t>Re C (Adult: Refusal of Medical Treatment)</w:t>
      </w:r>
      <w:r w:rsidR="00202DE1">
        <w:rPr>
          <w:rFonts w:ascii="Times New Roman" w:hAnsi="Times New Roman" w:cs="Times New Roman"/>
        </w:rPr>
        <w:t>:</w:t>
      </w:r>
      <w:r w:rsidR="00DE425B" w:rsidRPr="00D56B97">
        <w:rPr>
          <w:rFonts w:ascii="Times New Roman" w:hAnsi="Times New Roman" w:cs="Times New Roman"/>
        </w:rPr>
        <w:t xml:space="preserve"> ‘if the patient's capacity to decide is unimpaired, autonomy weighs heavier, but the further capacity is reduced, the </w:t>
      </w:r>
      <w:r w:rsidR="00DE425B" w:rsidRPr="00D56B97">
        <w:rPr>
          <w:rFonts w:ascii="Times New Roman" w:hAnsi="Times New Roman" w:cs="Times New Roman"/>
        </w:rPr>
        <w:lastRenderedPageBreak/>
        <w:t>lighter autonomy weighs’.</w:t>
      </w:r>
      <w:r w:rsidR="00DE425B" w:rsidRPr="00D56B97">
        <w:rPr>
          <w:rStyle w:val="FootnoteReference"/>
          <w:rFonts w:ascii="Times New Roman" w:hAnsi="Times New Roman" w:cs="Times New Roman"/>
        </w:rPr>
        <w:footnoteReference w:id="28"/>
      </w:r>
      <w:r w:rsidR="008F14F9" w:rsidRPr="00D56B97">
        <w:rPr>
          <w:rFonts w:ascii="Times New Roman" w:hAnsi="Times New Roman" w:cs="Times New Roman"/>
        </w:rPr>
        <w:t xml:space="preserve"> </w:t>
      </w:r>
      <w:r w:rsidR="00EB5F10" w:rsidRPr="00D56B97">
        <w:rPr>
          <w:rFonts w:ascii="Times New Roman" w:hAnsi="Times New Roman" w:cs="Times New Roman"/>
        </w:rPr>
        <w:t>I</w:t>
      </w:r>
      <w:r w:rsidR="00450845" w:rsidRPr="00D56B97">
        <w:rPr>
          <w:rFonts w:ascii="Times New Roman" w:hAnsi="Times New Roman" w:cs="Times New Roman"/>
        </w:rPr>
        <w:t xml:space="preserve">n </w:t>
      </w:r>
      <w:r w:rsidR="001D69B4" w:rsidRPr="00D56B97">
        <w:rPr>
          <w:rFonts w:ascii="Times New Roman" w:hAnsi="Times New Roman" w:cs="Times New Roman"/>
          <w:i/>
        </w:rPr>
        <w:t xml:space="preserve">Re </w:t>
      </w:r>
      <w:r w:rsidR="00FF5B5D" w:rsidRPr="00D56B97">
        <w:rPr>
          <w:rFonts w:ascii="Times New Roman" w:hAnsi="Times New Roman" w:cs="Times New Roman"/>
          <w:i/>
        </w:rPr>
        <w:t>MB</w:t>
      </w:r>
      <w:r w:rsidR="008F14F9" w:rsidRPr="00D56B97">
        <w:rPr>
          <w:rFonts w:ascii="Times New Roman" w:hAnsi="Times New Roman" w:cs="Times New Roman"/>
        </w:rPr>
        <w:t xml:space="preserve">, </w:t>
      </w:r>
      <w:r w:rsidR="00097002" w:rsidRPr="00D56B97">
        <w:rPr>
          <w:rFonts w:ascii="Times New Roman" w:hAnsi="Times New Roman" w:cs="Times New Roman"/>
        </w:rPr>
        <w:t xml:space="preserve">Lady Justice </w:t>
      </w:r>
      <w:r w:rsidR="00EB5F10" w:rsidRPr="00D56B97">
        <w:rPr>
          <w:rFonts w:ascii="Times New Roman" w:hAnsi="Times New Roman" w:cs="Times New Roman"/>
        </w:rPr>
        <w:t xml:space="preserve">Butler-Sloss </w:t>
      </w:r>
      <w:r w:rsidR="001C1D0C" w:rsidRPr="00D56B97">
        <w:rPr>
          <w:rFonts w:ascii="Times New Roman" w:hAnsi="Times New Roman" w:cs="Times New Roman"/>
        </w:rPr>
        <w:t>made</w:t>
      </w:r>
      <w:r w:rsidR="00EB5F10" w:rsidRPr="00D56B97">
        <w:rPr>
          <w:rFonts w:ascii="Times New Roman" w:hAnsi="Times New Roman" w:cs="Times New Roman"/>
        </w:rPr>
        <w:t xml:space="preserve"> it clear that this is an exclusive test:</w:t>
      </w:r>
      <w:r w:rsidR="00FF5B5D" w:rsidRPr="00D56B97">
        <w:rPr>
          <w:rFonts w:ascii="Times New Roman" w:hAnsi="Times New Roman" w:cs="Times New Roman"/>
        </w:rPr>
        <w:t xml:space="preserve"> ‘the only situation in which it is lawful for the doctors to intervene is if it is believed that the adult patient lacks the capacity to decide’.</w:t>
      </w:r>
      <w:r w:rsidR="00FF5B5D" w:rsidRPr="00D56B97">
        <w:rPr>
          <w:rFonts w:ascii="Times New Roman" w:hAnsi="Times New Roman" w:cs="Times New Roman"/>
          <w:vertAlign w:val="superscript"/>
        </w:rPr>
        <w:footnoteReference w:id="29"/>
      </w:r>
      <w:r w:rsidR="00FC65DC" w:rsidRPr="00D56B97">
        <w:rPr>
          <w:rFonts w:ascii="Times New Roman" w:hAnsi="Times New Roman" w:cs="Times New Roman"/>
        </w:rPr>
        <w:t xml:space="preserve"> </w:t>
      </w:r>
      <w:r w:rsidR="00F3143D" w:rsidRPr="00D56B97">
        <w:rPr>
          <w:rFonts w:ascii="Times New Roman" w:hAnsi="Times New Roman" w:cs="Times New Roman"/>
        </w:rPr>
        <w:t>T</w:t>
      </w:r>
      <w:r w:rsidR="00AF673D" w:rsidRPr="00D56B97">
        <w:rPr>
          <w:rFonts w:ascii="Times New Roman" w:hAnsi="Times New Roman" w:cs="Times New Roman"/>
        </w:rPr>
        <w:t xml:space="preserve">hese cases </w:t>
      </w:r>
      <w:r w:rsidR="001D0ACA" w:rsidRPr="00D56B97">
        <w:rPr>
          <w:rFonts w:ascii="Times New Roman" w:hAnsi="Times New Roman" w:cs="Times New Roman"/>
        </w:rPr>
        <w:t>all deal</w:t>
      </w:r>
      <w:r w:rsidR="00FC65DC" w:rsidRPr="00D56B97">
        <w:rPr>
          <w:rFonts w:ascii="Times New Roman" w:hAnsi="Times New Roman" w:cs="Times New Roman"/>
        </w:rPr>
        <w:t xml:space="preserve"> with</w:t>
      </w:r>
      <w:r w:rsidR="00FF5B5D" w:rsidRPr="00D56B97">
        <w:rPr>
          <w:rFonts w:ascii="Times New Roman" w:hAnsi="Times New Roman" w:cs="Times New Roman"/>
        </w:rPr>
        <w:t xml:space="preserve"> medical treatment, </w:t>
      </w:r>
      <w:r w:rsidR="00F3143D" w:rsidRPr="00D56B97">
        <w:rPr>
          <w:rFonts w:ascii="Times New Roman" w:hAnsi="Times New Roman" w:cs="Times New Roman"/>
        </w:rPr>
        <w:t xml:space="preserve">but </w:t>
      </w:r>
      <w:r w:rsidR="008305DF" w:rsidRPr="00D56B97">
        <w:rPr>
          <w:rFonts w:ascii="Times New Roman" w:hAnsi="Times New Roman" w:cs="Times New Roman"/>
        </w:rPr>
        <w:t xml:space="preserve">a </w:t>
      </w:r>
      <w:r w:rsidR="00FF5B5D" w:rsidRPr="00D56B97">
        <w:rPr>
          <w:rFonts w:ascii="Times New Roman" w:hAnsi="Times New Roman" w:cs="Times New Roman"/>
        </w:rPr>
        <w:t>Law Commi</w:t>
      </w:r>
      <w:r w:rsidR="003A44B8" w:rsidRPr="00D56B97">
        <w:rPr>
          <w:rFonts w:ascii="Times New Roman" w:hAnsi="Times New Roman" w:cs="Times New Roman"/>
        </w:rPr>
        <w:t>ssion report</w:t>
      </w:r>
      <w:r w:rsidR="00F3143D" w:rsidRPr="00D56B97">
        <w:rPr>
          <w:rFonts w:ascii="Times New Roman" w:hAnsi="Times New Roman" w:cs="Times New Roman"/>
        </w:rPr>
        <w:t xml:space="preserve"> from the same period</w:t>
      </w:r>
      <w:r w:rsidR="00FF5B5D" w:rsidRPr="00D56B97">
        <w:rPr>
          <w:rFonts w:ascii="Times New Roman" w:hAnsi="Times New Roman" w:cs="Times New Roman"/>
        </w:rPr>
        <w:t xml:space="preserve"> </w:t>
      </w:r>
      <w:r w:rsidR="003A44B8" w:rsidRPr="00D56B97">
        <w:rPr>
          <w:rFonts w:ascii="Times New Roman" w:hAnsi="Times New Roman" w:cs="Times New Roman"/>
        </w:rPr>
        <w:t>suggests</w:t>
      </w:r>
      <w:r w:rsidR="008305DF" w:rsidRPr="00D56B97">
        <w:rPr>
          <w:rFonts w:ascii="Times New Roman" w:hAnsi="Times New Roman" w:cs="Times New Roman"/>
        </w:rPr>
        <w:t xml:space="preserve"> </w:t>
      </w:r>
      <w:r w:rsidR="00097002" w:rsidRPr="00D56B97">
        <w:rPr>
          <w:rFonts w:ascii="Times New Roman" w:hAnsi="Times New Roman" w:cs="Times New Roman"/>
        </w:rPr>
        <w:t>that the gatekeeper view already</w:t>
      </w:r>
      <w:r w:rsidR="008305DF" w:rsidRPr="00D56B97">
        <w:rPr>
          <w:rFonts w:ascii="Times New Roman" w:hAnsi="Times New Roman" w:cs="Times New Roman"/>
        </w:rPr>
        <w:t xml:space="preserve"> had broader application</w:t>
      </w:r>
      <w:r w:rsidR="00FF5B5D" w:rsidRPr="00D56B97">
        <w:rPr>
          <w:rFonts w:ascii="Times New Roman" w:hAnsi="Times New Roman" w:cs="Times New Roman"/>
        </w:rPr>
        <w:t>: ‘a person with capacity is entitled to refuse community care or other protective services’.</w:t>
      </w:r>
      <w:r w:rsidR="00FF5B5D" w:rsidRPr="00D56B97">
        <w:rPr>
          <w:rFonts w:ascii="Times New Roman" w:hAnsi="Times New Roman" w:cs="Times New Roman"/>
          <w:vertAlign w:val="superscript"/>
        </w:rPr>
        <w:footnoteReference w:id="30"/>
      </w:r>
      <w:r w:rsidR="002F2954" w:rsidRPr="00D56B97">
        <w:rPr>
          <w:rFonts w:ascii="Times New Roman" w:hAnsi="Times New Roman" w:cs="Times New Roman"/>
        </w:rPr>
        <w:t xml:space="preserve"> That report, and the concurrent case law, eventually contributed to the definition of </w:t>
      </w:r>
      <w:r w:rsidR="00E81CC4" w:rsidRPr="00D56B97">
        <w:rPr>
          <w:rFonts w:ascii="Times New Roman" w:hAnsi="Times New Roman" w:cs="Times New Roman"/>
        </w:rPr>
        <w:t>in</w:t>
      </w:r>
      <w:r w:rsidR="002F2954" w:rsidRPr="00D56B97">
        <w:rPr>
          <w:rFonts w:ascii="Times New Roman" w:hAnsi="Times New Roman" w:cs="Times New Roman"/>
        </w:rPr>
        <w:t>capacity found in the MCA</w:t>
      </w:r>
      <w:r w:rsidR="009762FF" w:rsidRPr="00D56B97">
        <w:rPr>
          <w:rFonts w:ascii="Times New Roman" w:hAnsi="Times New Roman" w:cs="Times New Roman"/>
        </w:rPr>
        <w:t>.</w:t>
      </w:r>
      <w:r w:rsidR="009762FF" w:rsidRPr="00D56B97">
        <w:rPr>
          <w:rStyle w:val="FootnoteReference"/>
          <w:rFonts w:ascii="Times New Roman" w:hAnsi="Times New Roman" w:cs="Times New Roman"/>
        </w:rPr>
        <w:footnoteReference w:id="31"/>
      </w:r>
    </w:p>
    <w:p w14:paraId="7493C876" w14:textId="77777777" w:rsidR="005537AB" w:rsidRPr="00D56B97" w:rsidRDefault="00FC65DC" w:rsidP="00921270">
      <w:pPr>
        <w:spacing w:line="480" w:lineRule="auto"/>
        <w:ind w:firstLine="720"/>
        <w:jc w:val="both"/>
        <w:rPr>
          <w:rFonts w:ascii="Times New Roman" w:hAnsi="Times New Roman" w:cs="Times New Roman"/>
        </w:rPr>
      </w:pPr>
      <w:r w:rsidRPr="00D56B97">
        <w:rPr>
          <w:rFonts w:ascii="Times New Roman" w:hAnsi="Times New Roman" w:cs="Times New Roman"/>
        </w:rPr>
        <w:t xml:space="preserve">The </w:t>
      </w:r>
      <w:r w:rsidR="00F3143D" w:rsidRPr="00D56B97">
        <w:rPr>
          <w:rFonts w:ascii="Times New Roman" w:hAnsi="Times New Roman" w:cs="Times New Roman"/>
        </w:rPr>
        <w:t>M</w:t>
      </w:r>
      <w:r w:rsidR="009C6C3D" w:rsidRPr="00D56B97">
        <w:rPr>
          <w:rFonts w:ascii="Times New Roman" w:hAnsi="Times New Roman" w:cs="Times New Roman"/>
        </w:rPr>
        <w:t>CA</w:t>
      </w:r>
      <w:r w:rsidR="00F3143D" w:rsidRPr="00D56B97">
        <w:rPr>
          <w:rFonts w:ascii="Times New Roman" w:hAnsi="Times New Roman" w:cs="Times New Roman"/>
        </w:rPr>
        <w:t xml:space="preserve"> does not mention autonomy. Nevertheless, a gatekeeper account of the relationship between au</w:t>
      </w:r>
      <w:r w:rsidR="000375F5" w:rsidRPr="00D56B97">
        <w:rPr>
          <w:rFonts w:ascii="Times New Roman" w:hAnsi="Times New Roman" w:cs="Times New Roman"/>
        </w:rPr>
        <w:t xml:space="preserve">tonomy and capacity </w:t>
      </w:r>
      <w:r w:rsidR="00CF5D92" w:rsidRPr="00D56B97">
        <w:rPr>
          <w:rFonts w:ascii="Times New Roman" w:hAnsi="Times New Roman" w:cs="Times New Roman"/>
        </w:rPr>
        <w:t xml:space="preserve">helped to justify the Act. </w:t>
      </w:r>
      <w:r w:rsidR="003A44B8" w:rsidRPr="00D56B97">
        <w:rPr>
          <w:rFonts w:ascii="Times New Roman" w:hAnsi="Times New Roman" w:cs="Times New Roman"/>
        </w:rPr>
        <w:t>O</w:t>
      </w:r>
      <w:r w:rsidR="0012028F" w:rsidRPr="00D56B97">
        <w:rPr>
          <w:rFonts w:ascii="Times New Roman" w:hAnsi="Times New Roman" w:cs="Times New Roman"/>
        </w:rPr>
        <w:t xml:space="preserve">n the second reading of the Mental Capacity Bill in the House of Lords, the Lord Chancellor stated </w:t>
      </w:r>
      <w:r w:rsidR="003A44B8" w:rsidRPr="00D56B97">
        <w:rPr>
          <w:rFonts w:ascii="Times New Roman" w:hAnsi="Times New Roman" w:cs="Times New Roman"/>
        </w:rPr>
        <w:t>that its first aim was</w:t>
      </w:r>
      <w:r w:rsidR="0012028F" w:rsidRPr="00D56B97">
        <w:rPr>
          <w:rFonts w:ascii="Times New Roman" w:hAnsi="Times New Roman" w:cs="Times New Roman"/>
        </w:rPr>
        <w:t xml:space="preserve"> to allow ‘adults to take as many decisions as they can for themselves’</w:t>
      </w:r>
      <w:r w:rsidR="00432DF0" w:rsidRPr="00D56B97">
        <w:rPr>
          <w:rFonts w:ascii="Times New Roman" w:hAnsi="Times New Roman" w:cs="Times New Roman"/>
        </w:rPr>
        <w:t xml:space="preserve"> but</w:t>
      </w:r>
      <w:r w:rsidR="00880E73" w:rsidRPr="00D56B97">
        <w:rPr>
          <w:rFonts w:ascii="Times New Roman" w:hAnsi="Times New Roman" w:cs="Times New Roman"/>
        </w:rPr>
        <w:t xml:space="preserve"> that</w:t>
      </w:r>
      <w:r w:rsidR="00432DF0" w:rsidRPr="00D56B97">
        <w:rPr>
          <w:rFonts w:ascii="Times New Roman" w:hAnsi="Times New Roman" w:cs="Times New Roman"/>
        </w:rPr>
        <w:t xml:space="preserve"> ‘</w:t>
      </w:r>
      <w:r w:rsidR="002F01E6" w:rsidRPr="00D56B97">
        <w:rPr>
          <w:rFonts w:ascii="Times New Roman" w:hAnsi="Times New Roman" w:cs="Times New Roman"/>
        </w:rPr>
        <w:t>where adults cannot make decisions …</w:t>
      </w:r>
      <w:r w:rsidR="00432DF0" w:rsidRPr="00D56B97">
        <w:rPr>
          <w:rFonts w:ascii="Times New Roman" w:hAnsi="Times New Roman" w:cs="Times New Roman"/>
        </w:rPr>
        <w:t>the Bill ensures that the decisions which are made for them are made in their best interests’</w:t>
      </w:r>
      <w:r w:rsidR="0012028F" w:rsidRPr="00D56B97">
        <w:rPr>
          <w:rFonts w:ascii="Times New Roman" w:hAnsi="Times New Roman" w:cs="Times New Roman"/>
        </w:rPr>
        <w:t>.</w:t>
      </w:r>
      <w:r w:rsidR="0012028F" w:rsidRPr="00D56B97">
        <w:rPr>
          <w:rStyle w:val="FootnoteReference"/>
          <w:rFonts w:ascii="Times New Roman" w:hAnsi="Times New Roman" w:cs="Times New Roman"/>
        </w:rPr>
        <w:footnoteReference w:id="32"/>
      </w:r>
      <w:r w:rsidR="0012028F" w:rsidRPr="00D56B97">
        <w:rPr>
          <w:rFonts w:ascii="Times New Roman" w:hAnsi="Times New Roman" w:cs="Times New Roman"/>
        </w:rPr>
        <w:t xml:space="preserve"> </w:t>
      </w:r>
      <w:r w:rsidR="008125B7" w:rsidRPr="00D56B97">
        <w:rPr>
          <w:rFonts w:ascii="Times New Roman" w:hAnsi="Times New Roman" w:cs="Times New Roman"/>
        </w:rPr>
        <w:t>B</w:t>
      </w:r>
      <w:r w:rsidR="002F01E6" w:rsidRPr="00D56B97">
        <w:rPr>
          <w:rFonts w:ascii="Times New Roman" w:hAnsi="Times New Roman" w:cs="Times New Roman"/>
        </w:rPr>
        <w:t xml:space="preserve">y omission, </w:t>
      </w:r>
      <w:r w:rsidR="008125B7" w:rsidRPr="00D56B97">
        <w:rPr>
          <w:rFonts w:ascii="Times New Roman" w:hAnsi="Times New Roman" w:cs="Times New Roman"/>
        </w:rPr>
        <w:t xml:space="preserve">this implies </w:t>
      </w:r>
      <w:r w:rsidR="002F01E6" w:rsidRPr="00D56B97">
        <w:rPr>
          <w:rFonts w:ascii="Times New Roman" w:hAnsi="Times New Roman" w:cs="Times New Roman"/>
        </w:rPr>
        <w:t xml:space="preserve">more </w:t>
      </w:r>
      <w:r w:rsidR="008125B7" w:rsidRPr="00D56B97">
        <w:rPr>
          <w:rFonts w:ascii="Times New Roman" w:hAnsi="Times New Roman" w:cs="Times New Roman"/>
        </w:rPr>
        <w:t>than it states</w:t>
      </w:r>
      <w:r w:rsidR="002F01E6" w:rsidRPr="00D56B97">
        <w:rPr>
          <w:rFonts w:ascii="Times New Roman" w:hAnsi="Times New Roman" w:cs="Times New Roman"/>
        </w:rPr>
        <w:t xml:space="preserve">. </w:t>
      </w:r>
      <w:r w:rsidR="008125B7" w:rsidRPr="00D56B97">
        <w:rPr>
          <w:rFonts w:ascii="Times New Roman" w:hAnsi="Times New Roman" w:cs="Times New Roman"/>
        </w:rPr>
        <w:t xml:space="preserve">In these passages, it </w:t>
      </w:r>
      <w:r w:rsidR="00D8561E" w:rsidRPr="00D56B97">
        <w:rPr>
          <w:rFonts w:ascii="Times New Roman" w:hAnsi="Times New Roman" w:cs="Times New Roman"/>
        </w:rPr>
        <w:t>seems</w:t>
      </w:r>
      <w:r w:rsidR="008125B7" w:rsidRPr="00D56B97">
        <w:rPr>
          <w:rFonts w:ascii="Times New Roman" w:hAnsi="Times New Roman" w:cs="Times New Roman"/>
        </w:rPr>
        <w:t xml:space="preserve"> as though the</w:t>
      </w:r>
      <w:r w:rsidR="002F01E6" w:rsidRPr="00D56B97">
        <w:rPr>
          <w:rFonts w:ascii="Times New Roman" w:hAnsi="Times New Roman" w:cs="Times New Roman"/>
        </w:rPr>
        <w:t xml:space="preserve"> MCA applies to all adults who ‘cannot make decision</w:t>
      </w:r>
      <w:r w:rsidR="008125B7" w:rsidRPr="00D56B97">
        <w:rPr>
          <w:rFonts w:ascii="Times New Roman" w:hAnsi="Times New Roman" w:cs="Times New Roman"/>
        </w:rPr>
        <w:t>s</w:t>
      </w:r>
      <w:r w:rsidR="002F01E6" w:rsidRPr="00D56B97">
        <w:rPr>
          <w:rFonts w:ascii="Times New Roman" w:hAnsi="Times New Roman" w:cs="Times New Roman"/>
        </w:rPr>
        <w:t>’</w:t>
      </w:r>
      <w:r w:rsidR="008125B7" w:rsidRPr="00D56B97">
        <w:rPr>
          <w:rFonts w:ascii="Times New Roman" w:hAnsi="Times New Roman" w:cs="Times New Roman"/>
        </w:rPr>
        <w:t>, not only to those</w:t>
      </w:r>
      <w:r w:rsidR="00921270" w:rsidRPr="00D56B97">
        <w:rPr>
          <w:rFonts w:ascii="Times New Roman" w:hAnsi="Times New Roman" w:cs="Times New Roman"/>
        </w:rPr>
        <w:t xml:space="preserve"> adults</w:t>
      </w:r>
      <w:r w:rsidR="008125B7" w:rsidRPr="00D56B97">
        <w:rPr>
          <w:rFonts w:ascii="Times New Roman" w:hAnsi="Times New Roman" w:cs="Times New Roman"/>
        </w:rPr>
        <w:t xml:space="preserve"> who cannot decide ‘because of an impairment of, or a disturbance in the functioning of, the mind or brain’.</w:t>
      </w:r>
      <w:r w:rsidR="008125B7" w:rsidRPr="00D56B97">
        <w:rPr>
          <w:rStyle w:val="FootnoteReference"/>
          <w:rFonts w:ascii="Times New Roman" w:hAnsi="Times New Roman" w:cs="Times New Roman"/>
        </w:rPr>
        <w:footnoteReference w:id="33"/>
      </w:r>
      <w:r w:rsidR="008125B7" w:rsidRPr="00D56B97">
        <w:rPr>
          <w:rFonts w:ascii="Times New Roman" w:hAnsi="Times New Roman" w:cs="Times New Roman"/>
        </w:rPr>
        <w:t xml:space="preserve"> </w:t>
      </w:r>
      <w:r w:rsidR="00921270" w:rsidRPr="00D56B97">
        <w:rPr>
          <w:rFonts w:ascii="Times New Roman" w:hAnsi="Times New Roman" w:cs="Times New Roman"/>
        </w:rPr>
        <w:t>The possibility of people being unable to decide for other reasons is ignored</w:t>
      </w:r>
      <w:r w:rsidR="00F1758A" w:rsidRPr="00D56B97">
        <w:rPr>
          <w:rFonts w:ascii="Times New Roman" w:hAnsi="Times New Roman" w:cs="Times New Roman"/>
        </w:rPr>
        <w:t>,</w:t>
      </w:r>
      <w:r w:rsidR="00921270" w:rsidRPr="00D56B97">
        <w:rPr>
          <w:rFonts w:ascii="Times New Roman" w:hAnsi="Times New Roman" w:cs="Times New Roman"/>
        </w:rPr>
        <w:t xml:space="preserve"> and this </w:t>
      </w:r>
      <w:r w:rsidR="00327965" w:rsidRPr="00D56B97">
        <w:rPr>
          <w:rFonts w:ascii="Times New Roman" w:hAnsi="Times New Roman" w:cs="Times New Roman"/>
        </w:rPr>
        <w:t>tends to imply</w:t>
      </w:r>
      <w:r w:rsidR="008125B7" w:rsidRPr="00D56B97">
        <w:rPr>
          <w:rFonts w:ascii="Times New Roman" w:hAnsi="Times New Roman" w:cs="Times New Roman"/>
        </w:rPr>
        <w:t xml:space="preserve"> a gatekeeper view of the relationship between autonomy and capacity: t</w:t>
      </w:r>
      <w:r w:rsidR="00CF5D92" w:rsidRPr="00D56B97">
        <w:rPr>
          <w:rFonts w:ascii="Times New Roman" w:hAnsi="Times New Roman" w:cs="Times New Roman"/>
        </w:rPr>
        <w:t xml:space="preserve">hose with capacity are capable of self-determination, and those without are not. This </w:t>
      </w:r>
      <w:r w:rsidR="00A01D71" w:rsidRPr="00D56B97">
        <w:rPr>
          <w:rFonts w:ascii="Times New Roman" w:hAnsi="Times New Roman" w:cs="Times New Roman"/>
        </w:rPr>
        <w:t>became</w:t>
      </w:r>
      <w:r w:rsidR="0012028F" w:rsidRPr="00D56B97">
        <w:rPr>
          <w:rFonts w:ascii="Times New Roman" w:hAnsi="Times New Roman" w:cs="Times New Roman"/>
        </w:rPr>
        <w:t xml:space="preserve"> explicit in the Act’s Code of Practice, which says that ‘an adult</w:t>
      </w:r>
      <w:r w:rsidR="00403B82" w:rsidRPr="00D56B97">
        <w:rPr>
          <w:rFonts w:ascii="Times New Roman" w:hAnsi="Times New Roman" w:cs="Times New Roman"/>
        </w:rPr>
        <w:t xml:space="preserve"> …</w:t>
      </w:r>
      <w:r w:rsidR="0012028F" w:rsidRPr="00D56B97">
        <w:rPr>
          <w:rFonts w:ascii="Times New Roman" w:hAnsi="Times New Roman" w:cs="Times New Roman"/>
        </w:rPr>
        <w:t>has full legal capacity to make decisions for themselves (the right to autonomy) unless it can be shown that they lack capacity’.</w:t>
      </w:r>
      <w:r w:rsidR="0012028F" w:rsidRPr="00D56B97">
        <w:rPr>
          <w:rFonts w:ascii="Times New Roman" w:hAnsi="Times New Roman" w:cs="Times New Roman"/>
          <w:vertAlign w:val="superscript"/>
        </w:rPr>
        <w:footnoteReference w:id="34"/>
      </w:r>
      <w:r w:rsidR="00A731B1" w:rsidRPr="00D56B97">
        <w:rPr>
          <w:rFonts w:ascii="Times New Roman" w:hAnsi="Times New Roman" w:cs="Times New Roman"/>
        </w:rPr>
        <w:t xml:space="preserve"> To some exten</w:t>
      </w:r>
      <w:r w:rsidR="003A44B8" w:rsidRPr="00D56B97">
        <w:rPr>
          <w:rFonts w:ascii="Times New Roman" w:hAnsi="Times New Roman" w:cs="Times New Roman"/>
        </w:rPr>
        <w:t xml:space="preserve">t, </w:t>
      </w:r>
      <w:r w:rsidR="002A7225" w:rsidRPr="00D56B97">
        <w:rPr>
          <w:rFonts w:ascii="Times New Roman" w:hAnsi="Times New Roman" w:cs="Times New Roman"/>
        </w:rPr>
        <w:t>the Act</w:t>
      </w:r>
      <w:r w:rsidR="009C6C3D" w:rsidRPr="00D56B97">
        <w:rPr>
          <w:rFonts w:ascii="Times New Roman" w:hAnsi="Times New Roman" w:cs="Times New Roman"/>
        </w:rPr>
        <w:t>’s test</w:t>
      </w:r>
      <w:r w:rsidR="002A7225" w:rsidRPr="00D56B97">
        <w:rPr>
          <w:rFonts w:ascii="Times New Roman" w:hAnsi="Times New Roman" w:cs="Times New Roman"/>
        </w:rPr>
        <w:t xml:space="preserve"> </w:t>
      </w:r>
      <w:r w:rsidR="005537AB" w:rsidRPr="00D56B97">
        <w:rPr>
          <w:rFonts w:ascii="Times New Roman" w:hAnsi="Times New Roman" w:cs="Times New Roman"/>
        </w:rPr>
        <w:t xml:space="preserve">for </w:t>
      </w:r>
      <w:r w:rsidR="00AC3877" w:rsidRPr="00D56B97">
        <w:rPr>
          <w:rFonts w:ascii="Times New Roman" w:hAnsi="Times New Roman" w:cs="Times New Roman"/>
        </w:rPr>
        <w:t>in</w:t>
      </w:r>
      <w:r w:rsidR="005537AB" w:rsidRPr="00D56B97">
        <w:rPr>
          <w:rFonts w:ascii="Times New Roman" w:hAnsi="Times New Roman" w:cs="Times New Roman"/>
        </w:rPr>
        <w:t>capacity</w:t>
      </w:r>
      <w:r w:rsidR="00860AFB" w:rsidRPr="00D56B97">
        <w:rPr>
          <w:rFonts w:ascii="Times New Roman" w:hAnsi="Times New Roman" w:cs="Times New Roman"/>
        </w:rPr>
        <w:t xml:space="preserve"> </w:t>
      </w:r>
      <w:r w:rsidR="00A731B1" w:rsidRPr="00D56B97">
        <w:rPr>
          <w:rFonts w:ascii="Times New Roman" w:hAnsi="Times New Roman" w:cs="Times New Roman"/>
        </w:rPr>
        <w:t>reflect</w:t>
      </w:r>
      <w:r w:rsidR="009C6C3D" w:rsidRPr="00D56B97">
        <w:rPr>
          <w:rFonts w:ascii="Times New Roman" w:hAnsi="Times New Roman" w:cs="Times New Roman"/>
        </w:rPr>
        <w:t>s</w:t>
      </w:r>
      <w:r w:rsidR="002A7225" w:rsidRPr="00D56B97">
        <w:rPr>
          <w:rFonts w:ascii="Times New Roman" w:hAnsi="Times New Roman" w:cs="Times New Roman"/>
        </w:rPr>
        <w:t xml:space="preserve"> this</w:t>
      </w:r>
      <w:r w:rsidR="005D4235" w:rsidRPr="00D56B97">
        <w:rPr>
          <w:rFonts w:ascii="Times New Roman" w:hAnsi="Times New Roman" w:cs="Times New Roman"/>
        </w:rPr>
        <w:t xml:space="preserve"> gatekeeper view</w:t>
      </w:r>
      <w:r w:rsidR="001D69B4" w:rsidRPr="00D56B97">
        <w:rPr>
          <w:rFonts w:ascii="Times New Roman" w:hAnsi="Times New Roman" w:cs="Times New Roman"/>
        </w:rPr>
        <w:t xml:space="preserve">, for </w:t>
      </w:r>
      <w:r w:rsidR="005D4235" w:rsidRPr="00D56B97">
        <w:rPr>
          <w:rFonts w:ascii="Times New Roman" w:hAnsi="Times New Roman" w:cs="Times New Roman"/>
        </w:rPr>
        <w:t xml:space="preserve">it treats </w:t>
      </w:r>
      <w:r w:rsidR="001D69B4" w:rsidRPr="00D56B97">
        <w:rPr>
          <w:rFonts w:ascii="Times New Roman" w:hAnsi="Times New Roman" w:cs="Times New Roman"/>
        </w:rPr>
        <w:lastRenderedPageBreak/>
        <w:t xml:space="preserve">mental capacity </w:t>
      </w:r>
      <w:r w:rsidR="005D4235" w:rsidRPr="00D56B97">
        <w:rPr>
          <w:rFonts w:ascii="Times New Roman" w:hAnsi="Times New Roman" w:cs="Times New Roman"/>
        </w:rPr>
        <w:t>as</w:t>
      </w:r>
      <w:r w:rsidR="003F077A" w:rsidRPr="00D56B97">
        <w:rPr>
          <w:rFonts w:ascii="Times New Roman" w:hAnsi="Times New Roman" w:cs="Times New Roman"/>
        </w:rPr>
        <w:t xml:space="preserve"> </w:t>
      </w:r>
      <w:proofErr w:type="gramStart"/>
      <w:r w:rsidR="00A01D71" w:rsidRPr="00D56B97">
        <w:rPr>
          <w:rFonts w:ascii="Times New Roman" w:hAnsi="Times New Roman" w:cs="Times New Roman"/>
        </w:rPr>
        <w:t>an</w:t>
      </w:r>
      <w:proofErr w:type="gramEnd"/>
      <w:r w:rsidR="00A01D71" w:rsidRPr="00D56B97">
        <w:rPr>
          <w:rFonts w:ascii="Times New Roman" w:hAnsi="Times New Roman" w:cs="Times New Roman"/>
        </w:rPr>
        <w:t xml:space="preserve"> either/or concept</w:t>
      </w:r>
      <w:r w:rsidR="003F077A" w:rsidRPr="00D56B97">
        <w:rPr>
          <w:rFonts w:ascii="Times New Roman" w:hAnsi="Times New Roman" w:cs="Times New Roman"/>
        </w:rPr>
        <w:t>. At the ‘material time’,</w:t>
      </w:r>
      <w:r w:rsidR="003F077A" w:rsidRPr="00D56B97">
        <w:rPr>
          <w:rStyle w:val="FootnoteReference"/>
          <w:rFonts w:ascii="Times New Roman" w:hAnsi="Times New Roman" w:cs="Times New Roman"/>
        </w:rPr>
        <w:footnoteReference w:id="35"/>
      </w:r>
      <w:r w:rsidR="003F077A" w:rsidRPr="00D56B97">
        <w:rPr>
          <w:rFonts w:ascii="Times New Roman" w:hAnsi="Times New Roman" w:cs="Times New Roman"/>
        </w:rPr>
        <w:t xml:space="preserve"> someone can either make a par</w:t>
      </w:r>
      <w:r w:rsidR="005537AB" w:rsidRPr="00D56B97">
        <w:rPr>
          <w:rFonts w:ascii="Times New Roman" w:hAnsi="Times New Roman" w:cs="Times New Roman"/>
        </w:rPr>
        <w:t xml:space="preserve">ticular decision or they cannot, and the difference between these two conditions is considerable. The Act creates </w:t>
      </w:r>
      <w:r w:rsidR="009A6F2A" w:rsidRPr="00D56B97">
        <w:rPr>
          <w:rFonts w:ascii="Times New Roman" w:hAnsi="Times New Roman" w:cs="Times New Roman"/>
        </w:rPr>
        <w:t>many</w:t>
      </w:r>
      <w:r w:rsidR="005537AB" w:rsidRPr="00D56B97">
        <w:rPr>
          <w:rFonts w:ascii="Times New Roman" w:hAnsi="Times New Roman" w:cs="Times New Roman"/>
        </w:rPr>
        <w:t xml:space="preserve"> powers affecting </w:t>
      </w:r>
      <w:r w:rsidR="00221BC0" w:rsidRPr="00D56B97">
        <w:rPr>
          <w:rFonts w:ascii="Times New Roman" w:hAnsi="Times New Roman" w:cs="Times New Roman"/>
        </w:rPr>
        <w:t xml:space="preserve">how decisions are made for </w:t>
      </w:r>
      <w:r w:rsidR="009A6F2A" w:rsidRPr="00D56B97">
        <w:rPr>
          <w:rFonts w:ascii="Times New Roman" w:hAnsi="Times New Roman" w:cs="Times New Roman"/>
        </w:rPr>
        <w:t>those who</w:t>
      </w:r>
      <w:r w:rsidR="005537AB" w:rsidRPr="00D56B97">
        <w:rPr>
          <w:rFonts w:ascii="Times New Roman" w:hAnsi="Times New Roman" w:cs="Times New Roman"/>
        </w:rPr>
        <w:t xml:space="preserve"> lack</w:t>
      </w:r>
      <w:r w:rsidR="00200002" w:rsidRPr="00D56B97">
        <w:rPr>
          <w:rFonts w:ascii="Times New Roman" w:hAnsi="Times New Roman" w:cs="Times New Roman"/>
        </w:rPr>
        <w:t xml:space="preserve"> capacity: a general defence for actions made in the</w:t>
      </w:r>
      <w:r w:rsidR="009A6F2A" w:rsidRPr="00D56B97">
        <w:rPr>
          <w:rFonts w:ascii="Times New Roman" w:hAnsi="Times New Roman" w:cs="Times New Roman"/>
        </w:rPr>
        <w:t>ir</w:t>
      </w:r>
      <w:r w:rsidR="00200002" w:rsidRPr="00D56B97">
        <w:rPr>
          <w:rFonts w:ascii="Times New Roman" w:hAnsi="Times New Roman" w:cs="Times New Roman"/>
        </w:rPr>
        <w:t xml:space="preserve"> best interest</w:t>
      </w:r>
      <w:r w:rsidR="00AC3877" w:rsidRPr="00D56B97">
        <w:rPr>
          <w:rFonts w:ascii="Times New Roman" w:hAnsi="Times New Roman" w:cs="Times New Roman"/>
        </w:rPr>
        <w:t>s</w:t>
      </w:r>
      <w:r w:rsidR="00200002" w:rsidRPr="00D56B97">
        <w:rPr>
          <w:rFonts w:ascii="Times New Roman" w:hAnsi="Times New Roman" w:cs="Times New Roman"/>
        </w:rPr>
        <w:t>;</w:t>
      </w:r>
      <w:r w:rsidR="00200002" w:rsidRPr="00D56B97">
        <w:rPr>
          <w:rStyle w:val="FootnoteReference"/>
          <w:rFonts w:ascii="Times New Roman" w:hAnsi="Times New Roman" w:cs="Times New Roman"/>
        </w:rPr>
        <w:footnoteReference w:id="36"/>
      </w:r>
      <w:r w:rsidR="009A6F2A" w:rsidRPr="00D56B97">
        <w:rPr>
          <w:rFonts w:ascii="Times New Roman" w:hAnsi="Times New Roman" w:cs="Times New Roman"/>
        </w:rPr>
        <w:t xml:space="preserve"> a </w:t>
      </w:r>
      <w:r w:rsidR="009C6C3D" w:rsidRPr="00D56B97">
        <w:rPr>
          <w:rFonts w:ascii="Times New Roman" w:hAnsi="Times New Roman" w:cs="Times New Roman"/>
        </w:rPr>
        <w:t>section allowing</w:t>
      </w:r>
      <w:r w:rsidR="0038575D" w:rsidRPr="00D56B97">
        <w:rPr>
          <w:rFonts w:ascii="Times New Roman" w:hAnsi="Times New Roman" w:cs="Times New Roman"/>
        </w:rPr>
        <w:t xml:space="preserve"> the donee of a Lasting Power of Attorney to make such decisions;</w:t>
      </w:r>
      <w:r w:rsidR="0038575D" w:rsidRPr="00D56B97">
        <w:rPr>
          <w:rStyle w:val="FootnoteReference"/>
          <w:rFonts w:ascii="Times New Roman" w:hAnsi="Times New Roman" w:cs="Times New Roman"/>
        </w:rPr>
        <w:footnoteReference w:id="37"/>
      </w:r>
      <w:r w:rsidR="0038575D" w:rsidRPr="00D56B97">
        <w:rPr>
          <w:rFonts w:ascii="Times New Roman" w:hAnsi="Times New Roman" w:cs="Times New Roman"/>
        </w:rPr>
        <w:t xml:space="preserve"> a power of the court to make such decisions or to appoint a deputy to make them;</w:t>
      </w:r>
      <w:r w:rsidR="0038575D" w:rsidRPr="00D56B97">
        <w:rPr>
          <w:rStyle w:val="FootnoteReference"/>
          <w:rFonts w:ascii="Times New Roman" w:hAnsi="Times New Roman" w:cs="Times New Roman"/>
        </w:rPr>
        <w:footnoteReference w:id="38"/>
      </w:r>
      <w:r w:rsidR="0038575D" w:rsidRPr="00D56B97">
        <w:rPr>
          <w:rFonts w:ascii="Times New Roman" w:hAnsi="Times New Roman" w:cs="Times New Roman"/>
        </w:rPr>
        <w:t xml:space="preserve"> and a power for individuals with capacity to make an advance decision to refuse treat</w:t>
      </w:r>
      <w:r w:rsidR="00097002" w:rsidRPr="00D56B97">
        <w:rPr>
          <w:rFonts w:ascii="Times New Roman" w:hAnsi="Times New Roman" w:cs="Times New Roman"/>
        </w:rPr>
        <w:t>ment at a future time when they</w:t>
      </w:r>
      <w:r w:rsidR="009A6F2A" w:rsidRPr="00D56B97">
        <w:rPr>
          <w:rFonts w:ascii="Times New Roman" w:hAnsi="Times New Roman" w:cs="Times New Roman"/>
        </w:rPr>
        <w:t xml:space="preserve"> </w:t>
      </w:r>
      <w:r w:rsidR="0038575D" w:rsidRPr="00D56B97">
        <w:rPr>
          <w:rFonts w:ascii="Times New Roman" w:hAnsi="Times New Roman" w:cs="Times New Roman"/>
        </w:rPr>
        <w:t>lack capacity.</w:t>
      </w:r>
      <w:r w:rsidR="0038575D" w:rsidRPr="00D56B97">
        <w:rPr>
          <w:rStyle w:val="FootnoteReference"/>
          <w:rFonts w:ascii="Times New Roman" w:hAnsi="Times New Roman" w:cs="Times New Roman"/>
        </w:rPr>
        <w:footnoteReference w:id="39"/>
      </w:r>
      <w:r w:rsidR="009A6F2A" w:rsidRPr="00D56B97">
        <w:rPr>
          <w:rFonts w:ascii="Times New Roman" w:hAnsi="Times New Roman" w:cs="Times New Roman"/>
        </w:rPr>
        <w:t xml:space="preserve"> It</w:t>
      </w:r>
      <w:r w:rsidR="0038575D" w:rsidRPr="00D56B97">
        <w:rPr>
          <w:rFonts w:ascii="Times New Roman" w:hAnsi="Times New Roman" w:cs="Times New Roman"/>
        </w:rPr>
        <w:t xml:space="preserve"> also allows the court to make interim orders</w:t>
      </w:r>
      <w:r w:rsidR="00E14964" w:rsidRPr="00D56B97">
        <w:rPr>
          <w:rFonts w:ascii="Times New Roman" w:hAnsi="Times New Roman" w:cs="Times New Roman"/>
        </w:rPr>
        <w:t xml:space="preserve"> in someone’s best interests where</w:t>
      </w:r>
      <w:r w:rsidR="005537AB" w:rsidRPr="00D56B97">
        <w:rPr>
          <w:rFonts w:ascii="Times New Roman" w:hAnsi="Times New Roman" w:cs="Times New Roman"/>
        </w:rPr>
        <w:t xml:space="preserve"> there is ‘reason to believe’</w:t>
      </w:r>
      <w:r w:rsidR="00E14964" w:rsidRPr="00D56B97">
        <w:rPr>
          <w:rFonts w:ascii="Times New Roman" w:hAnsi="Times New Roman" w:cs="Times New Roman"/>
        </w:rPr>
        <w:t xml:space="preserve"> that they lack</w:t>
      </w:r>
      <w:r w:rsidR="005537AB" w:rsidRPr="00D56B97">
        <w:rPr>
          <w:rFonts w:ascii="Times New Roman" w:hAnsi="Times New Roman" w:cs="Times New Roman"/>
        </w:rPr>
        <w:t xml:space="preserve"> capacity</w:t>
      </w:r>
      <w:r w:rsidR="00221BC0" w:rsidRPr="00D56B97">
        <w:rPr>
          <w:rFonts w:ascii="Times New Roman" w:hAnsi="Times New Roman" w:cs="Times New Roman"/>
        </w:rPr>
        <w:t xml:space="preserve"> in relation to a matter</w:t>
      </w:r>
      <w:r w:rsidR="00E14964" w:rsidRPr="00D56B97">
        <w:rPr>
          <w:rFonts w:ascii="Times New Roman" w:hAnsi="Times New Roman" w:cs="Times New Roman"/>
        </w:rPr>
        <w:t>.</w:t>
      </w:r>
      <w:r w:rsidR="005537AB" w:rsidRPr="00D56B97">
        <w:rPr>
          <w:rStyle w:val="FootnoteReference"/>
          <w:rFonts w:ascii="Times New Roman" w:hAnsi="Times New Roman" w:cs="Times New Roman"/>
        </w:rPr>
        <w:footnoteReference w:id="40"/>
      </w:r>
      <w:r w:rsidR="005537AB" w:rsidRPr="00D56B97">
        <w:rPr>
          <w:rFonts w:ascii="Times New Roman" w:hAnsi="Times New Roman" w:cs="Times New Roman"/>
        </w:rPr>
        <w:t xml:space="preserve"> </w:t>
      </w:r>
      <w:r w:rsidR="002A7225" w:rsidRPr="00D56B97">
        <w:rPr>
          <w:rFonts w:ascii="Times New Roman" w:hAnsi="Times New Roman" w:cs="Times New Roman"/>
        </w:rPr>
        <w:t>In contrast, the Act</w:t>
      </w:r>
      <w:r w:rsidR="007B54F7" w:rsidRPr="00D56B97">
        <w:rPr>
          <w:rFonts w:ascii="Times New Roman" w:hAnsi="Times New Roman" w:cs="Times New Roman"/>
        </w:rPr>
        <w:t xml:space="preserve"> </w:t>
      </w:r>
      <w:r w:rsidR="00E14964" w:rsidRPr="00D56B97">
        <w:rPr>
          <w:rFonts w:ascii="Times New Roman" w:hAnsi="Times New Roman" w:cs="Times New Roman"/>
        </w:rPr>
        <w:t xml:space="preserve">creates no </w:t>
      </w:r>
      <w:r w:rsidR="009C6C3D" w:rsidRPr="00D56B97">
        <w:rPr>
          <w:rFonts w:ascii="Times New Roman" w:hAnsi="Times New Roman" w:cs="Times New Roman"/>
        </w:rPr>
        <w:t>powers at all to make decisions for those with capacity</w:t>
      </w:r>
      <w:r w:rsidR="001D69B4" w:rsidRPr="00D56B97">
        <w:rPr>
          <w:rFonts w:ascii="Times New Roman" w:hAnsi="Times New Roman" w:cs="Times New Roman"/>
        </w:rPr>
        <w:t>.</w:t>
      </w:r>
      <w:r w:rsidR="009C6C3D" w:rsidRPr="00D56B97">
        <w:rPr>
          <w:rFonts w:ascii="Times New Roman" w:hAnsi="Times New Roman" w:cs="Times New Roman"/>
        </w:rPr>
        <w:t xml:space="preserve"> </w:t>
      </w:r>
      <w:r w:rsidR="001D69B4" w:rsidRPr="00D56B97">
        <w:rPr>
          <w:rFonts w:ascii="Times New Roman" w:hAnsi="Times New Roman" w:cs="Times New Roman"/>
        </w:rPr>
        <w:t>T</w:t>
      </w:r>
      <w:r w:rsidR="009C6C3D" w:rsidRPr="00D56B97">
        <w:rPr>
          <w:rFonts w:ascii="Times New Roman" w:hAnsi="Times New Roman" w:cs="Times New Roman"/>
        </w:rPr>
        <w:t>his</w:t>
      </w:r>
      <w:r w:rsidR="0065199F" w:rsidRPr="00D56B97">
        <w:rPr>
          <w:rFonts w:ascii="Times New Roman" w:hAnsi="Times New Roman" w:cs="Times New Roman"/>
        </w:rPr>
        <w:t xml:space="preserve"> </w:t>
      </w:r>
      <w:r w:rsidR="009A6F2A" w:rsidRPr="00D56B97">
        <w:rPr>
          <w:rFonts w:ascii="Times New Roman" w:hAnsi="Times New Roman" w:cs="Times New Roman"/>
        </w:rPr>
        <w:t>contrast lend</w:t>
      </w:r>
      <w:r w:rsidR="00A01D71" w:rsidRPr="00D56B97">
        <w:rPr>
          <w:rFonts w:ascii="Times New Roman" w:hAnsi="Times New Roman" w:cs="Times New Roman"/>
        </w:rPr>
        <w:t>s</w:t>
      </w:r>
      <w:r w:rsidR="0065199F" w:rsidRPr="00D56B97">
        <w:rPr>
          <w:rFonts w:ascii="Times New Roman" w:hAnsi="Times New Roman" w:cs="Times New Roman"/>
        </w:rPr>
        <w:t xml:space="preserve"> the gatekeeper account</w:t>
      </w:r>
      <w:r w:rsidR="009C6C3D" w:rsidRPr="00D56B97">
        <w:rPr>
          <w:rFonts w:ascii="Times New Roman" w:hAnsi="Times New Roman" w:cs="Times New Roman"/>
        </w:rPr>
        <w:t xml:space="preserve"> a certain </w:t>
      </w:r>
      <w:r w:rsidR="0065199F" w:rsidRPr="00D56B97">
        <w:rPr>
          <w:rFonts w:ascii="Times New Roman" w:hAnsi="Times New Roman" w:cs="Times New Roman"/>
        </w:rPr>
        <w:t>plausibility.</w:t>
      </w:r>
    </w:p>
    <w:p w14:paraId="7493C877" w14:textId="77777777" w:rsidR="00314A95" w:rsidRPr="00D56B97" w:rsidRDefault="00057A90" w:rsidP="00CA462F">
      <w:pPr>
        <w:spacing w:line="480" w:lineRule="auto"/>
        <w:ind w:firstLine="720"/>
        <w:jc w:val="both"/>
        <w:rPr>
          <w:rFonts w:ascii="Times New Roman" w:hAnsi="Times New Roman" w:cs="Times New Roman"/>
        </w:rPr>
      </w:pPr>
      <w:r w:rsidRPr="00D56B97">
        <w:rPr>
          <w:rFonts w:ascii="Times New Roman" w:hAnsi="Times New Roman" w:cs="Times New Roman"/>
        </w:rPr>
        <w:t>This</w:t>
      </w:r>
      <w:r w:rsidR="00E87848" w:rsidRPr="00D56B97">
        <w:rPr>
          <w:rFonts w:ascii="Times New Roman" w:hAnsi="Times New Roman" w:cs="Times New Roman"/>
        </w:rPr>
        <w:t xml:space="preserve"> plausibilit</w:t>
      </w:r>
      <w:r w:rsidRPr="00D56B97">
        <w:rPr>
          <w:rFonts w:ascii="Times New Roman" w:hAnsi="Times New Roman" w:cs="Times New Roman"/>
        </w:rPr>
        <w:t>y makes it un</w:t>
      </w:r>
      <w:r w:rsidR="00403B82" w:rsidRPr="00D56B97">
        <w:rPr>
          <w:rFonts w:ascii="Times New Roman" w:hAnsi="Times New Roman" w:cs="Times New Roman"/>
        </w:rPr>
        <w:t>surprising that judges</w:t>
      </w:r>
      <w:r w:rsidRPr="00D56B97">
        <w:rPr>
          <w:rFonts w:ascii="Times New Roman" w:hAnsi="Times New Roman" w:cs="Times New Roman"/>
        </w:rPr>
        <w:t xml:space="preserve"> still</w:t>
      </w:r>
      <w:r w:rsidR="00E87848" w:rsidRPr="00D56B97">
        <w:rPr>
          <w:rFonts w:ascii="Times New Roman" w:hAnsi="Times New Roman" w:cs="Times New Roman"/>
        </w:rPr>
        <w:t xml:space="preserve"> sometimes</w:t>
      </w:r>
      <w:r w:rsidR="00995DFA" w:rsidRPr="00D56B97">
        <w:rPr>
          <w:rFonts w:ascii="Times New Roman" w:hAnsi="Times New Roman" w:cs="Times New Roman"/>
        </w:rPr>
        <w:t xml:space="preserve"> </w:t>
      </w:r>
      <w:r w:rsidR="009D32D1" w:rsidRPr="00D56B97">
        <w:rPr>
          <w:rFonts w:ascii="Times New Roman" w:hAnsi="Times New Roman" w:cs="Times New Roman"/>
        </w:rPr>
        <w:t>give</w:t>
      </w:r>
      <w:r w:rsidR="00E87848" w:rsidRPr="00D56B97">
        <w:rPr>
          <w:rFonts w:ascii="Times New Roman" w:hAnsi="Times New Roman" w:cs="Times New Roman"/>
        </w:rPr>
        <w:t xml:space="preserve"> the gat</w:t>
      </w:r>
      <w:r w:rsidR="00A143C5" w:rsidRPr="00D56B97">
        <w:rPr>
          <w:rFonts w:ascii="Times New Roman" w:hAnsi="Times New Roman" w:cs="Times New Roman"/>
        </w:rPr>
        <w:t>ekeeper account</w:t>
      </w:r>
      <w:r w:rsidR="009D32D1" w:rsidRPr="00D56B97">
        <w:rPr>
          <w:rFonts w:ascii="Times New Roman" w:hAnsi="Times New Roman" w:cs="Times New Roman"/>
        </w:rPr>
        <w:t xml:space="preserve"> when making decisions under the Act</w:t>
      </w:r>
      <w:r w:rsidR="00A143C5" w:rsidRPr="00D56B97">
        <w:rPr>
          <w:rFonts w:ascii="Times New Roman" w:hAnsi="Times New Roman" w:cs="Times New Roman"/>
        </w:rPr>
        <w:t xml:space="preserve">. </w:t>
      </w:r>
      <w:r w:rsidR="009D32D1" w:rsidRPr="00D56B97">
        <w:rPr>
          <w:rFonts w:ascii="Times New Roman" w:hAnsi="Times New Roman" w:cs="Times New Roman"/>
        </w:rPr>
        <w:t>T</w:t>
      </w:r>
      <w:r w:rsidR="00A143C5" w:rsidRPr="00D56B97">
        <w:rPr>
          <w:rFonts w:ascii="Times New Roman" w:hAnsi="Times New Roman" w:cs="Times New Roman"/>
        </w:rPr>
        <w:t>he account can be split into</w:t>
      </w:r>
      <w:r w:rsidR="00E87848" w:rsidRPr="00D56B97">
        <w:rPr>
          <w:rFonts w:ascii="Times New Roman" w:hAnsi="Times New Roman" w:cs="Times New Roman"/>
        </w:rPr>
        <w:t xml:space="preserve"> two </w:t>
      </w:r>
      <w:r w:rsidR="00A143C5" w:rsidRPr="00D56B97">
        <w:rPr>
          <w:rFonts w:ascii="Times New Roman" w:hAnsi="Times New Roman" w:cs="Times New Roman"/>
        </w:rPr>
        <w:t>limbs</w:t>
      </w:r>
      <w:r w:rsidRPr="00D56B97">
        <w:rPr>
          <w:rFonts w:ascii="Times New Roman" w:hAnsi="Times New Roman" w:cs="Times New Roman"/>
        </w:rPr>
        <w:t xml:space="preserve">: (a) </w:t>
      </w:r>
      <w:r w:rsidR="00E87848" w:rsidRPr="00D56B97">
        <w:rPr>
          <w:rFonts w:ascii="Times New Roman" w:hAnsi="Times New Roman" w:cs="Times New Roman"/>
        </w:rPr>
        <w:t xml:space="preserve">the idea that those with capacity in regard </w:t>
      </w:r>
      <w:r w:rsidRPr="00D56B97">
        <w:rPr>
          <w:rFonts w:ascii="Times New Roman" w:hAnsi="Times New Roman" w:cs="Times New Roman"/>
        </w:rPr>
        <w:t xml:space="preserve">to a particular decision are </w:t>
      </w:r>
      <w:r w:rsidR="00E87848" w:rsidRPr="00D56B97">
        <w:rPr>
          <w:rFonts w:ascii="Times New Roman" w:hAnsi="Times New Roman" w:cs="Times New Roman"/>
        </w:rPr>
        <w:t>autonomous</w:t>
      </w:r>
      <w:r w:rsidRPr="00D56B97">
        <w:rPr>
          <w:rFonts w:ascii="Times New Roman" w:hAnsi="Times New Roman" w:cs="Times New Roman"/>
        </w:rPr>
        <w:t>,</w:t>
      </w:r>
      <w:r w:rsidR="00E87848" w:rsidRPr="00D56B97">
        <w:rPr>
          <w:rFonts w:ascii="Times New Roman" w:hAnsi="Times New Roman" w:cs="Times New Roman"/>
        </w:rPr>
        <w:t xml:space="preserve"> </w:t>
      </w:r>
      <w:r w:rsidRPr="00D56B97">
        <w:rPr>
          <w:rFonts w:ascii="Times New Roman" w:hAnsi="Times New Roman" w:cs="Times New Roman"/>
        </w:rPr>
        <w:t>so</w:t>
      </w:r>
      <w:r w:rsidR="00590282" w:rsidRPr="00D56B97">
        <w:rPr>
          <w:rFonts w:ascii="Times New Roman" w:hAnsi="Times New Roman" w:cs="Times New Roman"/>
        </w:rPr>
        <w:t xml:space="preserve"> the state</w:t>
      </w:r>
      <w:r w:rsidR="00E87848" w:rsidRPr="00D56B97">
        <w:rPr>
          <w:rFonts w:ascii="Times New Roman" w:hAnsi="Times New Roman" w:cs="Times New Roman"/>
        </w:rPr>
        <w:t xml:space="preserve"> should not interfere </w:t>
      </w:r>
      <w:r w:rsidR="007878F3" w:rsidRPr="00D56B97">
        <w:rPr>
          <w:rFonts w:ascii="Times New Roman" w:hAnsi="Times New Roman" w:cs="Times New Roman"/>
        </w:rPr>
        <w:t xml:space="preserve">with </w:t>
      </w:r>
      <w:r w:rsidR="00E87848" w:rsidRPr="00D56B97">
        <w:rPr>
          <w:rFonts w:ascii="Times New Roman" w:hAnsi="Times New Roman" w:cs="Times New Roman"/>
        </w:rPr>
        <w:t xml:space="preserve">what they decide; and </w:t>
      </w:r>
      <w:r w:rsidRPr="00D56B97">
        <w:rPr>
          <w:rFonts w:ascii="Times New Roman" w:hAnsi="Times New Roman" w:cs="Times New Roman"/>
        </w:rPr>
        <w:t xml:space="preserve">(b) </w:t>
      </w:r>
      <w:r w:rsidR="00E87848" w:rsidRPr="00D56B97">
        <w:rPr>
          <w:rFonts w:ascii="Times New Roman" w:hAnsi="Times New Roman" w:cs="Times New Roman"/>
        </w:rPr>
        <w:t xml:space="preserve">the idea that those without </w:t>
      </w:r>
      <w:r w:rsidR="00E12741" w:rsidRPr="00D56B97">
        <w:rPr>
          <w:rFonts w:ascii="Times New Roman" w:hAnsi="Times New Roman" w:cs="Times New Roman"/>
        </w:rPr>
        <w:t xml:space="preserve">capacity in regard to a particular decision </w:t>
      </w:r>
      <w:r w:rsidRPr="00D56B97">
        <w:rPr>
          <w:rFonts w:ascii="Times New Roman" w:hAnsi="Times New Roman" w:cs="Times New Roman"/>
        </w:rPr>
        <w:t>are not autonomous, so this restraint is not appropriate</w:t>
      </w:r>
      <w:r w:rsidR="00C2755C" w:rsidRPr="00D56B97">
        <w:rPr>
          <w:rFonts w:ascii="Times New Roman" w:hAnsi="Times New Roman" w:cs="Times New Roman"/>
        </w:rPr>
        <w:t xml:space="preserve">. </w:t>
      </w:r>
      <w:r w:rsidR="00415A53" w:rsidRPr="00D56B97">
        <w:rPr>
          <w:rFonts w:ascii="Times New Roman" w:hAnsi="Times New Roman" w:cs="Times New Roman"/>
        </w:rPr>
        <w:t xml:space="preserve">Sometimes, the court states the whole gatekeeper account. For instance, in </w:t>
      </w:r>
      <w:r w:rsidR="00415A53" w:rsidRPr="00D56B97">
        <w:rPr>
          <w:rFonts w:ascii="Times New Roman" w:hAnsi="Times New Roman" w:cs="Times New Roman"/>
          <w:i/>
        </w:rPr>
        <w:t>Bailey v Warren</w:t>
      </w:r>
      <w:r w:rsidR="00415A53" w:rsidRPr="00D56B97">
        <w:rPr>
          <w:rFonts w:ascii="Times New Roman" w:hAnsi="Times New Roman" w:cs="Times New Roman"/>
        </w:rPr>
        <w:t>, decided betw</w:t>
      </w:r>
      <w:r w:rsidRPr="00D56B97">
        <w:rPr>
          <w:rFonts w:ascii="Times New Roman" w:hAnsi="Times New Roman" w:cs="Times New Roman"/>
        </w:rPr>
        <w:t>een</w:t>
      </w:r>
      <w:r w:rsidR="008E586D" w:rsidRPr="00D56B97">
        <w:rPr>
          <w:rFonts w:ascii="Times New Roman" w:hAnsi="Times New Roman" w:cs="Times New Roman"/>
        </w:rPr>
        <w:t xml:space="preserve"> the MCA</w:t>
      </w:r>
      <w:r w:rsidRPr="00D56B97">
        <w:rPr>
          <w:rFonts w:ascii="Times New Roman" w:hAnsi="Times New Roman" w:cs="Times New Roman"/>
        </w:rPr>
        <w:t xml:space="preserve"> being passed and </w:t>
      </w:r>
      <w:r w:rsidR="00415A53" w:rsidRPr="00D56B97">
        <w:rPr>
          <w:rFonts w:ascii="Times New Roman" w:hAnsi="Times New Roman" w:cs="Times New Roman"/>
        </w:rPr>
        <w:t xml:space="preserve">coming into </w:t>
      </w:r>
      <w:r w:rsidRPr="00D56B97">
        <w:rPr>
          <w:rFonts w:ascii="Times New Roman" w:hAnsi="Times New Roman" w:cs="Times New Roman"/>
        </w:rPr>
        <w:t>force, Lady Justice Arden held</w:t>
      </w:r>
      <w:r w:rsidR="00415A53" w:rsidRPr="00D56B97">
        <w:rPr>
          <w:rFonts w:ascii="Times New Roman" w:hAnsi="Times New Roman" w:cs="Times New Roman"/>
        </w:rPr>
        <w:t xml:space="preserve"> that ‘capacity is an important issue because it determines whether an individual will in law have autonomy over decision-making’.</w:t>
      </w:r>
      <w:r w:rsidR="00415A53" w:rsidRPr="00D56B97">
        <w:rPr>
          <w:rFonts w:ascii="Times New Roman" w:hAnsi="Times New Roman" w:cs="Times New Roman"/>
          <w:vertAlign w:val="superscript"/>
        </w:rPr>
        <w:footnoteReference w:id="41"/>
      </w:r>
      <w:r w:rsidR="00415A53" w:rsidRPr="00D56B97">
        <w:rPr>
          <w:rFonts w:ascii="Times New Roman" w:hAnsi="Times New Roman" w:cs="Times New Roman"/>
        </w:rPr>
        <w:t xml:space="preserve"> </w:t>
      </w:r>
      <w:r w:rsidR="00C728F3" w:rsidRPr="00D56B97">
        <w:rPr>
          <w:rFonts w:ascii="Times New Roman" w:hAnsi="Times New Roman" w:cs="Times New Roman"/>
        </w:rPr>
        <w:t>More often</w:t>
      </w:r>
      <w:r w:rsidR="00415A53" w:rsidRPr="00D56B97">
        <w:rPr>
          <w:rFonts w:ascii="Times New Roman" w:hAnsi="Times New Roman" w:cs="Times New Roman"/>
        </w:rPr>
        <w:t>, however,</w:t>
      </w:r>
      <w:r w:rsidR="00AA2102" w:rsidRPr="00D56B97">
        <w:rPr>
          <w:rFonts w:ascii="Times New Roman" w:hAnsi="Times New Roman" w:cs="Times New Roman"/>
        </w:rPr>
        <w:t xml:space="preserve"> </w:t>
      </w:r>
      <w:r w:rsidR="00E87848" w:rsidRPr="00D56B97">
        <w:rPr>
          <w:rFonts w:ascii="Times New Roman" w:hAnsi="Times New Roman" w:cs="Times New Roman"/>
        </w:rPr>
        <w:t xml:space="preserve">judges will expressly state </w:t>
      </w:r>
      <w:r w:rsidR="00415A53" w:rsidRPr="00D56B97">
        <w:rPr>
          <w:rFonts w:ascii="Times New Roman" w:hAnsi="Times New Roman" w:cs="Times New Roman"/>
        </w:rPr>
        <w:t>only one of the limbs</w:t>
      </w:r>
      <w:r w:rsidR="0066484B" w:rsidRPr="00D56B97">
        <w:rPr>
          <w:rFonts w:ascii="Times New Roman" w:hAnsi="Times New Roman" w:cs="Times New Roman"/>
        </w:rPr>
        <w:t xml:space="preserve">, while </w:t>
      </w:r>
      <w:r w:rsidR="00AA2102" w:rsidRPr="00D56B97">
        <w:rPr>
          <w:rFonts w:ascii="Times New Roman" w:hAnsi="Times New Roman" w:cs="Times New Roman"/>
        </w:rPr>
        <w:t>implying the other.</w:t>
      </w:r>
      <w:r w:rsidR="00A143C5" w:rsidRPr="00D56B97">
        <w:rPr>
          <w:rFonts w:ascii="Times New Roman" w:hAnsi="Times New Roman" w:cs="Times New Roman"/>
        </w:rPr>
        <w:t xml:space="preserve"> For instance,</w:t>
      </w:r>
      <w:r w:rsidR="00AA2102" w:rsidRPr="00D56B97">
        <w:rPr>
          <w:rFonts w:ascii="Times New Roman" w:hAnsi="Times New Roman" w:cs="Times New Roman"/>
        </w:rPr>
        <w:t xml:space="preserve"> </w:t>
      </w:r>
      <w:r w:rsidR="00A143C5" w:rsidRPr="00D56B97">
        <w:rPr>
          <w:rFonts w:ascii="Times New Roman" w:hAnsi="Times New Roman" w:cs="Times New Roman"/>
        </w:rPr>
        <w:t>i</w:t>
      </w:r>
      <w:r w:rsidR="00AA2102" w:rsidRPr="00D56B97">
        <w:rPr>
          <w:rFonts w:ascii="Times New Roman" w:hAnsi="Times New Roman" w:cs="Times New Roman"/>
        </w:rPr>
        <w:t xml:space="preserve">n </w:t>
      </w:r>
      <w:r w:rsidR="00AA2102" w:rsidRPr="00D56B97">
        <w:rPr>
          <w:rFonts w:ascii="Times New Roman" w:hAnsi="Times New Roman" w:cs="Times New Roman"/>
          <w:i/>
        </w:rPr>
        <w:t xml:space="preserve">PC v </w:t>
      </w:r>
      <w:r w:rsidR="009A615F" w:rsidRPr="00D56B97">
        <w:rPr>
          <w:rFonts w:ascii="Times New Roman" w:hAnsi="Times New Roman" w:cs="Times New Roman"/>
          <w:i/>
        </w:rPr>
        <w:t xml:space="preserve">City of </w:t>
      </w:r>
      <w:r w:rsidR="00AA2102" w:rsidRPr="00D56B97">
        <w:rPr>
          <w:rFonts w:ascii="Times New Roman" w:hAnsi="Times New Roman" w:cs="Times New Roman"/>
          <w:i/>
        </w:rPr>
        <w:t>York</w:t>
      </w:r>
      <w:r w:rsidR="009A615F" w:rsidRPr="00D56B97">
        <w:rPr>
          <w:rFonts w:ascii="Times New Roman" w:hAnsi="Times New Roman" w:cs="Times New Roman"/>
          <w:i/>
        </w:rPr>
        <w:t xml:space="preserve"> Council</w:t>
      </w:r>
      <w:r w:rsidR="00AA2102" w:rsidRPr="00D56B97">
        <w:rPr>
          <w:rFonts w:ascii="Times New Roman" w:hAnsi="Times New Roman" w:cs="Times New Roman"/>
          <w:i/>
        </w:rPr>
        <w:t xml:space="preserve">, </w:t>
      </w:r>
      <w:r w:rsidR="00097002" w:rsidRPr="00D56B97">
        <w:rPr>
          <w:rFonts w:ascii="Times New Roman" w:hAnsi="Times New Roman" w:cs="Times New Roman"/>
        </w:rPr>
        <w:t xml:space="preserve">Lord </w:t>
      </w:r>
      <w:r w:rsidR="00AD3D8D" w:rsidRPr="00D56B97">
        <w:rPr>
          <w:rFonts w:ascii="Times New Roman" w:hAnsi="Times New Roman" w:cs="Times New Roman"/>
        </w:rPr>
        <w:t>Justice McFarlane held that</w:t>
      </w:r>
      <w:r w:rsidR="00AA2102" w:rsidRPr="00D56B97">
        <w:rPr>
          <w:rFonts w:ascii="Times New Roman" w:hAnsi="Times New Roman" w:cs="Times New Roman"/>
        </w:rPr>
        <w:t xml:space="preserve"> </w:t>
      </w:r>
      <w:bookmarkStart w:id="2" w:name="para53"/>
      <w:r w:rsidR="00AA2102" w:rsidRPr="00D56B97">
        <w:rPr>
          <w:rFonts w:ascii="Times New Roman" w:hAnsi="Times New Roman" w:cs="Times New Roman"/>
        </w:rPr>
        <w:t>‘</w:t>
      </w:r>
      <w:bookmarkEnd w:id="2"/>
      <w:r w:rsidR="00AA2102" w:rsidRPr="00D56B97">
        <w:rPr>
          <w:rFonts w:ascii="Times New Roman" w:hAnsi="Times New Roman" w:cs="Times New Roman"/>
        </w:rPr>
        <w:t xml:space="preserve">unless they lack mental capacity to make that judgment, it is against </w:t>
      </w:r>
      <w:r w:rsidR="00AA2102" w:rsidRPr="00D56B97">
        <w:rPr>
          <w:rFonts w:ascii="Times New Roman" w:hAnsi="Times New Roman" w:cs="Times New Roman"/>
          <w:i/>
        </w:rPr>
        <w:t>their</w:t>
      </w:r>
      <w:r w:rsidR="00AA2102" w:rsidRPr="00D56B97">
        <w:rPr>
          <w:rFonts w:ascii="Times New Roman" w:hAnsi="Times New Roman" w:cs="Times New Roman"/>
        </w:rPr>
        <w:t xml:space="preserve"> better judgment</w:t>
      </w:r>
      <w:r w:rsidR="00403B82" w:rsidRPr="00D56B97">
        <w:rPr>
          <w:rFonts w:ascii="Times New Roman" w:hAnsi="Times New Roman" w:cs="Times New Roman"/>
        </w:rPr>
        <w:t xml:space="preserve"> …</w:t>
      </w:r>
      <w:r w:rsidR="00AD3D8D" w:rsidRPr="00D56B97">
        <w:rPr>
          <w:rFonts w:ascii="Times New Roman" w:hAnsi="Times New Roman" w:cs="Times New Roman"/>
        </w:rPr>
        <w:t>t</w:t>
      </w:r>
      <w:r w:rsidR="00AA2102" w:rsidRPr="00D56B97">
        <w:rPr>
          <w:rFonts w:ascii="Times New Roman" w:hAnsi="Times New Roman" w:cs="Times New Roman"/>
        </w:rPr>
        <w:t>he statute respects their autonomy so to decide’.</w:t>
      </w:r>
      <w:r w:rsidR="00AA2102" w:rsidRPr="00D56B97">
        <w:rPr>
          <w:rFonts w:ascii="Times New Roman" w:hAnsi="Times New Roman" w:cs="Times New Roman"/>
          <w:vertAlign w:val="superscript"/>
        </w:rPr>
        <w:footnoteReference w:id="42"/>
      </w:r>
      <w:r w:rsidR="00AA2102" w:rsidRPr="00D56B97">
        <w:rPr>
          <w:rFonts w:ascii="Times New Roman" w:hAnsi="Times New Roman" w:cs="Times New Roman"/>
        </w:rPr>
        <w:t xml:space="preserve"> Here, </w:t>
      </w:r>
      <w:r w:rsidR="00A143C5" w:rsidRPr="00D56B97">
        <w:rPr>
          <w:rFonts w:ascii="Times New Roman" w:hAnsi="Times New Roman" w:cs="Times New Roman"/>
        </w:rPr>
        <w:t xml:space="preserve">the emphasis </w:t>
      </w:r>
      <w:r w:rsidR="00A143C5" w:rsidRPr="00D56B97">
        <w:rPr>
          <w:rFonts w:ascii="Times New Roman" w:hAnsi="Times New Roman" w:cs="Times New Roman"/>
        </w:rPr>
        <w:lastRenderedPageBreak/>
        <w:t>is on</w:t>
      </w:r>
      <w:r w:rsidR="00197EDD" w:rsidRPr="00D56B97">
        <w:rPr>
          <w:rFonts w:ascii="Times New Roman" w:hAnsi="Times New Roman" w:cs="Times New Roman"/>
        </w:rPr>
        <w:t xml:space="preserve"> the</w:t>
      </w:r>
      <w:r w:rsidR="00415A53" w:rsidRPr="00D56B97">
        <w:rPr>
          <w:rFonts w:ascii="Times New Roman" w:hAnsi="Times New Roman" w:cs="Times New Roman"/>
        </w:rPr>
        <w:t xml:space="preserve"> idea that</w:t>
      </w:r>
      <w:r w:rsidR="00A143C5" w:rsidRPr="00D56B97">
        <w:rPr>
          <w:rFonts w:ascii="Times New Roman" w:hAnsi="Times New Roman" w:cs="Times New Roman"/>
        </w:rPr>
        <w:t xml:space="preserve"> a person with capacity</w:t>
      </w:r>
      <w:r w:rsidR="00415A53" w:rsidRPr="00D56B97">
        <w:rPr>
          <w:rFonts w:ascii="Times New Roman" w:hAnsi="Times New Roman" w:cs="Times New Roman"/>
        </w:rPr>
        <w:t xml:space="preserve"> is autonomous</w:t>
      </w:r>
      <w:r w:rsidR="008A5560" w:rsidRPr="00D56B97">
        <w:rPr>
          <w:rFonts w:ascii="Times New Roman" w:hAnsi="Times New Roman" w:cs="Times New Roman"/>
        </w:rPr>
        <w:t xml:space="preserve">. </w:t>
      </w:r>
      <w:r w:rsidR="00A143C5" w:rsidRPr="00D56B97">
        <w:rPr>
          <w:rFonts w:ascii="Times New Roman" w:hAnsi="Times New Roman" w:cs="Times New Roman"/>
        </w:rPr>
        <w:t>Similarly</w:t>
      </w:r>
      <w:r w:rsidR="008A5560" w:rsidRPr="00D56B97">
        <w:rPr>
          <w:rFonts w:ascii="Times New Roman" w:hAnsi="Times New Roman" w:cs="Times New Roman"/>
        </w:rPr>
        <w:t xml:space="preserve">, in </w:t>
      </w:r>
      <w:r w:rsidR="008A5560" w:rsidRPr="00D56B97">
        <w:rPr>
          <w:rFonts w:ascii="Times New Roman" w:hAnsi="Times New Roman" w:cs="Times New Roman"/>
          <w:i/>
        </w:rPr>
        <w:t>Nottinghamshire Healthcare NHS Trust v RC,</w:t>
      </w:r>
      <w:r w:rsidR="008A5560" w:rsidRPr="00D56B97">
        <w:rPr>
          <w:rFonts w:ascii="Times New Roman" w:hAnsi="Times New Roman" w:cs="Times New Roman"/>
        </w:rPr>
        <w:t xml:space="preserve"> </w:t>
      </w:r>
      <w:r w:rsidR="00403B82" w:rsidRPr="00D56B97">
        <w:rPr>
          <w:rFonts w:ascii="Times New Roman" w:hAnsi="Times New Roman" w:cs="Times New Roman"/>
        </w:rPr>
        <w:t xml:space="preserve">Mr Justice </w:t>
      </w:r>
      <w:r w:rsidR="008A5560" w:rsidRPr="00D56B97">
        <w:rPr>
          <w:rFonts w:ascii="Times New Roman" w:hAnsi="Times New Roman" w:cs="Times New Roman"/>
        </w:rPr>
        <w:t xml:space="preserve">Mostyn found that ‘even to think about imposing a blood transfusion’ against the will of a </w:t>
      </w:r>
      <w:r w:rsidR="009A615F" w:rsidRPr="00D56B97">
        <w:rPr>
          <w:rFonts w:ascii="Times New Roman" w:hAnsi="Times New Roman" w:cs="Times New Roman"/>
        </w:rPr>
        <w:t xml:space="preserve">detained </w:t>
      </w:r>
      <w:r w:rsidR="008A5560" w:rsidRPr="00D56B97">
        <w:rPr>
          <w:rFonts w:ascii="Times New Roman" w:hAnsi="Times New Roman" w:cs="Times New Roman"/>
        </w:rPr>
        <w:t xml:space="preserve">patient with capacity, </w:t>
      </w:r>
      <w:r w:rsidR="00A143C5" w:rsidRPr="00D56B97">
        <w:rPr>
          <w:rFonts w:ascii="Times New Roman" w:hAnsi="Times New Roman" w:cs="Times New Roman"/>
        </w:rPr>
        <w:t>despite</w:t>
      </w:r>
      <w:r w:rsidR="00AD3D8D" w:rsidRPr="00D56B97">
        <w:rPr>
          <w:rFonts w:ascii="Times New Roman" w:hAnsi="Times New Roman" w:cs="Times New Roman"/>
        </w:rPr>
        <w:t xml:space="preserve"> a</w:t>
      </w:r>
      <w:r w:rsidR="008A5560" w:rsidRPr="00D56B97">
        <w:rPr>
          <w:rFonts w:ascii="Times New Roman" w:hAnsi="Times New Roman" w:cs="Times New Roman"/>
        </w:rPr>
        <w:t xml:space="preserve"> power</w:t>
      </w:r>
      <w:r w:rsidR="00A143C5" w:rsidRPr="00D56B97">
        <w:rPr>
          <w:rFonts w:ascii="Times New Roman" w:hAnsi="Times New Roman" w:cs="Times New Roman"/>
        </w:rPr>
        <w:t xml:space="preserve"> to do so existing</w:t>
      </w:r>
      <w:r w:rsidR="008A5560" w:rsidRPr="00D56B97">
        <w:rPr>
          <w:rFonts w:ascii="Times New Roman" w:hAnsi="Times New Roman" w:cs="Times New Roman"/>
        </w:rPr>
        <w:t xml:space="preserve"> under section 63 of the Mental Health Act</w:t>
      </w:r>
      <w:r w:rsidR="009A615F" w:rsidRPr="00D56B97">
        <w:rPr>
          <w:rFonts w:ascii="Times New Roman" w:hAnsi="Times New Roman" w:cs="Times New Roman"/>
        </w:rPr>
        <w:t xml:space="preserve"> 1983</w:t>
      </w:r>
      <w:r w:rsidR="008A5560" w:rsidRPr="00D56B97">
        <w:rPr>
          <w:rFonts w:ascii="Times New Roman" w:hAnsi="Times New Roman" w:cs="Times New Roman"/>
        </w:rPr>
        <w:t>, would be ‘an abuse of power</w:t>
      </w:r>
      <w:r w:rsidR="00C80415" w:rsidRPr="00D56B97">
        <w:rPr>
          <w:rFonts w:ascii="Times New Roman" w:hAnsi="Times New Roman" w:cs="Times New Roman"/>
        </w:rPr>
        <w:t>’</w:t>
      </w:r>
      <w:r w:rsidR="008A5560" w:rsidRPr="00D56B97">
        <w:rPr>
          <w:rFonts w:ascii="Times New Roman" w:hAnsi="Times New Roman" w:cs="Times New Roman"/>
        </w:rPr>
        <w:t>.</w:t>
      </w:r>
      <w:r w:rsidR="008A5560" w:rsidRPr="00D56B97">
        <w:rPr>
          <w:rStyle w:val="FootnoteReference"/>
          <w:rFonts w:ascii="Times New Roman" w:hAnsi="Times New Roman" w:cs="Times New Roman"/>
        </w:rPr>
        <w:footnoteReference w:id="43"/>
      </w:r>
      <w:r w:rsidR="005336FB" w:rsidRPr="00D56B97">
        <w:rPr>
          <w:rFonts w:ascii="Times New Roman" w:hAnsi="Times New Roman" w:cs="Times New Roman"/>
        </w:rPr>
        <w:t xml:space="preserve"> Although the word ‘autonomy’ does not appear in </w:t>
      </w:r>
      <w:r w:rsidR="00491AE7" w:rsidRPr="00D56B97">
        <w:rPr>
          <w:rFonts w:ascii="Times New Roman" w:hAnsi="Times New Roman" w:cs="Times New Roman"/>
          <w:i/>
        </w:rPr>
        <w:t>RC</w:t>
      </w:r>
      <w:r w:rsidR="00A143C5" w:rsidRPr="00D56B97">
        <w:rPr>
          <w:rFonts w:ascii="Times New Roman" w:hAnsi="Times New Roman" w:cs="Times New Roman"/>
        </w:rPr>
        <w:t>, the concept perv</w:t>
      </w:r>
      <w:r w:rsidR="00491AE7" w:rsidRPr="00D56B97">
        <w:rPr>
          <w:rFonts w:ascii="Times New Roman" w:hAnsi="Times New Roman" w:cs="Times New Roman"/>
        </w:rPr>
        <w:t>ades it,</w:t>
      </w:r>
      <w:r w:rsidR="00403B82" w:rsidRPr="00D56B97">
        <w:rPr>
          <w:rFonts w:ascii="Times New Roman" w:hAnsi="Times New Roman" w:cs="Times New Roman"/>
        </w:rPr>
        <w:t xml:space="preserve"> </w:t>
      </w:r>
      <w:r w:rsidR="00AD3D8D" w:rsidRPr="00D56B97">
        <w:rPr>
          <w:rFonts w:ascii="Times New Roman" w:hAnsi="Times New Roman" w:cs="Times New Roman"/>
        </w:rPr>
        <w:t xml:space="preserve">with </w:t>
      </w:r>
      <w:r w:rsidR="00097002" w:rsidRPr="00D56B97">
        <w:rPr>
          <w:rFonts w:ascii="Times New Roman" w:hAnsi="Times New Roman" w:cs="Times New Roman"/>
        </w:rPr>
        <w:t>Mostyn</w:t>
      </w:r>
      <w:r w:rsidR="00403B82" w:rsidRPr="00D56B97">
        <w:rPr>
          <w:rFonts w:ascii="Times New Roman" w:hAnsi="Times New Roman" w:cs="Times New Roman"/>
        </w:rPr>
        <w:t xml:space="preserve"> J</w:t>
      </w:r>
      <w:r w:rsidR="00491AE7" w:rsidRPr="00D56B97">
        <w:rPr>
          <w:rFonts w:ascii="Times New Roman" w:hAnsi="Times New Roman" w:cs="Times New Roman"/>
        </w:rPr>
        <w:t xml:space="preserve"> even quoting</w:t>
      </w:r>
      <w:r w:rsidR="00AE1B0E" w:rsidRPr="00D56B97">
        <w:rPr>
          <w:rFonts w:ascii="Times New Roman" w:hAnsi="Times New Roman" w:cs="Times New Roman"/>
        </w:rPr>
        <w:t xml:space="preserve"> Mill </w:t>
      </w:r>
      <w:r w:rsidR="005336FB" w:rsidRPr="00D56B97">
        <w:rPr>
          <w:rFonts w:ascii="Times New Roman" w:hAnsi="Times New Roman" w:cs="Times New Roman"/>
        </w:rPr>
        <w:t>on the sovereignty of the individual.</w:t>
      </w:r>
      <w:r w:rsidR="005336FB" w:rsidRPr="00D56B97">
        <w:rPr>
          <w:rStyle w:val="FootnoteReference"/>
          <w:rFonts w:ascii="Times New Roman" w:hAnsi="Times New Roman" w:cs="Times New Roman"/>
        </w:rPr>
        <w:footnoteReference w:id="44"/>
      </w:r>
      <w:r w:rsidR="005336FB" w:rsidRPr="00D56B97">
        <w:rPr>
          <w:rFonts w:ascii="Times New Roman" w:hAnsi="Times New Roman" w:cs="Times New Roman"/>
        </w:rPr>
        <w:t xml:space="preserve"> </w:t>
      </w:r>
      <w:r w:rsidR="0063695F" w:rsidRPr="00D56B97">
        <w:rPr>
          <w:rFonts w:ascii="Times New Roman" w:hAnsi="Times New Roman" w:cs="Times New Roman"/>
        </w:rPr>
        <w:t xml:space="preserve">These </w:t>
      </w:r>
      <w:r w:rsidR="00415A53" w:rsidRPr="00D56B97">
        <w:rPr>
          <w:rFonts w:ascii="Times New Roman" w:hAnsi="Times New Roman" w:cs="Times New Roman"/>
        </w:rPr>
        <w:t>cases</w:t>
      </w:r>
      <w:r w:rsidR="005336FB" w:rsidRPr="00D56B97">
        <w:rPr>
          <w:rFonts w:ascii="Times New Roman" w:hAnsi="Times New Roman" w:cs="Times New Roman"/>
        </w:rPr>
        <w:t xml:space="preserve"> </w:t>
      </w:r>
      <w:r w:rsidR="002D6851" w:rsidRPr="00D56B97">
        <w:rPr>
          <w:rFonts w:ascii="Times New Roman" w:hAnsi="Times New Roman" w:cs="Times New Roman"/>
        </w:rPr>
        <w:t>emphasise</w:t>
      </w:r>
      <w:r w:rsidR="00921B10" w:rsidRPr="00D56B97">
        <w:rPr>
          <w:rFonts w:ascii="Times New Roman" w:hAnsi="Times New Roman" w:cs="Times New Roman"/>
        </w:rPr>
        <w:t xml:space="preserve"> the autonomy of</w:t>
      </w:r>
      <w:r w:rsidR="002D6851" w:rsidRPr="00D56B97">
        <w:rPr>
          <w:rFonts w:ascii="Times New Roman" w:hAnsi="Times New Roman" w:cs="Times New Roman"/>
        </w:rPr>
        <w:t xml:space="preserve"> those with capa</w:t>
      </w:r>
      <w:r w:rsidR="00AD3D8D" w:rsidRPr="00D56B97">
        <w:rPr>
          <w:rFonts w:ascii="Times New Roman" w:hAnsi="Times New Roman" w:cs="Times New Roman"/>
        </w:rPr>
        <w:t>city, but</w:t>
      </w:r>
      <w:r w:rsidR="002D6851" w:rsidRPr="00D56B97">
        <w:rPr>
          <w:rFonts w:ascii="Times New Roman" w:hAnsi="Times New Roman" w:cs="Times New Roman"/>
        </w:rPr>
        <w:t xml:space="preserve"> other</w:t>
      </w:r>
      <w:r w:rsidR="0063695F" w:rsidRPr="00D56B97">
        <w:rPr>
          <w:rFonts w:ascii="Times New Roman" w:hAnsi="Times New Roman" w:cs="Times New Roman"/>
        </w:rPr>
        <w:t>s</w:t>
      </w:r>
      <w:r w:rsidR="00415A53" w:rsidRPr="00D56B97">
        <w:rPr>
          <w:rFonts w:ascii="Times New Roman" w:hAnsi="Times New Roman" w:cs="Times New Roman"/>
        </w:rPr>
        <w:t xml:space="preserve"> </w:t>
      </w:r>
      <w:r w:rsidR="00C80415" w:rsidRPr="00D56B97">
        <w:rPr>
          <w:rFonts w:ascii="Times New Roman" w:hAnsi="Times New Roman" w:cs="Times New Roman"/>
        </w:rPr>
        <w:t>emphasise</w:t>
      </w:r>
      <w:r w:rsidR="00921B10" w:rsidRPr="00D56B97">
        <w:rPr>
          <w:rFonts w:ascii="Times New Roman" w:hAnsi="Times New Roman" w:cs="Times New Roman"/>
        </w:rPr>
        <w:t xml:space="preserve"> the lack of autonomy of those without capacity</w:t>
      </w:r>
      <w:r w:rsidR="005336FB" w:rsidRPr="00D56B97">
        <w:rPr>
          <w:rFonts w:ascii="Times New Roman" w:hAnsi="Times New Roman" w:cs="Times New Roman"/>
        </w:rPr>
        <w:t xml:space="preserve">. For instance, in </w:t>
      </w:r>
      <w:r w:rsidR="00AA2102" w:rsidRPr="00D56B97">
        <w:rPr>
          <w:rFonts w:ascii="Times New Roman" w:hAnsi="Times New Roman" w:cs="Times New Roman"/>
          <w:i/>
        </w:rPr>
        <w:t>Independent News and Media v A</w:t>
      </w:r>
      <w:r w:rsidR="005336FB" w:rsidRPr="00D56B97">
        <w:rPr>
          <w:rFonts w:ascii="Times New Roman" w:hAnsi="Times New Roman" w:cs="Times New Roman"/>
          <w:i/>
        </w:rPr>
        <w:t>,</w:t>
      </w:r>
      <w:r w:rsidR="00D76E37" w:rsidRPr="00D56B97">
        <w:rPr>
          <w:rFonts w:ascii="Times New Roman" w:hAnsi="Times New Roman" w:cs="Times New Roman"/>
        </w:rPr>
        <w:t xml:space="preserve"> </w:t>
      </w:r>
      <w:r w:rsidR="00921B10" w:rsidRPr="00D56B97">
        <w:rPr>
          <w:rFonts w:ascii="Times New Roman" w:hAnsi="Times New Roman" w:cs="Times New Roman"/>
        </w:rPr>
        <w:t xml:space="preserve">the </w:t>
      </w:r>
      <w:r w:rsidR="005336FB" w:rsidRPr="00D56B97">
        <w:rPr>
          <w:rFonts w:ascii="Times New Roman" w:hAnsi="Times New Roman" w:cs="Times New Roman"/>
        </w:rPr>
        <w:t xml:space="preserve">Lord </w:t>
      </w:r>
      <w:r w:rsidR="00921B10" w:rsidRPr="00D56B97">
        <w:rPr>
          <w:rFonts w:ascii="Times New Roman" w:hAnsi="Times New Roman" w:cs="Times New Roman"/>
        </w:rPr>
        <w:t xml:space="preserve">Chief Justice </w:t>
      </w:r>
      <w:r w:rsidR="009A615F" w:rsidRPr="00D56B97">
        <w:rPr>
          <w:rFonts w:ascii="Times New Roman" w:hAnsi="Times New Roman" w:cs="Times New Roman"/>
        </w:rPr>
        <w:t>held</w:t>
      </w:r>
      <w:r w:rsidR="005336FB" w:rsidRPr="00D56B97">
        <w:rPr>
          <w:rFonts w:ascii="Times New Roman" w:hAnsi="Times New Roman" w:cs="Times New Roman"/>
        </w:rPr>
        <w:t xml:space="preserve"> that </w:t>
      </w:r>
      <w:r w:rsidR="00D76E37" w:rsidRPr="00D56B97">
        <w:rPr>
          <w:rFonts w:ascii="Times New Roman" w:hAnsi="Times New Roman" w:cs="Times New Roman"/>
        </w:rPr>
        <w:t>‘t</w:t>
      </w:r>
      <w:r w:rsidR="00FF5B5D" w:rsidRPr="00D56B97">
        <w:rPr>
          <w:rFonts w:ascii="Times New Roman" w:hAnsi="Times New Roman" w:cs="Times New Roman"/>
        </w:rPr>
        <w:t>he responsibility of the Court of Protection arises just because the reduced capacity of the individual requires interference with his or her personal autonomy’</w:t>
      </w:r>
      <w:r w:rsidR="000839ED" w:rsidRPr="00D56B97">
        <w:rPr>
          <w:rFonts w:ascii="Times New Roman" w:hAnsi="Times New Roman" w:cs="Times New Roman"/>
        </w:rPr>
        <w:t>.</w:t>
      </w:r>
      <w:r w:rsidR="00FF5B5D" w:rsidRPr="00D56B97">
        <w:rPr>
          <w:rFonts w:ascii="Times New Roman" w:hAnsi="Times New Roman" w:cs="Times New Roman"/>
          <w:vertAlign w:val="superscript"/>
        </w:rPr>
        <w:footnoteReference w:id="45"/>
      </w:r>
      <w:r w:rsidR="00D76E37" w:rsidRPr="00D56B97">
        <w:rPr>
          <w:rFonts w:ascii="Times New Roman" w:hAnsi="Times New Roman" w:cs="Times New Roman"/>
        </w:rPr>
        <w:t xml:space="preserve"> </w:t>
      </w:r>
      <w:r w:rsidR="00547063" w:rsidRPr="00D56B97">
        <w:rPr>
          <w:rFonts w:ascii="Times New Roman" w:hAnsi="Times New Roman" w:cs="Times New Roman"/>
        </w:rPr>
        <w:t>This is a</w:t>
      </w:r>
      <w:r w:rsidR="009D32D1" w:rsidRPr="00D56B97">
        <w:rPr>
          <w:rFonts w:ascii="Times New Roman" w:hAnsi="Times New Roman" w:cs="Times New Roman"/>
        </w:rPr>
        <w:t xml:space="preserve"> </w:t>
      </w:r>
      <w:r w:rsidR="00547063" w:rsidRPr="00D56B97">
        <w:rPr>
          <w:rFonts w:ascii="Times New Roman" w:hAnsi="Times New Roman" w:cs="Times New Roman"/>
        </w:rPr>
        <w:t>subtle</w:t>
      </w:r>
      <w:r w:rsidR="009D32D1" w:rsidRPr="00D56B97">
        <w:rPr>
          <w:rFonts w:ascii="Times New Roman" w:hAnsi="Times New Roman" w:cs="Times New Roman"/>
        </w:rPr>
        <w:t xml:space="preserve"> sentence. It acknowledges that those without capacity may have some capability </w:t>
      </w:r>
      <w:r w:rsidR="00547063" w:rsidRPr="00D56B97">
        <w:rPr>
          <w:rFonts w:ascii="Times New Roman" w:hAnsi="Times New Roman" w:cs="Times New Roman"/>
        </w:rPr>
        <w:t>for self-government, while</w:t>
      </w:r>
      <w:r w:rsidR="00B91DE5" w:rsidRPr="00D56B97">
        <w:rPr>
          <w:rFonts w:ascii="Times New Roman" w:hAnsi="Times New Roman" w:cs="Times New Roman"/>
        </w:rPr>
        <w:t xml:space="preserve"> simultaneously</w:t>
      </w:r>
      <w:r w:rsidR="009D32D1" w:rsidRPr="00D56B97">
        <w:rPr>
          <w:rFonts w:ascii="Times New Roman" w:hAnsi="Times New Roman" w:cs="Times New Roman"/>
        </w:rPr>
        <w:t xml:space="preserve"> stat</w:t>
      </w:r>
      <w:r w:rsidR="00547063" w:rsidRPr="00D56B97">
        <w:rPr>
          <w:rFonts w:ascii="Times New Roman" w:hAnsi="Times New Roman" w:cs="Times New Roman"/>
        </w:rPr>
        <w:t>ing</w:t>
      </w:r>
      <w:r w:rsidR="009D32D1" w:rsidRPr="00D56B97">
        <w:rPr>
          <w:rFonts w:ascii="Times New Roman" w:hAnsi="Times New Roman" w:cs="Times New Roman"/>
        </w:rPr>
        <w:t xml:space="preserve"> that </w:t>
      </w:r>
      <w:r w:rsidR="00BD365D" w:rsidRPr="00D56B97">
        <w:rPr>
          <w:rFonts w:ascii="Times New Roman" w:hAnsi="Times New Roman" w:cs="Times New Roman"/>
        </w:rPr>
        <w:t>their</w:t>
      </w:r>
      <w:r w:rsidR="00B91DE5" w:rsidRPr="00D56B97">
        <w:rPr>
          <w:rFonts w:ascii="Times New Roman" w:hAnsi="Times New Roman" w:cs="Times New Roman"/>
        </w:rPr>
        <w:t xml:space="preserve"> lack of capacity is enough for </w:t>
      </w:r>
      <w:r w:rsidR="009D32D1" w:rsidRPr="00D56B97">
        <w:rPr>
          <w:rFonts w:ascii="Times New Roman" w:hAnsi="Times New Roman" w:cs="Times New Roman"/>
        </w:rPr>
        <w:t>appeal</w:t>
      </w:r>
      <w:r w:rsidR="00B91DE5" w:rsidRPr="00D56B97">
        <w:rPr>
          <w:rFonts w:ascii="Times New Roman" w:hAnsi="Times New Roman" w:cs="Times New Roman"/>
        </w:rPr>
        <w:t>s</w:t>
      </w:r>
      <w:r w:rsidR="009D32D1" w:rsidRPr="00D56B97">
        <w:rPr>
          <w:rFonts w:ascii="Times New Roman" w:hAnsi="Times New Roman" w:cs="Times New Roman"/>
        </w:rPr>
        <w:t xml:space="preserve"> to respect for that autonomy </w:t>
      </w:r>
      <w:r w:rsidR="00B91DE5" w:rsidRPr="00D56B97">
        <w:rPr>
          <w:rFonts w:ascii="Times New Roman" w:hAnsi="Times New Roman" w:cs="Times New Roman"/>
        </w:rPr>
        <w:t>to</w:t>
      </w:r>
      <w:r w:rsidR="009D32D1" w:rsidRPr="00D56B97">
        <w:rPr>
          <w:rFonts w:ascii="Times New Roman" w:hAnsi="Times New Roman" w:cs="Times New Roman"/>
        </w:rPr>
        <w:t xml:space="preserve"> fail.</w:t>
      </w:r>
      <w:r w:rsidR="0034289C" w:rsidRPr="00D56B97">
        <w:rPr>
          <w:rFonts w:ascii="Times New Roman" w:hAnsi="Times New Roman" w:cs="Times New Roman"/>
        </w:rPr>
        <w:t xml:space="preserve"> </w:t>
      </w:r>
      <w:r w:rsidR="006452F2" w:rsidRPr="00D56B97">
        <w:rPr>
          <w:rFonts w:ascii="Times New Roman" w:hAnsi="Times New Roman" w:cs="Times New Roman"/>
        </w:rPr>
        <w:t>Similarly, i</w:t>
      </w:r>
      <w:r w:rsidR="00F42C37" w:rsidRPr="00D56B97">
        <w:rPr>
          <w:rFonts w:ascii="Times New Roman" w:hAnsi="Times New Roman" w:cs="Times New Roman"/>
        </w:rPr>
        <w:t xml:space="preserve">n </w:t>
      </w:r>
      <w:r w:rsidR="00F42C37" w:rsidRPr="00D56B97">
        <w:rPr>
          <w:rFonts w:ascii="Times New Roman" w:hAnsi="Times New Roman" w:cs="Times New Roman"/>
          <w:i/>
        </w:rPr>
        <w:t>Re E (Medical Treatment: Anorexia)</w:t>
      </w:r>
      <w:r w:rsidR="00F42C37" w:rsidRPr="00D56B97">
        <w:rPr>
          <w:rFonts w:ascii="Times New Roman" w:hAnsi="Times New Roman" w:cs="Times New Roman"/>
        </w:rPr>
        <w:t xml:space="preserve"> it was found to be in</w:t>
      </w:r>
      <w:r w:rsidR="00565250" w:rsidRPr="00D56B97">
        <w:rPr>
          <w:rFonts w:ascii="Times New Roman" w:hAnsi="Times New Roman" w:cs="Times New Roman"/>
        </w:rPr>
        <w:t xml:space="preserve"> a 32 year old woman’s</w:t>
      </w:r>
      <w:r w:rsidR="00F42C37" w:rsidRPr="00D56B97">
        <w:rPr>
          <w:rFonts w:ascii="Times New Roman" w:hAnsi="Times New Roman" w:cs="Times New Roman"/>
        </w:rPr>
        <w:t xml:space="preserve"> best</w:t>
      </w:r>
      <w:r w:rsidR="00565250" w:rsidRPr="00D56B97">
        <w:rPr>
          <w:rFonts w:ascii="Times New Roman" w:hAnsi="Times New Roman" w:cs="Times New Roman"/>
        </w:rPr>
        <w:t xml:space="preserve"> interests to be fed against her will, </w:t>
      </w:r>
      <w:r w:rsidR="006452F2" w:rsidRPr="00D56B97">
        <w:rPr>
          <w:rFonts w:ascii="Times New Roman" w:hAnsi="Times New Roman" w:cs="Times New Roman"/>
        </w:rPr>
        <w:t>despite this representing</w:t>
      </w:r>
      <w:r w:rsidR="00565250" w:rsidRPr="00D56B97">
        <w:rPr>
          <w:rFonts w:ascii="Times New Roman" w:hAnsi="Times New Roman" w:cs="Times New Roman"/>
        </w:rPr>
        <w:t xml:space="preserve"> ‘a very severe interference with her private life and personal autonomy’.</w:t>
      </w:r>
      <w:r w:rsidR="00565250" w:rsidRPr="00D56B97">
        <w:rPr>
          <w:rStyle w:val="FootnoteReference"/>
          <w:rFonts w:ascii="Times New Roman" w:hAnsi="Times New Roman" w:cs="Times New Roman"/>
        </w:rPr>
        <w:footnoteReference w:id="46"/>
      </w:r>
      <w:r w:rsidR="00565250" w:rsidRPr="00D56B97">
        <w:rPr>
          <w:rFonts w:ascii="Times New Roman" w:hAnsi="Times New Roman" w:cs="Times New Roman"/>
        </w:rPr>
        <w:t xml:space="preserve"> She was ‘fully aware of her situation’,</w:t>
      </w:r>
      <w:r w:rsidR="00565250" w:rsidRPr="00D56B97">
        <w:rPr>
          <w:rStyle w:val="FootnoteReference"/>
          <w:rFonts w:ascii="Times New Roman" w:hAnsi="Times New Roman" w:cs="Times New Roman"/>
        </w:rPr>
        <w:footnoteReference w:id="47"/>
      </w:r>
      <w:r w:rsidR="00565250" w:rsidRPr="00D56B97">
        <w:rPr>
          <w:rFonts w:ascii="Times New Roman" w:hAnsi="Times New Roman" w:cs="Times New Roman"/>
        </w:rPr>
        <w:t xml:space="preserve"> but </w:t>
      </w:r>
      <w:r w:rsidR="00314A95" w:rsidRPr="00D56B97">
        <w:rPr>
          <w:rFonts w:ascii="Times New Roman" w:hAnsi="Times New Roman" w:cs="Times New Roman"/>
        </w:rPr>
        <w:t>because she was</w:t>
      </w:r>
      <w:r w:rsidR="006452F2" w:rsidRPr="00D56B97">
        <w:rPr>
          <w:rFonts w:ascii="Times New Roman" w:hAnsi="Times New Roman" w:cs="Times New Roman"/>
        </w:rPr>
        <w:t xml:space="preserve"> </w:t>
      </w:r>
      <w:r w:rsidR="00565250" w:rsidRPr="00D56B97">
        <w:rPr>
          <w:rFonts w:ascii="Times New Roman" w:hAnsi="Times New Roman" w:cs="Times New Roman"/>
        </w:rPr>
        <w:t xml:space="preserve">found to lack </w:t>
      </w:r>
      <w:r w:rsidR="00234184" w:rsidRPr="00D56B97">
        <w:rPr>
          <w:rFonts w:ascii="Times New Roman" w:hAnsi="Times New Roman" w:cs="Times New Roman"/>
        </w:rPr>
        <w:t>mental</w:t>
      </w:r>
      <w:r w:rsidR="009A615F" w:rsidRPr="00D56B97">
        <w:rPr>
          <w:rFonts w:ascii="Times New Roman" w:hAnsi="Times New Roman" w:cs="Times New Roman"/>
        </w:rPr>
        <w:t xml:space="preserve"> </w:t>
      </w:r>
      <w:r w:rsidR="00565250" w:rsidRPr="00D56B97">
        <w:rPr>
          <w:rFonts w:ascii="Times New Roman" w:hAnsi="Times New Roman" w:cs="Times New Roman"/>
        </w:rPr>
        <w:t>capacity</w:t>
      </w:r>
      <w:r w:rsidR="006452F2" w:rsidRPr="00D56B97">
        <w:rPr>
          <w:rFonts w:ascii="Times New Roman" w:hAnsi="Times New Roman" w:cs="Times New Roman"/>
        </w:rPr>
        <w:t xml:space="preserve">, </w:t>
      </w:r>
      <w:r w:rsidR="007D5B9A" w:rsidRPr="00D56B97">
        <w:rPr>
          <w:rFonts w:ascii="Times New Roman" w:hAnsi="Times New Roman" w:cs="Times New Roman"/>
        </w:rPr>
        <w:t>this did not restrain the court. In both of these cases</w:t>
      </w:r>
      <w:r w:rsidR="00234184" w:rsidRPr="00D56B97">
        <w:rPr>
          <w:rFonts w:ascii="Times New Roman" w:hAnsi="Times New Roman" w:cs="Times New Roman"/>
        </w:rPr>
        <w:t>, it is acknowledged that someone without capacity might have</w:t>
      </w:r>
      <w:r w:rsidR="000031C0" w:rsidRPr="00D56B97">
        <w:rPr>
          <w:rFonts w:ascii="Times New Roman" w:hAnsi="Times New Roman" w:cs="Times New Roman"/>
        </w:rPr>
        <w:t xml:space="preserve"> some </w:t>
      </w:r>
      <w:r w:rsidR="00234184" w:rsidRPr="00D56B97">
        <w:rPr>
          <w:rFonts w:ascii="Times New Roman" w:hAnsi="Times New Roman" w:cs="Times New Roman"/>
        </w:rPr>
        <w:t>ability to be self-determining</w:t>
      </w:r>
      <w:r w:rsidR="000031C0" w:rsidRPr="00D56B97">
        <w:rPr>
          <w:rFonts w:ascii="Times New Roman" w:hAnsi="Times New Roman" w:cs="Times New Roman"/>
        </w:rPr>
        <w:t>.</w:t>
      </w:r>
      <w:r w:rsidR="00234184" w:rsidRPr="00D56B97">
        <w:rPr>
          <w:rFonts w:ascii="Times New Roman" w:hAnsi="Times New Roman" w:cs="Times New Roman"/>
        </w:rPr>
        <w:t xml:space="preserve"> What is denied is that </w:t>
      </w:r>
      <w:r w:rsidR="008E4C2D" w:rsidRPr="00D56B97">
        <w:rPr>
          <w:rFonts w:ascii="Times New Roman" w:hAnsi="Times New Roman" w:cs="Times New Roman"/>
        </w:rPr>
        <w:t>this ability</w:t>
      </w:r>
      <w:r w:rsidR="00CA283B" w:rsidRPr="00D56B97">
        <w:rPr>
          <w:rFonts w:ascii="Times New Roman" w:hAnsi="Times New Roman" w:cs="Times New Roman"/>
        </w:rPr>
        <w:t xml:space="preserve"> is such that respect for it should restrain</w:t>
      </w:r>
      <w:r w:rsidR="00234184" w:rsidRPr="00D56B97">
        <w:rPr>
          <w:rFonts w:ascii="Times New Roman" w:hAnsi="Times New Roman" w:cs="Times New Roman"/>
        </w:rPr>
        <w:t xml:space="preserve"> the state from </w:t>
      </w:r>
      <w:r w:rsidR="0036702A" w:rsidRPr="00D56B97">
        <w:rPr>
          <w:rFonts w:ascii="Times New Roman" w:hAnsi="Times New Roman" w:cs="Times New Roman"/>
        </w:rPr>
        <w:t>acting</w:t>
      </w:r>
      <w:r w:rsidR="00872502" w:rsidRPr="00D56B97">
        <w:rPr>
          <w:rFonts w:ascii="Times New Roman" w:hAnsi="Times New Roman" w:cs="Times New Roman"/>
        </w:rPr>
        <w:t xml:space="preserve"> against their wishes</w:t>
      </w:r>
      <w:r w:rsidR="00234184" w:rsidRPr="00D56B97">
        <w:rPr>
          <w:rFonts w:ascii="Times New Roman" w:hAnsi="Times New Roman" w:cs="Times New Roman"/>
        </w:rPr>
        <w:t>.</w:t>
      </w:r>
    </w:p>
    <w:p w14:paraId="7493C878" w14:textId="77777777" w:rsidR="000F0816" w:rsidRPr="00D56B97" w:rsidRDefault="00556236" w:rsidP="00AC229E">
      <w:pPr>
        <w:spacing w:line="480" w:lineRule="auto"/>
        <w:jc w:val="center"/>
        <w:rPr>
          <w:rFonts w:ascii="Times New Roman" w:hAnsi="Times New Roman" w:cs="Times New Roman"/>
          <w:i/>
        </w:rPr>
      </w:pPr>
      <w:r w:rsidRPr="00D56B97">
        <w:rPr>
          <w:rFonts w:ascii="Times New Roman" w:hAnsi="Times New Roman" w:cs="Times New Roman"/>
          <w:i/>
        </w:rPr>
        <w:t>B. Function of the Gatekeeper A</w:t>
      </w:r>
      <w:r w:rsidR="000F0816" w:rsidRPr="00D56B97">
        <w:rPr>
          <w:rFonts w:ascii="Times New Roman" w:hAnsi="Times New Roman" w:cs="Times New Roman"/>
          <w:i/>
        </w:rPr>
        <w:t>ccount</w:t>
      </w:r>
    </w:p>
    <w:p w14:paraId="7493C879" w14:textId="3FCC7B22" w:rsidR="00B67902" w:rsidRPr="00D56B97" w:rsidRDefault="00245839" w:rsidP="00021A54">
      <w:pPr>
        <w:spacing w:line="480" w:lineRule="auto"/>
        <w:jc w:val="both"/>
        <w:rPr>
          <w:rFonts w:ascii="Times New Roman" w:hAnsi="Times New Roman" w:cs="Times New Roman"/>
        </w:rPr>
      </w:pPr>
      <w:r w:rsidRPr="00D56B97">
        <w:rPr>
          <w:rFonts w:ascii="Times New Roman" w:hAnsi="Times New Roman" w:cs="Times New Roman"/>
        </w:rPr>
        <w:t xml:space="preserve">The gatekeeper account has been influential. </w:t>
      </w:r>
      <w:r w:rsidR="00BD365D" w:rsidRPr="00D56B97">
        <w:rPr>
          <w:rFonts w:ascii="Times New Roman" w:hAnsi="Times New Roman" w:cs="Times New Roman"/>
        </w:rPr>
        <w:t>It appeared</w:t>
      </w:r>
      <w:r w:rsidRPr="00D56B97">
        <w:rPr>
          <w:rFonts w:ascii="Times New Roman" w:hAnsi="Times New Roman" w:cs="Times New Roman"/>
        </w:rPr>
        <w:t xml:space="preserve"> in the appellate decisions that</w:t>
      </w:r>
      <w:r w:rsidR="004E20A0" w:rsidRPr="00D56B97">
        <w:rPr>
          <w:rFonts w:ascii="Times New Roman" w:hAnsi="Times New Roman" w:cs="Times New Roman"/>
        </w:rPr>
        <w:t xml:space="preserve"> laid</w:t>
      </w:r>
      <w:r w:rsidR="00F44C97" w:rsidRPr="00D56B97">
        <w:rPr>
          <w:rFonts w:ascii="Times New Roman" w:hAnsi="Times New Roman" w:cs="Times New Roman"/>
        </w:rPr>
        <w:t xml:space="preserve"> the groundwork for the</w:t>
      </w:r>
      <w:r w:rsidRPr="00D56B97">
        <w:rPr>
          <w:rFonts w:ascii="Times New Roman" w:hAnsi="Times New Roman" w:cs="Times New Roman"/>
        </w:rPr>
        <w:t xml:space="preserve"> MCA, and some</w:t>
      </w:r>
      <w:r w:rsidR="00BD365D" w:rsidRPr="00D56B97">
        <w:rPr>
          <w:rFonts w:ascii="Times New Roman" w:hAnsi="Times New Roman" w:cs="Times New Roman"/>
        </w:rPr>
        <w:t xml:space="preserve"> </w:t>
      </w:r>
      <w:r w:rsidRPr="00D56B97">
        <w:rPr>
          <w:rFonts w:ascii="Times New Roman" w:hAnsi="Times New Roman" w:cs="Times New Roman"/>
        </w:rPr>
        <w:t>recent examples</w:t>
      </w:r>
      <w:r w:rsidR="004E20A0" w:rsidRPr="00D56B97">
        <w:rPr>
          <w:rFonts w:ascii="Times New Roman" w:hAnsi="Times New Roman" w:cs="Times New Roman"/>
        </w:rPr>
        <w:t xml:space="preserve"> also</w:t>
      </w:r>
      <w:r w:rsidRPr="00D56B97">
        <w:rPr>
          <w:rFonts w:ascii="Times New Roman" w:hAnsi="Times New Roman" w:cs="Times New Roman"/>
        </w:rPr>
        <w:t xml:space="preserve"> come from the Court of Appeal. The following sections show that it is, nevertheless,</w:t>
      </w:r>
      <w:r w:rsidR="00BD365D" w:rsidRPr="00D56B97">
        <w:rPr>
          <w:rFonts w:ascii="Times New Roman" w:hAnsi="Times New Roman" w:cs="Times New Roman"/>
        </w:rPr>
        <w:t xml:space="preserve"> only a</w:t>
      </w:r>
      <w:r w:rsidRPr="00D56B97">
        <w:rPr>
          <w:rFonts w:ascii="Times New Roman" w:hAnsi="Times New Roman" w:cs="Times New Roman"/>
        </w:rPr>
        <w:t xml:space="preserve"> partial description of the law. This is not, however, to say that judges in these cases were in error. Rather,</w:t>
      </w:r>
      <w:r w:rsidR="00726062" w:rsidRPr="00D56B97">
        <w:rPr>
          <w:rFonts w:ascii="Times New Roman" w:hAnsi="Times New Roman" w:cs="Times New Roman"/>
        </w:rPr>
        <w:t xml:space="preserve"> the account </w:t>
      </w:r>
      <w:r w:rsidRPr="00D56B97">
        <w:rPr>
          <w:rFonts w:ascii="Times New Roman" w:hAnsi="Times New Roman" w:cs="Times New Roman"/>
        </w:rPr>
        <w:t>served important</w:t>
      </w:r>
      <w:r w:rsidR="00CB6FE8" w:rsidRPr="00D56B97">
        <w:rPr>
          <w:rFonts w:ascii="Times New Roman" w:hAnsi="Times New Roman" w:cs="Times New Roman"/>
        </w:rPr>
        <w:t xml:space="preserve"> rhetorical</w:t>
      </w:r>
      <w:r w:rsidR="00413AC8" w:rsidRPr="00D56B97">
        <w:rPr>
          <w:rFonts w:ascii="Times New Roman" w:hAnsi="Times New Roman" w:cs="Times New Roman"/>
        </w:rPr>
        <w:t xml:space="preserve"> </w:t>
      </w:r>
      <w:r w:rsidR="00413AC8" w:rsidRPr="00D56B97">
        <w:rPr>
          <w:rFonts w:ascii="Times New Roman" w:hAnsi="Times New Roman" w:cs="Times New Roman"/>
        </w:rPr>
        <w:lastRenderedPageBreak/>
        <w:t>purpose</w:t>
      </w:r>
      <w:r w:rsidR="005B426D" w:rsidRPr="00D56B97">
        <w:rPr>
          <w:rFonts w:ascii="Times New Roman" w:hAnsi="Times New Roman" w:cs="Times New Roman"/>
        </w:rPr>
        <w:t>s</w:t>
      </w:r>
      <w:r w:rsidRPr="00D56B97">
        <w:rPr>
          <w:rFonts w:ascii="Times New Roman" w:hAnsi="Times New Roman" w:cs="Times New Roman"/>
        </w:rPr>
        <w:t xml:space="preserve">, and these are worth identifying. </w:t>
      </w:r>
      <w:r w:rsidR="005B426D" w:rsidRPr="00D56B97">
        <w:rPr>
          <w:rFonts w:ascii="Times New Roman" w:hAnsi="Times New Roman" w:cs="Times New Roman"/>
        </w:rPr>
        <w:t>The t</w:t>
      </w:r>
      <w:r w:rsidR="00413AC8" w:rsidRPr="00D56B97">
        <w:rPr>
          <w:rFonts w:ascii="Times New Roman" w:hAnsi="Times New Roman" w:cs="Times New Roman"/>
        </w:rPr>
        <w:t>wo different types of case</w:t>
      </w:r>
      <w:r w:rsidR="002D583A" w:rsidRPr="00D56B97">
        <w:rPr>
          <w:rFonts w:ascii="Times New Roman" w:hAnsi="Times New Roman" w:cs="Times New Roman"/>
        </w:rPr>
        <w:t>, those that emphasise the autonomy of a person with capacity and those that emphasise the lack of autonomy of the person without capacity,</w:t>
      </w:r>
      <w:r w:rsidR="005B426D" w:rsidRPr="00D56B97">
        <w:rPr>
          <w:rFonts w:ascii="Times New Roman" w:hAnsi="Times New Roman" w:cs="Times New Roman"/>
        </w:rPr>
        <w:t xml:space="preserve"> </w:t>
      </w:r>
      <w:r w:rsidR="002D583A" w:rsidRPr="00D56B97">
        <w:rPr>
          <w:rFonts w:ascii="Times New Roman" w:hAnsi="Times New Roman" w:cs="Times New Roman"/>
        </w:rPr>
        <w:t>have</w:t>
      </w:r>
      <w:r w:rsidR="005B426D" w:rsidRPr="00D56B97">
        <w:rPr>
          <w:rFonts w:ascii="Times New Roman" w:hAnsi="Times New Roman" w:cs="Times New Roman"/>
        </w:rPr>
        <w:t xml:space="preserve"> two different purposes</w:t>
      </w:r>
      <w:r w:rsidR="002D583A" w:rsidRPr="00D56B97">
        <w:rPr>
          <w:rFonts w:ascii="Times New Roman" w:hAnsi="Times New Roman" w:cs="Times New Roman"/>
        </w:rPr>
        <w:t>. W</w:t>
      </w:r>
      <w:r w:rsidR="00413AC8" w:rsidRPr="00D56B97">
        <w:rPr>
          <w:rFonts w:ascii="Times New Roman" w:hAnsi="Times New Roman" w:cs="Times New Roman"/>
        </w:rPr>
        <w:t xml:space="preserve">hen </w:t>
      </w:r>
      <w:r w:rsidR="005B426D" w:rsidRPr="00D56B97">
        <w:rPr>
          <w:rFonts w:ascii="Times New Roman" w:hAnsi="Times New Roman" w:cs="Times New Roman"/>
        </w:rPr>
        <w:t xml:space="preserve">someone is </w:t>
      </w:r>
      <w:r w:rsidR="00413AC8" w:rsidRPr="00D56B97">
        <w:rPr>
          <w:rFonts w:ascii="Times New Roman" w:hAnsi="Times New Roman" w:cs="Times New Roman"/>
        </w:rPr>
        <w:t>making an unwise decision,</w:t>
      </w:r>
      <w:r w:rsidR="005B426D" w:rsidRPr="00D56B97">
        <w:rPr>
          <w:rFonts w:ascii="Times New Roman" w:hAnsi="Times New Roman" w:cs="Times New Roman"/>
        </w:rPr>
        <w:t xml:space="preserve"> but </w:t>
      </w:r>
      <w:r w:rsidR="00D62B8D">
        <w:rPr>
          <w:rFonts w:ascii="Times New Roman" w:hAnsi="Times New Roman" w:cs="Times New Roman"/>
        </w:rPr>
        <w:t xml:space="preserve">is </w:t>
      </w:r>
      <w:r w:rsidR="005B426D" w:rsidRPr="00D56B97">
        <w:rPr>
          <w:rFonts w:ascii="Times New Roman" w:hAnsi="Times New Roman" w:cs="Times New Roman"/>
        </w:rPr>
        <w:t>felt to have</w:t>
      </w:r>
      <w:r w:rsidR="00413AC8" w:rsidRPr="00D56B97">
        <w:rPr>
          <w:rFonts w:ascii="Times New Roman" w:hAnsi="Times New Roman" w:cs="Times New Roman"/>
        </w:rPr>
        <w:t xml:space="preserve"> capacity, as in </w:t>
      </w:r>
      <w:r w:rsidR="00413AC8" w:rsidRPr="00D56B97">
        <w:rPr>
          <w:rFonts w:ascii="Times New Roman" w:hAnsi="Times New Roman" w:cs="Times New Roman"/>
          <w:i/>
        </w:rPr>
        <w:t>PC</w:t>
      </w:r>
      <w:r w:rsidR="00413AC8" w:rsidRPr="00D56B97">
        <w:rPr>
          <w:rFonts w:ascii="Times New Roman" w:hAnsi="Times New Roman" w:cs="Times New Roman"/>
        </w:rPr>
        <w:t xml:space="preserve"> and </w:t>
      </w:r>
      <w:r w:rsidR="00413AC8" w:rsidRPr="00D56B97">
        <w:rPr>
          <w:rFonts w:ascii="Times New Roman" w:hAnsi="Times New Roman" w:cs="Times New Roman"/>
          <w:i/>
        </w:rPr>
        <w:t>RC,</w:t>
      </w:r>
      <w:r w:rsidR="00D864FC" w:rsidRPr="00B74D74">
        <w:rPr>
          <w:rStyle w:val="FootnoteReference"/>
          <w:rFonts w:ascii="Times New Roman" w:hAnsi="Times New Roman" w:cs="Times New Roman"/>
        </w:rPr>
        <w:footnoteReference w:id="48"/>
      </w:r>
      <w:r w:rsidR="00413AC8" w:rsidRPr="00D56B97">
        <w:rPr>
          <w:rFonts w:ascii="Times New Roman" w:hAnsi="Times New Roman" w:cs="Times New Roman"/>
          <w:i/>
        </w:rPr>
        <w:t xml:space="preserve"> </w:t>
      </w:r>
      <w:r w:rsidR="00480C26" w:rsidRPr="00D56B97">
        <w:rPr>
          <w:rFonts w:ascii="Times New Roman" w:hAnsi="Times New Roman" w:cs="Times New Roman"/>
        </w:rPr>
        <w:t>th</w:t>
      </w:r>
      <w:r w:rsidR="00B63FA2" w:rsidRPr="00D56B97">
        <w:rPr>
          <w:rFonts w:ascii="Times New Roman" w:hAnsi="Times New Roman" w:cs="Times New Roman"/>
        </w:rPr>
        <w:t>en th</w:t>
      </w:r>
      <w:r w:rsidR="00480C26" w:rsidRPr="00D56B97">
        <w:rPr>
          <w:rFonts w:ascii="Times New Roman" w:hAnsi="Times New Roman" w:cs="Times New Roman"/>
        </w:rPr>
        <w:t>e gatekeeper account affirms that the matter is beyond the court’s jurisdiction and so absolves it</w:t>
      </w:r>
      <w:r w:rsidR="00A454DA" w:rsidRPr="00D56B97">
        <w:rPr>
          <w:rFonts w:ascii="Times New Roman" w:hAnsi="Times New Roman" w:cs="Times New Roman"/>
        </w:rPr>
        <w:t>, and service providers,</w:t>
      </w:r>
      <w:r w:rsidR="00480C26" w:rsidRPr="00D56B97">
        <w:rPr>
          <w:rFonts w:ascii="Times New Roman" w:hAnsi="Times New Roman" w:cs="Times New Roman"/>
        </w:rPr>
        <w:t xml:space="preserve"> of </w:t>
      </w:r>
      <w:r w:rsidR="00316577" w:rsidRPr="00D56B97">
        <w:rPr>
          <w:rFonts w:ascii="Times New Roman" w:hAnsi="Times New Roman" w:cs="Times New Roman"/>
        </w:rPr>
        <w:t xml:space="preserve">any </w:t>
      </w:r>
      <w:r w:rsidR="00480C26" w:rsidRPr="00D56B97">
        <w:rPr>
          <w:rFonts w:ascii="Times New Roman" w:hAnsi="Times New Roman" w:cs="Times New Roman"/>
        </w:rPr>
        <w:t xml:space="preserve">responsibility for the consequences. </w:t>
      </w:r>
      <w:r w:rsidR="00B63BD8" w:rsidRPr="00D56B97">
        <w:rPr>
          <w:rFonts w:ascii="Times New Roman" w:hAnsi="Times New Roman" w:cs="Times New Roman"/>
        </w:rPr>
        <w:t>The ability to</w:t>
      </w:r>
      <w:r w:rsidR="004E20A0" w:rsidRPr="00D56B97">
        <w:rPr>
          <w:rFonts w:ascii="Times New Roman" w:hAnsi="Times New Roman" w:cs="Times New Roman"/>
        </w:rPr>
        <w:t xml:space="preserve"> legally</w:t>
      </w:r>
      <w:r w:rsidR="00B63BD8" w:rsidRPr="00D56B97">
        <w:rPr>
          <w:rFonts w:ascii="Times New Roman" w:hAnsi="Times New Roman" w:cs="Times New Roman"/>
        </w:rPr>
        <w:t xml:space="preserve"> act</w:t>
      </w:r>
      <w:r w:rsidR="004E20A0" w:rsidRPr="00D56B97">
        <w:rPr>
          <w:rFonts w:ascii="Times New Roman" w:hAnsi="Times New Roman" w:cs="Times New Roman"/>
        </w:rPr>
        <w:t xml:space="preserve"> on behalf of the person</w:t>
      </w:r>
      <w:r w:rsidR="00B63BD8" w:rsidRPr="00D56B97">
        <w:rPr>
          <w:rFonts w:ascii="Times New Roman" w:hAnsi="Times New Roman" w:cs="Times New Roman"/>
        </w:rPr>
        <w:t xml:space="preserve"> is treated as</w:t>
      </w:r>
      <w:r w:rsidR="00EB292C" w:rsidRPr="00D56B97">
        <w:rPr>
          <w:rFonts w:ascii="Times New Roman" w:hAnsi="Times New Roman" w:cs="Times New Roman"/>
        </w:rPr>
        <w:t xml:space="preserve"> completely</w:t>
      </w:r>
      <w:r w:rsidR="00B63BD8" w:rsidRPr="00D56B97">
        <w:rPr>
          <w:rFonts w:ascii="Times New Roman" w:hAnsi="Times New Roman" w:cs="Times New Roman"/>
        </w:rPr>
        <w:t xml:space="preserve"> </w:t>
      </w:r>
      <w:r w:rsidR="00EB292C" w:rsidRPr="00D56B97">
        <w:rPr>
          <w:rFonts w:ascii="Times New Roman" w:hAnsi="Times New Roman" w:cs="Times New Roman"/>
        </w:rPr>
        <w:t>limited</w:t>
      </w:r>
      <w:r w:rsidR="00B63BD8" w:rsidRPr="00D56B97">
        <w:rPr>
          <w:rFonts w:ascii="Times New Roman" w:hAnsi="Times New Roman" w:cs="Times New Roman"/>
        </w:rPr>
        <w:t xml:space="preserve"> by the MCA.</w:t>
      </w:r>
      <w:r w:rsidR="00B63BD8" w:rsidRPr="00D56B97">
        <w:rPr>
          <w:rStyle w:val="FootnoteReference"/>
          <w:rFonts w:ascii="Times New Roman" w:hAnsi="Times New Roman" w:cs="Times New Roman"/>
        </w:rPr>
        <w:footnoteReference w:id="49"/>
      </w:r>
      <w:r w:rsidR="00B63BD8" w:rsidRPr="00D56B97">
        <w:rPr>
          <w:rFonts w:ascii="Times New Roman" w:hAnsi="Times New Roman" w:cs="Times New Roman"/>
        </w:rPr>
        <w:t xml:space="preserve"> </w:t>
      </w:r>
      <w:r w:rsidR="00480C26" w:rsidRPr="00D56B97">
        <w:rPr>
          <w:rFonts w:ascii="Times New Roman" w:hAnsi="Times New Roman" w:cs="Times New Roman"/>
        </w:rPr>
        <w:t xml:space="preserve">For instance, in </w:t>
      </w:r>
      <w:r w:rsidR="00480C26" w:rsidRPr="00D56B97">
        <w:rPr>
          <w:rFonts w:ascii="Times New Roman" w:hAnsi="Times New Roman" w:cs="Times New Roman"/>
          <w:i/>
        </w:rPr>
        <w:t>PC</w:t>
      </w:r>
      <w:r w:rsidR="00480C26" w:rsidRPr="00D56B97">
        <w:rPr>
          <w:rFonts w:ascii="Times New Roman" w:hAnsi="Times New Roman" w:cs="Times New Roman"/>
        </w:rPr>
        <w:t>, ‘</w:t>
      </w:r>
      <w:bookmarkStart w:id="3" w:name="para64"/>
      <w:r w:rsidR="002D583A" w:rsidRPr="00D56B97">
        <w:rPr>
          <w:rFonts w:ascii="Times New Roman" w:hAnsi="Times New Roman" w:cs="Times New Roman"/>
        </w:rPr>
        <w:t>w</w:t>
      </w:r>
      <w:r w:rsidR="00480C26" w:rsidRPr="00D56B97">
        <w:rPr>
          <w:rFonts w:ascii="Times New Roman" w:hAnsi="Times New Roman" w:cs="Times New Roman"/>
        </w:rPr>
        <w:t>e must leave PC free to make her own decision, and hope that everything turns out well in the end</w:t>
      </w:r>
      <w:bookmarkEnd w:id="3"/>
      <w:r w:rsidR="00480C26" w:rsidRPr="00D56B97">
        <w:rPr>
          <w:rFonts w:ascii="Times New Roman" w:hAnsi="Times New Roman" w:cs="Times New Roman"/>
        </w:rPr>
        <w:t>’.</w:t>
      </w:r>
      <w:r w:rsidR="00480C26" w:rsidRPr="00D56B97">
        <w:rPr>
          <w:rStyle w:val="FootnoteReference"/>
          <w:rFonts w:ascii="Times New Roman" w:hAnsi="Times New Roman" w:cs="Times New Roman"/>
        </w:rPr>
        <w:footnoteReference w:id="50"/>
      </w:r>
      <w:r w:rsidR="005B426D" w:rsidRPr="00D56B97">
        <w:rPr>
          <w:rFonts w:ascii="Times New Roman" w:hAnsi="Times New Roman" w:cs="Times New Roman"/>
        </w:rPr>
        <w:t xml:space="preserve"> </w:t>
      </w:r>
      <w:r w:rsidR="00316577" w:rsidRPr="00D56B97">
        <w:rPr>
          <w:rFonts w:ascii="Times New Roman" w:hAnsi="Times New Roman" w:cs="Times New Roman"/>
        </w:rPr>
        <w:t>In contrast</w:t>
      </w:r>
      <w:r w:rsidR="005B426D" w:rsidRPr="00D56B97">
        <w:rPr>
          <w:rFonts w:ascii="Times New Roman" w:hAnsi="Times New Roman" w:cs="Times New Roman"/>
        </w:rPr>
        <w:t>, in cases</w:t>
      </w:r>
      <w:r w:rsidR="000A7954" w:rsidRPr="00D56B97">
        <w:rPr>
          <w:rFonts w:ascii="Times New Roman" w:hAnsi="Times New Roman" w:cs="Times New Roman"/>
        </w:rPr>
        <w:t xml:space="preserve"> where</w:t>
      </w:r>
      <w:r w:rsidR="005B426D" w:rsidRPr="00D56B97">
        <w:rPr>
          <w:rFonts w:ascii="Times New Roman" w:hAnsi="Times New Roman" w:cs="Times New Roman"/>
        </w:rPr>
        <w:t xml:space="preserve"> </w:t>
      </w:r>
      <w:r w:rsidR="00480C26" w:rsidRPr="00D56B97">
        <w:rPr>
          <w:rFonts w:ascii="Times New Roman" w:hAnsi="Times New Roman" w:cs="Times New Roman"/>
        </w:rPr>
        <w:t>the judge has concluded that</w:t>
      </w:r>
      <w:r w:rsidR="005A3050" w:rsidRPr="00D56B97">
        <w:rPr>
          <w:rFonts w:ascii="Times New Roman" w:hAnsi="Times New Roman" w:cs="Times New Roman"/>
        </w:rPr>
        <w:t xml:space="preserve"> is in someone’s</w:t>
      </w:r>
      <w:r w:rsidR="0010621C" w:rsidRPr="00D56B97">
        <w:rPr>
          <w:rFonts w:ascii="Times New Roman" w:hAnsi="Times New Roman" w:cs="Times New Roman"/>
        </w:rPr>
        <w:t xml:space="preserve"> best interests </w:t>
      </w:r>
      <w:r w:rsidR="00480C26" w:rsidRPr="00D56B97">
        <w:rPr>
          <w:rFonts w:ascii="Times New Roman" w:hAnsi="Times New Roman" w:cs="Times New Roman"/>
        </w:rPr>
        <w:t xml:space="preserve">to make a decision against their </w:t>
      </w:r>
      <w:r w:rsidR="005B426D" w:rsidRPr="00D56B97">
        <w:rPr>
          <w:rFonts w:ascii="Times New Roman" w:hAnsi="Times New Roman" w:cs="Times New Roman"/>
        </w:rPr>
        <w:t xml:space="preserve">expressed </w:t>
      </w:r>
      <w:r w:rsidR="002D583A" w:rsidRPr="00D56B97">
        <w:rPr>
          <w:rFonts w:ascii="Times New Roman" w:hAnsi="Times New Roman" w:cs="Times New Roman"/>
        </w:rPr>
        <w:t>wishes,</w:t>
      </w:r>
      <w:r w:rsidR="005B426D" w:rsidRPr="00D56B97">
        <w:rPr>
          <w:rFonts w:ascii="Times New Roman" w:hAnsi="Times New Roman" w:cs="Times New Roman"/>
        </w:rPr>
        <w:t xml:space="preserve"> the gatekeeper account</w:t>
      </w:r>
      <w:r w:rsidR="005A3050" w:rsidRPr="00D56B97">
        <w:rPr>
          <w:rFonts w:ascii="Times New Roman" w:hAnsi="Times New Roman" w:cs="Times New Roman"/>
        </w:rPr>
        <w:t xml:space="preserve"> </w:t>
      </w:r>
      <w:r w:rsidR="00480C26" w:rsidRPr="00D56B97">
        <w:rPr>
          <w:rFonts w:ascii="Times New Roman" w:hAnsi="Times New Roman" w:cs="Times New Roman"/>
        </w:rPr>
        <w:t>affirms the court’s authority to do so</w:t>
      </w:r>
      <w:r w:rsidR="00507995" w:rsidRPr="00D56B97">
        <w:rPr>
          <w:rFonts w:ascii="Times New Roman" w:hAnsi="Times New Roman" w:cs="Times New Roman"/>
        </w:rPr>
        <w:t xml:space="preserve">. It </w:t>
      </w:r>
      <w:r w:rsidR="005B426D" w:rsidRPr="00D56B97">
        <w:rPr>
          <w:rFonts w:ascii="Times New Roman" w:hAnsi="Times New Roman" w:cs="Times New Roman"/>
        </w:rPr>
        <w:t>does so by positioning</w:t>
      </w:r>
      <w:r w:rsidR="00507995" w:rsidRPr="00D56B97">
        <w:rPr>
          <w:rFonts w:ascii="Times New Roman" w:hAnsi="Times New Roman" w:cs="Times New Roman"/>
        </w:rPr>
        <w:t xml:space="preserve"> the court’s deter</w:t>
      </w:r>
      <w:r w:rsidR="005A3050" w:rsidRPr="00D56B97">
        <w:rPr>
          <w:rFonts w:ascii="Times New Roman" w:hAnsi="Times New Roman" w:cs="Times New Roman"/>
        </w:rPr>
        <w:t>mination as objective</w:t>
      </w:r>
      <w:r w:rsidR="00507995" w:rsidRPr="00D56B97">
        <w:rPr>
          <w:rFonts w:ascii="Times New Roman" w:hAnsi="Times New Roman" w:cs="Times New Roman"/>
        </w:rPr>
        <w:t>,</w:t>
      </w:r>
      <w:r w:rsidR="00595461" w:rsidRPr="00D56B97">
        <w:rPr>
          <w:rFonts w:ascii="Times New Roman" w:hAnsi="Times New Roman" w:cs="Times New Roman"/>
        </w:rPr>
        <w:t xml:space="preserve"> and so decisive,</w:t>
      </w:r>
      <w:r w:rsidR="00507995" w:rsidRPr="00D56B97">
        <w:rPr>
          <w:rFonts w:ascii="Times New Roman" w:hAnsi="Times New Roman" w:cs="Times New Roman"/>
        </w:rPr>
        <w:t xml:space="preserve"> </w:t>
      </w:r>
      <w:r w:rsidR="00595461" w:rsidRPr="00D56B97">
        <w:rPr>
          <w:rFonts w:ascii="Times New Roman" w:hAnsi="Times New Roman" w:cs="Times New Roman"/>
        </w:rPr>
        <w:t>but</w:t>
      </w:r>
      <w:r w:rsidR="00507995" w:rsidRPr="00D56B97">
        <w:rPr>
          <w:rFonts w:ascii="Times New Roman" w:hAnsi="Times New Roman" w:cs="Times New Roman"/>
        </w:rPr>
        <w:t xml:space="preserve"> the person</w:t>
      </w:r>
      <w:r w:rsidR="005A3050" w:rsidRPr="00D56B97">
        <w:rPr>
          <w:rFonts w:ascii="Times New Roman" w:hAnsi="Times New Roman" w:cs="Times New Roman"/>
        </w:rPr>
        <w:t>’s wishes as merely subjective</w:t>
      </w:r>
      <w:r w:rsidR="00507995" w:rsidRPr="00D56B97">
        <w:rPr>
          <w:rFonts w:ascii="Times New Roman" w:hAnsi="Times New Roman" w:cs="Times New Roman"/>
        </w:rPr>
        <w:t xml:space="preserve">. For instance, in </w:t>
      </w:r>
      <w:r w:rsidR="00507995" w:rsidRPr="00D56B97">
        <w:rPr>
          <w:rFonts w:ascii="Times New Roman" w:hAnsi="Times New Roman" w:cs="Times New Roman"/>
          <w:i/>
        </w:rPr>
        <w:t>Re E,</w:t>
      </w:r>
      <w:r w:rsidR="00E323A6" w:rsidRPr="00D56B97">
        <w:rPr>
          <w:rFonts w:ascii="Times New Roman" w:hAnsi="Times New Roman" w:cs="Times New Roman"/>
        </w:rPr>
        <w:t xml:space="preserve"> when determining to feed a woman</w:t>
      </w:r>
      <w:r w:rsidR="00507995" w:rsidRPr="00D56B97">
        <w:rPr>
          <w:rFonts w:ascii="Times New Roman" w:hAnsi="Times New Roman" w:cs="Times New Roman"/>
        </w:rPr>
        <w:t xml:space="preserve"> against her will, ‘E's life is precious, whatever her own view of it now is’.</w:t>
      </w:r>
      <w:r w:rsidR="00507995" w:rsidRPr="00D56B97">
        <w:rPr>
          <w:rStyle w:val="FootnoteReference"/>
          <w:rFonts w:ascii="Times New Roman" w:hAnsi="Times New Roman" w:cs="Times New Roman"/>
        </w:rPr>
        <w:footnoteReference w:id="51"/>
      </w:r>
      <w:r w:rsidR="00D00004" w:rsidRPr="00D56B97">
        <w:rPr>
          <w:rFonts w:ascii="Times New Roman" w:hAnsi="Times New Roman" w:cs="Times New Roman"/>
        </w:rPr>
        <w:t xml:space="preserve"> Similarly, in </w:t>
      </w:r>
      <w:r w:rsidR="00D00004" w:rsidRPr="00D56B97">
        <w:rPr>
          <w:rFonts w:ascii="Times New Roman" w:hAnsi="Times New Roman" w:cs="Times New Roman"/>
          <w:i/>
        </w:rPr>
        <w:t>An NHS Trust v CS,</w:t>
      </w:r>
      <w:r w:rsidR="008C160B" w:rsidRPr="00D56B97">
        <w:rPr>
          <w:rStyle w:val="FootnoteReference"/>
          <w:rFonts w:ascii="Times New Roman" w:hAnsi="Times New Roman" w:cs="Times New Roman"/>
          <w:i/>
        </w:rPr>
        <w:footnoteReference w:id="52"/>
      </w:r>
      <w:r w:rsidR="00D00004" w:rsidRPr="00D56B97">
        <w:rPr>
          <w:rFonts w:ascii="Times New Roman" w:hAnsi="Times New Roman" w:cs="Times New Roman"/>
        </w:rPr>
        <w:t xml:space="preserve"> </w:t>
      </w:r>
      <w:r w:rsidR="00BA05D1" w:rsidRPr="00D56B97">
        <w:rPr>
          <w:rFonts w:ascii="Times New Roman" w:hAnsi="Times New Roman" w:cs="Times New Roman"/>
        </w:rPr>
        <w:t xml:space="preserve">Mr Justice </w:t>
      </w:r>
      <w:r w:rsidR="00D00004" w:rsidRPr="00D56B97">
        <w:rPr>
          <w:rFonts w:ascii="Times New Roman" w:hAnsi="Times New Roman" w:cs="Times New Roman"/>
        </w:rPr>
        <w:t>Baker had to decide whether it was in a young</w:t>
      </w:r>
      <w:r w:rsidR="008C160B" w:rsidRPr="00D56B97">
        <w:rPr>
          <w:rFonts w:ascii="Times New Roman" w:hAnsi="Times New Roman" w:cs="Times New Roman"/>
        </w:rPr>
        <w:t xml:space="preserve"> woman’s best interests to have an abortion. </w:t>
      </w:r>
      <w:r w:rsidR="005B426D" w:rsidRPr="00D56B97">
        <w:rPr>
          <w:rFonts w:ascii="Times New Roman" w:hAnsi="Times New Roman" w:cs="Times New Roman"/>
        </w:rPr>
        <w:t>P</w:t>
      </w:r>
      <w:r w:rsidR="00D00004" w:rsidRPr="00D56B97">
        <w:rPr>
          <w:rFonts w:ascii="Times New Roman" w:hAnsi="Times New Roman" w:cs="Times New Roman"/>
        </w:rPr>
        <w:t xml:space="preserve">rior to </w:t>
      </w:r>
      <w:r w:rsidR="005B426D" w:rsidRPr="00D56B97">
        <w:rPr>
          <w:rFonts w:ascii="Times New Roman" w:hAnsi="Times New Roman" w:cs="Times New Roman"/>
        </w:rPr>
        <w:t>a</w:t>
      </w:r>
      <w:r w:rsidR="005A3050" w:rsidRPr="00D56B97">
        <w:rPr>
          <w:rFonts w:ascii="Times New Roman" w:hAnsi="Times New Roman" w:cs="Times New Roman"/>
        </w:rPr>
        <w:t>n</w:t>
      </w:r>
      <w:r w:rsidR="005B426D" w:rsidRPr="00D56B97">
        <w:rPr>
          <w:rFonts w:ascii="Times New Roman" w:hAnsi="Times New Roman" w:cs="Times New Roman"/>
        </w:rPr>
        <w:t xml:space="preserve"> </w:t>
      </w:r>
      <w:r w:rsidR="00D00004" w:rsidRPr="00D56B97">
        <w:rPr>
          <w:rFonts w:ascii="Times New Roman" w:hAnsi="Times New Roman" w:cs="Times New Roman"/>
        </w:rPr>
        <w:t>assault by her partner that left her with significant brain damage</w:t>
      </w:r>
      <w:r w:rsidR="008C160B" w:rsidRPr="00D56B97">
        <w:rPr>
          <w:rFonts w:ascii="Times New Roman" w:hAnsi="Times New Roman" w:cs="Times New Roman"/>
        </w:rPr>
        <w:t>,</w:t>
      </w:r>
      <w:r w:rsidR="005A3050" w:rsidRPr="00D56B97">
        <w:rPr>
          <w:rFonts w:ascii="Times New Roman" w:hAnsi="Times New Roman" w:cs="Times New Roman"/>
        </w:rPr>
        <w:t xml:space="preserve"> she </w:t>
      </w:r>
      <w:r w:rsidR="005B426D" w:rsidRPr="00D56B97">
        <w:rPr>
          <w:rFonts w:ascii="Times New Roman" w:hAnsi="Times New Roman" w:cs="Times New Roman"/>
        </w:rPr>
        <w:t>intended to have the procedure;</w:t>
      </w:r>
      <w:r w:rsidR="008C160B" w:rsidRPr="00D56B97">
        <w:rPr>
          <w:rFonts w:ascii="Times New Roman" w:hAnsi="Times New Roman" w:cs="Times New Roman"/>
        </w:rPr>
        <w:t xml:space="preserve"> but following the assault</w:t>
      </w:r>
      <w:r w:rsidR="005B426D" w:rsidRPr="00D56B97">
        <w:rPr>
          <w:rFonts w:ascii="Times New Roman" w:hAnsi="Times New Roman" w:cs="Times New Roman"/>
        </w:rPr>
        <w:t>, she</w:t>
      </w:r>
      <w:r w:rsidR="008C160B" w:rsidRPr="00D56B97">
        <w:rPr>
          <w:rFonts w:ascii="Times New Roman" w:hAnsi="Times New Roman" w:cs="Times New Roman"/>
        </w:rPr>
        <w:t xml:space="preserve"> </w:t>
      </w:r>
      <w:r w:rsidR="002D583A" w:rsidRPr="00D56B97">
        <w:rPr>
          <w:rFonts w:ascii="Times New Roman" w:hAnsi="Times New Roman" w:cs="Times New Roman"/>
        </w:rPr>
        <w:t>wished</w:t>
      </w:r>
      <w:r w:rsidR="008C160B" w:rsidRPr="00D56B97">
        <w:rPr>
          <w:rFonts w:ascii="Times New Roman" w:hAnsi="Times New Roman" w:cs="Times New Roman"/>
        </w:rPr>
        <w:t xml:space="preserve"> to ‘keep the baby’.</w:t>
      </w:r>
      <w:r w:rsidR="00D00004" w:rsidRPr="00D56B97">
        <w:rPr>
          <w:rFonts w:ascii="Times New Roman" w:hAnsi="Times New Roman" w:cs="Times New Roman"/>
        </w:rPr>
        <w:t xml:space="preserve"> </w:t>
      </w:r>
      <w:r w:rsidR="008C160B" w:rsidRPr="00D56B97">
        <w:rPr>
          <w:rFonts w:ascii="Times New Roman" w:hAnsi="Times New Roman" w:cs="Times New Roman"/>
        </w:rPr>
        <w:t>Of these lat</w:t>
      </w:r>
      <w:r w:rsidR="005A3050" w:rsidRPr="00D56B97">
        <w:rPr>
          <w:rFonts w:ascii="Times New Roman" w:hAnsi="Times New Roman" w:cs="Times New Roman"/>
        </w:rPr>
        <w:t xml:space="preserve">ter wishes, the judge </w:t>
      </w:r>
      <w:r w:rsidR="00505C54">
        <w:rPr>
          <w:rFonts w:ascii="Times New Roman" w:hAnsi="Times New Roman" w:cs="Times New Roman"/>
        </w:rPr>
        <w:t>stated that</w:t>
      </w:r>
      <w:r w:rsidR="005A3050" w:rsidRPr="00D56B97">
        <w:rPr>
          <w:rFonts w:ascii="Times New Roman" w:hAnsi="Times New Roman" w:cs="Times New Roman"/>
        </w:rPr>
        <w:t xml:space="preserve"> </w:t>
      </w:r>
      <w:r w:rsidR="00D00004" w:rsidRPr="00D56B97">
        <w:rPr>
          <w:rFonts w:ascii="Times New Roman" w:hAnsi="Times New Roman" w:cs="Times New Roman"/>
        </w:rPr>
        <w:t>‘it seems to me impossible for this court to attach any significant weight to them bearing in mind her patent lack of capacity’.</w:t>
      </w:r>
      <w:r w:rsidR="0098584F" w:rsidRPr="00D56B97">
        <w:rPr>
          <w:rStyle w:val="FootnoteReference"/>
          <w:rFonts w:ascii="Times New Roman" w:hAnsi="Times New Roman" w:cs="Times New Roman"/>
        </w:rPr>
        <w:footnoteReference w:id="53"/>
      </w:r>
      <w:r w:rsidR="00740B59" w:rsidRPr="00D56B97">
        <w:rPr>
          <w:rFonts w:ascii="Times New Roman" w:hAnsi="Times New Roman" w:cs="Times New Roman"/>
        </w:rPr>
        <w:t xml:space="preserve"> As in </w:t>
      </w:r>
      <w:r w:rsidR="00740B59" w:rsidRPr="00D56B97">
        <w:rPr>
          <w:rFonts w:ascii="Times New Roman" w:hAnsi="Times New Roman" w:cs="Times New Roman"/>
          <w:i/>
        </w:rPr>
        <w:t>Re E</w:t>
      </w:r>
      <w:r w:rsidR="00740B59" w:rsidRPr="00D56B97">
        <w:rPr>
          <w:rFonts w:ascii="Times New Roman" w:hAnsi="Times New Roman" w:cs="Times New Roman"/>
        </w:rPr>
        <w:t>, the gatekeeper account</w:t>
      </w:r>
      <w:r w:rsidR="003B394A" w:rsidRPr="00D56B97">
        <w:rPr>
          <w:rFonts w:ascii="Times New Roman" w:hAnsi="Times New Roman" w:cs="Times New Roman"/>
        </w:rPr>
        <w:t xml:space="preserve"> </w:t>
      </w:r>
      <w:r w:rsidR="00740B59" w:rsidRPr="00D56B97">
        <w:rPr>
          <w:rFonts w:ascii="Times New Roman" w:hAnsi="Times New Roman" w:cs="Times New Roman"/>
        </w:rPr>
        <w:t>helps to affirm the objectivity</w:t>
      </w:r>
      <w:r w:rsidR="00595461" w:rsidRPr="00D56B97">
        <w:rPr>
          <w:rFonts w:ascii="Times New Roman" w:hAnsi="Times New Roman" w:cs="Times New Roman"/>
        </w:rPr>
        <w:t>,</w:t>
      </w:r>
      <w:r w:rsidR="00740B59" w:rsidRPr="00D56B97">
        <w:rPr>
          <w:rFonts w:ascii="Times New Roman" w:hAnsi="Times New Roman" w:cs="Times New Roman"/>
        </w:rPr>
        <w:t xml:space="preserve"> </w:t>
      </w:r>
      <w:r w:rsidR="00DF3DA7" w:rsidRPr="00D56B97">
        <w:rPr>
          <w:rFonts w:ascii="Times New Roman" w:hAnsi="Times New Roman" w:cs="Times New Roman"/>
        </w:rPr>
        <w:t>and hence legitimacy</w:t>
      </w:r>
      <w:r w:rsidR="00595461" w:rsidRPr="00D56B97">
        <w:rPr>
          <w:rFonts w:ascii="Times New Roman" w:hAnsi="Times New Roman" w:cs="Times New Roman"/>
        </w:rPr>
        <w:t xml:space="preserve">, </w:t>
      </w:r>
      <w:r w:rsidR="00740B59" w:rsidRPr="00D56B97">
        <w:rPr>
          <w:rFonts w:ascii="Times New Roman" w:hAnsi="Times New Roman" w:cs="Times New Roman"/>
        </w:rPr>
        <w:t>of the court’s decision, by contrast</w:t>
      </w:r>
      <w:r w:rsidR="002D583A" w:rsidRPr="00D56B97">
        <w:rPr>
          <w:rFonts w:ascii="Times New Roman" w:hAnsi="Times New Roman" w:cs="Times New Roman"/>
        </w:rPr>
        <w:t>ing it</w:t>
      </w:r>
      <w:r w:rsidR="00740B59" w:rsidRPr="00D56B97">
        <w:rPr>
          <w:rFonts w:ascii="Times New Roman" w:hAnsi="Times New Roman" w:cs="Times New Roman"/>
        </w:rPr>
        <w:t xml:space="preserve"> with the subjectivity of the wishes of the person who is decided for. </w:t>
      </w:r>
    </w:p>
    <w:p w14:paraId="7493C87A" w14:textId="3BF745D0" w:rsidR="00994D83" w:rsidRPr="00D56B97" w:rsidRDefault="003B394A" w:rsidP="00021A54">
      <w:pPr>
        <w:spacing w:line="480" w:lineRule="auto"/>
        <w:ind w:firstLine="720"/>
        <w:jc w:val="both"/>
        <w:rPr>
          <w:rFonts w:ascii="Times New Roman" w:hAnsi="Times New Roman" w:cs="Times New Roman"/>
        </w:rPr>
      </w:pPr>
      <w:r w:rsidRPr="00D56B97">
        <w:rPr>
          <w:rFonts w:ascii="Times New Roman" w:hAnsi="Times New Roman" w:cs="Times New Roman"/>
        </w:rPr>
        <w:t>The gateke</w:t>
      </w:r>
      <w:r w:rsidR="00B67902" w:rsidRPr="00D56B97">
        <w:rPr>
          <w:rFonts w:ascii="Times New Roman" w:hAnsi="Times New Roman" w:cs="Times New Roman"/>
        </w:rPr>
        <w:t>eper account, then, has two uses: absolving the court from responsibility when someone has capacity, and affirming its authority to act when someone does not.</w:t>
      </w:r>
      <w:r w:rsidR="0036702A" w:rsidRPr="00D56B97">
        <w:rPr>
          <w:rFonts w:ascii="Times New Roman" w:hAnsi="Times New Roman" w:cs="Times New Roman"/>
        </w:rPr>
        <w:t xml:space="preserve"> It is</w:t>
      </w:r>
      <w:r w:rsidR="00B67902" w:rsidRPr="00D56B97">
        <w:rPr>
          <w:rFonts w:ascii="Times New Roman" w:hAnsi="Times New Roman" w:cs="Times New Roman"/>
        </w:rPr>
        <w:t>, however, a</w:t>
      </w:r>
      <w:r w:rsidR="0036702A" w:rsidRPr="00D56B97">
        <w:rPr>
          <w:rFonts w:ascii="Times New Roman" w:hAnsi="Times New Roman" w:cs="Times New Roman"/>
        </w:rPr>
        <w:t xml:space="preserve"> primitive</w:t>
      </w:r>
      <w:r w:rsidR="00B67902" w:rsidRPr="00D56B97">
        <w:rPr>
          <w:rFonts w:ascii="Times New Roman" w:hAnsi="Times New Roman" w:cs="Times New Roman"/>
        </w:rPr>
        <w:t xml:space="preserve"> tool</w:t>
      </w:r>
      <w:r w:rsidRPr="00D56B97">
        <w:rPr>
          <w:rFonts w:ascii="Times New Roman" w:hAnsi="Times New Roman" w:cs="Times New Roman"/>
        </w:rPr>
        <w:t xml:space="preserve">. </w:t>
      </w:r>
      <w:r w:rsidR="00B67902" w:rsidRPr="00D56B97">
        <w:rPr>
          <w:rFonts w:ascii="Times New Roman" w:hAnsi="Times New Roman" w:cs="Times New Roman"/>
        </w:rPr>
        <w:t>I</w:t>
      </w:r>
      <w:r w:rsidRPr="00D56B97">
        <w:rPr>
          <w:rFonts w:ascii="Times New Roman" w:hAnsi="Times New Roman" w:cs="Times New Roman"/>
        </w:rPr>
        <w:t xml:space="preserve">t is </w:t>
      </w:r>
      <w:r w:rsidR="00B67902" w:rsidRPr="00D56B97">
        <w:rPr>
          <w:rFonts w:ascii="Times New Roman" w:hAnsi="Times New Roman" w:cs="Times New Roman"/>
        </w:rPr>
        <w:t xml:space="preserve">of little use when </w:t>
      </w:r>
      <w:r w:rsidR="00033390" w:rsidRPr="00D56B97">
        <w:rPr>
          <w:rFonts w:ascii="Times New Roman" w:hAnsi="Times New Roman" w:cs="Times New Roman"/>
        </w:rPr>
        <w:t xml:space="preserve">the autonomy of </w:t>
      </w:r>
      <w:r w:rsidR="00B67902" w:rsidRPr="00D56B97">
        <w:rPr>
          <w:rFonts w:ascii="Times New Roman" w:hAnsi="Times New Roman" w:cs="Times New Roman"/>
        </w:rPr>
        <w:t>so</w:t>
      </w:r>
      <w:r w:rsidR="00771C09" w:rsidRPr="00D56B97">
        <w:rPr>
          <w:rFonts w:ascii="Times New Roman" w:hAnsi="Times New Roman" w:cs="Times New Roman"/>
        </w:rPr>
        <w:t>meone w</w:t>
      </w:r>
      <w:r w:rsidR="00033390" w:rsidRPr="00D56B97">
        <w:rPr>
          <w:rFonts w:ascii="Times New Roman" w:hAnsi="Times New Roman" w:cs="Times New Roman"/>
        </w:rPr>
        <w:t xml:space="preserve">ithout capacity seems to demand </w:t>
      </w:r>
      <w:r w:rsidR="00033390" w:rsidRPr="00D56B97">
        <w:rPr>
          <w:rFonts w:ascii="Times New Roman" w:hAnsi="Times New Roman" w:cs="Times New Roman"/>
        </w:rPr>
        <w:lastRenderedPageBreak/>
        <w:t>respect</w:t>
      </w:r>
      <w:r w:rsidR="00B67902" w:rsidRPr="00D56B97">
        <w:rPr>
          <w:rFonts w:ascii="Times New Roman" w:hAnsi="Times New Roman" w:cs="Times New Roman"/>
        </w:rPr>
        <w:t xml:space="preserve"> or when</w:t>
      </w:r>
      <w:r w:rsidR="0036702A" w:rsidRPr="00D56B97">
        <w:rPr>
          <w:rFonts w:ascii="Times New Roman" w:hAnsi="Times New Roman" w:cs="Times New Roman"/>
        </w:rPr>
        <w:t xml:space="preserve"> someone with capacity seems</w:t>
      </w:r>
      <w:r w:rsidR="00033390" w:rsidRPr="00D56B97">
        <w:rPr>
          <w:rFonts w:ascii="Times New Roman" w:hAnsi="Times New Roman" w:cs="Times New Roman"/>
        </w:rPr>
        <w:t>, nevertheless,</w:t>
      </w:r>
      <w:r w:rsidR="0036702A" w:rsidRPr="00D56B97">
        <w:rPr>
          <w:rFonts w:ascii="Times New Roman" w:hAnsi="Times New Roman" w:cs="Times New Roman"/>
        </w:rPr>
        <w:t xml:space="preserve"> to </w:t>
      </w:r>
      <w:r w:rsidR="00033390" w:rsidRPr="00D56B97">
        <w:rPr>
          <w:rFonts w:ascii="Times New Roman" w:hAnsi="Times New Roman" w:cs="Times New Roman"/>
        </w:rPr>
        <w:t>be incapable of self-government</w:t>
      </w:r>
      <w:r w:rsidR="00B67902" w:rsidRPr="00D56B97">
        <w:rPr>
          <w:rFonts w:ascii="Times New Roman" w:hAnsi="Times New Roman" w:cs="Times New Roman"/>
        </w:rPr>
        <w:t xml:space="preserve">. The </w:t>
      </w:r>
      <w:r w:rsidR="00182212" w:rsidRPr="00D56B97">
        <w:rPr>
          <w:rFonts w:ascii="Times New Roman" w:hAnsi="Times New Roman" w:cs="Times New Roman"/>
        </w:rPr>
        <w:t>latter</w:t>
      </w:r>
      <w:r w:rsidR="00B67902" w:rsidRPr="00D56B97">
        <w:rPr>
          <w:rFonts w:ascii="Times New Roman" w:hAnsi="Times New Roman" w:cs="Times New Roman"/>
        </w:rPr>
        <w:t xml:space="preserve"> of th</w:t>
      </w:r>
      <w:r w:rsidR="00182212" w:rsidRPr="00D56B97">
        <w:rPr>
          <w:rFonts w:ascii="Times New Roman" w:hAnsi="Times New Roman" w:cs="Times New Roman"/>
        </w:rPr>
        <w:t>ese situations is dealt with</w:t>
      </w:r>
      <w:r w:rsidR="00046ADE">
        <w:rPr>
          <w:rFonts w:ascii="Times New Roman" w:hAnsi="Times New Roman" w:cs="Times New Roman"/>
        </w:rPr>
        <w:t xml:space="preserve"> in the</w:t>
      </w:r>
      <w:r w:rsidR="00182212" w:rsidRPr="00D56B97">
        <w:rPr>
          <w:rFonts w:ascii="Times New Roman" w:hAnsi="Times New Roman" w:cs="Times New Roman"/>
        </w:rPr>
        <w:t xml:space="preserve"> </w:t>
      </w:r>
      <w:r w:rsidR="00B67902" w:rsidRPr="00D56B97">
        <w:rPr>
          <w:rFonts w:ascii="Times New Roman" w:hAnsi="Times New Roman" w:cs="Times New Roman"/>
        </w:rPr>
        <w:t>next</w:t>
      </w:r>
      <w:r w:rsidR="00033390" w:rsidRPr="00D56B97">
        <w:rPr>
          <w:rFonts w:ascii="Times New Roman" w:hAnsi="Times New Roman" w:cs="Times New Roman"/>
        </w:rPr>
        <w:t xml:space="preserve"> section</w:t>
      </w:r>
      <w:r w:rsidR="00182212" w:rsidRPr="00D56B97">
        <w:rPr>
          <w:rFonts w:ascii="Times New Roman" w:hAnsi="Times New Roman" w:cs="Times New Roman"/>
        </w:rPr>
        <w:t>, for w</w:t>
      </w:r>
      <w:r w:rsidRPr="00D56B97">
        <w:rPr>
          <w:rFonts w:ascii="Times New Roman" w:hAnsi="Times New Roman" w:cs="Times New Roman"/>
        </w:rPr>
        <w:t xml:space="preserve">hen someone with capacity seems </w:t>
      </w:r>
      <w:r w:rsidR="00B67902" w:rsidRPr="00D56B97">
        <w:rPr>
          <w:rFonts w:ascii="Times New Roman" w:hAnsi="Times New Roman" w:cs="Times New Roman"/>
        </w:rPr>
        <w:t>to lack autonomy, the</w:t>
      </w:r>
      <w:r w:rsidR="00771C09" w:rsidRPr="00D56B97">
        <w:rPr>
          <w:rFonts w:ascii="Times New Roman" w:hAnsi="Times New Roman" w:cs="Times New Roman"/>
        </w:rPr>
        <w:t>n the</w:t>
      </w:r>
      <w:r w:rsidR="00B67902" w:rsidRPr="00D56B97">
        <w:rPr>
          <w:rFonts w:ascii="Times New Roman" w:hAnsi="Times New Roman" w:cs="Times New Roman"/>
        </w:rPr>
        <w:t xml:space="preserve"> judiciary</w:t>
      </w:r>
      <w:r w:rsidR="00726062" w:rsidRPr="00D56B97">
        <w:rPr>
          <w:rFonts w:ascii="Times New Roman" w:hAnsi="Times New Roman" w:cs="Times New Roman"/>
        </w:rPr>
        <w:t xml:space="preserve"> may</w:t>
      </w:r>
      <w:r w:rsidR="00B67902" w:rsidRPr="00D56B97">
        <w:rPr>
          <w:rFonts w:ascii="Times New Roman" w:hAnsi="Times New Roman" w:cs="Times New Roman"/>
        </w:rPr>
        <w:t xml:space="preserve"> </w:t>
      </w:r>
      <w:r w:rsidR="00F912F2" w:rsidRPr="00D56B97">
        <w:rPr>
          <w:rFonts w:ascii="Times New Roman" w:hAnsi="Times New Roman" w:cs="Times New Roman"/>
        </w:rPr>
        <w:t>reach for</w:t>
      </w:r>
      <w:r w:rsidRPr="00D56B97">
        <w:rPr>
          <w:rFonts w:ascii="Times New Roman" w:hAnsi="Times New Roman" w:cs="Times New Roman"/>
        </w:rPr>
        <w:t xml:space="preserve"> the insufficiency account of the relationship.</w:t>
      </w:r>
    </w:p>
    <w:p w14:paraId="7493C87B" w14:textId="77777777" w:rsidR="007B54F7" w:rsidRPr="00D56B97" w:rsidRDefault="00AC229E" w:rsidP="00AC229E">
      <w:pPr>
        <w:spacing w:line="480" w:lineRule="auto"/>
        <w:jc w:val="center"/>
        <w:rPr>
          <w:rFonts w:ascii="Times New Roman" w:hAnsi="Times New Roman" w:cs="Times New Roman"/>
          <w:sz w:val="28"/>
          <w:szCs w:val="28"/>
        </w:rPr>
      </w:pPr>
      <w:r w:rsidRPr="00D56B97">
        <w:rPr>
          <w:rFonts w:ascii="Times New Roman" w:hAnsi="Times New Roman" w:cs="Times New Roman"/>
          <w:b/>
          <w:sz w:val="28"/>
          <w:szCs w:val="28"/>
        </w:rPr>
        <w:t>III</w:t>
      </w:r>
      <w:r w:rsidR="008903E8" w:rsidRPr="00D56B97">
        <w:rPr>
          <w:rFonts w:ascii="Times New Roman" w:hAnsi="Times New Roman" w:cs="Times New Roman"/>
          <w:b/>
          <w:sz w:val="28"/>
          <w:szCs w:val="28"/>
        </w:rPr>
        <w:t>.</w:t>
      </w:r>
      <w:r w:rsidR="00C673CC" w:rsidRPr="00D56B97">
        <w:rPr>
          <w:rFonts w:ascii="Times New Roman" w:hAnsi="Times New Roman" w:cs="Times New Roman"/>
          <w:b/>
          <w:sz w:val="28"/>
          <w:szCs w:val="28"/>
        </w:rPr>
        <w:t xml:space="preserve"> </w:t>
      </w:r>
      <w:r w:rsidRPr="00D56B97">
        <w:rPr>
          <w:rFonts w:ascii="Times New Roman" w:hAnsi="Times New Roman" w:cs="Times New Roman"/>
          <w:b/>
          <w:sz w:val="28"/>
          <w:szCs w:val="28"/>
        </w:rPr>
        <w:t>THE INSUFFICIENCY ACCOUNT</w:t>
      </w:r>
    </w:p>
    <w:p w14:paraId="7493C87C" w14:textId="77777777" w:rsidR="009B14EF" w:rsidRPr="00D56B97" w:rsidRDefault="00E62798" w:rsidP="00A0370F">
      <w:pPr>
        <w:spacing w:line="480" w:lineRule="auto"/>
        <w:jc w:val="both"/>
        <w:rPr>
          <w:rFonts w:ascii="Times New Roman" w:hAnsi="Times New Roman" w:cs="Times New Roman"/>
        </w:rPr>
      </w:pPr>
      <w:r w:rsidRPr="00D56B97">
        <w:rPr>
          <w:rFonts w:ascii="Times New Roman" w:hAnsi="Times New Roman" w:cs="Times New Roman"/>
        </w:rPr>
        <w:t>In the gatekeeper account,</w:t>
      </w:r>
      <w:r w:rsidR="00091CA7" w:rsidRPr="00D56B97">
        <w:rPr>
          <w:rFonts w:ascii="Times New Roman" w:hAnsi="Times New Roman" w:cs="Times New Roman"/>
        </w:rPr>
        <w:t xml:space="preserve"> </w:t>
      </w:r>
      <w:r w:rsidR="009B14EF" w:rsidRPr="00D56B97">
        <w:rPr>
          <w:rFonts w:ascii="Times New Roman" w:hAnsi="Times New Roman" w:cs="Times New Roman"/>
        </w:rPr>
        <w:t>if</w:t>
      </w:r>
      <w:r w:rsidR="00336E72" w:rsidRPr="00D56B97">
        <w:rPr>
          <w:rFonts w:ascii="Times New Roman" w:hAnsi="Times New Roman" w:cs="Times New Roman"/>
        </w:rPr>
        <w:t xml:space="preserve"> someone has capacity, then </w:t>
      </w:r>
      <w:r w:rsidR="005C68D9" w:rsidRPr="00D56B97">
        <w:rPr>
          <w:rFonts w:ascii="Times New Roman" w:hAnsi="Times New Roman" w:cs="Times New Roman"/>
        </w:rPr>
        <w:t xml:space="preserve">respect for </w:t>
      </w:r>
      <w:r w:rsidR="00336E72" w:rsidRPr="00D56B97">
        <w:rPr>
          <w:rFonts w:ascii="Times New Roman" w:hAnsi="Times New Roman" w:cs="Times New Roman"/>
        </w:rPr>
        <w:t>their</w:t>
      </w:r>
      <w:r w:rsidR="00E31734" w:rsidRPr="00D56B97">
        <w:rPr>
          <w:rFonts w:ascii="Times New Roman" w:hAnsi="Times New Roman" w:cs="Times New Roman"/>
        </w:rPr>
        <w:t xml:space="preserve"> </w:t>
      </w:r>
      <w:r w:rsidR="00336E72" w:rsidRPr="00D56B97">
        <w:rPr>
          <w:rFonts w:ascii="Times New Roman" w:hAnsi="Times New Roman" w:cs="Times New Roman"/>
        </w:rPr>
        <w:t>autonomy restrains the state</w:t>
      </w:r>
      <w:r w:rsidR="00233345" w:rsidRPr="00D56B97">
        <w:rPr>
          <w:rFonts w:ascii="Times New Roman" w:hAnsi="Times New Roman" w:cs="Times New Roman"/>
        </w:rPr>
        <w:t xml:space="preserve"> from interfering</w:t>
      </w:r>
      <w:r w:rsidR="00E22A7D" w:rsidRPr="00D56B97">
        <w:rPr>
          <w:rFonts w:ascii="Times New Roman" w:hAnsi="Times New Roman" w:cs="Times New Roman"/>
        </w:rPr>
        <w:t xml:space="preserve"> with their </w:t>
      </w:r>
      <w:r w:rsidR="00816607" w:rsidRPr="00D56B97">
        <w:rPr>
          <w:rFonts w:ascii="Times New Roman" w:hAnsi="Times New Roman" w:cs="Times New Roman"/>
        </w:rPr>
        <w:t>wishes</w:t>
      </w:r>
      <w:r w:rsidR="00350DB0" w:rsidRPr="00D56B97">
        <w:rPr>
          <w:rFonts w:ascii="Times New Roman" w:hAnsi="Times New Roman" w:cs="Times New Roman"/>
        </w:rPr>
        <w:t>.</w:t>
      </w:r>
      <w:r w:rsidR="00E22A7D" w:rsidRPr="00D56B97">
        <w:rPr>
          <w:rFonts w:ascii="Times New Roman" w:hAnsi="Times New Roman" w:cs="Times New Roman"/>
        </w:rPr>
        <w:t xml:space="preserve"> </w:t>
      </w:r>
      <w:r w:rsidR="00E31734" w:rsidRPr="00D56B97">
        <w:rPr>
          <w:rFonts w:ascii="Times New Roman" w:hAnsi="Times New Roman" w:cs="Times New Roman"/>
        </w:rPr>
        <w:t xml:space="preserve">The insufficiency account </w:t>
      </w:r>
      <w:r w:rsidR="00350DB0" w:rsidRPr="00D56B97">
        <w:rPr>
          <w:rFonts w:ascii="Times New Roman" w:hAnsi="Times New Roman" w:cs="Times New Roman"/>
        </w:rPr>
        <w:t>modifies this</w:t>
      </w:r>
      <w:r w:rsidRPr="00D56B97">
        <w:rPr>
          <w:rFonts w:ascii="Times New Roman" w:hAnsi="Times New Roman" w:cs="Times New Roman"/>
        </w:rPr>
        <w:t xml:space="preserve">. </w:t>
      </w:r>
      <w:r w:rsidR="00A0370F" w:rsidRPr="00D56B97">
        <w:rPr>
          <w:rFonts w:ascii="Times New Roman" w:hAnsi="Times New Roman" w:cs="Times New Roman"/>
        </w:rPr>
        <w:t>Like</w:t>
      </w:r>
      <w:r w:rsidR="003C1BFF" w:rsidRPr="00D56B97">
        <w:rPr>
          <w:rFonts w:ascii="Times New Roman" w:hAnsi="Times New Roman" w:cs="Times New Roman"/>
        </w:rPr>
        <w:t xml:space="preserve"> the gatekeeper account, </w:t>
      </w:r>
      <w:r w:rsidR="00A0370F" w:rsidRPr="00D56B97">
        <w:rPr>
          <w:rFonts w:ascii="Times New Roman" w:hAnsi="Times New Roman" w:cs="Times New Roman"/>
        </w:rPr>
        <w:t>it</w:t>
      </w:r>
      <w:r w:rsidR="003C1BFF" w:rsidRPr="00D56B97">
        <w:rPr>
          <w:rFonts w:ascii="Times New Roman" w:hAnsi="Times New Roman" w:cs="Times New Roman"/>
        </w:rPr>
        <w:t xml:space="preserve"> holds that</w:t>
      </w:r>
      <w:r w:rsidR="00A0370F" w:rsidRPr="00D56B97">
        <w:rPr>
          <w:rFonts w:ascii="Times New Roman" w:hAnsi="Times New Roman" w:cs="Times New Roman"/>
        </w:rPr>
        <w:t xml:space="preserve"> </w:t>
      </w:r>
      <w:r w:rsidR="003C1BFF" w:rsidRPr="00D56B97">
        <w:rPr>
          <w:rFonts w:ascii="Times New Roman" w:hAnsi="Times New Roman" w:cs="Times New Roman"/>
        </w:rPr>
        <w:t>people</w:t>
      </w:r>
      <w:r w:rsidRPr="00D56B97">
        <w:rPr>
          <w:rFonts w:ascii="Times New Roman" w:hAnsi="Times New Roman" w:cs="Times New Roman"/>
        </w:rPr>
        <w:t xml:space="preserve"> without capacity</w:t>
      </w:r>
      <w:r w:rsidR="00D044A3" w:rsidRPr="00D56B97">
        <w:rPr>
          <w:rFonts w:ascii="Times New Roman" w:hAnsi="Times New Roman" w:cs="Times New Roman"/>
        </w:rPr>
        <w:t xml:space="preserve"> </w:t>
      </w:r>
      <w:r w:rsidR="00A0370F" w:rsidRPr="00D56B97">
        <w:rPr>
          <w:rFonts w:ascii="Times New Roman" w:hAnsi="Times New Roman" w:cs="Times New Roman"/>
        </w:rPr>
        <w:t xml:space="preserve">do not have an overriding right to respect for their autonomy. Unlike the gatekeeper account, however, it does not hold that people with mental capacity </w:t>
      </w:r>
      <w:r w:rsidR="00C6623C" w:rsidRPr="00D56B97">
        <w:rPr>
          <w:rFonts w:ascii="Times New Roman" w:hAnsi="Times New Roman" w:cs="Times New Roman"/>
        </w:rPr>
        <w:t>necessarily</w:t>
      </w:r>
      <w:r w:rsidR="00965897" w:rsidRPr="00D56B97">
        <w:rPr>
          <w:rFonts w:ascii="Times New Roman" w:hAnsi="Times New Roman" w:cs="Times New Roman"/>
        </w:rPr>
        <w:t xml:space="preserve"> do</w:t>
      </w:r>
      <w:r w:rsidR="00C6623C" w:rsidRPr="00D56B97">
        <w:rPr>
          <w:rFonts w:ascii="Times New Roman" w:hAnsi="Times New Roman" w:cs="Times New Roman"/>
        </w:rPr>
        <w:t xml:space="preserve"> </w:t>
      </w:r>
      <w:r w:rsidR="00A0370F" w:rsidRPr="00D56B97">
        <w:rPr>
          <w:rFonts w:ascii="Times New Roman" w:hAnsi="Times New Roman" w:cs="Times New Roman"/>
        </w:rPr>
        <w:t xml:space="preserve">have an overriding right to respect for their autonomy. </w:t>
      </w:r>
      <w:r w:rsidR="00B9409B" w:rsidRPr="00D56B97">
        <w:rPr>
          <w:rFonts w:ascii="Times New Roman" w:hAnsi="Times New Roman" w:cs="Times New Roman"/>
        </w:rPr>
        <w:t>T</w:t>
      </w:r>
      <w:r w:rsidR="00A0370F" w:rsidRPr="00D56B97">
        <w:rPr>
          <w:rFonts w:ascii="Times New Roman" w:hAnsi="Times New Roman" w:cs="Times New Roman"/>
        </w:rPr>
        <w:t>hey may</w:t>
      </w:r>
      <w:r w:rsidR="00C6623C" w:rsidRPr="00D56B97">
        <w:rPr>
          <w:rFonts w:ascii="Times New Roman" w:hAnsi="Times New Roman" w:cs="Times New Roman"/>
        </w:rPr>
        <w:t xml:space="preserve"> or may not</w:t>
      </w:r>
      <w:r w:rsidR="00A0370F" w:rsidRPr="00D56B97">
        <w:rPr>
          <w:rFonts w:ascii="Times New Roman" w:hAnsi="Times New Roman" w:cs="Times New Roman"/>
        </w:rPr>
        <w:t xml:space="preserve"> have</w:t>
      </w:r>
      <w:r w:rsidR="00B9409B" w:rsidRPr="00D56B97">
        <w:rPr>
          <w:rFonts w:ascii="Times New Roman" w:hAnsi="Times New Roman" w:cs="Times New Roman"/>
        </w:rPr>
        <w:t xml:space="preserve"> such a right</w:t>
      </w:r>
      <w:r w:rsidR="00A0370F" w:rsidRPr="00D56B97">
        <w:rPr>
          <w:rFonts w:ascii="Times New Roman" w:hAnsi="Times New Roman" w:cs="Times New Roman"/>
        </w:rPr>
        <w:t xml:space="preserve">, depending on other conditions. </w:t>
      </w:r>
      <w:r w:rsidR="003137CA" w:rsidRPr="00D56B97">
        <w:rPr>
          <w:rFonts w:ascii="Times New Roman" w:hAnsi="Times New Roman" w:cs="Times New Roman"/>
        </w:rPr>
        <w:t>In other words</w:t>
      </w:r>
      <w:r w:rsidR="00D044A3" w:rsidRPr="00D56B97">
        <w:rPr>
          <w:rFonts w:ascii="Times New Roman" w:hAnsi="Times New Roman" w:cs="Times New Roman"/>
        </w:rPr>
        <w:t xml:space="preserve">, </w:t>
      </w:r>
      <w:r w:rsidR="00002B81" w:rsidRPr="00D56B97">
        <w:rPr>
          <w:rFonts w:ascii="Times New Roman" w:hAnsi="Times New Roman" w:cs="Times New Roman"/>
        </w:rPr>
        <w:t>i</w:t>
      </w:r>
      <w:r w:rsidR="00C277B1" w:rsidRPr="00D56B97">
        <w:rPr>
          <w:rFonts w:ascii="Times New Roman" w:hAnsi="Times New Roman" w:cs="Times New Roman"/>
        </w:rPr>
        <w:t xml:space="preserve">n the insufficiency account, </w:t>
      </w:r>
      <w:r w:rsidR="00D044A3" w:rsidRPr="00D56B97">
        <w:rPr>
          <w:rFonts w:ascii="Times New Roman" w:hAnsi="Times New Roman" w:cs="Times New Roman"/>
        </w:rPr>
        <w:t>m</w:t>
      </w:r>
      <w:r w:rsidRPr="00D56B97">
        <w:rPr>
          <w:rFonts w:ascii="Times New Roman" w:hAnsi="Times New Roman" w:cs="Times New Roman"/>
        </w:rPr>
        <w:t>ental capacity</w:t>
      </w:r>
      <w:r w:rsidR="00E31734" w:rsidRPr="00D56B97">
        <w:rPr>
          <w:rFonts w:ascii="Times New Roman" w:hAnsi="Times New Roman" w:cs="Times New Roman"/>
        </w:rPr>
        <w:t xml:space="preserve"> is</w:t>
      </w:r>
      <w:r w:rsidRPr="00D56B97">
        <w:rPr>
          <w:rFonts w:ascii="Times New Roman" w:hAnsi="Times New Roman" w:cs="Times New Roman"/>
        </w:rPr>
        <w:t xml:space="preserve"> necessary but</w:t>
      </w:r>
      <w:r w:rsidR="00E31734" w:rsidRPr="00D56B97">
        <w:rPr>
          <w:rFonts w:ascii="Times New Roman" w:hAnsi="Times New Roman" w:cs="Times New Roman"/>
        </w:rPr>
        <w:t xml:space="preserve"> not sufficient </w:t>
      </w:r>
      <w:r w:rsidRPr="00D56B97">
        <w:rPr>
          <w:rFonts w:ascii="Times New Roman" w:hAnsi="Times New Roman" w:cs="Times New Roman"/>
        </w:rPr>
        <w:t>for</w:t>
      </w:r>
      <w:r w:rsidR="00E31734" w:rsidRPr="00D56B97">
        <w:rPr>
          <w:rFonts w:ascii="Times New Roman" w:hAnsi="Times New Roman" w:cs="Times New Roman"/>
        </w:rPr>
        <w:t xml:space="preserve"> autonomy</w:t>
      </w:r>
      <w:r w:rsidR="00A0370F" w:rsidRPr="00D56B97">
        <w:rPr>
          <w:rFonts w:ascii="Times New Roman" w:hAnsi="Times New Roman" w:cs="Times New Roman"/>
        </w:rPr>
        <w:t xml:space="preserve"> to be respected as a right</w:t>
      </w:r>
      <w:r w:rsidR="007B4CE2" w:rsidRPr="00D56B97">
        <w:rPr>
          <w:rFonts w:ascii="Times New Roman" w:hAnsi="Times New Roman" w:cs="Times New Roman"/>
        </w:rPr>
        <w:t>. Something else</w:t>
      </w:r>
      <w:r w:rsidR="009B14EF" w:rsidRPr="00D56B97">
        <w:rPr>
          <w:rFonts w:ascii="Times New Roman" w:hAnsi="Times New Roman" w:cs="Times New Roman"/>
        </w:rPr>
        <w:t xml:space="preserve"> is also needed.</w:t>
      </w:r>
      <w:r w:rsidR="00E31734" w:rsidRPr="00D56B97">
        <w:rPr>
          <w:rFonts w:ascii="Times New Roman" w:hAnsi="Times New Roman" w:cs="Times New Roman"/>
        </w:rPr>
        <w:t xml:space="preserve"> </w:t>
      </w:r>
      <w:r w:rsidR="00C673CC" w:rsidRPr="00D56B97">
        <w:rPr>
          <w:rFonts w:ascii="Times New Roman" w:hAnsi="Times New Roman" w:cs="Times New Roman"/>
        </w:rPr>
        <w:t xml:space="preserve">As Lady Hale says in </w:t>
      </w:r>
      <w:r w:rsidR="00C673CC" w:rsidRPr="00D56B97">
        <w:rPr>
          <w:rFonts w:ascii="Times New Roman" w:hAnsi="Times New Roman" w:cs="Times New Roman"/>
          <w:i/>
        </w:rPr>
        <w:t xml:space="preserve">R v </w:t>
      </w:r>
      <w:r w:rsidR="00BE01F2" w:rsidRPr="00D56B97">
        <w:rPr>
          <w:rFonts w:ascii="Times New Roman" w:hAnsi="Times New Roman" w:cs="Times New Roman"/>
          <w:i/>
        </w:rPr>
        <w:t>Cooper</w:t>
      </w:r>
      <w:r w:rsidR="00C673CC" w:rsidRPr="00D56B97">
        <w:rPr>
          <w:rFonts w:ascii="Times New Roman" w:hAnsi="Times New Roman" w:cs="Times New Roman"/>
        </w:rPr>
        <w:t>, ‘Autonomy entails the freedom and the capacity to make a choice’.</w:t>
      </w:r>
      <w:r w:rsidR="00C673CC" w:rsidRPr="00D56B97">
        <w:rPr>
          <w:rFonts w:ascii="Times New Roman" w:hAnsi="Times New Roman" w:cs="Times New Roman"/>
          <w:vertAlign w:val="superscript"/>
        </w:rPr>
        <w:footnoteReference w:id="54"/>
      </w:r>
      <w:r w:rsidR="00CC2D39" w:rsidRPr="00D56B97">
        <w:rPr>
          <w:rFonts w:ascii="Times New Roman" w:hAnsi="Times New Roman" w:cs="Times New Roman"/>
        </w:rPr>
        <w:t xml:space="preserve"> </w:t>
      </w:r>
      <w:r w:rsidR="00087778" w:rsidRPr="00D56B97">
        <w:rPr>
          <w:rFonts w:ascii="Times New Roman" w:hAnsi="Times New Roman" w:cs="Times New Roman"/>
        </w:rPr>
        <w:t xml:space="preserve">This ‘freedom’, the thing </w:t>
      </w:r>
      <w:r w:rsidR="00551ADC" w:rsidRPr="00D56B97">
        <w:rPr>
          <w:rFonts w:ascii="Times New Roman" w:hAnsi="Times New Roman" w:cs="Times New Roman"/>
        </w:rPr>
        <w:t>beyond</w:t>
      </w:r>
      <w:r w:rsidR="00087778" w:rsidRPr="00D56B97">
        <w:rPr>
          <w:rFonts w:ascii="Times New Roman" w:hAnsi="Times New Roman" w:cs="Times New Roman"/>
        </w:rPr>
        <w:t xml:space="preserve"> capacity </w:t>
      </w:r>
      <w:r w:rsidR="00551ADC" w:rsidRPr="00D56B97">
        <w:rPr>
          <w:rFonts w:ascii="Times New Roman" w:hAnsi="Times New Roman" w:cs="Times New Roman"/>
        </w:rPr>
        <w:t xml:space="preserve">that </w:t>
      </w:r>
      <w:r w:rsidR="00087778" w:rsidRPr="00D56B97">
        <w:rPr>
          <w:rFonts w:ascii="Times New Roman" w:hAnsi="Times New Roman" w:cs="Times New Roman"/>
        </w:rPr>
        <w:t>is needed for autonomy,</w:t>
      </w:r>
      <w:r w:rsidR="00B74134" w:rsidRPr="00D56B97">
        <w:rPr>
          <w:rFonts w:ascii="Times New Roman" w:hAnsi="Times New Roman" w:cs="Times New Roman"/>
        </w:rPr>
        <w:t xml:space="preserve"> is</w:t>
      </w:r>
      <w:r w:rsidR="00087778" w:rsidRPr="00D56B97">
        <w:rPr>
          <w:rFonts w:ascii="Times New Roman" w:hAnsi="Times New Roman" w:cs="Times New Roman"/>
        </w:rPr>
        <w:t xml:space="preserve"> consistent in </w:t>
      </w:r>
      <w:r w:rsidR="00F07935" w:rsidRPr="00D56B97">
        <w:rPr>
          <w:rFonts w:ascii="Times New Roman" w:hAnsi="Times New Roman" w:cs="Times New Roman"/>
        </w:rPr>
        <w:t>the cases</w:t>
      </w:r>
      <w:r w:rsidR="00B9409B" w:rsidRPr="00D56B97">
        <w:rPr>
          <w:rFonts w:ascii="Times New Roman" w:hAnsi="Times New Roman" w:cs="Times New Roman"/>
        </w:rPr>
        <w:t xml:space="preserve"> that give this account</w:t>
      </w:r>
      <w:r w:rsidR="00AE4CF7" w:rsidRPr="00D56B97">
        <w:rPr>
          <w:rFonts w:ascii="Times New Roman" w:hAnsi="Times New Roman" w:cs="Times New Roman"/>
        </w:rPr>
        <w:t>. It is</w:t>
      </w:r>
      <w:r w:rsidR="00087778" w:rsidRPr="00D56B97">
        <w:rPr>
          <w:rFonts w:ascii="Times New Roman" w:hAnsi="Times New Roman" w:cs="Times New Roman"/>
        </w:rPr>
        <w:t xml:space="preserve"> </w:t>
      </w:r>
      <w:r w:rsidR="00771C09" w:rsidRPr="00D56B97">
        <w:rPr>
          <w:rFonts w:ascii="Times New Roman" w:hAnsi="Times New Roman" w:cs="Times New Roman"/>
        </w:rPr>
        <w:t xml:space="preserve">voluntariness, </w:t>
      </w:r>
      <w:r w:rsidR="00087778" w:rsidRPr="00D56B97">
        <w:rPr>
          <w:rFonts w:ascii="Times New Roman" w:hAnsi="Times New Roman" w:cs="Times New Roman"/>
        </w:rPr>
        <w:t>freedom</w:t>
      </w:r>
      <w:r w:rsidRPr="00D56B97">
        <w:rPr>
          <w:rFonts w:ascii="Times New Roman" w:hAnsi="Times New Roman" w:cs="Times New Roman"/>
        </w:rPr>
        <w:t xml:space="preserve"> from undue external influences</w:t>
      </w:r>
      <w:r w:rsidR="00087778" w:rsidRPr="00D56B97">
        <w:rPr>
          <w:rFonts w:ascii="Times New Roman" w:hAnsi="Times New Roman" w:cs="Times New Roman"/>
        </w:rPr>
        <w:t>.</w:t>
      </w:r>
    </w:p>
    <w:p w14:paraId="7493C87D" w14:textId="77777777" w:rsidR="00995DFA" w:rsidRPr="00D56B97" w:rsidRDefault="00322E5B" w:rsidP="00AC229E">
      <w:pPr>
        <w:spacing w:line="480" w:lineRule="auto"/>
        <w:jc w:val="center"/>
        <w:rPr>
          <w:rFonts w:ascii="Times New Roman" w:hAnsi="Times New Roman" w:cs="Times New Roman"/>
          <w:i/>
        </w:rPr>
      </w:pPr>
      <w:r w:rsidRPr="00D56B97">
        <w:rPr>
          <w:rFonts w:ascii="Times New Roman" w:hAnsi="Times New Roman" w:cs="Times New Roman"/>
          <w:i/>
        </w:rPr>
        <w:t>A. Recent Examples</w:t>
      </w:r>
      <w:r w:rsidR="00556236" w:rsidRPr="00D56B97">
        <w:rPr>
          <w:rFonts w:ascii="Times New Roman" w:hAnsi="Times New Roman" w:cs="Times New Roman"/>
          <w:i/>
        </w:rPr>
        <w:t xml:space="preserve"> of the Insufficiency A</w:t>
      </w:r>
      <w:r w:rsidR="00995DFA" w:rsidRPr="00D56B97">
        <w:rPr>
          <w:rFonts w:ascii="Times New Roman" w:hAnsi="Times New Roman" w:cs="Times New Roman"/>
          <w:i/>
        </w:rPr>
        <w:t>ccount</w:t>
      </w:r>
    </w:p>
    <w:p w14:paraId="7493C87E" w14:textId="5336013A" w:rsidR="002A5B9E" w:rsidRPr="00D56B97" w:rsidRDefault="00087778" w:rsidP="00021A54">
      <w:pPr>
        <w:spacing w:line="480" w:lineRule="auto"/>
        <w:jc w:val="both"/>
        <w:rPr>
          <w:rFonts w:ascii="Times New Roman" w:hAnsi="Times New Roman" w:cs="Times New Roman"/>
        </w:rPr>
      </w:pPr>
      <w:r w:rsidRPr="00D56B97">
        <w:rPr>
          <w:rFonts w:ascii="Times New Roman" w:hAnsi="Times New Roman" w:cs="Times New Roman"/>
        </w:rPr>
        <w:t>The insufficiency</w:t>
      </w:r>
      <w:r w:rsidR="0036538C" w:rsidRPr="00D56B97">
        <w:rPr>
          <w:rFonts w:ascii="Times New Roman" w:hAnsi="Times New Roman" w:cs="Times New Roman"/>
        </w:rPr>
        <w:t xml:space="preserve"> account </w:t>
      </w:r>
      <w:r w:rsidR="00AE4CF7" w:rsidRPr="00D56B97">
        <w:rPr>
          <w:rFonts w:ascii="Times New Roman" w:hAnsi="Times New Roman" w:cs="Times New Roman"/>
        </w:rPr>
        <w:t>predates the M</w:t>
      </w:r>
      <w:r w:rsidR="00F273B3" w:rsidRPr="00D56B97">
        <w:rPr>
          <w:rFonts w:ascii="Times New Roman" w:hAnsi="Times New Roman" w:cs="Times New Roman"/>
        </w:rPr>
        <w:t xml:space="preserve">ental </w:t>
      </w:r>
      <w:r w:rsidR="00AE4CF7" w:rsidRPr="00D56B97">
        <w:rPr>
          <w:rFonts w:ascii="Times New Roman" w:hAnsi="Times New Roman" w:cs="Times New Roman"/>
        </w:rPr>
        <w:t>C</w:t>
      </w:r>
      <w:r w:rsidR="00F273B3" w:rsidRPr="00D56B97">
        <w:rPr>
          <w:rFonts w:ascii="Times New Roman" w:hAnsi="Times New Roman" w:cs="Times New Roman"/>
        </w:rPr>
        <w:t xml:space="preserve">apacity </w:t>
      </w:r>
      <w:r w:rsidR="00AE4CF7" w:rsidRPr="00D56B97">
        <w:rPr>
          <w:rFonts w:ascii="Times New Roman" w:hAnsi="Times New Roman" w:cs="Times New Roman"/>
        </w:rPr>
        <w:t>A</w:t>
      </w:r>
      <w:r w:rsidR="000A15DE" w:rsidRPr="00D56B97">
        <w:rPr>
          <w:rFonts w:ascii="Times New Roman" w:hAnsi="Times New Roman" w:cs="Times New Roman"/>
        </w:rPr>
        <w:t>ct</w:t>
      </w:r>
      <w:r w:rsidR="00091CA7" w:rsidRPr="00D56B97">
        <w:rPr>
          <w:rFonts w:ascii="Times New Roman" w:hAnsi="Times New Roman" w:cs="Times New Roman"/>
        </w:rPr>
        <w:t>.</w:t>
      </w:r>
      <w:r w:rsidR="00C673CC" w:rsidRPr="00D56B97">
        <w:rPr>
          <w:rFonts w:ascii="Times New Roman" w:hAnsi="Times New Roman" w:cs="Times New Roman"/>
        </w:rPr>
        <w:t xml:space="preserve"> In</w:t>
      </w:r>
      <w:r w:rsidR="00091CA7" w:rsidRPr="00D56B97">
        <w:rPr>
          <w:rFonts w:ascii="Times New Roman" w:hAnsi="Times New Roman" w:cs="Times New Roman"/>
        </w:rPr>
        <w:t xml:space="preserve"> 1993, in</w:t>
      </w:r>
      <w:r w:rsidR="00C673CC" w:rsidRPr="00D56B97">
        <w:rPr>
          <w:rFonts w:ascii="Times New Roman" w:hAnsi="Times New Roman" w:cs="Times New Roman"/>
        </w:rPr>
        <w:t xml:space="preserve"> </w:t>
      </w:r>
      <w:r w:rsidR="00C673CC" w:rsidRPr="00D56B97">
        <w:rPr>
          <w:rFonts w:ascii="Times New Roman" w:hAnsi="Times New Roman" w:cs="Times New Roman"/>
          <w:i/>
        </w:rPr>
        <w:t>Re T</w:t>
      </w:r>
      <w:r w:rsidR="00C673CC" w:rsidRPr="00D56B97">
        <w:rPr>
          <w:rFonts w:ascii="Times New Roman" w:hAnsi="Times New Roman" w:cs="Times New Roman"/>
        </w:rPr>
        <w:t xml:space="preserve"> </w:t>
      </w:r>
      <w:r w:rsidR="00C673CC" w:rsidRPr="00D56B97">
        <w:rPr>
          <w:rFonts w:ascii="Times New Roman" w:hAnsi="Times New Roman" w:cs="Times New Roman"/>
          <w:i/>
        </w:rPr>
        <w:t>(Adult: Refusal of Treatment)</w:t>
      </w:r>
      <w:r w:rsidR="00CC02D0" w:rsidRPr="00D56B97">
        <w:rPr>
          <w:rFonts w:ascii="Times New Roman" w:hAnsi="Times New Roman" w:cs="Times New Roman"/>
          <w:i/>
        </w:rPr>
        <w:t>,</w:t>
      </w:r>
      <w:r w:rsidR="00C673CC" w:rsidRPr="00D56B97">
        <w:rPr>
          <w:rFonts w:ascii="Times New Roman" w:hAnsi="Times New Roman" w:cs="Times New Roman"/>
        </w:rPr>
        <w:t xml:space="preserve"> </w:t>
      </w:r>
      <w:r w:rsidR="00781986" w:rsidRPr="00D56B97">
        <w:rPr>
          <w:rFonts w:ascii="Times New Roman" w:hAnsi="Times New Roman" w:cs="Times New Roman"/>
        </w:rPr>
        <w:t xml:space="preserve">Lord Donaldson found </w:t>
      </w:r>
      <w:r w:rsidR="0029159D">
        <w:rPr>
          <w:rFonts w:ascii="Times New Roman" w:hAnsi="Times New Roman" w:cs="Times New Roman"/>
        </w:rPr>
        <w:t xml:space="preserve">that </w:t>
      </w:r>
      <w:r w:rsidR="00781986" w:rsidRPr="00D56B97">
        <w:rPr>
          <w:rFonts w:ascii="Times New Roman" w:hAnsi="Times New Roman" w:cs="Times New Roman"/>
        </w:rPr>
        <w:t>‘in some cases doctors will not only have to consider the capacity of the patient to refuse treatment, but also whether the refusal has been vitiated because it resulted not from the patient's will, but from the will of others’.</w:t>
      </w:r>
      <w:r w:rsidR="00C673CC" w:rsidRPr="00D56B97">
        <w:rPr>
          <w:rFonts w:ascii="Times New Roman" w:hAnsi="Times New Roman" w:cs="Times New Roman"/>
          <w:vertAlign w:val="superscript"/>
        </w:rPr>
        <w:footnoteReference w:id="55"/>
      </w:r>
      <w:r w:rsidR="00C673CC" w:rsidRPr="00D56B97">
        <w:rPr>
          <w:rFonts w:ascii="Times New Roman" w:hAnsi="Times New Roman" w:cs="Times New Roman"/>
        </w:rPr>
        <w:t xml:space="preserve"> </w:t>
      </w:r>
      <w:r w:rsidR="00781986" w:rsidRPr="00D56B97">
        <w:rPr>
          <w:rFonts w:ascii="Times New Roman" w:hAnsi="Times New Roman" w:cs="Times New Roman"/>
        </w:rPr>
        <w:t>In other words, ‘undue influence’</w:t>
      </w:r>
      <w:r w:rsidR="00781986" w:rsidRPr="00D56B97">
        <w:rPr>
          <w:rStyle w:val="FootnoteReference"/>
          <w:rFonts w:ascii="Times New Roman" w:hAnsi="Times New Roman" w:cs="Times New Roman"/>
        </w:rPr>
        <w:footnoteReference w:id="56"/>
      </w:r>
      <w:r w:rsidR="00781986" w:rsidRPr="00D56B97">
        <w:rPr>
          <w:rFonts w:ascii="Times New Roman" w:hAnsi="Times New Roman" w:cs="Times New Roman"/>
        </w:rPr>
        <w:t xml:space="preserve"> from a third party may have such an effect on someone with capacity that it will ‘destroy her volition’</w:t>
      </w:r>
      <w:r w:rsidR="00350DB0" w:rsidRPr="00D56B97">
        <w:rPr>
          <w:rFonts w:ascii="Times New Roman" w:hAnsi="Times New Roman" w:cs="Times New Roman"/>
        </w:rPr>
        <w:t>.</w:t>
      </w:r>
      <w:r w:rsidR="00A760B2" w:rsidRPr="00D56B97">
        <w:rPr>
          <w:rStyle w:val="FootnoteReference"/>
          <w:rFonts w:ascii="Times New Roman" w:hAnsi="Times New Roman" w:cs="Times New Roman"/>
        </w:rPr>
        <w:footnoteReference w:id="57"/>
      </w:r>
      <w:r w:rsidR="0036538C" w:rsidRPr="00D56B97">
        <w:rPr>
          <w:rFonts w:ascii="Times New Roman" w:hAnsi="Times New Roman" w:cs="Times New Roman"/>
        </w:rPr>
        <w:t xml:space="preserve"> </w:t>
      </w:r>
      <w:r w:rsidR="00350DB0" w:rsidRPr="00D56B97">
        <w:rPr>
          <w:rFonts w:ascii="Times New Roman" w:hAnsi="Times New Roman" w:cs="Times New Roman"/>
        </w:rPr>
        <w:lastRenderedPageBreak/>
        <w:t>W</w:t>
      </w:r>
      <w:r w:rsidR="00AE4CF7" w:rsidRPr="00D56B97">
        <w:rPr>
          <w:rFonts w:ascii="Times New Roman" w:hAnsi="Times New Roman" w:cs="Times New Roman"/>
        </w:rPr>
        <w:t xml:space="preserve">hen this happens, </w:t>
      </w:r>
      <w:r w:rsidR="0036538C" w:rsidRPr="00D56B97">
        <w:rPr>
          <w:rFonts w:ascii="Times New Roman" w:hAnsi="Times New Roman" w:cs="Times New Roman"/>
        </w:rPr>
        <w:t>the</w:t>
      </w:r>
      <w:r w:rsidR="00AE4CF7" w:rsidRPr="00D56B97">
        <w:rPr>
          <w:rFonts w:ascii="Times New Roman" w:hAnsi="Times New Roman" w:cs="Times New Roman"/>
        </w:rPr>
        <w:t xml:space="preserve"> court will not treat the affected person</w:t>
      </w:r>
      <w:r w:rsidR="00A760B2" w:rsidRPr="00D56B97">
        <w:rPr>
          <w:rFonts w:ascii="Times New Roman" w:hAnsi="Times New Roman" w:cs="Times New Roman"/>
        </w:rPr>
        <w:t xml:space="preserve"> as so autonomous that thei</w:t>
      </w:r>
      <w:r w:rsidR="00F35968" w:rsidRPr="00D56B97">
        <w:rPr>
          <w:rFonts w:ascii="Times New Roman" w:hAnsi="Times New Roman" w:cs="Times New Roman"/>
        </w:rPr>
        <w:t>r expressed wishes must be abided by</w:t>
      </w:r>
      <w:r w:rsidR="00A760B2" w:rsidRPr="00D56B97">
        <w:rPr>
          <w:rFonts w:ascii="Times New Roman" w:hAnsi="Times New Roman" w:cs="Times New Roman"/>
        </w:rPr>
        <w:t xml:space="preserve">. </w:t>
      </w:r>
    </w:p>
    <w:p w14:paraId="7493C87F" w14:textId="77777777" w:rsidR="008D186D" w:rsidRPr="00D56B97" w:rsidRDefault="002A5B9E" w:rsidP="00021A54">
      <w:pPr>
        <w:spacing w:line="480" w:lineRule="auto"/>
        <w:ind w:firstLine="720"/>
        <w:jc w:val="both"/>
        <w:rPr>
          <w:rFonts w:ascii="Times New Roman" w:hAnsi="Times New Roman" w:cs="Times New Roman"/>
        </w:rPr>
      </w:pPr>
      <w:r w:rsidRPr="00D56B97">
        <w:rPr>
          <w:rFonts w:ascii="Times New Roman" w:hAnsi="Times New Roman" w:cs="Times New Roman"/>
          <w:i/>
        </w:rPr>
        <w:t>Re T</w:t>
      </w:r>
      <w:r w:rsidR="00091CA7" w:rsidRPr="00D56B97">
        <w:rPr>
          <w:rFonts w:ascii="Times New Roman" w:hAnsi="Times New Roman" w:cs="Times New Roman"/>
        </w:rPr>
        <w:t xml:space="preserve"> </w:t>
      </w:r>
      <w:r w:rsidR="00361290" w:rsidRPr="00D56B97">
        <w:rPr>
          <w:rFonts w:ascii="Times New Roman" w:hAnsi="Times New Roman" w:cs="Times New Roman"/>
        </w:rPr>
        <w:t>is older than</w:t>
      </w:r>
      <w:r w:rsidR="00A760B2" w:rsidRPr="00D56B97">
        <w:rPr>
          <w:rFonts w:ascii="Times New Roman" w:hAnsi="Times New Roman" w:cs="Times New Roman"/>
        </w:rPr>
        <w:t xml:space="preserve"> </w:t>
      </w:r>
      <w:r w:rsidRPr="00D56B97">
        <w:rPr>
          <w:rFonts w:ascii="Times New Roman" w:hAnsi="Times New Roman" w:cs="Times New Roman"/>
        </w:rPr>
        <w:t xml:space="preserve">the </w:t>
      </w:r>
      <w:r w:rsidR="00F273B3" w:rsidRPr="00D56B97">
        <w:rPr>
          <w:rFonts w:ascii="Times New Roman" w:hAnsi="Times New Roman" w:cs="Times New Roman"/>
        </w:rPr>
        <w:t xml:space="preserve">gatekeeper </w:t>
      </w:r>
      <w:r w:rsidR="00A760B2" w:rsidRPr="00D56B97">
        <w:rPr>
          <w:rFonts w:ascii="Times New Roman" w:hAnsi="Times New Roman" w:cs="Times New Roman"/>
        </w:rPr>
        <w:t xml:space="preserve">cases of </w:t>
      </w:r>
      <w:r w:rsidR="00A760B2" w:rsidRPr="00D56B97">
        <w:rPr>
          <w:rFonts w:ascii="Times New Roman" w:hAnsi="Times New Roman" w:cs="Times New Roman"/>
          <w:i/>
        </w:rPr>
        <w:t>Re C</w:t>
      </w:r>
      <w:r w:rsidR="00A760B2" w:rsidRPr="00D56B97">
        <w:rPr>
          <w:rFonts w:ascii="Times New Roman" w:hAnsi="Times New Roman" w:cs="Times New Roman"/>
        </w:rPr>
        <w:t xml:space="preserve"> and </w:t>
      </w:r>
      <w:r w:rsidR="00A760B2" w:rsidRPr="00D56B97">
        <w:rPr>
          <w:rFonts w:ascii="Times New Roman" w:hAnsi="Times New Roman" w:cs="Times New Roman"/>
          <w:i/>
        </w:rPr>
        <w:t>Re MB</w:t>
      </w:r>
      <w:r w:rsidR="007D49D2" w:rsidRPr="00D56B97">
        <w:rPr>
          <w:rFonts w:ascii="Times New Roman" w:hAnsi="Times New Roman" w:cs="Times New Roman"/>
        </w:rPr>
        <w:t>, and</w:t>
      </w:r>
      <w:r w:rsidR="00F273B3" w:rsidRPr="00D56B97">
        <w:rPr>
          <w:rFonts w:ascii="Times New Roman" w:hAnsi="Times New Roman" w:cs="Times New Roman"/>
        </w:rPr>
        <w:t xml:space="preserve"> t</w:t>
      </w:r>
      <w:r w:rsidR="00F35968" w:rsidRPr="00D56B97">
        <w:rPr>
          <w:rFonts w:ascii="Times New Roman" w:hAnsi="Times New Roman" w:cs="Times New Roman"/>
        </w:rPr>
        <w:t>ho</w:t>
      </w:r>
      <w:r w:rsidR="002A41DC" w:rsidRPr="00D56B97">
        <w:rPr>
          <w:rFonts w:ascii="Times New Roman" w:hAnsi="Times New Roman" w:cs="Times New Roman"/>
        </w:rPr>
        <w:t>se</w:t>
      </w:r>
      <w:r w:rsidRPr="00D56B97">
        <w:rPr>
          <w:rFonts w:ascii="Times New Roman" w:hAnsi="Times New Roman" w:cs="Times New Roman"/>
        </w:rPr>
        <w:t xml:space="preserve"> cases applied </w:t>
      </w:r>
      <w:r w:rsidRPr="00D56B97">
        <w:rPr>
          <w:rFonts w:ascii="Times New Roman" w:hAnsi="Times New Roman" w:cs="Times New Roman"/>
          <w:i/>
        </w:rPr>
        <w:t>Re T</w:t>
      </w:r>
      <w:r w:rsidR="00771C09" w:rsidRPr="00D56B97">
        <w:rPr>
          <w:rFonts w:ascii="Times New Roman" w:hAnsi="Times New Roman" w:cs="Times New Roman"/>
        </w:rPr>
        <w:t>, so i</w:t>
      </w:r>
      <w:r w:rsidR="006C2053" w:rsidRPr="00D56B97">
        <w:rPr>
          <w:rFonts w:ascii="Times New Roman" w:hAnsi="Times New Roman" w:cs="Times New Roman"/>
        </w:rPr>
        <w:t xml:space="preserve">t is worth examining how </w:t>
      </w:r>
      <w:r w:rsidR="00F273B3" w:rsidRPr="00D56B97">
        <w:rPr>
          <w:rFonts w:ascii="Times New Roman" w:hAnsi="Times New Roman" w:cs="Times New Roman"/>
        </w:rPr>
        <w:t xml:space="preserve">an insufficiency account became a </w:t>
      </w:r>
      <w:r w:rsidR="006C2053" w:rsidRPr="00D56B97">
        <w:rPr>
          <w:rFonts w:ascii="Times New Roman" w:hAnsi="Times New Roman" w:cs="Times New Roman"/>
        </w:rPr>
        <w:t xml:space="preserve">gatekeeper </w:t>
      </w:r>
      <w:r w:rsidR="00F273B3" w:rsidRPr="00D56B97">
        <w:rPr>
          <w:rFonts w:ascii="Times New Roman" w:hAnsi="Times New Roman" w:cs="Times New Roman"/>
        </w:rPr>
        <w:t>one</w:t>
      </w:r>
      <w:r w:rsidR="003376CF" w:rsidRPr="00D56B97">
        <w:rPr>
          <w:rFonts w:ascii="Times New Roman" w:hAnsi="Times New Roman" w:cs="Times New Roman"/>
        </w:rPr>
        <w:t>.</w:t>
      </w:r>
      <w:r w:rsidR="003376CF" w:rsidRPr="00D56B97">
        <w:rPr>
          <w:rStyle w:val="FootnoteReference"/>
          <w:rFonts w:ascii="Times New Roman" w:hAnsi="Times New Roman" w:cs="Times New Roman"/>
        </w:rPr>
        <w:footnoteReference w:id="58"/>
      </w:r>
      <w:r w:rsidR="003376CF" w:rsidRPr="00D56B97">
        <w:rPr>
          <w:rFonts w:ascii="Times New Roman" w:hAnsi="Times New Roman" w:cs="Times New Roman"/>
        </w:rPr>
        <w:t xml:space="preserve"> It did so by two routes, case law and L</w:t>
      </w:r>
      <w:r w:rsidR="00D60C7C" w:rsidRPr="00D56B97">
        <w:rPr>
          <w:rFonts w:ascii="Times New Roman" w:hAnsi="Times New Roman" w:cs="Times New Roman"/>
        </w:rPr>
        <w:t>aw Commission led reform. Taking</w:t>
      </w:r>
      <w:r w:rsidR="003376CF" w:rsidRPr="00D56B97">
        <w:rPr>
          <w:rFonts w:ascii="Times New Roman" w:hAnsi="Times New Roman" w:cs="Times New Roman"/>
        </w:rPr>
        <w:t xml:space="preserve"> </w:t>
      </w:r>
      <w:r w:rsidR="006C2053" w:rsidRPr="00D56B97">
        <w:rPr>
          <w:rFonts w:ascii="Times New Roman" w:hAnsi="Times New Roman" w:cs="Times New Roman"/>
        </w:rPr>
        <w:t xml:space="preserve">the </w:t>
      </w:r>
      <w:r w:rsidR="00D60C7C" w:rsidRPr="00D56B97">
        <w:rPr>
          <w:rFonts w:ascii="Times New Roman" w:hAnsi="Times New Roman" w:cs="Times New Roman"/>
        </w:rPr>
        <w:t>case law first,</w:t>
      </w:r>
      <w:r w:rsidR="00AC49C5" w:rsidRPr="00D56B97">
        <w:rPr>
          <w:rFonts w:ascii="Times New Roman" w:hAnsi="Times New Roman" w:cs="Times New Roman"/>
          <w:i/>
        </w:rPr>
        <w:t xml:space="preserve"> </w:t>
      </w:r>
      <w:r w:rsidR="003376CF" w:rsidRPr="00D56B97">
        <w:rPr>
          <w:rFonts w:ascii="Times New Roman" w:hAnsi="Times New Roman" w:cs="Times New Roman"/>
        </w:rPr>
        <w:t xml:space="preserve">neither </w:t>
      </w:r>
      <w:r w:rsidR="003376CF" w:rsidRPr="00D56B97">
        <w:rPr>
          <w:rFonts w:ascii="Times New Roman" w:hAnsi="Times New Roman" w:cs="Times New Roman"/>
          <w:i/>
        </w:rPr>
        <w:t>Re C</w:t>
      </w:r>
      <w:r w:rsidR="003376CF" w:rsidRPr="00D56B97">
        <w:rPr>
          <w:rFonts w:ascii="Times New Roman" w:hAnsi="Times New Roman" w:cs="Times New Roman"/>
        </w:rPr>
        <w:t xml:space="preserve"> nor </w:t>
      </w:r>
      <w:r w:rsidR="003376CF" w:rsidRPr="00D56B97">
        <w:rPr>
          <w:rFonts w:ascii="Times New Roman" w:hAnsi="Times New Roman" w:cs="Times New Roman"/>
          <w:i/>
        </w:rPr>
        <w:t>Re MB</w:t>
      </w:r>
      <w:r w:rsidR="00AC49C5" w:rsidRPr="00D56B97">
        <w:rPr>
          <w:rFonts w:ascii="Times New Roman" w:hAnsi="Times New Roman" w:cs="Times New Roman"/>
        </w:rPr>
        <w:t xml:space="preserve"> concerned</w:t>
      </w:r>
      <w:r w:rsidR="003376CF" w:rsidRPr="00D56B97">
        <w:rPr>
          <w:rFonts w:ascii="Times New Roman" w:hAnsi="Times New Roman" w:cs="Times New Roman"/>
        </w:rPr>
        <w:t xml:space="preserve"> allegations of</w:t>
      </w:r>
      <w:r w:rsidR="00AC49C5" w:rsidRPr="00D56B97">
        <w:rPr>
          <w:rFonts w:ascii="Times New Roman" w:hAnsi="Times New Roman" w:cs="Times New Roman"/>
        </w:rPr>
        <w:t xml:space="preserve"> undue influen</w:t>
      </w:r>
      <w:r w:rsidR="00771C09" w:rsidRPr="00D56B97">
        <w:rPr>
          <w:rFonts w:ascii="Times New Roman" w:hAnsi="Times New Roman" w:cs="Times New Roman"/>
        </w:rPr>
        <w:t>ce. As a result, when applying</w:t>
      </w:r>
      <w:r w:rsidR="00AC49C5" w:rsidRPr="00D56B97">
        <w:rPr>
          <w:rFonts w:ascii="Times New Roman" w:hAnsi="Times New Roman" w:cs="Times New Roman"/>
        </w:rPr>
        <w:t xml:space="preserve"> </w:t>
      </w:r>
      <w:r w:rsidR="00AC49C5" w:rsidRPr="00D56B97">
        <w:rPr>
          <w:rFonts w:ascii="Times New Roman" w:hAnsi="Times New Roman" w:cs="Times New Roman"/>
          <w:i/>
        </w:rPr>
        <w:t>Re T,</w:t>
      </w:r>
      <w:r w:rsidR="00D53150" w:rsidRPr="00D56B97">
        <w:rPr>
          <w:rFonts w:ascii="Times New Roman" w:hAnsi="Times New Roman" w:cs="Times New Roman"/>
        </w:rPr>
        <w:t xml:space="preserve"> they </w:t>
      </w:r>
      <w:r w:rsidR="00E14686" w:rsidRPr="00D56B97">
        <w:rPr>
          <w:rFonts w:ascii="Times New Roman" w:hAnsi="Times New Roman" w:cs="Times New Roman"/>
        </w:rPr>
        <w:t>did not</w:t>
      </w:r>
      <w:r w:rsidR="00AC49C5" w:rsidRPr="00D56B97">
        <w:rPr>
          <w:rFonts w:ascii="Times New Roman" w:hAnsi="Times New Roman" w:cs="Times New Roman"/>
        </w:rPr>
        <w:t xml:space="preserve"> men</w:t>
      </w:r>
      <w:r w:rsidR="002A41DC" w:rsidRPr="00D56B97">
        <w:rPr>
          <w:rFonts w:ascii="Times New Roman" w:hAnsi="Times New Roman" w:cs="Times New Roman"/>
        </w:rPr>
        <w:t>tion that part of the precedent</w:t>
      </w:r>
      <w:r w:rsidR="00AC49C5" w:rsidRPr="00D56B97">
        <w:rPr>
          <w:rFonts w:ascii="Times New Roman" w:hAnsi="Times New Roman" w:cs="Times New Roman"/>
        </w:rPr>
        <w:t>.</w:t>
      </w:r>
      <w:r w:rsidR="00AC49C5" w:rsidRPr="00D56B97">
        <w:rPr>
          <w:rStyle w:val="FootnoteReference"/>
          <w:rFonts w:ascii="Times New Roman" w:hAnsi="Times New Roman" w:cs="Times New Roman"/>
        </w:rPr>
        <w:footnoteReference w:id="59"/>
      </w:r>
      <w:r w:rsidR="00822F27" w:rsidRPr="00D56B97">
        <w:rPr>
          <w:rFonts w:ascii="Times New Roman" w:hAnsi="Times New Roman" w:cs="Times New Roman"/>
        </w:rPr>
        <w:t xml:space="preserve"> </w:t>
      </w:r>
      <w:r w:rsidR="006C2053" w:rsidRPr="00D56B97">
        <w:rPr>
          <w:rFonts w:ascii="Times New Roman" w:hAnsi="Times New Roman" w:cs="Times New Roman"/>
        </w:rPr>
        <w:t xml:space="preserve">This omission led to </w:t>
      </w:r>
      <w:r w:rsidR="00FB7146" w:rsidRPr="00D56B97">
        <w:rPr>
          <w:rFonts w:ascii="Times New Roman" w:hAnsi="Times New Roman" w:cs="Times New Roman"/>
        </w:rPr>
        <w:t>a</w:t>
      </w:r>
      <w:r w:rsidR="00822F27" w:rsidRPr="00D56B97">
        <w:rPr>
          <w:rFonts w:ascii="Times New Roman" w:hAnsi="Times New Roman" w:cs="Times New Roman"/>
        </w:rPr>
        <w:t xml:space="preserve"> gatekeeper</w:t>
      </w:r>
      <w:r w:rsidR="006C2053" w:rsidRPr="00D56B97">
        <w:rPr>
          <w:rFonts w:ascii="Times New Roman" w:hAnsi="Times New Roman" w:cs="Times New Roman"/>
        </w:rPr>
        <w:t xml:space="preserve"> account</w:t>
      </w:r>
      <w:r w:rsidR="008365B0" w:rsidRPr="00D56B97">
        <w:rPr>
          <w:rFonts w:ascii="Times New Roman" w:hAnsi="Times New Roman" w:cs="Times New Roman"/>
        </w:rPr>
        <w:t>: f</w:t>
      </w:r>
      <w:r w:rsidR="00822F27" w:rsidRPr="00D56B97">
        <w:rPr>
          <w:rFonts w:ascii="Times New Roman" w:hAnsi="Times New Roman" w:cs="Times New Roman"/>
        </w:rPr>
        <w:t>or instance,</w:t>
      </w:r>
      <w:r w:rsidR="003376CF" w:rsidRPr="00D56B97">
        <w:rPr>
          <w:rFonts w:ascii="Times New Roman" w:hAnsi="Times New Roman" w:cs="Times New Roman"/>
        </w:rPr>
        <w:t xml:space="preserve"> in </w:t>
      </w:r>
      <w:r w:rsidR="003376CF" w:rsidRPr="00D56B97">
        <w:rPr>
          <w:rFonts w:ascii="Times New Roman" w:hAnsi="Times New Roman" w:cs="Times New Roman"/>
          <w:i/>
        </w:rPr>
        <w:t>MB,</w:t>
      </w:r>
      <w:r w:rsidR="008365B0" w:rsidRPr="00D56B97">
        <w:rPr>
          <w:rFonts w:ascii="Times New Roman" w:hAnsi="Times New Roman" w:cs="Times New Roman"/>
        </w:rPr>
        <w:t xml:space="preserve"> </w:t>
      </w:r>
      <w:r w:rsidR="00822F27" w:rsidRPr="00D56B97">
        <w:rPr>
          <w:rFonts w:ascii="Times New Roman" w:hAnsi="Times New Roman" w:cs="Times New Roman"/>
        </w:rPr>
        <w:t xml:space="preserve">‘the </w:t>
      </w:r>
      <w:r w:rsidR="00822F27" w:rsidRPr="00D56B97">
        <w:rPr>
          <w:rFonts w:ascii="Times New Roman" w:hAnsi="Times New Roman" w:cs="Times New Roman"/>
          <w:i/>
        </w:rPr>
        <w:t xml:space="preserve">only situation </w:t>
      </w:r>
      <w:r w:rsidR="00822F27" w:rsidRPr="00D56B97">
        <w:rPr>
          <w:rFonts w:ascii="Times New Roman" w:hAnsi="Times New Roman" w:cs="Times New Roman"/>
        </w:rPr>
        <w:t>in which it is lawful for the doctors to intervene is if it is believed that the adult patient lacks the capacity to decide’</w:t>
      </w:r>
      <w:r w:rsidR="00822F27" w:rsidRPr="00D56B97">
        <w:rPr>
          <w:rFonts w:ascii="Times New Roman" w:hAnsi="Times New Roman" w:cs="Times New Roman"/>
          <w:i/>
        </w:rPr>
        <w:t>.</w:t>
      </w:r>
      <w:r w:rsidR="00822F27" w:rsidRPr="00D56B97">
        <w:rPr>
          <w:rStyle w:val="FootnoteReference"/>
          <w:rFonts w:ascii="Times New Roman" w:hAnsi="Times New Roman" w:cs="Times New Roman"/>
        </w:rPr>
        <w:footnoteReference w:id="60"/>
      </w:r>
      <w:r w:rsidR="0078195D" w:rsidRPr="00D56B97">
        <w:rPr>
          <w:rFonts w:ascii="Times New Roman" w:hAnsi="Times New Roman" w:cs="Times New Roman"/>
          <w:i/>
        </w:rPr>
        <w:t xml:space="preserve"> </w:t>
      </w:r>
      <w:r w:rsidR="0078195D" w:rsidRPr="00D56B97">
        <w:rPr>
          <w:rFonts w:ascii="Times New Roman" w:hAnsi="Times New Roman" w:cs="Times New Roman"/>
        </w:rPr>
        <w:t>Somet</w:t>
      </w:r>
      <w:r w:rsidR="00CD584F" w:rsidRPr="00D56B97">
        <w:rPr>
          <w:rFonts w:ascii="Times New Roman" w:hAnsi="Times New Roman" w:cs="Times New Roman"/>
        </w:rPr>
        <w:t>hing similar happened with the Law C</w:t>
      </w:r>
      <w:r w:rsidR="0078195D" w:rsidRPr="00D56B97">
        <w:rPr>
          <w:rFonts w:ascii="Times New Roman" w:hAnsi="Times New Roman" w:cs="Times New Roman"/>
        </w:rPr>
        <w:t>ommission.</w:t>
      </w:r>
      <w:r w:rsidR="00361290" w:rsidRPr="00D56B97">
        <w:rPr>
          <w:rFonts w:ascii="Times New Roman" w:hAnsi="Times New Roman" w:cs="Times New Roman"/>
        </w:rPr>
        <w:t xml:space="preserve"> </w:t>
      </w:r>
      <w:r w:rsidR="00361290" w:rsidRPr="00D56B97">
        <w:rPr>
          <w:rFonts w:ascii="Times New Roman" w:hAnsi="Times New Roman" w:cs="Times New Roman"/>
          <w:i/>
        </w:rPr>
        <w:t>Re T</w:t>
      </w:r>
      <w:r w:rsidR="00CD584F" w:rsidRPr="00D56B97">
        <w:rPr>
          <w:rFonts w:ascii="Times New Roman" w:hAnsi="Times New Roman" w:cs="Times New Roman"/>
        </w:rPr>
        <w:t xml:space="preserve"> envisages two separate tests</w:t>
      </w:r>
      <w:r w:rsidR="0078195D" w:rsidRPr="00D56B97">
        <w:rPr>
          <w:rFonts w:ascii="Times New Roman" w:hAnsi="Times New Roman" w:cs="Times New Roman"/>
        </w:rPr>
        <w:t xml:space="preserve">, </w:t>
      </w:r>
      <w:r w:rsidR="00551ADC" w:rsidRPr="00D56B97">
        <w:rPr>
          <w:rFonts w:ascii="Times New Roman" w:hAnsi="Times New Roman" w:cs="Times New Roman"/>
        </w:rPr>
        <w:t xml:space="preserve">first </w:t>
      </w:r>
      <w:r w:rsidR="003006A8" w:rsidRPr="00D56B97">
        <w:rPr>
          <w:rFonts w:ascii="Times New Roman" w:hAnsi="Times New Roman" w:cs="Times New Roman"/>
        </w:rPr>
        <w:t xml:space="preserve">whether the person has </w:t>
      </w:r>
      <w:r w:rsidR="0078195D" w:rsidRPr="00D56B97">
        <w:rPr>
          <w:rFonts w:ascii="Times New Roman" w:hAnsi="Times New Roman" w:cs="Times New Roman"/>
        </w:rPr>
        <w:t>capacity and</w:t>
      </w:r>
      <w:r w:rsidR="003006A8" w:rsidRPr="00D56B97">
        <w:rPr>
          <w:rFonts w:ascii="Times New Roman" w:hAnsi="Times New Roman" w:cs="Times New Roman"/>
        </w:rPr>
        <w:t xml:space="preserve"> </w:t>
      </w:r>
      <w:r w:rsidR="00551ADC" w:rsidRPr="00D56B97">
        <w:rPr>
          <w:rFonts w:ascii="Times New Roman" w:hAnsi="Times New Roman" w:cs="Times New Roman"/>
        </w:rPr>
        <w:t xml:space="preserve">then </w:t>
      </w:r>
      <w:r w:rsidR="003006A8" w:rsidRPr="00D56B97">
        <w:rPr>
          <w:rFonts w:ascii="Times New Roman" w:hAnsi="Times New Roman" w:cs="Times New Roman"/>
        </w:rPr>
        <w:t>whether</w:t>
      </w:r>
      <w:r w:rsidR="0078195D" w:rsidRPr="00D56B97">
        <w:rPr>
          <w:rFonts w:ascii="Times New Roman" w:hAnsi="Times New Roman" w:cs="Times New Roman"/>
        </w:rPr>
        <w:t xml:space="preserve"> </w:t>
      </w:r>
      <w:r w:rsidR="00CD584F" w:rsidRPr="00D56B97">
        <w:rPr>
          <w:rFonts w:ascii="Times New Roman" w:hAnsi="Times New Roman" w:cs="Times New Roman"/>
        </w:rPr>
        <w:t xml:space="preserve">their will </w:t>
      </w:r>
      <w:r w:rsidR="003006A8" w:rsidRPr="00D56B97">
        <w:rPr>
          <w:rFonts w:ascii="Times New Roman" w:hAnsi="Times New Roman" w:cs="Times New Roman"/>
        </w:rPr>
        <w:t xml:space="preserve">is </w:t>
      </w:r>
      <w:r w:rsidR="00CD584F" w:rsidRPr="00D56B97">
        <w:rPr>
          <w:rFonts w:ascii="Times New Roman" w:hAnsi="Times New Roman" w:cs="Times New Roman"/>
        </w:rPr>
        <w:t>nevertheless being overborne,</w:t>
      </w:r>
      <w:r w:rsidR="00CD584F" w:rsidRPr="00D56B97">
        <w:rPr>
          <w:rStyle w:val="FootnoteReference"/>
          <w:rFonts w:ascii="Times New Roman" w:hAnsi="Times New Roman" w:cs="Times New Roman"/>
        </w:rPr>
        <w:footnoteReference w:id="61"/>
      </w:r>
      <w:r w:rsidR="00CD584F" w:rsidRPr="00D56B97">
        <w:rPr>
          <w:rFonts w:ascii="Times New Roman" w:hAnsi="Times New Roman" w:cs="Times New Roman"/>
        </w:rPr>
        <w:t xml:space="preserve"> </w:t>
      </w:r>
      <w:r w:rsidR="00361290" w:rsidRPr="00D56B97">
        <w:rPr>
          <w:rFonts w:ascii="Times New Roman" w:hAnsi="Times New Roman" w:cs="Times New Roman"/>
        </w:rPr>
        <w:t xml:space="preserve">but </w:t>
      </w:r>
      <w:r w:rsidR="00CD584F" w:rsidRPr="00D56B97">
        <w:rPr>
          <w:rFonts w:ascii="Times New Roman" w:hAnsi="Times New Roman" w:cs="Times New Roman"/>
        </w:rPr>
        <w:t>the Law Commission</w:t>
      </w:r>
      <w:r w:rsidR="003006A8" w:rsidRPr="00D56B97">
        <w:rPr>
          <w:rFonts w:ascii="Times New Roman" w:hAnsi="Times New Roman" w:cs="Times New Roman"/>
        </w:rPr>
        <w:t>’</w:t>
      </w:r>
      <w:r w:rsidR="00CD584F" w:rsidRPr="00D56B97">
        <w:rPr>
          <w:rFonts w:ascii="Times New Roman" w:hAnsi="Times New Roman" w:cs="Times New Roman"/>
        </w:rPr>
        <w:t>s report considers that someone with a mental disability who is ‘unable to exert their will against some stronger person who wishes to influence their decisions’</w:t>
      </w:r>
      <w:r w:rsidR="00CD584F" w:rsidRPr="00D56B97">
        <w:rPr>
          <w:rStyle w:val="FootnoteReference"/>
          <w:rFonts w:ascii="Times New Roman" w:hAnsi="Times New Roman" w:cs="Times New Roman"/>
        </w:rPr>
        <w:footnoteReference w:id="62"/>
      </w:r>
      <w:r w:rsidR="00CD584F" w:rsidRPr="00D56B97">
        <w:rPr>
          <w:rFonts w:ascii="Times New Roman" w:hAnsi="Times New Roman" w:cs="Times New Roman"/>
        </w:rPr>
        <w:t xml:space="preserve"> lacks </w:t>
      </w:r>
      <w:r w:rsidR="00551ADC" w:rsidRPr="00D56B97">
        <w:rPr>
          <w:rFonts w:ascii="Times New Roman" w:hAnsi="Times New Roman" w:cs="Times New Roman"/>
        </w:rPr>
        <w:t xml:space="preserve">mental </w:t>
      </w:r>
      <w:r w:rsidR="00CD584F" w:rsidRPr="00D56B97">
        <w:rPr>
          <w:rFonts w:ascii="Times New Roman" w:hAnsi="Times New Roman" w:cs="Times New Roman"/>
        </w:rPr>
        <w:t xml:space="preserve">capacity. </w:t>
      </w:r>
      <w:r w:rsidR="00FB7146" w:rsidRPr="00D56B97">
        <w:rPr>
          <w:rFonts w:ascii="Times New Roman" w:hAnsi="Times New Roman" w:cs="Times New Roman"/>
        </w:rPr>
        <w:t>Combining</w:t>
      </w:r>
      <w:r w:rsidR="00306549" w:rsidRPr="00D56B97">
        <w:rPr>
          <w:rFonts w:ascii="Times New Roman" w:hAnsi="Times New Roman" w:cs="Times New Roman"/>
        </w:rPr>
        <w:t xml:space="preserve"> incapacity and in</w:t>
      </w:r>
      <w:r w:rsidR="005A5143" w:rsidRPr="00D56B97">
        <w:rPr>
          <w:rFonts w:ascii="Times New Roman" w:hAnsi="Times New Roman" w:cs="Times New Roman"/>
        </w:rPr>
        <w:t>voluntariness</w:t>
      </w:r>
      <w:r w:rsidR="00FB7146" w:rsidRPr="00D56B97">
        <w:rPr>
          <w:rFonts w:ascii="Times New Roman" w:hAnsi="Times New Roman" w:cs="Times New Roman"/>
        </w:rPr>
        <w:t xml:space="preserve"> in this way</w:t>
      </w:r>
      <w:r w:rsidR="00CD584F" w:rsidRPr="00D56B97">
        <w:rPr>
          <w:rFonts w:ascii="Times New Roman" w:hAnsi="Times New Roman" w:cs="Times New Roman"/>
        </w:rPr>
        <w:t xml:space="preserve"> </w:t>
      </w:r>
      <w:r w:rsidR="00CB76AA" w:rsidRPr="00D56B97">
        <w:rPr>
          <w:rFonts w:ascii="Times New Roman" w:hAnsi="Times New Roman" w:cs="Times New Roman"/>
        </w:rPr>
        <w:t>necessarily leads to a gatekeeper account of the relationshi</w:t>
      </w:r>
      <w:r w:rsidR="00361290" w:rsidRPr="00D56B97">
        <w:rPr>
          <w:rFonts w:ascii="Times New Roman" w:hAnsi="Times New Roman" w:cs="Times New Roman"/>
        </w:rPr>
        <w:t>p between capacity and autonomy. R</w:t>
      </w:r>
      <w:r w:rsidR="003006A8" w:rsidRPr="00D56B97">
        <w:rPr>
          <w:rFonts w:ascii="Times New Roman" w:hAnsi="Times New Roman" w:cs="Times New Roman"/>
        </w:rPr>
        <w:t>ather than being</w:t>
      </w:r>
      <w:r w:rsidR="00551ADC" w:rsidRPr="00D56B97">
        <w:rPr>
          <w:rFonts w:ascii="Times New Roman" w:hAnsi="Times New Roman" w:cs="Times New Roman"/>
        </w:rPr>
        <w:t>, as in the insufficiency account,</w:t>
      </w:r>
      <w:r w:rsidR="003006A8" w:rsidRPr="00D56B97">
        <w:rPr>
          <w:rFonts w:ascii="Times New Roman" w:hAnsi="Times New Roman" w:cs="Times New Roman"/>
        </w:rPr>
        <w:t xml:space="preserve"> something </w:t>
      </w:r>
      <w:r w:rsidR="003D1DF5" w:rsidRPr="00D56B97">
        <w:rPr>
          <w:rFonts w:ascii="Times New Roman" w:hAnsi="Times New Roman" w:cs="Times New Roman"/>
        </w:rPr>
        <w:t>additional to</w:t>
      </w:r>
      <w:r w:rsidR="003006A8" w:rsidRPr="00D56B97">
        <w:rPr>
          <w:rFonts w:ascii="Times New Roman" w:hAnsi="Times New Roman" w:cs="Times New Roman"/>
        </w:rPr>
        <w:t xml:space="preserve"> incapacity that can remove a pe</w:t>
      </w:r>
      <w:r w:rsidR="00E3240D" w:rsidRPr="00D56B97">
        <w:rPr>
          <w:rFonts w:ascii="Times New Roman" w:hAnsi="Times New Roman" w:cs="Times New Roman"/>
        </w:rPr>
        <w:t>rson’s autonomy, involuntariness</w:t>
      </w:r>
      <w:r w:rsidR="00306549" w:rsidRPr="00D56B97">
        <w:rPr>
          <w:rFonts w:ascii="Times New Roman" w:hAnsi="Times New Roman" w:cs="Times New Roman"/>
        </w:rPr>
        <w:t xml:space="preserve"> simply </w:t>
      </w:r>
      <w:r w:rsidR="003006A8" w:rsidRPr="00D56B97">
        <w:rPr>
          <w:rFonts w:ascii="Times New Roman" w:hAnsi="Times New Roman" w:cs="Times New Roman"/>
        </w:rPr>
        <w:t>becomes part of incapacity</w:t>
      </w:r>
      <w:r w:rsidR="00306549" w:rsidRPr="00D56B97">
        <w:rPr>
          <w:rFonts w:ascii="Times New Roman" w:hAnsi="Times New Roman" w:cs="Times New Roman"/>
        </w:rPr>
        <w:t xml:space="preserve"> itself</w:t>
      </w:r>
      <w:r w:rsidR="003D1DF5" w:rsidRPr="00D56B97">
        <w:rPr>
          <w:rFonts w:ascii="Times New Roman" w:hAnsi="Times New Roman" w:cs="Times New Roman"/>
        </w:rPr>
        <w:t>.</w:t>
      </w:r>
      <w:r w:rsidR="002A41DC" w:rsidRPr="00D56B97">
        <w:rPr>
          <w:rFonts w:ascii="Times New Roman" w:hAnsi="Times New Roman" w:cs="Times New Roman"/>
        </w:rPr>
        <w:t xml:space="preserve"> </w:t>
      </w:r>
      <w:r w:rsidR="00622128" w:rsidRPr="00D56B97">
        <w:rPr>
          <w:rFonts w:ascii="Times New Roman" w:hAnsi="Times New Roman" w:cs="Times New Roman"/>
        </w:rPr>
        <w:t xml:space="preserve">There is, however, a difference between </w:t>
      </w:r>
      <w:r w:rsidR="00920856" w:rsidRPr="00D56B97">
        <w:rPr>
          <w:rFonts w:ascii="Times New Roman" w:hAnsi="Times New Roman" w:cs="Times New Roman"/>
        </w:rPr>
        <w:t>this and the</w:t>
      </w:r>
      <w:r w:rsidR="00622128" w:rsidRPr="00D56B97">
        <w:rPr>
          <w:rFonts w:ascii="Times New Roman" w:hAnsi="Times New Roman" w:cs="Times New Roman"/>
        </w:rPr>
        <w:t xml:space="preserve"> </w:t>
      </w:r>
      <w:r w:rsidR="00FB7146" w:rsidRPr="00D56B97">
        <w:rPr>
          <w:rFonts w:ascii="Times New Roman" w:hAnsi="Times New Roman" w:cs="Times New Roman"/>
        </w:rPr>
        <w:t>g</w:t>
      </w:r>
      <w:r w:rsidR="00622128" w:rsidRPr="00D56B97">
        <w:rPr>
          <w:rFonts w:ascii="Times New Roman" w:hAnsi="Times New Roman" w:cs="Times New Roman"/>
        </w:rPr>
        <w:t xml:space="preserve">atekeeper </w:t>
      </w:r>
      <w:r w:rsidR="0012386B" w:rsidRPr="00D56B97">
        <w:rPr>
          <w:rFonts w:ascii="Times New Roman" w:hAnsi="Times New Roman" w:cs="Times New Roman"/>
        </w:rPr>
        <w:t>cases. The cases</w:t>
      </w:r>
      <w:r w:rsidR="00622128" w:rsidRPr="00D56B97">
        <w:rPr>
          <w:rFonts w:ascii="Times New Roman" w:hAnsi="Times New Roman" w:cs="Times New Roman"/>
        </w:rPr>
        <w:t xml:space="preserve">, by silence, </w:t>
      </w:r>
      <w:r w:rsidR="000B7B28" w:rsidRPr="00D56B97">
        <w:rPr>
          <w:rFonts w:ascii="Times New Roman" w:hAnsi="Times New Roman" w:cs="Times New Roman"/>
        </w:rPr>
        <w:t>seem</w:t>
      </w:r>
      <w:r w:rsidR="00FB7146" w:rsidRPr="00D56B97">
        <w:rPr>
          <w:rFonts w:ascii="Times New Roman" w:hAnsi="Times New Roman" w:cs="Times New Roman"/>
        </w:rPr>
        <w:t xml:space="preserve"> to erase</w:t>
      </w:r>
      <w:r w:rsidR="00622128" w:rsidRPr="00D56B97">
        <w:rPr>
          <w:rFonts w:ascii="Times New Roman" w:hAnsi="Times New Roman" w:cs="Times New Roman"/>
        </w:rPr>
        <w:t xml:space="preserve"> any consideration of </w:t>
      </w:r>
      <w:r w:rsidR="000B7B28" w:rsidRPr="00D56B97">
        <w:rPr>
          <w:rFonts w:ascii="Times New Roman" w:hAnsi="Times New Roman" w:cs="Times New Roman"/>
        </w:rPr>
        <w:t>in</w:t>
      </w:r>
      <w:r w:rsidR="00622128" w:rsidRPr="00D56B97">
        <w:rPr>
          <w:rFonts w:ascii="Times New Roman" w:hAnsi="Times New Roman" w:cs="Times New Roman"/>
        </w:rPr>
        <w:t>voluntariness; but the Law Commission, by incorporation</w:t>
      </w:r>
      <w:r w:rsidR="00FB7146" w:rsidRPr="00D56B97">
        <w:rPr>
          <w:rFonts w:ascii="Times New Roman" w:hAnsi="Times New Roman" w:cs="Times New Roman"/>
        </w:rPr>
        <w:t>, draws</w:t>
      </w:r>
      <w:r w:rsidR="00622128" w:rsidRPr="00D56B97">
        <w:rPr>
          <w:rFonts w:ascii="Times New Roman" w:hAnsi="Times New Roman" w:cs="Times New Roman"/>
        </w:rPr>
        <w:t xml:space="preserve"> involuntariness into the definition of incapacity itself.</w:t>
      </w:r>
    </w:p>
    <w:p w14:paraId="7493C880" w14:textId="78DB9A76" w:rsidR="00797BA6" w:rsidRPr="00D56B97" w:rsidRDefault="00FB7146" w:rsidP="00CA462F">
      <w:pPr>
        <w:spacing w:line="480" w:lineRule="auto"/>
        <w:ind w:firstLine="720"/>
        <w:jc w:val="both"/>
        <w:rPr>
          <w:rFonts w:ascii="Times New Roman" w:hAnsi="Times New Roman" w:cs="Times New Roman"/>
        </w:rPr>
      </w:pPr>
      <w:r w:rsidRPr="00D56B97">
        <w:rPr>
          <w:rFonts w:ascii="Times New Roman" w:hAnsi="Times New Roman" w:cs="Times New Roman"/>
        </w:rPr>
        <w:t>The Law Commission’s combination</w:t>
      </w:r>
      <w:r w:rsidR="007A0E29" w:rsidRPr="00D56B97">
        <w:rPr>
          <w:rFonts w:ascii="Times New Roman" w:hAnsi="Times New Roman" w:cs="Times New Roman"/>
        </w:rPr>
        <w:t xml:space="preserve"> of incapacity and involuntariness</w:t>
      </w:r>
      <w:r w:rsidR="00874BFA" w:rsidRPr="00D56B97">
        <w:rPr>
          <w:rFonts w:ascii="Times New Roman" w:hAnsi="Times New Roman" w:cs="Times New Roman"/>
        </w:rPr>
        <w:t xml:space="preserve"> </w:t>
      </w:r>
      <w:r w:rsidRPr="00D56B97">
        <w:rPr>
          <w:rFonts w:ascii="Times New Roman" w:hAnsi="Times New Roman" w:cs="Times New Roman"/>
        </w:rPr>
        <w:t xml:space="preserve">has </w:t>
      </w:r>
      <w:r w:rsidR="00F273B3" w:rsidRPr="00D56B97">
        <w:rPr>
          <w:rFonts w:ascii="Times New Roman" w:hAnsi="Times New Roman" w:cs="Times New Roman"/>
        </w:rPr>
        <w:t xml:space="preserve">led to </w:t>
      </w:r>
      <w:r w:rsidR="003D4E25" w:rsidRPr="00D56B97">
        <w:rPr>
          <w:rFonts w:ascii="Times New Roman" w:hAnsi="Times New Roman" w:cs="Times New Roman"/>
        </w:rPr>
        <w:t>some</w:t>
      </w:r>
      <w:r w:rsidR="00874BFA" w:rsidRPr="00D56B97">
        <w:rPr>
          <w:rFonts w:ascii="Times New Roman" w:hAnsi="Times New Roman" w:cs="Times New Roman"/>
        </w:rPr>
        <w:t xml:space="preserve"> confusi</w:t>
      </w:r>
      <w:r w:rsidR="00F273B3" w:rsidRPr="00D56B97">
        <w:rPr>
          <w:rFonts w:ascii="Times New Roman" w:hAnsi="Times New Roman" w:cs="Times New Roman"/>
        </w:rPr>
        <w:t>on; for</w:t>
      </w:r>
      <w:r w:rsidR="00D53150" w:rsidRPr="00D56B97">
        <w:rPr>
          <w:rFonts w:ascii="Times New Roman" w:hAnsi="Times New Roman" w:cs="Times New Roman"/>
        </w:rPr>
        <w:t>, despite the assertion</w:t>
      </w:r>
      <w:r w:rsidR="00874BFA" w:rsidRPr="00D56B97">
        <w:rPr>
          <w:rFonts w:ascii="Times New Roman" w:hAnsi="Times New Roman" w:cs="Times New Roman"/>
        </w:rPr>
        <w:t xml:space="preserve"> that undue influence could go to incapacity, </w:t>
      </w:r>
      <w:r w:rsidR="00856567" w:rsidRPr="00D56B97">
        <w:rPr>
          <w:rFonts w:ascii="Times New Roman" w:hAnsi="Times New Roman" w:cs="Times New Roman"/>
        </w:rPr>
        <w:t>the</w:t>
      </w:r>
      <w:r w:rsidR="00D52C09" w:rsidRPr="00D56B97">
        <w:rPr>
          <w:rFonts w:ascii="Times New Roman" w:hAnsi="Times New Roman" w:cs="Times New Roman"/>
        </w:rPr>
        <w:t xml:space="preserve"> actual wording of </w:t>
      </w:r>
      <w:r w:rsidR="00AC595D" w:rsidRPr="00D56B97">
        <w:rPr>
          <w:rFonts w:ascii="Times New Roman" w:hAnsi="Times New Roman" w:cs="Times New Roman"/>
        </w:rPr>
        <w:t xml:space="preserve">the </w:t>
      </w:r>
      <w:r w:rsidR="00856567" w:rsidRPr="00D56B97">
        <w:rPr>
          <w:rFonts w:ascii="Times New Roman" w:hAnsi="Times New Roman" w:cs="Times New Roman"/>
        </w:rPr>
        <w:t xml:space="preserve">Commission’s draft Bill </w:t>
      </w:r>
      <w:r w:rsidR="003E7355" w:rsidRPr="00D56B97">
        <w:rPr>
          <w:rFonts w:ascii="Times New Roman" w:hAnsi="Times New Roman" w:cs="Times New Roman"/>
        </w:rPr>
        <w:t>preclude</w:t>
      </w:r>
      <w:r w:rsidR="00A540BA" w:rsidRPr="00D56B97">
        <w:rPr>
          <w:rFonts w:ascii="Times New Roman" w:hAnsi="Times New Roman" w:cs="Times New Roman"/>
        </w:rPr>
        <w:t>s</w:t>
      </w:r>
      <w:r w:rsidR="003E7355" w:rsidRPr="00D56B97">
        <w:rPr>
          <w:rFonts w:ascii="Times New Roman" w:hAnsi="Times New Roman" w:cs="Times New Roman"/>
        </w:rPr>
        <w:t xml:space="preserve"> this</w:t>
      </w:r>
      <w:r w:rsidR="00306549" w:rsidRPr="00D56B97">
        <w:rPr>
          <w:rFonts w:ascii="Times New Roman" w:hAnsi="Times New Roman" w:cs="Times New Roman"/>
        </w:rPr>
        <w:t xml:space="preserve"> from</w:t>
      </w:r>
      <w:r w:rsidR="003E7355" w:rsidRPr="00D56B97">
        <w:rPr>
          <w:rFonts w:ascii="Times New Roman" w:hAnsi="Times New Roman" w:cs="Times New Roman"/>
        </w:rPr>
        <w:t xml:space="preserve"> happening</w:t>
      </w:r>
      <w:r w:rsidR="00B04316" w:rsidRPr="00D56B97">
        <w:rPr>
          <w:rFonts w:ascii="Times New Roman" w:hAnsi="Times New Roman" w:cs="Times New Roman"/>
        </w:rPr>
        <w:t xml:space="preserve"> in every case</w:t>
      </w:r>
      <w:r w:rsidR="00856567" w:rsidRPr="00D56B97">
        <w:rPr>
          <w:rFonts w:ascii="Times New Roman" w:hAnsi="Times New Roman" w:cs="Times New Roman"/>
        </w:rPr>
        <w:t>.</w:t>
      </w:r>
      <w:r w:rsidR="00874BFA" w:rsidRPr="00D56B97">
        <w:rPr>
          <w:rFonts w:ascii="Times New Roman" w:hAnsi="Times New Roman" w:cs="Times New Roman"/>
        </w:rPr>
        <w:t xml:space="preserve"> </w:t>
      </w:r>
      <w:r w:rsidR="00856567" w:rsidRPr="00D56B97">
        <w:rPr>
          <w:rFonts w:ascii="Times New Roman" w:hAnsi="Times New Roman" w:cs="Times New Roman"/>
        </w:rPr>
        <w:t xml:space="preserve">The Bill states that someone lacks capacity if ‘unable </w:t>
      </w:r>
      <w:r w:rsidR="00856567" w:rsidRPr="00D56B97">
        <w:rPr>
          <w:rFonts w:ascii="Times New Roman" w:hAnsi="Times New Roman" w:cs="Times New Roman"/>
          <w:i/>
        </w:rPr>
        <w:t xml:space="preserve">by reason of </w:t>
      </w:r>
      <w:r w:rsidR="00856567" w:rsidRPr="00D56B97">
        <w:rPr>
          <w:rFonts w:ascii="Times New Roman" w:hAnsi="Times New Roman" w:cs="Times New Roman"/>
        </w:rPr>
        <w:t>mental disability to make a decision’</w:t>
      </w:r>
      <w:r w:rsidR="00AC595D" w:rsidRPr="00D56B97">
        <w:rPr>
          <w:rFonts w:ascii="Times New Roman" w:hAnsi="Times New Roman" w:cs="Times New Roman"/>
        </w:rPr>
        <w:t>.</w:t>
      </w:r>
      <w:r w:rsidR="00856567" w:rsidRPr="00D56B97">
        <w:rPr>
          <w:rStyle w:val="FootnoteReference"/>
          <w:rFonts w:ascii="Times New Roman" w:hAnsi="Times New Roman" w:cs="Times New Roman"/>
        </w:rPr>
        <w:footnoteReference w:id="63"/>
      </w:r>
      <w:r w:rsidR="00856567" w:rsidRPr="00D56B97">
        <w:rPr>
          <w:rFonts w:ascii="Times New Roman" w:hAnsi="Times New Roman" w:cs="Times New Roman"/>
        </w:rPr>
        <w:t xml:space="preserve"> </w:t>
      </w:r>
      <w:r w:rsidR="00AC595D" w:rsidRPr="00D56B97">
        <w:rPr>
          <w:rFonts w:ascii="Times New Roman" w:hAnsi="Times New Roman" w:cs="Times New Roman"/>
        </w:rPr>
        <w:t xml:space="preserve">Similarly, the MCA, as </w:t>
      </w:r>
      <w:r w:rsidR="00AC595D" w:rsidRPr="00D56B97">
        <w:rPr>
          <w:rFonts w:ascii="Times New Roman" w:hAnsi="Times New Roman" w:cs="Times New Roman"/>
        </w:rPr>
        <w:lastRenderedPageBreak/>
        <w:t>passed, requires incapacity be</w:t>
      </w:r>
      <w:r w:rsidR="00FE4E9C" w:rsidRPr="00D56B97">
        <w:rPr>
          <w:rFonts w:ascii="Times New Roman" w:hAnsi="Times New Roman" w:cs="Times New Roman"/>
        </w:rPr>
        <w:t xml:space="preserve"> ‘</w:t>
      </w:r>
      <w:r w:rsidR="00FE4E9C" w:rsidRPr="00D56B97">
        <w:rPr>
          <w:rFonts w:ascii="Times New Roman" w:hAnsi="Times New Roman" w:cs="Times New Roman"/>
          <w:i/>
        </w:rPr>
        <w:t>because</w:t>
      </w:r>
      <w:r w:rsidR="00B27E73">
        <w:rPr>
          <w:rFonts w:ascii="Times New Roman" w:hAnsi="Times New Roman" w:cs="Times New Roman"/>
        </w:rPr>
        <w:t xml:space="preserve"> </w:t>
      </w:r>
      <w:r w:rsidR="00FE4E9C" w:rsidRPr="00D56B97">
        <w:rPr>
          <w:rFonts w:ascii="Times New Roman" w:hAnsi="Times New Roman" w:cs="Times New Roman"/>
        </w:rPr>
        <w:t>of an impairment of, or a disturbance in the functioning of, the mind or brain’.</w:t>
      </w:r>
      <w:r w:rsidR="00FE4E9C" w:rsidRPr="00D56B97">
        <w:rPr>
          <w:rStyle w:val="FootnoteReference"/>
          <w:rFonts w:ascii="Times New Roman" w:hAnsi="Times New Roman" w:cs="Times New Roman"/>
        </w:rPr>
        <w:footnoteReference w:id="64"/>
      </w:r>
      <w:r w:rsidR="00F05017" w:rsidRPr="00D56B97">
        <w:rPr>
          <w:rFonts w:ascii="Times New Roman" w:hAnsi="Times New Roman" w:cs="Times New Roman"/>
        </w:rPr>
        <w:t xml:space="preserve"> </w:t>
      </w:r>
      <w:r w:rsidR="007442B4" w:rsidRPr="00D56B97">
        <w:rPr>
          <w:rFonts w:ascii="Times New Roman" w:hAnsi="Times New Roman" w:cs="Times New Roman"/>
        </w:rPr>
        <w:t>These provisions</w:t>
      </w:r>
      <w:r w:rsidR="00496468" w:rsidRPr="00D56B97">
        <w:rPr>
          <w:rFonts w:ascii="Times New Roman" w:hAnsi="Times New Roman" w:cs="Times New Roman"/>
        </w:rPr>
        <w:t xml:space="preserve"> can </w:t>
      </w:r>
      <w:r w:rsidR="007442B4" w:rsidRPr="00D56B97">
        <w:rPr>
          <w:rFonts w:ascii="Times New Roman" w:hAnsi="Times New Roman" w:cs="Times New Roman"/>
        </w:rPr>
        <w:t>accommodate</w:t>
      </w:r>
      <w:r w:rsidR="00496468" w:rsidRPr="00D56B97">
        <w:rPr>
          <w:rFonts w:ascii="Times New Roman" w:hAnsi="Times New Roman" w:cs="Times New Roman"/>
        </w:rPr>
        <w:t xml:space="preserve"> some, but not all</w:t>
      </w:r>
      <w:r w:rsidR="00A540BA" w:rsidRPr="00D56B97">
        <w:rPr>
          <w:rFonts w:ascii="Times New Roman" w:hAnsi="Times New Roman" w:cs="Times New Roman"/>
        </w:rPr>
        <w:t>,</w:t>
      </w:r>
      <w:r w:rsidR="00496468" w:rsidRPr="00D56B97">
        <w:rPr>
          <w:rFonts w:ascii="Times New Roman" w:hAnsi="Times New Roman" w:cs="Times New Roman"/>
        </w:rPr>
        <w:t xml:space="preserve"> cases of undue influence. The</w:t>
      </w:r>
      <w:r w:rsidR="00D70BE2" w:rsidRPr="00D56B97">
        <w:rPr>
          <w:rFonts w:ascii="Times New Roman" w:hAnsi="Times New Roman" w:cs="Times New Roman"/>
        </w:rPr>
        <w:t xml:space="preserve"> need for a</w:t>
      </w:r>
      <w:r w:rsidR="00FE4E9C" w:rsidRPr="00D56B97">
        <w:rPr>
          <w:rFonts w:ascii="Times New Roman" w:hAnsi="Times New Roman" w:cs="Times New Roman"/>
        </w:rPr>
        <w:t xml:space="preserve"> ‘clear causative nexus between mental impairment and any lack of cap</w:t>
      </w:r>
      <w:r w:rsidR="00D70BE2" w:rsidRPr="00D56B97">
        <w:rPr>
          <w:rFonts w:ascii="Times New Roman" w:hAnsi="Times New Roman" w:cs="Times New Roman"/>
        </w:rPr>
        <w:t>acity</w:t>
      </w:r>
      <w:r w:rsidR="00FE4E9C" w:rsidRPr="00D56B97">
        <w:rPr>
          <w:rFonts w:ascii="Times New Roman" w:hAnsi="Times New Roman" w:cs="Times New Roman"/>
        </w:rPr>
        <w:t>’</w:t>
      </w:r>
      <w:r w:rsidR="00FE4E9C" w:rsidRPr="00D56B97">
        <w:rPr>
          <w:rStyle w:val="FootnoteReference"/>
          <w:rFonts w:ascii="Times New Roman" w:hAnsi="Times New Roman" w:cs="Times New Roman"/>
        </w:rPr>
        <w:footnoteReference w:id="65"/>
      </w:r>
      <w:r w:rsidR="00D70BE2" w:rsidRPr="00D56B97">
        <w:rPr>
          <w:rFonts w:ascii="Times New Roman" w:hAnsi="Times New Roman" w:cs="Times New Roman"/>
        </w:rPr>
        <w:t xml:space="preserve"> leads to a delicate</w:t>
      </w:r>
      <w:r w:rsidR="003D1DF5" w:rsidRPr="00D56B97">
        <w:rPr>
          <w:rFonts w:ascii="Times New Roman" w:hAnsi="Times New Roman" w:cs="Times New Roman"/>
        </w:rPr>
        <w:t xml:space="preserve"> situation when</w:t>
      </w:r>
      <w:r w:rsidR="000F01AA" w:rsidRPr="00D56B97">
        <w:rPr>
          <w:rFonts w:ascii="Times New Roman" w:hAnsi="Times New Roman" w:cs="Times New Roman"/>
        </w:rPr>
        <w:t xml:space="preserve"> someone</w:t>
      </w:r>
      <w:r w:rsidR="00FE3982" w:rsidRPr="00D56B97">
        <w:rPr>
          <w:rFonts w:ascii="Times New Roman" w:hAnsi="Times New Roman" w:cs="Times New Roman"/>
        </w:rPr>
        <w:t>’s ability to make a decision might be</w:t>
      </w:r>
      <w:r w:rsidR="000F01AA" w:rsidRPr="00D56B97">
        <w:rPr>
          <w:rFonts w:ascii="Times New Roman" w:hAnsi="Times New Roman" w:cs="Times New Roman"/>
        </w:rPr>
        <w:t xml:space="preserve"> restricted by both an impairment and the influence of another party. </w:t>
      </w:r>
      <w:r w:rsidR="00D70BE2" w:rsidRPr="00D56B97">
        <w:rPr>
          <w:rFonts w:ascii="Times New Roman" w:hAnsi="Times New Roman" w:cs="Times New Roman"/>
        </w:rPr>
        <w:t>I</w:t>
      </w:r>
      <w:r w:rsidR="000F01AA" w:rsidRPr="00D56B97">
        <w:rPr>
          <w:rFonts w:ascii="Times New Roman" w:hAnsi="Times New Roman" w:cs="Times New Roman"/>
        </w:rPr>
        <w:t xml:space="preserve">f </w:t>
      </w:r>
      <w:r w:rsidR="00D70BE2" w:rsidRPr="00D56B97">
        <w:rPr>
          <w:rFonts w:ascii="Times New Roman" w:hAnsi="Times New Roman" w:cs="Times New Roman"/>
        </w:rPr>
        <w:t>someone with a relevant impairment</w:t>
      </w:r>
      <w:r w:rsidR="008A698A" w:rsidRPr="00D56B97">
        <w:rPr>
          <w:rFonts w:ascii="Times New Roman" w:hAnsi="Times New Roman" w:cs="Times New Roman"/>
        </w:rPr>
        <w:t xml:space="preserve"> would be able to decide</w:t>
      </w:r>
      <w:r w:rsidR="00FE4E9C" w:rsidRPr="00D56B97">
        <w:rPr>
          <w:rFonts w:ascii="Times New Roman" w:hAnsi="Times New Roman" w:cs="Times New Roman"/>
        </w:rPr>
        <w:t xml:space="preserve"> but for </w:t>
      </w:r>
      <w:r w:rsidR="000F01AA" w:rsidRPr="00D56B97">
        <w:rPr>
          <w:rFonts w:ascii="Times New Roman" w:hAnsi="Times New Roman" w:cs="Times New Roman"/>
        </w:rPr>
        <w:t>the influence of the other person, th</w:t>
      </w:r>
      <w:r w:rsidR="00D70BE2" w:rsidRPr="00D56B97">
        <w:rPr>
          <w:rFonts w:ascii="Times New Roman" w:hAnsi="Times New Roman" w:cs="Times New Roman"/>
        </w:rPr>
        <w:t>en they must be presumed to have</w:t>
      </w:r>
      <w:r w:rsidR="000F01AA" w:rsidRPr="00D56B97">
        <w:rPr>
          <w:rFonts w:ascii="Times New Roman" w:hAnsi="Times New Roman" w:cs="Times New Roman"/>
        </w:rPr>
        <w:t xml:space="preserve"> mental capacity</w:t>
      </w:r>
      <w:r w:rsidR="00DD5E94" w:rsidRPr="00D56B97">
        <w:rPr>
          <w:rFonts w:ascii="Times New Roman" w:hAnsi="Times New Roman" w:cs="Times New Roman"/>
        </w:rPr>
        <w:t xml:space="preserve"> until a</w:t>
      </w:r>
      <w:r w:rsidR="00D70BE2" w:rsidRPr="00D56B97">
        <w:rPr>
          <w:rFonts w:ascii="Times New Roman" w:hAnsi="Times New Roman" w:cs="Times New Roman"/>
        </w:rPr>
        <w:t>ll ‘practicable steps’ are</w:t>
      </w:r>
      <w:r w:rsidR="00DD5E94" w:rsidRPr="00D56B97">
        <w:rPr>
          <w:rFonts w:ascii="Times New Roman" w:hAnsi="Times New Roman" w:cs="Times New Roman"/>
        </w:rPr>
        <w:t xml:space="preserve"> taken without succe</w:t>
      </w:r>
      <w:r w:rsidR="000F01AA" w:rsidRPr="00D56B97">
        <w:rPr>
          <w:rFonts w:ascii="Times New Roman" w:hAnsi="Times New Roman" w:cs="Times New Roman"/>
        </w:rPr>
        <w:t>ss to counteract that influence.</w:t>
      </w:r>
      <w:r w:rsidR="000F01AA" w:rsidRPr="00D56B97">
        <w:rPr>
          <w:rFonts w:ascii="Times New Roman" w:hAnsi="Times New Roman" w:cs="Times New Roman"/>
          <w:vertAlign w:val="superscript"/>
        </w:rPr>
        <w:footnoteReference w:id="66"/>
      </w:r>
      <w:r w:rsidR="000F01AA" w:rsidRPr="00D56B97">
        <w:rPr>
          <w:rFonts w:ascii="Times New Roman" w:hAnsi="Times New Roman" w:cs="Times New Roman"/>
        </w:rPr>
        <w:t xml:space="preserve"> </w:t>
      </w:r>
      <w:r w:rsidR="00AC595D" w:rsidRPr="00D56B97">
        <w:rPr>
          <w:rFonts w:ascii="Times New Roman" w:hAnsi="Times New Roman" w:cs="Times New Roman"/>
        </w:rPr>
        <w:t>This leaves</w:t>
      </w:r>
      <w:r w:rsidR="00903BF6" w:rsidRPr="00D56B97">
        <w:rPr>
          <w:rFonts w:ascii="Times New Roman" w:hAnsi="Times New Roman" w:cs="Times New Roman"/>
        </w:rPr>
        <w:t xml:space="preserve"> at least two classes of person who have mental capacity, but might</w:t>
      </w:r>
      <w:r w:rsidR="00D70BE2" w:rsidRPr="00D56B97">
        <w:rPr>
          <w:rFonts w:ascii="Times New Roman" w:hAnsi="Times New Roman" w:cs="Times New Roman"/>
        </w:rPr>
        <w:t xml:space="preserve"> nevertheless</w:t>
      </w:r>
      <w:r w:rsidR="00903BF6" w:rsidRPr="00D56B97">
        <w:rPr>
          <w:rFonts w:ascii="Times New Roman" w:hAnsi="Times New Roman" w:cs="Times New Roman"/>
        </w:rPr>
        <w:t xml:space="preserve"> be plausi</w:t>
      </w:r>
      <w:r w:rsidR="00BA2722" w:rsidRPr="00D56B97">
        <w:rPr>
          <w:rFonts w:ascii="Times New Roman" w:hAnsi="Times New Roman" w:cs="Times New Roman"/>
        </w:rPr>
        <w:t>bly be thought to lack autonomy. The first are</w:t>
      </w:r>
      <w:r w:rsidR="00903BF6" w:rsidRPr="00D56B97">
        <w:rPr>
          <w:rFonts w:ascii="Times New Roman" w:hAnsi="Times New Roman" w:cs="Times New Roman"/>
        </w:rPr>
        <w:t xml:space="preserve"> those wh</w:t>
      </w:r>
      <w:r w:rsidR="00BB2984" w:rsidRPr="00D56B97">
        <w:rPr>
          <w:rFonts w:ascii="Times New Roman" w:hAnsi="Times New Roman" w:cs="Times New Roman"/>
        </w:rPr>
        <w:t xml:space="preserve">o ‘cannot decide’ by </w:t>
      </w:r>
      <w:r w:rsidR="00AC595D" w:rsidRPr="00D56B97">
        <w:rPr>
          <w:rFonts w:ascii="Times New Roman" w:hAnsi="Times New Roman" w:cs="Times New Roman"/>
        </w:rPr>
        <w:t xml:space="preserve">the criteria in </w:t>
      </w:r>
      <w:r w:rsidR="00D52C09" w:rsidRPr="00D56B97">
        <w:rPr>
          <w:rFonts w:ascii="Times New Roman" w:hAnsi="Times New Roman" w:cs="Times New Roman"/>
        </w:rPr>
        <w:t>the Act</w:t>
      </w:r>
      <w:r w:rsidR="003D1DF5" w:rsidRPr="00D56B97">
        <w:rPr>
          <w:rFonts w:ascii="Times New Roman" w:hAnsi="Times New Roman" w:cs="Times New Roman"/>
        </w:rPr>
        <w:t xml:space="preserve">, but </w:t>
      </w:r>
      <w:r w:rsidR="00BB2984" w:rsidRPr="00D56B97">
        <w:rPr>
          <w:rFonts w:ascii="Times New Roman" w:hAnsi="Times New Roman" w:cs="Times New Roman"/>
        </w:rPr>
        <w:t>because of</w:t>
      </w:r>
      <w:r w:rsidR="00903BF6" w:rsidRPr="00D56B97">
        <w:rPr>
          <w:rFonts w:ascii="Times New Roman" w:hAnsi="Times New Roman" w:cs="Times New Roman"/>
        </w:rPr>
        <w:t xml:space="preserve"> undue influence, not </w:t>
      </w:r>
      <w:r w:rsidR="003D1DF5" w:rsidRPr="00D56B97">
        <w:rPr>
          <w:rFonts w:ascii="Times New Roman" w:hAnsi="Times New Roman" w:cs="Times New Roman"/>
        </w:rPr>
        <w:t xml:space="preserve">because of </w:t>
      </w:r>
      <w:r w:rsidR="00903BF6" w:rsidRPr="00D56B97">
        <w:rPr>
          <w:rFonts w:ascii="Times New Roman" w:hAnsi="Times New Roman" w:cs="Times New Roman"/>
        </w:rPr>
        <w:t>an</w:t>
      </w:r>
      <w:r w:rsidR="00286861" w:rsidRPr="00D56B97">
        <w:rPr>
          <w:rFonts w:ascii="Times New Roman" w:hAnsi="Times New Roman" w:cs="Times New Roman"/>
        </w:rPr>
        <w:t>y</w:t>
      </w:r>
      <w:r w:rsidR="00903BF6" w:rsidRPr="00D56B97">
        <w:rPr>
          <w:rFonts w:ascii="Times New Roman" w:hAnsi="Times New Roman" w:cs="Times New Roman"/>
        </w:rPr>
        <w:t xml:space="preserve"> impairment</w:t>
      </w:r>
      <w:r w:rsidR="00BA2722" w:rsidRPr="00D56B97">
        <w:rPr>
          <w:rFonts w:ascii="Times New Roman" w:hAnsi="Times New Roman" w:cs="Times New Roman"/>
        </w:rPr>
        <w:t xml:space="preserve">. The second are </w:t>
      </w:r>
      <w:r w:rsidR="00903BF6" w:rsidRPr="00D56B97">
        <w:rPr>
          <w:rFonts w:ascii="Times New Roman" w:hAnsi="Times New Roman" w:cs="Times New Roman"/>
        </w:rPr>
        <w:t xml:space="preserve">those who can </w:t>
      </w:r>
      <w:r w:rsidR="00D52C09" w:rsidRPr="00D56B97">
        <w:rPr>
          <w:rFonts w:ascii="Times New Roman" w:hAnsi="Times New Roman" w:cs="Times New Roman"/>
        </w:rPr>
        <w:t>decide by the criteria in</w:t>
      </w:r>
      <w:r w:rsidR="00BB2984" w:rsidRPr="00D56B97">
        <w:rPr>
          <w:rFonts w:ascii="Times New Roman" w:hAnsi="Times New Roman" w:cs="Times New Roman"/>
        </w:rPr>
        <w:t xml:space="preserve"> the Act</w:t>
      </w:r>
      <w:r w:rsidR="00903BF6" w:rsidRPr="00D56B97">
        <w:rPr>
          <w:rFonts w:ascii="Times New Roman" w:hAnsi="Times New Roman" w:cs="Times New Roman"/>
        </w:rPr>
        <w:t xml:space="preserve">, but nevertheless cannot reach free decisions </w:t>
      </w:r>
      <w:r w:rsidR="00AB347D" w:rsidRPr="00D56B97">
        <w:rPr>
          <w:rFonts w:ascii="Times New Roman" w:hAnsi="Times New Roman" w:cs="Times New Roman"/>
        </w:rPr>
        <w:t>because</w:t>
      </w:r>
      <w:r w:rsidR="00903BF6" w:rsidRPr="00D56B97">
        <w:rPr>
          <w:rFonts w:ascii="Times New Roman" w:hAnsi="Times New Roman" w:cs="Times New Roman"/>
        </w:rPr>
        <w:t xml:space="preserve"> </w:t>
      </w:r>
      <w:r w:rsidR="00AB347D" w:rsidRPr="00D56B97">
        <w:rPr>
          <w:rFonts w:ascii="Times New Roman" w:hAnsi="Times New Roman" w:cs="Times New Roman"/>
        </w:rPr>
        <w:t>of</w:t>
      </w:r>
      <w:r w:rsidR="00903BF6" w:rsidRPr="00D56B97">
        <w:rPr>
          <w:rFonts w:ascii="Times New Roman" w:hAnsi="Times New Roman" w:cs="Times New Roman"/>
        </w:rPr>
        <w:t xml:space="preserve"> </w:t>
      </w:r>
      <w:r w:rsidR="002042F5" w:rsidRPr="00D56B97">
        <w:rPr>
          <w:rFonts w:ascii="Times New Roman" w:hAnsi="Times New Roman" w:cs="Times New Roman"/>
        </w:rPr>
        <w:t>undue</w:t>
      </w:r>
      <w:r w:rsidR="00CA13D8" w:rsidRPr="00D56B97">
        <w:rPr>
          <w:rFonts w:ascii="Times New Roman" w:hAnsi="Times New Roman" w:cs="Times New Roman"/>
        </w:rPr>
        <w:t xml:space="preserve"> influence.</w:t>
      </w:r>
      <w:r w:rsidR="00F40E6A" w:rsidRPr="00D56B97">
        <w:rPr>
          <w:rFonts w:ascii="Times New Roman" w:hAnsi="Times New Roman" w:cs="Times New Roman"/>
        </w:rPr>
        <w:t xml:space="preserve"> </w:t>
      </w:r>
      <w:r w:rsidR="00550652" w:rsidRPr="00D56B97">
        <w:rPr>
          <w:rFonts w:ascii="Times New Roman" w:hAnsi="Times New Roman" w:cs="Times New Roman"/>
        </w:rPr>
        <w:t>J</w:t>
      </w:r>
      <w:r w:rsidR="008164ED" w:rsidRPr="00D56B97">
        <w:rPr>
          <w:rFonts w:ascii="Times New Roman" w:hAnsi="Times New Roman" w:cs="Times New Roman"/>
        </w:rPr>
        <w:t>udges sometimes face b</w:t>
      </w:r>
      <w:r w:rsidR="00D70BE2" w:rsidRPr="00D56B97">
        <w:rPr>
          <w:rFonts w:ascii="Times New Roman" w:hAnsi="Times New Roman" w:cs="Times New Roman"/>
        </w:rPr>
        <w:t>ot</w:t>
      </w:r>
      <w:r w:rsidR="008164ED" w:rsidRPr="00D56B97">
        <w:rPr>
          <w:rFonts w:ascii="Times New Roman" w:hAnsi="Times New Roman" w:cs="Times New Roman"/>
        </w:rPr>
        <w:t>h of these se</w:t>
      </w:r>
      <w:r w:rsidR="00AC595D" w:rsidRPr="00D56B97">
        <w:rPr>
          <w:rFonts w:ascii="Times New Roman" w:hAnsi="Times New Roman" w:cs="Times New Roman"/>
        </w:rPr>
        <w:t>ts of circumstance</w:t>
      </w:r>
      <w:r w:rsidR="00CA13D8" w:rsidRPr="00D56B97">
        <w:rPr>
          <w:rFonts w:ascii="Times New Roman" w:hAnsi="Times New Roman" w:cs="Times New Roman"/>
        </w:rPr>
        <w:t>s</w:t>
      </w:r>
      <w:r w:rsidR="00AC595D" w:rsidRPr="00D56B97">
        <w:rPr>
          <w:rFonts w:ascii="Times New Roman" w:hAnsi="Times New Roman" w:cs="Times New Roman"/>
        </w:rPr>
        <w:t>.</w:t>
      </w:r>
      <w:r w:rsidR="009E2DBC" w:rsidRPr="00D56B97">
        <w:rPr>
          <w:rStyle w:val="FootnoteReference"/>
          <w:rFonts w:ascii="Times New Roman" w:hAnsi="Times New Roman" w:cs="Times New Roman"/>
        </w:rPr>
        <w:footnoteReference w:id="67"/>
      </w:r>
      <w:r w:rsidR="00AC595D" w:rsidRPr="00D56B97">
        <w:rPr>
          <w:rFonts w:ascii="Times New Roman" w:hAnsi="Times New Roman" w:cs="Times New Roman"/>
        </w:rPr>
        <w:t xml:space="preserve"> </w:t>
      </w:r>
      <w:r w:rsidR="00D52C09" w:rsidRPr="00D56B97">
        <w:rPr>
          <w:rFonts w:ascii="Times New Roman" w:hAnsi="Times New Roman" w:cs="Times New Roman"/>
        </w:rPr>
        <w:t>Consequently,</w:t>
      </w:r>
      <w:r w:rsidR="00D70BE2" w:rsidRPr="00D56B97">
        <w:rPr>
          <w:rFonts w:ascii="Times New Roman" w:hAnsi="Times New Roman" w:cs="Times New Roman"/>
        </w:rPr>
        <w:t xml:space="preserve"> despite the Law Commission’s </w:t>
      </w:r>
      <w:r w:rsidR="006114C3" w:rsidRPr="00D56B97">
        <w:rPr>
          <w:rFonts w:ascii="Times New Roman" w:hAnsi="Times New Roman" w:cs="Times New Roman"/>
        </w:rPr>
        <w:t>combination</w:t>
      </w:r>
      <w:r w:rsidR="00D70BE2" w:rsidRPr="00D56B97">
        <w:rPr>
          <w:rFonts w:ascii="Times New Roman" w:hAnsi="Times New Roman" w:cs="Times New Roman"/>
        </w:rPr>
        <w:t xml:space="preserve"> of ca</w:t>
      </w:r>
      <w:r w:rsidR="008164ED" w:rsidRPr="00D56B97">
        <w:rPr>
          <w:rFonts w:ascii="Times New Roman" w:hAnsi="Times New Roman" w:cs="Times New Roman"/>
        </w:rPr>
        <w:t>pacity and voluntariness</w:t>
      </w:r>
      <w:r w:rsidR="00D52C09" w:rsidRPr="00D56B97">
        <w:rPr>
          <w:rFonts w:ascii="Times New Roman" w:hAnsi="Times New Roman" w:cs="Times New Roman"/>
        </w:rPr>
        <w:t>,</w:t>
      </w:r>
      <w:r w:rsidR="0021344C" w:rsidRPr="00D56B97">
        <w:rPr>
          <w:rFonts w:ascii="Times New Roman" w:hAnsi="Times New Roman" w:cs="Times New Roman"/>
        </w:rPr>
        <w:t xml:space="preserve"> </w:t>
      </w:r>
      <w:r w:rsidR="00144A91" w:rsidRPr="00D56B97">
        <w:rPr>
          <w:rFonts w:ascii="Times New Roman" w:hAnsi="Times New Roman" w:cs="Times New Roman"/>
        </w:rPr>
        <w:t>t</w:t>
      </w:r>
      <w:r w:rsidR="003963DD" w:rsidRPr="00D56B97">
        <w:rPr>
          <w:rFonts w:ascii="Times New Roman" w:hAnsi="Times New Roman" w:cs="Times New Roman"/>
        </w:rPr>
        <w:t xml:space="preserve">he insufficiency account </w:t>
      </w:r>
      <w:r w:rsidR="00AC595D" w:rsidRPr="00D56B97">
        <w:rPr>
          <w:rFonts w:ascii="Times New Roman" w:hAnsi="Times New Roman" w:cs="Times New Roman"/>
        </w:rPr>
        <w:t xml:space="preserve">has survived, and </w:t>
      </w:r>
      <w:r w:rsidR="00144A91" w:rsidRPr="00D56B97">
        <w:rPr>
          <w:rFonts w:ascii="Times New Roman" w:hAnsi="Times New Roman" w:cs="Times New Roman"/>
        </w:rPr>
        <w:t>now coexists with the gatekeeper account.</w:t>
      </w:r>
      <w:r w:rsidR="00797BA6" w:rsidRPr="00D56B97">
        <w:rPr>
          <w:rFonts w:ascii="Times New Roman" w:hAnsi="Times New Roman" w:cs="Times New Roman"/>
        </w:rPr>
        <w:t xml:space="preserve"> It is </w:t>
      </w:r>
      <w:r w:rsidR="00D52C09" w:rsidRPr="00D56B97">
        <w:rPr>
          <w:rFonts w:ascii="Times New Roman" w:hAnsi="Times New Roman" w:cs="Times New Roman"/>
        </w:rPr>
        <w:t>found in two places: cases dealing with the inherent jurisdiction</w:t>
      </w:r>
      <w:r w:rsidR="00797BA6" w:rsidRPr="00D56B97">
        <w:rPr>
          <w:rFonts w:ascii="Times New Roman" w:hAnsi="Times New Roman" w:cs="Times New Roman"/>
        </w:rPr>
        <w:t>,</w:t>
      </w:r>
      <w:r w:rsidR="004050DF" w:rsidRPr="00D56B97">
        <w:rPr>
          <w:rFonts w:ascii="Times New Roman" w:hAnsi="Times New Roman" w:cs="Times New Roman"/>
        </w:rPr>
        <w:t xml:space="preserve"> and</w:t>
      </w:r>
      <w:r w:rsidR="00D52C09" w:rsidRPr="00D56B97">
        <w:rPr>
          <w:rFonts w:ascii="Times New Roman" w:hAnsi="Times New Roman" w:cs="Times New Roman"/>
        </w:rPr>
        <w:t xml:space="preserve"> </w:t>
      </w:r>
      <w:r w:rsidR="00A4445C" w:rsidRPr="00D56B97">
        <w:rPr>
          <w:rFonts w:ascii="Times New Roman" w:hAnsi="Times New Roman" w:cs="Times New Roman"/>
        </w:rPr>
        <w:t xml:space="preserve">in </w:t>
      </w:r>
      <w:r w:rsidR="00D52C09" w:rsidRPr="00D56B97">
        <w:rPr>
          <w:rFonts w:ascii="Times New Roman" w:hAnsi="Times New Roman" w:cs="Times New Roman"/>
        </w:rPr>
        <w:t>the doctrine of undue influence</w:t>
      </w:r>
      <w:r w:rsidR="00C673CC" w:rsidRPr="00D56B97">
        <w:rPr>
          <w:rFonts w:ascii="Times New Roman" w:hAnsi="Times New Roman" w:cs="Times New Roman"/>
        </w:rPr>
        <w:t xml:space="preserve">. </w:t>
      </w:r>
    </w:p>
    <w:p w14:paraId="7493C881" w14:textId="77777777" w:rsidR="00797BA6" w:rsidRPr="00D56B97" w:rsidRDefault="00556236" w:rsidP="00AC229E">
      <w:pPr>
        <w:spacing w:line="480" w:lineRule="auto"/>
        <w:jc w:val="center"/>
        <w:rPr>
          <w:rFonts w:ascii="Times New Roman" w:hAnsi="Times New Roman" w:cs="Times New Roman"/>
          <w:i/>
        </w:rPr>
      </w:pPr>
      <w:r w:rsidRPr="00D56B97">
        <w:rPr>
          <w:rFonts w:ascii="Times New Roman" w:hAnsi="Times New Roman" w:cs="Times New Roman"/>
          <w:i/>
        </w:rPr>
        <w:t>B. The Inherent J</w:t>
      </w:r>
      <w:r w:rsidR="00797BA6" w:rsidRPr="00D56B97">
        <w:rPr>
          <w:rFonts w:ascii="Times New Roman" w:hAnsi="Times New Roman" w:cs="Times New Roman"/>
          <w:i/>
        </w:rPr>
        <w:t>urisdiction</w:t>
      </w:r>
    </w:p>
    <w:p w14:paraId="7493C882" w14:textId="77777777" w:rsidR="00B27D5D" w:rsidRPr="00D56B97" w:rsidRDefault="00EC1B1E" w:rsidP="00021A54">
      <w:pPr>
        <w:spacing w:line="480" w:lineRule="auto"/>
        <w:jc w:val="both"/>
        <w:rPr>
          <w:rFonts w:ascii="Times New Roman" w:hAnsi="Times New Roman" w:cs="Times New Roman"/>
        </w:rPr>
      </w:pPr>
      <w:r w:rsidRPr="00D56B97">
        <w:rPr>
          <w:rFonts w:ascii="Times New Roman" w:hAnsi="Times New Roman" w:cs="Times New Roman"/>
        </w:rPr>
        <w:t>The inherent</w:t>
      </w:r>
      <w:r w:rsidR="00C673CC" w:rsidRPr="00D56B97">
        <w:rPr>
          <w:rFonts w:ascii="Times New Roman" w:hAnsi="Times New Roman" w:cs="Times New Roman"/>
        </w:rPr>
        <w:t xml:space="preserve"> </w:t>
      </w:r>
      <w:r w:rsidR="00FD63ED" w:rsidRPr="00D56B97">
        <w:rPr>
          <w:rFonts w:ascii="Times New Roman" w:hAnsi="Times New Roman" w:cs="Times New Roman"/>
        </w:rPr>
        <w:t xml:space="preserve">jurisdiction </w:t>
      </w:r>
      <w:r w:rsidR="00955170" w:rsidRPr="00D56B97">
        <w:rPr>
          <w:rFonts w:ascii="Times New Roman" w:hAnsi="Times New Roman" w:cs="Times New Roman"/>
        </w:rPr>
        <w:t>is</w:t>
      </w:r>
      <w:r w:rsidR="003E7355" w:rsidRPr="00D56B97">
        <w:rPr>
          <w:rFonts w:ascii="Times New Roman" w:hAnsi="Times New Roman" w:cs="Times New Roman"/>
        </w:rPr>
        <w:t xml:space="preserve"> described by the courts as</w:t>
      </w:r>
      <w:r w:rsidR="00B64CEB" w:rsidRPr="00D56B97">
        <w:rPr>
          <w:rFonts w:ascii="Times New Roman" w:hAnsi="Times New Roman" w:cs="Times New Roman"/>
        </w:rPr>
        <w:t xml:space="preserve"> a</w:t>
      </w:r>
      <w:r w:rsidRPr="00D56B97">
        <w:rPr>
          <w:rFonts w:ascii="Times New Roman" w:hAnsi="Times New Roman" w:cs="Times New Roman"/>
        </w:rPr>
        <w:t xml:space="preserve"> ‘</w:t>
      </w:r>
      <w:r w:rsidR="00C673CC" w:rsidRPr="00D56B97">
        <w:rPr>
          <w:rFonts w:ascii="Times New Roman" w:hAnsi="Times New Roman" w:cs="Times New Roman"/>
        </w:rPr>
        <w:t>protecti</w:t>
      </w:r>
      <w:r w:rsidRPr="00D56B97">
        <w:rPr>
          <w:rFonts w:ascii="Times New Roman" w:hAnsi="Times New Roman" w:cs="Times New Roman"/>
        </w:rPr>
        <w:t>ve jurisdiction’</w:t>
      </w:r>
      <w:r w:rsidR="00C673CC" w:rsidRPr="00D56B97">
        <w:rPr>
          <w:rFonts w:ascii="Times New Roman" w:hAnsi="Times New Roman" w:cs="Times New Roman"/>
        </w:rPr>
        <w:t xml:space="preserve"> </w:t>
      </w:r>
      <w:r w:rsidRPr="00D56B97">
        <w:rPr>
          <w:rFonts w:ascii="Times New Roman" w:hAnsi="Times New Roman" w:cs="Times New Roman"/>
        </w:rPr>
        <w:t>relating to vulnerable adults</w:t>
      </w:r>
      <w:r w:rsidR="00A419C9" w:rsidRPr="00D56B97">
        <w:rPr>
          <w:rFonts w:ascii="Times New Roman" w:hAnsi="Times New Roman" w:cs="Times New Roman"/>
        </w:rPr>
        <w:t>,</w:t>
      </w:r>
      <w:r w:rsidR="00C673CC" w:rsidRPr="00D56B97">
        <w:rPr>
          <w:rFonts w:ascii="Times New Roman" w:hAnsi="Times New Roman" w:cs="Times New Roman"/>
          <w:vertAlign w:val="superscript"/>
        </w:rPr>
        <w:footnoteReference w:id="68"/>
      </w:r>
      <w:r w:rsidR="00B64CEB" w:rsidRPr="00D56B97">
        <w:rPr>
          <w:rFonts w:ascii="Times New Roman" w:hAnsi="Times New Roman" w:cs="Times New Roman"/>
        </w:rPr>
        <w:t xml:space="preserve"> </w:t>
      </w:r>
      <w:r w:rsidR="00A419C9" w:rsidRPr="00D56B97">
        <w:rPr>
          <w:rFonts w:ascii="Times New Roman" w:hAnsi="Times New Roman" w:cs="Times New Roman"/>
        </w:rPr>
        <w:t>which</w:t>
      </w:r>
      <w:r w:rsidR="00C673CC" w:rsidRPr="00D56B97">
        <w:rPr>
          <w:rFonts w:ascii="Times New Roman" w:hAnsi="Times New Roman" w:cs="Times New Roman"/>
        </w:rPr>
        <w:t xml:space="preserve"> is available in cases ‘that fall outside the MCA’.</w:t>
      </w:r>
      <w:r w:rsidR="00C673CC" w:rsidRPr="00D56B97">
        <w:rPr>
          <w:rFonts w:ascii="Times New Roman" w:hAnsi="Times New Roman" w:cs="Times New Roman"/>
          <w:vertAlign w:val="superscript"/>
        </w:rPr>
        <w:footnoteReference w:id="69"/>
      </w:r>
      <w:r w:rsidR="00B27D5D" w:rsidRPr="00D56B97">
        <w:rPr>
          <w:rFonts w:ascii="Times New Roman" w:hAnsi="Times New Roman" w:cs="Times New Roman"/>
        </w:rPr>
        <w:t xml:space="preserve"> </w:t>
      </w:r>
      <w:r w:rsidR="004050DF" w:rsidRPr="00D56B97">
        <w:rPr>
          <w:rFonts w:ascii="Times New Roman" w:hAnsi="Times New Roman" w:cs="Times New Roman"/>
        </w:rPr>
        <w:t>N</w:t>
      </w:r>
      <w:r w:rsidRPr="00D56B97">
        <w:rPr>
          <w:rFonts w:ascii="Times New Roman" w:hAnsi="Times New Roman" w:cs="Times New Roman"/>
        </w:rPr>
        <w:t xml:space="preserve">ot all </w:t>
      </w:r>
      <w:r w:rsidR="008C2010" w:rsidRPr="00D56B97">
        <w:rPr>
          <w:rFonts w:ascii="Times New Roman" w:hAnsi="Times New Roman" w:cs="Times New Roman"/>
        </w:rPr>
        <w:t xml:space="preserve">of </w:t>
      </w:r>
      <w:r w:rsidR="004050DF" w:rsidRPr="00D56B97">
        <w:rPr>
          <w:rFonts w:ascii="Times New Roman" w:hAnsi="Times New Roman" w:cs="Times New Roman"/>
        </w:rPr>
        <w:t xml:space="preserve">its </w:t>
      </w:r>
      <w:r w:rsidR="00685A18" w:rsidRPr="00D56B97">
        <w:rPr>
          <w:rFonts w:ascii="Times New Roman" w:hAnsi="Times New Roman" w:cs="Times New Roman"/>
        </w:rPr>
        <w:t>use</w:t>
      </w:r>
      <w:r w:rsidR="00C673CC" w:rsidRPr="00D56B97">
        <w:rPr>
          <w:rFonts w:ascii="Times New Roman" w:hAnsi="Times New Roman" w:cs="Times New Roman"/>
        </w:rPr>
        <w:t xml:space="preserve">s </w:t>
      </w:r>
      <w:r w:rsidR="00FD63ED" w:rsidRPr="00D56B97">
        <w:rPr>
          <w:rFonts w:ascii="Times New Roman" w:hAnsi="Times New Roman" w:cs="Times New Roman"/>
        </w:rPr>
        <w:t>are relevant</w:t>
      </w:r>
      <w:r w:rsidR="00B27D5D" w:rsidRPr="00D56B97">
        <w:rPr>
          <w:rFonts w:ascii="Times New Roman" w:hAnsi="Times New Roman" w:cs="Times New Roman"/>
        </w:rPr>
        <w:t xml:space="preserve"> here</w:t>
      </w:r>
      <w:r w:rsidR="00E452F5" w:rsidRPr="00D56B97">
        <w:rPr>
          <w:rFonts w:ascii="Times New Roman" w:hAnsi="Times New Roman" w:cs="Times New Roman"/>
        </w:rPr>
        <w:t>.</w:t>
      </w:r>
      <w:r w:rsidR="00C673CC" w:rsidRPr="00D56B97">
        <w:rPr>
          <w:rFonts w:ascii="Times New Roman" w:hAnsi="Times New Roman" w:cs="Times New Roman"/>
        </w:rPr>
        <w:t xml:space="preserve"> </w:t>
      </w:r>
      <w:r w:rsidR="00AF5D7B" w:rsidRPr="00D56B97">
        <w:rPr>
          <w:rFonts w:ascii="Times New Roman" w:hAnsi="Times New Roman" w:cs="Times New Roman"/>
        </w:rPr>
        <w:t>F</w:t>
      </w:r>
      <w:r w:rsidRPr="00D56B97">
        <w:rPr>
          <w:rFonts w:ascii="Times New Roman" w:hAnsi="Times New Roman" w:cs="Times New Roman"/>
        </w:rPr>
        <w:t>or instance</w:t>
      </w:r>
      <w:r w:rsidR="00AF5D7B" w:rsidRPr="00D56B97">
        <w:rPr>
          <w:rFonts w:ascii="Times New Roman" w:hAnsi="Times New Roman" w:cs="Times New Roman"/>
        </w:rPr>
        <w:t>,</w:t>
      </w:r>
      <w:r w:rsidRPr="00D56B97">
        <w:rPr>
          <w:rFonts w:ascii="Times New Roman" w:hAnsi="Times New Roman" w:cs="Times New Roman"/>
        </w:rPr>
        <w:t xml:space="preserve"> when </w:t>
      </w:r>
      <w:r w:rsidR="00E33A6F" w:rsidRPr="00D56B97">
        <w:rPr>
          <w:rFonts w:ascii="Times New Roman" w:hAnsi="Times New Roman" w:cs="Times New Roman"/>
        </w:rPr>
        <w:t>orders</w:t>
      </w:r>
      <w:r w:rsidR="00C673CC" w:rsidRPr="00D56B97">
        <w:rPr>
          <w:rFonts w:ascii="Times New Roman" w:hAnsi="Times New Roman" w:cs="Times New Roman"/>
        </w:rPr>
        <w:t xml:space="preserve"> </w:t>
      </w:r>
      <w:r w:rsidR="00B27D5D" w:rsidRPr="00D56B97">
        <w:rPr>
          <w:rFonts w:ascii="Times New Roman" w:hAnsi="Times New Roman" w:cs="Times New Roman"/>
        </w:rPr>
        <w:t xml:space="preserve">under the jurisdiction are </w:t>
      </w:r>
      <w:r w:rsidRPr="00D56B97">
        <w:rPr>
          <w:rFonts w:ascii="Times New Roman" w:hAnsi="Times New Roman" w:cs="Times New Roman"/>
        </w:rPr>
        <w:t>made for</w:t>
      </w:r>
      <w:r w:rsidR="00FD63ED" w:rsidRPr="00D56B97">
        <w:rPr>
          <w:rFonts w:ascii="Times New Roman" w:hAnsi="Times New Roman" w:cs="Times New Roman"/>
        </w:rPr>
        <w:t xml:space="preserve"> people who are incapacitated</w:t>
      </w:r>
      <w:r w:rsidR="00B27D5D" w:rsidRPr="00D56B97">
        <w:rPr>
          <w:rFonts w:ascii="Times New Roman" w:hAnsi="Times New Roman" w:cs="Times New Roman"/>
        </w:rPr>
        <w:t xml:space="preserve"> under the </w:t>
      </w:r>
      <w:r w:rsidR="00B27D5D" w:rsidRPr="00D56B97">
        <w:rPr>
          <w:rFonts w:ascii="Times New Roman" w:hAnsi="Times New Roman" w:cs="Times New Roman"/>
        </w:rPr>
        <w:lastRenderedPageBreak/>
        <w:t>MCA</w:t>
      </w:r>
      <w:r w:rsidR="00FD63ED" w:rsidRPr="00D56B97">
        <w:rPr>
          <w:rFonts w:ascii="Times New Roman" w:hAnsi="Times New Roman" w:cs="Times New Roman"/>
        </w:rPr>
        <w:t>,</w:t>
      </w:r>
      <w:r w:rsidR="00C673CC" w:rsidRPr="00D56B97">
        <w:rPr>
          <w:rFonts w:ascii="Times New Roman" w:hAnsi="Times New Roman" w:cs="Times New Roman"/>
          <w:vertAlign w:val="superscript"/>
        </w:rPr>
        <w:footnoteReference w:id="70"/>
      </w:r>
      <w:r w:rsidR="00C673CC" w:rsidRPr="00D56B97">
        <w:rPr>
          <w:rFonts w:ascii="Times New Roman" w:hAnsi="Times New Roman" w:cs="Times New Roman"/>
        </w:rPr>
        <w:t xml:space="preserve"> </w:t>
      </w:r>
      <w:r w:rsidR="00AF5D7B" w:rsidRPr="00D56B97">
        <w:rPr>
          <w:rFonts w:ascii="Times New Roman" w:hAnsi="Times New Roman" w:cs="Times New Roman"/>
        </w:rPr>
        <w:t>then this is</w:t>
      </w:r>
      <w:r w:rsidR="004050DF" w:rsidRPr="00D56B97">
        <w:rPr>
          <w:rFonts w:ascii="Times New Roman" w:hAnsi="Times New Roman" w:cs="Times New Roman"/>
        </w:rPr>
        <w:t xml:space="preserve"> </w:t>
      </w:r>
      <w:r w:rsidRPr="00D56B97">
        <w:rPr>
          <w:rFonts w:ascii="Times New Roman" w:hAnsi="Times New Roman" w:cs="Times New Roman"/>
        </w:rPr>
        <w:t xml:space="preserve">compatible with the gatekeeper account. </w:t>
      </w:r>
      <w:r w:rsidR="004050DF" w:rsidRPr="00D56B97">
        <w:rPr>
          <w:rFonts w:ascii="Times New Roman" w:hAnsi="Times New Roman" w:cs="Times New Roman"/>
        </w:rPr>
        <w:t>Sometimes</w:t>
      </w:r>
      <w:r w:rsidR="009B0C55" w:rsidRPr="00D56B97">
        <w:rPr>
          <w:rFonts w:ascii="Times New Roman" w:hAnsi="Times New Roman" w:cs="Times New Roman"/>
        </w:rPr>
        <w:t>, however, the jurisdictio</w:t>
      </w:r>
      <w:r w:rsidR="00B64CEB" w:rsidRPr="00D56B97">
        <w:rPr>
          <w:rFonts w:ascii="Times New Roman" w:hAnsi="Times New Roman" w:cs="Times New Roman"/>
        </w:rPr>
        <w:t>n is used for people</w:t>
      </w:r>
      <w:r w:rsidR="009B0C55" w:rsidRPr="00D56B97">
        <w:rPr>
          <w:rFonts w:ascii="Times New Roman" w:hAnsi="Times New Roman" w:cs="Times New Roman"/>
        </w:rPr>
        <w:t xml:space="preserve"> who have </w:t>
      </w:r>
      <w:r w:rsidR="00A419C9" w:rsidRPr="00D56B97">
        <w:rPr>
          <w:rFonts w:ascii="Times New Roman" w:hAnsi="Times New Roman" w:cs="Times New Roman"/>
        </w:rPr>
        <w:t>mental capacity</w:t>
      </w:r>
      <w:r w:rsidR="009B0C55" w:rsidRPr="00D56B97">
        <w:rPr>
          <w:rFonts w:ascii="Times New Roman" w:hAnsi="Times New Roman" w:cs="Times New Roman"/>
        </w:rPr>
        <w:t>,</w:t>
      </w:r>
      <w:r w:rsidR="004050DF" w:rsidRPr="00D56B97">
        <w:rPr>
          <w:rFonts w:ascii="Times New Roman" w:hAnsi="Times New Roman" w:cs="Times New Roman"/>
        </w:rPr>
        <w:t xml:space="preserve"> and</w:t>
      </w:r>
      <w:r w:rsidR="009B0C55" w:rsidRPr="00D56B97">
        <w:rPr>
          <w:rFonts w:ascii="Times New Roman" w:hAnsi="Times New Roman" w:cs="Times New Roman"/>
        </w:rPr>
        <w:t xml:space="preserve"> </w:t>
      </w:r>
      <w:r w:rsidR="00B27D5D" w:rsidRPr="00D56B97">
        <w:rPr>
          <w:rFonts w:ascii="Times New Roman" w:hAnsi="Times New Roman" w:cs="Times New Roman"/>
        </w:rPr>
        <w:t xml:space="preserve">then </w:t>
      </w:r>
      <w:r w:rsidR="009B0C55" w:rsidRPr="00D56B97">
        <w:rPr>
          <w:rFonts w:ascii="Times New Roman" w:hAnsi="Times New Roman" w:cs="Times New Roman"/>
        </w:rPr>
        <w:t>it relies on</w:t>
      </w:r>
      <w:r w:rsidR="00123190" w:rsidRPr="00D56B97">
        <w:rPr>
          <w:rFonts w:ascii="Times New Roman" w:hAnsi="Times New Roman" w:cs="Times New Roman"/>
        </w:rPr>
        <w:t xml:space="preserve"> </w:t>
      </w:r>
      <w:r w:rsidR="004050DF" w:rsidRPr="00D56B97">
        <w:rPr>
          <w:rFonts w:ascii="Times New Roman" w:hAnsi="Times New Roman" w:cs="Times New Roman"/>
        </w:rPr>
        <w:t>an insufficiency account of the relationship between autonomy and capacity.</w:t>
      </w:r>
    </w:p>
    <w:p w14:paraId="7493C883" w14:textId="77777777" w:rsidR="00A56AFB" w:rsidRPr="00D56B97" w:rsidRDefault="008F028F" w:rsidP="00021A54">
      <w:pPr>
        <w:spacing w:line="480" w:lineRule="auto"/>
        <w:ind w:firstLine="720"/>
        <w:jc w:val="both"/>
        <w:rPr>
          <w:rFonts w:ascii="Times New Roman" w:hAnsi="Times New Roman" w:cs="Times New Roman"/>
        </w:rPr>
      </w:pPr>
      <w:r w:rsidRPr="00D56B97">
        <w:rPr>
          <w:rFonts w:ascii="Times New Roman" w:hAnsi="Times New Roman" w:cs="Times New Roman"/>
        </w:rPr>
        <w:t xml:space="preserve">The leading case, </w:t>
      </w:r>
      <w:r w:rsidR="00C673CC" w:rsidRPr="00D56B97">
        <w:rPr>
          <w:rFonts w:ascii="Times New Roman" w:hAnsi="Times New Roman" w:cs="Times New Roman"/>
          <w:i/>
        </w:rPr>
        <w:t>DL</w:t>
      </w:r>
      <w:r w:rsidR="009B0C55" w:rsidRPr="00D56B97">
        <w:rPr>
          <w:rFonts w:ascii="Times New Roman" w:hAnsi="Times New Roman" w:cs="Times New Roman"/>
          <w:i/>
        </w:rPr>
        <w:t xml:space="preserve"> v A Local Authority</w:t>
      </w:r>
      <w:r w:rsidRPr="00D56B97">
        <w:rPr>
          <w:rFonts w:ascii="Times New Roman" w:hAnsi="Times New Roman" w:cs="Times New Roman"/>
          <w:i/>
        </w:rPr>
        <w:t>,</w:t>
      </w:r>
      <w:r w:rsidRPr="00D56B97">
        <w:rPr>
          <w:rStyle w:val="FootnoteReference"/>
          <w:rFonts w:ascii="Times New Roman" w:hAnsi="Times New Roman" w:cs="Times New Roman"/>
        </w:rPr>
        <w:footnoteReference w:id="71"/>
      </w:r>
      <w:r w:rsidR="003A5698" w:rsidRPr="00D56B97">
        <w:rPr>
          <w:rFonts w:ascii="Times New Roman" w:hAnsi="Times New Roman" w:cs="Times New Roman"/>
        </w:rPr>
        <w:t xml:space="preserve"> concerned</w:t>
      </w:r>
      <w:r w:rsidR="00C673CC" w:rsidRPr="00D56B97">
        <w:rPr>
          <w:rFonts w:ascii="Times New Roman" w:hAnsi="Times New Roman" w:cs="Times New Roman"/>
        </w:rPr>
        <w:t xml:space="preserve"> an ‘elderly’ couple who were </w:t>
      </w:r>
      <w:r w:rsidR="00C570A8" w:rsidRPr="00D56B97">
        <w:rPr>
          <w:rFonts w:ascii="Times New Roman" w:hAnsi="Times New Roman" w:cs="Times New Roman"/>
        </w:rPr>
        <w:t>thought to be subjected to assaults, coercion</w:t>
      </w:r>
      <w:r w:rsidR="00C673CC" w:rsidRPr="00D56B97">
        <w:rPr>
          <w:rFonts w:ascii="Times New Roman" w:hAnsi="Times New Roman" w:cs="Times New Roman"/>
        </w:rPr>
        <w:t>, and financial</w:t>
      </w:r>
      <w:r w:rsidR="00A56AFB" w:rsidRPr="00D56B97">
        <w:rPr>
          <w:rFonts w:ascii="Times New Roman" w:hAnsi="Times New Roman" w:cs="Times New Roman"/>
        </w:rPr>
        <w:t xml:space="preserve"> exploitation by their son</w:t>
      </w:r>
      <w:r w:rsidR="00C673CC" w:rsidRPr="00D56B97">
        <w:rPr>
          <w:rFonts w:ascii="Times New Roman" w:hAnsi="Times New Roman" w:cs="Times New Roman"/>
        </w:rPr>
        <w:t>.</w:t>
      </w:r>
      <w:r w:rsidR="00C673CC" w:rsidRPr="00D56B97">
        <w:rPr>
          <w:rFonts w:ascii="Times New Roman" w:hAnsi="Times New Roman" w:cs="Times New Roman"/>
          <w:vertAlign w:val="superscript"/>
        </w:rPr>
        <w:footnoteReference w:id="72"/>
      </w:r>
      <w:r w:rsidR="00A56AFB" w:rsidRPr="00D56B97">
        <w:rPr>
          <w:rFonts w:ascii="Times New Roman" w:hAnsi="Times New Roman" w:cs="Times New Roman"/>
        </w:rPr>
        <w:t xml:space="preserve"> T</w:t>
      </w:r>
      <w:r w:rsidR="00123190" w:rsidRPr="00D56B97">
        <w:rPr>
          <w:rFonts w:ascii="Times New Roman" w:hAnsi="Times New Roman" w:cs="Times New Roman"/>
        </w:rPr>
        <w:t>he husband</w:t>
      </w:r>
      <w:r w:rsidR="00C673CC" w:rsidRPr="00D56B97">
        <w:rPr>
          <w:rFonts w:ascii="Times New Roman" w:hAnsi="Times New Roman" w:cs="Times New Roman"/>
        </w:rPr>
        <w:t xml:space="preserve"> lost capacity before the case w</w:t>
      </w:r>
      <w:r w:rsidR="00123190" w:rsidRPr="00D56B97">
        <w:rPr>
          <w:rFonts w:ascii="Times New Roman" w:hAnsi="Times New Roman" w:cs="Times New Roman"/>
        </w:rPr>
        <w:t>as heard,</w:t>
      </w:r>
      <w:r w:rsidR="00A56AFB" w:rsidRPr="00D56B97">
        <w:rPr>
          <w:rFonts w:ascii="Times New Roman" w:hAnsi="Times New Roman" w:cs="Times New Roman"/>
        </w:rPr>
        <w:t xml:space="preserve"> but his wife </w:t>
      </w:r>
      <w:r w:rsidR="00D517EC" w:rsidRPr="00D56B97">
        <w:rPr>
          <w:rFonts w:ascii="Times New Roman" w:hAnsi="Times New Roman" w:cs="Times New Roman"/>
        </w:rPr>
        <w:t>retaine</w:t>
      </w:r>
      <w:r w:rsidR="008C2010" w:rsidRPr="00D56B97">
        <w:rPr>
          <w:rFonts w:ascii="Times New Roman" w:hAnsi="Times New Roman" w:cs="Times New Roman"/>
        </w:rPr>
        <w:t>d capacity throughout.</w:t>
      </w:r>
      <w:r w:rsidR="00C673CC" w:rsidRPr="00D56B97">
        <w:rPr>
          <w:rFonts w:ascii="Times New Roman" w:hAnsi="Times New Roman" w:cs="Times New Roman"/>
          <w:vertAlign w:val="superscript"/>
        </w:rPr>
        <w:footnoteReference w:id="73"/>
      </w:r>
      <w:r w:rsidR="00A32AB4" w:rsidRPr="00D56B97">
        <w:rPr>
          <w:rFonts w:ascii="Times New Roman" w:hAnsi="Times New Roman" w:cs="Times New Roman"/>
        </w:rPr>
        <w:t xml:space="preserve"> </w:t>
      </w:r>
      <w:r w:rsidR="008C2010" w:rsidRPr="00D56B97">
        <w:rPr>
          <w:rFonts w:ascii="Times New Roman" w:hAnsi="Times New Roman" w:cs="Times New Roman"/>
        </w:rPr>
        <w:t>T</w:t>
      </w:r>
      <w:r w:rsidR="00CD44DE" w:rsidRPr="00D56B97">
        <w:rPr>
          <w:rFonts w:ascii="Times New Roman" w:hAnsi="Times New Roman" w:cs="Times New Roman"/>
        </w:rPr>
        <w:t>he</w:t>
      </w:r>
      <w:r w:rsidR="00AF5D7B" w:rsidRPr="00D56B97">
        <w:rPr>
          <w:rFonts w:ascii="Times New Roman" w:hAnsi="Times New Roman" w:cs="Times New Roman"/>
        </w:rPr>
        <w:t>ir</w:t>
      </w:r>
      <w:r w:rsidR="00CD44DE" w:rsidRPr="00D56B97">
        <w:rPr>
          <w:rFonts w:ascii="Times New Roman" w:hAnsi="Times New Roman" w:cs="Times New Roman"/>
        </w:rPr>
        <w:t xml:space="preserve"> Local A</w:t>
      </w:r>
      <w:r w:rsidR="00E452F5" w:rsidRPr="00D56B97">
        <w:rPr>
          <w:rFonts w:ascii="Times New Roman" w:hAnsi="Times New Roman" w:cs="Times New Roman"/>
        </w:rPr>
        <w:t xml:space="preserve">uthority </w:t>
      </w:r>
      <w:r w:rsidR="00C673CC" w:rsidRPr="00D56B97">
        <w:rPr>
          <w:rFonts w:ascii="Times New Roman" w:hAnsi="Times New Roman" w:cs="Times New Roman"/>
        </w:rPr>
        <w:t>sought a wide range of injunctions restra</w:t>
      </w:r>
      <w:r w:rsidR="00AE1756" w:rsidRPr="00D56B97">
        <w:rPr>
          <w:rFonts w:ascii="Times New Roman" w:hAnsi="Times New Roman" w:cs="Times New Roman"/>
        </w:rPr>
        <w:t>ining the son</w:t>
      </w:r>
      <w:r w:rsidR="005A396E" w:rsidRPr="00D56B97">
        <w:rPr>
          <w:rFonts w:ascii="Times New Roman" w:hAnsi="Times New Roman" w:cs="Times New Roman"/>
        </w:rPr>
        <w:t>,</w:t>
      </w:r>
      <w:r w:rsidR="00C673CC" w:rsidRPr="00D56B97">
        <w:rPr>
          <w:rFonts w:ascii="Times New Roman" w:hAnsi="Times New Roman" w:cs="Times New Roman"/>
          <w:vertAlign w:val="superscript"/>
        </w:rPr>
        <w:footnoteReference w:id="74"/>
      </w:r>
      <w:r w:rsidR="005A396E" w:rsidRPr="00D56B97">
        <w:rPr>
          <w:rFonts w:ascii="Times New Roman" w:hAnsi="Times New Roman" w:cs="Times New Roman"/>
        </w:rPr>
        <w:t xml:space="preserve"> and t</w:t>
      </w:r>
      <w:r w:rsidR="009B0C55" w:rsidRPr="00D56B97">
        <w:rPr>
          <w:rFonts w:ascii="Times New Roman" w:hAnsi="Times New Roman" w:cs="Times New Roman"/>
        </w:rPr>
        <w:t>he</w:t>
      </w:r>
      <w:r w:rsidR="00C673CC" w:rsidRPr="00D56B97">
        <w:rPr>
          <w:rFonts w:ascii="Times New Roman" w:hAnsi="Times New Roman" w:cs="Times New Roman"/>
        </w:rPr>
        <w:t xml:space="preserve"> Court of App</w:t>
      </w:r>
      <w:r w:rsidR="00324FA0" w:rsidRPr="00D56B97">
        <w:rPr>
          <w:rFonts w:ascii="Times New Roman" w:hAnsi="Times New Roman" w:cs="Times New Roman"/>
        </w:rPr>
        <w:t>eal approved a</w:t>
      </w:r>
      <w:r w:rsidR="00C673CC" w:rsidRPr="00D56B97">
        <w:rPr>
          <w:rFonts w:ascii="Times New Roman" w:hAnsi="Times New Roman" w:cs="Times New Roman"/>
        </w:rPr>
        <w:t xml:space="preserve"> first instance decision that the inh</w:t>
      </w:r>
      <w:r w:rsidR="00A32AB4" w:rsidRPr="00D56B97">
        <w:rPr>
          <w:rFonts w:ascii="Times New Roman" w:hAnsi="Times New Roman" w:cs="Times New Roman"/>
        </w:rPr>
        <w:t xml:space="preserve">erent jurisdiction allowed </w:t>
      </w:r>
      <w:r w:rsidR="00C673CC" w:rsidRPr="00D56B97">
        <w:rPr>
          <w:rFonts w:ascii="Times New Roman" w:hAnsi="Times New Roman" w:cs="Times New Roman"/>
        </w:rPr>
        <w:t>orders to be made to protect a ‘vulnerable person’ w</w:t>
      </w:r>
      <w:r w:rsidR="00EF2967" w:rsidRPr="00D56B97">
        <w:rPr>
          <w:rFonts w:ascii="Times New Roman" w:hAnsi="Times New Roman" w:cs="Times New Roman"/>
        </w:rPr>
        <w:t>ho retained capacity, despite</w:t>
      </w:r>
      <w:r w:rsidR="00C673CC" w:rsidRPr="00D56B97">
        <w:rPr>
          <w:rFonts w:ascii="Times New Roman" w:hAnsi="Times New Roman" w:cs="Times New Roman"/>
        </w:rPr>
        <w:t xml:space="preserve"> the MCA</w:t>
      </w:r>
      <w:r w:rsidR="004050DF" w:rsidRPr="00D56B97">
        <w:rPr>
          <w:rFonts w:ascii="Times New Roman" w:hAnsi="Times New Roman" w:cs="Times New Roman"/>
        </w:rPr>
        <w:t xml:space="preserve"> coming into force</w:t>
      </w:r>
      <w:r w:rsidR="00C673CC" w:rsidRPr="00D56B97">
        <w:rPr>
          <w:rFonts w:ascii="Times New Roman" w:hAnsi="Times New Roman" w:cs="Times New Roman"/>
        </w:rPr>
        <w:t>.</w:t>
      </w:r>
      <w:r w:rsidR="00C673CC" w:rsidRPr="00D56B97">
        <w:rPr>
          <w:rFonts w:ascii="Times New Roman" w:hAnsi="Times New Roman" w:cs="Times New Roman"/>
          <w:vertAlign w:val="superscript"/>
        </w:rPr>
        <w:footnoteReference w:id="75"/>
      </w:r>
      <w:r w:rsidR="00A56AFB" w:rsidRPr="00D56B97">
        <w:rPr>
          <w:rFonts w:ascii="Times New Roman" w:hAnsi="Times New Roman" w:cs="Times New Roman"/>
        </w:rPr>
        <w:t xml:space="preserve"> </w:t>
      </w:r>
      <w:r w:rsidR="00B27D5D" w:rsidRPr="00D56B97">
        <w:rPr>
          <w:rFonts w:ascii="Times New Roman" w:hAnsi="Times New Roman" w:cs="Times New Roman"/>
        </w:rPr>
        <w:t>Two details</w:t>
      </w:r>
      <w:r w:rsidR="00C673CC" w:rsidRPr="00D56B97">
        <w:rPr>
          <w:rFonts w:ascii="Times New Roman" w:hAnsi="Times New Roman" w:cs="Times New Roman"/>
        </w:rPr>
        <w:t xml:space="preserve"> </w:t>
      </w:r>
      <w:r w:rsidR="009B0C55" w:rsidRPr="00D56B97">
        <w:rPr>
          <w:rFonts w:ascii="Times New Roman" w:hAnsi="Times New Roman" w:cs="Times New Roman"/>
        </w:rPr>
        <w:t>must</w:t>
      </w:r>
      <w:r w:rsidR="00390012" w:rsidRPr="00D56B97">
        <w:rPr>
          <w:rFonts w:ascii="Times New Roman" w:hAnsi="Times New Roman" w:cs="Times New Roman"/>
        </w:rPr>
        <w:t xml:space="preserve"> be treated with care</w:t>
      </w:r>
      <w:r w:rsidR="00A32AB4" w:rsidRPr="00D56B97">
        <w:rPr>
          <w:rFonts w:ascii="Times New Roman" w:hAnsi="Times New Roman" w:cs="Times New Roman"/>
        </w:rPr>
        <w:t xml:space="preserve"> here</w:t>
      </w:r>
      <w:r w:rsidR="009B0C55" w:rsidRPr="00D56B97">
        <w:rPr>
          <w:rFonts w:ascii="Times New Roman" w:hAnsi="Times New Roman" w:cs="Times New Roman"/>
        </w:rPr>
        <w:t>. First</w:t>
      </w:r>
      <w:r w:rsidR="00C673CC" w:rsidRPr="00D56B97">
        <w:rPr>
          <w:rFonts w:ascii="Times New Roman" w:hAnsi="Times New Roman" w:cs="Times New Roman"/>
        </w:rPr>
        <w:t xml:space="preserve">, </w:t>
      </w:r>
      <w:r w:rsidR="00390012" w:rsidRPr="00D56B97">
        <w:rPr>
          <w:rFonts w:ascii="Times New Roman" w:hAnsi="Times New Roman" w:cs="Times New Roman"/>
        </w:rPr>
        <w:t>notwithstanding</w:t>
      </w:r>
      <w:r w:rsidR="007344CE" w:rsidRPr="00D56B97">
        <w:rPr>
          <w:rFonts w:ascii="Times New Roman" w:hAnsi="Times New Roman" w:cs="Times New Roman"/>
        </w:rPr>
        <w:t xml:space="preserve"> judicial uses</w:t>
      </w:r>
      <w:r w:rsidR="004050DF" w:rsidRPr="00D56B97">
        <w:rPr>
          <w:rFonts w:ascii="Times New Roman" w:hAnsi="Times New Roman" w:cs="Times New Roman"/>
        </w:rPr>
        <w:t xml:space="preserve"> of the </w:t>
      </w:r>
      <w:r w:rsidR="009B0C55" w:rsidRPr="00D56B97">
        <w:rPr>
          <w:rFonts w:ascii="Times New Roman" w:hAnsi="Times New Roman" w:cs="Times New Roman"/>
        </w:rPr>
        <w:t>gatekeeper account</w:t>
      </w:r>
      <w:r w:rsidR="00C673CC" w:rsidRPr="00D56B97">
        <w:rPr>
          <w:rFonts w:ascii="Times New Roman" w:hAnsi="Times New Roman" w:cs="Times New Roman"/>
        </w:rPr>
        <w:t xml:space="preserve">, </w:t>
      </w:r>
      <w:r w:rsidR="009B0C55" w:rsidRPr="00D56B97">
        <w:rPr>
          <w:rFonts w:ascii="Times New Roman" w:hAnsi="Times New Roman" w:cs="Times New Roman"/>
        </w:rPr>
        <w:t>the MCA</w:t>
      </w:r>
      <w:r w:rsidR="004050DF" w:rsidRPr="00D56B97">
        <w:rPr>
          <w:rFonts w:ascii="Times New Roman" w:hAnsi="Times New Roman" w:cs="Times New Roman"/>
        </w:rPr>
        <w:t xml:space="preserve"> on</w:t>
      </w:r>
      <w:r w:rsidR="00C673CC" w:rsidRPr="00D56B97">
        <w:rPr>
          <w:rFonts w:ascii="Times New Roman" w:hAnsi="Times New Roman" w:cs="Times New Roman"/>
        </w:rPr>
        <w:t>ly defines capacity</w:t>
      </w:r>
      <w:r w:rsidR="00083FB1" w:rsidRPr="00D56B97">
        <w:rPr>
          <w:rFonts w:ascii="Times New Roman" w:hAnsi="Times New Roman" w:cs="Times New Roman"/>
        </w:rPr>
        <w:t xml:space="preserve"> for its own purposes</w:t>
      </w:r>
      <w:r w:rsidR="00390012" w:rsidRPr="00D56B97">
        <w:rPr>
          <w:rFonts w:ascii="Times New Roman" w:hAnsi="Times New Roman" w:cs="Times New Roman"/>
        </w:rPr>
        <w:t>,</w:t>
      </w:r>
      <w:r w:rsidR="00C673CC" w:rsidRPr="00D56B97">
        <w:rPr>
          <w:rFonts w:ascii="Times New Roman" w:hAnsi="Times New Roman" w:cs="Times New Roman"/>
        </w:rPr>
        <w:t xml:space="preserve"> </w:t>
      </w:r>
      <w:r w:rsidR="009B0C55" w:rsidRPr="00D56B97">
        <w:rPr>
          <w:rFonts w:ascii="Times New Roman" w:hAnsi="Times New Roman" w:cs="Times New Roman"/>
        </w:rPr>
        <w:t>so it does not exclude people being</w:t>
      </w:r>
      <w:r w:rsidR="00946F46" w:rsidRPr="00D56B97">
        <w:rPr>
          <w:rFonts w:ascii="Times New Roman" w:hAnsi="Times New Roman" w:cs="Times New Roman"/>
        </w:rPr>
        <w:t xml:space="preserve"> found</w:t>
      </w:r>
      <w:r w:rsidR="009B0C55" w:rsidRPr="00D56B97">
        <w:rPr>
          <w:rFonts w:ascii="Times New Roman" w:hAnsi="Times New Roman" w:cs="Times New Roman"/>
        </w:rPr>
        <w:t xml:space="preserve"> ‘unable to decide’ for </w:t>
      </w:r>
      <w:r w:rsidR="00083FB1" w:rsidRPr="00D56B97">
        <w:rPr>
          <w:rFonts w:ascii="Times New Roman" w:hAnsi="Times New Roman" w:cs="Times New Roman"/>
        </w:rPr>
        <w:t>reasons</w:t>
      </w:r>
      <w:r w:rsidR="009B0C55" w:rsidRPr="00D56B97">
        <w:rPr>
          <w:rFonts w:ascii="Times New Roman" w:hAnsi="Times New Roman" w:cs="Times New Roman"/>
        </w:rPr>
        <w:t xml:space="preserve"> other than those found in the Act</w:t>
      </w:r>
      <w:r w:rsidR="00390012" w:rsidRPr="00D56B97">
        <w:rPr>
          <w:rFonts w:ascii="Times New Roman" w:hAnsi="Times New Roman" w:cs="Times New Roman"/>
        </w:rPr>
        <w:t>.</w:t>
      </w:r>
      <w:r w:rsidR="00083FB1" w:rsidRPr="00D56B97">
        <w:rPr>
          <w:rFonts w:ascii="Times New Roman" w:hAnsi="Times New Roman" w:cs="Times New Roman"/>
          <w:vertAlign w:val="superscript"/>
        </w:rPr>
        <w:footnoteReference w:id="76"/>
      </w:r>
      <w:r w:rsidR="00390012" w:rsidRPr="00D56B97">
        <w:rPr>
          <w:rFonts w:ascii="Times New Roman" w:hAnsi="Times New Roman" w:cs="Times New Roman"/>
        </w:rPr>
        <w:t xml:space="preserve"> </w:t>
      </w:r>
      <w:r w:rsidR="009E1FC6" w:rsidRPr="00D56B97">
        <w:rPr>
          <w:rFonts w:ascii="Times New Roman" w:hAnsi="Times New Roman" w:cs="Times New Roman"/>
        </w:rPr>
        <w:t>This is the legal space that a</w:t>
      </w:r>
      <w:r w:rsidR="00A32AB4" w:rsidRPr="00D56B97">
        <w:rPr>
          <w:rFonts w:ascii="Times New Roman" w:hAnsi="Times New Roman" w:cs="Times New Roman"/>
        </w:rPr>
        <w:t>llows the insufficiency account</w:t>
      </w:r>
      <w:r w:rsidR="00AF5D7B" w:rsidRPr="00D56B97">
        <w:rPr>
          <w:rFonts w:ascii="Times New Roman" w:hAnsi="Times New Roman" w:cs="Times New Roman"/>
        </w:rPr>
        <w:t xml:space="preserve"> </w:t>
      </w:r>
      <w:r w:rsidR="009E1FC6" w:rsidRPr="00D56B97">
        <w:rPr>
          <w:rFonts w:ascii="Times New Roman" w:hAnsi="Times New Roman" w:cs="Times New Roman"/>
        </w:rPr>
        <w:t>to coexist with the gatekeeper account</w:t>
      </w:r>
      <w:r w:rsidR="00674ABA" w:rsidRPr="00D56B97">
        <w:rPr>
          <w:rFonts w:ascii="Times New Roman" w:hAnsi="Times New Roman" w:cs="Times New Roman"/>
        </w:rPr>
        <w:t>. N</w:t>
      </w:r>
      <w:r w:rsidR="00ED2282" w:rsidRPr="00D56B97">
        <w:rPr>
          <w:rFonts w:ascii="Times New Roman" w:hAnsi="Times New Roman" w:cs="Times New Roman"/>
        </w:rPr>
        <w:t xml:space="preserve">othing in the </w:t>
      </w:r>
      <w:r w:rsidR="00674ABA" w:rsidRPr="00D56B97">
        <w:rPr>
          <w:rFonts w:ascii="Times New Roman" w:hAnsi="Times New Roman" w:cs="Times New Roman"/>
        </w:rPr>
        <w:t>MCA</w:t>
      </w:r>
      <w:r w:rsidR="00ED2282" w:rsidRPr="00D56B97">
        <w:rPr>
          <w:rFonts w:ascii="Times New Roman" w:hAnsi="Times New Roman" w:cs="Times New Roman"/>
        </w:rPr>
        <w:t xml:space="preserve"> </w:t>
      </w:r>
      <w:r w:rsidR="008C2010" w:rsidRPr="00D56B97">
        <w:rPr>
          <w:rFonts w:ascii="Times New Roman" w:hAnsi="Times New Roman" w:cs="Times New Roman"/>
        </w:rPr>
        <w:t xml:space="preserve">requires </w:t>
      </w:r>
      <w:r w:rsidR="00ED2282" w:rsidRPr="00D56B97">
        <w:rPr>
          <w:rFonts w:ascii="Times New Roman" w:hAnsi="Times New Roman" w:cs="Times New Roman"/>
        </w:rPr>
        <w:t>those with mental capacity</w:t>
      </w:r>
      <w:r w:rsidR="008C2010" w:rsidRPr="00D56B97">
        <w:rPr>
          <w:rFonts w:ascii="Times New Roman" w:hAnsi="Times New Roman" w:cs="Times New Roman"/>
        </w:rPr>
        <w:t xml:space="preserve"> to</w:t>
      </w:r>
      <w:r w:rsidR="00ED2282" w:rsidRPr="00D56B97">
        <w:rPr>
          <w:rFonts w:ascii="Times New Roman" w:hAnsi="Times New Roman" w:cs="Times New Roman"/>
        </w:rPr>
        <w:t xml:space="preserve"> be treated as autonomous.</w:t>
      </w:r>
      <w:r w:rsidR="00A56AFB" w:rsidRPr="00D56B97">
        <w:rPr>
          <w:rFonts w:ascii="Times New Roman" w:hAnsi="Times New Roman" w:cs="Times New Roman"/>
        </w:rPr>
        <w:t xml:space="preserve"> </w:t>
      </w:r>
      <w:r w:rsidR="009E1FC6" w:rsidRPr="00D56B97">
        <w:rPr>
          <w:rFonts w:ascii="Times New Roman" w:hAnsi="Times New Roman" w:cs="Times New Roman"/>
        </w:rPr>
        <w:t>Second, i</w:t>
      </w:r>
      <w:r w:rsidR="009B0C55" w:rsidRPr="00D56B97">
        <w:rPr>
          <w:rFonts w:ascii="Times New Roman" w:hAnsi="Times New Roman" w:cs="Times New Roman"/>
        </w:rPr>
        <w:t xml:space="preserve">t might be thought that because the injunctions made in </w:t>
      </w:r>
      <w:r w:rsidR="009B0C55" w:rsidRPr="00D56B97">
        <w:rPr>
          <w:rFonts w:ascii="Times New Roman" w:hAnsi="Times New Roman" w:cs="Times New Roman"/>
          <w:i/>
        </w:rPr>
        <w:t>DL</w:t>
      </w:r>
      <w:r w:rsidR="009B0C55" w:rsidRPr="00D56B97">
        <w:rPr>
          <w:rFonts w:ascii="Times New Roman" w:hAnsi="Times New Roman" w:cs="Times New Roman"/>
        </w:rPr>
        <w:t xml:space="preserve"> related to the abusive son, they</w:t>
      </w:r>
      <w:r w:rsidR="002919BD" w:rsidRPr="00D56B97">
        <w:rPr>
          <w:rFonts w:ascii="Times New Roman" w:hAnsi="Times New Roman" w:cs="Times New Roman"/>
        </w:rPr>
        <w:t xml:space="preserve"> do not bear on whether</w:t>
      </w:r>
      <w:r w:rsidR="00DE4F04" w:rsidRPr="00D56B97">
        <w:rPr>
          <w:rFonts w:ascii="Times New Roman" w:hAnsi="Times New Roman" w:cs="Times New Roman"/>
        </w:rPr>
        <w:t xml:space="preserve"> his mother was</w:t>
      </w:r>
      <w:r w:rsidR="000B2E4B" w:rsidRPr="00D56B97">
        <w:rPr>
          <w:rFonts w:ascii="Times New Roman" w:hAnsi="Times New Roman" w:cs="Times New Roman"/>
        </w:rPr>
        <w:t xml:space="preserve"> </w:t>
      </w:r>
      <w:r w:rsidR="00954F94" w:rsidRPr="00D56B97">
        <w:rPr>
          <w:rFonts w:ascii="Times New Roman" w:hAnsi="Times New Roman" w:cs="Times New Roman"/>
        </w:rPr>
        <w:t xml:space="preserve">recognised to </w:t>
      </w:r>
      <w:r w:rsidR="000B2E4B" w:rsidRPr="00D56B97">
        <w:rPr>
          <w:rFonts w:ascii="Times New Roman" w:hAnsi="Times New Roman" w:cs="Times New Roman"/>
        </w:rPr>
        <w:t>be autonomous</w:t>
      </w:r>
      <w:r w:rsidR="00954F94" w:rsidRPr="00D56B97">
        <w:rPr>
          <w:rFonts w:ascii="Times New Roman" w:hAnsi="Times New Roman" w:cs="Times New Roman"/>
        </w:rPr>
        <w:t xml:space="preserve">. This is not so. </w:t>
      </w:r>
    </w:p>
    <w:p w14:paraId="7493C884" w14:textId="77777777" w:rsidR="000B6372" w:rsidRPr="00D56B97" w:rsidRDefault="00A56AFB" w:rsidP="00021A54">
      <w:pPr>
        <w:spacing w:line="480" w:lineRule="auto"/>
        <w:ind w:firstLine="720"/>
        <w:jc w:val="both"/>
        <w:rPr>
          <w:rFonts w:ascii="Times New Roman" w:hAnsi="Times New Roman" w:cs="Times New Roman"/>
        </w:rPr>
      </w:pPr>
      <w:r w:rsidRPr="00D56B97">
        <w:rPr>
          <w:rFonts w:ascii="Times New Roman" w:hAnsi="Times New Roman" w:cs="Times New Roman"/>
        </w:rPr>
        <w:t>I</w:t>
      </w:r>
      <w:r w:rsidR="00C673CC" w:rsidRPr="00D56B97">
        <w:rPr>
          <w:rFonts w:ascii="Times New Roman" w:hAnsi="Times New Roman" w:cs="Times New Roman"/>
        </w:rPr>
        <w:t xml:space="preserve">njunctions </w:t>
      </w:r>
      <w:r w:rsidRPr="00D56B97">
        <w:rPr>
          <w:rFonts w:ascii="Times New Roman" w:hAnsi="Times New Roman" w:cs="Times New Roman"/>
        </w:rPr>
        <w:t xml:space="preserve">like those made in </w:t>
      </w:r>
      <w:r w:rsidRPr="00D56B97">
        <w:rPr>
          <w:rFonts w:ascii="Times New Roman" w:hAnsi="Times New Roman" w:cs="Times New Roman"/>
          <w:i/>
        </w:rPr>
        <w:t xml:space="preserve">DL </w:t>
      </w:r>
      <w:r w:rsidR="00C673CC" w:rsidRPr="00D56B97">
        <w:rPr>
          <w:rFonts w:ascii="Times New Roman" w:hAnsi="Times New Roman" w:cs="Times New Roman"/>
        </w:rPr>
        <w:t>would normally be made as part of a non-molestation order under section 42 of the Family Law Act 1996. That section, however, does not permit public authorities</w:t>
      </w:r>
      <w:r w:rsidR="00390012" w:rsidRPr="00D56B97">
        <w:rPr>
          <w:rFonts w:ascii="Times New Roman" w:hAnsi="Times New Roman" w:cs="Times New Roman"/>
        </w:rPr>
        <w:t xml:space="preserve"> </w:t>
      </w:r>
      <w:r w:rsidR="001A0122" w:rsidRPr="00D56B97">
        <w:rPr>
          <w:rFonts w:ascii="Times New Roman" w:hAnsi="Times New Roman" w:cs="Times New Roman"/>
        </w:rPr>
        <w:t>to initiate proceedings,</w:t>
      </w:r>
      <w:r w:rsidR="00C673CC" w:rsidRPr="00D56B97">
        <w:rPr>
          <w:rFonts w:ascii="Times New Roman" w:hAnsi="Times New Roman" w:cs="Times New Roman"/>
        </w:rPr>
        <w:t xml:space="preserve"> and the secti</w:t>
      </w:r>
      <w:r w:rsidR="00083FB1" w:rsidRPr="00D56B97">
        <w:rPr>
          <w:rFonts w:ascii="Times New Roman" w:hAnsi="Times New Roman" w:cs="Times New Roman"/>
        </w:rPr>
        <w:t>on that does enable third party interventions</w:t>
      </w:r>
      <w:r w:rsidR="00C673CC" w:rsidRPr="00D56B97">
        <w:rPr>
          <w:rFonts w:ascii="Times New Roman" w:hAnsi="Times New Roman" w:cs="Times New Roman"/>
        </w:rPr>
        <w:t xml:space="preserve"> has never been brought into force.</w:t>
      </w:r>
      <w:r w:rsidR="00C673CC" w:rsidRPr="00D56B97">
        <w:rPr>
          <w:rFonts w:ascii="Times New Roman" w:hAnsi="Times New Roman" w:cs="Times New Roman"/>
          <w:vertAlign w:val="superscript"/>
        </w:rPr>
        <w:footnoteReference w:id="77"/>
      </w:r>
      <w:r w:rsidR="00674ABA" w:rsidRPr="00D56B97">
        <w:rPr>
          <w:rFonts w:ascii="Times New Roman" w:hAnsi="Times New Roman" w:cs="Times New Roman"/>
        </w:rPr>
        <w:t xml:space="preserve"> As Miles says</w:t>
      </w:r>
      <w:r w:rsidR="00C673CC" w:rsidRPr="00D56B97">
        <w:rPr>
          <w:rFonts w:ascii="Times New Roman" w:hAnsi="Times New Roman" w:cs="Times New Roman"/>
        </w:rPr>
        <w:t>, the current situation is</w:t>
      </w:r>
      <w:r w:rsidR="00390012" w:rsidRPr="00D56B97">
        <w:rPr>
          <w:rFonts w:ascii="Times New Roman" w:hAnsi="Times New Roman" w:cs="Times New Roman"/>
        </w:rPr>
        <w:t xml:space="preserve"> usually</w:t>
      </w:r>
      <w:r w:rsidR="00C673CC" w:rsidRPr="00D56B97">
        <w:rPr>
          <w:rFonts w:ascii="Times New Roman" w:hAnsi="Times New Roman" w:cs="Times New Roman"/>
        </w:rPr>
        <w:t xml:space="preserve"> that ‘victims control whether and when legal proceedings for injunctive relief should be brought’.</w:t>
      </w:r>
      <w:r w:rsidR="00C673CC" w:rsidRPr="00D56B97">
        <w:rPr>
          <w:rFonts w:ascii="Times New Roman" w:hAnsi="Times New Roman" w:cs="Times New Roman"/>
          <w:vertAlign w:val="superscript"/>
        </w:rPr>
        <w:footnoteReference w:id="78"/>
      </w:r>
      <w:r w:rsidR="00CA7AB1" w:rsidRPr="00D56B97">
        <w:rPr>
          <w:rFonts w:ascii="Times New Roman" w:hAnsi="Times New Roman" w:cs="Times New Roman"/>
        </w:rPr>
        <w:t xml:space="preserve"> In other words, </w:t>
      </w:r>
      <w:r w:rsidR="00C673CC" w:rsidRPr="00D56B97">
        <w:rPr>
          <w:rFonts w:ascii="Times New Roman" w:hAnsi="Times New Roman" w:cs="Times New Roman"/>
        </w:rPr>
        <w:t>people who requ</w:t>
      </w:r>
      <w:r w:rsidR="00CA7AB1" w:rsidRPr="00D56B97">
        <w:rPr>
          <w:rFonts w:ascii="Times New Roman" w:hAnsi="Times New Roman" w:cs="Times New Roman"/>
        </w:rPr>
        <w:t>ire non-</w:t>
      </w:r>
      <w:r w:rsidR="00CA7AB1" w:rsidRPr="00D56B97">
        <w:rPr>
          <w:rFonts w:ascii="Times New Roman" w:hAnsi="Times New Roman" w:cs="Times New Roman"/>
        </w:rPr>
        <w:lastRenderedPageBreak/>
        <w:t>molestation orders are</w:t>
      </w:r>
      <w:r w:rsidR="00C673CC" w:rsidRPr="00D56B97">
        <w:rPr>
          <w:rFonts w:ascii="Times New Roman" w:hAnsi="Times New Roman" w:cs="Times New Roman"/>
        </w:rPr>
        <w:t>, almost by definitio</w:t>
      </w:r>
      <w:r w:rsidR="00E452F5" w:rsidRPr="00D56B97">
        <w:rPr>
          <w:rFonts w:ascii="Times New Roman" w:hAnsi="Times New Roman" w:cs="Times New Roman"/>
        </w:rPr>
        <w:t>n, subject to coercion</w:t>
      </w:r>
      <w:r w:rsidR="00CA7AB1" w:rsidRPr="00D56B97">
        <w:rPr>
          <w:rFonts w:ascii="Times New Roman" w:hAnsi="Times New Roman" w:cs="Times New Roman"/>
        </w:rPr>
        <w:t xml:space="preserve">; but </w:t>
      </w:r>
      <w:r w:rsidR="00C673CC" w:rsidRPr="00D56B97">
        <w:rPr>
          <w:rFonts w:ascii="Times New Roman" w:hAnsi="Times New Roman" w:cs="Times New Roman"/>
        </w:rPr>
        <w:t xml:space="preserve">if </w:t>
      </w:r>
      <w:r w:rsidR="00390012" w:rsidRPr="00D56B97">
        <w:rPr>
          <w:rFonts w:ascii="Times New Roman" w:hAnsi="Times New Roman" w:cs="Times New Roman"/>
        </w:rPr>
        <w:t>they have capacity</w:t>
      </w:r>
      <w:r w:rsidR="00C673CC" w:rsidRPr="00D56B97">
        <w:rPr>
          <w:rFonts w:ascii="Times New Roman" w:hAnsi="Times New Roman" w:cs="Times New Roman"/>
        </w:rPr>
        <w:t xml:space="preserve">, then they </w:t>
      </w:r>
      <w:r w:rsidR="00954F94" w:rsidRPr="00D56B97">
        <w:rPr>
          <w:rFonts w:ascii="Times New Roman" w:hAnsi="Times New Roman" w:cs="Times New Roman"/>
        </w:rPr>
        <w:t xml:space="preserve">are </w:t>
      </w:r>
      <w:r w:rsidR="00C673CC" w:rsidRPr="00D56B97">
        <w:rPr>
          <w:rFonts w:ascii="Times New Roman" w:hAnsi="Times New Roman" w:cs="Times New Roman"/>
        </w:rPr>
        <w:t xml:space="preserve">usually </w:t>
      </w:r>
      <w:r w:rsidR="00954F94" w:rsidRPr="00D56B97">
        <w:rPr>
          <w:rFonts w:ascii="Times New Roman" w:hAnsi="Times New Roman" w:cs="Times New Roman"/>
        </w:rPr>
        <w:t xml:space="preserve">considered to be so </w:t>
      </w:r>
      <w:r w:rsidR="00674ABA" w:rsidRPr="00D56B97">
        <w:rPr>
          <w:rFonts w:ascii="Times New Roman" w:hAnsi="Times New Roman" w:cs="Times New Roman"/>
        </w:rPr>
        <w:t>autonomous</w:t>
      </w:r>
      <w:r w:rsidR="001A0122" w:rsidRPr="00D56B97">
        <w:rPr>
          <w:rFonts w:ascii="Times New Roman" w:hAnsi="Times New Roman" w:cs="Times New Roman"/>
        </w:rPr>
        <w:t xml:space="preserve"> that other parties can</w:t>
      </w:r>
      <w:r w:rsidR="00954F94" w:rsidRPr="00D56B97">
        <w:rPr>
          <w:rFonts w:ascii="Times New Roman" w:hAnsi="Times New Roman" w:cs="Times New Roman"/>
        </w:rPr>
        <w:t xml:space="preserve">not </w:t>
      </w:r>
      <w:r w:rsidR="009E1FC6" w:rsidRPr="00D56B97">
        <w:rPr>
          <w:rFonts w:ascii="Times New Roman" w:hAnsi="Times New Roman" w:cs="Times New Roman"/>
        </w:rPr>
        <w:t>initiate proceedings</w:t>
      </w:r>
      <w:r w:rsidR="00954F94" w:rsidRPr="00D56B97">
        <w:rPr>
          <w:rFonts w:ascii="Times New Roman" w:hAnsi="Times New Roman" w:cs="Times New Roman"/>
        </w:rPr>
        <w:t xml:space="preserve"> for them.</w:t>
      </w:r>
      <w:r w:rsidR="00C673CC" w:rsidRPr="00D56B97">
        <w:rPr>
          <w:rFonts w:ascii="Times New Roman" w:hAnsi="Times New Roman" w:cs="Times New Roman"/>
        </w:rPr>
        <w:t xml:space="preserve"> Mrs L, and Mr L when proce</w:t>
      </w:r>
      <w:r w:rsidR="00954F94" w:rsidRPr="00D56B97">
        <w:rPr>
          <w:rFonts w:ascii="Times New Roman" w:hAnsi="Times New Roman" w:cs="Times New Roman"/>
        </w:rPr>
        <w:t>e</w:t>
      </w:r>
      <w:r w:rsidR="009E1FC6" w:rsidRPr="00D56B97">
        <w:rPr>
          <w:rFonts w:ascii="Times New Roman" w:hAnsi="Times New Roman" w:cs="Times New Roman"/>
        </w:rPr>
        <w:t>dings were brought, had capacity. Neither of them</w:t>
      </w:r>
      <w:r w:rsidR="00C673CC" w:rsidRPr="00D56B97">
        <w:rPr>
          <w:rFonts w:ascii="Times New Roman" w:hAnsi="Times New Roman" w:cs="Times New Roman"/>
        </w:rPr>
        <w:t xml:space="preserve"> initiated proceedings. The use of the </w:t>
      </w:r>
      <w:r w:rsidR="00954F94" w:rsidRPr="00D56B97">
        <w:rPr>
          <w:rFonts w:ascii="Times New Roman" w:hAnsi="Times New Roman" w:cs="Times New Roman"/>
        </w:rPr>
        <w:t>in</w:t>
      </w:r>
      <w:r w:rsidR="009E1FC6" w:rsidRPr="00D56B97">
        <w:rPr>
          <w:rFonts w:ascii="Times New Roman" w:hAnsi="Times New Roman" w:cs="Times New Roman"/>
        </w:rPr>
        <w:t xml:space="preserve">herent jurisdiction </w:t>
      </w:r>
      <w:r w:rsidR="00954F94" w:rsidRPr="00D56B97">
        <w:rPr>
          <w:rFonts w:ascii="Times New Roman" w:hAnsi="Times New Roman" w:cs="Times New Roman"/>
        </w:rPr>
        <w:t xml:space="preserve">changed the situation from </w:t>
      </w:r>
      <w:r w:rsidR="009E1FC6" w:rsidRPr="00D56B97">
        <w:rPr>
          <w:rFonts w:ascii="Times New Roman" w:hAnsi="Times New Roman" w:cs="Times New Roman"/>
        </w:rPr>
        <w:t xml:space="preserve">the usual </w:t>
      </w:r>
      <w:r w:rsidR="00954F94" w:rsidRPr="00D56B97">
        <w:rPr>
          <w:rFonts w:ascii="Times New Roman" w:hAnsi="Times New Roman" w:cs="Times New Roman"/>
        </w:rPr>
        <w:t>one in which they were assumed to be autonomous into one in</w:t>
      </w:r>
      <w:r w:rsidR="001A0122" w:rsidRPr="00D56B97">
        <w:rPr>
          <w:rFonts w:ascii="Times New Roman" w:hAnsi="Times New Roman" w:cs="Times New Roman"/>
        </w:rPr>
        <w:t xml:space="preserve"> which their autonomy was in </w:t>
      </w:r>
      <w:r w:rsidR="00954F94" w:rsidRPr="00D56B97">
        <w:rPr>
          <w:rFonts w:ascii="Times New Roman" w:hAnsi="Times New Roman" w:cs="Times New Roman"/>
        </w:rPr>
        <w:t>question.</w:t>
      </w:r>
      <w:r w:rsidR="00DC6AA2" w:rsidRPr="00D56B97">
        <w:rPr>
          <w:rStyle w:val="FootnoteReference"/>
          <w:rFonts w:ascii="Times New Roman" w:hAnsi="Times New Roman" w:cs="Times New Roman"/>
        </w:rPr>
        <w:footnoteReference w:id="79"/>
      </w:r>
      <w:r w:rsidR="00954F94" w:rsidRPr="00D56B97">
        <w:rPr>
          <w:rFonts w:ascii="Times New Roman" w:hAnsi="Times New Roman" w:cs="Times New Roman"/>
        </w:rPr>
        <w:t xml:space="preserve"> </w:t>
      </w:r>
      <w:r w:rsidR="00674ABA" w:rsidRPr="00D56B97">
        <w:rPr>
          <w:rFonts w:ascii="Times New Roman" w:hAnsi="Times New Roman" w:cs="Times New Roman"/>
        </w:rPr>
        <w:t>This</w:t>
      </w:r>
      <w:r w:rsidR="009E1FC6" w:rsidRPr="00D56B97">
        <w:rPr>
          <w:rFonts w:ascii="Times New Roman" w:hAnsi="Times New Roman" w:cs="Times New Roman"/>
        </w:rPr>
        <w:t xml:space="preserve"> is </w:t>
      </w:r>
      <w:r w:rsidR="002919BD" w:rsidRPr="00D56B97">
        <w:rPr>
          <w:rFonts w:ascii="Times New Roman" w:hAnsi="Times New Roman" w:cs="Times New Roman"/>
        </w:rPr>
        <w:t>clear from</w:t>
      </w:r>
      <w:r w:rsidR="009141FF" w:rsidRPr="00D56B97">
        <w:rPr>
          <w:rFonts w:ascii="Times New Roman" w:hAnsi="Times New Roman" w:cs="Times New Roman"/>
        </w:rPr>
        <w:t xml:space="preserve"> the </w:t>
      </w:r>
      <w:r w:rsidR="009E1FC6" w:rsidRPr="00D56B97">
        <w:rPr>
          <w:rFonts w:ascii="Times New Roman" w:hAnsi="Times New Roman" w:cs="Times New Roman"/>
        </w:rPr>
        <w:t>judgment</w:t>
      </w:r>
      <w:r w:rsidR="009141FF" w:rsidRPr="00D56B97">
        <w:rPr>
          <w:rFonts w:ascii="Times New Roman" w:hAnsi="Times New Roman" w:cs="Times New Roman"/>
        </w:rPr>
        <w:t xml:space="preserve"> itself</w:t>
      </w:r>
      <w:r w:rsidR="009E1FC6" w:rsidRPr="00D56B97">
        <w:rPr>
          <w:rFonts w:ascii="Times New Roman" w:hAnsi="Times New Roman" w:cs="Times New Roman"/>
        </w:rPr>
        <w:t xml:space="preserve">. </w:t>
      </w:r>
      <w:r w:rsidR="00E91358" w:rsidRPr="00D56B97">
        <w:rPr>
          <w:rFonts w:ascii="Times New Roman" w:hAnsi="Times New Roman" w:cs="Times New Roman"/>
        </w:rPr>
        <w:t xml:space="preserve">Lord Justice McFarlane </w:t>
      </w:r>
      <w:r w:rsidR="00C673CC" w:rsidRPr="00D56B97">
        <w:rPr>
          <w:rFonts w:ascii="Times New Roman" w:hAnsi="Times New Roman" w:cs="Times New Roman"/>
        </w:rPr>
        <w:t>says that the jurisdiction is ‘targeted solely at those adults whose ability to make decisions for themselves has been compromised’.</w:t>
      </w:r>
      <w:r w:rsidR="00C673CC" w:rsidRPr="00D56B97">
        <w:rPr>
          <w:rFonts w:ascii="Times New Roman" w:hAnsi="Times New Roman" w:cs="Times New Roman"/>
          <w:vertAlign w:val="superscript"/>
        </w:rPr>
        <w:footnoteReference w:id="80"/>
      </w:r>
      <w:r w:rsidR="00C673CC" w:rsidRPr="00D56B97">
        <w:rPr>
          <w:rFonts w:ascii="Times New Roman" w:hAnsi="Times New Roman" w:cs="Times New Roman"/>
        </w:rPr>
        <w:t xml:space="preserve"> </w:t>
      </w:r>
      <w:r w:rsidR="009141FF" w:rsidRPr="00D56B97">
        <w:rPr>
          <w:rFonts w:ascii="Times New Roman" w:hAnsi="Times New Roman" w:cs="Times New Roman"/>
        </w:rPr>
        <w:t>This implies that</w:t>
      </w:r>
      <w:r w:rsidR="00C673CC" w:rsidRPr="00D56B97">
        <w:rPr>
          <w:rFonts w:ascii="Times New Roman" w:hAnsi="Times New Roman" w:cs="Times New Roman"/>
        </w:rPr>
        <w:t xml:space="preserve"> ‘those adults’ </w:t>
      </w:r>
      <w:r w:rsidR="00954F94" w:rsidRPr="00D56B97">
        <w:rPr>
          <w:rFonts w:ascii="Times New Roman" w:hAnsi="Times New Roman" w:cs="Times New Roman"/>
        </w:rPr>
        <w:t>are not autonomous</w:t>
      </w:r>
      <w:r w:rsidR="00E91358" w:rsidRPr="00D56B97">
        <w:rPr>
          <w:rFonts w:ascii="Times New Roman" w:hAnsi="Times New Roman" w:cs="Times New Roman"/>
        </w:rPr>
        <w:t>, a point</w:t>
      </w:r>
      <w:r w:rsidR="009141FF" w:rsidRPr="00D56B97">
        <w:rPr>
          <w:rFonts w:ascii="Times New Roman" w:hAnsi="Times New Roman" w:cs="Times New Roman"/>
        </w:rPr>
        <w:t xml:space="preserve"> ma</w:t>
      </w:r>
      <w:r w:rsidR="00123190" w:rsidRPr="00D56B97">
        <w:rPr>
          <w:rFonts w:ascii="Times New Roman" w:hAnsi="Times New Roman" w:cs="Times New Roman"/>
        </w:rPr>
        <w:t xml:space="preserve">de explicit when </w:t>
      </w:r>
      <w:r w:rsidR="00E91358" w:rsidRPr="00D56B97">
        <w:rPr>
          <w:rFonts w:ascii="Times New Roman" w:hAnsi="Times New Roman" w:cs="Times New Roman"/>
        </w:rPr>
        <w:t>he</w:t>
      </w:r>
      <w:r w:rsidR="009141FF" w:rsidRPr="00D56B97">
        <w:rPr>
          <w:rFonts w:ascii="Times New Roman" w:hAnsi="Times New Roman" w:cs="Times New Roman"/>
        </w:rPr>
        <w:t xml:space="preserve"> goes on to say that</w:t>
      </w:r>
      <w:r w:rsidR="000B6372" w:rsidRPr="00D56B97">
        <w:rPr>
          <w:rFonts w:ascii="Times New Roman" w:hAnsi="Times New Roman" w:cs="Times New Roman"/>
        </w:rPr>
        <w:t xml:space="preserve"> </w:t>
      </w:r>
      <w:r w:rsidR="00C673CC" w:rsidRPr="00D56B97">
        <w:rPr>
          <w:rFonts w:ascii="Times New Roman" w:hAnsi="Times New Roman" w:cs="Times New Roman"/>
        </w:rPr>
        <w:t>the jurisdiction is ‘aimed at enhanc</w:t>
      </w:r>
      <w:r w:rsidR="000B6372" w:rsidRPr="00D56B97">
        <w:rPr>
          <w:rFonts w:ascii="Times New Roman" w:hAnsi="Times New Roman" w:cs="Times New Roman"/>
        </w:rPr>
        <w:t>ing or liberating the autonomy</w:t>
      </w:r>
      <w:r w:rsidR="00670794" w:rsidRPr="00D56B97">
        <w:rPr>
          <w:rFonts w:ascii="Times New Roman" w:hAnsi="Times New Roman" w:cs="Times New Roman"/>
        </w:rPr>
        <w:t xml:space="preserve"> of a vulnerable adult </w:t>
      </w:r>
      <w:r w:rsidR="00670794" w:rsidRPr="00D56B97">
        <w:rPr>
          <w:rFonts w:ascii="Times New Roman" w:hAnsi="Times New Roman" w:cs="Times New Roman"/>
          <w:i/>
        </w:rPr>
        <w:t>whose autonomy has been compromised by a reason other than mental incapacity</w:t>
      </w:r>
      <w:r w:rsidR="000B6372" w:rsidRPr="00D56B97">
        <w:rPr>
          <w:rFonts w:ascii="Times New Roman" w:hAnsi="Times New Roman" w:cs="Times New Roman"/>
        </w:rPr>
        <w:t>’</w:t>
      </w:r>
      <w:r w:rsidR="00670794" w:rsidRPr="00D56B97">
        <w:rPr>
          <w:rFonts w:ascii="Times New Roman" w:hAnsi="Times New Roman" w:cs="Times New Roman"/>
        </w:rPr>
        <w:t>.</w:t>
      </w:r>
      <w:r w:rsidR="00C673CC" w:rsidRPr="00D56B97">
        <w:rPr>
          <w:rFonts w:ascii="Times New Roman" w:hAnsi="Times New Roman" w:cs="Times New Roman"/>
          <w:vertAlign w:val="superscript"/>
        </w:rPr>
        <w:footnoteReference w:id="81"/>
      </w:r>
      <w:r w:rsidR="000B6372" w:rsidRPr="00D56B97">
        <w:rPr>
          <w:rFonts w:ascii="Times New Roman" w:hAnsi="Times New Roman" w:cs="Times New Roman"/>
        </w:rPr>
        <w:t xml:space="preserve"> </w:t>
      </w:r>
      <w:r w:rsidR="00670794" w:rsidRPr="00D56B97">
        <w:rPr>
          <w:rFonts w:ascii="Times New Roman" w:hAnsi="Times New Roman" w:cs="Times New Roman"/>
        </w:rPr>
        <w:t xml:space="preserve">The </w:t>
      </w:r>
      <w:r w:rsidR="009E1FC6" w:rsidRPr="00D56B97">
        <w:rPr>
          <w:rFonts w:ascii="Times New Roman" w:hAnsi="Times New Roman" w:cs="Times New Roman"/>
        </w:rPr>
        <w:t xml:space="preserve">possible </w:t>
      </w:r>
      <w:r w:rsidR="00670794" w:rsidRPr="00D56B97">
        <w:rPr>
          <w:rFonts w:ascii="Times New Roman" w:hAnsi="Times New Roman" w:cs="Times New Roman"/>
        </w:rPr>
        <w:t>reason</w:t>
      </w:r>
      <w:r w:rsidR="00AF5D7B" w:rsidRPr="00D56B97">
        <w:rPr>
          <w:rFonts w:ascii="Times New Roman" w:hAnsi="Times New Roman" w:cs="Times New Roman"/>
        </w:rPr>
        <w:t>s that a person’s autonomy can be ‘compromised’</w:t>
      </w:r>
      <w:r w:rsidR="00670794" w:rsidRPr="00D56B97">
        <w:rPr>
          <w:rFonts w:ascii="Times New Roman" w:hAnsi="Times New Roman" w:cs="Times New Roman"/>
        </w:rPr>
        <w:t xml:space="preserve"> are further specified as</w:t>
      </w:r>
      <w:r w:rsidR="00674ABA" w:rsidRPr="00D56B97">
        <w:rPr>
          <w:rFonts w:ascii="Times New Roman" w:hAnsi="Times New Roman" w:cs="Times New Roman"/>
        </w:rPr>
        <w:t xml:space="preserve"> </w:t>
      </w:r>
      <w:r w:rsidR="00670794" w:rsidRPr="00D56B97">
        <w:rPr>
          <w:rFonts w:ascii="Times New Roman" w:hAnsi="Times New Roman" w:cs="Times New Roman"/>
        </w:rPr>
        <w:t>being</w:t>
      </w:r>
      <w:r w:rsidR="00C673CC" w:rsidRPr="00D56B97">
        <w:rPr>
          <w:rFonts w:ascii="Times New Roman" w:hAnsi="Times New Roman" w:cs="Times New Roman"/>
        </w:rPr>
        <w:t xml:space="preserve"> ‘under constra</w:t>
      </w:r>
      <w:r w:rsidR="000B6372" w:rsidRPr="00D56B97">
        <w:rPr>
          <w:rFonts w:ascii="Times New Roman" w:hAnsi="Times New Roman" w:cs="Times New Roman"/>
        </w:rPr>
        <w:t xml:space="preserve">int’, </w:t>
      </w:r>
      <w:r w:rsidR="00C673CC" w:rsidRPr="00D56B97">
        <w:rPr>
          <w:rFonts w:ascii="Times New Roman" w:hAnsi="Times New Roman" w:cs="Times New Roman"/>
        </w:rPr>
        <w:t>‘subject to coercion or undue influence’, or ‘for some other reason deprived of the capacity to make the relevant decision or disabled from making a free choice</w:t>
      </w:r>
      <w:r w:rsidR="00573CCA" w:rsidRPr="00D56B97">
        <w:rPr>
          <w:rFonts w:ascii="Times New Roman" w:hAnsi="Times New Roman" w:cs="Times New Roman"/>
        </w:rPr>
        <w:t>, or incapacitated or disabled from giving or expressing a real and genuine consent</w:t>
      </w:r>
      <w:r w:rsidR="00C673CC" w:rsidRPr="00D56B97">
        <w:rPr>
          <w:rFonts w:ascii="Times New Roman" w:hAnsi="Times New Roman" w:cs="Times New Roman"/>
        </w:rPr>
        <w:t>’.</w:t>
      </w:r>
      <w:r w:rsidR="00C673CC" w:rsidRPr="00D56B97">
        <w:rPr>
          <w:rFonts w:ascii="Times New Roman" w:hAnsi="Times New Roman" w:cs="Times New Roman"/>
          <w:vertAlign w:val="superscript"/>
        </w:rPr>
        <w:footnoteReference w:id="82"/>
      </w:r>
      <w:r w:rsidR="00C673CC" w:rsidRPr="00D56B97">
        <w:rPr>
          <w:rFonts w:ascii="Times New Roman" w:hAnsi="Times New Roman" w:cs="Times New Roman"/>
        </w:rPr>
        <w:t xml:space="preserve"> </w:t>
      </w:r>
      <w:r w:rsidR="00670794" w:rsidRPr="00D56B97">
        <w:rPr>
          <w:rFonts w:ascii="Times New Roman" w:hAnsi="Times New Roman" w:cs="Times New Roman"/>
        </w:rPr>
        <w:t>A</w:t>
      </w:r>
      <w:r w:rsidR="00573CCA" w:rsidRPr="00D56B97">
        <w:rPr>
          <w:rFonts w:ascii="Times New Roman" w:hAnsi="Times New Roman" w:cs="Times New Roman"/>
        </w:rPr>
        <w:t xml:space="preserve">llowing for the vagueness of </w:t>
      </w:r>
      <w:r w:rsidR="00AF5D7B" w:rsidRPr="00D56B97">
        <w:rPr>
          <w:rFonts w:ascii="Times New Roman" w:hAnsi="Times New Roman" w:cs="Times New Roman"/>
        </w:rPr>
        <w:t>the final reason</w:t>
      </w:r>
      <w:r w:rsidR="00573CCA" w:rsidRPr="00D56B97">
        <w:rPr>
          <w:rFonts w:ascii="Times New Roman" w:hAnsi="Times New Roman" w:cs="Times New Roman"/>
        </w:rPr>
        <w:t xml:space="preserve">, </w:t>
      </w:r>
      <w:r w:rsidR="00E91358" w:rsidRPr="00D56B97">
        <w:rPr>
          <w:rFonts w:ascii="Times New Roman" w:hAnsi="Times New Roman" w:cs="Times New Roman"/>
        </w:rPr>
        <w:t>these are</w:t>
      </w:r>
      <w:r w:rsidR="00670794" w:rsidRPr="00D56B97">
        <w:rPr>
          <w:rFonts w:ascii="Times New Roman" w:hAnsi="Times New Roman" w:cs="Times New Roman"/>
        </w:rPr>
        <w:t xml:space="preserve"> </w:t>
      </w:r>
      <w:r w:rsidR="00573CCA" w:rsidRPr="00D56B97">
        <w:rPr>
          <w:rFonts w:ascii="Times New Roman" w:hAnsi="Times New Roman" w:cs="Times New Roman"/>
        </w:rPr>
        <w:t>exam</w:t>
      </w:r>
      <w:r w:rsidR="00670794" w:rsidRPr="00D56B97">
        <w:rPr>
          <w:rFonts w:ascii="Times New Roman" w:hAnsi="Times New Roman" w:cs="Times New Roman"/>
        </w:rPr>
        <w:t xml:space="preserve">ples of autonomy requiring </w:t>
      </w:r>
      <w:r w:rsidR="00AF5D7B" w:rsidRPr="00D56B97">
        <w:rPr>
          <w:rFonts w:ascii="Times New Roman" w:hAnsi="Times New Roman" w:cs="Times New Roman"/>
        </w:rPr>
        <w:t>voluntariness</w:t>
      </w:r>
      <w:r w:rsidR="00670794" w:rsidRPr="00D56B97">
        <w:rPr>
          <w:rFonts w:ascii="Times New Roman" w:hAnsi="Times New Roman" w:cs="Times New Roman"/>
        </w:rPr>
        <w:t xml:space="preserve"> as well as mental capacity.</w:t>
      </w:r>
      <w:r w:rsidR="00A171C2" w:rsidRPr="00D56B97">
        <w:rPr>
          <w:rFonts w:ascii="Times New Roman" w:hAnsi="Times New Roman" w:cs="Times New Roman"/>
        </w:rPr>
        <w:t xml:space="preserve"> </w:t>
      </w:r>
    </w:p>
    <w:p w14:paraId="7493C885" w14:textId="77777777" w:rsidR="00995DFA" w:rsidRPr="00D56B97" w:rsidRDefault="00556236" w:rsidP="00AC229E">
      <w:pPr>
        <w:spacing w:line="480" w:lineRule="auto"/>
        <w:jc w:val="center"/>
        <w:rPr>
          <w:rFonts w:ascii="Times New Roman" w:hAnsi="Times New Roman" w:cs="Times New Roman"/>
          <w:i/>
        </w:rPr>
      </w:pPr>
      <w:r w:rsidRPr="00D56B97">
        <w:rPr>
          <w:rFonts w:ascii="Times New Roman" w:hAnsi="Times New Roman" w:cs="Times New Roman"/>
          <w:i/>
        </w:rPr>
        <w:t>C. The Doctrine of Undue I</w:t>
      </w:r>
      <w:r w:rsidR="00995DFA" w:rsidRPr="00D56B97">
        <w:rPr>
          <w:rFonts w:ascii="Times New Roman" w:hAnsi="Times New Roman" w:cs="Times New Roman"/>
          <w:i/>
        </w:rPr>
        <w:t>nfluence</w:t>
      </w:r>
    </w:p>
    <w:p w14:paraId="7493C886" w14:textId="77777777" w:rsidR="0064389E" w:rsidRPr="00D56B97" w:rsidRDefault="001C4EB9" w:rsidP="00021A54">
      <w:pPr>
        <w:spacing w:line="480" w:lineRule="auto"/>
        <w:jc w:val="both"/>
        <w:rPr>
          <w:rFonts w:ascii="Times New Roman" w:hAnsi="Times New Roman" w:cs="Times New Roman"/>
        </w:rPr>
      </w:pPr>
      <w:r w:rsidRPr="00D56B97">
        <w:rPr>
          <w:rFonts w:ascii="Times New Roman" w:hAnsi="Times New Roman" w:cs="Times New Roman"/>
        </w:rPr>
        <w:t>The inherent jurisdiction has large</w:t>
      </w:r>
      <w:r w:rsidR="00674ABA" w:rsidRPr="00D56B97">
        <w:rPr>
          <w:rFonts w:ascii="Times New Roman" w:hAnsi="Times New Roman" w:cs="Times New Roman"/>
        </w:rPr>
        <w:t>ly been exercised in</w:t>
      </w:r>
      <w:r w:rsidRPr="00D56B97">
        <w:rPr>
          <w:rFonts w:ascii="Times New Roman" w:hAnsi="Times New Roman" w:cs="Times New Roman"/>
        </w:rPr>
        <w:t xml:space="preserve"> decisions abou</w:t>
      </w:r>
      <w:r w:rsidR="00E01947" w:rsidRPr="00D56B97">
        <w:rPr>
          <w:rFonts w:ascii="Times New Roman" w:hAnsi="Times New Roman" w:cs="Times New Roman"/>
        </w:rPr>
        <w:t>t a person’s health and welfare,</w:t>
      </w:r>
      <w:r w:rsidR="00665DD6" w:rsidRPr="00D56B97">
        <w:rPr>
          <w:rFonts w:ascii="Times New Roman" w:hAnsi="Times New Roman" w:cs="Times New Roman"/>
        </w:rPr>
        <w:t xml:space="preserve"> but it has a counterpart</w:t>
      </w:r>
      <w:r w:rsidR="00855A75" w:rsidRPr="00D56B97">
        <w:rPr>
          <w:rFonts w:ascii="Times New Roman" w:hAnsi="Times New Roman" w:cs="Times New Roman"/>
        </w:rPr>
        <w:t xml:space="preserve"> in decisions about</w:t>
      </w:r>
      <w:r w:rsidRPr="00D56B97">
        <w:rPr>
          <w:rFonts w:ascii="Times New Roman" w:hAnsi="Times New Roman" w:cs="Times New Roman"/>
        </w:rPr>
        <w:t xml:space="preserve"> property and affairs</w:t>
      </w:r>
      <w:r w:rsidR="00A85EB2" w:rsidRPr="00D56B97">
        <w:rPr>
          <w:rFonts w:ascii="Times New Roman" w:hAnsi="Times New Roman" w:cs="Times New Roman"/>
        </w:rPr>
        <w:t>:</w:t>
      </w:r>
      <w:r w:rsidRPr="00D56B97">
        <w:rPr>
          <w:rFonts w:ascii="Times New Roman" w:hAnsi="Times New Roman" w:cs="Times New Roman"/>
        </w:rPr>
        <w:t xml:space="preserve"> the equitable doctrine of undue influence.</w:t>
      </w:r>
      <w:r w:rsidR="00855A75" w:rsidRPr="00D56B97">
        <w:rPr>
          <w:rFonts w:ascii="Times New Roman" w:hAnsi="Times New Roman" w:cs="Times New Roman"/>
        </w:rPr>
        <w:t xml:space="preserve"> In certain circumstances, this</w:t>
      </w:r>
      <w:r w:rsidR="00E01947" w:rsidRPr="00D56B97">
        <w:rPr>
          <w:rFonts w:ascii="Times New Roman" w:hAnsi="Times New Roman" w:cs="Times New Roman"/>
        </w:rPr>
        <w:t xml:space="preserve"> doctrine</w:t>
      </w:r>
      <w:r w:rsidR="00855A75" w:rsidRPr="00D56B97">
        <w:rPr>
          <w:rFonts w:ascii="Times New Roman" w:hAnsi="Times New Roman" w:cs="Times New Roman"/>
        </w:rPr>
        <w:t xml:space="preserve"> </w:t>
      </w:r>
      <w:r w:rsidR="00447EF2" w:rsidRPr="00D56B97">
        <w:rPr>
          <w:rFonts w:ascii="Times New Roman" w:hAnsi="Times New Roman" w:cs="Times New Roman"/>
        </w:rPr>
        <w:t>allows</w:t>
      </w:r>
      <w:r w:rsidR="006459B4" w:rsidRPr="00D56B97">
        <w:rPr>
          <w:rFonts w:ascii="Times New Roman" w:hAnsi="Times New Roman" w:cs="Times New Roman"/>
        </w:rPr>
        <w:t xml:space="preserve"> </w:t>
      </w:r>
      <w:r w:rsidR="00855A75" w:rsidRPr="00D56B97">
        <w:rPr>
          <w:rFonts w:ascii="Times New Roman" w:hAnsi="Times New Roman" w:cs="Times New Roman"/>
        </w:rPr>
        <w:t>the transactions of a person with capacity</w:t>
      </w:r>
      <w:r w:rsidR="00447EF2" w:rsidRPr="00D56B97">
        <w:rPr>
          <w:rFonts w:ascii="Times New Roman" w:hAnsi="Times New Roman" w:cs="Times New Roman"/>
        </w:rPr>
        <w:t xml:space="preserve"> to be rendered</w:t>
      </w:r>
      <w:r w:rsidR="006459B4" w:rsidRPr="00D56B97">
        <w:rPr>
          <w:rFonts w:ascii="Times New Roman" w:hAnsi="Times New Roman" w:cs="Times New Roman"/>
        </w:rPr>
        <w:t xml:space="preserve"> voidable.</w:t>
      </w:r>
      <w:r w:rsidR="00CB40FC" w:rsidRPr="00D56B97">
        <w:rPr>
          <w:rStyle w:val="FootnoteReference"/>
          <w:rFonts w:ascii="Times New Roman" w:hAnsi="Times New Roman" w:cs="Times New Roman"/>
        </w:rPr>
        <w:footnoteReference w:id="83"/>
      </w:r>
      <w:r w:rsidR="0064389E" w:rsidRPr="00D56B97">
        <w:rPr>
          <w:rFonts w:ascii="Times New Roman" w:hAnsi="Times New Roman" w:cs="Times New Roman"/>
        </w:rPr>
        <w:t xml:space="preserve"> The leading case,</w:t>
      </w:r>
      <w:r w:rsidR="003572BC" w:rsidRPr="00D56B97">
        <w:rPr>
          <w:rFonts w:ascii="Times New Roman" w:hAnsi="Times New Roman" w:cs="Times New Roman"/>
        </w:rPr>
        <w:t xml:space="preserve"> </w:t>
      </w:r>
      <w:r w:rsidR="003572BC" w:rsidRPr="00D56B97">
        <w:rPr>
          <w:rFonts w:ascii="Times New Roman" w:hAnsi="Times New Roman" w:cs="Times New Roman"/>
          <w:i/>
        </w:rPr>
        <w:t>Royal Bank of Scotland v Etridge (No 2)</w:t>
      </w:r>
      <w:r w:rsidR="0064389E" w:rsidRPr="00D56B97">
        <w:rPr>
          <w:rFonts w:ascii="Times New Roman" w:hAnsi="Times New Roman" w:cs="Times New Roman"/>
        </w:rPr>
        <w:t>,</w:t>
      </w:r>
      <w:r w:rsidR="003572BC" w:rsidRPr="00D56B97">
        <w:rPr>
          <w:rStyle w:val="FootnoteReference"/>
          <w:rFonts w:ascii="Times New Roman" w:hAnsi="Times New Roman" w:cs="Times New Roman"/>
        </w:rPr>
        <w:footnoteReference w:id="84"/>
      </w:r>
      <w:r w:rsidR="003572BC" w:rsidRPr="00D56B97">
        <w:rPr>
          <w:rFonts w:ascii="Times New Roman" w:hAnsi="Times New Roman" w:cs="Times New Roman"/>
        </w:rPr>
        <w:t xml:space="preserve"> </w:t>
      </w:r>
      <w:r w:rsidR="0064389E" w:rsidRPr="00D56B97">
        <w:rPr>
          <w:rFonts w:ascii="Times New Roman" w:hAnsi="Times New Roman" w:cs="Times New Roman"/>
        </w:rPr>
        <w:t>uses</w:t>
      </w:r>
      <w:r w:rsidR="003572BC" w:rsidRPr="00D56B97">
        <w:rPr>
          <w:rFonts w:ascii="Times New Roman" w:hAnsi="Times New Roman" w:cs="Times New Roman"/>
        </w:rPr>
        <w:t xml:space="preserve"> slightly different</w:t>
      </w:r>
      <w:r w:rsidR="0064389E" w:rsidRPr="00D56B97">
        <w:rPr>
          <w:rFonts w:ascii="Times New Roman" w:hAnsi="Times New Roman" w:cs="Times New Roman"/>
        </w:rPr>
        <w:t xml:space="preserve"> language </w:t>
      </w:r>
      <w:r w:rsidR="0064389E" w:rsidRPr="00D56B97">
        <w:rPr>
          <w:rFonts w:ascii="Times New Roman" w:hAnsi="Times New Roman" w:cs="Times New Roman"/>
        </w:rPr>
        <w:lastRenderedPageBreak/>
        <w:t xml:space="preserve">to </w:t>
      </w:r>
      <w:r w:rsidR="0064389E" w:rsidRPr="00D56B97">
        <w:rPr>
          <w:rFonts w:ascii="Times New Roman" w:hAnsi="Times New Roman" w:cs="Times New Roman"/>
          <w:i/>
        </w:rPr>
        <w:t>DL</w:t>
      </w:r>
      <w:r w:rsidR="003572BC" w:rsidRPr="00D56B97">
        <w:rPr>
          <w:rFonts w:ascii="Times New Roman" w:hAnsi="Times New Roman" w:cs="Times New Roman"/>
        </w:rPr>
        <w:t xml:space="preserve">, </w:t>
      </w:r>
      <w:r w:rsidR="0064389E" w:rsidRPr="00D56B97">
        <w:rPr>
          <w:rFonts w:ascii="Times New Roman" w:hAnsi="Times New Roman" w:cs="Times New Roman"/>
        </w:rPr>
        <w:t xml:space="preserve">but </w:t>
      </w:r>
      <w:r w:rsidR="00CA7AB1" w:rsidRPr="00D56B97">
        <w:rPr>
          <w:rFonts w:ascii="Times New Roman" w:hAnsi="Times New Roman" w:cs="Times New Roman"/>
        </w:rPr>
        <w:t>its</w:t>
      </w:r>
      <w:r w:rsidR="003572BC" w:rsidRPr="00D56B97">
        <w:rPr>
          <w:rFonts w:ascii="Times New Roman" w:hAnsi="Times New Roman" w:cs="Times New Roman"/>
        </w:rPr>
        <w:t xml:space="preserve"> re</w:t>
      </w:r>
      <w:r w:rsidR="00CA7AB1" w:rsidRPr="00D56B97">
        <w:rPr>
          <w:rFonts w:ascii="Times New Roman" w:hAnsi="Times New Roman" w:cs="Times New Roman"/>
        </w:rPr>
        <w:t xml:space="preserve">asoning </w:t>
      </w:r>
      <w:r w:rsidR="002626F6" w:rsidRPr="00D56B97">
        <w:rPr>
          <w:rFonts w:ascii="Times New Roman" w:hAnsi="Times New Roman" w:cs="Times New Roman"/>
        </w:rPr>
        <w:t xml:space="preserve">is </w:t>
      </w:r>
      <w:r w:rsidR="0064389E" w:rsidRPr="00D56B97">
        <w:rPr>
          <w:rFonts w:ascii="Times New Roman" w:hAnsi="Times New Roman" w:cs="Times New Roman"/>
        </w:rPr>
        <w:t>analogous</w:t>
      </w:r>
      <w:r w:rsidR="003572BC" w:rsidRPr="00D56B97">
        <w:rPr>
          <w:rFonts w:ascii="Times New Roman" w:hAnsi="Times New Roman" w:cs="Times New Roman"/>
          <w:i/>
        </w:rPr>
        <w:t>.</w:t>
      </w:r>
      <w:r w:rsidR="0064389E" w:rsidRPr="00D56B97">
        <w:rPr>
          <w:rFonts w:ascii="Times New Roman" w:hAnsi="Times New Roman" w:cs="Times New Roman"/>
        </w:rPr>
        <w:t xml:space="preserve"> </w:t>
      </w:r>
      <w:r w:rsidR="00CA7AB1" w:rsidRPr="00D56B97">
        <w:rPr>
          <w:rFonts w:ascii="Times New Roman" w:hAnsi="Times New Roman" w:cs="Times New Roman"/>
        </w:rPr>
        <w:t xml:space="preserve">The case </w:t>
      </w:r>
      <w:r w:rsidR="003572BC" w:rsidRPr="00D56B97">
        <w:rPr>
          <w:rFonts w:ascii="Times New Roman" w:hAnsi="Times New Roman" w:cs="Times New Roman"/>
        </w:rPr>
        <w:t>consisted of eight conjoined appeals</w:t>
      </w:r>
      <w:r w:rsidR="0064389E" w:rsidRPr="00D56B97">
        <w:rPr>
          <w:rFonts w:ascii="Times New Roman" w:hAnsi="Times New Roman" w:cs="Times New Roman"/>
        </w:rPr>
        <w:t>, all</w:t>
      </w:r>
      <w:r w:rsidR="003572BC" w:rsidRPr="00D56B97">
        <w:rPr>
          <w:rFonts w:ascii="Times New Roman" w:hAnsi="Times New Roman" w:cs="Times New Roman"/>
        </w:rPr>
        <w:t xml:space="preserve"> by women alleging that their husbands had </w:t>
      </w:r>
      <w:r w:rsidR="0064389E" w:rsidRPr="00D56B97">
        <w:rPr>
          <w:rFonts w:ascii="Times New Roman" w:hAnsi="Times New Roman" w:cs="Times New Roman"/>
        </w:rPr>
        <w:t>exercised undue influence when obtaining their</w:t>
      </w:r>
      <w:r w:rsidR="003572BC" w:rsidRPr="00D56B97">
        <w:rPr>
          <w:rFonts w:ascii="Times New Roman" w:hAnsi="Times New Roman" w:cs="Times New Roman"/>
        </w:rPr>
        <w:t xml:space="preserve"> agreeme</w:t>
      </w:r>
      <w:r w:rsidR="00447EF2" w:rsidRPr="00D56B97">
        <w:rPr>
          <w:rFonts w:ascii="Times New Roman" w:hAnsi="Times New Roman" w:cs="Times New Roman"/>
        </w:rPr>
        <w:t>nt to secure loans against</w:t>
      </w:r>
      <w:r w:rsidR="003572BC" w:rsidRPr="00D56B97">
        <w:rPr>
          <w:rFonts w:ascii="Times New Roman" w:hAnsi="Times New Roman" w:cs="Times New Roman"/>
        </w:rPr>
        <w:t xml:space="preserve"> matrimonial</w:t>
      </w:r>
      <w:r w:rsidR="0064389E" w:rsidRPr="00D56B97">
        <w:rPr>
          <w:rFonts w:ascii="Times New Roman" w:hAnsi="Times New Roman" w:cs="Times New Roman"/>
        </w:rPr>
        <w:t xml:space="preserve"> property</w:t>
      </w:r>
      <w:r w:rsidR="00F6148A" w:rsidRPr="00D56B97">
        <w:rPr>
          <w:rFonts w:ascii="Times New Roman" w:hAnsi="Times New Roman" w:cs="Times New Roman"/>
        </w:rPr>
        <w:t>. In none of the cases was</w:t>
      </w:r>
      <w:r w:rsidR="0064389E" w:rsidRPr="00D56B97">
        <w:rPr>
          <w:rFonts w:ascii="Times New Roman" w:hAnsi="Times New Roman" w:cs="Times New Roman"/>
        </w:rPr>
        <w:t xml:space="preserve"> the mental capacity of the woman</w:t>
      </w:r>
      <w:r w:rsidR="00F6148A" w:rsidRPr="00D56B97">
        <w:rPr>
          <w:rFonts w:ascii="Times New Roman" w:hAnsi="Times New Roman" w:cs="Times New Roman"/>
        </w:rPr>
        <w:t xml:space="preserve"> in doubt. </w:t>
      </w:r>
    </w:p>
    <w:p w14:paraId="7493C887" w14:textId="77777777" w:rsidR="009A055B" w:rsidRPr="00D56B97" w:rsidRDefault="00CA7AB1" w:rsidP="002E35AA">
      <w:pPr>
        <w:spacing w:line="480" w:lineRule="auto"/>
        <w:ind w:firstLine="720"/>
        <w:jc w:val="both"/>
        <w:rPr>
          <w:rFonts w:ascii="Times New Roman" w:hAnsi="Times New Roman" w:cs="Times New Roman"/>
        </w:rPr>
      </w:pPr>
      <w:r w:rsidRPr="00D56B97">
        <w:rPr>
          <w:rFonts w:ascii="Times New Roman" w:hAnsi="Times New Roman" w:cs="Times New Roman"/>
        </w:rPr>
        <w:t>Despite the women having capacity</w:t>
      </w:r>
      <w:r w:rsidR="00665DD6" w:rsidRPr="00D56B97">
        <w:rPr>
          <w:rFonts w:ascii="Times New Roman" w:hAnsi="Times New Roman" w:cs="Times New Roman"/>
        </w:rPr>
        <w:t xml:space="preserve">, </w:t>
      </w:r>
      <w:r w:rsidR="001C6C8A" w:rsidRPr="00D56B97">
        <w:rPr>
          <w:rFonts w:ascii="Times New Roman" w:hAnsi="Times New Roman" w:cs="Times New Roman"/>
        </w:rPr>
        <w:t xml:space="preserve">Lord Nicholls held that where undue influence was shown, </w:t>
      </w:r>
      <w:r w:rsidR="00F6148A" w:rsidRPr="00D56B97">
        <w:rPr>
          <w:rFonts w:ascii="Times New Roman" w:hAnsi="Times New Roman" w:cs="Times New Roman"/>
        </w:rPr>
        <w:t>the transaction ‘ought not fairly to be treated as the expression of a person's free will’.</w:t>
      </w:r>
      <w:r w:rsidR="00F6148A" w:rsidRPr="00D56B97">
        <w:rPr>
          <w:rStyle w:val="FootnoteReference"/>
          <w:rFonts w:ascii="Times New Roman" w:hAnsi="Times New Roman" w:cs="Times New Roman"/>
        </w:rPr>
        <w:footnoteReference w:id="85"/>
      </w:r>
      <w:r w:rsidR="0064389E" w:rsidRPr="00D56B97">
        <w:rPr>
          <w:rFonts w:ascii="Times New Roman" w:hAnsi="Times New Roman" w:cs="Times New Roman"/>
        </w:rPr>
        <w:t xml:space="preserve"> Later cases</w:t>
      </w:r>
      <w:r w:rsidR="00DF35F2" w:rsidRPr="00D56B97">
        <w:rPr>
          <w:rFonts w:ascii="Times New Roman" w:hAnsi="Times New Roman" w:cs="Times New Roman"/>
        </w:rPr>
        <w:t xml:space="preserve"> restate</w:t>
      </w:r>
      <w:r w:rsidR="0064389E" w:rsidRPr="00D56B97">
        <w:rPr>
          <w:rFonts w:ascii="Times New Roman" w:hAnsi="Times New Roman" w:cs="Times New Roman"/>
        </w:rPr>
        <w:t xml:space="preserve"> his</w:t>
      </w:r>
      <w:r w:rsidR="00232541" w:rsidRPr="00D56B97">
        <w:rPr>
          <w:rFonts w:ascii="Times New Roman" w:hAnsi="Times New Roman" w:cs="Times New Roman"/>
        </w:rPr>
        <w:t xml:space="preserve"> point. </w:t>
      </w:r>
      <w:r w:rsidR="00763C60" w:rsidRPr="00D56B97">
        <w:rPr>
          <w:rFonts w:ascii="Times New Roman" w:hAnsi="Times New Roman" w:cs="Times New Roman"/>
        </w:rPr>
        <w:t xml:space="preserve">For instance, </w:t>
      </w:r>
      <w:r w:rsidR="00E166B0" w:rsidRPr="00D56B97">
        <w:rPr>
          <w:rFonts w:ascii="Times New Roman" w:hAnsi="Times New Roman" w:cs="Times New Roman"/>
        </w:rPr>
        <w:t xml:space="preserve">in </w:t>
      </w:r>
      <w:r w:rsidR="00E166B0" w:rsidRPr="00D56B97">
        <w:rPr>
          <w:rFonts w:ascii="Times New Roman" w:hAnsi="Times New Roman" w:cs="Times New Roman"/>
          <w:i/>
        </w:rPr>
        <w:t>Drew v Daniel</w:t>
      </w:r>
      <w:r w:rsidR="000B435E" w:rsidRPr="00D56B97">
        <w:rPr>
          <w:rFonts w:ascii="Times New Roman" w:hAnsi="Times New Roman" w:cs="Times New Roman"/>
          <w:i/>
        </w:rPr>
        <w:t>,</w:t>
      </w:r>
      <w:r w:rsidR="00DF35F2" w:rsidRPr="00D56B97">
        <w:rPr>
          <w:rFonts w:ascii="Times New Roman" w:hAnsi="Times New Roman" w:cs="Times New Roman"/>
        </w:rPr>
        <w:t xml:space="preserve"> Lord Justice Ward affirms</w:t>
      </w:r>
      <w:r w:rsidR="00E166B0" w:rsidRPr="00D56B97">
        <w:rPr>
          <w:rFonts w:ascii="Times New Roman" w:hAnsi="Times New Roman" w:cs="Times New Roman"/>
        </w:rPr>
        <w:t xml:space="preserve"> that ‘there is no undue influence unless the donor if she were free and informed could say “This is not my wish but I must do it”’;</w:t>
      </w:r>
      <w:r w:rsidR="00E166B0" w:rsidRPr="00D56B97">
        <w:rPr>
          <w:rStyle w:val="FootnoteReference"/>
          <w:rFonts w:ascii="Times New Roman" w:hAnsi="Times New Roman" w:cs="Times New Roman"/>
        </w:rPr>
        <w:footnoteReference w:id="86"/>
      </w:r>
      <w:r w:rsidR="00E166B0" w:rsidRPr="00D56B97">
        <w:rPr>
          <w:rFonts w:ascii="Times New Roman" w:hAnsi="Times New Roman" w:cs="Times New Roman"/>
        </w:rPr>
        <w:t xml:space="preserve"> and, </w:t>
      </w:r>
      <w:r w:rsidR="00763C60" w:rsidRPr="00D56B97">
        <w:rPr>
          <w:rFonts w:ascii="Times New Roman" w:hAnsi="Times New Roman" w:cs="Times New Roman"/>
        </w:rPr>
        <w:t xml:space="preserve">in </w:t>
      </w:r>
      <w:r w:rsidR="00763C60" w:rsidRPr="00D56B97">
        <w:rPr>
          <w:rFonts w:ascii="Times New Roman" w:hAnsi="Times New Roman" w:cs="Times New Roman"/>
          <w:i/>
        </w:rPr>
        <w:t>Thompson v Foy</w:t>
      </w:r>
      <w:r w:rsidR="00E166B0" w:rsidRPr="00D56B97">
        <w:rPr>
          <w:rFonts w:ascii="Times New Roman" w:hAnsi="Times New Roman" w:cs="Times New Roman"/>
          <w:i/>
        </w:rPr>
        <w:t>,</w:t>
      </w:r>
      <w:r w:rsidR="00763C60" w:rsidRPr="00D56B97">
        <w:rPr>
          <w:rFonts w:ascii="Times New Roman" w:hAnsi="Times New Roman" w:cs="Times New Roman"/>
        </w:rPr>
        <w:t xml:space="preserve"> </w:t>
      </w:r>
      <w:r w:rsidR="00E166B0" w:rsidRPr="00D56B97">
        <w:rPr>
          <w:rFonts w:ascii="Times New Roman" w:hAnsi="Times New Roman" w:cs="Times New Roman"/>
        </w:rPr>
        <w:t>Mr Justice Lewison</w:t>
      </w:r>
      <w:r w:rsidR="00A52716" w:rsidRPr="00D56B97">
        <w:rPr>
          <w:rFonts w:ascii="Times New Roman" w:hAnsi="Times New Roman" w:cs="Times New Roman"/>
        </w:rPr>
        <w:t xml:space="preserve"> held that</w:t>
      </w:r>
      <w:r w:rsidR="00763C60" w:rsidRPr="00D56B97">
        <w:rPr>
          <w:rFonts w:ascii="Times New Roman" w:hAnsi="Times New Roman" w:cs="Times New Roman"/>
        </w:rPr>
        <w:t xml:space="preserve"> ‘the critical question is whether or not the influence has invaded the free volition</w:t>
      </w:r>
      <w:r w:rsidR="00763C60" w:rsidRPr="00D56B97">
        <w:rPr>
          <w:rFonts w:ascii="Times New Roman" w:hAnsi="Times New Roman" w:cs="Times New Roman"/>
          <w:i/>
        </w:rPr>
        <w:t xml:space="preserve"> </w:t>
      </w:r>
      <w:r w:rsidR="00763C60" w:rsidRPr="00D56B97">
        <w:rPr>
          <w:rFonts w:ascii="Times New Roman" w:hAnsi="Times New Roman" w:cs="Times New Roman"/>
        </w:rPr>
        <w:t>of the donor to withstand the influence’</w:t>
      </w:r>
      <w:r w:rsidR="00E166B0" w:rsidRPr="00D56B97">
        <w:rPr>
          <w:rFonts w:ascii="Times New Roman" w:hAnsi="Times New Roman" w:cs="Times New Roman"/>
        </w:rPr>
        <w:t>.</w:t>
      </w:r>
      <w:r w:rsidR="00763C60" w:rsidRPr="00D56B97">
        <w:rPr>
          <w:rStyle w:val="FootnoteReference"/>
          <w:rFonts w:ascii="Times New Roman" w:hAnsi="Times New Roman" w:cs="Times New Roman"/>
        </w:rPr>
        <w:footnoteReference w:id="87"/>
      </w:r>
      <w:r w:rsidR="00E166B0" w:rsidRPr="00D56B97">
        <w:rPr>
          <w:rFonts w:ascii="Times New Roman" w:hAnsi="Times New Roman" w:cs="Times New Roman"/>
        </w:rPr>
        <w:t xml:space="preserve"> </w:t>
      </w:r>
      <w:r w:rsidR="008F10FD" w:rsidRPr="00D56B97">
        <w:rPr>
          <w:rFonts w:ascii="Times New Roman" w:hAnsi="Times New Roman" w:cs="Times New Roman"/>
        </w:rPr>
        <w:t>In these cases, as in</w:t>
      </w:r>
      <w:r w:rsidR="008C219A" w:rsidRPr="00D56B97">
        <w:rPr>
          <w:rFonts w:ascii="Times New Roman" w:hAnsi="Times New Roman" w:cs="Times New Roman"/>
        </w:rPr>
        <w:t xml:space="preserve"> </w:t>
      </w:r>
      <w:r w:rsidR="008C219A" w:rsidRPr="00D56B97">
        <w:rPr>
          <w:rFonts w:ascii="Times New Roman" w:hAnsi="Times New Roman" w:cs="Times New Roman"/>
          <w:i/>
        </w:rPr>
        <w:t>DL</w:t>
      </w:r>
      <w:r w:rsidR="008C219A" w:rsidRPr="00D56B97">
        <w:rPr>
          <w:rFonts w:ascii="Times New Roman" w:hAnsi="Times New Roman" w:cs="Times New Roman"/>
        </w:rPr>
        <w:t>, someone</w:t>
      </w:r>
      <w:r w:rsidR="008F10FD" w:rsidRPr="00D56B97">
        <w:rPr>
          <w:rFonts w:ascii="Times New Roman" w:hAnsi="Times New Roman" w:cs="Times New Roman"/>
        </w:rPr>
        <w:t xml:space="preserve"> with capacity is</w:t>
      </w:r>
      <w:r w:rsidR="008C219A" w:rsidRPr="00D56B97">
        <w:rPr>
          <w:rFonts w:ascii="Times New Roman" w:hAnsi="Times New Roman" w:cs="Times New Roman"/>
        </w:rPr>
        <w:t xml:space="preserve"> nevertheless found not to </w:t>
      </w:r>
      <w:r w:rsidR="00CF6468" w:rsidRPr="00D56B97">
        <w:rPr>
          <w:rFonts w:ascii="Times New Roman" w:hAnsi="Times New Roman" w:cs="Times New Roman"/>
        </w:rPr>
        <w:t xml:space="preserve">have </w:t>
      </w:r>
      <w:r w:rsidR="008C219A" w:rsidRPr="00D56B97">
        <w:rPr>
          <w:rFonts w:ascii="Times New Roman" w:hAnsi="Times New Roman" w:cs="Times New Roman"/>
        </w:rPr>
        <w:t>b</w:t>
      </w:r>
      <w:r w:rsidR="00CF6468" w:rsidRPr="00D56B97">
        <w:rPr>
          <w:rFonts w:ascii="Times New Roman" w:hAnsi="Times New Roman" w:cs="Times New Roman"/>
        </w:rPr>
        <w:t>e</w:t>
      </w:r>
      <w:r w:rsidR="008C219A" w:rsidRPr="00D56B97">
        <w:rPr>
          <w:rFonts w:ascii="Times New Roman" w:hAnsi="Times New Roman" w:cs="Times New Roman"/>
        </w:rPr>
        <w:t>e</w:t>
      </w:r>
      <w:r w:rsidR="00CF6468" w:rsidRPr="00D56B97">
        <w:rPr>
          <w:rFonts w:ascii="Times New Roman" w:hAnsi="Times New Roman" w:cs="Times New Roman"/>
        </w:rPr>
        <w:t>n</w:t>
      </w:r>
      <w:r w:rsidR="008C219A" w:rsidRPr="00D56B97">
        <w:rPr>
          <w:rFonts w:ascii="Times New Roman" w:hAnsi="Times New Roman" w:cs="Times New Roman"/>
        </w:rPr>
        <w:t xml:space="preserve"> in control of their own relevant actions. This fall</w:t>
      </w:r>
      <w:r w:rsidR="00CB573C" w:rsidRPr="00D56B97">
        <w:rPr>
          <w:rFonts w:ascii="Times New Roman" w:hAnsi="Times New Roman" w:cs="Times New Roman"/>
        </w:rPr>
        <w:t>s beyond the gatekeeper account. It</w:t>
      </w:r>
      <w:r w:rsidR="00665DD6" w:rsidRPr="00D56B97">
        <w:rPr>
          <w:rFonts w:ascii="Times New Roman" w:hAnsi="Times New Roman" w:cs="Times New Roman"/>
        </w:rPr>
        <w:t xml:space="preserve"> is</w:t>
      </w:r>
      <w:r w:rsidR="00CB573C" w:rsidRPr="00D56B97">
        <w:rPr>
          <w:rFonts w:ascii="Times New Roman" w:hAnsi="Times New Roman" w:cs="Times New Roman"/>
        </w:rPr>
        <w:t>, however,</w:t>
      </w:r>
      <w:r w:rsidR="00665DD6" w:rsidRPr="00D56B97">
        <w:rPr>
          <w:rFonts w:ascii="Times New Roman" w:hAnsi="Times New Roman" w:cs="Times New Roman"/>
        </w:rPr>
        <w:t xml:space="preserve"> </w:t>
      </w:r>
      <w:r w:rsidR="00A95D35" w:rsidRPr="00D56B97">
        <w:rPr>
          <w:rFonts w:ascii="Times New Roman" w:hAnsi="Times New Roman" w:cs="Times New Roman"/>
        </w:rPr>
        <w:t xml:space="preserve">consistent with the insufficiency account, which requires both capacity and voluntariness for autonomy. </w:t>
      </w:r>
      <w:r w:rsidR="00665DD6" w:rsidRPr="00D56B97">
        <w:rPr>
          <w:rFonts w:ascii="Times New Roman" w:hAnsi="Times New Roman" w:cs="Times New Roman"/>
        </w:rPr>
        <w:t>To be autonomous, b</w:t>
      </w:r>
      <w:r w:rsidR="00A95D35" w:rsidRPr="00D56B97">
        <w:rPr>
          <w:rFonts w:ascii="Times New Roman" w:hAnsi="Times New Roman" w:cs="Times New Roman"/>
        </w:rPr>
        <w:t>oth the inherent jurisdiction and the doctrine of undue influence</w:t>
      </w:r>
      <w:r w:rsidR="002971A5" w:rsidRPr="00D56B97">
        <w:rPr>
          <w:rFonts w:ascii="Times New Roman" w:hAnsi="Times New Roman" w:cs="Times New Roman"/>
        </w:rPr>
        <w:t xml:space="preserve"> </w:t>
      </w:r>
      <w:r w:rsidR="00665DD6" w:rsidRPr="00D56B97">
        <w:rPr>
          <w:rFonts w:ascii="Times New Roman" w:hAnsi="Times New Roman" w:cs="Times New Roman"/>
        </w:rPr>
        <w:t xml:space="preserve">require that someone </w:t>
      </w:r>
      <w:r w:rsidR="002971A5" w:rsidRPr="00D56B97">
        <w:rPr>
          <w:rFonts w:ascii="Times New Roman" w:hAnsi="Times New Roman" w:cs="Times New Roman"/>
        </w:rPr>
        <w:t xml:space="preserve">be free from ‘coercion’ </w:t>
      </w:r>
      <w:r w:rsidR="003411EF" w:rsidRPr="00D56B97">
        <w:rPr>
          <w:rFonts w:ascii="Times New Roman" w:hAnsi="Times New Roman" w:cs="Times New Roman"/>
        </w:rPr>
        <w:t xml:space="preserve">and subtler forms of pressure </w:t>
      </w:r>
      <w:r w:rsidR="002971A5" w:rsidRPr="00D56B97">
        <w:rPr>
          <w:rFonts w:ascii="Times New Roman" w:hAnsi="Times New Roman" w:cs="Times New Roman"/>
        </w:rPr>
        <w:t>by</w:t>
      </w:r>
      <w:r w:rsidR="003411EF" w:rsidRPr="00D56B97">
        <w:rPr>
          <w:rFonts w:ascii="Times New Roman" w:hAnsi="Times New Roman" w:cs="Times New Roman"/>
        </w:rPr>
        <w:t xml:space="preserve"> a third party</w:t>
      </w:r>
      <w:r w:rsidR="002971A5" w:rsidRPr="00D56B97">
        <w:rPr>
          <w:rFonts w:ascii="Times New Roman" w:hAnsi="Times New Roman" w:cs="Times New Roman"/>
        </w:rPr>
        <w:t>.</w:t>
      </w:r>
      <w:r w:rsidR="002971A5" w:rsidRPr="00D56B97">
        <w:rPr>
          <w:rStyle w:val="FootnoteReference"/>
          <w:rFonts w:ascii="Times New Roman" w:hAnsi="Times New Roman" w:cs="Times New Roman"/>
        </w:rPr>
        <w:footnoteReference w:id="88"/>
      </w:r>
      <w:r w:rsidR="004332A9" w:rsidRPr="00D56B97">
        <w:rPr>
          <w:rFonts w:ascii="Times New Roman" w:hAnsi="Times New Roman" w:cs="Times New Roman"/>
        </w:rPr>
        <w:t xml:space="preserve"> </w:t>
      </w:r>
      <w:r w:rsidR="008F10FD" w:rsidRPr="00D56B97">
        <w:rPr>
          <w:rFonts w:ascii="Times New Roman" w:hAnsi="Times New Roman" w:cs="Times New Roman"/>
        </w:rPr>
        <w:t>Furthermore, in both</w:t>
      </w:r>
      <w:r w:rsidR="004332A9" w:rsidRPr="00D56B97">
        <w:rPr>
          <w:rFonts w:ascii="Times New Roman" w:hAnsi="Times New Roman" w:cs="Times New Roman"/>
        </w:rPr>
        <w:t xml:space="preserve"> </w:t>
      </w:r>
      <w:r w:rsidR="00665DD6" w:rsidRPr="00D56B97">
        <w:rPr>
          <w:rFonts w:ascii="Times New Roman" w:hAnsi="Times New Roman" w:cs="Times New Roman"/>
        </w:rPr>
        <w:t>lines of cases,</w:t>
      </w:r>
      <w:r w:rsidR="004332A9" w:rsidRPr="00D56B97">
        <w:rPr>
          <w:rFonts w:ascii="Times New Roman" w:hAnsi="Times New Roman" w:cs="Times New Roman"/>
        </w:rPr>
        <w:t xml:space="preserve"> </w:t>
      </w:r>
      <w:r w:rsidR="00295A86" w:rsidRPr="00D56B97">
        <w:rPr>
          <w:rFonts w:ascii="Times New Roman" w:hAnsi="Times New Roman" w:cs="Times New Roman"/>
        </w:rPr>
        <w:t>a special regard</w:t>
      </w:r>
      <w:r w:rsidR="008F10FD" w:rsidRPr="00D56B97">
        <w:rPr>
          <w:rFonts w:ascii="Times New Roman" w:hAnsi="Times New Roman" w:cs="Times New Roman"/>
        </w:rPr>
        <w:t xml:space="preserve"> must be had</w:t>
      </w:r>
      <w:r w:rsidR="00295A86" w:rsidRPr="00D56B97">
        <w:rPr>
          <w:rFonts w:ascii="Times New Roman" w:hAnsi="Times New Roman" w:cs="Times New Roman"/>
        </w:rPr>
        <w:t xml:space="preserve"> </w:t>
      </w:r>
      <w:r w:rsidR="00665DD6" w:rsidRPr="00D56B97">
        <w:rPr>
          <w:rFonts w:ascii="Times New Roman" w:hAnsi="Times New Roman" w:cs="Times New Roman"/>
        </w:rPr>
        <w:t>for those persons thought to be</w:t>
      </w:r>
      <w:r w:rsidR="008F10FD" w:rsidRPr="00D56B97">
        <w:rPr>
          <w:rFonts w:ascii="Times New Roman" w:hAnsi="Times New Roman" w:cs="Times New Roman"/>
        </w:rPr>
        <w:t xml:space="preserve"> </w:t>
      </w:r>
      <w:r w:rsidR="00295A86" w:rsidRPr="00D56B97">
        <w:rPr>
          <w:rFonts w:ascii="Times New Roman" w:hAnsi="Times New Roman" w:cs="Times New Roman"/>
        </w:rPr>
        <w:t xml:space="preserve">‘vulnerable’, </w:t>
      </w:r>
      <w:r w:rsidR="008F10FD" w:rsidRPr="00D56B97">
        <w:rPr>
          <w:rFonts w:ascii="Times New Roman" w:hAnsi="Times New Roman" w:cs="Times New Roman"/>
        </w:rPr>
        <w:t xml:space="preserve">but any attempt to define ‘vulnerability’ is </w:t>
      </w:r>
      <w:r w:rsidR="00DF35F2" w:rsidRPr="00D56B97">
        <w:rPr>
          <w:rFonts w:ascii="Times New Roman" w:hAnsi="Times New Roman" w:cs="Times New Roman"/>
        </w:rPr>
        <w:t xml:space="preserve">firmly </w:t>
      </w:r>
      <w:r w:rsidR="008F10FD" w:rsidRPr="00D56B97">
        <w:rPr>
          <w:rFonts w:ascii="Times New Roman" w:hAnsi="Times New Roman" w:cs="Times New Roman"/>
        </w:rPr>
        <w:t>resisted</w:t>
      </w:r>
      <w:r w:rsidR="00295A86" w:rsidRPr="00D56B97">
        <w:rPr>
          <w:rFonts w:ascii="Times New Roman" w:hAnsi="Times New Roman" w:cs="Times New Roman"/>
        </w:rPr>
        <w:t>.</w:t>
      </w:r>
      <w:r w:rsidR="00295A86" w:rsidRPr="00D56B97">
        <w:rPr>
          <w:rStyle w:val="FootnoteReference"/>
          <w:rFonts w:ascii="Times New Roman" w:hAnsi="Times New Roman" w:cs="Times New Roman"/>
        </w:rPr>
        <w:footnoteReference w:id="89"/>
      </w:r>
      <w:r w:rsidR="00BE5011" w:rsidRPr="00D56B97">
        <w:rPr>
          <w:rFonts w:ascii="Times New Roman" w:hAnsi="Times New Roman" w:cs="Times New Roman"/>
        </w:rPr>
        <w:t xml:space="preserve"> </w:t>
      </w:r>
      <w:r w:rsidR="00B27616" w:rsidRPr="00D56B97">
        <w:rPr>
          <w:rFonts w:ascii="Times New Roman" w:hAnsi="Times New Roman" w:cs="Times New Roman"/>
        </w:rPr>
        <w:t>In other words</w:t>
      </w:r>
      <w:r w:rsidR="008F10FD" w:rsidRPr="00D56B97">
        <w:rPr>
          <w:rFonts w:ascii="Times New Roman" w:hAnsi="Times New Roman" w:cs="Times New Roman"/>
        </w:rPr>
        <w:t xml:space="preserve">, </w:t>
      </w:r>
      <w:r w:rsidR="00665DD6" w:rsidRPr="00D56B97">
        <w:rPr>
          <w:rFonts w:ascii="Times New Roman" w:hAnsi="Times New Roman" w:cs="Times New Roman"/>
        </w:rPr>
        <w:t xml:space="preserve">the two strands of law </w:t>
      </w:r>
      <w:r w:rsidRPr="00D56B97">
        <w:rPr>
          <w:rFonts w:ascii="Times New Roman" w:hAnsi="Times New Roman" w:cs="Times New Roman"/>
        </w:rPr>
        <w:t>are</w:t>
      </w:r>
      <w:r w:rsidR="007F0BC4" w:rsidRPr="00D56B97">
        <w:rPr>
          <w:rFonts w:ascii="Times New Roman" w:hAnsi="Times New Roman" w:cs="Times New Roman"/>
        </w:rPr>
        <w:t xml:space="preserve"> </w:t>
      </w:r>
      <w:r w:rsidR="00E75F60" w:rsidRPr="00D56B97">
        <w:rPr>
          <w:rFonts w:ascii="Times New Roman" w:hAnsi="Times New Roman" w:cs="Times New Roman"/>
        </w:rPr>
        <w:t xml:space="preserve">motivated </w:t>
      </w:r>
      <w:r w:rsidR="001B4D4C" w:rsidRPr="00D56B97">
        <w:rPr>
          <w:rFonts w:ascii="Times New Roman" w:hAnsi="Times New Roman" w:cs="Times New Roman"/>
        </w:rPr>
        <w:t xml:space="preserve">by the same </w:t>
      </w:r>
      <w:r w:rsidR="008F10FD" w:rsidRPr="00D56B97">
        <w:rPr>
          <w:rFonts w:ascii="Times New Roman" w:hAnsi="Times New Roman" w:cs="Times New Roman"/>
        </w:rPr>
        <w:t xml:space="preserve">basic </w:t>
      </w:r>
      <w:r w:rsidR="00E75F60" w:rsidRPr="00D56B97">
        <w:rPr>
          <w:rFonts w:ascii="Times New Roman" w:hAnsi="Times New Roman" w:cs="Times New Roman"/>
        </w:rPr>
        <w:t>understanding of the relationship between autonomy and mental capacity</w:t>
      </w:r>
      <w:r w:rsidR="002E35AA" w:rsidRPr="00D56B97">
        <w:rPr>
          <w:rFonts w:ascii="Times New Roman" w:hAnsi="Times New Roman" w:cs="Times New Roman"/>
        </w:rPr>
        <w:t>: one that, as the next subsection discusses, also occurs in some philosophical accounts. On this understanding</w:t>
      </w:r>
      <w:r w:rsidR="00D73DC8" w:rsidRPr="00D56B97">
        <w:rPr>
          <w:rFonts w:ascii="Times New Roman" w:hAnsi="Times New Roman" w:cs="Times New Roman"/>
        </w:rPr>
        <w:t>, autonomy requires both capacity and voluntariness.</w:t>
      </w:r>
      <w:r w:rsidR="007F0BC4" w:rsidRPr="00D56B97">
        <w:rPr>
          <w:rStyle w:val="FootnoteReference"/>
          <w:rFonts w:ascii="Times New Roman" w:hAnsi="Times New Roman" w:cs="Times New Roman"/>
        </w:rPr>
        <w:footnoteReference w:id="90"/>
      </w:r>
    </w:p>
    <w:p w14:paraId="7493C888" w14:textId="77777777" w:rsidR="000F0816" w:rsidRPr="00D56B97" w:rsidRDefault="00556236" w:rsidP="00AC229E">
      <w:pPr>
        <w:spacing w:line="480" w:lineRule="auto"/>
        <w:jc w:val="center"/>
        <w:rPr>
          <w:rFonts w:ascii="Times New Roman" w:hAnsi="Times New Roman" w:cs="Times New Roman"/>
          <w:i/>
        </w:rPr>
      </w:pPr>
      <w:r w:rsidRPr="00D56B97">
        <w:rPr>
          <w:rFonts w:ascii="Times New Roman" w:hAnsi="Times New Roman" w:cs="Times New Roman"/>
          <w:i/>
        </w:rPr>
        <w:t>D. Function of the Insufficiency A</w:t>
      </w:r>
      <w:r w:rsidR="000F0816" w:rsidRPr="00D56B97">
        <w:rPr>
          <w:rFonts w:ascii="Times New Roman" w:hAnsi="Times New Roman" w:cs="Times New Roman"/>
          <w:i/>
        </w:rPr>
        <w:t>ccount</w:t>
      </w:r>
    </w:p>
    <w:p w14:paraId="7493C889" w14:textId="2057ACF2" w:rsidR="007E26AB" w:rsidRPr="00D56B97" w:rsidRDefault="004132A6" w:rsidP="006260FC">
      <w:pPr>
        <w:spacing w:line="480" w:lineRule="auto"/>
        <w:jc w:val="both"/>
        <w:rPr>
          <w:rFonts w:ascii="Times New Roman" w:hAnsi="Times New Roman" w:cs="Times New Roman"/>
        </w:rPr>
      </w:pPr>
      <w:r w:rsidRPr="00D56B97">
        <w:rPr>
          <w:rFonts w:ascii="Times New Roman" w:hAnsi="Times New Roman" w:cs="Times New Roman"/>
        </w:rPr>
        <w:lastRenderedPageBreak/>
        <w:t>After e</w:t>
      </w:r>
      <w:r w:rsidR="00782FE0" w:rsidRPr="00D56B97">
        <w:rPr>
          <w:rFonts w:ascii="Times New Roman" w:hAnsi="Times New Roman" w:cs="Times New Roman"/>
        </w:rPr>
        <w:t>xamining the cases in which</w:t>
      </w:r>
      <w:r w:rsidRPr="00D56B97">
        <w:rPr>
          <w:rFonts w:ascii="Times New Roman" w:hAnsi="Times New Roman" w:cs="Times New Roman"/>
        </w:rPr>
        <w:t xml:space="preserve"> the</w:t>
      </w:r>
      <w:r w:rsidR="00CA7AB1" w:rsidRPr="00D56B97">
        <w:rPr>
          <w:rFonts w:ascii="Times New Roman" w:hAnsi="Times New Roman" w:cs="Times New Roman"/>
        </w:rPr>
        <w:t xml:space="preserve"> insufficiency account</w:t>
      </w:r>
      <w:r w:rsidR="00782FE0" w:rsidRPr="00D56B97">
        <w:rPr>
          <w:rFonts w:ascii="Times New Roman" w:hAnsi="Times New Roman" w:cs="Times New Roman"/>
        </w:rPr>
        <w:t xml:space="preserve"> appears</w:t>
      </w:r>
      <w:r w:rsidRPr="00D56B97">
        <w:rPr>
          <w:rFonts w:ascii="Times New Roman" w:hAnsi="Times New Roman" w:cs="Times New Roman"/>
        </w:rPr>
        <w:t>,</w:t>
      </w:r>
      <w:r w:rsidR="00613AD8" w:rsidRPr="00D56B97">
        <w:rPr>
          <w:rFonts w:ascii="Times New Roman" w:hAnsi="Times New Roman" w:cs="Times New Roman"/>
        </w:rPr>
        <w:t xml:space="preserve"> two hypotheses</w:t>
      </w:r>
      <w:r w:rsidR="00043AD7" w:rsidRPr="00D56B97">
        <w:rPr>
          <w:rFonts w:ascii="Times New Roman" w:hAnsi="Times New Roman" w:cs="Times New Roman"/>
        </w:rPr>
        <w:t xml:space="preserve"> </w:t>
      </w:r>
      <w:r w:rsidRPr="00D56B97">
        <w:rPr>
          <w:rFonts w:ascii="Times New Roman" w:hAnsi="Times New Roman" w:cs="Times New Roman"/>
        </w:rPr>
        <w:t>can</w:t>
      </w:r>
      <w:r w:rsidR="00CA7AB1" w:rsidRPr="00D56B97">
        <w:rPr>
          <w:rFonts w:ascii="Times New Roman" w:hAnsi="Times New Roman" w:cs="Times New Roman"/>
        </w:rPr>
        <w:t xml:space="preserve"> be discarded</w:t>
      </w:r>
      <w:r w:rsidR="00043AD7" w:rsidRPr="00D56B97">
        <w:rPr>
          <w:rFonts w:ascii="Times New Roman" w:hAnsi="Times New Roman" w:cs="Times New Roman"/>
        </w:rPr>
        <w:t xml:space="preserve">. </w:t>
      </w:r>
      <w:r w:rsidR="00613AD8" w:rsidRPr="00D56B97">
        <w:rPr>
          <w:rFonts w:ascii="Times New Roman" w:hAnsi="Times New Roman" w:cs="Times New Roman"/>
        </w:rPr>
        <w:t>First,</w:t>
      </w:r>
      <w:r w:rsidR="001B4D4C" w:rsidRPr="00D56B97">
        <w:rPr>
          <w:rFonts w:ascii="Times New Roman" w:hAnsi="Times New Roman" w:cs="Times New Roman"/>
        </w:rPr>
        <w:t xml:space="preserve"> this is not </w:t>
      </w:r>
      <w:r w:rsidR="008D3150" w:rsidRPr="00D56B97">
        <w:rPr>
          <w:rFonts w:ascii="Times New Roman" w:hAnsi="Times New Roman" w:cs="Times New Roman"/>
        </w:rPr>
        <w:t>a ca</w:t>
      </w:r>
      <w:r w:rsidR="003A6739" w:rsidRPr="00D56B97">
        <w:rPr>
          <w:rFonts w:ascii="Times New Roman" w:hAnsi="Times New Roman" w:cs="Times New Roman"/>
        </w:rPr>
        <w:t>se of judicial disagreement.</w:t>
      </w:r>
      <w:r w:rsidR="003A074F" w:rsidRPr="00D56B97">
        <w:rPr>
          <w:rFonts w:ascii="Times New Roman" w:hAnsi="Times New Roman" w:cs="Times New Roman"/>
        </w:rPr>
        <w:t xml:space="preserve"> </w:t>
      </w:r>
      <w:r w:rsidR="003A6739" w:rsidRPr="00D56B97">
        <w:rPr>
          <w:rFonts w:ascii="Times New Roman" w:hAnsi="Times New Roman" w:cs="Times New Roman"/>
        </w:rPr>
        <w:t>I</w:t>
      </w:r>
      <w:r w:rsidR="003A074F" w:rsidRPr="00D56B97">
        <w:rPr>
          <w:rFonts w:ascii="Times New Roman" w:hAnsi="Times New Roman" w:cs="Times New Roman"/>
        </w:rPr>
        <w:t>t is not that</w:t>
      </w:r>
      <w:r w:rsidR="00043AD7" w:rsidRPr="00D56B97">
        <w:rPr>
          <w:rFonts w:ascii="Times New Roman" w:hAnsi="Times New Roman" w:cs="Times New Roman"/>
        </w:rPr>
        <w:t xml:space="preserve"> some ju</w:t>
      </w:r>
      <w:r w:rsidR="001B4D4C" w:rsidRPr="00D56B97">
        <w:rPr>
          <w:rFonts w:ascii="Times New Roman" w:hAnsi="Times New Roman" w:cs="Times New Roman"/>
        </w:rPr>
        <w:t>dges rely</w:t>
      </w:r>
      <w:r w:rsidRPr="00D56B97">
        <w:rPr>
          <w:rFonts w:ascii="Times New Roman" w:hAnsi="Times New Roman" w:cs="Times New Roman"/>
        </w:rPr>
        <w:t xml:space="preserve"> on one account </w:t>
      </w:r>
      <w:r w:rsidR="001B4320" w:rsidRPr="00D56B97">
        <w:rPr>
          <w:rFonts w:ascii="Times New Roman" w:hAnsi="Times New Roman" w:cs="Times New Roman"/>
        </w:rPr>
        <w:t>and</w:t>
      </w:r>
      <w:r w:rsidR="00043AD7" w:rsidRPr="00D56B97">
        <w:rPr>
          <w:rFonts w:ascii="Times New Roman" w:hAnsi="Times New Roman" w:cs="Times New Roman"/>
        </w:rPr>
        <w:t xml:space="preserve"> other ju</w:t>
      </w:r>
      <w:r w:rsidRPr="00D56B97">
        <w:rPr>
          <w:rFonts w:ascii="Times New Roman" w:hAnsi="Times New Roman" w:cs="Times New Roman"/>
        </w:rPr>
        <w:t xml:space="preserve">dges </w:t>
      </w:r>
      <w:r w:rsidR="001B4D4C" w:rsidRPr="00D56B97">
        <w:rPr>
          <w:rFonts w:ascii="Times New Roman" w:hAnsi="Times New Roman" w:cs="Times New Roman"/>
        </w:rPr>
        <w:t>rely</w:t>
      </w:r>
      <w:r w:rsidRPr="00D56B97">
        <w:rPr>
          <w:rFonts w:ascii="Times New Roman" w:hAnsi="Times New Roman" w:cs="Times New Roman"/>
        </w:rPr>
        <w:t xml:space="preserve"> on another account</w:t>
      </w:r>
      <w:r w:rsidR="00043AD7" w:rsidRPr="00D56B97">
        <w:rPr>
          <w:rFonts w:ascii="Times New Roman" w:hAnsi="Times New Roman" w:cs="Times New Roman"/>
        </w:rPr>
        <w:t xml:space="preserve">. Lord Justice McFarlane gave the leading judgment in both </w:t>
      </w:r>
      <w:r w:rsidR="00043AD7" w:rsidRPr="00D56B97">
        <w:rPr>
          <w:rFonts w:ascii="Times New Roman" w:hAnsi="Times New Roman" w:cs="Times New Roman"/>
          <w:i/>
        </w:rPr>
        <w:t>DL</w:t>
      </w:r>
      <w:r w:rsidR="00043AD7" w:rsidRPr="00D56B97">
        <w:rPr>
          <w:rFonts w:ascii="Times New Roman" w:hAnsi="Times New Roman" w:cs="Times New Roman"/>
        </w:rPr>
        <w:t xml:space="preserve"> and </w:t>
      </w:r>
      <w:r w:rsidR="00E6450C" w:rsidRPr="00D56B97">
        <w:rPr>
          <w:rFonts w:ascii="Times New Roman" w:hAnsi="Times New Roman" w:cs="Times New Roman"/>
          <w:i/>
        </w:rPr>
        <w:t>PC</w:t>
      </w:r>
      <w:r w:rsidR="001B4320" w:rsidRPr="00D56B97">
        <w:rPr>
          <w:rFonts w:ascii="Times New Roman" w:hAnsi="Times New Roman" w:cs="Times New Roman"/>
        </w:rPr>
        <w:t>,</w:t>
      </w:r>
      <w:r w:rsidR="00043AD7" w:rsidRPr="00D56B97">
        <w:rPr>
          <w:rFonts w:ascii="Times New Roman" w:hAnsi="Times New Roman" w:cs="Times New Roman"/>
        </w:rPr>
        <w:t xml:space="preserve"> b</w:t>
      </w:r>
      <w:r w:rsidR="001B4D4C" w:rsidRPr="00D56B97">
        <w:rPr>
          <w:rFonts w:ascii="Times New Roman" w:hAnsi="Times New Roman" w:cs="Times New Roman"/>
        </w:rPr>
        <w:t xml:space="preserve">ut the former is </w:t>
      </w:r>
      <w:r w:rsidR="00043AD7" w:rsidRPr="00D56B97">
        <w:rPr>
          <w:rFonts w:ascii="Times New Roman" w:hAnsi="Times New Roman" w:cs="Times New Roman"/>
        </w:rPr>
        <w:t>premised on an insufficiency account and</w:t>
      </w:r>
      <w:r w:rsidR="00E2706E" w:rsidRPr="00D56B97">
        <w:rPr>
          <w:rFonts w:ascii="Times New Roman" w:hAnsi="Times New Roman" w:cs="Times New Roman"/>
        </w:rPr>
        <w:t xml:space="preserve"> </w:t>
      </w:r>
      <w:r w:rsidR="00043AD7" w:rsidRPr="00D56B97">
        <w:rPr>
          <w:rFonts w:ascii="Times New Roman" w:hAnsi="Times New Roman" w:cs="Times New Roman"/>
        </w:rPr>
        <w:t>the latter on the gatekeeper account. Similarly</w:t>
      </w:r>
      <w:r w:rsidRPr="00D56B97">
        <w:rPr>
          <w:rFonts w:ascii="Times New Roman" w:hAnsi="Times New Roman" w:cs="Times New Roman"/>
        </w:rPr>
        <w:t>,</w:t>
      </w:r>
      <w:r w:rsidR="00043AD7" w:rsidRPr="00D56B97">
        <w:rPr>
          <w:rFonts w:ascii="Times New Roman" w:hAnsi="Times New Roman" w:cs="Times New Roman"/>
        </w:rPr>
        <w:t xml:space="preserve"> Lady Justice Butler-</w:t>
      </w:r>
      <w:r w:rsidR="00613AD8" w:rsidRPr="00D56B97">
        <w:rPr>
          <w:rFonts w:ascii="Times New Roman" w:hAnsi="Times New Roman" w:cs="Times New Roman"/>
        </w:rPr>
        <w:t xml:space="preserve">Sloss gave judgment in both </w:t>
      </w:r>
      <w:r w:rsidR="00613AD8" w:rsidRPr="00D56B97">
        <w:rPr>
          <w:rFonts w:ascii="Times New Roman" w:hAnsi="Times New Roman" w:cs="Times New Roman"/>
          <w:i/>
        </w:rPr>
        <w:t>Re T,</w:t>
      </w:r>
      <w:r w:rsidR="00613AD8" w:rsidRPr="00D56B97">
        <w:rPr>
          <w:rFonts w:ascii="Times New Roman" w:hAnsi="Times New Roman" w:cs="Times New Roman"/>
        </w:rPr>
        <w:t xml:space="preserve"> which relied on the insufficiency account, and in </w:t>
      </w:r>
      <w:r w:rsidR="00613AD8" w:rsidRPr="00D56B97">
        <w:rPr>
          <w:rFonts w:ascii="Times New Roman" w:hAnsi="Times New Roman" w:cs="Times New Roman"/>
          <w:i/>
        </w:rPr>
        <w:t xml:space="preserve">Re MB, </w:t>
      </w:r>
      <w:r w:rsidR="00E2706E" w:rsidRPr="00D56B97">
        <w:rPr>
          <w:rFonts w:ascii="Times New Roman" w:hAnsi="Times New Roman" w:cs="Times New Roman"/>
        </w:rPr>
        <w:t>which</w:t>
      </w:r>
      <w:r w:rsidR="00613AD8" w:rsidRPr="00D56B97">
        <w:rPr>
          <w:rFonts w:ascii="Times New Roman" w:hAnsi="Times New Roman" w:cs="Times New Roman"/>
        </w:rPr>
        <w:t xml:space="preserve"> </w:t>
      </w:r>
      <w:r w:rsidR="00E2706E" w:rsidRPr="00D56B97">
        <w:rPr>
          <w:rFonts w:ascii="Times New Roman" w:hAnsi="Times New Roman" w:cs="Times New Roman"/>
        </w:rPr>
        <w:t>relied on</w:t>
      </w:r>
      <w:r w:rsidR="00613AD8" w:rsidRPr="00D56B97">
        <w:rPr>
          <w:rFonts w:ascii="Times New Roman" w:hAnsi="Times New Roman" w:cs="Times New Roman"/>
        </w:rPr>
        <w:t xml:space="preserve"> the gatekeeper acc</w:t>
      </w:r>
      <w:r w:rsidR="00E2706E" w:rsidRPr="00D56B97">
        <w:rPr>
          <w:rFonts w:ascii="Times New Roman" w:hAnsi="Times New Roman" w:cs="Times New Roman"/>
        </w:rPr>
        <w:t>ount. Second, no simple story about</w:t>
      </w:r>
      <w:r w:rsidR="00613AD8" w:rsidRPr="00D56B97">
        <w:rPr>
          <w:rFonts w:ascii="Times New Roman" w:hAnsi="Times New Roman" w:cs="Times New Roman"/>
        </w:rPr>
        <w:t xml:space="preserve"> the evolution of </w:t>
      </w:r>
      <w:r w:rsidR="00BE6BE0" w:rsidRPr="00D56B97">
        <w:rPr>
          <w:rFonts w:ascii="Times New Roman" w:hAnsi="Times New Roman" w:cs="Times New Roman"/>
        </w:rPr>
        <w:t>judicial views will work here. An i</w:t>
      </w:r>
      <w:r w:rsidR="00613AD8" w:rsidRPr="00D56B97">
        <w:rPr>
          <w:rFonts w:ascii="Times New Roman" w:hAnsi="Times New Roman" w:cs="Times New Roman"/>
        </w:rPr>
        <w:t>nsufficiency</w:t>
      </w:r>
      <w:r w:rsidR="00BE6BE0" w:rsidRPr="00D56B97">
        <w:rPr>
          <w:rFonts w:ascii="Times New Roman" w:hAnsi="Times New Roman" w:cs="Times New Roman"/>
        </w:rPr>
        <w:t xml:space="preserve"> account</w:t>
      </w:r>
      <w:r w:rsidR="00613AD8" w:rsidRPr="00D56B97">
        <w:rPr>
          <w:rFonts w:ascii="Times New Roman" w:hAnsi="Times New Roman" w:cs="Times New Roman"/>
        </w:rPr>
        <w:t xml:space="preserve"> in </w:t>
      </w:r>
      <w:r w:rsidR="00613AD8" w:rsidRPr="00D56B97">
        <w:rPr>
          <w:rFonts w:ascii="Times New Roman" w:hAnsi="Times New Roman" w:cs="Times New Roman"/>
          <w:i/>
        </w:rPr>
        <w:t>Re T</w:t>
      </w:r>
      <w:r w:rsidR="009377CE" w:rsidRPr="00D56B97">
        <w:rPr>
          <w:rFonts w:ascii="Times New Roman" w:hAnsi="Times New Roman" w:cs="Times New Roman"/>
        </w:rPr>
        <w:t xml:space="preserve"> predates a</w:t>
      </w:r>
      <w:r w:rsidR="00613AD8" w:rsidRPr="00D56B97">
        <w:rPr>
          <w:rFonts w:ascii="Times New Roman" w:hAnsi="Times New Roman" w:cs="Times New Roman"/>
        </w:rPr>
        <w:t xml:space="preserve"> gatekeeper </w:t>
      </w:r>
      <w:r w:rsidR="00CA7AB1" w:rsidRPr="00D56B97">
        <w:rPr>
          <w:rFonts w:ascii="Times New Roman" w:hAnsi="Times New Roman" w:cs="Times New Roman"/>
        </w:rPr>
        <w:t xml:space="preserve">account in </w:t>
      </w:r>
      <w:r w:rsidR="00613AD8" w:rsidRPr="00D56B97">
        <w:rPr>
          <w:rFonts w:ascii="Times New Roman" w:hAnsi="Times New Roman" w:cs="Times New Roman"/>
          <w:i/>
        </w:rPr>
        <w:t>MB</w:t>
      </w:r>
      <w:r w:rsidR="00613AD8" w:rsidRPr="00D56B97">
        <w:rPr>
          <w:rFonts w:ascii="Times New Roman" w:hAnsi="Times New Roman" w:cs="Times New Roman"/>
        </w:rPr>
        <w:t xml:space="preserve">, which predates an insufficiency account in </w:t>
      </w:r>
      <w:r w:rsidR="00613AD8" w:rsidRPr="00D56B97">
        <w:rPr>
          <w:rFonts w:ascii="Times New Roman" w:hAnsi="Times New Roman" w:cs="Times New Roman"/>
          <w:i/>
        </w:rPr>
        <w:t>DL</w:t>
      </w:r>
      <w:r w:rsidR="00BE6BE0" w:rsidRPr="00D56B97">
        <w:rPr>
          <w:rFonts w:ascii="Times New Roman" w:hAnsi="Times New Roman" w:cs="Times New Roman"/>
        </w:rPr>
        <w:t>, which</w:t>
      </w:r>
      <w:r w:rsidR="00613AD8" w:rsidRPr="00D56B97">
        <w:rPr>
          <w:rFonts w:ascii="Times New Roman" w:hAnsi="Times New Roman" w:cs="Times New Roman"/>
        </w:rPr>
        <w:t xml:space="preserve"> predates a gatekeeper account in </w:t>
      </w:r>
      <w:r w:rsidR="00613AD8" w:rsidRPr="00D56B97">
        <w:rPr>
          <w:rFonts w:ascii="Times New Roman" w:hAnsi="Times New Roman" w:cs="Times New Roman"/>
          <w:i/>
        </w:rPr>
        <w:t>PC.</w:t>
      </w:r>
      <w:r w:rsidR="00613AD8" w:rsidRPr="00D56B97">
        <w:rPr>
          <w:rFonts w:ascii="Times New Roman" w:hAnsi="Times New Roman" w:cs="Times New Roman"/>
        </w:rPr>
        <w:t xml:space="preserve"> Rather than differences between judges or over time, </w:t>
      </w:r>
      <w:r w:rsidR="00E6450C" w:rsidRPr="00D56B97">
        <w:rPr>
          <w:rFonts w:ascii="Times New Roman" w:hAnsi="Times New Roman" w:cs="Times New Roman"/>
        </w:rPr>
        <w:t xml:space="preserve">the differences between the </w:t>
      </w:r>
      <w:r w:rsidR="00560736" w:rsidRPr="00D56B97">
        <w:rPr>
          <w:rFonts w:ascii="Times New Roman" w:hAnsi="Times New Roman" w:cs="Times New Roman"/>
        </w:rPr>
        <w:t>accounts are</w:t>
      </w:r>
      <w:r w:rsidR="00613AD8" w:rsidRPr="00D56B97">
        <w:rPr>
          <w:rFonts w:ascii="Times New Roman" w:hAnsi="Times New Roman" w:cs="Times New Roman"/>
        </w:rPr>
        <w:t xml:space="preserve"> better accounted for by paying attention to the differences betwe</w:t>
      </w:r>
      <w:r w:rsidR="00560736" w:rsidRPr="00D56B97">
        <w:rPr>
          <w:rFonts w:ascii="Times New Roman" w:hAnsi="Times New Roman" w:cs="Times New Roman"/>
        </w:rPr>
        <w:t>en the cases in which they are used</w:t>
      </w:r>
      <w:r w:rsidR="00FF417D" w:rsidRPr="00D56B97">
        <w:rPr>
          <w:rFonts w:ascii="Times New Roman" w:hAnsi="Times New Roman" w:cs="Times New Roman"/>
        </w:rPr>
        <w:t>.</w:t>
      </w:r>
      <w:r w:rsidR="00EB69A7" w:rsidRPr="00D56B97">
        <w:rPr>
          <w:rFonts w:ascii="Times New Roman" w:hAnsi="Times New Roman" w:cs="Times New Roman"/>
        </w:rPr>
        <w:t xml:space="preserve"> </w:t>
      </w:r>
      <w:r w:rsidR="00A71C76" w:rsidRPr="00D56B97">
        <w:rPr>
          <w:rFonts w:ascii="Times New Roman" w:hAnsi="Times New Roman" w:cs="Times New Roman"/>
        </w:rPr>
        <w:t>The previous sectio</w:t>
      </w:r>
      <w:r w:rsidR="00BE6BE0" w:rsidRPr="00D56B97">
        <w:rPr>
          <w:rFonts w:ascii="Times New Roman" w:hAnsi="Times New Roman" w:cs="Times New Roman"/>
        </w:rPr>
        <w:t xml:space="preserve">n </w:t>
      </w:r>
      <w:r w:rsidR="00EB69A7" w:rsidRPr="00D56B97">
        <w:rPr>
          <w:rFonts w:ascii="Times New Roman" w:hAnsi="Times New Roman" w:cs="Times New Roman"/>
        </w:rPr>
        <w:t>discusses how the gatekeeper account can add rhetorical force to</w:t>
      </w:r>
      <w:r w:rsidR="009B6513" w:rsidRPr="00D56B97">
        <w:rPr>
          <w:rFonts w:ascii="Times New Roman" w:hAnsi="Times New Roman" w:cs="Times New Roman"/>
        </w:rPr>
        <w:t xml:space="preserve"> a</w:t>
      </w:r>
      <w:r w:rsidR="00EB69A7" w:rsidRPr="00D56B97">
        <w:rPr>
          <w:rFonts w:ascii="Times New Roman" w:hAnsi="Times New Roman" w:cs="Times New Roman"/>
        </w:rPr>
        <w:t xml:space="preserve"> judgment </w:t>
      </w:r>
      <w:r w:rsidR="00A71C76" w:rsidRPr="00D56B97">
        <w:rPr>
          <w:rFonts w:ascii="Times New Roman" w:hAnsi="Times New Roman" w:cs="Times New Roman"/>
        </w:rPr>
        <w:t>when someone</w:t>
      </w:r>
      <w:r w:rsidR="00F838B8" w:rsidRPr="00D56B97">
        <w:rPr>
          <w:rFonts w:ascii="Times New Roman" w:hAnsi="Times New Roman" w:cs="Times New Roman"/>
        </w:rPr>
        <w:t xml:space="preserve"> with capacity</w:t>
      </w:r>
      <w:r w:rsidR="00A71C76" w:rsidRPr="00D56B97">
        <w:rPr>
          <w:rFonts w:ascii="Times New Roman" w:hAnsi="Times New Roman" w:cs="Times New Roman"/>
        </w:rPr>
        <w:t xml:space="preserve"> is making an</w:t>
      </w:r>
      <w:r w:rsidR="009B6513" w:rsidRPr="00D56B97">
        <w:rPr>
          <w:rFonts w:ascii="Times New Roman" w:hAnsi="Times New Roman" w:cs="Times New Roman"/>
        </w:rPr>
        <w:t xml:space="preserve"> </w:t>
      </w:r>
      <w:r w:rsidR="00A71C76" w:rsidRPr="00D56B97">
        <w:rPr>
          <w:rFonts w:ascii="Times New Roman" w:hAnsi="Times New Roman" w:cs="Times New Roman"/>
        </w:rPr>
        <w:t>unwise choice</w:t>
      </w:r>
      <w:r w:rsidR="00EB69A7" w:rsidRPr="00D56B97">
        <w:rPr>
          <w:rFonts w:ascii="Times New Roman" w:hAnsi="Times New Roman" w:cs="Times New Roman"/>
        </w:rPr>
        <w:t xml:space="preserve"> or</w:t>
      </w:r>
      <w:r w:rsidR="00A71C76" w:rsidRPr="00D56B97">
        <w:rPr>
          <w:rFonts w:ascii="Times New Roman" w:hAnsi="Times New Roman" w:cs="Times New Roman"/>
        </w:rPr>
        <w:t xml:space="preserve"> when </w:t>
      </w:r>
      <w:r w:rsidR="00EB69A7" w:rsidRPr="00D56B97">
        <w:rPr>
          <w:rFonts w:ascii="Times New Roman" w:hAnsi="Times New Roman" w:cs="Times New Roman"/>
        </w:rPr>
        <w:t>the</w:t>
      </w:r>
      <w:r w:rsidR="00E6450C" w:rsidRPr="00D56B97">
        <w:rPr>
          <w:rFonts w:ascii="Times New Roman" w:hAnsi="Times New Roman" w:cs="Times New Roman"/>
        </w:rPr>
        <w:t xml:space="preserve"> best interests </w:t>
      </w:r>
      <w:r w:rsidR="003E04C9" w:rsidRPr="00D56B97">
        <w:rPr>
          <w:rFonts w:ascii="Times New Roman" w:hAnsi="Times New Roman" w:cs="Times New Roman"/>
        </w:rPr>
        <w:t>of someone without capacity</w:t>
      </w:r>
      <w:r w:rsidR="00EB69A7" w:rsidRPr="00D56B97">
        <w:rPr>
          <w:rFonts w:ascii="Times New Roman" w:hAnsi="Times New Roman" w:cs="Times New Roman"/>
        </w:rPr>
        <w:t xml:space="preserve"> are felt to contradict their </w:t>
      </w:r>
      <w:r w:rsidR="00AC6776" w:rsidRPr="00D56B97">
        <w:rPr>
          <w:rFonts w:ascii="Times New Roman" w:hAnsi="Times New Roman" w:cs="Times New Roman"/>
        </w:rPr>
        <w:t xml:space="preserve">expressed </w:t>
      </w:r>
      <w:r w:rsidR="00EB69A7" w:rsidRPr="00D56B97">
        <w:rPr>
          <w:rFonts w:ascii="Times New Roman" w:hAnsi="Times New Roman" w:cs="Times New Roman"/>
        </w:rPr>
        <w:t>wishes. If, however, a third party is coercing someone with capacity, then a gatekeeper account</w:t>
      </w:r>
      <w:r w:rsidR="00474B43">
        <w:rPr>
          <w:rFonts w:ascii="Times New Roman" w:hAnsi="Times New Roman" w:cs="Times New Roman"/>
        </w:rPr>
        <w:t xml:space="preserve"> often</w:t>
      </w:r>
      <w:r w:rsidR="00EB69A7" w:rsidRPr="00D56B97">
        <w:rPr>
          <w:rFonts w:ascii="Times New Roman" w:hAnsi="Times New Roman" w:cs="Times New Roman"/>
        </w:rPr>
        <w:t xml:space="preserve"> would seem to exclude any action by the court.</w:t>
      </w:r>
      <w:r w:rsidR="006260FC" w:rsidRPr="00D56B97">
        <w:rPr>
          <w:rFonts w:ascii="Times New Roman" w:hAnsi="Times New Roman" w:cs="Times New Roman"/>
        </w:rPr>
        <w:t xml:space="preserve"> After all, i</w:t>
      </w:r>
      <w:r w:rsidR="00F94C45" w:rsidRPr="00D56B97">
        <w:rPr>
          <w:rFonts w:ascii="Times New Roman" w:hAnsi="Times New Roman" w:cs="Times New Roman"/>
        </w:rPr>
        <w:t>f someone with capacity is alway</w:t>
      </w:r>
      <w:r w:rsidR="00DD358B" w:rsidRPr="00D56B97">
        <w:rPr>
          <w:rFonts w:ascii="Times New Roman" w:hAnsi="Times New Roman" w:cs="Times New Roman"/>
        </w:rPr>
        <w:t>s so self-governing that the state</w:t>
      </w:r>
      <w:r w:rsidR="00F94C45" w:rsidRPr="00D56B97">
        <w:rPr>
          <w:rFonts w:ascii="Times New Roman" w:hAnsi="Times New Roman" w:cs="Times New Roman"/>
        </w:rPr>
        <w:t xml:space="preserve"> should not interfere with their expressed wishes, then even wishes expr</w:t>
      </w:r>
      <w:r w:rsidR="00DD358B" w:rsidRPr="00D56B97">
        <w:rPr>
          <w:rFonts w:ascii="Times New Roman" w:hAnsi="Times New Roman" w:cs="Times New Roman"/>
        </w:rPr>
        <w:t>essed at gunpoint should be respected as autonomous</w:t>
      </w:r>
      <w:r w:rsidR="008B43F1" w:rsidRPr="00D56B97">
        <w:rPr>
          <w:rFonts w:ascii="Times New Roman" w:hAnsi="Times New Roman" w:cs="Times New Roman"/>
        </w:rPr>
        <w:t>. This is not a particularly attractive</w:t>
      </w:r>
      <w:r w:rsidR="00F94C45" w:rsidRPr="00D56B97">
        <w:rPr>
          <w:rFonts w:ascii="Times New Roman" w:hAnsi="Times New Roman" w:cs="Times New Roman"/>
        </w:rPr>
        <w:t xml:space="preserve"> co</w:t>
      </w:r>
      <w:r w:rsidR="00DD358B" w:rsidRPr="00D56B97">
        <w:rPr>
          <w:rFonts w:ascii="Times New Roman" w:hAnsi="Times New Roman" w:cs="Times New Roman"/>
        </w:rPr>
        <w:t xml:space="preserve">nclusion, </w:t>
      </w:r>
      <w:r w:rsidR="006260FC" w:rsidRPr="00D56B97">
        <w:rPr>
          <w:rFonts w:ascii="Times New Roman" w:hAnsi="Times New Roman" w:cs="Times New Roman"/>
        </w:rPr>
        <w:t>nor is it on</w:t>
      </w:r>
      <w:r w:rsidR="008A3252" w:rsidRPr="00D56B97">
        <w:rPr>
          <w:rFonts w:ascii="Times New Roman" w:hAnsi="Times New Roman" w:cs="Times New Roman"/>
        </w:rPr>
        <w:t>e that is likely to persuade</w:t>
      </w:r>
      <w:r w:rsidR="006260FC" w:rsidRPr="00D56B97">
        <w:rPr>
          <w:rFonts w:ascii="Times New Roman" w:hAnsi="Times New Roman" w:cs="Times New Roman"/>
        </w:rPr>
        <w:t xml:space="preserve">; so it is </w:t>
      </w:r>
      <w:r w:rsidR="00F94C45" w:rsidRPr="00D56B97">
        <w:rPr>
          <w:rFonts w:ascii="Times New Roman" w:hAnsi="Times New Roman" w:cs="Times New Roman"/>
        </w:rPr>
        <w:t>hardly surprising</w:t>
      </w:r>
      <w:r w:rsidR="00906A2F" w:rsidRPr="00D56B97">
        <w:rPr>
          <w:rFonts w:ascii="Times New Roman" w:hAnsi="Times New Roman" w:cs="Times New Roman"/>
        </w:rPr>
        <w:t xml:space="preserve"> that</w:t>
      </w:r>
      <w:r w:rsidR="00F94C45" w:rsidRPr="00D56B97">
        <w:rPr>
          <w:rFonts w:ascii="Times New Roman" w:hAnsi="Times New Roman" w:cs="Times New Roman"/>
        </w:rPr>
        <w:t xml:space="preserve"> </w:t>
      </w:r>
      <w:r w:rsidR="006260FC" w:rsidRPr="00D56B97">
        <w:rPr>
          <w:rFonts w:ascii="Times New Roman" w:hAnsi="Times New Roman" w:cs="Times New Roman"/>
        </w:rPr>
        <w:t xml:space="preserve">when coercion may be an issue, </w:t>
      </w:r>
      <w:r w:rsidR="00F94C45" w:rsidRPr="00D56B97">
        <w:rPr>
          <w:rFonts w:ascii="Times New Roman" w:hAnsi="Times New Roman" w:cs="Times New Roman"/>
        </w:rPr>
        <w:t xml:space="preserve">judges </w:t>
      </w:r>
      <w:r w:rsidR="006260FC" w:rsidRPr="00D56B97">
        <w:rPr>
          <w:rFonts w:ascii="Times New Roman" w:hAnsi="Times New Roman" w:cs="Times New Roman"/>
        </w:rPr>
        <w:t>instead give an insufficiency account. In doing so, they draw</w:t>
      </w:r>
      <w:r w:rsidR="00F94C45" w:rsidRPr="00D56B97">
        <w:rPr>
          <w:rFonts w:ascii="Times New Roman" w:hAnsi="Times New Roman" w:cs="Times New Roman"/>
        </w:rPr>
        <w:t xml:space="preserve"> a distinction between the internal and external limitations on autonomy</w:t>
      </w:r>
      <w:r w:rsidR="00BE6BE0" w:rsidRPr="00D56B97">
        <w:rPr>
          <w:rFonts w:ascii="Times New Roman" w:hAnsi="Times New Roman" w:cs="Times New Roman"/>
        </w:rPr>
        <w:t xml:space="preserve">, </w:t>
      </w:r>
      <w:r w:rsidR="008A3252" w:rsidRPr="00D56B97">
        <w:rPr>
          <w:rFonts w:ascii="Times New Roman" w:hAnsi="Times New Roman" w:cs="Times New Roman"/>
        </w:rPr>
        <w:t>one</w:t>
      </w:r>
      <w:r w:rsidR="00F94C45" w:rsidRPr="00D56B97">
        <w:rPr>
          <w:rFonts w:ascii="Times New Roman" w:hAnsi="Times New Roman" w:cs="Times New Roman"/>
        </w:rPr>
        <w:t xml:space="preserve"> that also appears in the philosophical literature.</w:t>
      </w:r>
      <w:r w:rsidR="00E44B70" w:rsidRPr="00D56B97">
        <w:rPr>
          <w:rFonts w:ascii="Times New Roman" w:hAnsi="Times New Roman" w:cs="Times New Roman"/>
        </w:rPr>
        <w:t xml:space="preserve"> For instance, Raz distinguishes between ‘capacity’ </w:t>
      </w:r>
      <w:r w:rsidR="008B43F1" w:rsidRPr="00D56B97">
        <w:rPr>
          <w:rFonts w:ascii="Times New Roman" w:hAnsi="Times New Roman" w:cs="Times New Roman"/>
        </w:rPr>
        <w:t>and ‘independence’</w:t>
      </w:r>
      <w:r w:rsidR="00E44B70" w:rsidRPr="00D56B97">
        <w:rPr>
          <w:rFonts w:ascii="Times New Roman" w:hAnsi="Times New Roman" w:cs="Times New Roman"/>
        </w:rPr>
        <w:t>,</w:t>
      </w:r>
      <w:r w:rsidR="00E44B70" w:rsidRPr="00D56B97">
        <w:rPr>
          <w:rStyle w:val="FootnoteReference"/>
          <w:rFonts w:ascii="Times New Roman" w:hAnsi="Times New Roman" w:cs="Times New Roman"/>
        </w:rPr>
        <w:footnoteReference w:id="91"/>
      </w:r>
      <w:r w:rsidR="00E44B70" w:rsidRPr="00D56B97">
        <w:rPr>
          <w:rFonts w:ascii="Times New Roman" w:hAnsi="Times New Roman" w:cs="Times New Roman"/>
        </w:rPr>
        <w:t xml:space="preserve"> </w:t>
      </w:r>
      <w:r w:rsidR="00BE6BE0" w:rsidRPr="00D56B97">
        <w:rPr>
          <w:rFonts w:ascii="Times New Roman" w:hAnsi="Times New Roman" w:cs="Times New Roman"/>
        </w:rPr>
        <w:t>and</w:t>
      </w:r>
      <w:r w:rsidR="00E44B70" w:rsidRPr="00D56B97">
        <w:rPr>
          <w:rFonts w:ascii="Times New Roman" w:hAnsi="Times New Roman" w:cs="Times New Roman"/>
        </w:rPr>
        <w:t xml:space="preserve"> Killmister </w:t>
      </w:r>
      <w:r w:rsidR="003376CF" w:rsidRPr="00D56B97">
        <w:rPr>
          <w:rFonts w:ascii="Times New Roman" w:hAnsi="Times New Roman" w:cs="Times New Roman"/>
        </w:rPr>
        <w:t>between ‘capacity for autonomy’ and ‘ability for autonomy’.</w:t>
      </w:r>
      <w:r w:rsidR="003376CF" w:rsidRPr="00D56B97">
        <w:rPr>
          <w:rFonts w:ascii="Times New Roman" w:hAnsi="Times New Roman" w:cs="Times New Roman"/>
          <w:vertAlign w:val="superscript"/>
        </w:rPr>
        <w:footnoteReference w:id="92"/>
      </w:r>
      <w:r w:rsidR="003376CF" w:rsidRPr="00D56B97">
        <w:rPr>
          <w:rFonts w:ascii="Times New Roman" w:hAnsi="Times New Roman" w:cs="Times New Roman"/>
        </w:rPr>
        <w:t xml:space="preserve"> </w:t>
      </w:r>
      <w:r w:rsidR="00E44B70" w:rsidRPr="00D56B97">
        <w:rPr>
          <w:rFonts w:ascii="Times New Roman" w:hAnsi="Times New Roman" w:cs="Times New Roman"/>
        </w:rPr>
        <w:t>For Killmister, t</w:t>
      </w:r>
      <w:r w:rsidR="003376CF" w:rsidRPr="00D56B97">
        <w:rPr>
          <w:rFonts w:ascii="Times New Roman" w:hAnsi="Times New Roman" w:cs="Times New Roman"/>
        </w:rPr>
        <w:t>he former assesses someone’s potential for autonomy in ideal circumstances</w:t>
      </w:r>
      <w:r w:rsidR="00F4691F" w:rsidRPr="00D56B97">
        <w:rPr>
          <w:rFonts w:ascii="Times New Roman" w:hAnsi="Times New Roman" w:cs="Times New Roman"/>
        </w:rPr>
        <w:t>,</w:t>
      </w:r>
      <w:r w:rsidR="00DD358B" w:rsidRPr="00D56B97">
        <w:rPr>
          <w:rFonts w:ascii="Times New Roman" w:hAnsi="Times New Roman" w:cs="Times New Roman"/>
        </w:rPr>
        <w:t xml:space="preserve"> and the latter </w:t>
      </w:r>
      <w:r w:rsidR="003376CF" w:rsidRPr="00D56B97">
        <w:rPr>
          <w:rFonts w:ascii="Times New Roman" w:hAnsi="Times New Roman" w:cs="Times New Roman"/>
        </w:rPr>
        <w:t xml:space="preserve">their potential for autonomy in their current circumstances. </w:t>
      </w:r>
      <w:r w:rsidR="006D3E50" w:rsidRPr="00D56B97">
        <w:rPr>
          <w:rFonts w:ascii="Times New Roman" w:hAnsi="Times New Roman" w:cs="Times New Roman"/>
        </w:rPr>
        <w:t>T</w:t>
      </w:r>
      <w:r w:rsidR="00E44B70" w:rsidRPr="00D56B97">
        <w:rPr>
          <w:rFonts w:ascii="Times New Roman" w:hAnsi="Times New Roman" w:cs="Times New Roman"/>
        </w:rPr>
        <w:t xml:space="preserve">he gatekeeper </w:t>
      </w:r>
      <w:r w:rsidR="007E26AB" w:rsidRPr="00D56B97">
        <w:rPr>
          <w:rFonts w:ascii="Times New Roman" w:hAnsi="Times New Roman" w:cs="Times New Roman"/>
        </w:rPr>
        <w:t>account emphasises ‘capacity’</w:t>
      </w:r>
      <w:r w:rsidR="003A074F" w:rsidRPr="00D56B97">
        <w:rPr>
          <w:rFonts w:ascii="Times New Roman" w:hAnsi="Times New Roman" w:cs="Times New Roman"/>
        </w:rPr>
        <w:t>,</w:t>
      </w:r>
      <w:r w:rsidR="00DF0B66" w:rsidRPr="00D56B97">
        <w:rPr>
          <w:rFonts w:ascii="Times New Roman" w:hAnsi="Times New Roman" w:cs="Times New Roman"/>
        </w:rPr>
        <w:t xml:space="preserve"> in Killmister’s sense</w:t>
      </w:r>
      <w:r w:rsidR="003A074F" w:rsidRPr="00D56B97">
        <w:rPr>
          <w:rFonts w:ascii="Times New Roman" w:hAnsi="Times New Roman" w:cs="Times New Roman"/>
        </w:rPr>
        <w:t>,</w:t>
      </w:r>
      <w:r w:rsidR="007E26AB" w:rsidRPr="00D56B97">
        <w:rPr>
          <w:rFonts w:ascii="Times New Roman" w:hAnsi="Times New Roman" w:cs="Times New Roman"/>
        </w:rPr>
        <w:t xml:space="preserve"> at the expense of ‘ability’. </w:t>
      </w:r>
      <w:r w:rsidR="00743186" w:rsidRPr="00D56B97">
        <w:rPr>
          <w:rFonts w:ascii="Times New Roman" w:hAnsi="Times New Roman" w:cs="Times New Roman"/>
        </w:rPr>
        <w:t>T</w:t>
      </w:r>
      <w:r w:rsidR="006D3E50" w:rsidRPr="00D56B97">
        <w:rPr>
          <w:rFonts w:ascii="Times New Roman" w:hAnsi="Times New Roman" w:cs="Times New Roman"/>
        </w:rPr>
        <w:t>he MCA</w:t>
      </w:r>
      <w:r w:rsidR="00743186" w:rsidRPr="00D56B97">
        <w:rPr>
          <w:rFonts w:ascii="Times New Roman" w:hAnsi="Times New Roman" w:cs="Times New Roman"/>
        </w:rPr>
        <w:t xml:space="preserve"> requires </w:t>
      </w:r>
      <w:r w:rsidR="003376CF" w:rsidRPr="00D56B97">
        <w:rPr>
          <w:rFonts w:ascii="Times New Roman" w:hAnsi="Times New Roman" w:cs="Times New Roman"/>
        </w:rPr>
        <w:t>an inability to decide because of an</w:t>
      </w:r>
      <w:r w:rsidR="00743186" w:rsidRPr="00D56B97">
        <w:rPr>
          <w:rFonts w:ascii="Times New Roman" w:hAnsi="Times New Roman" w:cs="Times New Roman"/>
        </w:rPr>
        <w:t xml:space="preserve"> impairment</w:t>
      </w:r>
      <w:r w:rsidR="003376CF" w:rsidRPr="00D56B97">
        <w:rPr>
          <w:rFonts w:ascii="Times New Roman" w:hAnsi="Times New Roman" w:cs="Times New Roman"/>
        </w:rPr>
        <w:t>,</w:t>
      </w:r>
      <w:r w:rsidR="003376CF" w:rsidRPr="00D56B97">
        <w:rPr>
          <w:rFonts w:ascii="Times New Roman" w:hAnsi="Times New Roman" w:cs="Times New Roman"/>
          <w:vertAlign w:val="superscript"/>
        </w:rPr>
        <w:footnoteReference w:id="93"/>
      </w:r>
      <w:r w:rsidR="003376CF" w:rsidRPr="00D56B97">
        <w:rPr>
          <w:rFonts w:ascii="Times New Roman" w:hAnsi="Times New Roman" w:cs="Times New Roman"/>
        </w:rPr>
        <w:t xml:space="preserve"> </w:t>
      </w:r>
      <w:r w:rsidR="00743186" w:rsidRPr="00D56B97">
        <w:rPr>
          <w:rFonts w:ascii="Times New Roman" w:hAnsi="Times New Roman" w:cs="Times New Roman"/>
        </w:rPr>
        <w:lastRenderedPageBreak/>
        <w:t xml:space="preserve">so it </w:t>
      </w:r>
      <w:r w:rsidR="00906A2F" w:rsidRPr="00D56B97">
        <w:rPr>
          <w:rFonts w:ascii="Times New Roman" w:hAnsi="Times New Roman" w:cs="Times New Roman"/>
        </w:rPr>
        <w:t>is largely restricted to</w:t>
      </w:r>
      <w:r w:rsidR="003376CF" w:rsidRPr="00D56B97">
        <w:rPr>
          <w:rFonts w:ascii="Times New Roman" w:hAnsi="Times New Roman" w:cs="Times New Roman"/>
        </w:rPr>
        <w:t xml:space="preserve"> </w:t>
      </w:r>
      <w:r w:rsidR="008B43F1" w:rsidRPr="00D56B97">
        <w:rPr>
          <w:rFonts w:ascii="Times New Roman" w:hAnsi="Times New Roman" w:cs="Times New Roman"/>
        </w:rPr>
        <w:t>the internal constraints on autonomy</w:t>
      </w:r>
      <w:r w:rsidR="00743186" w:rsidRPr="00D56B97">
        <w:rPr>
          <w:rFonts w:ascii="Times New Roman" w:hAnsi="Times New Roman" w:cs="Times New Roman"/>
        </w:rPr>
        <w:t>; and the gatekeeper account, by tying</w:t>
      </w:r>
      <w:r w:rsidR="006D3E50" w:rsidRPr="00D56B97">
        <w:rPr>
          <w:rFonts w:ascii="Times New Roman" w:hAnsi="Times New Roman" w:cs="Times New Roman"/>
        </w:rPr>
        <w:t xml:space="preserve"> autonomy to capacity in the Act</w:t>
      </w:r>
      <w:r w:rsidR="00743186" w:rsidRPr="00D56B97">
        <w:rPr>
          <w:rFonts w:ascii="Times New Roman" w:hAnsi="Times New Roman" w:cs="Times New Roman"/>
        </w:rPr>
        <w:t>, adopts these limitations</w:t>
      </w:r>
      <w:r w:rsidR="007E26AB" w:rsidRPr="00D56B97">
        <w:rPr>
          <w:rFonts w:ascii="Times New Roman" w:hAnsi="Times New Roman" w:cs="Times New Roman"/>
        </w:rPr>
        <w:t>.</w:t>
      </w:r>
      <w:r w:rsidR="006D3E50" w:rsidRPr="00D56B97">
        <w:rPr>
          <w:rStyle w:val="FootnoteReference"/>
          <w:rFonts w:ascii="Times New Roman" w:hAnsi="Times New Roman" w:cs="Times New Roman"/>
        </w:rPr>
        <w:footnoteReference w:id="94"/>
      </w:r>
      <w:r w:rsidR="005518CF" w:rsidRPr="00D56B97">
        <w:rPr>
          <w:rFonts w:ascii="Times New Roman" w:hAnsi="Times New Roman" w:cs="Times New Roman"/>
        </w:rPr>
        <w:t xml:space="preserve"> </w:t>
      </w:r>
      <w:r w:rsidR="003376CF" w:rsidRPr="00D56B97">
        <w:rPr>
          <w:rFonts w:ascii="Times New Roman" w:hAnsi="Times New Roman" w:cs="Times New Roman"/>
        </w:rPr>
        <w:t xml:space="preserve">In contrast, </w:t>
      </w:r>
      <w:r w:rsidR="007E26AB" w:rsidRPr="00D56B97">
        <w:rPr>
          <w:rFonts w:ascii="Times New Roman" w:hAnsi="Times New Roman" w:cs="Times New Roman"/>
        </w:rPr>
        <w:t xml:space="preserve">the insufficiency account, which says </w:t>
      </w:r>
      <w:r w:rsidR="003376CF" w:rsidRPr="00D56B97">
        <w:rPr>
          <w:rFonts w:ascii="Times New Roman" w:hAnsi="Times New Roman" w:cs="Times New Roman"/>
        </w:rPr>
        <w:t xml:space="preserve">that autonomy requires </w:t>
      </w:r>
      <w:r w:rsidR="00F4691F" w:rsidRPr="00D56B97">
        <w:rPr>
          <w:rFonts w:ascii="Times New Roman" w:hAnsi="Times New Roman" w:cs="Times New Roman"/>
        </w:rPr>
        <w:t xml:space="preserve">both </w:t>
      </w:r>
      <w:r w:rsidR="003376CF" w:rsidRPr="00D56B97">
        <w:rPr>
          <w:rFonts w:ascii="Times New Roman" w:hAnsi="Times New Roman" w:cs="Times New Roman"/>
        </w:rPr>
        <w:t>capacity and</w:t>
      </w:r>
      <w:r w:rsidR="008D0C1C" w:rsidRPr="00D56B97">
        <w:rPr>
          <w:rFonts w:ascii="Times New Roman" w:hAnsi="Times New Roman" w:cs="Times New Roman"/>
        </w:rPr>
        <w:t xml:space="preserve"> voluntariness</w:t>
      </w:r>
      <w:r w:rsidR="008B43F1" w:rsidRPr="00D56B97">
        <w:rPr>
          <w:rFonts w:ascii="Times New Roman" w:hAnsi="Times New Roman" w:cs="Times New Roman"/>
        </w:rPr>
        <w:t>,</w:t>
      </w:r>
      <w:r w:rsidR="003376CF" w:rsidRPr="00D56B97">
        <w:rPr>
          <w:rFonts w:ascii="Times New Roman" w:hAnsi="Times New Roman" w:cs="Times New Roman"/>
        </w:rPr>
        <w:t xml:space="preserve"> </w:t>
      </w:r>
      <w:r w:rsidR="008239AA" w:rsidRPr="00D56B97">
        <w:rPr>
          <w:rFonts w:ascii="Times New Roman" w:hAnsi="Times New Roman" w:cs="Times New Roman"/>
        </w:rPr>
        <w:t>allows</w:t>
      </w:r>
      <w:r w:rsidR="006D2E38" w:rsidRPr="00D56B97">
        <w:rPr>
          <w:rFonts w:ascii="Times New Roman" w:hAnsi="Times New Roman" w:cs="Times New Roman"/>
        </w:rPr>
        <w:t xml:space="preserve"> attention to the person’s external</w:t>
      </w:r>
      <w:r w:rsidR="008B43F1" w:rsidRPr="00D56B97">
        <w:rPr>
          <w:rFonts w:ascii="Times New Roman" w:hAnsi="Times New Roman" w:cs="Times New Roman"/>
        </w:rPr>
        <w:t xml:space="preserve"> circumstances</w:t>
      </w:r>
      <w:r w:rsidR="00F4691F" w:rsidRPr="00D56B97">
        <w:rPr>
          <w:rFonts w:ascii="Times New Roman" w:hAnsi="Times New Roman" w:cs="Times New Roman"/>
        </w:rPr>
        <w:t xml:space="preserve">. </w:t>
      </w:r>
      <w:r w:rsidR="002B6D4E" w:rsidRPr="00D56B97">
        <w:rPr>
          <w:rFonts w:ascii="Times New Roman" w:hAnsi="Times New Roman" w:cs="Times New Roman"/>
        </w:rPr>
        <w:t>From this description</w:t>
      </w:r>
      <w:r w:rsidR="00906A2F" w:rsidRPr="00D56B97">
        <w:rPr>
          <w:rFonts w:ascii="Times New Roman" w:hAnsi="Times New Roman" w:cs="Times New Roman"/>
        </w:rPr>
        <w:t>, i</w:t>
      </w:r>
      <w:r w:rsidR="00F4691F" w:rsidRPr="00D56B97">
        <w:rPr>
          <w:rFonts w:ascii="Times New Roman" w:hAnsi="Times New Roman" w:cs="Times New Roman"/>
        </w:rPr>
        <w:t>t</w:t>
      </w:r>
      <w:r w:rsidR="00906A2F" w:rsidRPr="00D56B97">
        <w:rPr>
          <w:rFonts w:ascii="Times New Roman" w:hAnsi="Times New Roman" w:cs="Times New Roman"/>
        </w:rPr>
        <w:t xml:space="preserve"> might be thought</w:t>
      </w:r>
      <w:r w:rsidR="00F4691F" w:rsidRPr="00D56B97">
        <w:rPr>
          <w:rFonts w:ascii="Times New Roman" w:hAnsi="Times New Roman" w:cs="Times New Roman"/>
        </w:rPr>
        <w:t xml:space="preserve"> that the gatekeeper account is </w:t>
      </w:r>
      <w:r w:rsidR="002B6D4E" w:rsidRPr="00D56B97">
        <w:rPr>
          <w:rFonts w:ascii="Times New Roman" w:hAnsi="Times New Roman" w:cs="Times New Roman"/>
        </w:rPr>
        <w:t>just a</w:t>
      </w:r>
      <w:r w:rsidR="00906A2F" w:rsidRPr="00D56B97">
        <w:rPr>
          <w:rFonts w:ascii="Times New Roman" w:hAnsi="Times New Roman" w:cs="Times New Roman"/>
        </w:rPr>
        <w:t xml:space="preserve"> </w:t>
      </w:r>
      <w:r w:rsidR="008B43F1" w:rsidRPr="00D56B97">
        <w:rPr>
          <w:rFonts w:ascii="Times New Roman" w:hAnsi="Times New Roman" w:cs="Times New Roman"/>
        </w:rPr>
        <w:t>slightly inaccurate shorthand for</w:t>
      </w:r>
      <w:r w:rsidR="00F4691F" w:rsidRPr="00D56B97">
        <w:rPr>
          <w:rFonts w:ascii="Times New Roman" w:hAnsi="Times New Roman" w:cs="Times New Roman"/>
        </w:rPr>
        <w:t xml:space="preserve"> the insufficiency account</w:t>
      </w:r>
      <w:r w:rsidR="008A3252" w:rsidRPr="00D56B97">
        <w:rPr>
          <w:rFonts w:ascii="Times New Roman" w:hAnsi="Times New Roman" w:cs="Times New Roman"/>
        </w:rPr>
        <w:t>;</w:t>
      </w:r>
      <w:r w:rsidR="002B6D4E" w:rsidRPr="00D56B97">
        <w:rPr>
          <w:rFonts w:ascii="Times New Roman" w:hAnsi="Times New Roman" w:cs="Times New Roman"/>
        </w:rPr>
        <w:t xml:space="preserve"> and that when coercion does not seem to be a factor, judges </w:t>
      </w:r>
      <w:r w:rsidR="008A3252" w:rsidRPr="00D56B97">
        <w:rPr>
          <w:rFonts w:ascii="Times New Roman" w:hAnsi="Times New Roman" w:cs="Times New Roman"/>
        </w:rPr>
        <w:t xml:space="preserve">just </w:t>
      </w:r>
      <w:r w:rsidR="002B6D4E" w:rsidRPr="00D56B97">
        <w:rPr>
          <w:rFonts w:ascii="Times New Roman" w:hAnsi="Times New Roman" w:cs="Times New Roman"/>
        </w:rPr>
        <w:t>do not mention it.</w:t>
      </w:r>
      <w:r w:rsidR="008B43F1" w:rsidRPr="00D56B97">
        <w:rPr>
          <w:rFonts w:ascii="Times New Roman" w:hAnsi="Times New Roman" w:cs="Times New Roman"/>
        </w:rPr>
        <w:t xml:space="preserve"> </w:t>
      </w:r>
      <w:r w:rsidR="005518CF" w:rsidRPr="00D56B97">
        <w:rPr>
          <w:rFonts w:ascii="Times New Roman" w:hAnsi="Times New Roman" w:cs="Times New Roman"/>
        </w:rPr>
        <w:t>There is</w:t>
      </w:r>
      <w:r w:rsidR="002B6D4E" w:rsidRPr="00D56B97">
        <w:rPr>
          <w:rFonts w:ascii="Times New Roman" w:hAnsi="Times New Roman" w:cs="Times New Roman"/>
        </w:rPr>
        <w:t xml:space="preserve"> some truth to this</w:t>
      </w:r>
      <w:r w:rsidR="002C1D04" w:rsidRPr="00D56B97">
        <w:rPr>
          <w:rFonts w:ascii="Times New Roman" w:hAnsi="Times New Roman" w:cs="Times New Roman"/>
        </w:rPr>
        <w:t xml:space="preserve">, but it would be </w:t>
      </w:r>
      <w:r w:rsidR="002B6D4E" w:rsidRPr="00D56B97">
        <w:rPr>
          <w:rFonts w:ascii="Times New Roman" w:hAnsi="Times New Roman" w:cs="Times New Roman"/>
        </w:rPr>
        <w:t>wrong</w:t>
      </w:r>
      <w:r w:rsidR="002C1D04" w:rsidRPr="00D56B97">
        <w:rPr>
          <w:rFonts w:ascii="Times New Roman" w:hAnsi="Times New Roman" w:cs="Times New Roman"/>
        </w:rPr>
        <w:t xml:space="preserve"> to conclude that the insufficiency account accurately reflects the</w:t>
      </w:r>
      <w:r w:rsidR="008A3252" w:rsidRPr="00D56B97">
        <w:rPr>
          <w:rFonts w:ascii="Times New Roman" w:hAnsi="Times New Roman" w:cs="Times New Roman"/>
        </w:rPr>
        <w:t xml:space="preserve"> whole</w:t>
      </w:r>
      <w:r w:rsidR="002C1D04" w:rsidRPr="00D56B97">
        <w:rPr>
          <w:rFonts w:ascii="Times New Roman" w:hAnsi="Times New Roman" w:cs="Times New Roman"/>
        </w:rPr>
        <w:t xml:space="preserve"> law. In contrast to what it would predict,</w:t>
      </w:r>
      <w:r w:rsidR="002B6D4E" w:rsidRPr="00D56B97">
        <w:rPr>
          <w:rFonts w:ascii="Times New Roman" w:hAnsi="Times New Roman" w:cs="Times New Roman"/>
        </w:rPr>
        <w:t xml:space="preserve"> judges sometimes hold</w:t>
      </w:r>
      <w:r w:rsidR="00F4691F" w:rsidRPr="00D56B97">
        <w:rPr>
          <w:rFonts w:ascii="Times New Roman" w:hAnsi="Times New Roman" w:cs="Times New Roman"/>
        </w:rPr>
        <w:t xml:space="preserve"> that a person w</w:t>
      </w:r>
      <w:r w:rsidR="00253C1F" w:rsidRPr="00D56B97">
        <w:rPr>
          <w:rFonts w:ascii="Times New Roman" w:hAnsi="Times New Roman" w:cs="Times New Roman"/>
        </w:rPr>
        <w:t>ithout capacity</w:t>
      </w:r>
      <w:r w:rsidR="0080283F" w:rsidRPr="00D56B97">
        <w:rPr>
          <w:rFonts w:ascii="Times New Roman" w:hAnsi="Times New Roman" w:cs="Times New Roman"/>
        </w:rPr>
        <w:t xml:space="preserve"> is</w:t>
      </w:r>
      <w:r w:rsidR="00253C1F" w:rsidRPr="00D56B97">
        <w:rPr>
          <w:rFonts w:ascii="Times New Roman" w:hAnsi="Times New Roman" w:cs="Times New Roman"/>
        </w:rPr>
        <w:t xml:space="preserve"> </w:t>
      </w:r>
      <w:r w:rsidR="00F4691F" w:rsidRPr="00D56B97">
        <w:rPr>
          <w:rFonts w:ascii="Times New Roman" w:hAnsi="Times New Roman" w:cs="Times New Roman"/>
        </w:rPr>
        <w:t>autonomous.</w:t>
      </w:r>
    </w:p>
    <w:p w14:paraId="7493C88A" w14:textId="77777777" w:rsidR="006E2B01" w:rsidRPr="00D56B97" w:rsidRDefault="00AC229E" w:rsidP="00AC229E">
      <w:pPr>
        <w:spacing w:line="480" w:lineRule="auto"/>
        <w:jc w:val="center"/>
        <w:rPr>
          <w:rFonts w:ascii="Times New Roman" w:hAnsi="Times New Roman" w:cs="Times New Roman"/>
          <w:b/>
          <w:sz w:val="40"/>
        </w:rPr>
      </w:pPr>
      <w:r w:rsidRPr="00D56B97">
        <w:rPr>
          <w:rFonts w:ascii="Times New Roman" w:hAnsi="Times New Roman" w:cs="Times New Roman"/>
          <w:b/>
          <w:sz w:val="28"/>
        </w:rPr>
        <w:t>IV</w:t>
      </w:r>
      <w:r w:rsidR="001A1594" w:rsidRPr="00D56B97">
        <w:rPr>
          <w:rFonts w:ascii="Times New Roman" w:hAnsi="Times New Roman" w:cs="Times New Roman"/>
          <w:b/>
          <w:sz w:val="28"/>
        </w:rPr>
        <w:t>.</w:t>
      </w:r>
      <w:r w:rsidR="00702128" w:rsidRPr="00D56B97">
        <w:rPr>
          <w:rFonts w:ascii="Times New Roman" w:hAnsi="Times New Roman" w:cs="Times New Roman"/>
          <w:b/>
          <w:sz w:val="28"/>
        </w:rPr>
        <w:t xml:space="preserve"> </w:t>
      </w:r>
      <w:r w:rsidRPr="00D56B97">
        <w:rPr>
          <w:rFonts w:ascii="Times New Roman" w:hAnsi="Times New Roman" w:cs="Times New Roman"/>
          <w:b/>
          <w:sz w:val="28"/>
        </w:rPr>
        <w:t>THE SURVIVAL ACCOUNT</w:t>
      </w:r>
    </w:p>
    <w:p w14:paraId="7493C88B" w14:textId="77777777" w:rsidR="006E2B01" w:rsidRPr="00D56B97" w:rsidRDefault="00782096" w:rsidP="00021A54">
      <w:pPr>
        <w:spacing w:line="480" w:lineRule="auto"/>
        <w:jc w:val="both"/>
        <w:rPr>
          <w:rFonts w:ascii="Times New Roman" w:hAnsi="Times New Roman" w:cs="Times New Roman"/>
        </w:rPr>
      </w:pPr>
      <w:r w:rsidRPr="00D56B97">
        <w:rPr>
          <w:rFonts w:ascii="Times New Roman" w:hAnsi="Times New Roman" w:cs="Times New Roman"/>
        </w:rPr>
        <w:t>On t</w:t>
      </w:r>
      <w:r w:rsidR="00A908C4" w:rsidRPr="00D56B97">
        <w:rPr>
          <w:rFonts w:ascii="Times New Roman" w:hAnsi="Times New Roman" w:cs="Times New Roman"/>
        </w:rPr>
        <w:t>he survival account</w:t>
      </w:r>
      <w:r w:rsidRPr="00D56B97">
        <w:rPr>
          <w:rFonts w:ascii="Times New Roman" w:hAnsi="Times New Roman" w:cs="Times New Roman"/>
        </w:rPr>
        <w:t>,</w:t>
      </w:r>
      <w:r w:rsidR="00A908C4" w:rsidRPr="00D56B97">
        <w:rPr>
          <w:rFonts w:ascii="Times New Roman" w:hAnsi="Times New Roman" w:cs="Times New Roman"/>
        </w:rPr>
        <w:t xml:space="preserve"> </w:t>
      </w:r>
      <w:r w:rsidRPr="00D56B97">
        <w:rPr>
          <w:rFonts w:ascii="Times New Roman" w:hAnsi="Times New Roman" w:cs="Times New Roman"/>
        </w:rPr>
        <w:t>unlike</w:t>
      </w:r>
      <w:r w:rsidR="009A0E8E" w:rsidRPr="00D56B97">
        <w:rPr>
          <w:rFonts w:ascii="Times New Roman" w:hAnsi="Times New Roman" w:cs="Times New Roman"/>
        </w:rPr>
        <w:t xml:space="preserve"> the gatekeeper and insufficiency</w:t>
      </w:r>
      <w:r w:rsidR="00A908C4" w:rsidRPr="00D56B97">
        <w:rPr>
          <w:rFonts w:ascii="Times New Roman" w:hAnsi="Times New Roman" w:cs="Times New Roman"/>
        </w:rPr>
        <w:t xml:space="preserve"> accounts</w:t>
      </w:r>
      <w:r w:rsidRPr="00D56B97">
        <w:rPr>
          <w:rFonts w:ascii="Times New Roman" w:hAnsi="Times New Roman" w:cs="Times New Roman"/>
        </w:rPr>
        <w:t>,</w:t>
      </w:r>
      <w:r w:rsidR="00215822" w:rsidRPr="00D56B97">
        <w:rPr>
          <w:rFonts w:ascii="Times New Roman" w:hAnsi="Times New Roman" w:cs="Times New Roman"/>
        </w:rPr>
        <w:t xml:space="preserve"> </w:t>
      </w:r>
      <w:r w:rsidRPr="00D56B97">
        <w:rPr>
          <w:rFonts w:ascii="Times New Roman" w:hAnsi="Times New Roman" w:cs="Times New Roman"/>
        </w:rPr>
        <w:t>respect for</w:t>
      </w:r>
      <w:r w:rsidR="00FC7200" w:rsidRPr="00D56B97">
        <w:rPr>
          <w:rFonts w:ascii="Times New Roman" w:hAnsi="Times New Roman" w:cs="Times New Roman"/>
        </w:rPr>
        <w:t xml:space="preserve"> </w:t>
      </w:r>
      <w:r w:rsidR="009A0E8E" w:rsidRPr="00D56B97">
        <w:rPr>
          <w:rFonts w:ascii="Times New Roman" w:hAnsi="Times New Roman" w:cs="Times New Roman"/>
        </w:rPr>
        <w:t xml:space="preserve">the autonomy of </w:t>
      </w:r>
      <w:r w:rsidR="00DF0B66" w:rsidRPr="00D56B97">
        <w:rPr>
          <w:rFonts w:ascii="Times New Roman" w:hAnsi="Times New Roman" w:cs="Times New Roman"/>
        </w:rPr>
        <w:t>a person</w:t>
      </w:r>
      <w:r w:rsidR="00375D23" w:rsidRPr="00D56B97">
        <w:rPr>
          <w:rFonts w:ascii="Times New Roman" w:hAnsi="Times New Roman" w:cs="Times New Roman"/>
        </w:rPr>
        <w:t xml:space="preserve"> without mental capacity</w:t>
      </w:r>
      <w:r w:rsidR="00FC7200" w:rsidRPr="00D56B97">
        <w:rPr>
          <w:rFonts w:ascii="Times New Roman" w:hAnsi="Times New Roman" w:cs="Times New Roman"/>
        </w:rPr>
        <w:t xml:space="preserve"> </w:t>
      </w:r>
      <w:r w:rsidRPr="00D56B97">
        <w:rPr>
          <w:rFonts w:ascii="Times New Roman" w:hAnsi="Times New Roman" w:cs="Times New Roman"/>
        </w:rPr>
        <w:t>can restrain</w:t>
      </w:r>
      <w:r w:rsidR="009A0E8E" w:rsidRPr="00D56B97">
        <w:rPr>
          <w:rFonts w:ascii="Times New Roman" w:hAnsi="Times New Roman" w:cs="Times New Roman"/>
        </w:rPr>
        <w:t xml:space="preserve"> state </w:t>
      </w:r>
      <w:r w:rsidRPr="00D56B97">
        <w:rPr>
          <w:rFonts w:ascii="Times New Roman" w:hAnsi="Times New Roman" w:cs="Times New Roman"/>
        </w:rPr>
        <w:t>action</w:t>
      </w:r>
      <w:r w:rsidR="00DF0B66" w:rsidRPr="00D56B97">
        <w:rPr>
          <w:rFonts w:ascii="Times New Roman" w:hAnsi="Times New Roman" w:cs="Times New Roman"/>
        </w:rPr>
        <w:t>. Like the other accounts</w:t>
      </w:r>
      <w:r w:rsidR="009A0E8E" w:rsidRPr="00D56B97">
        <w:rPr>
          <w:rFonts w:ascii="Times New Roman" w:hAnsi="Times New Roman" w:cs="Times New Roman"/>
        </w:rPr>
        <w:t>,</w:t>
      </w:r>
      <w:r w:rsidR="00A908C4" w:rsidRPr="00D56B97">
        <w:rPr>
          <w:rFonts w:ascii="Times New Roman" w:hAnsi="Times New Roman" w:cs="Times New Roman"/>
        </w:rPr>
        <w:t xml:space="preserve"> </w:t>
      </w:r>
      <w:r w:rsidR="00DF0B66" w:rsidRPr="00D56B97">
        <w:rPr>
          <w:rFonts w:ascii="Times New Roman" w:hAnsi="Times New Roman" w:cs="Times New Roman"/>
        </w:rPr>
        <w:t xml:space="preserve">it </w:t>
      </w:r>
      <w:r w:rsidR="00A908C4" w:rsidRPr="00D56B97">
        <w:rPr>
          <w:rFonts w:ascii="Times New Roman" w:hAnsi="Times New Roman" w:cs="Times New Roman"/>
        </w:rPr>
        <w:t>has</w:t>
      </w:r>
      <w:r w:rsidR="00FC7200" w:rsidRPr="00D56B97">
        <w:rPr>
          <w:rFonts w:ascii="Times New Roman" w:hAnsi="Times New Roman" w:cs="Times New Roman"/>
        </w:rPr>
        <w:t xml:space="preserve"> been</w:t>
      </w:r>
      <w:r w:rsidR="0022613E" w:rsidRPr="00D56B97">
        <w:rPr>
          <w:rFonts w:ascii="Times New Roman" w:hAnsi="Times New Roman" w:cs="Times New Roman"/>
        </w:rPr>
        <w:t xml:space="preserve"> bluntly</w:t>
      </w:r>
      <w:r w:rsidR="00375D23" w:rsidRPr="00D56B97">
        <w:rPr>
          <w:rFonts w:ascii="Times New Roman" w:hAnsi="Times New Roman" w:cs="Times New Roman"/>
        </w:rPr>
        <w:t xml:space="preserve"> st</w:t>
      </w:r>
      <w:r w:rsidR="00FC7200" w:rsidRPr="00D56B97">
        <w:rPr>
          <w:rFonts w:ascii="Times New Roman" w:hAnsi="Times New Roman" w:cs="Times New Roman"/>
        </w:rPr>
        <w:t xml:space="preserve">ated by the judiciary. </w:t>
      </w:r>
      <w:r w:rsidR="00A908C4" w:rsidRPr="00D56B97">
        <w:rPr>
          <w:rFonts w:ascii="Times New Roman" w:hAnsi="Times New Roman" w:cs="Times New Roman"/>
        </w:rPr>
        <w:t>For instance, i</w:t>
      </w:r>
      <w:r w:rsidR="00532F7E" w:rsidRPr="00D56B97">
        <w:rPr>
          <w:rFonts w:ascii="Times New Roman" w:hAnsi="Times New Roman" w:cs="Times New Roman"/>
        </w:rPr>
        <w:t xml:space="preserve">n </w:t>
      </w:r>
      <w:r w:rsidR="006E2B01" w:rsidRPr="00D56B97">
        <w:rPr>
          <w:rFonts w:ascii="Times New Roman" w:hAnsi="Times New Roman" w:cs="Times New Roman"/>
          <w:i/>
        </w:rPr>
        <w:t>W v M</w:t>
      </w:r>
      <w:r w:rsidR="00A908C4" w:rsidRPr="00D56B97">
        <w:rPr>
          <w:rFonts w:ascii="Times New Roman" w:hAnsi="Times New Roman" w:cs="Times New Roman"/>
          <w:i/>
        </w:rPr>
        <w:t>,</w:t>
      </w:r>
      <w:r w:rsidR="00532F7E" w:rsidRPr="00D56B97">
        <w:rPr>
          <w:rFonts w:ascii="Times New Roman" w:hAnsi="Times New Roman" w:cs="Times New Roman"/>
        </w:rPr>
        <w:t xml:space="preserve"> Mr Justice Baker </w:t>
      </w:r>
      <w:r w:rsidR="009A0E8E" w:rsidRPr="00D56B97">
        <w:rPr>
          <w:rFonts w:ascii="Times New Roman" w:hAnsi="Times New Roman" w:cs="Times New Roman"/>
        </w:rPr>
        <w:t>held</w:t>
      </w:r>
      <w:r w:rsidR="00EE1DB2" w:rsidRPr="00D56B97">
        <w:rPr>
          <w:rFonts w:ascii="Times New Roman" w:hAnsi="Times New Roman" w:cs="Times New Roman"/>
          <w:i/>
        </w:rPr>
        <w:t xml:space="preserve"> </w:t>
      </w:r>
      <w:r w:rsidR="00EE1DB2" w:rsidRPr="00D56B97">
        <w:rPr>
          <w:rFonts w:ascii="Times New Roman" w:hAnsi="Times New Roman" w:cs="Times New Roman"/>
        </w:rPr>
        <w:t>that</w:t>
      </w:r>
      <w:r w:rsidR="00EE1DB2" w:rsidRPr="00D56B97">
        <w:rPr>
          <w:rFonts w:ascii="Times New Roman" w:hAnsi="Times New Roman" w:cs="Times New Roman"/>
          <w:i/>
        </w:rPr>
        <w:t xml:space="preserve"> </w:t>
      </w:r>
      <w:r w:rsidR="006E2B01" w:rsidRPr="00D56B97">
        <w:rPr>
          <w:rFonts w:ascii="Times New Roman" w:hAnsi="Times New Roman" w:cs="Times New Roman"/>
        </w:rPr>
        <w:t>‘</w:t>
      </w:r>
      <w:bookmarkStart w:id="5" w:name="para95"/>
      <w:r w:rsidR="006E2B01" w:rsidRPr="00D56B97">
        <w:rPr>
          <w:rFonts w:ascii="Times New Roman" w:hAnsi="Times New Roman" w:cs="Times New Roman"/>
        </w:rPr>
        <w:t>personal autonomy survives the onset of incapacity</w:t>
      </w:r>
      <w:bookmarkEnd w:id="5"/>
      <w:r w:rsidR="00A908C4" w:rsidRPr="00D56B97">
        <w:rPr>
          <w:rFonts w:ascii="Times New Roman" w:hAnsi="Times New Roman" w:cs="Times New Roman"/>
        </w:rPr>
        <w:t>’.</w:t>
      </w:r>
      <w:r w:rsidR="00EE1DB2" w:rsidRPr="00D56B97">
        <w:rPr>
          <w:rFonts w:ascii="Times New Roman" w:hAnsi="Times New Roman" w:cs="Times New Roman"/>
          <w:vertAlign w:val="superscript"/>
        </w:rPr>
        <w:footnoteReference w:id="95"/>
      </w:r>
      <w:r w:rsidR="006E2B01" w:rsidRPr="00D56B97">
        <w:rPr>
          <w:rFonts w:ascii="Times New Roman" w:hAnsi="Times New Roman" w:cs="Times New Roman"/>
        </w:rPr>
        <w:t xml:space="preserve"> </w:t>
      </w:r>
      <w:r w:rsidR="00DF0B66" w:rsidRPr="00D56B97">
        <w:rPr>
          <w:rFonts w:ascii="Times New Roman" w:hAnsi="Times New Roman" w:cs="Times New Roman"/>
        </w:rPr>
        <w:t>Th</w:t>
      </w:r>
      <w:r w:rsidR="005030B1" w:rsidRPr="00D56B97">
        <w:rPr>
          <w:rFonts w:ascii="Times New Roman" w:hAnsi="Times New Roman" w:cs="Times New Roman"/>
        </w:rPr>
        <w:t>is</w:t>
      </w:r>
      <w:r w:rsidR="00794E9D" w:rsidRPr="00D56B97">
        <w:rPr>
          <w:rFonts w:ascii="Times New Roman" w:hAnsi="Times New Roman" w:cs="Times New Roman"/>
        </w:rPr>
        <w:t xml:space="preserve"> statement</w:t>
      </w:r>
      <w:r w:rsidR="00532F7E" w:rsidRPr="00D56B97">
        <w:rPr>
          <w:rFonts w:ascii="Times New Roman" w:hAnsi="Times New Roman" w:cs="Times New Roman"/>
        </w:rPr>
        <w:t xml:space="preserve"> </w:t>
      </w:r>
      <w:r w:rsidR="005030B1" w:rsidRPr="00D56B97">
        <w:rPr>
          <w:rFonts w:ascii="Times New Roman" w:hAnsi="Times New Roman" w:cs="Times New Roman"/>
        </w:rPr>
        <w:t>is</w:t>
      </w:r>
      <w:r w:rsidR="00A908C4" w:rsidRPr="00D56B97">
        <w:rPr>
          <w:rFonts w:ascii="Times New Roman" w:hAnsi="Times New Roman" w:cs="Times New Roman"/>
        </w:rPr>
        <w:t xml:space="preserve"> unequivocal</w:t>
      </w:r>
      <w:r w:rsidR="009A0E8E" w:rsidRPr="00D56B97">
        <w:rPr>
          <w:rFonts w:ascii="Times New Roman" w:hAnsi="Times New Roman" w:cs="Times New Roman"/>
        </w:rPr>
        <w:t>, but</w:t>
      </w:r>
      <w:r w:rsidR="00FC7200" w:rsidRPr="00D56B97">
        <w:rPr>
          <w:rFonts w:ascii="Times New Roman" w:hAnsi="Times New Roman" w:cs="Times New Roman"/>
        </w:rPr>
        <w:t xml:space="preserve"> </w:t>
      </w:r>
      <w:r w:rsidR="00BB2CDC" w:rsidRPr="00D56B97">
        <w:rPr>
          <w:rFonts w:ascii="Times New Roman" w:hAnsi="Times New Roman" w:cs="Times New Roman"/>
        </w:rPr>
        <w:t>the</w:t>
      </w:r>
      <w:r w:rsidR="00A908C4" w:rsidRPr="00D56B97">
        <w:rPr>
          <w:rFonts w:ascii="Times New Roman" w:hAnsi="Times New Roman" w:cs="Times New Roman"/>
        </w:rPr>
        <w:t xml:space="preserve"> position</w:t>
      </w:r>
      <w:r w:rsidR="003A074F" w:rsidRPr="00D56B97">
        <w:rPr>
          <w:rFonts w:ascii="Times New Roman" w:hAnsi="Times New Roman" w:cs="Times New Roman"/>
        </w:rPr>
        <w:t xml:space="preserve"> it articulates</w:t>
      </w:r>
      <w:r w:rsidR="00A908C4" w:rsidRPr="00D56B97">
        <w:rPr>
          <w:rFonts w:ascii="Times New Roman" w:hAnsi="Times New Roman" w:cs="Times New Roman"/>
        </w:rPr>
        <w:t xml:space="preserve"> </w:t>
      </w:r>
      <w:r w:rsidR="00FC7200" w:rsidRPr="00D56B97">
        <w:rPr>
          <w:rFonts w:ascii="Times New Roman" w:hAnsi="Times New Roman" w:cs="Times New Roman"/>
        </w:rPr>
        <w:t>is</w:t>
      </w:r>
      <w:r w:rsidR="0033696F" w:rsidRPr="00D56B97">
        <w:rPr>
          <w:rFonts w:ascii="Times New Roman" w:hAnsi="Times New Roman" w:cs="Times New Roman"/>
        </w:rPr>
        <w:t xml:space="preserve"> less</w:t>
      </w:r>
      <w:r w:rsidR="00FC7200" w:rsidRPr="00D56B97">
        <w:rPr>
          <w:rFonts w:ascii="Times New Roman" w:hAnsi="Times New Roman" w:cs="Times New Roman"/>
        </w:rPr>
        <w:t xml:space="preserve"> simple</w:t>
      </w:r>
      <w:r w:rsidR="0033696F" w:rsidRPr="00D56B97">
        <w:rPr>
          <w:rFonts w:ascii="Times New Roman" w:hAnsi="Times New Roman" w:cs="Times New Roman"/>
        </w:rPr>
        <w:t xml:space="preserve"> than it appears</w:t>
      </w:r>
      <w:r w:rsidR="00FC7200" w:rsidRPr="00D56B97">
        <w:rPr>
          <w:rFonts w:ascii="Times New Roman" w:hAnsi="Times New Roman" w:cs="Times New Roman"/>
        </w:rPr>
        <w:t>. It should be distinguished from</w:t>
      </w:r>
      <w:r w:rsidR="0065552E" w:rsidRPr="00D56B97">
        <w:rPr>
          <w:rFonts w:ascii="Times New Roman" w:hAnsi="Times New Roman" w:cs="Times New Roman"/>
        </w:rPr>
        <w:t xml:space="preserve"> two</w:t>
      </w:r>
      <w:r w:rsidR="00FC7200" w:rsidRPr="00D56B97">
        <w:rPr>
          <w:rFonts w:ascii="Times New Roman" w:hAnsi="Times New Roman" w:cs="Times New Roman"/>
        </w:rPr>
        <w:t xml:space="preserve"> opposing</w:t>
      </w:r>
      <w:r w:rsidR="005C6711" w:rsidRPr="00D56B97">
        <w:rPr>
          <w:rFonts w:ascii="Times New Roman" w:hAnsi="Times New Roman" w:cs="Times New Roman"/>
        </w:rPr>
        <w:t xml:space="preserve"> extremes. At one extreme</w:t>
      </w:r>
      <w:r w:rsidR="0065552E" w:rsidRPr="00D56B97">
        <w:rPr>
          <w:rFonts w:ascii="Times New Roman" w:hAnsi="Times New Roman" w:cs="Times New Roman"/>
        </w:rPr>
        <w:t xml:space="preserve"> </w:t>
      </w:r>
      <w:r w:rsidR="008027BA" w:rsidRPr="00D56B97">
        <w:rPr>
          <w:rFonts w:ascii="Times New Roman" w:hAnsi="Times New Roman" w:cs="Times New Roman"/>
        </w:rPr>
        <w:t>is</w:t>
      </w:r>
      <w:r w:rsidR="0065552E" w:rsidRPr="00D56B97">
        <w:rPr>
          <w:rFonts w:ascii="Times New Roman" w:hAnsi="Times New Roman" w:cs="Times New Roman"/>
        </w:rPr>
        <w:t xml:space="preserve"> the view that all people, regardless of mental capacity, are so autonomous that </w:t>
      </w:r>
      <w:r w:rsidR="009A0E8E" w:rsidRPr="00D56B97">
        <w:rPr>
          <w:rFonts w:ascii="Times New Roman" w:hAnsi="Times New Roman" w:cs="Times New Roman"/>
        </w:rPr>
        <w:t>the state should not act against their will</w:t>
      </w:r>
      <w:r w:rsidR="008027BA" w:rsidRPr="00D56B97">
        <w:rPr>
          <w:rFonts w:ascii="Times New Roman" w:hAnsi="Times New Roman" w:cs="Times New Roman"/>
        </w:rPr>
        <w:t>.</w:t>
      </w:r>
      <w:r w:rsidR="00794E9D" w:rsidRPr="00D56B97">
        <w:rPr>
          <w:rStyle w:val="FootnoteReference"/>
          <w:rFonts w:ascii="Times New Roman" w:hAnsi="Times New Roman" w:cs="Times New Roman"/>
        </w:rPr>
        <w:footnoteReference w:id="96"/>
      </w:r>
      <w:r w:rsidR="005C6711" w:rsidRPr="00D56B97">
        <w:rPr>
          <w:rFonts w:ascii="Times New Roman" w:hAnsi="Times New Roman" w:cs="Times New Roman"/>
        </w:rPr>
        <w:t>At the other</w:t>
      </w:r>
      <w:r w:rsidR="009A0E8E" w:rsidRPr="00D56B97">
        <w:rPr>
          <w:rFonts w:ascii="Times New Roman" w:hAnsi="Times New Roman" w:cs="Times New Roman"/>
        </w:rPr>
        <w:t xml:space="preserve"> extreme</w:t>
      </w:r>
      <w:r w:rsidR="005C6711" w:rsidRPr="00D56B97">
        <w:rPr>
          <w:rFonts w:ascii="Times New Roman" w:hAnsi="Times New Roman" w:cs="Times New Roman"/>
        </w:rPr>
        <w:t xml:space="preserve"> </w:t>
      </w:r>
      <w:r w:rsidR="008027BA" w:rsidRPr="00D56B97">
        <w:rPr>
          <w:rFonts w:ascii="Times New Roman" w:hAnsi="Times New Roman" w:cs="Times New Roman"/>
        </w:rPr>
        <w:t>is</w:t>
      </w:r>
      <w:r w:rsidR="00E626D0" w:rsidRPr="00D56B97">
        <w:rPr>
          <w:rFonts w:ascii="Times New Roman" w:hAnsi="Times New Roman" w:cs="Times New Roman"/>
        </w:rPr>
        <w:t xml:space="preserve"> the view that someone </w:t>
      </w:r>
      <w:r w:rsidR="0065552E" w:rsidRPr="00D56B97">
        <w:rPr>
          <w:rFonts w:ascii="Times New Roman" w:hAnsi="Times New Roman" w:cs="Times New Roman"/>
        </w:rPr>
        <w:t xml:space="preserve">without </w:t>
      </w:r>
      <w:r w:rsidR="0033696F" w:rsidRPr="00D56B97">
        <w:rPr>
          <w:rFonts w:ascii="Times New Roman" w:hAnsi="Times New Roman" w:cs="Times New Roman"/>
        </w:rPr>
        <w:t xml:space="preserve">mental </w:t>
      </w:r>
      <w:r w:rsidR="0065552E" w:rsidRPr="00D56B97">
        <w:rPr>
          <w:rFonts w:ascii="Times New Roman" w:hAnsi="Times New Roman" w:cs="Times New Roman"/>
        </w:rPr>
        <w:t>capac</w:t>
      </w:r>
      <w:r w:rsidR="009A0E8E" w:rsidRPr="00D56B97">
        <w:rPr>
          <w:rFonts w:ascii="Times New Roman" w:hAnsi="Times New Roman" w:cs="Times New Roman"/>
        </w:rPr>
        <w:t xml:space="preserve">ity </w:t>
      </w:r>
      <w:r w:rsidR="0033696F" w:rsidRPr="00D56B97">
        <w:rPr>
          <w:rFonts w:ascii="Times New Roman" w:hAnsi="Times New Roman" w:cs="Times New Roman"/>
        </w:rPr>
        <w:t xml:space="preserve">might </w:t>
      </w:r>
      <w:r w:rsidR="009A0E8E" w:rsidRPr="00D56B97">
        <w:rPr>
          <w:rFonts w:ascii="Times New Roman" w:hAnsi="Times New Roman" w:cs="Times New Roman"/>
        </w:rPr>
        <w:t>have some</w:t>
      </w:r>
      <w:r w:rsidR="0033696F" w:rsidRPr="00D56B97">
        <w:rPr>
          <w:rFonts w:ascii="Times New Roman" w:hAnsi="Times New Roman" w:cs="Times New Roman"/>
        </w:rPr>
        <w:t xml:space="preserve"> capability for</w:t>
      </w:r>
      <w:r w:rsidR="009A0E8E" w:rsidRPr="00D56B97">
        <w:rPr>
          <w:rFonts w:ascii="Times New Roman" w:hAnsi="Times New Roman" w:cs="Times New Roman"/>
        </w:rPr>
        <w:t xml:space="preserve"> self-determination</w:t>
      </w:r>
      <w:r w:rsidR="00162BF6" w:rsidRPr="00D56B97">
        <w:rPr>
          <w:rFonts w:ascii="Times New Roman" w:hAnsi="Times New Roman" w:cs="Times New Roman"/>
        </w:rPr>
        <w:t>,</w:t>
      </w:r>
      <w:r w:rsidR="0065552E" w:rsidRPr="00D56B97">
        <w:rPr>
          <w:rFonts w:ascii="Times New Roman" w:hAnsi="Times New Roman" w:cs="Times New Roman"/>
        </w:rPr>
        <w:t xml:space="preserve"> but</w:t>
      </w:r>
      <w:r w:rsidR="00A03201" w:rsidRPr="00D56B97">
        <w:rPr>
          <w:rFonts w:ascii="Times New Roman" w:hAnsi="Times New Roman" w:cs="Times New Roman"/>
        </w:rPr>
        <w:t xml:space="preserve"> does</w:t>
      </w:r>
      <w:r w:rsidR="0033696F" w:rsidRPr="00D56B97">
        <w:rPr>
          <w:rFonts w:ascii="Times New Roman" w:hAnsi="Times New Roman" w:cs="Times New Roman"/>
        </w:rPr>
        <w:t xml:space="preserve"> </w:t>
      </w:r>
      <w:r w:rsidR="0065552E" w:rsidRPr="00D56B97">
        <w:rPr>
          <w:rFonts w:ascii="Times New Roman" w:hAnsi="Times New Roman" w:cs="Times New Roman"/>
        </w:rPr>
        <w:t xml:space="preserve">not </w:t>
      </w:r>
      <w:r w:rsidR="00E626D0" w:rsidRPr="00D56B97">
        <w:rPr>
          <w:rFonts w:ascii="Times New Roman" w:hAnsi="Times New Roman" w:cs="Times New Roman"/>
        </w:rPr>
        <w:t xml:space="preserve">have </w:t>
      </w:r>
      <w:r w:rsidR="0065552E" w:rsidRPr="00D56B97">
        <w:rPr>
          <w:rFonts w:ascii="Times New Roman" w:hAnsi="Times New Roman" w:cs="Times New Roman"/>
        </w:rPr>
        <w:t xml:space="preserve">a </w:t>
      </w:r>
      <w:r w:rsidR="00DB13B0" w:rsidRPr="00D56B97">
        <w:rPr>
          <w:rFonts w:ascii="Times New Roman" w:hAnsi="Times New Roman" w:cs="Times New Roman"/>
        </w:rPr>
        <w:t xml:space="preserve">legal </w:t>
      </w:r>
      <w:r w:rsidR="0065552E" w:rsidRPr="00D56B97">
        <w:rPr>
          <w:rFonts w:ascii="Times New Roman" w:hAnsi="Times New Roman" w:cs="Times New Roman"/>
        </w:rPr>
        <w:t xml:space="preserve">right to be treated as </w:t>
      </w:r>
      <w:r w:rsidR="00DB13B0" w:rsidRPr="00D56B97">
        <w:rPr>
          <w:rFonts w:ascii="Times New Roman" w:hAnsi="Times New Roman" w:cs="Times New Roman"/>
        </w:rPr>
        <w:t>autonomous</w:t>
      </w:r>
      <w:r w:rsidR="00162BF6" w:rsidRPr="00D56B97">
        <w:rPr>
          <w:rFonts w:ascii="Times New Roman" w:hAnsi="Times New Roman" w:cs="Times New Roman"/>
        </w:rPr>
        <w:t>. This</w:t>
      </w:r>
      <w:r w:rsidR="000354CE" w:rsidRPr="00D56B97">
        <w:rPr>
          <w:rFonts w:ascii="Times New Roman" w:hAnsi="Times New Roman" w:cs="Times New Roman"/>
        </w:rPr>
        <w:t xml:space="preserve"> </w:t>
      </w:r>
      <w:r w:rsidR="00794E9D" w:rsidRPr="00D56B97">
        <w:rPr>
          <w:rFonts w:ascii="Times New Roman" w:hAnsi="Times New Roman" w:cs="Times New Roman"/>
        </w:rPr>
        <w:t>position</w:t>
      </w:r>
      <w:r w:rsidR="00B85407" w:rsidRPr="00D56B97">
        <w:rPr>
          <w:rFonts w:ascii="Times New Roman" w:hAnsi="Times New Roman" w:cs="Times New Roman"/>
        </w:rPr>
        <w:t>, as noted in section II</w:t>
      </w:r>
      <w:r w:rsidR="005030B1" w:rsidRPr="00D56B97">
        <w:rPr>
          <w:rFonts w:ascii="Times New Roman" w:hAnsi="Times New Roman" w:cs="Times New Roman"/>
        </w:rPr>
        <w:t>,</w:t>
      </w:r>
      <w:r w:rsidR="0033696F" w:rsidRPr="00D56B97">
        <w:rPr>
          <w:rFonts w:ascii="Times New Roman" w:hAnsi="Times New Roman" w:cs="Times New Roman"/>
        </w:rPr>
        <w:t xml:space="preserve"> </w:t>
      </w:r>
      <w:r w:rsidR="0065552E" w:rsidRPr="00D56B97">
        <w:rPr>
          <w:rFonts w:ascii="Times New Roman" w:hAnsi="Times New Roman" w:cs="Times New Roman"/>
        </w:rPr>
        <w:t>collapse</w:t>
      </w:r>
      <w:r w:rsidR="00DB13B0" w:rsidRPr="00D56B97">
        <w:rPr>
          <w:rFonts w:ascii="Times New Roman" w:hAnsi="Times New Roman" w:cs="Times New Roman"/>
        </w:rPr>
        <w:t>s</w:t>
      </w:r>
      <w:r w:rsidR="0065552E" w:rsidRPr="00D56B97">
        <w:rPr>
          <w:rFonts w:ascii="Times New Roman" w:hAnsi="Times New Roman" w:cs="Times New Roman"/>
        </w:rPr>
        <w:t xml:space="preserve"> into </w:t>
      </w:r>
      <w:r w:rsidR="00554360" w:rsidRPr="00D56B97">
        <w:rPr>
          <w:rFonts w:ascii="Times New Roman" w:hAnsi="Times New Roman" w:cs="Times New Roman"/>
        </w:rPr>
        <w:t>a</w:t>
      </w:r>
      <w:r w:rsidR="0065552E" w:rsidRPr="00D56B97">
        <w:rPr>
          <w:rFonts w:ascii="Times New Roman" w:hAnsi="Times New Roman" w:cs="Times New Roman"/>
        </w:rPr>
        <w:t xml:space="preserve"> </w:t>
      </w:r>
      <w:r w:rsidR="0033696F" w:rsidRPr="00D56B97">
        <w:rPr>
          <w:rFonts w:ascii="Times New Roman" w:hAnsi="Times New Roman" w:cs="Times New Roman"/>
        </w:rPr>
        <w:t>g</w:t>
      </w:r>
      <w:r w:rsidR="0065552E" w:rsidRPr="00D56B97">
        <w:rPr>
          <w:rFonts w:ascii="Times New Roman" w:hAnsi="Times New Roman" w:cs="Times New Roman"/>
        </w:rPr>
        <w:t>ate</w:t>
      </w:r>
      <w:r w:rsidR="000354CE" w:rsidRPr="00D56B97">
        <w:rPr>
          <w:rFonts w:ascii="Times New Roman" w:hAnsi="Times New Roman" w:cs="Times New Roman"/>
        </w:rPr>
        <w:t xml:space="preserve">keeper or insufficiency account. </w:t>
      </w:r>
      <w:r w:rsidR="00E626D0" w:rsidRPr="00D56B97">
        <w:rPr>
          <w:rFonts w:ascii="Times New Roman" w:hAnsi="Times New Roman" w:cs="Times New Roman"/>
        </w:rPr>
        <w:t>In contrast</w:t>
      </w:r>
      <w:r w:rsidR="00DB13B0" w:rsidRPr="00D56B97">
        <w:rPr>
          <w:rFonts w:ascii="Times New Roman" w:hAnsi="Times New Roman" w:cs="Times New Roman"/>
        </w:rPr>
        <w:t xml:space="preserve">, </w:t>
      </w:r>
      <w:r w:rsidR="00E626D0" w:rsidRPr="00D56B97">
        <w:rPr>
          <w:rFonts w:ascii="Times New Roman" w:hAnsi="Times New Roman" w:cs="Times New Roman"/>
        </w:rPr>
        <w:t>the survival account</w:t>
      </w:r>
      <w:r w:rsidR="009A0E8E" w:rsidRPr="00D56B97">
        <w:rPr>
          <w:rFonts w:ascii="Times New Roman" w:hAnsi="Times New Roman" w:cs="Times New Roman"/>
        </w:rPr>
        <w:t xml:space="preserve"> asserts</w:t>
      </w:r>
      <w:r w:rsidR="00656938" w:rsidRPr="00D56B97">
        <w:rPr>
          <w:rFonts w:ascii="Times New Roman" w:hAnsi="Times New Roman" w:cs="Times New Roman"/>
        </w:rPr>
        <w:t xml:space="preserve"> that a right t</w:t>
      </w:r>
      <w:r w:rsidR="001D7341" w:rsidRPr="00D56B97">
        <w:rPr>
          <w:rFonts w:ascii="Times New Roman" w:hAnsi="Times New Roman" w:cs="Times New Roman"/>
        </w:rPr>
        <w:t xml:space="preserve">o be treated as autonomous </w:t>
      </w:r>
      <w:r w:rsidR="001D7341" w:rsidRPr="00D56B97">
        <w:rPr>
          <w:rFonts w:ascii="Times New Roman" w:hAnsi="Times New Roman" w:cs="Times New Roman"/>
          <w:i/>
        </w:rPr>
        <w:t>can</w:t>
      </w:r>
      <w:r w:rsidR="00656938" w:rsidRPr="00D56B97">
        <w:rPr>
          <w:rFonts w:ascii="Times New Roman" w:hAnsi="Times New Roman" w:cs="Times New Roman"/>
        </w:rPr>
        <w:t xml:space="preserve"> survive </w:t>
      </w:r>
      <w:r w:rsidR="008027BA" w:rsidRPr="00D56B97">
        <w:rPr>
          <w:rFonts w:ascii="Times New Roman" w:hAnsi="Times New Roman" w:cs="Times New Roman"/>
        </w:rPr>
        <w:t xml:space="preserve">the onset of incapacity, </w:t>
      </w:r>
      <w:r w:rsidR="001D7341" w:rsidRPr="00D56B97">
        <w:rPr>
          <w:rFonts w:ascii="Times New Roman" w:hAnsi="Times New Roman" w:cs="Times New Roman"/>
        </w:rPr>
        <w:t xml:space="preserve">but </w:t>
      </w:r>
      <w:r w:rsidR="008027BA" w:rsidRPr="00D56B97">
        <w:rPr>
          <w:rFonts w:ascii="Times New Roman" w:hAnsi="Times New Roman" w:cs="Times New Roman"/>
        </w:rPr>
        <w:t>not</w:t>
      </w:r>
      <w:r w:rsidR="001D7341" w:rsidRPr="00D56B97">
        <w:rPr>
          <w:rFonts w:ascii="Times New Roman" w:hAnsi="Times New Roman" w:cs="Times New Roman"/>
        </w:rPr>
        <w:t xml:space="preserve"> that it </w:t>
      </w:r>
      <w:r w:rsidR="00794E9D" w:rsidRPr="00D56B97">
        <w:rPr>
          <w:rFonts w:ascii="Times New Roman" w:hAnsi="Times New Roman" w:cs="Times New Roman"/>
          <w:i/>
        </w:rPr>
        <w:t>must</w:t>
      </w:r>
      <w:r w:rsidR="00794E9D" w:rsidRPr="00D56B97">
        <w:rPr>
          <w:rFonts w:ascii="Times New Roman" w:hAnsi="Times New Roman" w:cs="Times New Roman"/>
        </w:rPr>
        <w:t xml:space="preserve"> do</w:t>
      </w:r>
      <w:r w:rsidR="001D7341" w:rsidRPr="00D56B97">
        <w:rPr>
          <w:rFonts w:ascii="Times New Roman" w:hAnsi="Times New Roman" w:cs="Times New Roman"/>
        </w:rPr>
        <w:t xml:space="preserve"> so</w:t>
      </w:r>
      <w:r w:rsidR="00AF2E71" w:rsidRPr="00D56B97">
        <w:rPr>
          <w:rFonts w:ascii="Times New Roman" w:hAnsi="Times New Roman" w:cs="Times New Roman"/>
        </w:rPr>
        <w:t xml:space="preserve">. This is clear </w:t>
      </w:r>
      <w:r w:rsidR="007D4D23" w:rsidRPr="00D56B97">
        <w:rPr>
          <w:rFonts w:ascii="Times New Roman" w:hAnsi="Times New Roman" w:cs="Times New Roman"/>
        </w:rPr>
        <w:t>when</w:t>
      </w:r>
      <w:r w:rsidR="00656938" w:rsidRPr="00D56B97">
        <w:rPr>
          <w:rFonts w:ascii="Times New Roman" w:hAnsi="Times New Roman" w:cs="Times New Roman"/>
        </w:rPr>
        <w:t xml:space="preserve"> Mr Justice Baker goes</w:t>
      </w:r>
      <w:r w:rsidR="00794E9D" w:rsidRPr="00D56B97">
        <w:rPr>
          <w:rFonts w:ascii="Times New Roman" w:hAnsi="Times New Roman" w:cs="Times New Roman"/>
        </w:rPr>
        <w:t xml:space="preserve"> on to say</w:t>
      </w:r>
      <w:r w:rsidR="00656938" w:rsidRPr="00D56B97">
        <w:rPr>
          <w:rFonts w:ascii="Times New Roman" w:hAnsi="Times New Roman" w:cs="Times New Roman"/>
        </w:rPr>
        <w:t>:</w:t>
      </w:r>
    </w:p>
    <w:p w14:paraId="7493C88C" w14:textId="77777777" w:rsidR="006E2B01" w:rsidRPr="00D56B97" w:rsidRDefault="006E2B01" w:rsidP="00021A54">
      <w:pPr>
        <w:spacing w:line="480" w:lineRule="auto"/>
        <w:ind w:left="567" w:right="567"/>
        <w:jc w:val="both"/>
        <w:rPr>
          <w:rFonts w:ascii="Times New Roman" w:hAnsi="Times New Roman" w:cs="Times New Roman"/>
        </w:rPr>
      </w:pPr>
      <w:r w:rsidRPr="00D56B97">
        <w:rPr>
          <w:rFonts w:ascii="Times New Roman" w:hAnsi="Times New Roman" w:cs="Times New Roman"/>
        </w:rPr>
        <w:lastRenderedPageBreak/>
        <w:t>A decision by the Court, having proper regard to the patient's personal autonomy and the expressed wishes and feelings of the patient and her family, that it would be in her best interests to withhold or withdraw treatment does not give</w:t>
      </w:r>
      <w:r w:rsidR="007D4D23" w:rsidRPr="00D56B97">
        <w:rPr>
          <w:rFonts w:ascii="Times New Roman" w:hAnsi="Times New Roman" w:cs="Times New Roman"/>
        </w:rPr>
        <w:t xml:space="preserve"> rise to a breach of A</w:t>
      </w:r>
      <w:r w:rsidR="00556236" w:rsidRPr="00D56B97">
        <w:rPr>
          <w:rFonts w:ascii="Times New Roman" w:hAnsi="Times New Roman" w:cs="Times New Roman"/>
        </w:rPr>
        <w:t>rticle 8.</w:t>
      </w:r>
      <w:r w:rsidRPr="00D56B97">
        <w:rPr>
          <w:rFonts w:ascii="Times New Roman" w:hAnsi="Times New Roman" w:cs="Times New Roman"/>
          <w:vertAlign w:val="superscript"/>
        </w:rPr>
        <w:footnoteReference w:id="97"/>
      </w:r>
    </w:p>
    <w:p w14:paraId="7493C88D" w14:textId="77777777" w:rsidR="006E2B01" w:rsidRPr="00D56B97" w:rsidRDefault="0076572E" w:rsidP="00BA0DAD">
      <w:pPr>
        <w:spacing w:line="480" w:lineRule="auto"/>
        <w:jc w:val="both"/>
        <w:rPr>
          <w:rFonts w:ascii="Times New Roman" w:hAnsi="Times New Roman" w:cs="Times New Roman"/>
        </w:rPr>
      </w:pPr>
      <w:r w:rsidRPr="00D56B97">
        <w:rPr>
          <w:rFonts w:ascii="Times New Roman" w:hAnsi="Times New Roman" w:cs="Times New Roman"/>
        </w:rPr>
        <w:t>This suggests that</w:t>
      </w:r>
      <w:r w:rsidR="007D4D23" w:rsidRPr="00D56B97">
        <w:rPr>
          <w:rFonts w:ascii="Times New Roman" w:hAnsi="Times New Roman" w:cs="Times New Roman"/>
        </w:rPr>
        <w:t xml:space="preserve"> </w:t>
      </w:r>
      <w:r w:rsidR="00A10B00" w:rsidRPr="00D56B97">
        <w:rPr>
          <w:rFonts w:ascii="Times New Roman" w:hAnsi="Times New Roman" w:cs="Times New Roman"/>
        </w:rPr>
        <w:t xml:space="preserve">appeals to respect for autonomy, </w:t>
      </w:r>
      <w:r w:rsidR="00897C71" w:rsidRPr="00D56B97">
        <w:rPr>
          <w:rFonts w:ascii="Times New Roman" w:hAnsi="Times New Roman" w:cs="Times New Roman"/>
        </w:rPr>
        <w:t xml:space="preserve">arguments that a person </w:t>
      </w:r>
      <w:r w:rsidR="00A10B00" w:rsidRPr="00D56B97">
        <w:rPr>
          <w:rFonts w:ascii="Times New Roman" w:hAnsi="Times New Roman" w:cs="Times New Roman"/>
        </w:rPr>
        <w:t>is so self-governing</w:t>
      </w:r>
      <w:r w:rsidR="00897C71" w:rsidRPr="00D56B97">
        <w:rPr>
          <w:rFonts w:ascii="Times New Roman" w:hAnsi="Times New Roman" w:cs="Times New Roman"/>
        </w:rPr>
        <w:t xml:space="preserve"> that their expressed wishes must be followed</w:t>
      </w:r>
      <w:r w:rsidR="00A10B00" w:rsidRPr="00D56B97">
        <w:rPr>
          <w:rFonts w:ascii="Times New Roman" w:hAnsi="Times New Roman" w:cs="Times New Roman"/>
        </w:rPr>
        <w:t>,</w:t>
      </w:r>
      <w:r w:rsidR="00C81E2D" w:rsidRPr="00D56B97">
        <w:rPr>
          <w:rFonts w:ascii="Times New Roman" w:hAnsi="Times New Roman" w:cs="Times New Roman"/>
        </w:rPr>
        <w:t xml:space="preserve"> might</w:t>
      </w:r>
      <w:r w:rsidR="00897C71" w:rsidRPr="00D56B97">
        <w:rPr>
          <w:rFonts w:ascii="Times New Roman" w:hAnsi="Times New Roman" w:cs="Times New Roman"/>
        </w:rPr>
        <w:t xml:space="preserve"> be effective even after </w:t>
      </w:r>
      <w:r w:rsidR="00A10B00" w:rsidRPr="00D56B97">
        <w:rPr>
          <w:rFonts w:ascii="Times New Roman" w:hAnsi="Times New Roman" w:cs="Times New Roman"/>
        </w:rPr>
        <w:t>someone</w:t>
      </w:r>
      <w:r w:rsidR="00897C71" w:rsidRPr="00D56B97">
        <w:rPr>
          <w:rFonts w:ascii="Times New Roman" w:hAnsi="Times New Roman" w:cs="Times New Roman"/>
        </w:rPr>
        <w:t xml:space="preserve"> is found to lack capacity.</w:t>
      </w:r>
      <w:r w:rsidRPr="00D56B97">
        <w:rPr>
          <w:rFonts w:ascii="Times New Roman" w:hAnsi="Times New Roman" w:cs="Times New Roman"/>
        </w:rPr>
        <w:t xml:space="preserve"> In other words, e</w:t>
      </w:r>
      <w:r w:rsidR="00C87ADF" w:rsidRPr="00D56B97">
        <w:rPr>
          <w:rFonts w:ascii="Times New Roman" w:hAnsi="Times New Roman" w:cs="Times New Roman"/>
        </w:rPr>
        <w:t xml:space="preserve">ven when </w:t>
      </w:r>
      <w:r w:rsidR="008027BA" w:rsidRPr="00D56B97">
        <w:rPr>
          <w:rFonts w:ascii="Times New Roman" w:hAnsi="Times New Roman" w:cs="Times New Roman"/>
        </w:rPr>
        <w:t>someone is</w:t>
      </w:r>
      <w:r w:rsidR="003A7E45" w:rsidRPr="00D56B97">
        <w:rPr>
          <w:rFonts w:ascii="Times New Roman" w:hAnsi="Times New Roman" w:cs="Times New Roman"/>
        </w:rPr>
        <w:t xml:space="preserve"> found to lack capacity,</w:t>
      </w:r>
      <w:r w:rsidR="00417D7F" w:rsidRPr="00D56B97">
        <w:rPr>
          <w:rFonts w:ascii="Times New Roman" w:hAnsi="Times New Roman" w:cs="Times New Roman"/>
        </w:rPr>
        <w:t xml:space="preserve"> </w:t>
      </w:r>
      <w:r w:rsidR="003A7E45" w:rsidRPr="00D56B97">
        <w:rPr>
          <w:rFonts w:ascii="Times New Roman" w:hAnsi="Times New Roman" w:cs="Times New Roman"/>
        </w:rPr>
        <w:t>respect for their autonomy can</w:t>
      </w:r>
      <w:r w:rsidR="008027BA" w:rsidRPr="00D56B97">
        <w:rPr>
          <w:rFonts w:ascii="Times New Roman" w:hAnsi="Times New Roman" w:cs="Times New Roman"/>
        </w:rPr>
        <w:t xml:space="preserve"> restrict</w:t>
      </w:r>
      <w:r w:rsidR="00022181" w:rsidRPr="00D56B97">
        <w:rPr>
          <w:rFonts w:ascii="Times New Roman" w:hAnsi="Times New Roman" w:cs="Times New Roman"/>
        </w:rPr>
        <w:t xml:space="preserve"> the decisions that can be made on their behalf. </w:t>
      </w:r>
      <w:r w:rsidR="007D4D23" w:rsidRPr="00D56B97">
        <w:rPr>
          <w:rFonts w:ascii="Times New Roman" w:hAnsi="Times New Roman" w:cs="Times New Roman"/>
        </w:rPr>
        <w:t xml:space="preserve">The question of </w:t>
      </w:r>
      <w:r w:rsidR="00C135D2" w:rsidRPr="00D56B97">
        <w:rPr>
          <w:rFonts w:ascii="Times New Roman" w:hAnsi="Times New Roman" w:cs="Times New Roman"/>
        </w:rPr>
        <w:t xml:space="preserve">respect for </w:t>
      </w:r>
      <w:r w:rsidR="007D4D23" w:rsidRPr="00D56B97">
        <w:rPr>
          <w:rFonts w:ascii="Times New Roman" w:hAnsi="Times New Roman" w:cs="Times New Roman"/>
        </w:rPr>
        <w:t xml:space="preserve">autonomy is not </w:t>
      </w:r>
      <w:r w:rsidR="003A7E45" w:rsidRPr="00D56B97">
        <w:rPr>
          <w:rFonts w:ascii="Times New Roman" w:hAnsi="Times New Roman" w:cs="Times New Roman"/>
        </w:rPr>
        <w:t>resolved by a capacity assessment, it is determined when evaluating a person’s best interests.</w:t>
      </w:r>
    </w:p>
    <w:p w14:paraId="7493C88E" w14:textId="77777777" w:rsidR="000D336E" w:rsidRPr="00D56B97" w:rsidRDefault="009E0636" w:rsidP="00AC229E">
      <w:pPr>
        <w:spacing w:line="480" w:lineRule="auto"/>
        <w:jc w:val="center"/>
        <w:rPr>
          <w:rFonts w:ascii="Times New Roman" w:hAnsi="Times New Roman" w:cs="Times New Roman"/>
          <w:i/>
        </w:rPr>
      </w:pPr>
      <w:r w:rsidRPr="00D56B97">
        <w:rPr>
          <w:rFonts w:ascii="Times New Roman" w:hAnsi="Times New Roman" w:cs="Times New Roman"/>
          <w:i/>
        </w:rPr>
        <w:t>A. Recent Examples</w:t>
      </w:r>
      <w:r w:rsidR="00556236" w:rsidRPr="00D56B97">
        <w:rPr>
          <w:rFonts w:ascii="Times New Roman" w:hAnsi="Times New Roman" w:cs="Times New Roman"/>
          <w:i/>
        </w:rPr>
        <w:t xml:space="preserve"> of the Survival A</w:t>
      </w:r>
      <w:r w:rsidR="000D336E" w:rsidRPr="00D56B97">
        <w:rPr>
          <w:rFonts w:ascii="Times New Roman" w:hAnsi="Times New Roman" w:cs="Times New Roman"/>
          <w:i/>
        </w:rPr>
        <w:t>ccount</w:t>
      </w:r>
    </w:p>
    <w:p w14:paraId="7493C88F" w14:textId="2B9EB288" w:rsidR="003613EC" w:rsidRPr="00D56B97" w:rsidRDefault="00852B13" w:rsidP="00021A54">
      <w:pPr>
        <w:spacing w:line="480" w:lineRule="auto"/>
        <w:jc w:val="both"/>
        <w:rPr>
          <w:rFonts w:ascii="Times New Roman" w:hAnsi="Times New Roman" w:cs="Times New Roman"/>
        </w:rPr>
      </w:pPr>
      <w:r w:rsidRPr="00D56B97">
        <w:rPr>
          <w:rFonts w:ascii="Times New Roman" w:hAnsi="Times New Roman" w:cs="Times New Roman"/>
        </w:rPr>
        <w:t xml:space="preserve">Section </w:t>
      </w:r>
      <w:r w:rsidR="00FB609F">
        <w:rPr>
          <w:rFonts w:ascii="Times New Roman" w:hAnsi="Times New Roman" w:cs="Times New Roman"/>
        </w:rPr>
        <w:t>II</w:t>
      </w:r>
      <w:r w:rsidRPr="00D56B97">
        <w:rPr>
          <w:rFonts w:ascii="Times New Roman" w:hAnsi="Times New Roman" w:cs="Times New Roman"/>
        </w:rPr>
        <w:t xml:space="preserve"> showed how the gatekeeper account draws some plausibility from t</w:t>
      </w:r>
      <w:r w:rsidR="000354CE" w:rsidRPr="00D56B97">
        <w:rPr>
          <w:rFonts w:ascii="Times New Roman" w:hAnsi="Times New Roman" w:cs="Times New Roman"/>
        </w:rPr>
        <w:t xml:space="preserve">he </w:t>
      </w:r>
      <w:r w:rsidR="00AF2E71" w:rsidRPr="00D56B97">
        <w:rPr>
          <w:rFonts w:ascii="Times New Roman" w:hAnsi="Times New Roman" w:cs="Times New Roman"/>
        </w:rPr>
        <w:t>MC</w:t>
      </w:r>
      <w:r w:rsidR="000354CE" w:rsidRPr="00D56B97">
        <w:rPr>
          <w:rFonts w:ascii="Times New Roman" w:hAnsi="Times New Roman" w:cs="Times New Roman"/>
        </w:rPr>
        <w:t>A</w:t>
      </w:r>
      <w:r w:rsidR="00C135D2" w:rsidRPr="00D56B97">
        <w:rPr>
          <w:rFonts w:ascii="Times New Roman" w:hAnsi="Times New Roman" w:cs="Times New Roman"/>
        </w:rPr>
        <w:t>. T</w:t>
      </w:r>
      <w:r w:rsidRPr="00D56B97">
        <w:rPr>
          <w:rFonts w:ascii="Times New Roman" w:hAnsi="Times New Roman" w:cs="Times New Roman"/>
        </w:rPr>
        <w:t>he Act</w:t>
      </w:r>
      <w:r w:rsidR="00C135D2" w:rsidRPr="00D56B97">
        <w:rPr>
          <w:rFonts w:ascii="Times New Roman" w:hAnsi="Times New Roman" w:cs="Times New Roman"/>
        </w:rPr>
        <w:t>, however,</w:t>
      </w:r>
      <w:r w:rsidRPr="00D56B97">
        <w:rPr>
          <w:rFonts w:ascii="Times New Roman" w:hAnsi="Times New Roman" w:cs="Times New Roman"/>
        </w:rPr>
        <w:t xml:space="preserve"> clearly envisages that</w:t>
      </w:r>
      <w:r w:rsidR="000354CE" w:rsidRPr="00D56B97">
        <w:rPr>
          <w:rFonts w:ascii="Times New Roman" w:hAnsi="Times New Roman" w:cs="Times New Roman"/>
        </w:rPr>
        <w:t xml:space="preserve"> </w:t>
      </w:r>
      <w:r w:rsidRPr="00D56B97">
        <w:rPr>
          <w:rFonts w:ascii="Times New Roman" w:hAnsi="Times New Roman" w:cs="Times New Roman"/>
        </w:rPr>
        <w:t xml:space="preserve">a </w:t>
      </w:r>
      <w:r w:rsidR="000354CE" w:rsidRPr="00D56B97">
        <w:rPr>
          <w:rFonts w:ascii="Times New Roman" w:hAnsi="Times New Roman" w:cs="Times New Roman"/>
        </w:rPr>
        <w:t>person</w:t>
      </w:r>
      <w:r w:rsidR="006155D7" w:rsidRPr="00D56B97">
        <w:rPr>
          <w:rFonts w:ascii="Times New Roman" w:hAnsi="Times New Roman" w:cs="Times New Roman"/>
        </w:rPr>
        <w:t xml:space="preserve"> without capacity </w:t>
      </w:r>
      <w:r w:rsidRPr="00D56B97">
        <w:rPr>
          <w:rFonts w:ascii="Times New Roman" w:hAnsi="Times New Roman" w:cs="Times New Roman"/>
        </w:rPr>
        <w:t>might be able</w:t>
      </w:r>
      <w:r w:rsidR="00441E68" w:rsidRPr="00D56B97">
        <w:rPr>
          <w:rFonts w:ascii="Times New Roman" w:hAnsi="Times New Roman" w:cs="Times New Roman"/>
        </w:rPr>
        <w:t xml:space="preserve"> to</w:t>
      </w:r>
      <w:r w:rsidRPr="00D56B97">
        <w:rPr>
          <w:rFonts w:ascii="Times New Roman" w:hAnsi="Times New Roman" w:cs="Times New Roman"/>
        </w:rPr>
        <w:t xml:space="preserve"> at least</w:t>
      </w:r>
      <w:r w:rsidR="00441E68" w:rsidRPr="00D56B97">
        <w:rPr>
          <w:rFonts w:ascii="Times New Roman" w:hAnsi="Times New Roman" w:cs="Times New Roman"/>
        </w:rPr>
        <w:t xml:space="preserve"> contribute to decisions made on their behalf</w:t>
      </w:r>
      <w:r w:rsidR="008C6B35" w:rsidRPr="00D56B97">
        <w:rPr>
          <w:rFonts w:ascii="Times New Roman" w:hAnsi="Times New Roman" w:cs="Times New Roman"/>
        </w:rPr>
        <w:t>.</w:t>
      </w:r>
      <w:r w:rsidR="003613EC" w:rsidRPr="00D56B97">
        <w:rPr>
          <w:rFonts w:ascii="Times New Roman" w:hAnsi="Times New Roman" w:cs="Times New Roman"/>
        </w:rPr>
        <w:t xml:space="preserve"> </w:t>
      </w:r>
      <w:r w:rsidR="008C6B35" w:rsidRPr="00D56B97">
        <w:rPr>
          <w:rFonts w:ascii="Times New Roman" w:hAnsi="Times New Roman" w:cs="Times New Roman"/>
        </w:rPr>
        <w:t>W</w:t>
      </w:r>
      <w:r w:rsidR="003613EC" w:rsidRPr="00D56B97">
        <w:rPr>
          <w:rFonts w:ascii="Times New Roman" w:hAnsi="Times New Roman" w:cs="Times New Roman"/>
        </w:rPr>
        <w:t xml:space="preserve">hen </w:t>
      </w:r>
      <w:r w:rsidR="006155D7" w:rsidRPr="00D56B97">
        <w:rPr>
          <w:rFonts w:ascii="Times New Roman" w:hAnsi="Times New Roman" w:cs="Times New Roman"/>
        </w:rPr>
        <w:t xml:space="preserve">a best </w:t>
      </w:r>
      <w:proofErr w:type="gramStart"/>
      <w:r w:rsidR="006155D7" w:rsidRPr="00D56B97">
        <w:rPr>
          <w:rFonts w:ascii="Times New Roman" w:hAnsi="Times New Roman" w:cs="Times New Roman"/>
        </w:rPr>
        <w:t>interests</w:t>
      </w:r>
      <w:proofErr w:type="gramEnd"/>
      <w:r w:rsidR="006155D7" w:rsidRPr="00D56B97">
        <w:rPr>
          <w:rFonts w:ascii="Times New Roman" w:hAnsi="Times New Roman" w:cs="Times New Roman"/>
        </w:rPr>
        <w:t xml:space="preserve"> decision </w:t>
      </w:r>
      <w:r w:rsidR="003613EC" w:rsidRPr="00D56B97">
        <w:rPr>
          <w:rFonts w:ascii="Times New Roman" w:hAnsi="Times New Roman" w:cs="Times New Roman"/>
        </w:rPr>
        <w:t>is</w:t>
      </w:r>
      <w:r w:rsidR="008C6B35" w:rsidRPr="00D56B97">
        <w:rPr>
          <w:rFonts w:ascii="Times New Roman" w:hAnsi="Times New Roman" w:cs="Times New Roman"/>
        </w:rPr>
        <w:t xml:space="preserve"> being made, the person</w:t>
      </w:r>
      <w:r w:rsidR="006155D7" w:rsidRPr="00D56B97">
        <w:rPr>
          <w:rFonts w:ascii="Times New Roman" w:hAnsi="Times New Roman" w:cs="Times New Roman"/>
        </w:rPr>
        <w:t xml:space="preserve"> </w:t>
      </w:r>
      <w:r w:rsidRPr="00D56B97">
        <w:rPr>
          <w:rFonts w:ascii="Times New Roman" w:hAnsi="Times New Roman" w:cs="Times New Roman"/>
        </w:rPr>
        <w:t xml:space="preserve">being decided for </w:t>
      </w:r>
      <w:r w:rsidR="006155D7" w:rsidRPr="00D56B97">
        <w:rPr>
          <w:rFonts w:ascii="Times New Roman" w:hAnsi="Times New Roman" w:cs="Times New Roman"/>
        </w:rPr>
        <w:t>should be permitted and encouraged to participate in decision making;</w:t>
      </w:r>
      <w:r w:rsidR="006155D7" w:rsidRPr="00D56B97">
        <w:rPr>
          <w:rStyle w:val="FootnoteReference"/>
          <w:rFonts w:ascii="Times New Roman" w:hAnsi="Times New Roman" w:cs="Times New Roman"/>
        </w:rPr>
        <w:footnoteReference w:id="98"/>
      </w:r>
      <w:r w:rsidR="00047BE1" w:rsidRPr="00D56B97">
        <w:rPr>
          <w:rFonts w:ascii="Times New Roman" w:hAnsi="Times New Roman" w:cs="Times New Roman"/>
        </w:rPr>
        <w:t xml:space="preserve"> and their ‘past and</w:t>
      </w:r>
      <w:r w:rsidR="00760D8C" w:rsidRPr="00D56B97">
        <w:rPr>
          <w:rFonts w:ascii="Times New Roman" w:hAnsi="Times New Roman" w:cs="Times New Roman"/>
        </w:rPr>
        <w:t xml:space="preserve"> </w:t>
      </w:r>
      <w:r w:rsidR="00047BE1" w:rsidRPr="00D56B97">
        <w:rPr>
          <w:rFonts w:ascii="Times New Roman" w:hAnsi="Times New Roman" w:cs="Times New Roman"/>
          <w:i/>
        </w:rPr>
        <w:t>present</w:t>
      </w:r>
      <w:r w:rsidR="00047BE1" w:rsidRPr="00D56B97">
        <w:rPr>
          <w:rFonts w:ascii="Times New Roman" w:hAnsi="Times New Roman" w:cs="Times New Roman"/>
        </w:rPr>
        <w:t xml:space="preserve"> </w:t>
      </w:r>
      <w:r w:rsidR="00760D8C" w:rsidRPr="00D56B97">
        <w:rPr>
          <w:rFonts w:ascii="Times New Roman" w:hAnsi="Times New Roman" w:cs="Times New Roman"/>
        </w:rPr>
        <w:t xml:space="preserve">wishes and feelings’ </w:t>
      </w:r>
      <w:r w:rsidR="00047BE1" w:rsidRPr="00D56B97">
        <w:rPr>
          <w:rFonts w:ascii="Times New Roman" w:hAnsi="Times New Roman" w:cs="Times New Roman"/>
        </w:rPr>
        <w:t>must be considered.</w:t>
      </w:r>
      <w:r w:rsidR="00047BE1" w:rsidRPr="00D56B97">
        <w:rPr>
          <w:rFonts w:ascii="Times New Roman" w:hAnsi="Times New Roman" w:cs="Times New Roman"/>
          <w:vertAlign w:val="superscript"/>
        </w:rPr>
        <w:footnoteReference w:id="99"/>
      </w:r>
      <w:r w:rsidR="00047BE1" w:rsidRPr="00D56B97">
        <w:rPr>
          <w:rFonts w:ascii="Times New Roman" w:hAnsi="Times New Roman" w:cs="Times New Roman"/>
          <w:vertAlign w:val="superscript"/>
        </w:rPr>
        <w:t xml:space="preserve"> </w:t>
      </w:r>
      <w:r w:rsidRPr="00D56B97">
        <w:rPr>
          <w:rFonts w:ascii="Times New Roman" w:hAnsi="Times New Roman" w:cs="Times New Roman"/>
        </w:rPr>
        <w:t>Similarly, the Act</w:t>
      </w:r>
      <w:r w:rsidR="00760D8C" w:rsidRPr="00D56B97">
        <w:rPr>
          <w:rFonts w:ascii="Times New Roman" w:hAnsi="Times New Roman" w:cs="Times New Roman"/>
        </w:rPr>
        <w:t xml:space="preserve"> require</w:t>
      </w:r>
      <w:r w:rsidRPr="00D56B97">
        <w:rPr>
          <w:rFonts w:ascii="Times New Roman" w:hAnsi="Times New Roman" w:cs="Times New Roman"/>
        </w:rPr>
        <w:t>s</w:t>
      </w:r>
      <w:r w:rsidR="00760D8C" w:rsidRPr="00D56B97">
        <w:rPr>
          <w:rFonts w:ascii="Times New Roman" w:hAnsi="Times New Roman" w:cs="Times New Roman"/>
        </w:rPr>
        <w:t xml:space="preserve"> that ‘regard must be had’ to making decisions in a way that is ‘less restrictive of the person's rights and freedom of action’.</w:t>
      </w:r>
      <w:r w:rsidR="00760D8C" w:rsidRPr="00D56B97">
        <w:rPr>
          <w:rFonts w:ascii="Times New Roman" w:hAnsi="Times New Roman" w:cs="Times New Roman"/>
          <w:vertAlign w:val="superscript"/>
        </w:rPr>
        <w:footnoteReference w:id="100"/>
      </w:r>
      <w:r w:rsidR="00760D8C" w:rsidRPr="00D56B97">
        <w:rPr>
          <w:rFonts w:ascii="Times New Roman" w:hAnsi="Times New Roman" w:cs="Times New Roman"/>
        </w:rPr>
        <w:t xml:space="preserve"> </w:t>
      </w:r>
      <w:r w:rsidR="00F15059" w:rsidRPr="00D56B97">
        <w:rPr>
          <w:rFonts w:ascii="Times New Roman" w:hAnsi="Times New Roman" w:cs="Times New Roman"/>
        </w:rPr>
        <w:t xml:space="preserve">These </w:t>
      </w:r>
      <w:r w:rsidR="00F15059" w:rsidRPr="00D56B97">
        <w:rPr>
          <w:rFonts w:ascii="Times New Roman" w:hAnsi="Times New Roman" w:cs="Times New Roman"/>
        </w:rPr>
        <w:lastRenderedPageBreak/>
        <w:t>secti</w:t>
      </w:r>
      <w:r w:rsidRPr="00D56B97">
        <w:rPr>
          <w:rFonts w:ascii="Times New Roman" w:hAnsi="Times New Roman" w:cs="Times New Roman"/>
        </w:rPr>
        <w:t xml:space="preserve">ons </w:t>
      </w:r>
      <w:r w:rsidR="00F15059" w:rsidRPr="00D56B97">
        <w:rPr>
          <w:rFonts w:ascii="Times New Roman" w:hAnsi="Times New Roman" w:cs="Times New Roman"/>
        </w:rPr>
        <w:t>require more attention to someone’s preferences than was evident in the pre-Act case law.</w:t>
      </w:r>
      <w:r w:rsidR="00F15059" w:rsidRPr="00D56B97">
        <w:rPr>
          <w:rStyle w:val="FootnoteReference"/>
          <w:rFonts w:ascii="Times New Roman" w:hAnsi="Times New Roman" w:cs="Times New Roman"/>
        </w:rPr>
        <w:footnoteReference w:id="101"/>
      </w:r>
      <w:r w:rsidR="00BF5C7A" w:rsidRPr="00D56B97">
        <w:rPr>
          <w:rFonts w:ascii="Times New Roman" w:hAnsi="Times New Roman" w:cs="Times New Roman"/>
        </w:rPr>
        <w:t xml:space="preserve"> They do not, however, straightforwardly</w:t>
      </w:r>
      <w:r w:rsidR="00346D02" w:rsidRPr="00D56B97">
        <w:rPr>
          <w:rFonts w:ascii="Times New Roman" w:hAnsi="Times New Roman" w:cs="Times New Roman"/>
        </w:rPr>
        <w:t xml:space="preserve"> translate into any </w:t>
      </w:r>
      <w:r w:rsidR="00C867D6" w:rsidRPr="00D56B97">
        <w:rPr>
          <w:rFonts w:ascii="Times New Roman" w:hAnsi="Times New Roman" w:cs="Times New Roman"/>
        </w:rPr>
        <w:t xml:space="preserve">right </w:t>
      </w:r>
      <w:r w:rsidR="00BF5C7A" w:rsidRPr="00D56B97">
        <w:rPr>
          <w:rFonts w:ascii="Times New Roman" w:hAnsi="Times New Roman" w:cs="Times New Roman"/>
        </w:rPr>
        <w:t>to b</w:t>
      </w:r>
      <w:r w:rsidR="00346D02" w:rsidRPr="00D56B97">
        <w:rPr>
          <w:rFonts w:ascii="Times New Roman" w:hAnsi="Times New Roman" w:cs="Times New Roman"/>
        </w:rPr>
        <w:t xml:space="preserve">e treated as </w:t>
      </w:r>
      <w:r w:rsidR="00EC504D" w:rsidRPr="00D56B97">
        <w:rPr>
          <w:rFonts w:ascii="Times New Roman" w:hAnsi="Times New Roman" w:cs="Times New Roman"/>
        </w:rPr>
        <w:t>autonomous</w:t>
      </w:r>
      <w:r w:rsidR="00BF5C7A" w:rsidRPr="00D56B97">
        <w:rPr>
          <w:rFonts w:ascii="Times New Roman" w:hAnsi="Times New Roman" w:cs="Times New Roman"/>
        </w:rPr>
        <w:t xml:space="preserve">. Someone’s wishes and feelings must only be considered, not followed, and </w:t>
      </w:r>
      <w:r w:rsidR="00346D02" w:rsidRPr="00D56B97">
        <w:rPr>
          <w:rFonts w:ascii="Times New Roman" w:hAnsi="Times New Roman" w:cs="Times New Roman"/>
        </w:rPr>
        <w:t>they have no</w:t>
      </w:r>
      <w:r w:rsidR="00BF5C7A" w:rsidRPr="00D56B97">
        <w:rPr>
          <w:rFonts w:ascii="Times New Roman" w:hAnsi="Times New Roman" w:cs="Times New Roman"/>
        </w:rPr>
        <w:t xml:space="preserve"> priority over </w:t>
      </w:r>
      <w:r w:rsidR="00527187" w:rsidRPr="00D56B97">
        <w:rPr>
          <w:rFonts w:ascii="Times New Roman" w:hAnsi="Times New Roman" w:cs="Times New Roman"/>
        </w:rPr>
        <w:t>other factors.</w:t>
      </w:r>
      <w:r w:rsidR="00EB0AA4" w:rsidRPr="00D56B97">
        <w:rPr>
          <w:rStyle w:val="FootnoteReference"/>
          <w:rFonts w:ascii="Times New Roman" w:hAnsi="Times New Roman" w:cs="Times New Roman"/>
        </w:rPr>
        <w:footnoteReference w:id="102"/>
      </w:r>
      <w:r w:rsidR="003613EC" w:rsidRPr="00D56B97">
        <w:rPr>
          <w:rFonts w:ascii="Times New Roman" w:hAnsi="Times New Roman" w:cs="Times New Roman"/>
        </w:rPr>
        <w:t xml:space="preserve"> Similarly</w:t>
      </w:r>
      <w:r w:rsidR="00760D8C" w:rsidRPr="00D56B97">
        <w:rPr>
          <w:rFonts w:ascii="Times New Roman" w:hAnsi="Times New Roman" w:cs="Times New Roman"/>
        </w:rPr>
        <w:t xml:space="preserve">, </w:t>
      </w:r>
      <w:r w:rsidR="00346D02" w:rsidRPr="00D56B97">
        <w:rPr>
          <w:rFonts w:ascii="Times New Roman" w:hAnsi="Times New Roman" w:cs="Times New Roman"/>
        </w:rPr>
        <w:t>the Act</w:t>
      </w:r>
      <w:r w:rsidR="003613EC" w:rsidRPr="00D56B97">
        <w:rPr>
          <w:rFonts w:ascii="Times New Roman" w:hAnsi="Times New Roman" w:cs="Times New Roman"/>
        </w:rPr>
        <w:t xml:space="preserve"> only requires regard </w:t>
      </w:r>
      <w:r w:rsidR="00116F27" w:rsidRPr="00D56B97">
        <w:rPr>
          <w:rFonts w:ascii="Times New Roman" w:hAnsi="Times New Roman" w:cs="Times New Roman"/>
        </w:rPr>
        <w:t>to what is ‘less restrictive’</w:t>
      </w:r>
      <w:r w:rsidR="00EC504D" w:rsidRPr="00D56B97">
        <w:rPr>
          <w:rFonts w:ascii="Times New Roman" w:hAnsi="Times New Roman" w:cs="Times New Roman"/>
        </w:rPr>
        <w:t>. I</w:t>
      </w:r>
      <w:r w:rsidR="003613EC" w:rsidRPr="00D56B97">
        <w:rPr>
          <w:rFonts w:ascii="Times New Roman" w:hAnsi="Times New Roman" w:cs="Times New Roman"/>
        </w:rPr>
        <w:t xml:space="preserve">t </w:t>
      </w:r>
      <w:r w:rsidR="00346D02" w:rsidRPr="00D56B97">
        <w:rPr>
          <w:rFonts w:ascii="Times New Roman" w:hAnsi="Times New Roman" w:cs="Times New Roman"/>
        </w:rPr>
        <w:t xml:space="preserve">does not require decision-makers to </w:t>
      </w:r>
      <w:r w:rsidR="00EC504D" w:rsidRPr="00D56B97">
        <w:rPr>
          <w:rFonts w:ascii="Times New Roman" w:hAnsi="Times New Roman" w:cs="Times New Roman"/>
        </w:rPr>
        <w:t>act in the least restrictive way unless that</w:t>
      </w:r>
      <w:r w:rsidR="003613EC" w:rsidRPr="00D56B97">
        <w:rPr>
          <w:rFonts w:ascii="Times New Roman" w:hAnsi="Times New Roman" w:cs="Times New Roman"/>
        </w:rPr>
        <w:t xml:space="preserve"> </w:t>
      </w:r>
      <w:r w:rsidR="00EC504D" w:rsidRPr="00D56B97">
        <w:rPr>
          <w:rFonts w:ascii="Times New Roman" w:hAnsi="Times New Roman" w:cs="Times New Roman"/>
        </w:rPr>
        <w:t>is</w:t>
      </w:r>
      <w:r w:rsidR="003613EC" w:rsidRPr="00D56B97">
        <w:rPr>
          <w:rFonts w:ascii="Times New Roman" w:hAnsi="Times New Roman" w:cs="Times New Roman"/>
        </w:rPr>
        <w:t xml:space="preserve"> in the</w:t>
      </w:r>
      <w:r w:rsidR="00760D8C" w:rsidRPr="00D56B97">
        <w:rPr>
          <w:rFonts w:ascii="Times New Roman" w:hAnsi="Times New Roman" w:cs="Times New Roman"/>
        </w:rPr>
        <w:t xml:space="preserve"> person’s overall best interests.</w:t>
      </w:r>
      <w:r w:rsidR="00760D8C" w:rsidRPr="00D56B97">
        <w:rPr>
          <w:rFonts w:ascii="Times New Roman" w:hAnsi="Times New Roman" w:cs="Times New Roman"/>
          <w:vertAlign w:val="superscript"/>
        </w:rPr>
        <w:footnoteReference w:id="103"/>
      </w:r>
      <w:r w:rsidR="00760D8C" w:rsidRPr="00D56B97">
        <w:rPr>
          <w:rFonts w:ascii="Times New Roman" w:hAnsi="Times New Roman" w:cs="Times New Roman"/>
        </w:rPr>
        <w:t xml:space="preserve"> </w:t>
      </w:r>
      <w:r w:rsidR="00560AF6" w:rsidRPr="00D56B97">
        <w:rPr>
          <w:rFonts w:ascii="Times New Roman" w:hAnsi="Times New Roman" w:cs="Times New Roman"/>
        </w:rPr>
        <w:t>In theory</w:t>
      </w:r>
      <w:r w:rsidR="00760D8C" w:rsidRPr="00D56B97">
        <w:rPr>
          <w:rFonts w:ascii="Times New Roman" w:hAnsi="Times New Roman" w:cs="Times New Roman"/>
        </w:rPr>
        <w:t>, then, the Act require</w:t>
      </w:r>
      <w:r w:rsidR="00F46BF6" w:rsidRPr="00D56B97">
        <w:rPr>
          <w:rFonts w:ascii="Times New Roman" w:hAnsi="Times New Roman" w:cs="Times New Roman"/>
        </w:rPr>
        <w:t>s</w:t>
      </w:r>
      <w:r w:rsidR="00EC504D" w:rsidRPr="00D56B97">
        <w:rPr>
          <w:rFonts w:ascii="Times New Roman" w:hAnsi="Times New Roman" w:cs="Times New Roman"/>
        </w:rPr>
        <w:t xml:space="preserve"> consideration of the person’s point of view, </w:t>
      </w:r>
      <w:r w:rsidR="00134C20" w:rsidRPr="00D56B97">
        <w:rPr>
          <w:rFonts w:ascii="Times New Roman" w:hAnsi="Times New Roman" w:cs="Times New Roman"/>
        </w:rPr>
        <w:t>but</w:t>
      </w:r>
      <w:r w:rsidR="00133124" w:rsidRPr="00D56B97">
        <w:rPr>
          <w:rFonts w:ascii="Times New Roman" w:hAnsi="Times New Roman" w:cs="Times New Roman"/>
        </w:rPr>
        <w:t xml:space="preserve"> does not </w:t>
      </w:r>
      <w:r w:rsidR="00F258FD" w:rsidRPr="00D56B97">
        <w:rPr>
          <w:rFonts w:ascii="Times New Roman" w:hAnsi="Times New Roman" w:cs="Times New Roman"/>
        </w:rPr>
        <w:t xml:space="preserve">require </w:t>
      </w:r>
      <w:r w:rsidR="00560AF6" w:rsidRPr="00D56B97">
        <w:rPr>
          <w:rFonts w:ascii="Times New Roman" w:hAnsi="Times New Roman" w:cs="Times New Roman"/>
        </w:rPr>
        <w:t xml:space="preserve">treating the person </w:t>
      </w:r>
      <w:r w:rsidR="00EC504D" w:rsidRPr="00D56B97">
        <w:rPr>
          <w:rFonts w:ascii="Times New Roman" w:hAnsi="Times New Roman" w:cs="Times New Roman"/>
        </w:rPr>
        <w:t>without capacity as so autonomous tha</w:t>
      </w:r>
      <w:r w:rsidR="00346D02" w:rsidRPr="00D56B97">
        <w:rPr>
          <w:rFonts w:ascii="Times New Roman" w:hAnsi="Times New Roman" w:cs="Times New Roman"/>
        </w:rPr>
        <w:t>t the state should not act</w:t>
      </w:r>
      <w:r w:rsidR="00EC504D" w:rsidRPr="00D56B97">
        <w:rPr>
          <w:rFonts w:ascii="Times New Roman" w:hAnsi="Times New Roman" w:cs="Times New Roman"/>
        </w:rPr>
        <w:t xml:space="preserve"> against their will</w:t>
      </w:r>
      <w:r w:rsidR="003613EC" w:rsidRPr="00D56B97">
        <w:rPr>
          <w:rFonts w:ascii="Times New Roman" w:hAnsi="Times New Roman" w:cs="Times New Roman"/>
        </w:rPr>
        <w:t>. In p</w:t>
      </w:r>
      <w:r w:rsidR="000354CE" w:rsidRPr="00D56B97">
        <w:rPr>
          <w:rFonts w:ascii="Times New Roman" w:hAnsi="Times New Roman" w:cs="Times New Roman"/>
        </w:rPr>
        <w:t>rac</w:t>
      </w:r>
      <w:r w:rsidR="00134C20" w:rsidRPr="00D56B97">
        <w:rPr>
          <w:rFonts w:ascii="Times New Roman" w:hAnsi="Times New Roman" w:cs="Times New Roman"/>
        </w:rPr>
        <w:t>tice, however, attention to</w:t>
      </w:r>
      <w:r w:rsidR="00346D02" w:rsidRPr="00D56B97">
        <w:rPr>
          <w:rFonts w:ascii="Times New Roman" w:hAnsi="Times New Roman" w:cs="Times New Roman"/>
        </w:rPr>
        <w:t xml:space="preserve"> the person</w:t>
      </w:r>
      <w:r w:rsidR="00EC504D" w:rsidRPr="00D56B97">
        <w:rPr>
          <w:rFonts w:ascii="Times New Roman" w:hAnsi="Times New Roman" w:cs="Times New Roman"/>
        </w:rPr>
        <w:t>’s point of view</w:t>
      </w:r>
      <w:r w:rsidR="00560AF6" w:rsidRPr="00D56B97">
        <w:rPr>
          <w:rFonts w:ascii="Times New Roman" w:hAnsi="Times New Roman" w:cs="Times New Roman"/>
        </w:rPr>
        <w:t xml:space="preserve"> has tended</w:t>
      </w:r>
      <w:r w:rsidR="00346D02" w:rsidRPr="00D56B97">
        <w:rPr>
          <w:rFonts w:ascii="Times New Roman" w:hAnsi="Times New Roman" w:cs="Times New Roman"/>
        </w:rPr>
        <w:t xml:space="preserve"> to</w:t>
      </w:r>
      <w:r w:rsidR="003613EC" w:rsidRPr="00D56B97">
        <w:rPr>
          <w:rFonts w:ascii="Times New Roman" w:hAnsi="Times New Roman" w:cs="Times New Roman"/>
        </w:rPr>
        <w:t xml:space="preserve"> </w:t>
      </w:r>
      <w:r w:rsidR="00EC504D" w:rsidRPr="00D56B97">
        <w:rPr>
          <w:rFonts w:ascii="Times New Roman" w:hAnsi="Times New Roman" w:cs="Times New Roman"/>
        </w:rPr>
        <w:t>dissolve</w:t>
      </w:r>
      <w:r w:rsidR="00134C20" w:rsidRPr="00D56B97">
        <w:rPr>
          <w:rFonts w:ascii="Times New Roman" w:hAnsi="Times New Roman" w:cs="Times New Roman"/>
        </w:rPr>
        <w:t xml:space="preserve"> this distinction.</w:t>
      </w:r>
    </w:p>
    <w:p w14:paraId="7493C890" w14:textId="77777777" w:rsidR="00F46BF6" w:rsidRPr="00D56B97" w:rsidRDefault="00760D8C" w:rsidP="00021A54">
      <w:pPr>
        <w:spacing w:line="480" w:lineRule="auto"/>
        <w:ind w:firstLine="567"/>
        <w:jc w:val="both"/>
        <w:rPr>
          <w:rFonts w:ascii="Times New Roman" w:hAnsi="Times New Roman" w:cs="Times New Roman"/>
        </w:rPr>
      </w:pPr>
      <w:r w:rsidRPr="00D56B97">
        <w:rPr>
          <w:rFonts w:ascii="Times New Roman" w:hAnsi="Times New Roman" w:cs="Times New Roman"/>
        </w:rPr>
        <w:t>T</w:t>
      </w:r>
      <w:r w:rsidR="00556236" w:rsidRPr="00D56B97">
        <w:rPr>
          <w:rFonts w:ascii="Times New Roman" w:hAnsi="Times New Roman" w:cs="Times New Roman"/>
        </w:rPr>
        <w:t>here are two leading cases on</w:t>
      </w:r>
      <w:r w:rsidRPr="00D56B97">
        <w:rPr>
          <w:rFonts w:ascii="Times New Roman" w:hAnsi="Times New Roman" w:cs="Times New Roman"/>
        </w:rPr>
        <w:t xml:space="preserve"> </w:t>
      </w:r>
      <w:r w:rsidR="00822B75" w:rsidRPr="00D56B97">
        <w:rPr>
          <w:rFonts w:ascii="Times New Roman" w:hAnsi="Times New Roman" w:cs="Times New Roman"/>
        </w:rPr>
        <w:t>the</w:t>
      </w:r>
      <w:r w:rsidR="003C5A32" w:rsidRPr="00D56B97">
        <w:rPr>
          <w:rFonts w:ascii="Times New Roman" w:hAnsi="Times New Roman" w:cs="Times New Roman"/>
        </w:rPr>
        <w:t xml:space="preserve"> current</w:t>
      </w:r>
      <w:r w:rsidR="00822B75" w:rsidRPr="00D56B97">
        <w:rPr>
          <w:rFonts w:ascii="Times New Roman" w:hAnsi="Times New Roman" w:cs="Times New Roman"/>
        </w:rPr>
        <w:t xml:space="preserve"> ‘</w:t>
      </w:r>
      <w:r w:rsidR="00F46BF6" w:rsidRPr="00D56B97">
        <w:rPr>
          <w:rFonts w:ascii="Times New Roman" w:hAnsi="Times New Roman" w:cs="Times New Roman"/>
        </w:rPr>
        <w:t>wishes</w:t>
      </w:r>
      <w:r w:rsidR="00E577FA" w:rsidRPr="00D56B97">
        <w:rPr>
          <w:rFonts w:ascii="Times New Roman" w:hAnsi="Times New Roman" w:cs="Times New Roman"/>
        </w:rPr>
        <w:t xml:space="preserve"> </w:t>
      </w:r>
      <w:r w:rsidR="00822B75" w:rsidRPr="00D56B97">
        <w:rPr>
          <w:rFonts w:ascii="Times New Roman" w:hAnsi="Times New Roman" w:cs="Times New Roman"/>
        </w:rPr>
        <w:t>and feelings’ of a person without capacity</w:t>
      </w:r>
      <w:r w:rsidRPr="00D56B97">
        <w:rPr>
          <w:rFonts w:ascii="Times New Roman" w:hAnsi="Times New Roman" w:cs="Times New Roman"/>
        </w:rPr>
        <w:t>.</w:t>
      </w:r>
      <w:r w:rsidR="006E2B01" w:rsidRPr="00D56B97">
        <w:rPr>
          <w:rFonts w:ascii="Times New Roman" w:hAnsi="Times New Roman" w:cs="Times New Roman"/>
        </w:rPr>
        <w:t xml:space="preserve"> </w:t>
      </w:r>
      <w:r w:rsidRPr="00D56B97">
        <w:rPr>
          <w:rFonts w:ascii="Times New Roman" w:hAnsi="Times New Roman" w:cs="Times New Roman"/>
        </w:rPr>
        <w:t xml:space="preserve">The first, </w:t>
      </w:r>
      <w:r w:rsidRPr="00D56B97">
        <w:rPr>
          <w:rFonts w:ascii="Times New Roman" w:hAnsi="Times New Roman" w:cs="Times New Roman"/>
          <w:i/>
        </w:rPr>
        <w:t>Re P (Statutory Will)</w:t>
      </w:r>
      <w:r w:rsidRPr="00D56B97">
        <w:rPr>
          <w:rFonts w:ascii="Times New Roman" w:hAnsi="Times New Roman" w:cs="Times New Roman"/>
        </w:rPr>
        <w:t>, establishes that,</w:t>
      </w:r>
      <w:r w:rsidR="00F46BF6" w:rsidRPr="00D56B97">
        <w:rPr>
          <w:rFonts w:ascii="Times New Roman" w:hAnsi="Times New Roman" w:cs="Times New Roman"/>
        </w:rPr>
        <w:t xml:space="preserve"> although </w:t>
      </w:r>
      <w:r w:rsidR="00822B75" w:rsidRPr="00D56B97">
        <w:rPr>
          <w:rFonts w:ascii="Times New Roman" w:hAnsi="Times New Roman" w:cs="Times New Roman"/>
        </w:rPr>
        <w:t>they</w:t>
      </w:r>
      <w:r w:rsidRPr="00D56B97">
        <w:rPr>
          <w:rFonts w:ascii="Times New Roman" w:hAnsi="Times New Roman" w:cs="Times New Roman"/>
        </w:rPr>
        <w:t xml:space="preserve"> carry ‘great weight’, ‘the only imperative is that the decision must be made in P's best interests’.</w:t>
      </w:r>
      <w:r w:rsidRPr="00D56B97">
        <w:rPr>
          <w:rFonts w:ascii="Times New Roman" w:hAnsi="Times New Roman" w:cs="Times New Roman"/>
          <w:vertAlign w:val="superscript"/>
        </w:rPr>
        <w:footnoteReference w:id="104"/>
      </w:r>
      <w:r w:rsidRPr="00D56B97">
        <w:rPr>
          <w:rFonts w:ascii="Times New Roman" w:hAnsi="Times New Roman" w:cs="Times New Roman"/>
        </w:rPr>
        <w:t xml:space="preserve"> </w:t>
      </w:r>
      <w:r w:rsidR="00BB3E07" w:rsidRPr="00D56B97">
        <w:rPr>
          <w:rFonts w:ascii="Times New Roman" w:hAnsi="Times New Roman" w:cs="Times New Roman"/>
        </w:rPr>
        <w:t>This adds</w:t>
      </w:r>
      <w:r w:rsidR="00F46BF6" w:rsidRPr="00D56B97">
        <w:rPr>
          <w:rFonts w:ascii="Times New Roman" w:hAnsi="Times New Roman" w:cs="Times New Roman"/>
        </w:rPr>
        <w:t xml:space="preserve"> littl</w:t>
      </w:r>
      <w:r w:rsidR="00BB3E07" w:rsidRPr="00D56B97">
        <w:rPr>
          <w:rFonts w:ascii="Times New Roman" w:hAnsi="Times New Roman" w:cs="Times New Roman"/>
        </w:rPr>
        <w:t>e to the plain words of the Act, but t</w:t>
      </w:r>
      <w:r w:rsidRPr="00D56B97">
        <w:rPr>
          <w:rFonts w:ascii="Times New Roman" w:hAnsi="Times New Roman" w:cs="Times New Roman"/>
        </w:rPr>
        <w:t>he second</w:t>
      </w:r>
      <w:r w:rsidR="00F46BF6" w:rsidRPr="00D56B97">
        <w:rPr>
          <w:rFonts w:ascii="Times New Roman" w:hAnsi="Times New Roman" w:cs="Times New Roman"/>
        </w:rPr>
        <w:t xml:space="preserve"> case</w:t>
      </w:r>
      <w:r w:rsidRPr="00D56B97">
        <w:rPr>
          <w:rFonts w:ascii="Times New Roman" w:hAnsi="Times New Roman" w:cs="Times New Roman"/>
        </w:rPr>
        <w:t xml:space="preserve">, </w:t>
      </w:r>
      <w:r w:rsidRPr="00D56B97">
        <w:rPr>
          <w:rFonts w:ascii="Times New Roman" w:hAnsi="Times New Roman" w:cs="Times New Roman"/>
          <w:i/>
        </w:rPr>
        <w:t>ITW</w:t>
      </w:r>
      <w:r w:rsidR="00BB3E07" w:rsidRPr="00D56B97">
        <w:rPr>
          <w:rFonts w:ascii="Times New Roman" w:hAnsi="Times New Roman" w:cs="Times New Roman"/>
          <w:i/>
        </w:rPr>
        <w:t xml:space="preserve"> v Z</w:t>
      </w:r>
      <w:r w:rsidRPr="00D56B97">
        <w:rPr>
          <w:rFonts w:ascii="Times New Roman" w:hAnsi="Times New Roman" w:cs="Times New Roman"/>
        </w:rPr>
        <w:t>,</w:t>
      </w:r>
      <w:r w:rsidR="00F46BF6" w:rsidRPr="00D56B97">
        <w:rPr>
          <w:rFonts w:ascii="Times New Roman" w:hAnsi="Times New Roman" w:cs="Times New Roman"/>
          <w:vertAlign w:val="superscript"/>
        </w:rPr>
        <w:t xml:space="preserve"> </w:t>
      </w:r>
      <w:r w:rsidR="00F46BF6" w:rsidRPr="00D56B97">
        <w:rPr>
          <w:rFonts w:ascii="Times New Roman" w:hAnsi="Times New Roman" w:cs="Times New Roman"/>
          <w:vertAlign w:val="superscript"/>
        </w:rPr>
        <w:footnoteReference w:id="105"/>
      </w:r>
      <w:r w:rsidR="00F46BF6" w:rsidRPr="00D56B97">
        <w:rPr>
          <w:rFonts w:ascii="Times New Roman" w:hAnsi="Times New Roman" w:cs="Times New Roman"/>
        </w:rPr>
        <w:t xml:space="preserve"> </w:t>
      </w:r>
      <w:r w:rsidR="004E02F7" w:rsidRPr="00D56B97">
        <w:rPr>
          <w:rFonts w:ascii="Times New Roman" w:hAnsi="Times New Roman" w:cs="Times New Roman"/>
        </w:rPr>
        <w:t>fills in</w:t>
      </w:r>
      <w:r w:rsidRPr="00D56B97">
        <w:rPr>
          <w:rFonts w:ascii="Times New Roman" w:hAnsi="Times New Roman" w:cs="Times New Roman"/>
        </w:rPr>
        <w:t xml:space="preserve"> more detail. </w:t>
      </w:r>
      <w:r w:rsidR="00F46BF6" w:rsidRPr="00D56B97">
        <w:rPr>
          <w:rFonts w:ascii="Times New Roman" w:hAnsi="Times New Roman" w:cs="Times New Roman"/>
        </w:rPr>
        <w:t xml:space="preserve">In it, </w:t>
      </w:r>
      <w:r w:rsidR="004E4110" w:rsidRPr="00D56B97">
        <w:rPr>
          <w:rFonts w:ascii="Times New Roman" w:hAnsi="Times New Roman" w:cs="Times New Roman"/>
        </w:rPr>
        <w:t>Mr Justice Munby</w:t>
      </w:r>
      <w:r w:rsidR="004E02F7" w:rsidRPr="00D56B97">
        <w:rPr>
          <w:rFonts w:ascii="Times New Roman" w:hAnsi="Times New Roman" w:cs="Times New Roman"/>
        </w:rPr>
        <w:t xml:space="preserve"> noted</w:t>
      </w:r>
      <w:r w:rsidRPr="00D56B97">
        <w:rPr>
          <w:rFonts w:ascii="Times New Roman" w:hAnsi="Times New Roman" w:cs="Times New Roman"/>
        </w:rPr>
        <w:t xml:space="preserve"> that</w:t>
      </w:r>
      <w:r w:rsidR="008A0826" w:rsidRPr="00D56B97">
        <w:rPr>
          <w:rFonts w:ascii="Times New Roman" w:hAnsi="Times New Roman" w:cs="Times New Roman"/>
        </w:rPr>
        <w:t xml:space="preserve"> the weight attached to someone</w:t>
      </w:r>
      <w:r w:rsidRPr="00D56B97">
        <w:rPr>
          <w:rFonts w:ascii="Times New Roman" w:hAnsi="Times New Roman" w:cs="Times New Roman"/>
        </w:rPr>
        <w:t>’s wishes and feelings is</w:t>
      </w:r>
      <w:r w:rsidR="0079324D" w:rsidRPr="00D56B97">
        <w:rPr>
          <w:rFonts w:ascii="Times New Roman" w:hAnsi="Times New Roman" w:cs="Times New Roman"/>
        </w:rPr>
        <w:t xml:space="preserve"> always case-specific</w:t>
      </w:r>
      <w:r w:rsidR="004E02F7" w:rsidRPr="00D56B97">
        <w:rPr>
          <w:rFonts w:ascii="Times New Roman" w:hAnsi="Times New Roman" w:cs="Times New Roman"/>
        </w:rPr>
        <w:t>,</w:t>
      </w:r>
      <w:r w:rsidRPr="00D56B97">
        <w:rPr>
          <w:rFonts w:ascii="Times New Roman" w:hAnsi="Times New Roman" w:cs="Times New Roman"/>
          <w:vertAlign w:val="superscript"/>
        </w:rPr>
        <w:footnoteReference w:id="106"/>
      </w:r>
      <w:r w:rsidR="004E02F7" w:rsidRPr="00D56B97">
        <w:rPr>
          <w:rFonts w:ascii="Times New Roman" w:hAnsi="Times New Roman" w:cs="Times New Roman"/>
        </w:rPr>
        <w:t xml:space="preserve"> then</w:t>
      </w:r>
      <w:r w:rsidR="008A0826" w:rsidRPr="00D56B97">
        <w:rPr>
          <w:rFonts w:ascii="Times New Roman" w:hAnsi="Times New Roman" w:cs="Times New Roman"/>
        </w:rPr>
        <w:t xml:space="preserve"> </w:t>
      </w:r>
      <w:r w:rsidR="004E02F7" w:rsidRPr="00D56B97">
        <w:rPr>
          <w:rFonts w:ascii="Times New Roman" w:hAnsi="Times New Roman" w:cs="Times New Roman"/>
        </w:rPr>
        <w:t>gave</w:t>
      </w:r>
      <w:r w:rsidRPr="00D56B97">
        <w:rPr>
          <w:rFonts w:ascii="Times New Roman" w:hAnsi="Times New Roman" w:cs="Times New Roman"/>
        </w:rPr>
        <w:t xml:space="preserve"> a non-exhaustive list of </w:t>
      </w:r>
      <w:r w:rsidR="00F46BF6" w:rsidRPr="00D56B97">
        <w:rPr>
          <w:rFonts w:ascii="Times New Roman" w:hAnsi="Times New Roman" w:cs="Times New Roman"/>
        </w:rPr>
        <w:t>factors</w:t>
      </w:r>
      <w:r w:rsidR="0079324D" w:rsidRPr="00D56B97">
        <w:rPr>
          <w:rFonts w:ascii="Times New Roman" w:hAnsi="Times New Roman" w:cs="Times New Roman"/>
        </w:rPr>
        <w:t xml:space="preserve"> bearing</w:t>
      </w:r>
      <w:r w:rsidRPr="00D56B97">
        <w:rPr>
          <w:rFonts w:ascii="Times New Roman" w:hAnsi="Times New Roman" w:cs="Times New Roman"/>
        </w:rPr>
        <w:t xml:space="preserve"> on the </w:t>
      </w:r>
      <w:r w:rsidR="008649ED" w:rsidRPr="00D56B97">
        <w:rPr>
          <w:rFonts w:ascii="Times New Roman" w:hAnsi="Times New Roman" w:cs="Times New Roman"/>
        </w:rPr>
        <w:t>issue</w:t>
      </w:r>
      <w:r w:rsidRPr="00D56B97">
        <w:rPr>
          <w:rFonts w:ascii="Times New Roman" w:hAnsi="Times New Roman" w:cs="Times New Roman"/>
        </w:rPr>
        <w:t>:</w:t>
      </w:r>
    </w:p>
    <w:p w14:paraId="7493C891" w14:textId="77777777" w:rsidR="00F46BF6" w:rsidRPr="00D56B97" w:rsidRDefault="00F46BF6" w:rsidP="00021A54">
      <w:pPr>
        <w:spacing w:line="480" w:lineRule="auto"/>
        <w:ind w:left="567" w:right="567"/>
        <w:jc w:val="both"/>
        <w:rPr>
          <w:rFonts w:ascii="Times New Roman" w:hAnsi="Times New Roman" w:cs="Times New Roman"/>
        </w:rPr>
      </w:pPr>
      <w:r w:rsidRPr="00D56B97">
        <w:rPr>
          <w:rFonts w:ascii="Times New Roman" w:hAnsi="Times New Roman" w:cs="Times New Roman"/>
        </w:rPr>
        <w:t xml:space="preserve">a) </w:t>
      </w:r>
      <w:proofErr w:type="gramStart"/>
      <w:r w:rsidRPr="00D56B97">
        <w:rPr>
          <w:rFonts w:ascii="Times New Roman" w:hAnsi="Times New Roman" w:cs="Times New Roman"/>
        </w:rPr>
        <w:t>the</w:t>
      </w:r>
      <w:proofErr w:type="gramEnd"/>
      <w:r w:rsidRPr="00D56B97">
        <w:rPr>
          <w:rFonts w:ascii="Times New Roman" w:hAnsi="Times New Roman" w:cs="Times New Roman"/>
        </w:rPr>
        <w:t xml:space="preserve"> degree of P's incapacity, for the nearer to the borderline the more weight must in principle be attached to P's wishes and feelings…</w:t>
      </w:r>
    </w:p>
    <w:p w14:paraId="7493C892" w14:textId="77777777" w:rsidR="00F46BF6" w:rsidRPr="00D56B97" w:rsidRDefault="00F46BF6" w:rsidP="00021A54">
      <w:pPr>
        <w:spacing w:line="480" w:lineRule="auto"/>
        <w:ind w:left="567" w:right="567"/>
        <w:jc w:val="both"/>
        <w:rPr>
          <w:rFonts w:ascii="Times New Roman" w:hAnsi="Times New Roman" w:cs="Times New Roman"/>
        </w:rPr>
      </w:pPr>
      <w:r w:rsidRPr="00D56B97">
        <w:rPr>
          <w:rFonts w:ascii="Times New Roman" w:hAnsi="Times New Roman" w:cs="Times New Roman"/>
        </w:rPr>
        <w:t xml:space="preserve">b) </w:t>
      </w:r>
      <w:proofErr w:type="gramStart"/>
      <w:r w:rsidRPr="00D56B97">
        <w:rPr>
          <w:rFonts w:ascii="Times New Roman" w:hAnsi="Times New Roman" w:cs="Times New Roman"/>
        </w:rPr>
        <w:t>the</w:t>
      </w:r>
      <w:proofErr w:type="gramEnd"/>
      <w:r w:rsidRPr="00D56B97">
        <w:rPr>
          <w:rFonts w:ascii="Times New Roman" w:hAnsi="Times New Roman" w:cs="Times New Roman"/>
        </w:rPr>
        <w:t xml:space="preserve"> strength and consistency of the views being expressed by P;</w:t>
      </w:r>
    </w:p>
    <w:p w14:paraId="7493C893" w14:textId="77777777" w:rsidR="00F46BF6" w:rsidRPr="00D56B97" w:rsidRDefault="00F46BF6" w:rsidP="00021A54">
      <w:pPr>
        <w:spacing w:line="480" w:lineRule="auto"/>
        <w:ind w:left="567" w:right="567"/>
        <w:jc w:val="both"/>
        <w:rPr>
          <w:rFonts w:ascii="Times New Roman" w:hAnsi="Times New Roman" w:cs="Times New Roman"/>
        </w:rPr>
      </w:pPr>
      <w:r w:rsidRPr="00D56B97">
        <w:rPr>
          <w:rFonts w:ascii="Times New Roman" w:hAnsi="Times New Roman" w:cs="Times New Roman"/>
        </w:rPr>
        <w:t xml:space="preserve">c) </w:t>
      </w:r>
      <w:proofErr w:type="gramStart"/>
      <w:r w:rsidRPr="00D56B97">
        <w:rPr>
          <w:rFonts w:ascii="Times New Roman" w:hAnsi="Times New Roman" w:cs="Times New Roman"/>
        </w:rPr>
        <w:t>the</w:t>
      </w:r>
      <w:proofErr w:type="gramEnd"/>
      <w:r w:rsidRPr="00D56B97">
        <w:rPr>
          <w:rFonts w:ascii="Times New Roman" w:hAnsi="Times New Roman" w:cs="Times New Roman"/>
        </w:rPr>
        <w:t xml:space="preserve"> possible impact on P of knowledge that her wishes and feelings are not being given effect to…</w:t>
      </w:r>
    </w:p>
    <w:p w14:paraId="7493C894" w14:textId="77777777" w:rsidR="00F46BF6" w:rsidRPr="00D56B97" w:rsidRDefault="00F46BF6" w:rsidP="00021A54">
      <w:pPr>
        <w:spacing w:line="480" w:lineRule="auto"/>
        <w:ind w:left="567" w:right="567"/>
        <w:jc w:val="both"/>
        <w:rPr>
          <w:rFonts w:ascii="Times New Roman" w:hAnsi="Times New Roman" w:cs="Times New Roman"/>
        </w:rPr>
      </w:pPr>
      <w:r w:rsidRPr="00D56B97">
        <w:rPr>
          <w:rFonts w:ascii="Times New Roman" w:hAnsi="Times New Roman" w:cs="Times New Roman"/>
        </w:rPr>
        <w:lastRenderedPageBreak/>
        <w:t xml:space="preserve">d) </w:t>
      </w:r>
      <w:proofErr w:type="gramStart"/>
      <w:r w:rsidRPr="00D56B97">
        <w:rPr>
          <w:rFonts w:ascii="Times New Roman" w:hAnsi="Times New Roman" w:cs="Times New Roman"/>
        </w:rPr>
        <w:t>the</w:t>
      </w:r>
      <w:proofErr w:type="gramEnd"/>
      <w:r w:rsidRPr="00D56B97">
        <w:rPr>
          <w:rFonts w:ascii="Times New Roman" w:hAnsi="Times New Roman" w:cs="Times New Roman"/>
        </w:rPr>
        <w:t xml:space="preserve"> extent to which P's wishes and feelings are, or are not, rational, sensible, responsible and pragmatically capable of sensible implementation in the particular circumstances; and</w:t>
      </w:r>
    </w:p>
    <w:p w14:paraId="7493C895" w14:textId="77777777" w:rsidR="00F46BF6" w:rsidRPr="00D56B97" w:rsidRDefault="00F46BF6" w:rsidP="00021A54">
      <w:pPr>
        <w:spacing w:line="480" w:lineRule="auto"/>
        <w:ind w:left="567" w:right="567"/>
        <w:jc w:val="both"/>
        <w:rPr>
          <w:rFonts w:ascii="Times New Roman" w:hAnsi="Times New Roman" w:cs="Times New Roman"/>
        </w:rPr>
      </w:pPr>
      <w:r w:rsidRPr="00D56B97">
        <w:rPr>
          <w:rFonts w:ascii="Times New Roman" w:hAnsi="Times New Roman" w:cs="Times New Roman"/>
        </w:rPr>
        <w:t xml:space="preserve"> e) </w:t>
      </w:r>
      <w:proofErr w:type="gramStart"/>
      <w:r w:rsidRPr="00D56B97">
        <w:rPr>
          <w:rFonts w:ascii="Times New Roman" w:hAnsi="Times New Roman" w:cs="Times New Roman"/>
        </w:rPr>
        <w:t>crucially</w:t>
      </w:r>
      <w:proofErr w:type="gramEnd"/>
      <w:r w:rsidRPr="00D56B97">
        <w:rPr>
          <w:rFonts w:ascii="Times New Roman" w:hAnsi="Times New Roman" w:cs="Times New Roman"/>
        </w:rPr>
        <w:t>, the extent to which P's wishes and feelings, if given effect to, can properly be accommodated within the court's overall assessment of what is in her best interests.</w:t>
      </w:r>
      <w:r w:rsidR="00760D8C" w:rsidRPr="00D56B97">
        <w:rPr>
          <w:rFonts w:ascii="Times New Roman" w:hAnsi="Times New Roman" w:cs="Times New Roman"/>
          <w:vertAlign w:val="superscript"/>
        </w:rPr>
        <w:footnoteReference w:id="107"/>
      </w:r>
      <w:r w:rsidR="00760D8C" w:rsidRPr="00D56B97">
        <w:rPr>
          <w:rFonts w:ascii="Times New Roman" w:hAnsi="Times New Roman" w:cs="Times New Roman"/>
        </w:rPr>
        <w:t xml:space="preserve"> </w:t>
      </w:r>
    </w:p>
    <w:p w14:paraId="7493C896" w14:textId="77777777" w:rsidR="00BC040E" w:rsidRPr="00D56B97" w:rsidRDefault="004934B1" w:rsidP="00021A54">
      <w:pPr>
        <w:spacing w:line="480" w:lineRule="auto"/>
        <w:jc w:val="both"/>
        <w:rPr>
          <w:rFonts w:ascii="Times New Roman" w:hAnsi="Times New Roman" w:cs="Times New Roman"/>
        </w:rPr>
      </w:pPr>
      <w:r w:rsidRPr="00D56B97">
        <w:rPr>
          <w:rFonts w:ascii="Times New Roman" w:hAnsi="Times New Roman" w:cs="Times New Roman"/>
        </w:rPr>
        <w:t>The first and last of t</w:t>
      </w:r>
      <w:r w:rsidR="007F5AE1" w:rsidRPr="00D56B97">
        <w:rPr>
          <w:rFonts w:ascii="Times New Roman" w:hAnsi="Times New Roman" w:cs="Times New Roman"/>
        </w:rPr>
        <w:t xml:space="preserve">hese </w:t>
      </w:r>
      <w:r w:rsidR="00F571C1" w:rsidRPr="00D56B97">
        <w:rPr>
          <w:rFonts w:ascii="Times New Roman" w:hAnsi="Times New Roman" w:cs="Times New Roman"/>
        </w:rPr>
        <w:t xml:space="preserve">factors </w:t>
      </w:r>
      <w:r w:rsidR="007F5AE1" w:rsidRPr="00D56B97">
        <w:rPr>
          <w:rFonts w:ascii="Times New Roman" w:hAnsi="Times New Roman" w:cs="Times New Roman"/>
        </w:rPr>
        <w:t>directly bear on the</w:t>
      </w:r>
      <w:r w:rsidR="005B22C3" w:rsidRPr="00D56B97">
        <w:rPr>
          <w:rFonts w:ascii="Times New Roman" w:hAnsi="Times New Roman" w:cs="Times New Roman"/>
        </w:rPr>
        <w:t xml:space="preserve"> structure of the</w:t>
      </w:r>
      <w:r w:rsidR="007F5AE1" w:rsidRPr="00D56B97">
        <w:rPr>
          <w:rFonts w:ascii="Times New Roman" w:hAnsi="Times New Roman" w:cs="Times New Roman"/>
        </w:rPr>
        <w:t xml:space="preserve"> relationship between autonomy </w:t>
      </w:r>
      <w:r w:rsidR="005B22C3" w:rsidRPr="00D56B97">
        <w:rPr>
          <w:rFonts w:ascii="Times New Roman" w:hAnsi="Times New Roman" w:cs="Times New Roman"/>
        </w:rPr>
        <w:t xml:space="preserve">and </w:t>
      </w:r>
      <w:r w:rsidR="007F5AE1" w:rsidRPr="00D56B97">
        <w:rPr>
          <w:rFonts w:ascii="Times New Roman" w:hAnsi="Times New Roman" w:cs="Times New Roman"/>
        </w:rPr>
        <w:t>capacity</w:t>
      </w:r>
      <w:r w:rsidR="00DF4A68" w:rsidRPr="00D56B97">
        <w:rPr>
          <w:rFonts w:ascii="Times New Roman" w:hAnsi="Times New Roman" w:cs="Times New Roman"/>
        </w:rPr>
        <w:t>. T</w:t>
      </w:r>
      <w:r w:rsidR="007F5AE1" w:rsidRPr="00D56B97">
        <w:rPr>
          <w:rFonts w:ascii="Times New Roman" w:hAnsi="Times New Roman" w:cs="Times New Roman"/>
        </w:rPr>
        <w:t>he remaining three</w:t>
      </w:r>
      <w:r w:rsidR="005B22C3" w:rsidRPr="00D56B97">
        <w:rPr>
          <w:rFonts w:ascii="Times New Roman" w:hAnsi="Times New Roman" w:cs="Times New Roman"/>
        </w:rPr>
        <w:t xml:space="preserve"> </w:t>
      </w:r>
      <w:r w:rsidR="00DF4A68" w:rsidRPr="00D56B97">
        <w:rPr>
          <w:rFonts w:ascii="Times New Roman" w:hAnsi="Times New Roman" w:cs="Times New Roman"/>
        </w:rPr>
        <w:t>do so indirectly, by directing attention to</w:t>
      </w:r>
      <w:r w:rsidR="005B22C3" w:rsidRPr="00D56B97">
        <w:rPr>
          <w:rFonts w:ascii="Times New Roman" w:hAnsi="Times New Roman" w:cs="Times New Roman"/>
        </w:rPr>
        <w:t xml:space="preserve"> the content of a person’s wishes.</w:t>
      </w:r>
      <w:r w:rsidR="006D2AD3" w:rsidRPr="00D56B97">
        <w:rPr>
          <w:rFonts w:ascii="Times New Roman" w:hAnsi="Times New Roman" w:cs="Times New Roman"/>
        </w:rPr>
        <w:t xml:space="preserve"> The first factor, stating that</w:t>
      </w:r>
      <w:r w:rsidR="00F571C1" w:rsidRPr="00D56B97">
        <w:rPr>
          <w:rFonts w:ascii="Times New Roman" w:hAnsi="Times New Roman" w:cs="Times New Roman"/>
        </w:rPr>
        <w:t xml:space="preserve"> more weight should be given to the wishes and feelings of people closer to the borderline of capacity, may se</w:t>
      </w:r>
      <w:r w:rsidR="00DF4A68" w:rsidRPr="00D56B97">
        <w:rPr>
          <w:rFonts w:ascii="Times New Roman" w:hAnsi="Times New Roman" w:cs="Times New Roman"/>
        </w:rPr>
        <w:t>em obvious, but</w:t>
      </w:r>
      <w:r w:rsidR="00F571C1" w:rsidRPr="00D56B97">
        <w:rPr>
          <w:rFonts w:ascii="Times New Roman" w:hAnsi="Times New Roman" w:cs="Times New Roman"/>
        </w:rPr>
        <w:t xml:space="preserve"> even it tends to undermine the gatekeeper account. Instead of a simple binary where those with capacity have autonomy and those with</w:t>
      </w:r>
      <w:r w:rsidR="00DF4A68" w:rsidRPr="00D56B97">
        <w:rPr>
          <w:rFonts w:ascii="Times New Roman" w:hAnsi="Times New Roman" w:cs="Times New Roman"/>
        </w:rPr>
        <w:t>out capacity do not, autonomy becomes a matter of degree; and</w:t>
      </w:r>
      <w:r w:rsidR="00F571C1" w:rsidRPr="00D56B97">
        <w:rPr>
          <w:rFonts w:ascii="Times New Roman" w:hAnsi="Times New Roman" w:cs="Times New Roman"/>
        </w:rPr>
        <w:t xml:space="preserve"> if you are close to the ‘borderline’</w:t>
      </w:r>
      <w:r w:rsidR="0079324D" w:rsidRPr="00D56B97">
        <w:rPr>
          <w:rFonts w:ascii="Times New Roman" w:hAnsi="Times New Roman" w:cs="Times New Roman"/>
        </w:rPr>
        <w:t>,</w:t>
      </w:r>
      <w:r w:rsidR="00F571C1" w:rsidRPr="00D56B97">
        <w:rPr>
          <w:rFonts w:ascii="Times New Roman" w:hAnsi="Times New Roman" w:cs="Times New Roman"/>
        </w:rPr>
        <w:t xml:space="preserve"> then you are also closer to your expressed wishes being legally determinative.</w:t>
      </w:r>
      <w:r w:rsidR="00DF4A68" w:rsidRPr="00D56B97">
        <w:rPr>
          <w:rStyle w:val="FootnoteReference"/>
          <w:rFonts w:ascii="Times New Roman" w:hAnsi="Times New Roman" w:cs="Times New Roman"/>
        </w:rPr>
        <w:footnoteReference w:id="108"/>
      </w:r>
    </w:p>
    <w:p w14:paraId="7493C897" w14:textId="77777777" w:rsidR="007F1B72" w:rsidRPr="00D56B97" w:rsidRDefault="00F571C1" w:rsidP="00021A54">
      <w:pPr>
        <w:spacing w:line="480" w:lineRule="auto"/>
        <w:ind w:firstLine="720"/>
        <w:jc w:val="both"/>
        <w:rPr>
          <w:rFonts w:ascii="Times New Roman" w:hAnsi="Times New Roman" w:cs="Times New Roman"/>
        </w:rPr>
      </w:pPr>
      <w:r w:rsidRPr="00D56B97">
        <w:rPr>
          <w:rFonts w:ascii="Times New Roman" w:hAnsi="Times New Roman" w:cs="Times New Roman"/>
        </w:rPr>
        <w:t>The</w:t>
      </w:r>
      <w:r w:rsidR="005411EA" w:rsidRPr="00D56B97">
        <w:rPr>
          <w:rFonts w:ascii="Times New Roman" w:hAnsi="Times New Roman" w:cs="Times New Roman"/>
        </w:rPr>
        <w:t xml:space="preserve"> other structural</w:t>
      </w:r>
      <w:r w:rsidR="006D2AD3" w:rsidRPr="00D56B97">
        <w:rPr>
          <w:rFonts w:ascii="Times New Roman" w:hAnsi="Times New Roman" w:cs="Times New Roman"/>
        </w:rPr>
        <w:t xml:space="preserve"> factor</w:t>
      </w:r>
      <w:r w:rsidR="00BC040E" w:rsidRPr="00D56B97">
        <w:rPr>
          <w:rFonts w:ascii="Times New Roman" w:hAnsi="Times New Roman" w:cs="Times New Roman"/>
        </w:rPr>
        <w:t xml:space="preserve"> from </w:t>
      </w:r>
      <w:r w:rsidR="00BC040E" w:rsidRPr="00D56B97">
        <w:rPr>
          <w:rFonts w:ascii="Times New Roman" w:hAnsi="Times New Roman" w:cs="Times New Roman"/>
          <w:i/>
        </w:rPr>
        <w:t>ITW</w:t>
      </w:r>
      <w:r w:rsidR="007127E9" w:rsidRPr="00D56B97">
        <w:rPr>
          <w:rFonts w:ascii="Times New Roman" w:hAnsi="Times New Roman" w:cs="Times New Roman"/>
        </w:rPr>
        <w:t xml:space="preserve">, the </w:t>
      </w:r>
      <w:r w:rsidR="00CB268C" w:rsidRPr="00D56B97">
        <w:rPr>
          <w:rFonts w:ascii="Times New Roman" w:hAnsi="Times New Roman" w:cs="Times New Roman"/>
        </w:rPr>
        <w:t>requirement that</w:t>
      </w:r>
      <w:r w:rsidR="00927C85" w:rsidRPr="00D56B97">
        <w:rPr>
          <w:rFonts w:ascii="Times New Roman" w:hAnsi="Times New Roman" w:cs="Times New Roman"/>
        </w:rPr>
        <w:t xml:space="preserve"> a person’s wishes can ‘be accommodated within the court's overall assessment of what is in her best interests’</w:t>
      </w:r>
      <w:r w:rsidR="00F11297" w:rsidRPr="00D56B97">
        <w:rPr>
          <w:rFonts w:ascii="Times New Roman" w:hAnsi="Times New Roman" w:cs="Times New Roman"/>
        </w:rPr>
        <w:t xml:space="preserve">, </w:t>
      </w:r>
      <w:r w:rsidR="00E000B5" w:rsidRPr="00D56B97">
        <w:rPr>
          <w:rFonts w:ascii="Times New Roman" w:hAnsi="Times New Roman" w:cs="Times New Roman"/>
        </w:rPr>
        <w:t xml:space="preserve">may </w:t>
      </w:r>
      <w:r w:rsidRPr="00D56B97">
        <w:rPr>
          <w:rFonts w:ascii="Times New Roman" w:hAnsi="Times New Roman" w:cs="Times New Roman"/>
        </w:rPr>
        <w:t>s</w:t>
      </w:r>
      <w:r w:rsidR="007127E9" w:rsidRPr="00D56B97">
        <w:rPr>
          <w:rFonts w:ascii="Times New Roman" w:hAnsi="Times New Roman" w:cs="Times New Roman"/>
        </w:rPr>
        <w:t xml:space="preserve">eem to limit </w:t>
      </w:r>
      <w:r w:rsidR="0035527E" w:rsidRPr="00D56B97">
        <w:rPr>
          <w:rFonts w:ascii="Times New Roman" w:hAnsi="Times New Roman" w:cs="Times New Roman"/>
        </w:rPr>
        <w:t>how far the</w:t>
      </w:r>
      <w:r w:rsidR="007127E9" w:rsidRPr="00D56B97">
        <w:rPr>
          <w:rFonts w:ascii="Times New Roman" w:hAnsi="Times New Roman" w:cs="Times New Roman"/>
        </w:rPr>
        <w:t xml:space="preserve"> gatekeeper account</w:t>
      </w:r>
      <w:r w:rsidR="0035527E" w:rsidRPr="00D56B97">
        <w:rPr>
          <w:rFonts w:ascii="Times New Roman" w:hAnsi="Times New Roman" w:cs="Times New Roman"/>
        </w:rPr>
        <w:t xml:space="preserve"> can be softened. I</w:t>
      </w:r>
      <w:r w:rsidR="005411EA" w:rsidRPr="00D56B97">
        <w:rPr>
          <w:rFonts w:ascii="Times New Roman" w:hAnsi="Times New Roman" w:cs="Times New Roman"/>
        </w:rPr>
        <w:t>f someone’s expressed feelings are not in accord with their overall best interests, then</w:t>
      </w:r>
      <w:r w:rsidR="00CB268C" w:rsidRPr="00D56B97">
        <w:rPr>
          <w:rFonts w:ascii="Times New Roman" w:hAnsi="Times New Roman" w:cs="Times New Roman"/>
        </w:rPr>
        <w:t xml:space="preserve"> </w:t>
      </w:r>
      <w:r w:rsidR="00EA3FB6" w:rsidRPr="00D56B97">
        <w:rPr>
          <w:rFonts w:ascii="Times New Roman" w:hAnsi="Times New Roman" w:cs="Times New Roman"/>
        </w:rPr>
        <w:t xml:space="preserve">their wishes will </w:t>
      </w:r>
      <w:r w:rsidR="00E00539" w:rsidRPr="00D56B97">
        <w:rPr>
          <w:rFonts w:ascii="Times New Roman" w:hAnsi="Times New Roman" w:cs="Times New Roman"/>
        </w:rPr>
        <w:t>not prevail</w:t>
      </w:r>
      <w:r w:rsidR="00F11297" w:rsidRPr="00D56B97">
        <w:rPr>
          <w:rFonts w:ascii="Times New Roman" w:hAnsi="Times New Roman" w:cs="Times New Roman"/>
        </w:rPr>
        <w:t>;</w:t>
      </w:r>
      <w:r w:rsidR="00E00539" w:rsidRPr="00D56B97">
        <w:rPr>
          <w:rFonts w:ascii="Times New Roman" w:hAnsi="Times New Roman" w:cs="Times New Roman"/>
        </w:rPr>
        <w:t xml:space="preserve"> so </w:t>
      </w:r>
      <w:r w:rsidR="00E000B5" w:rsidRPr="00D56B97">
        <w:rPr>
          <w:rFonts w:ascii="Times New Roman" w:hAnsi="Times New Roman" w:cs="Times New Roman"/>
        </w:rPr>
        <w:t>it can</w:t>
      </w:r>
      <w:r w:rsidR="00EA3FB6" w:rsidRPr="00D56B97">
        <w:rPr>
          <w:rFonts w:ascii="Times New Roman" w:hAnsi="Times New Roman" w:cs="Times New Roman"/>
        </w:rPr>
        <w:t xml:space="preserve"> seem</w:t>
      </w:r>
      <w:r w:rsidR="00CB268C" w:rsidRPr="00D56B97">
        <w:rPr>
          <w:rFonts w:ascii="Times New Roman" w:hAnsi="Times New Roman" w:cs="Times New Roman"/>
        </w:rPr>
        <w:t xml:space="preserve"> that</w:t>
      </w:r>
      <w:r w:rsidR="00675492" w:rsidRPr="00D56B97">
        <w:rPr>
          <w:rFonts w:ascii="Times New Roman" w:hAnsi="Times New Roman" w:cs="Times New Roman"/>
        </w:rPr>
        <w:t>, after all,</w:t>
      </w:r>
      <w:r w:rsidR="00EA3FB6" w:rsidRPr="00D56B97">
        <w:rPr>
          <w:rFonts w:ascii="Times New Roman" w:hAnsi="Times New Roman" w:cs="Times New Roman"/>
        </w:rPr>
        <w:t xml:space="preserve"> </w:t>
      </w:r>
      <w:r w:rsidR="005411EA" w:rsidRPr="00D56B97">
        <w:rPr>
          <w:rFonts w:ascii="Times New Roman" w:hAnsi="Times New Roman" w:cs="Times New Roman"/>
        </w:rPr>
        <w:t>o</w:t>
      </w:r>
      <w:r w:rsidR="00267E59" w:rsidRPr="00D56B97">
        <w:rPr>
          <w:rFonts w:ascii="Times New Roman" w:hAnsi="Times New Roman" w:cs="Times New Roman"/>
        </w:rPr>
        <w:t>nly those with capacity have a</w:t>
      </w:r>
      <w:r w:rsidR="00EA3FB6" w:rsidRPr="00D56B97">
        <w:rPr>
          <w:rFonts w:ascii="Times New Roman" w:hAnsi="Times New Roman" w:cs="Times New Roman"/>
        </w:rPr>
        <w:t xml:space="preserve"> </w:t>
      </w:r>
      <w:r w:rsidR="005411EA" w:rsidRPr="00D56B97">
        <w:rPr>
          <w:rFonts w:ascii="Times New Roman" w:hAnsi="Times New Roman" w:cs="Times New Roman"/>
        </w:rPr>
        <w:t xml:space="preserve">right to be treated as autonomous. This </w:t>
      </w:r>
      <w:r w:rsidR="00D3508D" w:rsidRPr="00D56B97">
        <w:rPr>
          <w:rFonts w:ascii="Times New Roman" w:hAnsi="Times New Roman" w:cs="Times New Roman"/>
        </w:rPr>
        <w:t>appearance</w:t>
      </w:r>
      <w:r w:rsidR="00E00539" w:rsidRPr="00D56B97">
        <w:rPr>
          <w:rFonts w:ascii="Times New Roman" w:hAnsi="Times New Roman" w:cs="Times New Roman"/>
        </w:rPr>
        <w:t xml:space="preserve"> </w:t>
      </w:r>
      <w:r w:rsidR="00D3508D" w:rsidRPr="00D56B97">
        <w:rPr>
          <w:rFonts w:ascii="Times New Roman" w:hAnsi="Times New Roman" w:cs="Times New Roman"/>
        </w:rPr>
        <w:t>is decep</w:t>
      </w:r>
      <w:r w:rsidR="00F50090" w:rsidRPr="00D56B97">
        <w:rPr>
          <w:rFonts w:ascii="Times New Roman" w:hAnsi="Times New Roman" w:cs="Times New Roman"/>
        </w:rPr>
        <w:t>tive, and anyone led astray by it has failed</w:t>
      </w:r>
      <w:r w:rsidR="00267E59" w:rsidRPr="00D56B97">
        <w:rPr>
          <w:rFonts w:ascii="Times New Roman" w:hAnsi="Times New Roman" w:cs="Times New Roman"/>
        </w:rPr>
        <w:t xml:space="preserve"> to </w:t>
      </w:r>
      <w:r w:rsidR="00E000B5" w:rsidRPr="00D56B97">
        <w:rPr>
          <w:rFonts w:ascii="Times New Roman" w:hAnsi="Times New Roman" w:cs="Times New Roman"/>
        </w:rPr>
        <w:t>ask</w:t>
      </w:r>
      <w:r w:rsidR="00267E59" w:rsidRPr="00D56B97">
        <w:rPr>
          <w:rFonts w:ascii="Times New Roman" w:hAnsi="Times New Roman" w:cs="Times New Roman"/>
        </w:rPr>
        <w:t xml:space="preserve"> </w:t>
      </w:r>
      <w:r w:rsidR="00E00539" w:rsidRPr="00D56B97">
        <w:rPr>
          <w:rFonts w:ascii="Times New Roman" w:hAnsi="Times New Roman" w:cs="Times New Roman"/>
        </w:rPr>
        <w:t>whether</w:t>
      </w:r>
      <w:r w:rsidR="00EB128D" w:rsidRPr="00D56B97">
        <w:rPr>
          <w:rFonts w:ascii="Times New Roman" w:hAnsi="Times New Roman" w:cs="Times New Roman"/>
        </w:rPr>
        <w:t xml:space="preserve"> the</w:t>
      </w:r>
      <w:r w:rsidR="00CA63B9" w:rsidRPr="00D56B97">
        <w:rPr>
          <w:rFonts w:ascii="Times New Roman" w:hAnsi="Times New Roman" w:cs="Times New Roman"/>
        </w:rPr>
        <w:t xml:space="preserve"> wishes and feelings </w:t>
      </w:r>
      <w:r w:rsidR="00EB128D" w:rsidRPr="00D56B97">
        <w:rPr>
          <w:rFonts w:ascii="Times New Roman" w:hAnsi="Times New Roman" w:cs="Times New Roman"/>
        </w:rPr>
        <w:t xml:space="preserve">of a person without capacity </w:t>
      </w:r>
      <w:r w:rsidR="00F11297" w:rsidRPr="00D56B97">
        <w:rPr>
          <w:rFonts w:ascii="Times New Roman" w:hAnsi="Times New Roman" w:cs="Times New Roman"/>
        </w:rPr>
        <w:t xml:space="preserve">are </w:t>
      </w:r>
      <w:r w:rsidR="00EB128D" w:rsidRPr="00D56B97">
        <w:rPr>
          <w:rFonts w:ascii="Times New Roman" w:hAnsi="Times New Roman" w:cs="Times New Roman"/>
        </w:rPr>
        <w:t>a factor in determining</w:t>
      </w:r>
      <w:r w:rsidR="00E00539" w:rsidRPr="00D56B97">
        <w:rPr>
          <w:rFonts w:ascii="Times New Roman" w:hAnsi="Times New Roman" w:cs="Times New Roman"/>
        </w:rPr>
        <w:t xml:space="preserve"> their overall best interests.</w:t>
      </w:r>
      <w:r w:rsidR="00CA63B9" w:rsidRPr="00D56B97">
        <w:rPr>
          <w:rFonts w:ascii="Times New Roman" w:hAnsi="Times New Roman" w:cs="Times New Roman"/>
        </w:rPr>
        <w:t xml:space="preserve"> </w:t>
      </w:r>
      <w:r w:rsidR="00E000B5" w:rsidRPr="00D56B97">
        <w:rPr>
          <w:rFonts w:ascii="Times New Roman" w:hAnsi="Times New Roman" w:cs="Times New Roman"/>
        </w:rPr>
        <w:t xml:space="preserve">They are. </w:t>
      </w:r>
      <w:r w:rsidR="00F11297" w:rsidRPr="00D56B97">
        <w:rPr>
          <w:rFonts w:ascii="Times New Roman" w:hAnsi="Times New Roman" w:cs="Times New Roman"/>
        </w:rPr>
        <w:t xml:space="preserve">As already mentioned, the Act requires that </w:t>
      </w:r>
      <w:r w:rsidR="00E000B5" w:rsidRPr="00D56B97">
        <w:rPr>
          <w:rFonts w:ascii="Times New Roman" w:hAnsi="Times New Roman" w:cs="Times New Roman"/>
        </w:rPr>
        <w:t>the person’s present wishes are considered;</w:t>
      </w:r>
      <w:r w:rsidR="00F11297" w:rsidRPr="00D56B97">
        <w:rPr>
          <w:rStyle w:val="FootnoteReference"/>
          <w:rFonts w:ascii="Times New Roman" w:hAnsi="Times New Roman" w:cs="Times New Roman"/>
        </w:rPr>
        <w:footnoteReference w:id="109"/>
      </w:r>
      <w:r w:rsidR="00F11297" w:rsidRPr="00D56B97">
        <w:rPr>
          <w:rFonts w:ascii="Times New Roman" w:hAnsi="Times New Roman" w:cs="Times New Roman"/>
        </w:rPr>
        <w:t xml:space="preserve"> </w:t>
      </w:r>
      <w:r w:rsidR="00E000B5" w:rsidRPr="00D56B97">
        <w:rPr>
          <w:rFonts w:ascii="Times New Roman" w:hAnsi="Times New Roman" w:cs="Times New Roman"/>
        </w:rPr>
        <w:t>and sometimes</w:t>
      </w:r>
      <w:r w:rsidR="00F11297" w:rsidRPr="00D56B97">
        <w:rPr>
          <w:rFonts w:ascii="Times New Roman" w:hAnsi="Times New Roman" w:cs="Times New Roman"/>
        </w:rPr>
        <w:t xml:space="preserve"> </w:t>
      </w:r>
      <w:r w:rsidR="00E000B5" w:rsidRPr="00D56B97">
        <w:rPr>
          <w:rFonts w:ascii="Times New Roman" w:hAnsi="Times New Roman" w:cs="Times New Roman"/>
        </w:rPr>
        <w:t>this consideration leads to a</w:t>
      </w:r>
      <w:r w:rsidR="00F11297" w:rsidRPr="00D56B97">
        <w:rPr>
          <w:rFonts w:ascii="Times New Roman" w:hAnsi="Times New Roman" w:cs="Times New Roman"/>
        </w:rPr>
        <w:t xml:space="preserve"> </w:t>
      </w:r>
      <w:r w:rsidR="00E000B5" w:rsidRPr="00D56B97">
        <w:rPr>
          <w:rFonts w:ascii="Times New Roman" w:hAnsi="Times New Roman" w:cs="Times New Roman"/>
        </w:rPr>
        <w:t xml:space="preserve">judge treating those wishes </w:t>
      </w:r>
      <w:r w:rsidR="00F11297" w:rsidRPr="00D56B97">
        <w:rPr>
          <w:rFonts w:ascii="Times New Roman" w:hAnsi="Times New Roman" w:cs="Times New Roman"/>
        </w:rPr>
        <w:t>as d</w:t>
      </w:r>
      <w:r w:rsidR="00E000B5" w:rsidRPr="00D56B97">
        <w:rPr>
          <w:rFonts w:ascii="Times New Roman" w:hAnsi="Times New Roman" w:cs="Times New Roman"/>
        </w:rPr>
        <w:t>eterminative of the person’s</w:t>
      </w:r>
      <w:r w:rsidR="00F11297" w:rsidRPr="00D56B97">
        <w:rPr>
          <w:rFonts w:ascii="Times New Roman" w:hAnsi="Times New Roman" w:cs="Times New Roman"/>
        </w:rPr>
        <w:t xml:space="preserve"> objective best interests.</w:t>
      </w:r>
      <w:r w:rsidR="001A47C9" w:rsidRPr="00D56B97">
        <w:rPr>
          <w:rStyle w:val="FootnoteReference"/>
          <w:rFonts w:ascii="Times New Roman" w:hAnsi="Times New Roman" w:cs="Times New Roman"/>
        </w:rPr>
        <w:footnoteReference w:id="110"/>
      </w:r>
      <w:r w:rsidR="00BC040E" w:rsidRPr="00D56B97">
        <w:rPr>
          <w:rFonts w:ascii="Times New Roman" w:hAnsi="Times New Roman" w:cs="Times New Roman"/>
        </w:rPr>
        <w:t xml:space="preserve"> </w:t>
      </w:r>
      <w:r w:rsidR="00010CEB" w:rsidRPr="00D56B97">
        <w:rPr>
          <w:rFonts w:ascii="Times New Roman" w:hAnsi="Times New Roman" w:cs="Times New Roman"/>
        </w:rPr>
        <w:t xml:space="preserve">For example, in </w:t>
      </w:r>
      <w:r w:rsidR="00010CEB" w:rsidRPr="00D56B97">
        <w:rPr>
          <w:rFonts w:ascii="Times New Roman" w:hAnsi="Times New Roman" w:cs="Times New Roman"/>
          <w:i/>
        </w:rPr>
        <w:t>Re EU</w:t>
      </w:r>
      <w:r w:rsidR="00010CEB" w:rsidRPr="00D56B97">
        <w:rPr>
          <w:rFonts w:ascii="Times New Roman" w:hAnsi="Times New Roman" w:cs="Times New Roman"/>
        </w:rPr>
        <w:t xml:space="preserve">, Senior Judge Lush found that ‘The factor of magnetic importance in this case is EU's own wishes and </w:t>
      </w:r>
      <w:r w:rsidR="00010CEB" w:rsidRPr="00D56B97">
        <w:rPr>
          <w:rFonts w:ascii="Times New Roman" w:hAnsi="Times New Roman" w:cs="Times New Roman"/>
        </w:rPr>
        <w:lastRenderedPageBreak/>
        <w:t>preference’.</w:t>
      </w:r>
      <w:r w:rsidR="00010CEB" w:rsidRPr="00D56B97">
        <w:rPr>
          <w:rStyle w:val="FootnoteReference"/>
          <w:rFonts w:ascii="Times New Roman" w:hAnsi="Times New Roman" w:cs="Times New Roman"/>
        </w:rPr>
        <w:footnoteReference w:id="111"/>
      </w:r>
      <w:r w:rsidR="003C5684" w:rsidRPr="00D56B97">
        <w:rPr>
          <w:rFonts w:ascii="Times New Roman" w:hAnsi="Times New Roman" w:cs="Times New Roman"/>
        </w:rPr>
        <w:t xml:space="preserve"> In </w:t>
      </w:r>
      <w:r w:rsidR="003C5684" w:rsidRPr="00D56B97">
        <w:rPr>
          <w:rFonts w:ascii="Times New Roman" w:hAnsi="Times New Roman" w:cs="Times New Roman"/>
          <w:i/>
        </w:rPr>
        <w:t>Wye Valley v B</w:t>
      </w:r>
      <w:r w:rsidR="003C5684" w:rsidRPr="00D56B97">
        <w:rPr>
          <w:rFonts w:ascii="Times New Roman" w:hAnsi="Times New Roman" w:cs="Times New Roman"/>
        </w:rPr>
        <w:t>,</w:t>
      </w:r>
      <w:r w:rsidR="00F11297" w:rsidRPr="00D56B97">
        <w:rPr>
          <w:rFonts w:ascii="Times New Roman" w:hAnsi="Times New Roman" w:cs="Times New Roman"/>
        </w:rPr>
        <w:t xml:space="preserve"> Mr Justice Peter Jackson held</w:t>
      </w:r>
      <w:r w:rsidR="003C5684" w:rsidRPr="00D56B97">
        <w:rPr>
          <w:rFonts w:ascii="Times New Roman" w:hAnsi="Times New Roman" w:cs="Times New Roman"/>
        </w:rPr>
        <w:t xml:space="preserve"> that ‘the wishes and feelings, beliefs and values of a person with a mental illness can be of such long standing that they are an inextricable part of the person that he is</w:t>
      </w:r>
      <w:r w:rsidR="00F11297" w:rsidRPr="00D56B97">
        <w:rPr>
          <w:rFonts w:ascii="Times New Roman" w:hAnsi="Times New Roman" w:cs="Times New Roman"/>
        </w:rPr>
        <w:t>’,</w:t>
      </w:r>
      <w:r w:rsidR="003C5684" w:rsidRPr="00D56B97">
        <w:rPr>
          <w:rStyle w:val="FootnoteReference"/>
          <w:rFonts w:ascii="Times New Roman" w:hAnsi="Times New Roman" w:cs="Times New Roman"/>
        </w:rPr>
        <w:footnoteReference w:id="112"/>
      </w:r>
      <w:r w:rsidR="003C5684" w:rsidRPr="00D56B97">
        <w:rPr>
          <w:rFonts w:ascii="Times New Roman" w:hAnsi="Times New Roman" w:cs="Times New Roman"/>
        </w:rPr>
        <w:t xml:space="preserve"> and this </w:t>
      </w:r>
      <w:r w:rsidR="00AB187F" w:rsidRPr="00D56B97">
        <w:rPr>
          <w:rFonts w:ascii="Times New Roman" w:hAnsi="Times New Roman" w:cs="Times New Roman"/>
        </w:rPr>
        <w:t>determined</w:t>
      </w:r>
      <w:r w:rsidR="00EF6A5A" w:rsidRPr="00D56B97">
        <w:rPr>
          <w:rFonts w:ascii="Times New Roman" w:hAnsi="Times New Roman" w:cs="Times New Roman"/>
        </w:rPr>
        <w:t xml:space="preserve"> </w:t>
      </w:r>
      <w:r w:rsidR="003C5684" w:rsidRPr="00D56B97">
        <w:rPr>
          <w:rFonts w:ascii="Times New Roman" w:hAnsi="Times New Roman" w:cs="Times New Roman"/>
        </w:rPr>
        <w:t>best interests in the case.</w:t>
      </w:r>
      <w:r w:rsidR="003C5684" w:rsidRPr="00D56B97">
        <w:rPr>
          <w:rStyle w:val="FootnoteReference"/>
          <w:rFonts w:ascii="Times New Roman" w:hAnsi="Times New Roman" w:cs="Times New Roman"/>
        </w:rPr>
        <w:footnoteReference w:id="113"/>
      </w:r>
      <w:r w:rsidR="00820AFB" w:rsidRPr="00D56B97">
        <w:rPr>
          <w:rFonts w:ascii="Times New Roman" w:hAnsi="Times New Roman" w:cs="Times New Roman"/>
        </w:rPr>
        <w:t xml:space="preserve"> Finally, in </w:t>
      </w:r>
      <w:r w:rsidR="00820AFB" w:rsidRPr="00D56B97">
        <w:rPr>
          <w:rFonts w:ascii="Times New Roman" w:hAnsi="Times New Roman" w:cs="Times New Roman"/>
          <w:i/>
        </w:rPr>
        <w:t>SAD v SED</w:t>
      </w:r>
      <w:r w:rsidR="00820AFB" w:rsidRPr="00D56B97">
        <w:rPr>
          <w:rFonts w:ascii="Times New Roman" w:hAnsi="Times New Roman" w:cs="Times New Roman"/>
        </w:rPr>
        <w:t>, District Judge Glentworth fou</w:t>
      </w:r>
      <w:r w:rsidR="00EF6A5A" w:rsidRPr="00D56B97">
        <w:rPr>
          <w:rFonts w:ascii="Times New Roman" w:hAnsi="Times New Roman" w:cs="Times New Roman"/>
        </w:rPr>
        <w:t>nd ‘</w:t>
      </w:r>
      <w:r w:rsidR="00820AFB" w:rsidRPr="00D56B97">
        <w:rPr>
          <w:rFonts w:ascii="Times New Roman" w:hAnsi="Times New Roman" w:cs="Times New Roman"/>
        </w:rPr>
        <w:t>the Respondent’s [current] wishes and feelings are central to my decision’</w:t>
      </w:r>
      <w:r w:rsidR="00820AFB" w:rsidRPr="00D56B97">
        <w:rPr>
          <w:rStyle w:val="FootnoteReference"/>
          <w:rFonts w:ascii="Times New Roman" w:hAnsi="Times New Roman" w:cs="Times New Roman"/>
        </w:rPr>
        <w:footnoteReference w:id="114"/>
      </w:r>
      <w:r w:rsidR="006C0014" w:rsidRPr="00D56B97">
        <w:rPr>
          <w:rFonts w:ascii="Times New Roman" w:hAnsi="Times New Roman" w:cs="Times New Roman"/>
        </w:rPr>
        <w:t xml:space="preserve"> </w:t>
      </w:r>
      <w:r w:rsidR="00EF6A5A" w:rsidRPr="00D56B97">
        <w:rPr>
          <w:rFonts w:ascii="Times New Roman" w:hAnsi="Times New Roman" w:cs="Times New Roman"/>
        </w:rPr>
        <w:t>when abiding by the desire</w:t>
      </w:r>
      <w:r w:rsidR="006C0014" w:rsidRPr="00D56B97">
        <w:rPr>
          <w:rFonts w:ascii="Times New Roman" w:hAnsi="Times New Roman" w:cs="Times New Roman"/>
        </w:rPr>
        <w:t xml:space="preserve"> of someone without capacity to revoke</w:t>
      </w:r>
      <w:r w:rsidR="00820AFB" w:rsidRPr="00D56B97">
        <w:rPr>
          <w:rFonts w:ascii="Times New Roman" w:hAnsi="Times New Roman" w:cs="Times New Roman"/>
        </w:rPr>
        <w:t xml:space="preserve"> a Lasting Power of Attorney </w:t>
      </w:r>
      <w:r w:rsidR="00EF6A5A" w:rsidRPr="00D56B97">
        <w:rPr>
          <w:rFonts w:ascii="Times New Roman" w:hAnsi="Times New Roman" w:cs="Times New Roman"/>
        </w:rPr>
        <w:t xml:space="preserve">that </w:t>
      </w:r>
      <w:r w:rsidR="00CC7D88" w:rsidRPr="00D56B97">
        <w:rPr>
          <w:rFonts w:ascii="Times New Roman" w:hAnsi="Times New Roman" w:cs="Times New Roman"/>
        </w:rPr>
        <w:t xml:space="preserve">they had </w:t>
      </w:r>
      <w:r w:rsidR="00820AFB" w:rsidRPr="00D56B97">
        <w:rPr>
          <w:rFonts w:ascii="Times New Roman" w:hAnsi="Times New Roman" w:cs="Times New Roman"/>
        </w:rPr>
        <w:t xml:space="preserve">made </w:t>
      </w:r>
      <w:r w:rsidR="00F11297" w:rsidRPr="00D56B97">
        <w:rPr>
          <w:rFonts w:ascii="Times New Roman" w:hAnsi="Times New Roman" w:cs="Times New Roman"/>
        </w:rPr>
        <w:t>when they had capacity</w:t>
      </w:r>
      <w:r w:rsidR="00820AFB" w:rsidRPr="00D56B97">
        <w:rPr>
          <w:rFonts w:ascii="Times New Roman" w:hAnsi="Times New Roman" w:cs="Times New Roman"/>
        </w:rPr>
        <w:t xml:space="preserve">. </w:t>
      </w:r>
      <w:r w:rsidR="00E442D4" w:rsidRPr="00D56B97">
        <w:rPr>
          <w:rFonts w:ascii="Times New Roman" w:hAnsi="Times New Roman" w:cs="Times New Roman"/>
        </w:rPr>
        <w:t xml:space="preserve">Overall best interests cannot entirely limit the </w:t>
      </w:r>
      <w:r w:rsidR="00EF6A5A" w:rsidRPr="00D56B97">
        <w:rPr>
          <w:rFonts w:ascii="Times New Roman" w:hAnsi="Times New Roman" w:cs="Times New Roman"/>
        </w:rPr>
        <w:t>determinative power of someone</w:t>
      </w:r>
      <w:r w:rsidR="00E442D4" w:rsidRPr="00D56B97">
        <w:rPr>
          <w:rFonts w:ascii="Times New Roman" w:hAnsi="Times New Roman" w:cs="Times New Roman"/>
        </w:rPr>
        <w:t>’s current wishes because sometimes the person’s current wishes determine their overall best interests.</w:t>
      </w:r>
      <w:r w:rsidR="003F2221" w:rsidRPr="00D56B97">
        <w:rPr>
          <w:rFonts w:ascii="Times New Roman" w:hAnsi="Times New Roman" w:cs="Times New Roman"/>
          <w:vertAlign w:val="superscript"/>
        </w:rPr>
        <w:footnoteReference w:id="115"/>
      </w:r>
      <w:r w:rsidR="003F31D3" w:rsidRPr="00D56B97">
        <w:rPr>
          <w:rFonts w:ascii="Times New Roman" w:hAnsi="Times New Roman" w:cs="Times New Roman"/>
        </w:rPr>
        <w:t xml:space="preserve"> This</w:t>
      </w:r>
      <w:r w:rsidR="007F1B72" w:rsidRPr="00D56B97">
        <w:rPr>
          <w:rFonts w:ascii="Times New Roman" w:hAnsi="Times New Roman" w:cs="Times New Roman"/>
        </w:rPr>
        <w:t xml:space="preserve"> may seem a modest point, but it</w:t>
      </w:r>
      <w:r w:rsidR="003F31D3" w:rsidRPr="00D56B97">
        <w:rPr>
          <w:rFonts w:ascii="Times New Roman" w:hAnsi="Times New Roman" w:cs="Times New Roman"/>
        </w:rPr>
        <w:t xml:space="preserve"> cannot be accounted for by</w:t>
      </w:r>
      <w:r w:rsidR="00E5431D" w:rsidRPr="00D56B97">
        <w:rPr>
          <w:rFonts w:ascii="Times New Roman" w:hAnsi="Times New Roman" w:cs="Times New Roman"/>
        </w:rPr>
        <w:t xml:space="preserve"> the gate</w:t>
      </w:r>
      <w:r w:rsidR="001D434F" w:rsidRPr="00D56B97">
        <w:rPr>
          <w:rFonts w:ascii="Times New Roman" w:hAnsi="Times New Roman" w:cs="Times New Roman"/>
        </w:rPr>
        <w:t>keeper</w:t>
      </w:r>
      <w:r w:rsidR="002A0465" w:rsidRPr="00D56B97">
        <w:rPr>
          <w:rFonts w:ascii="Times New Roman" w:hAnsi="Times New Roman" w:cs="Times New Roman"/>
        </w:rPr>
        <w:t xml:space="preserve"> and insufficiency accounts, both of which require </w:t>
      </w:r>
      <w:r w:rsidR="007F1B72" w:rsidRPr="00D56B97">
        <w:rPr>
          <w:rFonts w:ascii="Times New Roman" w:hAnsi="Times New Roman" w:cs="Times New Roman"/>
        </w:rPr>
        <w:t xml:space="preserve">mental </w:t>
      </w:r>
      <w:r w:rsidR="002A0465" w:rsidRPr="00D56B97">
        <w:rPr>
          <w:rFonts w:ascii="Times New Roman" w:hAnsi="Times New Roman" w:cs="Times New Roman"/>
        </w:rPr>
        <w:t xml:space="preserve">capacity for </w:t>
      </w:r>
      <w:r w:rsidR="007F1B72" w:rsidRPr="00D56B97">
        <w:rPr>
          <w:rFonts w:ascii="Times New Roman" w:hAnsi="Times New Roman" w:cs="Times New Roman"/>
        </w:rPr>
        <w:t>a perso</w:t>
      </w:r>
      <w:r w:rsidR="005C0C91" w:rsidRPr="00D56B97">
        <w:rPr>
          <w:rFonts w:ascii="Times New Roman" w:hAnsi="Times New Roman" w:cs="Times New Roman"/>
        </w:rPr>
        <w:t>n’s auto</w:t>
      </w:r>
      <w:r w:rsidR="008157D9" w:rsidRPr="00D56B97">
        <w:rPr>
          <w:rFonts w:ascii="Times New Roman" w:hAnsi="Times New Roman" w:cs="Times New Roman"/>
        </w:rPr>
        <w:t>nomy to restrain interf</w:t>
      </w:r>
      <w:r w:rsidR="00E7172D" w:rsidRPr="00D56B97">
        <w:rPr>
          <w:rFonts w:ascii="Times New Roman" w:hAnsi="Times New Roman" w:cs="Times New Roman"/>
        </w:rPr>
        <w:t>erence with their expressed wishes</w:t>
      </w:r>
      <w:r w:rsidR="008157D9" w:rsidRPr="00D56B97">
        <w:rPr>
          <w:rFonts w:ascii="Times New Roman" w:hAnsi="Times New Roman" w:cs="Times New Roman"/>
        </w:rPr>
        <w:t>.</w:t>
      </w:r>
    </w:p>
    <w:p w14:paraId="7493C898" w14:textId="77777777" w:rsidR="000D336E" w:rsidRPr="00D56B97" w:rsidRDefault="00642384" w:rsidP="00AC229E">
      <w:pPr>
        <w:spacing w:line="480" w:lineRule="auto"/>
        <w:jc w:val="center"/>
        <w:rPr>
          <w:rFonts w:ascii="Times New Roman" w:hAnsi="Times New Roman" w:cs="Times New Roman"/>
          <w:i/>
        </w:rPr>
      </w:pPr>
      <w:r w:rsidRPr="00D56B97">
        <w:rPr>
          <w:rFonts w:ascii="Times New Roman" w:hAnsi="Times New Roman" w:cs="Times New Roman"/>
          <w:i/>
        </w:rPr>
        <w:t>B.</w:t>
      </w:r>
      <w:r w:rsidR="000D336E" w:rsidRPr="00D56B97">
        <w:rPr>
          <w:rFonts w:ascii="Times New Roman" w:hAnsi="Times New Roman" w:cs="Times New Roman"/>
          <w:i/>
        </w:rPr>
        <w:t xml:space="preserve"> Subjectivity</w:t>
      </w:r>
      <w:r w:rsidR="009E260B" w:rsidRPr="00D56B97">
        <w:rPr>
          <w:rFonts w:ascii="Times New Roman" w:hAnsi="Times New Roman" w:cs="Times New Roman"/>
          <w:i/>
        </w:rPr>
        <w:t>, Intelligibility, and Authenticity</w:t>
      </w:r>
    </w:p>
    <w:p w14:paraId="7493C899" w14:textId="77777777" w:rsidR="00365AEE" w:rsidRPr="00D56B97" w:rsidRDefault="00E35FB7" w:rsidP="00021A54">
      <w:pPr>
        <w:spacing w:line="480" w:lineRule="auto"/>
        <w:jc w:val="both"/>
        <w:rPr>
          <w:rFonts w:ascii="Times New Roman" w:hAnsi="Times New Roman" w:cs="Times New Roman"/>
        </w:rPr>
      </w:pPr>
      <w:r w:rsidRPr="00D56B97">
        <w:rPr>
          <w:rFonts w:ascii="Times New Roman" w:hAnsi="Times New Roman" w:cs="Times New Roman"/>
        </w:rPr>
        <w:t xml:space="preserve">In </w:t>
      </w:r>
      <w:r w:rsidRPr="00D56B97">
        <w:rPr>
          <w:rFonts w:ascii="Times New Roman" w:hAnsi="Times New Roman" w:cs="Times New Roman"/>
          <w:i/>
        </w:rPr>
        <w:t xml:space="preserve">ITW, </w:t>
      </w:r>
      <w:r w:rsidRPr="00D56B97">
        <w:rPr>
          <w:rFonts w:ascii="Times New Roman" w:hAnsi="Times New Roman" w:cs="Times New Roman"/>
        </w:rPr>
        <w:t xml:space="preserve">beyond the two points </w:t>
      </w:r>
      <w:r w:rsidR="00D47BFE" w:rsidRPr="00D56B97">
        <w:rPr>
          <w:rFonts w:ascii="Times New Roman" w:hAnsi="Times New Roman" w:cs="Times New Roman"/>
        </w:rPr>
        <w:t>that directly address the relationship betwee</w:t>
      </w:r>
      <w:r w:rsidRPr="00D56B97">
        <w:rPr>
          <w:rFonts w:ascii="Times New Roman" w:hAnsi="Times New Roman" w:cs="Times New Roman"/>
        </w:rPr>
        <w:t>n capacity and autonomy, are</w:t>
      </w:r>
      <w:r w:rsidR="00FA2843" w:rsidRPr="00D56B97">
        <w:rPr>
          <w:rFonts w:ascii="Times New Roman" w:hAnsi="Times New Roman" w:cs="Times New Roman"/>
        </w:rPr>
        <w:t xml:space="preserve"> </w:t>
      </w:r>
      <w:r w:rsidR="0030730C" w:rsidRPr="00D56B97">
        <w:rPr>
          <w:rFonts w:ascii="Times New Roman" w:hAnsi="Times New Roman" w:cs="Times New Roman"/>
        </w:rPr>
        <w:t>three factor</w:t>
      </w:r>
      <w:r w:rsidR="00B50003" w:rsidRPr="00D56B97">
        <w:rPr>
          <w:rFonts w:ascii="Times New Roman" w:hAnsi="Times New Roman" w:cs="Times New Roman"/>
        </w:rPr>
        <w:t>s</w:t>
      </w:r>
      <w:r w:rsidR="0030730C" w:rsidRPr="00D56B97">
        <w:rPr>
          <w:rFonts w:ascii="Times New Roman" w:hAnsi="Times New Roman" w:cs="Times New Roman"/>
        </w:rPr>
        <w:t xml:space="preserve"> </w:t>
      </w:r>
      <w:r w:rsidR="00D47BFE" w:rsidRPr="00D56B97">
        <w:rPr>
          <w:rFonts w:ascii="Times New Roman" w:hAnsi="Times New Roman" w:cs="Times New Roman"/>
        </w:rPr>
        <w:t>that indirectly address the relationship</w:t>
      </w:r>
      <w:r w:rsidRPr="00D56B97">
        <w:rPr>
          <w:rFonts w:ascii="Times New Roman" w:hAnsi="Times New Roman" w:cs="Times New Roman"/>
        </w:rPr>
        <w:t>.</w:t>
      </w:r>
      <w:r w:rsidR="00D47BFE" w:rsidRPr="00D56B97">
        <w:rPr>
          <w:rFonts w:ascii="Times New Roman" w:hAnsi="Times New Roman" w:cs="Times New Roman"/>
        </w:rPr>
        <w:t xml:space="preserve"> </w:t>
      </w:r>
      <w:r w:rsidRPr="00D56B97">
        <w:rPr>
          <w:rFonts w:ascii="Times New Roman" w:hAnsi="Times New Roman" w:cs="Times New Roman"/>
        </w:rPr>
        <w:t xml:space="preserve">Each </w:t>
      </w:r>
      <w:r w:rsidR="004F2A7D" w:rsidRPr="00D56B97">
        <w:rPr>
          <w:rFonts w:ascii="Times New Roman" w:hAnsi="Times New Roman" w:cs="Times New Roman"/>
        </w:rPr>
        <w:t xml:space="preserve">of these </w:t>
      </w:r>
      <w:r w:rsidRPr="00D56B97">
        <w:rPr>
          <w:rFonts w:ascii="Times New Roman" w:hAnsi="Times New Roman" w:cs="Times New Roman"/>
        </w:rPr>
        <w:t>expresses a conception of autonomy that is</w:t>
      </w:r>
      <w:r w:rsidR="00D47BFE" w:rsidRPr="00D56B97">
        <w:rPr>
          <w:rFonts w:ascii="Times New Roman" w:hAnsi="Times New Roman" w:cs="Times New Roman"/>
        </w:rPr>
        <w:t xml:space="preserve"> not easily </w:t>
      </w:r>
      <w:r w:rsidR="004F2A7D" w:rsidRPr="00D56B97">
        <w:rPr>
          <w:rFonts w:ascii="Times New Roman" w:hAnsi="Times New Roman" w:cs="Times New Roman"/>
        </w:rPr>
        <w:t xml:space="preserve">assimilated into </w:t>
      </w:r>
      <w:r w:rsidR="00A04EF7" w:rsidRPr="00D56B97">
        <w:rPr>
          <w:rFonts w:ascii="Times New Roman" w:hAnsi="Times New Roman" w:cs="Times New Roman"/>
        </w:rPr>
        <w:t>the gatekeeper view</w:t>
      </w:r>
      <w:r w:rsidR="00967905" w:rsidRPr="00D56B97">
        <w:rPr>
          <w:rFonts w:ascii="Times New Roman" w:hAnsi="Times New Roman" w:cs="Times New Roman"/>
        </w:rPr>
        <w:t>. The</w:t>
      </w:r>
      <w:r w:rsidR="00D47BFE" w:rsidRPr="00D56B97">
        <w:rPr>
          <w:rFonts w:ascii="Times New Roman" w:hAnsi="Times New Roman" w:cs="Times New Roman"/>
        </w:rPr>
        <w:t xml:space="preserve"> three conceptions are</w:t>
      </w:r>
      <w:r w:rsidR="000768D8" w:rsidRPr="00D56B97">
        <w:rPr>
          <w:rFonts w:ascii="Times New Roman" w:hAnsi="Times New Roman" w:cs="Times New Roman"/>
        </w:rPr>
        <w:t xml:space="preserve"> </w:t>
      </w:r>
      <w:r w:rsidR="00FA2843" w:rsidRPr="00D56B97">
        <w:rPr>
          <w:rFonts w:ascii="Times New Roman" w:hAnsi="Times New Roman" w:cs="Times New Roman"/>
        </w:rPr>
        <w:t>subjectivity, intelligibility, and authenticity</w:t>
      </w:r>
      <w:r w:rsidR="00D47BFE" w:rsidRPr="00D56B97">
        <w:rPr>
          <w:rFonts w:ascii="Times New Roman" w:hAnsi="Times New Roman" w:cs="Times New Roman"/>
        </w:rPr>
        <w:t>; and t</w:t>
      </w:r>
      <w:r w:rsidR="00B15AEE" w:rsidRPr="00D56B97">
        <w:rPr>
          <w:rFonts w:ascii="Times New Roman" w:hAnsi="Times New Roman" w:cs="Times New Roman"/>
        </w:rPr>
        <w:t>he first</w:t>
      </w:r>
      <w:r w:rsidR="000768D8" w:rsidRPr="00D56B97">
        <w:rPr>
          <w:rFonts w:ascii="Times New Roman" w:hAnsi="Times New Roman" w:cs="Times New Roman"/>
        </w:rPr>
        <w:t xml:space="preserve"> of these</w:t>
      </w:r>
      <w:r w:rsidR="00FA2843" w:rsidRPr="00D56B97">
        <w:rPr>
          <w:rFonts w:ascii="Times New Roman" w:hAnsi="Times New Roman" w:cs="Times New Roman"/>
        </w:rPr>
        <w:t>, subjectivity,</w:t>
      </w:r>
      <w:r w:rsidR="004F2A7D" w:rsidRPr="00D56B97">
        <w:rPr>
          <w:rFonts w:ascii="Times New Roman" w:hAnsi="Times New Roman" w:cs="Times New Roman"/>
        </w:rPr>
        <w:t xml:space="preserve"> is expressed as</w:t>
      </w:r>
      <w:r w:rsidR="0030730C" w:rsidRPr="00D56B97">
        <w:rPr>
          <w:rFonts w:ascii="Times New Roman" w:hAnsi="Times New Roman" w:cs="Times New Roman"/>
        </w:rPr>
        <w:t xml:space="preserve"> ‘the possible impact on P of knowledge that her wishes and feelings are not being given effect to’</w:t>
      </w:r>
      <w:r w:rsidR="000768D8" w:rsidRPr="00D56B97">
        <w:rPr>
          <w:rFonts w:ascii="Times New Roman" w:hAnsi="Times New Roman" w:cs="Times New Roman"/>
        </w:rPr>
        <w:t>. The issue</w:t>
      </w:r>
      <w:r w:rsidR="00D47BFE" w:rsidRPr="00D56B97">
        <w:rPr>
          <w:rFonts w:ascii="Times New Roman" w:hAnsi="Times New Roman" w:cs="Times New Roman"/>
        </w:rPr>
        <w:t xml:space="preserve"> here is simple</w:t>
      </w:r>
      <w:r w:rsidR="003F4322" w:rsidRPr="00D56B97">
        <w:rPr>
          <w:rFonts w:ascii="Times New Roman" w:hAnsi="Times New Roman" w:cs="Times New Roman"/>
        </w:rPr>
        <w:t>. Best interests deci</w:t>
      </w:r>
      <w:r w:rsidR="00D47BFE" w:rsidRPr="00D56B97">
        <w:rPr>
          <w:rFonts w:ascii="Times New Roman" w:hAnsi="Times New Roman" w:cs="Times New Roman"/>
        </w:rPr>
        <w:t>sions a</w:t>
      </w:r>
      <w:r w:rsidR="004F2A7D" w:rsidRPr="00D56B97">
        <w:rPr>
          <w:rFonts w:ascii="Times New Roman" w:hAnsi="Times New Roman" w:cs="Times New Roman"/>
        </w:rPr>
        <w:t>re made for people, not objects,</w:t>
      </w:r>
      <w:r w:rsidR="00D47BFE" w:rsidRPr="00D56B97">
        <w:rPr>
          <w:rFonts w:ascii="Times New Roman" w:hAnsi="Times New Roman" w:cs="Times New Roman"/>
        </w:rPr>
        <w:t xml:space="preserve"> </w:t>
      </w:r>
      <w:r w:rsidR="003F4322" w:rsidRPr="00D56B97">
        <w:rPr>
          <w:rFonts w:ascii="Times New Roman" w:hAnsi="Times New Roman" w:cs="Times New Roman"/>
        </w:rPr>
        <w:t>and people have their own perspectives on the world.</w:t>
      </w:r>
      <w:r w:rsidR="00FA5E4F" w:rsidRPr="00D56B97">
        <w:rPr>
          <w:rFonts w:ascii="Times New Roman" w:hAnsi="Times New Roman" w:cs="Times New Roman"/>
        </w:rPr>
        <w:t xml:space="preserve"> </w:t>
      </w:r>
      <w:r w:rsidR="00D10DC9" w:rsidRPr="00D56B97">
        <w:rPr>
          <w:rFonts w:ascii="Times New Roman" w:hAnsi="Times New Roman" w:cs="Times New Roman"/>
        </w:rPr>
        <w:t xml:space="preserve">As </w:t>
      </w:r>
      <w:r w:rsidR="003F4322" w:rsidRPr="00D56B97">
        <w:rPr>
          <w:rFonts w:ascii="Times New Roman" w:hAnsi="Times New Roman" w:cs="Times New Roman"/>
        </w:rPr>
        <w:t>District</w:t>
      </w:r>
      <w:r w:rsidR="00501AD6" w:rsidRPr="00D56B97">
        <w:rPr>
          <w:rFonts w:ascii="Times New Roman" w:hAnsi="Times New Roman" w:cs="Times New Roman"/>
        </w:rPr>
        <w:t xml:space="preserve"> Judge Eldergill</w:t>
      </w:r>
      <w:r w:rsidR="00D10DC9" w:rsidRPr="00D56B97">
        <w:rPr>
          <w:rFonts w:ascii="Times New Roman" w:hAnsi="Times New Roman" w:cs="Times New Roman"/>
        </w:rPr>
        <w:t xml:space="preserve"> says,</w:t>
      </w:r>
      <w:r w:rsidR="00501AD6" w:rsidRPr="00D56B97">
        <w:rPr>
          <w:rFonts w:ascii="Times New Roman" w:hAnsi="Times New Roman" w:cs="Times New Roman"/>
        </w:rPr>
        <w:t xml:space="preserve"> </w:t>
      </w:r>
      <w:r w:rsidR="003F4322" w:rsidRPr="00D56B97">
        <w:rPr>
          <w:rFonts w:ascii="Times New Roman" w:hAnsi="Times New Roman" w:cs="Times New Roman"/>
        </w:rPr>
        <w:t>the ‘law requires objective analysis of a subject not an object’</w:t>
      </w:r>
      <w:r w:rsidR="00241321" w:rsidRPr="00D56B97">
        <w:rPr>
          <w:rFonts w:ascii="Times New Roman" w:hAnsi="Times New Roman" w:cs="Times New Roman"/>
        </w:rPr>
        <w:t>.</w:t>
      </w:r>
      <w:r w:rsidR="003F4322" w:rsidRPr="00D56B97">
        <w:rPr>
          <w:rStyle w:val="FootnoteReference"/>
          <w:rFonts w:ascii="Times New Roman" w:hAnsi="Times New Roman" w:cs="Times New Roman"/>
        </w:rPr>
        <w:footnoteReference w:id="116"/>
      </w:r>
      <w:r w:rsidR="00FA5E4F" w:rsidRPr="00D56B97">
        <w:rPr>
          <w:rFonts w:ascii="Times New Roman" w:hAnsi="Times New Roman" w:cs="Times New Roman"/>
        </w:rPr>
        <w:t xml:space="preserve"> </w:t>
      </w:r>
      <w:r w:rsidR="00D47BFE" w:rsidRPr="00D56B97">
        <w:rPr>
          <w:rFonts w:ascii="Times New Roman" w:hAnsi="Times New Roman" w:cs="Times New Roman"/>
        </w:rPr>
        <w:t>T</w:t>
      </w:r>
      <w:r w:rsidR="00FA5E4F" w:rsidRPr="00D56B97">
        <w:rPr>
          <w:rFonts w:ascii="Times New Roman" w:hAnsi="Times New Roman" w:cs="Times New Roman"/>
        </w:rPr>
        <w:t>he Supreme Court</w:t>
      </w:r>
      <w:r w:rsidR="00D47BFE" w:rsidRPr="00D56B97">
        <w:rPr>
          <w:rFonts w:ascii="Times New Roman" w:hAnsi="Times New Roman" w:cs="Times New Roman"/>
        </w:rPr>
        <w:t xml:space="preserve"> agrees</w:t>
      </w:r>
      <w:r w:rsidR="00FA5E4F" w:rsidRPr="00D56B97">
        <w:rPr>
          <w:rFonts w:ascii="Times New Roman" w:hAnsi="Times New Roman" w:cs="Times New Roman"/>
        </w:rPr>
        <w:t xml:space="preserve">. In </w:t>
      </w:r>
      <w:r w:rsidR="00FA5E4F" w:rsidRPr="00D56B97">
        <w:rPr>
          <w:rFonts w:ascii="Times New Roman" w:hAnsi="Times New Roman" w:cs="Times New Roman"/>
          <w:i/>
        </w:rPr>
        <w:t>Aintree v James</w:t>
      </w:r>
      <w:r w:rsidR="00B15AEE" w:rsidRPr="00D56B97">
        <w:rPr>
          <w:rFonts w:ascii="Times New Roman" w:hAnsi="Times New Roman" w:cs="Times New Roman"/>
          <w:i/>
        </w:rPr>
        <w:t>,</w:t>
      </w:r>
      <w:r w:rsidR="00B50003" w:rsidRPr="00D56B97">
        <w:rPr>
          <w:rFonts w:ascii="Times New Roman" w:hAnsi="Times New Roman" w:cs="Times New Roman"/>
        </w:rPr>
        <w:t xml:space="preserve"> Lady Hale held</w:t>
      </w:r>
      <w:r w:rsidR="00FA5E4F" w:rsidRPr="00D56B97">
        <w:rPr>
          <w:rFonts w:ascii="Times New Roman" w:hAnsi="Times New Roman" w:cs="Times New Roman"/>
        </w:rPr>
        <w:t xml:space="preserve"> that the ‘purpose of the best interests test is to consider matters from the patient's point of view’.</w:t>
      </w:r>
      <w:r w:rsidR="00FA5E4F" w:rsidRPr="00D56B97">
        <w:rPr>
          <w:rStyle w:val="FootnoteReference"/>
          <w:rFonts w:ascii="Times New Roman" w:hAnsi="Times New Roman" w:cs="Times New Roman"/>
        </w:rPr>
        <w:footnoteReference w:id="117"/>
      </w:r>
      <w:r w:rsidR="00FA5E4F" w:rsidRPr="00D56B97">
        <w:rPr>
          <w:rFonts w:ascii="Times New Roman" w:hAnsi="Times New Roman" w:cs="Times New Roman"/>
        </w:rPr>
        <w:t xml:space="preserve"> In </w:t>
      </w:r>
      <w:r w:rsidR="00FA5E4F" w:rsidRPr="00D56B97">
        <w:rPr>
          <w:rFonts w:ascii="Times New Roman" w:hAnsi="Times New Roman" w:cs="Times New Roman"/>
          <w:i/>
        </w:rPr>
        <w:t>Aintree</w:t>
      </w:r>
      <w:r w:rsidR="00501AD6" w:rsidRPr="00D56B97">
        <w:rPr>
          <w:rFonts w:ascii="Times New Roman" w:hAnsi="Times New Roman" w:cs="Times New Roman"/>
        </w:rPr>
        <w:t xml:space="preserve"> itself</w:t>
      </w:r>
      <w:r w:rsidR="00FA5E4F" w:rsidRPr="00D56B97">
        <w:rPr>
          <w:rFonts w:ascii="Times New Roman" w:hAnsi="Times New Roman" w:cs="Times New Roman"/>
        </w:rPr>
        <w:t>,</w:t>
      </w:r>
      <w:r w:rsidR="00FA5E4F" w:rsidRPr="00D56B97">
        <w:rPr>
          <w:rFonts w:ascii="Times New Roman" w:hAnsi="Times New Roman" w:cs="Times New Roman"/>
          <w:i/>
        </w:rPr>
        <w:t xml:space="preserve"> </w:t>
      </w:r>
      <w:r w:rsidR="00FA5E4F" w:rsidRPr="00D56B97">
        <w:rPr>
          <w:rFonts w:ascii="Times New Roman" w:hAnsi="Times New Roman" w:cs="Times New Roman"/>
        </w:rPr>
        <w:t xml:space="preserve">Mr James’s current </w:t>
      </w:r>
      <w:r w:rsidR="00FA5E4F" w:rsidRPr="00D56B97">
        <w:rPr>
          <w:rFonts w:ascii="Times New Roman" w:hAnsi="Times New Roman" w:cs="Times New Roman"/>
        </w:rPr>
        <w:lastRenderedPageBreak/>
        <w:t>wishes did not play a prominent role,</w:t>
      </w:r>
      <w:r w:rsidR="00FA5E4F" w:rsidRPr="00D56B97">
        <w:rPr>
          <w:rStyle w:val="FootnoteReference"/>
          <w:rFonts w:ascii="Times New Roman" w:hAnsi="Times New Roman" w:cs="Times New Roman"/>
        </w:rPr>
        <w:footnoteReference w:id="118"/>
      </w:r>
      <w:r w:rsidR="004D5B84" w:rsidRPr="00D56B97">
        <w:rPr>
          <w:rFonts w:ascii="Times New Roman" w:hAnsi="Times New Roman" w:cs="Times New Roman"/>
        </w:rPr>
        <w:t xml:space="preserve"> but </w:t>
      </w:r>
      <w:r w:rsidR="00501AD6" w:rsidRPr="00D56B97">
        <w:rPr>
          <w:rFonts w:ascii="Times New Roman" w:hAnsi="Times New Roman" w:cs="Times New Roman"/>
        </w:rPr>
        <w:t>attention to</w:t>
      </w:r>
      <w:r w:rsidR="004D5B84" w:rsidRPr="00D56B97">
        <w:rPr>
          <w:rFonts w:ascii="Times New Roman" w:hAnsi="Times New Roman" w:cs="Times New Roman"/>
        </w:rPr>
        <w:t xml:space="preserve"> the person’s </w:t>
      </w:r>
      <w:r w:rsidR="00241321" w:rsidRPr="00D56B97">
        <w:rPr>
          <w:rFonts w:ascii="Times New Roman" w:hAnsi="Times New Roman" w:cs="Times New Roman"/>
        </w:rPr>
        <w:t>‘</w:t>
      </w:r>
      <w:r w:rsidR="004D5B84" w:rsidRPr="00D56B97">
        <w:rPr>
          <w:rFonts w:ascii="Times New Roman" w:hAnsi="Times New Roman" w:cs="Times New Roman"/>
        </w:rPr>
        <w:t>point of view</w:t>
      </w:r>
      <w:r w:rsidR="00241321" w:rsidRPr="00D56B97">
        <w:rPr>
          <w:rFonts w:ascii="Times New Roman" w:hAnsi="Times New Roman" w:cs="Times New Roman"/>
        </w:rPr>
        <w:t>’</w:t>
      </w:r>
      <w:r w:rsidR="004D5B84" w:rsidRPr="00D56B97">
        <w:rPr>
          <w:rFonts w:ascii="Times New Roman" w:hAnsi="Times New Roman" w:cs="Times New Roman"/>
        </w:rPr>
        <w:t xml:space="preserve"> has </w:t>
      </w:r>
      <w:r w:rsidR="00D47BFE" w:rsidRPr="00D56B97">
        <w:rPr>
          <w:rFonts w:ascii="Times New Roman" w:hAnsi="Times New Roman" w:cs="Times New Roman"/>
        </w:rPr>
        <w:t>naturally led to th</w:t>
      </w:r>
      <w:r w:rsidR="00EF5E9E" w:rsidRPr="00D56B97">
        <w:rPr>
          <w:rFonts w:ascii="Times New Roman" w:hAnsi="Times New Roman" w:cs="Times New Roman"/>
        </w:rPr>
        <w:t xml:space="preserve">eir wishes being given </w:t>
      </w:r>
      <w:r w:rsidR="00D47BFE" w:rsidRPr="00D56B97">
        <w:rPr>
          <w:rFonts w:ascii="Times New Roman" w:hAnsi="Times New Roman" w:cs="Times New Roman"/>
        </w:rPr>
        <w:t>weight</w:t>
      </w:r>
      <w:r w:rsidR="00501AD6" w:rsidRPr="00D56B97">
        <w:rPr>
          <w:rFonts w:ascii="Times New Roman" w:hAnsi="Times New Roman" w:cs="Times New Roman"/>
        </w:rPr>
        <w:t xml:space="preserve"> in other cases</w:t>
      </w:r>
      <w:r w:rsidR="004D5B84" w:rsidRPr="00D56B97">
        <w:rPr>
          <w:rFonts w:ascii="Times New Roman" w:hAnsi="Times New Roman" w:cs="Times New Roman"/>
        </w:rPr>
        <w:t xml:space="preserve">. For instance, in </w:t>
      </w:r>
      <w:r w:rsidR="004D5B84" w:rsidRPr="00D56B97">
        <w:rPr>
          <w:rFonts w:ascii="Times New Roman" w:hAnsi="Times New Roman" w:cs="Times New Roman"/>
          <w:i/>
        </w:rPr>
        <w:t>A NHS Foundation Trust v Ms X</w:t>
      </w:r>
      <w:r w:rsidR="00EF5E9E" w:rsidRPr="00D56B97">
        <w:rPr>
          <w:rFonts w:ascii="Times New Roman" w:hAnsi="Times New Roman" w:cs="Times New Roman"/>
        </w:rPr>
        <w:t>, Mr Justice Cobb</w:t>
      </w:r>
      <w:r w:rsidR="005B6785" w:rsidRPr="00D56B97">
        <w:rPr>
          <w:rFonts w:ascii="Times New Roman" w:hAnsi="Times New Roman" w:cs="Times New Roman"/>
        </w:rPr>
        <w:t xml:space="preserve"> </w:t>
      </w:r>
      <w:r w:rsidR="004D5B84" w:rsidRPr="00D56B97">
        <w:rPr>
          <w:rFonts w:ascii="Times New Roman" w:hAnsi="Times New Roman" w:cs="Times New Roman"/>
        </w:rPr>
        <w:t>‘endeavoured to p</w:t>
      </w:r>
      <w:r w:rsidR="00EF5E9E" w:rsidRPr="00D56B97">
        <w:rPr>
          <w:rFonts w:ascii="Times New Roman" w:hAnsi="Times New Roman" w:cs="Times New Roman"/>
        </w:rPr>
        <w:t>ut myself in the place of Ms X’.</w:t>
      </w:r>
      <w:r w:rsidR="004D5B84" w:rsidRPr="00D56B97">
        <w:rPr>
          <w:rStyle w:val="FootnoteReference"/>
          <w:rFonts w:ascii="Times New Roman" w:hAnsi="Times New Roman" w:cs="Times New Roman"/>
        </w:rPr>
        <w:footnoteReference w:id="119"/>
      </w:r>
      <w:r w:rsidR="0062165E" w:rsidRPr="00D56B97">
        <w:rPr>
          <w:rFonts w:ascii="Times New Roman" w:hAnsi="Times New Roman" w:cs="Times New Roman"/>
        </w:rPr>
        <w:t xml:space="preserve"> </w:t>
      </w:r>
      <w:r w:rsidR="00EF5E9E" w:rsidRPr="00D56B97">
        <w:rPr>
          <w:rFonts w:ascii="Times New Roman" w:hAnsi="Times New Roman" w:cs="Times New Roman"/>
        </w:rPr>
        <w:t>I</w:t>
      </w:r>
      <w:r w:rsidR="004D5B84" w:rsidRPr="00D56B97">
        <w:rPr>
          <w:rFonts w:ascii="Times New Roman" w:hAnsi="Times New Roman" w:cs="Times New Roman"/>
        </w:rPr>
        <w:t xml:space="preserve">n doing so, </w:t>
      </w:r>
      <w:r w:rsidR="00D47BFE" w:rsidRPr="00D56B97">
        <w:rPr>
          <w:rFonts w:ascii="Times New Roman" w:hAnsi="Times New Roman" w:cs="Times New Roman"/>
        </w:rPr>
        <w:t xml:space="preserve">he </w:t>
      </w:r>
      <w:r w:rsidR="004D5B84" w:rsidRPr="00D56B97">
        <w:rPr>
          <w:rFonts w:ascii="Times New Roman" w:hAnsi="Times New Roman" w:cs="Times New Roman"/>
        </w:rPr>
        <w:t>carefully considered her current wishes and the likely effects of overruling them.</w:t>
      </w:r>
      <w:r w:rsidR="004D5B84" w:rsidRPr="00D56B97">
        <w:rPr>
          <w:rStyle w:val="FootnoteReference"/>
          <w:rFonts w:ascii="Times New Roman" w:hAnsi="Times New Roman" w:cs="Times New Roman"/>
        </w:rPr>
        <w:footnoteReference w:id="120"/>
      </w:r>
      <w:r w:rsidR="00262594" w:rsidRPr="00D56B97">
        <w:rPr>
          <w:rFonts w:ascii="Times New Roman" w:hAnsi="Times New Roman" w:cs="Times New Roman"/>
        </w:rPr>
        <w:t xml:space="preserve"> Similarly, in </w:t>
      </w:r>
      <w:r w:rsidR="00ED0AD7" w:rsidRPr="00D56B97">
        <w:rPr>
          <w:rFonts w:ascii="Times New Roman" w:hAnsi="Times New Roman" w:cs="Times New Roman"/>
          <w:i/>
        </w:rPr>
        <w:t>Wye Valley</w:t>
      </w:r>
      <w:r w:rsidR="00262594" w:rsidRPr="00D56B97">
        <w:rPr>
          <w:rFonts w:ascii="Times New Roman" w:hAnsi="Times New Roman" w:cs="Times New Roman"/>
          <w:i/>
        </w:rPr>
        <w:t>,</w:t>
      </w:r>
      <w:r w:rsidR="005B6785" w:rsidRPr="00D56B97">
        <w:rPr>
          <w:rFonts w:ascii="Times New Roman" w:hAnsi="Times New Roman" w:cs="Times New Roman"/>
        </w:rPr>
        <w:t xml:space="preserve"> Mr Justic</w:t>
      </w:r>
      <w:r w:rsidR="00EF5E9E" w:rsidRPr="00D56B97">
        <w:rPr>
          <w:rFonts w:ascii="Times New Roman" w:hAnsi="Times New Roman" w:cs="Times New Roman"/>
        </w:rPr>
        <w:t xml:space="preserve">e Peter </w:t>
      </w:r>
      <w:r w:rsidR="005B6785" w:rsidRPr="00D56B97">
        <w:rPr>
          <w:rFonts w:ascii="Times New Roman" w:hAnsi="Times New Roman" w:cs="Times New Roman"/>
        </w:rPr>
        <w:t>Jackson observed</w:t>
      </w:r>
      <w:r w:rsidR="00241321" w:rsidRPr="00D56B97">
        <w:rPr>
          <w:rFonts w:ascii="Times New Roman" w:hAnsi="Times New Roman" w:cs="Times New Roman"/>
        </w:rPr>
        <w:t xml:space="preserve"> that if he found it in a man’s</w:t>
      </w:r>
      <w:r w:rsidR="00ED0AD7" w:rsidRPr="00D56B97">
        <w:rPr>
          <w:rFonts w:ascii="Times New Roman" w:hAnsi="Times New Roman" w:cs="Times New Roman"/>
        </w:rPr>
        <w:t xml:space="preserve"> best interests to have a</w:t>
      </w:r>
      <w:r w:rsidR="00262594" w:rsidRPr="00D56B97">
        <w:rPr>
          <w:rFonts w:ascii="Times New Roman" w:hAnsi="Times New Roman" w:cs="Times New Roman"/>
        </w:rPr>
        <w:t xml:space="preserve"> severely infected leg amputated against his will, then ‘the loss of his foot will be a continual reminder that his wishes were not respected’,</w:t>
      </w:r>
      <w:r w:rsidR="00262594" w:rsidRPr="00D56B97">
        <w:rPr>
          <w:rStyle w:val="FootnoteReference"/>
          <w:rFonts w:ascii="Times New Roman" w:hAnsi="Times New Roman" w:cs="Times New Roman"/>
        </w:rPr>
        <w:footnoteReference w:id="121"/>
      </w:r>
      <w:r w:rsidR="00262594" w:rsidRPr="00D56B97">
        <w:rPr>
          <w:rFonts w:ascii="Times New Roman" w:hAnsi="Times New Roman" w:cs="Times New Roman"/>
        </w:rPr>
        <w:t xml:space="preserve"> and this counted against the operation being performed.</w:t>
      </w:r>
      <w:r w:rsidR="005B6785" w:rsidRPr="00D56B97">
        <w:rPr>
          <w:rFonts w:ascii="Times New Roman" w:hAnsi="Times New Roman" w:cs="Times New Roman"/>
        </w:rPr>
        <w:t xml:space="preserve"> Sometimes, for instance</w:t>
      </w:r>
      <w:r w:rsidR="008A490C" w:rsidRPr="00D56B97">
        <w:rPr>
          <w:rFonts w:ascii="Times New Roman" w:hAnsi="Times New Roman" w:cs="Times New Roman"/>
        </w:rPr>
        <w:t xml:space="preserve"> in </w:t>
      </w:r>
      <w:r w:rsidR="008A490C" w:rsidRPr="00D56B97">
        <w:rPr>
          <w:rFonts w:ascii="Times New Roman" w:hAnsi="Times New Roman" w:cs="Times New Roman"/>
          <w:i/>
        </w:rPr>
        <w:t>Ms X</w:t>
      </w:r>
      <w:r w:rsidR="008A490C" w:rsidRPr="00D56B97">
        <w:rPr>
          <w:rFonts w:ascii="Times New Roman" w:hAnsi="Times New Roman" w:cs="Times New Roman"/>
        </w:rPr>
        <w:t>,</w:t>
      </w:r>
      <w:r w:rsidR="008A490C" w:rsidRPr="00D56B97">
        <w:rPr>
          <w:rStyle w:val="FootnoteReference"/>
          <w:rFonts w:ascii="Times New Roman" w:hAnsi="Times New Roman" w:cs="Times New Roman"/>
        </w:rPr>
        <w:footnoteReference w:id="122"/>
      </w:r>
      <w:r w:rsidR="0062165E" w:rsidRPr="00D56B97">
        <w:rPr>
          <w:rFonts w:ascii="Times New Roman" w:hAnsi="Times New Roman" w:cs="Times New Roman"/>
        </w:rPr>
        <w:t xml:space="preserve"> these concerns are</w:t>
      </w:r>
      <w:r w:rsidR="008A490C" w:rsidRPr="00D56B97">
        <w:rPr>
          <w:rFonts w:ascii="Times New Roman" w:hAnsi="Times New Roman" w:cs="Times New Roman"/>
        </w:rPr>
        <w:t xml:space="preserve"> linked to auton</w:t>
      </w:r>
      <w:r w:rsidR="0062165E" w:rsidRPr="00D56B97">
        <w:rPr>
          <w:rFonts w:ascii="Times New Roman" w:hAnsi="Times New Roman" w:cs="Times New Roman"/>
        </w:rPr>
        <w:t>omy, but the</w:t>
      </w:r>
      <w:r w:rsidR="005B6785" w:rsidRPr="00D56B97">
        <w:rPr>
          <w:rFonts w:ascii="Times New Roman" w:hAnsi="Times New Roman" w:cs="Times New Roman"/>
        </w:rPr>
        <w:t xml:space="preserve"> nature of this</w:t>
      </w:r>
      <w:r w:rsidR="00EF5E9E" w:rsidRPr="00D56B97">
        <w:rPr>
          <w:rFonts w:ascii="Times New Roman" w:hAnsi="Times New Roman" w:cs="Times New Roman"/>
        </w:rPr>
        <w:t xml:space="preserve"> connection ha</w:t>
      </w:r>
      <w:r w:rsidR="00A454DA" w:rsidRPr="00D56B97">
        <w:rPr>
          <w:rFonts w:ascii="Times New Roman" w:hAnsi="Times New Roman" w:cs="Times New Roman"/>
        </w:rPr>
        <w:t>s never</w:t>
      </w:r>
      <w:r w:rsidR="00EF5E9E" w:rsidRPr="00D56B97">
        <w:rPr>
          <w:rFonts w:ascii="Times New Roman" w:hAnsi="Times New Roman" w:cs="Times New Roman"/>
        </w:rPr>
        <w:t xml:space="preserve"> been</w:t>
      </w:r>
      <w:r w:rsidR="008A490C" w:rsidRPr="00D56B97">
        <w:rPr>
          <w:rFonts w:ascii="Times New Roman" w:hAnsi="Times New Roman" w:cs="Times New Roman"/>
        </w:rPr>
        <w:t xml:space="preserve"> made</w:t>
      </w:r>
      <w:r w:rsidR="0062165E" w:rsidRPr="00D56B97">
        <w:rPr>
          <w:rFonts w:ascii="Times New Roman" w:hAnsi="Times New Roman" w:cs="Times New Roman"/>
        </w:rPr>
        <w:t xml:space="preserve"> entirely</w:t>
      </w:r>
      <w:r w:rsidR="008A490C" w:rsidRPr="00D56B97">
        <w:rPr>
          <w:rFonts w:ascii="Times New Roman" w:hAnsi="Times New Roman" w:cs="Times New Roman"/>
        </w:rPr>
        <w:t xml:space="preserve"> clear.</w:t>
      </w:r>
      <w:r w:rsidR="00AE3E72" w:rsidRPr="00D56B97">
        <w:rPr>
          <w:rFonts w:ascii="Times New Roman" w:hAnsi="Times New Roman" w:cs="Times New Roman"/>
        </w:rPr>
        <w:t xml:space="preserve"> </w:t>
      </w:r>
      <w:r w:rsidR="00704D5D" w:rsidRPr="00D56B97">
        <w:rPr>
          <w:rFonts w:ascii="Times New Roman" w:hAnsi="Times New Roman" w:cs="Times New Roman"/>
        </w:rPr>
        <w:t>In a</w:t>
      </w:r>
      <w:r w:rsidR="005B6785" w:rsidRPr="00D56B97">
        <w:rPr>
          <w:rFonts w:ascii="Times New Roman" w:hAnsi="Times New Roman" w:cs="Times New Roman"/>
        </w:rPr>
        <w:t xml:space="preserve">n older case </w:t>
      </w:r>
      <w:r w:rsidR="00426B1E" w:rsidRPr="00D56B97">
        <w:rPr>
          <w:rFonts w:ascii="Times New Roman" w:hAnsi="Times New Roman" w:cs="Times New Roman"/>
        </w:rPr>
        <w:t>concerning</w:t>
      </w:r>
      <w:r w:rsidR="005B6785" w:rsidRPr="00D56B97">
        <w:rPr>
          <w:rFonts w:ascii="Times New Roman" w:hAnsi="Times New Roman" w:cs="Times New Roman"/>
        </w:rPr>
        <w:t xml:space="preserve"> someone</w:t>
      </w:r>
      <w:r w:rsidR="00ED0AD7" w:rsidRPr="00D56B97">
        <w:rPr>
          <w:rFonts w:ascii="Times New Roman" w:hAnsi="Times New Roman" w:cs="Times New Roman"/>
        </w:rPr>
        <w:t xml:space="preserve"> </w:t>
      </w:r>
      <w:r w:rsidR="00704D5D" w:rsidRPr="00D56B97">
        <w:rPr>
          <w:rFonts w:ascii="Times New Roman" w:hAnsi="Times New Roman" w:cs="Times New Roman"/>
        </w:rPr>
        <w:t>found to have capacity, however,</w:t>
      </w:r>
      <w:r w:rsidR="00ED0AD7" w:rsidRPr="00D56B97">
        <w:rPr>
          <w:rFonts w:ascii="Times New Roman" w:hAnsi="Times New Roman" w:cs="Times New Roman"/>
        </w:rPr>
        <w:t xml:space="preserve"> the P</w:t>
      </w:r>
      <w:r w:rsidR="0062165E" w:rsidRPr="00D56B97">
        <w:rPr>
          <w:rFonts w:ascii="Times New Roman" w:hAnsi="Times New Roman" w:cs="Times New Roman"/>
        </w:rPr>
        <w:t xml:space="preserve">resident of the Family Division </w:t>
      </w:r>
      <w:r w:rsidR="0065170F" w:rsidRPr="00D56B97">
        <w:rPr>
          <w:rFonts w:ascii="Times New Roman" w:hAnsi="Times New Roman" w:cs="Times New Roman"/>
        </w:rPr>
        <w:t>did give some indication of the connection between subjectivity and autonomy</w:t>
      </w:r>
      <w:r w:rsidR="00AE3E72" w:rsidRPr="00D56B97">
        <w:rPr>
          <w:rFonts w:ascii="Times New Roman" w:hAnsi="Times New Roman" w:cs="Times New Roman"/>
        </w:rPr>
        <w:t>.</w:t>
      </w:r>
      <w:r w:rsidR="00AE3E72" w:rsidRPr="00D56B97">
        <w:rPr>
          <w:rStyle w:val="FootnoteReference"/>
          <w:rFonts w:ascii="Times New Roman" w:hAnsi="Times New Roman" w:cs="Times New Roman"/>
        </w:rPr>
        <w:footnoteReference w:id="123"/>
      </w:r>
      <w:r w:rsidR="00365AEE" w:rsidRPr="00D56B97">
        <w:rPr>
          <w:rFonts w:ascii="Times New Roman" w:hAnsi="Times New Roman" w:cs="Times New Roman"/>
        </w:rPr>
        <w:t xml:space="preserve"> She quo</w:t>
      </w:r>
      <w:r w:rsidR="0065170F" w:rsidRPr="00D56B97">
        <w:rPr>
          <w:rFonts w:ascii="Times New Roman" w:hAnsi="Times New Roman" w:cs="Times New Roman"/>
        </w:rPr>
        <w:t>ted at length an article by</w:t>
      </w:r>
      <w:r w:rsidR="00944AC3" w:rsidRPr="00D56B97">
        <w:rPr>
          <w:rFonts w:ascii="Times New Roman" w:hAnsi="Times New Roman" w:cs="Times New Roman"/>
        </w:rPr>
        <w:t xml:space="preserve"> the philosopher Kim</w:t>
      </w:r>
      <w:r w:rsidR="0065170F" w:rsidRPr="00D56B97">
        <w:rPr>
          <w:rFonts w:ascii="Times New Roman" w:hAnsi="Times New Roman" w:cs="Times New Roman"/>
        </w:rPr>
        <w:t xml:space="preserve"> </w:t>
      </w:r>
      <w:r w:rsidR="0062165E" w:rsidRPr="00D56B97">
        <w:rPr>
          <w:rFonts w:ascii="Times New Roman" w:hAnsi="Times New Roman" w:cs="Times New Roman"/>
        </w:rPr>
        <w:t>Atkins, including</w:t>
      </w:r>
      <w:r w:rsidR="00365AEE" w:rsidRPr="00D56B97">
        <w:rPr>
          <w:rFonts w:ascii="Times New Roman" w:hAnsi="Times New Roman" w:cs="Times New Roman"/>
        </w:rPr>
        <w:t xml:space="preserve"> the following passage: </w:t>
      </w:r>
    </w:p>
    <w:p w14:paraId="7493C89A" w14:textId="77777777" w:rsidR="006E2B01" w:rsidRPr="00D56B97" w:rsidRDefault="00365AEE" w:rsidP="00021A54">
      <w:pPr>
        <w:spacing w:line="480" w:lineRule="auto"/>
        <w:ind w:left="567" w:right="567"/>
        <w:jc w:val="both"/>
        <w:rPr>
          <w:rFonts w:ascii="Times New Roman" w:hAnsi="Times New Roman" w:cs="Times New Roman"/>
        </w:rPr>
      </w:pPr>
      <w:r w:rsidRPr="00D56B97">
        <w:rPr>
          <w:rFonts w:ascii="Times New Roman" w:hAnsi="Times New Roman" w:cs="Times New Roman"/>
        </w:rPr>
        <w:t>If we accept that the subjective character of experience is irreducible and that it is grounded in the particularity of our points of view, then we are bound to realise that our respect for each other’s differences and autonomy embodies a respect for the particularity of each other’s points of view</w:t>
      </w:r>
      <w:r w:rsidR="00642384" w:rsidRPr="00D56B97">
        <w:rPr>
          <w:rFonts w:ascii="Times New Roman" w:hAnsi="Times New Roman" w:cs="Times New Roman"/>
        </w:rPr>
        <w:t>.</w:t>
      </w:r>
      <w:r w:rsidRPr="00D56B97">
        <w:rPr>
          <w:rStyle w:val="FootnoteReference"/>
          <w:rFonts w:ascii="Times New Roman" w:hAnsi="Times New Roman" w:cs="Times New Roman"/>
        </w:rPr>
        <w:footnoteReference w:id="124"/>
      </w:r>
    </w:p>
    <w:p w14:paraId="7493C89B" w14:textId="77777777" w:rsidR="00704D5D" w:rsidRPr="00D56B97" w:rsidRDefault="00D71B78" w:rsidP="00021A54">
      <w:pPr>
        <w:spacing w:line="480" w:lineRule="auto"/>
        <w:jc w:val="both"/>
        <w:rPr>
          <w:rFonts w:ascii="Times New Roman" w:hAnsi="Times New Roman" w:cs="Times New Roman"/>
        </w:rPr>
      </w:pPr>
      <w:r w:rsidRPr="00D56B97">
        <w:rPr>
          <w:rFonts w:ascii="Times New Roman" w:hAnsi="Times New Roman" w:cs="Times New Roman"/>
        </w:rPr>
        <w:t>It might be thought that the word ‘respect’ in t</w:t>
      </w:r>
      <w:r w:rsidR="0023012C" w:rsidRPr="00D56B97">
        <w:rPr>
          <w:rFonts w:ascii="Times New Roman" w:hAnsi="Times New Roman" w:cs="Times New Roman"/>
        </w:rPr>
        <w:t>his sentence is relatively weak,</w:t>
      </w:r>
      <w:r w:rsidRPr="00D56B97">
        <w:rPr>
          <w:rFonts w:ascii="Times New Roman" w:hAnsi="Times New Roman" w:cs="Times New Roman"/>
        </w:rPr>
        <w:t xml:space="preserve"> and that</w:t>
      </w:r>
      <w:r w:rsidR="005805F2" w:rsidRPr="00D56B97">
        <w:rPr>
          <w:rFonts w:ascii="Times New Roman" w:hAnsi="Times New Roman" w:cs="Times New Roman"/>
        </w:rPr>
        <w:t xml:space="preserve"> ‘respect for the particularity’ of someone’s point of view does not entail that </w:t>
      </w:r>
      <w:r w:rsidR="00ED0AD7" w:rsidRPr="00D56B97">
        <w:rPr>
          <w:rFonts w:ascii="Times New Roman" w:hAnsi="Times New Roman" w:cs="Times New Roman"/>
        </w:rPr>
        <w:t>their wishes</w:t>
      </w:r>
      <w:r w:rsidR="005805F2" w:rsidRPr="00D56B97">
        <w:rPr>
          <w:rFonts w:ascii="Times New Roman" w:hAnsi="Times New Roman" w:cs="Times New Roman"/>
        </w:rPr>
        <w:t xml:space="preserve"> should necessarily prevail.</w:t>
      </w:r>
      <w:r w:rsidR="00704D5D" w:rsidRPr="00D56B97">
        <w:rPr>
          <w:rFonts w:ascii="Times New Roman" w:hAnsi="Times New Roman" w:cs="Times New Roman"/>
        </w:rPr>
        <w:t xml:space="preserve"> </w:t>
      </w:r>
      <w:r w:rsidRPr="00D56B97">
        <w:rPr>
          <w:rFonts w:ascii="Times New Roman" w:hAnsi="Times New Roman" w:cs="Times New Roman"/>
        </w:rPr>
        <w:t xml:space="preserve">This conclusion should be resisted. </w:t>
      </w:r>
      <w:r w:rsidR="00C70A5C" w:rsidRPr="00D56B97">
        <w:rPr>
          <w:rFonts w:ascii="Times New Roman" w:hAnsi="Times New Roman" w:cs="Times New Roman"/>
        </w:rPr>
        <w:t xml:space="preserve">In </w:t>
      </w:r>
      <w:r w:rsidRPr="00D56B97">
        <w:rPr>
          <w:rFonts w:ascii="Times New Roman" w:hAnsi="Times New Roman" w:cs="Times New Roman"/>
          <w:i/>
        </w:rPr>
        <w:t>Ms B</w:t>
      </w:r>
      <w:r w:rsidR="00C70A5C" w:rsidRPr="00D56B97">
        <w:rPr>
          <w:rFonts w:ascii="Times New Roman" w:hAnsi="Times New Roman" w:cs="Times New Roman"/>
          <w:i/>
        </w:rPr>
        <w:t>,</w:t>
      </w:r>
      <w:r w:rsidR="00C70A5C" w:rsidRPr="00D56B97">
        <w:rPr>
          <w:rFonts w:ascii="Times New Roman" w:hAnsi="Times New Roman" w:cs="Times New Roman"/>
        </w:rPr>
        <w:t xml:space="preserve"> this</w:t>
      </w:r>
      <w:r w:rsidR="0062165E" w:rsidRPr="00D56B97">
        <w:rPr>
          <w:rFonts w:ascii="Times New Roman" w:hAnsi="Times New Roman" w:cs="Times New Roman"/>
        </w:rPr>
        <w:t xml:space="preserve"> respect</w:t>
      </w:r>
      <w:r w:rsidRPr="00D56B97">
        <w:rPr>
          <w:rFonts w:ascii="Times New Roman" w:hAnsi="Times New Roman" w:cs="Times New Roman"/>
        </w:rPr>
        <w:t xml:space="preserve"> for autonomy entailed allowing her to make a decision that would almost certainly result in her own death.</w:t>
      </w:r>
      <w:r w:rsidRPr="00D56B97">
        <w:rPr>
          <w:rStyle w:val="FootnoteReference"/>
          <w:rFonts w:ascii="Times New Roman" w:hAnsi="Times New Roman" w:cs="Times New Roman"/>
        </w:rPr>
        <w:footnoteReference w:id="125"/>
      </w:r>
      <w:r w:rsidR="0062165E" w:rsidRPr="00D56B97">
        <w:rPr>
          <w:rFonts w:ascii="Times New Roman" w:hAnsi="Times New Roman" w:cs="Times New Roman"/>
        </w:rPr>
        <w:t xml:space="preserve"> It seems likely that cases</w:t>
      </w:r>
      <w:r w:rsidR="00C70A5C" w:rsidRPr="00D56B97">
        <w:rPr>
          <w:rFonts w:ascii="Times New Roman" w:hAnsi="Times New Roman" w:cs="Times New Roman"/>
        </w:rPr>
        <w:t xml:space="preserve"> such as </w:t>
      </w:r>
      <w:r w:rsidR="00C70A5C" w:rsidRPr="00D56B97">
        <w:rPr>
          <w:rFonts w:ascii="Times New Roman" w:hAnsi="Times New Roman" w:cs="Times New Roman"/>
          <w:i/>
        </w:rPr>
        <w:t>Ms X</w:t>
      </w:r>
      <w:r w:rsidR="00D34DCB" w:rsidRPr="00D56B97">
        <w:rPr>
          <w:rFonts w:ascii="Times New Roman" w:hAnsi="Times New Roman" w:cs="Times New Roman"/>
        </w:rPr>
        <w:t xml:space="preserve"> </w:t>
      </w:r>
      <w:r w:rsidR="00D34DCB" w:rsidRPr="00D56B97">
        <w:rPr>
          <w:rFonts w:ascii="Times New Roman" w:hAnsi="Times New Roman" w:cs="Times New Roman"/>
        </w:rPr>
        <w:lastRenderedPageBreak/>
        <w:t xml:space="preserve">and </w:t>
      </w:r>
      <w:r w:rsidR="00D34DCB" w:rsidRPr="00D56B97">
        <w:rPr>
          <w:rFonts w:ascii="Times New Roman" w:hAnsi="Times New Roman" w:cs="Times New Roman"/>
          <w:i/>
        </w:rPr>
        <w:t>Wye Valley</w:t>
      </w:r>
      <w:r w:rsidR="0065170F" w:rsidRPr="00D56B97">
        <w:rPr>
          <w:rFonts w:ascii="Times New Roman" w:hAnsi="Times New Roman" w:cs="Times New Roman"/>
        </w:rPr>
        <w:t xml:space="preserve"> </w:t>
      </w:r>
      <w:r w:rsidR="00C70A5C" w:rsidRPr="00D56B97">
        <w:rPr>
          <w:rFonts w:ascii="Times New Roman" w:hAnsi="Times New Roman" w:cs="Times New Roman"/>
        </w:rPr>
        <w:t>now apply a parallel line of</w:t>
      </w:r>
      <w:r w:rsidR="00ED0AD7" w:rsidRPr="00D56B97">
        <w:rPr>
          <w:rFonts w:ascii="Times New Roman" w:hAnsi="Times New Roman" w:cs="Times New Roman"/>
        </w:rPr>
        <w:t xml:space="preserve"> thought</w:t>
      </w:r>
      <w:r w:rsidR="005B6785" w:rsidRPr="00D56B97">
        <w:rPr>
          <w:rFonts w:ascii="Times New Roman" w:hAnsi="Times New Roman" w:cs="Times New Roman"/>
        </w:rPr>
        <w:t xml:space="preserve"> to</w:t>
      </w:r>
      <w:r w:rsidR="0065170F" w:rsidRPr="00D56B97">
        <w:rPr>
          <w:rFonts w:ascii="Times New Roman" w:hAnsi="Times New Roman" w:cs="Times New Roman"/>
        </w:rPr>
        <w:t xml:space="preserve"> </w:t>
      </w:r>
      <w:r w:rsidR="00046508" w:rsidRPr="00D56B97">
        <w:rPr>
          <w:rFonts w:ascii="Times New Roman" w:hAnsi="Times New Roman" w:cs="Times New Roman"/>
        </w:rPr>
        <w:t xml:space="preserve">some </w:t>
      </w:r>
      <w:r w:rsidR="0061066F" w:rsidRPr="00D56B97">
        <w:rPr>
          <w:rFonts w:ascii="Times New Roman" w:hAnsi="Times New Roman" w:cs="Times New Roman"/>
        </w:rPr>
        <w:t>people without capacity;</w:t>
      </w:r>
      <w:r w:rsidR="00C70A5C" w:rsidRPr="00D56B97">
        <w:rPr>
          <w:rStyle w:val="FootnoteReference"/>
          <w:rFonts w:ascii="Times New Roman" w:hAnsi="Times New Roman" w:cs="Times New Roman"/>
        </w:rPr>
        <w:footnoteReference w:id="126"/>
      </w:r>
      <w:r w:rsidR="003D446A" w:rsidRPr="00D56B97">
        <w:rPr>
          <w:rFonts w:ascii="Times New Roman" w:hAnsi="Times New Roman" w:cs="Times New Roman"/>
        </w:rPr>
        <w:t xml:space="preserve"> </w:t>
      </w:r>
      <w:r w:rsidR="0061066F" w:rsidRPr="00D56B97">
        <w:rPr>
          <w:rFonts w:ascii="Times New Roman" w:hAnsi="Times New Roman" w:cs="Times New Roman"/>
        </w:rPr>
        <w:t xml:space="preserve">and in these cases, too, </w:t>
      </w:r>
      <w:r w:rsidR="003D446A" w:rsidRPr="00D56B97">
        <w:rPr>
          <w:rFonts w:ascii="Times New Roman" w:hAnsi="Times New Roman" w:cs="Times New Roman"/>
        </w:rPr>
        <w:t xml:space="preserve">respecting the wishes of </w:t>
      </w:r>
      <w:r w:rsidR="0061066F" w:rsidRPr="00D56B97">
        <w:rPr>
          <w:rFonts w:ascii="Times New Roman" w:hAnsi="Times New Roman" w:cs="Times New Roman"/>
        </w:rPr>
        <w:t xml:space="preserve">the person </w:t>
      </w:r>
      <w:r w:rsidR="003D446A" w:rsidRPr="00D56B97">
        <w:rPr>
          <w:rFonts w:ascii="Times New Roman" w:hAnsi="Times New Roman" w:cs="Times New Roman"/>
        </w:rPr>
        <w:t>risked their death.</w:t>
      </w:r>
      <w:r w:rsidR="00276678" w:rsidRPr="00D56B97">
        <w:rPr>
          <w:rFonts w:ascii="Times New Roman" w:hAnsi="Times New Roman" w:cs="Times New Roman"/>
        </w:rPr>
        <w:t xml:space="preserve"> </w:t>
      </w:r>
      <w:r w:rsidR="003D446A" w:rsidRPr="00D56B97">
        <w:rPr>
          <w:rFonts w:ascii="Times New Roman" w:hAnsi="Times New Roman" w:cs="Times New Roman"/>
        </w:rPr>
        <w:t>Attention to subjectivity increases the likelihood of a person’s wishes</w:t>
      </w:r>
      <w:r w:rsidR="00B66242" w:rsidRPr="00D56B97">
        <w:rPr>
          <w:rFonts w:ascii="Times New Roman" w:hAnsi="Times New Roman" w:cs="Times New Roman"/>
        </w:rPr>
        <w:t xml:space="preserve"> determining their objective best interests</w:t>
      </w:r>
      <w:r w:rsidR="00616C1B" w:rsidRPr="00D56B97">
        <w:rPr>
          <w:rFonts w:ascii="Times New Roman" w:hAnsi="Times New Roman" w:cs="Times New Roman"/>
        </w:rPr>
        <w:t>,</w:t>
      </w:r>
      <w:r w:rsidR="00B66242" w:rsidRPr="00D56B97">
        <w:rPr>
          <w:rFonts w:ascii="Times New Roman" w:hAnsi="Times New Roman" w:cs="Times New Roman"/>
        </w:rPr>
        <w:t xml:space="preserve"> for considering things from the person’s point of view </w:t>
      </w:r>
      <w:r w:rsidR="00FB29A2" w:rsidRPr="00D56B97">
        <w:rPr>
          <w:rFonts w:ascii="Times New Roman" w:hAnsi="Times New Roman" w:cs="Times New Roman"/>
        </w:rPr>
        <w:t>tends to make</w:t>
      </w:r>
      <w:r w:rsidR="00B66242" w:rsidRPr="00D56B97">
        <w:rPr>
          <w:rFonts w:ascii="Times New Roman" w:hAnsi="Times New Roman" w:cs="Times New Roman"/>
        </w:rPr>
        <w:t xml:space="preserve"> </w:t>
      </w:r>
      <w:r w:rsidR="00FB29A2" w:rsidRPr="00D56B97">
        <w:rPr>
          <w:rFonts w:ascii="Times New Roman" w:hAnsi="Times New Roman" w:cs="Times New Roman"/>
        </w:rPr>
        <w:t>their wishes central</w:t>
      </w:r>
      <w:r w:rsidR="00B66242" w:rsidRPr="00D56B97">
        <w:rPr>
          <w:rFonts w:ascii="Times New Roman" w:hAnsi="Times New Roman" w:cs="Times New Roman"/>
        </w:rPr>
        <w:t xml:space="preserve">, instead of merely one view among many. </w:t>
      </w:r>
      <w:r w:rsidR="00FB29A2" w:rsidRPr="00D56B97">
        <w:rPr>
          <w:rFonts w:ascii="Times New Roman" w:hAnsi="Times New Roman" w:cs="Times New Roman"/>
        </w:rPr>
        <w:t>When the</w:t>
      </w:r>
      <w:r w:rsidR="00B50D31" w:rsidRPr="00D56B97">
        <w:rPr>
          <w:rFonts w:ascii="Times New Roman" w:hAnsi="Times New Roman" w:cs="Times New Roman"/>
        </w:rPr>
        <w:t xml:space="preserve"> person’s perspective determines their best interest in this way, a right to autono</w:t>
      </w:r>
      <w:r w:rsidR="00616C1B" w:rsidRPr="00D56B97">
        <w:rPr>
          <w:rFonts w:ascii="Times New Roman" w:hAnsi="Times New Roman" w:cs="Times New Roman"/>
        </w:rPr>
        <w:t>my has survived</w:t>
      </w:r>
      <w:r w:rsidR="00F43E1C" w:rsidRPr="00D56B97">
        <w:rPr>
          <w:rFonts w:ascii="Times New Roman" w:hAnsi="Times New Roman" w:cs="Times New Roman"/>
        </w:rPr>
        <w:t xml:space="preserve"> incapacity, and</w:t>
      </w:r>
      <w:r w:rsidR="00B50D31" w:rsidRPr="00D56B97">
        <w:rPr>
          <w:rFonts w:ascii="Times New Roman" w:hAnsi="Times New Roman" w:cs="Times New Roman"/>
        </w:rPr>
        <w:t xml:space="preserve"> restrained third parties from acting on their behalf.</w:t>
      </w:r>
    </w:p>
    <w:p w14:paraId="7493C89C" w14:textId="77777777" w:rsidR="000D336E" w:rsidRPr="00D56B97" w:rsidRDefault="00F70371" w:rsidP="00021A54">
      <w:pPr>
        <w:spacing w:line="480" w:lineRule="auto"/>
        <w:ind w:firstLine="720"/>
        <w:jc w:val="both"/>
        <w:rPr>
          <w:rFonts w:ascii="Times New Roman" w:hAnsi="Times New Roman" w:cs="Times New Roman"/>
        </w:rPr>
      </w:pPr>
      <w:r w:rsidRPr="00D56B97">
        <w:rPr>
          <w:rFonts w:ascii="Times New Roman" w:hAnsi="Times New Roman" w:cs="Times New Roman"/>
        </w:rPr>
        <w:t>I</w:t>
      </w:r>
      <w:r w:rsidR="00F21672" w:rsidRPr="00D56B97">
        <w:rPr>
          <w:rFonts w:ascii="Times New Roman" w:hAnsi="Times New Roman" w:cs="Times New Roman"/>
        </w:rPr>
        <w:t>ntelligibil</w:t>
      </w:r>
      <w:r w:rsidR="00642384" w:rsidRPr="00D56B97">
        <w:rPr>
          <w:rFonts w:ascii="Times New Roman" w:hAnsi="Times New Roman" w:cs="Times New Roman"/>
        </w:rPr>
        <w:t>ity</w:t>
      </w:r>
      <w:r w:rsidRPr="00D56B97">
        <w:rPr>
          <w:rFonts w:ascii="Times New Roman" w:hAnsi="Times New Roman" w:cs="Times New Roman"/>
        </w:rPr>
        <w:t>,</w:t>
      </w:r>
      <w:r w:rsidR="00F21672" w:rsidRPr="00D56B97">
        <w:rPr>
          <w:rFonts w:ascii="Times New Roman" w:hAnsi="Times New Roman" w:cs="Times New Roman"/>
        </w:rPr>
        <w:t xml:space="preserve"> ‘the extent to which P's wishes and feelings are, or are not, rational, sensible, responsible and pragmatically capable of sensible implementation in the particular circumstances’</w:t>
      </w:r>
      <w:r w:rsidRPr="00D56B97">
        <w:rPr>
          <w:rFonts w:ascii="Times New Roman" w:hAnsi="Times New Roman" w:cs="Times New Roman"/>
        </w:rPr>
        <w:t>, is the second factor from ITW that addresses the content of the person’s wishes.</w:t>
      </w:r>
      <w:r w:rsidR="00F21672" w:rsidRPr="00D56B97">
        <w:rPr>
          <w:rFonts w:ascii="Times New Roman" w:hAnsi="Times New Roman" w:cs="Times New Roman"/>
        </w:rPr>
        <w:t xml:space="preserve"> </w:t>
      </w:r>
      <w:r w:rsidRPr="00D56B97">
        <w:rPr>
          <w:rFonts w:ascii="Times New Roman" w:hAnsi="Times New Roman" w:cs="Times New Roman"/>
        </w:rPr>
        <w:t>Once again, this factor tends to</w:t>
      </w:r>
      <w:r w:rsidR="00F21672" w:rsidRPr="00D56B97">
        <w:rPr>
          <w:rFonts w:ascii="Times New Roman" w:hAnsi="Times New Roman" w:cs="Times New Roman"/>
        </w:rPr>
        <w:t xml:space="preserve"> undermine the gat</w:t>
      </w:r>
      <w:r w:rsidRPr="00D56B97">
        <w:rPr>
          <w:rFonts w:ascii="Times New Roman" w:hAnsi="Times New Roman" w:cs="Times New Roman"/>
        </w:rPr>
        <w:t>ekeeper account</w:t>
      </w:r>
      <w:r w:rsidR="00F21672" w:rsidRPr="00D56B97">
        <w:rPr>
          <w:rFonts w:ascii="Times New Roman" w:hAnsi="Times New Roman" w:cs="Times New Roman"/>
        </w:rPr>
        <w:t>. If someone wit</w:t>
      </w:r>
      <w:r w:rsidRPr="00D56B97">
        <w:rPr>
          <w:rFonts w:ascii="Times New Roman" w:hAnsi="Times New Roman" w:cs="Times New Roman"/>
        </w:rPr>
        <w:t>hout capacity can</w:t>
      </w:r>
      <w:r w:rsidR="00F21672" w:rsidRPr="00D56B97">
        <w:rPr>
          <w:rFonts w:ascii="Times New Roman" w:hAnsi="Times New Roman" w:cs="Times New Roman"/>
        </w:rPr>
        <w:t xml:space="preserve"> be expressing a ‘rational, sensible</w:t>
      </w:r>
      <w:r w:rsidR="00CD5315" w:rsidRPr="00D56B97">
        <w:rPr>
          <w:rFonts w:ascii="Times New Roman" w:hAnsi="Times New Roman" w:cs="Times New Roman"/>
        </w:rPr>
        <w:t xml:space="preserve">, responsible’ preference, </w:t>
      </w:r>
      <w:r w:rsidR="00F21672" w:rsidRPr="00D56B97">
        <w:rPr>
          <w:rFonts w:ascii="Times New Roman" w:hAnsi="Times New Roman" w:cs="Times New Roman"/>
        </w:rPr>
        <w:t xml:space="preserve">this calls </w:t>
      </w:r>
      <w:r w:rsidR="005B6785" w:rsidRPr="00D56B97">
        <w:rPr>
          <w:rFonts w:ascii="Times New Roman" w:hAnsi="Times New Roman" w:cs="Times New Roman"/>
        </w:rPr>
        <w:t xml:space="preserve">into question the idea that </w:t>
      </w:r>
      <w:r w:rsidR="00F21672" w:rsidRPr="00D56B97">
        <w:rPr>
          <w:rFonts w:ascii="Times New Roman" w:hAnsi="Times New Roman" w:cs="Times New Roman"/>
        </w:rPr>
        <w:t>those without capacity lack autonomy.</w:t>
      </w:r>
      <w:r w:rsidR="00F21672" w:rsidRPr="00D56B97">
        <w:rPr>
          <w:rStyle w:val="FootnoteReference"/>
          <w:rFonts w:ascii="Times New Roman" w:hAnsi="Times New Roman" w:cs="Times New Roman"/>
        </w:rPr>
        <w:footnoteReference w:id="127"/>
      </w:r>
      <w:r w:rsidR="00F21672" w:rsidRPr="00D56B97">
        <w:rPr>
          <w:rFonts w:ascii="Times New Roman" w:hAnsi="Times New Roman" w:cs="Times New Roman"/>
        </w:rPr>
        <w:t xml:space="preserve"> </w:t>
      </w:r>
      <w:r w:rsidR="00FB29A2" w:rsidRPr="00D56B97">
        <w:rPr>
          <w:rFonts w:ascii="Times New Roman" w:hAnsi="Times New Roman" w:cs="Times New Roman"/>
        </w:rPr>
        <w:t>T</w:t>
      </w:r>
      <w:r w:rsidR="00CD5315" w:rsidRPr="00D56B97">
        <w:rPr>
          <w:rFonts w:ascii="Times New Roman" w:hAnsi="Times New Roman" w:cs="Times New Roman"/>
        </w:rPr>
        <w:t xml:space="preserve">he Court of Protection </w:t>
      </w:r>
      <w:r w:rsidR="009913B8" w:rsidRPr="00D56B97">
        <w:rPr>
          <w:rFonts w:ascii="Times New Roman" w:hAnsi="Times New Roman" w:cs="Times New Roman"/>
        </w:rPr>
        <w:t xml:space="preserve">can be </w:t>
      </w:r>
      <w:r w:rsidR="00787BBB" w:rsidRPr="00D56B97">
        <w:rPr>
          <w:rFonts w:ascii="Times New Roman" w:hAnsi="Times New Roman" w:cs="Times New Roman"/>
        </w:rPr>
        <w:t>open to people without capacity having good reasons</w:t>
      </w:r>
      <w:r w:rsidR="005B6785" w:rsidRPr="00D56B97">
        <w:rPr>
          <w:rFonts w:ascii="Times New Roman" w:hAnsi="Times New Roman" w:cs="Times New Roman"/>
        </w:rPr>
        <w:t xml:space="preserve"> for their preferences</w:t>
      </w:r>
      <w:r w:rsidR="00787BBB" w:rsidRPr="00D56B97">
        <w:rPr>
          <w:rFonts w:ascii="Times New Roman" w:hAnsi="Times New Roman" w:cs="Times New Roman"/>
          <w:i/>
        </w:rPr>
        <w:t>.</w:t>
      </w:r>
      <w:r w:rsidR="00787BBB" w:rsidRPr="00D56B97">
        <w:rPr>
          <w:rFonts w:ascii="Times New Roman" w:hAnsi="Times New Roman" w:cs="Times New Roman"/>
        </w:rPr>
        <w:t xml:space="preserve"> For instance, in </w:t>
      </w:r>
      <w:r w:rsidR="00787BBB" w:rsidRPr="00D56B97">
        <w:rPr>
          <w:rFonts w:ascii="Times New Roman" w:hAnsi="Times New Roman" w:cs="Times New Roman"/>
          <w:i/>
        </w:rPr>
        <w:t>A London Borough v VT,</w:t>
      </w:r>
      <w:r w:rsidR="00787BBB" w:rsidRPr="00D56B97">
        <w:rPr>
          <w:rFonts w:ascii="Times New Roman" w:hAnsi="Times New Roman" w:cs="Times New Roman"/>
        </w:rPr>
        <w:t xml:space="preserve"> Di</w:t>
      </w:r>
      <w:r w:rsidR="004F21AE" w:rsidRPr="00D56B97">
        <w:rPr>
          <w:rFonts w:ascii="Times New Roman" w:hAnsi="Times New Roman" w:cs="Times New Roman"/>
        </w:rPr>
        <w:t>strict Judge Ralton found that ST’s</w:t>
      </w:r>
      <w:r w:rsidR="00787BBB" w:rsidRPr="00D56B97">
        <w:rPr>
          <w:rFonts w:ascii="Times New Roman" w:hAnsi="Times New Roman" w:cs="Times New Roman"/>
        </w:rPr>
        <w:t xml:space="preserve"> wish to return to Nigeria ‘to die in the land of his birth’</w:t>
      </w:r>
      <w:r w:rsidR="00787BBB" w:rsidRPr="00D56B97">
        <w:rPr>
          <w:rStyle w:val="FootnoteReference"/>
          <w:rFonts w:ascii="Times New Roman" w:hAnsi="Times New Roman" w:cs="Times New Roman"/>
        </w:rPr>
        <w:footnoteReference w:id="128"/>
      </w:r>
      <w:r w:rsidR="00787BBB" w:rsidRPr="00D56B97">
        <w:rPr>
          <w:rFonts w:ascii="Times New Roman" w:hAnsi="Times New Roman" w:cs="Times New Roman"/>
        </w:rPr>
        <w:t xml:space="preserve"> was ‘an expressed consistent rational intention’</w:t>
      </w:r>
      <w:r w:rsidR="00D741CF" w:rsidRPr="00D56B97">
        <w:rPr>
          <w:rFonts w:ascii="Times New Roman" w:hAnsi="Times New Roman" w:cs="Times New Roman"/>
        </w:rPr>
        <w:t>,</w:t>
      </w:r>
      <w:r w:rsidR="00546E28" w:rsidRPr="00D56B97">
        <w:rPr>
          <w:rStyle w:val="FootnoteReference"/>
          <w:rFonts w:ascii="Times New Roman" w:hAnsi="Times New Roman" w:cs="Times New Roman"/>
        </w:rPr>
        <w:footnoteReference w:id="129"/>
      </w:r>
      <w:r w:rsidR="00546E28" w:rsidRPr="00D56B97">
        <w:rPr>
          <w:rFonts w:ascii="Times New Roman" w:hAnsi="Times New Roman" w:cs="Times New Roman"/>
        </w:rPr>
        <w:t xml:space="preserve"> </w:t>
      </w:r>
      <w:r w:rsidR="00D741CF" w:rsidRPr="00D56B97">
        <w:rPr>
          <w:rFonts w:ascii="Times New Roman" w:hAnsi="Times New Roman" w:cs="Times New Roman"/>
        </w:rPr>
        <w:t xml:space="preserve">one </w:t>
      </w:r>
      <w:r w:rsidR="00546E28" w:rsidRPr="00D56B97">
        <w:rPr>
          <w:rFonts w:ascii="Times New Roman" w:hAnsi="Times New Roman" w:cs="Times New Roman"/>
        </w:rPr>
        <w:t>that he shared with many peers with capacity.</w:t>
      </w:r>
      <w:r w:rsidR="00546E28" w:rsidRPr="00D56B97">
        <w:rPr>
          <w:rStyle w:val="FootnoteReference"/>
          <w:rFonts w:ascii="Times New Roman" w:hAnsi="Times New Roman" w:cs="Times New Roman"/>
        </w:rPr>
        <w:footnoteReference w:id="130"/>
      </w:r>
      <w:r w:rsidR="00046E57" w:rsidRPr="00D56B97">
        <w:rPr>
          <w:rFonts w:ascii="Times New Roman" w:hAnsi="Times New Roman" w:cs="Times New Roman"/>
        </w:rPr>
        <w:t xml:space="preserve"> This </w:t>
      </w:r>
      <w:r w:rsidR="0015119C" w:rsidRPr="00D56B97">
        <w:rPr>
          <w:rFonts w:ascii="Times New Roman" w:hAnsi="Times New Roman" w:cs="Times New Roman"/>
        </w:rPr>
        <w:t>is</w:t>
      </w:r>
      <w:r w:rsidR="007E768C" w:rsidRPr="00D56B97">
        <w:rPr>
          <w:rFonts w:ascii="Times New Roman" w:hAnsi="Times New Roman" w:cs="Times New Roman"/>
        </w:rPr>
        <w:t xml:space="preserve"> an i</w:t>
      </w:r>
      <w:r w:rsidR="005D7B19" w:rsidRPr="00D56B97">
        <w:rPr>
          <w:rFonts w:ascii="Times New Roman" w:hAnsi="Times New Roman" w:cs="Times New Roman"/>
        </w:rPr>
        <w:t>mportant detail</w:t>
      </w:r>
      <w:r w:rsidR="00706636" w:rsidRPr="00D56B97">
        <w:rPr>
          <w:rFonts w:ascii="Times New Roman" w:hAnsi="Times New Roman" w:cs="Times New Roman"/>
        </w:rPr>
        <w:t>. People do not make sense of one another</w:t>
      </w:r>
      <w:r w:rsidR="005B6785" w:rsidRPr="00D56B97">
        <w:rPr>
          <w:rFonts w:ascii="Times New Roman" w:hAnsi="Times New Roman" w:cs="Times New Roman"/>
        </w:rPr>
        <w:t xml:space="preserve"> in a </w:t>
      </w:r>
      <w:r w:rsidR="00046E57" w:rsidRPr="00D56B97">
        <w:rPr>
          <w:rFonts w:ascii="Times New Roman" w:hAnsi="Times New Roman" w:cs="Times New Roman"/>
        </w:rPr>
        <w:t xml:space="preserve">void. </w:t>
      </w:r>
      <w:r w:rsidR="00706636" w:rsidRPr="00D56B97">
        <w:rPr>
          <w:rFonts w:ascii="Times New Roman" w:hAnsi="Times New Roman" w:cs="Times New Roman"/>
        </w:rPr>
        <w:t>In everyday life, they</w:t>
      </w:r>
      <w:r w:rsidR="00046E57" w:rsidRPr="00D56B97">
        <w:rPr>
          <w:rFonts w:ascii="Times New Roman" w:hAnsi="Times New Roman" w:cs="Times New Roman"/>
        </w:rPr>
        <w:t xml:space="preserve"> interpret one another </w:t>
      </w:r>
      <w:r w:rsidR="00F06D9A" w:rsidRPr="00D56B97">
        <w:rPr>
          <w:rFonts w:ascii="Times New Roman" w:hAnsi="Times New Roman" w:cs="Times New Roman"/>
        </w:rPr>
        <w:t>b</w:t>
      </w:r>
      <w:r w:rsidR="00706636" w:rsidRPr="00D56B97">
        <w:rPr>
          <w:rFonts w:ascii="Times New Roman" w:hAnsi="Times New Roman" w:cs="Times New Roman"/>
        </w:rPr>
        <w:t>y referring to their</w:t>
      </w:r>
      <w:r w:rsidR="00F06D9A" w:rsidRPr="00D56B97">
        <w:rPr>
          <w:rFonts w:ascii="Times New Roman" w:hAnsi="Times New Roman" w:cs="Times New Roman"/>
        </w:rPr>
        <w:t xml:space="preserve"> shared </w:t>
      </w:r>
      <w:r w:rsidR="00341AAF" w:rsidRPr="00D56B97">
        <w:rPr>
          <w:rFonts w:ascii="Times New Roman" w:hAnsi="Times New Roman" w:cs="Times New Roman"/>
        </w:rPr>
        <w:t xml:space="preserve">social context, social </w:t>
      </w:r>
      <w:r w:rsidR="00F06D9A" w:rsidRPr="00D56B97">
        <w:rPr>
          <w:rFonts w:ascii="Times New Roman" w:hAnsi="Times New Roman" w:cs="Times New Roman"/>
        </w:rPr>
        <w:t>pra</w:t>
      </w:r>
      <w:r w:rsidR="005D7B19" w:rsidRPr="00D56B97">
        <w:rPr>
          <w:rFonts w:ascii="Times New Roman" w:hAnsi="Times New Roman" w:cs="Times New Roman"/>
        </w:rPr>
        <w:t>ctices, and personal narratives;</w:t>
      </w:r>
      <w:r w:rsidR="00F06D9A" w:rsidRPr="00D56B97">
        <w:rPr>
          <w:rStyle w:val="FootnoteReference"/>
          <w:rFonts w:ascii="Times New Roman" w:hAnsi="Times New Roman" w:cs="Times New Roman"/>
        </w:rPr>
        <w:footnoteReference w:id="131"/>
      </w:r>
      <w:r w:rsidR="00341AAF" w:rsidRPr="00D56B97">
        <w:rPr>
          <w:rFonts w:ascii="Times New Roman" w:hAnsi="Times New Roman" w:cs="Times New Roman"/>
        </w:rPr>
        <w:t xml:space="preserve"> </w:t>
      </w:r>
      <w:r w:rsidR="005D7B19" w:rsidRPr="00D56B97">
        <w:rPr>
          <w:rFonts w:ascii="Times New Roman" w:hAnsi="Times New Roman" w:cs="Times New Roman"/>
        </w:rPr>
        <w:t xml:space="preserve">and when </w:t>
      </w:r>
      <w:r w:rsidR="005B6785" w:rsidRPr="00D56B97">
        <w:rPr>
          <w:rFonts w:ascii="Times New Roman" w:hAnsi="Times New Roman" w:cs="Times New Roman"/>
        </w:rPr>
        <w:t>interpret</w:t>
      </w:r>
      <w:r w:rsidR="00706636" w:rsidRPr="00D56B97">
        <w:rPr>
          <w:rFonts w:ascii="Times New Roman" w:hAnsi="Times New Roman" w:cs="Times New Roman"/>
        </w:rPr>
        <w:t>ing</w:t>
      </w:r>
      <w:r w:rsidR="003C6EC2" w:rsidRPr="00D56B97">
        <w:rPr>
          <w:rFonts w:ascii="Times New Roman" w:hAnsi="Times New Roman" w:cs="Times New Roman"/>
        </w:rPr>
        <w:t xml:space="preserve"> the preferences o</w:t>
      </w:r>
      <w:r w:rsidR="005D7B19" w:rsidRPr="00D56B97">
        <w:rPr>
          <w:rFonts w:ascii="Times New Roman" w:hAnsi="Times New Roman" w:cs="Times New Roman"/>
        </w:rPr>
        <w:t>f someone without capacity,</w:t>
      </w:r>
      <w:r w:rsidR="00706636" w:rsidRPr="00D56B97">
        <w:rPr>
          <w:rFonts w:ascii="Times New Roman" w:hAnsi="Times New Roman" w:cs="Times New Roman"/>
        </w:rPr>
        <w:t xml:space="preserve"> they</w:t>
      </w:r>
      <w:r w:rsidR="003C6EC2" w:rsidRPr="00D56B97">
        <w:rPr>
          <w:rFonts w:ascii="Times New Roman" w:hAnsi="Times New Roman" w:cs="Times New Roman"/>
        </w:rPr>
        <w:t xml:space="preserve"> neces</w:t>
      </w:r>
      <w:r w:rsidR="00562511" w:rsidRPr="00D56B97">
        <w:rPr>
          <w:rFonts w:ascii="Times New Roman" w:hAnsi="Times New Roman" w:cs="Times New Roman"/>
        </w:rPr>
        <w:t xml:space="preserve">sarily start </w:t>
      </w:r>
      <w:r w:rsidR="003C6EC2" w:rsidRPr="00D56B97">
        <w:rPr>
          <w:rFonts w:ascii="Times New Roman" w:hAnsi="Times New Roman" w:cs="Times New Roman"/>
        </w:rPr>
        <w:t>in the same way.</w:t>
      </w:r>
      <w:r w:rsidR="007C0BFB" w:rsidRPr="00D56B97">
        <w:rPr>
          <w:rFonts w:ascii="Times New Roman" w:hAnsi="Times New Roman" w:cs="Times New Roman"/>
        </w:rPr>
        <w:t xml:space="preserve"> </w:t>
      </w:r>
      <w:r w:rsidR="007C0BFB" w:rsidRPr="00D56B97">
        <w:rPr>
          <w:rFonts w:ascii="Times New Roman" w:hAnsi="Times New Roman" w:cs="Times New Roman"/>
          <w:i/>
        </w:rPr>
        <w:t xml:space="preserve">Ms X </w:t>
      </w:r>
      <w:r w:rsidR="00835AAC" w:rsidRPr="00D56B97">
        <w:rPr>
          <w:rFonts w:ascii="Times New Roman" w:hAnsi="Times New Roman" w:cs="Times New Roman"/>
        </w:rPr>
        <w:t>provides an</w:t>
      </w:r>
      <w:r w:rsidR="002107E3" w:rsidRPr="00D56B97">
        <w:rPr>
          <w:rFonts w:ascii="Times New Roman" w:hAnsi="Times New Roman" w:cs="Times New Roman"/>
        </w:rPr>
        <w:t>other</w:t>
      </w:r>
      <w:r w:rsidR="007C0BFB" w:rsidRPr="00D56B97">
        <w:rPr>
          <w:rFonts w:ascii="Times New Roman" w:hAnsi="Times New Roman" w:cs="Times New Roman"/>
        </w:rPr>
        <w:t xml:space="preserve"> example. </w:t>
      </w:r>
      <w:r w:rsidR="00CD5315" w:rsidRPr="00D56B97">
        <w:rPr>
          <w:rFonts w:ascii="Times New Roman" w:hAnsi="Times New Roman" w:cs="Times New Roman"/>
        </w:rPr>
        <w:t xml:space="preserve">In this case, </w:t>
      </w:r>
      <w:r w:rsidR="007C0BFB" w:rsidRPr="00D56B97">
        <w:rPr>
          <w:rFonts w:ascii="Times New Roman" w:hAnsi="Times New Roman" w:cs="Times New Roman"/>
        </w:rPr>
        <w:t>Mr Justice Cobb</w:t>
      </w:r>
      <w:r w:rsidR="00A81F23" w:rsidRPr="00D56B97">
        <w:rPr>
          <w:rFonts w:ascii="Times New Roman" w:hAnsi="Times New Roman" w:cs="Times New Roman"/>
        </w:rPr>
        <w:t xml:space="preserve"> considered</w:t>
      </w:r>
      <w:r w:rsidR="005B6785" w:rsidRPr="00D56B97">
        <w:rPr>
          <w:rFonts w:ascii="Times New Roman" w:hAnsi="Times New Roman" w:cs="Times New Roman"/>
        </w:rPr>
        <w:t xml:space="preserve"> the wishes of a woman</w:t>
      </w:r>
      <w:r w:rsidR="00A81F23" w:rsidRPr="00D56B97">
        <w:rPr>
          <w:rFonts w:ascii="Times New Roman" w:hAnsi="Times New Roman" w:cs="Times New Roman"/>
        </w:rPr>
        <w:t xml:space="preserve"> with anorexia nervosa</w:t>
      </w:r>
      <w:r w:rsidR="008B32FF" w:rsidRPr="00D56B97">
        <w:rPr>
          <w:rFonts w:ascii="Times New Roman" w:hAnsi="Times New Roman" w:cs="Times New Roman"/>
        </w:rPr>
        <w:t xml:space="preserve"> </w:t>
      </w:r>
      <w:r w:rsidR="005B6785" w:rsidRPr="00D56B97">
        <w:rPr>
          <w:rFonts w:ascii="Times New Roman" w:hAnsi="Times New Roman" w:cs="Times New Roman"/>
        </w:rPr>
        <w:t>who refused</w:t>
      </w:r>
      <w:r w:rsidR="008B32FF" w:rsidRPr="00D56B97">
        <w:rPr>
          <w:rFonts w:ascii="Times New Roman" w:hAnsi="Times New Roman" w:cs="Times New Roman"/>
        </w:rPr>
        <w:t xml:space="preserve"> life-</w:t>
      </w:r>
      <w:r w:rsidR="008B32FF" w:rsidRPr="00D56B97">
        <w:rPr>
          <w:rFonts w:ascii="Times New Roman" w:hAnsi="Times New Roman" w:cs="Times New Roman"/>
        </w:rPr>
        <w:lastRenderedPageBreak/>
        <w:t>sustaining nutrition despite having</w:t>
      </w:r>
      <w:r w:rsidR="002A22F6" w:rsidRPr="00D56B97">
        <w:rPr>
          <w:rFonts w:ascii="Times New Roman" w:hAnsi="Times New Roman" w:cs="Times New Roman"/>
        </w:rPr>
        <w:t xml:space="preserve"> ‘no wish to die’</w:t>
      </w:r>
      <w:r w:rsidR="00A81F23" w:rsidRPr="00D56B97">
        <w:rPr>
          <w:rFonts w:ascii="Times New Roman" w:hAnsi="Times New Roman" w:cs="Times New Roman"/>
        </w:rPr>
        <w:t>.</w:t>
      </w:r>
      <w:r w:rsidR="002A22F6" w:rsidRPr="00D56B97">
        <w:rPr>
          <w:rStyle w:val="FootnoteReference"/>
          <w:rFonts w:ascii="Times New Roman" w:hAnsi="Times New Roman" w:cs="Times New Roman"/>
        </w:rPr>
        <w:footnoteReference w:id="132"/>
      </w:r>
      <w:r w:rsidR="002A22F6" w:rsidRPr="00D56B97">
        <w:rPr>
          <w:rFonts w:ascii="Times New Roman" w:hAnsi="Times New Roman" w:cs="Times New Roman"/>
        </w:rPr>
        <w:t xml:space="preserve"> </w:t>
      </w:r>
      <w:r w:rsidR="00CD5315" w:rsidRPr="00D56B97">
        <w:rPr>
          <w:rFonts w:ascii="Times New Roman" w:hAnsi="Times New Roman" w:cs="Times New Roman"/>
        </w:rPr>
        <w:t>At first, such a</w:t>
      </w:r>
      <w:r w:rsidR="00A81F23" w:rsidRPr="00D56B97">
        <w:rPr>
          <w:rFonts w:ascii="Times New Roman" w:hAnsi="Times New Roman" w:cs="Times New Roman"/>
        </w:rPr>
        <w:t xml:space="preserve"> decision might seem</w:t>
      </w:r>
      <w:r w:rsidR="00E31C73" w:rsidRPr="00D56B97">
        <w:rPr>
          <w:rFonts w:ascii="Times New Roman" w:hAnsi="Times New Roman" w:cs="Times New Roman"/>
        </w:rPr>
        <w:t xml:space="preserve"> inco</w:t>
      </w:r>
      <w:r w:rsidR="00CD5315" w:rsidRPr="00D56B97">
        <w:rPr>
          <w:rFonts w:ascii="Times New Roman" w:hAnsi="Times New Roman" w:cs="Times New Roman"/>
        </w:rPr>
        <w:t>mprehensible</w:t>
      </w:r>
      <w:r w:rsidR="00A81F23" w:rsidRPr="00D56B97">
        <w:rPr>
          <w:rFonts w:ascii="Times New Roman" w:hAnsi="Times New Roman" w:cs="Times New Roman"/>
        </w:rPr>
        <w:t>, but the judge rendered it</w:t>
      </w:r>
      <w:r w:rsidR="00E31C73" w:rsidRPr="00D56B97">
        <w:rPr>
          <w:rFonts w:ascii="Times New Roman" w:hAnsi="Times New Roman" w:cs="Times New Roman"/>
        </w:rPr>
        <w:t xml:space="preserve"> </w:t>
      </w:r>
      <w:r w:rsidR="002A22F6" w:rsidRPr="00D56B97">
        <w:rPr>
          <w:rFonts w:ascii="Times New Roman" w:hAnsi="Times New Roman" w:cs="Times New Roman"/>
        </w:rPr>
        <w:t>intelligible by</w:t>
      </w:r>
      <w:r w:rsidR="008B32FF" w:rsidRPr="00D56B97">
        <w:rPr>
          <w:rFonts w:ascii="Times New Roman" w:hAnsi="Times New Roman" w:cs="Times New Roman"/>
        </w:rPr>
        <w:t xml:space="preserve"> describing</w:t>
      </w:r>
      <w:r w:rsidR="00A81F23" w:rsidRPr="00D56B97">
        <w:rPr>
          <w:rFonts w:ascii="Times New Roman" w:hAnsi="Times New Roman" w:cs="Times New Roman"/>
        </w:rPr>
        <w:t xml:space="preserve"> Ms X’s</w:t>
      </w:r>
      <w:r w:rsidR="002A22F6" w:rsidRPr="00D56B97">
        <w:rPr>
          <w:rFonts w:ascii="Times New Roman" w:hAnsi="Times New Roman" w:cs="Times New Roman"/>
        </w:rPr>
        <w:t xml:space="preserve"> </w:t>
      </w:r>
      <w:r w:rsidR="004B1B98" w:rsidRPr="00D56B97">
        <w:rPr>
          <w:rFonts w:ascii="Times New Roman" w:hAnsi="Times New Roman" w:cs="Times New Roman"/>
        </w:rPr>
        <w:t>long history of</w:t>
      </w:r>
      <w:r w:rsidR="008B32FF" w:rsidRPr="00D56B97">
        <w:rPr>
          <w:rFonts w:ascii="Times New Roman" w:hAnsi="Times New Roman" w:cs="Times New Roman"/>
        </w:rPr>
        <w:t xml:space="preserve"> unsucces</w:t>
      </w:r>
      <w:r w:rsidR="005B6785" w:rsidRPr="00D56B97">
        <w:rPr>
          <w:rFonts w:ascii="Times New Roman" w:hAnsi="Times New Roman" w:cs="Times New Roman"/>
        </w:rPr>
        <w:t>sful si</w:t>
      </w:r>
      <w:r w:rsidR="00A81F23" w:rsidRPr="00D56B97">
        <w:rPr>
          <w:rFonts w:ascii="Times New Roman" w:hAnsi="Times New Roman" w:cs="Times New Roman"/>
        </w:rPr>
        <w:t>milar admissions to specialist units</w:t>
      </w:r>
      <w:r w:rsidR="008B32FF" w:rsidRPr="00D56B97">
        <w:rPr>
          <w:rFonts w:ascii="Times New Roman" w:hAnsi="Times New Roman" w:cs="Times New Roman"/>
        </w:rPr>
        <w:t>.</w:t>
      </w:r>
      <w:r w:rsidR="008B32FF" w:rsidRPr="00D56B97">
        <w:rPr>
          <w:rFonts w:ascii="Times New Roman" w:hAnsi="Times New Roman" w:cs="Times New Roman"/>
          <w:vertAlign w:val="superscript"/>
        </w:rPr>
        <w:footnoteReference w:id="133"/>
      </w:r>
      <w:r w:rsidR="000C1E14" w:rsidRPr="00D56B97">
        <w:rPr>
          <w:rFonts w:ascii="Times New Roman" w:hAnsi="Times New Roman" w:cs="Times New Roman"/>
        </w:rPr>
        <w:t xml:space="preserve"> By describing </w:t>
      </w:r>
      <w:r w:rsidR="00A57CB4" w:rsidRPr="00D56B97">
        <w:rPr>
          <w:rFonts w:ascii="Times New Roman" w:hAnsi="Times New Roman" w:cs="Times New Roman"/>
        </w:rPr>
        <w:t xml:space="preserve">what </w:t>
      </w:r>
      <w:r w:rsidR="000C1E14" w:rsidRPr="00D56B97">
        <w:rPr>
          <w:rFonts w:ascii="Times New Roman" w:hAnsi="Times New Roman" w:cs="Times New Roman"/>
        </w:rPr>
        <w:t>her experiences</w:t>
      </w:r>
      <w:r w:rsidR="00A57CB4" w:rsidRPr="00D56B97">
        <w:rPr>
          <w:rFonts w:ascii="Times New Roman" w:hAnsi="Times New Roman" w:cs="Times New Roman"/>
        </w:rPr>
        <w:t xml:space="preserve"> were like</w:t>
      </w:r>
      <w:r w:rsidR="000C1E14" w:rsidRPr="00D56B97">
        <w:rPr>
          <w:rFonts w:ascii="Times New Roman" w:hAnsi="Times New Roman" w:cs="Times New Roman"/>
        </w:rPr>
        <w:t xml:space="preserve">, he made </w:t>
      </w:r>
      <w:r w:rsidR="00A57CB4" w:rsidRPr="00D56B97">
        <w:rPr>
          <w:rFonts w:ascii="Times New Roman" w:hAnsi="Times New Roman" w:cs="Times New Roman"/>
        </w:rPr>
        <w:t xml:space="preserve">her </w:t>
      </w:r>
      <w:r w:rsidR="006B2A38" w:rsidRPr="00D56B97">
        <w:rPr>
          <w:rFonts w:ascii="Times New Roman" w:hAnsi="Times New Roman" w:cs="Times New Roman"/>
        </w:rPr>
        <w:t>apparently contradictory</w:t>
      </w:r>
      <w:r w:rsidR="00A57CB4" w:rsidRPr="00D56B97">
        <w:rPr>
          <w:rFonts w:ascii="Times New Roman" w:hAnsi="Times New Roman" w:cs="Times New Roman"/>
        </w:rPr>
        <w:t xml:space="preserve"> wishes part of a coherent, understandable, story. </w:t>
      </w:r>
      <w:r w:rsidR="000C1E14" w:rsidRPr="00D56B97">
        <w:rPr>
          <w:rFonts w:ascii="Times New Roman" w:hAnsi="Times New Roman" w:cs="Times New Roman"/>
        </w:rPr>
        <w:t>Th</w:t>
      </w:r>
      <w:r w:rsidR="005D7B19" w:rsidRPr="00D56B97">
        <w:rPr>
          <w:rFonts w:ascii="Times New Roman" w:hAnsi="Times New Roman" w:cs="Times New Roman"/>
        </w:rPr>
        <w:t xml:space="preserve">is attention to </w:t>
      </w:r>
      <w:r w:rsidR="00835AAC" w:rsidRPr="00D56B97">
        <w:rPr>
          <w:rFonts w:ascii="Times New Roman" w:hAnsi="Times New Roman" w:cs="Times New Roman"/>
        </w:rPr>
        <w:t>someone</w:t>
      </w:r>
      <w:r w:rsidR="00781562" w:rsidRPr="00D56B97">
        <w:rPr>
          <w:rFonts w:ascii="Times New Roman" w:hAnsi="Times New Roman" w:cs="Times New Roman"/>
        </w:rPr>
        <w:t>’</w:t>
      </w:r>
      <w:r w:rsidR="00F41F63" w:rsidRPr="00D56B97">
        <w:rPr>
          <w:rFonts w:ascii="Times New Roman" w:hAnsi="Times New Roman" w:cs="Times New Roman"/>
        </w:rPr>
        <w:t>s</w:t>
      </w:r>
      <w:r w:rsidR="00781562" w:rsidRPr="00D56B97">
        <w:rPr>
          <w:rFonts w:ascii="Times New Roman" w:hAnsi="Times New Roman" w:cs="Times New Roman"/>
        </w:rPr>
        <w:t xml:space="preserve"> ‘narrative’</w:t>
      </w:r>
      <w:r w:rsidR="00F41F63" w:rsidRPr="00D56B97">
        <w:rPr>
          <w:rFonts w:ascii="Times New Roman" w:hAnsi="Times New Roman" w:cs="Times New Roman"/>
        </w:rPr>
        <w:t xml:space="preserve"> is not unique. It appears i</w:t>
      </w:r>
      <w:r w:rsidR="00A81F23" w:rsidRPr="00D56B97">
        <w:rPr>
          <w:rFonts w:ascii="Times New Roman" w:hAnsi="Times New Roman" w:cs="Times New Roman"/>
        </w:rPr>
        <w:t>n an increasing number of cases,</w:t>
      </w:r>
      <w:r w:rsidR="00F41F63" w:rsidRPr="00D56B97">
        <w:rPr>
          <w:rStyle w:val="FootnoteReference"/>
          <w:rFonts w:ascii="Times New Roman" w:hAnsi="Times New Roman" w:cs="Times New Roman"/>
        </w:rPr>
        <w:footnoteReference w:id="134"/>
      </w:r>
      <w:r w:rsidR="00286747" w:rsidRPr="00D56B97">
        <w:rPr>
          <w:rFonts w:ascii="Times New Roman" w:hAnsi="Times New Roman" w:cs="Times New Roman"/>
        </w:rPr>
        <w:t xml:space="preserve"> and </w:t>
      </w:r>
      <w:r w:rsidR="00115F80" w:rsidRPr="00D56B97">
        <w:rPr>
          <w:rFonts w:ascii="Times New Roman" w:hAnsi="Times New Roman" w:cs="Times New Roman"/>
        </w:rPr>
        <w:t xml:space="preserve">telling someone’s story in this way </w:t>
      </w:r>
      <w:r w:rsidR="00286747" w:rsidRPr="00D56B97">
        <w:rPr>
          <w:rFonts w:ascii="Times New Roman" w:hAnsi="Times New Roman" w:cs="Times New Roman"/>
        </w:rPr>
        <w:t xml:space="preserve">often </w:t>
      </w:r>
      <w:r w:rsidR="00A81F23" w:rsidRPr="00D56B97">
        <w:rPr>
          <w:rFonts w:ascii="Times New Roman" w:hAnsi="Times New Roman" w:cs="Times New Roman"/>
        </w:rPr>
        <w:t>render</w:t>
      </w:r>
      <w:r w:rsidR="00286747" w:rsidRPr="00D56B97">
        <w:rPr>
          <w:rFonts w:ascii="Times New Roman" w:hAnsi="Times New Roman" w:cs="Times New Roman"/>
        </w:rPr>
        <w:t>s</w:t>
      </w:r>
      <w:r w:rsidR="00A81F23" w:rsidRPr="00D56B97">
        <w:rPr>
          <w:rFonts w:ascii="Times New Roman" w:hAnsi="Times New Roman" w:cs="Times New Roman"/>
        </w:rPr>
        <w:t xml:space="preserve"> </w:t>
      </w:r>
      <w:r w:rsidR="00115F80" w:rsidRPr="00D56B97">
        <w:rPr>
          <w:rFonts w:ascii="Times New Roman" w:hAnsi="Times New Roman" w:cs="Times New Roman"/>
        </w:rPr>
        <w:t>their</w:t>
      </w:r>
      <w:r w:rsidR="00A81F23" w:rsidRPr="00D56B97">
        <w:rPr>
          <w:rFonts w:ascii="Times New Roman" w:hAnsi="Times New Roman" w:cs="Times New Roman"/>
        </w:rPr>
        <w:t xml:space="preserve"> wishes intelligible. </w:t>
      </w:r>
      <w:r w:rsidR="009E260B" w:rsidRPr="00D56B97">
        <w:rPr>
          <w:rFonts w:ascii="Times New Roman" w:hAnsi="Times New Roman" w:cs="Times New Roman"/>
        </w:rPr>
        <w:t>Intelligible wishes are far more likely than unintelligible ones to determine overall best wishes; so, as with subjectivity, this process</w:t>
      </w:r>
      <w:r w:rsidR="00A22252" w:rsidRPr="00D56B97">
        <w:rPr>
          <w:rFonts w:ascii="Times New Roman" w:hAnsi="Times New Roman" w:cs="Times New Roman"/>
        </w:rPr>
        <w:t xml:space="preserve"> tends to add weight to the survival account. </w:t>
      </w:r>
      <w:r w:rsidR="00CE6A24" w:rsidRPr="00D56B97">
        <w:rPr>
          <w:rFonts w:ascii="Times New Roman" w:hAnsi="Times New Roman" w:cs="Times New Roman"/>
        </w:rPr>
        <w:t xml:space="preserve">When, </w:t>
      </w:r>
      <w:r w:rsidR="000E3C9E" w:rsidRPr="00D56B97">
        <w:rPr>
          <w:rFonts w:ascii="Times New Roman" w:hAnsi="Times New Roman" w:cs="Times New Roman"/>
        </w:rPr>
        <w:t xml:space="preserve">as in </w:t>
      </w:r>
      <w:r w:rsidR="000E3C9E" w:rsidRPr="00D56B97">
        <w:rPr>
          <w:rFonts w:ascii="Times New Roman" w:hAnsi="Times New Roman" w:cs="Times New Roman"/>
          <w:i/>
        </w:rPr>
        <w:t>VT,</w:t>
      </w:r>
      <w:r w:rsidR="000E3C9E" w:rsidRPr="00D56B97">
        <w:rPr>
          <w:rFonts w:ascii="Times New Roman" w:hAnsi="Times New Roman" w:cs="Times New Roman"/>
        </w:rPr>
        <w:t xml:space="preserve"> someone</w:t>
      </w:r>
      <w:r w:rsidR="00CE6A24" w:rsidRPr="00D56B97">
        <w:rPr>
          <w:rFonts w:ascii="Times New Roman" w:hAnsi="Times New Roman" w:cs="Times New Roman"/>
        </w:rPr>
        <w:t xml:space="preserve"> without capacity</w:t>
      </w:r>
      <w:r w:rsidR="00C14BA9" w:rsidRPr="00D56B97">
        <w:rPr>
          <w:rFonts w:ascii="Times New Roman" w:hAnsi="Times New Roman" w:cs="Times New Roman"/>
        </w:rPr>
        <w:t xml:space="preserve"> is</w:t>
      </w:r>
      <w:r w:rsidR="00C15271" w:rsidRPr="00D56B97">
        <w:rPr>
          <w:rFonts w:ascii="Times New Roman" w:hAnsi="Times New Roman" w:cs="Times New Roman"/>
        </w:rPr>
        <w:t xml:space="preserve"> </w:t>
      </w:r>
      <w:r w:rsidR="000E3C9E" w:rsidRPr="00D56B97">
        <w:rPr>
          <w:rFonts w:ascii="Times New Roman" w:hAnsi="Times New Roman" w:cs="Times New Roman"/>
        </w:rPr>
        <w:t>described as having ‘an expressed consistent rational intention’</w:t>
      </w:r>
      <w:r w:rsidR="00115F80" w:rsidRPr="00D56B97">
        <w:rPr>
          <w:rFonts w:ascii="Times New Roman" w:hAnsi="Times New Roman" w:cs="Times New Roman"/>
        </w:rPr>
        <w:t xml:space="preserve"> </w:t>
      </w:r>
      <w:r w:rsidR="00E70A99" w:rsidRPr="00D56B97">
        <w:rPr>
          <w:rFonts w:ascii="Times New Roman" w:hAnsi="Times New Roman" w:cs="Times New Roman"/>
        </w:rPr>
        <w:t xml:space="preserve">and that </w:t>
      </w:r>
      <w:r w:rsidR="00CA72E2" w:rsidRPr="00D56B97">
        <w:rPr>
          <w:rFonts w:ascii="Times New Roman" w:hAnsi="Times New Roman" w:cs="Times New Roman"/>
        </w:rPr>
        <w:t xml:space="preserve">intention </w:t>
      </w:r>
      <w:r w:rsidR="00E70A99" w:rsidRPr="00D56B97">
        <w:rPr>
          <w:rFonts w:ascii="Times New Roman" w:hAnsi="Times New Roman" w:cs="Times New Roman"/>
        </w:rPr>
        <w:t>decisively determines</w:t>
      </w:r>
      <w:r w:rsidR="00CE6A24" w:rsidRPr="00D56B97">
        <w:rPr>
          <w:rFonts w:ascii="Times New Roman" w:hAnsi="Times New Roman" w:cs="Times New Roman"/>
        </w:rPr>
        <w:t xml:space="preserve"> their best interests,</w:t>
      </w:r>
      <w:r w:rsidR="001D0011" w:rsidRPr="00D56B97">
        <w:rPr>
          <w:rStyle w:val="FootnoteReference"/>
          <w:rFonts w:ascii="Times New Roman" w:hAnsi="Times New Roman" w:cs="Times New Roman"/>
        </w:rPr>
        <w:footnoteReference w:id="135"/>
      </w:r>
      <w:r w:rsidR="00C67BB6" w:rsidRPr="00D56B97">
        <w:rPr>
          <w:rFonts w:ascii="Times New Roman" w:hAnsi="Times New Roman" w:cs="Times New Roman"/>
        </w:rPr>
        <w:t xml:space="preserve"> then the language</w:t>
      </w:r>
      <w:r w:rsidR="005368CB" w:rsidRPr="00D56B97">
        <w:rPr>
          <w:rFonts w:ascii="Times New Roman" w:hAnsi="Times New Roman" w:cs="Times New Roman"/>
        </w:rPr>
        <w:t xml:space="preserve"> of </w:t>
      </w:r>
      <w:r w:rsidR="00CE6A24" w:rsidRPr="00D56B97">
        <w:rPr>
          <w:rFonts w:ascii="Times New Roman" w:hAnsi="Times New Roman" w:cs="Times New Roman"/>
        </w:rPr>
        <w:t>autonomy has invaded the land of incapacity.</w:t>
      </w:r>
    </w:p>
    <w:p w14:paraId="7493C89D" w14:textId="6D91A0F2" w:rsidR="00790711" w:rsidRPr="00D56B97" w:rsidRDefault="0090336A" w:rsidP="00021A54">
      <w:pPr>
        <w:spacing w:line="480" w:lineRule="auto"/>
        <w:ind w:firstLine="567"/>
        <w:jc w:val="both"/>
        <w:rPr>
          <w:rFonts w:ascii="Times New Roman" w:hAnsi="Times New Roman" w:cs="Times New Roman"/>
        </w:rPr>
      </w:pPr>
      <w:r w:rsidRPr="00D56B97">
        <w:rPr>
          <w:rFonts w:ascii="Times New Roman" w:hAnsi="Times New Roman" w:cs="Times New Roman"/>
        </w:rPr>
        <w:t xml:space="preserve">The final factor from </w:t>
      </w:r>
      <w:r w:rsidR="008B18CC" w:rsidRPr="00D56B97">
        <w:rPr>
          <w:rFonts w:ascii="Times New Roman" w:hAnsi="Times New Roman" w:cs="Times New Roman"/>
          <w:i/>
        </w:rPr>
        <w:t>ITW</w:t>
      </w:r>
      <w:r w:rsidRPr="00D56B97">
        <w:rPr>
          <w:rFonts w:ascii="Times New Roman" w:hAnsi="Times New Roman" w:cs="Times New Roman"/>
        </w:rPr>
        <w:t>,</w:t>
      </w:r>
      <w:r w:rsidR="008B18CC" w:rsidRPr="00D56B97">
        <w:rPr>
          <w:rFonts w:ascii="Times New Roman" w:hAnsi="Times New Roman" w:cs="Times New Roman"/>
        </w:rPr>
        <w:t xml:space="preserve"> ‘the strength and consistency of the views being expressed by P’</w:t>
      </w:r>
      <w:r w:rsidRPr="00D56B97">
        <w:rPr>
          <w:rFonts w:ascii="Times New Roman" w:hAnsi="Times New Roman" w:cs="Times New Roman"/>
        </w:rPr>
        <w:t>, is authenticity</w:t>
      </w:r>
      <w:r w:rsidR="008B18CC" w:rsidRPr="00D56B97">
        <w:rPr>
          <w:rFonts w:ascii="Times New Roman" w:hAnsi="Times New Roman" w:cs="Times New Roman"/>
        </w:rPr>
        <w:t xml:space="preserve">. </w:t>
      </w:r>
      <w:r w:rsidRPr="00D56B97">
        <w:rPr>
          <w:rFonts w:ascii="Times New Roman" w:hAnsi="Times New Roman" w:cs="Times New Roman"/>
        </w:rPr>
        <w:t xml:space="preserve">This </w:t>
      </w:r>
      <w:r w:rsidR="00947145" w:rsidRPr="00D56B97">
        <w:rPr>
          <w:rFonts w:ascii="Times New Roman" w:hAnsi="Times New Roman" w:cs="Times New Roman"/>
        </w:rPr>
        <w:t>reflects</w:t>
      </w:r>
      <w:r w:rsidRPr="00D56B97">
        <w:rPr>
          <w:rFonts w:ascii="Times New Roman" w:hAnsi="Times New Roman" w:cs="Times New Roman"/>
        </w:rPr>
        <w:t xml:space="preserve"> an idea</w:t>
      </w:r>
      <w:r w:rsidR="00947145" w:rsidRPr="00D56B97">
        <w:rPr>
          <w:rFonts w:ascii="Times New Roman" w:hAnsi="Times New Roman" w:cs="Times New Roman"/>
        </w:rPr>
        <w:t xml:space="preserve"> </w:t>
      </w:r>
      <w:r w:rsidR="00B056D0">
        <w:rPr>
          <w:rFonts w:ascii="Times New Roman" w:hAnsi="Times New Roman" w:cs="Times New Roman"/>
        </w:rPr>
        <w:t>often associated with</w:t>
      </w:r>
      <w:r w:rsidR="00C64DE3" w:rsidRPr="00D56B97">
        <w:rPr>
          <w:rFonts w:ascii="Times New Roman" w:hAnsi="Times New Roman" w:cs="Times New Roman"/>
        </w:rPr>
        <w:t xml:space="preserve"> autonomy</w:t>
      </w:r>
      <w:r w:rsidR="00790711" w:rsidRPr="00D56B97">
        <w:rPr>
          <w:rFonts w:ascii="Times New Roman" w:hAnsi="Times New Roman" w:cs="Times New Roman"/>
        </w:rPr>
        <w:t xml:space="preserve">. </w:t>
      </w:r>
      <w:r w:rsidR="00C64DE3" w:rsidRPr="00D56B97">
        <w:rPr>
          <w:rFonts w:ascii="Times New Roman" w:hAnsi="Times New Roman" w:cs="Times New Roman"/>
        </w:rPr>
        <w:t>For philosophers</w:t>
      </w:r>
      <w:r w:rsidR="00E14646" w:rsidRPr="00D56B97">
        <w:rPr>
          <w:rFonts w:ascii="Times New Roman" w:hAnsi="Times New Roman" w:cs="Times New Roman"/>
        </w:rPr>
        <w:t>,</w:t>
      </w:r>
      <w:r w:rsidR="00790711" w:rsidRPr="00D56B97">
        <w:rPr>
          <w:rFonts w:ascii="Times New Roman" w:hAnsi="Times New Roman" w:cs="Times New Roman"/>
        </w:rPr>
        <w:t xml:space="preserve"> autonomy is often taken to require</w:t>
      </w:r>
      <w:r w:rsidR="00C64DE3" w:rsidRPr="00D56B97">
        <w:rPr>
          <w:rFonts w:ascii="Times New Roman" w:hAnsi="Times New Roman" w:cs="Times New Roman"/>
        </w:rPr>
        <w:t xml:space="preserve"> a second-order</w:t>
      </w:r>
      <w:r w:rsidR="00790711" w:rsidRPr="00D56B97">
        <w:rPr>
          <w:rFonts w:ascii="Times New Roman" w:hAnsi="Times New Roman" w:cs="Times New Roman"/>
        </w:rPr>
        <w:t xml:space="preserve"> identi</w:t>
      </w:r>
      <w:r w:rsidR="009A5FA7" w:rsidRPr="00D56B97">
        <w:rPr>
          <w:rFonts w:ascii="Times New Roman" w:hAnsi="Times New Roman" w:cs="Times New Roman"/>
        </w:rPr>
        <w:t>fication with one’s own desires</w:t>
      </w:r>
      <w:r w:rsidR="00E51AE1" w:rsidRPr="00D56B97">
        <w:rPr>
          <w:rFonts w:ascii="Times New Roman" w:hAnsi="Times New Roman" w:cs="Times New Roman"/>
        </w:rPr>
        <w:t xml:space="preserve">, </w:t>
      </w:r>
      <w:r w:rsidR="00415DC5" w:rsidRPr="00D56B97">
        <w:rPr>
          <w:rFonts w:ascii="Times New Roman" w:hAnsi="Times New Roman" w:cs="Times New Roman"/>
        </w:rPr>
        <w:t xml:space="preserve">or </w:t>
      </w:r>
      <w:r w:rsidR="00E51AE1" w:rsidRPr="00D56B97">
        <w:rPr>
          <w:rFonts w:ascii="Times New Roman" w:hAnsi="Times New Roman" w:cs="Times New Roman"/>
        </w:rPr>
        <w:t>at least</w:t>
      </w:r>
      <w:r w:rsidR="00415DC5" w:rsidRPr="00D56B97">
        <w:rPr>
          <w:rFonts w:ascii="Times New Roman" w:hAnsi="Times New Roman" w:cs="Times New Roman"/>
        </w:rPr>
        <w:t xml:space="preserve"> </w:t>
      </w:r>
      <w:r w:rsidR="00C64DE3" w:rsidRPr="00D56B97">
        <w:rPr>
          <w:rFonts w:ascii="Times New Roman" w:hAnsi="Times New Roman" w:cs="Times New Roman"/>
        </w:rPr>
        <w:t>that t</w:t>
      </w:r>
      <w:r w:rsidR="00E51AE1" w:rsidRPr="00D56B97">
        <w:rPr>
          <w:rFonts w:ascii="Times New Roman" w:hAnsi="Times New Roman" w:cs="Times New Roman"/>
        </w:rPr>
        <w:t>he person</w:t>
      </w:r>
      <w:r w:rsidR="004878F3" w:rsidRPr="00D56B97">
        <w:rPr>
          <w:rFonts w:ascii="Times New Roman" w:hAnsi="Times New Roman" w:cs="Times New Roman"/>
        </w:rPr>
        <w:t xml:space="preserve"> would not feel alienated from their own preferences if they happened</w:t>
      </w:r>
      <w:r w:rsidR="00415DC5" w:rsidRPr="00D56B97">
        <w:rPr>
          <w:rFonts w:ascii="Times New Roman" w:hAnsi="Times New Roman" w:cs="Times New Roman"/>
        </w:rPr>
        <w:t xml:space="preserve"> to </w:t>
      </w:r>
      <w:r w:rsidR="009A5FA7" w:rsidRPr="00D56B97">
        <w:rPr>
          <w:rFonts w:ascii="Times New Roman" w:hAnsi="Times New Roman" w:cs="Times New Roman"/>
        </w:rPr>
        <w:t xml:space="preserve">critically reflect on </w:t>
      </w:r>
      <w:r w:rsidR="004878F3" w:rsidRPr="00D56B97">
        <w:rPr>
          <w:rFonts w:ascii="Times New Roman" w:hAnsi="Times New Roman" w:cs="Times New Roman"/>
        </w:rPr>
        <w:t>them</w:t>
      </w:r>
      <w:r w:rsidR="009A5FA7" w:rsidRPr="00D56B97">
        <w:rPr>
          <w:rFonts w:ascii="Times New Roman" w:hAnsi="Times New Roman" w:cs="Times New Roman"/>
        </w:rPr>
        <w:t>.</w:t>
      </w:r>
      <w:r w:rsidR="00790711" w:rsidRPr="00D56B97">
        <w:rPr>
          <w:rFonts w:ascii="Times New Roman" w:hAnsi="Times New Roman" w:cs="Times New Roman"/>
          <w:vertAlign w:val="superscript"/>
        </w:rPr>
        <w:footnoteReference w:id="136"/>
      </w:r>
      <w:r w:rsidR="00254029" w:rsidRPr="00D56B97">
        <w:rPr>
          <w:rFonts w:ascii="Times New Roman" w:hAnsi="Times New Roman" w:cs="Times New Roman"/>
        </w:rPr>
        <w:t xml:space="preserve"> </w:t>
      </w:r>
      <w:r w:rsidRPr="00D56B97">
        <w:rPr>
          <w:rFonts w:ascii="Times New Roman" w:hAnsi="Times New Roman" w:cs="Times New Roman"/>
        </w:rPr>
        <w:t>In</w:t>
      </w:r>
      <w:r w:rsidR="004878F3" w:rsidRPr="00D56B97">
        <w:rPr>
          <w:rFonts w:ascii="Times New Roman" w:hAnsi="Times New Roman" w:cs="Times New Roman"/>
        </w:rPr>
        <w:t xml:space="preserve"> many ways these</w:t>
      </w:r>
      <w:r w:rsidR="00E51AE1" w:rsidRPr="00D56B97">
        <w:rPr>
          <w:rFonts w:ascii="Times New Roman" w:hAnsi="Times New Roman" w:cs="Times New Roman"/>
        </w:rPr>
        <w:t xml:space="preserve"> </w:t>
      </w:r>
      <w:r w:rsidRPr="00D56B97">
        <w:rPr>
          <w:rFonts w:ascii="Times New Roman" w:hAnsi="Times New Roman" w:cs="Times New Roman"/>
        </w:rPr>
        <w:t>theories</w:t>
      </w:r>
      <w:r w:rsidR="00E51AE1" w:rsidRPr="00D56B97">
        <w:rPr>
          <w:rFonts w:ascii="Times New Roman" w:hAnsi="Times New Roman" w:cs="Times New Roman"/>
        </w:rPr>
        <w:t>, which point towards internal coherence,</w:t>
      </w:r>
      <w:r w:rsidR="00B00068" w:rsidRPr="00D56B97">
        <w:rPr>
          <w:rFonts w:ascii="Times New Roman" w:hAnsi="Times New Roman" w:cs="Times New Roman"/>
        </w:rPr>
        <w:t xml:space="preserve"> merely formalise </w:t>
      </w:r>
      <w:r w:rsidR="00E51AE1" w:rsidRPr="00D56B97">
        <w:rPr>
          <w:rFonts w:ascii="Times New Roman" w:hAnsi="Times New Roman" w:cs="Times New Roman"/>
        </w:rPr>
        <w:t>an everyday</w:t>
      </w:r>
      <w:r w:rsidR="00B00068" w:rsidRPr="00D56B97">
        <w:rPr>
          <w:rFonts w:ascii="Times New Roman" w:hAnsi="Times New Roman" w:cs="Times New Roman"/>
        </w:rPr>
        <w:t xml:space="preserve"> </w:t>
      </w:r>
      <w:r w:rsidRPr="00D56B97">
        <w:rPr>
          <w:rFonts w:ascii="Times New Roman" w:hAnsi="Times New Roman" w:cs="Times New Roman"/>
        </w:rPr>
        <w:t>practice.</w:t>
      </w:r>
      <w:r w:rsidR="00C64DE3" w:rsidRPr="00D56B97">
        <w:rPr>
          <w:rFonts w:ascii="Times New Roman" w:hAnsi="Times New Roman" w:cs="Times New Roman"/>
        </w:rPr>
        <w:t xml:space="preserve"> </w:t>
      </w:r>
      <w:r w:rsidR="00977D6E" w:rsidRPr="00D56B97">
        <w:rPr>
          <w:rFonts w:ascii="Times New Roman" w:hAnsi="Times New Roman" w:cs="Times New Roman"/>
        </w:rPr>
        <w:t>When, in the normal course of things, people interpret</w:t>
      </w:r>
      <w:r w:rsidR="00C64DE3" w:rsidRPr="00D56B97">
        <w:rPr>
          <w:rFonts w:ascii="Times New Roman" w:hAnsi="Times New Roman" w:cs="Times New Roman"/>
        </w:rPr>
        <w:t xml:space="preserve"> one</w:t>
      </w:r>
      <w:r w:rsidR="00977D6E" w:rsidRPr="00D56B97">
        <w:rPr>
          <w:rFonts w:ascii="Times New Roman" w:hAnsi="Times New Roman" w:cs="Times New Roman"/>
        </w:rPr>
        <w:t xml:space="preserve"> another’s behaviour</w:t>
      </w:r>
      <w:r w:rsidR="00C64DE3" w:rsidRPr="00D56B97">
        <w:rPr>
          <w:rFonts w:ascii="Times New Roman" w:hAnsi="Times New Roman" w:cs="Times New Roman"/>
        </w:rPr>
        <w:t xml:space="preserve">, they </w:t>
      </w:r>
      <w:r w:rsidR="00977D6E" w:rsidRPr="00D56B97">
        <w:rPr>
          <w:rFonts w:ascii="Times New Roman" w:hAnsi="Times New Roman" w:cs="Times New Roman"/>
        </w:rPr>
        <w:t>sometimes</w:t>
      </w:r>
      <w:r w:rsidR="00C64DE3" w:rsidRPr="00D56B97">
        <w:rPr>
          <w:rFonts w:ascii="Times New Roman" w:hAnsi="Times New Roman" w:cs="Times New Roman"/>
        </w:rPr>
        <w:t xml:space="preserve"> rely on the idea that</w:t>
      </w:r>
      <w:r w:rsidR="00254029" w:rsidRPr="00D56B97">
        <w:rPr>
          <w:rFonts w:ascii="Times New Roman" w:hAnsi="Times New Roman" w:cs="Times New Roman"/>
        </w:rPr>
        <w:t xml:space="preserve"> the more strongly or consistently someone expres</w:t>
      </w:r>
      <w:r w:rsidR="00C64DE3" w:rsidRPr="00D56B97">
        <w:rPr>
          <w:rFonts w:ascii="Times New Roman" w:hAnsi="Times New Roman" w:cs="Times New Roman"/>
        </w:rPr>
        <w:t>ses a des</w:t>
      </w:r>
      <w:r w:rsidR="004F21AE" w:rsidRPr="00D56B97">
        <w:rPr>
          <w:rFonts w:ascii="Times New Roman" w:hAnsi="Times New Roman" w:cs="Times New Roman"/>
        </w:rPr>
        <w:t xml:space="preserve">ire, </w:t>
      </w:r>
      <w:r w:rsidR="00C64DE3" w:rsidRPr="00D56B97">
        <w:rPr>
          <w:rFonts w:ascii="Times New Roman" w:hAnsi="Times New Roman" w:cs="Times New Roman"/>
        </w:rPr>
        <w:t xml:space="preserve">the more </w:t>
      </w:r>
      <w:r w:rsidR="00B00068" w:rsidRPr="00D56B97">
        <w:rPr>
          <w:rFonts w:ascii="Times New Roman" w:hAnsi="Times New Roman" w:cs="Times New Roman"/>
        </w:rPr>
        <w:t xml:space="preserve">that </w:t>
      </w:r>
      <w:r w:rsidR="00254029" w:rsidRPr="00D56B97">
        <w:rPr>
          <w:rFonts w:ascii="Times New Roman" w:hAnsi="Times New Roman" w:cs="Times New Roman"/>
        </w:rPr>
        <w:t>the</w:t>
      </w:r>
      <w:r w:rsidR="00C64DE3" w:rsidRPr="00D56B97">
        <w:rPr>
          <w:rFonts w:ascii="Times New Roman" w:hAnsi="Times New Roman" w:cs="Times New Roman"/>
        </w:rPr>
        <w:t>y ‘really’ want that thing</w:t>
      </w:r>
      <w:r w:rsidR="00254029" w:rsidRPr="00D56B97">
        <w:rPr>
          <w:rFonts w:ascii="Times New Roman" w:hAnsi="Times New Roman" w:cs="Times New Roman"/>
        </w:rPr>
        <w:t xml:space="preserve">. </w:t>
      </w:r>
      <w:r w:rsidR="00CA72E2" w:rsidRPr="00D56B97">
        <w:rPr>
          <w:rFonts w:ascii="Times New Roman" w:hAnsi="Times New Roman" w:cs="Times New Roman"/>
        </w:rPr>
        <w:t xml:space="preserve">Things that are </w:t>
      </w:r>
      <w:r w:rsidR="00B00068" w:rsidRPr="00D56B97">
        <w:rPr>
          <w:rFonts w:ascii="Times New Roman" w:hAnsi="Times New Roman" w:cs="Times New Roman"/>
        </w:rPr>
        <w:t>authentically wanted in this way are usually considered more important to the person than things that are not.</w:t>
      </w:r>
      <w:r w:rsidR="00E51AE1" w:rsidRPr="00D56B97">
        <w:rPr>
          <w:rFonts w:ascii="Times New Roman" w:hAnsi="Times New Roman" w:cs="Times New Roman"/>
        </w:rPr>
        <w:t xml:space="preserve"> S</w:t>
      </w:r>
      <w:r w:rsidR="00F4777B" w:rsidRPr="00D56B97">
        <w:rPr>
          <w:rFonts w:ascii="Times New Roman" w:hAnsi="Times New Roman" w:cs="Times New Roman"/>
        </w:rPr>
        <w:t>imilar reasoning</w:t>
      </w:r>
      <w:r w:rsidR="00B00068" w:rsidRPr="00D56B97">
        <w:rPr>
          <w:rFonts w:ascii="Times New Roman" w:hAnsi="Times New Roman" w:cs="Times New Roman"/>
        </w:rPr>
        <w:t xml:space="preserve"> occurs</w:t>
      </w:r>
      <w:r w:rsidR="00E51AE1" w:rsidRPr="00D56B97">
        <w:rPr>
          <w:rFonts w:ascii="Times New Roman" w:hAnsi="Times New Roman" w:cs="Times New Roman"/>
        </w:rPr>
        <w:t xml:space="preserve"> in the</w:t>
      </w:r>
      <w:r w:rsidR="00415DC5" w:rsidRPr="00D56B97">
        <w:rPr>
          <w:rFonts w:ascii="Times New Roman" w:hAnsi="Times New Roman" w:cs="Times New Roman"/>
        </w:rPr>
        <w:t xml:space="preserve"> cases</w:t>
      </w:r>
      <w:r w:rsidR="00A263FF" w:rsidRPr="00D56B97">
        <w:rPr>
          <w:rFonts w:ascii="Times New Roman" w:hAnsi="Times New Roman" w:cs="Times New Roman"/>
        </w:rPr>
        <w:t>.</w:t>
      </w:r>
      <w:r w:rsidR="00FF5987" w:rsidRPr="00D56B97">
        <w:rPr>
          <w:rStyle w:val="FootnoteReference"/>
          <w:rFonts w:ascii="Times New Roman" w:hAnsi="Times New Roman" w:cs="Times New Roman"/>
        </w:rPr>
        <w:footnoteReference w:id="137"/>
      </w:r>
      <w:r w:rsidR="00A263FF" w:rsidRPr="00D56B97">
        <w:rPr>
          <w:rFonts w:ascii="Times New Roman" w:hAnsi="Times New Roman" w:cs="Times New Roman"/>
        </w:rPr>
        <w:t xml:space="preserve"> </w:t>
      </w:r>
      <w:r w:rsidR="00CE3978" w:rsidRPr="00D56B97">
        <w:rPr>
          <w:rFonts w:ascii="Times New Roman" w:hAnsi="Times New Roman" w:cs="Times New Roman"/>
          <w:i/>
        </w:rPr>
        <w:t>Wye Valley</w:t>
      </w:r>
      <w:r w:rsidR="00A263FF" w:rsidRPr="00D56B97">
        <w:rPr>
          <w:rFonts w:ascii="Times New Roman" w:hAnsi="Times New Roman" w:cs="Times New Roman"/>
        </w:rPr>
        <w:t xml:space="preserve"> is particularly striking:</w:t>
      </w:r>
    </w:p>
    <w:p w14:paraId="7493C89E" w14:textId="77777777" w:rsidR="008B18CC" w:rsidRPr="00D56B97" w:rsidRDefault="00790711" w:rsidP="00021A54">
      <w:pPr>
        <w:spacing w:line="480" w:lineRule="auto"/>
        <w:ind w:left="567" w:right="567"/>
        <w:jc w:val="both"/>
        <w:rPr>
          <w:rFonts w:ascii="Times New Roman" w:hAnsi="Times New Roman" w:cs="Times New Roman"/>
        </w:rPr>
      </w:pPr>
      <w:r w:rsidRPr="00D56B97">
        <w:rPr>
          <w:rFonts w:ascii="Times New Roman" w:hAnsi="Times New Roman" w:cs="Times New Roman"/>
        </w:rPr>
        <w:lastRenderedPageBreak/>
        <w:t>…</w:t>
      </w:r>
      <w:r w:rsidR="00CE3978" w:rsidRPr="00D56B97">
        <w:rPr>
          <w:rFonts w:ascii="Times New Roman" w:hAnsi="Times New Roman" w:cs="Times New Roman"/>
        </w:rPr>
        <w:t>the wishes and feelings, beliefs and values of a person with a mental illness can be of such long standing that they are an inextricable part of the person that he is. In this situation, I do not find it helpful to see the person as if he were a person in good health who has been afflicted by illness. It is more real and more respectful to recognise him for who he is: a person with his own intrinsic beliefs and values.</w:t>
      </w:r>
      <w:r w:rsidR="007D399B" w:rsidRPr="00D56B97">
        <w:rPr>
          <w:rStyle w:val="FootnoteReference"/>
          <w:rFonts w:ascii="Times New Roman" w:hAnsi="Times New Roman" w:cs="Times New Roman"/>
        </w:rPr>
        <w:footnoteReference w:id="138"/>
      </w:r>
    </w:p>
    <w:p w14:paraId="7493C89F" w14:textId="24443901" w:rsidR="003708C8" w:rsidRPr="00D56B97" w:rsidRDefault="00E04C0D" w:rsidP="00021A54">
      <w:pPr>
        <w:spacing w:line="480" w:lineRule="auto"/>
        <w:jc w:val="both"/>
        <w:rPr>
          <w:rFonts w:ascii="Times New Roman" w:hAnsi="Times New Roman" w:cs="Times New Roman"/>
        </w:rPr>
      </w:pPr>
      <w:r w:rsidRPr="00D56B97">
        <w:rPr>
          <w:rFonts w:ascii="Times New Roman" w:hAnsi="Times New Roman" w:cs="Times New Roman"/>
        </w:rPr>
        <w:t>In this case, even acknowledging</w:t>
      </w:r>
      <w:r w:rsidR="00452D40" w:rsidRPr="00D56B97">
        <w:rPr>
          <w:rFonts w:ascii="Times New Roman" w:hAnsi="Times New Roman" w:cs="Times New Roman"/>
        </w:rPr>
        <w:t xml:space="preserve"> that Mr B’s wishes </w:t>
      </w:r>
      <w:r w:rsidR="00415DC5" w:rsidRPr="00D56B97">
        <w:rPr>
          <w:rFonts w:ascii="Times New Roman" w:hAnsi="Times New Roman" w:cs="Times New Roman"/>
        </w:rPr>
        <w:t xml:space="preserve">followed from ‘delusions arising from mental </w:t>
      </w:r>
      <w:proofErr w:type="gramStart"/>
      <w:r w:rsidR="00415DC5" w:rsidRPr="00D56B97">
        <w:rPr>
          <w:rFonts w:ascii="Times New Roman" w:hAnsi="Times New Roman" w:cs="Times New Roman"/>
        </w:rPr>
        <w:t>illness’</w:t>
      </w:r>
      <w:proofErr w:type="gramEnd"/>
      <w:r w:rsidR="004101CB" w:rsidRPr="00D56B97">
        <w:rPr>
          <w:rFonts w:ascii="Times New Roman" w:hAnsi="Times New Roman" w:cs="Times New Roman"/>
        </w:rPr>
        <w:t xml:space="preserve"> did not</w:t>
      </w:r>
      <w:r w:rsidR="00452D40" w:rsidRPr="00D56B97">
        <w:rPr>
          <w:rFonts w:ascii="Times New Roman" w:hAnsi="Times New Roman" w:cs="Times New Roman"/>
        </w:rPr>
        <w:t xml:space="preserve"> mean that they</w:t>
      </w:r>
      <w:r w:rsidR="00415DC5" w:rsidRPr="00D56B97">
        <w:rPr>
          <w:rFonts w:ascii="Times New Roman" w:hAnsi="Times New Roman" w:cs="Times New Roman"/>
        </w:rPr>
        <w:t xml:space="preserve"> should be given </w:t>
      </w:r>
      <w:r w:rsidRPr="00D56B97">
        <w:rPr>
          <w:rFonts w:ascii="Times New Roman" w:hAnsi="Times New Roman" w:cs="Times New Roman"/>
        </w:rPr>
        <w:t xml:space="preserve">any </w:t>
      </w:r>
      <w:r w:rsidR="00415DC5" w:rsidRPr="00D56B97">
        <w:rPr>
          <w:rFonts w:ascii="Times New Roman" w:hAnsi="Times New Roman" w:cs="Times New Roman"/>
        </w:rPr>
        <w:t>less wei</w:t>
      </w:r>
      <w:r w:rsidR="00E51AE1" w:rsidRPr="00D56B97">
        <w:rPr>
          <w:rFonts w:ascii="Times New Roman" w:hAnsi="Times New Roman" w:cs="Times New Roman"/>
        </w:rPr>
        <w:t>ght.</w:t>
      </w:r>
      <w:r w:rsidR="00452D40" w:rsidRPr="00D56B97">
        <w:rPr>
          <w:rFonts w:ascii="Times New Roman" w:hAnsi="Times New Roman" w:cs="Times New Roman"/>
          <w:vertAlign w:val="superscript"/>
        </w:rPr>
        <w:footnoteReference w:id="139"/>
      </w:r>
      <w:r w:rsidR="00452D40" w:rsidRPr="00D56B97">
        <w:rPr>
          <w:rFonts w:ascii="Times New Roman" w:hAnsi="Times New Roman" w:cs="Times New Roman"/>
        </w:rPr>
        <w:t xml:space="preserve"> </w:t>
      </w:r>
      <w:r w:rsidRPr="00D56B97">
        <w:rPr>
          <w:rFonts w:ascii="Times New Roman" w:hAnsi="Times New Roman" w:cs="Times New Roman"/>
        </w:rPr>
        <w:t>D</w:t>
      </w:r>
      <w:r w:rsidR="00C940CC" w:rsidRPr="00D56B97">
        <w:rPr>
          <w:rFonts w:ascii="Times New Roman" w:hAnsi="Times New Roman" w:cs="Times New Roman"/>
        </w:rPr>
        <w:t>espite the</w:t>
      </w:r>
      <w:r w:rsidR="00E51AE1" w:rsidRPr="00D56B97">
        <w:rPr>
          <w:rFonts w:ascii="Times New Roman" w:hAnsi="Times New Roman" w:cs="Times New Roman"/>
        </w:rPr>
        <w:t>ir</w:t>
      </w:r>
      <w:r w:rsidR="00FC4D66" w:rsidRPr="00D56B97">
        <w:rPr>
          <w:rFonts w:ascii="Times New Roman" w:hAnsi="Times New Roman" w:cs="Times New Roman"/>
        </w:rPr>
        <w:t xml:space="preserve"> apparent irrationality</w:t>
      </w:r>
      <w:r w:rsidR="00E51AE1" w:rsidRPr="00D56B97">
        <w:rPr>
          <w:rFonts w:ascii="Times New Roman" w:hAnsi="Times New Roman" w:cs="Times New Roman"/>
        </w:rPr>
        <w:t xml:space="preserve">, </w:t>
      </w:r>
      <w:r w:rsidR="004F21AE" w:rsidRPr="00D56B97">
        <w:rPr>
          <w:rFonts w:ascii="Times New Roman" w:hAnsi="Times New Roman" w:cs="Times New Roman"/>
        </w:rPr>
        <w:t>Mr B</w:t>
      </w:r>
      <w:r w:rsidRPr="00D56B97">
        <w:rPr>
          <w:rFonts w:ascii="Times New Roman" w:hAnsi="Times New Roman" w:cs="Times New Roman"/>
        </w:rPr>
        <w:t>’s desires</w:t>
      </w:r>
      <w:r w:rsidR="00FC4D66" w:rsidRPr="00D56B97">
        <w:rPr>
          <w:rFonts w:ascii="Times New Roman" w:hAnsi="Times New Roman" w:cs="Times New Roman"/>
        </w:rPr>
        <w:t xml:space="preserve"> were an ‘inextricable’</w:t>
      </w:r>
      <w:r w:rsidR="00E51AE1" w:rsidRPr="00D56B97">
        <w:rPr>
          <w:rFonts w:ascii="Times New Roman" w:hAnsi="Times New Roman" w:cs="Times New Roman"/>
        </w:rPr>
        <w:t xml:space="preserve"> and ‘intrinsic’</w:t>
      </w:r>
      <w:r w:rsidR="00FC4D66" w:rsidRPr="00D56B97">
        <w:rPr>
          <w:rFonts w:ascii="Times New Roman" w:hAnsi="Times New Roman" w:cs="Times New Roman"/>
        </w:rPr>
        <w:t xml:space="preserve"> part of him</w:t>
      </w:r>
      <w:r w:rsidRPr="00D56B97">
        <w:rPr>
          <w:rFonts w:ascii="Times New Roman" w:hAnsi="Times New Roman" w:cs="Times New Roman"/>
        </w:rPr>
        <w:t>, and so worthy of respect</w:t>
      </w:r>
      <w:r w:rsidR="00E51AE1" w:rsidRPr="00D56B97">
        <w:rPr>
          <w:rFonts w:ascii="Times New Roman" w:hAnsi="Times New Roman" w:cs="Times New Roman"/>
        </w:rPr>
        <w:t>. Similarly, in</w:t>
      </w:r>
      <w:r w:rsidR="00FC4D66" w:rsidRPr="00D56B97">
        <w:rPr>
          <w:rFonts w:ascii="Times New Roman" w:hAnsi="Times New Roman" w:cs="Times New Roman"/>
        </w:rPr>
        <w:t xml:space="preserve"> </w:t>
      </w:r>
      <w:r w:rsidR="00FC4D66" w:rsidRPr="00D56B97">
        <w:rPr>
          <w:rFonts w:ascii="Times New Roman" w:hAnsi="Times New Roman" w:cs="Times New Roman"/>
          <w:i/>
        </w:rPr>
        <w:t>SAD v SED</w:t>
      </w:r>
      <w:r w:rsidR="00FC4D66" w:rsidRPr="00D56B97">
        <w:rPr>
          <w:rFonts w:ascii="Times New Roman" w:hAnsi="Times New Roman" w:cs="Times New Roman"/>
        </w:rPr>
        <w:t>, District Judge Glentworth found</w:t>
      </w:r>
      <w:r w:rsidR="00973FD9" w:rsidRPr="00D56B97">
        <w:rPr>
          <w:rFonts w:ascii="Times New Roman" w:hAnsi="Times New Roman" w:cs="Times New Roman"/>
        </w:rPr>
        <w:t xml:space="preserve"> of a woman with</w:t>
      </w:r>
      <w:r w:rsidR="00FC4D66" w:rsidRPr="00D56B97">
        <w:rPr>
          <w:rFonts w:ascii="Times New Roman" w:hAnsi="Times New Roman" w:cs="Times New Roman"/>
        </w:rPr>
        <w:t xml:space="preserve"> bipolar affective disorder</w:t>
      </w:r>
      <w:r w:rsidR="00DD3A31" w:rsidRPr="00D56B97">
        <w:rPr>
          <w:rFonts w:ascii="Times New Roman" w:hAnsi="Times New Roman" w:cs="Times New Roman"/>
        </w:rPr>
        <w:t xml:space="preserve"> </w:t>
      </w:r>
      <w:r w:rsidR="001126FE">
        <w:rPr>
          <w:rFonts w:ascii="Times New Roman" w:hAnsi="Times New Roman" w:cs="Times New Roman"/>
        </w:rPr>
        <w:t xml:space="preserve">that </w:t>
      </w:r>
      <w:r w:rsidR="00973FD9" w:rsidRPr="00D56B97">
        <w:rPr>
          <w:rFonts w:ascii="Times New Roman" w:hAnsi="Times New Roman" w:cs="Times New Roman"/>
        </w:rPr>
        <w:t>‘it cannot be said that her wishes and feelings can be delineated in a way which gives more weight to those expressed in a phase when the hypomania is absent than when …[it] affects her behaviour</w:t>
      </w:r>
      <w:r w:rsidR="00491D35" w:rsidRPr="00D56B97">
        <w:rPr>
          <w:rFonts w:ascii="Times New Roman" w:hAnsi="Times New Roman" w:cs="Times New Roman"/>
        </w:rPr>
        <w:t>’</w:t>
      </w:r>
      <w:r w:rsidR="00973FD9" w:rsidRPr="00D56B97">
        <w:rPr>
          <w:rFonts w:ascii="Times New Roman" w:hAnsi="Times New Roman" w:cs="Times New Roman"/>
        </w:rPr>
        <w:t>.</w:t>
      </w:r>
      <w:r w:rsidR="00DD3A31" w:rsidRPr="00D56B97">
        <w:rPr>
          <w:rStyle w:val="FootnoteReference"/>
          <w:rFonts w:ascii="Times New Roman" w:hAnsi="Times New Roman" w:cs="Times New Roman"/>
        </w:rPr>
        <w:footnoteReference w:id="140"/>
      </w:r>
      <w:r w:rsidR="00DD3A31" w:rsidRPr="00D56B97">
        <w:rPr>
          <w:rFonts w:ascii="Times New Roman" w:hAnsi="Times New Roman" w:cs="Times New Roman"/>
        </w:rPr>
        <w:t xml:space="preserve"> Both her symptomatic and asymptomatic selves were ‘part of who she is’.</w:t>
      </w:r>
      <w:r w:rsidR="00DD3A31" w:rsidRPr="00D56B97">
        <w:rPr>
          <w:rStyle w:val="FootnoteReference"/>
          <w:rFonts w:ascii="Times New Roman" w:hAnsi="Times New Roman" w:cs="Times New Roman"/>
        </w:rPr>
        <w:footnoteReference w:id="141"/>
      </w:r>
      <w:r w:rsidR="00BE375D" w:rsidRPr="00D56B97">
        <w:rPr>
          <w:rFonts w:ascii="Times New Roman" w:hAnsi="Times New Roman" w:cs="Times New Roman"/>
        </w:rPr>
        <w:t xml:space="preserve"> </w:t>
      </w:r>
      <w:r w:rsidR="00E51AE1" w:rsidRPr="00D56B97">
        <w:rPr>
          <w:rFonts w:ascii="Times New Roman" w:hAnsi="Times New Roman" w:cs="Times New Roman"/>
        </w:rPr>
        <w:t>In these cases</w:t>
      </w:r>
      <w:r w:rsidR="00EA5B6E" w:rsidRPr="00D56B97">
        <w:rPr>
          <w:rFonts w:ascii="Times New Roman" w:hAnsi="Times New Roman" w:cs="Times New Roman"/>
        </w:rPr>
        <w:t>, the authenticity of someone</w:t>
      </w:r>
      <w:r w:rsidR="00E51AE1" w:rsidRPr="00D56B97">
        <w:rPr>
          <w:rFonts w:ascii="Times New Roman" w:hAnsi="Times New Roman" w:cs="Times New Roman"/>
        </w:rPr>
        <w:t xml:space="preserve">’s wishes and feelings </w:t>
      </w:r>
      <w:r w:rsidR="00EA5B6E" w:rsidRPr="00D56B97">
        <w:rPr>
          <w:rFonts w:ascii="Times New Roman" w:hAnsi="Times New Roman" w:cs="Times New Roman"/>
        </w:rPr>
        <w:t>allows them</w:t>
      </w:r>
      <w:r w:rsidR="00E51AE1" w:rsidRPr="00D56B97">
        <w:rPr>
          <w:rFonts w:ascii="Times New Roman" w:hAnsi="Times New Roman" w:cs="Times New Roman"/>
        </w:rPr>
        <w:t xml:space="preserve"> to de</w:t>
      </w:r>
      <w:r w:rsidR="00EA5B6E" w:rsidRPr="00D56B97">
        <w:rPr>
          <w:rFonts w:ascii="Times New Roman" w:hAnsi="Times New Roman" w:cs="Times New Roman"/>
        </w:rPr>
        <w:t>termine</w:t>
      </w:r>
      <w:r w:rsidR="00E51AE1" w:rsidRPr="00D56B97">
        <w:rPr>
          <w:rFonts w:ascii="Times New Roman" w:hAnsi="Times New Roman" w:cs="Times New Roman"/>
        </w:rPr>
        <w:t xml:space="preserve"> </w:t>
      </w:r>
      <w:r w:rsidR="00EA5B6E" w:rsidRPr="00D56B97">
        <w:rPr>
          <w:rFonts w:ascii="Times New Roman" w:hAnsi="Times New Roman" w:cs="Times New Roman"/>
        </w:rPr>
        <w:t xml:space="preserve">that person’s </w:t>
      </w:r>
      <w:r w:rsidR="00E51AE1" w:rsidRPr="00D56B97">
        <w:rPr>
          <w:rFonts w:ascii="Times New Roman" w:hAnsi="Times New Roman" w:cs="Times New Roman"/>
        </w:rPr>
        <w:t xml:space="preserve">overall best interests. </w:t>
      </w:r>
      <w:r w:rsidR="00EA5B6E" w:rsidRPr="00D56B97">
        <w:rPr>
          <w:rFonts w:ascii="Times New Roman" w:hAnsi="Times New Roman" w:cs="Times New Roman"/>
        </w:rPr>
        <w:t>A</w:t>
      </w:r>
      <w:r w:rsidR="00E51AE1" w:rsidRPr="00D56B97">
        <w:rPr>
          <w:rFonts w:ascii="Times New Roman" w:hAnsi="Times New Roman" w:cs="Times New Roman"/>
        </w:rPr>
        <w:t>s</w:t>
      </w:r>
      <w:r w:rsidR="003708C8" w:rsidRPr="00D56B97">
        <w:rPr>
          <w:rFonts w:ascii="Times New Roman" w:hAnsi="Times New Roman" w:cs="Times New Roman"/>
        </w:rPr>
        <w:t xml:space="preserve"> with subjectivity and intelligibility, </w:t>
      </w:r>
      <w:r w:rsidR="00060E10" w:rsidRPr="00D56B97">
        <w:rPr>
          <w:rFonts w:ascii="Times New Roman" w:hAnsi="Times New Roman" w:cs="Times New Roman"/>
        </w:rPr>
        <w:t xml:space="preserve">authenticity allows </w:t>
      </w:r>
      <w:r w:rsidR="004B7D7C" w:rsidRPr="00D56B97">
        <w:rPr>
          <w:rFonts w:ascii="Times New Roman" w:hAnsi="Times New Roman" w:cs="Times New Roman"/>
        </w:rPr>
        <w:t xml:space="preserve">autonomy </w:t>
      </w:r>
      <w:r w:rsidR="00C940CC" w:rsidRPr="00D56B97">
        <w:rPr>
          <w:rFonts w:ascii="Times New Roman" w:hAnsi="Times New Roman" w:cs="Times New Roman"/>
        </w:rPr>
        <w:t xml:space="preserve">to </w:t>
      </w:r>
      <w:r w:rsidR="004B7D7C" w:rsidRPr="00D56B97">
        <w:rPr>
          <w:rFonts w:ascii="Times New Roman" w:hAnsi="Times New Roman" w:cs="Times New Roman"/>
        </w:rPr>
        <w:t>survive incapacity.</w:t>
      </w:r>
    </w:p>
    <w:p w14:paraId="7493C8A0" w14:textId="77777777" w:rsidR="000D336E" w:rsidRPr="00D56B97" w:rsidRDefault="00A22252" w:rsidP="00AC229E">
      <w:pPr>
        <w:spacing w:line="480" w:lineRule="auto"/>
        <w:jc w:val="center"/>
        <w:rPr>
          <w:rFonts w:ascii="Times New Roman" w:hAnsi="Times New Roman" w:cs="Times New Roman"/>
          <w:i/>
        </w:rPr>
      </w:pPr>
      <w:r w:rsidRPr="00D56B97">
        <w:rPr>
          <w:rFonts w:ascii="Times New Roman" w:hAnsi="Times New Roman" w:cs="Times New Roman"/>
          <w:i/>
        </w:rPr>
        <w:t>C</w:t>
      </w:r>
      <w:r w:rsidR="002A2114" w:rsidRPr="00D56B97">
        <w:rPr>
          <w:rFonts w:ascii="Times New Roman" w:hAnsi="Times New Roman" w:cs="Times New Roman"/>
          <w:i/>
        </w:rPr>
        <w:t>. Function of the Survival A</w:t>
      </w:r>
      <w:r w:rsidR="000D336E" w:rsidRPr="00D56B97">
        <w:rPr>
          <w:rFonts w:ascii="Times New Roman" w:hAnsi="Times New Roman" w:cs="Times New Roman"/>
          <w:i/>
        </w:rPr>
        <w:t>ccount</w:t>
      </w:r>
    </w:p>
    <w:p w14:paraId="7493C8A1" w14:textId="77777777" w:rsidR="003A13D7" w:rsidRPr="00D56B97" w:rsidRDefault="00313013" w:rsidP="00021A54">
      <w:pPr>
        <w:spacing w:line="480" w:lineRule="auto"/>
        <w:jc w:val="both"/>
        <w:rPr>
          <w:rFonts w:ascii="Times New Roman" w:hAnsi="Times New Roman" w:cs="Times New Roman"/>
        </w:rPr>
      </w:pPr>
      <w:r w:rsidRPr="00D56B97">
        <w:rPr>
          <w:rFonts w:ascii="Times New Roman" w:hAnsi="Times New Roman" w:cs="Times New Roman"/>
        </w:rPr>
        <w:t xml:space="preserve">Sometimes, after considering a person’s subjectivity and the intelligibility and authenticity of their wishes and feelings, a judge in the Court of Protection will find that those wishes and feelings determine the person’s objective best interests. This is not consistent with the gatekeeper and insufficiency accounts. In these </w:t>
      </w:r>
      <w:r w:rsidR="00EA5B6E" w:rsidRPr="00D56B97">
        <w:rPr>
          <w:rFonts w:ascii="Times New Roman" w:hAnsi="Times New Roman" w:cs="Times New Roman"/>
        </w:rPr>
        <w:t>cases, someone</w:t>
      </w:r>
      <w:r w:rsidRPr="00D56B97">
        <w:rPr>
          <w:rFonts w:ascii="Times New Roman" w:hAnsi="Times New Roman" w:cs="Times New Roman"/>
        </w:rPr>
        <w:t xml:space="preserve"> without capacity demonstrates</w:t>
      </w:r>
      <w:r w:rsidR="009305F1" w:rsidRPr="00D56B97">
        <w:rPr>
          <w:rFonts w:ascii="Times New Roman" w:hAnsi="Times New Roman" w:cs="Times New Roman"/>
        </w:rPr>
        <w:t xml:space="preserve"> that </w:t>
      </w:r>
      <w:r w:rsidR="000F161B" w:rsidRPr="00D56B97">
        <w:rPr>
          <w:rFonts w:ascii="Times New Roman" w:hAnsi="Times New Roman" w:cs="Times New Roman"/>
        </w:rPr>
        <w:t xml:space="preserve">they are </w:t>
      </w:r>
      <w:r w:rsidR="009305F1" w:rsidRPr="00D56B97">
        <w:rPr>
          <w:rFonts w:ascii="Times New Roman" w:hAnsi="Times New Roman" w:cs="Times New Roman"/>
        </w:rPr>
        <w:t>so capable of self-determination th</w:t>
      </w:r>
      <w:r w:rsidR="00EA5B6E" w:rsidRPr="00D56B97">
        <w:rPr>
          <w:rFonts w:ascii="Times New Roman" w:hAnsi="Times New Roman" w:cs="Times New Roman"/>
        </w:rPr>
        <w:t xml:space="preserve">at the state </w:t>
      </w:r>
      <w:r w:rsidR="00B313CA" w:rsidRPr="00D56B97">
        <w:rPr>
          <w:rFonts w:ascii="Times New Roman" w:hAnsi="Times New Roman" w:cs="Times New Roman"/>
        </w:rPr>
        <w:t>should not interfere with their</w:t>
      </w:r>
      <w:r w:rsidR="00EA5B6E" w:rsidRPr="00D56B97">
        <w:rPr>
          <w:rFonts w:ascii="Times New Roman" w:hAnsi="Times New Roman" w:cs="Times New Roman"/>
        </w:rPr>
        <w:t xml:space="preserve"> decision</w:t>
      </w:r>
      <w:r w:rsidRPr="00D56B97">
        <w:rPr>
          <w:rFonts w:ascii="Times New Roman" w:hAnsi="Times New Roman" w:cs="Times New Roman"/>
        </w:rPr>
        <w:t>.</w:t>
      </w:r>
      <w:r w:rsidR="00944DB9" w:rsidRPr="00D56B97">
        <w:rPr>
          <w:rFonts w:ascii="Times New Roman" w:hAnsi="Times New Roman" w:cs="Times New Roman"/>
        </w:rPr>
        <w:t xml:space="preserve"> </w:t>
      </w:r>
      <w:r w:rsidR="000D208D" w:rsidRPr="00D56B97">
        <w:rPr>
          <w:rFonts w:ascii="Times New Roman" w:hAnsi="Times New Roman" w:cs="Times New Roman"/>
        </w:rPr>
        <w:t xml:space="preserve">An appeal to respect for autonomy is successful. </w:t>
      </w:r>
      <w:r w:rsidR="00741A97" w:rsidRPr="00D56B97">
        <w:rPr>
          <w:rFonts w:ascii="Times New Roman" w:hAnsi="Times New Roman" w:cs="Times New Roman"/>
        </w:rPr>
        <w:t xml:space="preserve">This </w:t>
      </w:r>
      <w:r w:rsidR="00B313CA" w:rsidRPr="00D56B97">
        <w:rPr>
          <w:rFonts w:ascii="Times New Roman" w:hAnsi="Times New Roman" w:cs="Times New Roman"/>
        </w:rPr>
        <w:t>conclusion</w:t>
      </w:r>
      <w:r w:rsidR="00BD2B3D" w:rsidRPr="00D56B97">
        <w:rPr>
          <w:rFonts w:ascii="Times New Roman" w:hAnsi="Times New Roman" w:cs="Times New Roman"/>
        </w:rPr>
        <w:t xml:space="preserve"> </w:t>
      </w:r>
      <w:r w:rsidR="00741A97" w:rsidRPr="00D56B97">
        <w:rPr>
          <w:rFonts w:ascii="Times New Roman" w:hAnsi="Times New Roman" w:cs="Times New Roman"/>
        </w:rPr>
        <w:t>might</w:t>
      </w:r>
      <w:r w:rsidR="003E0A73" w:rsidRPr="00D56B97">
        <w:rPr>
          <w:rFonts w:ascii="Times New Roman" w:hAnsi="Times New Roman" w:cs="Times New Roman"/>
        </w:rPr>
        <w:t xml:space="preserve"> provoke some resistance.</w:t>
      </w:r>
      <w:r w:rsidR="00741A97" w:rsidRPr="00D56B97">
        <w:rPr>
          <w:rFonts w:ascii="Times New Roman" w:hAnsi="Times New Roman" w:cs="Times New Roman"/>
        </w:rPr>
        <w:t xml:space="preserve"> </w:t>
      </w:r>
      <w:r w:rsidR="00AA52DD" w:rsidRPr="00D56B97">
        <w:rPr>
          <w:rFonts w:ascii="Times New Roman" w:hAnsi="Times New Roman" w:cs="Times New Roman"/>
        </w:rPr>
        <w:t>Re</w:t>
      </w:r>
      <w:r w:rsidR="00741A97" w:rsidRPr="00D56B97">
        <w:rPr>
          <w:rFonts w:ascii="Times New Roman" w:hAnsi="Times New Roman" w:cs="Times New Roman"/>
        </w:rPr>
        <w:t>stricting</w:t>
      </w:r>
      <w:r w:rsidR="00B313CA" w:rsidRPr="00D56B97">
        <w:rPr>
          <w:rFonts w:ascii="Times New Roman" w:hAnsi="Times New Roman" w:cs="Times New Roman"/>
        </w:rPr>
        <w:t xml:space="preserve"> a</w:t>
      </w:r>
      <w:r w:rsidR="00741A97" w:rsidRPr="00D56B97">
        <w:rPr>
          <w:rFonts w:ascii="Times New Roman" w:hAnsi="Times New Roman" w:cs="Times New Roman"/>
        </w:rPr>
        <w:t xml:space="preserve"> judge</w:t>
      </w:r>
      <w:r w:rsidR="00B313CA" w:rsidRPr="00D56B97">
        <w:rPr>
          <w:rFonts w:ascii="Times New Roman" w:hAnsi="Times New Roman" w:cs="Times New Roman"/>
        </w:rPr>
        <w:t xml:space="preserve"> to abiding by someone’s</w:t>
      </w:r>
      <w:r w:rsidR="00741A97" w:rsidRPr="00D56B97">
        <w:rPr>
          <w:rFonts w:ascii="Times New Roman" w:hAnsi="Times New Roman" w:cs="Times New Roman"/>
        </w:rPr>
        <w:t xml:space="preserve"> wishes only when it is </w:t>
      </w:r>
      <w:r w:rsidR="00AA52DD" w:rsidRPr="00D56B97">
        <w:rPr>
          <w:rFonts w:ascii="Times New Roman" w:hAnsi="Times New Roman" w:cs="Times New Roman"/>
        </w:rPr>
        <w:t>in that pers</w:t>
      </w:r>
      <w:r w:rsidR="00B313CA" w:rsidRPr="00D56B97">
        <w:rPr>
          <w:rFonts w:ascii="Times New Roman" w:hAnsi="Times New Roman" w:cs="Times New Roman"/>
        </w:rPr>
        <w:t>o</w:t>
      </w:r>
      <w:r w:rsidR="00E37C61" w:rsidRPr="00D56B97">
        <w:rPr>
          <w:rFonts w:ascii="Times New Roman" w:hAnsi="Times New Roman" w:cs="Times New Roman"/>
        </w:rPr>
        <w:t>n’s overall best interest</w:t>
      </w:r>
      <w:r w:rsidR="002D26F2" w:rsidRPr="00D56B97">
        <w:rPr>
          <w:rFonts w:ascii="Times New Roman" w:hAnsi="Times New Roman" w:cs="Times New Roman"/>
        </w:rPr>
        <w:t>s might</w:t>
      </w:r>
      <w:r w:rsidR="00AA52DD" w:rsidRPr="00D56B97">
        <w:rPr>
          <w:rFonts w:ascii="Times New Roman" w:hAnsi="Times New Roman" w:cs="Times New Roman"/>
        </w:rPr>
        <w:t xml:space="preserve"> not </w:t>
      </w:r>
      <w:r w:rsidR="00EA5B6E" w:rsidRPr="00D56B97">
        <w:rPr>
          <w:rFonts w:ascii="Times New Roman" w:hAnsi="Times New Roman" w:cs="Times New Roman"/>
        </w:rPr>
        <w:t>be thought</w:t>
      </w:r>
      <w:r w:rsidR="00AA52DD" w:rsidRPr="00D56B97">
        <w:rPr>
          <w:rFonts w:ascii="Times New Roman" w:hAnsi="Times New Roman" w:cs="Times New Roman"/>
        </w:rPr>
        <w:t xml:space="preserve"> </w:t>
      </w:r>
      <w:r w:rsidR="00B313CA" w:rsidRPr="00D56B97">
        <w:rPr>
          <w:rFonts w:ascii="Times New Roman" w:hAnsi="Times New Roman" w:cs="Times New Roman"/>
        </w:rPr>
        <w:t>strong enough to</w:t>
      </w:r>
      <w:r w:rsidR="00944DB9" w:rsidRPr="00D56B97">
        <w:rPr>
          <w:rFonts w:ascii="Times New Roman" w:hAnsi="Times New Roman" w:cs="Times New Roman"/>
        </w:rPr>
        <w:t xml:space="preserve"> be called the law </w:t>
      </w:r>
      <w:r w:rsidR="002F6A2C" w:rsidRPr="00D56B97">
        <w:rPr>
          <w:rFonts w:ascii="Times New Roman" w:hAnsi="Times New Roman" w:cs="Times New Roman"/>
        </w:rPr>
        <w:t>‘</w:t>
      </w:r>
      <w:r w:rsidR="00944DB9" w:rsidRPr="00D56B97">
        <w:rPr>
          <w:rFonts w:ascii="Times New Roman" w:hAnsi="Times New Roman" w:cs="Times New Roman"/>
        </w:rPr>
        <w:t>respecting</w:t>
      </w:r>
      <w:r w:rsidR="00AA52DD" w:rsidRPr="00D56B97">
        <w:rPr>
          <w:rFonts w:ascii="Times New Roman" w:hAnsi="Times New Roman" w:cs="Times New Roman"/>
        </w:rPr>
        <w:t xml:space="preserve"> autonomy</w:t>
      </w:r>
      <w:r w:rsidR="002F6A2C" w:rsidRPr="00D56B97">
        <w:rPr>
          <w:rFonts w:ascii="Times New Roman" w:hAnsi="Times New Roman" w:cs="Times New Roman"/>
        </w:rPr>
        <w:t>’</w:t>
      </w:r>
      <w:r w:rsidR="00AA52DD" w:rsidRPr="00D56B97">
        <w:rPr>
          <w:rFonts w:ascii="Times New Roman" w:hAnsi="Times New Roman" w:cs="Times New Roman"/>
        </w:rPr>
        <w:t xml:space="preserve">. </w:t>
      </w:r>
      <w:r w:rsidR="00EA5B6E" w:rsidRPr="00D56B97">
        <w:rPr>
          <w:rFonts w:ascii="Times New Roman" w:hAnsi="Times New Roman" w:cs="Times New Roman"/>
        </w:rPr>
        <w:t>Such resistance would be misplaced</w:t>
      </w:r>
      <w:r w:rsidR="00944DB9" w:rsidRPr="00D56B97">
        <w:rPr>
          <w:rFonts w:ascii="Times New Roman" w:hAnsi="Times New Roman" w:cs="Times New Roman"/>
        </w:rPr>
        <w:t>. H</w:t>
      </w:r>
      <w:r w:rsidR="00A26D01" w:rsidRPr="00D56B97">
        <w:rPr>
          <w:rFonts w:ascii="Times New Roman" w:hAnsi="Times New Roman" w:cs="Times New Roman"/>
        </w:rPr>
        <w:t xml:space="preserve">aving a legal </w:t>
      </w:r>
      <w:r w:rsidR="00A26D01" w:rsidRPr="00D56B97">
        <w:rPr>
          <w:rFonts w:ascii="Times New Roman" w:hAnsi="Times New Roman" w:cs="Times New Roman"/>
        </w:rPr>
        <w:lastRenderedPageBreak/>
        <w:t xml:space="preserve">right that is </w:t>
      </w:r>
      <w:r w:rsidR="00AA52DD" w:rsidRPr="00D56B97">
        <w:rPr>
          <w:rFonts w:ascii="Times New Roman" w:hAnsi="Times New Roman" w:cs="Times New Roman"/>
        </w:rPr>
        <w:t>subject to conditions (here, the person’s overall best interests) does not</w:t>
      </w:r>
      <w:r w:rsidR="00A26D01" w:rsidRPr="00D56B97">
        <w:rPr>
          <w:rFonts w:ascii="Times New Roman" w:hAnsi="Times New Roman" w:cs="Times New Roman"/>
        </w:rPr>
        <w:t xml:space="preserve"> </w:t>
      </w:r>
      <w:r w:rsidR="00AA52DD" w:rsidRPr="00D56B97">
        <w:rPr>
          <w:rFonts w:ascii="Times New Roman" w:hAnsi="Times New Roman" w:cs="Times New Roman"/>
        </w:rPr>
        <w:t xml:space="preserve">mean that </w:t>
      </w:r>
      <w:r w:rsidR="00A26D01" w:rsidRPr="00D56B97">
        <w:rPr>
          <w:rFonts w:ascii="Times New Roman" w:hAnsi="Times New Roman" w:cs="Times New Roman"/>
        </w:rPr>
        <w:t>there is no</w:t>
      </w:r>
      <w:r w:rsidR="00934B30" w:rsidRPr="00D56B97">
        <w:rPr>
          <w:rFonts w:ascii="Times New Roman" w:hAnsi="Times New Roman" w:cs="Times New Roman"/>
        </w:rPr>
        <w:t xml:space="preserve"> legal right. It</w:t>
      </w:r>
      <w:r w:rsidR="00AA52DD" w:rsidRPr="00D56B97">
        <w:rPr>
          <w:rFonts w:ascii="Times New Roman" w:hAnsi="Times New Roman" w:cs="Times New Roman"/>
        </w:rPr>
        <w:t xml:space="preserve"> </w:t>
      </w:r>
      <w:r w:rsidR="00A26D01" w:rsidRPr="00D56B97">
        <w:rPr>
          <w:rFonts w:ascii="Times New Roman" w:hAnsi="Times New Roman" w:cs="Times New Roman"/>
        </w:rPr>
        <w:t>means that there</w:t>
      </w:r>
      <w:r w:rsidR="00CA72E2" w:rsidRPr="00D56B97">
        <w:rPr>
          <w:rFonts w:ascii="Times New Roman" w:hAnsi="Times New Roman" w:cs="Times New Roman"/>
        </w:rPr>
        <w:t xml:space="preserve"> is a conditional</w:t>
      </w:r>
      <w:r w:rsidR="00934B30" w:rsidRPr="00D56B97">
        <w:rPr>
          <w:rFonts w:ascii="Times New Roman" w:hAnsi="Times New Roman" w:cs="Times New Roman"/>
        </w:rPr>
        <w:t xml:space="preserve"> legal right.</w:t>
      </w:r>
      <w:r w:rsidR="00B75A30" w:rsidRPr="00D56B97">
        <w:rPr>
          <w:rStyle w:val="FootnoteReference"/>
          <w:rFonts w:ascii="Times New Roman" w:hAnsi="Times New Roman" w:cs="Times New Roman"/>
        </w:rPr>
        <w:footnoteReference w:id="142"/>
      </w:r>
      <w:r w:rsidR="00934B30" w:rsidRPr="00D56B97">
        <w:rPr>
          <w:rFonts w:ascii="Times New Roman" w:hAnsi="Times New Roman" w:cs="Times New Roman"/>
        </w:rPr>
        <w:t xml:space="preserve"> In capacity law</w:t>
      </w:r>
      <w:r w:rsidR="00AA52DD" w:rsidRPr="00D56B97">
        <w:rPr>
          <w:rFonts w:ascii="Times New Roman" w:hAnsi="Times New Roman" w:cs="Times New Roman"/>
        </w:rPr>
        <w:t>, thi</w:t>
      </w:r>
      <w:r w:rsidR="003A13D7" w:rsidRPr="00D56B97">
        <w:rPr>
          <w:rFonts w:ascii="Times New Roman" w:hAnsi="Times New Roman" w:cs="Times New Roman"/>
        </w:rPr>
        <w:t xml:space="preserve">s is </w:t>
      </w:r>
      <w:r w:rsidR="00934B30" w:rsidRPr="00D56B97">
        <w:rPr>
          <w:rFonts w:ascii="Times New Roman" w:hAnsi="Times New Roman" w:cs="Times New Roman"/>
        </w:rPr>
        <w:t xml:space="preserve">not unique. </w:t>
      </w:r>
      <w:r w:rsidR="00944DB9" w:rsidRPr="00D56B97">
        <w:rPr>
          <w:rFonts w:ascii="Times New Roman" w:hAnsi="Times New Roman" w:cs="Times New Roman"/>
        </w:rPr>
        <w:t>If</w:t>
      </w:r>
      <w:r w:rsidR="003A13D7" w:rsidRPr="00D56B97">
        <w:rPr>
          <w:rFonts w:ascii="Times New Roman" w:hAnsi="Times New Roman" w:cs="Times New Roman"/>
        </w:rPr>
        <w:t xml:space="preserve"> people with capacity have a legal right to make autonomous decision</w:t>
      </w:r>
      <w:r w:rsidR="00944DB9" w:rsidRPr="00D56B97">
        <w:rPr>
          <w:rFonts w:ascii="Times New Roman" w:hAnsi="Times New Roman" w:cs="Times New Roman"/>
        </w:rPr>
        <w:t>s, then that</w:t>
      </w:r>
      <w:r w:rsidR="003A13D7" w:rsidRPr="00D56B97">
        <w:rPr>
          <w:rFonts w:ascii="Times New Roman" w:hAnsi="Times New Roman" w:cs="Times New Roman"/>
        </w:rPr>
        <w:t xml:space="preserve"> right is depe</w:t>
      </w:r>
      <w:r w:rsidR="00944DB9" w:rsidRPr="00D56B97">
        <w:rPr>
          <w:rFonts w:ascii="Times New Roman" w:hAnsi="Times New Roman" w:cs="Times New Roman"/>
        </w:rPr>
        <w:t>ndent on them being presumed or found</w:t>
      </w:r>
      <w:r w:rsidR="003A13D7" w:rsidRPr="00D56B97">
        <w:rPr>
          <w:rFonts w:ascii="Times New Roman" w:hAnsi="Times New Roman" w:cs="Times New Roman"/>
        </w:rPr>
        <w:t xml:space="preserve"> to have capacity.</w:t>
      </w:r>
      <w:r w:rsidR="00386CEB" w:rsidRPr="00D56B97">
        <w:rPr>
          <w:rFonts w:ascii="Times New Roman" w:hAnsi="Times New Roman" w:cs="Times New Roman"/>
        </w:rPr>
        <w:t xml:space="preserve"> </w:t>
      </w:r>
      <w:r w:rsidR="00CA72E2" w:rsidRPr="00D56B97">
        <w:rPr>
          <w:rFonts w:ascii="Times New Roman" w:hAnsi="Times New Roman" w:cs="Times New Roman"/>
        </w:rPr>
        <w:t>It, too, is a conditional</w:t>
      </w:r>
      <w:r w:rsidR="00934B30" w:rsidRPr="00D56B97">
        <w:rPr>
          <w:rFonts w:ascii="Times New Roman" w:hAnsi="Times New Roman" w:cs="Times New Roman"/>
        </w:rPr>
        <w:t xml:space="preserve"> right. </w:t>
      </w:r>
      <w:r w:rsidR="00944DB9" w:rsidRPr="00D56B97">
        <w:rPr>
          <w:rFonts w:ascii="Times New Roman" w:hAnsi="Times New Roman" w:cs="Times New Roman"/>
        </w:rPr>
        <w:t xml:space="preserve">It is true </w:t>
      </w:r>
      <w:r w:rsidR="00386CEB" w:rsidRPr="00D56B97">
        <w:rPr>
          <w:rFonts w:ascii="Times New Roman" w:hAnsi="Times New Roman" w:cs="Times New Roman"/>
        </w:rPr>
        <w:t>that bes</w:t>
      </w:r>
      <w:r w:rsidR="00EA5B6E" w:rsidRPr="00D56B97">
        <w:rPr>
          <w:rFonts w:ascii="Times New Roman" w:hAnsi="Times New Roman" w:cs="Times New Roman"/>
        </w:rPr>
        <w:t xml:space="preserve">t </w:t>
      </w:r>
      <w:proofErr w:type="gramStart"/>
      <w:r w:rsidR="00EA5B6E" w:rsidRPr="00D56B97">
        <w:rPr>
          <w:rFonts w:ascii="Times New Roman" w:hAnsi="Times New Roman" w:cs="Times New Roman"/>
        </w:rPr>
        <w:t>interests</w:t>
      </w:r>
      <w:proofErr w:type="gramEnd"/>
      <w:r w:rsidR="00EA5B6E" w:rsidRPr="00D56B97">
        <w:rPr>
          <w:rFonts w:ascii="Times New Roman" w:hAnsi="Times New Roman" w:cs="Times New Roman"/>
        </w:rPr>
        <w:t xml:space="preserve"> decisions leave </w:t>
      </w:r>
      <w:r w:rsidR="0020364C" w:rsidRPr="00D56B97">
        <w:rPr>
          <w:rFonts w:ascii="Times New Roman" w:hAnsi="Times New Roman" w:cs="Times New Roman"/>
        </w:rPr>
        <w:t xml:space="preserve">a lot of </w:t>
      </w:r>
      <w:r w:rsidR="00934B30" w:rsidRPr="00D56B97">
        <w:rPr>
          <w:rFonts w:ascii="Times New Roman" w:hAnsi="Times New Roman" w:cs="Times New Roman"/>
        </w:rPr>
        <w:t>discretion to the decision-</w:t>
      </w:r>
      <w:r w:rsidR="00386CEB" w:rsidRPr="00D56B97">
        <w:rPr>
          <w:rFonts w:ascii="Times New Roman" w:hAnsi="Times New Roman" w:cs="Times New Roman"/>
        </w:rPr>
        <w:t>m</w:t>
      </w:r>
      <w:r w:rsidR="0087288C" w:rsidRPr="00D56B97">
        <w:rPr>
          <w:rFonts w:ascii="Times New Roman" w:hAnsi="Times New Roman" w:cs="Times New Roman"/>
        </w:rPr>
        <w:t>aker,</w:t>
      </w:r>
      <w:r w:rsidR="00944DB9" w:rsidRPr="00D56B97">
        <w:rPr>
          <w:rFonts w:ascii="Times New Roman" w:hAnsi="Times New Roman" w:cs="Times New Roman"/>
        </w:rPr>
        <w:t xml:space="preserve"> but s</w:t>
      </w:r>
      <w:r w:rsidR="0087288C" w:rsidRPr="00D56B97">
        <w:rPr>
          <w:rFonts w:ascii="Times New Roman" w:hAnsi="Times New Roman" w:cs="Times New Roman"/>
        </w:rPr>
        <w:t>o</w:t>
      </w:r>
      <w:r w:rsidR="00386CEB" w:rsidRPr="00D56B97">
        <w:rPr>
          <w:rFonts w:ascii="Times New Roman" w:hAnsi="Times New Roman" w:cs="Times New Roman"/>
        </w:rPr>
        <w:t xml:space="preserve"> do capaci</w:t>
      </w:r>
      <w:r w:rsidR="00934B30" w:rsidRPr="00D56B97">
        <w:rPr>
          <w:rFonts w:ascii="Times New Roman" w:hAnsi="Times New Roman" w:cs="Times New Roman"/>
        </w:rPr>
        <w:t>ty assess</w:t>
      </w:r>
      <w:r w:rsidR="00C0589D" w:rsidRPr="00D56B97">
        <w:rPr>
          <w:rFonts w:ascii="Times New Roman" w:hAnsi="Times New Roman" w:cs="Times New Roman"/>
        </w:rPr>
        <w:t xml:space="preserve">ments, </w:t>
      </w:r>
      <w:r w:rsidR="0087288C" w:rsidRPr="00D56B97">
        <w:rPr>
          <w:rFonts w:ascii="Times New Roman" w:hAnsi="Times New Roman" w:cs="Times New Roman"/>
        </w:rPr>
        <w:t>and</w:t>
      </w:r>
      <w:r w:rsidR="00C0589D" w:rsidRPr="00D56B97">
        <w:rPr>
          <w:rFonts w:ascii="Times New Roman" w:hAnsi="Times New Roman" w:cs="Times New Roman"/>
        </w:rPr>
        <w:t xml:space="preserve"> in</w:t>
      </w:r>
      <w:r w:rsidR="00795512" w:rsidRPr="00D56B97">
        <w:rPr>
          <w:rFonts w:ascii="Times New Roman" w:hAnsi="Times New Roman" w:cs="Times New Roman"/>
        </w:rPr>
        <w:t xml:space="preserve"> the Court of Protection</w:t>
      </w:r>
      <w:r w:rsidR="0087288C" w:rsidRPr="00D56B97">
        <w:rPr>
          <w:rFonts w:ascii="Times New Roman" w:hAnsi="Times New Roman" w:cs="Times New Roman"/>
        </w:rPr>
        <w:t xml:space="preserve"> they</w:t>
      </w:r>
      <w:r w:rsidR="00795512" w:rsidRPr="00D56B97">
        <w:rPr>
          <w:rFonts w:ascii="Times New Roman" w:hAnsi="Times New Roman" w:cs="Times New Roman"/>
        </w:rPr>
        <w:t xml:space="preserve"> are performed by a small group of expert witnesses.</w:t>
      </w:r>
      <w:r w:rsidR="00795512" w:rsidRPr="00D56B97">
        <w:rPr>
          <w:rStyle w:val="FootnoteReference"/>
          <w:rFonts w:ascii="Times New Roman" w:hAnsi="Times New Roman" w:cs="Times New Roman"/>
        </w:rPr>
        <w:footnoteReference w:id="143"/>
      </w:r>
      <w:r w:rsidR="00F06769" w:rsidRPr="00D56B97">
        <w:rPr>
          <w:rFonts w:ascii="Times New Roman" w:hAnsi="Times New Roman" w:cs="Times New Roman"/>
        </w:rPr>
        <w:t xml:space="preserve"> </w:t>
      </w:r>
      <w:r w:rsidR="00944DB9" w:rsidRPr="00D56B97">
        <w:rPr>
          <w:rFonts w:ascii="Times New Roman" w:hAnsi="Times New Roman" w:cs="Times New Roman"/>
        </w:rPr>
        <w:t>It is also true</w:t>
      </w:r>
      <w:r w:rsidR="00074E1F" w:rsidRPr="00D56B97">
        <w:rPr>
          <w:rFonts w:ascii="Times New Roman" w:hAnsi="Times New Roman" w:cs="Times New Roman"/>
        </w:rPr>
        <w:t xml:space="preserve"> that</w:t>
      </w:r>
      <w:r w:rsidR="008E26DC" w:rsidRPr="00D56B97">
        <w:rPr>
          <w:rFonts w:ascii="Times New Roman" w:hAnsi="Times New Roman" w:cs="Times New Roman"/>
        </w:rPr>
        <w:t xml:space="preserve"> there are</w:t>
      </w:r>
      <w:r w:rsidR="00316034" w:rsidRPr="00D56B97">
        <w:rPr>
          <w:rFonts w:ascii="Times New Roman" w:hAnsi="Times New Roman" w:cs="Times New Roman"/>
        </w:rPr>
        <w:t xml:space="preserve"> reasons to doubt </w:t>
      </w:r>
      <w:r w:rsidR="005D0A4F" w:rsidRPr="00D56B97">
        <w:rPr>
          <w:rFonts w:ascii="Times New Roman" w:hAnsi="Times New Roman" w:cs="Times New Roman"/>
        </w:rPr>
        <w:t>whether</w:t>
      </w:r>
      <w:r w:rsidR="008E26DC" w:rsidRPr="00D56B97">
        <w:rPr>
          <w:rFonts w:ascii="Times New Roman" w:hAnsi="Times New Roman" w:cs="Times New Roman"/>
        </w:rPr>
        <w:t xml:space="preserve"> best intere</w:t>
      </w:r>
      <w:r w:rsidR="00C44405" w:rsidRPr="00D56B97">
        <w:rPr>
          <w:rFonts w:ascii="Times New Roman" w:hAnsi="Times New Roman" w:cs="Times New Roman"/>
        </w:rPr>
        <w:t>sts decisions are</w:t>
      </w:r>
      <w:r w:rsidR="005D0A4F" w:rsidRPr="00D56B97">
        <w:rPr>
          <w:rFonts w:ascii="Times New Roman" w:hAnsi="Times New Roman" w:cs="Times New Roman"/>
        </w:rPr>
        <w:t xml:space="preserve"> consistently</w:t>
      </w:r>
      <w:r w:rsidR="00C44405" w:rsidRPr="00D56B97">
        <w:rPr>
          <w:rFonts w:ascii="Times New Roman" w:hAnsi="Times New Roman" w:cs="Times New Roman"/>
        </w:rPr>
        <w:t xml:space="preserve"> </w:t>
      </w:r>
      <w:r w:rsidR="00C0589D" w:rsidRPr="00D56B97">
        <w:rPr>
          <w:rFonts w:ascii="Times New Roman" w:hAnsi="Times New Roman" w:cs="Times New Roman"/>
        </w:rPr>
        <w:t>made with due rigour</w:t>
      </w:r>
      <w:r w:rsidR="00316034" w:rsidRPr="00D56B97">
        <w:rPr>
          <w:rFonts w:ascii="Times New Roman" w:hAnsi="Times New Roman" w:cs="Times New Roman"/>
        </w:rPr>
        <w:t>,</w:t>
      </w:r>
      <w:r w:rsidR="00316034" w:rsidRPr="00D56B97">
        <w:rPr>
          <w:rStyle w:val="FootnoteReference"/>
          <w:rFonts w:ascii="Times New Roman" w:hAnsi="Times New Roman" w:cs="Times New Roman"/>
        </w:rPr>
        <w:footnoteReference w:id="144"/>
      </w:r>
      <w:r w:rsidR="00316034" w:rsidRPr="00D56B97">
        <w:rPr>
          <w:rFonts w:ascii="Times New Roman" w:hAnsi="Times New Roman" w:cs="Times New Roman"/>
        </w:rPr>
        <w:t xml:space="preserve"> but</w:t>
      </w:r>
      <w:r w:rsidR="004B7E89" w:rsidRPr="00D56B97">
        <w:rPr>
          <w:rFonts w:ascii="Times New Roman" w:hAnsi="Times New Roman" w:cs="Times New Roman"/>
        </w:rPr>
        <w:t xml:space="preserve"> there are </w:t>
      </w:r>
      <w:r w:rsidR="00316034" w:rsidRPr="00D56B97">
        <w:rPr>
          <w:rFonts w:ascii="Times New Roman" w:hAnsi="Times New Roman" w:cs="Times New Roman"/>
        </w:rPr>
        <w:t xml:space="preserve">corresponding </w:t>
      </w:r>
      <w:r w:rsidR="004B7E89" w:rsidRPr="00D56B97">
        <w:rPr>
          <w:rFonts w:ascii="Times New Roman" w:hAnsi="Times New Roman" w:cs="Times New Roman"/>
        </w:rPr>
        <w:t>reasons to doubt the consistency of</w:t>
      </w:r>
      <w:r w:rsidR="00925A66" w:rsidRPr="00D56B97">
        <w:rPr>
          <w:rFonts w:ascii="Times New Roman" w:hAnsi="Times New Roman" w:cs="Times New Roman"/>
        </w:rPr>
        <w:t xml:space="preserve"> capacity assessments.</w:t>
      </w:r>
      <w:r w:rsidR="002624BA" w:rsidRPr="00D56B97">
        <w:rPr>
          <w:rStyle w:val="FootnoteReference"/>
          <w:rFonts w:ascii="Times New Roman" w:hAnsi="Times New Roman" w:cs="Times New Roman"/>
        </w:rPr>
        <w:footnoteReference w:id="145"/>
      </w:r>
      <w:r w:rsidR="008E26DC" w:rsidRPr="00D56B97">
        <w:rPr>
          <w:rFonts w:ascii="Times New Roman" w:hAnsi="Times New Roman" w:cs="Times New Roman"/>
        </w:rPr>
        <w:t xml:space="preserve"> Whatever the state of practice, in law autonomy can survive incapacity.</w:t>
      </w:r>
      <w:r w:rsidR="004C2AFB" w:rsidRPr="00D56B97">
        <w:rPr>
          <w:rStyle w:val="FootnoteReference"/>
          <w:rFonts w:ascii="Times New Roman" w:hAnsi="Times New Roman" w:cs="Times New Roman"/>
        </w:rPr>
        <w:footnoteReference w:id="146"/>
      </w:r>
    </w:p>
    <w:p w14:paraId="7493C8A2" w14:textId="77777777" w:rsidR="00717B08" w:rsidRPr="00D56B97" w:rsidRDefault="00FE54B6" w:rsidP="00B1079E">
      <w:pPr>
        <w:spacing w:line="480" w:lineRule="auto"/>
        <w:jc w:val="both"/>
        <w:rPr>
          <w:rFonts w:ascii="Times New Roman" w:hAnsi="Times New Roman" w:cs="Times New Roman"/>
        </w:rPr>
      </w:pPr>
      <w:r w:rsidRPr="00D56B97">
        <w:rPr>
          <w:rFonts w:ascii="Times New Roman" w:hAnsi="Times New Roman" w:cs="Times New Roman"/>
        </w:rPr>
        <w:t xml:space="preserve">It is easy </w:t>
      </w:r>
      <w:r w:rsidR="00004EA4" w:rsidRPr="00D56B97">
        <w:rPr>
          <w:rFonts w:ascii="Times New Roman" w:hAnsi="Times New Roman" w:cs="Times New Roman"/>
        </w:rPr>
        <w:t>to</w:t>
      </w:r>
      <w:r w:rsidRPr="00D56B97">
        <w:rPr>
          <w:rFonts w:ascii="Times New Roman" w:hAnsi="Times New Roman" w:cs="Times New Roman"/>
        </w:rPr>
        <w:t xml:space="preserve"> use </w:t>
      </w:r>
      <w:r w:rsidR="00B9665A" w:rsidRPr="00D56B97">
        <w:rPr>
          <w:rFonts w:ascii="Times New Roman" w:hAnsi="Times New Roman" w:cs="Times New Roman"/>
        </w:rPr>
        <w:t>the survival account</w:t>
      </w:r>
      <w:r w:rsidR="00004EA4" w:rsidRPr="00D56B97">
        <w:rPr>
          <w:rFonts w:ascii="Times New Roman" w:hAnsi="Times New Roman" w:cs="Times New Roman"/>
        </w:rPr>
        <w:t xml:space="preserve"> </w:t>
      </w:r>
      <w:r w:rsidR="008E26DC" w:rsidRPr="00D56B97">
        <w:rPr>
          <w:rFonts w:ascii="Times New Roman" w:hAnsi="Times New Roman" w:cs="Times New Roman"/>
        </w:rPr>
        <w:t>to tell</w:t>
      </w:r>
      <w:r w:rsidR="009E2535" w:rsidRPr="00D56B97">
        <w:rPr>
          <w:rFonts w:ascii="Times New Roman" w:hAnsi="Times New Roman" w:cs="Times New Roman"/>
        </w:rPr>
        <w:t xml:space="preserve"> a comforting</w:t>
      </w:r>
      <w:r w:rsidR="0024577F" w:rsidRPr="00D56B97">
        <w:rPr>
          <w:rFonts w:ascii="Times New Roman" w:hAnsi="Times New Roman" w:cs="Times New Roman"/>
        </w:rPr>
        <w:t xml:space="preserve"> </w:t>
      </w:r>
      <w:r w:rsidR="00004EA4" w:rsidRPr="00D56B97">
        <w:rPr>
          <w:rFonts w:ascii="Times New Roman" w:hAnsi="Times New Roman" w:cs="Times New Roman"/>
        </w:rPr>
        <w:t>story</w:t>
      </w:r>
      <w:r w:rsidRPr="00D56B97">
        <w:rPr>
          <w:rFonts w:ascii="Times New Roman" w:hAnsi="Times New Roman" w:cs="Times New Roman"/>
        </w:rPr>
        <w:t xml:space="preserve">. In this story, </w:t>
      </w:r>
      <w:r w:rsidR="00B9665A" w:rsidRPr="00D56B97">
        <w:rPr>
          <w:rFonts w:ascii="Times New Roman" w:hAnsi="Times New Roman" w:cs="Times New Roman"/>
        </w:rPr>
        <w:t xml:space="preserve">the </w:t>
      </w:r>
      <w:r w:rsidR="00004EA4" w:rsidRPr="00D56B97">
        <w:rPr>
          <w:rFonts w:ascii="Times New Roman" w:hAnsi="Times New Roman" w:cs="Times New Roman"/>
        </w:rPr>
        <w:t xml:space="preserve">law </w:t>
      </w:r>
      <w:r w:rsidRPr="00D56B97">
        <w:rPr>
          <w:rFonts w:ascii="Times New Roman" w:hAnsi="Times New Roman" w:cs="Times New Roman"/>
        </w:rPr>
        <w:t>is</w:t>
      </w:r>
      <w:r w:rsidR="00004EA4" w:rsidRPr="00D56B97">
        <w:rPr>
          <w:rFonts w:ascii="Times New Roman" w:hAnsi="Times New Roman" w:cs="Times New Roman"/>
        </w:rPr>
        <w:t xml:space="preserve"> </w:t>
      </w:r>
      <w:r w:rsidRPr="00D56B97">
        <w:rPr>
          <w:rFonts w:ascii="Times New Roman" w:hAnsi="Times New Roman" w:cs="Times New Roman"/>
        </w:rPr>
        <w:t>progressively realising</w:t>
      </w:r>
      <w:r w:rsidR="00E334EB" w:rsidRPr="00D56B97">
        <w:rPr>
          <w:rFonts w:ascii="Times New Roman" w:hAnsi="Times New Roman" w:cs="Times New Roman"/>
        </w:rPr>
        <w:t xml:space="preserve"> the rights of</w:t>
      </w:r>
      <w:r w:rsidR="00004EA4" w:rsidRPr="00D56B97">
        <w:rPr>
          <w:rFonts w:ascii="Times New Roman" w:hAnsi="Times New Roman" w:cs="Times New Roman"/>
        </w:rPr>
        <w:t xml:space="preserve"> people</w:t>
      </w:r>
      <w:r w:rsidR="00E334EB" w:rsidRPr="00D56B97">
        <w:rPr>
          <w:rFonts w:ascii="Times New Roman" w:hAnsi="Times New Roman" w:cs="Times New Roman"/>
        </w:rPr>
        <w:t xml:space="preserve"> without capacity</w:t>
      </w:r>
      <w:r w:rsidRPr="00D56B97">
        <w:rPr>
          <w:rFonts w:ascii="Times New Roman" w:hAnsi="Times New Roman" w:cs="Times New Roman"/>
        </w:rPr>
        <w:t xml:space="preserve"> by</w:t>
      </w:r>
      <w:r w:rsidR="008E26DC" w:rsidRPr="00D56B97">
        <w:rPr>
          <w:rFonts w:ascii="Times New Roman" w:hAnsi="Times New Roman" w:cs="Times New Roman"/>
        </w:rPr>
        <w:t xml:space="preserve"> </w:t>
      </w:r>
      <w:r w:rsidR="003A01CE" w:rsidRPr="00D56B97">
        <w:rPr>
          <w:rFonts w:ascii="Times New Roman" w:hAnsi="Times New Roman" w:cs="Times New Roman"/>
        </w:rPr>
        <w:t>recognising</w:t>
      </w:r>
      <w:r w:rsidR="00004EA4" w:rsidRPr="00D56B97">
        <w:rPr>
          <w:rFonts w:ascii="Times New Roman" w:hAnsi="Times New Roman" w:cs="Times New Roman"/>
        </w:rPr>
        <w:t xml:space="preserve"> autonomous </w:t>
      </w:r>
      <w:r w:rsidR="00E334EB" w:rsidRPr="00D56B97">
        <w:rPr>
          <w:rFonts w:ascii="Times New Roman" w:hAnsi="Times New Roman" w:cs="Times New Roman"/>
        </w:rPr>
        <w:t xml:space="preserve">decisions </w:t>
      </w:r>
      <w:r w:rsidR="00004EA4" w:rsidRPr="00D56B97">
        <w:rPr>
          <w:rFonts w:ascii="Times New Roman" w:hAnsi="Times New Roman" w:cs="Times New Roman"/>
        </w:rPr>
        <w:t>whe</w:t>
      </w:r>
      <w:r w:rsidR="008E26DC" w:rsidRPr="00D56B97">
        <w:rPr>
          <w:rFonts w:ascii="Times New Roman" w:hAnsi="Times New Roman" w:cs="Times New Roman"/>
        </w:rPr>
        <w:t>re before it</w:t>
      </w:r>
      <w:r w:rsidRPr="00D56B97">
        <w:rPr>
          <w:rFonts w:ascii="Times New Roman" w:hAnsi="Times New Roman" w:cs="Times New Roman"/>
        </w:rPr>
        <w:t xml:space="preserve"> </w:t>
      </w:r>
      <w:r w:rsidR="008E26DC" w:rsidRPr="00D56B97">
        <w:rPr>
          <w:rFonts w:ascii="Times New Roman" w:hAnsi="Times New Roman" w:cs="Times New Roman"/>
        </w:rPr>
        <w:t>only</w:t>
      </w:r>
      <w:r w:rsidR="00EA5B6E" w:rsidRPr="00D56B97">
        <w:rPr>
          <w:rFonts w:ascii="Times New Roman" w:hAnsi="Times New Roman" w:cs="Times New Roman"/>
        </w:rPr>
        <w:t xml:space="preserve"> saw</w:t>
      </w:r>
      <w:r w:rsidR="008E26DC" w:rsidRPr="00D56B97">
        <w:rPr>
          <w:rFonts w:ascii="Times New Roman" w:hAnsi="Times New Roman" w:cs="Times New Roman"/>
        </w:rPr>
        <w:t xml:space="preserve"> </w:t>
      </w:r>
      <w:r w:rsidR="00004EA4" w:rsidRPr="00D56B97">
        <w:rPr>
          <w:rFonts w:ascii="Times New Roman" w:hAnsi="Times New Roman" w:cs="Times New Roman"/>
        </w:rPr>
        <w:t>irrational</w:t>
      </w:r>
      <w:r w:rsidR="00B9665A" w:rsidRPr="00D56B97">
        <w:rPr>
          <w:rFonts w:ascii="Times New Roman" w:hAnsi="Times New Roman" w:cs="Times New Roman"/>
        </w:rPr>
        <w:t xml:space="preserve"> desire. </w:t>
      </w:r>
      <w:r w:rsidR="0024577F" w:rsidRPr="00D56B97">
        <w:rPr>
          <w:rFonts w:ascii="Times New Roman" w:hAnsi="Times New Roman" w:cs="Times New Roman"/>
        </w:rPr>
        <w:t>This kind of f</w:t>
      </w:r>
      <w:r w:rsidR="00004EA4" w:rsidRPr="00D56B97">
        <w:rPr>
          <w:rFonts w:ascii="Times New Roman" w:hAnsi="Times New Roman" w:cs="Times New Roman"/>
        </w:rPr>
        <w:t>airy</w:t>
      </w:r>
      <w:r w:rsidR="0024577F" w:rsidRPr="00D56B97">
        <w:rPr>
          <w:rFonts w:ascii="Times New Roman" w:hAnsi="Times New Roman" w:cs="Times New Roman"/>
        </w:rPr>
        <w:t xml:space="preserve"> tale</w:t>
      </w:r>
      <w:r w:rsidR="00CC1FD3" w:rsidRPr="00D56B97">
        <w:rPr>
          <w:rFonts w:ascii="Times New Roman" w:hAnsi="Times New Roman" w:cs="Times New Roman"/>
        </w:rPr>
        <w:t xml:space="preserve"> </w:t>
      </w:r>
      <w:r w:rsidR="0024577F" w:rsidRPr="00D56B97">
        <w:rPr>
          <w:rFonts w:ascii="Times New Roman" w:hAnsi="Times New Roman" w:cs="Times New Roman"/>
        </w:rPr>
        <w:t>is bet</w:t>
      </w:r>
      <w:r w:rsidR="00B9665A" w:rsidRPr="00D56B97">
        <w:rPr>
          <w:rFonts w:ascii="Times New Roman" w:hAnsi="Times New Roman" w:cs="Times New Roman"/>
        </w:rPr>
        <w:t>t</w:t>
      </w:r>
      <w:r w:rsidR="0024577F" w:rsidRPr="00D56B97">
        <w:rPr>
          <w:rFonts w:ascii="Times New Roman" w:hAnsi="Times New Roman" w:cs="Times New Roman"/>
        </w:rPr>
        <w:t>er</w:t>
      </w:r>
      <w:r w:rsidR="00B9665A" w:rsidRPr="00D56B97">
        <w:rPr>
          <w:rFonts w:ascii="Times New Roman" w:hAnsi="Times New Roman" w:cs="Times New Roman"/>
        </w:rPr>
        <w:t xml:space="preserve"> avoided.</w:t>
      </w:r>
      <w:r w:rsidR="00004EA4" w:rsidRPr="00D56B97">
        <w:rPr>
          <w:rFonts w:ascii="Times New Roman" w:hAnsi="Times New Roman" w:cs="Times New Roman"/>
        </w:rPr>
        <w:t xml:space="preserve"> </w:t>
      </w:r>
      <w:r w:rsidR="00E334EB" w:rsidRPr="00D56B97">
        <w:rPr>
          <w:rFonts w:ascii="Times New Roman" w:hAnsi="Times New Roman" w:cs="Times New Roman"/>
        </w:rPr>
        <w:t>S</w:t>
      </w:r>
      <w:r w:rsidR="00B9665A" w:rsidRPr="00D56B97">
        <w:rPr>
          <w:rFonts w:ascii="Times New Roman" w:hAnsi="Times New Roman" w:cs="Times New Roman"/>
        </w:rPr>
        <w:t>ince the passing of the MCA</w:t>
      </w:r>
      <w:r w:rsidR="00CC1FD3" w:rsidRPr="00D56B97">
        <w:rPr>
          <w:rFonts w:ascii="Times New Roman" w:hAnsi="Times New Roman" w:cs="Times New Roman"/>
        </w:rPr>
        <w:t>, the law now pays more at</w:t>
      </w:r>
      <w:r w:rsidR="00B9665A" w:rsidRPr="00D56B97">
        <w:rPr>
          <w:rFonts w:ascii="Times New Roman" w:hAnsi="Times New Roman" w:cs="Times New Roman"/>
        </w:rPr>
        <w:t>tention to the wishes of the person</w:t>
      </w:r>
      <w:r w:rsidR="00CC1FD3" w:rsidRPr="00D56B97">
        <w:rPr>
          <w:rFonts w:ascii="Times New Roman" w:hAnsi="Times New Roman" w:cs="Times New Roman"/>
        </w:rPr>
        <w:t xml:space="preserve"> who is being decided for</w:t>
      </w:r>
      <w:r w:rsidR="00E334EB" w:rsidRPr="00D56B97">
        <w:rPr>
          <w:rFonts w:ascii="Times New Roman" w:hAnsi="Times New Roman" w:cs="Times New Roman"/>
        </w:rPr>
        <w:t>. This</w:t>
      </w:r>
      <w:r w:rsidR="008E26DC" w:rsidRPr="00D56B97">
        <w:rPr>
          <w:rFonts w:ascii="Times New Roman" w:hAnsi="Times New Roman" w:cs="Times New Roman"/>
        </w:rPr>
        <w:t xml:space="preserve"> is admirable, but it is</w:t>
      </w:r>
      <w:r w:rsidR="00B85E74" w:rsidRPr="00D56B97">
        <w:rPr>
          <w:rFonts w:ascii="Times New Roman" w:hAnsi="Times New Roman" w:cs="Times New Roman"/>
        </w:rPr>
        <w:t xml:space="preserve"> not </w:t>
      </w:r>
      <w:r w:rsidR="008E26DC" w:rsidRPr="00D56B97">
        <w:rPr>
          <w:rFonts w:ascii="Times New Roman" w:hAnsi="Times New Roman" w:cs="Times New Roman"/>
        </w:rPr>
        <w:t>necessarily</w:t>
      </w:r>
      <w:r w:rsidR="00B85E74" w:rsidRPr="00D56B97">
        <w:rPr>
          <w:rFonts w:ascii="Times New Roman" w:hAnsi="Times New Roman" w:cs="Times New Roman"/>
        </w:rPr>
        <w:t xml:space="preserve"> empowerment</w:t>
      </w:r>
      <w:r w:rsidR="008E26DC" w:rsidRPr="00D56B97">
        <w:rPr>
          <w:rFonts w:ascii="Times New Roman" w:hAnsi="Times New Roman" w:cs="Times New Roman"/>
        </w:rPr>
        <w:t>.</w:t>
      </w:r>
      <w:r w:rsidR="003A35ED" w:rsidRPr="00D56B97">
        <w:rPr>
          <w:rFonts w:ascii="Times New Roman" w:hAnsi="Times New Roman" w:cs="Times New Roman"/>
        </w:rPr>
        <w:t xml:space="preserve"> </w:t>
      </w:r>
      <w:r w:rsidR="008E26DC" w:rsidRPr="00D56B97">
        <w:rPr>
          <w:rFonts w:ascii="Times New Roman" w:hAnsi="Times New Roman" w:cs="Times New Roman"/>
        </w:rPr>
        <w:t xml:space="preserve"> Control</w:t>
      </w:r>
      <w:r w:rsidR="00B9665A" w:rsidRPr="00D56B97">
        <w:rPr>
          <w:rFonts w:ascii="Times New Roman" w:hAnsi="Times New Roman" w:cs="Times New Roman"/>
        </w:rPr>
        <w:t xml:space="preserve"> </w:t>
      </w:r>
      <w:r w:rsidR="00B85E74" w:rsidRPr="00D56B97">
        <w:rPr>
          <w:rFonts w:ascii="Times New Roman" w:hAnsi="Times New Roman" w:cs="Times New Roman"/>
        </w:rPr>
        <w:t>remains</w:t>
      </w:r>
      <w:r w:rsidR="00CC1FD3" w:rsidRPr="00D56B97">
        <w:rPr>
          <w:rFonts w:ascii="Times New Roman" w:hAnsi="Times New Roman" w:cs="Times New Roman"/>
        </w:rPr>
        <w:t xml:space="preserve"> </w:t>
      </w:r>
      <w:r w:rsidR="008E26DC" w:rsidRPr="00D56B97">
        <w:rPr>
          <w:rFonts w:ascii="Times New Roman" w:hAnsi="Times New Roman" w:cs="Times New Roman"/>
        </w:rPr>
        <w:t>with</w:t>
      </w:r>
      <w:r w:rsidR="00CC1FD3" w:rsidRPr="00D56B97">
        <w:rPr>
          <w:rFonts w:ascii="Times New Roman" w:hAnsi="Times New Roman" w:cs="Times New Roman"/>
        </w:rPr>
        <w:t xml:space="preserve"> whoever is taken to be the authoritative interpreter of the person</w:t>
      </w:r>
      <w:r w:rsidR="006D2AFF" w:rsidRPr="00D56B97">
        <w:rPr>
          <w:rFonts w:ascii="Times New Roman" w:hAnsi="Times New Roman" w:cs="Times New Roman"/>
        </w:rPr>
        <w:t xml:space="preserve">’s </w:t>
      </w:r>
      <w:r w:rsidR="00B85E74" w:rsidRPr="00D56B97">
        <w:rPr>
          <w:rFonts w:ascii="Times New Roman" w:hAnsi="Times New Roman" w:cs="Times New Roman"/>
        </w:rPr>
        <w:t>wishes</w:t>
      </w:r>
      <w:r w:rsidR="006D2AFF" w:rsidRPr="00D56B97">
        <w:rPr>
          <w:rFonts w:ascii="Times New Roman" w:hAnsi="Times New Roman" w:cs="Times New Roman"/>
        </w:rPr>
        <w:t>. This is not the p</w:t>
      </w:r>
      <w:r w:rsidR="00B85E74" w:rsidRPr="00D56B97">
        <w:rPr>
          <w:rFonts w:ascii="Times New Roman" w:hAnsi="Times New Roman" w:cs="Times New Roman"/>
        </w:rPr>
        <w:t>erson themselves. It</w:t>
      </w:r>
      <w:r w:rsidR="00E77B52" w:rsidRPr="00D56B97">
        <w:rPr>
          <w:rFonts w:ascii="Times New Roman" w:hAnsi="Times New Roman" w:cs="Times New Roman"/>
        </w:rPr>
        <w:t xml:space="preserve"> is </w:t>
      </w:r>
      <w:r w:rsidR="00B9665A" w:rsidRPr="00D56B97">
        <w:rPr>
          <w:rFonts w:ascii="Times New Roman" w:hAnsi="Times New Roman" w:cs="Times New Roman"/>
        </w:rPr>
        <w:t>a wide range of professionals and,</w:t>
      </w:r>
      <w:r w:rsidR="00B85E74" w:rsidRPr="00D56B97">
        <w:rPr>
          <w:rFonts w:ascii="Times New Roman" w:hAnsi="Times New Roman" w:cs="Times New Roman"/>
        </w:rPr>
        <w:t xml:space="preserve"> ultimately</w:t>
      </w:r>
      <w:r w:rsidR="00B9665A" w:rsidRPr="00D56B97">
        <w:rPr>
          <w:rFonts w:ascii="Times New Roman" w:hAnsi="Times New Roman" w:cs="Times New Roman"/>
        </w:rPr>
        <w:t>, a</w:t>
      </w:r>
      <w:r w:rsidR="00B85E74" w:rsidRPr="00D56B97">
        <w:rPr>
          <w:rFonts w:ascii="Times New Roman" w:hAnsi="Times New Roman" w:cs="Times New Roman"/>
        </w:rPr>
        <w:t xml:space="preserve"> judge</w:t>
      </w:r>
      <w:r w:rsidR="006D2AFF" w:rsidRPr="00D56B97">
        <w:rPr>
          <w:rFonts w:ascii="Times New Roman" w:hAnsi="Times New Roman" w:cs="Times New Roman"/>
        </w:rPr>
        <w:t>.</w:t>
      </w:r>
      <w:r w:rsidR="006D2AFF" w:rsidRPr="00D56B97">
        <w:rPr>
          <w:rStyle w:val="FootnoteReference"/>
          <w:rFonts w:ascii="Times New Roman" w:hAnsi="Times New Roman" w:cs="Times New Roman"/>
        </w:rPr>
        <w:footnoteReference w:id="147"/>
      </w:r>
      <w:r w:rsidR="006D2AFF" w:rsidRPr="00D56B97">
        <w:rPr>
          <w:rFonts w:ascii="Times New Roman" w:hAnsi="Times New Roman" w:cs="Times New Roman"/>
        </w:rPr>
        <w:t xml:space="preserve"> </w:t>
      </w:r>
      <w:r w:rsidR="007535CD" w:rsidRPr="00D56B97">
        <w:rPr>
          <w:rFonts w:ascii="Times New Roman" w:hAnsi="Times New Roman" w:cs="Times New Roman"/>
        </w:rPr>
        <w:t>F</w:t>
      </w:r>
      <w:r w:rsidR="00B9665A" w:rsidRPr="00D56B97">
        <w:rPr>
          <w:rFonts w:ascii="Times New Roman" w:hAnsi="Times New Roman" w:cs="Times New Roman"/>
        </w:rPr>
        <w:t>urthermore, attention to someone</w:t>
      </w:r>
      <w:r w:rsidR="007535CD" w:rsidRPr="00D56B97">
        <w:rPr>
          <w:rFonts w:ascii="Times New Roman" w:hAnsi="Times New Roman" w:cs="Times New Roman"/>
        </w:rPr>
        <w:t xml:space="preserve">’s wishes requires finding out what those </w:t>
      </w:r>
      <w:r w:rsidR="007535CD" w:rsidRPr="00D56B97">
        <w:rPr>
          <w:rFonts w:ascii="Times New Roman" w:hAnsi="Times New Roman" w:cs="Times New Roman"/>
        </w:rPr>
        <w:lastRenderedPageBreak/>
        <w:t>wishes are. F</w:t>
      </w:r>
      <w:r w:rsidR="00E7161C" w:rsidRPr="00D56B97">
        <w:rPr>
          <w:rFonts w:ascii="Times New Roman" w:hAnsi="Times New Roman" w:cs="Times New Roman"/>
        </w:rPr>
        <w:t>or some</w:t>
      </w:r>
      <w:r w:rsidR="00B9665A" w:rsidRPr="00D56B97">
        <w:rPr>
          <w:rFonts w:ascii="Times New Roman" w:hAnsi="Times New Roman" w:cs="Times New Roman"/>
        </w:rPr>
        <w:t xml:space="preserve"> people without capacity, this</w:t>
      </w:r>
      <w:r w:rsidR="007535CD" w:rsidRPr="00D56B97">
        <w:rPr>
          <w:rFonts w:ascii="Times New Roman" w:hAnsi="Times New Roman" w:cs="Times New Roman"/>
        </w:rPr>
        <w:t xml:space="preserve"> </w:t>
      </w:r>
      <w:r w:rsidR="001A47C9" w:rsidRPr="00D56B97">
        <w:rPr>
          <w:rFonts w:ascii="Times New Roman" w:hAnsi="Times New Roman" w:cs="Times New Roman"/>
        </w:rPr>
        <w:t>might require</w:t>
      </w:r>
      <w:r w:rsidR="007535CD" w:rsidRPr="00D56B97">
        <w:rPr>
          <w:rFonts w:ascii="Times New Roman" w:hAnsi="Times New Roman" w:cs="Times New Roman"/>
        </w:rPr>
        <w:t xml:space="preserve"> intrusive</w:t>
      </w:r>
      <w:r w:rsidR="00E77B52" w:rsidRPr="00D56B97">
        <w:rPr>
          <w:rFonts w:ascii="Times New Roman" w:hAnsi="Times New Roman" w:cs="Times New Roman"/>
        </w:rPr>
        <w:t xml:space="preserve"> questioning;</w:t>
      </w:r>
      <w:r w:rsidR="00EA422C" w:rsidRPr="00D56B97">
        <w:rPr>
          <w:rStyle w:val="FootnoteReference"/>
          <w:rFonts w:ascii="Times New Roman" w:hAnsi="Times New Roman" w:cs="Times New Roman"/>
        </w:rPr>
        <w:footnoteReference w:id="148"/>
      </w:r>
      <w:r w:rsidR="00E77B52" w:rsidRPr="00D56B97">
        <w:rPr>
          <w:rFonts w:ascii="Times New Roman" w:hAnsi="Times New Roman" w:cs="Times New Roman"/>
        </w:rPr>
        <w:t xml:space="preserve"> and s</w:t>
      </w:r>
      <w:r w:rsidR="00B9665A" w:rsidRPr="00D56B97">
        <w:rPr>
          <w:rFonts w:ascii="Times New Roman" w:hAnsi="Times New Roman" w:cs="Times New Roman"/>
        </w:rPr>
        <w:t>ome may feel that</w:t>
      </w:r>
      <w:r w:rsidR="007535CD" w:rsidRPr="00D56B97">
        <w:rPr>
          <w:rFonts w:ascii="Times New Roman" w:hAnsi="Times New Roman" w:cs="Times New Roman"/>
        </w:rPr>
        <w:t xml:space="preserve"> strangers, no longer satisfied </w:t>
      </w:r>
      <w:r w:rsidR="00E7161C" w:rsidRPr="00D56B97">
        <w:rPr>
          <w:rFonts w:ascii="Times New Roman" w:hAnsi="Times New Roman" w:cs="Times New Roman"/>
        </w:rPr>
        <w:t>with m</w:t>
      </w:r>
      <w:r w:rsidR="00B9665A" w:rsidRPr="00D56B97">
        <w:rPr>
          <w:rFonts w:ascii="Times New Roman" w:hAnsi="Times New Roman" w:cs="Times New Roman"/>
        </w:rPr>
        <w:t>erely m</w:t>
      </w:r>
      <w:r w:rsidR="00E7161C" w:rsidRPr="00D56B97">
        <w:rPr>
          <w:rFonts w:ascii="Times New Roman" w:hAnsi="Times New Roman" w:cs="Times New Roman"/>
        </w:rPr>
        <w:t>onitoring thei</w:t>
      </w:r>
      <w:r w:rsidR="007535CD" w:rsidRPr="00D56B97">
        <w:rPr>
          <w:rFonts w:ascii="Times New Roman" w:hAnsi="Times New Roman" w:cs="Times New Roman"/>
        </w:rPr>
        <w:t xml:space="preserve">r </w:t>
      </w:r>
      <w:r w:rsidR="00B9665A" w:rsidRPr="00D56B97">
        <w:rPr>
          <w:rFonts w:ascii="Times New Roman" w:hAnsi="Times New Roman" w:cs="Times New Roman"/>
        </w:rPr>
        <w:t xml:space="preserve">outward </w:t>
      </w:r>
      <w:r w:rsidR="007535CD" w:rsidRPr="00D56B97">
        <w:rPr>
          <w:rFonts w:ascii="Times New Roman" w:hAnsi="Times New Roman" w:cs="Times New Roman"/>
        </w:rPr>
        <w:t xml:space="preserve">behaviour, </w:t>
      </w:r>
      <w:r w:rsidR="00B9665A" w:rsidRPr="00D56B97">
        <w:rPr>
          <w:rFonts w:ascii="Times New Roman" w:hAnsi="Times New Roman" w:cs="Times New Roman"/>
        </w:rPr>
        <w:t xml:space="preserve">are now </w:t>
      </w:r>
      <w:r w:rsidR="007535CD" w:rsidRPr="00D56B97">
        <w:rPr>
          <w:rFonts w:ascii="Times New Roman" w:hAnsi="Times New Roman" w:cs="Times New Roman"/>
        </w:rPr>
        <w:t>prying into their mental life.</w:t>
      </w:r>
      <w:r w:rsidR="00E7161C" w:rsidRPr="00D56B97">
        <w:rPr>
          <w:rFonts w:ascii="Times New Roman" w:hAnsi="Times New Roman" w:cs="Times New Roman"/>
        </w:rPr>
        <w:t xml:space="preserve"> </w:t>
      </w:r>
      <w:r w:rsidR="00B9665A" w:rsidRPr="00D56B97">
        <w:rPr>
          <w:rFonts w:ascii="Times New Roman" w:hAnsi="Times New Roman" w:cs="Times New Roman"/>
        </w:rPr>
        <w:t>Although i</w:t>
      </w:r>
      <w:r w:rsidR="00E7161C" w:rsidRPr="00D56B97">
        <w:rPr>
          <w:rFonts w:ascii="Times New Roman" w:hAnsi="Times New Roman" w:cs="Times New Roman"/>
        </w:rPr>
        <w:t>t is possible to tell a story about how attention t</w:t>
      </w:r>
      <w:r w:rsidR="00685549" w:rsidRPr="00D56B97">
        <w:rPr>
          <w:rFonts w:ascii="Times New Roman" w:hAnsi="Times New Roman" w:cs="Times New Roman"/>
        </w:rPr>
        <w:t xml:space="preserve">o </w:t>
      </w:r>
      <w:r w:rsidR="00E7161C" w:rsidRPr="00D56B97">
        <w:rPr>
          <w:rFonts w:ascii="Times New Roman" w:hAnsi="Times New Roman" w:cs="Times New Roman"/>
        </w:rPr>
        <w:t>wishes and</w:t>
      </w:r>
      <w:r w:rsidR="00685549" w:rsidRPr="00D56B97">
        <w:rPr>
          <w:rFonts w:ascii="Times New Roman" w:hAnsi="Times New Roman" w:cs="Times New Roman"/>
        </w:rPr>
        <w:t xml:space="preserve"> feelings</w:t>
      </w:r>
      <w:r w:rsidR="00B9665A" w:rsidRPr="00D56B97">
        <w:rPr>
          <w:rFonts w:ascii="Times New Roman" w:hAnsi="Times New Roman" w:cs="Times New Roman"/>
        </w:rPr>
        <w:t xml:space="preserve"> will empower people, it</w:t>
      </w:r>
      <w:r w:rsidR="00B1079E" w:rsidRPr="00D56B97">
        <w:rPr>
          <w:rFonts w:ascii="Times New Roman" w:hAnsi="Times New Roman" w:cs="Times New Roman"/>
        </w:rPr>
        <w:t xml:space="preserve"> is also possible</w:t>
      </w:r>
      <w:r w:rsidR="00E7161C" w:rsidRPr="00D56B97">
        <w:rPr>
          <w:rFonts w:ascii="Times New Roman" w:hAnsi="Times New Roman" w:cs="Times New Roman"/>
        </w:rPr>
        <w:t xml:space="preserve"> t</w:t>
      </w:r>
      <w:r w:rsidR="001A47C9" w:rsidRPr="00D56B97">
        <w:rPr>
          <w:rFonts w:ascii="Times New Roman" w:hAnsi="Times New Roman" w:cs="Times New Roman"/>
        </w:rPr>
        <w:t xml:space="preserve">o tell a story in which it </w:t>
      </w:r>
      <w:r w:rsidR="00E7161C" w:rsidRPr="00D56B97">
        <w:rPr>
          <w:rFonts w:ascii="Times New Roman" w:hAnsi="Times New Roman" w:cs="Times New Roman"/>
        </w:rPr>
        <w:t>lead</w:t>
      </w:r>
      <w:r w:rsidR="001A47C9" w:rsidRPr="00D56B97">
        <w:rPr>
          <w:rFonts w:ascii="Times New Roman" w:hAnsi="Times New Roman" w:cs="Times New Roman"/>
        </w:rPr>
        <w:t>s</w:t>
      </w:r>
      <w:r w:rsidR="00E7161C" w:rsidRPr="00D56B97">
        <w:rPr>
          <w:rFonts w:ascii="Times New Roman" w:hAnsi="Times New Roman" w:cs="Times New Roman"/>
        </w:rPr>
        <w:t xml:space="preserve"> to </w:t>
      </w:r>
      <w:r w:rsidR="00E77B52" w:rsidRPr="00D56B97">
        <w:rPr>
          <w:rFonts w:ascii="Times New Roman" w:hAnsi="Times New Roman" w:cs="Times New Roman"/>
        </w:rPr>
        <w:t xml:space="preserve">a new </w:t>
      </w:r>
      <w:r w:rsidR="00DE7C0B" w:rsidRPr="00D56B97">
        <w:rPr>
          <w:rFonts w:ascii="Times New Roman" w:hAnsi="Times New Roman" w:cs="Times New Roman"/>
        </w:rPr>
        <w:t>form of domination</w:t>
      </w:r>
      <w:r w:rsidR="001A47C9" w:rsidRPr="00D56B97">
        <w:rPr>
          <w:rFonts w:ascii="Times New Roman" w:hAnsi="Times New Roman" w:cs="Times New Roman"/>
        </w:rPr>
        <w:t xml:space="preserve">. In the darker story, </w:t>
      </w:r>
      <w:r w:rsidR="00DE7C0B" w:rsidRPr="00D56B97">
        <w:rPr>
          <w:rFonts w:ascii="Times New Roman" w:hAnsi="Times New Roman" w:cs="Times New Roman"/>
        </w:rPr>
        <w:t>authenticity</w:t>
      </w:r>
      <w:r w:rsidR="00E7161C" w:rsidRPr="00D56B97">
        <w:rPr>
          <w:rFonts w:ascii="Times New Roman" w:hAnsi="Times New Roman" w:cs="Times New Roman"/>
        </w:rPr>
        <w:t xml:space="preserve"> slowly</w:t>
      </w:r>
      <w:r w:rsidR="00DE7C0B" w:rsidRPr="00D56B97">
        <w:rPr>
          <w:rFonts w:ascii="Times New Roman" w:hAnsi="Times New Roman" w:cs="Times New Roman"/>
        </w:rPr>
        <w:t xml:space="preserve"> becomes the central criteria for decision-making, </w:t>
      </w:r>
      <w:r w:rsidR="001A47C9" w:rsidRPr="00D56B97">
        <w:rPr>
          <w:rFonts w:ascii="Times New Roman" w:hAnsi="Times New Roman" w:cs="Times New Roman"/>
        </w:rPr>
        <w:t xml:space="preserve">and </w:t>
      </w:r>
      <w:r w:rsidR="00E7161C" w:rsidRPr="00D56B97">
        <w:rPr>
          <w:rFonts w:ascii="Times New Roman" w:hAnsi="Times New Roman" w:cs="Times New Roman"/>
        </w:rPr>
        <w:t>professionals are freed fr</w:t>
      </w:r>
      <w:r w:rsidR="001A47C9" w:rsidRPr="00D56B97">
        <w:rPr>
          <w:rFonts w:ascii="Times New Roman" w:hAnsi="Times New Roman" w:cs="Times New Roman"/>
        </w:rPr>
        <w:t>om just</w:t>
      </w:r>
      <w:r w:rsidR="00E7161C" w:rsidRPr="00D56B97">
        <w:rPr>
          <w:rFonts w:ascii="Times New Roman" w:hAnsi="Times New Roman" w:cs="Times New Roman"/>
        </w:rPr>
        <w:t xml:space="preserve"> dictating</w:t>
      </w:r>
      <w:r w:rsidR="00F10203" w:rsidRPr="00D56B97">
        <w:rPr>
          <w:rFonts w:ascii="Times New Roman" w:hAnsi="Times New Roman" w:cs="Times New Roman"/>
        </w:rPr>
        <w:t xml:space="preserve"> what </w:t>
      </w:r>
      <w:r w:rsidR="00E7161C" w:rsidRPr="00D56B97">
        <w:rPr>
          <w:rFonts w:ascii="Times New Roman" w:hAnsi="Times New Roman" w:cs="Times New Roman"/>
        </w:rPr>
        <w:t>individuals</w:t>
      </w:r>
      <w:r w:rsidR="00F10203" w:rsidRPr="00D56B97">
        <w:rPr>
          <w:rFonts w:ascii="Times New Roman" w:hAnsi="Times New Roman" w:cs="Times New Roman"/>
        </w:rPr>
        <w:t xml:space="preserve"> in a ‘benighted state’ </w:t>
      </w:r>
      <w:r w:rsidR="00E7161C" w:rsidRPr="00D56B97">
        <w:rPr>
          <w:rFonts w:ascii="Times New Roman" w:hAnsi="Times New Roman" w:cs="Times New Roman"/>
        </w:rPr>
        <w:t xml:space="preserve">can </w:t>
      </w:r>
      <w:r w:rsidR="00F10203" w:rsidRPr="00D56B97">
        <w:rPr>
          <w:rFonts w:ascii="Times New Roman" w:hAnsi="Times New Roman" w:cs="Times New Roman"/>
        </w:rPr>
        <w:t>do.</w:t>
      </w:r>
      <w:r w:rsidR="00931EB0" w:rsidRPr="00D56B97">
        <w:rPr>
          <w:rStyle w:val="FootnoteReference"/>
          <w:rFonts w:ascii="Times New Roman" w:hAnsi="Times New Roman" w:cs="Times New Roman"/>
        </w:rPr>
        <w:footnoteReference w:id="149"/>
      </w:r>
      <w:r w:rsidRPr="00D56B97">
        <w:rPr>
          <w:rFonts w:ascii="Times New Roman" w:hAnsi="Times New Roman" w:cs="Times New Roman"/>
        </w:rPr>
        <w:t xml:space="preserve"> </w:t>
      </w:r>
      <w:r w:rsidR="00E7161C" w:rsidRPr="00D56B97">
        <w:rPr>
          <w:rFonts w:ascii="Times New Roman" w:hAnsi="Times New Roman" w:cs="Times New Roman"/>
        </w:rPr>
        <w:t>Instead, t</w:t>
      </w:r>
      <w:r w:rsidR="00E77B52" w:rsidRPr="00D56B97">
        <w:rPr>
          <w:rFonts w:ascii="Times New Roman" w:hAnsi="Times New Roman" w:cs="Times New Roman"/>
        </w:rPr>
        <w:t>hey</w:t>
      </w:r>
      <w:r w:rsidR="00E7161C" w:rsidRPr="00D56B97">
        <w:rPr>
          <w:rFonts w:ascii="Times New Roman" w:hAnsi="Times New Roman" w:cs="Times New Roman"/>
        </w:rPr>
        <w:t xml:space="preserve"> </w:t>
      </w:r>
      <w:r w:rsidR="00B1079E" w:rsidRPr="00D56B97">
        <w:rPr>
          <w:rFonts w:ascii="Times New Roman" w:hAnsi="Times New Roman" w:cs="Times New Roman"/>
        </w:rPr>
        <w:t xml:space="preserve">also </w:t>
      </w:r>
      <w:r w:rsidR="00717B08" w:rsidRPr="00D56B97">
        <w:rPr>
          <w:rFonts w:ascii="Times New Roman" w:hAnsi="Times New Roman" w:cs="Times New Roman"/>
        </w:rPr>
        <w:t xml:space="preserve">dictate what </w:t>
      </w:r>
      <w:r w:rsidR="00E7161C" w:rsidRPr="00D56B97">
        <w:rPr>
          <w:rFonts w:ascii="Times New Roman" w:hAnsi="Times New Roman" w:cs="Times New Roman"/>
        </w:rPr>
        <w:t>those people</w:t>
      </w:r>
      <w:r w:rsidR="00F10203" w:rsidRPr="00D56B97">
        <w:rPr>
          <w:rFonts w:ascii="Times New Roman" w:hAnsi="Times New Roman" w:cs="Times New Roman"/>
        </w:rPr>
        <w:t xml:space="preserve"> ‘</w:t>
      </w:r>
      <w:r w:rsidR="00E7161C" w:rsidRPr="00D56B97">
        <w:rPr>
          <w:rFonts w:ascii="Times New Roman" w:hAnsi="Times New Roman" w:cs="Times New Roman"/>
        </w:rPr>
        <w:t>really</w:t>
      </w:r>
      <w:r w:rsidR="00F10203" w:rsidRPr="00D56B97">
        <w:rPr>
          <w:rFonts w:ascii="Times New Roman" w:hAnsi="Times New Roman" w:cs="Times New Roman"/>
        </w:rPr>
        <w:t>’</w:t>
      </w:r>
      <w:r w:rsidR="00E7161C" w:rsidRPr="00D56B97">
        <w:rPr>
          <w:rFonts w:ascii="Times New Roman" w:hAnsi="Times New Roman" w:cs="Times New Roman"/>
        </w:rPr>
        <w:t xml:space="preserve"> want</w:t>
      </w:r>
      <w:r w:rsidR="004A140F" w:rsidRPr="00D56B97">
        <w:rPr>
          <w:rFonts w:ascii="Times New Roman" w:hAnsi="Times New Roman" w:cs="Times New Roman"/>
        </w:rPr>
        <w:t>, whether</w:t>
      </w:r>
      <w:r w:rsidR="00FD2403" w:rsidRPr="00D56B97">
        <w:rPr>
          <w:rFonts w:ascii="Times New Roman" w:hAnsi="Times New Roman" w:cs="Times New Roman"/>
        </w:rPr>
        <w:t xml:space="preserve"> or not</w:t>
      </w:r>
      <w:r w:rsidR="004A140F" w:rsidRPr="00D56B97">
        <w:rPr>
          <w:rFonts w:ascii="Times New Roman" w:hAnsi="Times New Roman" w:cs="Times New Roman"/>
        </w:rPr>
        <w:t xml:space="preserve"> </w:t>
      </w:r>
      <w:r w:rsidR="00E77B52" w:rsidRPr="00D56B97">
        <w:rPr>
          <w:rFonts w:ascii="Times New Roman" w:hAnsi="Times New Roman" w:cs="Times New Roman"/>
        </w:rPr>
        <w:t>the</w:t>
      </w:r>
      <w:r w:rsidR="00FD2403" w:rsidRPr="00D56B97">
        <w:rPr>
          <w:rFonts w:ascii="Times New Roman" w:hAnsi="Times New Roman" w:cs="Times New Roman"/>
        </w:rPr>
        <w:t xml:space="preserve"> </w:t>
      </w:r>
      <w:r w:rsidR="00E7161C" w:rsidRPr="00D56B97">
        <w:rPr>
          <w:rFonts w:ascii="Times New Roman" w:hAnsi="Times New Roman" w:cs="Times New Roman"/>
        </w:rPr>
        <w:t>people</w:t>
      </w:r>
      <w:r w:rsidR="00E77B52" w:rsidRPr="00D56B97">
        <w:rPr>
          <w:rFonts w:ascii="Times New Roman" w:hAnsi="Times New Roman" w:cs="Times New Roman"/>
        </w:rPr>
        <w:t xml:space="preserve"> in question </w:t>
      </w:r>
      <w:r w:rsidR="00E7161C" w:rsidRPr="00D56B97">
        <w:rPr>
          <w:rFonts w:ascii="Times New Roman" w:hAnsi="Times New Roman" w:cs="Times New Roman"/>
        </w:rPr>
        <w:t>know it.</w:t>
      </w:r>
      <w:r w:rsidR="00F53ED8" w:rsidRPr="00D56B97">
        <w:rPr>
          <w:rStyle w:val="FootnoteReference"/>
          <w:rFonts w:ascii="Times New Roman" w:hAnsi="Times New Roman" w:cs="Times New Roman"/>
        </w:rPr>
        <w:footnoteReference w:id="150"/>
      </w:r>
      <w:r w:rsidR="004D2EBC" w:rsidRPr="00D56B97">
        <w:rPr>
          <w:rFonts w:ascii="Times New Roman" w:hAnsi="Times New Roman" w:cs="Times New Roman"/>
        </w:rPr>
        <w:t xml:space="preserve"> </w:t>
      </w:r>
      <w:r w:rsidR="00FD2403" w:rsidRPr="00D56B97">
        <w:rPr>
          <w:rFonts w:ascii="Times New Roman" w:hAnsi="Times New Roman" w:cs="Times New Roman"/>
        </w:rPr>
        <w:t>Even in this darker future, the</w:t>
      </w:r>
      <w:r w:rsidR="00E7161C" w:rsidRPr="00D56B97">
        <w:rPr>
          <w:rFonts w:ascii="Times New Roman" w:hAnsi="Times New Roman" w:cs="Times New Roman"/>
        </w:rPr>
        <w:t xml:space="preserve"> </w:t>
      </w:r>
      <w:r w:rsidR="00FD2403" w:rsidRPr="00D56B97">
        <w:rPr>
          <w:rFonts w:ascii="Times New Roman" w:hAnsi="Times New Roman" w:cs="Times New Roman"/>
        </w:rPr>
        <w:t xml:space="preserve">process </w:t>
      </w:r>
      <w:r w:rsidR="00E7161C" w:rsidRPr="00D56B97">
        <w:rPr>
          <w:rFonts w:ascii="Times New Roman" w:hAnsi="Times New Roman" w:cs="Times New Roman"/>
        </w:rPr>
        <w:t>will</w:t>
      </w:r>
      <w:r w:rsidR="001A47C9" w:rsidRPr="00D56B97">
        <w:rPr>
          <w:rFonts w:ascii="Times New Roman" w:hAnsi="Times New Roman" w:cs="Times New Roman"/>
        </w:rPr>
        <w:t xml:space="preserve"> undoubtedly still be called ‘empowerment’</w:t>
      </w:r>
      <w:r w:rsidR="00E77B52" w:rsidRPr="00D56B97">
        <w:rPr>
          <w:rFonts w:ascii="Times New Roman" w:hAnsi="Times New Roman" w:cs="Times New Roman"/>
        </w:rPr>
        <w:t>; but, i</w:t>
      </w:r>
      <w:r w:rsidR="00FD2403" w:rsidRPr="00D56B97">
        <w:rPr>
          <w:rFonts w:ascii="Times New Roman" w:hAnsi="Times New Roman" w:cs="Times New Roman"/>
        </w:rPr>
        <w:t xml:space="preserve">n truth, </w:t>
      </w:r>
      <w:r w:rsidR="00EF2CB6" w:rsidRPr="00D56B97">
        <w:rPr>
          <w:rFonts w:ascii="Times New Roman" w:hAnsi="Times New Roman" w:cs="Times New Roman"/>
        </w:rPr>
        <w:t>it will offer</w:t>
      </w:r>
      <w:r w:rsidR="00FD2403" w:rsidRPr="00D56B97">
        <w:rPr>
          <w:rFonts w:ascii="Times New Roman" w:hAnsi="Times New Roman" w:cs="Times New Roman"/>
        </w:rPr>
        <w:t xml:space="preserve"> nothing but</w:t>
      </w:r>
      <w:r w:rsidR="00E7161C" w:rsidRPr="00D56B97">
        <w:rPr>
          <w:rFonts w:ascii="Times New Roman" w:hAnsi="Times New Roman" w:cs="Times New Roman"/>
        </w:rPr>
        <w:t xml:space="preserve"> </w:t>
      </w:r>
      <w:r w:rsidR="00C07C2D" w:rsidRPr="00D56B97">
        <w:rPr>
          <w:rFonts w:ascii="Times New Roman" w:hAnsi="Times New Roman" w:cs="Times New Roman"/>
        </w:rPr>
        <w:t>the freedom of a</w:t>
      </w:r>
      <w:r w:rsidR="004B6CFF" w:rsidRPr="00D56B97">
        <w:rPr>
          <w:rFonts w:ascii="Times New Roman" w:hAnsi="Times New Roman" w:cs="Times New Roman"/>
        </w:rPr>
        <w:t xml:space="preserve"> </w:t>
      </w:r>
      <w:r w:rsidR="00C07C2D" w:rsidRPr="00D56B97">
        <w:rPr>
          <w:rFonts w:ascii="Times New Roman" w:hAnsi="Times New Roman" w:cs="Times New Roman"/>
        </w:rPr>
        <w:t>political re-education camp.</w:t>
      </w:r>
      <w:r w:rsidR="004C2AFB" w:rsidRPr="00D56B97">
        <w:rPr>
          <w:rStyle w:val="FootnoteReference"/>
          <w:rFonts w:ascii="Times New Roman" w:hAnsi="Times New Roman" w:cs="Times New Roman"/>
        </w:rPr>
        <w:footnoteReference w:id="151"/>
      </w:r>
    </w:p>
    <w:p w14:paraId="7493C8A3" w14:textId="6CC2BA34" w:rsidR="00004EA4" w:rsidRPr="00D56B97" w:rsidRDefault="00D8220B" w:rsidP="00622A3D">
      <w:pPr>
        <w:spacing w:line="480" w:lineRule="auto"/>
        <w:ind w:firstLine="720"/>
        <w:jc w:val="both"/>
        <w:rPr>
          <w:rFonts w:ascii="Times New Roman" w:hAnsi="Times New Roman" w:cs="Times New Roman"/>
        </w:rPr>
      </w:pPr>
      <w:r w:rsidRPr="00D56B97">
        <w:rPr>
          <w:rFonts w:ascii="Times New Roman" w:hAnsi="Times New Roman" w:cs="Times New Roman"/>
        </w:rPr>
        <w:t>R</w:t>
      </w:r>
      <w:r w:rsidR="002B1CC1" w:rsidRPr="00D56B97">
        <w:rPr>
          <w:rFonts w:ascii="Times New Roman" w:hAnsi="Times New Roman" w:cs="Times New Roman"/>
        </w:rPr>
        <w:t xml:space="preserve">ather than reading </w:t>
      </w:r>
      <w:r w:rsidR="00BD376C" w:rsidRPr="00D56B97">
        <w:rPr>
          <w:rFonts w:ascii="Times New Roman" w:hAnsi="Times New Roman" w:cs="Times New Roman"/>
        </w:rPr>
        <w:t>cases</w:t>
      </w:r>
      <w:r w:rsidR="0002468F" w:rsidRPr="00D56B97">
        <w:rPr>
          <w:rFonts w:ascii="Times New Roman" w:hAnsi="Times New Roman" w:cs="Times New Roman"/>
        </w:rPr>
        <w:t xml:space="preserve"> through a narrative of future empowerment</w:t>
      </w:r>
      <w:r w:rsidR="004A140F" w:rsidRPr="00D56B97">
        <w:rPr>
          <w:rFonts w:ascii="Times New Roman" w:hAnsi="Times New Roman" w:cs="Times New Roman"/>
        </w:rPr>
        <w:t>,</w:t>
      </w:r>
      <w:r w:rsidR="00DE7C0B" w:rsidRPr="00D56B97">
        <w:rPr>
          <w:rFonts w:ascii="Times New Roman" w:hAnsi="Times New Roman" w:cs="Times New Roman"/>
        </w:rPr>
        <w:t xml:space="preserve"> it is better to </w:t>
      </w:r>
      <w:r w:rsidR="0002468F" w:rsidRPr="00D56B97">
        <w:rPr>
          <w:rFonts w:ascii="Times New Roman" w:hAnsi="Times New Roman" w:cs="Times New Roman"/>
        </w:rPr>
        <w:t>focus</w:t>
      </w:r>
      <w:r w:rsidR="004909DE" w:rsidRPr="00D56B97">
        <w:rPr>
          <w:rFonts w:ascii="Times New Roman" w:hAnsi="Times New Roman" w:cs="Times New Roman"/>
        </w:rPr>
        <w:t xml:space="preserve"> on their current </w:t>
      </w:r>
      <w:r w:rsidR="00BD376C" w:rsidRPr="00D56B97">
        <w:rPr>
          <w:rFonts w:ascii="Times New Roman" w:hAnsi="Times New Roman" w:cs="Times New Roman"/>
        </w:rPr>
        <w:t>effect</w:t>
      </w:r>
      <w:r w:rsidR="00DE7C0B" w:rsidRPr="00D56B97">
        <w:rPr>
          <w:rFonts w:ascii="Times New Roman" w:hAnsi="Times New Roman" w:cs="Times New Roman"/>
        </w:rPr>
        <w:t xml:space="preserve">. Doing so highlights an important detail. </w:t>
      </w:r>
      <w:r w:rsidR="002B1CC1" w:rsidRPr="00D56B97">
        <w:rPr>
          <w:rFonts w:ascii="Times New Roman" w:hAnsi="Times New Roman" w:cs="Times New Roman"/>
        </w:rPr>
        <w:t>The</w:t>
      </w:r>
      <w:r w:rsidR="00DE7C0B" w:rsidRPr="00D56B97">
        <w:rPr>
          <w:rFonts w:ascii="Times New Roman" w:hAnsi="Times New Roman" w:cs="Times New Roman"/>
        </w:rPr>
        <w:t xml:space="preserve"> </w:t>
      </w:r>
      <w:r w:rsidR="00BD376C" w:rsidRPr="00D56B97">
        <w:rPr>
          <w:rFonts w:ascii="Times New Roman" w:hAnsi="Times New Roman" w:cs="Times New Roman"/>
        </w:rPr>
        <w:t>survival account</w:t>
      </w:r>
      <w:r w:rsidR="00DE7C0B" w:rsidRPr="00D56B97">
        <w:rPr>
          <w:rFonts w:ascii="Times New Roman" w:hAnsi="Times New Roman" w:cs="Times New Roman"/>
        </w:rPr>
        <w:t xml:space="preserve"> has</w:t>
      </w:r>
      <w:r w:rsidR="00FD5A7F" w:rsidRPr="00D56B97">
        <w:rPr>
          <w:rFonts w:ascii="Times New Roman" w:hAnsi="Times New Roman" w:cs="Times New Roman"/>
        </w:rPr>
        <w:t xml:space="preserve"> no</w:t>
      </w:r>
      <w:r w:rsidR="00DE7C0B" w:rsidRPr="00D56B97">
        <w:rPr>
          <w:rFonts w:ascii="Times New Roman" w:hAnsi="Times New Roman" w:cs="Times New Roman"/>
        </w:rPr>
        <w:t>t replaced</w:t>
      </w:r>
      <w:r w:rsidR="00004EA4" w:rsidRPr="00D56B97">
        <w:rPr>
          <w:rFonts w:ascii="Times New Roman" w:hAnsi="Times New Roman" w:cs="Times New Roman"/>
        </w:rPr>
        <w:t xml:space="preserve"> </w:t>
      </w:r>
      <w:r w:rsidR="0002468F" w:rsidRPr="00D56B97">
        <w:rPr>
          <w:rFonts w:ascii="Times New Roman" w:hAnsi="Times New Roman" w:cs="Times New Roman"/>
        </w:rPr>
        <w:t>the other</w:t>
      </w:r>
      <w:r w:rsidR="00DE7C0B" w:rsidRPr="00D56B97">
        <w:rPr>
          <w:rFonts w:ascii="Times New Roman" w:hAnsi="Times New Roman" w:cs="Times New Roman"/>
        </w:rPr>
        <w:t xml:space="preserve"> </w:t>
      </w:r>
      <w:r w:rsidR="00595449" w:rsidRPr="00D56B97">
        <w:rPr>
          <w:rFonts w:ascii="Times New Roman" w:hAnsi="Times New Roman" w:cs="Times New Roman"/>
        </w:rPr>
        <w:t xml:space="preserve">accounts. It coexists with them, but is </w:t>
      </w:r>
      <w:r w:rsidR="00520C6D" w:rsidRPr="00D56B97">
        <w:rPr>
          <w:rFonts w:ascii="Times New Roman" w:hAnsi="Times New Roman" w:cs="Times New Roman"/>
        </w:rPr>
        <w:t xml:space="preserve">used in different circumstances. </w:t>
      </w:r>
      <w:r w:rsidR="00BD376C" w:rsidRPr="00D56B97">
        <w:rPr>
          <w:rFonts w:ascii="Times New Roman" w:hAnsi="Times New Roman" w:cs="Times New Roman"/>
        </w:rPr>
        <w:t>When the facts mean that</w:t>
      </w:r>
      <w:r w:rsidR="00BE6659" w:rsidRPr="00D56B97">
        <w:rPr>
          <w:rFonts w:ascii="Times New Roman" w:hAnsi="Times New Roman" w:cs="Times New Roman"/>
        </w:rPr>
        <w:t xml:space="preserve"> it would be </w:t>
      </w:r>
      <w:r w:rsidR="00187BA0" w:rsidRPr="00D56B97">
        <w:rPr>
          <w:rFonts w:ascii="Times New Roman" w:hAnsi="Times New Roman" w:cs="Times New Roman"/>
        </w:rPr>
        <w:t>artificial to hold</w:t>
      </w:r>
      <w:r w:rsidR="002B1CC1" w:rsidRPr="00D56B97">
        <w:rPr>
          <w:rFonts w:ascii="Times New Roman" w:hAnsi="Times New Roman" w:cs="Times New Roman"/>
        </w:rPr>
        <w:t xml:space="preserve"> that someone can understand or</w:t>
      </w:r>
      <w:r w:rsidR="00DC24A8" w:rsidRPr="00D56B97">
        <w:rPr>
          <w:rFonts w:ascii="Times New Roman" w:hAnsi="Times New Roman" w:cs="Times New Roman"/>
        </w:rPr>
        <w:t xml:space="preserve"> ‘use or</w:t>
      </w:r>
      <w:r w:rsidR="00187BA0" w:rsidRPr="00D56B97">
        <w:rPr>
          <w:rFonts w:ascii="Times New Roman" w:hAnsi="Times New Roman" w:cs="Times New Roman"/>
        </w:rPr>
        <w:t xml:space="preserve"> weigh’ the information relevant to a</w:t>
      </w:r>
      <w:r w:rsidR="00BD376C" w:rsidRPr="00D56B97">
        <w:rPr>
          <w:rFonts w:ascii="Times New Roman" w:hAnsi="Times New Roman" w:cs="Times New Roman"/>
        </w:rPr>
        <w:t xml:space="preserve"> decision</w:t>
      </w:r>
      <w:r w:rsidR="00486DCA" w:rsidRPr="00D56B97">
        <w:rPr>
          <w:rFonts w:ascii="Times New Roman" w:hAnsi="Times New Roman" w:cs="Times New Roman"/>
        </w:rPr>
        <w:t>,</w:t>
      </w:r>
      <w:r w:rsidR="00FD5A7F" w:rsidRPr="00D56B97">
        <w:rPr>
          <w:rFonts w:ascii="Times New Roman" w:hAnsi="Times New Roman" w:cs="Times New Roman"/>
        </w:rPr>
        <w:t xml:space="preserve"> </w:t>
      </w:r>
      <w:r w:rsidR="002B1CC1" w:rsidRPr="00D56B97">
        <w:rPr>
          <w:rFonts w:ascii="Times New Roman" w:hAnsi="Times New Roman" w:cs="Times New Roman"/>
        </w:rPr>
        <w:t>yet</w:t>
      </w:r>
      <w:r w:rsidR="00486DCA" w:rsidRPr="00D56B97">
        <w:rPr>
          <w:rFonts w:ascii="Times New Roman" w:hAnsi="Times New Roman" w:cs="Times New Roman"/>
        </w:rPr>
        <w:t xml:space="preserve"> </w:t>
      </w:r>
      <w:r w:rsidR="00E73E1B" w:rsidRPr="00D56B97">
        <w:rPr>
          <w:rFonts w:ascii="Times New Roman" w:hAnsi="Times New Roman" w:cs="Times New Roman"/>
        </w:rPr>
        <w:t>they seem</w:t>
      </w:r>
      <w:r w:rsidR="001F0CE9" w:rsidRPr="00D56B97">
        <w:rPr>
          <w:rFonts w:ascii="Times New Roman" w:hAnsi="Times New Roman" w:cs="Times New Roman"/>
        </w:rPr>
        <w:t xml:space="preserve"> relevantly</w:t>
      </w:r>
      <w:r w:rsidR="00E73E1B" w:rsidRPr="00D56B97">
        <w:rPr>
          <w:rFonts w:ascii="Times New Roman" w:hAnsi="Times New Roman" w:cs="Times New Roman"/>
        </w:rPr>
        <w:t xml:space="preserve"> autonomo</w:t>
      </w:r>
      <w:r w:rsidR="001F0CE9" w:rsidRPr="00D56B97">
        <w:rPr>
          <w:rFonts w:ascii="Times New Roman" w:hAnsi="Times New Roman" w:cs="Times New Roman"/>
        </w:rPr>
        <w:t>us</w:t>
      </w:r>
      <w:r w:rsidR="00BE6659" w:rsidRPr="00D56B97">
        <w:rPr>
          <w:rFonts w:ascii="Times New Roman" w:hAnsi="Times New Roman" w:cs="Times New Roman"/>
        </w:rPr>
        <w:t xml:space="preserve">, </w:t>
      </w:r>
      <w:r w:rsidR="00187BA0" w:rsidRPr="00D56B97">
        <w:rPr>
          <w:rFonts w:ascii="Times New Roman" w:hAnsi="Times New Roman" w:cs="Times New Roman"/>
        </w:rPr>
        <w:t>it a</w:t>
      </w:r>
      <w:r w:rsidR="00BE6659" w:rsidRPr="00D56B97">
        <w:rPr>
          <w:rFonts w:ascii="Times New Roman" w:hAnsi="Times New Roman" w:cs="Times New Roman"/>
        </w:rPr>
        <w:t>llows the</w:t>
      </w:r>
      <w:r w:rsidR="003045D6" w:rsidRPr="00D56B97">
        <w:rPr>
          <w:rFonts w:ascii="Times New Roman" w:hAnsi="Times New Roman" w:cs="Times New Roman"/>
        </w:rPr>
        <w:t xml:space="preserve"> </w:t>
      </w:r>
      <w:r w:rsidR="00187BA0" w:rsidRPr="00D56B97">
        <w:rPr>
          <w:rFonts w:ascii="Times New Roman" w:hAnsi="Times New Roman" w:cs="Times New Roman"/>
        </w:rPr>
        <w:t>judge</w:t>
      </w:r>
      <w:r w:rsidR="003045D6" w:rsidRPr="00D56B97">
        <w:rPr>
          <w:rFonts w:ascii="Times New Roman" w:hAnsi="Times New Roman" w:cs="Times New Roman"/>
        </w:rPr>
        <w:t xml:space="preserve"> to </w:t>
      </w:r>
      <w:r w:rsidR="00BD376C" w:rsidRPr="00D56B97">
        <w:rPr>
          <w:rFonts w:ascii="Times New Roman" w:hAnsi="Times New Roman" w:cs="Times New Roman"/>
        </w:rPr>
        <w:t>r</w:t>
      </w:r>
      <w:r w:rsidR="004D2EBC" w:rsidRPr="00D56B97">
        <w:rPr>
          <w:rFonts w:ascii="Times New Roman" w:hAnsi="Times New Roman" w:cs="Times New Roman"/>
        </w:rPr>
        <w:t xml:space="preserve">ecognise </w:t>
      </w:r>
      <w:r w:rsidR="00486DCA" w:rsidRPr="00D56B97">
        <w:rPr>
          <w:rFonts w:ascii="Times New Roman" w:hAnsi="Times New Roman" w:cs="Times New Roman"/>
        </w:rPr>
        <w:t xml:space="preserve">this broader type of self-determination. </w:t>
      </w:r>
      <w:r w:rsidR="00D249ED" w:rsidRPr="00D56B97">
        <w:rPr>
          <w:rFonts w:ascii="Times New Roman" w:hAnsi="Times New Roman" w:cs="Times New Roman"/>
          <w:i/>
        </w:rPr>
        <w:t>Wye Valley</w:t>
      </w:r>
      <w:r w:rsidR="00D249ED" w:rsidRPr="00D56B97">
        <w:rPr>
          <w:rFonts w:ascii="Times New Roman" w:hAnsi="Times New Roman" w:cs="Times New Roman"/>
        </w:rPr>
        <w:t xml:space="preserve"> is prototypical. It would have been difficult for Mr Justice Peter Jackson to hold that a man with treatment-resistant schizoaffective disorder who did not ‘understand the reality of his injury</w:t>
      </w:r>
      <w:r w:rsidR="00FD5A7F" w:rsidRPr="00D56B97">
        <w:rPr>
          <w:rFonts w:ascii="Times New Roman" w:hAnsi="Times New Roman" w:cs="Times New Roman"/>
        </w:rPr>
        <w:t>’</w:t>
      </w:r>
      <w:r w:rsidR="00C44247">
        <w:rPr>
          <w:rFonts w:ascii="Times New Roman" w:hAnsi="Times New Roman" w:cs="Times New Roman"/>
        </w:rPr>
        <w:t>,</w:t>
      </w:r>
      <w:r w:rsidR="00FD5A7F" w:rsidRPr="00D56B97">
        <w:rPr>
          <w:rFonts w:ascii="Times New Roman" w:hAnsi="Times New Roman" w:cs="Times New Roman"/>
        </w:rPr>
        <w:t xml:space="preserve"> and became agitated when</w:t>
      </w:r>
      <w:r w:rsidR="00D249ED" w:rsidRPr="00D56B97">
        <w:rPr>
          <w:rFonts w:ascii="Times New Roman" w:hAnsi="Times New Roman" w:cs="Times New Roman"/>
        </w:rPr>
        <w:t xml:space="preserve"> it was even discussed</w:t>
      </w:r>
      <w:r w:rsidR="00C44247">
        <w:rPr>
          <w:rFonts w:ascii="Times New Roman" w:hAnsi="Times New Roman" w:cs="Times New Roman"/>
        </w:rPr>
        <w:t>,</w:t>
      </w:r>
      <w:r w:rsidR="00D249ED" w:rsidRPr="00D56B97">
        <w:rPr>
          <w:rFonts w:ascii="Times New Roman" w:hAnsi="Times New Roman" w:cs="Times New Roman"/>
        </w:rPr>
        <w:t xml:space="preserve"> had capacity to make decisions about treatment for that injury.</w:t>
      </w:r>
      <w:r w:rsidR="00D249ED" w:rsidRPr="00D56B97">
        <w:rPr>
          <w:rStyle w:val="FootnoteReference"/>
          <w:rFonts w:ascii="Times New Roman" w:hAnsi="Times New Roman" w:cs="Times New Roman"/>
        </w:rPr>
        <w:footnoteReference w:id="152"/>
      </w:r>
      <w:r w:rsidR="00D249ED" w:rsidRPr="00D56B97">
        <w:rPr>
          <w:rFonts w:ascii="Times New Roman" w:hAnsi="Times New Roman" w:cs="Times New Roman"/>
        </w:rPr>
        <w:t xml:space="preserve"> </w:t>
      </w:r>
      <w:r w:rsidR="00E2748B" w:rsidRPr="00D56B97">
        <w:rPr>
          <w:rFonts w:ascii="Times New Roman" w:hAnsi="Times New Roman" w:cs="Times New Roman"/>
        </w:rPr>
        <w:t xml:space="preserve">The survival account </w:t>
      </w:r>
      <w:r w:rsidR="00D249ED" w:rsidRPr="00D56B97">
        <w:rPr>
          <w:rFonts w:ascii="Times New Roman" w:hAnsi="Times New Roman" w:cs="Times New Roman"/>
        </w:rPr>
        <w:t>nevertheless allowed him to abide by</w:t>
      </w:r>
      <w:r w:rsidR="00FD5A7F" w:rsidRPr="00D56B97">
        <w:rPr>
          <w:rFonts w:ascii="Times New Roman" w:hAnsi="Times New Roman" w:cs="Times New Roman"/>
        </w:rPr>
        <w:t xml:space="preserve"> the man’s intelligible and authentically held</w:t>
      </w:r>
      <w:r w:rsidR="00D249ED" w:rsidRPr="00D56B97">
        <w:rPr>
          <w:rFonts w:ascii="Times New Roman" w:hAnsi="Times New Roman" w:cs="Times New Roman"/>
        </w:rPr>
        <w:t xml:space="preserve"> wishes.</w:t>
      </w:r>
      <w:r w:rsidR="00D249ED" w:rsidRPr="00D56B97">
        <w:rPr>
          <w:rStyle w:val="FootnoteReference"/>
          <w:rFonts w:ascii="Times New Roman" w:hAnsi="Times New Roman" w:cs="Times New Roman"/>
        </w:rPr>
        <w:footnoteReference w:id="153"/>
      </w:r>
      <w:r w:rsidR="00D249ED" w:rsidRPr="00D56B97">
        <w:rPr>
          <w:rFonts w:ascii="Times New Roman" w:hAnsi="Times New Roman" w:cs="Times New Roman"/>
        </w:rPr>
        <w:t xml:space="preserve"> </w:t>
      </w:r>
      <w:r w:rsidR="00BE6659" w:rsidRPr="00D56B97">
        <w:rPr>
          <w:rFonts w:ascii="Times New Roman" w:hAnsi="Times New Roman" w:cs="Times New Roman"/>
        </w:rPr>
        <w:t xml:space="preserve">To hold that autonomy survives incapacity </w:t>
      </w:r>
      <w:r w:rsidR="00100223" w:rsidRPr="00D56B97">
        <w:rPr>
          <w:rFonts w:ascii="Times New Roman" w:hAnsi="Times New Roman" w:cs="Times New Roman"/>
        </w:rPr>
        <w:t xml:space="preserve">seems to </w:t>
      </w:r>
      <w:r w:rsidR="00100223" w:rsidRPr="00D56B97">
        <w:rPr>
          <w:rFonts w:ascii="Times New Roman" w:hAnsi="Times New Roman" w:cs="Times New Roman"/>
        </w:rPr>
        <w:lastRenderedPageBreak/>
        <w:t>contradict</w:t>
      </w:r>
      <w:r w:rsidR="00BE6659" w:rsidRPr="00D56B97">
        <w:rPr>
          <w:rFonts w:ascii="Times New Roman" w:hAnsi="Times New Roman" w:cs="Times New Roman"/>
        </w:rPr>
        <w:t xml:space="preserve"> the gatekeeper and insufficiency accounts, just as they</w:t>
      </w:r>
      <w:r w:rsidR="00100223" w:rsidRPr="00D56B97">
        <w:rPr>
          <w:rFonts w:ascii="Times New Roman" w:hAnsi="Times New Roman" w:cs="Times New Roman"/>
        </w:rPr>
        <w:t xml:space="preserve"> seem to</w:t>
      </w:r>
      <w:r w:rsidR="00BE6659" w:rsidRPr="00D56B97">
        <w:rPr>
          <w:rFonts w:ascii="Times New Roman" w:hAnsi="Times New Roman" w:cs="Times New Roman"/>
        </w:rPr>
        <w:t xml:space="preserve"> contradict one another.</w:t>
      </w:r>
      <w:r w:rsidR="00622A3D" w:rsidRPr="00D56B97">
        <w:rPr>
          <w:rFonts w:ascii="Times New Roman" w:hAnsi="Times New Roman" w:cs="Times New Roman"/>
        </w:rPr>
        <w:t xml:space="preserve"> This does not</w:t>
      </w:r>
      <w:r w:rsidR="00D026AA" w:rsidRPr="00D56B97">
        <w:rPr>
          <w:rFonts w:ascii="Times New Roman" w:hAnsi="Times New Roman" w:cs="Times New Roman"/>
        </w:rPr>
        <w:t>, however,</w:t>
      </w:r>
      <w:r w:rsidR="00622A3D" w:rsidRPr="00D56B97">
        <w:rPr>
          <w:rFonts w:ascii="Times New Roman" w:hAnsi="Times New Roman" w:cs="Times New Roman"/>
        </w:rPr>
        <w:t xml:space="preserve"> mean that the relationship between autonomy and mental capacity is incoherent. It i</w:t>
      </w:r>
      <w:r w:rsidR="000E5F63" w:rsidRPr="00D56B97">
        <w:rPr>
          <w:rFonts w:ascii="Times New Roman" w:hAnsi="Times New Roman" w:cs="Times New Roman"/>
        </w:rPr>
        <w:t xml:space="preserve">s not. Rather, the courts </w:t>
      </w:r>
      <w:r w:rsidR="00622A3D" w:rsidRPr="00D56B97">
        <w:rPr>
          <w:rFonts w:ascii="Times New Roman" w:hAnsi="Times New Roman" w:cs="Times New Roman"/>
        </w:rPr>
        <w:t xml:space="preserve">emphasise the particular elements of the relationship that they find relevant </w:t>
      </w:r>
      <w:r w:rsidR="007B1A3D" w:rsidRPr="00D56B97">
        <w:rPr>
          <w:rFonts w:ascii="Times New Roman" w:hAnsi="Times New Roman" w:cs="Times New Roman"/>
        </w:rPr>
        <w:t>in</w:t>
      </w:r>
      <w:r w:rsidR="00622A3D" w:rsidRPr="00D56B97">
        <w:rPr>
          <w:rFonts w:ascii="Times New Roman" w:hAnsi="Times New Roman" w:cs="Times New Roman"/>
        </w:rPr>
        <w:t xml:space="preserve"> the case before them, and this has led to three partial accounts of a coherent </w:t>
      </w:r>
      <w:r w:rsidR="00C44247">
        <w:rPr>
          <w:rFonts w:ascii="Times New Roman" w:hAnsi="Times New Roman" w:cs="Times New Roman"/>
        </w:rPr>
        <w:t>whole</w:t>
      </w:r>
      <w:r w:rsidR="00622A3D" w:rsidRPr="00D56B97">
        <w:rPr>
          <w:rFonts w:ascii="Times New Roman" w:hAnsi="Times New Roman" w:cs="Times New Roman"/>
        </w:rPr>
        <w:t xml:space="preserve">. </w:t>
      </w:r>
    </w:p>
    <w:p w14:paraId="7493C8A4" w14:textId="77777777" w:rsidR="005A48D4" w:rsidRPr="00D56B97" w:rsidRDefault="00AC229E" w:rsidP="00AC229E">
      <w:pPr>
        <w:spacing w:line="480" w:lineRule="auto"/>
        <w:jc w:val="center"/>
        <w:rPr>
          <w:rFonts w:ascii="Times New Roman" w:hAnsi="Times New Roman" w:cs="Times New Roman"/>
          <w:b/>
          <w:sz w:val="28"/>
          <w:szCs w:val="28"/>
        </w:rPr>
      </w:pPr>
      <w:r w:rsidRPr="00D56B97">
        <w:rPr>
          <w:rFonts w:ascii="Times New Roman" w:hAnsi="Times New Roman" w:cs="Times New Roman"/>
          <w:b/>
          <w:sz w:val="28"/>
          <w:szCs w:val="28"/>
        </w:rPr>
        <w:t>V</w:t>
      </w:r>
      <w:r w:rsidR="00AC6EA5" w:rsidRPr="00D56B97">
        <w:rPr>
          <w:rFonts w:ascii="Times New Roman" w:hAnsi="Times New Roman" w:cs="Times New Roman"/>
          <w:b/>
          <w:sz w:val="28"/>
          <w:szCs w:val="28"/>
        </w:rPr>
        <w:t>.</w:t>
      </w:r>
      <w:r w:rsidRPr="00D56B97">
        <w:rPr>
          <w:rFonts w:ascii="Times New Roman" w:hAnsi="Times New Roman" w:cs="Times New Roman"/>
          <w:b/>
          <w:sz w:val="28"/>
          <w:szCs w:val="28"/>
        </w:rPr>
        <w:t xml:space="preserve"> A COHERENT ACCOUNT</w:t>
      </w:r>
    </w:p>
    <w:p w14:paraId="7493C8A5" w14:textId="77777777" w:rsidR="00E715F4" w:rsidRPr="00D56B97" w:rsidRDefault="00E715F4" w:rsidP="00021A54">
      <w:pPr>
        <w:spacing w:line="480" w:lineRule="auto"/>
        <w:jc w:val="both"/>
        <w:rPr>
          <w:rFonts w:ascii="Times New Roman" w:hAnsi="Times New Roman" w:cs="Times New Roman"/>
        </w:rPr>
      </w:pPr>
      <w:r w:rsidRPr="00D56B97">
        <w:rPr>
          <w:rFonts w:ascii="Times New Roman" w:hAnsi="Times New Roman" w:cs="Times New Roman"/>
        </w:rPr>
        <w:t>In</w:t>
      </w:r>
      <w:r w:rsidR="00D4125D" w:rsidRPr="00D56B97">
        <w:rPr>
          <w:rFonts w:ascii="Times New Roman" w:hAnsi="Times New Roman" w:cs="Times New Roman"/>
          <w:i/>
        </w:rPr>
        <w:t xml:space="preserve"> W v M,</w:t>
      </w:r>
      <w:r w:rsidR="00D4125D" w:rsidRPr="00D56B97">
        <w:rPr>
          <w:rFonts w:ascii="Times New Roman" w:hAnsi="Times New Roman" w:cs="Times New Roman"/>
        </w:rPr>
        <w:t xml:space="preserve"> Mr Justice Baker says</w:t>
      </w:r>
      <w:r w:rsidR="00D4125D" w:rsidRPr="00D56B97">
        <w:rPr>
          <w:rFonts w:ascii="Times New Roman" w:hAnsi="Times New Roman" w:cs="Times New Roman"/>
          <w:i/>
        </w:rPr>
        <w:t xml:space="preserve"> </w:t>
      </w:r>
      <w:r w:rsidR="00D4125D" w:rsidRPr="00D56B97">
        <w:rPr>
          <w:rFonts w:ascii="Times New Roman" w:hAnsi="Times New Roman" w:cs="Times New Roman"/>
        </w:rPr>
        <w:t>that</w:t>
      </w:r>
      <w:r w:rsidR="00D4125D" w:rsidRPr="00D56B97">
        <w:rPr>
          <w:rFonts w:ascii="Times New Roman" w:hAnsi="Times New Roman" w:cs="Times New Roman"/>
          <w:i/>
        </w:rPr>
        <w:t xml:space="preserve"> </w:t>
      </w:r>
      <w:r w:rsidR="00D4125D" w:rsidRPr="00D56B97">
        <w:rPr>
          <w:rFonts w:ascii="Times New Roman" w:hAnsi="Times New Roman" w:cs="Times New Roman"/>
        </w:rPr>
        <w:t>‘personal autonomy survives the onset of incapacity’;</w:t>
      </w:r>
      <w:r w:rsidR="00D4125D" w:rsidRPr="00D56B97">
        <w:rPr>
          <w:rFonts w:ascii="Times New Roman" w:hAnsi="Times New Roman" w:cs="Times New Roman"/>
          <w:vertAlign w:val="superscript"/>
        </w:rPr>
        <w:footnoteReference w:id="154"/>
      </w:r>
      <w:r w:rsidR="00D4125D" w:rsidRPr="00D56B97">
        <w:rPr>
          <w:rFonts w:ascii="Times New Roman" w:hAnsi="Times New Roman" w:cs="Times New Roman"/>
        </w:rPr>
        <w:t xml:space="preserve"> but in </w:t>
      </w:r>
      <w:r w:rsidR="00D4125D" w:rsidRPr="00D56B97">
        <w:rPr>
          <w:rFonts w:ascii="Times New Roman" w:hAnsi="Times New Roman" w:cs="Times New Roman"/>
          <w:i/>
        </w:rPr>
        <w:t>Bailey v Warren,</w:t>
      </w:r>
      <w:r w:rsidR="00D4125D" w:rsidRPr="00D56B97">
        <w:rPr>
          <w:rFonts w:ascii="Times New Roman" w:hAnsi="Times New Roman" w:cs="Times New Roman"/>
        </w:rPr>
        <w:t xml:space="preserve"> Lady Justice Arden says that ‘capacity is an important issue because it determines whether an individual will in law have autonomy over decision-making’.</w:t>
      </w:r>
      <w:r w:rsidR="00D4125D" w:rsidRPr="00D56B97">
        <w:rPr>
          <w:rFonts w:ascii="Times New Roman" w:hAnsi="Times New Roman" w:cs="Times New Roman"/>
          <w:vertAlign w:val="superscript"/>
        </w:rPr>
        <w:footnoteReference w:id="155"/>
      </w:r>
      <w:r w:rsidR="003447A4" w:rsidRPr="00D56B97">
        <w:rPr>
          <w:rFonts w:ascii="Times New Roman" w:hAnsi="Times New Roman" w:cs="Times New Roman"/>
        </w:rPr>
        <w:t xml:space="preserve"> I</w:t>
      </w:r>
      <w:r w:rsidR="00D4125D" w:rsidRPr="00D56B97">
        <w:rPr>
          <w:rFonts w:ascii="Times New Roman" w:hAnsi="Times New Roman" w:cs="Times New Roman"/>
        </w:rPr>
        <w:t xml:space="preserve">n </w:t>
      </w:r>
      <w:r w:rsidR="00D4125D" w:rsidRPr="00D56B97">
        <w:rPr>
          <w:rFonts w:ascii="Times New Roman" w:hAnsi="Times New Roman" w:cs="Times New Roman"/>
          <w:i/>
        </w:rPr>
        <w:t>DL</w:t>
      </w:r>
      <w:r w:rsidR="00D4125D" w:rsidRPr="00D56B97">
        <w:rPr>
          <w:rFonts w:ascii="Times New Roman" w:hAnsi="Times New Roman" w:cs="Times New Roman"/>
        </w:rPr>
        <w:t xml:space="preserve">, </w:t>
      </w:r>
      <w:r w:rsidR="003447A4" w:rsidRPr="00D56B97">
        <w:rPr>
          <w:rFonts w:ascii="Times New Roman" w:hAnsi="Times New Roman" w:cs="Times New Roman"/>
        </w:rPr>
        <w:t>McFarlane LJ talks about</w:t>
      </w:r>
      <w:r w:rsidR="00D4125D" w:rsidRPr="00D56B97">
        <w:rPr>
          <w:rFonts w:ascii="Times New Roman" w:hAnsi="Times New Roman" w:cs="Times New Roman"/>
        </w:rPr>
        <w:t xml:space="preserve"> </w:t>
      </w:r>
      <w:r w:rsidR="00A16092" w:rsidRPr="00D56B97">
        <w:rPr>
          <w:rFonts w:ascii="Times New Roman" w:hAnsi="Times New Roman" w:cs="Times New Roman"/>
        </w:rPr>
        <w:t>the ‘</w:t>
      </w:r>
      <w:r w:rsidR="003447A4" w:rsidRPr="00D56B97">
        <w:rPr>
          <w:rFonts w:ascii="Times New Roman" w:hAnsi="Times New Roman" w:cs="Times New Roman"/>
        </w:rPr>
        <w:t xml:space="preserve">adult whose autonomy has been compromised by a reason other than mental incapacity’; </w:t>
      </w:r>
      <w:r w:rsidR="003447A4" w:rsidRPr="00D56B97">
        <w:rPr>
          <w:rFonts w:ascii="Times New Roman" w:hAnsi="Times New Roman" w:cs="Times New Roman"/>
          <w:vertAlign w:val="superscript"/>
        </w:rPr>
        <w:footnoteReference w:id="156"/>
      </w:r>
      <w:r w:rsidR="003447A4" w:rsidRPr="00D56B97">
        <w:rPr>
          <w:rFonts w:ascii="Times New Roman" w:hAnsi="Times New Roman" w:cs="Times New Roman"/>
        </w:rPr>
        <w:t xml:space="preserve"> but, in </w:t>
      </w:r>
      <w:r w:rsidR="00A16092" w:rsidRPr="00D56B97">
        <w:rPr>
          <w:rFonts w:ascii="Times New Roman" w:hAnsi="Times New Roman" w:cs="Times New Roman"/>
          <w:i/>
        </w:rPr>
        <w:t>PC</w:t>
      </w:r>
      <w:r w:rsidR="003447A4" w:rsidRPr="00D56B97">
        <w:rPr>
          <w:rFonts w:ascii="Times New Roman" w:hAnsi="Times New Roman" w:cs="Times New Roman"/>
          <w:i/>
        </w:rPr>
        <w:t xml:space="preserve">, </w:t>
      </w:r>
      <w:r w:rsidR="003447A4" w:rsidRPr="00D56B97">
        <w:rPr>
          <w:rFonts w:ascii="Times New Roman" w:hAnsi="Times New Roman" w:cs="Times New Roman"/>
        </w:rPr>
        <w:t>he affirms that ‘unless they lack mental capacity …the statute respects their autonomy’.</w:t>
      </w:r>
      <w:r w:rsidR="003447A4" w:rsidRPr="00D56B97">
        <w:rPr>
          <w:rFonts w:ascii="Times New Roman" w:hAnsi="Times New Roman" w:cs="Times New Roman"/>
          <w:vertAlign w:val="superscript"/>
        </w:rPr>
        <w:footnoteReference w:id="157"/>
      </w:r>
      <w:r w:rsidR="005A59B6" w:rsidRPr="00D56B97">
        <w:rPr>
          <w:rFonts w:ascii="Times New Roman" w:hAnsi="Times New Roman" w:cs="Times New Roman"/>
        </w:rPr>
        <w:t xml:space="preserve"> </w:t>
      </w:r>
      <w:r w:rsidR="00A16092" w:rsidRPr="00D56B97">
        <w:rPr>
          <w:rFonts w:ascii="Times New Roman" w:hAnsi="Times New Roman" w:cs="Times New Roman"/>
        </w:rPr>
        <w:t>It would be easy to read these statements and conclude that</w:t>
      </w:r>
      <w:r w:rsidR="005A59B6" w:rsidRPr="00D56B97">
        <w:rPr>
          <w:rFonts w:ascii="Times New Roman" w:hAnsi="Times New Roman" w:cs="Times New Roman"/>
        </w:rPr>
        <w:t xml:space="preserve"> there is no coherent relationship between autonomy and mental capacity in domestic law. </w:t>
      </w:r>
      <w:r w:rsidR="00A16092" w:rsidRPr="00D56B97">
        <w:rPr>
          <w:rFonts w:ascii="Times New Roman" w:hAnsi="Times New Roman" w:cs="Times New Roman"/>
        </w:rPr>
        <w:t>S</w:t>
      </w:r>
      <w:r w:rsidR="00E6321F" w:rsidRPr="00D56B97">
        <w:rPr>
          <w:rFonts w:ascii="Times New Roman" w:hAnsi="Times New Roman" w:cs="Times New Roman"/>
        </w:rPr>
        <w:t xml:space="preserve">ome might </w:t>
      </w:r>
      <w:r w:rsidR="00A16092" w:rsidRPr="00D56B97">
        <w:rPr>
          <w:rFonts w:ascii="Times New Roman" w:hAnsi="Times New Roman" w:cs="Times New Roman"/>
        </w:rPr>
        <w:t xml:space="preserve">even </w:t>
      </w:r>
      <w:r w:rsidR="00E6321F" w:rsidRPr="00D56B97">
        <w:rPr>
          <w:rFonts w:ascii="Times New Roman" w:hAnsi="Times New Roman" w:cs="Times New Roman"/>
        </w:rPr>
        <w:t xml:space="preserve">conclude that ‘autonomy’ </w:t>
      </w:r>
      <w:r w:rsidR="0071533F" w:rsidRPr="00D56B97">
        <w:rPr>
          <w:rFonts w:ascii="Times New Roman" w:hAnsi="Times New Roman" w:cs="Times New Roman"/>
        </w:rPr>
        <w:t>is simply used to excuse decisions made</w:t>
      </w:r>
      <w:r w:rsidR="00E6321F" w:rsidRPr="00D56B97">
        <w:rPr>
          <w:rFonts w:ascii="Times New Roman" w:hAnsi="Times New Roman" w:cs="Times New Roman"/>
        </w:rPr>
        <w:t xml:space="preserve"> on other grounds, and that a person’s mental capacity or inc</w:t>
      </w:r>
      <w:r w:rsidR="001F0CE9" w:rsidRPr="00D56B97">
        <w:rPr>
          <w:rFonts w:ascii="Times New Roman" w:hAnsi="Times New Roman" w:cs="Times New Roman"/>
        </w:rPr>
        <w:t>apacity is only as significant the</w:t>
      </w:r>
      <w:r w:rsidR="00E6321F" w:rsidRPr="00D56B97">
        <w:rPr>
          <w:rFonts w:ascii="Times New Roman" w:hAnsi="Times New Roman" w:cs="Times New Roman"/>
        </w:rPr>
        <w:t xml:space="preserve"> judge chooses to m</w:t>
      </w:r>
      <w:r w:rsidR="00A16092" w:rsidRPr="00D56B97">
        <w:rPr>
          <w:rFonts w:ascii="Times New Roman" w:hAnsi="Times New Roman" w:cs="Times New Roman"/>
        </w:rPr>
        <w:t>ake it. Such</w:t>
      </w:r>
      <w:r w:rsidR="00B56CB6" w:rsidRPr="00D56B97">
        <w:rPr>
          <w:rFonts w:ascii="Times New Roman" w:hAnsi="Times New Roman" w:cs="Times New Roman"/>
        </w:rPr>
        <w:t xml:space="preserve"> </w:t>
      </w:r>
      <w:r w:rsidR="00E6321F" w:rsidRPr="00D56B97">
        <w:rPr>
          <w:rFonts w:ascii="Times New Roman" w:hAnsi="Times New Roman" w:cs="Times New Roman"/>
        </w:rPr>
        <w:t>cyni</w:t>
      </w:r>
      <w:r w:rsidR="001F0CE9" w:rsidRPr="00D56B97">
        <w:rPr>
          <w:rFonts w:ascii="Times New Roman" w:hAnsi="Times New Roman" w:cs="Times New Roman"/>
        </w:rPr>
        <w:t xml:space="preserve">cism should be resisted. It </w:t>
      </w:r>
      <w:r w:rsidR="00A16092" w:rsidRPr="00D56B97">
        <w:rPr>
          <w:rFonts w:ascii="Times New Roman" w:hAnsi="Times New Roman" w:cs="Times New Roman"/>
        </w:rPr>
        <w:t>does not fit</w:t>
      </w:r>
      <w:r w:rsidR="00E6321F" w:rsidRPr="00D56B97">
        <w:rPr>
          <w:rFonts w:ascii="Times New Roman" w:hAnsi="Times New Roman" w:cs="Times New Roman"/>
        </w:rPr>
        <w:t xml:space="preserve"> the evidence. </w:t>
      </w:r>
      <w:r w:rsidR="00087E8B" w:rsidRPr="00D56B97">
        <w:rPr>
          <w:rFonts w:ascii="Times New Roman" w:hAnsi="Times New Roman" w:cs="Times New Roman"/>
        </w:rPr>
        <w:t>All of the cases discussed here</w:t>
      </w:r>
      <w:r w:rsidR="0071533F" w:rsidRPr="00D56B97">
        <w:rPr>
          <w:rFonts w:ascii="Times New Roman" w:hAnsi="Times New Roman" w:cs="Times New Roman"/>
        </w:rPr>
        <w:t xml:space="preserve"> give an </w:t>
      </w:r>
      <w:r w:rsidR="00E6321F" w:rsidRPr="00D56B97">
        <w:rPr>
          <w:rFonts w:ascii="Times New Roman" w:hAnsi="Times New Roman" w:cs="Times New Roman"/>
        </w:rPr>
        <w:t xml:space="preserve">impression of anxious moral scrutiny, not of </w:t>
      </w:r>
      <w:r w:rsidR="00B56CB6" w:rsidRPr="00D56B97">
        <w:rPr>
          <w:rFonts w:ascii="Times New Roman" w:hAnsi="Times New Roman" w:cs="Times New Roman"/>
        </w:rPr>
        <w:t>sophistry</w:t>
      </w:r>
      <w:r w:rsidR="00E6321F" w:rsidRPr="00D56B97">
        <w:rPr>
          <w:rFonts w:ascii="Times New Roman" w:hAnsi="Times New Roman" w:cs="Times New Roman"/>
        </w:rPr>
        <w:t xml:space="preserve"> or arbitrary choice.</w:t>
      </w:r>
      <w:r w:rsidR="0027715C" w:rsidRPr="00D56B97">
        <w:rPr>
          <w:rFonts w:ascii="Times New Roman" w:hAnsi="Times New Roman" w:cs="Times New Roman"/>
        </w:rPr>
        <w:t xml:space="preserve"> Furthermore, each account has</w:t>
      </w:r>
      <w:r w:rsidR="0005158A" w:rsidRPr="00D56B97">
        <w:rPr>
          <w:rFonts w:ascii="Times New Roman" w:hAnsi="Times New Roman" w:cs="Times New Roman"/>
        </w:rPr>
        <w:t xml:space="preserve"> characteristic use</w:t>
      </w:r>
      <w:r w:rsidR="0027715C" w:rsidRPr="00D56B97">
        <w:rPr>
          <w:rFonts w:ascii="Times New Roman" w:hAnsi="Times New Roman" w:cs="Times New Roman"/>
        </w:rPr>
        <w:t>s</w:t>
      </w:r>
      <w:r w:rsidR="0005158A" w:rsidRPr="00D56B97">
        <w:rPr>
          <w:rFonts w:ascii="Times New Roman" w:hAnsi="Times New Roman" w:cs="Times New Roman"/>
        </w:rPr>
        <w:t>. Each reliably appears in response to certain types of concern; and these concerns, for instance coercion by a third party, are things that judges should be responsive to.</w:t>
      </w:r>
      <w:r w:rsidR="00E6321F" w:rsidRPr="00D56B97">
        <w:rPr>
          <w:rFonts w:ascii="Times New Roman" w:hAnsi="Times New Roman" w:cs="Times New Roman"/>
        </w:rPr>
        <w:t xml:space="preserve"> More fundamentally, </w:t>
      </w:r>
      <w:r w:rsidR="0005158A" w:rsidRPr="00D56B97">
        <w:rPr>
          <w:rFonts w:ascii="Times New Roman" w:hAnsi="Times New Roman" w:cs="Times New Roman"/>
        </w:rPr>
        <w:t>cheap</w:t>
      </w:r>
      <w:r w:rsidR="0071533F" w:rsidRPr="00D56B97">
        <w:rPr>
          <w:rFonts w:ascii="Times New Roman" w:hAnsi="Times New Roman" w:cs="Times New Roman"/>
        </w:rPr>
        <w:t xml:space="preserve"> cynicism makes </w:t>
      </w:r>
      <w:r w:rsidR="0005158A" w:rsidRPr="00D56B97">
        <w:rPr>
          <w:rFonts w:ascii="Times New Roman" w:hAnsi="Times New Roman" w:cs="Times New Roman"/>
        </w:rPr>
        <w:t xml:space="preserve">the same </w:t>
      </w:r>
      <w:r w:rsidR="00887B76" w:rsidRPr="00D56B97">
        <w:rPr>
          <w:rFonts w:ascii="Times New Roman" w:hAnsi="Times New Roman" w:cs="Times New Roman"/>
        </w:rPr>
        <w:t>sort of oversimplification</w:t>
      </w:r>
      <w:r w:rsidR="0005158A" w:rsidRPr="00D56B97">
        <w:rPr>
          <w:rFonts w:ascii="Times New Roman" w:hAnsi="Times New Roman" w:cs="Times New Roman"/>
        </w:rPr>
        <w:t xml:space="preserve"> as the three accounts</w:t>
      </w:r>
      <w:r w:rsidR="00B56CB6" w:rsidRPr="00D56B97">
        <w:rPr>
          <w:rFonts w:ascii="Times New Roman" w:hAnsi="Times New Roman" w:cs="Times New Roman"/>
        </w:rPr>
        <w:t>.</w:t>
      </w:r>
    </w:p>
    <w:p w14:paraId="7493C8A6" w14:textId="77777777" w:rsidR="00956AE5" w:rsidRPr="00D56B97" w:rsidRDefault="00C30F3E" w:rsidP="00AC229E">
      <w:pPr>
        <w:spacing w:line="480" w:lineRule="auto"/>
        <w:jc w:val="center"/>
        <w:rPr>
          <w:rFonts w:ascii="Times New Roman" w:hAnsi="Times New Roman" w:cs="Times New Roman"/>
          <w:i/>
        </w:rPr>
      </w:pPr>
      <w:r w:rsidRPr="00D56B97">
        <w:rPr>
          <w:rFonts w:ascii="Times New Roman" w:hAnsi="Times New Roman" w:cs="Times New Roman"/>
          <w:i/>
        </w:rPr>
        <w:t>A.</w:t>
      </w:r>
      <w:r w:rsidR="00AC6EA5" w:rsidRPr="00D56B97">
        <w:rPr>
          <w:rFonts w:ascii="Times New Roman" w:hAnsi="Times New Roman" w:cs="Times New Roman"/>
          <w:i/>
        </w:rPr>
        <w:t xml:space="preserve"> A Coherent A</w:t>
      </w:r>
      <w:r w:rsidR="00956AE5" w:rsidRPr="00D56B97">
        <w:rPr>
          <w:rFonts w:ascii="Times New Roman" w:hAnsi="Times New Roman" w:cs="Times New Roman"/>
          <w:i/>
        </w:rPr>
        <w:t>ccount</w:t>
      </w:r>
    </w:p>
    <w:p w14:paraId="7493C8A7" w14:textId="7D6A3DEC" w:rsidR="00C673CC" w:rsidRPr="00D56B97" w:rsidRDefault="00D46AED" w:rsidP="00021A54">
      <w:pPr>
        <w:spacing w:line="480" w:lineRule="auto"/>
        <w:jc w:val="both"/>
        <w:rPr>
          <w:rFonts w:ascii="Times New Roman" w:eastAsia="Calibri" w:hAnsi="Times New Roman" w:cs="Times New Roman"/>
        </w:rPr>
      </w:pPr>
      <w:r w:rsidRPr="00D56B97">
        <w:rPr>
          <w:rFonts w:ascii="Times New Roman" w:eastAsia="Calibri" w:hAnsi="Times New Roman" w:cs="Times New Roman"/>
        </w:rPr>
        <w:t>The</w:t>
      </w:r>
      <w:r w:rsidR="00B56CB6" w:rsidRPr="00D56B97">
        <w:rPr>
          <w:rFonts w:ascii="Times New Roman" w:eastAsia="Calibri" w:hAnsi="Times New Roman" w:cs="Times New Roman"/>
        </w:rPr>
        <w:t xml:space="preserve"> cynic and three</w:t>
      </w:r>
      <w:r w:rsidR="00497E20" w:rsidRPr="00D56B97">
        <w:rPr>
          <w:rFonts w:ascii="Times New Roman" w:eastAsia="Calibri" w:hAnsi="Times New Roman" w:cs="Times New Roman"/>
        </w:rPr>
        <w:t xml:space="preserve"> previous accounts all make</w:t>
      </w:r>
      <w:r w:rsidRPr="00D56B97">
        <w:rPr>
          <w:rFonts w:ascii="Times New Roman" w:eastAsia="Calibri" w:hAnsi="Times New Roman" w:cs="Times New Roman"/>
        </w:rPr>
        <w:t xml:space="preserve"> the same</w:t>
      </w:r>
      <w:r w:rsidR="00B56CB6" w:rsidRPr="00D56B97">
        <w:rPr>
          <w:rFonts w:ascii="Times New Roman" w:eastAsia="Calibri" w:hAnsi="Times New Roman" w:cs="Times New Roman"/>
        </w:rPr>
        <w:t xml:space="preserve"> simple but common</w:t>
      </w:r>
      <w:r w:rsidRPr="00D56B97">
        <w:rPr>
          <w:rFonts w:ascii="Times New Roman" w:eastAsia="Calibri" w:hAnsi="Times New Roman" w:cs="Times New Roman"/>
        </w:rPr>
        <w:t xml:space="preserve"> error</w:t>
      </w:r>
      <w:r w:rsidR="00B56CB6" w:rsidRPr="00D56B97">
        <w:rPr>
          <w:rFonts w:ascii="Times New Roman" w:eastAsia="Calibri" w:hAnsi="Times New Roman" w:cs="Times New Roman"/>
        </w:rPr>
        <w:t xml:space="preserve">. </w:t>
      </w:r>
      <w:r w:rsidR="000E682D" w:rsidRPr="00D56B97">
        <w:rPr>
          <w:rFonts w:ascii="Times New Roman" w:eastAsia="Calibri" w:hAnsi="Times New Roman" w:cs="Times New Roman"/>
        </w:rPr>
        <w:t xml:space="preserve">Midgley describes </w:t>
      </w:r>
      <w:r w:rsidR="00B56CB6" w:rsidRPr="00D56B97">
        <w:rPr>
          <w:rFonts w:ascii="Times New Roman" w:eastAsia="Calibri" w:hAnsi="Times New Roman" w:cs="Times New Roman"/>
        </w:rPr>
        <w:t xml:space="preserve">it </w:t>
      </w:r>
      <w:r w:rsidR="000E682D" w:rsidRPr="00D56B97">
        <w:rPr>
          <w:rFonts w:ascii="Times New Roman" w:eastAsia="Calibri" w:hAnsi="Times New Roman" w:cs="Times New Roman"/>
        </w:rPr>
        <w:t>as expecting a ‘single plain litmus-paper test’ for a comple</w:t>
      </w:r>
      <w:r w:rsidR="00B56CB6" w:rsidRPr="00D56B97">
        <w:rPr>
          <w:rFonts w:ascii="Times New Roman" w:eastAsia="Calibri" w:hAnsi="Times New Roman" w:cs="Times New Roman"/>
        </w:rPr>
        <w:t>x moral concept.</w:t>
      </w:r>
      <w:r w:rsidRPr="00D56B97">
        <w:rPr>
          <w:rFonts w:ascii="Times New Roman" w:eastAsia="Calibri" w:hAnsi="Times New Roman" w:cs="Times New Roman"/>
          <w:vertAlign w:val="superscript"/>
        </w:rPr>
        <w:footnoteReference w:id="158"/>
      </w:r>
      <w:r w:rsidR="00887B76" w:rsidRPr="00D56B97">
        <w:rPr>
          <w:rFonts w:ascii="Times New Roman" w:eastAsia="Calibri" w:hAnsi="Times New Roman" w:cs="Times New Roman"/>
        </w:rPr>
        <w:t xml:space="preserve"> The gatekeeper account </w:t>
      </w:r>
      <w:r w:rsidR="00887B76" w:rsidRPr="00D56B97">
        <w:rPr>
          <w:rFonts w:ascii="Times New Roman" w:eastAsia="Calibri" w:hAnsi="Times New Roman" w:cs="Times New Roman"/>
        </w:rPr>
        <w:lastRenderedPageBreak/>
        <w:t>gives the impression that there is</w:t>
      </w:r>
      <w:r w:rsidR="00B56CB6" w:rsidRPr="00D56B97">
        <w:rPr>
          <w:rFonts w:ascii="Times New Roman" w:eastAsia="Calibri" w:hAnsi="Times New Roman" w:cs="Times New Roman"/>
        </w:rPr>
        <w:t xml:space="preserve"> such a simple test for the concept of autonomy: if you have capacity then you are autonomous, and if you do not then you are not. </w:t>
      </w:r>
      <w:r w:rsidR="00763569" w:rsidRPr="00D56B97">
        <w:rPr>
          <w:rFonts w:ascii="Times New Roman" w:eastAsia="Calibri" w:hAnsi="Times New Roman" w:cs="Times New Roman"/>
        </w:rPr>
        <w:t>The insufficiency and survival accounts each complicate one limb</w:t>
      </w:r>
      <w:r w:rsidR="00AA3749" w:rsidRPr="00D56B97">
        <w:rPr>
          <w:rFonts w:ascii="Times New Roman" w:eastAsia="Calibri" w:hAnsi="Times New Roman" w:cs="Times New Roman"/>
        </w:rPr>
        <w:t xml:space="preserve"> of the gatekeeper account, but n</w:t>
      </w:r>
      <w:r w:rsidR="00763569" w:rsidRPr="00D56B97">
        <w:rPr>
          <w:rFonts w:ascii="Times New Roman" w:eastAsia="Calibri" w:hAnsi="Times New Roman" w:cs="Times New Roman"/>
        </w:rPr>
        <w:t xml:space="preserve">either abandons the ideal of </w:t>
      </w:r>
      <w:r w:rsidR="00AA3749" w:rsidRPr="00D56B97">
        <w:rPr>
          <w:rFonts w:ascii="Times New Roman" w:eastAsia="Calibri" w:hAnsi="Times New Roman" w:cs="Times New Roman"/>
        </w:rPr>
        <w:t>a single test for autonomy. In the insufficiency account, the single test is whether the person has both capacity and freedom, and in the survival account</w:t>
      </w:r>
      <w:r w:rsidR="007449C3">
        <w:rPr>
          <w:rFonts w:ascii="Times New Roman" w:eastAsia="Calibri" w:hAnsi="Times New Roman" w:cs="Times New Roman"/>
        </w:rPr>
        <w:t>,</w:t>
      </w:r>
      <w:r w:rsidR="00AA3749" w:rsidRPr="00D56B97">
        <w:rPr>
          <w:rFonts w:ascii="Times New Roman" w:eastAsia="Calibri" w:hAnsi="Times New Roman" w:cs="Times New Roman"/>
        </w:rPr>
        <w:t xml:space="preserve"> the </w:t>
      </w:r>
      <w:r w:rsidR="003B1177" w:rsidRPr="00D56B97">
        <w:rPr>
          <w:rFonts w:ascii="Times New Roman" w:eastAsia="Calibri" w:hAnsi="Times New Roman" w:cs="Times New Roman"/>
        </w:rPr>
        <w:t>tes</w:t>
      </w:r>
      <w:r w:rsidR="00497E20" w:rsidRPr="00D56B97">
        <w:rPr>
          <w:rFonts w:ascii="Times New Roman" w:eastAsia="Calibri" w:hAnsi="Times New Roman" w:cs="Times New Roman"/>
        </w:rPr>
        <w:t xml:space="preserve">t is </w:t>
      </w:r>
      <w:r w:rsidR="003B1177" w:rsidRPr="00D56B97">
        <w:rPr>
          <w:rFonts w:ascii="Times New Roman" w:eastAsia="Calibri" w:hAnsi="Times New Roman" w:cs="Times New Roman"/>
        </w:rPr>
        <w:t xml:space="preserve">part of the </w:t>
      </w:r>
      <w:r w:rsidR="001F0C3C" w:rsidRPr="00D56B97">
        <w:rPr>
          <w:rFonts w:ascii="Times New Roman" w:eastAsia="Calibri" w:hAnsi="Times New Roman" w:cs="Times New Roman"/>
        </w:rPr>
        <w:t xml:space="preserve">best </w:t>
      </w:r>
      <w:proofErr w:type="gramStart"/>
      <w:r w:rsidR="001F0C3C" w:rsidRPr="00D56B97">
        <w:rPr>
          <w:rFonts w:ascii="Times New Roman" w:eastAsia="Calibri" w:hAnsi="Times New Roman" w:cs="Times New Roman"/>
        </w:rPr>
        <w:t>interests</w:t>
      </w:r>
      <w:proofErr w:type="gramEnd"/>
      <w:r w:rsidR="001F0C3C" w:rsidRPr="00D56B97">
        <w:rPr>
          <w:rFonts w:ascii="Times New Roman" w:eastAsia="Calibri" w:hAnsi="Times New Roman" w:cs="Times New Roman"/>
        </w:rPr>
        <w:t xml:space="preserve"> as</w:t>
      </w:r>
      <w:r w:rsidRPr="00D56B97">
        <w:rPr>
          <w:rFonts w:ascii="Times New Roman" w:eastAsia="Calibri" w:hAnsi="Times New Roman" w:cs="Times New Roman"/>
        </w:rPr>
        <w:t>sessment. T</w:t>
      </w:r>
      <w:r w:rsidR="003B1177" w:rsidRPr="00D56B97">
        <w:rPr>
          <w:rFonts w:ascii="Times New Roman" w:eastAsia="Calibri" w:hAnsi="Times New Roman" w:cs="Times New Roman"/>
        </w:rPr>
        <w:t xml:space="preserve">he cynic rightly observes that there is no single test, and wrongly infers that there is no moral concept. </w:t>
      </w:r>
      <w:r w:rsidRPr="00D56B97">
        <w:rPr>
          <w:rFonts w:ascii="Times New Roman" w:eastAsia="Calibri" w:hAnsi="Times New Roman" w:cs="Times New Roman"/>
        </w:rPr>
        <w:t>As with the three accounts, the assumption is</w:t>
      </w:r>
      <w:r w:rsidR="00497E20" w:rsidRPr="00D56B97">
        <w:rPr>
          <w:rFonts w:ascii="Times New Roman" w:eastAsia="Calibri" w:hAnsi="Times New Roman" w:cs="Times New Roman"/>
        </w:rPr>
        <w:t xml:space="preserve"> th</w:t>
      </w:r>
      <w:r w:rsidR="00E61E8F" w:rsidRPr="00D56B97">
        <w:rPr>
          <w:rFonts w:ascii="Times New Roman" w:eastAsia="Calibri" w:hAnsi="Times New Roman" w:cs="Times New Roman"/>
        </w:rPr>
        <w:t>at unless the test is relatively simple</w:t>
      </w:r>
      <w:r w:rsidR="00497E20" w:rsidRPr="00D56B97">
        <w:rPr>
          <w:rFonts w:ascii="Times New Roman" w:eastAsia="Calibri" w:hAnsi="Times New Roman" w:cs="Times New Roman"/>
        </w:rPr>
        <w:t xml:space="preserve">, there is no </w:t>
      </w:r>
      <w:r w:rsidR="001F0C3C" w:rsidRPr="00D56B97">
        <w:rPr>
          <w:rFonts w:ascii="Times New Roman" w:eastAsia="Calibri" w:hAnsi="Times New Roman" w:cs="Times New Roman"/>
        </w:rPr>
        <w:t xml:space="preserve">such thing as </w:t>
      </w:r>
      <w:r w:rsidR="00497E20" w:rsidRPr="00D56B97">
        <w:rPr>
          <w:rFonts w:ascii="Times New Roman" w:eastAsia="Calibri" w:hAnsi="Times New Roman" w:cs="Times New Roman"/>
        </w:rPr>
        <w:t xml:space="preserve">autonomy. </w:t>
      </w:r>
      <w:r w:rsidR="003B1177" w:rsidRPr="00D56B97">
        <w:rPr>
          <w:rFonts w:ascii="Times New Roman" w:eastAsia="Calibri" w:hAnsi="Times New Roman" w:cs="Times New Roman"/>
        </w:rPr>
        <w:t>Ins</w:t>
      </w:r>
      <w:r w:rsidR="001F0CE9" w:rsidRPr="00D56B97">
        <w:rPr>
          <w:rFonts w:ascii="Times New Roman" w:eastAsia="Calibri" w:hAnsi="Times New Roman" w:cs="Times New Roman"/>
        </w:rPr>
        <w:t>tead, it is better to recognise</w:t>
      </w:r>
      <w:r w:rsidR="003B1177" w:rsidRPr="00D56B97">
        <w:rPr>
          <w:rFonts w:ascii="Times New Roman" w:eastAsia="Calibri" w:hAnsi="Times New Roman" w:cs="Times New Roman"/>
        </w:rPr>
        <w:t xml:space="preserve"> with </w:t>
      </w:r>
      <w:r w:rsidR="001F0CE9" w:rsidRPr="00D56B97">
        <w:rPr>
          <w:rFonts w:ascii="Times New Roman" w:eastAsia="Calibri" w:hAnsi="Times New Roman" w:cs="Times New Roman"/>
        </w:rPr>
        <w:t>Midgley</w:t>
      </w:r>
      <w:r w:rsidRPr="00D56B97">
        <w:rPr>
          <w:rFonts w:ascii="Times New Roman" w:eastAsia="Calibri" w:hAnsi="Times New Roman" w:cs="Times New Roman"/>
        </w:rPr>
        <w:t xml:space="preserve"> that moral concepts can</w:t>
      </w:r>
      <w:r w:rsidR="00E61E8F" w:rsidRPr="00D56B97">
        <w:rPr>
          <w:rFonts w:ascii="Times New Roman" w:eastAsia="Calibri" w:hAnsi="Times New Roman" w:cs="Times New Roman"/>
        </w:rPr>
        <w:t xml:space="preserve"> lack any simple</w:t>
      </w:r>
      <w:r w:rsidR="003B1177" w:rsidRPr="00D56B97">
        <w:rPr>
          <w:rFonts w:ascii="Times New Roman" w:eastAsia="Calibri" w:hAnsi="Times New Roman" w:cs="Times New Roman"/>
        </w:rPr>
        <w:t xml:space="preserve"> test, yet have</w:t>
      </w:r>
      <w:r w:rsidR="000E682D" w:rsidRPr="00D56B97">
        <w:rPr>
          <w:rFonts w:ascii="Times New Roman" w:eastAsia="Calibri" w:hAnsi="Times New Roman" w:cs="Times New Roman"/>
        </w:rPr>
        <w:t xml:space="preserve"> </w:t>
      </w:r>
      <w:r w:rsidR="005B5C1C" w:rsidRPr="00D56B97">
        <w:rPr>
          <w:rFonts w:ascii="Times New Roman" w:eastAsia="Calibri" w:hAnsi="Times New Roman" w:cs="Times New Roman"/>
        </w:rPr>
        <w:t xml:space="preserve">an </w:t>
      </w:r>
      <w:r w:rsidR="000E682D" w:rsidRPr="00D56B97">
        <w:rPr>
          <w:rFonts w:ascii="Times New Roman" w:eastAsia="Calibri" w:hAnsi="Times New Roman" w:cs="Times New Roman"/>
        </w:rPr>
        <w:t>‘underlying structure’ in practical reasoning</w:t>
      </w:r>
      <w:r w:rsidR="003B1177" w:rsidRPr="00D56B97">
        <w:rPr>
          <w:rFonts w:ascii="Times New Roman" w:eastAsia="Calibri" w:hAnsi="Times New Roman" w:cs="Times New Roman"/>
        </w:rPr>
        <w:t>.</w:t>
      </w:r>
      <w:r w:rsidR="000E682D" w:rsidRPr="00D56B97">
        <w:rPr>
          <w:rFonts w:ascii="Times New Roman" w:eastAsia="Calibri" w:hAnsi="Times New Roman" w:cs="Times New Roman"/>
          <w:vertAlign w:val="superscript"/>
        </w:rPr>
        <w:footnoteReference w:id="159"/>
      </w:r>
      <w:r w:rsidR="000E682D" w:rsidRPr="00D56B97">
        <w:rPr>
          <w:rFonts w:ascii="Times New Roman" w:eastAsia="Calibri" w:hAnsi="Times New Roman" w:cs="Times New Roman"/>
        </w:rPr>
        <w:t xml:space="preserve"> </w:t>
      </w:r>
      <w:r w:rsidR="004000B7" w:rsidRPr="00D56B97">
        <w:rPr>
          <w:rFonts w:ascii="Times New Roman" w:eastAsia="Calibri" w:hAnsi="Times New Roman" w:cs="Times New Roman"/>
        </w:rPr>
        <w:t xml:space="preserve">To </w:t>
      </w:r>
      <w:r w:rsidR="00497E20" w:rsidRPr="00D56B97">
        <w:rPr>
          <w:rFonts w:ascii="Times New Roman" w:eastAsia="Calibri" w:hAnsi="Times New Roman" w:cs="Times New Roman"/>
        </w:rPr>
        <w:t xml:space="preserve">tease out the underlying structure of autonomy in </w:t>
      </w:r>
      <w:r w:rsidR="005B5C1C" w:rsidRPr="00D56B97">
        <w:rPr>
          <w:rFonts w:ascii="Times New Roman" w:eastAsia="Calibri" w:hAnsi="Times New Roman" w:cs="Times New Roman"/>
        </w:rPr>
        <w:t xml:space="preserve">mental capacity </w:t>
      </w:r>
      <w:r w:rsidR="00497E20" w:rsidRPr="00D56B97">
        <w:rPr>
          <w:rFonts w:ascii="Times New Roman" w:eastAsia="Calibri" w:hAnsi="Times New Roman" w:cs="Times New Roman"/>
        </w:rPr>
        <w:t>law</w:t>
      </w:r>
      <w:r w:rsidR="00E61E8F" w:rsidRPr="00D56B97">
        <w:rPr>
          <w:rFonts w:ascii="Times New Roman" w:eastAsia="Calibri" w:hAnsi="Times New Roman" w:cs="Times New Roman"/>
        </w:rPr>
        <w:t>,</w:t>
      </w:r>
      <w:r w:rsidR="004000B7" w:rsidRPr="00D56B97">
        <w:rPr>
          <w:rFonts w:ascii="Times New Roman" w:eastAsia="Calibri" w:hAnsi="Times New Roman" w:cs="Times New Roman"/>
        </w:rPr>
        <w:t xml:space="preserve"> </w:t>
      </w:r>
      <w:r w:rsidR="00497E20" w:rsidRPr="00D56B97">
        <w:rPr>
          <w:rFonts w:ascii="Times New Roman" w:eastAsia="Calibri" w:hAnsi="Times New Roman" w:cs="Times New Roman"/>
        </w:rPr>
        <w:t>a narrow focus on what a ju</w:t>
      </w:r>
      <w:r w:rsidR="005D3CF3" w:rsidRPr="00D56B97">
        <w:rPr>
          <w:rFonts w:ascii="Times New Roman" w:eastAsia="Calibri" w:hAnsi="Times New Roman" w:cs="Times New Roman"/>
        </w:rPr>
        <w:t xml:space="preserve">dge says </w:t>
      </w:r>
      <w:r w:rsidR="00497E20" w:rsidRPr="00D56B97">
        <w:rPr>
          <w:rFonts w:ascii="Times New Roman" w:eastAsia="Calibri" w:hAnsi="Times New Roman" w:cs="Times New Roman"/>
        </w:rPr>
        <w:t xml:space="preserve">in any one </w:t>
      </w:r>
      <w:r w:rsidR="004000B7" w:rsidRPr="00D56B97">
        <w:rPr>
          <w:rFonts w:ascii="Times New Roman" w:eastAsia="Calibri" w:hAnsi="Times New Roman" w:cs="Times New Roman"/>
        </w:rPr>
        <w:t>case</w:t>
      </w:r>
      <w:r w:rsidRPr="00D56B97">
        <w:rPr>
          <w:rFonts w:ascii="Times New Roman" w:eastAsia="Calibri" w:hAnsi="Times New Roman" w:cs="Times New Roman"/>
        </w:rPr>
        <w:t xml:space="preserve"> must be replace</w:t>
      </w:r>
      <w:r w:rsidR="00D76EEE" w:rsidRPr="00D56B97">
        <w:rPr>
          <w:rFonts w:ascii="Times New Roman" w:eastAsia="Calibri" w:hAnsi="Times New Roman" w:cs="Times New Roman"/>
        </w:rPr>
        <w:t>d</w:t>
      </w:r>
      <w:r w:rsidR="004000B7" w:rsidRPr="00D56B97">
        <w:rPr>
          <w:rFonts w:ascii="Times New Roman" w:eastAsia="Calibri" w:hAnsi="Times New Roman" w:cs="Times New Roman"/>
        </w:rPr>
        <w:t xml:space="preserve"> with</w:t>
      </w:r>
      <w:r w:rsidR="00887B76" w:rsidRPr="00D56B97">
        <w:rPr>
          <w:rFonts w:ascii="Times New Roman" w:eastAsia="Calibri" w:hAnsi="Times New Roman" w:cs="Times New Roman"/>
        </w:rPr>
        <w:t xml:space="preserve"> a</w:t>
      </w:r>
      <w:r w:rsidR="004000B7" w:rsidRPr="00D56B97">
        <w:rPr>
          <w:rFonts w:ascii="Times New Roman" w:eastAsia="Calibri" w:hAnsi="Times New Roman" w:cs="Times New Roman"/>
        </w:rPr>
        <w:t xml:space="preserve"> </w:t>
      </w:r>
      <w:r w:rsidRPr="00D56B97">
        <w:rPr>
          <w:rFonts w:ascii="Times New Roman" w:eastAsia="Calibri" w:hAnsi="Times New Roman" w:cs="Times New Roman"/>
        </w:rPr>
        <w:t xml:space="preserve">descriptive account </w:t>
      </w:r>
      <w:r w:rsidR="004000B7" w:rsidRPr="00D56B97">
        <w:rPr>
          <w:rFonts w:ascii="Times New Roman" w:eastAsia="Calibri" w:hAnsi="Times New Roman" w:cs="Times New Roman"/>
        </w:rPr>
        <w:t>of how the concept</w:t>
      </w:r>
      <w:r w:rsidR="00665982" w:rsidRPr="00D56B97">
        <w:rPr>
          <w:rFonts w:ascii="Times New Roman" w:eastAsia="Calibri" w:hAnsi="Times New Roman" w:cs="Times New Roman"/>
        </w:rPr>
        <w:t xml:space="preserve"> </w:t>
      </w:r>
      <w:r w:rsidRPr="00D56B97">
        <w:rPr>
          <w:rFonts w:ascii="Times New Roman" w:eastAsia="Calibri" w:hAnsi="Times New Roman" w:cs="Times New Roman"/>
        </w:rPr>
        <w:t xml:space="preserve">is used </w:t>
      </w:r>
      <w:r w:rsidR="00D026AA" w:rsidRPr="00D56B97">
        <w:rPr>
          <w:rFonts w:ascii="Times New Roman" w:eastAsia="Calibri" w:hAnsi="Times New Roman" w:cs="Times New Roman"/>
        </w:rPr>
        <w:t>across a</w:t>
      </w:r>
      <w:r w:rsidR="005D3CF3" w:rsidRPr="00D56B97">
        <w:rPr>
          <w:rFonts w:ascii="Times New Roman" w:eastAsia="Calibri" w:hAnsi="Times New Roman" w:cs="Times New Roman"/>
        </w:rPr>
        <w:t xml:space="preserve"> range of cases. On this broader</w:t>
      </w:r>
      <w:r w:rsidR="004000B7" w:rsidRPr="00D56B97">
        <w:rPr>
          <w:rFonts w:ascii="Times New Roman" w:eastAsia="Calibri" w:hAnsi="Times New Roman" w:cs="Times New Roman"/>
        </w:rPr>
        <w:t xml:space="preserve"> view, a coherent account of the relationship between mental capacity </w:t>
      </w:r>
      <w:r w:rsidR="00665982" w:rsidRPr="00D56B97">
        <w:rPr>
          <w:rFonts w:ascii="Times New Roman" w:eastAsia="Calibri" w:hAnsi="Times New Roman" w:cs="Times New Roman"/>
        </w:rPr>
        <w:t>and autonomy is visible</w:t>
      </w:r>
      <w:r w:rsidR="00512916" w:rsidRPr="00D56B97">
        <w:rPr>
          <w:rFonts w:ascii="Times New Roman" w:eastAsia="Calibri" w:hAnsi="Times New Roman" w:cs="Times New Roman"/>
        </w:rPr>
        <w:t>. To the</w:t>
      </w:r>
      <w:r w:rsidR="00246B0E" w:rsidRPr="00D56B97">
        <w:rPr>
          <w:rFonts w:ascii="Times New Roman" w:eastAsia="Calibri" w:hAnsi="Times New Roman" w:cs="Times New Roman"/>
        </w:rPr>
        <w:t xml:space="preserve"> </w:t>
      </w:r>
      <w:r w:rsidR="00512916" w:rsidRPr="00D56B97">
        <w:rPr>
          <w:rFonts w:ascii="Times New Roman" w:eastAsia="Calibri" w:hAnsi="Times New Roman" w:cs="Times New Roman"/>
        </w:rPr>
        <w:t>question</w:t>
      </w:r>
      <w:r w:rsidR="00283623" w:rsidRPr="00D56B97">
        <w:rPr>
          <w:rFonts w:ascii="Times New Roman" w:eastAsia="Calibri" w:hAnsi="Times New Roman" w:cs="Times New Roman"/>
        </w:rPr>
        <w:t>,</w:t>
      </w:r>
      <w:r w:rsidR="00512916" w:rsidRPr="00D56B97">
        <w:rPr>
          <w:rFonts w:ascii="Times New Roman" w:eastAsia="Calibri" w:hAnsi="Times New Roman" w:cs="Times New Roman"/>
        </w:rPr>
        <w:t xml:space="preserve"> </w:t>
      </w:r>
      <w:r w:rsidR="00246B0E" w:rsidRPr="00D56B97">
        <w:rPr>
          <w:rFonts w:ascii="Times New Roman" w:eastAsia="Calibri" w:hAnsi="Times New Roman" w:cs="Times New Roman"/>
        </w:rPr>
        <w:t>‘</w:t>
      </w:r>
      <w:r w:rsidR="00283623" w:rsidRPr="00D56B97">
        <w:rPr>
          <w:rFonts w:ascii="Times New Roman" w:eastAsia="Calibri" w:hAnsi="Times New Roman" w:cs="Times New Roman"/>
        </w:rPr>
        <w:t xml:space="preserve">when is a person </w:t>
      </w:r>
      <w:r w:rsidR="00512916" w:rsidRPr="00D56B97">
        <w:rPr>
          <w:rFonts w:ascii="Times New Roman" w:eastAsia="Calibri" w:hAnsi="Times New Roman" w:cs="Times New Roman"/>
        </w:rPr>
        <w:t>so capable of self-government th</w:t>
      </w:r>
      <w:r w:rsidR="00283623" w:rsidRPr="00D56B97">
        <w:rPr>
          <w:rFonts w:ascii="Times New Roman" w:eastAsia="Calibri" w:hAnsi="Times New Roman" w:cs="Times New Roman"/>
        </w:rPr>
        <w:t>at the state</w:t>
      </w:r>
      <w:r w:rsidR="00246B0E" w:rsidRPr="00D56B97">
        <w:rPr>
          <w:rFonts w:ascii="Times New Roman" w:eastAsia="Calibri" w:hAnsi="Times New Roman" w:cs="Times New Roman"/>
        </w:rPr>
        <w:t xml:space="preserve"> will not interfere with their wishes</w:t>
      </w:r>
      <w:r w:rsidR="00A44AF3" w:rsidRPr="00D56B97">
        <w:rPr>
          <w:rFonts w:ascii="Times New Roman" w:eastAsia="Calibri" w:hAnsi="Times New Roman" w:cs="Times New Roman"/>
        </w:rPr>
        <w:t>?</w:t>
      </w:r>
      <w:r w:rsidR="00246B0E" w:rsidRPr="00D56B97">
        <w:rPr>
          <w:rFonts w:ascii="Times New Roman" w:eastAsia="Calibri" w:hAnsi="Times New Roman" w:cs="Times New Roman"/>
        </w:rPr>
        <w:t>’</w:t>
      </w:r>
      <w:r w:rsidR="00A44AF3" w:rsidRPr="00D56B97">
        <w:rPr>
          <w:rFonts w:ascii="Times New Roman" w:eastAsia="Calibri" w:hAnsi="Times New Roman" w:cs="Times New Roman"/>
        </w:rPr>
        <w:t xml:space="preserve"> </w:t>
      </w:r>
      <w:r w:rsidR="00246B0E" w:rsidRPr="00D56B97">
        <w:rPr>
          <w:rFonts w:ascii="Times New Roman" w:eastAsia="Calibri" w:hAnsi="Times New Roman" w:cs="Times New Roman"/>
        </w:rPr>
        <w:t>the answer is as follows:</w:t>
      </w:r>
    </w:p>
    <w:p w14:paraId="7493C8A8" w14:textId="77777777" w:rsidR="00D46AED" w:rsidRPr="00D56B97" w:rsidRDefault="00497E20" w:rsidP="00021A54">
      <w:pPr>
        <w:spacing w:line="480" w:lineRule="auto"/>
        <w:ind w:left="567" w:right="567"/>
        <w:jc w:val="both"/>
        <w:rPr>
          <w:rFonts w:ascii="Times New Roman" w:hAnsi="Times New Roman" w:cs="Times New Roman"/>
          <w:b/>
        </w:rPr>
      </w:pPr>
      <w:r w:rsidRPr="00D56B97">
        <w:rPr>
          <w:rFonts w:ascii="Times New Roman" w:hAnsi="Times New Roman" w:cs="Times New Roman"/>
          <w:b/>
        </w:rPr>
        <w:t>In civil law, a</w:t>
      </w:r>
      <w:r w:rsidR="00D018FE" w:rsidRPr="00D56B97">
        <w:rPr>
          <w:rFonts w:ascii="Times New Roman" w:hAnsi="Times New Roman" w:cs="Times New Roman"/>
          <w:b/>
        </w:rPr>
        <w:t xml:space="preserve">n adult in England and Wales has a legal right to </w:t>
      </w:r>
      <w:r w:rsidR="003B62BD" w:rsidRPr="00D56B97">
        <w:rPr>
          <w:rFonts w:ascii="Times New Roman" w:hAnsi="Times New Roman" w:cs="Times New Roman"/>
          <w:b/>
        </w:rPr>
        <w:t>be treated as autonomous with regard to</w:t>
      </w:r>
      <w:r w:rsidR="00D018FE" w:rsidRPr="00D56B97">
        <w:rPr>
          <w:rFonts w:ascii="Times New Roman" w:hAnsi="Times New Roman" w:cs="Times New Roman"/>
          <w:b/>
        </w:rPr>
        <w:t xml:space="preserve"> a particul</w:t>
      </w:r>
      <w:r w:rsidR="00AC3363" w:rsidRPr="00D56B97">
        <w:rPr>
          <w:rFonts w:ascii="Times New Roman" w:hAnsi="Times New Roman" w:cs="Times New Roman"/>
          <w:b/>
        </w:rPr>
        <w:t>ar matter if they are not detained under</w:t>
      </w:r>
      <w:r w:rsidR="00B26C2F" w:rsidRPr="00D56B97">
        <w:rPr>
          <w:rFonts w:ascii="Times New Roman" w:hAnsi="Times New Roman" w:cs="Times New Roman"/>
          <w:b/>
        </w:rPr>
        <w:t xml:space="preserve"> the Mental Health Act 1983</w:t>
      </w:r>
      <w:r w:rsidR="00D018FE" w:rsidRPr="00D56B97">
        <w:rPr>
          <w:rFonts w:ascii="Times New Roman" w:hAnsi="Times New Roman" w:cs="Times New Roman"/>
          <w:b/>
        </w:rPr>
        <w:t xml:space="preserve"> and:</w:t>
      </w:r>
      <w:r w:rsidR="00D46AED" w:rsidRPr="00D56B97">
        <w:rPr>
          <w:rStyle w:val="FootnoteReference"/>
          <w:rFonts w:ascii="Times New Roman" w:hAnsi="Times New Roman" w:cs="Times New Roman"/>
          <w:b/>
        </w:rPr>
        <w:footnoteReference w:id="160"/>
      </w:r>
      <w:r w:rsidR="00D018FE" w:rsidRPr="00D56B97">
        <w:rPr>
          <w:rFonts w:ascii="Times New Roman" w:hAnsi="Times New Roman" w:cs="Times New Roman"/>
          <w:b/>
        </w:rPr>
        <w:t xml:space="preserve"> </w:t>
      </w:r>
    </w:p>
    <w:p w14:paraId="7493C8A9" w14:textId="77777777" w:rsidR="00C673CC" w:rsidRPr="00D56B97" w:rsidRDefault="00C673CC" w:rsidP="00021A54">
      <w:pPr>
        <w:spacing w:line="480" w:lineRule="auto"/>
        <w:ind w:left="567" w:right="567"/>
        <w:jc w:val="both"/>
        <w:rPr>
          <w:rFonts w:ascii="Times New Roman" w:hAnsi="Times New Roman" w:cs="Times New Roman"/>
        </w:rPr>
      </w:pPr>
      <w:r w:rsidRPr="00D56B97">
        <w:rPr>
          <w:rFonts w:ascii="Times New Roman" w:hAnsi="Times New Roman" w:cs="Times New Roman"/>
          <w:b/>
        </w:rPr>
        <w:t>(1)</w:t>
      </w:r>
      <w:r w:rsidRPr="00D56B97">
        <w:rPr>
          <w:rFonts w:ascii="Times New Roman" w:hAnsi="Times New Roman" w:cs="Times New Roman"/>
        </w:rPr>
        <w:t xml:space="preserve">   They have capacity</w:t>
      </w:r>
      <w:r w:rsidRPr="00D56B97">
        <w:rPr>
          <w:rFonts w:ascii="Times New Roman" w:hAnsi="Times New Roman" w:cs="Times New Roman"/>
          <w:b/>
        </w:rPr>
        <w:t xml:space="preserve"> and</w:t>
      </w:r>
      <w:r w:rsidRPr="00D56B97">
        <w:rPr>
          <w:rFonts w:ascii="Times New Roman" w:hAnsi="Times New Roman" w:cs="Times New Roman"/>
        </w:rPr>
        <w:t xml:space="preserve"> are not a vulnerable </w:t>
      </w:r>
      <w:r w:rsidR="00C02056" w:rsidRPr="00D56B97">
        <w:rPr>
          <w:rFonts w:ascii="Times New Roman" w:hAnsi="Times New Roman" w:cs="Times New Roman"/>
        </w:rPr>
        <w:t>person subject to</w:t>
      </w:r>
      <w:r w:rsidR="003B62BD" w:rsidRPr="00D56B97">
        <w:rPr>
          <w:rFonts w:ascii="Times New Roman" w:hAnsi="Times New Roman" w:cs="Times New Roman"/>
        </w:rPr>
        <w:t xml:space="preserve"> coercion or</w:t>
      </w:r>
      <w:r w:rsidR="00C02056" w:rsidRPr="00D56B97">
        <w:rPr>
          <w:rFonts w:ascii="Times New Roman" w:hAnsi="Times New Roman" w:cs="Times New Roman"/>
        </w:rPr>
        <w:t xml:space="preserve"> undue influence</w:t>
      </w:r>
      <w:r w:rsidRPr="00D56B97">
        <w:rPr>
          <w:rFonts w:ascii="Times New Roman" w:hAnsi="Times New Roman" w:cs="Times New Roman"/>
        </w:rPr>
        <w:t>,</w:t>
      </w:r>
      <w:r w:rsidRPr="00D56B97">
        <w:rPr>
          <w:rFonts w:ascii="Times New Roman" w:hAnsi="Times New Roman" w:cs="Times New Roman"/>
          <w:vertAlign w:val="superscript"/>
        </w:rPr>
        <w:footnoteReference w:id="161"/>
      </w:r>
      <w:r w:rsidRPr="00D56B97">
        <w:rPr>
          <w:rFonts w:ascii="Times New Roman" w:hAnsi="Times New Roman" w:cs="Times New Roman"/>
        </w:rPr>
        <w:t xml:space="preserve"> </w:t>
      </w:r>
      <w:r w:rsidRPr="00D56B97">
        <w:rPr>
          <w:rFonts w:ascii="Times New Roman" w:hAnsi="Times New Roman" w:cs="Times New Roman"/>
          <w:b/>
        </w:rPr>
        <w:t xml:space="preserve">or </w:t>
      </w:r>
    </w:p>
    <w:p w14:paraId="7493C8AA" w14:textId="77777777" w:rsidR="00512916" w:rsidRPr="00D56B97" w:rsidRDefault="00C673CC" w:rsidP="00021A54">
      <w:pPr>
        <w:spacing w:line="480" w:lineRule="auto"/>
        <w:ind w:left="567" w:right="567"/>
        <w:jc w:val="both"/>
        <w:rPr>
          <w:rFonts w:ascii="Times New Roman" w:hAnsi="Times New Roman" w:cs="Times New Roman"/>
        </w:rPr>
      </w:pPr>
      <w:r w:rsidRPr="00D56B97">
        <w:rPr>
          <w:rFonts w:ascii="Times New Roman" w:hAnsi="Times New Roman" w:cs="Times New Roman"/>
          <w:b/>
        </w:rPr>
        <w:t xml:space="preserve">(2) </w:t>
      </w:r>
      <w:r w:rsidRPr="00D56B97">
        <w:rPr>
          <w:rFonts w:ascii="Times New Roman" w:hAnsi="Times New Roman" w:cs="Times New Roman"/>
        </w:rPr>
        <w:t>They lack cap</w:t>
      </w:r>
      <w:r w:rsidR="00D018FE" w:rsidRPr="00D56B97">
        <w:rPr>
          <w:rFonts w:ascii="Times New Roman" w:hAnsi="Times New Roman" w:cs="Times New Roman"/>
        </w:rPr>
        <w:t xml:space="preserve">acity </w:t>
      </w:r>
      <w:r w:rsidR="00D018FE" w:rsidRPr="00D56B97">
        <w:rPr>
          <w:rFonts w:ascii="Times New Roman" w:hAnsi="Times New Roman" w:cs="Times New Roman"/>
          <w:b/>
        </w:rPr>
        <w:t>but</w:t>
      </w:r>
      <w:r w:rsidR="00D018FE" w:rsidRPr="00D56B97">
        <w:rPr>
          <w:rFonts w:ascii="Times New Roman" w:hAnsi="Times New Roman" w:cs="Times New Roman"/>
        </w:rPr>
        <w:t xml:space="preserve"> </w:t>
      </w:r>
      <w:r w:rsidR="0062107C" w:rsidRPr="00D56B97">
        <w:rPr>
          <w:rFonts w:ascii="Times New Roman" w:hAnsi="Times New Roman" w:cs="Times New Roman"/>
        </w:rPr>
        <w:t>the character of their wishes and f</w:t>
      </w:r>
      <w:r w:rsidR="007D5715" w:rsidRPr="00D56B97">
        <w:rPr>
          <w:rFonts w:ascii="Times New Roman" w:hAnsi="Times New Roman" w:cs="Times New Roman"/>
        </w:rPr>
        <w:t>eelings is such that it determines</w:t>
      </w:r>
      <w:r w:rsidR="0062107C" w:rsidRPr="00D56B97">
        <w:rPr>
          <w:rFonts w:ascii="Times New Roman" w:hAnsi="Times New Roman" w:cs="Times New Roman"/>
        </w:rPr>
        <w:t xml:space="preserve"> their objective best interests.</w:t>
      </w:r>
      <w:r w:rsidRPr="00D56B97">
        <w:rPr>
          <w:rFonts w:ascii="Times New Roman" w:hAnsi="Times New Roman" w:cs="Times New Roman"/>
          <w:vertAlign w:val="superscript"/>
        </w:rPr>
        <w:footnoteReference w:id="162"/>
      </w:r>
      <w:r w:rsidRPr="00D56B97">
        <w:rPr>
          <w:rFonts w:ascii="Times New Roman" w:hAnsi="Times New Roman" w:cs="Times New Roman"/>
        </w:rPr>
        <w:t xml:space="preserve"> </w:t>
      </w:r>
    </w:p>
    <w:p w14:paraId="7493C8AB" w14:textId="77777777" w:rsidR="00CA27D5" w:rsidRPr="00D56B97" w:rsidRDefault="00CA27D5" w:rsidP="00021A54">
      <w:pPr>
        <w:spacing w:line="480" w:lineRule="auto"/>
        <w:jc w:val="both"/>
        <w:rPr>
          <w:rFonts w:ascii="Times New Roman" w:hAnsi="Times New Roman" w:cs="Times New Roman"/>
        </w:rPr>
      </w:pPr>
      <w:r w:rsidRPr="00D56B97">
        <w:rPr>
          <w:rFonts w:ascii="Times New Roman" w:hAnsi="Times New Roman" w:cs="Times New Roman"/>
        </w:rPr>
        <w:lastRenderedPageBreak/>
        <w:t>Mental c</w:t>
      </w:r>
      <w:r w:rsidR="00B95B61" w:rsidRPr="00D56B97">
        <w:rPr>
          <w:rFonts w:ascii="Times New Roman" w:hAnsi="Times New Roman" w:cs="Times New Roman"/>
        </w:rPr>
        <w:t>apacity</w:t>
      </w:r>
      <w:r w:rsidRPr="00D56B97">
        <w:rPr>
          <w:rFonts w:ascii="Times New Roman" w:hAnsi="Times New Roman" w:cs="Times New Roman"/>
        </w:rPr>
        <w:t>, then,</w:t>
      </w:r>
      <w:r w:rsidR="00B95B61" w:rsidRPr="00D56B97">
        <w:rPr>
          <w:rFonts w:ascii="Times New Roman" w:hAnsi="Times New Roman" w:cs="Times New Roman"/>
        </w:rPr>
        <w:t xml:space="preserve"> </w:t>
      </w:r>
      <w:r w:rsidR="00522110" w:rsidRPr="00D56B97">
        <w:rPr>
          <w:rFonts w:ascii="Times New Roman" w:hAnsi="Times New Roman" w:cs="Times New Roman"/>
        </w:rPr>
        <w:t>is not the gatekeeper</w:t>
      </w:r>
      <w:r w:rsidRPr="00D56B97">
        <w:rPr>
          <w:rFonts w:ascii="Times New Roman" w:hAnsi="Times New Roman" w:cs="Times New Roman"/>
        </w:rPr>
        <w:t xml:space="preserve"> to autonomy, but it is an important part</w:t>
      </w:r>
      <w:r w:rsidR="00E2586C" w:rsidRPr="00D56B97">
        <w:rPr>
          <w:rFonts w:ascii="Times New Roman" w:hAnsi="Times New Roman" w:cs="Times New Roman"/>
        </w:rPr>
        <w:t xml:space="preserve"> of</w:t>
      </w:r>
      <w:r w:rsidR="00831845" w:rsidRPr="00D56B97">
        <w:rPr>
          <w:rFonts w:ascii="Times New Roman" w:hAnsi="Times New Roman" w:cs="Times New Roman"/>
        </w:rPr>
        <w:t xml:space="preserve"> the legal</w:t>
      </w:r>
      <w:r w:rsidR="00C673CC" w:rsidRPr="00D56B97">
        <w:rPr>
          <w:rFonts w:ascii="Times New Roman" w:hAnsi="Times New Roman" w:cs="Times New Roman"/>
        </w:rPr>
        <w:t xml:space="preserve"> threshold for autonomy</w:t>
      </w:r>
      <w:r w:rsidR="00831845" w:rsidRPr="00D56B97">
        <w:rPr>
          <w:rFonts w:ascii="Times New Roman" w:hAnsi="Times New Roman" w:cs="Times New Roman"/>
        </w:rPr>
        <w:t xml:space="preserve"> as a right</w:t>
      </w:r>
      <w:r w:rsidR="00C673CC" w:rsidRPr="00D56B97">
        <w:rPr>
          <w:rFonts w:ascii="Times New Roman" w:hAnsi="Times New Roman" w:cs="Times New Roman"/>
        </w:rPr>
        <w:t xml:space="preserve">. </w:t>
      </w:r>
      <w:r w:rsidRPr="00D56B97">
        <w:rPr>
          <w:rFonts w:ascii="Times New Roman" w:hAnsi="Times New Roman" w:cs="Times New Roman"/>
        </w:rPr>
        <w:t>Rather than determining the question of whether a person should be treated as autonomous, t</w:t>
      </w:r>
      <w:r w:rsidR="00C673CC" w:rsidRPr="00D56B97">
        <w:rPr>
          <w:rFonts w:ascii="Times New Roman" w:hAnsi="Times New Roman" w:cs="Times New Roman"/>
        </w:rPr>
        <w:t>he concept of mental ca</w:t>
      </w:r>
      <w:r w:rsidRPr="00D56B97">
        <w:rPr>
          <w:rFonts w:ascii="Times New Roman" w:hAnsi="Times New Roman" w:cs="Times New Roman"/>
        </w:rPr>
        <w:t>pacity creates two presumptions. If a person is found to have capacity, then they will be presumed to be auton</w:t>
      </w:r>
      <w:r w:rsidR="00C55126" w:rsidRPr="00D56B97">
        <w:rPr>
          <w:rFonts w:ascii="Times New Roman" w:hAnsi="Times New Roman" w:cs="Times New Roman"/>
        </w:rPr>
        <w:t>omous, but that presumption may</w:t>
      </w:r>
      <w:r w:rsidRPr="00D56B97">
        <w:rPr>
          <w:rFonts w:ascii="Times New Roman" w:hAnsi="Times New Roman" w:cs="Times New Roman"/>
        </w:rPr>
        <w:t xml:space="preserve"> be rebutted if they are found to be vulnerable and subject to coercion. If a person is found to lack capacity, then they will be presumed not to be autonomous, but that presumption will be rebutted if their wishes and feelings show such subjectivity, intelligibility, and authenticity that they must be respected.</w:t>
      </w:r>
      <w:r w:rsidR="005D0A4F" w:rsidRPr="00D56B97">
        <w:rPr>
          <w:rStyle w:val="FootnoteReference"/>
          <w:rFonts w:ascii="Times New Roman" w:hAnsi="Times New Roman" w:cs="Times New Roman"/>
        </w:rPr>
        <w:footnoteReference w:id="163"/>
      </w:r>
    </w:p>
    <w:p w14:paraId="7493C8AC" w14:textId="77777777" w:rsidR="007B5201" w:rsidRPr="00D56B97" w:rsidRDefault="00C30F3E" w:rsidP="00AC229E">
      <w:pPr>
        <w:spacing w:line="480" w:lineRule="auto"/>
        <w:jc w:val="center"/>
        <w:rPr>
          <w:rFonts w:ascii="Times New Roman" w:hAnsi="Times New Roman" w:cs="Times New Roman"/>
          <w:i/>
        </w:rPr>
      </w:pPr>
      <w:r w:rsidRPr="00D56B97">
        <w:rPr>
          <w:rFonts w:ascii="Times New Roman" w:hAnsi="Times New Roman" w:cs="Times New Roman"/>
          <w:i/>
        </w:rPr>
        <w:t>B.</w:t>
      </w:r>
      <w:r w:rsidR="007B5201" w:rsidRPr="00D56B97">
        <w:rPr>
          <w:rFonts w:ascii="Times New Roman" w:hAnsi="Times New Roman" w:cs="Times New Roman"/>
          <w:i/>
        </w:rPr>
        <w:t xml:space="preserve"> Implications for the Mental Capacity Act 2005</w:t>
      </w:r>
    </w:p>
    <w:p w14:paraId="7493C8AD" w14:textId="30A2354D" w:rsidR="003C12D0" w:rsidRPr="00D56B97" w:rsidRDefault="00522110" w:rsidP="00021A54">
      <w:pPr>
        <w:spacing w:line="480" w:lineRule="auto"/>
        <w:jc w:val="both"/>
        <w:rPr>
          <w:rFonts w:ascii="Times New Roman" w:hAnsi="Times New Roman" w:cs="Times New Roman"/>
        </w:rPr>
      </w:pPr>
      <w:r w:rsidRPr="00D56B97">
        <w:rPr>
          <w:rFonts w:ascii="Times New Roman" w:hAnsi="Times New Roman" w:cs="Times New Roman"/>
        </w:rPr>
        <w:t>The coherent</w:t>
      </w:r>
      <w:r w:rsidR="00BD0FF5" w:rsidRPr="00D56B97">
        <w:rPr>
          <w:rFonts w:ascii="Times New Roman" w:hAnsi="Times New Roman" w:cs="Times New Roman"/>
        </w:rPr>
        <w:t xml:space="preserve"> account of the relation</w:t>
      </w:r>
      <w:r w:rsidRPr="00D56B97">
        <w:rPr>
          <w:rFonts w:ascii="Times New Roman" w:hAnsi="Times New Roman" w:cs="Times New Roman"/>
        </w:rPr>
        <w:t xml:space="preserve">ship </w:t>
      </w:r>
      <w:r w:rsidR="00BD0FF5" w:rsidRPr="00D56B97">
        <w:rPr>
          <w:rFonts w:ascii="Times New Roman" w:hAnsi="Times New Roman" w:cs="Times New Roman"/>
        </w:rPr>
        <w:t xml:space="preserve">lacks </w:t>
      </w:r>
      <w:r w:rsidR="00C55126" w:rsidRPr="00D56B97">
        <w:rPr>
          <w:rFonts w:ascii="Times New Roman" w:hAnsi="Times New Roman" w:cs="Times New Roman"/>
        </w:rPr>
        <w:t xml:space="preserve">the simplicity </w:t>
      </w:r>
      <w:r w:rsidR="00BD0FF5" w:rsidRPr="00D56B97">
        <w:rPr>
          <w:rFonts w:ascii="Times New Roman" w:hAnsi="Times New Roman" w:cs="Times New Roman"/>
        </w:rPr>
        <w:t xml:space="preserve">of the three accounts that </w:t>
      </w:r>
      <w:r w:rsidR="008E75A3" w:rsidRPr="00D56B97">
        <w:rPr>
          <w:rFonts w:ascii="Times New Roman" w:hAnsi="Times New Roman" w:cs="Times New Roman"/>
        </w:rPr>
        <w:t>judges have relied on</w:t>
      </w:r>
      <w:r w:rsidR="00BD0FF5" w:rsidRPr="00D56B97">
        <w:rPr>
          <w:rFonts w:ascii="Times New Roman" w:hAnsi="Times New Roman" w:cs="Times New Roman"/>
        </w:rPr>
        <w:t xml:space="preserve">. </w:t>
      </w:r>
      <w:r w:rsidR="00332F09" w:rsidRPr="00D56B97">
        <w:rPr>
          <w:rFonts w:ascii="Times New Roman" w:hAnsi="Times New Roman" w:cs="Times New Roman"/>
        </w:rPr>
        <w:t xml:space="preserve">In many ways, this </w:t>
      </w:r>
      <w:r w:rsidR="00613BB1">
        <w:rPr>
          <w:rFonts w:ascii="Times New Roman" w:hAnsi="Times New Roman" w:cs="Times New Roman"/>
        </w:rPr>
        <w:t xml:space="preserve">is </w:t>
      </w:r>
      <w:r w:rsidR="00332F09" w:rsidRPr="00D56B97">
        <w:rPr>
          <w:rFonts w:ascii="Times New Roman" w:hAnsi="Times New Roman" w:cs="Times New Roman"/>
        </w:rPr>
        <w:t>down to a difference of purpose. Judges are concerned with those aspects of the relationship between autonomy and capacity that are relevant in the particular case, but this article is focussed on the relationship as a whole. This bird’s eye view may, however, have implications for judicial practice</w:t>
      </w:r>
      <w:r w:rsidR="008F0358" w:rsidRPr="00D56B97">
        <w:rPr>
          <w:rFonts w:ascii="Times New Roman" w:hAnsi="Times New Roman" w:cs="Times New Roman"/>
        </w:rPr>
        <w:t>, without requiring legal reform. The coherent account lends itself naturally to being used as a decision tree.</w:t>
      </w:r>
      <w:r w:rsidR="009A17DC" w:rsidRPr="00D56B97">
        <w:rPr>
          <w:rFonts w:ascii="Times New Roman" w:hAnsi="Times New Roman" w:cs="Times New Roman"/>
        </w:rPr>
        <w:t xml:space="preserve"> First, determine whether the person has capacity. If </w:t>
      </w:r>
      <w:r w:rsidR="003C12D0" w:rsidRPr="00D56B97">
        <w:rPr>
          <w:rFonts w:ascii="Times New Roman" w:hAnsi="Times New Roman" w:cs="Times New Roman"/>
        </w:rPr>
        <w:t>they do</w:t>
      </w:r>
      <w:r w:rsidR="009F4909" w:rsidRPr="00D56B97">
        <w:rPr>
          <w:rFonts w:ascii="Times New Roman" w:hAnsi="Times New Roman" w:cs="Times New Roman"/>
        </w:rPr>
        <w:t>,</w:t>
      </w:r>
      <w:r w:rsidR="009A17DC" w:rsidRPr="00D56B97">
        <w:rPr>
          <w:rFonts w:ascii="Times New Roman" w:hAnsi="Times New Roman" w:cs="Times New Roman"/>
        </w:rPr>
        <w:t xml:space="preserve"> consider whether they are subject to undue infl</w:t>
      </w:r>
      <w:r w:rsidR="009F4909" w:rsidRPr="00D56B97">
        <w:rPr>
          <w:rFonts w:ascii="Times New Roman" w:hAnsi="Times New Roman" w:cs="Times New Roman"/>
        </w:rPr>
        <w:t xml:space="preserve">uence and coercion: if </w:t>
      </w:r>
      <w:r w:rsidR="003C12D0" w:rsidRPr="00D56B97">
        <w:rPr>
          <w:rFonts w:ascii="Times New Roman" w:hAnsi="Times New Roman" w:cs="Times New Roman"/>
        </w:rPr>
        <w:t>they are not coerced</w:t>
      </w:r>
      <w:r w:rsidR="009A17DC" w:rsidRPr="00D56B97">
        <w:rPr>
          <w:rFonts w:ascii="Times New Roman" w:hAnsi="Times New Roman" w:cs="Times New Roman"/>
        </w:rPr>
        <w:t>, then they may act ‘for reasons which are rational, or irrational, or for no reason’</w:t>
      </w:r>
      <w:r w:rsidR="00654799" w:rsidRPr="00D56B97">
        <w:rPr>
          <w:rFonts w:ascii="Times New Roman" w:hAnsi="Times New Roman" w:cs="Times New Roman"/>
        </w:rPr>
        <w:t>;</w:t>
      </w:r>
      <w:r w:rsidR="009A17DC" w:rsidRPr="00D56B97">
        <w:rPr>
          <w:rStyle w:val="FootnoteReference"/>
          <w:rFonts w:ascii="Times New Roman" w:hAnsi="Times New Roman" w:cs="Times New Roman"/>
        </w:rPr>
        <w:footnoteReference w:id="164"/>
      </w:r>
      <w:r w:rsidR="00654799" w:rsidRPr="00D56B97">
        <w:rPr>
          <w:rFonts w:ascii="Times New Roman" w:hAnsi="Times New Roman" w:cs="Times New Roman"/>
        </w:rPr>
        <w:t xml:space="preserve"> if they are</w:t>
      </w:r>
      <w:r w:rsidR="004D6B23" w:rsidRPr="00D56B97">
        <w:rPr>
          <w:rFonts w:ascii="Times New Roman" w:hAnsi="Times New Roman" w:cs="Times New Roman"/>
        </w:rPr>
        <w:t xml:space="preserve"> coerced</w:t>
      </w:r>
      <w:r w:rsidR="00654799" w:rsidRPr="00D56B97">
        <w:rPr>
          <w:rFonts w:ascii="Times New Roman" w:hAnsi="Times New Roman" w:cs="Times New Roman"/>
        </w:rPr>
        <w:t>, then measures to address the coercion may be available under the inherent jurisdiction.</w:t>
      </w:r>
      <w:r w:rsidR="009F4909" w:rsidRPr="00D56B97">
        <w:rPr>
          <w:rFonts w:ascii="Times New Roman" w:hAnsi="Times New Roman" w:cs="Times New Roman"/>
        </w:rPr>
        <w:t xml:space="preserve"> If the person lacks the relevant capacity, then their wishes must be taken seriously when determining their best interests, and questions of undue influence and coercion should still be considered. </w:t>
      </w:r>
    </w:p>
    <w:p w14:paraId="7493C8AE" w14:textId="77777777" w:rsidR="00332F09" w:rsidRPr="00D56B97" w:rsidRDefault="003C12D0" w:rsidP="00021A54">
      <w:pPr>
        <w:spacing w:line="480" w:lineRule="auto"/>
        <w:jc w:val="both"/>
        <w:rPr>
          <w:rFonts w:ascii="Times New Roman" w:hAnsi="Times New Roman" w:cs="Times New Roman"/>
        </w:rPr>
      </w:pPr>
      <w:r w:rsidRPr="00D56B97">
        <w:rPr>
          <w:rFonts w:ascii="Times New Roman" w:hAnsi="Times New Roman" w:cs="Times New Roman"/>
        </w:rPr>
        <w:t>This</w:t>
      </w:r>
      <w:r w:rsidR="009F4909" w:rsidRPr="00D56B97">
        <w:rPr>
          <w:rFonts w:ascii="Times New Roman" w:hAnsi="Times New Roman" w:cs="Times New Roman"/>
        </w:rPr>
        <w:t xml:space="preserve"> outline of the relationship between autonomy and mental capacity is both coherent and relatively determinate. It </w:t>
      </w:r>
      <w:r w:rsidRPr="00D56B97">
        <w:rPr>
          <w:rFonts w:ascii="Times New Roman" w:hAnsi="Times New Roman" w:cs="Times New Roman"/>
        </w:rPr>
        <w:t>too, however, should avoid the temptation to posit a simple test for a complex concept; for in the details,</w:t>
      </w:r>
      <w:r w:rsidR="009F4909" w:rsidRPr="00D56B97">
        <w:rPr>
          <w:rFonts w:ascii="Times New Roman" w:hAnsi="Times New Roman" w:cs="Times New Roman"/>
        </w:rPr>
        <w:t xml:space="preserve"> indeterminacy appears. If someone is truly acting for reasons that are ‘irrational’, then will they be</w:t>
      </w:r>
      <w:r w:rsidR="005B0D85" w:rsidRPr="00D56B97">
        <w:rPr>
          <w:rFonts w:ascii="Times New Roman" w:hAnsi="Times New Roman" w:cs="Times New Roman"/>
        </w:rPr>
        <w:t xml:space="preserve"> found to have capacity? In many</w:t>
      </w:r>
      <w:r w:rsidR="009F4909" w:rsidRPr="00D56B97">
        <w:rPr>
          <w:rFonts w:ascii="Times New Roman" w:hAnsi="Times New Roman" w:cs="Times New Roman"/>
        </w:rPr>
        <w:t xml:space="preserve"> cases</w:t>
      </w:r>
      <w:r w:rsidRPr="00D56B97">
        <w:rPr>
          <w:rFonts w:ascii="Times New Roman" w:hAnsi="Times New Roman" w:cs="Times New Roman"/>
        </w:rPr>
        <w:t>, it is</w:t>
      </w:r>
      <w:r w:rsidR="00B67105" w:rsidRPr="00D56B97">
        <w:rPr>
          <w:rFonts w:ascii="Times New Roman" w:hAnsi="Times New Roman" w:cs="Times New Roman"/>
        </w:rPr>
        <w:t xml:space="preserve"> unlikely; </w:t>
      </w:r>
      <w:r w:rsidRPr="00D56B97">
        <w:rPr>
          <w:rFonts w:ascii="Times New Roman" w:hAnsi="Times New Roman" w:cs="Times New Roman"/>
        </w:rPr>
        <w:t>so the</w:t>
      </w:r>
      <w:r w:rsidR="00B67105" w:rsidRPr="00D56B97">
        <w:rPr>
          <w:rFonts w:ascii="Times New Roman" w:hAnsi="Times New Roman" w:cs="Times New Roman"/>
        </w:rPr>
        <w:t xml:space="preserve">, often-quoted, passage from </w:t>
      </w:r>
      <w:r w:rsidR="00B67105" w:rsidRPr="00D56B97">
        <w:rPr>
          <w:rFonts w:ascii="Times New Roman" w:hAnsi="Times New Roman" w:cs="Times New Roman"/>
          <w:i/>
        </w:rPr>
        <w:lastRenderedPageBreak/>
        <w:t>Sidaway</w:t>
      </w:r>
      <w:r w:rsidR="00B67105" w:rsidRPr="00D56B97">
        <w:rPr>
          <w:rFonts w:ascii="Times New Roman" w:hAnsi="Times New Roman" w:cs="Times New Roman"/>
        </w:rPr>
        <w:t xml:space="preserve"> </w:t>
      </w:r>
      <w:r w:rsidR="005B0D85" w:rsidRPr="00D56B97">
        <w:rPr>
          <w:rFonts w:ascii="Times New Roman" w:hAnsi="Times New Roman" w:cs="Times New Roman"/>
        </w:rPr>
        <w:t>that asserts</w:t>
      </w:r>
      <w:r w:rsidR="00C33C11" w:rsidRPr="00D56B97">
        <w:rPr>
          <w:rFonts w:ascii="Times New Roman" w:hAnsi="Times New Roman" w:cs="Times New Roman"/>
        </w:rPr>
        <w:t xml:space="preserve"> a</w:t>
      </w:r>
      <w:r w:rsidR="00FD755D" w:rsidRPr="00D56B97">
        <w:rPr>
          <w:rFonts w:ascii="Times New Roman" w:hAnsi="Times New Roman" w:cs="Times New Roman"/>
        </w:rPr>
        <w:t xml:space="preserve"> right to act</w:t>
      </w:r>
      <w:r w:rsidR="005B0D85" w:rsidRPr="00D56B97">
        <w:rPr>
          <w:rFonts w:ascii="Times New Roman" w:hAnsi="Times New Roman" w:cs="Times New Roman"/>
        </w:rPr>
        <w:t xml:space="preserve"> this way</w:t>
      </w:r>
      <w:r w:rsidRPr="00D56B97">
        <w:rPr>
          <w:rFonts w:ascii="Times New Roman" w:hAnsi="Times New Roman" w:cs="Times New Roman"/>
        </w:rPr>
        <w:t xml:space="preserve"> must be treated as another example</w:t>
      </w:r>
      <w:r w:rsidR="00B67105" w:rsidRPr="00D56B97">
        <w:rPr>
          <w:rFonts w:ascii="Times New Roman" w:hAnsi="Times New Roman" w:cs="Times New Roman"/>
        </w:rPr>
        <w:t xml:space="preserve"> of judicial rhetoric</w:t>
      </w:r>
      <w:r w:rsidR="00F317E5" w:rsidRPr="00D56B97">
        <w:rPr>
          <w:rFonts w:ascii="Times New Roman" w:hAnsi="Times New Roman" w:cs="Times New Roman"/>
        </w:rPr>
        <w:t>,</w:t>
      </w:r>
      <w:r w:rsidR="00995458" w:rsidRPr="00D56B97">
        <w:rPr>
          <w:rStyle w:val="FootnoteReference"/>
          <w:rFonts w:ascii="Times New Roman" w:hAnsi="Times New Roman" w:cs="Times New Roman"/>
        </w:rPr>
        <w:footnoteReference w:id="165"/>
      </w:r>
      <w:r w:rsidR="00F317E5" w:rsidRPr="00D56B97">
        <w:rPr>
          <w:rFonts w:ascii="Times New Roman" w:hAnsi="Times New Roman" w:cs="Times New Roman"/>
        </w:rPr>
        <w:t xml:space="preserve"> one</w:t>
      </w:r>
      <w:r w:rsidR="00B67105" w:rsidRPr="00D56B97">
        <w:rPr>
          <w:rFonts w:ascii="Times New Roman" w:hAnsi="Times New Roman" w:cs="Times New Roman"/>
        </w:rPr>
        <w:t xml:space="preserve"> that may work to great effect in particular cases while distorting a realistic assessment of the law as a whole. </w:t>
      </w:r>
      <w:r w:rsidRPr="00D56B97">
        <w:rPr>
          <w:rFonts w:ascii="Times New Roman" w:hAnsi="Times New Roman" w:cs="Times New Roman"/>
        </w:rPr>
        <w:t>Furthermore</w:t>
      </w:r>
      <w:r w:rsidR="001C264B" w:rsidRPr="00D56B97">
        <w:rPr>
          <w:rFonts w:ascii="Times New Roman" w:hAnsi="Times New Roman" w:cs="Times New Roman"/>
        </w:rPr>
        <w:t>, t</w:t>
      </w:r>
      <w:r w:rsidR="00B67105" w:rsidRPr="00D56B97">
        <w:rPr>
          <w:rFonts w:ascii="Times New Roman" w:hAnsi="Times New Roman" w:cs="Times New Roman"/>
        </w:rPr>
        <w:t>his article takes both capacity and undue influence as relatively unquestioned matters of fact, but any judge must also decide what counts as ‘understanding’ the relevant information or what m</w:t>
      </w:r>
      <w:r w:rsidR="00FD755D" w:rsidRPr="00D56B97">
        <w:rPr>
          <w:rFonts w:ascii="Times New Roman" w:hAnsi="Times New Roman" w:cs="Times New Roman"/>
        </w:rPr>
        <w:t xml:space="preserve">akes influence ‘undue’ </w:t>
      </w:r>
      <w:r w:rsidR="00F33502" w:rsidRPr="00D56B97">
        <w:rPr>
          <w:rFonts w:ascii="Times New Roman" w:hAnsi="Times New Roman" w:cs="Times New Roman"/>
        </w:rPr>
        <w:t>in the</w:t>
      </w:r>
      <w:r w:rsidR="00B67105" w:rsidRPr="00D56B97">
        <w:rPr>
          <w:rFonts w:ascii="Times New Roman" w:hAnsi="Times New Roman" w:cs="Times New Roman"/>
        </w:rPr>
        <w:t xml:space="preserve"> particular </w:t>
      </w:r>
      <w:r w:rsidR="001C264B" w:rsidRPr="00D56B97">
        <w:rPr>
          <w:rFonts w:ascii="Times New Roman" w:hAnsi="Times New Roman" w:cs="Times New Roman"/>
        </w:rPr>
        <w:t>circumstances of a case. In o</w:t>
      </w:r>
      <w:r w:rsidR="00FD755D" w:rsidRPr="00D56B97">
        <w:rPr>
          <w:rFonts w:ascii="Times New Roman" w:hAnsi="Times New Roman" w:cs="Times New Roman"/>
        </w:rPr>
        <w:t>ther words, they do not merely apply</w:t>
      </w:r>
      <w:r w:rsidRPr="00D56B97">
        <w:rPr>
          <w:rFonts w:ascii="Times New Roman" w:hAnsi="Times New Roman" w:cs="Times New Roman"/>
        </w:rPr>
        <w:t xml:space="preserve"> a</w:t>
      </w:r>
      <w:r w:rsidR="001C264B" w:rsidRPr="00D56B97">
        <w:rPr>
          <w:rFonts w:ascii="Times New Roman" w:hAnsi="Times New Roman" w:cs="Times New Roman"/>
        </w:rPr>
        <w:t xml:space="preserve"> test to the facts. In every case, they are partially responsible for the content of</w:t>
      </w:r>
      <w:r w:rsidRPr="00D56B97">
        <w:rPr>
          <w:rFonts w:ascii="Times New Roman" w:hAnsi="Times New Roman" w:cs="Times New Roman"/>
        </w:rPr>
        <w:t xml:space="preserve"> the test itself.</w:t>
      </w:r>
    </w:p>
    <w:p w14:paraId="7493C8AF" w14:textId="77777777" w:rsidR="00C72625" w:rsidRPr="00D56B97" w:rsidRDefault="008B2411" w:rsidP="001C264B">
      <w:pPr>
        <w:spacing w:line="480" w:lineRule="auto"/>
        <w:jc w:val="both"/>
        <w:rPr>
          <w:rFonts w:ascii="Times New Roman" w:hAnsi="Times New Roman" w:cs="Times New Roman"/>
        </w:rPr>
      </w:pPr>
      <w:r w:rsidRPr="00D56B97">
        <w:rPr>
          <w:rFonts w:ascii="Times New Roman" w:hAnsi="Times New Roman" w:cs="Times New Roman"/>
        </w:rPr>
        <w:t>Having j</w:t>
      </w:r>
      <w:r w:rsidR="005F3001" w:rsidRPr="00D56B97">
        <w:rPr>
          <w:rFonts w:ascii="Times New Roman" w:hAnsi="Times New Roman" w:cs="Times New Roman"/>
        </w:rPr>
        <w:t>udges</w:t>
      </w:r>
      <w:r w:rsidR="00ED67B7" w:rsidRPr="00D56B97">
        <w:rPr>
          <w:rFonts w:ascii="Times New Roman" w:hAnsi="Times New Roman" w:cs="Times New Roman"/>
        </w:rPr>
        <w:t xml:space="preserve"> </w:t>
      </w:r>
      <w:r w:rsidRPr="00D56B97">
        <w:rPr>
          <w:rFonts w:ascii="Times New Roman" w:hAnsi="Times New Roman" w:cs="Times New Roman"/>
        </w:rPr>
        <w:t>make</w:t>
      </w:r>
      <w:r w:rsidR="001C264B" w:rsidRPr="00D56B97">
        <w:rPr>
          <w:rFonts w:ascii="Times New Roman" w:hAnsi="Times New Roman" w:cs="Times New Roman"/>
        </w:rPr>
        <w:t xml:space="preserve"> the legal standards </w:t>
      </w:r>
      <w:r w:rsidR="005F3001" w:rsidRPr="00D56B97">
        <w:rPr>
          <w:rFonts w:ascii="Times New Roman" w:hAnsi="Times New Roman" w:cs="Times New Roman"/>
        </w:rPr>
        <w:t>as</w:t>
      </w:r>
      <w:r w:rsidR="00ED67B7" w:rsidRPr="00D56B97">
        <w:rPr>
          <w:rFonts w:ascii="Times New Roman" w:hAnsi="Times New Roman" w:cs="Times New Roman"/>
        </w:rPr>
        <w:t xml:space="preserve"> they apply</w:t>
      </w:r>
      <w:r w:rsidR="005F3001" w:rsidRPr="00D56B97">
        <w:rPr>
          <w:rFonts w:ascii="Times New Roman" w:hAnsi="Times New Roman" w:cs="Times New Roman"/>
        </w:rPr>
        <w:t xml:space="preserve"> them</w:t>
      </w:r>
      <w:r w:rsidR="00ED67B7" w:rsidRPr="00D56B97">
        <w:rPr>
          <w:rFonts w:ascii="Times New Roman" w:hAnsi="Times New Roman" w:cs="Times New Roman"/>
        </w:rPr>
        <w:t xml:space="preserve"> is</w:t>
      </w:r>
      <w:r w:rsidR="00367B9E" w:rsidRPr="00D56B97">
        <w:rPr>
          <w:rFonts w:ascii="Times New Roman" w:hAnsi="Times New Roman" w:cs="Times New Roman"/>
        </w:rPr>
        <w:t xml:space="preserve"> </w:t>
      </w:r>
      <w:r w:rsidR="00AD5DAC" w:rsidRPr="00D56B97">
        <w:rPr>
          <w:rFonts w:ascii="Times New Roman" w:hAnsi="Times New Roman" w:cs="Times New Roman"/>
        </w:rPr>
        <w:t>a</w:t>
      </w:r>
      <w:r w:rsidR="005F3001" w:rsidRPr="00D56B97">
        <w:rPr>
          <w:rFonts w:ascii="Times New Roman" w:hAnsi="Times New Roman" w:cs="Times New Roman"/>
        </w:rPr>
        <w:t>n old</w:t>
      </w:r>
      <w:r w:rsidR="00AD5DAC" w:rsidRPr="00D56B97">
        <w:rPr>
          <w:rFonts w:ascii="Times New Roman" w:hAnsi="Times New Roman" w:cs="Times New Roman"/>
        </w:rPr>
        <w:t xml:space="preserve"> response</w:t>
      </w:r>
      <w:r w:rsidR="00BD0FF5" w:rsidRPr="00D56B97">
        <w:rPr>
          <w:rFonts w:ascii="Times New Roman" w:hAnsi="Times New Roman" w:cs="Times New Roman"/>
        </w:rPr>
        <w:t xml:space="preserve"> to </w:t>
      </w:r>
      <w:r w:rsidR="00ED67B7" w:rsidRPr="00D56B97">
        <w:rPr>
          <w:rFonts w:ascii="Times New Roman" w:hAnsi="Times New Roman" w:cs="Times New Roman"/>
        </w:rPr>
        <w:t xml:space="preserve">an </w:t>
      </w:r>
      <w:r w:rsidR="00BD0FF5" w:rsidRPr="00D56B97">
        <w:rPr>
          <w:rFonts w:ascii="Times New Roman" w:hAnsi="Times New Roman" w:cs="Times New Roman"/>
        </w:rPr>
        <w:t>old problem, one noted by Aristotle: ‘all law is universal, and yet there are some things about which it is not possible to make correct universal pronouncements’.</w:t>
      </w:r>
      <w:r w:rsidR="005A0B2F" w:rsidRPr="00D56B97">
        <w:rPr>
          <w:rStyle w:val="FootnoteReference"/>
          <w:rFonts w:ascii="Times New Roman" w:hAnsi="Times New Roman" w:cs="Times New Roman"/>
        </w:rPr>
        <w:footnoteReference w:id="166"/>
      </w:r>
      <w:r w:rsidR="005A0B2F" w:rsidRPr="00D56B97">
        <w:rPr>
          <w:rFonts w:ascii="Times New Roman" w:hAnsi="Times New Roman" w:cs="Times New Roman"/>
        </w:rPr>
        <w:t xml:space="preserve"> </w:t>
      </w:r>
      <w:r w:rsidR="00BD0FF5" w:rsidRPr="00D56B97">
        <w:rPr>
          <w:rFonts w:ascii="Times New Roman" w:hAnsi="Times New Roman" w:cs="Times New Roman"/>
        </w:rPr>
        <w:t xml:space="preserve">  </w:t>
      </w:r>
      <w:r w:rsidR="00367B9E" w:rsidRPr="00D56B97">
        <w:rPr>
          <w:rFonts w:ascii="Times New Roman" w:hAnsi="Times New Roman" w:cs="Times New Roman"/>
        </w:rPr>
        <w:t xml:space="preserve">Any </w:t>
      </w:r>
      <w:r w:rsidR="001C264B" w:rsidRPr="00D56B97">
        <w:rPr>
          <w:rFonts w:ascii="Times New Roman" w:hAnsi="Times New Roman" w:cs="Times New Roman"/>
        </w:rPr>
        <w:t>determinate</w:t>
      </w:r>
      <w:r w:rsidR="00367B9E" w:rsidRPr="00D56B97">
        <w:rPr>
          <w:rFonts w:ascii="Times New Roman" w:hAnsi="Times New Roman" w:cs="Times New Roman"/>
        </w:rPr>
        <w:t xml:space="preserve"> test risks injustice, but to acknowledge </w:t>
      </w:r>
      <w:r w:rsidR="00C159C2" w:rsidRPr="00D56B97">
        <w:rPr>
          <w:rFonts w:ascii="Times New Roman" w:hAnsi="Times New Roman" w:cs="Times New Roman"/>
        </w:rPr>
        <w:t>an unending</w:t>
      </w:r>
      <w:r w:rsidR="00ED67B7" w:rsidRPr="00D56B97">
        <w:rPr>
          <w:rFonts w:ascii="Times New Roman" w:hAnsi="Times New Roman" w:cs="Times New Roman"/>
        </w:rPr>
        <w:t xml:space="preserve"> list of </w:t>
      </w:r>
      <w:r w:rsidR="00367B9E" w:rsidRPr="00D56B97">
        <w:rPr>
          <w:rFonts w:ascii="Times New Roman" w:hAnsi="Times New Roman" w:cs="Times New Roman"/>
        </w:rPr>
        <w:t>exceptions</w:t>
      </w:r>
      <w:r w:rsidR="00C05E45" w:rsidRPr="00D56B97">
        <w:rPr>
          <w:rFonts w:ascii="Times New Roman" w:hAnsi="Times New Roman" w:cs="Times New Roman"/>
        </w:rPr>
        <w:t>, and exceptions to exceptions, risks losing the rule</w:t>
      </w:r>
      <w:r w:rsidR="00367B9E" w:rsidRPr="00D56B97">
        <w:rPr>
          <w:rFonts w:ascii="Times New Roman" w:hAnsi="Times New Roman" w:cs="Times New Roman"/>
        </w:rPr>
        <w:t xml:space="preserve"> in</w:t>
      </w:r>
      <w:r w:rsidR="00543227" w:rsidRPr="00D56B97">
        <w:rPr>
          <w:rFonts w:ascii="Times New Roman" w:hAnsi="Times New Roman" w:cs="Times New Roman"/>
        </w:rPr>
        <w:t xml:space="preserve"> an avalanche of particular cases. A</w:t>
      </w:r>
      <w:r w:rsidR="00C159C2" w:rsidRPr="00D56B97">
        <w:rPr>
          <w:rFonts w:ascii="Times New Roman" w:hAnsi="Times New Roman" w:cs="Times New Roman"/>
        </w:rPr>
        <w:t>n appreciation</w:t>
      </w:r>
      <w:r w:rsidR="00367B9E" w:rsidRPr="00D56B97">
        <w:rPr>
          <w:rFonts w:ascii="Times New Roman" w:hAnsi="Times New Roman" w:cs="Times New Roman"/>
        </w:rPr>
        <w:t xml:space="preserve"> </w:t>
      </w:r>
      <w:r w:rsidR="00543227" w:rsidRPr="00D56B97">
        <w:rPr>
          <w:rFonts w:ascii="Times New Roman" w:hAnsi="Times New Roman" w:cs="Times New Roman"/>
        </w:rPr>
        <w:t>of this tension</w:t>
      </w:r>
      <w:r w:rsidR="00367B9E" w:rsidRPr="00D56B97">
        <w:rPr>
          <w:rFonts w:ascii="Times New Roman" w:hAnsi="Times New Roman" w:cs="Times New Roman"/>
        </w:rPr>
        <w:t xml:space="preserve"> </w:t>
      </w:r>
      <w:r w:rsidR="00C55126" w:rsidRPr="00D56B97">
        <w:rPr>
          <w:rFonts w:ascii="Times New Roman" w:hAnsi="Times New Roman" w:cs="Times New Roman"/>
        </w:rPr>
        <w:t>was incorporated into</w:t>
      </w:r>
      <w:r w:rsidR="00C159C2" w:rsidRPr="00D56B97">
        <w:rPr>
          <w:rFonts w:ascii="Times New Roman" w:hAnsi="Times New Roman" w:cs="Times New Roman"/>
        </w:rPr>
        <w:t xml:space="preserve"> English law</w:t>
      </w:r>
      <w:r w:rsidR="00367B9E" w:rsidRPr="00D56B97">
        <w:rPr>
          <w:rFonts w:ascii="Times New Roman" w:hAnsi="Times New Roman" w:cs="Times New Roman"/>
        </w:rPr>
        <w:t xml:space="preserve">, through the principle </w:t>
      </w:r>
      <w:r w:rsidR="00C05E45" w:rsidRPr="00D56B97">
        <w:rPr>
          <w:rFonts w:ascii="Times New Roman" w:hAnsi="Times New Roman" w:cs="Times New Roman"/>
        </w:rPr>
        <w:t>of equity, by</w:t>
      </w:r>
      <w:r w:rsidR="00543227" w:rsidRPr="00D56B97">
        <w:rPr>
          <w:rFonts w:ascii="Times New Roman" w:hAnsi="Times New Roman" w:cs="Times New Roman"/>
        </w:rPr>
        <w:t xml:space="preserve"> </w:t>
      </w:r>
      <w:r w:rsidR="007F2ADE" w:rsidRPr="00D56B97">
        <w:rPr>
          <w:rFonts w:ascii="Times New Roman" w:hAnsi="Times New Roman" w:cs="Times New Roman"/>
        </w:rPr>
        <w:t xml:space="preserve">the Middle Ages; and </w:t>
      </w:r>
      <w:r w:rsidR="00C159C2" w:rsidRPr="00D56B97">
        <w:rPr>
          <w:rFonts w:ascii="Times New Roman" w:hAnsi="Times New Roman" w:cs="Times New Roman"/>
        </w:rPr>
        <w:t xml:space="preserve">at some points, for instance during the sixteenth century, </w:t>
      </w:r>
      <w:r w:rsidR="007F2ADE" w:rsidRPr="00D56B97">
        <w:rPr>
          <w:rFonts w:ascii="Times New Roman" w:hAnsi="Times New Roman" w:cs="Times New Roman"/>
        </w:rPr>
        <w:t xml:space="preserve">it has </w:t>
      </w:r>
      <w:r w:rsidR="00C159C2" w:rsidRPr="00D56B97">
        <w:rPr>
          <w:rFonts w:ascii="Times New Roman" w:hAnsi="Times New Roman" w:cs="Times New Roman"/>
        </w:rPr>
        <w:t>been the central issue in legal thought.</w:t>
      </w:r>
      <w:r w:rsidR="00367B9E" w:rsidRPr="00D56B97">
        <w:rPr>
          <w:rFonts w:ascii="Times New Roman" w:hAnsi="Times New Roman" w:cs="Times New Roman"/>
          <w:vertAlign w:val="superscript"/>
        </w:rPr>
        <w:footnoteReference w:id="167"/>
      </w:r>
      <w:r w:rsidR="00367B9E" w:rsidRPr="00D56B97">
        <w:rPr>
          <w:rFonts w:ascii="Times New Roman" w:hAnsi="Times New Roman" w:cs="Times New Roman"/>
        </w:rPr>
        <w:t xml:space="preserve"> </w:t>
      </w:r>
      <w:r w:rsidR="00C05E45" w:rsidRPr="00D56B97">
        <w:rPr>
          <w:rFonts w:ascii="Times New Roman" w:hAnsi="Times New Roman" w:cs="Times New Roman"/>
        </w:rPr>
        <w:t xml:space="preserve">In the modern era, </w:t>
      </w:r>
      <w:r w:rsidR="00546042" w:rsidRPr="00D56B97">
        <w:rPr>
          <w:rFonts w:ascii="Times New Roman" w:hAnsi="Times New Roman" w:cs="Times New Roman"/>
        </w:rPr>
        <w:t>however, its prominence</w:t>
      </w:r>
      <w:r w:rsidR="00217376" w:rsidRPr="00D56B97">
        <w:rPr>
          <w:rFonts w:ascii="Times New Roman" w:hAnsi="Times New Roman" w:cs="Times New Roman"/>
        </w:rPr>
        <w:t xml:space="preserve"> has faded, and judicial discretion </w:t>
      </w:r>
      <w:r w:rsidR="00CF6DA2" w:rsidRPr="00D56B97">
        <w:rPr>
          <w:rFonts w:ascii="Times New Roman" w:hAnsi="Times New Roman" w:cs="Times New Roman"/>
        </w:rPr>
        <w:t>often meets academic</w:t>
      </w:r>
      <w:r w:rsidR="00217376" w:rsidRPr="00D56B97">
        <w:rPr>
          <w:rFonts w:ascii="Times New Roman" w:hAnsi="Times New Roman" w:cs="Times New Roman"/>
        </w:rPr>
        <w:t xml:space="preserve"> suspicion.</w:t>
      </w:r>
      <w:r w:rsidR="00217376" w:rsidRPr="00D56B97">
        <w:rPr>
          <w:rStyle w:val="FootnoteReference"/>
          <w:rFonts w:ascii="Times New Roman" w:hAnsi="Times New Roman" w:cs="Times New Roman"/>
        </w:rPr>
        <w:footnoteReference w:id="168"/>
      </w:r>
      <w:r w:rsidR="003C0B13" w:rsidRPr="00D56B97">
        <w:rPr>
          <w:rFonts w:ascii="Times New Roman" w:hAnsi="Times New Roman" w:cs="Times New Roman"/>
        </w:rPr>
        <w:t xml:space="preserve"> Nevertheless,</w:t>
      </w:r>
      <w:r w:rsidR="00367B9E" w:rsidRPr="00D56B97">
        <w:rPr>
          <w:rFonts w:ascii="Times New Roman" w:hAnsi="Times New Roman" w:cs="Times New Roman"/>
        </w:rPr>
        <w:t xml:space="preserve"> there is a parallel between</w:t>
      </w:r>
      <w:r w:rsidR="00BB0A61" w:rsidRPr="00D56B97">
        <w:rPr>
          <w:rFonts w:ascii="Times New Roman" w:hAnsi="Times New Roman" w:cs="Times New Roman"/>
        </w:rPr>
        <w:t xml:space="preserve"> the</w:t>
      </w:r>
      <w:r w:rsidR="00367B9E" w:rsidRPr="00D56B97">
        <w:rPr>
          <w:rFonts w:ascii="Times New Roman" w:hAnsi="Times New Roman" w:cs="Times New Roman"/>
        </w:rPr>
        <w:t xml:space="preserve"> </w:t>
      </w:r>
      <w:r w:rsidR="00BB0A61" w:rsidRPr="00D56B97">
        <w:rPr>
          <w:rFonts w:ascii="Times New Roman" w:hAnsi="Times New Roman" w:cs="Times New Roman"/>
        </w:rPr>
        <w:t>tradition</w:t>
      </w:r>
      <w:r w:rsidR="003B3AEA" w:rsidRPr="00D56B97">
        <w:rPr>
          <w:rFonts w:ascii="Times New Roman" w:hAnsi="Times New Roman" w:cs="Times New Roman"/>
        </w:rPr>
        <w:t>al idea that equity mitigates</w:t>
      </w:r>
      <w:r w:rsidR="00BB0A61" w:rsidRPr="00D56B97">
        <w:rPr>
          <w:rFonts w:ascii="Times New Roman" w:hAnsi="Times New Roman" w:cs="Times New Roman"/>
        </w:rPr>
        <w:t xml:space="preserve"> the inflexibility of the common law and the development of capacity law since the passing of the MCA. It would have been open to the court in </w:t>
      </w:r>
      <w:r w:rsidR="00BB0A61" w:rsidRPr="00D56B97">
        <w:rPr>
          <w:rFonts w:ascii="Times New Roman" w:hAnsi="Times New Roman" w:cs="Times New Roman"/>
          <w:i/>
        </w:rPr>
        <w:t>DL</w:t>
      </w:r>
      <w:r w:rsidR="00BB0A61" w:rsidRPr="00D56B97">
        <w:rPr>
          <w:rFonts w:ascii="Times New Roman" w:hAnsi="Times New Roman" w:cs="Times New Roman"/>
        </w:rPr>
        <w:t xml:space="preserve"> to find that the inherent jurisdiction did not survive the passing of the Act, and in </w:t>
      </w:r>
      <w:r w:rsidR="00BB0A61" w:rsidRPr="00D56B97">
        <w:rPr>
          <w:rFonts w:ascii="Times New Roman" w:hAnsi="Times New Roman" w:cs="Times New Roman"/>
          <w:i/>
        </w:rPr>
        <w:t>ITW</w:t>
      </w:r>
      <w:r w:rsidR="00BB0A61" w:rsidRPr="00D56B97">
        <w:rPr>
          <w:rFonts w:ascii="Times New Roman" w:hAnsi="Times New Roman" w:cs="Times New Roman"/>
        </w:rPr>
        <w:t xml:space="preserve"> to hold that the requirement to ‘consider’ a person’s wishes as part of </w:t>
      </w:r>
      <w:r w:rsidR="003C0B13" w:rsidRPr="00D56B97">
        <w:rPr>
          <w:rFonts w:ascii="Times New Roman" w:hAnsi="Times New Roman" w:cs="Times New Roman"/>
        </w:rPr>
        <w:t xml:space="preserve">a best interests decision </w:t>
      </w:r>
      <w:r w:rsidR="00BB0A61" w:rsidRPr="00D56B97">
        <w:rPr>
          <w:rFonts w:ascii="Times New Roman" w:hAnsi="Times New Roman" w:cs="Times New Roman"/>
        </w:rPr>
        <w:t>never entail</w:t>
      </w:r>
      <w:r w:rsidR="003C0B13" w:rsidRPr="00D56B97">
        <w:rPr>
          <w:rFonts w:ascii="Times New Roman" w:hAnsi="Times New Roman" w:cs="Times New Roman"/>
        </w:rPr>
        <w:t>ed</w:t>
      </w:r>
      <w:r w:rsidR="00DC792A" w:rsidRPr="00D56B97">
        <w:rPr>
          <w:rFonts w:ascii="Times New Roman" w:hAnsi="Times New Roman" w:cs="Times New Roman"/>
        </w:rPr>
        <w:t xml:space="preserve"> that those wishes determine</w:t>
      </w:r>
      <w:r w:rsidR="00BB0A61" w:rsidRPr="00D56B97">
        <w:rPr>
          <w:rFonts w:ascii="Times New Roman" w:hAnsi="Times New Roman" w:cs="Times New Roman"/>
        </w:rPr>
        <w:t xml:space="preserve"> the person’s objective best interests. </w:t>
      </w:r>
      <w:r w:rsidR="003B3AEA" w:rsidRPr="00D56B97">
        <w:rPr>
          <w:rFonts w:ascii="Times New Roman" w:hAnsi="Times New Roman" w:cs="Times New Roman"/>
        </w:rPr>
        <w:t>If the courts had taken the</w:t>
      </w:r>
      <w:r w:rsidR="003C0B13" w:rsidRPr="00D56B97">
        <w:rPr>
          <w:rFonts w:ascii="Times New Roman" w:hAnsi="Times New Roman" w:cs="Times New Roman"/>
        </w:rPr>
        <w:t>s</w:t>
      </w:r>
      <w:r w:rsidR="003B3AEA" w:rsidRPr="00D56B97">
        <w:rPr>
          <w:rFonts w:ascii="Times New Roman" w:hAnsi="Times New Roman" w:cs="Times New Roman"/>
        </w:rPr>
        <w:t>e</w:t>
      </w:r>
      <w:r w:rsidR="003C0B13" w:rsidRPr="00D56B97">
        <w:rPr>
          <w:rFonts w:ascii="Times New Roman" w:hAnsi="Times New Roman" w:cs="Times New Roman"/>
        </w:rPr>
        <w:t xml:space="preserve"> severe line</w:t>
      </w:r>
      <w:r w:rsidR="003B3AEA" w:rsidRPr="00D56B97">
        <w:rPr>
          <w:rFonts w:ascii="Times New Roman" w:hAnsi="Times New Roman" w:cs="Times New Roman"/>
        </w:rPr>
        <w:t>s</w:t>
      </w:r>
      <w:r w:rsidR="003C0B13" w:rsidRPr="00D56B97">
        <w:rPr>
          <w:rFonts w:ascii="Times New Roman" w:hAnsi="Times New Roman" w:cs="Times New Roman"/>
        </w:rPr>
        <w:t>, then the</w:t>
      </w:r>
      <w:r w:rsidR="00BB0A61" w:rsidRPr="00D56B97">
        <w:rPr>
          <w:rFonts w:ascii="Times New Roman" w:hAnsi="Times New Roman" w:cs="Times New Roman"/>
        </w:rPr>
        <w:t xml:space="preserve"> gatekeeper account </w:t>
      </w:r>
      <w:r w:rsidR="003C0B13" w:rsidRPr="00D56B97">
        <w:rPr>
          <w:rFonts w:ascii="Times New Roman" w:hAnsi="Times New Roman" w:cs="Times New Roman"/>
        </w:rPr>
        <w:t>would have been</w:t>
      </w:r>
      <w:r w:rsidR="00BB0A61" w:rsidRPr="00D56B97">
        <w:rPr>
          <w:rFonts w:ascii="Times New Roman" w:hAnsi="Times New Roman" w:cs="Times New Roman"/>
        </w:rPr>
        <w:t xml:space="preserve"> true.</w:t>
      </w:r>
      <w:r w:rsidR="003C0B13" w:rsidRPr="00D56B97">
        <w:rPr>
          <w:rFonts w:ascii="Times New Roman" w:hAnsi="Times New Roman" w:cs="Times New Roman"/>
        </w:rPr>
        <w:t xml:space="preserve"> </w:t>
      </w:r>
      <w:r w:rsidR="002D5F16" w:rsidRPr="00D56B97">
        <w:rPr>
          <w:rFonts w:ascii="Times New Roman" w:hAnsi="Times New Roman" w:cs="Times New Roman"/>
        </w:rPr>
        <w:t>They did not, and</w:t>
      </w:r>
      <w:r w:rsidR="00FE1126" w:rsidRPr="00D56B97">
        <w:rPr>
          <w:rFonts w:ascii="Times New Roman" w:hAnsi="Times New Roman" w:cs="Times New Roman"/>
        </w:rPr>
        <w:t xml:space="preserve"> the</w:t>
      </w:r>
      <w:r w:rsidR="003C0B13" w:rsidRPr="00D56B97">
        <w:rPr>
          <w:rFonts w:ascii="Times New Roman" w:hAnsi="Times New Roman" w:cs="Times New Roman"/>
        </w:rPr>
        <w:t xml:space="preserve"> inflexibility of that</w:t>
      </w:r>
      <w:r w:rsidR="002D5F16" w:rsidRPr="00D56B97">
        <w:rPr>
          <w:rFonts w:ascii="Times New Roman" w:hAnsi="Times New Roman" w:cs="Times New Roman"/>
        </w:rPr>
        <w:t xml:space="preserve"> account has been mitigated.</w:t>
      </w:r>
      <w:r w:rsidR="00332F09" w:rsidRPr="00D56B97">
        <w:rPr>
          <w:rFonts w:ascii="Times New Roman" w:hAnsi="Times New Roman" w:cs="Times New Roman"/>
        </w:rPr>
        <w:t xml:space="preserve"> </w:t>
      </w:r>
    </w:p>
    <w:p w14:paraId="7493C8B0" w14:textId="77777777" w:rsidR="00B243DE" w:rsidRPr="00D56B97" w:rsidRDefault="003C0B13" w:rsidP="00021A54">
      <w:pPr>
        <w:spacing w:line="480" w:lineRule="auto"/>
        <w:ind w:firstLine="720"/>
        <w:jc w:val="both"/>
        <w:rPr>
          <w:rFonts w:ascii="Times New Roman" w:hAnsi="Times New Roman" w:cs="Times New Roman"/>
        </w:rPr>
      </w:pPr>
      <w:r w:rsidRPr="00D56B97">
        <w:rPr>
          <w:rFonts w:ascii="Times New Roman" w:hAnsi="Times New Roman" w:cs="Times New Roman"/>
        </w:rPr>
        <w:t>The parallel with</w:t>
      </w:r>
      <w:r w:rsidR="00CF6DA2" w:rsidRPr="00D56B97">
        <w:rPr>
          <w:rFonts w:ascii="Times New Roman" w:hAnsi="Times New Roman" w:cs="Times New Roman"/>
        </w:rPr>
        <w:t xml:space="preserve"> the principle of</w:t>
      </w:r>
      <w:r w:rsidRPr="00D56B97">
        <w:rPr>
          <w:rFonts w:ascii="Times New Roman" w:hAnsi="Times New Roman" w:cs="Times New Roman"/>
        </w:rPr>
        <w:t xml:space="preserve"> equity </w:t>
      </w:r>
      <w:r w:rsidR="00546042" w:rsidRPr="00D56B97">
        <w:rPr>
          <w:rFonts w:ascii="Times New Roman" w:hAnsi="Times New Roman" w:cs="Times New Roman"/>
        </w:rPr>
        <w:t>cannot</w:t>
      </w:r>
      <w:r w:rsidRPr="00D56B97">
        <w:rPr>
          <w:rFonts w:ascii="Times New Roman" w:hAnsi="Times New Roman" w:cs="Times New Roman"/>
        </w:rPr>
        <w:t xml:space="preserve"> be drawn too closely</w:t>
      </w:r>
      <w:r w:rsidR="00546042" w:rsidRPr="00D56B97">
        <w:rPr>
          <w:rFonts w:ascii="Times New Roman" w:hAnsi="Times New Roman" w:cs="Times New Roman"/>
        </w:rPr>
        <w:t>. Many of t</w:t>
      </w:r>
      <w:r w:rsidR="003A35ED" w:rsidRPr="00D56B97">
        <w:rPr>
          <w:rFonts w:ascii="Times New Roman" w:hAnsi="Times New Roman" w:cs="Times New Roman"/>
        </w:rPr>
        <w:t>he post-MCA</w:t>
      </w:r>
      <w:r w:rsidR="00CF6DA2" w:rsidRPr="00D56B97">
        <w:rPr>
          <w:rFonts w:ascii="Times New Roman" w:hAnsi="Times New Roman" w:cs="Times New Roman"/>
        </w:rPr>
        <w:t xml:space="preserve"> cases have precedential force</w:t>
      </w:r>
      <w:r w:rsidR="00546042" w:rsidRPr="00D56B97">
        <w:rPr>
          <w:rFonts w:ascii="Times New Roman" w:hAnsi="Times New Roman" w:cs="Times New Roman"/>
        </w:rPr>
        <w:t xml:space="preserve">, so the </w:t>
      </w:r>
      <w:r w:rsidR="00CF6DA2" w:rsidRPr="00D56B97">
        <w:rPr>
          <w:rFonts w:ascii="Times New Roman" w:hAnsi="Times New Roman" w:cs="Times New Roman"/>
        </w:rPr>
        <w:t>coherent accou</w:t>
      </w:r>
      <w:r w:rsidR="00546042" w:rsidRPr="00D56B97">
        <w:rPr>
          <w:rFonts w:ascii="Times New Roman" w:hAnsi="Times New Roman" w:cs="Times New Roman"/>
        </w:rPr>
        <w:t xml:space="preserve">nt is not merely a description of how discretion is </w:t>
      </w:r>
      <w:r w:rsidR="00546042" w:rsidRPr="00D56B97">
        <w:rPr>
          <w:rFonts w:ascii="Times New Roman" w:hAnsi="Times New Roman" w:cs="Times New Roman"/>
        </w:rPr>
        <w:lastRenderedPageBreak/>
        <w:t>exercised. It is hardening</w:t>
      </w:r>
      <w:r w:rsidR="00CF6DA2" w:rsidRPr="00D56B97">
        <w:rPr>
          <w:rFonts w:ascii="Times New Roman" w:hAnsi="Times New Roman" w:cs="Times New Roman"/>
        </w:rPr>
        <w:t xml:space="preserve"> into binding law. This</w:t>
      </w:r>
      <w:r w:rsidR="00700B5B" w:rsidRPr="00D56B97">
        <w:rPr>
          <w:rFonts w:ascii="Times New Roman" w:hAnsi="Times New Roman" w:cs="Times New Roman"/>
        </w:rPr>
        <w:t xml:space="preserve"> raises </w:t>
      </w:r>
      <w:r w:rsidR="002D2F1F" w:rsidRPr="00D56B97">
        <w:rPr>
          <w:rFonts w:ascii="Times New Roman" w:hAnsi="Times New Roman" w:cs="Times New Roman"/>
        </w:rPr>
        <w:t xml:space="preserve">a </w:t>
      </w:r>
      <w:r w:rsidR="00700B5B" w:rsidRPr="00D56B97">
        <w:rPr>
          <w:rFonts w:ascii="Times New Roman" w:hAnsi="Times New Roman" w:cs="Times New Roman"/>
        </w:rPr>
        <w:t xml:space="preserve">serious question. </w:t>
      </w:r>
      <w:r w:rsidR="00546042" w:rsidRPr="00D56B97">
        <w:rPr>
          <w:rFonts w:ascii="Times New Roman" w:hAnsi="Times New Roman" w:cs="Times New Roman"/>
        </w:rPr>
        <w:t>One</w:t>
      </w:r>
      <w:r w:rsidR="00BC0D0E" w:rsidRPr="00D56B97">
        <w:rPr>
          <w:rFonts w:ascii="Times New Roman" w:hAnsi="Times New Roman" w:cs="Times New Roman"/>
        </w:rPr>
        <w:t xml:space="preserve"> rationale for the </w:t>
      </w:r>
      <w:r w:rsidR="002D2F1F" w:rsidRPr="00D56B97">
        <w:rPr>
          <w:rFonts w:ascii="Times New Roman" w:hAnsi="Times New Roman" w:cs="Times New Roman"/>
        </w:rPr>
        <w:t>MCA</w:t>
      </w:r>
      <w:r w:rsidR="00BC0D0E" w:rsidRPr="00D56B97">
        <w:rPr>
          <w:rFonts w:ascii="Times New Roman" w:hAnsi="Times New Roman" w:cs="Times New Roman"/>
        </w:rPr>
        <w:t xml:space="preserve"> was that it would simplify an area of law that had become ‘confusing, often incomplete, and much misunderstood’.</w:t>
      </w:r>
      <w:r w:rsidR="00BC0D0E" w:rsidRPr="00D56B97">
        <w:rPr>
          <w:rStyle w:val="FootnoteReference"/>
          <w:rFonts w:ascii="Times New Roman" w:hAnsi="Times New Roman" w:cs="Times New Roman"/>
        </w:rPr>
        <w:footnoteReference w:id="169"/>
      </w:r>
      <w:r w:rsidR="00BC0D0E" w:rsidRPr="00D56B97">
        <w:rPr>
          <w:rFonts w:ascii="Times New Roman" w:hAnsi="Times New Roman" w:cs="Times New Roman"/>
        </w:rPr>
        <w:t xml:space="preserve"> </w:t>
      </w:r>
      <w:r w:rsidR="004E35E4" w:rsidRPr="00D56B97">
        <w:rPr>
          <w:rFonts w:ascii="Times New Roman" w:hAnsi="Times New Roman" w:cs="Times New Roman"/>
        </w:rPr>
        <w:t>This article</w:t>
      </w:r>
      <w:r w:rsidR="002D2F1F" w:rsidRPr="00D56B97">
        <w:rPr>
          <w:rFonts w:ascii="Times New Roman" w:hAnsi="Times New Roman" w:cs="Times New Roman"/>
        </w:rPr>
        <w:t xml:space="preserve"> excludes children, </w:t>
      </w:r>
      <w:r w:rsidR="004E35E4" w:rsidRPr="00D56B97">
        <w:rPr>
          <w:rFonts w:ascii="Times New Roman" w:hAnsi="Times New Roman" w:cs="Times New Roman"/>
        </w:rPr>
        <w:t xml:space="preserve">the </w:t>
      </w:r>
      <w:r w:rsidR="002D2F1F" w:rsidRPr="00D56B97">
        <w:rPr>
          <w:rFonts w:ascii="Times New Roman" w:hAnsi="Times New Roman" w:cs="Times New Roman"/>
        </w:rPr>
        <w:t>criminal law, and those subject to the Mental Health Act 1983</w:t>
      </w:r>
      <w:r w:rsidR="00A863E8" w:rsidRPr="00D56B97">
        <w:rPr>
          <w:rFonts w:ascii="Times New Roman" w:hAnsi="Times New Roman" w:cs="Times New Roman"/>
        </w:rPr>
        <w:t>;</w:t>
      </w:r>
      <w:r w:rsidR="00A863E8" w:rsidRPr="00D56B97">
        <w:rPr>
          <w:rStyle w:val="FootnoteReference"/>
          <w:rFonts w:ascii="Times New Roman" w:hAnsi="Times New Roman" w:cs="Times New Roman"/>
        </w:rPr>
        <w:footnoteReference w:id="170"/>
      </w:r>
      <w:r w:rsidR="00D66DD7" w:rsidRPr="00D56B97">
        <w:rPr>
          <w:rFonts w:ascii="Times New Roman" w:hAnsi="Times New Roman" w:cs="Times New Roman"/>
        </w:rPr>
        <w:t xml:space="preserve"> </w:t>
      </w:r>
      <w:r w:rsidR="004E35E4" w:rsidRPr="00D56B97">
        <w:rPr>
          <w:rFonts w:ascii="Times New Roman" w:hAnsi="Times New Roman" w:cs="Times New Roman"/>
        </w:rPr>
        <w:t xml:space="preserve">yet, even with those restrictions, </w:t>
      </w:r>
      <w:r w:rsidR="00D66DD7" w:rsidRPr="00D56B97">
        <w:rPr>
          <w:rFonts w:ascii="Times New Roman" w:hAnsi="Times New Roman" w:cs="Times New Roman"/>
        </w:rPr>
        <w:t>determining whether an individual should b</w:t>
      </w:r>
      <w:r w:rsidR="00F0739A" w:rsidRPr="00D56B97">
        <w:rPr>
          <w:rFonts w:ascii="Times New Roman" w:hAnsi="Times New Roman" w:cs="Times New Roman"/>
        </w:rPr>
        <w:t>e treated as autonomous requires</w:t>
      </w:r>
      <w:r w:rsidR="00D66DD7" w:rsidRPr="00D56B97">
        <w:rPr>
          <w:rFonts w:ascii="Times New Roman" w:hAnsi="Times New Roman" w:cs="Times New Roman"/>
        </w:rPr>
        <w:t xml:space="preserve"> considering the MCA</w:t>
      </w:r>
      <w:r w:rsidR="002D2F1F" w:rsidRPr="00D56B97">
        <w:rPr>
          <w:rFonts w:ascii="Times New Roman" w:hAnsi="Times New Roman" w:cs="Times New Roman"/>
        </w:rPr>
        <w:t>, the inherent jurisdiction</w:t>
      </w:r>
      <w:r w:rsidR="000A08B0" w:rsidRPr="00D56B97">
        <w:rPr>
          <w:rFonts w:ascii="Times New Roman" w:hAnsi="Times New Roman" w:cs="Times New Roman"/>
        </w:rPr>
        <w:t xml:space="preserve"> of the High C</w:t>
      </w:r>
      <w:r w:rsidR="00D66DD7" w:rsidRPr="00D56B97">
        <w:rPr>
          <w:rFonts w:ascii="Times New Roman" w:hAnsi="Times New Roman" w:cs="Times New Roman"/>
        </w:rPr>
        <w:t xml:space="preserve">ourt, the equitable doctrine of undue influence, and the list of factors found in </w:t>
      </w:r>
      <w:r w:rsidR="00D66DD7" w:rsidRPr="00D56B97">
        <w:rPr>
          <w:rFonts w:ascii="Times New Roman" w:hAnsi="Times New Roman" w:cs="Times New Roman"/>
          <w:i/>
        </w:rPr>
        <w:t>ITW.</w:t>
      </w:r>
      <w:r w:rsidR="00A863E8" w:rsidRPr="00D56B97">
        <w:rPr>
          <w:rFonts w:ascii="Times New Roman" w:hAnsi="Times New Roman" w:cs="Times New Roman"/>
        </w:rPr>
        <w:t xml:space="preserve"> Furthermore, this article </w:t>
      </w:r>
      <w:r w:rsidR="00546042" w:rsidRPr="00D56B97">
        <w:rPr>
          <w:rFonts w:ascii="Times New Roman" w:hAnsi="Times New Roman" w:cs="Times New Roman"/>
        </w:rPr>
        <w:t>discusses</w:t>
      </w:r>
      <w:r w:rsidR="000F3083" w:rsidRPr="00D56B97">
        <w:rPr>
          <w:rFonts w:ascii="Times New Roman" w:hAnsi="Times New Roman" w:cs="Times New Roman"/>
        </w:rPr>
        <w:t xml:space="preserve"> </w:t>
      </w:r>
      <w:r w:rsidR="00F575B8" w:rsidRPr="00D56B97">
        <w:rPr>
          <w:rFonts w:ascii="Times New Roman" w:hAnsi="Times New Roman" w:cs="Times New Roman"/>
        </w:rPr>
        <w:t xml:space="preserve">only </w:t>
      </w:r>
      <w:r w:rsidR="000F3083" w:rsidRPr="00D56B97">
        <w:rPr>
          <w:rFonts w:ascii="Times New Roman" w:hAnsi="Times New Roman" w:cs="Times New Roman"/>
        </w:rPr>
        <w:t>the consequences of a finding of capacity or incapacity</w:t>
      </w:r>
      <w:r w:rsidR="00F575B8" w:rsidRPr="00D56B97">
        <w:rPr>
          <w:rFonts w:ascii="Times New Roman" w:hAnsi="Times New Roman" w:cs="Times New Roman"/>
        </w:rPr>
        <w:t>. It</w:t>
      </w:r>
      <w:r w:rsidR="002D5F16" w:rsidRPr="00D56B97">
        <w:rPr>
          <w:rFonts w:ascii="Times New Roman" w:hAnsi="Times New Roman" w:cs="Times New Roman"/>
        </w:rPr>
        <w:t xml:space="preserve"> treats the </w:t>
      </w:r>
      <w:r w:rsidR="00546042" w:rsidRPr="00D56B97">
        <w:rPr>
          <w:rFonts w:ascii="Times New Roman" w:hAnsi="Times New Roman" w:cs="Times New Roman"/>
        </w:rPr>
        <w:t xml:space="preserve">actual </w:t>
      </w:r>
      <w:r w:rsidR="002D5F16" w:rsidRPr="00D56B97">
        <w:rPr>
          <w:rFonts w:ascii="Times New Roman" w:hAnsi="Times New Roman" w:cs="Times New Roman"/>
        </w:rPr>
        <w:t xml:space="preserve">assessment </w:t>
      </w:r>
      <w:r w:rsidR="00546042" w:rsidRPr="00D56B97">
        <w:rPr>
          <w:rFonts w:ascii="Times New Roman" w:hAnsi="Times New Roman" w:cs="Times New Roman"/>
        </w:rPr>
        <w:t>process as</w:t>
      </w:r>
      <w:r w:rsidR="002D5F16" w:rsidRPr="00D56B97">
        <w:rPr>
          <w:rFonts w:ascii="Times New Roman" w:hAnsi="Times New Roman" w:cs="Times New Roman"/>
        </w:rPr>
        <w:t xml:space="preserve"> unproblematic</w:t>
      </w:r>
      <w:r w:rsidR="009A1A10" w:rsidRPr="00D56B97">
        <w:rPr>
          <w:rFonts w:ascii="Times New Roman" w:hAnsi="Times New Roman" w:cs="Times New Roman"/>
        </w:rPr>
        <w:t>. I</w:t>
      </w:r>
      <w:r w:rsidR="000F3083" w:rsidRPr="00D56B97">
        <w:rPr>
          <w:rFonts w:ascii="Times New Roman" w:hAnsi="Times New Roman" w:cs="Times New Roman"/>
        </w:rPr>
        <w:t xml:space="preserve">n reality, capacity </w:t>
      </w:r>
      <w:r w:rsidR="001349DA" w:rsidRPr="00D56B97">
        <w:rPr>
          <w:rFonts w:ascii="Times New Roman" w:hAnsi="Times New Roman" w:cs="Times New Roman"/>
        </w:rPr>
        <w:t>assessments</w:t>
      </w:r>
      <w:r w:rsidR="000F3083" w:rsidRPr="00D56B97">
        <w:rPr>
          <w:rFonts w:ascii="Times New Roman" w:hAnsi="Times New Roman" w:cs="Times New Roman"/>
        </w:rPr>
        <w:t xml:space="preserve"> face a variety of </w:t>
      </w:r>
      <w:r w:rsidR="001349DA" w:rsidRPr="00D56B97">
        <w:rPr>
          <w:rFonts w:ascii="Times New Roman" w:hAnsi="Times New Roman" w:cs="Times New Roman"/>
        </w:rPr>
        <w:t xml:space="preserve">legal </w:t>
      </w:r>
      <w:r w:rsidR="000F3083" w:rsidRPr="00D56B97">
        <w:rPr>
          <w:rFonts w:ascii="Times New Roman" w:hAnsi="Times New Roman" w:cs="Times New Roman"/>
        </w:rPr>
        <w:t>uncertainties,</w:t>
      </w:r>
      <w:r w:rsidR="006F07ED" w:rsidRPr="00D56B97">
        <w:rPr>
          <w:rFonts w:ascii="Times New Roman" w:hAnsi="Times New Roman" w:cs="Times New Roman"/>
        </w:rPr>
        <w:t xml:space="preserve"> </w:t>
      </w:r>
      <w:r w:rsidR="001349DA" w:rsidRPr="00D56B97">
        <w:rPr>
          <w:rFonts w:ascii="Times New Roman" w:hAnsi="Times New Roman" w:cs="Times New Roman"/>
        </w:rPr>
        <w:t>tangles,</w:t>
      </w:r>
      <w:r w:rsidR="006F07ED" w:rsidRPr="00D56B97">
        <w:rPr>
          <w:rFonts w:ascii="Times New Roman" w:hAnsi="Times New Roman" w:cs="Times New Roman"/>
        </w:rPr>
        <w:t xml:space="preserve"> and </w:t>
      </w:r>
      <w:r w:rsidR="000F3083" w:rsidRPr="00D56B97">
        <w:rPr>
          <w:rFonts w:ascii="Times New Roman" w:hAnsi="Times New Roman" w:cs="Times New Roman"/>
        </w:rPr>
        <w:t>paradoxes.</w:t>
      </w:r>
      <w:r w:rsidR="006F07ED" w:rsidRPr="00D56B97">
        <w:rPr>
          <w:rStyle w:val="FootnoteReference"/>
          <w:rFonts w:ascii="Times New Roman" w:hAnsi="Times New Roman" w:cs="Times New Roman"/>
        </w:rPr>
        <w:footnoteReference w:id="171"/>
      </w:r>
      <w:r w:rsidR="00A85481" w:rsidRPr="00D56B97">
        <w:rPr>
          <w:rFonts w:ascii="Times New Roman" w:hAnsi="Times New Roman" w:cs="Times New Roman"/>
        </w:rPr>
        <w:t xml:space="preserve"> </w:t>
      </w:r>
      <w:r w:rsidR="00C17B8D" w:rsidRPr="00D56B97">
        <w:rPr>
          <w:rFonts w:ascii="Times New Roman" w:hAnsi="Times New Roman" w:cs="Times New Roman"/>
        </w:rPr>
        <w:t>Mo</w:t>
      </w:r>
      <w:r w:rsidR="006F07ED" w:rsidRPr="00D56B97">
        <w:rPr>
          <w:rFonts w:ascii="Times New Roman" w:hAnsi="Times New Roman" w:cs="Times New Roman"/>
        </w:rPr>
        <w:t xml:space="preserve">st </w:t>
      </w:r>
      <w:r w:rsidR="000F3083" w:rsidRPr="00D56B97">
        <w:rPr>
          <w:rFonts w:ascii="Times New Roman" w:hAnsi="Times New Roman" w:cs="Times New Roman"/>
        </w:rPr>
        <w:t>people</w:t>
      </w:r>
      <w:r w:rsidR="006F07ED" w:rsidRPr="00D56B97">
        <w:rPr>
          <w:rFonts w:ascii="Times New Roman" w:hAnsi="Times New Roman" w:cs="Times New Roman"/>
        </w:rPr>
        <w:t xml:space="preserve"> </w:t>
      </w:r>
      <w:r w:rsidR="00546042" w:rsidRPr="00D56B97">
        <w:rPr>
          <w:rFonts w:ascii="Times New Roman" w:hAnsi="Times New Roman" w:cs="Times New Roman"/>
        </w:rPr>
        <w:t>applying</w:t>
      </w:r>
      <w:r w:rsidR="006F07ED" w:rsidRPr="00D56B97">
        <w:rPr>
          <w:rFonts w:ascii="Times New Roman" w:hAnsi="Times New Roman" w:cs="Times New Roman"/>
        </w:rPr>
        <w:t xml:space="preserve"> the Act</w:t>
      </w:r>
      <w:r w:rsidR="00C17B8D" w:rsidRPr="00D56B97">
        <w:rPr>
          <w:rFonts w:ascii="Times New Roman" w:hAnsi="Times New Roman" w:cs="Times New Roman"/>
        </w:rPr>
        <w:t xml:space="preserve"> are not legally trained</w:t>
      </w:r>
      <w:r w:rsidR="000F3083" w:rsidRPr="00D56B97">
        <w:rPr>
          <w:rFonts w:ascii="Times New Roman" w:hAnsi="Times New Roman" w:cs="Times New Roman"/>
        </w:rPr>
        <w:t>,</w:t>
      </w:r>
      <w:r w:rsidR="0023411D" w:rsidRPr="00D56B97">
        <w:rPr>
          <w:rFonts w:ascii="Times New Roman" w:hAnsi="Times New Roman" w:cs="Times New Roman"/>
        </w:rPr>
        <w:t xml:space="preserve"> </w:t>
      </w:r>
      <w:r w:rsidR="0084524F" w:rsidRPr="00D56B97">
        <w:rPr>
          <w:rFonts w:ascii="Times New Roman" w:hAnsi="Times New Roman" w:cs="Times New Roman"/>
        </w:rPr>
        <w:t xml:space="preserve">so it seems </w:t>
      </w:r>
      <w:r w:rsidR="000F3083" w:rsidRPr="00D56B97">
        <w:rPr>
          <w:rFonts w:ascii="Times New Roman" w:hAnsi="Times New Roman" w:cs="Times New Roman"/>
        </w:rPr>
        <w:t>optimistic to expect them to</w:t>
      </w:r>
      <w:r w:rsidR="00A85481" w:rsidRPr="00D56B97">
        <w:rPr>
          <w:rFonts w:ascii="Times New Roman" w:hAnsi="Times New Roman" w:cs="Times New Roman"/>
        </w:rPr>
        <w:t xml:space="preserve"> suc</w:t>
      </w:r>
      <w:r w:rsidR="002F3EEE" w:rsidRPr="00D56B97">
        <w:rPr>
          <w:rFonts w:ascii="Times New Roman" w:hAnsi="Times New Roman" w:cs="Times New Roman"/>
        </w:rPr>
        <w:t>cessfu</w:t>
      </w:r>
      <w:r w:rsidR="007D5929" w:rsidRPr="00D56B97">
        <w:rPr>
          <w:rFonts w:ascii="Times New Roman" w:hAnsi="Times New Roman" w:cs="Times New Roman"/>
        </w:rPr>
        <w:t xml:space="preserve">lly navigate </w:t>
      </w:r>
      <w:r w:rsidR="0084524F" w:rsidRPr="00D56B97">
        <w:rPr>
          <w:rFonts w:ascii="Times New Roman" w:hAnsi="Times New Roman" w:cs="Times New Roman"/>
        </w:rPr>
        <w:t xml:space="preserve">these </w:t>
      </w:r>
      <w:r w:rsidR="00A85481" w:rsidRPr="00D56B97">
        <w:rPr>
          <w:rFonts w:ascii="Times New Roman" w:hAnsi="Times New Roman" w:cs="Times New Roman"/>
        </w:rPr>
        <w:t>intricacies</w:t>
      </w:r>
      <w:r w:rsidR="006F07ED" w:rsidRPr="00D56B97">
        <w:rPr>
          <w:rFonts w:ascii="Times New Roman" w:hAnsi="Times New Roman" w:cs="Times New Roman"/>
        </w:rPr>
        <w:t>.</w:t>
      </w:r>
      <w:r w:rsidR="000F3083" w:rsidRPr="00D56B97">
        <w:rPr>
          <w:rFonts w:ascii="Times New Roman" w:hAnsi="Times New Roman" w:cs="Times New Roman"/>
          <w:vertAlign w:val="superscript"/>
        </w:rPr>
        <w:footnoteReference w:id="172"/>
      </w:r>
      <w:r w:rsidR="00E64B28" w:rsidRPr="00D56B97">
        <w:rPr>
          <w:rFonts w:ascii="Times New Roman" w:hAnsi="Times New Roman" w:cs="Times New Roman"/>
        </w:rPr>
        <w:t xml:space="preserve"> </w:t>
      </w:r>
      <w:r w:rsidR="001349DA" w:rsidRPr="00D56B97">
        <w:rPr>
          <w:rFonts w:ascii="Times New Roman" w:hAnsi="Times New Roman" w:cs="Times New Roman"/>
        </w:rPr>
        <w:t xml:space="preserve">By the criterion of simplifying a </w:t>
      </w:r>
      <w:r w:rsidR="00507AA4" w:rsidRPr="00D56B97">
        <w:rPr>
          <w:rFonts w:ascii="Times New Roman" w:hAnsi="Times New Roman" w:cs="Times New Roman"/>
        </w:rPr>
        <w:t xml:space="preserve">law that had become </w:t>
      </w:r>
      <w:r w:rsidR="001349DA" w:rsidRPr="00D56B97">
        <w:rPr>
          <w:rFonts w:ascii="Times New Roman" w:hAnsi="Times New Roman" w:cs="Times New Roman"/>
        </w:rPr>
        <w:t xml:space="preserve">confusing, the MCA has </w:t>
      </w:r>
      <w:r w:rsidR="00353868" w:rsidRPr="00D56B97">
        <w:rPr>
          <w:rFonts w:ascii="Times New Roman" w:hAnsi="Times New Roman" w:cs="Times New Roman"/>
        </w:rPr>
        <w:t xml:space="preserve">manifestly </w:t>
      </w:r>
      <w:r w:rsidR="001349DA" w:rsidRPr="00D56B97">
        <w:rPr>
          <w:rFonts w:ascii="Times New Roman" w:hAnsi="Times New Roman" w:cs="Times New Roman"/>
        </w:rPr>
        <w:t>failed.</w:t>
      </w:r>
      <w:r w:rsidR="00D81A1A" w:rsidRPr="00D56B97">
        <w:rPr>
          <w:rStyle w:val="FootnoteReference"/>
          <w:rFonts w:ascii="Times New Roman" w:hAnsi="Times New Roman" w:cs="Times New Roman"/>
        </w:rPr>
        <w:footnoteReference w:id="173"/>
      </w:r>
    </w:p>
    <w:p w14:paraId="7493C8B1" w14:textId="77777777" w:rsidR="003A35ED" w:rsidRPr="00D56B97" w:rsidRDefault="002466DE" w:rsidP="00021A54">
      <w:pPr>
        <w:spacing w:line="480" w:lineRule="auto"/>
        <w:ind w:firstLine="720"/>
        <w:jc w:val="both"/>
        <w:rPr>
          <w:rFonts w:ascii="Times New Roman" w:hAnsi="Times New Roman" w:cs="Times New Roman"/>
        </w:rPr>
      </w:pPr>
      <w:r w:rsidRPr="00D56B97">
        <w:rPr>
          <w:rFonts w:ascii="Times New Roman" w:hAnsi="Times New Roman" w:cs="Times New Roman"/>
        </w:rPr>
        <w:t>T</w:t>
      </w:r>
      <w:r w:rsidR="00F57104" w:rsidRPr="00D56B97">
        <w:rPr>
          <w:rFonts w:ascii="Times New Roman" w:hAnsi="Times New Roman" w:cs="Times New Roman"/>
        </w:rPr>
        <w:t>he Act faces a more fundamental challenge than the observation that it h</w:t>
      </w:r>
      <w:r w:rsidR="00676779" w:rsidRPr="00D56B97">
        <w:rPr>
          <w:rFonts w:ascii="Times New Roman" w:hAnsi="Times New Roman" w:cs="Times New Roman"/>
        </w:rPr>
        <w:t>as failed to simplify the law. Ar</w:t>
      </w:r>
      <w:r w:rsidR="00221890" w:rsidRPr="00D56B97">
        <w:rPr>
          <w:rFonts w:ascii="Times New Roman" w:hAnsi="Times New Roman" w:cs="Times New Roman"/>
        </w:rPr>
        <w:t>t</w:t>
      </w:r>
      <w:r w:rsidR="00676779" w:rsidRPr="00D56B97">
        <w:rPr>
          <w:rFonts w:ascii="Times New Roman" w:hAnsi="Times New Roman" w:cs="Times New Roman"/>
        </w:rPr>
        <w:t>icle 12(2) of t</w:t>
      </w:r>
      <w:r w:rsidR="00F57104" w:rsidRPr="00D56B97">
        <w:rPr>
          <w:rFonts w:ascii="Times New Roman" w:hAnsi="Times New Roman" w:cs="Times New Roman"/>
        </w:rPr>
        <w:t>he UN Convention on the Right of Pe</w:t>
      </w:r>
      <w:r w:rsidR="00995298" w:rsidRPr="00D56B97">
        <w:rPr>
          <w:rFonts w:ascii="Times New Roman" w:hAnsi="Times New Roman" w:cs="Times New Roman"/>
        </w:rPr>
        <w:t>rsons with Disabilities</w:t>
      </w:r>
      <w:r w:rsidR="00CF751A" w:rsidRPr="00D56B97">
        <w:rPr>
          <w:rFonts w:ascii="Times New Roman" w:hAnsi="Times New Roman" w:cs="Times New Roman"/>
        </w:rPr>
        <w:t xml:space="preserve"> (UNCRPD)</w:t>
      </w:r>
      <w:r w:rsidR="0005127A" w:rsidRPr="00D56B97">
        <w:rPr>
          <w:rFonts w:ascii="Times New Roman" w:hAnsi="Times New Roman" w:cs="Times New Roman"/>
        </w:rPr>
        <w:t xml:space="preserve"> requires state parties</w:t>
      </w:r>
      <w:r w:rsidR="00676779" w:rsidRPr="00D56B97">
        <w:rPr>
          <w:rFonts w:ascii="Times New Roman" w:hAnsi="Times New Roman" w:cs="Times New Roman"/>
        </w:rPr>
        <w:t xml:space="preserve"> to ‘recognize that persons with disabilities enjoy legal capacity on an equal basis with others in all aspects of life</w:t>
      </w:r>
      <w:r w:rsidR="003A35ED" w:rsidRPr="00D56B97">
        <w:rPr>
          <w:rFonts w:ascii="Times New Roman" w:hAnsi="Times New Roman" w:cs="Times New Roman"/>
        </w:rPr>
        <w:t>’.</w:t>
      </w:r>
      <w:r w:rsidR="00F57104" w:rsidRPr="00D56B97">
        <w:rPr>
          <w:rStyle w:val="FootnoteReference"/>
          <w:rFonts w:ascii="Times New Roman" w:hAnsi="Times New Roman" w:cs="Times New Roman"/>
        </w:rPr>
        <w:footnoteReference w:id="174"/>
      </w:r>
      <w:r w:rsidR="003A35ED" w:rsidRPr="00D56B97">
        <w:rPr>
          <w:rFonts w:ascii="Times New Roman" w:hAnsi="Times New Roman" w:cs="Times New Roman"/>
        </w:rPr>
        <w:t xml:space="preserve"> T</w:t>
      </w:r>
      <w:r w:rsidR="003D02AB" w:rsidRPr="00D56B97">
        <w:rPr>
          <w:rFonts w:ascii="Times New Roman" w:hAnsi="Times New Roman" w:cs="Times New Roman"/>
        </w:rPr>
        <w:t>he UN C</w:t>
      </w:r>
      <w:r w:rsidR="00676779" w:rsidRPr="00D56B97">
        <w:rPr>
          <w:rFonts w:ascii="Times New Roman" w:hAnsi="Times New Roman" w:cs="Times New Roman"/>
        </w:rPr>
        <w:t>ommittee that overse</w:t>
      </w:r>
      <w:r w:rsidRPr="00D56B97">
        <w:rPr>
          <w:rFonts w:ascii="Times New Roman" w:hAnsi="Times New Roman" w:cs="Times New Roman"/>
        </w:rPr>
        <w:t>es the Convention has</w:t>
      </w:r>
      <w:r w:rsidR="00676779" w:rsidRPr="00D56B97">
        <w:rPr>
          <w:rFonts w:ascii="Times New Roman" w:hAnsi="Times New Roman" w:cs="Times New Roman"/>
        </w:rPr>
        <w:t xml:space="preserve"> argued</w:t>
      </w:r>
      <w:r w:rsidR="009F3544" w:rsidRPr="00D56B97">
        <w:rPr>
          <w:rFonts w:ascii="Times New Roman" w:hAnsi="Times New Roman" w:cs="Times New Roman"/>
        </w:rPr>
        <w:t xml:space="preserve"> that this</w:t>
      </w:r>
      <w:r w:rsidR="00676779" w:rsidRPr="00D56B97">
        <w:rPr>
          <w:rFonts w:ascii="Times New Roman" w:hAnsi="Times New Roman" w:cs="Times New Roman"/>
        </w:rPr>
        <w:t xml:space="preserve"> is incompatible with any system </w:t>
      </w:r>
      <w:r w:rsidR="009F3544" w:rsidRPr="00D56B97">
        <w:rPr>
          <w:rFonts w:ascii="Times New Roman" w:hAnsi="Times New Roman" w:cs="Times New Roman"/>
        </w:rPr>
        <w:t>in which</w:t>
      </w:r>
      <w:r w:rsidR="00676779" w:rsidRPr="00D56B97">
        <w:rPr>
          <w:rFonts w:ascii="Times New Roman" w:hAnsi="Times New Roman" w:cs="Times New Roman"/>
        </w:rPr>
        <w:t xml:space="preserve"> </w:t>
      </w:r>
      <w:r w:rsidR="00F828A9" w:rsidRPr="00D56B97">
        <w:rPr>
          <w:rFonts w:ascii="Times New Roman" w:hAnsi="Times New Roman" w:cs="Times New Roman"/>
        </w:rPr>
        <w:t>a decision-maker ‘</w:t>
      </w:r>
      <w:r w:rsidR="00676779" w:rsidRPr="00D56B97">
        <w:rPr>
          <w:rFonts w:ascii="Times New Roman" w:hAnsi="Times New Roman" w:cs="Times New Roman"/>
        </w:rPr>
        <w:t>can be appointed by someone other than the person concerned</w:t>
      </w:r>
      <w:r w:rsidR="009F3544" w:rsidRPr="00D56B97">
        <w:rPr>
          <w:rFonts w:ascii="Times New Roman" w:hAnsi="Times New Roman" w:cs="Times New Roman"/>
        </w:rPr>
        <w:t>’ to make</w:t>
      </w:r>
      <w:r w:rsidR="00676779" w:rsidRPr="00D56B97">
        <w:rPr>
          <w:rFonts w:ascii="Times New Roman" w:hAnsi="Times New Roman" w:cs="Times New Roman"/>
        </w:rPr>
        <w:t xml:space="preserve"> decisions in the person’s best interests rather than according to their </w:t>
      </w:r>
      <w:r w:rsidR="00676779" w:rsidRPr="00D56B97">
        <w:rPr>
          <w:rFonts w:ascii="Times New Roman" w:hAnsi="Times New Roman" w:cs="Times New Roman"/>
        </w:rPr>
        <w:lastRenderedPageBreak/>
        <w:t>‘will and preferences’.</w:t>
      </w:r>
      <w:r w:rsidR="00676779" w:rsidRPr="00D56B97">
        <w:rPr>
          <w:rStyle w:val="FootnoteReference"/>
          <w:rFonts w:ascii="Times New Roman" w:hAnsi="Times New Roman" w:cs="Times New Roman"/>
        </w:rPr>
        <w:footnoteReference w:id="175"/>
      </w:r>
      <w:r w:rsidR="003D02AB" w:rsidRPr="00D56B97">
        <w:rPr>
          <w:rFonts w:ascii="Times New Roman" w:hAnsi="Times New Roman" w:cs="Times New Roman"/>
        </w:rPr>
        <w:t xml:space="preserve"> This interpreta</w:t>
      </w:r>
      <w:r w:rsidRPr="00D56B97">
        <w:rPr>
          <w:rFonts w:ascii="Times New Roman" w:hAnsi="Times New Roman" w:cs="Times New Roman"/>
        </w:rPr>
        <w:t xml:space="preserve">tion </w:t>
      </w:r>
      <w:r w:rsidR="007F5853" w:rsidRPr="00D56B97">
        <w:rPr>
          <w:rFonts w:ascii="Times New Roman" w:hAnsi="Times New Roman" w:cs="Times New Roman"/>
        </w:rPr>
        <w:t>is</w:t>
      </w:r>
      <w:r w:rsidR="003D02AB" w:rsidRPr="00D56B97">
        <w:rPr>
          <w:rFonts w:ascii="Times New Roman" w:hAnsi="Times New Roman" w:cs="Times New Roman"/>
        </w:rPr>
        <w:t xml:space="preserve"> controversial,</w:t>
      </w:r>
      <w:r w:rsidR="003D02AB" w:rsidRPr="00D56B97">
        <w:rPr>
          <w:rStyle w:val="FootnoteReference"/>
          <w:rFonts w:ascii="Times New Roman" w:hAnsi="Times New Roman" w:cs="Times New Roman"/>
        </w:rPr>
        <w:footnoteReference w:id="176"/>
      </w:r>
      <w:r w:rsidRPr="00D56B97">
        <w:rPr>
          <w:rFonts w:ascii="Times New Roman" w:hAnsi="Times New Roman" w:cs="Times New Roman"/>
        </w:rPr>
        <w:t xml:space="preserve"> but it is</w:t>
      </w:r>
      <w:r w:rsidR="003D02AB" w:rsidRPr="00D56B97">
        <w:rPr>
          <w:rFonts w:ascii="Times New Roman" w:hAnsi="Times New Roman" w:cs="Times New Roman"/>
        </w:rPr>
        <w:t xml:space="preserve"> premised on a different account of the relationship between autonomy and mental capacity to any found in domesti</w:t>
      </w:r>
      <w:r w:rsidRPr="00D56B97">
        <w:rPr>
          <w:rFonts w:ascii="Times New Roman" w:hAnsi="Times New Roman" w:cs="Times New Roman"/>
        </w:rPr>
        <w:t>c law. The survival account holds</w:t>
      </w:r>
      <w:r w:rsidR="003D02AB" w:rsidRPr="00D56B97">
        <w:rPr>
          <w:rFonts w:ascii="Times New Roman" w:hAnsi="Times New Roman" w:cs="Times New Roman"/>
        </w:rPr>
        <w:t xml:space="preserve"> that those without mental capacity might retain </w:t>
      </w:r>
      <w:r w:rsidRPr="00D56B97">
        <w:rPr>
          <w:rFonts w:ascii="Times New Roman" w:hAnsi="Times New Roman" w:cs="Times New Roman"/>
        </w:rPr>
        <w:t>such autonomy that their wishes</w:t>
      </w:r>
      <w:r w:rsidR="007F5853" w:rsidRPr="00D56B97">
        <w:rPr>
          <w:rFonts w:ascii="Times New Roman" w:hAnsi="Times New Roman" w:cs="Times New Roman"/>
        </w:rPr>
        <w:t xml:space="preserve"> </w:t>
      </w:r>
      <w:r w:rsidR="003D02AB" w:rsidRPr="00D56B97">
        <w:rPr>
          <w:rFonts w:ascii="Times New Roman" w:hAnsi="Times New Roman" w:cs="Times New Roman"/>
        </w:rPr>
        <w:t xml:space="preserve">determine their best interests, but </w:t>
      </w:r>
      <w:r w:rsidRPr="00D56B97">
        <w:rPr>
          <w:rFonts w:ascii="Times New Roman" w:hAnsi="Times New Roman" w:cs="Times New Roman"/>
        </w:rPr>
        <w:t>the Committee</w:t>
      </w:r>
      <w:r w:rsidR="003D02AB" w:rsidRPr="00D56B97">
        <w:rPr>
          <w:rFonts w:ascii="Times New Roman" w:hAnsi="Times New Roman" w:cs="Times New Roman"/>
        </w:rPr>
        <w:t xml:space="preserve"> </w:t>
      </w:r>
      <w:r w:rsidR="00CF144A" w:rsidRPr="00D56B97">
        <w:rPr>
          <w:rFonts w:ascii="Times New Roman" w:hAnsi="Times New Roman" w:cs="Times New Roman"/>
        </w:rPr>
        <w:t>may be</w:t>
      </w:r>
      <w:r w:rsidR="003D02AB" w:rsidRPr="00D56B97">
        <w:rPr>
          <w:rFonts w:ascii="Times New Roman" w:hAnsi="Times New Roman" w:cs="Times New Roman"/>
        </w:rPr>
        <w:t xml:space="preserve"> </w:t>
      </w:r>
      <w:r w:rsidR="00B87DA5" w:rsidRPr="00D56B97">
        <w:rPr>
          <w:rFonts w:ascii="Times New Roman" w:hAnsi="Times New Roman" w:cs="Times New Roman"/>
        </w:rPr>
        <w:t>commi</w:t>
      </w:r>
      <w:r w:rsidRPr="00D56B97">
        <w:rPr>
          <w:rFonts w:ascii="Times New Roman" w:hAnsi="Times New Roman" w:cs="Times New Roman"/>
        </w:rPr>
        <w:t>tted to a universal</w:t>
      </w:r>
      <w:r w:rsidR="00E253D5" w:rsidRPr="00D56B97">
        <w:rPr>
          <w:rFonts w:ascii="Times New Roman" w:hAnsi="Times New Roman" w:cs="Times New Roman"/>
        </w:rPr>
        <w:t xml:space="preserve"> account</w:t>
      </w:r>
      <w:r w:rsidRPr="00D56B97">
        <w:rPr>
          <w:rFonts w:ascii="Times New Roman" w:hAnsi="Times New Roman" w:cs="Times New Roman"/>
        </w:rPr>
        <w:t xml:space="preserve"> of autonomy</w:t>
      </w:r>
      <w:r w:rsidR="00E253D5" w:rsidRPr="00D56B97">
        <w:rPr>
          <w:rFonts w:ascii="Times New Roman" w:hAnsi="Times New Roman" w:cs="Times New Roman"/>
        </w:rPr>
        <w:t>.</w:t>
      </w:r>
      <w:r w:rsidR="003D02AB" w:rsidRPr="00D56B97">
        <w:rPr>
          <w:rFonts w:ascii="Times New Roman" w:hAnsi="Times New Roman" w:cs="Times New Roman"/>
        </w:rPr>
        <w:t xml:space="preserve"> </w:t>
      </w:r>
      <w:r w:rsidR="00E253D5" w:rsidRPr="00D56B97">
        <w:rPr>
          <w:rFonts w:ascii="Times New Roman" w:hAnsi="Times New Roman" w:cs="Times New Roman"/>
        </w:rPr>
        <w:t>I</w:t>
      </w:r>
      <w:r w:rsidR="003D02AB" w:rsidRPr="00D56B97">
        <w:rPr>
          <w:rFonts w:ascii="Times New Roman" w:hAnsi="Times New Roman" w:cs="Times New Roman"/>
        </w:rPr>
        <w:t>n</w:t>
      </w:r>
      <w:r w:rsidR="00B87DA5" w:rsidRPr="00D56B97">
        <w:rPr>
          <w:rFonts w:ascii="Times New Roman" w:hAnsi="Times New Roman" w:cs="Times New Roman"/>
        </w:rPr>
        <w:t xml:space="preserve"> this</w:t>
      </w:r>
      <w:r w:rsidR="00E253D5" w:rsidRPr="00D56B97">
        <w:rPr>
          <w:rFonts w:ascii="Times New Roman" w:hAnsi="Times New Roman" w:cs="Times New Roman"/>
        </w:rPr>
        <w:t>,</w:t>
      </w:r>
      <w:r w:rsidR="003D02AB" w:rsidRPr="00D56B97">
        <w:rPr>
          <w:rFonts w:ascii="Times New Roman" w:hAnsi="Times New Roman" w:cs="Times New Roman"/>
        </w:rPr>
        <w:t xml:space="preserve"> </w:t>
      </w:r>
      <w:r w:rsidR="00E253D5" w:rsidRPr="00D56B97">
        <w:rPr>
          <w:rFonts w:ascii="Times New Roman" w:hAnsi="Times New Roman" w:cs="Times New Roman"/>
        </w:rPr>
        <w:t>everyone, regardless of mental capacity,</w:t>
      </w:r>
      <w:r w:rsidR="003D02AB" w:rsidRPr="00D56B97">
        <w:rPr>
          <w:rFonts w:ascii="Times New Roman" w:hAnsi="Times New Roman" w:cs="Times New Roman"/>
        </w:rPr>
        <w:t xml:space="preserve"> alw</w:t>
      </w:r>
      <w:r w:rsidR="00E253D5" w:rsidRPr="00D56B97">
        <w:rPr>
          <w:rFonts w:ascii="Times New Roman" w:hAnsi="Times New Roman" w:cs="Times New Roman"/>
        </w:rPr>
        <w:t xml:space="preserve">ays retains </w:t>
      </w:r>
      <w:r w:rsidR="00701E14" w:rsidRPr="00D56B97">
        <w:rPr>
          <w:rFonts w:ascii="Times New Roman" w:hAnsi="Times New Roman" w:cs="Times New Roman"/>
        </w:rPr>
        <w:t>enough autonomy to restrain the state from acting against their will</w:t>
      </w:r>
      <w:r w:rsidRPr="00D56B97">
        <w:rPr>
          <w:rFonts w:ascii="Times New Roman" w:hAnsi="Times New Roman" w:cs="Times New Roman"/>
        </w:rPr>
        <w:t xml:space="preserve">. </w:t>
      </w:r>
      <w:r w:rsidR="002A2FEF" w:rsidRPr="00D56B97">
        <w:rPr>
          <w:rFonts w:ascii="Times New Roman" w:hAnsi="Times New Roman" w:cs="Times New Roman"/>
        </w:rPr>
        <w:t>D</w:t>
      </w:r>
      <w:r w:rsidR="00E253D5" w:rsidRPr="00D56B97">
        <w:rPr>
          <w:rFonts w:ascii="Times New Roman" w:hAnsi="Times New Roman" w:cs="Times New Roman"/>
        </w:rPr>
        <w:t>ecisions must be made on the ‘best interpretation</w:t>
      </w:r>
      <w:r w:rsidR="002A2FEF" w:rsidRPr="00D56B97">
        <w:rPr>
          <w:rFonts w:ascii="Times New Roman" w:hAnsi="Times New Roman" w:cs="Times New Roman"/>
        </w:rPr>
        <w:t>’</w:t>
      </w:r>
      <w:r w:rsidR="00E253D5" w:rsidRPr="00D56B97">
        <w:rPr>
          <w:rFonts w:ascii="Times New Roman" w:hAnsi="Times New Roman" w:cs="Times New Roman"/>
        </w:rPr>
        <w:t xml:space="preserve"> of</w:t>
      </w:r>
      <w:r w:rsidR="002A2FEF" w:rsidRPr="00D56B97">
        <w:rPr>
          <w:rFonts w:ascii="Times New Roman" w:hAnsi="Times New Roman" w:cs="Times New Roman"/>
        </w:rPr>
        <w:t xml:space="preserve"> a person’s</w:t>
      </w:r>
      <w:r w:rsidR="00E253D5" w:rsidRPr="00D56B97">
        <w:rPr>
          <w:rFonts w:ascii="Times New Roman" w:hAnsi="Times New Roman" w:cs="Times New Roman"/>
        </w:rPr>
        <w:t xml:space="preserve"> </w:t>
      </w:r>
      <w:r w:rsidR="002A2FEF" w:rsidRPr="00D56B97">
        <w:rPr>
          <w:rFonts w:ascii="Times New Roman" w:hAnsi="Times New Roman" w:cs="Times New Roman"/>
        </w:rPr>
        <w:t>‘</w:t>
      </w:r>
      <w:r w:rsidR="00E253D5" w:rsidRPr="00D56B97">
        <w:rPr>
          <w:rFonts w:ascii="Times New Roman" w:hAnsi="Times New Roman" w:cs="Times New Roman"/>
        </w:rPr>
        <w:t>will and preferences’</w:t>
      </w:r>
      <w:r w:rsidR="002A2FEF" w:rsidRPr="00D56B97">
        <w:rPr>
          <w:rFonts w:ascii="Times New Roman" w:hAnsi="Times New Roman" w:cs="Times New Roman"/>
        </w:rPr>
        <w:t>:</w:t>
      </w:r>
      <w:r w:rsidR="00E253D5" w:rsidRPr="00D56B97">
        <w:rPr>
          <w:rStyle w:val="FootnoteReference"/>
          <w:rFonts w:ascii="Times New Roman" w:hAnsi="Times New Roman" w:cs="Times New Roman"/>
        </w:rPr>
        <w:footnoteReference w:id="177"/>
      </w:r>
      <w:r w:rsidR="00E253D5" w:rsidRPr="00D56B97">
        <w:rPr>
          <w:rFonts w:ascii="Times New Roman" w:hAnsi="Times New Roman" w:cs="Times New Roman"/>
        </w:rPr>
        <w:t xml:space="preserve"> a standard that, at least formally, ascribes </w:t>
      </w:r>
      <w:r w:rsidR="00E07DC8" w:rsidRPr="00D56B97">
        <w:rPr>
          <w:rFonts w:ascii="Times New Roman" w:hAnsi="Times New Roman" w:cs="Times New Roman"/>
        </w:rPr>
        <w:t>autonomy even to those who cannot c</w:t>
      </w:r>
      <w:r w:rsidRPr="00D56B97">
        <w:rPr>
          <w:rFonts w:ascii="Times New Roman" w:hAnsi="Times New Roman" w:cs="Times New Roman"/>
        </w:rPr>
        <w:t>ommunicate</w:t>
      </w:r>
      <w:r w:rsidR="00E07DC8" w:rsidRPr="00D56B97">
        <w:rPr>
          <w:rFonts w:ascii="Times New Roman" w:hAnsi="Times New Roman" w:cs="Times New Roman"/>
        </w:rPr>
        <w:t xml:space="preserve">. </w:t>
      </w:r>
      <w:r w:rsidR="0075264A" w:rsidRPr="00D56B97">
        <w:rPr>
          <w:rFonts w:ascii="Times New Roman" w:hAnsi="Times New Roman" w:cs="Times New Roman"/>
        </w:rPr>
        <w:t>Commentator</w:t>
      </w:r>
      <w:r w:rsidR="00EF4500" w:rsidRPr="00D56B97">
        <w:rPr>
          <w:rFonts w:ascii="Times New Roman" w:hAnsi="Times New Roman" w:cs="Times New Roman"/>
        </w:rPr>
        <w:t>s have</w:t>
      </w:r>
      <w:r w:rsidR="001A6DF6" w:rsidRPr="00D56B97">
        <w:rPr>
          <w:rFonts w:ascii="Times New Roman" w:hAnsi="Times New Roman" w:cs="Times New Roman"/>
        </w:rPr>
        <w:t xml:space="preserve"> doubted how ‘realistic’ the universal</w:t>
      </w:r>
      <w:r w:rsidR="0075264A" w:rsidRPr="00D56B97">
        <w:rPr>
          <w:rFonts w:ascii="Times New Roman" w:hAnsi="Times New Roman" w:cs="Times New Roman"/>
        </w:rPr>
        <w:t xml:space="preserve"> </w:t>
      </w:r>
      <w:r w:rsidR="004E32C3" w:rsidRPr="00D56B97">
        <w:rPr>
          <w:rFonts w:ascii="Times New Roman" w:hAnsi="Times New Roman" w:cs="Times New Roman"/>
        </w:rPr>
        <w:t>account is,</w:t>
      </w:r>
      <w:r w:rsidR="0075264A" w:rsidRPr="00D56B97">
        <w:rPr>
          <w:rStyle w:val="FootnoteReference"/>
          <w:rFonts w:ascii="Times New Roman" w:hAnsi="Times New Roman" w:cs="Times New Roman"/>
        </w:rPr>
        <w:footnoteReference w:id="178"/>
      </w:r>
      <w:r w:rsidR="00176621" w:rsidRPr="00D56B97">
        <w:rPr>
          <w:rFonts w:ascii="Times New Roman" w:hAnsi="Times New Roman" w:cs="Times New Roman"/>
        </w:rPr>
        <w:t xml:space="preserve"> </w:t>
      </w:r>
      <w:r w:rsidR="00204A16" w:rsidRPr="00D56B97">
        <w:rPr>
          <w:rFonts w:ascii="Times New Roman" w:hAnsi="Times New Roman" w:cs="Times New Roman"/>
        </w:rPr>
        <w:t xml:space="preserve">and </w:t>
      </w:r>
      <w:r w:rsidR="001521F8" w:rsidRPr="00D56B97">
        <w:rPr>
          <w:rFonts w:ascii="Times New Roman" w:hAnsi="Times New Roman" w:cs="Times New Roman"/>
        </w:rPr>
        <w:t>it is</w:t>
      </w:r>
      <w:r w:rsidR="00204A16" w:rsidRPr="00D56B97">
        <w:rPr>
          <w:rFonts w:ascii="Times New Roman" w:hAnsi="Times New Roman" w:cs="Times New Roman"/>
        </w:rPr>
        <w:t xml:space="preserve"> arguably</w:t>
      </w:r>
      <w:r w:rsidR="001521F8" w:rsidRPr="00D56B97">
        <w:rPr>
          <w:rFonts w:ascii="Times New Roman" w:hAnsi="Times New Roman" w:cs="Times New Roman"/>
        </w:rPr>
        <w:t xml:space="preserve"> motivated by analysis that incorrectly treats the gatekeeper account as literally true.</w:t>
      </w:r>
      <w:r w:rsidR="0005512F" w:rsidRPr="00D56B97">
        <w:rPr>
          <w:rStyle w:val="FootnoteReference"/>
          <w:rFonts w:ascii="Times New Roman" w:hAnsi="Times New Roman" w:cs="Times New Roman"/>
        </w:rPr>
        <w:footnoteReference w:id="179"/>
      </w:r>
      <w:r w:rsidR="0005512F" w:rsidRPr="00D56B97">
        <w:rPr>
          <w:rFonts w:ascii="Times New Roman" w:hAnsi="Times New Roman" w:cs="Times New Roman"/>
        </w:rPr>
        <w:t xml:space="preserve"> </w:t>
      </w:r>
      <w:r w:rsidR="001521F8" w:rsidRPr="00D56B97">
        <w:rPr>
          <w:rFonts w:ascii="Times New Roman" w:hAnsi="Times New Roman" w:cs="Times New Roman"/>
        </w:rPr>
        <w:t>Nevertheless,</w:t>
      </w:r>
      <w:r w:rsidR="00176621" w:rsidRPr="00D56B97">
        <w:rPr>
          <w:rFonts w:ascii="Times New Roman" w:hAnsi="Times New Roman" w:cs="Times New Roman"/>
        </w:rPr>
        <w:t xml:space="preserve"> it</w:t>
      </w:r>
      <w:r w:rsidR="009A1A10" w:rsidRPr="00D56B97">
        <w:rPr>
          <w:rFonts w:ascii="Times New Roman" w:hAnsi="Times New Roman" w:cs="Times New Roman"/>
        </w:rPr>
        <w:t xml:space="preserve"> captures</w:t>
      </w:r>
      <w:r w:rsidR="00493906" w:rsidRPr="00D56B97">
        <w:rPr>
          <w:rFonts w:ascii="Times New Roman" w:hAnsi="Times New Roman" w:cs="Times New Roman"/>
        </w:rPr>
        <w:t xml:space="preserve"> a significant point</w:t>
      </w:r>
      <w:r w:rsidR="00EF4500" w:rsidRPr="00D56B97">
        <w:rPr>
          <w:rFonts w:ascii="Times New Roman" w:hAnsi="Times New Roman" w:cs="Times New Roman"/>
        </w:rPr>
        <w:t>.</w:t>
      </w:r>
      <w:r w:rsidR="00176621" w:rsidRPr="00D56B97">
        <w:rPr>
          <w:rFonts w:ascii="Times New Roman" w:hAnsi="Times New Roman" w:cs="Times New Roman"/>
        </w:rPr>
        <w:t xml:space="preserve"> It echoes the affirmation found in Kant</w:t>
      </w:r>
      <w:r w:rsidR="007C2E0F" w:rsidRPr="00D56B97">
        <w:rPr>
          <w:rFonts w:ascii="Times New Roman" w:hAnsi="Times New Roman" w:cs="Times New Roman"/>
        </w:rPr>
        <w:t xml:space="preserve"> that all humans are ‘endowed with freedom’</w:t>
      </w:r>
      <w:r w:rsidR="007C2E0F" w:rsidRPr="00D56B97">
        <w:rPr>
          <w:rStyle w:val="FootnoteReference"/>
          <w:rFonts w:ascii="Times New Roman" w:hAnsi="Times New Roman" w:cs="Times New Roman"/>
        </w:rPr>
        <w:footnoteReference w:id="180"/>
      </w:r>
      <w:r w:rsidR="00D36488" w:rsidRPr="00D56B97">
        <w:rPr>
          <w:rFonts w:ascii="Times New Roman" w:hAnsi="Times New Roman" w:cs="Times New Roman"/>
        </w:rPr>
        <w:t xml:space="preserve"> and in Article 1 of the Universal Declaration of Human Rights that ‘</w:t>
      </w:r>
      <w:r w:rsidR="005B4CA0" w:rsidRPr="00D56B97">
        <w:rPr>
          <w:rFonts w:ascii="Times New Roman" w:hAnsi="Times New Roman" w:cs="Times New Roman"/>
        </w:rPr>
        <w:t>a</w:t>
      </w:r>
      <w:r w:rsidR="00D36488" w:rsidRPr="00D56B97">
        <w:rPr>
          <w:rFonts w:ascii="Times New Roman" w:hAnsi="Times New Roman" w:cs="Times New Roman"/>
        </w:rPr>
        <w:t>ll human beings …are endowed with reason and conscience</w:t>
      </w:r>
      <w:r w:rsidR="004013E9" w:rsidRPr="00D56B97">
        <w:rPr>
          <w:rFonts w:ascii="Times New Roman" w:hAnsi="Times New Roman" w:cs="Times New Roman"/>
        </w:rPr>
        <w:t>’.</w:t>
      </w:r>
      <w:r w:rsidR="004013E9" w:rsidRPr="00D56B97">
        <w:rPr>
          <w:rStyle w:val="FootnoteReference"/>
          <w:rFonts w:ascii="Times New Roman" w:hAnsi="Times New Roman" w:cs="Times New Roman"/>
        </w:rPr>
        <w:footnoteReference w:id="181"/>
      </w:r>
      <w:r w:rsidR="005B4CA0" w:rsidRPr="00D56B97">
        <w:rPr>
          <w:rFonts w:ascii="Times New Roman" w:hAnsi="Times New Roman" w:cs="Times New Roman"/>
        </w:rPr>
        <w:t xml:space="preserve"> The </w:t>
      </w:r>
      <w:r w:rsidR="00A677EA" w:rsidRPr="00D56B97">
        <w:rPr>
          <w:rFonts w:ascii="Times New Roman" w:hAnsi="Times New Roman" w:cs="Times New Roman"/>
        </w:rPr>
        <w:t>central insight of</w:t>
      </w:r>
      <w:r w:rsidR="005B4CA0" w:rsidRPr="00D56B97">
        <w:rPr>
          <w:rFonts w:ascii="Times New Roman" w:hAnsi="Times New Roman" w:cs="Times New Roman"/>
        </w:rPr>
        <w:t xml:space="preserve"> the un</w:t>
      </w:r>
      <w:r w:rsidR="00493906" w:rsidRPr="00D56B97">
        <w:rPr>
          <w:rFonts w:ascii="Times New Roman" w:hAnsi="Times New Roman" w:cs="Times New Roman"/>
        </w:rPr>
        <w:t>iversal account is that to deny</w:t>
      </w:r>
      <w:r w:rsidR="005B4CA0" w:rsidRPr="00D56B97">
        <w:rPr>
          <w:rFonts w:ascii="Times New Roman" w:hAnsi="Times New Roman" w:cs="Times New Roman"/>
        </w:rPr>
        <w:t xml:space="preserve"> </w:t>
      </w:r>
      <w:r w:rsidR="00701E14" w:rsidRPr="00D56B97">
        <w:rPr>
          <w:rFonts w:ascii="Times New Roman" w:hAnsi="Times New Roman" w:cs="Times New Roman"/>
        </w:rPr>
        <w:t xml:space="preserve">that </w:t>
      </w:r>
      <w:r w:rsidR="005B4CA0" w:rsidRPr="00D56B97">
        <w:rPr>
          <w:rFonts w:ascii="Times New Roman" w:hAnsi="Times New Roman" w:cs="Times New Roman"/>
        </w:rPr>
        <w:t>someone is capable of choice</w:t>
      </w:r>
      <w:r w:rsidR="00493906" w:rsidRPr="00D56B97">
        <w:rPr>
          <w:rFonts w:ascii="Times New Roman" w:hAnsi="Times New Roman" w:cs="Times New Roman"/>
        </w:rPr>
        <w:t>, even only for one decision or</w:t>
      </w:r>
      <w:r w:rsidR="005B4CA0" w:rsidRPr="00D56B97">
        <w:rPr>
          <w:rFonts w:ascii="Times New Roman" w:hAnsi="Times New Roman" w:cs="Times New Roman"/>
        </w:rPr>
        <w:t xml:space="preserve"> in a relati</w:t>
      </w:r>
      <w:r w:rsidR="00493906" w:rsidRPr="00D56B97">
        <w:rPr>
          <w:rFonts w:ascii="Times New Roman" w:hAnsi="Times New Roman" w:cs="Times New Roman"/>
        </w:rPr>
        <w:t xml:space="preserve">vely small way, is to deny </w:t>
      </w:r>
      <w:r w:rsidR="005B4CA0" w:rsidRPr="00D56B97">
        <w:rPr>
          <w:rFonts w:ascii="Times New Roman" w:hAnsi="Times New Roman" w:cs="Times New Roman"/>
        </w:rPr>
        <w:t xml:space="preserve">they have something </w:t>
      </w:r>
      <w:r w:rsidR="00C724F5" w:rsidRPr="00D56B97">
        <w:rPr>
          <w:rFonts w:ascii="Times New Roman" w:hAnsi="Times New Roman" w:cs="Times New Roman"/>
        </w:rPr>
        <w:t>often</w:t>
      </w:r>
      <w:r w:rsidR="005B4CA0" w:rsidRPr="00D56B97">
        <w:rPr>
          <w:rFonts w:ascii="Times New Roman" w:hAnsi="Times New Roman" w:cs="Times New Roman"/>
        </w:rPr>
        <w:t xml:space="preserve"> considered essential to being a full human being. </w:t>
      </w:r>
      <w:r w:rsidR="006F4130" w:rsidRPr="00D56B97">
        <w:rPr>
          <w:rFonts w:ascii="Times New Roman" w:hAnsi="Times New Roman" w:cs="Times New Roman"/>
        </w:rPr>
        <w:t>Given the lo</w:t>
      </w:r>
      <w:r w:rsidR="00CE4A68" w:rsidRPr="00D56B97">
        <w:rPr>
          <w:rFonts w:ascii="Times New Roman" w:hAnsi="Times New Roman" w:cs="Times New Roman"/>
        </w:rPr>
        <w:t>ng history of marginalisation faced by</w:t>
      </w:r>
      <w:r w:rsidR="006F4130" w:rsidRPr="00D56B97">
        <w:rPr>
          <w:rFonts w:ascii="Times New Roman" w:hAnsi="Times New Roman" w:cs="Times New Roman"/>
        </w:rPr>
        <w:t xml:space="preserve"> those with mental disabilities</w:t>
      </w:r>
      <w:r w:rsidR="00701E14" w:rsidRPr="00D56B97">
        <w:rPr>
          <w:rFonts w:ascii="Times New Roman" w:hAnsi="Times New Roman" w:cs="Times New Roman"/>
        </w:rPr>
        <w:t>,</w:t>
      </w:r>
      <w:r w:rsidR="006F4130" w:rsidRPr="00D56B97">
        <w:rPr>
          <w:rFonts w:ascii="Times New Roman" w:hAnsi="Times New Roman" w:cs="Times New Roman"/>
        </w:rPr>
        <w:t xml:space="preserve"> </w:t>
      </w:r>
      <w:r w:rsidR="00B96D05" w:rsidRPr="00D56B97">
        <w:rPr>
          <w:rFonts w:ascii="Times New Roman" w:hAnsi="Times New Roman" w:cs="Times New Roman"/>
        </w:rPr>
        <w:t>this concern</w:t>
      </w:r>
      <w:r w:rsidR="005B4CA0" w:rsidRPr="00D56B97">
        <w:rPr>
          <w:rFonts w:ascii="Times New Roman" w:hAnsi="Times New Roman" w:cs="Times New Roman"/>
        </w:rPr>
        <w:t xml:space="preserve"> should be taken seri</w:t>
      </w:r>
      <w:r w:rsidR="00CE4A68" w:rsidRPr="00D56B97">
        <w:rPr>
          <w:rFonts w:ascii="Times New Roman" w:hAnsi="Times New Roman" w:cs="Times New Roman"/>
        </w:rPr>
        <w:t>ously</w:t>
      </w:r>
      <w:r w:rsidR="005B4CA0" w:rsidRPr="00D56B97">
        <w:rPr>
          <w:rFonts w:ascii="Times New Roman" w:hAnsi="Times New Roman" w:cs="Times New Roman"/>
        </w:rPr>
        <w:t>.</w:t>
      </w:r>
      <w:r w:rsidR="006F4130" w:rsidRPr="00D56B97">
        <w:rPr>
          <w:rFonts w:ascii="Times New Roman" w:hAnsi="Times New Roman" w:cs="Times New Roman"/>
        </w:rPr>
        <w:t xml:space="preserve"> </w:t>
      </w:r>
      <w:r w:rsidR="00C100B0" w:rsidRPr="00D56B97">
        <w:rPr>
          <w:rFonts w:ascii="Times New Roman" w:hAnsi="Times New Roman" w:cs="Times New Roman"/>
        </w:rPr>
        <w:t>Nevertheless, the universal account makes</w:t>
      </w:r>
      <w:r w:rsidR="00437437" w:rsidRPr="00D56B97">
        <w:rPr>
          <w:rFonts w:ascii="Times New Roman" w:hAnsi="Times New Roman" w:cs="Times New Roman"/>
        </w:rPr>
        <w:t xml:space="preserve"> </w:t>
      </w:r>
      <w:r w:rsidR="00C100B0" w:rsidRPr="00D56B97">
        <w:rPr>
          <w:rFonts w:ascii="Times New Roman" w:hAnsi="Times New Roman" w:cs="Times New Roman"/>
        </w:rPr>
        <w:t>the same error as</w:t>
      </w:r>
      <w:r w:rsidR="00050704" w:rsidRPr="00D56B97">
        <w:rPr>
          <w:rFonts w:ascii="Times New Roman" w:hAnsi="Times New Roman" w:cs="Times New Roman"/>
        </w:rPr>
        <w:t xml:space="preserve"> the</w:t>
      </w:r>
      <w:r w:rsidR="00C100B0" w:rsidRPr="00D56B97">
        <w:rPr>
          <w:rFonts w:ascii="Times New Roman" w:hAnsi="Times New Roman" w:cs="Times New Roman"/>
        </w:rPr>
        <w:t xml:space="preserve"> three acco</w:t>
      </w:r>
      <w:r w:rsidR="0031795F" w:rsidRPr="00D56B97">
        <w:rPr>
          <w:rFonts w:ascii="Times New Roman" w:hAnsi="Times New Roman" w:cs="Times New Roman"/>
        </w:rPr>
        <w:t>unts found in domestic law. It</w:t>
      </w:r>
      <w:r w:rsidR="00C724F5" w:rsidRPr="00D56B97">
        <w:rPr>
          <w:rFonts w:ascii="Times New Roman" w:hAnsi="Times New Roman" w:cs="Times New Roman"/>
        </w:rPr>
        <w:t xml:space="preserve"> assumes</w:t>
      </w:r>
      <w:r w:rsidR="00C100B0" w:rsidRPr="00D56B97">
        <w:rPr>
          <w:rFonts w:ascii="Times New Roman" w:hAnsi="Times New Roman" w:cs="Times New Roman"/>
        </w:rPr>
        <w:t xml:space="preserve"> that</w:t>
      </w:r>
      <w:r w:rsidR="00B34767" w:rsidRPr="00D56B97">
        <w:rPr>
          <w:rFonts w:ascii="Times New Roman" w:hAnsi="Times New Roman" w:cs="Times New Roman"/>
        </w:rPr>
        <w:t xml:space="preserve"> a </w:t>
      </w:r>
      <w:r w:rsidR="00C100B0" w:rsidRPr="00D56B97">
        <w:rPr>
          <w:rFonts w:ascii="Times New Roman" w:hAnsi="Times New Roman" w:cs="Times New Roman"/>
        </w:rPr>
        <w:t>‘single plain litmus-paper test’</w:t>
      </w:r>
      <w:r w:rsidR="00C100B0" w:rsidRPr="00D56B97">
        <w:rPr>
          <w:rStyle w:val="FootnoteReference"/>
          <w:rFonts w:ascii="Times New Roman" w:hAnsi="Times New Roman" w:cs="Times New Roman"/>
        </w:rPr>
        <w:footnoteReference w:id="182"/>
      </w:r>
      <w:r w:rsidR="00C100B0" w:rsidRPr="00D56B97">
        <w:rPr>
          <w:rFonts w:ascii="Times New Roman" w:hAnsi="Times New Roman" w:cs="Times New Roman"/>
        </w:rPr>
        <w:t xml:space="preserve"> can capture all the relevant features of the concept of autonomy. </w:t>
      </w:r>
    </w:p>
    <w:p w14:paraId="7493C8B2" w14:textId="57D73B12" w:rsidR="00C871C5" w:rsidRPr="00D56B97" w:rsidRDefault="00F7737F" w:rsidP="00021A54">
      <w:pPr>
        <w:spacing w:line="480" w:lineRule="auto"/>
        <w:ind w:firstLine="720"/>
        <w:jc w:val="both"/>
        <w:rPr>
          <w:rFonts w:ascii="Times New Roman" w:hAnsi="Times New Roman" w:cs="Times New Roman"/>
        </w:rPr>
      </w:pPr>
      <w:r w:rsidRPr="00D56B97">
        <w:rPr>
          <w:rFonts w:ascii="Times New Roman" w:hAnsi="Times New Roman" w:cs="Times New Roman"/>
        </w:rPr>
        <w:lastRenderedPageBreak/>
        <w:t xml:space="preserve">The Mental Capacity Act was to </w:t>
      </w:r>
      <w:r w:rsidR="0044393B" w:rsidRPr="00D56B97">
        <w:rPr>
          <w:rFonts w:ascii="Times New Roman" w:hAnsi="Times New Roman" w:cs="Times New Roman"/>
        </w:rPr>
        <w:t>some</w:t>
      </w:r>
      <w:r w:rsidR="00137526" w:rsidRPr="00D56B97">
        <w:rPr>
          <w:rFonts w:ascii="Times New Roman" w:hAnsi="Times New Roman" w:cs="Times New Roman"/>
        </w:rPr>
        <w:t xml:space="preserve"> extent</w:t>
      </w:r>
      <w:r w:rsidR="00B34767" w:rsidRPr="00D56B97">
        <w:rPr>
          <w:rFonts w:ascii="Times New Roman" w:hAnsi="Times New Roman" w:cs="Times New Roman"/>
        </w:rPr>
        <w:t xml:space="preserve"> </w:t>
      </w:r>
      <w:r w:rsidR="00C100B0" w:rsidRPr="00D56B97">
        <w:rPr>
          <w:rFonts w:ascii="Times New Roman" w:hAnsi="Times New Roman" w:cs="Times New Roman"/>
        </w:rPr>
        <w:t>motivated by a similarly reductive account</w:t>
      </w:r>
      <w:r w:rsidR="00B34767" w:rsidRPr="00D56B97">
        <w:rPr>
          <w:rFonts w:ascii="Times New Roman" w:hAnsi="Times New Roman" w:cs="Times New Roman"/>
        </w:rPr>
        <w:t xml:space="preserve"> of the relationship between autonomy and capacity</w:t>
      </w:r>
      <w:r w:rsidR="00C100B0" w:rsidRPr="00D56B97">
        <w:rPr>
          <w:rFonts w:ascii="Times New Roman" w:hAnsi="Times New Roman" w:cs="Times New Roman"/>
        </w:rPr>
        <w:t>, the gatekeeper one</w:t>
      </w:r>
      <w:r w:rsidR="003C13E9">
        <w:rPr>
          <w:rFonts w:ascii="Times New Roman" w:hAnsi="Times New Roman" w:cs="Times New Roman"/>
        </w:rPr>
        <w:t>,</w:t>
      </w:r>
      <w:r w:rsidR="003C13E9" w:rsidRPr="00D56B97">
        <w:rPr>
          <w:rStyle w:val="FootnoteReference"/>
          <w:rFonts w:ascii="Times New Roman" w:hAnsi="Times New Roman" w:cs="Times New Roman"/>
        </w:rPr>
        <w:footnoteReference w:id="183"/>
      </w:r>
      <w:r w:rsidR="003C13E9" w:rsidRPr="00D56B97">
        <w:rPr>
          <w:rFonts w:ascii="Times New Roman" w:hAnsi="Times New Roman" w:cs="Times New Roman"/>
        </w:rPr>
        <w:t xml:space="preserve"> </w:t>
      </w:r>
      <w:r w:rsidR="003C13E9">
        <w:rPr>
          <w:rFonts w:ascii="Times New Roman" w:hAnsi="Times New Roman" w:cs="Times New Roman"/>
        </w:rPr>
        <w:t>but those</w:t>
      </w:r>
      <w:r w:rsidR="003C13E9" w:rsidRPr="00D56B97">
        <w:rPr>
          <w:rFonts w:ascii="Times New Roman" w:hAnsi="Times New Roman" w:cs="Times New Roman"/>
        </w:rPr>
        <w:t xml:space="preserve"> </w:t>
      </w:r>
      <w:r w:rsidR="00C724F5" w:rsidRPr="00D56B97">
        <w:rPr>
          <w:rFonts w:ascii="Times New Roman" w:hAnsi="Times New Roman" w:cs="Times New Roman"/>
        </w:rPr>
        <w:t>ambitions of laying down a simple rule</w:t>
      </w:r>
      <w:r w:rsidR="00AB4F24" w:rsidRPr="00D56B97">
        <w:rPr>
          <w:rFonts w:ascii="Times New Roman" w:hAnsi="Times New Roman" w:cs="Times New Roman"/>
        </w:rPr>
        <w:t xml:space="preserve"> did not survive even a few years contact</w:t>
      </w:r>
      <w:r w:rsidR="00C724F5" w:rsidRPr="00D56B97">
        <w:rPr>
          <w:rFonts w:ascii="Times New Roman" w:hAnsi="Times New Roman" w:cs="Times New Roman"/>
        </w:rPr>
        <w:t xml:space="preserve"> with reality. They</w:t>
      </w:r>
      <w:r w:rsidR="00AB4F24" w:rsidRPr="00D56B97">
        <w:rPr>
          <w:rFonts w:ascii="Times New Roman" w:hAnsi="Times New Roman" w:cs="Times New Roman"/>
        </w:rPr>
        <w:t xml:space="preserve"> did not </w:t>
      </w:r>
      <w:r w:rsidR="00B34767" w:rsidRPr="00D56B97">
        <w:rPr>
          <w:rFonts w:ascii="Times New Roman" w:hAnsi="Times New Roman" w:cs="Times New Roman"/>
        </w:rPr>
        <w:t>deserve</w:t>
      </w:r>
      <w:r w:rsidR="00AB4F24" w:rsidRPr="00D56B97">
        <w:rPr>
          <w:rFonts w:ascii="Times New Roman" w:hAnsi="Times New Roman" w:cs="Times New Roman"/>
        </w:rPr>
        <w:t xml:space="preserve"> </w:t>
      </w:r>
      <w:r w:rsidR="00B34767" w:rsidRPr="00D56B97">
        <w:rPr>
          <w:rFonts w:ascii="Times New Roman" w:hAnsi="Times New Roman" w:cs="Times New Roman"/>
        </w:rPr>
        <w:t>t</w:t>
      </w:r>
      <w:r w:rsidR="00C724F5" w:rsidRPr="00D56B97">
        <w:rPr>
          <w:rFonts w:ascii="Times New Roman" w:hAnsi="Times New Roman" w:cs="Times New Roman"/>
        </w:rPr>
        <w:t>o. Issues of voluntariness</w:t>
      </w:r>
      <w:r w:rsidR="00AB4F24" w:rsidRPr="00D56B97">
        <w:rPr>
          <w:rFonts w:ascii="Times New Roman" w:hAnsi="Times New Roman" w:cs="Times New Roman"/>
        </w:rPr>
        <w:t>, subjectivity</w:t>
      </w:r>
      <w:r w:rsidR="002961B5" w:rsidRPr="00D56B97">
        <w:rPr>
          <w:rFonts w:ascii="Times New Roman" w:hAnsi="Times New Roman" w:cs="Times New Roman"/>
        </w:rPr>
        <w:t>,</w:t>
      </w:r>
      <w:r w:rsidR="00AB4F24" w:rsidRPr="00D56B97">
        <w:rPr>
          <w:rFonts w:ascii="Times New Roman" w:hAnsi="Times New Roman" w:cs="Times New Roman"/>
        </w:rPr>
        <w:t xml:space="preserve"> and the intelligibility and authenticity of a person’s wishes are important moral concerns; and it </w:t>
      </w:r>
      <w:r w:rsidR="00B34767" w:rsidRPr="00D56B97">
        <w:rPr>
          <w:rFonts w:ascii="Times New Roman" w:hAnsi="Times New Roman" w:cs="Times New Roman"/>
        </w:rPr>
        <w:t>is right that</w:t>
      </w:r>
      <w:r w:rsidR="00AB4F24" w:rsidRPr="00D56B97">
        <w:rPr>
          <w:rFonts w:ascii="Times New Roman" w:hAnsi="Times New Roman" w:cs="Times New Roman"/>
        </w:rPr>
        <w:t xml:space="preserve"> judges have taken them seriously. The issue of personhood, which the UNCRPD makes it almost impossible to avoid, is </w:t>
      </w:r>
      <w:r w:rsidR="007C19D2" w:rsidRPr="00D56B97">
        <w:rPr>
          <w:rFonts w:ascii="Times New Roman" w:hAnsi="Times New Roman" w:cs="Times New Roman"/>
        </w:rPr>
        <w:t>at least as important</w:t>
      </w:r>
      <w:r w:rsidR="00B34767" w:rsidRPr="00D56B97">
        <w:rPr>
          <w:rFonts w:ascii="Times New Roman" w:hAnsi="Times New Roman" w:cs="Times New Roman"/>
        </w:rPr>
        <w:t>. It is, however, no more capable of</w:t>
      </w:r>
      <w:r w:rsidR="0058092D" w:rsidRPr="00D56B97">
        <w:rPr>
          <w:rFonts w:ascii="Times New Roman" w:hAnsi="Times New Roman" w:cs="Times New Roman"/>
        </w:rPr>
        <w:t xml:space="preserve"> </w:t>
      </w:r>
      <w:r w:rsidR="00B34767" w:rsidRPr="00D56B97">
        <w:rPr>
          <w:rFonts w:ascii="Times New Roman" w:hAnsi="Times New Roman" w:cs="Times New Roman"/>
        </w:rPr>
        <w:t xml:space="preserve">articulating </w:t>
      </w:r>
      <w:r w:rsidR="007C19D2" w:rsidRPr="00D56B97">
        <w:rPr>
          <w:rFonts w:ascii="Times New Roman" w:hAnsi="Times New Roman" w:cs="Times New Roman"/>
        </w:rPr>
        <w:t xml:space="preserve">all </w:t>
      </w:r>
      <w:r w:rsidR="00C724F5" w:rsidRPr="00D56B97">
        <w:rPr>
          <w:rFonts w:ascii="Times New Roman" w:hAnsi="Times New Roman" w:cs="Times New Roman"/>
        </w:rPr>
        <w:t xml:space="preserve">the </w:t>
      </w:r>
      <w:r w:rsidR="00B34767" w:rsidRPr="00D56B97">
        <w:rPr>
          <w:rFonts w:ascii="Times New Roman" w:hAnsi="Times New Roman" w:cs="Times New Roman"/>
        </w:rPr>
        <w:t xml:space="preserve">details of </w:t>
      </w:r>
      <w:r w:rsidR="00C724F5" w:rsidRPr="00D56B97">
        <w:rPr>
          <w:rFonts w:ascii="Times New Roman" w:hAnsi="Times New Roman" w:cs="Times New Roman"/>
        </w:rPr>
        <w:t xml:space="preserve">the </w:t>
      </w:r>
      <w:r w:rsidR="00B34767" w:rsidRPr="00D56B97">
        <w:rPr>
          <w:rFonts w:ascii="Times New Roman" w:hAnsi="Times New Roman" w:cs="Times New Roman"/>
        </w:rPr>
        <w:t>complex moral dilemmas</w:t>
      </w:r>
      <w:r w:rsidR="0058092D" w:rsidRPr="00D56B97">
        <w:rPr>
          <w:rFonts w:ascii="Times New Roman" w:hAnsi="Times New Roman" w:cs="Times New Roman"/>
        </w:rPr>
        <w:t xml:space="preserve"> </w:t>
      </w:r>
      <w:r w:rsidR="00C724F5" w:rsidRPr="00D56B97">
        <w:rPr>
          <w:rFonts w:ascii="Times New Roman" w:hAnsi="Times New Roman" w:cs="Times New Roman"/>
        </w:rPr>
        <w:t>that arise across the country</w:t>
      </w:r>
      <w:r w:rsidR="00A96B19" w:rsidRPr="00D56B97">
        <w:rPr>
          <w:rFonts w:ascii="Times New Roman" w:hAnsi="Times New Roman" w:cs="Times New Roman"/>
        </w:rPr>
        <w:t xml:space="preserve"> hundreds of times every </w:t>
      </w:r>
      <w:r w:rsidR="00C724F5" w:rsidRPr="00D56B97">
        <w:rPr>
          <w:rFonts w:ascii="Times New Roman" w:hAnsi="Times New Roman" w:cs="Times New Roman"/>
        </w:rPr>
        <w:t xml:space="preserve">day </w:t>
      </w:r>
      <w:r w:rsidR="00B34767" w:rsidRPr="00D56B97">
        <w:rPr>
          <w:rFonts w:ascii="Times New Roman" w:hAnsi="Times New Roman" w:cs="Times New Roman"/>
        </w:rPr>
        <w:t xml:space="preserve">than the concept of </w:t>
      </w:r>
      <w:r w:rsidR="0058092D" w:rsidRPr="00D56B97">
        <w:rPr>
          <w:rFonts w:ascii="Times New Roman" w:hAnsi="Times New Roman" w:cs="Times New Roman"/>
        </w:rPr>
        <w:t>mental capacity</w:t>
      </w:r>
      <w:r w:rsidR="00C724F5" w:rsidRPr="00D56B97">
        <w:rPr>
          <w:rFonts w:ascii="Times New Roman" w:hAnsi="Times New Roman" w:cs="Times New Roman"/>
        </w:rPr>
        <w:t xml:space="preserve"> has been</w:t>
      </w:r>
      <w:r w:rsidR="00B34767" w:rsidRPr="00D56B97">
        <w:rPr>
          <w:rFonts w:ascii="Times New Roman" w:hAnsi="Times New Roman" w:cs="Times New Roman"/>
        </w:rPr>
        <w:t xml:space="preserve">. </w:t>
      </w:r>
      <w:r w:rsidR="00137526" w:rsidRPr="00D56B97">
        <w:rPr>
          <w:rFonts w:ascii="Times New Roman" w:hAnsi="Times New Roman" w:cs="Times New Roman"/>
        </w:rPr>
        <w:t>L</w:t>
      </w:r>
      <w:r w:rsidR="0058092D" w:rsidRPr="00D56B97">
        <w:rPr>
          <w:rFonts w:ascii="Times New Roman" w:hAnsi="Times New Roman" w:cs="Times New Roman"/>
        </w:rPr>
        <w:t xml:space="preserve">egal </w:t>
      </w:r>
      <w:r w:rsidR="00B34767" w:rsidRPr="00D56B97">
        <w:rPr>
          <w:rFonts w:ascii="Times New Roman" w:hAnsi="Times New Roman" w:cs="Times New Roman"/>
        </w:rPr>
        <w:t>reform</w:t>
      </w:r>
      <w:r w:rsidR="0058092D" w:rsidRPr="00D56B97">
        <w:rPr>
          <w:rFonts w:ascii="Times New Roman" w:hAnsi="Times New Roman" w:cs="Times New Roman"/>
        </w:rPr>
        <w:t>s</w:t>
      </w:r>
      <w:r w:rsidR="00807B8F" w:rsidRPr="00D56B97">
        <w:rPr>
          <w:rFonts w:ascii="Times New Roman" w:hAnsi="Times New Roman" w:cs="Times New Roman"/>
        </w:rPr>
        <w:t xml:space="preserve"> that take</w:t>
      </w:r>
      <w:r w:rsidR="00C724F5" w:rsidRPr="00D56B97">
        <w:rPr>
          <w:rFonts w:ascii="Times New Roman" w:hAnsi="Times New Roman" w:cs="Times New Roman"/>
        </w:rPr>
        <w:t xml:space="preserve"> personhood</w:t>
      </w:r>
      <w:r w:rsidR="0058092D" w:rsidRPr="00D56B97">
        <w:rPr>
          <w:rFonts w:ascii="Times New Roman" w:hAnsi="Times New Roman" w:cs="Times New Roman"/>
        </w:rPr>
        <w:t xml:space="preserve"> </w:t>
      </w:r>
      <w:r w:rsidR="00B34767" w:rsidRPr="00D56B97">
        <w:rPr>
          <w:rFonts w:ascii="Times New Roman" w:hAnsi="Times New Roman" w:cs="Times New Roman"/>
        </w:rPr>
        <w:t xml:space="preserve">seriously may be welcome, but </w:t>
      </w:r>
      <w:r w:rsidR="001B6B2C" w:rsidRPr="00D56B97">
        <w:rPr>
          <w:rFonts w:ascii="Times New Roman" w:hAnsi="Times New Roman" w:cs="Times New Roman"/>
        </w:rPr>
        <w:t>a</w:t>
      </w:r>
      <w:r w:rsidR="00F54B83" w:rsidRPr="00D56B97">
        <w:rPr>
          <w:rFonts w:ascii="Times New Roman" w:hAnsi="Times New Roman" w:cs="Times New Roman"/>
        </w:rPr>
        <w:t>ny</w:t>
      </w:r>
      <w:r w:rsidR="001B6B2C" w:rsidRPr="00D56B97">
        <w:rPr>
          <w:rFonts w:ascii="Times New Roman" w:hAnsi="Times New Roman" w:cs="Times New Roman"/>
        </w:rPr>
        <w:t xml:space="preserve"> </w:t>
      </w:r>
      <w:r w:rsidR="003A1B01" w:rsidRPr="00D56B97">
        <w:rPr>
          <w:rFonts w:ascii="Times New Roman" w:hAnsi="Times New Roman" w:cs="Times New Roman"/>
        </w:rPr>
        <w:t>reform attempting</w:t>
      </w:r>
      <w:r w:rsidR="0058092D" w:rsidRPr="00D56B97">
        <w:rPr>
          <w:rFonts w:ascii="Times New Roman" w:hAnsi="Times New Roman" w:cs="Times New Roman"/>
        </w:rPr>
        <w:t xml:space="preserve"> to </w:t>
      </w:r>
      <w:r w:rsidR="00F54B83" w:rsidRPr="00D56B97">
        <w:rPr>
          <w:rFonts w:ascii="Times New Roman" w:hAnsi="Times New Roman" w:cs="Times New Roman"/>
        </w:rPr>
        <w:t>re</w:t>
      </w:r>
      <w:r w:rsidR="0058092D" w:rsidRPr="00D56B97">
        <w:rPr>
          <w:rFonts w:ascii="Times New Roman" w:hAnsi="Times New Roman" w:cs="Times New Roman"/>
        </w:rPr>
        <w:t>make</w:t>
      </w:r>
      <w:r w:rsidR="00EE5737" w:rsidRPr="00D56B97">
        <w:rPr>
          <w:rFonts w:ascii="Times New Roman" w:hAnsi="Times New Roman" w:cs="Times New Roman"/>
        </w:rPr>
        <w:t xml:space="preserve"> the law</w:t>
      </w:r>
      <w:r w:rsidR="0058092D" w:rsidRPr="00D56B97">
        <w:rPr>
          <w:rFonts w:ascii="Times New Roman" w:hAnsi="Times New Roman" w:cs="Times New Roman"/>
        </w:rPr>
        <w:t xml:space="preserve"> </w:t>
      </w:r>
      <w:r w:rsidR="00F54B83" w:rsidRPr="00D56B97">
        <w:rPr>
          <w:rFonts w:ascii="Times New Roman" w:hAnsi="Times New Roman" w:cs="Times New Roman"/>
        </w:rPr>
        <w:t>around that</w:t>
      </w:r>
      <w:r w:rsidR="00C871C5" w:rsidRPr="00D56B97">
        <w:rPr>
          <w:rFonts w:ascii="Times New Roman" w:hAnsi="Times New Roman" w:cs="Times New Roman"/>
        </w:rPr>
        <w:t xml:space="preserve"> one concept</w:t>
      </w:r>
      <w:r w:rsidR="00F54B83" w:rsidRPr="00D56B97">
        <w:rPr>
          <w:rFonts w:ascii="Times New Roman" w:hAnsi="Times New Roman" w:cs="Times New Roman"/>
        </w:rPr>
        <w:t xml:space="preserve"> </w:t>
      </w:r>
      <w:r w:rsidR="003A1B01" w:rsidRPr="00D56B97">
        <w:rPr>
          <w:rFonts w:ascii="Times New Roman" w:hAnsi="Times New Roman" w:cs="Times New Roman"/>
        </w:rPr>
        <w:t>can</w:t>
      </w:r>
      <w:r w:rsidR="00C30F3E" w:rsidRPr="00D56B97">
        <w:rPr>
          <w:rFonts w:ascii="Times New Roman" w:hAnsi="Times New Roman" w:cs="Times New Roman"/>
        </w:rPr>
        <w:t xml:space="preserve"> be expected to fail</w:t>
      </w:r>
      <w:r w:rsidR="00C871C5" w:rsidRPr="00D56B97">
        <w:rPr>
          <w:rFonts w:ascii="Times New Roman" w:hAnsi="Times New Roman" w:cs="Times New Roman"/>
        </w:rPr>
        <w:t>.</w:t>
      </w:r>
      <w:r w:rsidR="003B41B3" w:rsidRPr="00D56B97">
        <w:rPr>
          <w:rFonts w:ascii="Times New Roman" w:hAnsi="Times New Roman" w:cs="Times New Roman"/>
        </w:rPr>
        <w:t xml:space="preserve"> </w:t>
      </w:r>
    </w:p>
    <w:p w14:paraId="7493C8B3" w14:textId="77777777" w:rsidR="00065F8A" w:rsidRPr="00D56B97" w:rsidRDefault="00AC229E" w:rsidP="00AC229E">
      <w:pPr>
        <w:spacing w:line="480" w:lineRule="auto"/>
        <w:jc w:val="center"/>
        <w:rPr>
          <w:rFonts w:ascii="Times New Roman" w:hAnsi="Times New Roman" w:cs="Times New Roman"/>
          <w:b/>
          <w:sz w:val="28"/>
        </w:rPr>
      </w:pPr>
      <w:r w:rsidRPr="00D56B97">
        <w:rPr>
          <w:rFonts w:ascii="Times New Roman" w:hAnsi="Times New Roman" w:cs="Times New Roman"/>
          <w:b/>
          <w:sz w:val="28"/>
        </w:rPr>
        <w:t>VI. CONCLUSION</w:t>
      </w:r>
    </w:p>
    <w:p w14:paraId="7493C8B4" w14:textId="77777777" w:rsidR="002720D9" w:rsidRPr="00D56B97" w:rsidRDefault="00EE5737" w:rsidP="00FE69FA">
      <w:pPr>
        <w:spacing w:line="480" w:lineRule="auto"/>
        <w:jc w:val="both"/>
        <w:rPr>
          <w:rFonts w:ascii="Times New Roman" w:hAnsi="Times New Roman" w:cs="Times New Roman"/>
        </w:rPr>
      </w:pPr>
      <w:r w:rsidRPr="00D56B97">
        <w:rPr>
          <w:rFonts w:ascii="Times New Roman" w:hAnsi="Times New Roman" w:cs="Times New Roman"/>
        </w:rPr>
        <w:t>Judges have told three</w:t>
      </w:r>
      <w:r w:rsidR="003A1B01" w:rsidRPr="00D56B97">
        <w:rPr>
          <w:rFonts w:ascii="Times New Roman" w:hAnsi="Times New Roman" w:cs="Times New Roman"/>
        </w:rPr>
        <w:t xml:space="preserve"> simple but</w:t>
      </w:r>
      <w:r w:rsidRPr="00D56B97">
        <w:rPr>
          <w:rFonts w:ascii="Times New Roman" w:hAnsi="Times New Roman" w:cs="Times New Roman"/>
        </w:rPr>
        <w:t xml:space="preserve"> contradictory stories about the relationship between autonomy and mental capacity in the law of England and Wales. Sometimes, capacity is autonomy’s gatekeeper: those with capacity are autonomous, and those without capacity are not. Sometimes, capacity is necessary for autonomy</w:t>
      </w:r>
      <w:r w:rsidR="00877D67" w:rsidRPr="00D56B97">
        <w:rPr>
          <w:rFonts w:ascii="Times New Roman" w:hAnsi="Times New Roman" w:cs="Times New Roman"/>
        </w:rPr>
        <w:t xml:space="preserve"> but not sufficient, for voluntariness</w:t>
      </w:r>
      <w:r w:rsidRPr="00D56B97">
        <w:rPr>
          <w:rFonts w:ascii="Times New Roman" w:hAnsi="Times New Roman" w:cs="Times New Roman"/>
        </w:rPr>
        <w:t xml:space="preserve"> is also required. Finally, sometimes autonomy survives incapacity, and the wishes of a per</w:t>
      </w:r>
      <w:r w:rsidR="00247B8B" w:rsidRPr="00D56B97">
        <w:rPr>
          <w:rFonts w:ascii="Times New Roman" w:hAnsi="Times New Roman" w:cs="Times New Roman"/>
        </w:rPr>
        <w:t>son without capacity can</w:t>
      </w:r>
      <w:r w:rsidRPr="00D56B97">
        <w:rPr>
          <w:rFonts w:ascii="Times New Roman" w:hAnsi="Times New Roman" w:cs="Times New Roman"/>
        </w:rPr>
        <w:t xml:space="preserve"> reflect their ability to be self-determining. These three accounts coexist in the current law; so no story of evolution, in which one account comes to replace another, can be told. Similarly, judges will switch between accounts depending upon the facts that they face in a particular case, so no story of judicial factions is plausible.</w:t>
      </w:r>
      <w:r w:rsidR="00FE69FA" w:rsidRPr="00D56B97">
        <w:rPr>
          <w:rFonts w:ascii="Times New Roman" w:hAnsi="Times New Roman" w:cs="Times New Roman"/>
        </w:rPr>
        <w:t xml:space="preserve"> Instead, each account should be taken as a partial description of a consistent whole.</w:t>
      </w:r>
    </w:p>
    <w:p w14:paraId="7493C8B5" w14:textId="12186F8E" w:rsidR="00946EF6" w:rsidRPr="00D56B97" w:rsidRDefault="00C816A4" w:rsidP="00563AD7">
      <w:pPr>
        <w:spacing w:line="480" w:lineRule="auto"/>
        <w:ind w:firstLine="720"/>
        <w:jc w:val="both"/>
        <w:rPr>
          <w:rFonts w:ascii="Times New Roman" w:hAnsi="Times New Roman" w:cs="Times New Roman"/>
        </w:rPr>
      </w:pPr>
      <w:r w:rsidRPr="00D56B97">
        <w:rPr>
          <w:rFonts w:ascii="Times New Roman" w:hAnsi="Times New Roman" w:cs="Times New Roman"/>
        </w:rPr>
        <w:t>On a</w:t>
      </w:r>
      <w:r w:rsidR="00ED530A" w:rsidRPr="00D56B97">
        <w:rPr>
          <w:rFonts w:ascii="Times New Roman" w:hAnsi="Times New Roman" w:cs="Times New Roman"/>
        </w:rPr>
        <w:t xml:space="preserve"> </w:t>
      </w:r>
      <w:r w:rsidR="00FE69FA" w:rsidRPr="00D56B97">
        <w:rPr>
          <w:rFonts w:ascii="Times New Roman" w:hAnsi="Times New Roman" w:cs="Times New Roman"/>
        </w:rPr>
        <w:t xml:space="preserve">coherent </w:t>
      </w:r>
      <w:r w:rsidR="00ED530A" w:rsidRPr="00D56B97">
        <w:rPr>
          <w:rFonts w:ascii="Times New Roman" w:hAnsi="Times New Roman" w:cs="Times New Roman"/>
        </w:rPr>
        <w:t xml:space="preserve">account, a person will be regarded as autonomous if they have capacity about the matter in question and are not subject to undue influence or coercion </w:t>
      </w:r>
      <w:r w:rsidR="00ED530A" w:rsidRPr="00D56B97">
        <w:rPr>
          <w:rFonts w:ascii="Times New Roman" w:hAnsi="Times New Roman" w:cs="Times New Roman"/>
          <w:i/>
        </w:rPr>
        <w:t>or</w:t>
      </w:r>
      <w:r w:rsidR="00ED530A" w:rsidRPr="00D56B97">
        <w:rPr>
          <w:rFonts w:ascii="Times New Roman" w:hAnsi="Times New Roman" w:cs="Times New Roman"/>
        </w:rPr>
        <w:t xml:space="preserve"> if they lack capacity about the matter but the character of their </w:t>
      </w:r>
      <w:r w:rsidR="002D272A" w:rsidRPr="00D56B97">
        <w:rPr>
          <w:rFonts w:ascii="Times New Roman" w:hAnsi="Times New Roman" w:cs="Times New Roman"/>
        </w:rPr>
        <w:t xml:space="preserve">present </w:t>
      </w:r>
      <w:r w:rsidR="00ED530A" w:rsidRPr="00D56B97">
        <w:rPr>
          <w:rFonts w:ascii="Times New Roman" w:hAnsi="Times New Roman" w:cs="Times New Roman"/>
        </w:rPr>
        <w:t>wishes and feelings nevertheless determines their objective best intere</w:t>
      </w:r>
      <w:r w:rsidR="00035CBF" w:rsidRPr="00D56B97">
        <w:rPr>
          <w:rFonts w:ascii="Times New Roman" w:hAnsi="Times New Roman" w:cs="Times New Roman"/>
        </w:rPr>
        <w:t xml:space="preserve">sts. This account lacks </w:t>
      </w:r>
      <w:r w:rsidR="00ED530A" w:rsidRPr="00D56B97">
        <w:rPr>
          <w:rFonts w:ascii="Times New Roman" w:hAnsi="Times New Roman" w:cs="Times New Roman"/>
        </w:rPr>
        <w:t xml:space="preserve">the simple force </w:t>
      </w:r>
      <w:r w:rsidR="00035CBF" w:rsidRPr="00D56B97">
        <w:rPr>
          <w:rFonts w:ascii="Times New Roman" w:hAnsi="Times New Roman" w:cs="Times New Roman"/>
        </w:rPr>
        <w:t>of judicial</w:t>
      </w:r>
      <w:r w:rsidR="00ED530A" w:rsidRPr="00D56B97">
        <w:rPr>
          <w:rFonts w:ascii="Times New Roman" w:hAnsi="Times New Roman" w:cs="Times New Roman"/>
        </w:rPr>
        <w:t xml:space="preserve"> statements such as ‘autonomy survives incapacity’ or ‘the statute resp</w:t>
      </w:r>
      <w:r w:rsidR="00035CBF" w:rsidRPr="00D56B97">
        <w:rPr>
          <w:rFonts w:ascii="Times New Roman" w:hAnsi="Times New Roman" w:cs="Times New Roman"/>
        </w:rPr>
        <w:t>ects their autonomy</w:t>
      </w:r>
      <w:r w:rsidR="00FE69FA" w:rsidRPr="00D56B97">
        <w:rPr>
          <w:rFonts w:ascii="Times New Roman" w:hAnsi="Times New Roman" w:cs="Times New Roman"/>
        </w:rPr>
        <w:t>’, and</w:t>
      </w:r>
      <w:r w:rsidR="00E7453B" w:rsidRPr="00D56B97">
        <w:rPr>
          <w:rFonts w:ascii="Times New Roman" w:hAnsi="Times New Roman" w:cs="Times New Roman"/>
        </w:rPr>
        <w:t xml:space="preserve"> </w:t>
      </w:r>
      <w:r w:rsidR="00FE69FA" w:rsidRPr="00D56B97">
        <w:rPr>
          <w:rFonts w:ascii="Times New Roman" w:hAnsi="Times New Roman" w:cs="Times New Roman"/>
        </w:rPr>
        <w:t xml:space="preserve">such statements have </w:t>
      </w:r>
      <w:r w:rsidR="001D3415" w:rsidRPr="00D56B97">
        <w:rPr>
          <w:rFonts w:ascii="Times New Roman" w:hAnsi="Times New Roman" w:cs="Times New Roman"/>
        </w:rPr>
        <w:t xml:space="preserve">their place. They are a </w:t>
      </w:r>
      <w:r w:rsidR="001D3415" w:rsidRPr="00D56B97">
        <w:rPr>
          <w:rFonts w:ascii="Times New Roman" w:hAnsi="Times New Roman" w:cs="Times New Roman"/>
        </w:rPr>
        <w:lastRenderedPageBreak/>
        <w:t xml:space="preserve">way that a judge can show that the case before them is profoundly important not only to the person it concerns but also, because </w:t>
      </w:r>
      <w:r w:rsidR="002409C7" w:rsidRPr="00D56B97">
        <w:rPr>
          <w:rFonts w:ascii="Times New Roman" w:hAnsi="Times New Roman" w:cs="Times New Roman"/>
        </w:rPr>
        <w:t>that person is</w:t>
      </w:r>
      <w:r w:rsidR="001D3415" w:rsidRPr="00D56B97">
        <w:rPr>
          <w:rFonts w:ascii="Times New Roman" w:hAnsi="Times New Roman" w:cs="Times New Roman"/>
        </w:rPr>
        <w:t xml:space="preserve"> part of society, to the law itself. Nevertheless,</w:t>
      </w:r>
      <w:r w:rsidR="00A94EEC" w:rsidRPr="00D56B97">
        <w:rPr>
          <w:rFonts w:ascii="Times New Roman" w:hAnsi="Times New Roman" w:cs="Times New Roman"/>
        </w:rPr>
        <w:t xml:space="preserve"> </w:t>
      </w:r>
      <w:r w:rsidR="00782F18" w:rsidRPr="00D56B97">
        <w:rPr>
          <w:rFonts w:ascii="Times New Roman" w:hAnsi="Times New Roman" w:cs="Times New Roman"/>
        </w:rPr>
        <w:t>t</w:t>
      </w:r>
      <w:r w:rsidR="00A94EEC" w:rsidRPr="00D56B97">
        <w:rPr>
          <w:rFonts w:ascii="Times New Roman" w:hAnsi="Times New Roman" w:cs="Times New Roman"/>
        </w:rPr>
        <w:t>he overall relationship between autonomy and mental capacity is also important, for these cases go to the very heart of the relationship between state and citizen. To understand that relationship, statements largely intended to address the facts of particular cases must be put to one side.</w:t>
      </w:r>
      <w:r w:rsidR="00F17CBD" w:rsidRPr="00D56B97">
        <w:rPr>
          <w:rFonts w:ascii="Times New Roman" w:hAnsi="Times New Roman" w:cs="Times New Roman"/>
        </w:rPr>
        <w:t xml:space="preserve"> When this is done, the relationship that emerges may be considered good or bad, depending on the criteria that it is evaluated by. It is, however, undoubtedly complex. The purpose of this article has been to draw attention to this comple</w:t>
      </w:r>
      <w:r w:rsidR="00282E34" w:rsidRPr="00D56B97">
        <w:rPr>
          <w:rFonts w:ascii="Times New Roman" w:hAnsi="Times New Roman" w:cs="Times New Roman"/>
        </w:rPr>
        <w:t>xity</w:t>
      </w:r>
      <w:r w:rsidR="00F17CBD" w:rsidRPr="00D56B97">
        <w:rPr>
          <w:rFonts w:ascii="Times New Roman" w:hAnsi="Times New Roman" w:cs="Times New Roman"/>
        </w:rPr>
        <w:t xml:space="preserve">. </w:t>
      </w:r>
      <w:r w:rsidR="00971438" w:rsidRPr="00971438">
        <w:rPr>
          <w:rFonts w:ascii="Times New Roman" w:hAnsi="Times New Roman" w:cs="Times New Roman"/>
        </w:rPr>
        <w:t>The direct implication of this analysis for reform is</w:t>
      </w:r>
      <w:r w:rsidR="00971438" w:rsidRPr="00971438" w:rsidDel="00971438">
        <w:rPr>
          <w:rFonts w:ascii="Times New Roman" w:hAnsi="Times New Roman" w:cs="Times New Roman"/>
        </w:rPr>
        <w:t xml:space="preserve"> </w:t>
      </w:r>
      <w:r w:rsidR="007C06A6" w:rsidRPr="00D56B97">
        <w:rPr>
          <w:rFonts w:ascii="Times New Roman" w:hAnsi="Times New Roman" w:cs="Times New Roman"/>
        </w:rPr>
        <w:t xml:space="preserve">to be suspicious of easy answers, no matter who </w:t>
      </w:r>
      <w:r w:rsidR="004950E1" w:rsidRPr="00D56B97">
        <w:rPr>
          <w:rFonts w:ascii="Times New Roman" w:hAnsi="Times New Roman" w:cs="Times New Roman"/>
        </w:rPr>
        <w:t>offers them</w:t>
      </w:r>
      <w:r w:rsidR="007C06A6" w:rsidRPr="00D56B97">
        <w:rPr>
          <w:rFonts w:ascii="Times New Roman" w:hAnsi="Times New Roman" w:cs="Times New Roman"/>
        </w:rPr>
        <w:t xml:space="preserve"> and what those answers might be.</w:t>
      </w:r>
    </w:p>
    <w:sectPr w:rsidR="00946EF6" w:rsidRPr="00D56B97" w:rsidSect="002706FC">
      <w:footerReference w:type="default" r:id="rId9"/>
      <w:pgSz w:w="11906" w:h="16838"/>
      <w:pgMar w:top="1440" w:right="1440" w:bottom="1440" w:left="1440"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09E383" w16cid:durableId="1E4D75AE"/>
  <w16cid:commentId w16cid:paraId="71693453" w16cid:durableId="1E4ADD5D"/>
  <w16cid:commentId w16cid:paraId="74495FD1" w16cid:durableId="1E4D7888"/>
  <w16cid:commentId w16cid:paraId="19591D14" w16cid:durableId="1E4D7989"/>
  <w16cid:commentId w16cid:paraId="0569B789" w16cid:durableId="1E4D7A1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48DE27" w14:textId="77777777" w:rsidR="00941556" w:rsidRDefault="00941556" w:rsidP="00C673CC">
      <w:pPr>
        <w:spacing w:after="0" w:line="240" w:lineRule="auto"/>
      </w:pPr>
      <w:r>
        <w:separator/>
      </w:r>
    </w:p>
  </w:endnote>
  <w:endnote w:type="continuationSeparator" w:id="0">
    <w:p w14:paraId="1FC70F37" w14:textId="77777777" w:rsidR="00941556" w:rsidRDefault="00941556" w:rsidP="00C67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Minion Pro"/>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0323855"/>
      <w:docPartObj>
        <w:docPartGallery w:val="Page Numbers (Bottom of Page)"/>
        <w:docPartUnique/>
      </w:docPartObj>
    </w:sdtPr>
    <w:sdtEndPr>
      <w:rPr>
        <w:noProof/>
      </w:rPr>
    </w:sdtEndPr>
    <w:sdtContent>
      <w:p w14:paraId="7493C8BA" w14:textId="0D346A94" w:rsidR="009252F5" w:rsidRDefault="009252F5">
        <w:pPr>
          <w:pStyle w:val="Footer"/>
          <w:jc w:val="center"/>
        </w:pPr>
        <w:r>
          <w:fldChar w:fldCharType="begin"/>
        </w:r>
        <w:r>
          <w:instrText xml:space="preserve"> PAGE   \* MERGEFORMAT </w:instrText>
        </w:r>
        <w:r>
          <w:fldChar w:fldCharType="separate"/>
        </w:r>
        <w:r w:rsidR="00FB0852">
          <w:rPr>
            <w:noProof/>
          </w:rPr>
          <w:t>20</w:t>
        </w:r>
        <w:r>
          <w:rPr>
            <w:noProof/>
          </w:rPr>
          <w:fldChar w:fldCharType="end"/>
        </w:r>
      </w:p>
    </w:sdtContent>
  </w:sdt>
  <w:p w14:paraId="7493C8BB" w14:textId="77777777" w:rsidR="009252F5" w:rsidRDefault="009252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AA10D2" w14:textId="77777777" w:rsidR="00941556" w:rsidRDefault="00941556" w:rsidP="00C673CC">
      <w:pPr>
        <w:spacing w:after="0" w:line="240" w:lineRule="auto"/>
      </w:pPr>
      <w:r>
        <w:separator/>
      </w:r>
    </w:p>
  </w:footnote>
  <w:footnote w:type="continuationSeparator" w:id="0">
    <w:p w14:paraId="77E51238" w14:textId="77777777" w:rsidR="00941556" w:rsidRDefault="00941556" w:rsidP="00C673CC">
      <w:pPr>
        <w:spacing w:after="0" w:line="240" w:lineRule="auto"/>
      </w:pPr>
      <w:r>
        <w:continuationSeparator/>
      </w:r>
    </w:p>
  </w:footnote>
  <w:footnote w:id="1">
    <w:p w14:paraId="7493C8BC" w14:textId="77777777" w:rsidR="009252F5" w:rsidRPr="005514DF" w:rsidRDefault="009252F5" w:rsidP="00DB6DEC">
      <w:pPr>
        <w:pStyle w:val="FootnoteText"/>
      </w:pPr>
      <w:r w:rsidRPr="005514DF">
        <w:rPr>
          <w:rStyle w:val="FootnoteReference"/>
        </w:rPr>
        <w:footnoteRef/>
      </w:r>
      <w:r w:rsidRPr="005514DF">
        <w:t xml:space="preserve"> J Harrington, </w:t>
      </w:r>
      <w:r w:rsidRPr="005514DF">
        <w:rPr>
          <w:i/>
        </w:rPr>
        <w:t>Towards a Rhetoric of Medical Law</w:t>
      </w:r>
      <w:r w:rsidRPr="005514DF">
        <w:t xml:space="preserve"> (Taylor and Francis: Abingdon, 2017) 2.</w:t>
      </w:r>
    </w:p>
  </w:footnote>
  <w:footnote w:id="2">
    <w:p w14:paraId="7493C8BD" w14:textId="77777777" w:rsidR="009252F5" w:rsidRPr="005514DF" w:rsidRDefault="009252F5" w:rsidP="00DB6DEC">
      <w:pPr>
        <w:pStyle w:val="FootnoteText"/>
      </w:pPr>
      <w:r w:rsidRPr="005514DF">
        <w:rPr>
          <w:rStyle w:val="FootnoteReference"/>
        </w:rPr>
        <w:footnoteRef/>
      </w:r>
      <w:r w:rsidRPr="005514DF">
        <w:t xml:space="preserve"> For a discussion see EW Thomas, </w:t>
      </w:r>
      <w:r w:rsidRPr="005514DF">
        <w:rPr>
          <w:i/>
        </w:rPr>
        <w:t>The Judicial Process: Realism, Pragmatism, Practical Reasoning and Principles</w:t>
      </w:r>
      <w:r w:rsidRPr="005514DF">
        <w:t xml:space="preserve"> (Cambridge University Press: Cambridge, 2005) Ch 10.</w:t>
      </w:r>
    </w:p>
  </w:footnote>
  <w:footnote w:id="3">
    <w:p w14:paraId="7493C8BE" w14:textId="77777777" w:rsidR="009252F5" w:rsidRPr="005514DF" w:rsidRDefault="009252F5">
      <w:pPr>
        <w:pStyle w:val="FootnoteText"/>
      </w:pPr>
      <w:r w:rsidRPr="005514DF">
        <w:rPr>
          <w:rStyle w:val="FootnoteReference"/>
        </w:rPr>
        <w:footnoteRef/>
      </w:r>
      <w:r w:rsidRPr="005514DF">
        <w:t xml:space="preserve"> M Hedley, </w:t>
      </w:r>
      <w:r w:rsidRPr="005514DF">
        <w:rPr>
          <w:i/>
        </w:rPr>
        <w:t>The Modern Judge: Power, Responsibility and Society’s Expectations</w:t>
      </w:r>
      <w:r w:rsidRPr="005514DF">
        <w:t xml:space="preserve"> (LexisNexis: Bristol, 2016) Ch 2.</w:t>
      </w:r>
    </w:p>
  </w:footnote>
  <w:footnote w:id="4">
    <w:p w14:paraId="7493C8BF" w14:textId="77777777" w:rsidR="009252F5" w:rsidRPr="005514DF" w:rsidRDefault="009252F5" w:rsidP="00DB6DEC">
      <w:pPr>
        <w:pStyle w:val="FootnoteText"/>
      </w:pPr>
      <w:r w:rsidRPr="005514DF">
        <w:rPr>
          <w:rStyle w:val="FootnoteReference"/>
        </w:rPr>
        <w:footnoteRef/>
      </w:r>
      <w:r w:rsidRPr="005514DF">
        <w:t xml:space="preserve"> </w:t>
      </w:r>
      <w:r w:rsidRPr="005514DF">
        <w:rPr>
          <w:i/>
        </w:rPr>
        <w:t>Aintree University Hospitals NHS Foundation Trust v James</w:t>
      </w:r>
      <w:r w:rsidRPr="005514DF">
        <w:t xml:space="preserve"> [2013] UKSC 67, [2013] 3 WLR 1299 [45] (Hale L).</w:t>
      </w:r>
    </w:p>
  </w:footnote>
  <w:footnote w:id="5">
    <w:p w14:paraId="7493C8C0" w14:textId="77777777" w:rsidR="009252F5" w:rsidRPr="005514DF" w:rsidRDefault="009252F5">
      <w:pPr>
        <w:pStyle w:val="FootnoteText"/>
      </w:pPr>
      <w:r w:rsidRPr="005514DF">
        <w:rPr>
          <w:rStyle w:val="FootnoteReference"/>
        </w:rPr>
        <w:footnoteRef/>
      </w:r>
      <w:r w:rsidRPr="005514DF">
        <w:t xml:space="preserve"> After all, the function of the court is to decide the case. It ‘should not be used as a general advice centre’. </w:t>
      </w:r>
      <w:r w:rsidRPr="005514DF">
        <w:rPr>
          <w:i/>
        </w:rPr>
        <w:t>R (Burke) v GMC</w:t>
      </w:r>
      <w:r w:rsidRPr="005514DF">
        <w:t xml:space="preserve"> [2005] EWCA Civ 1003, [2006] QB 273 [21] (Lord Phillips MR).</w:t>
      </w:r>
    </w:p>
  </w:footnote>
  <w:footnote w:id="6">
    <w:p w14:paraId="7493C8C1" w14:textId="77777777" w:rsidR="009252F5" w:rsidRPr="005514DF" w:rsidRDefault="009252F5" w:rsidP="00DF27F6">
      <w:pPr>
        <w:pStyle w:val="FootnoteText1"/>
      </w:pPr>
      <w:r w:rsidRPr="005514DF">
        <w:rPr>
          <w:rStyle w:val="FootnoteReference"/>
        </w:rPr>
        <w:footnoteRef/>
      </w:r>
      <w:r w:rsidRPr="005514DF">
        <w:t xml:space="preserve"> See, for instance, C Kong, </w:t>
      </w:r>
      <w:r w:rsidRPr="005514DF">
        <w:rPr>
          <w:i/>
        </w:rPr>
        <w:t xml:space="preserve">Mental Capacity in Relationship: Decision-Making, Dialogue, and Autonomy </w:t>
      </w:r>
      <w:r w:rsidRPr="005514DF">
        <w:t>(Cambridge University Press: Cambridge, 2017).</w:t>
      </w:r>
    </w:p>
  </w:footnote>
  <w:footnote w:id="7">
    <w:p w14:paraId="7493C8C2" w14:textId="77777777" w:rsidR="009252F5" w:rsidRPr="005514DF" w:rsidRDefault="009252F5" w:rsidP="00DF27F6">
      <w:pPr>
        <w:pStyle w:val="FootnoteText"/>
      </w:pPr>
      <w:r w:rsidRPr="005514DF">
        <w:rPr>
          <w:rStyle w:val="FootnoteReference"/>
        </w:rPr>
        <w:footnoteRef/>
      </w:r>
      <w:r w:rsidRPr="005514DF">
        <w:t xml:space="preserve"> L Wittgenstein, </w:t>
      </w:r>
      <w:r w:rsidRPr="005514DF">
        <w:rPr>
          <w:i/>
        </w:rPr>
        <w:t xml:space="preserve">Philosophical Investigations </w:t>
      </w:r>
      <w:r w:rsidRPr="005514DF">
        <w:t xml:space="preserve">(GEM Anscombe and others </w:t>
      </w:r>
      <w:proofErr w:type="gramStart"/>
      <w:r w:rsidRPr="005514DF">
        <w:t>tr</w:t>
      </w:r>
      <w:proofErr w:type="gramEnd"/>
      <w:r w:rsidRPr="005514DF">
        <w:t>, 4</w:t>
      </w:r>
      <w:r w:rsidRPr="005514DF">
        <w:rPr>
          <w:vertAlign w:val="superscript"/>
        </w:rPr>
        <w:t>th</w:t>
      </w:r>
      <w:r w:rsidRPr="005514DF">
        <w:t xml:space="preserve"> ed, Wiley-Blackwell 2009) </w:t>
      </w:r>
      <w:r w:rsidRPr="005514DF">
        <w:rPr>
          <w:rFonts w:cs="Calibri"/>
        </w:rPr>
        <w:t>§</w:t>
      </w:r>
      <w:r w:rsidRPr="005514DF">
        <w:t>66 (emphasis in original).</w:t>
      </w:r>
    </w:p>
  </w:footnote>
  <w:footnote w:id="8">
    <w:p w14:paraId="7493C8C3" w14:textId="77777777" w:rsidR="009252F5" w:rsidRPr="005514DF" w:rsidRDefault="009252F5" w:rsidP="00DF27F6">
      <w:pPr>
        <w:pStyle w:val="FootnoteText"/>
        <w:rPr>
          <w:i/>
        </w:rPr>
      </w:pPr>
      <w:r w:rsidRPr="005514DF">
        <w:rPr>
          <w:rStyle w:val="FootnoteReference"/>
        </w:rPr>
        <w:footnoteRef/>
      </w:r>
      <w:r w:rsidRPr="005514DF">
        <w:t xml:space="preserve"> </w:t>
      </w:r>
      <w:r w:rsidRPr="005514DF">
        <w:rPr>
          <w:i/>
        </w:rPr>
        <w:t>Ibid.</w:t>
      </w:r>
    </w:p>
  </w:footnote>
  <w:footnote w:id="9">
    <w:p w14:paraId="7493C8C4" w14:textId="77777777" w:rsidR="009252F5" w:rsidRPr="005514DF" w:rsidRDefault="009252F5" w:rsidP="00DF27F6">
      <w:pPr>
        <w:pStyle w:val="FootnoteText"/>
      </w:pPr>
      <w:r w:rsidRPr="005514DF">
        <w:rPr>
          <w:rStyle w:val="FootnoteReference"/>
        </w:rPr>
        <w:footnoteRef/>
      </w:r>
      <w:r w:rsidRPr="005514DF">
        <w:t xml:space="preserve"> </w:t>
      </w:r>
      <w:r w:rsidRPr="005514DF">
        <w:rPr>
          <w:i/>
        </w:rPr>
        <w:t xml:space="preserve">Ibid </w:t>
      </w:r>
      <w:r w:rsidRPr="005514DF">
        <w:rPr>
          <w:rFonts w:cs="Calibri"/>
        </w:rPr>
        <w:t>§69-71.</w:t>
      </w:r>
    </w:p>
  </w:footnote>
  <w:footnote w:id="10">
    <w:p w14:paraId="7493C8C5" w14:textId="2EEA4965" w:rsidR="009252F5" w:rsidRPr="005514DF" w:rsidRDefault="009252F5" w:rsidP="00DF27F6">
      <w:pPr>
        <w:pStyle w:val="FootnoteText1"/>
      </w:pPr>
      <w:r w:rsidRPr="005514DF">
        <w:rPr>
          <w:rStyle w:val="FootnoteReference"/>
        </w:rPr>
        <w:footnoteRef/>
      </w:r>
      <w:r w:rsidRPr="005514DF">
        <w:t xml:space="preserve"> Similar definitions occur in the courts. For example, Lord Sumption grounds autonomy in the ‘moral instinct’ that ‘individuals are entitled to be the masters of their own fate’: </w:t>
      </w:r>
      <w:proofErr w:type="gramStart"/>
      <w:r w:rsidRPr="005514DF">
        <w:rPr>
          <w:i/>
        </w:rPr>
        <w:t>R(</w:t>
      </w:r>
      <w:proofErr w:type="gramEnd"/>
      <w:r w:rsidRPr="005514DF">
        <w:rPr>
          <w:i/>
        </w:rPr>
        <w:t>Nicklinson) v M</w:t>
      </w:r>
      <w:r>
        <w:rPr>
          <w:i/>
        </w:rPr>
        <w:t xml:space="preserve">inistry </w:t>
      </w:r>
      <w:r w:rsidRPr="005514DF">
        <w:rPr>
          <w:i/>
        </w:rPr>
        <w:t>o</w:t>
      </w:r>
      <w:r>
        <w:rPr>
          <w:i/>
        </w:rPr>
        <w:t xml:space="preserve">f </w:t>
      </w:r>
      <w:r w:rsidRPr="005514DF">
        <w:rPr>
          <w:i/>
        </w:rPr>
        <w:t>J</w:t>
      </w:r>
      <w:r>
        <w:rPr>
          <w:i/>
        </w:rPr>
        <w:t>ustice</w:t>
      </w:r>
      <w:r w:rsidRPr="005514DF">
        <w:t xml:space="preserve"> [2014] UKSC 38, [2014] 3 WLR 200 [208].</w:t>
      </w:r>
    </w:p>
  </w:footnote>
  <w:footnote w:id="11">
    <w:p w14:paraId="7493C8C6" w14:textId="77777777" w:rsidR="009252F5" w:rsidRPr="005514DF" w:rsidRDefault="009252F5" w:rsidP="00DF27F6">
      <w:pPr>
        <w:pStyle w:val="FootnoteText1"/>
      </w:pPr>
      <w:r w:rsidRPr="005514DF">
        <w:rPr>
          <w:rStyle w:val="FootnoteReference"/>
        </w:rPr>
        <w:footnoteRef/>
      </w:r>
      <w:r w:rsidRPr="005514DF">
        <w:t xml:space="preserve"> I Berlin, ‘Two Concept of Liberty’ in </w:t>
      </w:r>
      <w:r w:rsidRPr="005514DF">
        <w:rPr>
          <w:i/>
        </w:rPr>
        <w:t>The Proper Study of Mankind: An Anthology of Essays</w:t>
      </w:r>
      <w:r w:rsidRPr="005514DF">
        <w:t xml:space="preserve"> (first published 1958, Pimlico: London, 1998) 191, 194; J Coggon and J Miola, ‘Autonomy, Liberty, and Medical Decision-Making’ (2011) 70 Cambridge Law Journal 523.</w:t>
      </w:r>
    </w:p>
  </w:footnote>
  <w:footnote w:id="12">
    <w:p w14:paraId="7493C8C7" w14:textId="77777777" w:rsidR="009252F5" w:rsidRPr="005514DF" w:rsidRDefault="009252F5" w:rsidP="00DF27F6">
      <w:pPr>
        <w:pStyle w:val="FootnoteText1"/>
      </w:pPr>
      <w:r w:rsidRPr="005514DF">
        <w:rPr>
          <w:rStyle w:val="FootnoteReference"/>
        </w:rPr>
        <w:footnoteRef/>
      </w:r>
      <w:r w:rsidRPr="005514DF">
        <w:t xml:space="preserve"> This justificatory relationship also occurs in other contexts: For example:</w:t>
      </w:r>
      <w:r w:rsidRPr="005514DF">
        <w:rPr>
          <w:i/>
        </w:rPr>
        <w:t xml:space="preserve"> </w:t>
      </w:r>
      <w:r w:rsidRPr="005514DF">
        <w:t xml:space="preserve">JS Mill, </w:t>
      </w:r>
      <w:r w:rsidRPr="005514DF">
        <w:rPr>
          <w:i/>
        </w:rPr>
        <w:t>On Liberty</w:t>
      </w:r>
      <w:r w:rsidRPr="005514DF">
        <w:t xml:space="preserve"> (Yale University Press: New York, 2003) 80-82 (and throughout).</w:t>
      </w:r>
    </w:p>
  </w:footnote>
  <w:footnote w:id="13">
    <w:p w14:paraId="7493C8C8" w14:textId="77777777" w:rsidR="009252F5" w:rsidRPr="005514DF" w:rsidRDefault="009252F5" w:rsidP="00DF27F6">
      <w:pPr>
        <w:pStyle w:val="FootnoteText1"/>
      </w:pPr>
      <w:r w:rsidRPr="005514DF">
        <w:rPr>
          <w:rStyle w:val="FootnoteReference"/>
        </w:rPr>
        <w:footnoteRef/>
      </w:r>
      <w:r w:rsidRPr="005514DF">
        <w:t xml:space="preserve"> G Sher, </w:t>
      </w:r>
      <w:r w:rsidRPr="005514DF">
        <w:rPr>
          <w:i/>
        </w:rPr>
        <w:t>Beyond Neutrality: Perfectionism and Politics</w:t>
      </w:r>
      <w:r w:rsidRPr="005514DF">
        <w:t xml:space="preserve"> (Cambridge University Press: Cambridge, 1997) 16. See also M Sjöstrand and others, ‘Paternalism in the Name of Autonomy’ (2013) 38 Journal of Medicine and Philosophy 710. </w:t>
      </w:r>
    </w:p>
  </w:footnote>
  <w:footnote w:id="14">
    <w:p w14:paraId="7493C8C9" w14:textId="77777777" w:rsidR="009252F5" w:rsidRPr="005514DF" w:rsidRDefault="009252F5" w:rsidP="00DF27F6">
      <w:pPr>
        <w:pStyle w:val="FootnoteText1"/>
        <w:rPr>
          <w:i/>
        </w:rPr>
      </w:pPr>
      <w:r w:rsidRPr="005514DF">
        <w:rPr>
          <w:rStyle w:val="FootnoteReference"/>
        </w:rPr>
        <w:footnoteRef/>
      </w:r>
      <w:r w:rsidRPr="005514DF">
        <w:t xml:space="preserve"> For example, </w:t>
      </w:r>
      <w:r w:rsidRPr="005514DF">
        <w:rPr>
          <w:i/>
        </w:rPr>
        <w:t xml:space="preserve">PC v City of York Council </w:t>
      </w:r>
      <w:r w:rsidRPr="005514DF">
        <w:t>[2013] EWCA Civ 478; [2014] 2 WLR 1 [53], discussed in section II.</w:t>
      </w:r>
    </w:p>
  </w:footnote>
  <w:footnote w:id="15">
    <w:p w14:paraId="7493C8CA" w14:textId="77777777" w:rsidR="009252F5" w:rsidRPr="005514DF" w:rsidRDefault="009252F5" w:rsidP="00DF27F6">
      <w:pPr>
        <w:pStyle w:val="FootnoteText1"/>
      </w:pPr>
      <w:r w:rsidRPr="005514DF">
        <w:rPr>
          <w:rStyle w:val="FootnoteReference"/>
        </w:rPr>
        <w:footnoteRef/>
      </w:r>
      <w:r w:rsidRPr="005514DF">
        <w:t xml:space="preserve"> Another way of framing this point might also be to ask who, in domestic law, has ‘legal capacity’, the ability to hold and exercise legal rights and duties: Convention on the Rights of Persons with Disabilities (adopted 13 December 2006, entered into force 3 May 2008) 2515 UNTS 3 (UNCRPD) art 12(2). ‘Legal capacity’ is, however, a term seldom seen in the domestic case law. In contrast, ‘autonomy’, and related concepts such as ‘self-determination’ and ‘sovereignty of the individual’, are extremely common.</w:t>
      </w:r>
    </w:p>
  </w:footnote>
  <w:footnote w:id="16">
    <w:p w14:paraId="7493C8CB" w14:textId="77777777" w:rsidR="009252F5" w:rsidRPr="005514DF" w:rsidRDefault="009252F5" w:rsidP="00DF27F6">
      <w:pPr>
        <w:pStyle w:val="FootnoteText1"/>
      </w:pPr>
      <w:r w:rsidRPr="005514DF">
        <w:rPr>
          <w:rStyle w:val="FootnoteReference"/>
        </w:rPr>
        <w:footnoteRef/>
      </w:r>
      <w:r w:rsidRPr="005514DF">
        <w:t xml:space="preserve"> Sher (n 13) 16.</w:t>
      </w:r>
    </w:p>
  </w:footnote>
  <w:footnote w:id="17">
    <w:p w14:paraId="7493C8CC" w14:textId="77777777" w:rsidR="009252F5" w:rsidRPr="005514DF" w:rsidRDefault="009252F5" w:rsidP="00DF27F6">
      <w:pPr>
        <w:pStyle w:val="FootnoteText1"/>
      </w:pPr>
      <w:r w:rsidRPr="005514DF">
        <w:rPr>
          <w:rStyle w:val="FootnoteReference"/>
        </w:rPr>
        <w:footnoteRef/>
      </w:r>
      <w:r w:rsidRPr="005514DF">
        <w:t xml:space="preserve"> For example,</w:t>
      </w:r>
      <w:r w:rsidRPr="005514DF">
        <w:rPr>
          <w:i/>
        </w:rPr>
        <w:t xml:space="preserve"> Northamptonshire Healthcare NHS Foundation Trust v ML </w:t>
      </w:r>
      <w:r w:rsidRPr="005514DF">
        <w:t>[2014] EWCOP 2, [2014] COPLR 439 [44]-[45].</w:t>
      </w:r>
    </w:p>
  </w:footnote>
  <w:footnote w:id="18">
    <w:p w14:paraId="7493C8CD" w14:textId="77777777" w:rsidR="009252F5" w:rsidRPr="005514DF" w:rsidRDefault="009252F5" w:rsidP="00BD28E3">
      <w:pPr>
        <w:pStyle w:val="FootnoteText"/>
      </w:pPr>
      <w:r w:rsidRPr="005514DF">
        <w:rPr>
          <w:rStyle w:val="FootnoteReference"/>
        </w:rPr>
        <w:footnoteRef/>
      </w:r>
      <w:r w:rsidRPr="005514DF">
        <w:t xml:space="preserve"> UN Committee on the Rights of Persons with Disabilities, ‘General Comment No 1’ (2014) UN Doc CRPD/C/GC/1 para 27. </w:t>
      </w:r>
    </w:p>
  </w:footnote>
  <w:footnote w:id="19">
    <w:p w14:paraId="7493C8CE" w14:textId="77777777" w:rsidR="009252F5" w:rsidRPr="005514DF" w:rsidRDefault="009252F5" w:rsidP="00CA3536">
      <w:pPr>
        <w:pStyle w:val="FootnoteText"/>
      </w:pPr>
      <w:r w:rsidRPr="005514DF">
        <w:rPr>
          <w:rStyle w:val="FootnoteReference"/>
        </w:rPr>
        <w:footnoteRef/>
      </w:r>
      <w:r w:rsidRPr="005514DF">
        <w:t xml:space="preserve"> MCA </w:t>
      </w:r>
      <w:proofErr w:type="gramStart"/>
      <w:r w:rsidRPr="005514DF">
        <w:t>s2(</w:t>
      </w:r>
      <w:proofErr w:type="gramEnd"/>
      <w:r w:rsidRPr="005514DF">
        <w:t>1).</w:t>
      </w:r>
    </w:p>
  </w:footnote>
  <w:footnote w:id="20">
    <w:p w14:paraId="7493C8CF" w14:textId="753D9EAF" w:rsidR="009252F5" w:rsidRPr="005514DF" w:rsidRDefault="009252F5">
      <w:pPr>
        <w:pStyle w:val="FootnoteText"/>
      </w:pPr>
      <w:r w:rsidRPr="005514DF">
        <w:rPr>
          <w:rStyle w:val="FootnoteReference"/>
        </w:rPr>
        <w:footnoteRef/>
      </w:r>
      <w:r w:rsidRPr="005514DF">
        <w:t xml:space="preserve"> Essex Autonomy Project, ‘Achieving CRPD Compliance: Is the Mental Capacity Act of England and Wales Compatible with the UN Convention on the Rights of Persons with Disabilities? If Not, What Next?’ (University of Essex: Colchester, 2014) 31–36.</w:t>
      </w:r>
    </w:p>
  </w:footnote>
  <w:footnote w:id="21">
    <w:p w14:paraId="7C308F6B" w14:textId="77B81322" w:rsidR="009252F5" w:rsidRPr="007923CC" w:rsidRDefault="009252F5">
      <w:pPr>
        <w:pStyle w:val="FootnoteText"/>
        <w:rPr>
          <w:color w:val="FF0000"/>
        </w:rPr>
      </w:pPr>
      <w:r w:rsidRPr="007923CC">
        <w:rPr>
          <w:rStyle w:val="FootnoteReference"/>
          <w:color w:val="FF0000"/>
        </w:rPr>
        <w:footnoteRef/>
      </w:r>
      <w:r w:rsidRPr="007923CC">
        <w:rPr>
          <w:color w:val="FF0000"/>
        </w:rPr>
        <w:t xml:space="preserve"> In brief, the Act allows detention for the patient’s ‘health and safety’ (ss2, 3) and involuntary treatment ‘for the mental disorder’ (s63) regardless of capacity, but it does not grant any general power to treat a person as lacking autonomy. For instance, the ability to treat does not extend to unconnected physical disorders and has exceptions (ss57, 58, 58A, 60). Furthermore, the Act’s Code of Practice makes the ‘least restrictive option and maximising independence’ and ‘empowerment and involvement’ overarching principles; so, insofar as the Act generates exceptions to the law outlined here, they should be narrowly constructed</w:t>
      </w:r>
      <w:r w:rsidR="00783B58">
        <w:rPr>
          <w:color w:val="FF0000"/>
        </w:rPr>
        <w:t>:</w:t>
      </w:r>
      <w:r w:rsidRPr="007923CC">
        <w:rPr>
          <w:color w:val="FF0000"/>
        </w:rPr>
        <w:t xml:space="preserve"> Department of Health, Mental Health Act 1983: Code of Practice (Norwich: The Stationery Office 2015) paras 1.1-1.12.</w:t>
      </w:r>
      <w:r w:rsidR="00715598">
        <w:rPr>
          <w:color w:val="FF0000"/>
        </w:rPr>
        <w:t xml:space="preserve"> The complex three way relationship between the MCA, MHA, and autonomy is further complicated by international human rights law, see Peter Bartlett, ‘”The Necessity must be Convincingly Shown to Exist”: Standards for Compulsory Treatment for Mental Disorder under t</w:t>
      </w:r>
      <w:r w:rsidR="00715598" w:rsidRPr="00715598">
        <w:rPr>
          <w:color w:val="FF0000"/>
        </w:rPr>
        <w:t>he Mental Health Act 1983</w:t>
      </w:r>
      <w:r w:rsidR="00715598">
        <w:rPr>
          <w:color w:val="FF0000"/>
        </w:rPr>
        <w:t xml:space="preserve"> (2011) 19 Medical Law Review 514.</w:t>
      </w:r>
    </w:p>
  </w:footnote>
  <w:footnote w:id="22">
    <w:p w14:paraId="7493C8D0" w14:textId="77777777" w:rsidR="009252F5" w:rsidRPr="007923CC" w:rsidRDefault="009252F5" w:rsidP="00666726">
      <w:pPr>
        <w:pStyle w:val="FootnoteText"/>
        <w:rPr>
          <w:color w:val="000000"/>
        </w:rPr>
      </w:pPr>
      <w:r w:rsidRPr="007923CC">
        <w:rPr>
          <w:rStyle w:val="FootnoteReference"/>
          <w:color w:val="000000"/>
        </w:rPr>
        <w:footnoteRef/>
      </w:r>
      <w:r w:rsidRPr="007923CC">
        <w:rPr>
          <w:color w:val="000000"/>
        </w:rPr>
        <w:t xml:space="preserve"> </w:t>
      </w:r>
      <w:r w:rsidRPr="007923CC">
        <w:rPr>
          <w:i/>
          <w:color w:val="000000"/>
        </w:rPr>
        <w:t>PC</w:t>
      </w:r>
      <w:r w:rsidRPr="007923CC">
        <w:rPr>
          <w:color w:val="000000"/>
        </w:rPr>
        <w:t xml:space="preserve"> (n 14).</w:t>
      </w:r>
    </w:p>
  </w:footnote>
  <w:footnote w:id="23">
    <w:p w14:paraId="7493C8D1" w14:textId="77777777" w:rsidR="009252F5" w:rsidRPr="005514DF" w:rsidRDefault="009252F5" w:rsidP="00666726">
      <w:pPr>
        <w:pStyle w:val="FootnoteText"/>
      </w:pPr>
      <w:r w:rsidRPr="005514DF">
        <w:rPr>
          <w:rStyle w:val="FootnoteReference"/>
        </w:rPr>
        <w:footnoteRef/>
      </w:r>
      <w:r w:rsidRPr="005514DF">
        <w:t xml:space="preserve"> </w:t>
      </w:r>
      <w:r w:rsidRPr="005514DF">
        <w:rPr>
          <w:i/>
        </w:rPr>
        <w:t>Re PL</w:t>
      </w:r>
      <w:r w:rsidRPr="005514DF">
        <w:t xml:space="preserve"> [2015] EWCOP 44.</w:t>
      </w:r>
    </w:p>
  </w:footnote>
  <w:footnote w:id="24">
    <w:p w14:paraId="7493C8D2" w14:textId="77777777" w:rsidR="009252F5" w:rsidRPr="005514DF" w:rsidRDefault="009252F5" w:rsidP="00666726">
      <w:pPr>
        <w:pStyle w:val="FootnoteText"/>
      </w:pPr>
      <w:r w:rsidRPr="005514DF">
        <w:rPr>
          <w:rStyle w:val="FootnoteReference"/>
        </w:rPr>
        <w:footnoteRef/>
      </w:r>
      <w:r w:rsidRPr="005514DF">
        <w:t xml:space="preserve"> </w:t>
      </w:r>
      <w:r w:rsidRPr="005514DF">
        <w:rPr>
          <w:i/>
        </w:rPr>
        <w:t>The NHS Acute Trust v C</w:t>
      </w:r>
      <w:r w:rsidRPr="005514DF">
        <w:t xml:space="preserve"> [2016] EWCOP 17.</w:t>
      </w:r>
    </w:p>
  </w:footnote>
  <w:footnote w:id="25">
    <w:p w14:paraId="7493C8D3" w14:textId="77777777" w:rsidR="009252F5" w:rsidRPr="005514DF" w:rsidRDefault="009252F5" w:rsidP="00FF5B5D">
      <w:pPr>
        <w:pStyle w:val="FootnoteText"/>
      </w:pPr>
      <w:r w:rsidRPr="005514DF">
        <w:rPr>
          <w:rStyle w:val="FootnoteReference"/>
        </w:rPr>
        <w:footnoteRef/>
      </w:r>
      <w:r w:rsidRPr="005514DF">
        <w:t xml:space="preserve"> Mary Donnelly, </w:t>
      </w:r>
      <w:r w:rsidRPr="005514DF">
        <w:rPr>
          <w:i/>
        </w:rPr>
        <w:t>Healthcare Decision-Making and the Law: Autonomy, Capacity, and the Limits of Liberalism</w:t>
      </w:r>
      <w:r w:rsidRPr="005514DF">
        <w:t xml:space="preserve"> (Cambridge University Press: Cambridge, 2010) 90.</w:t>
      </w:r>
    </w:p>
  </w:footnote>
  <w:footnote w:id="26">
    <w:p w14:paraId="7493C8D4" w14:textId="77777777" w:rsidR="009252F5" w:rsidRPr="005514DF" w:rsidRDefault="009252F5" w:rsidP="00FF5B5D">
      <w:pPr>
        <w:pStyle w:val="FootnoteText"/>
      </w:pPr>
      <w:r w:rsidRPr="005514DF">
        <w:rPr>
          <w:rStyle w:val="FootnoteReference"/>
        </w:rPr>
        <w:footnoteRef/>
      </w:r>
      <w:r w:rsidRPr="005514DF">
        <w:t xml:space="preserve"> </w:t>
      </w:r>
      <w:r w:rsidRPr="005514DF">
        <w:rPr>
          <w:i/>
        </w:rPr>
        <w:t>Airedale NHS Trust v Bland</w:t>
      </w:r>
      <w:r w:rsidRPr="005514DF">
        <w:t xml:space="preserve"> [1993] AC 789 (HL) 891.</w:t>
      </w:r>
    </w:p>
  </w:footnote>
  <w:footnote w:id="27">
    <w:p w14:paraId="7493C8D5" w14:textId="77777777" w:rsidR="009252F5" w:rsidRPr="005514DF" w:rsidRDefault="009252F5">
      <w:pPr>
        <w:pStyle w:val="FootnoteText"/>
      </w:pPr>
      <w:r w:rsidRPr="005514DF">
        <w:rPr>
          <w:rStyle w:val="FootnoteReference"/>
        </w:rPr>
        <w:footnoteRef/>
      </w:r>
      <w:r w:rsidRPr="005514DF">
        <w:t xml:space="preserve"> </w:t>
      </w:r>
      <w:r w:rsidRPr="005514DF">
        <w:rPr>
          <w:i/>
        </w:rPr>
        <w:t xml:space="preserve">Ibid </w:t>
      </w:r>
      <w:r w:rsidRPr="005514DF">
        <w:t>892.</w:t>
      </w:r>
    </w:p>
  </w:footnote>
  <w:footnote w:id="28">
    <w:p w14:paraId="7493C8D6" w14:textId="77777777" w:rsidR="009252F5" w:rsidRPr="005514DF" w:rsidRDefault="009252F5">
      <w:pPr>
        <w:pStyle w:val="FootnoteText"/>
      </w:pPr>
      <w:r w:rsidRPr="005514DF">
        <w:rPr>
          <w:rStyle w:val="FootnoteReference"/>
        </w:rPr>
        <w:footnoteRef/>
      </w:r>
      <w:r w:rsidRPr="005514DF">
        <w:t xml:space="preserve"> [1994] 1 WLR 290 (</w:t>
      </w:r>
      <w:proofErr w:type="gramStart"/>
      <w:r w:rsidRPr="005514DF">
        <w:t>Fam</w:t>
      </w:r>
      <w:proofErr w:type="gramEnd"/>
      <w:r w:rsidRPr="005514DF">
        <w:t>) 292 (Thorpe J).</w:t>
      </w:r>
    </w:p>
  </w:footnote>
  <w:footnote w:id="29">
    <w:p w14:paraId="7493C8D7" w14:textId="77777777" w:rsidR="009252F5" w:rsidRPr="005514DF" w:rsidRDefault="009252F5" w:rsidP="00FF5B5D">
      <w:pPr>
        <w:pStyle w:val="FootnoteText"/>
      </w:pPr>
      <w:r w:rsidRPr="005514DF">
        <w:rPr>
          <w:rStyle w:val="FootnoteReference"/>
        </w:rPr>
        <w:footnoteRef/>
      </w:r>
      <w:r w:rsidRPr="005514DF">
        <w:t xml:space="preserve"> [1997] EWCA Civ 3093, [1997] 2 FCR 541, 555.</w:t>
      </w:r>
    </w:p>
  </w:footnote>
  <w:footnote w:id="30">
    <w:p w14:paraId="7493C8D8" w14:textId="77777777" w:rsidR="009252F5" w:rsidRPr="005514DF" w:rsidRDefault="009252F5" w:rsidP="00FF5B5D">
      <w:pPr>
        <w:pStyle w:val="FootnoteText"/>
      </w:pPr>
      <w:r w:rsidRPr="005514DF">
        <w:rPr>
          <w:rStyle w:val="FootnoteReference"/>
        </w:rPr>
        <w:footnoteRef/>
      </w:r>
      <w:r w:rsidRPr="005514DF">
        <w:rPr>
          <w:rFonts w:cs="Minion Pro"/>
        </w:rPr>
        <w:t xml:space="preserve"> Law Commission, </w:t>
      </w:r>
      <w:r w:rsidRPr="005514DF">
        <w:rPr>
          <w:rFonts w:cs="Minion Pro"/>
          <w:i/>
          <w:iCs/>
        </w:rPr>
        <w:t xml:space="preserve">Mental Incapacity </w:t>
      </w:r>
      <w:r w:rsidRPr="005514DF">
        <w:rPr>
          <w:rFonts w:cs="Minion Pro"/>
        </w:rPr>
        <w:t xml:space="preserve">(Law Com No 231, 1995) </w:t>
      </w:r>
      <w:r w:rsidRPr="005514DF">
        <w:t>para 9.10.</w:t>
      </w:r>
    </w:p>
  </w:footnote>
  <w:footnote w:id="31">
    <w:p w14:paraId="7493C8D9" w14:textId="77777777" w:rsidR="009252F5" w:rsidRPr="005514DF" w:rsidRDefault="009252F5">
      <w:pPr>
        <w:pStyle w:val="FootnoteText"/>
      </w:pPr>
      <w:r w:rsidRPr="005514DF">
        <w:rPr>
          <w:rStyle w:val="FootnoteReference"/>
        </w:rPr>
        <w:footnoteRef/>
      </w:r>
      <w:r w:rsidRPr="005514DF">
        <w:t xml:space="preserve"> MCA s2(1): ‘A person lacks capacity in relation to a matter if at the material time he is unable to make a decision for himself in relation to the matter because of an impairment of, or a disturbance in the functioning of, the mind or brain’. ‘Unable to make a decision’ is further defined in </w:t>
      </w:r>
      <w:proofErr w:type="gramStart"/>
      <w:r w:rsidRPr="005514DF">
        <w:t>s3(</w:t>
      </w:r>
      <w:proofErr w:type="gramEnd"/>
      <w:r w:rsidRPr="005514DF">
        <w:t>1) as an inability to understand, retain, or ‘use or weigh’ the information relevant to the decision, or an inability to communicate the decision.</w:t>
      </w:r>
    </w:p>
  </w:footnote>
  <w:footnote w:id="32">
    <w:p w14:paraId="7493C8DA" w14:textId="77777777" w:rsidR="009252F5" w:rsidRPr="005514DF" w:rsidRDefault="009252F5">
      <w:pPr>
        <w:pStyle w:val="FootnoteText"/>
      </w:pPr>
      <w:r w:rsidRPr="005514DF">
        <w:rPr>
          <w:rStyle w:val="FootnoteReference"/>
        </w:rPr>
        <w:footnoteRef/>
      </w:r>
      <w:r w:rsidRPr="005514DF">
        <w:t xml:space="preserve"> HL Deb 10 January 2005, vol 668, col 12 (Lord Falconer LC).</w:t>
      </w:r>
    </w:p>
  </w:footnote>
  <w:footnote w:id="33">
    <w:p w14:paraId="7493C8DB" w14:textId="77777777" w:rsidR="009252F5" w:rsidRPr="005514DF" w:rsidRDefault="009252F5">
      <w:pPr>
        <w:pStyle w:val="FootnoteText"/>
      </w:pPr>
      <w:r w:rsidRPr="005514DF">
        <w:rPr>
          <w:rStyle w:val="FootnoteReference"/>
        </w:rPr>
        <w:footnoteRef/>
      </w:r>
      <w:r w:rsidRPr="005514DF">
        <w:t xml:space="preserve"> MCA </w:t>
      </w:r>
      <w:proofErr w:type="gramStart"/>
      <w:r w:rsidRPr="005514DF">
        <w:t>s2(</w:t>
      </w:r>
      <w:proofErr w:type="gramEnd"/>
      <w:r w:rsidRPr="005514DF">
        <w:t>1).</w:t>
      </w:r>
    </w:p>
  </w:footnote>
  <w:footnote w:id="34">
    <w:p w14:paraId="7493C8DC" w14:textId="77777777" w:rsidR="009252F5" w:rsidRPr="005514DF" w:rsidRDefault="009252F5" w:rsidP="0012028F">
      <w:pPr>
        <w:pStyle w:val="FootnoteText"/>
      </w:pPr>
      <w:r w:rsidRPr="005514DF">
        <w:rPr>
          <w:rStyle w:val="FootnoteReference"/>
        </w:rPr>
        <w:footnoteRef/>
      </w:r>
      <w:r w:rsidRPr="005514DF">
        <w:t xml:space="preserve"> Department for Constitutional Affairs, </w:t>
      </w:r>
      <w:r w:rsidRPr="005514DF">
        <w:rPr>
          <w:i/>
        </w:rPr>
        <w:t>The Mental Capacity Act 2005 Code of Practice</w:t>
      </w:r>
      <w:r w:rsidRPr="005514DF">
        <w:t xml:space="preserve"> (The Stationery Office: London, 2007) para 1.2.</w:t>
      </w:r>
    </w:p>
  </w:footnote>
  <w:footnote w:id="35">
    <w:p w14:paraId="7493C8DD" w14:textId="77777777" w:rsidR="009252F5" w:rsidRPr="005514DF" w:rsidRDefault="009252F5">
      <w:pPr>
        <w:pStyle w:val="FootnoteText"/>
      </w:pPr>
      <w:r w:rsidRPr="005514DF">
        <w:rPr>
          <w:rStyle w:val="FootnoteReference"/>
        </w:rPr>
        <w:footnoteRef/>
      </w:r>
      <w:r w:rsidRPr="005514DF">
        <w:t xml:space="preserve"> MCA </w:t>
      </w:r>
      <w:proofErr w:type="gramStart"/>
      <w:r w:rsidRPr="005514DF">
        <w:t>s2(</w:t>
      </w:r>
      <w:proofErr w:type="gramEnd"/>
      <w:r w:rsidRPr="005514DF">
        <w:t>1).</w:t>
      </w:r>
    </w:p>
  </w:footnote>
  <w:footnote w:id="36">
    <w:p w14:paraId="7493C8DE" w14:textId="77777777" w:rsidR="009252F5" w:rsidRPr="005514DF" w:rsidRDefault="009252F5">
      <w:pPr>
        <w:pStyle w:val="FootnoteText"/>
      </w:pPr>
      <w:r w:rsidRPr="005514DF">
        <w:rPr>
          <w:rStyle w:val="FootnoteReference"/>
        </w:rPr>
        <w:footnoteRef/>
      </w:r>
      <w:r w:rsidRPr="005514DF">
        <w:t xml:space="preserve"> </w:t>
      </w:r>
      <w:r w:rsidRPr="005514DF">
        <w:rPr>
          <w:i/>
        </w:rPr>
        <w:t>Ibid</w:t>
      </w:r>
      <w:r w:rsidRPr="005514DF">
        <w:t xml:space="preserve"> s5.</w:t>
      </w:r>
    </w:p>
  </w:footnote>
  <w:footnote w:id="37">
    <w:p w14:paraId="7493C8DF" w14:textId="77777777" w:rsidR="009252F5" w:rsidRPr="005514DF" w:rsidRDefault="009252F5">
      <w:pPr>
        <w:pStyle w:val="FootnoteText"/>
      </w:pPr>
      <w:r w:rsidRPr="005514DF">
        <w:rPr>
          <w:rStyle w:val="FootnoteReference"/>
        </w:rPr>
        <w:footnoteRef/>
      </w:r>
      <w:r w:rsidRPr="005514DF">
        <w:t xml:space="preserve"> </w:t>
      </w:r>
      <w:r w:rsidRPr="005514DF">
        <w:rPr>
          <w:i/>
        </w:rPr>
        <w:t xml:space="preserve">Ibid </w:t>
      </w:r>
      <w:r w:rsidRPr="005514DF">
        <w:t>s9.</w:t>
      </w:r>
    </w:p>
  </w:footnote>
  <w:footnote w:id="38">
    <w:p w14:paraId="7493C8E0" w14:textId="77777777" w:rsidR="009252F5" w:rsidRPr="005514DF" w:rsidRDefault="009252F5">
      <w:pPr>
        <w:pStyle w:val="FootnoteText"/>
      </w:pPr>
      <w:r w:rsidRPr="005514DF">
        <w:rPr>
          <w:rStyle w:val="FootnoteReference"/>
        </w:rPr>
        <w:footnoteRef/>
      </w:r>
      <w:r w:rsidRPr="005514DF">
        <w:t xml:space="preserve"> </w:t>
      </w:r>
      <w:r w:rsidRPr="005514DF">
        <w:rPr>
          <w:i/>
        </w:rPr>
        <w:t>Ibid</w:t>
      </w:r>
      <w:r w:rsidRPr="005514DF">
        <w:t xml:space="preserve"> s16.</w:t>
      </w:r>
    </w:p>
  </w:footnote>
  <w:footnote w:id="39">
    <w:p w14:paraId="7493C8E1" w14:textId="77777777" w:rsidR="009252F5" w:rsidRPr="005514DF" w:rsidRDefault="009252F5">
      <w:pPr>
        <w:pStyle w:val="FootnoteText"/>
      </w:pPr>
      <w:r w:rsidRPr="005514DF">
        <w:rPr>
          <w:rStyle w:val="FootnoteReference"/>
        </w:rPr>
        <w:footnoteRef/>
      </w:r>
      <w:r w:rsidRPr="005514DF">
        <w:t xml:space="preserve"> </w:t>
      </w:r>
      <w:r w:rsidRPr="005514DF">
        <w:rPr>
          <w:i/>
        </w:rPr>
        <w:t>Ibid</w:t>
      </w:r>
      <w:r w:rsidRPr="005514DF">
        <w:t xml:space="preserve"> s24.</w:t>
      </w:r>
    </w:p>
  </w:footnote>
  <w:footnote w:id="40">
    <w:p w14:paraId="7493C8E2" w14:textId="77777777" w:rsidR="009252F5" w:rsidRPr="005514DF" w:rsidRDefault="009252F5" w:rsidP="005537AB">
      <w:pPr>
        <w:pStyle w:val="FootnoteText"/>
      </w:pPr>
      <w:r w:rsidRPr="005514DF">
        <w:rPr>
          <w:rStyle w:val="FootnoteReference"/>
        </w:rPr>
        <w:footnoteRef/>
      </w:r>
      <w:r w:rsidRPr="005514DF">
        <w:t xml:space="preserve"> </w:t>
      </w:r>
      <w:r w:rsidRPr="005514DF">
        <w:rPr>
          <w:i/>
        </w:rPr>
        <w:t>Ibid</w:t>
      </w:r>
      <w:r w:rsidRPr="005514DF">
        <w:t xml:space="preserve"> s48.</w:t>
      </w:r>
    </w:p>
  </w:footnote>
  <w:footnote w:id="41">
    <w:p w14:paraId="7493C8E3" w14:textId="77777777" w:rsidR="009252F5" w:rsidRPr="005514DF" w:rsidRDefault="009252F5" w:rsidP="00415A53">
      <w:pPr>
        <w:pStyle w:val="FootnoteText"/>
      </w:pPr>
      <w:r w:rsidRPr="005514DF">
        <w:rPr>
          <w:rStyle w:val="FootnoteReference"/>
        </w:rPr>
        <w:footnoteRef/>
      </w:r>
      <w:r w:rsidRPr="005514DF">
        <w:t xml:space="preserve"> [2006] EWCA Civ 51, [2006] CP Rep 26 [105]. She continues, ‘although no court should rush to interfere with the power of an individual who is competent to make decisions, it must not shirk the duty of intervening where an individual is not so capable and needs to be protected by the law’.</w:t>
      </w:r>
    </w:p>
  </w:footnote>
  <w:footnote w:id="42">
    <w:p w14:paraId="7493C8E4" w14:textId="7C964151" w:rsidR="009252F5" w:rsidRPr="005514DF" w:rsidRDefault="009252F5" w:rsidP="00AA2102">
      <w:pPr>
        <w:pStyle w:val="FootnoteText"/>
      </w:pPr>
      <w:r w:rsidRPr="005514DF">
        <w:rPr>
          <w:rStyle w:val="FootnoteReference"/>
        </w:rPr>
        <w:footnoteRef/>
      </w:r>
      <w:r w:rsidRPr="005514DF">
        <w:t xml:space="preserve"> (n 14) [53] (</w:t>
      </w:r>
      <w:proofErr w:type="gramStart"/>
      <w:r w:rsidRPr="005514DF">
        <w:t>emphasis</w:t>
      </w:r>
      <w:proofErr w:type="gramEnd"/>
      <w:r w:rsidRPr="005514DF">
        <w:t xml:space="preserve"> in original).</w:t>
      </w:r>
    </w:p>
  </w:footnote>
  <w:footnote w:id="43">
    <w:p w14:paraId="7493C8E5" w14:textId="00361297" w:rsidR="009252F5" w:rsidRPr="005514DF" w:rsidRDefault="009252F5">
      <w:pPr>
        <w:pStyle w:val="FootnoteText"/>
      </w:pPr>
      <w:r w:rsidRPr="005514DF">
        <w:rPr>
          <w:rStyle w:val="FootnoteReference"/>
        </w:rPr>
        <w:footnoteRef/>
      </w:r>
      <w:r w:rsidRPr="005514DF">
        <w:t xml:space="preserve"> [2014] EWCOP 1317</w:t>
      </w:r>
      <w:r>
        <w:t>,</w:t>
      </w:r>
      <w:r w:rsidRPr="005514DF">
        <w:t xml:space="preserve"> [2014] COPLR 468 [42].</w:t>
      </w:r>
    </w:p>
  </w:footnote>
  <w:footnote w:id="44">
    <w:p w14:paraId="7493C8E6" w14:textId="77777777" w:rsidR="009252F5" w:rsidRPr="005514DF" w:rsidRDefault="009252F5">
      <w:pPr>
        <w:pStyle w:val="FootnoteText"/>
      </w:pPr>
      <w:r w:rsidRPr="005514DF">
        <w:rPr>
          <w:rStyle w:val="FootnoteReference"/>
        </w:rPr>
        <w:footnoteRef/>
      </w:r>
      <w:r w:rsidRPr="005514DF">
        <w:t xml:space="preserve"> </w:t>
      </w:r>
      <w:r w:rsidRPr="005514DF">
        <w:rPr>
          <w:i/>
        </w:rPr>
        <w:t>Ibid</w:t>
      </w:r>
      <w:r w:rsidRPr="005514DF">
        <w:t xml:space="preserve"> [8] citing Mill (n 12) 80.</w:t>
      </w:r>
    </w:p>
  </w:footnote>
  <w:footnote w:id="45">
    <w:p w14:paraId="7493C8E7" w14:textId="77777777" w:rsidR="009252F5" w:rsidRPr="005514DF" w:rsidRDefault="009252F5" w:rsidP="00FF5B5D">
      <w:pPr>
        <w:pStyle w:val="FootnoteText"/>
      </w:pPr>
      <w:r w:rsidRPr="005514DF">
        <w:rPr>
          <w:rStyle w:val="FootnoteReference"/>
        </w:rPr>
        <w:footnoteRef/>
      </w:r>
      <w:r w:rsidRPr="005514DF">
        <w:rPr>
          <w:i/>
        </w:rPr>
        <w:t xml:space="preserve"> </w:t>
      </w:r>
      <w:r w:rsidRPr="005514DF">
        <w:t>[2010] EWCA Civ 343, [2010] 1 WLR 2262 [18] (Lord Judge CJ).</w:t>
      </w:r>
    </w:p>
  </w:footnote>
  <w:footnote w:id="46">
    <w:p w14:paraId="7493C8E8" w14:textId="77777777" w:rsidR="009252F5" w:rsidRPr="005514DF" w:rsidRDefault="009252F5">
      <w:pPr>
        <w:pStyle w:val="FootnoteText"/>
      </w:pPr>
      <w:r w:rsidRPr="005514DF">
        <w:rPr>
          <w:rStyle w:val="FootnoteReference"/>
        </w:rPr>
        <w:footnoteRef/>
      </w:r>
      <w:r w:rsidRPr="005514DF">
        <w:t xml:space="preserve"> [2012] EWCOP 1639, 2 FCR 523 [125] (Peter Jackson J).</w:t>
      </w:r>
    </w:p>
  </w:footnote>
  <w:footnote w:id="47">
    <w:p w14:paraId="7493C8E9" w14:textId="77777777" w:rsidR="009252F5" w:rsidRPr="005514DF" w:rsidRDefault="009252F5">
      <w:pPr>
        <w:pStyle w:val="FootnoteText"/>
      </w:pPr>
      <w:r w:rsidRPr="005514DF">
        <w:rPr>
          <w:rStyle w:val="FootnoteReference"/>
        </w:rPr>
        <w:footnoteRef/>
      </w:r>
      <w:r w:rsidRPr="005514DF">
        <w:t xml:space="preserve"> </w:t>
      </w:r>
      <w:r w:rsidRPr="005514DF">
        <w:rPr>
          <w:i/>
        </w:rPr>
        <w:t>Ibid</w:t>
      </w:r>
      <w:r w:rsidRPr="005514DF">
        <w:t xml:space="preserve"> [5].</w:t>
      </w:r>
    </w:p>
  </w:footnote>
  <w:footnote w:id="48">
    <w:p w14:paraId="7493C8EA" w14:textId="77777777" w:rsidR="009252F5" w:rsidRPr="005514DF" w:rsidRDefault="009252F5">
      <w:pPr>
        <w:pStyle w:val="FootnoteText"/>
      </w:pPr>
      <w:r w:rsidRPr="005514DF">
        <w:rPr>
          <w:rStyle w:val="FootnoteReference"/>
        </w:rPr>
        <w:footnoteRef/>
      </w:r>
      <w:r w:rsidRPr="005514DF">
        <w:t xml:space="preserve"> In </w:t>
      </w:r>
      <w:r w:rsidRPr="005514DF">
        <w:rPr>
          <w:i/>
        </w:rPr>
        <w:t>PC,</w:t>
      </w:r>
      <w:r w:rsidRPr="005514DF">
        <w:t xml:space="preserve"> the unwise decision was to live with her husband, who had a history of serious sexual offences. In </w:t>
      </w:r>
      <w:r w:rsidRPr="005514DF">
        <w:rPr>
          <w:i/>
        </w:rPr>
        <w:t>RC,</w:t>
      </w:r>
      <w:r w:rsidRPr="005514DF">
        <w:t xml:space="preserve"> it was refusal of blood transfusions when they might be clinically indicated.</w:t>
      </w:r>
    </w:p>
  </w:footnote>
  <w:footnote w:id="49">
    <w:p w14:paraId="7493C8EB" w14:textId="2857CA75" w:rsidR="009252F5" w:rsidRPr="005514DF" w:rsidRDefault="009252F5">
      <w:pPr>
        <w:pStyle w:val="FootnoteText"/>
      </w:pPr>
      <w:r w:rsidRPr="005514DF">
        <w:rPr>
          <w:rStyle w:val="FootnoteReference"/>
        </w:rPr>
        <w:footnoteRef/>
      </w:r>
      <w:r w:rsidRPr="005514DF">
        <w:t xml:space="preserve"> In </w:t>
      </w:r>
      <w:r w:rsidRPr="005514DF">
        <w:rPr>
          <w:i/>
        </w:rPr>
        <w:t xml:space="preserve">RC, </w:t>
      </w:r>
      <w:r w:rsidRPr="005514DF">
        <w:t>Mostyn J does mention the inherent jurisdiction of the High Court, discussed in the next section; but neither applies it nor gives reasons why it cannot be applied (n 4</w:t>
      </w:r>
      <w:r>
        <w:t>3</w:t>
      </w:r>
      <w:r w:rsidRPr="005514DF">
        <w:t>) [13].</w:t>
      </w:r>
    </w:p>
  </w:footnote>
  <w:footnote w:id="50">
    <w:p w14:paraId="7493C8EC" w14:textId="77777777" w:rsidR="009252F5" w:rsidRPr="005514DF" w:rsidRDefault="009252F5">
      <w:pPr>
        <w:pStyle w:val="FootnoteText"/>
      </w:pPr>
      <w:r w:rsidRPr="005514DF">
        <w:rPr>
          <w:rStyle w:val="FootnoteReference"/>
        </w:rPr>
        <w:footnoteRef/>
      </w:r>
      <w:r w:rsidRPr="005514DF">
        <w:t xml:space="preserve"> (n 14)</w:t>
      </w:r>
      <w:r w:rsidRPr="005514DF">
        <w:rPr>
          <w:i/>
        </w:rPr>
        <w:t xml:space="preserve"> </w:t>
      </w:r>
      <w:r w:rsidRPr="005514DF">
        <w:t>[64] (Lewison LJ).</w:t>
      </w:r>
    </w:p>
  </w:footnote>
  <w:footnote w:id="51">
    <w:p w14:paraId="7493C8ED" w14:textId="7AFAFA40" w:rsidR="009252F5" w:rsidRPr="005514DF" w:rsidRDefault="009252F5">
      <w:pPr>
        <w:pStyle w:val="FootnoteText"/>
      </w:pPr>
      <w:r w:rsidRPr="005514DF">
        <w:rPr>
          <w:rStyle w:val="FootnoteReference"/>
        </w:rPr>
        <w:footnoteRef/>
      </w:r>
      <w:r w:rsidRPr="005514DF">
        <w:t xml:space="preserve"> (n 4</w:t>
      </w:r>
      <w:r>
        <w:t>6</w:t>
      </w:r>
      <w:r w:rsidRPr="005514DF">
        <w:t>) [122] (Peter Jackson J).</w:t>
      </w:r>
    </w:p>
  </w:footnote>
  <w:footnote w:id="52">
    <w:p w14:paraId="7493C8EE" w14:textId="77777777" w:rsidR="009252F5" w:rsidRPr="005514DF" w:rsidRDefault="009252F5">
      <w:pPr>
        <w:pStyle w:val="FootnoteText"/>
      </w:pPr>
      <w:r w:rsidRPr="005514DF">
        <w:rPr>
          <w:rStyle w:val="FootnoteReference"/>
        </w:rPr>
        <w:footnoteRef/>
      </w:r>
      <w:r w:rsidRPr="005514DF">
        <w:t xml:space="preserve"> [2016] EWCOP 10; [2016] COPLR 187.</w:t>
      </w:r>
    </w:p>
  </w:footnote>
  <w:footnote w:id="53">
    <w:p w14:paraId="7493C8EF" w14:textId="77777777" w:rsidR="009252F5" w:rsidRPr="005514DF" w:rsidRDefault="009252F5">
      <w:pPr>
        <w:pStyle w:val="FootnoteText"/>
      </w:pPr>
      <w:r w:rsidRPr="005514DF">
        <w:rPr>
          <w:rStyle w:val="FootnoteReference"/>
        </w:rPr>
        <w:footnoteRef/>
      </w:r>
      <w:r w:rsidRPr="005514DF">
        <w:t xml:space="preserve"> </w:t>
      </w:r>
      <w:r w:rsidRPr="005514DF">
        <w:rPr>
          <w:i/>
        </w:rPr>
        <w:t xml:space="preserve">Ibid </w:t>
      </w:r>
      <w:r w:rsidRPr="005514DF">
        <w:t>[21].</w:t>
      </w:r>
    </w:p>
  </w:footnote>
  <w:footnote w:id="54">
    <w:p w14:paraId="7493C8F0" w14:textId="226BADB0" w:rsidR="009252F5" w:rsidRPr="005514DF" w:rsidRDefault="009252F5" w:rsidP="00EA32C9">
      <w:pPr>
        <w:pStyle w:val="FootnoteText"/>
      </w:pPr>
      <w:r w:rsidRPr="005514DF">
        <w:rPr>
          <w:rStyle w:val="FootnoteReference"/>
        </w:rPr>
        <w:footnoteRef/>
      </w:r>
      <w:r w:rsidRPr="005514DF">
        <w:t xml:space="preserve"> [2009] UKHL 42, [2010] Crim LR 75 [27]. This criminal case was decided under the Sexual Offences Act 2003, but the quote is from a section that draws extensively on the MCA. ‘Capacity’ is effectively the same in ‘civil and criminal jurisprudence’: </w:t>
      </w:r>
      <w:r w:rsidRPr="005514DF">
        <w:rPr>
          <w:i/>
        </w:rPr>
        <w:t>R v A</w:t>
      </w:r>
      <w:r w:rsidRPr="005514DF">
        <w:t xml:space="preserve"> [2014] EWCA Crim 299, [2014] 1 WLR 2469 [25] (Macur LJ). For largely pragmatic reasons, however, the test for</w:t>
      </w:r>
      <w:r>
        <w:t xml:space="preserve"> capacity to</w:t>
      </w:r>
      <w:r w:rsidRPr="005514DF">
        <w:t xml:space="preserve"> consent to sex is treated differently. As criminal cases concern a particular past event</w:t>
      </w:r>
      <w:r>
        <w:t>,</w:t>
      </w:r>
      <w:r w:rsidRPr="005514DF">
        <w:t xml:space="preserve"> they assess the person’s capacity to consent to sex with a particular other person; but as civil cases concern a person’s future sexual encounters</w:t>
      </w:r>
      <w:r>
        <w:t>,</w:t>
      </w:r>
      <w:r w:rsidRPr="005514DF">
        <w:t xml:space="preserve"> they assess capacity to consent to sex ‘on a general and non-specific basis’</w:t>
      </w:r>
      <w:r w:rsidRPr="005514DF">
        <w:rPr>
          <w:i/>
        </w:rPr>
        <w:t xml:space="preserve"> IM v LM </w:t>
      </w:r>
      <w:r w:rsidRPr="005514DF">
        <w:t>[2014] EWCA Civ 37, [2015] Fam 61 [77] (Leveson P).</w:t>
      </w:r>
    </w:p>
  </w:footnote>
  <w:footnote w:id="55">
    <w:p w14:paraId="7493C8F1" w14:textId="77777777" w:rsidR="009252F5" w:rsidRPr="005514DF" w:rsidRDefault="009252F5" w:rsidP="00C673CC">
      <w:pPr>
        <w:pStyle w:val="FootnoteText"/>
      </w:pPr>
      <w:r w:rsidRPr="005514DF">
        <w:rPr>
          <w:rStyle w:val="FootnoteReference"/>
        </w:rPr>
        <w:footnoteRef/>
      </w:r>
      <w:r w:rsidRPr="005514DF">
        <w:t xml:space="preserve"> [1992] EWCA Civ 18, [1993] </w:t>
      </w:r>
      <w:proofErr w:type="gramStart"/>
      <w:r w:rsidRPr="005514DF">
        <w:t>Fam</w:t>
      </w:r>
      <w:proofErr w:type="gramEnd"/>
      <w:r w:rsidRPr="005514DF">
        <w:t xml:space="preserve"> 95 [37].</w:t>
      </w:r>
    </w:p>
  </w:footnote>
  <w:footnote w:id="56">
    <w:p w14:paraId="7493C8F2" w14:textId="77777777" w:rsidR="009252F5" w:rsidRPr="005514DF" w:rsidRDefault="009252F5">
      <w:pPr>
        <w:pStyle w:val="FootnoteText"/>
      </w:pPr>
      <w:r w:rsidRPr="005514DF">
        <w:rPr>
          <w:rStyle w:val="FootnoteReference"/>
        </w:rPr>
        <w:footnoteRef/>
      </w:r>
      <w:r w:rsidRPr="005514DF">
        <w:t xml:space="preserve"> </w:t>
      </w:r>
      <w:r w:rsidRPr="005514DF">
        <w:rPr>
          <w:i/>
        </w:rPr>
        <w:t xml:space="preserve">Ibid </w:t>
      </w:r>
      <w:r w:rsidRPr="005514DF">
        <w:t>[41] (Butler-Sloss LJ).</w:t>
      </w:r>
    </w:p>
  </w:footnote>
  <w:footnote w:id="57">
    <w:p w14:paraId="7493C8F3" w14:textId="77777777" w:rsidR="009252F5" w:rsidRPr="005514DF" w:rsidRDefault="009252F5">
      <w:pPr>
        <w:pStyle w:val="FootnoteText"/>
        <w:rPr>
          <w:i/>
        </w:rPr>
      </w:pPr>
      <w:r w:rsidRPr="005514DF">
        <w:rPr>
          <w:rStyle w:val="FootnoteReference"/>
        </w:rPr>
        <w:footnoteRef/>
      </w:r>
      <w:r w:rsidRPr="005514DF">
        <w:t xml:space="preserve"> </w:t>
      </w:r>
      <w:r w:rsidRPr="005514DF">
        <w:rPr>
          <w:i/>
        </w:rPr>
        <w:t>Ibid.</w:t>
      </w:r>
    </w:p>
  </w:footnote>
  <w:footnote w:id="58">
    <w:p w14:paraId="7493C8F4" w14:textId="77777777" w:rsidR="009252F5" w:rsidRPr="005514DF" w:rsidRDefault="009252F5">
      <w:pPr>
        <w:pStyle w:val="FootnoteText"/>
      </w:pPr>
      <w:r w:rsidRPr="005514DF">
        <w:rPr>
          <w:rStyle w:val="FootnoteReference"/>
        </w:rPr>
        <w:footnoteRef/>
      </w:r>
      <w:r w:rsidRPr="005514DF">
        <w:t xml:space="preserve"> This is not to say that the gatekeeper account replaced the insufficiency account. The two coexist.</w:t>
      </w:r>
    </w:p>
  </w:footnote>
  <w:footnote w:id="59">
    <w:p w14:paraId="7493C8F5" w14:textId="3B0F3C40" w:rsidR="009252F5" w:rsidRPr="005514DF" w:rsidRDefault="009252F5">
      <w:pPr>
        <w:pStyle w:val="FootnoteText"/>
      </w:pPr>
      <w:r w:rsidRPr="005514DF">
        <w:rPr>
          <w:rStyle w:val="FootnoteReference"/>
        </w:rPr>
        <w:footnoteRef/>
      </w:r>
      <w:r w:rsidRPr="005514DF">
        <w:t xml:space="preserve"> </w:t>
      </w:r>
      <w:r w:rsidRPr="005514DF">
        <w:rPr>
          <w:i/>
        </w:rPr>
        <w:t>Re C</w:t>
      </w:r>
      <w:r w:rsidRPr="005514DF">
        <w:t xml:space="preserve"> (n 2</w:t>
      </w:r>
      <w:r>
        <w:t>8</w:t>
      </w:r>
      <w:r w:rsidRPr="005514DF">
        <w:t xml:space="preserve">) 294; </w:t>
      </w:r>
      <w:r w:rsidRPr="005514DF">
        <w:rPr>
          <w:i/>
        </w:rPr>
        <w:t xml:space="preserve">Re MB </w:t>
      </w:r>
      <w:r w:rsidRPr="005514DF">
        <w:t>(n 2</w:t>
      </w:r>
      <w:r>
        <w:t>9</w:t>
      </w:r>
      <w:r w:rsidRPr="005514DF">
        <w:t>) 549.</w:t>
      </w:r>
    </w:p>
  </w:footnote>
  <w:footnote w:id="60">
    <w:p w14:paraId="7493C8F6" w14:textId="52872FC0" w:rsidR="009252F5" w:rsidRPr="005514DF" w:rsidRDefault="009252F5">
      <w:pPr>
        <w:pStyle w:val="FootnoteText"/>
      </w:pPr>
      <w:r w:rsidRPr="005514DF">
        <w:rPr>
          <w:rStyle w:val="FootnoteReference"/>
        </w:rPr>
        <w:footnoteRef/>
      </w:r>
      <w:r w:rsidRPr="005514DF">
        <w:t xml:space="preserve"> </w:t>
      </w:r>
      <w:r w:rsidRPr="005514DF">
        <w:rPr>
          <w:i/>
        </w:rPr>
        <w:t xml:space="preserve">Re MB </w:t>
      </w:r>
      <w:r w:rsidRPr="005514DF">
        <w:t>(n 2</w:t>
      </w:r>
      <w:r>
        <w:t>9</w:t>
      </w:r>
      <w:r w:rsidRPr="005514DF">
        <w:t>)</w:t>
      </w:r>
      <w:r w:rsidRPr="005514DF">
        <w:rPr>
          <w:i/>
        </w:rPr>
        <w:t xml:space="preserve"> </w:t>
      </w:r>
      <w:r w:rsidRPr="005514DF">
        <w:t>555 (Butler-Sloss LJ) (emphasis added).</w:t>
      </w:r>
    </w:p>
  </w:footnote>
  <w:footnote w:id="61">
    <w:p w14:paraId="7493C8F7" w14:textId="273FC40D" w:rsidR="009252F5" w:rsidRPr="005514DF" w:rsidRDefault="009252F5">
      <w:pPr>
        <w:pStyle w:val="FootnoteText"/>
      </w:pPr>
      <w:r w:rsidRPr="005514DF">
        <w:rPr>
          <w:rStyle w:val="FootnoteReference"/>
        </w:rPr>
        <w:footnoteRef/>
      </w:r>
      <w:r w:rsidRPr="005514DF">
        <w:t xml:space="preserve"> </w:t>
      </w:r>
      <w:r w:rsidRPr="005514DF">
        <w:rPr>
          <w:i/>
        </w:rPr>
        <w:t>Re T</w:t>
      </w:r>
      <w:r w:rsidRPr="005514DF">
        <w:t xml:space="preserve"> (n 5</w:t>
      </w:r>
      <w:r>
        <w:t>5</w:t>
      </w:r>
      <w:r w:rsidRPr="005514DF">
        <w:t>) [37].</w:t>
      </w:r>
    </w:p>
  </w:footnote>
  <w:footnote w:id="62">
    <w:p w14:paraId="7493C8F8" w14:textId="3D70A0F5" w:rsidR="009252F5" w:rsidRPr="005514DF" w:rsidRDefault="009252F5">
      <w:pPr>
        <w:pStyle w:val="FootnoteText"/>
      </w:pPr>
      <w:r w:rsidRPr="005514DF">
        <w:rPr>
          <w:rStyle w:val="FootnoteReference"/>
        </w:rPr>
        <w:footnoteRef/>
      </w:r>
      <w:r w:rsidRPr="005514DF">
        <w:t xml:space="preserve"> Law Commission (n </w:t>
      </w:r>
      <w:r>
        <w:t>30</w:t>
      </w:r>
      <w:r w:rsidRPr="005514DF">
        <w:t xml:space="preserve">) para 3.17. This, incidentally, narrows the account of what counts as involuntariness. </w:t>
      </w:r>
      <w:r w:rsidRPr="005514DF">
        <w:rPr>
          <w:i/>
        </w:rPr>
        <w:t xml:space="preserve">Re T </w:t>
      </w:r>
      <w:r w:rsidRPr="005514DF">
        <w:t>allows that undue influence can also occur when the person can ‘think and decide’ but is merely attempting ‘</w:t>
      </w:r>
      <w:bookmarkStart w:id="4" w:name="para31"/>
      <w:r w:rsidRPr="005514DF">
        <w:t>to satisfy someone else</w:t>
      </w:r>
      <w:bookmarkEnd w:id="4"/>
      <w:r w:rsidRPr="005514DF">
        <w:t>’ as a result of their influence (n 5</w:t>
      </w:r>
      <w:r>
        <w:t>5</w:t>
      </w:r>
      <w:r w:rsidRPr="005514DF">
        <w:t>) [31].</w:t>
      </w:r>
    </w:p>
  </w:footnote>
  <w:footnote w:id="63">
    <w:p w14:paraId="7493C8F9" w14:textId="6E1663AA" w:rsidR="009252F5" w:rsidRPr="005514DF" w:rsidRDefault="009252F5">
      <w:pPr>
        <w:pStyle w:val="FootnoteText"/>
      </w:pPr>
      <w:r w:rsidRPr="005514DF">
        <w:rPr>
          <w:rStyle w:val="FootnoteReference"/>
        </w:rPr>
        <w:footnoteRef/>
      </w:r>
      <w:r w:rsidRPr="005514DF">
        <w:t xml:space="preserve"> Law Commission (n </w:t>
      </w:r>
      <w:r>
        <w:t>30</w:t>
      </w:r>
      <w:r w:rsidR="00B27E73">
        <w:t>)</w:t>
      </w:r>
      <w:r w:rsidRPr="005514DF">
        <w:rPr>
          <w:i/>
        </w:rPr>
        <w:t xml:space="preserve"> </w:t>
      </w:r>
      <w:proofErr w:type="gramStart"/>
      <w:r w:rsidRPr="005514DF">
        <w:t>s2(</w:t>
      </w:r>
      <w:proofErr w:type="gramEnd"/>
      <w:r w:rsidRPr="005514DF">
        <w:t>1)(a) (emphasis added).</w:t>
      </w:r>
    </w:p>
  </w:footnote>
  <w:footnote w:id="64">
    <w:p w14:paraId="7493C8FA" w14:textId="77777777" w:rsidR="009252F5" w:rsidRPr="005514DF" w:rsidRDefault="009252F5">
      <w:pPr>
        <w:pStyle w:val="FootnoteText"/>
      </w:pPr>
      <w:r w:rsidRPr="005514DF">
        <w:rPr>
          <w:rStyle w:val="FootnoteReference"/>
        </w:rPr>
        <w:footnoteRef/>
      </w:r>
      <w:r w:rsidRPr="005514DF">
        <w:t xml:space="preserve"> MCA </w:t>
      </w:r>
      <w:proofErr w:type="gramStart"/>
      <w:r w:rsidRPr="005514DF">
        <w:t>s2(</w:t>
      </w:r>
      <w:proofErr w:type="gramEnd"/>
      <w:r w:rsidRPr="005514DF">
        <w:t xml:space="preserve">1) (emphasis added). In the Act, this exclusion of undue influence from the concept of incapacity may reflect Parliament’s intentions: Joint Committee on the Draft Mental Incapacity Bill, </w:t>
      </w:r>
      <w:r w:rsidRPr="005514DF">
        <w:rPr>
          <w:i/>
        </w:rPr>
        <w:t>First Report</w:t>
      </w:r>
      <w:r w:rsidRPr="005514DF">
        <w:t xml:space="preserve"> (2002-03, HL 189-II, HC 1083-II) para 270.</w:t>
      </w:r>
    </w:p>
  </w:footnote>
  <w:footnote w:id="65">
    <w:p w14:paraId="7493C8FB" w14:textId="77777777" w:rsidR="009252F5" w:rsidRPr="005514DF" w:rsidRDefault="009252F5">
      <w:pPr>
        <w:pStyle w:val="FootnoteText"/>
      </w:pPr>
      <w:r w:rsidRPr="005514DF">
        <w:rPr>
          <w:rStyle w:val="FootnoteReference"/>
        </w:rPr>
        <w:footnoteRef/>
      </w:r>
      <w:r w:rsidRPr="005514DF">
        <w:t xml:space="preserve"> </w:t>
      </w:r>
      <w:r w:rsidRPr="005514DF">
        <w:rPr>
          <w:i/>
        </w:rPr>
        <w:t xml:space="preserve">PC </w:t>
      </w:r>
      <w:r w:rsidRPr="005514DF">
        <w:t>(n 14) [52].</w:t>
      </w:r>
    </w:p>
  </w:footnote>
  <w:footnote w:id="66">
    <w:p w14:paraId="7493C8FC" w14:textId="77777777" w:rsidR="009252F5" w:rsidRPr="005514DF" w:rsidRDefault="009252F5" w:rsidP="000F01AA">
      <w:pPr>
        <w:pStyle w:val="FootnoteText"/>
      </w:pPr>
      <w:r w:rsidRPr="005514DF">
        <w:rPr>
          <w:rStyle w:val="FootnoteReference"/>
        </w:rPr>
        <w:footnoteRef/>
      </w:r>
      <w:r w:rsidRPr="005514DF">
        <w:t xml:space="preserve"> MCA </w:t>
      </w:r>
      <w:proofErr w:type="gramStart"/>
      <w:r w:rsidRPr="005514DF">
        <w:t>s1(</w:t>
      </w:r>
      <w:proofErr w:type="gramEnd"/>
      <w:r w:rsidRPr="005514DF">
        <w:t>3).</w:t>
      </w:r>
    </w:p>
  </w:footnote>
  <w:footnote w:id="67">
    <w:p w14:paraId="7493C8FD" w14:textId="1FEC99D6" w:rsidR="009252F5" w:rsidRPr="005514DF" w:rsidRDefault="009252F5" w:rsidP="00E94451">
      <w:pPr>
        <w:pStyle w:val="FootnoteText"/>
      </w:pPr>
      <w:r w:rsidRPr="005514DF">
        <w:rPr>
          <w:rStyle w:val="FootnoteReference"/>
        </w:rPr>
        <w:footnoteRef/>
      </w:r>
      <w:r w:rsidRPr="005514DF">
        <w:t xml:space="preserve"> The following discussion largely focuses on cases in which the person could ‘decide’ under MCA </w:t>
      </w:r>
      <w:proofErr w:type="gramStart"/>
      <w:r w:rsidRPr="005514DF">
        <w:t>s3(</w:t>
      </w:r>
      <w:proofErr w:type="gramEnd"/>
      <w:r w:rsidRPr="005514DF">
        <w:t xml:space="preserve">1). When the person cannot ‘decide’, then the question of causation can be finely balanced. See </w:t>
      </w:r>
      <w:r w:rsidRPr="005514DF">
        <w:rPr>
          <w:i/>
        </w:rPr>
        <w:t>NCC v PB</w:t>
      </w:r>
      <w:r w:rsidRPr="005514DF">
        <w:t xml:space="preserve"> [2014] EWCOP 14, [2015] COPLR 118 [100]–[108]. </w:t>
      </w:r>
      <w:r w:rsidRPr="0095720C">
        <w:rPr>
          <w:color w:val="FF0000"/>
        </w:rPr>
        <w:t xml:space="preserve">A notable case, decided before the Court of Appeal in </w:t>
      </w:r>
      <w:r w:rsidRPr="0095720C">
        <w:rPr>
          <w:i/>
          <w:color w:val="FF0000"/>
        </w:rPr>
        <w:t>PC</w:t>
      </w:r>
      <w:r w:rsidRPr="0095720C">
        <w:rPr>
          <w:color w:val="FF0000"/>
        </w:rPr>
        <w:t xml:space="preserve"> (n 14) </w:t>
      </w:r>
      <w:r>
        <w:rPr>
          <w:color w:val="FF0000"/>
        </w:rPr>
        <w:t>stressed</w:t>
      </w:r>
      <w:r w:rsidRPr="0095720C">
        <w:rPr>
          <w:color w:val="FF0000"/>
        </w:rPr>
        <w:t xml:space="preserve"> the</w:t>
      </w:r>
      <w:r>
        <w:rPr>
          <w:color w:val="FF0000"/>
        </w:rPr>
        <w:t xml:space="preserve"> need</w:t>
      </w:r>
      <w:r w:rsidRPr="0095720C">
        <w:rPr>
          <w:color w:val="FF0000"/>
        </w:rPr>
        <w:t xml:space="preserve"> for causation between</w:t>
      </w:r>
      <w:r>
        <w:rPr>
          <w:color w:val="FF0000"/>
        </w:rPr>
        <w:t xml:space="preserve"> a person’s</w:t>
      </w:r>
      <w:r w:rsidRPr="0095720C">
        <w:rPr>
          <w:color w:val="FF0000"/>
        </w:rPr>
        <w:t xml:space="preserve"> impairment and </w:t>
      </w:r>
      <w:r>
        <w:rPr>
          <w:color w:val="FF0000"/>
        </w:rPr>
        <w:t xml:space="preserve">their </w:t>
      </w:r>
      <w:r w:rsidRPr="0095720C">
        <w:rPr>
          <w:color w:val="FF0000"/>
        </w:rPr>
        <w:t>inability to decide, probably treated the distinction between influence and impairment with less care than is required</w:t>
      </w:r>
      <w:r w:rsidRPr="002648FB">
        <w:t>:</w:t>
      </w:r>
      <w:r w:rsidRPr="002648FB">
        <w:rPr>
          <w:i/>
        </w:rPr>
        <w:t xml:space="preserve"> Re A (Capacity: Refusal of Contraception)</w:t>
      </w:r>
      <w:r w:rsidRPr="002648FB">
        <w:t xml:space="preserve"> [2010] EWHC 1549 (Fam), [2011] Fam 61 [65] – [73].</w:t>
      </w:r>
      <w:r w:rsidRPr="005514DF">
        <w:t xml:space="preserve"> </w:t>
      </w:r>
    </w:p>
  </w:footnote>
  <w:footnote w:id="68">
    <w:p w14:paraId="7493C8FE" w14:textId="77777777" w:rsidR="009252F5" w:rsidRPr="005514DF" w:rsidRDefault="009252F5" w:rsidP="00C673CC">
      <w:pPr>
        <w:pStyle w:val="FootnoteText"/>
      </w:pPr>
      <w:r w:rsidRPr="005514DF">
        <w:rPr>
          <w:rStyle w:val="FootnoteReference"/>
        </w:rPr>
        <w:footnoteRef/>
      </w:r>
      <w:r w:rsidRPr="005514DF">
        <w:t xml:space="preserve"> </w:t>
      </w:r>
      <w:r w:rsidRPr="005514DF">
        <w:rPr>
          <w:i/>
        </w:rPr>
        <w:t>A Local Authority v SA</w:t>
      </w:r>
      <w:r w:rsidRPr="005514DF">
        <w:t xml:space="preserve"> [2005] EWHC 2942 (</w:t>
      </w:r>
      <w:proofErr w:type="gramStart"/>
      <w:r w:rsidRPr="005514DF">
        <w:t>Fam</w:t>
      </w:r>
      <w:proofErr w:type="gramEnd"/>
      <w:r w:rsidRPr="005514DF">
        <w:t>), [2006] 1 FLR 867 [37], [45] (Munby J).</w:t>
      </w:r>
    </w:p>
  </w:footnote>
  <w:footnote w:id="69">
    <w:p w14:paraId="7493C8FF" w14:textId="77777777" w:rsidR="009252F5" w:rsidRPr="005514DF" w:rsidRDefault="009252F5" w:rsidP="00C673CC">
      <w:pPr>
        <w:pStyle w:val="FootnoteText"/>
      </w:pPr>
      <w:r w:rsidRPr="005514DF">
        <w:rPr>
          <w:rStyle w:val="FootnoteReference"/>
        </w:rPr>
        <w:footnoteRef/>
      </w:r>
      <w:r w:rsidRPr="005514DF">
        <w:t xml:space="preserve"> </w:t>
      </w:r>
      <w:r w:rsidRPr="005514DF">
        <w:rPr>
          <w:i/>
        </w:rPr>
        <w:t>DL v A Local Authority</w:t>
      </w:r>
      <w:r w:rsidRPr="005514DF">
        <w:t xml:space="preserve"> [2012] EWCA Civ 253, [2013] Fam 1 [63] (McFarlane LJ).</w:t>
      </w:r>
    </w:p>
  </w:footnote>
  <w:footnote w:id="70">
    <w:p w14:paraId="7493C900" w14:textId="77777777" w:rsidR="009252F5" w:rsidRPr="005514DF" w:rsidRDefault="009252F5" w:rsidP="00C673CC">
      <w:pPr>
        <w:pStyle w:val="FootnoteText"/>
      </w:pPr>
      <w:r w:rsidRPr="005514DF">
        <w:rPr>
          <w:rStyle w:val="FootnoteReference"/>
        </w:rPr>
        <w:footnoteRef/>
      </w:r>
      <w:r w:rsidRPr="005514DF">
        <w:t xml:space="preserve"> For matters beyond the jurisdiction granted by the Act, for instance non-recognition of a foreign marriage: </w:t>
      </w:r>
      <w:r w:rsidRPr="005514DF">
        <w:rPr>
          <w:i/>
        </w:rPr>
        <w:t>XCC v AA</w:t>
      </w:r>
      <w:r w:rsidRPr="005514DF">
        <w:t xml:space="preserve"> [2012] EWHC 2183 (COP), [2013] 2 All ER 988. See also </w:t>
      </w:r>
      <w:r w:rsidRPr="005514DF">
        <w:rPr>
          <w:i/>
        </w:rPr>
        <w:t>Westminster City Council v C</w:t>
      </w:r>
      <w:r w:rsidRPr="005514DF">
        <w:t xml:space="preserve"> [2008] EWCA Civ 198, [2009] </w:t>
      </w:r>
      <w:proofErr w:type="gramStart"/>
      <w:r w:rsidRPr="005514DF">
        <w:t>Fam</w:t>
      </w:r>
      <w:proofErr w:type="gramEnd"/>
      <w:r w:rsidRPr="005514DF">
        <w:t xml:space="preserve"> 11; </w:t>
      </w:r>
      <w:r w:rsidRPr="005514DF">
        <w:rPr>
          <w:i/>
        </w:rPr>
        <w:t>A NHS Trust v Dr A</w:t>
      </w:r>
      <w:r w:rsidRPr="005514DF">
        <w:t xml:space="preserve"> [2013] EWHC 2442 (COP), [2014] Fam 161.</w:t>
      </w:r>
    </w:p>
  </w:footnote>
  <w:footnote w:id="71">
    <w:p w14:paraId="7493C901" w14:textId="24DBAFCC" w:rsidR="009252F5" w:rsidRPr="005514DF" w:rsidRDefault="009252F5">
      <w:pPr>
        <w:pStyle w:val="FootnoteText"/>
      </w:pPr>
      <w:r w:rsidRPr="005514DF">
        <w:rPr>
          <w:rStyle w:val="FootnoteReference"/>
        </w:rPr>
        <w:footnoteRef/>
      </w:r>
      <w:r w:rsidRPr="005514DF">
        <w:t xml:space="preserve"> (</w:t>
      </w:r>
      <w:proofErr w:type="gramStart"/>
      <w:r w:rsidRPr="005514DF">
        <w:t>n</w:t>
      </w:r>
      <w:proofErr w:type="gramEnd"/>
      <w:r w:rsidRPr="005514DF">
        <w:t xml:space="preserve"> 6</w:t>
      </w:r>
      <w:r>
        <w:t>9</w:t>
      </w:r>
      <w:r w:rsidRPr="005514DF">
        <w:t>).</w:t>
      </w:r>
    </w:p>
  </w:footnote>
  <w:footnote w:id="72">
    <w:p w14:paraId="7493C902" w14:textId="77777777" w:rsidR="009252F5" w:rsidRPr="005514DF" w:rsidRDefault="009252F5" w:rsidP="00C673CC">
      <w:pPr>
        <w:pStyle w:val="FootnoteText"/>
      </w:pPr>
      <w:r w:rsidRPr="005514DF">
        <w:rPr>
          <w:rStyle w:val="FootnoteReference"/>
        </w:rPr>
        <w:footnoteRef/>
      </w:r>
      <w:r w:rsidRPr="005514DF">
        <w:t xml:space="preserve"> </w:t>
      </w:r>
      <w:r w:rsidRPr="005514DF">
        <w:rPr>
          <w:i/>
        </w:rPr>
        <w:t>Ibid</w:t>
      </w:r>
      <w:r w:rsidRPr="005514DF">
        <w:t xml:space="preserve"> [9].</w:t>
      </w:r>
    </w:p>
  </w:footnote>
  <w:footnote w:id="73">
    <w:p w14:paraId="7493C903" w14:textId="77777777" w:rsidR="009252F5" w:rsidRPr="005514DF" w:rsidRDefault="009252F5" w:rsidP="00C673CC">
      <w:pPr>
        <w:pStyle w:val="FootnoteText"/>
      </w:pPr>
      <w:r w:rsidRPr="005514DF">
        <w:rPr>
          <w:rStyle w:val="FootnoteReference"/>
        </w:rPr>
        <w:footnoteRef/>
      </w:r>
      <w:r w:rsidRPr="005514DF">
        <w:t xml:space="preserve"> </w:t>
      </w:r>
      <w:r w:rsidRPr="005514DF">
        <w:rPr>
          <w:i/>
        </w:rPr>
        <w:t>Ibid.</w:t>
      </w:r>
    </w:p>
  </w:footnote>
  <w:footnote w:id="74">
    <w:p w14:paraId="7493C904" w14:textId="77777777" w:rsidR="009252F5" w:rsidRPr="005514DF" w:rsidRDefault="009252F5" w:rsidP="00C673CC">
      <w:pPr>
        <w:pStyle w:val="FootnoteText"/>
      </w:pPr>
      <w:r w:rsidRPr="005514DF">
        <w:rPr>
          <w:rStyle w:val="FootnoteReference"/>
        </w:rPr>
        <w:footnoteRef/>
      </w:r>
      <w:r w:rsidRPr="005514DF">
        <w:t xml:space="preserve"> </w:t>
      </w:r>
      <w:r w:rsidRPr="005514DF">
        <w:rPr>
          <w:i/>
        </w:rPr>
        <w:t xml:space="preserve">A Local Authority v DL </w:t>
      </w:r>
      <w:r w:rsidRPr="005514DF">
        <w:t>[2011] EWHC 1022 (</w:t>
      </w:r>
      <w:proofErr w:type="gramStart"/>
      <w:r w:rsidRPr="005514DF">
        <w:t>Fam</w:t>
      </w:r>
      <w:proofErr w:type="gramEnd"/>
      <w:r w:rsidRPr="005514DF">
        <w:t>), (2011) 14 CCL Rep 441 [2, 6].</w:t>
      </w:r>
    </w:p>
  </w:footnote>
  <w:footnote w:id="75">
    <w:p w14:paraId="7493C905" w14:textId="1AF3E1F4" w:rsidR="009252F5" w:rsidRPr="005514DF" w:rsidRDefault="009252F5" w:rsidP="00C673CC">
      <w:pPr>
        <w:pStyle w:val="FootnoteText"/>
      </w:pPr>
      <w:r w:rsidRPr="005514DF">
        <w:rPr>
          <w:rStyle w:val="FootnoteReference"/>
        </w:rPr>
        <w:footnoteRef/>
      </w:r>
      <w:r w:rsidRPr="005514DF">
        <w:t xml:space="preserve"> </w:t>
      </w:r>
      <w:r w:rsidRPr="005514DF">
        <w:rPr>
          <w:i/>
        </w:rPr>
        <w:t>Ibid</w:t>
      </w:r>
      <w:r w:rsidRPr="005514DF">
        <w:t xml:space="preserve"> [53]; </w:t>
      </w:r>
      <w:r w:rsidRPr="005514DF">
        <w:rPr>
          <w:i/>
        </w:rPr>
        <w:t>DL</w:t>
      </w:r>
      <w:r w:rsidRPr="005514DF">
        <w:t xml:space="preserve"> (n 6</w:t>
      </w:r>
      <w:r>
        <w:t>9</w:t>
      </w:r>
      <w:r w:rsidRPr="005514DF">
        <w:t>) [68-69].</w:t>
      </w:r>
    </w:p>
  </w:footnote>
  <w:footnote w:id="76">
    <w:p w14:paraId="7493C906" w14:textId="647C0CFA" w:rsidR="009252F5" w:rsidRPr="005514DF" w:rsidRDefault="009252F5" w:rsidP="00083FB1">
      <w:pPr>
        <w:pStyle w:val="FootnoteText"/>
      </w:pPr>
      <w:r w:rsidRPr="005514DF">
        <w:rPr>
          <w:rStyle w:val="FootnoteReference"/>
        </w:rPr>
        <w:footnoteRef/>
      </w:r>
      <w:r w:rsidRPr="005514DF">
        <w:t xml:space="preserve"> MCA </w:t>
      </w:r>
      <w:proofErr w:type="gramStart"/>
      <w:r w:rsidRPr="005514DF">
        <w:t>s2(</w:t>
      </w:r>
      <w:proofErr w:type="gramEnd"/>
      <w:r w:rsidRPr="005514DF">
        <w:t xml:space="preserve">1); </w:t>
      </w:r>
      <w:r w:rsidRPr="005514DF">
        <w:rPr>
          <w:i/>
        </w:rPr>
        <w:t xml:space="preserve">DL </w:t>
      </w:r>
      <w:r w:rsidRPr="005514DF">
        <w:t>(n 6</w:t>
      </w:r>
      <w:r>
        <w:t>9</w:t>
      </w:r>
      <w:r w:rsidRPr="005514DF">
        <w:t>) [58]-[61].</w:t>
      </w:r>
    </w:p>
  </w:footnote>
  <w:footnote w:id="77">
    <w:p w14:paraId="7493C907" w14:textId="77777777" w:rsidR="009252F5" w:rsidRPr="005514DF" w:rsidRDefault="009252F5" w:rsidP="00C673CC">
      <w:pPr>
        <w:pStyle w:val="FootnoteText"/>
      </w:pPr>
      <w:r w:rsidRPr="005514DF">
        <w:rPr>
          <w:rStyle w:val="FootnoteReference"/>
        </w:rPr>
        <w:footnoteRef/>
      </w:r>
      <w:r w:rsidRPr="005514DF">
        <w:t xml:space="preserve"> Family Law Act 1996 s60.</w:t>
      </w:r>
    </w:p>
  </w:footnote>
  <w:footnote w:id="78">
    <w:p w14:paraId="7493C908" w14:textId="77777777" w:rsidR="009252F5" w:rsidRPr="005514DF" w:rsidRDefault="009252F5" w:rsidP="00C673CC">
      <w:pPr>
        <w:pStyle w:val="FootnoteText"/>
        <w:rPr>
          <w:i/>
        </w:rPr>
      </w:pPr>
      <w:r w:rsidRPr="005514DF">
        <w:rPr>
          <w:rStyle w:val="FootnoteReference"/>
        </w:rPr>
        <w:footnoteRef/>
      </w:r>
      <w:r w:rsidRPr="005514DF">
        <w:t xml:space="preserve"> J Miles, ‘Family abuse, privacy and state intervention’ (2011) 70 Cambridge Law Journal 31, 33.</w:t>
      </w:r>
    </w:p>
  </w:footnote>
  <w:footnote w:id="79">
    <w:p w14:paraId="7493C909" w14:textId="77777777" w:rsidR="009252F5" w:rsidRPr="005514DF" w:rsidRDefault="009252F5">
      <w:pPr>
        <w:pStyle w:val="FootnoteText"/>
      </w:pPr>
      <w:r w:rsidRPr="005514DF">
        <w:rPr>
          <w:rStyle w:val="FootnoteReference"/>
        </w:rPr>
        <w:footnoteRef/>
      </w:r>
      <w:r w:rsidRPr="005514DF">
        <w:t xml:space="preserve"> Whether or not the court truly had the power to do this is questionable: B Hewson, ‘"Neither midwives nor rainmakers" - why DL is wrong’ (2013) 3 Public Law 451. </w:t>
      </w:r>
      <w:r w:rsidRPr="005514DF">
        <w:rPr>
          <w:i/>
        </w:rPr>
        <w:t>DL</w:t>
      </w:r>
      <w:r w:rsidRPr="005514DF">
        <w:t xml:space="preserve"> has, however, not been appealed, so it must be treated as reflecting the current state of the law.</w:t>
      </w:r>
    </w:p>
  </w:footnote>
  <w:footnote w:id="80">
    <w:p w14:paraId="7493C90A" w14:textId="060ACFE1" w:rsidR="009252F5" w:rsidRPr="005514DF" w:rsidRDefault="009252F5" w:rsidP="00C673CC">
      <w:pPr>
        <w:pStyle w:val="FootnoteText"/>
      </w:pPr>
      <w:r w:rsidRPr="005514DF">
        <w:rPr>
          <w:rStyle w:val="FootnoteReference"/>
        </w:rPr>
        <w:footnoteRef/>
      </w:r>
      <w:r w:rsidRPr="005514DF">
        <w:t xml:space="preserve"> </w:t>
      </w:r>
      <w:r w:rsidRPr="005514DF">
        <w:rPr>
          <w:i/>
        </w:rPr>
        <w:t>DL</w:t>
      </w:r>
      <w:r w:rsidRPr="005514DF">
        <w:t xml:space="preserve"> (n </w:t>
      </w:r>
      <w:r>
        <w:t>69</w:t>
      </w:r>
      <w:r w:rsidRPr="005514DF">
        <w:t>) [53].</w:t>
      </w:r>
    </w:p>
  </w:footnote>
  <w:footnote w:id="81">
    <w:p w14:paraId="7493C90B" w14:textId="77777777" w:rsidR="009252F5" w:rsidRPr="005514DF" w:rsidRDefault="009252F5" w:rsidP="00C673CC">
      <w:pPr>
        <w:pStyle w:val="FootnoteText"/>
      </w:pPr>
      <w:r w:rsidRPr="005514DF">
        <w:rPr>
          <w:rStyle w:val="FootnoteReference"/>
        </w:rPr>
        <w:footnoteRef/>
      </w:r>
      <w:r w:rsidRPr="005514DF">
        <w:t xml:space="preserve"> </w:t>
      </w:r>
      <w:r w:rsidRPr="005514DF">
        <w:rPr>
          <w:i/>
        </w:rPr>
        <w:t>Ibid</w:t>
      </w:r>
      <w:r w:rsidRPr="005514DF">
        <w:t xml:space="preserve"> (emphasis added).</w:t>
      </w:r>
    </w:p>
  </w:footnote>
  <w:footnote w:id="82">
    <w:p w14:paraId="7493C90C" w14:textId="67D5A448" w:rsidR="009252F5" w:rsidRPr="005514DF" w:rsidRDefault="009252F5" w:rsidP="00C673CC">
      <w:pPr>
        <w:pStyle w:val="FootnoteText"/>
      </w:pPr>
      <w:r w:rsidRPr="005514DF">
        <w:rPr>
          <w:rStyle w:val="FootnoteReference"/>
        </w:rPr>
        <w:footnoteRef/>
      </w:r>
      <w:r w:rsidRPr="005514DF">
        <w:t xml:space="preserve"> </w:t>
      </w:r>
      <w:r w:rsidRPr="005514DF">
        <w:rPr>
          <w:i/>
        </w:rPr>
        <w:t xml:space="preserve">Ibid </w:t>
      </w:r>
      <w:r w:rsidRPr="005514DF">
        <w:t xml:space="preserve">[22], [54] approving </w:t>
      </w:r>
      <w:r w:rsidRPr="005514DF">
        <w:rPr>
          <w:i/>
        </w:rPr>
        <w:t>SA</w:t>
      </w:r>
      <w:r w:rsidRPr="005514DF">
        <w:t xml:space="preserve"> (n </w:t>
      </w:r>
      <w:r>
        <w:t>68</w:t>
      </w:r>
      <w:r w:rsidRPr="005514DF">
        <w:t xml:space="preserve">) [77]-[79]. </w:t>
      </w:r>
    </w:p>
  </w:footnote>
  <w:footnote w:id="83">
    <w:p w14:paraId="7493C90D" w14:textId="0A0C4B2E" w:rsidR="009252F5" w:rsidRPr="005514DF" w:rsidRDefault="009252F5">
      <w:pPr>
        <w:pStyle w:val="FootnoteText"/>
      </w:pPr>
      <w:r w:rsidRPr="005514DF">
        <w:rPr>
          <w:rStyle w:val="FootnoteReference"/>
        </w:rPr>
        <w:footnoteRef/>
      </w:r>
      <w:r w:rsidRPr="005514DF">
        <w:t xml:space="preserve"> The common law tests for capacity to make a will, an inter-vivos gift, and enter a contract have survived the passing of the MCA. See the Code of Practice (n </w:t>
      </w:r>
      <w:r>
        <w:t>34</w:t>
      </w:r>
      <w:r w:rsidRPr="005514DF">
        <w:t xml:space="preserve">) para 4.31-4.33; </w:t>
      </w:r>
      <w:r w:rsidRPr="005514DF">
        <w:rPr>
          <w:i/>
        </w:rPr>
        <w:t>Re Walker</w:t>
      </w:r>
      <w:r w:rsidRPr="005514DF">
        <w:t xml:space="preserve"> [2014] EWHC 71 (Ch), [2015] COPLR 348 [26</w:t>
      </w:r>
      <w:r>
        <w:t>]</w:t>
      </w:r>
      <w:r w:rsidRPr="005514DF">
        <w:t>-</w:t>
      </w:r>
      <w:r>
        <w:t>[</w:t>
      </w:r>
      <w:r w:rsidRPr="005514DF">
        <w:t xml:space="preserve">50]; </w:t>
      </w:r>
      <w:r w:rsidRPr="005514DF">
        <w:rPr>
          <w:i/>
        </w:rPr>
        <w:t xml:space="preserve">Kicks v Leigh </w:t>
      </w:r>
      <w:r w:rsidRPr="005514DF">
        <w:t xml:space="preserve">[2014] EWHC 3926 (Ch), [2015] 4 All ER 329 [37]-[66]. These slightly different tests for capacity do not bear directly on the focus of this article: what </w:t>
      </w:r>
      <w:r w:rsidRPr="005514DF">
        <w:rPr>
          <w:i/>
        </w:rPr>
        <w:t>follows</w:t>
      </w:r>
      <w:r w:rsidRPr="005514DF">
        <w:t xml:space="preserve"> from a finding of capacity or incapacity?</w:t>
      </w:r>
    </w:p>
  </w:footnote>
  <w:footnote w:id="84">
    <w:p w14:paraId="7493C90E" w14:textId="77777777" w:rsidR="009252F5" w:rsidRPr="005514DF" w:rsidRDefault="009252F5" w:rsidP="003572BC">
      <w:pPr>
        <w:pStyle w:val="FootnoteText"/>
      </w:pPr>
      <w:r w:rsidRPr="005514DF">
        <w:rPr>
          <w:rStyle w:val="FootnoteReference"/>
        </w:rPr>
        <w:footnoteRef/>
      </w:r>
      <w:r w:rsidRPr="005514DF">
        <w:t xml:space="preserve"> [2001] UKHL 44, [2002] 2 AC 773.</w:t>
      </w:r>
    </w:p>
  </w:footnote>
  <w:footnote w:id="85">
    <w:p w14:paraId="7493C90F" w14:textId="69BDE375" w:rsidR="009252F5" w:rsidRPr="005514DF" w:rsidRDefault="009252F5">
      <w:pPr>
        <w:pStyle w:val="FootnoteText"/>
      </w:pPr>
      <w:r w:rsidRPr="005514DF">
        <w:rPr>
          <w:rStyle w:val="FootnoteReference"/>
        </w:rPr>
        <w:footnoteRef/>
      </w:r>
      <w:r w:rsidRPr="005514DF">
        <w:t xml:space="preserve"> </w:t>
      </w:r>
      <w:r w:rsidRPr="005514DF">
        <w:rPr>
          <w:i/>
        </w:rPr>
        <w:t>Ibid</w:t>
      </w:r>
      <w:r w:rsidRPr="005514DF">
        <w:t xml:space="preserve"> [7]. This strand of law usually uses the words ‘free will’ or ‘volition’, not ‘autonomy’, but it is unlikely that anything turns on this difference, given the court’s resistance to attempts to be too ‘precise or definitive’ </w:t>
      </w:r>
      <w:r>
        <w:t>(</w:t>
      </w:r>
      <w:r w:rsidRPr="005514DF">
        <w:t>[7], [92]</w:t>
      </w:r>
      <w:r>
        <w:t>)</w:t>
      </w:r>
      <w:r w:rsidRPr="005514DF">
        <w:t>.</w:t>
      </w:r>
    </w:p>
  </w:footnote>
  <w:footnote w:id="86">
    <w:p w14:paraId="7493C910" w14:textId="77777777" w:rsidR="009252F5" w:rsidRPr="005514DF" w:rsidRDefault="009252F5">
      <w:pPr>
        <w:pStyle w:val="FootnoteText"/>
      </w:pPr>
      <w:r w:rsidRPr="005514DF">
        <w:rPr>
          <w:rStyle w:val="FootnoteReference"/>
        </w:rPr>
        <w:footnoteRef/>
      </w:r>
      <w:r w:rsidRPr="005514DF">
        <w:t xml:space="preserve"> [2005] EWCA Civ 507, [2005] 2 P&amp;CR DG14 [36].</w:t>
      </w:r>
    </w:p>
  </w:footnote>
  <w:footnote w:id="87">
    <w:p w14:paraId="7493C911" w14:textId="77777777" w:rsidR="009252F5" w:rsidRPr="005514DF" w:rsidRDefault="009252F5">
      <w:pPr>
        <w:pStyle w:val="FootnoteText"/>
      </w:pPr>
      <w:r w:rsidRPr="005514DF">
        <w:rPr>
          <w:rStyle w:val="FootnoteReference"/>
        </w:rPr>
        <w:footnoteRef/>
      </w:r>
      <w:r w:rsidRPr="005514DF">
        <w:t xml:space="preserve"> [2009] EWHC 1076 (Ch), [2010] 1 P&amp;CR 16 [101]. </w:t>
      </w:r>
    </w:p>
  </w:footnote>
  <w:footnote w:id="88">
    <w:p w14:paraId="7493C912" w14:textId="476EAB19" w:rsidR="009252F5" w:rsidRPr="005514DF" w:rsidRDefault="009252F5">
      <w:pPr>
        <w:pStyle w:val="FootnoteText"/>
      </w:pPr>
      <w:r w:rsidRPr="005514DF">
        <w:rPr>
          <w:rStyle w:val="FootnoteReference"/>
        </w:rPr>
        <w:footnoteRef/>
      </w:r>
      <w:r w:rsidRPr="005514DF">
        <w:t xml:space="preserve"> </w:t>
      </w:r>
      <w:r w:rsidRPr="005514DF">
        <w:rPr>
          <w:i/>
        </w:rPr>
        <w:t xml:space="preserve">DL </w:t>
      </w:r>
      <w:r w:rsidRPr="005514DF">
        <w:t xml:space="preserve">(n </w:t>
      </w:r>
      <w:r>
        <w:t>69</w:t>
      </w:r>
      <w:r w:rsidRPr="005514DF">
        <w:t xml:space="preserve">) [61]; </w:t>
      </w:r>
      <w:r w:rsidRPr="005514DF">
        <w:rPr>
          <w:i/>
        </w:rPr>
        <w:t xml:space="preserve">Etridge </w:t>
      </w:r>
      <w:r w:rsidRPr="005514DF">
        <w:t xml:space="preserve">(n </w:t>
      </w:r>
      <w:r>
        <w:t>84</w:t>
      </w:r>
      <w:r w:rsidRPr="005514DF">
        <w:t>) [8].</w:t>
      </w:r>
    </w:p>
  </w:footnote>
  <w:footnote w:id="89">
    <w:p w14:paraId="7493C913" w14:textId="470CFD58" w:rsidR="009252F5" w:rsidRPr="005514DF" w:rsidRDefault="009252F5">
      <w:pPr>
        <w:pStyle w:val="FootnoteText"/>
      </w:pPr>
      <w:r w:rsidRPr="005514DF">
        <w:rPr>
          <w:rStyle w:val="FootnoteReference"/>
        </w:rPr>
        <w:footnoteRef/>
      </w:r>
      <w:r w:rsidRPr="005514DF">
        <w:t xml:space="preserve"> </w:t>
      </w:r>
      <w:r w:rsidRPr="005514DF">
        <w:rPr>
          <w:i/>
        </w:rPr>
        <w:t>DL</w:t>
      </w:r>
      <w:r w:rsidRPr="005514DF">
        <w:t xml:space="preserve"> (n </w:t>
      </w:r>
      <w:r>
        <w:t>69</w:t>
      </w:r>
      <w:r w:rsidRPr="005514DF">
        <w:t xml:space="preserve">) [63]-[64]; </w:t>
      </w:r>
      <w:r w:rsidRPr="005514DF">
        <w:rPr>
          <w:i/>
        </w:rPr>
        <w:t xml:space="preserve">Etridge </w:t>
      </w:r>
      <w:r w:rsidRPr="005514DF">
        <w:t xml:space="preserve">(n </w:t>
      </w:r>
      <w:r>
        <w:t>84</w:t>
      </w:r>
      <w:r w:rsidRPr="005514DF">
        <w:t>) [11], [18].</w:t>
      </w:r>
    </w:p>
  </w:footnote>
  <w:footnote w:id="90">
    <w:p w14:paraId="7493C914" w14:textId="77777777" w:rsidR="009252F5" w:rsidRPr="005514DF" w:rsidRDefault="009252F5">
      <w:pPr>
        <w:pStyle w:val="FootnoteText"/>
      </w:pPr>
      <w:r w:rsidRPr="005514DF">
        <w:rPr>
          <w:rStyle w:val="FootnoteReference"/>
        </w:rPr>
        <w:footnoteRef/>
      </w:r>
      <w:r w:rsidRPr="005514DF">
        <w:t xml:space="preserve"> This does not imply that all details of the interaction between the inherent jurisdiction and the equitable doctrine are legally settled. See </w:t>
      </w:r>
      <w:r w:rsidRPr="005514DF">
        <w:rPr>
          <w:i/>
        </w:rPr>
        <w:t>OH v Craven</w:t>
      </w:r>
      <w:r w:rsidRPr="005514DF">
        <w:t xml:space="preserve"> [2016] EWHC 3146 (QB) [36].</w:t>
      </w:r>
    </w:p>
  </w:footnote>
  <w:footnote w:id="91">
    <w:p w14:paraId="7493C915" w14:textId="77777777" w:rsidR="009252F5" w:rsidRPr="005514DF" w:rsidRDefault="009252F5">
      <w:pPr>
        <w:pStyle w:val="FootnoteText"/>
      </w:pPr>
      <w:r w:rsidRPr="005514DF">
        <w:rPr>
          <w:rStyle w:val="FootnoteReference"/>
        </w:rPr>
        <w:footnoteRef/>
      </w:r>
      <w:r w:rsidRPr="005514DF">
        <w:t xml:space="preserve"> J Raz, </w:t>
      </w:r>
      <w:proofErr w:type="gramStart"/>
      <w:r w:rsidRPr="005514DF">
        <w:rPr>
          <w:i/>
        </w:rPr>
        <w:t>The</w:t>
      </w:r>
      <w:proofErr w:type="gramEnd"/>
      <w:r w:rsidRPr="005514DF">
        <w:rPr>
          <w:i/>
        </w:rPr>
        <w:t xml:space="preserve"> Morality of Freedom</w:t>
      </w:r>
      <w:r w:rsidRPr="005514DF">
        <w:t xml:space="preserve"> (Oxford University Press: Oxford, 1986) 378-390.</w:t>
      </w:r>
    </w:p>
  </w:footnote>
  <w:footnote w:id="92">
    <w:p w14:paraId="7493C916" w14:textId="77777777" w:rsidR="009252F5" w:rsidRPr="005514DF" w:rsidRDefault="009252F5" w:rsidP="003376CF">
      <w:pPr>
        <w:pStyle w:val="FootnoteText"/>
      </w:pPr>
      <w:r w:rsidRPr="005514DF">
        <w:rPr>
          <w:rStyle w:val="FootnoteReference"/>
        </w:rPr>
        <w:footnoteRef/>
      </w:r>
      <w:r w:rsidRPr="005514DF">
        <w:t xml:space="preserve"> S Killmister, ‘Autonomy, Liberalism, and Anti-Perfectionism’ (2013) 19 Res Publica 353, 358. Similarly, Maclean distinguishes ‘voluntariness’ and ‘competence’: A Maclean, </w:t>
      </w:r>
      <w:r w:rsidRPr="005514DF">
        <w:rPr>
          <w:i/>
        </w:rPr>
        <w:t>Autonomy, Informed Consent and Medical Law: A Relational Challenge</w:t>
      </w:r>
      <w:r w:rsidRPr="005514DF">
        <w:t xml:space="preserve"> (Cambridge University Press: Cambridge, 2009) 139-40.</w:t>
      </w:r>
    </w:p>
  </w:footnote>
  <w:footnote w:id="93">
    <w:p w14:paraId="7493C917" w14:textId="77777777" w:rsidR="009252F5" w:rsidRPr="005514DF" w:rsidRDefault="009252F5" w:rsidP="003376CF">
      <w:pPr>
        <w:pStyle w:val="FootnoteText"/>
      </w:pPr>
      <w:r w:rsidRPr="005514DF">
        <w:rPr>
          <w:rStyle w:val="FootnoteReference"/>
        </w:rPr>
        <w:footnoteRef/>
      </w:r>
      <w:r w:rsidRPr="005514DF">
        <w:t xml:space="preserve"> MCA </w:t>
      </w:r>
      <w:proofErr w:type="gramStart"/>
      <w:r w:rsidRPr="005514DF">
        <w:t>s2(</w:t>
      </w:r>
      <w:proofErr w:type="gramEnd"/>
      <w:r w:rsidRPr="005514DF">
        <w:t xml:space="preserve">1); </w:t>
      </w:r>
      <w:r w:rsidRPr="005514DF">
        <w:rPr>
          <w:i/>
        </w:rPr>
        <w:t>PC</w:t>
      </w:r>
      <w:r w:rsidRPr="005514DF">
        <w:t xml:space="preserve"> (n 14) [59]-[61].</w:t>
      </w:r>
    </w:p>
  </w:footnote>
  <w:footnote w:id="94">
    <w:p w14:paraId="7493C918" w14:textId="77777777" w:rsidR="009252F5" w:rsidRPr="005514DF" w:rsidRDefault="009252F5">
      <w:pPr>
        <w:pStyle w:val="FootnoteText"/>
      </w:pPr>
      <w:r w:rsidRPr="005514DF">
        <w:rPr>
          <w:rStyle w:val="FootnoteReference"/>
        </w:rPr>
        <w:footnoteRef/>
      </w:r>
      <w:r w:rsidRPr="005514DF">
        <w:t xml:space="preserve"> This point is sometimes made by saying that the MCA favours a ‘medical model’ of incapacity to a ‘social model’. B Clough, ‘People Like That: Realising the Social Model in Mental Capacity Jurisprudence’ (2014) 23 Medical Law Review 53, 56-59.</w:t>
      </w:r>
    </w:p>
  </w:footnote>
  <w:footnote w:id="95">
    <w:p w14:paraId="7493C919" w14:textId="77777777" w:rsidR="009252F5" w:rsidRPr="005514DF" w:rsidRDefault="009252F5" w:rsidP="00EE1DB2">
      <w:pPr>
        <w:pStyle w:val="FootnoteText"/>
      </w:pPr>
      <w:r w:rsidRPr="005514DF">
        <w:rPr>
          <w:rStyle w:val="FootnoteReference"/>
        </w:rPr>
        <w:footnoteRef/>
      </w:r>
      <w:r w:rsidRPr="005514DF">
        <w:t xml:space="preserve"> [2011] EWCOP 2443, [2012] 1 WLR 1653 [95].</w:t>
      </w:r>
    </w:p>
  </w:footnote>
  <w:footnote w:id="96">
    <w:p w14:paraId="7493C91A" w14:textId="77777777" w:rsidR="009252F5" w:rsidRPr="005514DF" w:rsidRDefault="009252F5">
      <w:pPr>
        <w:pStyle w:val="FootnoteText"/>
      </w:pPr>
      <w:r w:rsidRPr="005514DF">
        <w:rPr>
          <w:rStyle w:val="FootnoteReference"/>
        </w:rPr>
        <w:footnoteRef/>
      </w:r>
      <w:r w:rsidRPr="005514DF">
        <w:t xml:space="preserve"> This ‘universal account’ is discussed in section V.B.</w:t>
      </w:r>
    </w:p>
  </w:footnote>
  <w:footnote w:id="97">
    <w:p w14:paraId="7493C91B" w14:textId="585FF834" w:rsidR="009252F5" w:rsidRPr="005514DF" w:rsidRDefault="009252F5" w:rsidP="006E2B01">
      <w:pPr>
        <w:pStyle w:val="FootnoteText"/>
      </w:pPr>
      <w:r w:rsidRPr="005514DF">
        <w:rPr>
          <w:rStyle w:val="FootnoteReference"/>
        </w:rPr>
        <w:footnoteRef/>
      </w:r>
      <w:r w:rsidRPr="005514DF">
        <w:t xml:space="preserve"> </w:t>
      </w:r>
      <w:r w:rsidRPr="005514DF">
        <w:rPr>
          <w:i/>
        </w:rPr>
        <w:t xml:space="preserve">W v M </w:t>
      </w:r>
      <w:r w:rsidRPr="005514DF">
        <w:t>(n 9</w:t>
      </w:r>
      <w:r>
        <w:t>5</w:t>
      </w:r>
      <w:r w:rsidRPr="005514DF">
        <w:t xml:space="preserve">) [95]. ‘Article 8’ refers to that part of the European Convention on Human Rights, which protects personal autonomy: </w:t>
      </w:r>
      <w:r w:rsidRPr="005514DF">
        <w:rPr>
          <w:i/>
        </w:rPr>
        <w:t xml:space="preserve">Pretty v UK </w:t>
      </w:r>
      <w:r w:rsidRPr="005514DF">
        <w:t xml:space="preserve">(2002) 35 EHRR 1 [61]; </w:t>
      </w:r>
      <w:r w:rsidRPr="005514DF">
        <w:rPr>
          <w:i/>
        </w:rPr>
        <w:t>Evans v UK</w:t>
      </w:r>
      <w:r w:rsidRPr="005514DF">
        <w:t xml:space="preserve"> (2008) 46 EHRR 34 (GC) [71]. Mr Justice Baker arguably oversimplifies the law here. The Court of Appeal has since held that the ‘safe approach’ is for the court to do a full best interests assessment under the MCA </w:t>
      </w:r>
      <w:r w:rsidRPr="005514DF">
        <w:rPr>
          <w:i/>
        </w:rPr>
        <w:t>and</w:t>
      </w:r>
      <w:r w:rsidRPr="005514DF">
        <w:t xml:space="preserve"> </w:t>
      </w:r>
      <w:r w:rsidRPr="005514DF">
        <w:rPr>
          <w:i/>
        </w:rPr>
        <w:t xml:space="preserve">then </w:t>
      </w:r>
      <w:r w:rsidRPr="005514DF">
        <w:t xml:space="preserve">to also assess whether any apparent interference with the person’s Article 8 rights is ‘necessary and proportionate’: </w:t>
      </w:r>
      <w:r w:rsidRPr="005514DF">
        <w:rPr>
          <w:i/>
        </w:rPr>
        <w:t>K v LBX</w:t>
      </w:r>
      <w:r w:rsidRPr="005514DF">
        <w:t xml:space="preserve"> [2012] EWCA Civ 79, [2012] 1 FCR 441 [35] (Thorpe LJ). This two-step process is not consistently followed in the Court of Protection, even when citing </w:t>
      </w:r>
      <w:r w:rsidRPr="005514DF">
        <w:rPr>
          <w:i/>
        </w:rPr>
        <w:t>LBX</w:t>
      </w:r>
      <w:r w:rsidRPr="005514DF">
        <w:t xml:space="preserve">: for instance, </w:t>
      </w:r>
      <w:r w:rsidRPr="005514DF">
        <w:rPr>
          <w:i/>
        </w:rPr>
        <w:t>ACCG v MN</w:t>
      </w:r>
      <w:r w:rsidRPr="005514DF">
        <w:t xml:space="preserve"> </w:t>
      </w:r>
      <w:r w:rsidRPr="005514DF">
        <w:rPr>
          <w:bCs/>
        </w:rPr>
        <w:t>[2013] EWHC 3859 (COP), [2014] COPLR 11 [81]-[85]. A fuller treatment of this issue is beyond the remit of this article; for, whatever the differences between treating human rights as part of best interests or as an additional test, both approaches are premised on a survival account of the relationship between autonomy and mental capacity.</w:t>
      </w:r>
    </w:p>
  </w:footnote>
  <w:footnote w:id="98">
    <w:p w14:paraId="7493C91C" w14:textId="77777777" w:rsidR="009252F5" w:rsidRPr="005514DF" w:rsidRDefault="009252F5">
      <w:pPr>
        <w:pStyle w:val="FootnoteText"/>
      </w:pPr>
      <w:r w:rsidRPr="005514DF">
        <w:rPr>
          <w:rStyle w:val="FootnoteReference"/>
        </w:rPr>
        <w:footnoteRef/>
      </w:r>
      <w:r w:rsidRPr="005514DF">
        <w:t xml:space="preserve"> MCA </w:t>
      </w:r>
      <w:proofErr w:type="gramStart"/>
      <w:r w:rsidRPr="005514DF">
        <w:t>s4(</w:t>
      </w:r>
      <w:proofErr w:type="gramEnd"/>
      <w:r w:rsidRPr="005514DF">
        <w:t>4).</w:t>
      </w:r>
    </w:p>
  </w:footnote>
  <w:footnote w:id="99">
    <w:p w14:paraId="7493C91D" w14:textId="77777777" w:rsidR="009252F5" w:rsidRPr="005514DF" w:rsidRDefault="009252F5" w:rsidP="00C06917">
      <w:pPr>
        <w:pStyle w:val="FootnoteText"/>
        <w:rPr>
          <w:i/>
        </w:rPr>
      </w:pPr>
      <w:r w:rsidRPr="005514DF">
        <w:rPr>
          <w:rStyle w:val="FootnoteReference"/>
        </w:rPr>
        <w:footnoteRef/>
      </w:r>
      <w:r w:rsidRPr="005514DF">
        <w:t xml:space="preserve"> MCA </w:t>
      </w:r>
      <w:proofErr w:type="gramStart"/>
      <w:r w:rsidRPr="005514DF">
        <w:t>s4(</w:t>
      </w:r>
      <w:proofErr w:type="gramEnd"/>
      <w:r w:rsidRPr="005514DF">
        <w:t>6)(a) (emphasis added). Section 4(6</w:t>
      </w:r>
      <w:proofErr w:type="gramStart"/>
      <w:r w:rsidRPr="005514DF">
        <w:t>)(</w:t>
      </w:r>
      <w:proofErr w:type="gramEnd"/>
      <w:r w:rsidRPr="005514DF">
        <w:t xml:space="preserve">b), concerning ‘beliefs and values’, addresses those that the person would have if they had capacity. It does not directly bear on whether a person without capacity can retain such autonomy that the court should treat their expressed decision as final. Sometimes decisions are made based on a person’s past wishes or values, and this is thought to protect autonomy. If, however, the person in question is expressing a </w:t>
      </w:r>
      <w:r w:rsidRPr="005514DF">
        <w:rPr>
          <w:i/>
        </w:rPr>
        <w:t xml:space="preserve">present </w:t>
      </w:r>
      <w:r w:rsidRPr="005514DF">
        <w:t>preference to the contrary, then this is deeply suspicious. Burch is right that such decisions ‘thereby deny her the right to make a decision on the grounds that they understand who she is better than she does. The claim that this is not a coercive denial of P’s legal capacity is a kind of doublespeak where coercion doesn’t always mean coercion’: M Burch, ‘Autonomy, Respect, and the Rights of Persons with Disabilities in Crisis’ [2016] 34 Journal of Applied Philosophy 389.</w:t>
      </w:r>
    </w:p>
  </w:footnote>
  <w:footnote w:id="100">
    <w:p w14:paraId="7493C91E" w14:textId="77777777" w:rsidR="009252F5" w:rsidRPr="005514DF" w:rsidRDefault="009252F5" w:rsidP="00760D8C">
      <w:pPr>
        <w:pStyle w:val="FootnoteText"/>
      </w:pPr>
      <w:r w:rsidRPr="005514DF">
        <w:rPr>
          <w:rStyle w:val="FootnoteReference"/>
        </w:rPr>
        <w:footnoteRef/>
      </w:r>
      <w:r w:rsidRPr="005514DF">
        <w:t xml:space="preserve"> MCA</w:t>
      </w:r>
      <w:r w:rsidRPr="005514DF">
        <w:rPr>
          <w:i/>
        </w:rPr>
        <w:t xml:space="preserve"> </w:t>
      </w:r>
      <w:proofErr w:type="gramStart"/>
      <w:r w:rsidRPr="005514DF">
        <w:t>s1(</w:t>
      </w:r>
      <w:proofErr w:type="gramEnd"/>
      <w:r w:rsidRPr="005514DF">
        <w:t>6).</w:t>
      </w:r>
    </w:p>
  </w:footnote>
  <w:footnote w:id="101">
    <w:p w14:paraId="7493C91F" w14:textId="77777777" w:rsidR="009252F5" w:rsidRPr="005514DF" w:rsidRDefault="009252F5">
      <w:pPr>
        <w:pStyle w:val="FootnoteText"/>
      </w:pPr>
      <w:r w:rsidRPr="005514DF">
        <w:rPr>
          <w:rStyle w:val="FootnoteReference"/>
        </w:rPr>
        <w:footnoteRef/>
      </w:r>
      <w:r w:rsidRPr="005514DF">
        <w:t xml:space="preserve"> M Donnelly, ‘Best Interests, Patient Participation and the Mental Capacity Act 2005’ (2009) 17 Medical Law Review 1.</w:t>
      </w:r>
    </w:p>
  </w:footnote>
  <w:footnote w:id="102">
    <w:p w14:paraId="7493C920" w14:textId="76D43783" w:rsidR="009252F5" w:rsidRPr="005514DF" w:rsidRDefault="009252F5" w:rsidP="00EB0AA4">
      <w:pPr>
        <w:pStyle w:val="FootnoteText"/>
      </w:pPr>
      <w:r w:rsidRPr="005514DF">
        <w:rPr>
          <w:rStyle w:val="FootnoteReference"/>
        </w:rPr>
        <w:footnoteRef/>
      </w:r>
      <w:r w:rsidRPr="005514DF">
        <w:t xml:space="preserve"> The Law Commission has suggested a stronger duty to ascertain a person’s wishes and that they be given ‘particular weight’ among the factors evaluated in a best </w:t>
      </w:r>
      <w:proofErr w:type="gramStart"/>
      <w:r w:rsidRPr="005514DF">
        <w:t>interests</w:t>
      </w:r>
      <w:proofErr w:type="gramEnd"/>
      <w:r w:rsidRPr="005514DF">
        <w:t xml:space="preserve"> decision. Law Commission, </w:t>
      </w:r>
      <w:r w:rsidRPr="005514DF">
        <w:rPr>
          <w:i/>
        </w:rPr>
        <w:t>Mental Capacity and Deprivation of Liberty</w:t>
      </w:r>
      <w:r w:rsidRPr="005514DF">
        <w:t xml:space="preserve"> (Law Com No 372, 2017) para 14.10</w:t>
      </w:r>
      <w:r>
        <w:t>-</w:t>
      </w:r>
      <w:r w:rsidRPr="005514DF">
        <w:t>14.21, Recommendation 40. This would not change the nature of the survival account as it appears in this section. It may, however, require decision-makers to rely on this account more frequently.</w:t>
      </w:r>
    </w:p>
  </w:footnote>
  <w:footnote w:id="103">
    <w:p w14:paraId="7493C921" w14:textId="77777777" w:rsidR="009252F5" w:rsidRPr="005514DF" w:rsidRDefault="009252F5" w:rsidP="00760D8C">
      <w:pPr>
        <w:pStyle w:val="FootnoteText"/>
      </w:pPr>
      <w:r w:rsidRPr="005514DF">
        <w:rPr>
          <w:rStyle w:val="FootnoteReference"/>
        </w:rPr>
        <w:footnoteRef/>
      </w:r>
      <w:r w:rsidRPr="005514DF">
        <w:t xml:space="preserve"> </w:t>
      </w:r>
      <w:r w:rsidRPr="005514DF">
        <w:rPr>
          <w:i/>
        </w:rPr>
        <w:t>C v A Local Authority</w:t>
      </w:r>
      <w:r w:rsidRPr="005514DF">
        <w:t xml:space="preserve"> [2011] EWHC 1539 (Admin), [2011] Med LR 415 [61</w:t>
      </w:r>
      <w:proofErr w:type="gramStart"/>
      <w:r w:rsidRPr="005514DF">
        <w:t>](</w:t>
      </w:r>
      <w:proofErr w:type="gramEnd"/>
      <w:r w:rsidRPr="005514DF">
        <w:t>Ryder J).</w:t>
      </w:r>
    </w:p>
  </w:footnote>
  <w:footnote w:id="104">
    <w:p w14:paraId="7493C922" w14:textId="77777777" w:rsidR="009252F5" w:rsidRPr="005514DF" w:rsidRDefault="009252F5" w:rsidP="00760D8C">
      <w:pPr>
        <w:pStyle w:val="FootnoteText"/>
      </w:pPr>
      <w:r w:rsidRPr="005514DF">
        <w:rPr>
          <w:rStyle w:val="FootnoteReference"/>
        </w:rPr>
        <w:footnoteRef/>
      </w:r>
      <w:r w:rsidRPr="005514DF">
        <w:t xml:space="preserve"> [2009] EWHC 163 (Ch), [2010] Ch 33 [41] (Lewison J). See also </w:t>
      </w:r>
      <w:r w:rsidRPr="005514DF">
        <w:rPr>
          <w:i/>
        </w:rPr>
        <w:t>Re CD</w:t>
      </w:r>
      <w:r w:rsidRPr="005514DF">
        <w:t xml:space="preserve"> [2015] EWCOP 74, [2016] COPLR 1 [28] (Mostyn J).</w:t>
      </w:r>
    </w:p>
  </w:footnote>
  <w:footnote w:id="105">
    <w:p w14:paraId="7493C923" w14:textId="77777777" w:rsidR="009252F5" w:rsidRPr="005514DF" w:rsidRDefault="009252F5" w:rsidP="00F46BF6">
      <w:pPr>
        <w:pStyle w:val="FootnoteText"/>
      </w:pPr>
      <w:r w:rsidRPr="005514DF">
        <w:rPr>
          <w:rStyle w:val="FootnoteReference"/>
        </w:rPr>
        <w:footnoteRef/>
      </w:r>
      <w:r w:rsidRPr="005514DF">
        <w:t xml:space="preserve"> [2009] EWHC 2525 (</w:t>
      </w:r>
      <w:proofErr w:type="gramStart"/>
      <w:r w:rsidRPr="005514DF">
        <w:t>Fam</w:t>
      </w:r>
      <w:proofErr w:type="gramEnd"/>
      <w:r w:rsidRPr="005514DF">
        <w:t>), [2011] 1 WLR 344.</w:t>
      </w:r>
    </w:p>
  </w:footnote>
  <w:footnote w:id="106">
    <w:p w14:paraId="7493C924" w14:textId="77777777" w:rsidR="009252F5" w:rsidRPr="005514DF" w:rsidRDefault="009252F5" w:rsidP="00760D8C">
      <w:pPr>
        <w:pStyle w:val="FootnoteText"/>
      </w:pPr>
      <w:r w:rsidRPr="005514DF">
        <w:rPr>
          <w:rStyle w:val="FootnoteReference"/>
        </w:rPr>
        <w:footnoteRef/>
      </w:r>
      <w:r w:rsidRPr="005514DF">
        <w:t xml:space="preserve"> </w:t>
      </w:r>
      <w:r w:rsidRPr="005514DF">
        <w:rPr>
          <w:i/>
        </w:rPr>
        <w:t>Ibid</w:t>
      </w:r>
      <w:r w:rsidRPr="005514DF">
        <w:t xml:space="preserve"> [35].</w:t>
      </w:r>
    </w:p>
  </w:footnote>
  <w:footnote w:id="107">
    <w:p w14:paraId="7493C925" w14:textId="77777777" w:rsidR="009252F5" w:rsidRPr="005514DF" w:rsidRDefault="009252F5" w:rsidP="00760D8C">
      <w:pPr>
        <w:pStyle w:val="FootnoteText"/>
      </w:pPr>
      <w:r w:rsidRPr="005514DF">
        <w:rPr>
          <w:rStyle w:val="FootnoteReference"/>
        </w:rPr>
        <w:footnoteRef/>
      </w:r>
      <w:r w:rsidRPr="005514DF">
        <w:t xml:space="preserve"> </w:t>
      </w:r>
      <w:r w:rsidRPr="005514DF">
        <w:rPr>
          <w:i/>
        </w:rPr>
        <w:t>Ibid</w:t>
      </w:r>
      <w:r w:rsidRPr="005514DF">
        <w:t>.</w:t>
      </w:r>
    </w:p>
  </w:footnote>
  <w:footnote w:id="108">
    <w:p w14:paraId="7493C926" w14:textId="77777777" w:rsidR="009252F5" w:rsidRPr="005514DF" w:rsidRDefault="009252F5">
      <w:pPr>
        <w:pStyle w:val="FootnoteText"/>
      </w:pPr>
      <w:r w:rsidRPr="005514DF">
        <w:rPr>
          <w:rStyle w:val="FootnoteReference"/>
        </w:rPr>
        <w:footnoteRef/>
      </w:r>
      <w:r w:rsidRPr="005514DF">
        <w:t xml:space="preserve"> Herring argued for this development in an early article on the Act that read it through the prism of the gatekeeper account. His article predates almost all of the case law discussed in this section. Jonathan Herring, ‘Losing it? Losing what? The Law and Dementia’ (2009) 21 Child and Family Law Quarterly 3.</w:t>
      </w:r>
    </w:p>
  </w:footnote>
  <w:footnote w:id="109">
    <w:p w14:paraId="7493C927" w14:textId="77777777" w:rsidR="009252F5" w:rsidRPr="005514DF" w:rsidRDefault="009252F5">
      <w:pPr>
        <w:pStyle w:val="FootnoteText"/>
      </w:pPr>
      <w:r w:rsidRPr="005514DF">
        <w:rPr>
          <w:rStyle w:val="FootnoteReference"/>
        </w:rPr>
        <w:footnoteRef/>
      </w:r>
      <w:r w:rsidRPr="005514DF">
        <w:t xml:space="preserve"> MCA </w:t>
      </w:r>
      <w:proofErr w:type="gramStart"/>
      <w:r w:rsidRPr="005514DF">
        <w:t>s4(</w:t>
      </w:r>
      <w:proofErr w:type="gramEnd"/>
      <w:r w:rsidRPr="005514DF">
        <w:t>6).</w:t>
      </w:r>
    </w:p>
  </w:footnote>
  <w:footnote w:id="110">
    <w:p w14:paraId="7493C928" w14:textId="77777777" w:rsidR="009252F5" w:rsidRPr="005514DF" w:rsidRDefault="009252F5">
      <w:pPr>
        <w:pStyle w:val="FootnoteText"/>
      </w:pPr>
      <w:r w:rsidRPr="005514DF">
        <w:rPr>
          <w:rStyle w:val="FootnoteReference"/>
        </w:rPr>
        <w:footnoteRef/>
      </w:r>
      <w:r w:rsidRPr="005514DF">
        <w:t xml:space="preserve"> </w:t>
      </w:r>
      <w:bookmarkStart w:id="6" w:name="para59"/>
      <w:r w:rsidRPr="005514DF">
        <w:t>Judge Hazel Marshall QC</w:t>
      </w:r>
      <w:bookmarkEnd w:id="6"/>
      <w:r w:rsidRPr="005514DF">
        <w:t xml:space="preserve"> rhetorically asks ‘What, after all, is the point of taking great trouble to ascertain or deduce P’s views, and to encourage P to be involved in the decision-making process, unless the objective is to try to achieve the outcome which P wants or prefers, even if he does not have the capacity to achieve it for himself?’ </w:t>
      </w:r>
      <w:r w:rsidRPr="005514DF">
        <w:rPr>
          <w:i/>
        </w:rPr>
        <w:t>Re S (Protected Persons)</w:t>
      </w:r>
      <w:r w:rsidRPr="005514DF">
        <w:t xml:space="preserve"> [2010] 1 WLR 1082 (COP) [55].  Cited with approval for ‘all applications of the best interests test’ by Charles J in </w:t>
      </w:r>
      <w:r w:rsidRPr="005514DF">
        <w:rPr>
          <w:i/>
        </w:rPr>
        <w:t>Briggs v Briggs</w:t>
      </w:r>
      <w:r w:rsidRPr="005514DF">
        <w:t xml:space="preserve"> [2016] EWCOP 53, [2017] 4 WLR 37 [59].</w:t>
      </w:r>
    </w:p>
  </w:footnote>
  <w:footnote w:id="111">
    <w:p w14:paraId="7493C929" w14:textId="77777777" w:rsidR="009252F5" w:rsidRPr="005514DF" w:rsidRDefault="009252F5">
      <w:pPr>
        <w:pStyle w:val="FootnoteText"/>
      </w:pPr>
      <w:r w:rsidRPr="005514DF">
        <w:rPr>
          <w:rStyle w:val="FootnoteReference"/>
        </w:rPr>
        <w:footnoteRef/>
      </w:r>
      <w:r w:rsidRPr="005514DF">
        <w:t xml:space="preserve"> [2014] EWCOP 21 [46]. Similarly, see </w:t>
      </w:r>
      <w:r w:rsidRPr="005514DF">
        <w:rPr>
          <w:i/>
        </w:rPr>
        <w:t>Re GW</w:t>
      </w:r>
      <w:r w:rsidRPr="005514DF">
        <w:t xml:space="preserve"> [2014] EWCOP B23 [41].</w:t>
      </w:r>
    </w:p>
  </w:footnote>
  <w:footnote w:id="112">
    <w:p w14:paraId="7493C92A" w14:textId="77777777" w:rsidR="009252F5" w:rsidRPr="005514DF" w:rsidRDefault="009252F5">
      <w:pPr>
        <w:pStyle w:val="FootnoteText"/>
      </w:pPr>
      <w:r w:rsidRPr="005514DF">
        <w:rPr>
          <w:rStyle w:val="FootnoteReference"/>
        </w:rPr>
        <w:footnoteRef/>
      </w:r>
      <w:r w:rsidRPr="005514DF">
        <w:t xml:space="preserve"> </w:t>
      </w:r>
      <w:r w:rsidRPr="005514DF">
        <w:rPr>
          <w:i/>
        </w:rPr>
        <w:t>Wye Valley NHS Trust v B</w:t>
      </w:r>
      <w:r w:rsidRPr="005514DF">
        <w:t xml:space="preserve"> [2015] EWCOP 60, [2015] COPLR 843 [13].</w:t>
      </w:r>
    </w:p>
  </w:footnote>
  <w:footnote w:id="113">
    <w:p w14:paraId="7493C92B" w14:textId="77777777" w:rsidR="009252F5" w:rsidRPr="005514DF" w:rsidRDefault="009252F5">
      <w:pPr>
        <w:pStyle w:val="FootnoteText"/>
      </w:pPr>
      <w:r w:rsidRPr="005514DF">
        <w:rPr>
          <w:rStyle w:val="FootnoteReference"/>
        </w:rPr>
        <w:footnoteRef/>
      </w:r>
      <w:r w:rsidRPr="005514DF">
        <w:t xml:space="preserve"> </w:t>
      </w:r>
      <w:r w:rsidRPr="005514DF">
        <w:rPr>
          <w:i/>
        </w:rPr>
        <w:t xml:space="preserve">Ibid </w:t>
      </w:r>
      <w:r w:rsidRPr="005514DF">
        <w:t>[42].</w:t>
      </w:r>
    </w:p>
  </w:footnote>
  <w:footnote w:id="114">
    <w:p w14:paraId="7493C92C" w14:textId="77777777" w:rsidR="009252F5" w:rsidRPr="005514DF" w:rsidRDefault="009252F5">
      <w:pPr>
        <w:pStyle w:val="FootnoteText"/>
      </w:pPr>
      <w:r w:rsidRPr="005514DF">
        <w:rPr>
          <w:rStyle w:val="FootnoteReference"/>
        </w:rPr>
        <w:footnoteRef/>
      </w:r>
      <w:r w:rsidRPr="005514DF">
        <w:t xml:space="preserve"> [2017] EWCOP 3 [29].</w:t>
      </w:r>
    </w:p>
  </w:footnote>
  <w:footnote w:id="115">
    <w:p w14:paraId="7493C92D" w14:textId="1894DE64" w:rsidR="009252F5" w:rsidRPr="005514DF" w:rsidRDefault="009252F5" w:rsidP="00967905">
      <w:pPr>
        <w:pStyle w:val="FootnoteText"/>
        <w:jc w:val="both"/>
      </w:pPr>
      <w:r w:rsidRPr="005514DF">
        <w:rPr>
          <w:rStyle w:val="FootnoteReference"/>
        </w:rPr>
        <w:footnoteRef/>
      </w:r>
      <w:r w:rsidRPr="005514DF">
        <w:t xml:space="preserve"> It is an open question how far this point is appreciated in practice outside the Court of Protection, but with regards past wishes some doctors are aware of this possibility: </w:t>
      </w:r>
      <w:r w:rsidRPr="005514DF">
        <w:rPr>
          <w:i/>
        </w:rPr>
        <w:t>Abertawe Bro Morgannwg University</w:t>
      </w:r>
      <w:r w:rsidRPr="005514DF">
        <w:t xml:space="preserve"> </w:t>
      </w:r>
      <w:r w:rsidRPr="005514DF">
        <w:rPr>
          <w:i/>
        </w:rPr>
        <w:t xml:space="preserve">LHB v RY </w:t>
      </w:r>
      <w:r w:rsidRPr="005514DF">
        <w:t>[2017] EWCOP 2 [2017]</w:t>
      </w:r>
      <w:r>
        <w:t>,</w:t>
      </w:r>
      <w:r w:rsidRPr="005514DF">
        <w:t xml:space="preserve"> COPLR 143 [40].</w:t>
      </w:r>
    </w:p>
  </w:footnote>
  <w:footnote w:id="116">
    <w:p w14:paraId="7493C92E" w14:textId="77777777" w:rsidR="009252F5" w:rsidRPr="005514DF" w:rsidRDefault="009252F5">
      <w:pPr>
        <w:pStyle w:val="FootnoteText"/>
      </w:pPr>
      <w:r w:rsidRPr="005514DF">
        <w:rPr>
          <w:rStyle w:val="FootnoteReference"/>
        </w:rPr>
        <w:footnoteRef/>
      </w:r>
      <w:r w:rsidRPr="005514DF">
        <w:t xml:space="preserve"> </w:t>
      </w:r>
      <w:r w:rsidRPr="005514DF">
        <w:rPr>
          <w:i/>
        </w:rPr>
        <w:t>Westminster City Council v Sykes</w:t>
      </w:r>
      <w:r w:rsidRPr="005514DF">
        <w:t xml:space="preserve"> [2014] EWHC B9 (COP), (2014) 17 CCL Rep 139 §10.</w:t>
      </w:r>
    </w:p>
  </w:footnote>
  <w:footnote w:id="117">
    <w:p w14:paraId="7493C92F" w14:textId="77777777" w:rsidR="009252F5" w:rsidRPr="005514DF" w:rsidRDefault="009252F5">
      <w:pPr>
        <w:pStyle w:val="FootnoteText"/>
      </w:pPr>
      <w:r w:rsidRPr="005514DF">
        <w:rPr>
          <w:rStyle w:val="FootnoteReference"/>
        </w:rPr>
        <w:footnoteRef/>
      </w:r>
      <w:r w:rsidRPr="005514DF">
        <w:t xml:space="preserve"> (n 4) [45].</w:t>
      </w:r>
    </w:p>
  </w:footnote>
  <w:footnote w:id="118">
    <w:p w14:paraId="7493C930" w14:textId="77777777" w:rsidR="009252F5" w:rsidRPr="005514DF" w:rsidRDefault="009252F5">
      <w:pPr>
        <w:pStyle w:val="FootnoteText"/>
      </w:pPr>
      <w:r w:rsidRPr="005514DF">
        <w:rPr>
          <w:rStyle w:val="FootnoteReference"/>
        </w:rPr>
        <w:footnoteRef/>
      </w:r>
      <w:r w:rsidRPr="005514DF">
        <w:t xml:space="preserve"> At first instance, however, his likely wishes, insofar as they could be ascertained, were taken into account: </w:t>
      </w:r>
      <w:r w:rsidRPr="005514DF">
        <w:rPr>
          <w:i/>
        </w:rPr>
        <w:t xml:space="preserve">An NHS Trust v DJ </w:t>
      </w:r>
      <w:r w:rsidRPr="005514DF">
        <w:t>[2012] EWCOP 3524 [79].</w:t>
      </w:r>
    </w:p>
  </w:footnote>
  <w:footnote w:id="119">
    <w:p w14:paraId="7493C931" w14:textId="77777777" w:rsidR="009252F5" w:rsidRPr="005514DF" w:rsidRDefault="009252F5">
      <w:pPr>
        <w:pStyle w:val="FootnoteText"/>
      </w:pPr>
      <w:r w:rsidRPr="005514DF">
        <w:rPr>
          <w:rStyle w:val="FootnoteReference"/>
        </w:rPr>
        <w:footnoteRef/>
      </w:r>
      <w:r w:rsidRPr="005514DF">
        <w:t xml:space="preserve"> [2014] EWCOP 35, [2015] COPLR 11 [58].</w:t>
      </w:r>
    </w:p>
  </w:footnote>
  <w:footnote w:id="120">
    <w:p w14:paraId="7493C932" w14:textId="77777777" w:rsidR="009252F5" w:rsidRPr="005514DF" w:rsidRDefault="009252F5">
      <w:pPr>
        <w:pStyle w:val="FootnoteText"/>
      </w:pPr>
      <w:r w:rsidRPr="005514DF">
        <w:rPr>
          <w:rStyle w:val="FootnoteReference"/>
        </w:rPr>
        <w:footnoteRef/>
      </w:r>
      <w:r w:rsidRPr="005514DF">
        <w:t xml:space="preserve"> </w:t>
      </w:r>
      <w:r w:rsidRPr="005514DF">
        <w:rPr>
          <w:i/>
        </w:rPr>
        <w:t xml:space="preserve">Ibid </w:t>
      </w:r>
      <w:r w:rsidRPr="005514DF">
        <w:t>[44]-[54].</w:t>
      </w:r>
    </w:p>
  </w:footnote>
  <w:footnote w:id="121">
    <w:p w14:paraId="7493C933" w14:textId="1CCF8537" w:rsidR="009252F5" w:rsidRPr="005514DF" w:rsidRDefault="009252F5">
      <w:pPr>
        <w:pStyle w:val="FootnoteText"/>
      </w:pPr>
      <w:r w:rsidRPr="005514DF">
        <w:rPr>
          <w:rStyle w:val="FootnoteReference"/>
        </w:rPr>
        <w:footnoteRef/>
      </w:r>
      <w:r w:rsidRPr="005514DF">
        <w:t xml:space="preserve"> (n 11</w:t>
      </w:r>
      <w:r>
        <w:t>2</w:t>
      </w:r>
      <w:r w:rsidRPr="005514DF">
        <w:t>) [37].</w:t>
      </w:r>
      <w:r>
        <w:t xml:space="preserve"> </w:t>
      </w:r>
      <w:r w:rsidRPr="00B056D0">
        <w:rPr>
          <w:color w:val="FF0000"/>
        </w:rPr>
        <w:t>Similar reasoning was critical in a decision to allow a man with an acquired brain injury to travel to Serbia for an experimental stem cell treatment</w:t>
      </w:r>
      <w:r w:rsidR="0073106B">
        <w:rPr>
          <w:color w:val="FF0000"/>
        </w:rPr>
        <w:t>,</w:t>
      </w:r>
      <w:r w:rsidRPr="00B056D0">
        <w:rPr>
          <w:color w:val="FF0000"/>
        </w:rPr>
        <w:t xml:space="preserve"> despite very little evidence of its effectiveness: </w:t>
      </w:r>
      <w:r w:rsidRPr="00B056D0">
        <w:rPr>
          <w:i/>
          <w:color w:val="FF0000"/>
        </w:rPr>
        <w:t>Re D (Medical Treatment)</w:t>
      </w:r>
      <w:r w:rsidRPr="00B056D0">
        <w:rPr>
          <w:color w:val="FF0000"/>
        </w:rPr>
        <w:t xml:space="preserve"> [2017] EWCOP 15, [2017] COPLR 347 [60].</w:t>
      </w:r>
      <w:r>
        <w:t xml:space="preserve"> </w:t>
      </w:r>
    </w:p>
  </w:footnote>
  <w:footnote w:id="122">
    <w:p w14:paraId="7493C934" w14:textId="46ABCC87" w:rsidR="009252F5" w:rsidRPr="005514DF" w:rsidRDefault="009252F5">
      <w:pPr>
        <w:pStyle w:val="FootnoteText"/>
      </w:pPr>
      <w:r w:rsidRPr="005514DF">
        <w:rPr>
          <w:rStyle w:val="FootnoteReference"/>
        </w:rPr>
        <w:footnoteRef/>
      </w:r>
      <w:r w:rsidRPr="005514DF">
        <w:t xml:space="preserve"> (n 11</w:t>
      </w:r>
      <w:r>
        <w:t>9</w:t>
      </w:r>
      <w:r w:rsidRPr="005514DF">
        <w:t>) [2], [44], [46].</w:t>
      </w:r>
    </w:p>
  </w:footnote>
  <w:footnote w:id="123">
    <w:p w14:paraId="7493C935" w14:textId="77777777" w:rsidR="009252F5" w:rsidRPr="005514DF" w:rsidRDefault="009252F5">
      <w:pPr>
        <w:pStyle w:val="FootnoteText"/>
      </w:pPr>
      <w:r w:rsidRPr="005514DF">
        <w:rPr>
          <w:rStyle w:val="FootnoteReference"/>
        </w:rPr>
        <w:footnoteRef/>
      </w:r>
      <w:r w:rsidRPr="005514DF">
        <w:t xml:space="preserve"> </w:t>
      </w:r>
      <w:r w:rsidRPr="005514DF">
        <w:rPr>
          <w:i/>
        </w:rPr>
        <w:t xml:space="preserve">Ms B v An NHS Hospital Trust </w:t>
      </w:r>
      <w:r w:rsidRPr="005514DF">
        <w:t>[2002] EWHC 429 (Fam), [2002] 2 All ER 449 [81]-[83] (Butler-Sloss P)</w:t>
      </w:r>
    </w:p>
  </w:footnote>
  <w:footnote w:id="124">
    <w:p w14:paraId="7493C936" w14:textId="77777777" w:rsidR="009252F5" w:rsidRPr="005514DF" w:rsidRDefault="009252F5" w:rsidP="00365AEE">
      <w:pPr>
        <w:pStyle w:val="FootnoteText"/>
      </w:pPr>
      <w:r w:rsidRPr="005514DF">
        <w:rPr>
          <w:rStyle w:val="FootnoteReference"/>
        </w:rPr>
        <w:footnoteRef/>
      </w:r>
      <w:r w:rsidRPr="005514DF">
        <w:t xml:space="preserve"> K Atkins, ‘Autonomy and the Subjective Character of Experience’ (2000) 17 Journal of Applied Philosophy 71.</w:t>
      </w:r>
    </w:p>
  </w:footnote>
  <w:footnote w:id="125">
    <w:p w14:paraId="7493C937" w14:textId="47D24051" w:rsidR="009252F5" w:rsidRPr="005514DF" w:rsidRDefault="009252F5">
      <w:pPr>
        <w:pStyle w:val="FootnoteText"/>
      </w:pPr>
      <w:r w:rsidRPr="005514DF">
        <w:rPr>
          <w:rStyle w:val="FootnoteReference"/>
        </w:rPr>
        <w:footnoteRef/>
      </w:r>
      <w:r w:rsidRPr="005514DF">
        <w:t xml:space="preserve"> (n 12</w:t>
      </w:r>
      <w:r>
        <w:t>3</w:t>
      </w:r>
      <w:r w:rsidRPr="005514DF">
        <w:t>) [94]</w:t>
      </w:r>
      <w:proofErr w:type="gramStart"/>
      <w:r w:rsidRPr="005514DF">
        <w:t>-[</w:t>
      </w:r>
      <w:proofErr w:type="gramEnd"/>
      <w:r w:rsidRPr="005514DF">
        <w:t>95].</w:t>
      </w:r>
    </w:p>
  </w:footnote>
  <w:footnote w:id="126">
    <w:p w14:paraId="7493C938" w14:textId="77777777" w:rsidR="009252F5" w:rsidRPr="005514DF" w:rsidRDefault="009252F5" w:rsidP="00C70A5C">
      <w:pPr>
        <w:pStyle w:val="FootnoteText"/>
      </w:pPr>
      <w:r w:rsidRPr="005514DF">
        <w:rPr>
          <w:rStyle w:val="FootnoteReference"/>
        </w:rPr>
        <w:footnoteRef/>
      </w:r>
      <w:r w:rsidRPr="005514DF">
        <w:t xml:space="preserve"> A detailed examination of the role of the ‘subjective character of experience’ in best interests decisions can be found in L Pritchard-Jones, ‘“This Man with Dementia”—“Othering” the Person with Dementia in the Court of Protection’ (2016) 24 Medical Law Review 518.</w:t>
      </w:r>
    </w:p>
  </w:footnote>
  <w:footnote w:id="127">
    <w:p w14:paraId="7493C939" w14:textId="77777777" w:rsidR="009252F5" w:rsidRPr="005514DF" w:rsidRDefault="009252F5">
      <w:pPr>
        <w:pStyle w:val="FootnoteText"/>
      </w:pPr>
      <w:r w:rsidRPr="005514DF">
        <w:rPr>
          <w:rStyle w:val="FootnoteReference"/>
        </w:rPr>
        <w:footnoteRef/>
      </w:r>
      <w:r w:rsidRPr="005514DF">
        <w:t xml:space="preserve"> This development in the treatment of incapacity parallels a broader change in attitudes to mental health. As Glover says, it used to be thought that the inner lives of people with mental disorders were ‘impenetrably alien’ and beyond interpretation by others; but this idea is increasingly under challenge as efforts are made to find the ‘right interpretation’. J Glover, </w:t>
      </w:r>
      <w:r w:rsidRPr="005514DF">
        <w:rPr>
          <w:i/>
        </w:rPr>
        <w:t>Alien Landscapes? Interpreting Disordered Minds</w:t>
      </w:r>
      <w:r w:rsidRPr="005514DF">
        <w:t xml:space="preserve"> (Harvard University Press: London, 2014) 1, 126-127.</w:t>
      </w:r>
    </w:p>
  </w:footnote>
  <w:footnote w:id="128">
    <w:p w14:paraId="7493C93A" w14:textId="77777777" w:rsidR="009252F5" w:rsidRPr="005514DF" w:rsidRDefault="009252F5">
      <w:pPr>
        <w:pStyle w:val="FootnoteText"/>
      </w:pPr>
      <w:r w:rsidRPr="005514DF">
        <w:rPr>
          <w:rStyle w:val="FootnoteReference"/>
        </w:rPr>
        <w:footnoteRef/>
      </w:r>
      <w:r w:rsidRPr="005514DF">
        <w:t xml:space="preserve"> [2011] EWCOP 3806 [35].</w:t>
      </w:r>
    </w:p>
  </w:footnote>
  <w:footnote w:id="129">
    <w:p w14:paraId="7493C93B" w14:textId="77777777" w:rsidR="009252F5" w:rsidRPr="005514DF" w:rsidRDefault="009252F5">
      <w:pPr>
        <w:pStyle w:val="FootnoteText"/>
      </w:pPr>
      <w:r w:rsidRPr="005514DF">
        <w:rPr>
          <w:rStyle w:val="FootnoteReference"/>
        </w:rPr>
        <w:footnoteRef/>
      </w:r>
      <w:r w:rsidRPr="005514DF">
        <w:t xml:space="preserve"> </w:t>
      </w:r>
      <w:r w:rsidRPr="005514DF">
        <w:rPr>
          <w:i/>
        </w:rPr>
        <w:t xml:space="preserve">Ibid </w:t>
      </w:r>
      <w:r w:rsidRPr="005514DF">
        <w:t>[37], [41].</w:t>
      </w:r>
    </w:p>
  </w:footnote>
  <w:footnote w:id="130">
    <w:p w14:paraId="7493C93C" w14:textId="77777777" w:rsidR="009252F5" w:rsidRPr="005514DF" w:rsidRDefault="009252F5">
      <w:pPr>
        <w:pStyle w:val="FootnoteText"/>
      </w:pPr>
      <w:r w:rsidRPr="005514DF">
        <w:rPr>
          <w:rStyle w:val="FootnoteReference"/>
        </w:rPr>
        <w:footnoteRef/>
      </w:r>
      <w:r w:rsidRPr="005514DF">
        <w:t xml:space="preserve"> </w:t>
      </w:r>
      <w:r w:rsidRPr="005514DF">
        <w:rPr>
          <w:i/>
        </w:rPr>
        <w:t xml:space="preserve">Ibid </w:t>
      </w:r>
      <w:r w:rsidRPr="005514DF">
        <w:t>[35].</w:t>
      </w:r>
    </w:p>
  </w:footnote>
  <w:footnote w:id="131">
    <w:p w14:paraId="7493C93D" w14:textId="77777777" w:rsidR="009252F5" w:rsidRPr="005514DF" w:rsidRDefault="009252F5">
      <w:pPr>
        <w:pStyle w:val="FootnoteText"/>
      </w:pPr>
      <w:r w:rsidRPr="005514DF">
        <w:rPr>
          <w:rStyle w:val="FootnoteReference"/>
        </w:rPr>
        <w:footnoteRef/>
      </w:r>
      <w:r w:rsidRPr="005514DF">
        <w:t xml:space="preserve"> Alasdair MacIntyre, ‘The Intelligibility of Action’ in J Margolis (</w:t>
      </w:r>
      <w:proofErr w:type="gramStart"/>
      <w:r w:rsidRPr="005514DF">
        <w:t>ed</w:t>
      </w:r>
      <w:proofErr w:type="gramEnd"/>
      <w:r w:rsidRPr="005514DF">
        <w:t xml:space="preserve">), </w:t>
      </w:r>
      <w:r w:rsidRPr="005514DF">
        <w:rPr>
          <w:i/>
        </w:rPr>
        <w:t>Rationality, Relativism and the Human Sciences</w:t>
      </w:r>
      <w:r w:rsidRPr="005514DF">
        <w:t xml:space="preserve"> (Martinus Nijhoff: Dordrecht, 1986) 63.</w:t>
      </w:r>
    </w:p>
  </w:footnote>
  <w:footnote w:id="132">
    <w:p w14:paraId="7493C93E" w14:textId="67FA4521" w:rsidR="009252F5" w:rsidRPr="005514DF" w:rsidRDefault="009252F5">
      <w:pPr>
        <w:pStyle w:val="FootnoteText"/>
      </w:pPr>
      <w:r w:rsidRPr="005514DF">
        <w:rPr>
          <w:rStyle w:val="FootnoteReference"/>
        </w:rPr>
        <w:footnoteRef/>
      </w:r>
      <w:r w:rsidRPr="005514DF">
        <w:t xml:space="preserve"> (n 11</w:t>
      </w:r>
      <w:r>
        <w:t>9</w:t>
      </w:r>
      <w:r w:rsidRPr="005514DF">
        <w:t>) [38].</w:t>
      </w:r>
    </w:p>
  </w:footnote>
  <w:footnote w:id="133">
    <w:p w14:paraId="7493C93F" w14:textId="77777777" w:rsidR="009252F5" w:rsidRPr="005514DF" w:rsidRDefault="009252F5" w:rsidP="008B32FF">
      <w:pPr>
        <w:pStyle w:val="FootnoteText"/>
      </w:pPr>
      <w:r w:rsidRPr="005514DF">
        <w:rPr>
          <w:rStyle w:val="FootnoteReference"/>
        </w:rPr>
        <w:footnoteRef/>
      </w:r>
      <w:r w:rsidRPr="005514DF">
        <w:t xml:space="preserve"> </w:t>
      </w:r>
      <w:r w:rsidRPr="005514DF">
        <w:rPr>
          <w:i/>
        </w:rPr>
        <w:t xml:space="preserve">Ibid </w:t>
      </w:r>
      <w:r w:rsidRPr="005514DF">
        <w:t>[12]-[25].</w:t>
      </w:r>
    </w:p>
  </w:footnote>
  <w:footnote w:id="134">
    <w:p w14:paraId="7493C940" w14:textId="77777777" w:rsidR="009252F5" w:rsidRPr="005514DF" w:rsidRDefault="009252F5">
      <w:pPr>
        <w:pStyle w:val="FootnoteText"/>
      </w:pPr>
      <w:r w:rsidRPr="005514DF">
        <w:rPr>
          <w:rStyle w:val="FootnoteReference"/>
        </w:rPr>
        <w:footnoteRef/>
      </w:r>
      <w:r w:rsidRPr="005514DF">
        <w:t xml:space="preserve"> C Johnston and others, ‘Patient Narrative: An “On-Switch” for Evaluating Best Interests’ (2016) 38 Journal of Social Welfare and Family Law 249.</w:t>
      </w:r>
    </w:p>
  </w:footnote>
  <w:footnote w:id="135">
    <w:p w14:paraId="7493C941" w14:textId="073AFDCD" w:rsidR="009252F5" w:rsidRPr="005514DF" w:rsidRDefault="009252F5">
      <w:pPr>
        <w:pStyle w:val="FootnoteText"/>
      </w:pPr>
      <w:r w:rsidRPr="005514DF">
        <w:rPr>
          <w:rStyle w:val="FootnoteReference"/>
        </w:rPr>
        <w:footnoteRef/>
      </w:r>
      <w:r w:rsidRPr="005514DF">
        <w:t xml:space="preserve"> (n 12</w:t>
      </w:r>
      <w:r>
        <w:t>8</w:t>
      </w:r>
      <w:r w:rsidRPr="005514DF">
        <w:t>) [41], [68].</w:t>
      </w:r>
    </w:p>
  </w:footnote>
  <w:footnote w:id="136">
    <w:p w14:paraId="7493C942" w14:textId="77777777" w:rsidR="009252F5" w:rsidRPr="005514DF" w:rsidRDefault="009252F5" w:rsidP="00790711">
      <w:pPr>
        <w:pStyle w:val="FootnoteText"/>
      </w:pPr>
      <w:r w:rsidRPr="005514DF">
        <w:rPr>
          <w:rStyle w:val="FootnoteReference"/>
        </w:rPr>
        <w:footnoteRef/>
      </w:r>
      <w:r w:rsidRPr="005514DF">
        <w:t xml:space="preserve"> J Christman, </w:t>
      </w:r>
      <w:r w:rsidRPr="005514DF">
        <w:rPr>
          <w:i/>
        </w:rPr>
        <w:t>The Politics of Persons: Individual Autonomy and Socio-historical Selves</w:t>
      </w:r>
      <w:r w:rsidRPr="005514DF">
        <w:t xml:space="preserve"> (Cambridge University Press: Cambridge, 2009) Ch 7.</w:t>
      </w:r>
    </w:p>
  </w:footnote>
  <w:footnote w:id="137">
    <w:p w14:paraId="7493C943" w14:textId="7D2749C8" w:rsidR="009252F5" w:rsidRPr="005514DF" w:rsidRDefault="009252F5">
      <w:pPr>
        <w:pStyle w:val="FootnoteText"/>
      </w:pPr>
      <w:r w:rsidRPr="005514DF">
        <w:rPr>
          <w:rStyle w:val="FootnoteReference"/>
        </w:rPr>
        <w:footnoteRef/>
      </w:r>
      <w:r w:rsidRPr="005514DF">
        <w:t xml:space="preserve"> Beyond the existing practice described here, the minor reforms to </w:t>
      </w:r>
      <w:proofErr w:type="gramStart"/>
      <w:r w:rsidRPr="005514DF">
        <w:t>s4(</w:t>
      </w:r>
      <w:proofErr w:type="gramEnd"/>
      <w:r w:rsidRPr="005514DF">
        <w:t>6) of the Act suggested by the Law Commission are intended to especially protect strong and clear wishes: Law Commission (n 10</w:t>
      </w:r>
      <w:r>
        <w:t>2</w:t>
      </w:r>
      <w:r w:rsidRPr="005514DF">
        <w:t>) para 14.17. More extreme is the suggestion of a legal standard based entirely on authenticity instead of best interests mentioned in W</w:t>
      </w:r>
      <w:r>
        <w:t>ayne</w:t>
      </w:r>
      <w:r w:rsidRPr="005514DF">
        <w:t xml:space="preserve"> Martin and others, </w:t>
      </w:r>
      <w:r w:rsidRPr="005514DF">
        <w:rPr>
          <w:i/>
        </w:rPr>
        <w:t>Three Jurisdictions Report: Towards Compliance with CRPD Art 12 in Capacity/Incapacity Legislation across the UK</w:t>
      </w:r>
      <w:r w:rsidRPr="005514DF">
        <w:t xml:space="preserve"> (University of Essex: Colchester 2016) 41-42. </w:t>
      </w:r>
    </w:p>
  </w:footnote>
  <w:footnote w:id="138">
    <w:p w14:paraId="7493C944" w14:textId="67467337" w:rsidR="009252F5" w:rsidRPr="005514DF" w:rsidRDefault="009252F5">
      <w:pPr>
        <w:pStyle w:val="FootnoteText"/>
      </w:pPr>
      <w:r w:rsidRPr="005514DF">
        <w:rPr>
          <w:rStyle w:val="FootnoteReference"/>
        </w:rPr>
        <w:footnoteRef/>
      </w:r>
      <w:r w:rsidRPr="005514DF">
        <w:t xml:space="preserve"> (n 11</w:t>
      </w:r>
      <w:r>
        <w:t>2</w:t>
      </w:r>
      <w:r w:rsidRPr="005514DF">
        <w:t>) [13] (Peter Jackson J).</w:t>
      </w:r>
    </w:p>
  </w:footnote>
  <w:footnote w:id="139">
    <w:p w14:paraId="7493C945" w14:textId="77777777" w:rsidR="009252F5" w:rsidRPr="005514DF" w:rsidRDefault="009252F5" w:rsidP="00452D40">
      <w:pPr>
        <w:pStyle w:val="FootnoteText"/>
      </w:pPr>
      <w:r w:rsidRPr="005514DF">
        <w:rPr>
          <w:rStyle w:val="FootnoteReference"/>
        </w:rPr>
        <w:footnoteRef/>
      </w:r>
      <w:r w:rsidRPr="005514DF">
        <w:t xml:space="preserve"> </w:t>
      </w:r>
      <w:r w:rsidRPr="005514DF">
        <w:rPr>
          <w:i/>
        </w:rPr>
        <w:t>Ibid</w:t>
      </w:r>
      <w:r w:rsidRPr="005514DF">
        <w:t>.</w:t>
      </w:r>
    </w:p>
  </w:footnote>
  <w:footnote w:id="140">
    <w:p w14:paraId="7493C946" w14:textId="14BF0509" w:rsidR="009252F5" w:rsidRPr="005514DF" w:rsidRDefault="009252F5">
      <w:pPr>
        <w:pStyle w:val="FootnoteText"/>
      </w:pPr>
      <w:r w:rsidRPr="005514DF">
        <w:rPr>
          <w:rStyle w:val="FootnoteReference"/>
        </w:rPr>
        <w:footnoteRef/>
      </w:r>
      <w:r w:rsidRPr="005514DF">
        <w:t xml:space="preserve"> (n 11</w:t>
      </w:r>
      <w:r>
        <w:t>4</w:t>
      </w:r>
      <w:r w:rsidRPr="005514DF">
        <w:t>) [28].</w:t>
      </w:r>
    </w:p>
  </w:footnote>
  <w:footnote w:id="141">
    <w:p w14:paraId="7493C947" w14:textId="77777777" w:rsidR="009252F5" w:rsidRPr="005514DF" w:rsidRDefault="009252F5">
      <w:pPr>
        <w:pStyle w:val="FootnoteText"/>
        <w:rPr>
          <w:i/>
        </w:rPr>
      </w:pPr>
      <w:r w:rsidRPr="005514DF">
        <w:rPr>
          <w:rStyle w:val="FootnoteReference"/>
        </w:rPr>
        <w:footnoteRef/>
      </w:r>
      <w:r w:rsidRPr="005514DF">
        <w:t xml:space="preserve"> </w:t>
      </w:r>
      <w:r w:rsidRPr="005514DF">
        <w:rPr>
          <w:i/>
        </w:rPr>
        <w:t>Ibid</w:t>
      </w:r>
      <w:r w:rsidRPr="005514DF">
        <w:t>.</w:t>
      </w:r>
      <w:r w:rsidRPr="005514DF">
        <w:rPr>
          <w:i/>
        </w:rPr>
        <w:t xml:space="preserve"> </w:t>
      </w:r>
    </w:p>
  </w:footnote>
  <w:footnote w:id="142">
    <w:p w14:paraId="7493C948" w14:textId="77777777" w:rsidR="009252F5" w:rsidRPr="005514DF" w:rsidRDefault="009252F5">
      <w:pPr>
        <w:pStyle w:val="FootnoteText"/>
      </w:pPr>
      <w:r w:rsidRPr="005514DF">
        <w:rPr>
          <w:rStyle w:val="FootnoteReference"/>
        </w:rPr>
        <w:footnoteRef/>
      </w:r>
      <w:r w:rsidRPr="005514DF">
        <w:t xml:space="preserve"> A Melnyk, ‘Is there a Formal Argument against Positive Rights?’ (1989) 55 Philosophical Studies 205; M Levin, ‘Conditional Rights’ (1989) 55 Philosophical Studies 211.</w:t>
      </w:r>
    </w:p>
  </w:footnote>
  <w:footnote w:id="143">
    <w:p w14:paraId="7493C949" w14:textId="77777777" w:rsidR="009252F5" w:rsidRPr="005514DF" w:rsidRDefault="009252F5" w:rsidP="00795512">
      <w:pPr>
        <w:pStyle w:val="FootnoteText"/>
      </w:pPr>
      <w:r w:rsidRPr="005514DF">
        <w:rPr>
          <w:rStyle w:val="FootnoteReference"/>
        </w:rPr>
        <w:footnoteRef/>
      </w:r>
      <w:r w:rsidRPr="005514DF">
        <w:t xml:space="preserve"> P Case, ‘Negotiating the Domain of Mental Capacity: Clinical Judgement or Judicial Diagnosis?’ (2016) 16 Medical Law International 174.</w:t>
      </w:r>
    </w:p>
  </w:footnote>
  <w:footnote w:id="144">
    <w:p w14:paraId="7493C94A" w14:textId="77777777" w:rsidR="009252F5" w:rsidRPr="005514DF" w:rsidRDefault="009252F5" w:rsidP="00316034">
      <w:pPr>
        <w:pStyle w:val="FootnoteText"/>
      </w:pPr>
      <w:r w:rsidRPr="005514DF">
        <w:rPr>
          <w:rStyle w:val="FootnoteReference"/>
        </w:rPr>
        <w:footnoteRef/>
      </w:r>
      <w:r w:rsidRPr="005514DF">
        <w:t xml:space="preserve"> A particular worry is whether the wishes and feelings of people with learning disabilities are given as much weight as other groups: L Series, ‘The Place of Wishes and Feelings in Best Interests Decisions’ (2016) 79 Modern Law Review 1101. This is consistent with, and even suggested by, the account given here. Unlike, for instance, someone with a progressive condition, such as dementia, a person with a learning disability may not have an earlier period of capacity that autonomy can be characterised as having </w:t>
      </w:r>
      <w:r w:rsidRPr="005514DF">
        <w:rPr>
          <w:i/>
        </w:rPr>
        <w:t>survived</w:t>
      </w:r>
      <w:r w:rsidRPr="005514DF">
        <w:t xml:space="preserve"> </w:t>
      </w:r>
      <w:r w:rsidRPr="005514DF">
        <w:rPr>
          <w:i/>
        </w:rPr>
        <w:t>from</w:t>
      </w:r>
      <w:r w:rsidRPr="005514DF">
        <w:t>.</w:t>
      </w:r>
    </w:p>
  </w:footnote>
  <w:footnote w:id="145">
    <w:p w14:paraId="7493C94B" w14:textId="77777777" w:rsidR="009252F5" w:rsidRPr="005514DF" w:rsidRDefault="009252F5">
      <w:pPr>
        <w:pStyle w:val="FootnoteText"/>
      </w:pPr>
      <w:r w:rsidRPr="005514DF">
        <w:rPr>
          <w:rStyle w:val="FootnoteReference"/>
        </w:rPr>
        <w:footnoteRef/>
      </w:r>
      <w:r w:rsidRPr="005514DF">
        <w:t xml:space="preserve"> Select Committee on the Mental Capacity Act 2005, </w:t>
      </w:r>
      <w:r w:rsidRPr="005514DF">
        <w:rPr>
          <w:i/>
        </w:rPr>
        <w:t>Mental Capacity Act 2005: Post-Legislative Scrutiny</w:t>
      </w:r>
      <w:r w:rsidRPr="005514DF">
        <w:t xml:space="preserve"> (2013-14, HL Paper 139) para 60.</w:t>
      </w:r>
    </w:p>
  </w:footnote>
  <w:footnote w:id="146">
    <w:p w14:paraId="7493C94C" w14:textId="03CF62B8" w:rsidR="009252F5" w:rsidRPr="005514DF" w:rsidRDefault="009252F5" w:rsidP="004C2AFB">
      <w:pPr>
        <w:pStyle w:val="FootnoteText"/>
        <w:rPr>
          <w:i/>
        </w:rPr>
      </w:pPr>
      <w:r w:rsidRPr="005514DF">
        <w:rPr>
          <w:rStyle w:val="FootnoteReference"/>
        </w:rPr>
        <w:footnoteRef/>
      </w:r>
      <w:r w:rsidRPr="005514DF">
        <w:t xml:space="preserve"> This is not intended to minimise the problems</w:t>
      </w:r>
      <w:r>
        <w:t xml:space="preserve"> of</w:t>
      </w:r>
      <w:r w:rsidRPr="005514DF">
        <w:t xml:space="preserve"> implementing the Act, which are extensive. </w:t>
      </w:r>
      <w:r w:rsidRPr="005514DF">
        <w:rPr>
          <w:i/>
        </w:rPr>
        <w:t>Ibid.</w:t>
      </w:r>
    </w:p>
  </w:footnote>
  <w:footnote w:id="147">
    <w:p w14:paraId="7493C94D" w14:textId="34911C30" w:rsidR="009252F5" w:rsidRPr="005514DF" w:rsidRDefault="009252F5" w:rsidP="00585CBD">
      <w:pPr>
        <w:pStyle w:val="FootnoteText"/>
      </w:pPr>
      <w:r w:rsidRPr="005514DF">
        <w:rPr>
          <w:rStyle w:val="FootnoteReference"/>
        </w:rPr>
        <w:footnoteRef/>
      </w:r>
      <w:r w:rsidRPr="005514DF">
        <w:t xml:space="preserve"> Those who advocate moving even further towards approaches based on authenticity sometimes expressly endorse the point that others retain interpretative control. For instance: G Szmukler and M Bach, ‘Mental Health Disabilities and Human Rights Protections’ (2015) 2 Global </w:t>
      </w:r>
      <w:r>
        <w:t>M</w:t>
      </w:r>
      <w:r w:rsidRPr="005514DF">
        <w:t xml:space="preserve">ental Health e20, 7. Although the final decision is judicial, Clough points out that even cases where the judge pays close attention to the person’s wishes are often deeply influenced by medical opinion: B Clough, ‘Anorexia, Capacity, and Best Interests: Developments in the Court Of Protection </w:t>
      </w:r>
      <w:r>
        <w:t>s</w:t>
      </w:r>
      <w:r w:rsidRPr="005514DF">
        <w:t>ince The Mental Capacity Act 2005’ (2016) 24 Medical Law Review 434, 444.</w:t>
      </w:r>
    </w:p>
  </w:footnote>
  <w:footnote w:id="148">
    <w:p w14:paraId="7493C94E" w14:textId="77777777" w:rsidR="009252F5" w:rsidRPr="005514DF" w:rsidRDefault="009252F5">
      <w:pPr>
        <w:pStyle w:val="FootnoteText"/>
      </w:pPr>
      <w:r w:rsidRPr="005514DF">
        <w:rPr>
          <w:rStyle w:val="FootnoteReference"/>
        </w:rPr>
        <w:footnoteRef/>
      </w:r>
      <w:r w:rsidRPr="005514DF">
        <w:t xml:space="preserve"> This is already an issue. For instance, </w:t>
      </w:r>
      <w:r w:rsidRPr="005514DF">
        <w:rPr>
          <w:i/>
        </w:rPr>
        <w:t>Re SL</w:t>
      </w:r>
      <w:r w:rsidRPr="005514DF">
        <w:t xml:space="preserve"> [2017] EWCOP 5 [12] (Glentworth DJ): ‘</w:t>
      </w:r>
      <w:bookmarkStart w:id="7" w:name="para12"/>
      <w:r w:rsidRPr="005514DF">
        <w:t>She is described as regretting that she has to contribute to the cost, that it has gone on so long and she does not like having to talk to people about the matters repeatedly</w:t>
      </w:r>
      <w:bookmarkEnd w:id="7"/>
      <w:r w:rsidRPr="005514DF">
        <w:t>’.</w:t>
      </w:r>
    </w:p>
  </w:footnote>
  <w:footnote w:id="149">
    <w:p w14:paraId="7493C94F" w14:textId="77777777" w:rsidR="009252F5" w:rsidRPr="005514DF" w:rsidRDefault="009252F5" w:rsidP="00931EB0">
      <w:pPr>
        <w:pStyle w:val="FootnoteText"/>
      </w:pPr>
      <w:r w:rsidRPr="005514DF">
        <w:rPr>
          <w:rStyle w:val="FootnoteReference"/>
        </w:rPr>
        <w:footnoteRef/>
      </w:r>
      <w:r w:rsidRPr="005514DF">
        <w:t xml:space="preserve"> Berlin (n 11) 205.</w:t>
      </w:r>
    </w:p>
  </w:footnote>
  <w:footnote w:id="150">
    <w:p w14:paraId="7493C950" w14:textId="6D196D2F" w:rsidR="009252F5" w:rsidRPr="005514DF" w:rsidRDefault="009252F5">
      <w:pPr>
        <w:pStyle w:val="FootnoteText"/>
      </w:pPr>
      <w:r w:rsidRPr="005514DF">
        <w:rPr>
          <w:rStyle w:val="FootnoteReference"/>
        </w:rPr>
        <w:footnoteRef/>
      </w:r>
      <w:r w:rsidRPr="005514DF">
        <w:t xml:space="preserve"> Cases that emphasise someone’s past wishes or the values that they would be likely to have if they had capacity instead of the person’s </w:t>
      </w:r>
      <w:r w:rsidRPr="005514DF">
        <w:rPr>
          <w:i/>
        </w:rPr>
        <w:t>present</w:t>
      </w:r>
      <w:r w:rsidRPr="005514DF">
        <w:t xml:space="preserve"> wishes already show elements of this attitude. For instance, such values and past feelings would have justified withdrawing artificial nutrition and hydration </w:t>
      </w:r>
      <w:r>
        <w:t>from</w:t>
      </w:r>
      <w:r w:rsidRPr="005514DF">
        <w:t xml:space="preserve"> a man with severe brain injuries even if he had currently demonstrated ‘contentment and happiness’: </w:t>
      </w:r>
      <w:r w:rsidRPr="005514DF">
        <w:rPr>
          <w:i/>
        </w:rPr>
        <w:t>Briggs</w:t>
      </w:r>
      <w:r w:rsidRPr="005514DF">
        <w:t xml:space="preserve"> (n </w:t>
      </w:r>
      <w:r w:rsidR="00F305A2" w:rsidRPr="005514DF">
        <w:t>1</w:t>
      </w:r>
      <w:r w:rsidR="00F305A2">
        <w:t>10</w:t>
      </w:r>
      <w:r w:rsidRPr="005514DF">
        <w:t xml:space="preserve">) [44]-[52], [117]-[119], [129]-[130]. For further comment on this tendency, see Burch (n </w:t>
      </w:r>
      <w:r w:rsidR="00F305A2" w:rsidRPr="005514DF">
        <w:t>9</w:t>
      </w:r>
      <w:r w:rsidR="00F305A2">
        <w:t>9</w:t>
      </w:r>
      <w:r w:rsidRPr="005514DF">
        <w:t>).</w:t>
      </w:r>
    </w:p>
  </w:footnote>
  <w:footnote w:id="151">
    <w:p w14:paraId="7493C951" w14:textId="037EA435" w:rsidR="009252F5" w:rsidRPr="005514DF" w:rsidRDefault="009252F5" w:rsidP="00D86499">
      <w:pPr>
        <w:pStyle w:val="FootnoteText"/>
      </w:pPr>
      <w:r w:rsidRPr="005514DF">
        <w:rPr>
          <w:rStyle w:val="FootnoteReference"/>
        </w:rPr>
        <w:footnoteRef/>
      </w:r>
      <w:r w:rsidRPr="005514DF">
        <w:t xml:space="preserve"> A similar dynamic already occurs under the MCA, which is made to fit ‘clinical judgments’, ‘resource-led decision-making’, or ‘the safeguarding agenda’ instead of modifying these things: Select Committee (n </w:t>
      </w:r>
      <w:r w:rsidR="00F305A2" w:rsidRPr="005514DF">
        <w:t>14</w:t>
      </w:r>
      <w:r w:rsidR="00F305A2">
        <w:t>5</w:t>
      </w:r>
      <w:r w:rsidRPr="005514DF">
        <w:t>) para 104.</w:t>
      </w:r>
    </w:p>
  </w:footnote>
  <w:footnote w:id="152">
    <w:p w14:paraId="7493C952" w14:textId="2C6E29BF" w:rsidR="009252F5" w:rsidRPr="005514DF" w:rsidRDefault="009252F5">
      <w:pPr>
        <w:pStyle w:val="FootnoteText"/>
      </w:pPr>
      <w:r w:rsidRPr="005514DF">
        <w:rPr>
          <w:rStyle w:val="FootnoteReference"/>
        </w:rPr>
        <w:footnoteRef/>
      </w:r>
      <w:r w:rsidRPr="005514DF">
        <w:t xml:space="preserve"> (n </w:t>
      </w:r>
      <w:r w:rsidR="00F305A2" w:rsidRPr="005514DF">
        <w:t>11</w:t>
      </w:r>
      <w:r w:rsidR="00F305A2">
        <w:t>2</w:t>
      </w:r>
      <w:r w:rsidRPr="005514DF">
        <w:t>) [34].</w:t>
      </w:r>
    </w:p>
  </w:footnote>
  <w:footnote w:id="153">
    <w:p w14:paraId="7493C953" w14:textId="77777777" w:rsidR="009252F5" w:rsidRPr="005514DF" w:rsidRDefault="009252F5">
      <w:pPr>
        <w:pStyle w:val="FootnoteText"/>
      </w:pPr>
      <w:r w:rsidRPr="005514DF">
        <w:rPr>
          <w:rStyle w:val="FootnoteReference"/>
        </w:rPr>
        <w:footnoteRef/>
      </w:r>
      <w:r w:rsidRPr="005514DF">
        <w:t xml:space="preserve"> </w:t>
      </w:r>
      <w:r w:rsidRPr="005514DF">
        <w:rPr>
          <w:i/>
        </w:rPr>
        <w:t xml:space="preserve">Ibid </w:t>
      </w:r>
      <w:r w:rsidRPr="005514DF">
        <w:t>[42]-[45].</w:t>
      </w:r>
    </w:p>
  </w:footnote>
  <w:footnote w:id="154">
    <w:p w14:paraId="7493C954" w14:textId="19444979" w:rsidR="009252F5" w:rsidRPr="005514DF" w:rsidRDefault="009252F5" w:rsidP="00D4125D">
      <w:pPr>
        <w:pStyle w:val="FootnoteText"/>
      </w:pPr>
      <w:r w:rsidRPr="005514DF">
        <w:rPr>
          <w:rStyle w:val="FootnoteReference"/>
        </w:rPr>
        <w:footnoteRef/>
      </w:r>
      <w:r w:rsidRPr="005514DF">
        <w:t xml:space="preserve"> (n </w:t>
      </w:r>
      <w:r w:rsidR="00F305A2" w:rsidRPr="005514DF">
        <w:t>9</w:t>
      </w:r>
      <w:r w:rsidR="00F305A2">
        <w:t>5</w:t>
      </w:r>
      <w:r w:rsidRPr="005514DF">
        <w:t>) [95].</w:t>
      </w:r>
    </w:p>
  </w:footnote>
  <w:footnote w:id="155">
    <w:p w14:paraId="7493C955" w14:textId="6BC36C90" w:rsidR="009252F5" w:rsidRPr="005514DF" w:rsidRDefault="009252F5" w:rsidP="00D4125D">
      <w:pPr>
        <w:pStyle w:val="FootnoteText"/>
      </w:pPr>
      <w:r w:rsidRPr="005514DF">
        <w:rPr>
          <w:rStyle w:val="FootnoteReference"/>
        </w:rPr>
        <w:footnoteRef/>
      </w:r>
      <w:r w:rsidRPr="005514DF">
        <w:t xml:space="preserve"> (n </w:t>
      </w:r>
      <w:r w:rsidR="00F305A2" w:rsidRPr="005514DF">
        <w:t>4</w:t>
      </w:r>
      <w:r w:rsidR="00F305A2">
        <w:t>1</w:t>
      </w:r>
      <w:r w:rsidRPr="005514DF">
        <w:t>) [105].</w:t>
      </w:r>
    </w:p>
  </w:footnote>
  <w:footnote w:id="156">
    <w:p w14:paraId="7493C956" w14:textId="4328C6B3" w:rsidR="009252F5" w:rsidRPr="005514DF" w:rsidRDefault="009252F5" w:rsidP="003447A4">
      <w:pPr>
        <w:pStyle w:val="FootnoteText"/>
      </w:pPr>
      <w:r w:rsidRPr="005514DF">
        <w:rPr>
          <w:rStyle w:val="FootnoteReference"/>
        </w:rPr>
        <w:footnoteRef/>
      </w:r>
      <w:r w:rsidRPr="005514DF">
        <w:t xml:space="preserve"> (n </w:t>
      </w:r>
      <w:r w:rsidR="00F305A2" w:rsidRPr="005514DF">
        <w:t>6</w:t>
      </w:r>
      <w:r w:rsidR="00F305A2">
        <w:t>9</w:t>
      </w:r>
      <w:r w:rsidRPr="005514DF">
        <w:t>)</w:t>
      </w:r>
      <w:r w:rsidRPr="005514DF">
        <w:rPr>
          <w:i/>
        </w:rPr>
        <w:t xml:space="preserve"> </w:t>
      </w:r>
      <w:r w:rsidRPr="005514DF">
        <w:t>[54].</w:t>
      </w:r>
    </w:p>
  </w:footnote>
  <w:footnote w:id="157">
    <w:p w14:paraId="7493C957" w14:textId="77777777" w:rsidR="009252F5" w:rsidRPr="005514DF" w:rsidRDefault="009252F5" w:rsidP="003447A4">
      <w:pPr>
        <w:pStyle w:val="FootnoteText"/>
      </w:pPr>
      <w:r w:rsidRPr="005514DF">
        <w:rPr>
          <w:rStyle w:val="FootnoteReference"/>
        </w:rPr>
        <w:footnoteRef/>
      </w:r>
      <w:r w:rsidRPr="005514DF">
        <w:t xml:space="preserve"> (n 14)[53].</w:t>
      </w:r>
    </w:p>
  </w:footnote>
  <w:footnote w:id="158">
    <w:p w14:paraId="7493C958" w14:textId="77777777" w:rsidR="009252F5" w:rsidRPr="005514DF" w:rsidRDefault="009252F5" w:rsidP="00D46AED">
      <w:pPr>
        <w:pStyle w:val="FootnoteText"/>
      </w:pPr>
      <w:r w:rsidRPr="005514DF">
        <w:rPr>
          <w:rStyle w:val="FootnoteReference"/>
        </w:rPr>
        <w:footnoteRef/>
      </w:r>
      <w:r w:rsidRPr="005514DF">
        <w:t xml:space="preserve"> Mary Midgley, ‘The Game Game’ in </w:t>
      </w:r>
      <w:r w:rsidRPr="005514DF">
        <w:rPr>
          <w:i/>
        </w:rPr>
        <w:t>Heart and Mind</w:t>
      </w:r>
      <w:r w:rsidRPr="005514DF">
        <w:t xml:space="preserve"> (first published 1981, Routledge: Abingdon, 2003) 154, 184.</w:t>
      </w:r>
    </w:p>
  </w:footnote>
  <w:footnote w:id="159">
    <w:p w14:paraId="7493C959" w14:textId="77777777" w:rsidR="009252F5" w:rsidRPr="005514DF" w:rsidRDefault="009252F5" w:rsidP="000E682D">
      <w:pPr>
        <w:pStyle w:val="FootnoteText"/>
      </w:pPr>
      <w:r w:rsidRPr="005514DF">
        <w:rPr>
          <w:rStyle w:val="FootnoteReference"/>
        </w:rPr>
        <w:footnoteRef/>
      </w:r>
      <w:r w:rsidRPr="005514DF">
        <w:t xml:space="preserve"> </w:t>
      </w:r>
      <w:r w:rsidRPr="005514DF">
        <w:rPr>
          <w:i/>
        </w:rPr>
        <w:t>Ibid</w:t>
      </w:r>
      <w:r w:rsidRPr="005514DF">
        <w:t>.</w:t>
      </w:r>
    </w:p>
  </w:footnote>
  <w:footnote w:id="160">
    <w:p w14:paraId="7493C95A" w14:textId="64C1F8A8" w:rsidR="009252F5" w:rsidRPr="005514DF" w:rsidRDefault="009252F5">
      <w:pPr>
        <w:pStyle w:val="FootnoteText"/>
      </w:pPr>
      <w:r w:rsidRPr="005514DF">
        <w:rPr>
          <w:rStyle w:val="FootnoteReference"/>
        </w:rPr>
        <w:footnoteRef/>
      </w:r>
      <w:r w:rsidRPr="005514DF">
        <w:t xml:space="preserve"> </w:t>
      </w:r>
      <w:r w:rsidRPr="00397816">
        <w:rPr>
          <w:color w:val="FF0000"/>
        </w:rPr>
        <w:t xml:space="preserve">The clause ‘not detained under the Mental Health Act 1983’ indicates that this topic is beyond the scope of this article, </w:t>
      </w:r>
      <w:r w:rsidRPr="00397816">
        <w:rPr>
          <w:b/>
          <w:i/>
          <w:color w:val="FF0000"/>
        </w:rPr>
        <w:t>not</w:t>
      </w:r>
      <w:r w:rsidRPr="00397816">
        <w:rPr>
          <w:color w:val="FF0000"/>
        </w:rPr>
        <w:t xml:space="preserve"> that persons so detained can necessarily be treated as lacking in autonomy</w:t>
      </w:r>
      <w:r w:rsidR="00F305A2" w:rsidRPr="00397816">
        <w:rPr>
          <w:color w:val="FF0000"/>
        </w:rPr>
        <w:t xml:space="preserve"> (n 21).</w:t>
      </w:r>
      <w:r w:rsidRPr="00397816">
        <w:rPr>
          <w:color w:val="FF0000"/>
        </w:rPr>
        <w:t xml:space="preserve"> </w:t>
      </w:r>
    </w:p>
  </w:footnote>
  <w:footnote w:id="161">
    <w:p w14:paraId="7493C95B" w14:textId="6B4588D6" w:rsidR="009252F5" w:rsidRPr="005514DF" w:rsidRDefault="009252F5" w:rsidP="00C673CC">
      <w:pPr>
        <w:pStyle w:val="FootnoteText"/>
      </w:pPr>
      <w:r w:rsidRPr="005514DF">
        <w:rPr>
          <w:rStyle w:val="FootnoteReference"/>
        </w:rPr>
        <w:footnoteRef/>
      </w:r>
      <w:r w:rsidRPr="005514DF">
        <w:t xml:space="preserve"> See section III. </w:t>
      </w:r>
      <w:r w:rsidRPr="005514DF">
        <w:rPr>
          <w:i/>
        </w:rPr>
        <w:t>DL</w:t>
      </w:r>
      <w:r w:rsidRPr="005514DF">
        <w:t xml:space="preserve"> (n </w:t>
      </w:r>
      <w:r w:rsidR="00F305A2" w:rsidRPr="005514DF">
        <w:t>6</w:t>
      </w:r>
      <w:r w:rsidR="00F305A2">
        <w:t>9</w:t>
      </w:r>
      <w:r w:rsidRPr="005514DF">
        <w:t xml:space="preserve">) [54], [64]; </w:t>
      </w:r>
      <w:r w:rsidRPr="005514DF">
        <w:rPr>
          <w:i/>
        </w:rPr>
        <w:t xml:space="preserve">Etridge </w:t>
      </w:r>
      <w:r w:rsidRPr="005514DF">
        <w:t xml:space="preserve">(n </w:t>
      </w:r>
      <w:r w:rsidR="00F305A2" w:rsidRPr="005514DF">
        <w:t>8</w:t>
      </w:r>
      <w:r w:rsidR="00F305A2">
        <w:t>4</w:t>
      </w:r>
      <w:r w:rsidRPr="005514DF">
        <w:t>) [8]-[18].</w:t>
      </w:r>
    </w:p>
  </w:footnote>
  <w:footnote w:id="162">
    <w:p w14:paraId="7493C95C" w14:textId="2EBD7134" w:rsidR="009252F5" w:rsidRPr="005514DF" w:rsidRDefault="009252F5" w:rsidP="00C673CC">
      <w:pPr>
        <w:pStyle w:val="FootnoteText"/>
      </w:pPr>
      <w:r w:rsidRPr="005514DF">
        <w:rPr>
          <w:rStyle w:val="FootnoteReference"/>
        </w:rPr>
        <w:footnoteRef/>
      </w:r>
      <w:r w:rsidRPr="005514DF">
        <w:t xml:space="preserve"> See section IV. </w:t>
      </w:r>
      <w:r w:rsidRPr="005514DF">
        <w:rPr>
          <w:i/>
        </w:rPr>
        <w:t>ITW</w:t>
      </w:r>
      <w:r w:rsidRPr="005514DF">
        <w:t xml:space="preserve"> (n </w:t>
      </w:r>
      <w:r w:rsidR="00F305A2" w:rsidRPr="005514DF">
        <w:t>10</w:t>
      </w:r>
      <w:r w:rsidR="00F305A2">
        <w:t>5</w:t>
      </w:r>
      <w:r w:rsidRPr="005514DF">
        <w:t xml:space="preserve">) [35]. Any finding that a person’s wishes and feelings do not have this character may be subject to an additional test of necessity and proportionality under Article 8 of the European Convention on Human Rights (n </w:t>
      </w:r>
      <w:r w:rsidR="00F305A2" w:rsidRPr="005514DF">
        <w:t>9</w:t>
      </w:r>
      <w:r w:rsidR="00F305A2">
        <w:t>7</w:t>
      </w:r>
      <w:r w:rsidRPr="005514DF">
        <w:t>). It seems likely that when someone without capacity is subject to coercion or undue influence, then their wishes and feeling will not be determinative of their objective best interests.</w:t>
      </w:r>
    </w:p>
  </w:footnote>
  <w:footnote w:id="163">
    <w:p w14:paraId="7493C95D" w14:textId="34AC9256" w:rsidR="009252F5" w:rsidRPr="005514DF" w:rsidRDefault="009252F5">
      <w:pPr>
        <w:pStyle w:val="FootnoteText"/>
      </w:pPr>
      <w:r w:rsidRPr="005514DF">
        <w:rPr>
          <w:rStyle w:val="FootnoteReference"/>
        </w:rPr>
        <w:footnoteRef/>
      </w:r>
      <w:r w:rsidRPr="005514DF">
        <w:t xml:space="preserve"> If the recent Law Commission proposals (n </w:t>
      </w:r>
      <w:r w:rsidR="00F305A2" w:rsidRPr="005514DF">
        <w:t>10</w:t>
      </w:r>
      <w:r w:rsidR="00F305A2">
        <w:t>2</w:t>
      </w:r>
      <w:r w:rsidRPr="005514DF">
        <w:t>) were implemented</w:t>
      </w:r>
      <w:r>
        <w:t>,</w:t>
      </w:r>
      <w:r w:rsidRPr="005514DF">
        <w:t xml:space="preserve"> this latter presumption would be effectively reversed to a presumption that those without capacity </w:t>
      </w:r>
      <w:r w:rsidRPr="005514DF">
        <w:rPr>
          <w:i/>
        </w:rPr>
        <w:t>are nevertheless autonomous</w:t>
      </w:r>
      <w:r w:rsidRPr="005514DF">
        <w:t xml:space="preserve"> unless their wishes and feelings </w:t>
      </w:r>
      <w:r w:rsidRPr="005514DF">
        <w:rPr>
          <w:i/>
        </w:rPr>
        <w:t xml:space="preserve">fail to </w:t>
      </w:r>
      <w:r w:rsidRPr="005514DF">
        <w:t>show such subjectivity, intelligibility, and authenticity that they must be respected.</w:t>
      </w:r>
    </w:p>
  </w:footnote>
  <w:footnote w:id="164">
    <w:p w14:paraId="7493C95E" w14:textId="77777777" w:rsidR="009252F5" w:rsidRPr="005514DF" w:rsidRDefault="009252F5" w:rsidP="009A17DC">
      <w:pPr>
        <w:pStyle w:val="FootnoteText"/>
      </w:pPr>
      <w:r w:rsidRPr="005514DF">
        <w:rPr>
          <w:rStyle w:val="FootnoteReference"/>
        </w:rPr>
        <w:footnoteRef/>
      </w:r>
      <w:r w:rsidRPr="005514DF">
        <w:t xml:space="preserve"> </w:t>
      </w:r>
      <w:r w:rsidRPr="005514DF">
        <w:rPr>
          <w:i/>
        </w:rPr>
        <w:t>Sidaway v Board of Governors of the Bethlem Royal Hospital</w:t>
      </w:r>
      <w:r w:rsidRPr="005514DF">
        <w:t xml:space="preserve"> [1985] UKHL 1, [1985] AC 871, 904.</w:t>
      </w:r>
    </w:p>
  </w:footnote>
  <w:footnote w:id="165">
    <w:p w14:paraId="7493C95F" w14:textId="77777777" w:rsidR="009252F5" w:rsidRPr="005514DF" w:rsidRDefault="009252F5" w:rsidP="00995458">
      <w:pPr>
        <w:pStyle w:val="FootnoteText"/>
      </w:pPr>
      <w:r w:rsidRPr="005514DF">
        <w:rPr>
          <w:rStyle w:val="FootnoteReference"/>
        </w:rPr>
        <w:footnoteRef/>
      </w:r>
      <w:r w:rsidRPr="005514DF">
        <w:rPr>
          <w:i/>
        </w:rPr>
        <w:t xml:space="preserve"> Ibid</w:t>
      </w:r>
      <w:r w:rsidRPr="005514DF">
        <w:t>.</w:t>
      </w:r>
    </w:p>
  </w:footnote>
  <w:footnote w:id="166">
    <w:p w14:paraId="7493C960" w14:textId="77777777" w:rsidR="009252F5" w:rsidRPr="005514DF" w:rsidRDefault="009252F5" w:rsidP="005A0B2F">
      <w:pPr>
        <w:pStyle w:val="FootnoteText"/>
      </w:pPr>
      <w:r w:rsidRPr="005514DF">
        <w:rPr>
          <w:rStyle w:val="FootnoteReference"/>
        </w:rPr>
        <w:footnoteRef/>
      </w:r>
      <w:r w:rsidRPr="005514DF">
        <w:t xml:space="preserve"> Aristotle, </w:t>
      </w:r>
      <w:r w:rsidRPr="005514DF">
        <w:rPr>
          <w:i/>
        </w:rPr>
        <w:t>Nicomachean Ethics</w:t>
      </w:r>
      <w:r w:rsidRPr="005514DF">
        <w:t xml:space="preserve"> (first published approximately 322 BC, Christopher Rowe </w:t>
      </w:r>
      <w:proofErr w:type="gramStart"/>
      <w:r w:rsidRPr="005514DF">
        <w:t>tr</w:t>
      </w:r>
      <w:proofErr w:type="gramEnd"/>
      <w:r w:rsidRPr="005514DF">
        <w:t>, Oxford University Press: Oxford 2002) 1137b13.</w:t>
      </w:r>
    </w:p>
  </w:footnote>
  <w:footnote w:id="167">
    <w:p w14:paraId="7493C961" w14:textId="77777777" w:rsidR="009252F5" w:rsidRPr="005514DF" w:rsidRDefault="009252F5" w:rsidP="00367B9E">
      <w:pPr>
        <w:pStyle w:val="FootnoteText"/>
      </w:pPr>
      <w:r w:rsidRPr="005514DF">
        <w:rPr>
          <w:rStyle w:val="FootnoteReference"/>
        </w:rPr>
        <w:footnoteRef/>
      </w:r>
      <w:r w:rsidRPr="005514DF">
        <w:t xml:space="preserve"> SE Prall, ‘The Development of Equity in Tudor England’ (1964) 8 </w:t>
      </w:r>
      <w:proofErr w:type="gramStart"/>
      <w:r w:rsidRPr="005514DF">
        <w:t>The</w:t>
      </w:r>
      <w:proofErr w:type="gramEnd"/>
      <w:r w:rsidRPr="005514DF">
        <w:t xml:space="preserve"> American Journal of Legal History 1.</w:t>
      </w:r>
    </w:p>
  </w:footnote>
  <w:footnote w:id="168">
    <w:p w14:paraId="7493C962" w14:textId="77777777" w:rsidR="009252F5" w:rsidRPr="005514DF" w:rsidRDefault="009252F5">
      <w:pPr>
        <w:pStyle w:val="FootnoteText"/>
      </w:pPr>
      <w:r w:rsidRPr="005514DF">
        <w:rPr>
          <w:rStyle w:val="FootnoteReference"/>
        </w:rPr>
        <w:footnoteRef/>
      </w:r>
      <w:r w:rsidRPr="005514DF">
        <w:t xml:space="preserve"> Writers with judicial experience still tend to see the tension between universal laws and justice in the particular case as important and inescapable. For example, see Thomas (n 2) 116-117; Hedley (n 3) 58-60.</w:t>
      </w:r>
    </w:p>
  </w:footnote>
  <w:footnote w:id="169">
    <w:p w14:paraId="7493C963" w14:textId="77777777" w:rsidR="009252F5" w:rsidRPr="005514DF" w:rsidRDefault="009252F5">
      <w:pPr>
        <w:pStyle w:val="FootnoteText"/>
      </w:pPr>
      <w:r w:rsidRPr="005514DF">
        <w:rPr>
          <w:rStyle w:val="FootnoteReference"/>
        </w:rPr>
        <w:footnoteRef/>
      </w:r>
      <w:r w:rsidRPr="005514DF">
        <w:t xml:space="preserve"> HL Deb 10 January 2005, vol 668, col 13 (Lord Falconer LC).</w:t>
      </w:r>
    </w:p>
  </w:footnote>
  <w:footnote w:id="170">
    <w:p w14:paraId="7493C964" w14:textId="2E1D32B3" w:rsidR="009252F5" w:rsidRPr="005514DF" w:rsidRDefault="009252F5">
      <w:pPr>
        <w:pStyle w:val="FootnoteText"/>
      </w:pPr>
      <w:r w:rsidRPr="005514DF">
        <w:rPr>
          <w:rStyle w:val="FootnoteReference"/>
        </w:rPr>
        <w:footnoteRef/>
      </w:r>
      <w:r w:rsidRPr="005514DF">
        <w:t xml:space="preserve"> Cave discusses the inconsistencies and gaps between the MCA, the MHA, and laws pertaining to children. E Cave, ‘Determining Capacity to Make Medical Treatment Decisions: Problems Implementing the Mental Capacity Act 2005’ (2014) 36 Statute Law Review 86. Peay gives an account of the challenges facing the relevant areas of criminal law: unfitness to plead, automatism, and the verdict of not guilty by reason of insanity. J Peay, ‘Mental </w:t>
      </w:r>
      <w:r>
        <w:t>I</w:t>
      </w:r>
      <w:r w:rsidRPr="005514DF">
        <w:t xml:space="preserve">ncapacity and </w:t>
      </w:r>
      <w:r>
        <w:t>C</w:t>
      </w:r>
      <w:r w:rsidRPr="005514DF">
        <w:t xml:space="preserve">riminal </w:t>
      </w:r>
      <w:r>
        <w:t>L</w:t>
      </w:r>
      <w:r w:rsidRPr="005514DF">
        <w:t xml:space="preserve">iability: Redrawing the </w:t>
      </w:r>
      <w:r>
        <w:t>F</w:t>
      </w:r>
      <w:r w:rsidRPr="005514DF">
        <w:t xml:space="preserve">ault </w:t>
      </w:r>
      <w:r>
        <w:t>L</w:t>
      </w:r>
      <w:r w:rsidRPr="005514DF">
        <w:t>ines?’ (2015) 40 International Journal of Law and Psychiatry 25.</w:t>
      </w:r>
    </w:p>
  </w:footnote>
  <w:footnote w:id="171">
    <w:p w14:paraId="7493C965" w14:textId="77777777" w:rsidR="009252F5" w:rsidRPr="005514DF" w:rsidRDefault="009252F5">
      <w:pPr>
        <w:pStyle w:val="FootnoteText"/>
      </w:pPr>
      <w:r w:rsidRPr="005514DF">
        <w:rPr>
          <w:rStyle w:val="FootnoteReference"/>
        </w:rPr>
        <w:footnoteRef/>
      </w:r>
      <w:r w:rsidRPr="005514DF">
        <w:t xml:space="preserve"> P Skowron, ‘Evidence and Causation in Mental Capacity Assessments’ (2014) 22 Medical Law Review 631.</w:t>
      </w:r>
    </w:p>
  </w:footnote>
  <w:footnote w:id="172">
    <w:p w14:paraId="7493C966" w14:textId="77777777" w:rsidR="009252F5" w:rsidRPr="005514DF" w:rsidRDefault="009252F5" w:rsidP="000F3083">
      <w:pPr>
        <w:pStyle w:val="FootnoteText"/>
      </w:pPr>
      <w:r w:rsidRPr="005514DF">
        <w:rPr>
          <w:rStyle w:val="FootnoteReference"/>
        </w:rPr>
        <w:footnoteRef/>
      </w:r>
      <w:r w:rsidRPr="005514DF">
        <w:t xml:space="preserve"> M Donnelly, ‘Capacity Assessment under the Mental Capacity Act 2005: Delivering on the Functional Approach?’ (2009) 29 Legal Studies 464.</w:t>
      </w:r>
    </w:p>
  </w:footnote>
  <w:footnote w:id="173">
    <w:p w14:paraId="7493C967" w14:textId="346C4C50" w:rsidR="009252F5" w:rsidRPr="005514DF" w:rsidRDefault="009252F5">
      <w:pPr>
        <w:pStyle w:val="FootnoteText"/>
      </w:pPr>
      <w:r w:rsidRPr="005514DF">
        <w:rPr>
          <w:rStyle w:val="FootnoteReference"/>
        </w:rPr>
        <w:footnoteRef/>
      </w:r>
      <w:r w:rsidRPr="005514DF">
        <w:t xml:space="preserve"> The House of Lords Select Committee repeatedly observes that professionals do not understand the MCA (n </w:t>
      </w:r>
      <w:r w:rsidR="00F305A2" w:rsidRPr="005514DF">
        <w:t>14</w:t>
      </w:r>
      <w:r w:rsidR="0073106B">
        <w:t>5</w:t>
      </w:r>
      <w:r w:rsidRPr="005514DF">
        <w:t xml:space="preserve">) 6. </w:t>
      </w:r>
    </w:p>
  </w:footnote>
  <w:footnote w:id="174">
    <w:p w14:paraId="7493C968" w14:textId="54DFAE14" w:rsidR="009252F5" w:rsidRPr="005514DF" w:rsidRDefault="009252F5" w:rsidP="00F57104">
      <w:pPr>
        <w:pStyle w:val="FootnoteText"/>
      </w:pPr>
      <w:r w:rsidRPr="005514DF">
        <w:rPr>
          <w:rStyle w:val="FootnoteReference"/>
        </w:rPr>
        <w:footnoteRef/>
      </w:r>
      <w:r w:rsidRPr="005514DF">
        <w:t xml:space="preserve"> (</w:t>
      </w:r>
      <w:proofErr w:type="gramStart"/>
      <w:r w:rsidRPr="005514DF">
        <w:t>n</w:t>
      </w:r>
      <w:proofErr w:type="gramEnd"/>
      <w:r w:rsidRPr="005514DF">
        <w:t xml:space="preserve"> </w:t>
      </w:r>
      <w:r>
        <w:t>15</w:t>
      </w:r>
      <w:r w:rsidRPr="005514DF">
        <w:t>).</w:t>
      </w:r>
    </w:p>
  </w:footnote>
  <w:footnote w:id="175">
    <w:p w14:paraId="7493C969" w14:textId="77777777" w:rsidR="009252F5" w:rsidRPr="005514DF" w:rsidRDefault="009252F5" w:rsidP="00676779">
      <w:pPr>
        <w:pStyle w:val="FootnoteText"/>
      </w:pPr>
      <w:r w:rsidRPr="005514DF">
        <w:rPr>
          <w:rStyle w:val="FootnoteReference"/>
        </w:rPr>
        <w:footnoteRef/>
      </w:r>
      <w:r w:rsidRPr="005514DF">
        <w:t xml:space="preserve"> General Comment (n 18) para 27. Domestic law faces other challenges from this part of the UNCRPD. This section only addresses the challenge it poses to domestic accounts of the relationship between autonomy and capacity. For an overview, see P Bartlett, ‘The United Nations Convention on the Rights of Persons with Disabilities and Mental Health Law’ (2012) 75 Modern Law Review 752.</w:t>
      </w:r>
    </w:p>
  </w:footnote>
  <w:footnote w:id="176">
    <w:p w14:paraId="7493C96A" w14:textId="74E8D782" w:rsidR="009252F5" w:rsidRPr="005514DF" w:rsidRDefault="009252F5">
      <w:pPr>
        <w:pStyle w:val="FootnoteText"/>
      </w:pPr>
      <w:r w:rsidRPr="005514DF">
        <w:rPr>
          <w:rStyle w:val="FootnoteReference"/>
        </w:rPr>
        <w:footnoteRef/>
      </w:r>
      <w:r w:rsidRPr="005514DF">
        <w:t xml:space="preserve"> Martin </w:t>
      </w:r>
      <w:r>
        <w:t>(</w:t>
      </w:r>
      <w:r w:rsidRPr="005514DF">
        <w:t xml:space="preserve">n </w:t>
      </w:r>
      <w:r w:rsidR="00F305A2" w:rsidRPr="005514DF">
        <w:t>13</w:t>
      </w:r>
      <w:r w:rsidR="00F305A2">
        <w:t>7</w:t>
      </w:r>
      <w:r w:rsidRPr="005514DF">
        <w:t>).</w:t>
      </w:r>
    </w:p>
  </w:footnote>
  <w:footnote w:id="177">
    <w:p w14:paraId="7493C96B" w14:textId="77777777" w:rsidR="009252F5" w:rsidRPr="005514DF" w:rsidRDefault="009252F5">
      <w:pPr>
        <w:pStyle w:val="FootnoteText"/>
      </w:pPr>
      <w:r w:rsidRPr="005514DF">
        <w:rPr>
          <w:rStyle w:val="FootnoteReference"/>
        </w:rPr>
        <w:footnoteRef/>
      </w:r>
      <w:r w:rsidRPr="005514DF">
        <w:t xml:space="preserve"> General Comment (n 18) para 21.</w:t>
      </w:r>
    </w:p>
  </w:footnote>
  <w:footnote w:id="178">
    <w:p w14:paraId="7493C96C" w14:textId="77777777" w:rsidR="009252F5" w:rsidRPr="005514DF" w:rsidRDefault="009252F5" w:rsidP="0075264A">
      <w:pPr>
        <w:pStyle w:val="FootnoteText"/>
      </w:pPr>
      <w:r w:rsidRPr="005514DF">
        <w:rPr>
          <w:rStyle w:val="FootnoteReference"/>
        </w:rPr>
        <w:footnoteRef/>
      </w:r>
      <w:r w:rsidRPr="005514DF">
        <w:t xml:space="preserve"> J Dawson, ‘A Realistic Approach to Assessing Mental Health Laws’ Compliance with the UNCRPD’ (2015) 40 International Journal of Law and Psychiatry 70.</w:t>
      </w:r>
    </w:p>
  </w:footnote>
  <w:footnote w:id="179">
    <w:p w14:paraId="7493C96D" w14:textId="05E0FD1A" w:rsidR="009252F5" w:rsidRPr="00971438" w:rsidRDefault="009252F5">
      <w:pPr>
        <w:pStyle w:val="FootnoteText"/>
        <w:rPr>
          <w:color w:val="FF0000"/>
        </w:rPr>
      </w:pPr>
      <w:r w:rsidRPr="005514DF">
        <w:rPr>
          <w:rStyle w:val="FootnoteReference"/>
        </w:rPr>
        <w:footnoteRef/>
      </w:r>
      <w:r w:rsidRPr="005514DF">
        <w:t xml:space="preserve"> General Comment (n 18) para 15</w:t>
      </w:r>
      <w:r w:rsidRPr="00971438">
        <w:rPr>
          <w:color w:val="FF0000"/>
        </w:rPr>
        <w:t>: ‘The functional approach attempts to assess mental capacity and deny legal capacity accordingly’.</w:t>
      </w:r>
    </w:p>
  </w:footnote>
  <w:footnote w:id="180">
    <w:p w14:paraId="7493C96E" w14:textId="77777777" w:rsidR="009252F5" w:rsidRPr="005514DF" w:rsidRDefault="009252F5">
      <w:pPr>
        <w:pStyle w:val="FootnoteText"/>
      </w:pPr>
      <w:r w:rsidRPr="005514DF">
        <w:rPr>
          <w:rStyle w:val="FootnoteReference"/>
        </w:rPr>
        <w:footnoteRef/>
      </w:r>
      <w:r w:rsidRPr="005514DF">
        <w:t xml:space="preserve"> I Kant, </w:t>
      </w:r>
      <w:r w:rsidRPr="005514DF">
        <w:rPr>
          <w:i/>
        </w:rPr>
        <w:t>The Metaphysics of Morals</w:t>
      </w:r>
      <w:r w:rsidRPr="005514DF">
        <w:t xml:space="preserve"> (first published 1797, Mary Gregor </w:t>
      </w:r>
      <w:proofErr w:type="gramStart"/>
      <w:r w:rsidRPr="005514DF">
        <w:t>tr</w:t>
      </w:r>
      <w:proofErr w:type="gramEnd"/>
      <w:r w:rsidRPr="005514DF">
        <w:t>, Cambridge University Press: Cambridge, 1996) 6:280-281. An account of Kant’s position is given in P Kain, ‘Kant’s Defense of Human Moral Status’ (2009) 47 Journal of the History of Philosophy 59.</w:t>
      </w:r>
    </w:p>
  </w:footnote>
  <w:footnote w:id="181">
    <w:p w14:paraId="7493C96F" w14:textId="77777777" w:rsidR="009252F5" w:rsidRPr="005514DF" w:rsidRDefault="009252F5">
      <w:pPr>
        <w:pStyle w:val="FootnoteText"/>
      </w:pPr>
      <w:r w:rsidRPr="005514DF">
        <w:rPr>
          <w:rStyle w:val="FootnoteReference"/>
        </w:rPr>
        <w:footnoteRef/>
      </w:r>
      <w:r w:rsidRPr="005514DF">
        <w:t xml:space="preserve"> Universal Declaration of Human Rights (adopted 10 December 1948) UNGA Res 217 </w:t>
      </w:r>
      <w:proofErr w:type="gramStart"/>
      <w:r w:rsidRPr="005514DF">
        <w:t>A(</w:t>
      </w:r>
      <w:proofErr w:type="gramEnd"/>
      <w:r w:rsidRPr="005514DF">
        <w:t>III).</w:t>
      </w:r>
    </w:p>
  </w:footnote>
  <w:footnote w:id="182">
    <w:p w14:paraId="7493C970" w14:textId="23A0874C" w:rsidR="009252F5" w:rsidRPr="005514DF" w:rsidRDefault="009252F5">
      <w:pPr>
        <w:pStyle w:val="FootnoteText"/>
      </w:pPr>
      <w:r w:rsidRPr="005514DF">
        <w:rPr>
          <w:rStyle w:val="FootnoteReference"/>
        </w:rPr>
        <w:footnoteRef/>
      </w:r>
      <w:r w:rsidRPr="005514DF">
        <w:t xml:space="preserve"> Midgley (n </w:t>
      </w:r>
      <w:r w:rsidR="00F305A2" w:rsidRPr="005514DF">
        <w:t>15</w:t>
      </w:r>
      <w:r w:rsidR="00F305A2">
        <w:t>8</w:t>
      </w:r>
      <w:r w:rsidRPr="005514DF">
        <w:t>) 184.</w:t>
      </w:r>
    </w:p>
  </w:footnote>
  <w:footnote w:id="183">
    <w:p w14:paraId="797F99A9" w14:textId="3C7F3133" w:rsidR="009252F5" w:rsidRPr="005514DF" w:rsidRDefault="009252F5" w:rsidP="00C100B0">
      <w:pPr>
        <w:pStyle w:val="FootnoteText"/>
      </w:pPr>
      <w:r w:rsidRPr="005514DF">
        <w:rPr>
          <w:rStyle w:val="FootnoteReference"/>
        </w:rPr>
        <w:footnoteRef/>
      </w:r>
      <w:r w:rsidRPr="005514DF">
        <w:t xml:space="preserve"> Lord Falconer LC (n </w:t>
      </w:r>
      <w:r w:rsidR="00F305A2" w:rsidRPr="005514DF">
        <w:t>3</w:t>
      </w:r>
      <w:r w:rsidR="00F305A2">
        <w:t>2</w:t>
      </w:r>
      <w:r w:rsidRPr="005514DF">
        <w:t>);</w:t>
      </w:r>
      <w:r w:rsidRPr="005514DF">
        <w:rPr>
          <w:rFonts w:cs="Minion Pro"/>
        </w:rPr>
        <w:t xml:space="preserve"> Code (n </w:t>
      </w:r>
      <w:r w:rsidR="00F305A2" w:rsidRPr="005514DF">
        <w:rPr>
          <w:rFonts w:cs="Minion Pro"/>
        </w:rPr>
        <w:t>3</w:t>
      </w:r>
      <w:r w:rsidR="00F305A2">
        <w:rPr>
          <w:rFonts w:cs="Minion Pro"/>
        </w:rPr>
        <w:t>4</w:t>
      </w:r>
      <w:r w:rsidRPr="005514DF">
        <w:rPr>
          <w:rFonts w:cs="Minion Pro"/>
        </w:rPr>
        <w:t>) para 1.1-1.3.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232A7A"/>
    <w:multiLevelType w:val="hybridMultilevel"/>
    <w:tmpl w:val="198203D0"/>
    <w:lvl w:ilvl="0" w:tplc="A712F322">
      <w:numFmt w:val="bullet"/>
      <w:lvlText w:val="-"/>
      <w:lvlJc w:val="left"/>
      <w:pPr>
        <w:ind w:left="720" w:hanging="360"/>
      </w:pPr>
      <w:rPr>
        <w:rFonts w:ascii="Palatino Linotype" w:eastAsiaTheme="minorHAnsi" w:hAnsi="Palatino Linotyp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C74207"/>
    <w:multiLevelType w:val="hybridMultilevel"/>
    <w:tmpl w:val="9FA64AE4"/>
    <w:lvl w:ilvl="0" w:tplc="6D94237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5D70B9F"/>
    <w:multiLevelType w:val="multilevel"/>
    <w:tmpl w:val="4D52C604"/>
    <w:lvl w:ilvl="0">
      <w:start w:val="1"/>
      <w:numFmt w:val="decimal"/>
      <w:pStyle w:val="ParaLevel1"/>
      <w:lvlText w:val="%1."/>
      <w:lvlJc w:val="left"/>
      <w:pPr>
        <w:tabs>
          <w:tab w:val="num" w:pos="720"/>
        </w:tabs>
        <w:ind w:left="720" w:hanging="720"/>
      </w:pPr>
      <w:rPr>
        <w:rFonts w:hint="default"/>
        <w:b w:val="0"/>
        <w:i w:val="0"/>
        <w:u w:val="none"/>
      </w:rPr>
    </w:lvl>
    <w:lvl w:ilvl="1">
      <w:start w:val="1"/>
      <w:numFmt w:val="lowerRoman"/>
      <w:pStyle w:val="ParaLevel2"/>
      <w:lvlText w:val="%2)"/>
      <w:lvlJc w:val="left"/>
      <w:pPr>
        <w:tabs>
          <w:tab w:val="num" w:pos="1418"/>
        </w:tabs>
        <w:ind w:left="1418" w:hanging="709"/>
      </w:pPr>
      <w:rPr>
        <w:rFonts w:hint="default"/>
        <w:b w:val="0"/>
        <w:i w:val="0"/>
      </w:rPr>
    </w:lvl>
    <w:lvl w:ilvl="2">
      <w:start w:val="1"/>
      <w:numFmt w:val="lowerLetter"/>
      <w:pStyle w:val="ParaLevel3"/>
      <w:lvlText w:val="%3)"/>
      <w:lvlJc w:val="left"/>
      <w:pPr>
        <w:tabs>
          <w:tab w:val="num" w:pos="2127"/>
        </w:tabs>
        <w:ind w:left="2127" w:hanging="709"/>
      </w:pPr>
      <w:rPr>
        <w:rFonts w:hint="default"/>
      </w:rPr>
    </w:lvl>
    <w:lvl w:ilvl="3">
      <w:start w:val="1"/>
      <w:numFmt w:val="lowerRoman"/>
      <w:pStyle w:val="ParaLevel4"/>
      <w:lvlText w:val="%4)"/>
      <w:lvlJc w:val="left"/>
      <w:pPr>
        <w:tabs>
          <w:tab w:val="num" w:pos="3207"/>
        </w:tabs>
        <w:ind w:left="2836" w:hanging="709"/>
      </w:pPr>
      <w:rPr>
        <w:rFonts w:hint="default"/>
      </w:rPr>
    </w:lvl>
    <w:lvl w:ilvl="4">
      <w:start w:val="1"/>
      <w:numFmt w:val="lowerLetter"/>
      <w:pStyle w:val="ParaLevel5"/>
      <w:lvlText w:val="(%5)"/>
      <w:lvlJc w:val="left"/>
      <w:pPr>
        <w:tabs>
          <w:tab w:val="num" w:pos="3545"/>
        </w:tabs>
        <w:ind w:left="3545" w:hanging="709"/>
      </w:pPr>
      <w:rPr>
        <w:rFonts w:hint="default"/>
      </w:rPr>
    </w:lvl>
    <w:lvl w:ilvl="5">
      <w:start w:val="1"/>
      <w:numFmt w:val="lowerRoman"/>
      <w:pStyle w:val="ParaLevel6"/>
      <w:lvlText w:val="(%6)"/>
      <w:lvlJc w:val="left"/>
      <w:pPr>
        <w:tabs>
          <w:tab w:val="num" w:pos="4625"/>
        </w:tabs>
        <w:ind w:left="4254" w:hanging="709"/>
      </w:pPr>
      <w:rPr>
        <w:rFonts w:hint="default"/>
      </w:rPr>
    </w:lvl>
    <w:lvl w:ilvl="6">
      <w:start w:val="1"/>
      <w:numFmt w:val="lowerLetter"/>
      <w:pStyle w:val="ParaLevel7"/>
      <w:lvlText w:val="(%7)"/>
      <w:lvlJc w:val="left"/>
      <w:pPr>
        <w:tabs>
          <w:tab w:val="num" w:pos="4963"/>
        </w:tabs>
        <w:ind w:left="4963" w:hanging="709"/>
      </w:pPr>
      <w:rPr>
        <w:rFonts w:hint="default"/>
      </w:rPr>
    </w:lvl>
    <w:lvl w:ilvl="7">
      <w:start w:val="1"/>
      <w:numFmt w:val="lowerRoman"/>
      <w:pStyle w:val="ParaLevel8"/>
      <w:lvlText w:val="(%8)"/>
      <w:lvlJc w:val="left"/>
      <w:pPr>
        <w:tabs>
          <w:tab w:val="num" w:pos="6043"/>
        </w:tabs>
        <w:ind w:left="5672" w:hanging="709"/>
      </w:pPr>
      <w:rPr>
        <w:rFonts w:hint="default"/>
      </w:rPr>
    </w:lvl>
    <w:lvl w:ilvl="8">
      <w:start w:val="1"/>
      <w:numFmt w:val="lowerLetter"/>
      <w:pStyle w:val="ParaLevel9"/>
      <w:lvlText w:val="(%9)"/>
      <w:lvlJc w:val="left"/>
      <w:pPr>
        <w:tabs>
          <w:tab w:val="num" w:pos="6381"/>
        </w:tabs>
        <w:ind w:left="6381" w:hanging="709"/>
      </w:pPr>
      <w:rPr>
        <w:rFonts w:hint="default"/>
      </w:rPr>
    </w:lvl>
  </w:abstractNum>
  <w:abstractNum w:abstractNumId="3" w15:restartNumberingAfterBreak="0">
    <w:nsid w:val="7D8A5B1B"/>
    <w:multiLevelType w:val="hybridMultilevel"/>
    <w:tmpl w:val="D7C6630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3CC"/>
    <w:rsid w:val="000013D4"/>
    <w:rsid w:val="0000193C"/>
    <w:rsid w:val="00002055"/>
    <w:rsid w:val="00002B02"/>
    <w:rsid w:val="00002B81"/>
    <w:rsid w:val="000031C0"/>
    <w:rsid w:val="000033D4"/>
    <w:rsid w:val="00004BD3"/>
    <w:rsid w:val="00004EA4"/>
    <w:rsid w:val="000056C8"/>
    <w:rsid w:val="000064AF"/>
    <w:rsid w:val="00006B92"/>
    <w:rsid w:val="00007F55"/>
    <w:rsid w:val="0001024D"/>
    <w:rsid w:val="000107E2"/>
    <w:rsid w:val="00010CEB"/>
    <w:rsid w:val="000127F4"/>
    <w:rsid w:val="00013680"/>
    <w:rsid w:val="00013C4F"/>
    <w:rsid w:val="000212C2"/>
    <w:rsid w:val="00021A54"/>
    <w:rsid w:val="00022181"/>
    <w:rsid w:val="000244DE"/>
    <w:rsid w:val="0002468F"/>
    <w:rsid w:val="00025198"/>
    <w:rsid w:val="00026670"/>
    <w:rsid w:val="00026A87"/>
    <w:rsid w:val="00026BED"/>
    <w:rsid w:val="00027B98"/>
    <w:rsid w:val="00027C28"/>
    <w:rsid w:val="00033390"/>
    <w:rsid w:val="0003362D"/>
    <w:rsid w:val="000354CE"/>
    <w:rsid w:val="0003559E"/>
    <w:rsid w:val="00035CBF"/>
    <w:rsid w:val="00035FAA"/>
    <w:rsid w:val="00036B5C"/>
    <w:rsid w:val="000375F5"/>
    <w:rsid w:val="00037C4C"/>
    <w:rsid w:val="00042779"/>
    <w:rsid w:val="000438AA"/>
    <w:rsid w:val="00043AD7"/>
    <w:rsid w:val="00046508"/>
    <w:rsid w:val="00046ADE"/>
    <w:rsid w:val="00046E57"/>
    <w:rsid w:val="00047B25"/>
    <w:rsid w:val="00047BE1"/>
    <w:rsid w:val="00050704"/>
    <w:rsid w:val="00050D1F"/>
    <w:rsid w:val="0005127A"/>
    <w:rsid w:val="0005158A"/>
    <w:rsid w:val="000517C8"/>
    <w:rsid w:val="00052710"/>
    <w:rsid w:val="000548A1"/>
    <w:rsid w:val="00054AF2"/>
    <w:rsid w:val="0005512F"/>
    <w:rsid w:val="00056B74"/>
    <w:rsid w:val="00057A90"/>
    <w:rsid w:val="000605D3"/>
    <w:rsid w:val="00060CCB"/>
    <w:rsid w:val="00060E10"/>
    <w:rsid w:val="0006300F"/>
    <w:rsid w:val="00063B83"/>
    <w:rsid w:val="00065F8A"/>
    <w:rsid w:val="00066E3F"/>
    <w:rsid w:val="000674CB"/>
    <w:rsid w:val="00067981"/>
    <w:rsid w:val="0007181A"/>
    <w:rsid w:val="00071A4E"/>
    <w:rsid w:val="00071E01"/>
    <w:rsid w:val="000730EB"/>
    <w:rsid w:val="00073537"/>
    <w:rsid w:val="0007374E"/>
    <w:rsid w:val="00074E1F"/>
    <w:rsid w:val="00075B65"/>
    <w:rsid w:val="000768D8"/>
    <w:rsid w:val="00077212"/>
    <w:rsid w:val="00077837"/>
    <w:rsid w:val="00080445"/>
    <w:rsid w:val="000805BF"/>
    <w:rsid w:val="00080A7A"/>
    <w:rsid w:val="0008122B"/>
    <w:rsid w:val="00081B49"/>
    <w:rsid w:val="00081BCF"/>
    <w:rsid w:val="00083479"/>
    <w:rsid w:val="00083958"/>
    <w:rsid w:val="000839ED"/>
    <w:rsid w:val="00083B0B"/>
    <w:rsid w:val="00083FB1"/>
    <w:rsid w:val="0008491E"/>
    <w:rsid w:val="00084A77"/>
    <w:rsid w:val="0008598C"/>
    <w:rsid w:val="00086074"/>
    <w:rsid w:val="0008670A"/>
    <w:rsid w:val="00087778"/>
    <w:rsid w:val="00087E8B"/>
    <w:rsid w:val="00091CA7"/>
    <w:rsid w:val="0009255E"/>
    <w:rsid w:val="00094AAA"/>
    <w:rsid w:val="000950CF"/>
    <w:rsid w:val="000953AE"/>
    <w:rsid w:val="0009649E"/>
    <w:rsid w:val="00097002"/>
    <w:rsid w:val="000A08B0"/>
    <w:rsid w:val="000A1459"/>
    <w:rsid w:val="000A15DE"/>
    <w:rsid w:val="000A1F9D"/>
    <w:rsid w:val="000A4AD6"/>
    <w:rsid w:val="000A4FFC"/>
    <w:rsid w:val="000A6F89"/>
    <w:rsid w:val="000A767C"/>
    <w:rsid w:val="000A7954"/>
    <w:rsid w:val="000B1DFD"/>
    <w:rsid w:val="000B1F9F"/>
    <w:rsid w:val="000B2E4B"/>
    <w:rsid w:val="000B32DA"/>
    <w:rsid w:val="000B40D3"/>
    <w:rsid w:val="000B435E"/>
    <w:rsid w:val="000B55CB"/>
    <w:rsid w:val="000B5DDC"/>
    <w:rsid w:val="000B6372"/>
    <w:rsid w:val="000B648D"/>
    <w:rsid w:val="000B653E"/>
    <w:rsid w:val="000B7788"/>
    <w:rsid w:val="000B7B28"/>
    <w:rsid w:val="000C1E14"/>
    <w:rsid w:val="000C2CF0"/>
    <w:rsid w:val="000C2F29"/>
    <w:rsid w:val="000C392E"/>
    <w:rsid w:val="000C409E"/>
    <w:rsid w:val="000C4FB4"/>
    <w:rsid w:val="000C651D"/>
    <w:rsid w:val="000C66E7"/>
    <w:rsid w:val="000C716B"/>
    <w:rsid w:val="000D208D"/>
    <w:rsid w:val="000D336E"/>
    <w:rsid w:val="000D48DB"/>
    <w:rsid w:val="000D4DFB"/>
    <w:rsid w:val="000D53F1"/>
    <w:rsid w:val="000D5F42"/>
    <w:rsid w:val="000D78BC"/>
    <w:rsid w:val="000E1CD4"/>
    <w:rsid w:val="000E3656"/>
    <w:rsid w:val="000E3C9E"/>
    <w:rsid w:val="000E5788"/>
    <w:rsid w:val="000E58CF"/>
    <w:rsid w:val="000E5BD4"/>
    <w:rsid w:val="000E5F63"/>
    <w:rsid w:val="000E682D"/>
    <w:rsid w:val="000E6E38"/>
    <w:rsid w:val="000E7309"/>
    <w:rsid w:val="000F01AA"/>
    <w:rsid w:val="000F0816"/>
    <w:rsid w:val="000F161B"/>
    <w:rsid w:val="000F2A84"/>
    <w:rsid w:val="000F3083"/>
    <w:rsid w:val="000F45B9"/>
    <w:rsid w:val="000F4BFB"/>
    <w:rsid w:val="000F5969"/>
    <w:rsid w:val="000F5EF2"/>
    <w:rsid w:val="000F64E4"/>
    <w:rsid w:val="000F6C1D"/>
    <w:rsid w:val="000F7A60"/>
    <w:rsid w:val="00100223"/>
    <w:rsid w:val="00100570"/>
    <w:rsid w:val="0010192C"/>
    <w:rsid w:val="0010196F"/>
    <w:rsid w:val="00101FF5"/>
    <w:rsid w:val="00102252"/>
    <w:rsid w:val="00103676"/>
    <w:rsid w:val="00104C7F"/>
    <w:rsid w:val="00104D10"/>
    <w:rsid w:val="001060B9"/>
    <w:rsid w:val="0010621C"/>
    <w:rsid w:val="00106A45"/>
    <w:rsid w:val="001105A3"/>
    <w:rsid w:val="00110C61"/>
    <w:rsid w:val="00112066"/>
    <w:rsid w:val="001125E0"/>
    <w:rsid w:val="001126FE"/>
    <w:rsid w:val="0011584A"/>
    <w:rsid w:val="00115F80"/>
    <w:rsid w:val="00115FF1"/>
    <w:rsid w:val="00116F27"/>
    <w:rsid w:val="0012028F"/>
    <w:rsid w:val="001203BA"/>
    <w:rsid w:val="001208DB"/>
    <w:rsid w:val="00120AB6"/>
    <w:rsid w:val="00123190"/>
    <w:rsid w:val="0012386B"/>
    <w:rsid w:val="00127C76"/>
    <w:rsid w:val="00127F09"/>
    <w:rsid w:val="001309E9"/>
    <w:rsid w:val="0013191A"/>
    <w:rsid w:val="00133124"/>
    <w:rsid w:val="001349DA"/>
    <w:rsid w:val="00134C20"/>
    <w:rsid w:val="00134F40"/>
    <w:rsid w:val="00135095"/>
    <w:rsid w:val="00135399"/>
    <w:rsid w:val="0013603B"/>
    <w:rsid w:val="00136E37"/>
    <w:rsid w:val="00137526"/>
    <w:rsid w:val="00137933"/>
    <w:rsid w:val="00141926"/>
    <w:rsid w:val="00143715"/>
    <w:rsid w:val="00144A91"/>
    <w:rsid w:val="0014621F"/>
    <w:rsid w:val="001462EC"/>
    <w:rsid w:val="001464D2"/>
    <w:rsid w:val="001473B8"/>
    <w:rsid w:val="001473E2"/>
    <w:rsid w:val="0015110F"/>
    <w:rsid w:val="0015119C"/>
    <w:rsid w:val="00151A62"/>
    <w:rsid w:val="001521F8"/>
    <w:rsid w:val="00152335"/>
    <w:rsid w:val="001543FB"/>
    <w:rsid w:val="001570D1"/>
    <w:rsid w:val="0015767D"/>
    <w:rsid w:val="00160279"/>
    <w:rsid w:val="0016077B"/>
    <w:rsid w:val="00160A99"/>
    <w:rsid w:val="00162BF6"/>
    <w:rsid w:val="00163CE6"/>
    <w:rsid w:val="00164E99"/>
    <w:rsid w:val="001658C1"/>
    <w:rsid w:val="00166A55"/>
    <w:rsid w:val="00167CF0"/>
    <w:rsid w:val="00171536"/>
    <w:rsid w:val="00171B10"/>
    <w:rsid w:val="00173127"/>
    <w:rsid w:val="0017354F"/>
    <w:rsid w:val="00174178"/>
    <w:rsid w:val="00174A20"/>
    <w:rsid w:val="00174EC5"/>
    <w:rsid w:val="00175028"/>
    <w:rsid w:val="00175730"/>
    <w:rsid w:val="00175A75"/>
    <w:rsid w:val="00176621"/>
    <w:rsid w:val="0018041F"/>
    <w:rsid w:val="00180EFA"/>
    <w:rsid w:val="00180FBA"/>
    <w:rsid w:val="0018151E"/>
    <w:rsid w:val="001821A1"/>
    <w:rsid w:val="00182212"/>
    <w:rsid w:val="0018389D"/>
    <w:rsid w:val="00184168"/>
    <w:rsid w:val="0018429A"/>
    <w:rsid w:val="001866F0"/>
    <w:rsid w:val="001873B9"/>
    <w:rsid w:val="00187BA0"/>
    <w:rsid w:val="0019048A"/>
    <w:rsid w:val="00191635"/>
    <w:rsid w:val="00192032"/>
    <w:rsid w:val="00192351"/>
    <w:rsid w:val="00192526"/>
    <w:rsid w:val="00193ED7"/>
    <w:rsid w:val="00193F96"/>
    <w:rsid w:val="00197EDD"/>
    <w:rsid w:val="001A0122"/>
    <w:rsid w:val="001A1594"/>
    <w:rsid w:val="001A1FB6"/>
    <w:rsid w:val="001A1FE9"/>
    <w:rsid w:val="001A293A"/>
    <w:rsid w:val="001A2FE8"/>
    <w:rsid w:val="001A423D"/>
    <w:rsid w:val="001A45DE"/>
    <w:rsid w:val="001A47C9"/>
    <w:rsid w:val="001A5837"/>
    <w:rsid w:val="001A5DF9"/>
    <w:rsid w:val="001A6B5A"/>
    <w:rsid w:val="001A6DF6"/>
    <w:rsid w:val="001B0F38"/>
    <w:rsid w:val="001B1098"/>
    <w:rsid w:val="001B121A"/>
    <w:rsid w:val="001B1E0C"/>
    <w:rsid w:val="001B2657"/>
    <w:rsid w:val="001B2853"/>
    <w:rsid w:val="001B2BC6"/>
    <w:rsid w:val="001B2CEA"/>
    <w:rsid w:val="001B4320"/>
    <w:rsid w:val="001B4D4C"/>
    <w:rsid w:val="001B6B2C"/>
    <w:rsid w:val="001C036D"/>
    <w:rsid w:val="001C1D0C"/>
    <w:rsid w:val="001C1FF4"/>
    <w:rsid w:val="001C264B"/>
    <w:rsid w:val="001C270F"/>
    <w:rsid w:val="001C49CD"/>
    <w:rsid w:val="001C4EB9"/>
    <w:rsid w:val="001C686F"/>
    <w:rsid w:val="001C6C8A"/>
    <w:rsid w:val="001D0011"/>
    <w:rsid w:val="001D0ACA"/>
    <w:rsid w:val="001D220D"/>
    <w:rsid w:val="001D3415"/>
    <w:rsid w:val="001D434F"/>
    <w:rsid w:val="001D5B61"/>
    <w:rsid w:val="001D69B4"/>
    <w:rsid w:val="001D7341"/>
    <w:rsid w:val="001E1502"/>
    <w:rsid w:val="001E2866"/>
    <w:rsid w:val="001E33C2"/>
    <w:rsid w:val="001E4476"/>
    <w:rsid w:val="001E4503"/>
    <w:rsid w:val="001E7705"/>
    <w:rsid w:val="001F02D2"/>
    <w:rsid w:val="001F0C3C"/>
    <w:rsid w:val="001F0CE9"/>
    <w:rsid w:val="001F1670"/>
    <w:rsid w:val="001F21B9"/>
    <w:rsid w:val="001F2818"/>
    <w:rsid w:val="001F3E18"/>
    <w:rsid w:val="001F55ED"/>
    <w:rsid w:val="001F7582"/>
    <w:rsid w:val="001F7A2F"/>
    <w:rsid w:val="00200002"/>
    <w:rsid w:val="00200C8A"/>
    <w:rsid w:val="00202DE1"/>
    <w:rsid w:val="0020364C"/>
    <w:rsid w:val="002042F5"/>
    <w:rsid w:val="00204A16"/>
    <w:rsid w:val="00204FA1"/>
    <w:rsid w:val="00205488"/>
    <w:rsid w:val="00206078"/>
    <w:rsid w:val="00210612"/>
    <w:rsid w:val="002107E3"/>
    <w:rsid w:val="00210AFB"/>
    <w:rsid w:val="0021344C"/>
    <w:rsid w:val="0021359A"/>
    <w:rsid w:val="00214B13"/>
    <w:rsid w:val="0021528C"/>
    <w:rsid w:val="00215822"/>
    <w:rsid w:val="002163F6"/>
    <w:rsid w:val="00216483"/>
    <w:rsid w:val="002167C2"/>
    <w:rsid w:val="00216F05"/>
    <w:rsid w:val="00217376"/>
    <w:rsid w:val="00220488"/>
    <w:rsid w:val="00221506"/>
    <w:rsid w:val="00221890"/>
    <w:rsid w:val="00221BC0"/>
    <w:rsid w:val="00224CA9"/>
    <w:rsid w:val="0022577F"/>
    <w:rsid w:val="002258D8"/>
    <w:rsid w:val="0022613E"/>
    <w:rsid w:val="00226834"/>
    <w:rsid w:val="00226958"/>
    <w:rsid w:val="0023012C"/>
    <w:rsid w:val="0023031C"/>
    <w:rsid w:val="00231974"/>
    <w:rsid w:val="00232541"/>
    <w:rsid w:val="002328B3"/>
    <w:rsid w:val="00233032"/>
    <w:rsid w:val="00233345"/>
    <w:rsid w:val="00233A77"/>
    <w:rsid w:val="0023411D"/>
    <w:rsid w:val="00234184"/>
    <w:rsid w:val="002342B0"/>
    <w:rsid w:val="00235070"/>
    <w:rsid w:val="00237FE7"/>
    <w:rsid w:val="002409C7"/>
    <w:rsid w:val="002411CF"/>
    <w:rsid w:val="00241321"/>
    <w:rsid w:val="00241461"/>
    <w:rsid w:val="00242885"/>
    <w:rsid w:val="00243359"/>
    <w:rsid w:val="00243D62"/>
    <w:rsid w:val="0024577F"/>
    <w:rsid w:val="00245839"/>
    <w:rsid w:val="00246185"/>
    <w:rsid w:val="002466DE"/>
    <w:rsid w:val="00246B0E"/>
    <w:rsid w:val="00247B8B"/>
    <w:rsid w:val="00252CCD"/>
    <w:rsid w:val="0025357D"/>
    <w:rsid w:val="00253C1F"/>
    <w:rsid w:val="00254029"/>
    <w:rsid w:val="0025444F"/>
    <w:rsid w:val="00255A58"/>
    <w:rsid w:val="00255E22"/>
    <w:rsid w:val="00255E4F"/>
    <w:rsid w:val="0025645E"/>
    <w:rsid w:val="002565B6"/>
    <w:rsid w:val="00256D2E"/>
    <w:rsid w:val="00257432"/>
    <w:rsid w:val="00257955"/>
    <w:rsid w:val="0026141C"/>
    <w:rsid w:val="002624BA"/>
    <w:rsid w:val="00262594"/>
    <w:rsid w:val="002625A6"/>
    <w:rsid w:val="002626F6"/>
    <w:rsid w:val="00263304"/>
    <w:rsid w:val="00263C42"/>
    <w:rsid w:val="002646A1"/>
    <w:rsid w:val="0026483A"/>
    <w:rsid w:val="002648FB"/>
    <w:rsid w:val="002649E5"/>
    <w:rsid w:val="00265903"/>
    <w:rsid w:val="0026607D"/>
    <w:rsid w:val="00267589"/>
    <w:rsid w:val="00267E59"/>
    <w:rsid w:val="00270231"/>
    <w:rsid w:val="002706FC"/>
    <w:rsid w:val="002709DE"/>
    <w:rsid w:val="002710E8"/>
    <w:rsid w:val="002715B5"/>
    <w:rsid w:val="002720D9"/>
    <w:rsid w:val="00272214"/>
    <w:rsid w:val="00272378"/>
    <w:rsid w:val="00273A59"/>
    <w:rsid w:val="00275F16"/>
    <w:rsid w:val="00276678"/>
    <w:rsid w:val="00276734"/>
    <w:rsid w:val="0027715C"/>
    <w:rsid w:val="00277DAD"/>
    <w:rsid w:val="0028068F"/>
    <w:rsid w:val="00281865"/>
    <w:rsid w:val="00282E34"/>
    <w:rsid w:val="00282EB6"/>
    <w:rsid w:val="002832FD"/>
    <w:rsid w:val="00283623"/>
    <w:rsid w:val="00283CA8"/>
    <w:rsid w:val="00286747"/>
    <w:rsid w:val="00286861"/>
    <w:rsid w:val="002872B7"/>
    <w:rsid w:val="0029159D"/>
    <w:rsid w:val="002919BD"/>
    <w:rsid w:val="002920D2"/>
    <w:rsid w:val="002921D8"/>
    <w:rsid w:val="00293766"/>
    <w:rsid w:val="002941F1"/>
    <w:rsid w:val="00294588"/>
    <w:rsid w:val="0029497E"/>
    <w:rsid w:val="002951DA"/>
    <w:rsid w:val="00295A74"/>
    <w:rsid w:val="00295A86"/>
    <w:rsid w:val="002961B5"/>
    <w:rsid w:val="002971A5"/>
    <w:rsid w:val="0029728E"/>
    <w:rsid w:val="002A040E"/>
    <w:rsid w:val="002A0465"/>
    <w:rsid w:val="002A2114"/>
    <w:rsid w:val="002A22F6"/>
    <w:rsid w:val="002A2CDA"/>
    <w:rsid w:val="002A2FEF"/>
    <w:rsid w:val="002A41DC"/>
    <w:rsid w:val="002A577D"/>
    <w:rsid w:val="002A5B9E"/>
    <w:rsid w:val="002A7225"/>
    <w:rsid w:val="002B0529"/>
    <w:rsid w:val="002B0F9B"/>
    <w:rsid w:val="002B1CC1"/>
    <w:rsid w:val="002B2FBC"/>
    <w:rsid w:val="002B3A6E"/>
    <w:rsid w:val="002B570D"/>
    <w:rsid w:val="002B5CA2"/>
    <w:rsid w:val="002B6D4E"/>
    <w:rsid w:val="002B7456"/>
    <w:rsid w:val="002B7E1C"/>
    <w:rsid w:val="002C00D6"/>
    <w:rsid w:val="002C09B3"/>
    <w:rsid w:val="002C0AB4"/>
    <w:rsid w:val="002C1B25"/>
    <w:rsid w:val="002C1D04"/>
    <w:rsid w:val="002C1FFB"/>
    <w:rsid w:val="002C20FB"/>
    <w:rsid w:val="002C24C3"/>
    <w:rsid w:val="002C2962"/>
    <w:rsid w:val="002C3596"/>
    <w:rsid w:val="002C391E"/>
    <w:rsid w:val="002C6706"/>
    <w:rsid w:val="002C72E6"/>
    <w:rsid w:val="002D017E"/>
    <w:rsid w:val="002D024C"/>
    <w:rsid w:val="002D05DF"/>
    <w:rsid w:val="002D09D8"/>
    <w:rsid w:val="002D0B3D"/>
    <w:rsid w:val="002D110F"/>
    <w:rsid w:val="002D13E8"/>
    <w:rsid w:val="002D1637"/>
    <w:rsid w:val="002D26F2"/>
    <w:rsid w:val="002D272A"/>
    <w:rsid w:val="002D2F1F"/>
    <w:rsid w:val="002D4342"/>
    <w:rsid w:val="002D583A"/>
    <w:rsid w:val="002D5AAB"/>
    <w:rsid w:val="002D5F16"/>
    <w:rsid w:val="002D6851"/>
    <w:rsid w:val="002E06DB"/>
    <w:rsid w:val="002E19AF"/>
    <w:rsid w:val="002E2222"/>
    <w:rsid w:val="002E2D4F"/>
    <w:rsid w:val="002E2F09"/>
    <w:rsid w:val="002E35AA"/>
    <w:rsid w:val="002E3CD7"/>
    <w:rsid w:val="002E4847"/>
    <w:rsid w:val="002E4BC6"/>
    <w:rsid w:val="002E5C28"/>
    <w:rsid w:val="002E5ED6"/>
    <w:rsid w:val="002F01E6"/>
    <w:rsid w:val="002F2954"/>
    <w:rsid w:val="002F2F7D"/>
    <w:rsid w:val="002F3EEE"/>
    <w:rsid w:val="002F4C28"/>
    <w:rsid w:val="002F5157"/>
    <w:rsid w:val="002F6A2C"/>
    <w:rsid w:val="003006A8"/>
    <w:rsid w:val="00301931"/>
    <w:rsid w:val="00303C1F"/>
    <w:rsid w:val="00304176"/>
    <w:rsid w:val="003045D6"/>
    <w:rsid w:val="00304600"/>
    <w:rsid w:val="00305854"/>
    <w:rsid w:val="00305872"/>
    <w:rsid w:val="003058DC"/>
    <w:rsid w:val="00306549"/>
    <w:rsid w:val="0030730C"/>
    <w:rsid w:val="0031015D"/>
    <w:rsid w:val="00310C97"/>
    <w:rsid w:val="00313013"/>
    <w:rsid w:val="003137CA"/>
    <w:rsid w:val="00313E23"/>
    <w:rsid w:val="00313FC8"/>
    <w:rsid w:val="00314A95"/>
    <w:rsid w:val="00316034"/>
    <w:rsid w:val="00316577"/>
    <w:rsid w:val="0031795F"/>
    <w:rsid w:val="00321369"/>
    <w:rsid w:val="00321ED0"/>
    <w:rsid w:val="00322A9D"/>
    <w:rsid w:val="00322E5B"/>
    <w:rsid w:val="003247D1"/>
    <w:rsid w:val="00324D3F"/>
    <w:rsid w:val="00324FA0"/>
    <w:rsid w:val="0032578E"/>
    <w:rsid w:val="00327505"/>
    <w:rsid w:val="0032750A"/>
    <w:rsid w:val="00327965"/>
    <w:rsid w:val="00327A1D"/>
    <w:rsid w:val="003304DB"/>
    <w:rsid w:val="003328E8"/>
    <w:rsid w:val="00332F09"/>
    <w:rsid w:val="00333164"/>
    <w:rsid w:val="0033335C"/>
    <w:rsid w:val="0033356B"/>
    <w:rsid w:val="003339AA"/>
    <w:rsid w:val="00333B6C"/>
    <w:rsid w:val="003363EA"/>
    <w:rsid w:val="003365E6"/>
    <w:rsid w:val="0033696F"/>
    <w:rsid w:val="00336E72"/>
    <w:rsid w:val="003376CF"/>
    <w:rsid w:val="00340F12"/>
    <w:rsid w:val="003411EF"/>
    <w:rsid w:val="00341AAF"/>
    <w:rsid w:val="0034289C"/>
    <w:rsid w:val="003447A4"/>
    <w:rsid w:val="003459DB"/>
    <w:rsid w:val="003464C9"/>
    <w:rsid w:val="00346D02"/>
    <w:rsid w:val="0034786C"/>
    <w:rsid w:val="003506E2"/>
    <w:rsid w:val="003508A0"/>
    <w:rsid w:val="00350AE7"/>
    <w:rsid w:val="00350CC6"/>
    <w:rsid w:val="00350DB0"/>
    <w:rsid w:val="00351971"/>
    <w:rsid w:val="00352F70"/>
    <w:rsid w:val="00353868"/>
    <w:rsid w:val="00353A5E"/>
    <w:rsid w:val="00353BCE"/>
    <w:rsid w:val="00353FD4"/>
    <w:rsid w:val="00354BB8"/>
    <w:rsid w:val="0035527E"/>
    <w:rsid w:val="00355E53"/>
    <w:rsid w:val="003572BC"/>
    <w:rsid w:val="00361173"/>
    <w:rsid w:val="00361290"/>
    <w:rsid w:val="003613EC"/>
    <w:rsid w:val="00361850"/>
    <w:rsid w:val="003630AB"/>
    <w:rsid w:val="00363CCD"/>
    <w:rsid w:val="00364BCD"/>
    <w:rsid w:val="0036538C"/>
    <w:rsid w:val="003657D0"/>
    <w:rsid w:val="00365AEE"/>
    <w:rsid w:val="0036702A"/>
    <w:rsid w:val="00367B9E"/>
    <w:rsid w:val="00367B9F"/>
    <w:rsid w:val="003703AA"/>
    <w:rsid w:val="00370550"/>
    <w:rsid w:val="003708C8"/>
    <w:rsid w:val="00371631"/>
    <w:rsid w:val="00373974"/>
    <w:rsid w:val="00375D23"/>
    <w:rsid w:val="0037617D"/>
    <w:rsid w:val="00381B3C"/>
    <w:rsid w:val="00381ED8"/>
    <w:rsid w:val="00381F41"/>
    <w:rsid w:val="003820C3"/>
    <w:rsid w:val="00382A01"/>
    <w:rsid w:val="00382EC1"/>
    <w:rsid w:val="00383C0B"/>
    <w:rsid w:val="00383F4B"/>
    <w:rsid w:val="00384149"/>
    <w:rsid w:val="003842CE"/>
    <w:rsid w:val="00384ED1"/>
    <w:rsid w:val="0038501A"/>
    <w:rsid w:val="003851DE"/>
    <w:rsid w:val="0038575D"/>
    <w:rsid w:val="00386CEB"/>
    <w:rsid w:val="00386D9F"/>
    <w:rsid w:val="00387CCC"/>
    <w:rsid w:val="00390012"/>
    <w:rsid w:val="003901E9"/>
    <w:rsid w:val="00392672"/>
    <w:rsid w:val="0039399A"/>
    <w:rsid w:val="00393BE5"/>
    <w:rsid w:val="00393F91"/>
    <w:rsid w:val="00395ED0"/>
    <w:rsid w:val="003963DD"/>
    <w:rsid w:val="00397816"/>
    <w:rsid w:val="003A01CE"/>
    <w:rsid w:val="003A074F"/>
    <w:rsid w:val="003A0914"/>
    <w:rsid w:val="003A13D7"/>
    <w:rsid w:val="003A15EA"/>
    <w:rsid w:val="003A1B01"/>
    <w:rsid w:val="003A1D72"/>
    <w:rsid w:val="003A2FF0"/>
    <w:rsid w:val="003A35ED"/>
    <w:rsid w:val="003A435B"/>
    <w:rsid w:val="003A44B8"/>
    <w:rsid w:val="003A4BA6"/>
    <w:rsid w:val="003A5698"/>
    <w:rsid w:val="003A6739"/>
    <w:rsid w:val="003A736F"/>
    <w:rsid w:val="003A7640"/>
    <w:rsid w:val="003A7C2F"/>
    <w:rsid w:val="003A7C35"/>
    <w:rsid w:val="003A7E45"/>
    <w:rsid w:val="003B1177"/>
    <w:rsid w:val="003B394A"/>
    <w:rsid w:val="003B3AEA"/>
    <w:rsid w:val="003B41B3"/>
    <w:rsid w:val="003B519E"/>
    <w:rsid w:val="003B62BD"/>
    <w:rsid w:val="003B6883"/>
    <w:rsid w:val="003C0751"/>
    <w:rsid w:val="003C0B13"/>
    <w:rsid w:val="003C12D0"/>
    <w:rsid w:val="003C13E9"/>
    <w:rsid w:val="003C13EA"/>
    <w:rsid w:val="003C1BFF"/>
    <w:rsid w:val="003C4135"/>
    <w:rsid w:val="003C4D8D"/>
    <w:rsid w:val="003C5684"/>
    <w:rsid w:val="003C56FA"/>
    <w:rsid w:val="003C5A32"/>
    <w:rsid w:val="003C5C7B"/>
    <w:rsid w:val="003C6EC2"/>
    <w:rsid w:val="003D02AB"/>
    <w:rsid w:val="003D154A"/>
    <w:rsid w:val="003D18E9"/>
    <w:rsid w:val="003D1C6B"/>
    <w:rsid w:val="003D1DF5"/>
    <w:rsid w:val="003D31EC"/>
    <w:rsid w:val="003D3EE0"/>
    <w:rsid w:val="003D43D7"/>
    <w:rsid w:val="003D446A"/>
    <w:rsid w:val="003D4E25"/>
    <w:rsid w:val="003D504C"/>
    <w:rsid w:val="003D5F61"/>
    <w:rsid w:val="003D659C"/>
    <w:rsid w:val="003D6B4E"/>
    <w:rsid w:val="003D6EDA"/>
    <w:rsid w:val="003D74E5"/>
    <w:rsid w:val="003E04C9"/>
    <w:rsid w:val="003E06DE"/>
    <w:rsid w:val="003E0A73"/>
    <w:rsid w:val="003E22B7"/>
    <w:rsid w:val="003E46CA"/>
    <w:rsid w:val="003E531F"/>
    <w:rsid w:val="003E61FA"/>
    <w:rsid w:val="003E7355"/>
    <w:rsid w:val="003E73A8"/>
    <w:rsid w:val="003F077A"/>
    <w:rsid w:val="003F1A50"/>
    <w:rsid w:val="003F2221"/>
    <w:rsid w:val="003F31D3"/>
    <w:rsid w:val="003F39FE"/>
    <w:rsid w:val="003F4322"/>
    <w:rsid w:val="003F44C5"/>
    <w:rsid w:val="003F56E0"/>
    <w:rsid w:val="003F62DA"/>
    <w:rsid w:val="004000B7"/>
    <w:rsid w:val="004013E9"/>
    <w:rsid w:val="004034DF"/>
    <w:rsid w:val="00403B82"/>
    <w:rsid w:val="004050DF"/>
    <w:rsid w:val="00405239"/>
    <w:rsid w:val="004069D5"/>
    <w:rsid w:val="004101AB"/>
    <w:rsid w:val="004101CB"/>
    <w:rsid w:val="00412167"/>
    <w:rsid w:val="004132A6"/>
    <w:rsid w:val="00413AC8"/>
    <w:rsid w:val="00414534"/>
    <w:rsid w:val="00414AE5"/>
    <w:rsid w:val="00415A53"/>
    <w:rsid w:val="00415C2C"/>
    <w:rsid w:val="00415DC5"/>
    <w:rsid w:val="004169AE"/>
    <w:rsid w:val="0041732E"/>
    <w:rsid w:val="00417913"/>
    <w:rsid w:val="00417D7F"/>
    <w:rsid w:val="004229D3"/>
    <w:rsid w:val="00422F09"/>
    <w:rsid w:val="00423591"/>
    <w:rsid w:val="00423738"/>
    <w:rsid w:val="00426B1E"/>
    <w:rsid w:val="00430943"/>
    <w:rsid w:val="0043149B"/>
    <w:rsid w:val="00431E15"/>
    <w:rsid w:val="004329A2"/>
    <w:rsid w:val="00432DF0"/>
    <w:rsid w:val="0043317F"/>
    <w:rsid w:val="004332A9"/>
    <w:rsid w:val="00433470"/>
    <w:rsid w:val="004334C8"/>
    <w:rsid w:val="00434054"/>
    <w:rsid w:val="00434FCA"/>
    <w:rsid w:val="00435422"/>
    <w:rsid w:val="00435526"/>
    <w:rsid w:val="004357B1"/>
    <w:rsid w:val="0043600F"/>
    <w:rsid w:val="00437437"/>
    <w:rsid w:val="0043790B"/>
    <w:rsid w:val="004402FD"/>
    <w:rsid w:val="00440E45"/>
    <w:rsid w:val="0044139A"/>
    <w:rsid w:val="00441C43"/>
    <w:rsid w:val="00441E68"/>
    <w:rsid w:val="00442238"/>
    <w:rsid w:val="00442F11"/>
    <w:rsid w:val="0044393B"/>
    <w:rsid w:val="00443E78"/>
    <w:rsid w:val="00446AD9"/>
    <w:rsid w:val="00446C2D"/>
    <w:rsid w:val="00446CC3"/>
    <w:rsid w:val="00447EF2"/>
    <w:rsid w:val="004500B2"/>
    <w:rsid w:val="00450845"/>
    <w:rsid w:val="00451345"/>
    <w:rsid w:val="00452D40"/>
    <w:rsid w:val="00452E37"/>
    <w:rsid w:val="00453186"/>
    <w:rsid w:val="004535DE"/>
    <w:rsid w:val="004537F3"/>
    <w:rsid w:val="004545DE"/>
    <w:rsid w:val="00454B35"/>
    <w:rsid w:val="0045529C"/>
    <w:rsid w:val="00455C6E"/>
    <w:rsid w:val="0045680F"/>
    <w:rsid w:val="004602AA"/>
    <w:rsid w:val="004623A8"/>
    <w:rsid w:val="004625FE"/>
    <w:rsid w:val="00462EC7"/>
    <w:rsid w:val="004657D1"/>
    <w:rsid w:val="004659DC"/>
    <w:rsid w:val="00466099"/>
    <w:rsid w:val="004660C7"/>
    <w:rsid w:val="00466144"/>
    <w:rsid w:val="00466AB1"/>
    <w:rsid w:val="00467937"/>
    <w:rsid w:val="00467E58"/>
    <w:rsid w:val="00470D68"/>
    <w:rsid w:val="00472B81"/>
    <w:rsid w:val="004734CF"/>
    <w:rsid w:val="00474B43"/>
    <w:rsid w:val="00476471"/>
    <w:rsid w:val="0047783D"/>
    <w:rsid w:val="00477C41"/>
    <w:rsid w:val="0048018E"/>
    <w:rsid w:val="00480C26"/>
    <w:rsid w:val="00481964"/>
    <w:rsid w:val="00482C08"/>
    <w:rsid w:val="0048371F"/>
    <w:rsid w:val="0048451A"/>
    <w:rsid w:val="0048482A"/>
    <w:rsid w:val="0048565E"/>
    <w:rsid w:val="0048583F"/>
    <w:rsid w:val="00486961"/>
    <w:rsid w:val="00486DCA"/>
    <w:rsid w:val="004878F3"/>
    <w:rsid w:val="004909DE"/>
    <w:rsid w:val="00490BE0"/>
    <w:rsid w:val="00491494"/>
    <w:rsid w:val="00491515"/>
    <w:rsid w:val="00491AE7"/>
    <w:rsid w:val="00491D35"/>
    <w:rsid w:val="00491DBD"/>
    <w:rsid w:val="00492866"/>
    <w:rsid w:val="004934B1"/>
    <w:rsid w:val="00493906"/>
    <w:rsid w:val="0049485B"/>
    <w:rsid w:val="004950E1"/>
    <w:rsid w:val="00496468"/>
    <w:rsid w:val="004972CE"/>
    <w:rsid w:val="00497E20"/>
    <w:rsid w:val="004A094C"/>
    <w:rsid w:val="004A140F"/>
    <w:rsid w:val="004A1751"/>
    <w:rsid w:val="004A46AE"/>
    <w:rsid w:val="004A518A"/>
    <w:rsid w:val="004A539B"/>
    <w:rsid w:val="004A5A4D"/>
    <w:rsid w:val="004A744D"/>
    <w:rsid w:val="004B0AE7"/>
    <w:rsid w:val="004B1B98"/>
    <w:rsid w:val="004B239A"/>
    <w:rsid w:val="004B2C61"/>
    <w:rsid w:val="004B361C"/>
    <w:rsid w:val="004B3C84"/>
    <w:rsid w:val="004B3FA9"/>
    <w:rsid w:val="004B579B"/>
    <w:rsid w:val="004B5C23"/>
    <w:rsid w:val="004B6CE9"/>
    <w:rsid w:val="004B6CFF"/>
    <w:rsid w:val="004B7209"/>
    <w:rsid w:val="004B79F5"/>
    <w:rsid w:val="004B7D7C"/>
    <w:rsid w:val="004B7E89"/>
    <w:rsid w:val="004C02C5"/>
    <w:rsid w:val="004C1397"/>
    <w:rsid w:val="004C18AB"/>
    <w:rsid w:val="004C1B1C"/>
    <w:rsid w:val="004C251A"/>
    <w:rsid w:val="004C2AFB"/>
    <w:rsid w:val="004C2EAF"/>
    <w:rsid w:val="004C4045"/>
    <w:rsid w:val="004C59B9"/>
    <w:rsid w:val="004C753F"/>
    <w:rsid w:val="004C7F7F"/>
    <w:rsid w:val="004D08C7"/>
    <w:rsid w:val="004D1634"/>
    <w:rsid w:val="004D29F8"/>
    <w:rsid w:val="004D2EBC"/>
    <w:rsid w:val="004D46EF"/>
    <w:rsid w:val="004D49B0"/>
    <w:rsid w:val="004D59B6"/>
    <w:rsid w:val="004D5B84"/>
    <w:rsid w:val="004D61C8"/>
    <w:rsid w:val="004D6B23"/>
    <w:rsid w:val="004D6ECE"/>
    <w:rsid w:val="004D7924"/>
    <w:rsid w:val="004E02F7"/>
    <w:rsid w:val="004E0D32"/>
    <w:rsid w:val="004E120E"/>
    <w:rsid w:val="004E1265"/>
    <w:rsid w:val="004E20A0"/>
    <w:rsid w:val="004E32C3"/>
    <w:rsid w:val="004E35E4"/>
    <w:rsid w:val="004E4110"/>
    <w:rsid w:val="004E415D"/>
    <w:rsid w:val="004E547C"/>
    <w:rsid w:val="004E5539"/>
    <w:rsid w:val="004E6593"/>
    <w:rsid w:val="004E6709"/>
    <w:rsid w:val="004E6F60"/>
    <w:rsid w:val="004E7538"/>
    <w:rsid w:val="004F063E"/>
    <w:rsid w:val="004F0F4E"/>
    <w:rsid w:val="004F1542"/>
    <w:rsid w:val="004F21AE"/>
    <w:rsid w:val="004F2A7D"/>
    <w:rsid w:val="004F2AFC"/>
    <w:rsid w:val="004F2D77"/>
    <w:rsid w:val="004F6D28"/>
    <w:rsid w:val="004F7289"/>
    <w:rsid w:val="004F7433"/>
    <w:rsid w:val="00500618"/>
    <w:rsid w:val="00501211"/>
    <w:rsid w:val="00501857"/>
    <w:rsid w:val="00501AD6"/>
    <w:rsid w:val="005023D9"/>
    <w:rsid w:val="005027E3"/>
    <w:rsid w:val="005030B1"/>
    <w:rsid w:val="0050324C"/>
    <w:rsid w:val="00503992"/>
    <w:rsid w:val="00504323"/>
    <w:rsid w:val="00505C54"/>
    <w:rsid w:val="00507995"/>
    <w:rsid w:val="00507AA4"/>
    <w:rsid w:val="00511295"/>
    <w:rsid w:val="005119C1"/>
    <w:rsid w:val="00512916"/>
    <w:rsid w:val="00514BC0"/>
    <w:rsid w:val="00514E04"/>
    <w:rsid w:val="00516319"/>
    <w:rsid w:val="0051789F"/>
    <w:rsid w:val="00517E4E"/>
    <w:rsid w:val="005202CC"/>
    <w:rsid w:val="00520963"/>
    <w:rsid w:val="00520A00"/>
    <w:rsid w:val="00520C6D"/>
    <w:rsid w:val="00522110"/>
    <w:rsid w:val="0052261F"/>
    <w:rsid w:val="005227EE"/>
    <w:rsid w:val="005231A1"/>
    <w:rsid w:val="005259BC"/>
    <w:rsid w:val="00525EDF"/>
    <w:rsid w:val="00526307"/>
    <w:rsid w:val="00526AA6"/>
    <w:rsid w:val="00527187"/>
    <w:rsid w:val="00527942"/>
    <w:rsid w:val="00527E6C"/>
    <w:rsid w:val="0053000E"/>
    <w:rsid w:val="005301D2"/>
    <w:rsid w:val="0053234B"/>
    <w:rsid w:val="00532B89"/>
    <w:rsid w:val="00532F7E"/>
    <w:rsid w:val="00533172"/>
    <w:rsid w:val="0053320B"/>
    <w:rsid w:val="005336FB"/>
    <w:rsid w:val="00533904"/>
    <w:rsid w:val="00534A58"/>
    <w:rsid w:val="00534BAE"/>
    <w:rsid w:val="005355C0"/>
    <w:rsid w:val="005368CB"/>
    <w:rsid w:val="005411EA"/>
    <w:rsid w:val="00541788"/>
    <w:rsid w:val="005423F4"/>
    <w:rsid w:val="00543227"/>
    <w:rsid w:val="00543786"/>
    <w:rsid w:val="00543F00"/>
    <w:rsid w:val="00545853"/>
    <w:rsid w:val="00545932"/>
    <w:rsid w:val="00546042"/>
    <w:rsid w:val="005463A6"/>
    <w:rsid w:val="00546E28"/>
    <w:rsid w:val="00547063"/>
    <w:rsid w:val="00550652"/>
    <w:rsid w:val="00550BAE"/>
    <w:rsid w:val="00550BE6"/>
    <w:rsid w:val="00550E02"/>
    <w:rsid w:val="0055138A"/>
    <w:rsid w:val="005514DF"/>
    <w:rsid w:val="00551835"/>
    <w:rsid w:val="005518CF"/>
    <w:rsid w:val="00551ADC"/>
    <w:rsid w:val="00552952"/>
    <w:rsid w:val="005537AB"/>
    <w:rsid w:val="00554360"/>
    <w:rsid w:val="00554B64"/>
    <w:rsid w:val="005550DA"/>
    <w:rsid w:val="00556236"/>
    <w:rsid w:val="00557161"/>
    <w:rsid w:val="00560522"/>
    <w:rsid w:val="00560736"/>
    <w:rsid w:val="00560AF6"/>
    <w:rsid w:val="00562511"/>
    <w:rsid w:val="00562AD3"/>
    <w:rsid w:val="00563AD7"/>
    <w:rsid w:val="00563CC4"/>
    <w:rsid w:val="00563F86"/>
    <w:rsid w:val="0056415F"/>
    <w:rsid w:val="0056489C"/>
    <w:rsid w:val="00565250"/>
    <w:rsid w:val="0056565F"/>
    <w:rsid w:val="00567250"/>
    <w:rsid w:val="005710EF"/>
    <w:rsid w:val="00571C5B"/>
    <w:rsid w:val="00573CCA"/>
    <w:rsid w:val="00573E8F"/>
    <w:rsid w:val="005742AE"/>
    <w:rsid w:val="00574767"/>
    <w:rsid w:val="005753A1"/>
    <w:rsid w:val="005805F2"/>
    <w:rsid w:val="0058092D"/>
    <w:rsid w:val="0058094A"/>
    <w:rsid w:val="00580C1A"/>
    <w:rsid w:val="0058206E"/>
    <w:rsid w:val="00582607"/>
    <w:rsid w:val="00582F62"/>
    <w:rsid w:val="005833B8"/>
    <w:rsid w:val="005851EE"/>
    <w:rsid w:val="005854B7"/>
    <w:rsid w:val="00585CBD"/>
    <w:rsid w:val="00587202"/>
    <w:rsid w:val="00587766"/>
    <w:rsid w:val="00587E07"/>
    <w:rsid w:val="00590282"/>
    <w:rsid w:val="00590339"/>
    <w:rsid w:val="005907A4"/>
    <w:rsid w:val="005920FF"/>
    <w:rsid w:val="00592551"/>
    <w:rsid w:val="00592995"/>
    <w:rsid w:val="005938AD"/>
    <w:rsid w:val="005952C9"/>
    <w:rsid w:val="00595449"/>
    <w:rsid w:val="00595461"/>
    <w:rsid w:val="00596635"/>
    <w:rsid w:val="00596686"/>
    <w:rsid w:val="00596A82"/>
    <w:rsid w:val="005A0B2F"/>
    <w:rsid w:val="005A20B2"/>
    <w:rsid w:val="005A3050"/>
    <w:rsid w:val="005A396E"/>
    <w:rsid w:val="005A48D4"/>
    <w:rsid w:val="005A5143"/>
    <w:rsid w:val="005A59B6"/>
    <w:rsid w:val="005A7366"/>
    <w:rsid w:val="005A7BF4"/>
    <w:rsid w:val="005A7E09"/>
    <w:rsid w:val="005B0D85"/>
    <w:rsid w:val="005B1E66"/>
    <w:rsid w:val="005B22C3"/>
    <w:rsid w:val="005B2706"/>
    <w:rsid w:val="005B34A6"/>
    <w:rsid w:val="005B426D"/>
    <w:rsid w:val="005B4CA0"/>
    <w:rsid w:val="005B5C1C"/>
    <w:rsid w:val="005B6185"/>
    <w:rsid w:val="005B6785"/>
    <w:rsid w:val="005B7344"/>
    <w:rsid w:val="005B765F"/>
    <w:rsid w:val="005C0C91"/>
    <w:rsid w:val="005C1B2F"/>
    <w:rsid w:val="005C2B58"/>
    <w:rsid w:val="005C4FF2"/>
    <w:rsid w:val="005C5276"/>
    <w:rsid w:val="005C58D1"/>
    <w:rsid w:val="005C5DEB"/>
    <w:rsid w:val="005C6711"/>
    <w:rsid w:val="005C68D9"/>
    <w:rsid w:val="005D0816"/>
    <w:rsid w:val="005D0A4F"/>
    <w:rsid w:val="005D2036"/>
    <w:rsid w:val="005D281E"/>
    <w:rsid w:val="005D2B1E"/>
    <w:rsid w:val="005D312F"/>
    <w:rsid w:val="005D3CF3"/>
    <w:rsid w:val="005D4235"/>
    <w:rsid w:val="005D450A"/>
    <w:rsid w:val="005D5AB6"/>
    <w:rsid w:val="005D7B19"/>
    <w:rsid w:val="005D7B36"/>
    <w:rsid w:val="005D7B54"/>
    <w:rsid w:val="005E00B9"/>
    <w:rsid w:val="005E0302"/>
    <w:rsid w:val="005E053C"/>
    <w:rsid w:val="005E1C23"/>
    <w:rsid w:val="005E2089"/>
    <w:rsid w:val="005E20DD"/>
    <w:rsid w:val="005E2A5F"/>
    <w:rsid w:val="005E5740"/>
    <w:rsid w:val="005E7B30"/>
    <w:rsid w:val="005F00A6"/>
    <w:rsid w:val="005F092E"/>
    <w:rsid w:val="005F2516"/>
    <w:rsid w:val="005F3001"/>
    <w:rsid w:val="005F5089"/>
    <w:rsid w:val="005F59E4"/>
    <w:rsid w:val="005F6027"/>
    <w:rsid w:val="00601447"/>
    <w:rsid w:val="0060174C"/>
    <w:rsid w:val="0060252E"/>
    <w:rsid w:val="00604D2E"/>
    <w:rsid w:val="006051E1"/>
    <w:rsid w:val="00606375"/>
    <w:rsid w:val="006069DC"/>
    <w:rsid w:val="006102E2"/>
    <w:rsid w:val="0061066F"/>
    <w:rsid w:val="00611392"/>
    <w:rsid w:val="006114C3"/>
    <w:rsid w:val="00612047"/>
    <w:rsid w:val="00612215"/>
    <w:rsid w:val="00612FA7"/>
    <w:rsid w:val="00613555"/>
    <w:rsid w:val="00613A1C"/>
    <w:rsid w:val="00613AD8"/>
    <w:rsid w:val="00613BB1"/>
    <w:rsid w:val="00614825"/>
    <w:rsid w:val="006155D7"/>
    <w:rsid w:val="00615CB8"/>
    <w:rsid w:val="006165C0"/>
    <w:rsid w:val="00616C1B"/>
    <w:rsid w:val="00620761"/>
    <w:rsid w:val="0062107C"/>
    <w:rsid w:val="0062165E"/>
    <w:rsid w:val="00622128"/>
    <w:rsid w:val="00622A3D"/>
    <w:rsid w:val="00624496"/>
    <w:rsid w:val="00625472"/>
    <w:rsid w:val="00625829"/>
    <w:rsid w:val="006260FC"/>
    <w:rsid w:val="00626BD5"/>
    <w:rsid w:val="00627B8B"/>
    <w:rsid w:val="00627DCC"/>
    <w:rsid w:val="00630014"/>
    <w:rsid w:val="00633B48"/>
    <w:rsid w:val="00634BCA"/>
    <w:rsid w:val="006351E3"/>
    <w:rsid w:val="006356B7"/>
    <w:rsid w:val="006358BB"/>
    <w:rsid w:val="00636094"/>
    <w:rsid w:val="006361BA"/>
    <w:rsid w:val="0063695F"/>
    <w:rsid w:val="00636BB4"/>
    <w:rsid w:val="00636D72"/>
    <w:rsid w:val="00637B85"/>
    <w:rsid w:val="00637DFB"/>
    <w:rsid w:val="006400D1"/>
    <w:rsid w:val="00641E69"/>
    <w:rsid w:val="00642384"/>
    <w:rsid w:val="0064389E"/>
    <w:rsid w:val="006452F2"/>
    <w:rsid w:val="006459B4"/>
    <w:rsid w:val="00647FA1"/>
    <w:rsid w:val="00650291"/>
    <w:rsid w:val="0065170F"/>
    <w:rsid w:val="006518E9"/>
    <w:rsid w:val="0065199F"/>
    <w:rsid w:val="00651A36"/>
    <w:rsid w:val="00651A41"/>
    <w:rsid w:val="00652EDD"/>
    <w:rsid w:val="00653245"/>
    <w:rsid w:val="0065390A"/>
    <w:rsid w:val="006544FA"/>
    <w:rsid w:val="00654799"/>
    <w:rsid w:val="00654E01"/>
    <w:rsid w:val="0065552E"/>
    <w:rsid w:val="00655771"/>
    <w:rsid w:val="0065609A"/>
    <w:rsid w:val="00656938"/>
    <w:rsid w:val="00656D25"/>
    <w:rsid w:val="00661630"/>
    <w:rsid w:val="006619C1"/>
    <w:rsid w:val="00661E11"/>
    <w:rsid w:val="006636D7"/>
    <w:rsid w:val="0066484B"/>
    <w:rsid w:val="006648EE"/>
    <w:rsid w:val="00665982"/>
    <w:rsid w:val="00665DD6"/>
    <w:rsid w:val="00665E35"/>
    <w:rsid w:val="00666726"/>
    <w:rsid w:val="00666C5E"/>
    <w:rsid w:val="00670794"/>
    <w:rsid w:val="00673440"/>
    <w:rsid w:val="00673781"/>
    <w:rsid w:val="0067485D"/>
    <w:rsid w:val="00674ABA"/>
    <w:rsid w:val="00675492"/>
    <w:rsid w:val="00675D57"/>
    <w:rsid w:val="00676779"/>
    <w:rsid w:val="00681091"/>
    <w:rsid w:val="00682042"/>
    <w:rsid w:val="00682A55"/>
    <w:rsid w:val="00682B1E"/>
    <w:rsid w:val="00683503"/>
    <w:rsid w:val="006842CB"/>
    <w:rsid w:val="00685549"/>
    <w:rsid w:val="00685A18"/>
    <w:rsid w:val="00686AD6"/>
    <w:rsid w:val="00686CC3"/>
    <w:rsid w:val="00686DC7"/>
    <w:rsid w:val="00690DC9"/>
    <w:rsid w:val="006921A5"/>
    <w:rsid w:val="00692DD6"/>
    <w:rsid w:val="00695AE2"/>
    <w:rsid w:val="00695B83"/>
    <w:rsid w:val="00695DE4"/>
    <w:rsid w:val="00697456"/>
    <w:rsid w:val="00697D01"/>
    <w:rsid w:val="006A08FF"/>
    <w:rsid w:val="006A1AFC"/>
    <w:rsid w:val="006A3613"/>
    <w:rsid w:val="006A3844"/>
    <w:rsid w:val="006A412C"/>
    <w:rsid w:val="006A54A1"/>
    <w:rsid w:val="006A5608"/>
    <w:rsid w:val="006A69B1"/>
    <w:rsid w:val="006A73D6"/>
    <w:rsid w:val="006A7513"/>
    <w:rsid w:val="006A7698"/>
    <w:rsid w:val="006B0201"/>
    <w:rsid w:val="006B0436"/>
    <w:rsid w:val="006B0570"/>
    <w:rsid w:val="006B0BEB"/>
    <w:rsid w:val="006B163D"/>
    <w:rsid w:val="006B2A38"/>
    <w:rsid w:val="006B4C80"/>
    <w:rsid w:val="006B65BD"/>
    <w:rsid w:val="006B744B"/>
    <w:rsid w:val="006B75D3"/>
    <w:rsid w:val="006C0014"/>
    <w:rsid w:val="006C0FBE"/>
    <w:rsid w:val="006C1CDE"/>
    <w:rsid w:val="006C2053"/>
    <w:rsid w:val="006C2C7E"/>
    <w:rsid w:val="006C2DB1"/>
    <w:rsid w:val="006C2E0F"/>
    <w:rsid w:val="006C3B2C"/>
    <w:rsid w:val="006D2830"/>
    <w:rsid w:val="006D2AD3"/>
    <w:rsid w:val="006D2AFF"/>
    <w:rsid w:val="006D2E38"/>
    <w:rsid w:val="006D319C"/>
    <w:rsid w:val="006D339B"/>
    <w:rsid w:val="006D39EA"/>
    <w:rsid w:val="006D3D0C"/>
    <w:rsid w:val="006D3E50"/>
    <w:rsid w:val="006D4249"/>
    <w:rsid w:val="006D433D"/>
    <w:rsid w:val="006D4DDC"/>
    <w:rsid w:val="006D611C"/>
    <w:rsid w:val="006D6FF1"/>
    <w:rsid w:val="006D7AB4"/>
    <w:rsid w:val="006E081E"/>
    <w:rsid w:val="006E0F97"/>
    <w:rsid w:val="006E158E"/>
    <w:rsid w:val="006E20EB"/>
    <w:rsid w:val="006E2190"/>
    <w:rsid w:val="006E2B01"/>
    <w:rsid w:val="006E2D37"/>
    <w:rsid w:val="006E2DFE"/>
    <w:rsid w:val="006E2FE1"/>
    <w:rsid w:val="006E3137"/>
    <w:rsid w:val="006E4173"/>
    <w:rsid w:val="006E7149"/>
    <w:rsid w:val="006E7929"/>
    <w:rsid w:val="006F07ED"/>
    <w:rsid w:val="006F247D"/>
    <w:rsid w:val="006F275E"/>
    <w:rsid w:val="006F34F5"/>
    <w:rsid w:val="006F3D55"/>
    <w:rsid w:val="006F3F6B"/>
    <w:rsid w:val="006F4130"/>
    <w:rsid w:val="006F546D"/>
    <w:rsid w:val="006F65A5"/>
    <w:rsid w:val="006F7526"/>
    <w:rsid w:val="0070038A"/>
    <w:rsid w:val="00700B5B"/>
    <w:rsid w:val="0070176B"/>
    <w:rsid w:val="007019AE"/>
    <w:rsid w:val="00701D77"/>
    <w:rsid w:val="00701E14"/>
    <w:rsid w:val="00702128"/>
    <w:rsid w:val="00702D27"/>
    <w:rsid w:val="007031FE"/>
    <w:rsid w:val="0070414F"/>
    <w:rsid w:val="0070479D"/>
    <w:rsid w:val="00704886"/>
    <w:rsid w:val="00704D5D"/>
    <w:rsid w:val="00705143"/>
    <w:rsid w:val="00705A0C"/>
    <w:rsid w:val="00705D86"/>
    <w:rsid w:val="0070612E"/>
    <w:rsid w:val="007061D6"/>
    <w:rsid w:val="00706636"/>
    <w:rsid w:val="007116D2"/>
    <w:rsid w:val="0071217D"/>
    <w:rsid w:val="007127E9"/>
    <w:rsid w:val="00712BAD"/>
    <w:rsid w:val="0071449F"/>
    <w:rsid w:val="0071533F"/>
    <w:rsid w:val="00715598"/>
    <w:rsid w:val="007167EF"/>
    <w:rsid w:val="007175C7"/>
    <w:rsid w:val="00717B08"/>
    <w:rsid w:val="0072132F"/>
    <w:rsid w:val="007220E6"/>
    <w:rsid w:val="0072216B"/>
    <w:rsid w:val="00722EE3"/>
    <w:rsid w:val="00725194"/>
    <w:rsid w:val="00726062"/>
    <w:rsid w:val="00726AEE"/>
    <w:rsid w:val="00726F75"/>
    <w:rsid w:val="00730306"/>
    <w:rsid w:val="0073106B"/>
    <w:rsid w:val="00731413"/>
    <w:rsid w:val="007317D0"/>
    <w:rsid w:val="00733327"/>
    <w:rsid w:val="007344CE"/>
    <w:rsid w:val="00734724"/>
    <w:rsid w:val="00736503"/>
    <w:rsid w:val="00736A16"/>
    <w:rsid w:val="00737673"/>
    <w:rsid w:val="00737FC6"/>
    <w:rsid w:val="00740B59"/>
    <w:rsid w:val="00741657"/>
    <w:rsid w:val="00741A97"/>
    <w:rsid w:val="00743186"/>
    <w:rsid w:val="007442B4"/>
    <w:rsid w:val="007449C3"/>
    <w:rsid w:val="00745628"/>
    <w:rsid w:val="00745D8F"/>
    <w:rsid w:val="0074621B"/>
    <w:rsid w:val="00746957"/>
    <w:rsid w:val="00746D5C"/>
    <w:rsid w:val="00750290"/>
    <w:rsid w:val="00750302"/>
    <w:rsid w:val="007505A2"/>
    <w:rsid w:val="00751B6B"/>
    <w:rsid w:val="0075264A"/>
    <w:rsid w:val="00752BBE"/>
    <w:rsid w:val="007535CD"/>
    <w:rsid w:val="007536A9"/>
    <w:rsid w:val="0075398F"/>
    <w:rsid w:val="00753AB9"/>
    <w:rsid w:val="00755912"/>
    <w:rsid w:val="00756D70"/>
    <w:rsid w:val="007575E4"/>
    <w:rsid w:val="00757B51"/>
    <w:rsid w:val="007608D9"/>
    <w:rsid w:val="00760CAC"/>
    <w:rsid w:val="00760D8C"/>
    <w:rsid w:val="007619E7"/>
    <w:rsid w:val="00762AFC"/>
    <w:rsid w:val="00762EC3"/>
    <w:rsid w:val="007632FA"/>
    <w:rsid w:val="00763569"/>
    <w:rsid w:val="00763C60"/>
    <w:rsid w:val="007646ED"/>
    <w:rsid w:val="00764F60"/>
    <w:rsid w:val="0076572E"/>
    <w:rsid w:val="00766082"/>
    <w:rsid w:val="0076619A"/>
    <w:rsid w:val="0076723F"/>
    <w:rsid w:val="00771C09"/>
    <w:rsid w:val="00772691"/>
    <w:rsid w:val="0077431B"/>
    <w:rsid w:val="007744A0"/>
    <w:rsid w:val="00774CBF"/>
    <w:rsid w:val="00776BFE"/>
    <w:rsid w:val="00781562"/>
    <w:rsid w:val="0078195D"/>
    <w:rsid w:val="00781986"/>
    <w:rsid w:val="00782096"/>
    <w:rsid w:val="00782F18"/>
    <w:rsid w:val="00782FE0"/>
    <w:rsid w:val="00783B58"/>
    <w:rsid w:val="007848D2"/>
    <w:rsid w:val="00785958"/>
    <w:rsid w:val="00786167"/>
    <w:rsid w:val="007872FD"/>
    <w:rsid w:val="007874C2"/>
    <w:rsid w:val="007878F3"/>
    <w:rsid w:val="00787BBB"/>
    <w:rsid w:val="007901DB"/>
    <w:rsid w:val="00790711"/>
    <w:rsid w:val="0079082A"/>
    <w:rsid w:val="007923CC"/>
    <w:rsid w:val="0079324D"/>
    <w:rsid w:val="0079350A"/>
    <w:rsid w:val="00794E9D"/>
    <w:rsid w:val="00795512"/>
    <w:rsid w:val="00795C39"/>
    <w:rsid w:val="0079647F"/>
    <w:rsid w:val="007975BC"/>
    <w:rsid w:val="00797BA6"/>
    <w:rsid w:val="00797FC9"/>
    <w:rsid w:val="007A0423"/>
    <w:rsid w:val="007A07A6"/>
    <w:rsid w:val="007A0BAF"/>
    <w:rsid w:val="007A0E29"/>
    <w:rsid w:val="007A1BD4"/>
    <w:rsid w:val="007A203E"/>
    <w:rsid w:val="007A216A"/>
    <w:rsid w:val="007A2F29"/>
    <w:rsid w:val="007A3734"/>
    <w:rsid w:val="007A735A"/>
    <w:rsid w:val="007A7D26"/>
    <w:rsid w:val="007B00FA"/>
    <w:rsid w:val="007B0DEC"/>
    <w:rsid w:val="007B1A3D"/>
    <w:rsid w:val="007B1A54"/>
    <w:rsid w:val="007B1D97"/>
    <w:rsid w:val="007B4BA0"/>
    <w:rsid w:val="007B4CE2"/>
    <w:rsid w:val="007B5092"/>
    <w:rsid w:val="007B5201"/>
    <w:rsid w:val="007B54F7"/>
    <w:rsid w:val="007B6C72"/>
    <w:rsid w:val="007B73DB"/>
    <w:rsid w:val="007C0424"/>
    <w:rsid w:val="007C06A6"/>
    <w:rsid w:val="007C0A07"/>
    <w:rsid w:val="007C0B3D"/>
    <w:rsid w:val="007C0BFB"/>
    <w:rsid w:val="007C0FD9"/>
    <w:rsid w:val="007C19D2"/>
    <w:rsid w:val="007C2E0F"/>
    <w:rsid w:val="007C6930"/>
    <w:rsid w:val="007C7A4D"/>
    <w:rsid w:val="007D0AF0"/>
    <w:rsid w:val="007D1E59"/>
    <w:rsid w:val="007D3473"/>
    <w:rsid w:val="007D399B"/>
    <w:rsid w:val="007D49D2"/>
    <w:rsid w:val="007D4D23"/>
    <w:rsid w:val="007D5715"/>
    <w:rsid w:val="007D5929"/>
    <w:rsid w:val="007D5B9A"/>
    <w:rsid w:val="007E04A1"/>
    <w:rsid w:val="007E1D7A"/>
    <w:rsid w:val="007E26AB"/>
    <w:rsid w:val="007E2A8A"/>
    <w:rsid w:val="007E2F71"/>
    <w:rsid w:val="007E3976"/>
    <w:rsid w:val="007E5F2D"/>
    <w:rsid w:val="007E63B5"/>
    <w:rsid w:val="007E7339"/>
    <w:rsid w:val="007E768C"/>
    <w:rsid w:val="007F0BC4"/>
    <w:rsid w:val="007F1B72"/>
    <w:rsid w:val="007F1F94"/>
    <w:rsid w:val="007F2ADE"/>
    <w:rsid w:val="007F416F"/>
    <w:rsid w:val="007F44CA"/>
    <w:rsid w:val="007F5853"/>
    <w:rsid w:val="007F5AE1"/>
    <w:rsid w:val="007F707A"/>
    <w:rsid w:val="007F746B"/>
    <w:rsid w:val="00800E02"/>
    <w:rsid w:val="00801A43"/>
    <w:rsid w:val="00801AF3"/>
    <w:rsid w:val="0080264B"/>
    <w:rsid w:val="008027BA"/>
    <w:rsid w:val="0080283F"/>
    <w:rsid w:val="00802E04"/>
    <w:rsid w:val="00804593"/>
    <w:rsid w:val="00805412"/>
    <w:rsid w:val="00806F92"/>
    <w:rsid w:val="00807B8F"/>
    <w:rsid w:val="00810DE4"/>
    <w:rsid w:val="00811AF7"/>
    <w:rsid w:val="00811B15"/>
    <w:rsid w:val="008125B7"/>
    <w:rsid w:val="00813989"/>
    <w:rsid w:val="008157D9"/>
    <w:rsid w:val="00815E40"/>
    <w:rsid w:val="008164ED"/>
    <w:rsid w:val="00816607"/>
    <w:rsid w:val="0081743F"/>
    <w:rsid w:val="0081762F"/>
    <w:rsid w:val="00820AFB"/>
    <w:rsid w:val="00820C74"/>
    <w:rsid w:val="00822B75"/>
    <w:rsid w:val="00822F27"/>
    <w:rsid w:val="0082354F"/>
    <w:rsid w:val="008239AA"/>
    <w:rsid w:val="008250D2"/>
    <w:rsid w:val="00825D10"/>
    <w:rsid w:val="008277B4"/>
    <w:rsid w:val="008305DF"/>
    <w:rsid w:val="00831845"/>
    <w:rsid w:val="00835AAC"/>
    <w:rsid w:val="00836201"/>
    <w:rsid w:val="008365B0"/>
    <w:rsid w:val="00840AA8"/>
    <w:rsid w:val="0084107E"/>
    <w:rsid w:val="008411CA"/>
    <w:rsid w:val="00844D84"/>
    <w:rsid w:val="0084524F"/>
    <w:rsid w:val="0084609B"/>
    <w:rsid w:val="008500E1"/>
    <w:rsid w:val="00852B13"/>
    <w:rsid w:val="008531AA"/>
    <w:rsid w:val="008532EE"/>
    <w:rsid w:val="00853985"/>
    <w:rsid w:val="0085535E"/>
    <w:rsid w:val="008555D1"/>
    <w:rsid w:val="00855A75"/>
    <w:rsid w:val="00856567"/>
    <w:rsid w:val="008568F7"/>
    <w:rsid w:val="0085756C"/>
    <w:rsid w:val="00860133"/>
    <w:rsid w:val="00860AFB"/>
    <w:rsid w:val="00860CD0"/>
    <w:rsid w:val="00860EC3"/>
    <w:rsid w:val="00861089"/>
    <w:rsid w:val="008632AB"/>
    <w:rsid w:val="008649ED"/>
    <w:rsid w:val="008666A1"/>
    <w:rsid w:val="0086693B"/>
    <w:rsid w:val="00867408"/>
    <w:rsid w:val="008717FD"/>
    <w:rsid w:val="0087224E"/>
    <w:rsid w:val="00872502"/>
    <w:rsid w:val="0087288C"/>
    <w:rsid w:val="0087436D"/>
    <w:rsid w:val="008746FF"/>
    <w:rsid w:val="00874BFA"/>
    <w:rsid w:val="00877357"/>
    <w:rsid w:val="00877B00"/>
    <w:rsid w:val="00877BAB"/>
    <w:rsid w:val="00877D67"/>
    <w:rsid w:val="008808DB"/>
    <w:rsid w:val="00880E73"/>
    <w:rsid w:val="00882236"/>
    <w:rsid w:val="0088416A"/>
    <w:rsid w:val="00884652"/>
    <w:rsid w:val="008854DC"/>
    <w:rsid w:val="00885596"/>
    <w:rsid w:val="0088571F"/>
    <w:rsid w:val="00885BEE"/>
    <w:rsid w:val="00886905"/>
    <w:rsid w:val="00887B76"/>
    <w:rsid w:val="008903E8"/>
    <w:rsid w:val="00891794"/>
    <w:rsid w:val="00892642"/>
    <w:rsid w:val="00893078"/>
    <w:rsid w:val="008939A5"/>
    <w:rsid w:val="00893D56"/>
    <w:rsid w:val="008950A2"/>
    <w:rsid w:val="0089534C"/>
    <w:rsid w:val="00895581"/>
    <w:rsid w:val="00895921"/>
    <w:rsid w:val="00896A66"/>
    <w:rsid w:val="00896E50"/>
    <w:rsid w:val="00897C71"/>
    <w:rsid w:val="00897D07"/>
    <w:rsid w:val="008A008C"/>
    <w:rsid w:val="008A0826"/>
    <w:rsid w:val="008A2C4C"/>
    <w:rsid w:val="008A3236"/>
    <w:rsid w:val="008A3252"/>
    <w:rsid w:val="008A3764"/>
    <w:rsid w:val="008A490C"/>
    <w:rsid w:val="008A4FDA"/>
    <w:rsid w:val="008A504D"/>
    <w:rsid w:val="008A5560"/>
    <w:rsid w:val="008A5A8C"/>
    <w:rsid w:val="008A698A"/>
    <w:rsid w:val="008A7DB6"/>
    <w:rsid w:val="008B0138"/>
    <w:rsid w:val="008B07CC"/>
    <w:rsid w:val="008B1589"/>
    <w:rsid w:val="008B18CC"/>
    <w:rsid w:val="008B2411"/>
    <w:rsid w:val="008B2536"/>
    <w:rsid w:val="008B32FF"/>
    <w:rsid w:val="008B38DB"/>
    <w:rsid w:val="008B43F1"/>
    <w:rsid w:val="008B5154"/>
    <w:rsid w:val="008B7051"/>
    <w:rsid w:val="008C160B"/>
    <w:rsid w:val="008C1D2C"/>
    <w:rsid w:val="008C2010"/>
    <w:rsid w:val="008C219A"/>
    <w:rsid w:val="008C21A0"/>
    <w:rsid w:val="008C3CB6"/>
    <w:rsid w:val="008C3E99"/>
    <w:rsid w:val="008C42CA"/>
    <w:rsid w:val="008C45DD"/>
    <w:rsid w:val="008C4AAB"/>
    <w:rsid w:val="008C5F7C"/>
    <w:rsid w:val="008C6B35"/>
    <w:rsid w:val="008D042F"/>
    <w:rsid w:val="008D0B18"/>
    <w:rsid w:val="008D0C1C"/>
    <w:rsid w:val="008D15A5"/>
    <w:rsid w:val="008D186D"/>
    <w:rsid w:val="008D21E5"/>
    <w:rsid w:val="008D2268"/>
    <w:rsid w:val="008D2AAD"/>
    <w:rsid w:val="008D2F30"/>
    <w:rsid w:val="008D3150"/>
    <w:rsid w:val="008D45A0"/>
    <w:rsid w:val="008D46AE"/>
    <w:rsid w:val="008D522D"/>
    <w:rsid w:val="008E26DC"/>
    <w:rsid w:val="008E283D"/>
    <w:rsid w:val="008E3879"/>
    <w:rsid w:val="008E3D6F"/>
    <w:rsid w:val="008E4C2D"/>
    <w:rsid w:val="008E586D"/>
    <w:rsid w:val="008E5DC0"/>
    <w:rsid w:val="008E75A3"/>
    <w:rsid w:val="008E7C12"/>
    <w:rsid w:val="008F028F"/>
    <w:rsid w:val="008F0358"/>
    <w:rsid w:val="008F0F8D"/>
    <w:rsid w:val="008F10FD"/>
    <w:rsid w:val="008F14F9"/>
    <w:rsid w:val="008F1F8E"/>
    <w:rsid w:val="008F3497"/>
    <w:rsid w:val="008F371D"/>
    <w:rsid w:val="008F4073"/>
    <w:rsid w:val="008F4CCA"/>
    <w:rsid w:val="008F5C98"/>
    <w:rsid w:val="008F5E11"/>
    <w:rsid w:val="008F686D"/>
    <w:rsid w:val="00900B3F"/>
    <w:rsid w:val="00900EFC"/>
    <w:rsid w:val="0090185A"/>
    <w:rsid w:val="00901A01"/>
    <w:rsid w:val="00902E20"/>
    <w:rsid w:val="0090336A"/>
    <w:rsid w:val="00903BCB"/>
    <w:rsid w:val="00903BF6"/>
    <w:rsid w:val="00905D35"/>
    <w:rsid w:val="00906A2F"/>
    <w:rsid w:val="00906FD6"/>
    <w:rsid w:val="009105DC"/>
    <w:rsid w:val="009109E6"/>
    <w:rsid w:val="00910D73"/>
    <w:rsid w:val="009111DD"/>
    <w:rsid w:val="0091298E"/>
    <w:rsid w:val="00913359"/>
    <w:rsid w:val="00913D79"/>
    <w:rsid w:val="009141FF"/>
    <w:rsid w:val="009172DA"/>
    <w:rsid w:val="00917757"/>
    <w:rsid w:val="00920856"/>
    <w:rsid w:val="00920EF1"/>
    <w:rsid w:val="00921270"/>
    <w:rsid w:val="00921B10"/>
    <w:rsid w:val="00922EE7"/>
    <w:rsid w:val="00922FB5"/>
    <w:rsid w:val="00923DD8"/>
    <w:rsid w:val="0092432F"/>
    <w:rsid w:val="009252F5"/>
    <w:rsid w:val="00925A66"/>
    <w:rsid w:val="00925B7E"/>
    <w:rsid w:val="00927C85"/>
    <w:rsid w:val="009305F1"/>
    <w:rsid w:val="00931EB0"/>
    <w:rsid w:val="00933548"/>
    <w:rsid w:val="00934B30"/>
    <w:rsid w:val="00934C3C"/>
    <w:rsid w:val="00934EDD"/>
    <w:rsid w:val="0093556C"/>
    <w:rsid w:val="00937063"/>
    <w:rsid w:val="0093760C"/>
    <w:rsid w:val="009377CE"/>
    <w:rsid w:val="00937821"/>
    <w:rsid w:val="00941522"/>
    <w:rsid w:val="00941556"/>
    <w:rsid w:val="00941695"/>
    <w:rsid w:val="00942B46"/>
    <w:rsid w:val="009430F2"/>
    <w:rsid w:val="00943490"/>
    <w:rsid w:val="00943523"/>
    <w:rsid w:val="00943FEB"/>
    <w:rsid w:val="00944AC3"/>
    <w:rsid w:val="00944B53"/>
    <w:rsid w:val="00944DB9"/>
    <w:rsid w:val="00946562"/>
    <w:rsid w:val="00946A2D"/>
    <w:rsid w:val="00946C57"/>
    <w:rsid w:val="00946EF6"/>
    <w:rsid w:val="00946F46"/>
    <w:rsid w:val="00947145"/>
    <w:rsid w:val="00947227"/>
    <w:rsid w:val="00947376"/>
    <w:rsid w:val="009509AC"/>
    <w:rsid w:val="00950F0C"/>
    <w:rsid w:val="009519F2"/>
    <w:rsid w:val="00951DD8"/>
    <w:rsid w:val="009527AC"/>
    <w:rsid w:val="00954447"/>
    <w:rsid w:val="00954BD0"/>
    <w:rsid w:val="00954C66"/>
    <w:rsid w:val="00954F94"/>
    <w:rsid w:val="00955170"/>
    <w:rsid w:val="00956AE5"/>
    <w:rsid w:val="0095720C"/>
    <w:rsid w:val="00957ACE"/>
    <w:rsid w:val="00960031"/>
    <w:rsid w:val="0096041B"/>
    <w:rsid w:val="00960F90"/>
    <w:rsid w:val="00961315"/>
    <w:rsid w:val="00962E32"/>
    <w:rsid w:val="00963286"/>
    <w:rsid w:val="009632A1"/>
    <w:rsid w:val="009639E4"/>
    <w:rsid w:val="009650D7"/>
    <w:rsid w:val="00965897"/>
    <w:rsid w:val="00966C6A"/>
    <w:rsid w:val="00967905"/>
    <w:rsid w:val="00971438"/>
    <w:rsid w:val="009714DD"/>
    <w:rsid w:val="009717CA"/>
    <w:rsid w:val="009731C1"/>
    <w:rsid w:val="00973FD9"/>
    <w:rsid w:val="009762FF"/>
    <w:rsid w:val="00977D6E"/>
    <w:rsid w:val="00980719"/>
    <w:rsid w:val="00982FF4"/>
    <w:rsid w:val="00983194"/>
    <w:rsid w:val="00985022"/>
    <w:rsid w:val="0098584F"/>
    <w:rsid w:val="0098740B"/>
    <w:rsid w:val="009913B8"/>
    <w:rsid w:val="00991959"/>
    <w:rsid w:val="00991D4D"/>
    <w:rsid w:val="00991E71"/>
    <w:rsid w:val="009929B7"/>
    <w:rsid w:val="00992A8C"/>
    <w:rsid w:val="00992DAD"/>
    <w:rsid w:val="009932C9"/>
    <w:rsid w:val="0099440E"/>
    <w:rsid w:val="00994985"/>
    <w:rsid w:val="00994D83"/>
    <w:rsid w:val="00995298"/>
    <w:rsid w:val="00995458"/>
    <w:rsid w:val="00995CCD"/>
    <w:rsid w:val="00995DFA"/>
    <w:rsid w:val="0099616F"/>
    <w:rsid w:val="00997B56"/>
    <w:rsid w:val="009A055B"/>
    <w:rsid w:val="009A0C50"/>
    <w:rsid w:val="009A0E8E"/>
    <w:rsid w:val="009A17DC"/>
    <w:rsid w:val="009A1A10"/>
    <w:rsid w:val="009A1EBC"/>
    <w:rsid w:val="009A201D"/>
    <w:rsid w:val="009A3647"/>
    <w:rsid w:val="009A3FB8"/>
    <w:rsid w:val="009A5352"/>
    <w:rsid w:val="009A5FA7"/>
    <w:rsid w:val="009A5FE3"/>
    <w:rsid w:val="009A615F"/>
    <w:rsid w:val="009A62CD"/>
    <w:rsid w:val="009A6F2A"/>
    <w:rsid w:val="009A717C"/>
    <w:rsid w:val="009B0C55"/>
    <w:rsid w:val="009B14EF"/>
    <w:rsid w:val="009B20CD"/>
    <w:rsid w:val="009B3EE5"/>
    <w:rsid w:val="009B4200"/>
    <w:rsid w:val="009B4390"/>
    <w:rsid w:val="009B5540"/>
    <w:rsid w:val="009B6513"/>
    <w:rsid w:val="009B65E1"/>
    <w:rsid w:val="009B6C18"/>
    <w:rsid w:val="009B6C62"/>
    <w:rsid w:val="009B735C"/>
    <w:rsid w:val="009C01C9"/>
    <w:rsid w:val="009C0522"/>
    <w:rsid w:val="009C3866"/>
    <w:rsid w:val="009C3DF1"/>
    <w:rsid w:val="009C6C3D"/>
    <w:rsid w:val="009C78F0"/>
    <w:rsid w:val="009D1A72"/>
    <w:rsid w:val="009D2650"/>
    <w:rsid w:val="009D32D1"/>
    <w:rsid w:val="009D61D6"/>
    <w:rsid w:val="009D7527"/>
    <w:rsid w:val="009E0636"/>
    <w:rsid w:val="009E0F33"/>
    <w:rsid w:val="009E163F"/>
    <w:rsid w:val="009E1696"/>
    <w:rsid w:val="009E1FC6"/>
    <w:rsid w:val="009E2535"/>
    <w:rsid w:val="009E260B"/>
    <w:rsid w:val="009E2DBC"/>
    <w:rsid w:val="009E4D65"/>
    <w:rsid w:val="009E7888"/>
    <w:rsid w:val="009E7A8A"/>
    <w:rsid w:val="009F0DFA"/>
    <w:rsid w:val="009F1CA1"/>
    <w:rsid w:val="009F248C"/>
    <w:rsid w:val="009F2DCA"/>
    <w:rsid w:val="009F3080"/>
    <w:rsid w:val="009F3544"/>
    <w:rsid w:val="009F4120"/>
    <w:rsid w:val="009F4909"/>
    <w:rsid w:val="009F773C"/>
    <w:rsid w:val="009F7C7F"/>
    <w:rsid w:val="00A00A9C"/>
    <w:rsid w:val="00A0181D"/>
    <w:rsid w:val="00A01D71"/>
    <w:rsid w:val="00A02423"/>
    <w:rsid w:val="00A03201"/>
    <w:rsid w:val="00A036DF"/>
    <w:rsid w:val="00A0370F"/>
    <w:rsid w:val="00A04EF7"/>
    <w:rsid w:val="00A054E3"/>
    <w:rsid w:val="00A07164"/>
    <w:rsid w:val="00A10B00"/>
    <w:rsid w:val="00A142C4"/>
    <w:rsid w:val="00A143C5"/>
    <w:rsid w:val="00A16092"/>
    <w:rsid w:val="00A171C2"/>
    <w:rsid w:val="00A177C8"/>
    <w:rsid w:val="00A22252"/>
    <w:rsid w:val="00A23777"/>
    <w:rsid w:val="00A24F40"/>
    <w:rsid w:val="00A26377"/>
    <w:rsid w:val="00A263FF"/>
    <w:rsid w:val="00A267C6"/>
    <w:rsid w:val="00A26D01"/>
    <w:rsid w:val="00A3118A"/>
    <w:rsid w:val="00A313E8"/>
    <w:rsid w:val="00A316DD"/>
    <w:rsid w:val="00A31931"/>
    <w:rsid w:val="00A31E69"/>
    <w:rsid w:val="00A323C8"/>
    <w:rsid w:val="00A32AB4"/>
    <w:rsid w:val="00A33C7A"/>
    <w:rsid w:val="00A34AD0"/>
    <w:rsid w:val="00A355EC"/>
    <w:rsid w:val="00A3650F"/>
    <w:rsid w:val="00A36DFF"/>
    <w:rsid w:val="00A36EA8"/>
    <w:rsid w:val="00A37955"/>
    <w:rsid w:val="00A37AE2"/>
    <w:rsid w:val="00A37D41"/>
    <w:rsid w:val="00A37E22"/>
    <w:rsid w:val="00A40826"/>
    <w:rsid w:val="00A40B02"/>
    <w:rsid w:val="00A40F5B"/>
    <w:rsid w:val="00A415EC"/>
    <w:rsid w:val="00A41683"/>
    <w:rsid w:val="00A419C9"/>
    <w:rsid w:val="00A41A1D"/>
    <w:rsid w:val="00A43181"/>
    <w:rsid w:val="00A4445C"/>
    <w:rsid w:val="00A447BA"/>
    <w:rsid w:val="00A44AF3"/>
    <w:rsid w:val="00A454DA"/>
    <w:rsid w:val="00A46CB5"/>
    <w:rsid w:val="00A4721B"/>
    <w:rsid w:val="00A51FEF"/>
    <w:rsid w:val="00A52716"/>
    <w:rsid w:val="00A540BA"/>
    <w:rsid w:val="00A54599"/>
    <w:rsid w:val="00A55731"/>
    <w:rsid w:val="00A55747"/>
    <w:rsid w:val="00A55A08"/>
    <w:rsid w:val="00A56AFB"/>
    <w:rsid w:val="00A57CB4"/>
    <w:rsid w:val="00A60C24"/>
    <w:rsid w:val="00A61509"/>
    <w:rsid w:val="00A61BE6"/>
    <w:rsid w:val="00A636F5"/>
    <w:rsid w:val="00A63D8A"/>
    <w:rsid w:val="00A677EA"/>
    <w:rsid w:val="00A7095A"/>
    <w:rsid w:val="00A71C76"/>
    <w:rsid w:val="00A731B1"/>
    <w:rsid w:val="00A73A33"/>
    <w:rsid w:val="00A74336"/>
    <w:rsid w:val="00A7507F"/>
    <w:rsid w:val="00A7517E"/>
    <w:rsid w:val="00A75C0B"/>
    <w:rsid w:val="00A760B2"/>
    <w:rsid w:val="00A765D4"/>
    <w:rsid w:val="00A77DF7"/>
    <w:rsid w:val="00A81601"/>
    <w:rsid w:val="00A81F23"/>
    <w:rsid w:val="00A82517"/>
    <w:rsid w:val="00A82C50"/>
    <w:rsid w:val="00A830EB"/>
    <w:rsid w:val="00A8486F"/>
    <w:rsid w:val="00A84BF3"/>
    <w:rsid w:val="00A85481"/>
    <w:rsid w:val="00A85825"/>
    <w:rsid w:val="00A85832"/>
    <w:rsid w:val="00A85EB2"/>
    <w:rsid w:val="00A863E8"/>
    <w:rsid w:val="00A86F2F"/>
    <w:rsid w:val="00A86FFF"/>
    <w:rsid w:val="00A908C4"/>
    <w:rsid w:val="00A919C4"/>
    <w:rsid w:val="00A93708"/>
    <w:rsid w:val="00A93F03"/>
    <w:rsid w:val="00A9478E"/>
    <w:rsid w:val="00A94BDE"/>
    <w:rsid w:val="00A94EEC"/>
    <w:rsid w:val="00A9508B"/>
    <w:rsid w:val="00A9512C"/>
    <w:rsid w:val="00A95D35"/>
    <w:rsid w:val="00A963D9"/>
    <w:rsid w:val="00A96B19"/>
    <w:rsid w:val="00AA0A90"/>
    <w:rsid w:val="00AA1FDC"/>
    <w:rsid w:val="00AA2102"/>
    <w:rsid w:val="00AA222D"/>
    <w:rsid w:val="00AA3749"/>
    <w:rsid w:val="00AA3A74"/>
    <w:rsid w:val="00AA49CB"/>
    <w:rsid w:val="00AA4A1B"/>
    <w:rsid w:val="00AA52DD"/>
    <w:rsid w:val="00AA5F98"/>
    <w:rsid w:val="00AA6C07"/>
    <w:rsid w:val="00AA6C9F"/>
    <w:rsid w:val="00AA7409"/>
    <w:rsid w:val="00AB017F"/>
    <w:rsid w:val="00AB0517"/>
    <w:rsid w:val="00AB0A9E"/>
    <w:rsid w:val="00AB1848"/>
    <w:rsid w:val="00AB187F"/>
    <w:rsid w:val="00AB1CE7"/>
    <w:rsid w:val="00AB347D"/>
    <w:rsid w:val="00AB4F24"/>
    <w:rsid w:val="00AB59C0"/>
    <w:rsid w:val="00AB5B77"/>
    <w:rsid w:val="00AB6086"/>
    <w:rsid w:val="00AB60DB"/>
    <w:rsid w:val="00AB7B53"/>
    <w:rsid w:val="00AB7D51"/>
    <w:rsid w:val="00AC1B14"/>
    <w:rsid w:val="00AC1F67"/>
    <w:rsid w:val="00AC229E"/>
    <w:rsid w:val="00AC3363"/>
    <w:rsid w:val="00AC35E3"/>
    <w:rsid w:val="00AC3877"/>
    <w:rsid w:val="00AC3F1E"/>
    <w:rsid w:val="00AC49C5"/>
    <w:rsid w:val="00AC4C43"/>
    <w:rsid w:val="00AC595D"/>
    <w:rsid w:val="00AC6776"/>
    <w:rsid w:val="00AC6CF5"/>
    <w:rsid w:val="00AC6EA5"/>
    <w:rsid w:val="00AD0321"/>
    <w:rsid w:val="00AD160D"/>
    <w:rsid w:val="00AD1D77"/>
    <w:rsid w:val="00AD22F5"/>
    <w:rsid w:val="00AD3D8D"/>
    <w:rsid w:val="00AD4031"/>
    <w:rsid w:val="00AD5123"/>
    <w:rsid w:val="00AD5DAC"/>
    <w:rsid w:val="00AD7CAD"/>
    <w:rsid w:val="00AE12C2"/>
    <w:rsid w:val="00AE1756"/>
    <w:rsid w:val="00AE1B0E"/>
    <w:rsid w:val="00AE3A0B"/>
    <w:rsid w:val="00AE3E72"/>
    <w:rsid w:val="00AE4CF7"/>
    <w:rsid w:val="00AE64FA"/>
    <w:rsid w:val="00AF252C"/>
    <w:rsid w:val="00AF2A71"/>
    <w:rsid w:val="00AF2E71"/>
    <w:rsid w:val="00AF2F72"/>
    <w:rsid w:val="00AF3457"/>
    <w:rsid w:val="00AF437C"/>
    <w:rsid w:val="00AF5868"/>
    <w:rsid w:val="00AF5D7B"/>
    <w:rsid w:val="00AF662B"/>
    <w:rsid w:val="00AF673D"/>
    <w:rsid w:val="00AF7A1F"/>
    <w:rsid w:val="00AF7BD4"/>
    <w:rsid w:val="00AF7CF9"/>
    <w:rsid w:val="00B00068"/>
    <w:rsid w:val="00B00CCE"/>
    <w:rsid w:val="00B0211A"/>
    <w:rsid w:val="00B035B4"/>
    <w:rsid w:val="00B04068"/>
    <w:rsid w:val="00B04316"/>
    <w:rsid w:val="00B0493B"/>
    <w:rsid w:val="00B05019"/>
    <w:rsid w:val="00B056D0"/>
    <w:rsid w:val="00B07DA3"/>
    <w:rsid w:val="00B07EEA"/>
    <w:rsid w:val="00B105F7"/>
    <w:rsid w:val="00B1079E"/>
    <w:rsid w:val="00B108D8"/>
    <w:rsid w:val="00B111A7"/>
    <w:rsid w:val="00B144D4"/>
    <w:rsid w:val="00B157F8"/>
    <w:rsid w:val="00B15AEE"/>
    <w:rsid w:val="00B162E0"/>
    <w:rsid w:val="00B17020"/>
    <w:rsid w:val="00B2073D"/>
    <w:rsid w:val="00B22B03"/>
    <w:rsid w:val="00B243DE"/>
    <w:rsid w:val="00B247DA"/>
    <w:rsid w:val="00B24B46"/>
    <w:rsid w:val="00B263D2"/>
    <w:rsid w:val="00B266AF"/>
    <w:rsid w:val="00B2670F"/>
    <w:rsid w:val="00B26C2F"/>
    <w:rsid w:val="00B27616"/>
    <w:rsid w:val="00B27AFA"/>
    <w:rsid w:val="00B27D5D"/>
    <w:rsid w:val="00B27E73"/>
    <w:rsid w:val="00B27FDF"/>
    <w:rsid w:val="00B301A8"/>
    <w:rsid w:val="00B304E2"/>
    <w:rsid w:val="00B313CA"/>
    <w:rsid w:val="00B31EDD"/>
    <w:rsid w:val="00B3322E"/>
    <w:rsid w:val="00B34767"/>
    <w:rsid w:val="00B3564D"/>
    <w:rsid w:val="00B364F2"/>
    <w:rsid w:val="00B379CA"/>
    <w:rsid w:val="00B40A5D"/>
    <w:rsid w:val="00B410D1"/>
    <w:rsid w:val="00B419F3"/>
    <w:rsid w:val="00B46606"/>
    <w:rsid w:val="00B472DF"/>
    <w:rsid w:val="00B50003"/>
    <w:rsid w:val="00B504FE"/>
    <w:rsid w:val="00B50CDB"/>
    <w:rsid w:val="00B50D31"/>
    <w:rsid w:val="00B516BC"/>
    <w:rsid w:val="00B5299D"/>
    <w:rsid w:val="00B5390B"/>
    <w:rsid w:val="00B54FB2"/>
    <w:rsid w:val="00B5514D"/>
    <w:rsid w:val="00B5532E"/>
    <w:rsid w:val="00B554A7"/>
    <w:rsid w:val="00B558B1"/>
    <w:rsid w:val="00B56A41"/>
    <w:rsid w:val="00B56CB6"/>
    <w:rsid w:val="00B571B4"/>
    <w:rsid w:val="00B57940"/>
    <w:rsid w:val="00B62311"/>
    <w:rsid w:val="00B6393F"/>
    <w:rsid w:val="00B63BD8"/>
    <w:rsid w:val="00B63FA2"/>
    <w:rsid w:val="00B6412D"/>
    <w:rsid w:val="00B64AEA"/>
    <w:rsid w:val="00B64CEB"/>
    <w:rsid w:val="00B655A5"/>
    <w:rsid w:val="00B65AFE"/>
    <w:rsid w:val="00B66242"/>
    <w:rsid w:val="00B67105"/>
    <w:rsid w:val="00B677DF"/>
    <w:rsid w:val="00B67902"/>
    <w:rsid w:val="00B70412"/>
    <w:rsid w:val="00B70A8A"/>
    <w:rsid w:val="00B71F9E"/>
    <w:rsid w:val="00B725B1"/>
    <w:rsid w:val="00B74134"/>
    <w:rsid w:val="00B74D74"/>
    <w:rsid w:val="00B75024"/>
    <w:rsid w:val="00B75A30"/>
    <w:rsid w:val="00B76077"/>
    <w:rsid w:val="00B7663F"/>
    <w:rsid w:val="00B76961"/>
    <w:rsid w:val="00B76A1C"/>
    <w:rsid w:val="00B804BD"/>
    <w:rsid w:val="00B832CB"/>
    <w:rsid w:val="00B85407"/>
    <w:rsid w:val="00B85E74"/>
    <w:rsid w:val="00B86B99"/>
    <w:rsid w:val="00B87004"/>
    <w:rsid w:val="00B87542"/>
    <w:rsid w:val="00B87DA5"/>
    <w:rsid w:val="00B910EE"/>
    <w:rsid w:val="00B91DE5"/>
    <w:rsid w:val="00B9266D"/>
    <w:rsid w:val="00B92BB1"/>
    <w:rsid w:val="00B93F73"/>
    <w:rsid w:val="00B93F9F"/>
    <w:rsid w:val="00B9409B"/>
    <w:rsid w:val="00B95B61"/>
    <w:rsid w:val="00B95DA8"/>
    <w:rsid w:val="00B96025"/>
    <w:rsid w:val="00B9615C"/>
    <w:rsid w:val="00B9665A"/>
    <w:rsid w:val="00B96C8B"/>
    <w:rsid w:val="00B96D05"/>
    <w:rsid w:val="00B96FAD"/>
    <w:rsid w:val="00BA03DA"/>
    <w:rsid w:val="00BA05D1"/>
    <w:rsid w:val="00BA0BBA"/>
    <w:rsid w:val="00BA0DAD"/>
    <w:rsid w:val="00BA16C1"/>
    <w:rsid w:val="00BA2516"/>
    <w:rsid w:val="00BA2602"/>
    <w:rsid w:val="00BA2722"/>
    <w:rsid w:val="00BA3D6B"/>
    <w:rsid w:val="00BA4A6C"/>
    <w:rsid w:val="00BA4EF4"/>
    <w:rsid w:val="00BA5BAD"/>
    <w:rsid w:val="00BA5F5D"/>
    <w:rsid w:val="00BB0A61"/>
    <w:rsid w:val="00BB107D"/>
    <w:rsid w:val="00BB1541"/>
    <w:rsid w:val="00BB2984"/>
    <w:rsid w:val="00BB2C58"/>
    <w:rsid w:val="00BB2CDC"/>
    <w:rsid w:val="00BB3E07"/>
    <w:rsid w:val="00BB4154"/>
    <w:rsid w:val="00BB5142"/>
    <w:rsid w:val="00BC040E"/>
    <w:rsid w:val="00BC09D6"/>
    <w:rsid w:val="00BC0D0E"/>
    <w:rsid w:val="00BC1D5B"/>
    <w:rsid w:val="00BC26FF"/>
    <w:rsid w:val="00BC4CF3"/>
    <w:rsid w:val="00BC7ED7"/>
    <w:rsid w:val="00BD0DF0"/>
    <w:rsid w:val="00BD0FF5"/>
    <w:rsid w:val="00BD28E3"/>
    <w:rsid w:val="00BD2B3D"/>
    <w:rsid w:val="00BD365D"/>
    <w:rsid w:val="00BD376C"/>
    <w:rsid w:val="00BE01F2"/>
    <w:rsid w:val="00BE0616"/>
    <w:rsid w:val="00BE15F4"/>
    <w:rsid w:val="00BE1AEE"/>
    <w:rsid w:val="00BE1D52"/>
    <w:rsid w:val="00BE3338"/>
    <w:rsid w:val="00BE375D"/>
    <w:rsid w:val="00BE5011"/>
    <w:rsid w:val="00BE5F72"/>
    <w:rsid w:val="00BE6659"/>
    <w:rsid w:val="00BE6BE0"/>
    <w:rsid w:val="00BE74E6"/>
    <w:rsid w:val="00BE770F"/>
    <w:rsid w:val="00BF0A3D"/>
    <w:rsid w:val="00BF0CB1"/>
    <w:rsid w:val="00BF129D"/>
    <w:rsid w:val="00BF223A"/>
    <w:rsid w:val="00BF2E16"/>
    <w:rsid w:val="00BF4000"/>
    <w:rsid w:val="00BF5888"/>
    <w:rsid w:val="00BF5C7A"/>
    <w:rsid w:val="00BF606A"/>
    <w:rsid w:val="00BF764A"/>
    <w:rsid w:val="00BF7E8B"/>
    <w:rsid w:val="00C00206"/>
    <w:rsid w:val="00C01D0B"/>
    <w:rsid w:val="00C02056"/>
    <w:rsid w:val="00C0523F"/>
    <w:rsid w:val="00C0589D"/>
    <w:rsid w:val="00C05E45"/>
    <w:rsid w:val="00C06217"/>
    <w:rsid w:val="00C06917"/>
    <w:rsid w:val="00C07C2D"/>
    <w:rsid w:val="00C100B0"/>
    <w:rsid w:val="00C1264A"/>
    <w:rsid w:val="00C135D2"/>
    <w:rsid w:val="00C14BA9"/>
    <w:rsid w:val="00C15271"/>
    <w:rsid w:val="00C159C2"/>
    <w:rsid w:val="00C17B8D"/>
    <w:rsid w:val="00C20110"/>
    <w:rsid w:val="00C20317"/>
    <w:rsid w:val="00C204FB"/>
    <w:rsid w:val="00C22A85"/>
    <w:rsid w:val="00C24AF0"/>
    <w:rsid w:val="00C261DD"/>
    <w:rsid w:val="00C26308"/>
    <w:rsid w:val="00C2755C"/>
    <w:rsid w:val="00C277B1"/>
    <w:rsid w:val="00C278C3"/>
    <w:rsid w:val="00C3030B"/>
    <w:rsid w:val="00C30F3E"/>
    <w:rsid w:val="00C311F3"/>
    <w:rsid w:val="00C32D10"/>
    <w:rsid w:val="00C33C11"/>
    <w:rsid w:val="00C3403D"/>
    <w:rsid w:val="00C34A37"/>
    <w:rsid w:val="00C35B64"/>
    <w:rsid w:val="00C36571"/>
    <w:rsid w:val="00C379F0"/>
    <w:rsid w:val="00C4013D"/>
    <w:rsid w:val="00C40FD8"/>
    <w:rsid w:val="00C4147A"/>
    <w:rsid w:val="00C4259B"/>
    <w:rsid w:val="00C42775"/>
    <w:rsid w:val="00C44247"/>
    <w:rsid w:val="00C4431F"/>
    <w:rsid w:val="00C44405"/>
    <w:rsid w:val="00C452BF"/>
    <w:rsid w:val="00C46BDC"/>
    <w:rsid w:val="00C51B6A"/>
    <w:rsid w:val="00C528D2"/>
    <w:rsid w:val="00C5408A"/>
    <w:rsid w:val="00C549E6"/>
    <w:rsid w:val="00C55126"/>
    <w:rsid w:val="00C55431"/>
    <w:rsid w:val="00C557FF"/>
    <w:rsid w:val="00C55E3D"/>
    <w:rsid w:val="00C570A8"/>
    <w:rsid w:val="00C57799"/>
    <w:rsid w:val="00C60F4D"/>
    <w:rsid w:val="00C61C1A"/>
    <w:rsid w:val="00C63D4B"/>
    <w:rsid w:val="00C64DE3"/>
    <w:rsid w:val="00C6623C"/>
    <w:rsid w:val="00C673CC"/>
    <w:rsid w:val="00C67BB6"/>
    <w:rsid w:val="00C70577"/>
    <w:rsid w:val="00C70A5C"/>
    <w:rsid w:val="00C720FF"/>
    <w:rsid w:val="00C724F5"/>
    <w:rsid w:val="00C72625"/>
    <w:rsid w:val="00C728F3"/>
    <w:rsid w:val="00C72A94"/>
    <w:rsid w:val="00C742BC"/>
    <w:rsid w:val="00C760DF"/>
    <w:rsid w:val="00C76B89"/>
    <w:rsid w:val="00C76E60"/>
    <w:rsid w:val="00C7710F"/>
    <w:rsid w:val="00C77907"/>
    <w:rsid w:val="00C80415"/>
    <w:rsid w:val="00C80C59"/>
    <w:rsid w:val="00C80CFC"/>
    <w:rsid w:val="00C816A4"/>
    <w:rsid w:val="00C81E2D"/>
    <w:rsid w:val="00C82A59"/>
    <w:rsid w:val="00C83CF9"/>
    <w:rsid w:val="00C84F5F"/>
    <w:rsid w:val="00C85016"/>
    <w:rsid w:val="00C85C93"/>
    <w:rsid w:val="00C85F2C"/>
    <w:rsid w:val="00C86041"/>
    <w:rsid w:val="00C862A8"/>
    <w:rsid w:val="00C867D6"/>
    <w:rsid w:val="00C871C5"/>
    <w:rsid w:val="00C87ADF"/>
    <w:rsid w:val="00C87DDD"/>
    <w:rsid w:val="00C9118B"/>
    <w:rsid w:val="00C92A13"/>
    <w:rsid w:val="00C92CDA"/>
    <w:rsid w:val="00C92D0F"/>
    <w:rsid w:val="00C93054"/>
    <w:rsid w:val="00C93990"/>
    <w:rsid w:val="00C940CC"/>
    <w:rsid w:val="00C9411E"/>
    <w:rsid w:val="00C9471F"/>
    <w:rsid w:val="00C9646D"/>
    <w:rsid w:val="00CA13D8"/>
    <w:rsid w:val="00CA27D5"/>
    <w:rsid w:val="00CA283B"/>
    <w:rsid w:val="00CA31C4"/>
    <w:rsid w:val="00CA3536"/>
    <w:rsid w:val="00CA3AFB"/>
    <w:rsid w:val="00CA3BCD"/>
    <w:rsid w:val="00CA3F51"/>
    <w:rsid w:val="00CA462F"/>
    <w:rsid w:val="00CA6106"/>
    <w:rsid w:val="00CA63B9"/>
    <w:rsid w:val="00CA72E2"/>
    <w:rsid w:val="00CA7AB1"/>
    <w:rsid w:val="00CB268C"/>
    <w:rsid w:val="00CB27D2"/>
    <w:rsid w:val="00CB2F6F"/>
    <w:rsid w:val="00CB404E"/>
    <w:rsid w:val="00CB40FC"/>
    <w:rsid w:val="00CB4CF6"/>
    <w:rsid w:val="00CB4F44"/>
    <w:rsid w:val="00CB573C"/>
    <w:rsid w:val="00CB6BA4"/>
    <w:rsid w:val="00CB6C64"/>
    <w:rsid w:val="00CB6CDE"/>
    <w:rsid w:val="00CB6FE8"/>
    <w:rsid w:val="00CB76AA"/>
    <w:rsid w:val="00CC02D0"/>
    <w:rsid w:val="00CC1FD3"/>
    <w:rsid w:val="00CC2149"/>
    <w:rsid w:val="00CC2D39"/>
    <w:rsid w:val="00CC2FED"/>
    <w:rsid w:val="00CC3B21"/>
    <w:rsid w:val="00CC7AA1"/>
    <w:rsid w:val="00CC7D88"/>
    <w:rsid w:val="00CD043E"/>
    <w:rsid w:val="00CD18FE"/>
    <w:rsid w:val="00CD29C5"/>
    <w:rsid w:val="00CD32AB"/>
    <w:rsid w:val="00CD3BDA"/>
    <w:rsid w:val="00CD3E30"/>
    <w:rsid w:val="00CD414E"/>
    <w:rsid w:val="00CD4301"/>
    <w:rsid w:val="00CD44DE"/>
    <w:rsid w:val="00CD5315"/>
    <w:rsid w:val="00CD584F"/>
    <w:rsid w:val="00CD7BF8"/>
    <w:rsid w:val="00CE05EA"/>
    <w:rsid w:val="00CE140F"/>
    <w:rsid w:val="00CE33C3"/>
    <w:rsid w:val="00CE3807"/>
    <w:rsid w:val="00CE3978"/>
    <w:rsid w:val="00CE3F33"/>
    <w:rsid w:val="00CE4A68"/>
    <w:rsid w:val="00CE4BF2"/>
    <w:rsid w:val="00CE63BA"/>
    <w:rsid w:val="00CE6A24"/>
    <w:rsid w:val="00CE71E5"/>
    <w:rsid w:val="00CE75B4"/>
    <w:rsid w:val="00CF0690"/>
    <w:rsid w:val="00CF08DA"/>
    <w:rsid w:val="00CF0E8F"/>
    <w:rsid w:val="00CF1348"/>
    <w:rsid w:val="00CF144A"/>
    <w:rsid w:val="00CF22CE"/>
    <w:rsid w:val="00CF4A0F"/>
    <w:rsid w:val="00CF5D92"/>
    <w:rsid w:val="00CF5E13"/>
    <w:rsid w:val="00CF6468"/>
    <w:rsid w:val="00CF6DA2"/>
    <w:rsid w:val="00CF751A"/>
    <w:rsid w:val="00CF7A37"/>
    <w:rsid w:val="00D00004"/>
    <w:rsid w:val="00D0024A"/>
    <w:rsid w:val="00D00AA3"/>
    <w:rsid w:val="00D01161"/>
    <w:rsid w:val="00D018FE"/>
    <w:rsid w:val="00D01E90"/>
    <w:rsid w:val="00D0217E"/>
    <w:rsid w:val="00D026AA"/>
    <w:rsid w:val="00D02F8E"/>
    <w:rsid w:val="00D0361A"/>
    <w:rsid w:val="00D044A3"/>
    <w:rsid w:val="00D04A12"/>
    <w:rsid w:val="00D04BE3"/>
    <w:rsid w:val="00D06D14"/>
    <w:rsid w:val="00D07B29"/>
    <w:rsid w:val="00D1093C"/>
    <w:rsid w:val="00D10DC9"/>
    <w:rsid w:val="00D13D52"/>
    <w:rsid w:val="00D15593"/>
    <w:rsid w:val="00D15978"/>
    <w:rsid w:val="00D160CF"/>
    <w:rsid w:val="00D163C2"/>
    <w:rsid w:val="00D1787B"/>
    <w:rsid w:val="00D17C92"/>
    <w:rsid w:val="00D20A72"/>
    <w:rsid w:val="00D22F74"/>
    <w:rsid w:val="00D24340"/>
    <w:rsid w:val="00D249ED"/>
    <w:rsid w:val="00D24FB9"/>
    <w:rsid w:val="00D27113"/>
    <w:rsid w:val="00D27395"/>
    <w:rsid w:val="00D3166D"/>
    <w:rsid w:val="00D31CF6"/>
    <w:rsid w:val="00D3314F"/>
    <w:rsid w:val="00D34DCB"/>
    <w:rsid w:val="00D3508D"/>
    <w:rsid w:val="00D35B82"/>
    <w:rsid w:val="00D35CB2"/>
    <w:rsid w:val="00D36488"/>
    <w:rsid w:val="00D3714D"/>
    <w:rsid w:val="00D37C5F"/>
    <w:rsid w:val="00D40FB2"/>
    <w:rsid w:val="00D4125D"/>
    <w:rsid w:val="00D418B4"/>
    <w:rsid w:val="00D4339C"/>
    <w:rsid w:val="00D43B30"/>
    <w:rsid w:val="00D4417F"/>
    <w:rsid w:val="00D46A01"/>
    <w:rsid w:val="00D46AED"/>
    <w:rsid w:val="00D471F6"/>
    <w:rsid w:val="00D47BFE"/>
    <w:rsid w:val="00D517EC"/>
    <w:rsid w:val="00D52C09"/>
    <w:rsid w:val="00D53150"/>
    <w:rsid w:val="00D542FD"/>
    <w:rsid w:val="00D56B97"/>
    <w:rsid w:val="00D576FC"/>
    <w:rsid w:val="00D60215"/>
    <w:rsid w:val="00D60C7C"/>
    <w:rsid w:val="00D62B8D"/>
    <w:rsid w:val="00D647C5"/>
    <w:rsid w:val="00D6527A"/>
    <w:rsid w:val="00D66DD7"/>
    <w:rsid w:val="00D670AB"/>
    <w:rsid w:val="00D67A7F"/>
    <w:rsid w:val="00D70BE2"/>
    <w:rsid w:val="00D711C4"/>
    <w:rsid w:val="00D71B78"/>
    <w:rsid w:val="00D73128"/>
    <w:rsid w:val="00D73AFE"/>
    <w:rsid w:val="00D73DC8"/>
    <w:rsid w:val="00D740D8"/>
    <w:rsid w:val="00D741CF"/>
    <w:rsid w:val="00D74390"/>
    <w:rsid w:val="00D75230"/>
    <w:rsid w:val="00D75267"/>
    <w:rsid w:val="00D757C2"/>
    <w:rsid w:val="00D76E37"/>
    <w:rsid w:val="00D76E9F"/>
    <w:rsid w:val="00D76EEE"/>
    <w:rsid w:val="00D77563"/>
    <w:rsid w:val="00D77B67"/>
    <w:rsid w:val="00D81336"/>
    <w:rsid w:val="00D817F7"/>
    <w:rsid w:val="00D81A1A"/>
    <w:rsid w:val="00D81FF2"/>
    <w:rsid w:val="00D821B7"/>
    <w:rsid w:val="00D8220B"/>
    <w:rsid w:val="00D8240E"/>
    <w:rsid w:val="00D832A2"/>
    <w:rsid w:val="00D83319"/>
    <w:rsid w:val="00D849C9"/>
    <w:rsid w:val="00D84CE7"/>
    <w:rsid w:val="00D85519"/>
    <w:rsid w:val="00D8561E"/>
    <w:rsid w:val="00D86499"/>
    <w:rsid w:val="00D864FC"/>
    <w:rsid w:val="00D91A58"/>
    <w:rsid w:val="00D91CEF"/>
    <w:rsid w:val="00D93FBF"/>
    <w:rsid w:val="00D94B16"/>
    <w:rsid w:val="00D95149"/>
    <w:rsid w:val="00D969F4"/>
    <w:rsid w:val="00D97662"/>
    <w:rsid w:val="00D97BA4"/>
    <w:rsid w:val="00DA2711"/>
    <w:rsid w:val="00DA494D"/>
    <w:rsid w:val="00DA5A6D"/>
    <w:rsid w:val="00DA6270"/>
    <w:rsid w:val="00DA73BF"/>
    <w:rsid w:val="00DB13B0"/>
    <w:rsid w:val="00DB164B"/>
    <w:rsid w:val="00DB1B89"/>
    <w:rsid w:val="00DB5E68"/>
    <w:rsid w:val="00DB6DEC"/>
    <w:rsid w:val="00DB71F4"/>
    <w:rsid w:val="00DB7E17"/>
    <w:rsid w:val="00DC194B"/>
    <w:rsid w:val="00DC1CED"/>
    <w:rsid w:val="00DC209E"/>
    <w:rsid w:val="00DC20CD"/>
    <w:rsid w:val="00DC24A8"/>
    <w:rsid w:val="00DC5418"/>
    <w:rsid w:val="00DC6AA2"/>
    <w:rsid w:val="00DC6FB2"/>
    <w:rsid w:val="00DC792A"/>
    <w:rsid w:val="00DD0722"/>
    <w:rsid w:val="00DD0BEA"/>
    <w:rsid w:val="00DD2DDD"/>
    <w:rsid w:val="00DD320B"/>
    <w:rsid w:val="00DD3266"/>
    <w:rsid w:val="00DD358B"/>
    <w:rsid w:val="00DD3894"/>
    <w:rsid w:val="00DD3A31"/>
    <w:rsid w:val="00DD414D"/>
    <w:rsid w:val="00DD513B"/>
    <w:rsid w:val="00DD5A66"/>
    <w:rsid w:val="00DD5E94"/>
    <w:rsid w:val="00DD650B"/>
    <w:rsid w:val="00DD6982"/>
    <w:rsid w:val="00DD75E6"/>
    <w:rsid w:val="00DE055A"/>
    <w:rsid w:val="00DE0608"/>
    <w:rsid w:val="00DE080C"/>
    <w:rsid w:val="00DE11B7"/>
    <w:rsid w:val="00DE1287"/>
    <w:rsid w:val="00DE1308"/>
    <w:rsid w:val="00DE25B8"/>
    <w:rsid w:val="00DE2666"/>
    <w:rsid w:val="00DE26D9"/>
    <w:rsid w:val="00DE2E6E"/>
    <w:rsid w:val="00DE3792"/>
    <w:rsid w:val="00DE425B"/>
    <w:rsid w:val="00DE4BFE"/>
    <w:rsid w:val="00DE4F04"/>
    <w:rsid w:val="00DE6E56"/>
    <w:rsid w:val="00DE77AD"/>
    <w:rsid w:val="00DE7C0B"/>
    <w:rsid w:val="00DF00EB"/>
    <w:rsid w:val="00DF0B66"/>
    <w:rsid w:val="00DF27F6"/>
    <w:rsid w:val="00DF35F2"/>
    <w:rsid w:val="00DF383D"/>
    <w:rsid w:val="00DF3DA7"/>
    <w:rsid w:val="00DF406A"/>
    <w:rsid w:val="00DF4A68"/>
    <w:rsid w:val="00DF4BBD"/>
    <w:rsid w:val="00DF595C"/>
    <w:rsid w:val="00DF632B"/>
    <w:rsid w:val="00DF7D08"/>
    <w:rsid w:val="00E000B5"/>
    <w:rsid w:val="00E00539"/>
    <w:rsid w:val="00E01947"/>
    <w:rsid w:val="00E01B89"/>
    <w:rsid w:val="00E01FC5"/>
    <w:rsid w:val="00E02475"/>
    <w:rsid w:val="00E0406E"/>
    <w:rsid w:val="00E04643"/>
    <w:rsid w:val="00E04C0D"/>
    <w:rsid w:val="00E05475"/>
    <w:rsid w:val="00E07DC8"/>
    <w:rsid w:val="00E10204"/>
    <w:rsid w:val="00E10C23"/>
    <w:rsid w:val="00E12741"/>
    <w:rsid w:val="00E12C5E"/>
    <w:rsid w:val="00E12D9E"/>
    <w:rsid w:val="00E14646"/>
    <w:rsid w:val="00E14686"/>
    <w:rsid w:val="00E14964"/>
    <w:rsid w:val="00E14DBF"/>
    <w:rsid w:val="00E166B0"/>
    <w:rsid w:val="00E17D92"/>
    <w:rsid w:val="00E208B4"/>
    <w:rsid w:val="00E22A7D"/>
    <w:rsid w:val="00E2384E"/>
    <w:rsid w:val="00E241C9"/>
    <w:rsid w:val="00E24291"/>
    <w:rsid w:val="00E247BA"/>
    <w:rsid w:val="00E24E5A"/>
    <w:rsid w:val="00E253D5"/>
    <w:rsid w:val="00E2586C"/>
    <w:rsid w:val="00E26F2D"/>
    <w:rsid w:val="00E2706E"/>
    <w:rsid w:val="00E2748B"/>
    <w:rsid w:val="00E30305"/>
    <w:rsid w:val="00E30B85"/>
    <w:rsid w:val="00E30FD2"/>
    <w:rsid w:val="00E313E9"/>
    <w:rsid w:val="00E31734"/>
    <w:rsid w:val="00E31758"/>
    <w:rsid w:val="00E31C73"/>
    <w:rsid w:val="00E323A6"/>
    <w:rsid w:val="00E3240D"/>
    <w:rsid w:val="00E334EB"/>
    <w:rsid w:val="00E33A6F"/>
    <w:rsid w:val="00E34EEA"/>
    <w:rsid w:val="00E34EEE"/>
    <w:rsid w:val="00E350BD"/>
    <w:rsid w:val="00E35AB1"/>
    <w:rsid w:val="00E35FB7"/>
    <w:rsid w:val="00E3677C"/>
    <w:rsid w:val="00E369E5"/>
    <w:rsid w:val="00E376AA"/>
    <w:rsid w:val="00E378F6"/>
    <w:rsid w:val="00E37C61"/>
    <w:rsid w:val="00E4326E"/>
    <w:rsid w:val="00E43378"/>
    <w:rsid w:val="00E43FA0"/>
    <w:rsid w:val="00E43FDC"/>
    <w:rsid w:val="00E442D4"/>
    <w:rsid w:val="00E44B70"/>
    <w:rsid w:val="00E452F5"/>
    <w:rsid w:val="00E47F63"/>
    <w:rsid w:val="00E47FA8"/>
    <w:rsid w:val="00E5115F"/>
    <w:rsid w:val="00E51AE1"/>
    <w:rsid w:val="00E535BA"/>
    <w:rsid w:val="00E5431D"/>
    <w:rsid w:val="00E577FA"/>
    <w:rsid w:val="00E6123E"/>
    <w:rsid w:val="00E61E8F"/>
    <w:rsid w:val="00E62495"/>
    <w:rsid w:val="00E626D0"/>
    <w:rsid w:val="00E62798"/>
    <w:rsid w:val="00E6321F"/>
    <w:rsid w:val="00E63A8A"/>
    <w:rsid w:val="00E63D32"/>
    <w:rsid w:val="00E6450C"/>
    <w:rsid w:val="00E64B28"/>
    <w:rsid w:val="00E64BC5"/>
    <w:rsid w:val="00E650AF"/>
    <w:rsid w:val="00E67BE7"/>
    <w:rsid w:val="00E703D7"/>
    <w:rsid w:val="00E70A99"/>
    <w:rsid w:val="00E710A7"/>
    <w:rsid w:val="00E715F4"/>
    <w:rsid w:val="00E7161C"/>
    <w:rsid w:val="00E7172D"/>
    <w:rsid w:val="00E722FD"/>
    <w:rsid w:val="00E73E1B"/>
    <w:rsid w:val="00E73EFA"/>
    <w:rsid w:val="00E7453B"/>
    <w:rsid w:val="00E7550B"/>
    <w:rsid w:val="00E75F60"/>
    <w:rsid w:val="00E764EC"/>
    <w:rsid w:val="00E765D4"/>
    <w:rsid w:val="00E772C8"/>
    <w:rsid w:val="00E77451"/>
    <w:rsid w:val="00E77B52"/>
    <w:rsid w:val="00E814AA"/>
    <w:rsid w:val="00E81CC4"/>
    <w:rsid w:val="00E822FF"/>
    <w:rsid w:val="00E82349"/>
    <w:rsid w:val="00E82577"/>
    <w:rsid w:val="00E829B3"/>
    <w:rsid w:val="00E83E82"/>
    <w:rsid w:val="00E85958"/>
    <w:rsid w:val="00E866A2"/>
    <w:rsid w:val="00E87848"/>
    <w:rsid w:val="00E90D5C"/>
    <w:rsid w:val="00E91358"/>
    <w:rsid w:val="00E91C8D"/>
    <w:rsid w:val="00E93FB7"/>
    <w:rsid w:val="00E94451"/>
    <w:rsid w:val="00E95371"/>
    <w:rsid w:val="00E95D2F"/>
    <w:rsid w:val="00E97CB0"/>
    <w:rsid w:val="00E97F22"/>
    <w:rsid w:val="00E97F5B"/>
    <w:rsid w:val="00EA04A4"/>
    <w:rsid w:val="00EA2443"/>
    <w:rsid w:val="00EA32C9"/>
    <w:rsid w:val="00EA363E"/>
    <w:rsid w:val="00EA3946"/>
    <w:rsid w:val="00EA3FB6"/>
    <w:rsid w:val="00EA422C"/>
    <w:rsid w:val="00EA4E6E"/>
    <w:rsid w:val="00EA5B6E"/>
    <w:rsid w:val="00EA64FD"/>
    <w:rsid w:val="00EB0AA4"/>
    <w:rsid w:val="00EB0E64"/>
    <w:rsid w:val="00EB128D"/>
    <w:rsid w:val="00EB1700"/>
    <w:rsid w:val="00EB292C"/>
    <w:rsid w:val="00EB308C"/>
    <w:rsid w:val="00EB3409"/>
    <w:rsid w:val="00EB4F7C"/>
    <w:rsid w:val="00EB57A9"/>
    <w:rsid w:val="00EB5F10"/>
    <w:rsid w:val="00EB5F80"/>
    <w:rsid w:val="00EB60AC"/>
    <w:rsid w:val="00EB6771"/>
    <w:rsid w:val="00EB699B"/>
    <w:rsid w:val="00EB69A7"/>
    <w:rsid w:val="00EB718D"/>
    <w:rsid w:val="00EC0496"/>
    <w:rsid w:val="00EC0A75"/>
    <w:rsid w:val="00EC1B1E"/>
    <w:rsid w:val="00EC2201"/>
    <w:rsid w:val="00EC30B2"/>
    <w:rsid w:val="00EC3847"/>
    <w:rsid w:val="00EC3EE6"/>
    <w:rsid w:val="00EC4214"/>
    <w:rsid w:val="00EC504D"/>
    <w:rsid w:val="00EC50A6"/>
    <w:rsid w:val="00EC5E7D"/>
    <w:rsid w:val="00ED0AD7"/>
    <w:rsid w:val="00ED14A6"/>
    <w:rsid w:val="00ED1731"/>
    <w:rsid w:val="00ED2282"/>
    <w:rsid w:val="00ED3E29"/>
    <w:rsid w:val="00ED4038"/>
    <w:rsid w:val="00ED4BC1"/>
    <w:rsid w:val="00ED530A"/>
    <w:rsid w:val="00ED67B7"/>
    <w:rsid w:val="00EE0F2F"/>
    <w:rsid w:val="00EE1DB2"/>
    <w:rsid w:val="00EE1F02"/>
    <w:rsid w:val="00EE549F"/>
    <w:rsid w:val="00EE5737"/>
    <w:rsid w:val="00EE6AEC"/>
    <w:rsid w:val="00EF17DC"/>
    <w:rsid w:val="00EF28FE"/>
    <w:rsid w:val="00EF2967"/>
    <w:rsid w:val="00EF2AEE"/>
    <w:rsid w:val="00EF2CB6"/>
    <w:rsid w:val="00EF3F3E"/>
    <w:rsid w:val="00EF4500"/>
    <w:rsid w:val="00EF496B"/>
    <w:rsid w:val="00EF4F1C"/>
    <w:rsid w:val="00EF5C6A"/>
    <w:rsid w:val="00EF5E9E"/>
    <w:rsid w:val="00EF6A5A"/>
    <w:rsid w:val="00EF7A03"/>
    <w:rsid w:val="00F016DC"/>
    <w:rsid w:val="00F0189B"/>
    <w:rsid w:val="00F01B31"/>
    <w:rsid w:val="00F03A0B"/>
    <w:rsid w:val="00F03B74"/>
    <w:rsid w:val="00F04D47"/>
    <w:rsid w:val="00F05017"/>
    <w:rsid w:val="00F053C6"/>
    <w:rsid w:val="00F05D34"/>
    <w:rsid w:val="00F06769"/>
    <w:rsid w:val="00F06D9A"/>
    <w:rsid w:val="00F0739A"/>
    <w:rsid w:val="00F07935"/>
    <w:rsid w:val="00F10203"/>
    <w:rsid w:val="00F10ED6"/>
    <w:rsid w:val="00F11297"/>
    <w:rsid w:val="00F118D2"/>
    <w:rsid w:val="00F12D93"/>
    <w:rsid w:val="00F13219"/>
    <w:rsid w:val="00F13401"/>
    <w:rsid w:val="00F13A0D"/>
    <w:rsid w:val="00F14D05"/>
    <w:rsid w:val="00F15059"/>
    <w:rsid w:val="00F154C1"/>
    <w:rsid w:val="00F161E8"/>
    <w:rsid w:val="00F16731"/>
    <w:rsid w:val="00F16766"/>
    <w:rsid w:val="00F1758A"/>
    <w:rsid w:val="00F17CBD"/>
    <w:rsid w:val="00F17F7B"/>
    <w:rsid w:val="00F20DE8"/>
    <w:rsid w:val="00F21672"/>
    <w:rsid w:val="00F23107"/>
    <w:rsid w:val="00F24260"/>
    <w:rsid w:val="00F258FD"/>
    <w:rsid w:val="00F26B60"/>
    <w:rsid w:val="00F273B3"/>
    <w:rsid w:val="00F27484"/>
    <w:rsid w:val="00F2795E"/>
    <w:rsid w:val="00F279CA"/>
    <w:rsid w:val="00F305A2"/>
    <w:rsid w:val="00F3143D"/>
    <w:rsid w:val="00F317E5"/>
    <w:rsid w:val="00F318D1"/>
    <w:rsid w:val="00F32882"/>
    <w:rsid w:val="00F32DC2"/>
    <w:rsid w:val="00F33502"/>
    <w:rsid w:val="00F34762"/>
    <w:rsid w:val="00F35968"/>
    <w:rsid w:val="00F3642A"/>
    <w:rsid w:val="00F40964"/>
    <w:rsid w:val="00F40E6A"/>
    <w:rsid w:val="00F40F52"/>
    <w:rsid w:val="00F41071"/>
    <w:rsid w:val="00F41F63"/>
    <w:rsid w:val="00F42619"/>
    <w:rsid w:val="00F42C37"/>
    <w:rsid w:val="00F432FA"/>
    <w:rsid w:val="00F43E1C"/>
    <w:rsid w:val="00F44C97"/>
    <w:rsid w:val="00F44CDD"/>
    <w:rsid w:val="00F45585"/>
    <w:rsid w:val="00F4583B"/>
    <w:rsid w:val="00F466DE"/>
    <w:rsid w:val="00F4691F"/>
    <w:rsid w:val="00F46BF6"/>
    <w:rsid w:val="00F46E87"/>
    <w:rsid w:val="00F4777B"/>
    <w:rsid w:val="00F50090"/>
    <w:rsid w:val="00F512F1"/>
    <w:rsid w:val="00F53600"/>
    <w:rsid w:val="00F53ED8"/>
    <w:rsid w:val="00F54B83"/>
    <w:rsid w:val="00F55C05"/>
    <w:rsid w:val="00F56985"/>
    <w:rsid w:val="00F57104"/>
    <w:rsid w:val="00F571C1"/>
    <w:rsid w:val="00F575B8"/>
    <w:rsid w:val="00F6045E"/>
    <w:rsid w:val="00F6148A"/>
    <w:rsid w:val="00F622EC"/>
    <w:rsid w:val="00F630F1"/>
    <w:rsid w:val="00F63E47"/>
    <w:rsid w:val="00F64B9A"/>
    <w:rsid w:val="00F65530"/>
    <w:rsid w:val="00F6678E"/>
    <w:rsid w:val="00F70371"/>
    <w:rsid w:val="00F70CCC"/>
    <w:rsid w:val="00F70DFF"/>
    <w:rsid w:val="00F7258D"/>
    <w:rsid w:val="00F726F6"/>
    <w:rsid w:val="00F72F51"/>
    <w:rsid w:val="00F75BAE"/>
    <w:rsid w:val="00F75F4E"/>
    <w:rsid w:val="00F7737F"/>
    <w:rsid w:val="00F77E97"/>
    <w:rsid w:val="00F80791"/>
    <w:rsid w:val="00F81BC1"/>
    <w:rsid w:val="00F828A9"/>
    <w:rsid w:val="00F82D6D"/>
    <w:rsid w:val="00F838B8"/>
    <w:rsid w:val="00F83C68"/>
    <w:rsid w:val="00F83DC9"/>
    <w:rsid w:val="00F8446D"/>
    <w:rsid w:val="00F84A86"/>
    <w:rsid w:val="00F86467"/>
    <w:rsid w:val="00F867A4"/>
    <w:rsid w:val="00F86DC6"/>
    <w:rsid w:val="00F912F2"/>
    <w:rsid w:val="00F916BD"/>
    <w:rsid w:val="00F9182F"/>
    <w:rsid w:val="00F92160"/>
    <w:rsid w:val="00F93ADA"/>
    <w:rsid w:val="00F940EF"/>
    <w:rsid w:val="00F94759"/>
    <w:rsid w:val="00F94C45"/>
    <w:rsid w:val="00F94DC7"/>
    <w:rsid w:val="00F95466"/>
    <w:rsid w:val="00F96BD8"/>
    <w:rsid w:val="00FA05F6"/>
    <w:rsid w:val="00FA1AEF"/>
    <w:rsid w:val="00FA23D3"/>
    <w:rsid w:val="00FA248E"/>
    <w:rsid w:val="00FA2843"/>
    <w:rsid w:val="00FA2C3C"/>
    <w:rsid w:val="00FA2D18"/>
    <w:rsid w:val="00FA4410"/>
    <w:rsid w:val="00FA5E4F"/>
    <w:rsid w:val="00FA64A2"/>
    <w:rsid w:val="00FA6944"/>
    <w:rsid w:val="00FB01C4"/>
    <w:rsid w:val="00FB0852"/>
    <w:rsid w:val="00FB0D85"/>
    <w:rsid w:val="00FB0E0E"/>
    <w:rsid w:val="00FB1E15"/>
    <w:rsid w:val="00FB27C8"/>
    <w:rsid w:val="00FB29A2"/>
    <w:rsid w:val="00FB54D9"/>
    <w:rsid w:val="00FB582C"/>
    <w:rsid w:val="00FB5D6D"/>
    <w:rsid w:val="00FB6097"/>
    <w:rsid w:val="00FB609F"/>
    <w:rsid w:val="00FB66EE"/>
    <w:rsid w:val="00FB6ADA"/>
    <w:rsid w:val="00FB7146"/>
    <w:rsid w:val="00FC006D"/>
    <w:rsid w:val="00FC0FC7"/>
    <w:rsid w:val="00FC213A"/>
    <w:rsid w:val="00FC2E67"/>
    <w:rsid w:val="00FC2F71"/>
    <w:rsid w:val="00FC4897"/>
    <w:rsid w:val="00FC4D66"/>
    <w:rsid w:val="00FC5466"/>
    <w:rsid w:val="00FC5A4B"/>
    <w:rsid w:val="00FC65DC"/>
    <w:rsid w:val="00FC7200"/>
    <w:rsid w:val="00FD12CA"/>
    <w:rsid w:val="00FD1856"/>
    <w:rsid w:val="00FD1BCF"/>
    <w:rsid w:val="00FD1F4D"/>
    <w:rsid w:val="00FD2403"/>
    <w:rsid w:val="00FD2A7C"/>
    <w:rsid w:val="00FD4D8E"/>
    <w:rsid w:val="00FD5A7F"/>
    <w:rsid w:val="00FD5ABB"/>
    <w:rsid w:val="00FD5F78"/>
    <w:rsid w:val="00FD5FD6"/>
    <w:rsid w:val="00FD61A9"/>
    <w:rsid w:val="00FD63ED"/>
    <w:rsid w:val="00FD755D"/>
    <w:rsid w:val="00FD7E68"/>
    <w:rsid w:val="00FE1126"/>
    <w:rsid w:val="00FE3982"/>
    <w:rsid w:val="00FE3E88"/>
    <w:rsid w:val="00FE3F1B"/>
    <w:rsid w:val="00FE4E9C"/>
    <w:rsid w:val="00FE54B6"/>
    <w:rsid w:val="00FE69FA"/>
    <w:rsid w:val="00FE6BED"/>
    <w:rsid w:val="00FF0640"/>
    <w:rsid w:val="00FF1EEC"/>
    <w:rsid w:val="00FF2BAA"/>
    <w:rsid w:val="00FF3FB7"/>
    <w:rsid w:val="00FF417D"/>
    <w:rsid w:val="00FF58F1"/>
    <w:rsid w:val="00FF5987"/>
    <w:rsid w:val="00FF5B5D"/>
    <w:rsid w:val="00FF629D"/>
    <w:rsid w:val="00FF6437"/>
    <w:rsid w:val="00FF64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3C867"/>
  <w15:docId w15:val="{8E8A4E25-392C-4519-A9E2-94048293C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54C1"/>
  </w:style>
  <w:style w:type="paragraph" w:styleId="Heading1">
    <w:name w:val="heading 1"/>
    <w:basedOn w:val="Normal"/>
    <w:next w:val="Normal"/>
    <w:link w:val="Heading1Char"/>
    <w:uiPriority w:val="9"/>
    <w:qFormat/>
    <w:rsid w:val="006A7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673C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F432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C673CC"/>
    <w:rPr>
      <w:rFonts w:asciiTheme="majorHAnsi" w:eastAsiaTheme="majorEastAsia" w:hAnsiTheme="majorHAnsi" w:cstheme="majorBidi"/>
      <w:b/>
      <w:bCs/>
      <w:color w:val="4F81BD" w:themeColor="accent1"/>
      <w:sz w:val="26"/>
      <w:szCs w:val="26"/>
    </w:rPr>
  </w:style>
  <w:style w:type="character" w:customStyle="1" w:styleId="FootnoteTextChar">
    <w:name w:val="Footnote Text Char"/>
    <w:basedOn w:val="DefaultParagraphFont"/>
    <w:link w:val="FootnoteText"/>
    <w:uiPriority w:val="99"/>
    <w:rsid w:val="00C673CC"/>
    <w:rPr>
      <w:sz w:val="20"/>
      <w:szCs w:val="20"/>
    </w:rPr>
  </w:style>
  <w:style w:type="paragraph" w:styleId="FootnoteText">
    <w:name w:val="footnote text"/>
    <w:basedOn w:val="Normal"/>
    <w:link w:val="FootnoteTextChar"/>
    <w:uiPriority w:val="99"/>
    <w:unhideWhenUsed/>
    <w:rsid w:val="00C673CC"/>
    <w:pPr>
      <w:spacing w:after="0" w:line="240" w:lineRule="auto"/>
    </w:pPr>
    <w:rPr>
      <w:sz w:val="20"/>
      <w:szCs w:val="20"/>
    </w:rPr>
  </w:style>
  <w:style w:type="character" w:customStyle="1" w:styleId="HeaderChar">
    <w:name w:val="Header Char"/>
    <w:basedOn w:val="DefaultParagraphFont"/>
    <w:link w:val="Header"/>
    <w:uiPriority w:val="99"/>
    <w:rsid w:val="00C673CC"/>
  </w:style>
  <w:style w:type="paragraph" w:styleId="Header">
    <w:name w:val="header"/>
    <w:basedOn w:val="Normal"/>
    <w:link w:val="HeaderChar"/>
    <w:uiPriority w:val="99"/>
    <w:unhideWhenUsed/>
    <w:rsid w:val="00C673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73CC"/>
  </w:style>
  <w:style w:type="paragraph" w:styleId="Footer">
    <w:name w:val="footer"/>
    <w:basedOn w:val="Normal"/>
    <w:link w:val="FooterChar"/>
    <w:uiPriority w:val="99"/>
    <w:unhideWhenUsed/>
    <w:rsid w:val="00C673CC"/>
    <w:pPr>
      <w:tabs>
        <w:tab w:val="center" w:pos="4513"/>
        <w:tab w:val="right" w:pos="9026"/>
      </w:tabs>
      <w:spacing w:after="0" w:line="240" w:lineRule="auto"/>
    </w:pPr>
  </w:style>
  <w:style w:type="character" w:customStyle="1" w:styleId="BalloonTextChar">
    <w:name w:val="Balloon Text Char"/>
    <w:basedOn w:val="DefaultParagraphFont"/>
    <w:link w:val="BalloonText"/>
    <w:uiPriority w:val="99"/>
    <w:semiHidden/>
    <w:rsid w:val="00C673CC"/>
    <w:rPr>
      <w:rFonts w:ascii="Tahoma" w:hAnsi="Tahoma" w:cs="Tahoma"/>
      <w:sz w:val="16"/>
      <w:szCs w:val="16"/>
    </w:rPr>
  </w:style>
  <w:style w:type="paragraph" w:styleId="BalloonText">
    <w:name w:val="Balloon Text"/>
    <w:basedOn w:val="Normal"/>
    <w:link w:val="BalloonTextChar"/>
    <w:uiPriority w:val="99"/>
    <w:semiHidden/>
    <w:unhideWhenUsed/>
    <w:rsid w:val="00C673CC"/>
    <w:pPr>
      <w:spacing w:after="0" w:line="240" w:lineRule="auto"/>
    </w:pPr>
    <w:rPr>
      <w:rFonts w:ascii="Tahoma" w:hAnsi="Tahoma" w:cs="Tahoma"/>
      <w:sz w:val="16"/>
      <w:szCs w:val="16"/>
    </w:rPr>
  </w:style>
  <w:style w:type="character" w:styleId="FootnoteReference">
    <w:name w:val="footnote reference"/>
    <w:basedOn w:val="DefaultParagraphFont"/>
    <w:uiPriority w:val="99"/>
    <w:semiHidden/>
    <w:unhideWhenUsed/>
    <w:rsid w:val="00C673CC"/>
    <w:rPr>
      <w:vertAlign w:val="superscript"/>
    </w:rPr>
  </w:style>
  <w:style w:type="character" w:customStyle="1" w:styleId="bibitemspan">
    <w:name w:val="bibitemspan"/>
    <w:basedOn w:val="DefaultParagraphFont"/>
    <w:rsid w:val="00C673CC"/>
  </w:style>
  <w:style w:type="character" w:styleId="Emphasis">
    <w:name w:val="Emphasis"/>
    <w:basedOn w:val="DefaultParagraphFont"/>
    <w:uiPriority w:val="20"/>
    <w:qFormat/>
    <w:rsid w:val="00C673CC"/>
    <w:rPr>
      <w:i/>
      <w:iCs/>
    </w:rPr>
  </w:style>
  <w:style w:type="character" w:customStyle="1" w:styleId="searchterm">
    <w:name w:val="searchterm"/>
    <w:basedOn w:val="DefaultParagraphFont"/>
    <w:rsid w:val="00C673CC"/>
  </w:style>
  <w:style w:type="character" w:styleId="Hyperlink">
    <w:name w:val="Hyperlink"/>
    <w:basedOn w:val="DefaultParagraphFont"/>
    <w:uiPriority w:val="99"/>
    <w:unhideWhenUsed/>
    <w:rsid w:val="00D15593"/>
    <w:rPr>
      <w:color w:val="0000FF" w:themeColor="hyperlink"/>
      <w:u w:val="single"/>
    </w:rPr>
  </w:style>
  <w:style w:type="paragraph" w:styleId="ListParagraph">
    <w:name w:val="List Paragraph"/>
    <w:basedOn w:val="Normal"/>
    <w:uiPriority w:val="34"/>
    <w:qFormat/>
    <w:rsid w:val="00FC213A"/>
    <w:pPr>
      <w:ind w:left="720"/>
      <w:contextualSpacing/>
    </w:pPr>
  </w:style>
  <w:style w:type="paragraph" w:customStyle="1" w:styleId="ParaLevel1">
    <w:name w:val="ParaLevel1"/>
    <w:basedOn w:val="Normal"/>
    <w:rsid w:val="00F6678E"/>
    <w:pPr>
      <w:numPr>
        <w:numId w:val="2"/>
      </w:numPr>
      <w:suppressAutoHyphens/>
      <w:spacing w:before="240" w:after="240" w:line="240" w:lineRule="auto"/>
      <w:jc w:val="both"/>
      <w:outlineLvl w:val="0"/>
    </w:pPr>
    <w:rPr>
      <w:rFonts w:ascii="Times New Roman" w:eastAsia="Times New Roman" w:hAnsi="Times New Roman" w:cs="Times New Roman"/>
      <w:sz w:val="24"/>
      <w:szCs w:val="20"/>
    </w:rPr>
  </w:style>
  <w:style w:type="paragraph" w:customStyle="1" w:styleId="ParaLevel2">
    <w:name w:val="ParaLevel2"/>
    <w:basedOn w:val="Normal"/>
    <w:rsid w:val="00F6678E"/>
    <w:pPr>
      <w:numPr>
        <w:ilvl w:val="1"/>
        <w:numId w:val="2"/>
      </w:numPr>
      <w:suppressAutoHyphens/>
      <w:spacing w:before="240" w:after="240" w:line="240" w:lineRule="auto"/>
      <w:jc w:val="both"/>
      <w:outlineLvl w:val="1"/>
    </w:pPr>
    <w:rPr>
      <w:rFonts w:ascii="Times New Roman" w:eastAsia="Times New Roman" w:hAnsi="Times New Roman" w:cs="Times New Roman"/>
      <w:sz w:val="24"/>
      <w:szCs w:val="20"/>
    </w:rPr>
  </w:style>
  <w:style w:type="paragraph" w:customStyle="1" w:styleId="ParaLevel3">
    <w:name w:val="ParaLevel3"/>
    <w:basedOn w:val="Normal"/>
    <w:rsid w:val="00F6678E"/>
    <w:pPr>
      <w:numPr>
        <w:ilvl w:val="2"/>
        <w:numId w:val="2"/>
      </w:numPr>
      <w:suppressAutoHyphens/>
      <w:spacing w:before="240" w:after="240" w:line="240" w:lineRule="auto"/>
      <w:jc w:val="both"/>
      <w:outlineLvl w:val="2"/>
    </w:pPr>
    <w:rPr>
      <w:rFonts w:ascii="Times New Roman" w:eastAsia="Times New Roman" w:hAnsi="Times New Roman" w:cs="Times New Roman"/>
      <w:sz w:val="24"/>
      <w:szCs w:val="20"/>
    </w:rPr>
  </w:style>
  <w:style w:type="paragraph" w:customStyle="1" w:styleId="ParaLevel4">
    <w:name w:val="ParaLevel4"/>
    <w:basedOn w:val="Normal"/>
    <w:rsid w:val="00F6678E"/>
    <w:pPr>
      <w:numPr>
        <w:ilvl w:val="3"/>
        <w:numId w:val="2"/>
      </w:numPr>
      <w:tabs>
        <w:tab w:val="clear" w:pos="3207"/>
        <w:tab w:val="num" w:pos="2836"/>
      </w:tabs>
      <w:suppressAutoHyphens/>
      <w:spacing w:before="240" w:after="240" w:line="240" w:lineRule="auto"/>
      <w:jc w:val="both"/>
      <w:outlineLvl w:val="3"/>
    </w:pPr>
    <w:rPr>
      <w:rFonts w:ascii="Times New Roman" w:eastAsia="Times New Roman" w:hAnsi="Times New Roman" w:cs="Times New Roman"/>
      <w:sz w:val="24"/>
      <w:szCs w:val="20"/>
    </w:rPr>
  </w:style>
  <w:style w:type="paragraph" w:customStyle="1" w:styleId="ParaLevel5">
    <w:name w:val="ParaLevel5"/>
    <w:basedOn w:val="Normal"/>
    <w:rsid w:val="00F6678E"/>
    <w:pPr>
      <w:numPr>
        <w:ilvl w:val="4"/>
        <w:numId w:val="2"/>
      </w:numPr>
      <w:suppressAutoHyphens/>
      <w:spacing w:before="240" w:after="240" w:line="240" w:lineRule="auto"/>
      <w:jc w:val="both"/>
      <w:outlineLvl w:val="4"/>
    </w:pPr>
    <w:rPr>
      <w:rFonts w:ascii="Times New Roman" w:eastAsia="Times New Roman" w:hAnsi="Times New Roman" w:cs="Times New Roman"/>
      <w:sz w:val="24"/>
      <w:szCs w:val="20"/>
    </w:rPr>
  </w:style>
  <w:style w:type="paragraph" w:customStyle="1" w:styleId="ParaLevel6">
    <w:name w:val="ParaLevel6"/>
    <w:basedOn w:val="Normal"/>
    <w:rsid w:val="00F6678E"/>
    <w:pPr>
      <w:numPr>
        <w:ilvl w:val="5"/>
        <w:numId w:val="2"/>
      </w:numPr>
      <w:tabs>
        <w:tab w:val="clear" w:pos="4625"/>
        <w:tab w:val="num" w:pos="4254"/>
      </w:tabs>
      <w:suppressAutoHyphens/>
      <w:spacing w:before="240" w:after="240" w:line="240" w:lineRule="auto"/>
      <w:jc w:val="both"/>
      <w:outlineLvl w:val="5"/>
    </w:pPr>
    <w:rPr>
      <w:rFonts w:ascii="Times New Roman" w:eastAsia="Times New Roman" w:hAnsi="Times New Roman" w:cs="Times New Roman"/>
      <w:sz w:val="24"/>
      <w:szCs w:val="20"/>
    </w:rPr>
  </w:style>
  <w:style w:type="paragraph" w:customStyle="1" w:styleId="ParaLevel7">
    <w:name w:val="ParaLevel7"/>
    <w:basedOn w:val="Normal"/>
    <w:rsid w:val="00F6678E"/>
    <w:pPr>
      <w:numPr>
        <w:ilvl w:val="6"/>
        <w:numId w:val="2"/>
      </w:numPr>
      <w:suppressAutoHyphens/>
      <w:spacing w:before="240" w:after="240" w:line="240" w:lineRule="auto"/>
      <w:jc w:val="both"/>
      <w:outlineLvl w:val="6"/>
    </w:pPr>
    <w:rPr>
      <w:rFonts w:ascii="Times New Roman" w:eastAsia="Times New Roman" w:hAnsi="Times New Roman" w:cs="Times New Roman"/>
      <w:sz w:val="24"/>
      <w:szCs w:val="20"/>
    </w:rPr>
  </w:style>
  <w:style w:type="paragraph" w:customStyle="1" w:styleId="ParaLevel8">
    <w:name w:val="ParaLevel8"/>
    <w:basedOn w:val="Normal"/>
    <w:rsid w:val="00F6678E"/>
    <w:pPr>
      <w:numPr>
        <w:ilvl w:val="7"/>
        <w:numId w:val="2"/>
      </w:numPr>
      <w:tabs>
        <w:tab w:val="clear" w:pos="6043"/>
        <w:tab w:val="num" w:pos="5672"/>
      </w:tabs>
      <w:suppressAutoHyphens/>
      <w:spacing w:before="240" w:after="240" w:line="240" w:lineRule="auto"/>
      <w:jc w:val="both"/>
      <w:outlineLvl w:val="7"/>
    </w:pPr>
    <w:rPr>
      <w:rFonts w:ascii="Times New Roman" w:eastAsia="Times New Roman" w:hAnsi="Times New Roman" w:cs="Times New Roman"/>
      <w:sz w:val="24"/>
      <w:szCs w:val="20"/>
    </w:rPr>
  </w:style>
  <w:style w:type="paragraph" w:customStyle="1" w:styleId="ParaLevel9">
    <w:name w:val="ParaLevel9"/>
    <w:basedOn w:val="Normal"/>
    <w:rsid w:val="00F6678E"/>
    <w:pPr>
      <w:numPr>
        <w:ilvl w:val="8"/>
        <w:numId w:val="2"/>
      </w:numPr>
      <w:suppressAutoHyphens/>
      <w:spacing w:before="240" w:after="240" w:line="240" w:lineRule="auto"/>
      <w:jc w:val="both"/>
      <w:outlineLvl w:val="8"/>
    </w:pPr>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6A7698"/>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A77DF7"/>
    <w:rPr>
      <w:color w:val="800080" w:themeColor="followedHyperlink"/>
      <w:u w:val="single"/>
    </w:rPr>
  </w:style>
  <w:style w:type="character" w:customStyle="1" w:styleId="Heading3Char">
    <w:name w:val="Heading 3 Char"/>
    <w:basedOn w:val="DefaultParagraphFont"/>
    <w:link w:val="Heading3"/>
    <w:uiPriority w:val="9"/>
    <w:semiHidden/>
    <w:rsid w:val="003F4322"/>
    <w:rPr>
      <w:rFonts w:asciiTheme="majorHAnsi" w:eastAsiaTheme="majorEastAsia" w:hAnsiTheme="majorHAnsi" w:cstheme="majorBidi"/>
      <w:color w:val="243F60" w:themeColor="accent1" w:themeShade="7F"/>
      <w:sz w:val="24"/>
      <w:szCs w:val="24"/>
    </w:rPr>
  </w:style>
  <w:style w:type="paragraph" w:customStyle="1" w:styleId="FootnoteText1">
    <w:name w:val="Footnote Text1"/>
    <w:basedOn w:val="Normal"/>
    <w:next w:val="FootnoteText"/>
    <w:uiPriority w:val="99"/>
    <w:unhideWhenUsed/>
    <w:rsid w:val="00DF27F6"/>
    <w:pPr>
      <w:spacing w:after="0" w:line="240" w:lineRule="auto"/>
    </w:pPr>
    <w:rPr>
      <w:rFonts w:eastAsia="Calibri"/>
      <w:sz w:val="20"/>
      <w:szCs w:val="20"/>
    </w:rPr>
  </w:style>
  <w:style w:type="character" w:styleId="CommentReference">
    <w:name w:val="annotation reference"/>
    <w:basedOn w:val="DefaultParagraphFont"/>
    <w:uiPriority w:val="99"/>
    <w:semiHidden/>
    <w:unhideWhenUsed/>
    <w:rsid w:val="00A23777"/>
    <w:rPr>
      <w:sz w:val="16"/>
      <w:szCs w:val="16"/>
    </w:rPr>
  </w:style>
  <w:style w:type="paragraph" w:styleId="CommentText">
    <w:name w:val="annotation text"/>
    <w:basedOn w:val="Normal"/>
    <w:link w:val="CommentTextChar"/>
    <w:uiPriority w:val="99"/>
    <w:semiHidden/>
    <w:unhideWhenUsed/>
    <w:rsid w:val="00A23777"/>
    <w:pPr>
      <w:spacing w:line="240" w:lineRule="auto"/>
    </w:pPr>
    <w:rPr>
      <w:sz w:val="20"/>
      <w:szCs w:val="20"/>
    </w:rPr>
  </w:style>
  <w:style w:type="character" w:customStyle="1" w:styleId="CommentTextChar">
    <w:name w:val="Comment Text Char"/>
    <w:basedOn w:val="DefaultParagraphFont"/>
    <w:link w:val="CommentText"/>
    <w:uiPriority w:val="99"/>
    <w:semiHidden/>
    <w:rsid w:val="00A23777"/>
    <w:rPr>
      <w:sz w:val="20"/>
      <w:szCs w:val="20"/>
    </w:rPr>
  </w:style>
  <w:style w:type="paragraph" w:styleId="CommentSubject">
    <w:name w:val="annotation subject"/>
    <w:basedOn w:val="CommentText"/>
    <w:next w:val="CommentText"/>
    <w:link w:val="CommentSubjectChar"/>
    <w:uiPriority w:val="99"/>
    <w:semiHidden/>
    <w:unhideWhenUsed/>
    <w:rsid w:val="00A23777"/>
    <w:rPr>
      <w:b/>
      <w:bCs/>
    </w:rPr>
  </w:style>
  <w:style w:type="character" w:customStyle="1" w:styleId="CommentSubjectChar">
    <w:name w:val="Comment Subject Char"/>
    <w:basedOn w:val="CommentTextChar"/>
    <w:link w:val="CommentSubject"/>
    <w:uiPriority w:val="99"/>
    <w:semiHidden/>
    <w:rsid w:val="00A237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760477">
      <w:bodyDiv w:val="1"/>
      <w:marLeft w:val="0"/>
      <w:marRight w:val="0"/>
      <w:marTop w:val="0"/>
      <w:marBottom w:val="0"/>
      <w:divBdr>
        <w:top w:val="none" w:sz="0" w:space="0" w:color="auto"/>
        <w:left w:val="none" w:sz="0" w:space="0" w:color="auto"/>
        <w:bottom w:val="none" w:sz="0" w:space="0" w:color="auto"/>
        <w:right w:val="none" w:sz="0" w:space="0" w:color="auto"/>
      </w:divBdr>
    </w:div>
    <w:div w:id="605188776">
      <w:bodyDiv w:val="1"/>
      <w:marLeft w:val="0"/>
      <w:marRight w:val="0"/>
      <w:marTop w:val="0"/>
      <w:marBottom w:val="0"/>
      <w:divBdr>
        <w:top w:val="none" w:sz="0" w:space="0" w:color="auto"/>
        <w:left w:val="none" w:sz="0" w:space="0" w:color="auto"/>
        <w:bottom w:val="none" w:sz="0" w:space="0" w:color="auto"/>
        <w:right w:val="none" w:sz="0" w:space="0" w:color="auto"/>
      </w:divBdr>
    </w:div>
    <w:div w:id="645931891">
      <w:bodyDiv w:val="1"/>
      <w:marLeft w:val="0"/>
      <w:marRight w:val="0"/>
      <w:marTop w:val="0"/>
      <w:marBottom w:val="0"/>
      <w:divBdr>
        <w:top w:val="none" w:sz="0" w:space="0" w:color="auto"/>
        <w:left w:val="none" w:sz="0" w:space="0" w:color="auto"/>
        <w:bottom w:val="none" w:sz="0" w:space="0" w:color="auto"/>
        <w:right w:val="none" w:sz="0" w:space="0" w:color="auto"/>
      </w:divBdr>
    </w:div>
    <w:div w:id="730467734">
      <w:bodyDiv w:val="1"/>
      <w:marLeft w:val="0"/>
      <w:marRight w:val="0"/>
      <w:marTop w:val="0"/>
      <w:marBottom w:val="0"/>
      <w:divBdr>
        <w:top w:val="none" w:sz="0" w:space="0" w:color="auto"/>
        <w:left w:val="none" w:sz="0" w:space="0" w:color="auto"/>
        <w:bottom w:val="none" w:sz="0" w:space="0" w:color="auto"/>
        <w:right w:val="none" w:sz="0" w:space="0" w:color="auto"/>
      </w:divBdr>
    </w:div>
    <w:div w:id="863205560">
      <w:bodyDiv w:val="1"/>
      <w:marLeft w:val="0"/>
      <w:marRight w:val="0"/>
      <w:marTop w:val="0"/>
      <w:marBottom w:val="0"/>
      <w:divBdr>
        <w:top w:val="none" w:sz="0" w:space="0" w:color="auto"/>
        <w:left w:val="none" w:sz="0" w:space="0" w:color="auto"/>
        <w:bottom w:val="none" w:sz="0" w:space="0" w:color="auto"/>
        <w:right w:val="none" w:sz="0" w:space="0" w:color="auto"/>
      </w:divBdr>
    </w:div>
    <w:div w:id="1013532370">
      <w:bodyDiv w:val="1"/>
      <w:marLeft w:val="0"/>
      <w:marRight w:val="0"/>
      <w:marTop w:val="0"/>
      <w:marBottom w:val="0"/>
      <w:divBdr>
        <w:top w:val="none" w:sz="0" w:space="0" w:color="auto"/>
        <w:left w:val="none" w:sz="0" w:space="0" w:color="auto"/>
        <w:bottom w:val="none" w:sz="0" w:space="0" w:color="auto"/>
        <w:right w:val="none" w:sz="0" w:space="0" w:color="auto"/>
      </w:divBdr>
    </w:div>
    <w:div w:id="1112438760">
      <w:bodyDiv w:val="1"/>
      <w:marLeft w:val="0"/>
      <w:marRight w:val="0"/>
      <w:marTop w:val="0"/>
      <w:marBottom w:val="0"/>
      <w:divBdr>
        <w:top w:val="none" w:sz="0" w:space="0" w:color="auto"/>
        <w:left w:val="none" w:sz="0" w:space="0" w:color="auto"/>
        <w:bottom w:val="none" w:sz="0" w:space="0" w:color="auto"/>
        <w:right w:val="none" w:sz="0" w:space="0" w:color="auto"/>
      </w:divBdr>
    </w:div>
    <w:div w:id="1206915666">
      <w:bodyDiv w:val="1"/>
      <w:marLeft w:val="0"/>
      <w:marRight w:val="0"/>
      <w:marTop w:val="0"/>
      <w:marBottom w:val="0"/>
      <w:divBdr>
        <w:top w:val="none" w:sz="0" w:space="0" w:color="auto"/>
        <w:left w:val="none" w:sz="0" w:space="0" w:color="auto"/>
        <w:bottom w:val="none" w:sz="0" w:space="0" w:color="auto"/>
        <w:right w:val="none" w:sz="0" w:space="0" w:color="auto"/>
      </w:divBdr>
    </w:div>
    <w:div w:id="1305281854">
      <w:bodyDiv w:val="1"/>
      <w:marLeft w:val="0"/>
      <w:marRight w:val="0"/>
      <w:marTop w:val="0"/>
      <w:marBottom w:val="0"/>
      <w:divBdr>
        <w:top w:val="none" w:sz="0" w:space="0" w:color="auto"/>
        <w:left w:val="none" w:sz="0" w:space="0" w:color="auto"/>
        <w:bottom w:val="none" w:sz="0" w:space="0" w:color="auto"/>
        <w:right w:val="none" w:sz="0" w:space="0" w:color="auto"/>
      </w:divBdr>
    </w:div>
    <w:div w:id="1314527865">
      <w:bodyDiv w:val="1"/>
      <w:marLeft w:val="0"/>
      <w:marRight w:val="0"/>
      <w:marTop w:val="0"/>
      <w:marBottom w:val="0"/>
      <w:divBdr>
        <w:top w:val="none" w:sz="0" w:space="0" w:color="auto"/>
        <w:left w:val="none" w:sz="0" w:space="0" w:color="auto"/>
        <w:bottom w:val="none" w:sz="0" w:space="0" w:color="auto"/>
        <w:right w:val="none" w:sz="0" w:space="0" w:color="auto"/>
      </w:divBdr>
    </w:div>
    <w:div w:id="1346055282">
      <w:bodyDiv w:val="1"/>
      <w:marLeft w:val="0"/>
      <w:marRight w:val="0"/>
      <w:marTop w:val="0"/>
      <w:marBottom w:val="0"/>
      <w:divBdr>
        <w:top w:val="none" w:sz="0" w:space="0" w:color="auto"/>
        <w:left w:val="none" w:sz="0" w:space="0" w:color="auto"/>
        <w:bottom w:val="none" w:sz="0" w:space="0" w:color="auto"/>
        <w:right w:val="none" w:sz="0" w:space="0" w:color="auto"/>
      </w:divBdr>
    </w:div>
    <w:div w:id="1382749024">
      <w:bodyDiv w:val="1"/>
      <w:marLeft w:val="0"/>
      <w:marRight w:val="0"/>
      <w:marTop w:val="0"/>
      <w:marBottom w:val="0"/>
      <w:divBdr>
        <w:top w:val="none" w:sz="0" w:space="0" w:color="auto"/>
        <w:left w:val="none" w:sz="0" w:space="0" w:color="auto"/>
        <w:bottom w:val="none" w:sz="0" w:space="0" w:color="auto"/>
        <w:right w:val="none" w:sz="0" w:space="0" w:color="auto"/>
      </w:divBdr>
    </w:div>
    <w:div w:id="1397625090">
      <w:bodyDiv w:val="1"/>
      <w:marLeft w:val="0"/>
      <w:marRight w:val="0"/>
      <w:marTop w:val="0"/>
      <w:marBottom w:val="0"/>
      <w:divBdr>
        <w:top w:val="none" w:sz="0" w:space="0" w:color="auto"/>
        <w:left w:val="none" w:sz="0" w:space="0" w:color="auto"/>
        <w:bottom w:val="none" w:sz="0" w:space="0" w:color="auto"/>
        <w:right w:val="none" w:sz="0" w:space="0" w:color="auto"/>
      </w:divBdr>
    </w:div>
    <w:div w:id="1691103806">
      <w:bodyDiv w:val="1"/>
      <w:marLeft w:val="0"/>
      <w:marRight w:val="0"/>
      <w:marTop w:val="0"/>
      <w:marBottom w:val="0"/>
      <w:divBdr>
        <w:top w:val="none" w:sz="0" w:space="0" w:color="auto"/>
        <w:left w:val="none" w:sz="0" w:space="0" w:color="auto"/>
        <w:bottom w:val="none" w:sz="0" w:space="0" w:color="auto"/>
        <w:right w:val="none" w:sz="0" w:space="0" w:color="auto"/>
      </w:divBdr>
    </w:div>
    <w:div w:id="1878279827">
      <w:bodyDiv w:val="1"/>
      <w:marLeft w:val="0"/>
      <w:marRight w:val="0"/>
      <w:marTop w:val="0"/>
      <w:marBottom w:val="0"/>
      <w:divBdr>
        <w:top w:val="none" w:sz="0" w:space="0" w:color="auto"/>
        <w:left w:val="none" w:sz="0" w:space="0" w:color="auto"/>
        <w:bottom w:val="none" w:sz="0" w:space="0" w:color="auto"/>
        <w:right w:val="none" w:sz="0" w:space="0" w:color="auto"/>
      </w:divBdr>
    </w:div>
    <w:div w:id="192787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ademic.oup.com/medlaw/advance-article/doi/10.1093/medlaw/fwy016/4976466"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05A10-05EA-40BB-9C1C-7FADEB65C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10318</Words>
  <Characters>58818</Characters>
  <Application>Microsoft Office Word</Application>
  <DocSecurity>0</DocSecurity>
  <Lines>490</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Skowron</dc:creator>
  <cp:keywords/>
  <dc:description/>
  <cp:lastModifiedBy>Paul Skowron</cp:lastModifiedBy>
  <cp:revision>2</cp:revision>
  <dcterms:created xsi:type="dcterms:W3CDTF">2018-05-01T10:06:00Z</dcterms:created>
  <dcterms:modified xsi:type="dcterms:W3CDTF">2018-05-01T10:06:00Z</dcterms:modified>
</cp:coreProperties>
</file>