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EC6F8" w14:textId="77777777" w:rsidR="00561C1F" w:rsidRDefault="00561C1F" w:rsidP="00561C1F">
      <w:pPr>
        <w:spacing w:line="48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Following the patient’s orders?</w:t>
      </w:r>
    </w:p>
    <w:p w14:paraId="1D03D78F" w14:textId="77777777" w:rsidR="00561C1F" w:rsidRDefault="00561C1F" w:rsidP="00561C1F">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Recommending vs. offering choice in neurology outpatient consultations</w:t>
      </w:r>
    </w:p>
    <w:p w14:paraId="37715D05" w14:textId="77777777" w:rsidR="00561C1F" w:rsidRPr="00D96E41" w:rsidRDefault="00561C1F" w:rsidP="00561C1F">
      <w:pPr>
        <w:spacing w:line="480" w:lineRule="auto"/>
        <w:jc w:val="center"/>
        <w:rPr>
          <w:rFonts w:ascii="Times New Roman" w:eastAsia="Times New Roman" w:hAnsi="Times New Roman" w:cs="Times New Roman"/>
        </w:rPr>
      </w:pPr>
      <w:r w:rsidRPr="00D96E41">
        <w:rPr>
          <w:rFonts w:ascii="Times New Roman" w:eastAsia="Times New Roman" w:hAnsi="Times New Roman" w:cs="Times New Roman"/>
        </w:rPr>
        <w:t xml:space="preserve">Paul </w:t>
      </w:r>
      <w:proofErr w:type="spellStart"/>
      <w:r w:rsidRPr="00D96E41">
        <w:rPr>
          <w:rFonts w:ascii="Times New Roman" w:eastAsia="Times New Roman" w:hAnsi="Times New Roman" w:cs="Times New Roman"/>
        </w:rPr>
        <w:t>Chappell</w:t>
      </w:r>
      <w:r w:rsidRPr="00D96E41">
        <w:rPr>
          <w:rFonts w:ascii="Times New Roman" w:eastAsia="Times New Roman" w:hAnsi="Times New Roman" w:cs="Times New Roman"/>
          <w:vertAlign w:val="superscript"/>
        </w:rPr>
        <w:t>a</w:t>
      </w:r>
      <w:proofErr w:type="spellEnd"/>
      <w:r w:rsidRPr="00D96E41">
        <w:rPr>
          <w:rFonts w:ascii="Times New Roman" w:eastAsia="Times New Roman" w:hAnsi="Times New Roman" w:cs="Times New Roman"/>
        </w:rPr>
        <w:t xml:space="preserve">, </w:t>
      </w:r>
      <w:proofErr w:type="spellStart"/>
      <w:r w:rsidRPr="00D96E41">
        <w:rPr>
          <w:rFonts w:ascii="Times New Roman" w:eastAsia="Times New Roman" w:hAnsi="Times New Roman" w:cs="Times New Roman"/>
        </w:rPr>
        <w:t>Merran</w:t>
      </w:r>
      <w:proofErr w:type="spellEnd"/>
      <w:r w:rsidRPr="00D96E41">
        <w:rPr>
          <w:rFonts w:ascii="Times New Roman" w:eastAsia="Times New Roman" w:hAnsi="Times New Roman" w:cs="Times New Roman"/>
        </w:rPr>
        <w:t xml:space="preserve"> </w:t>
      </w:r>
      <w:proofErr w:type="spellStart"/>
      <w:r w:rsidRPr="00D96E41">
        <w:rPr>
          <w:rFonts w:ascii="Times New Roman" w:eastAsia="Times New Roman" w:hAnsi="Times New Roman" w:cs="Times New Roman"/>
        </w:rPr>
        <w:t>Toerien</w:t>
      </w:r>
      <w:r w:rsidRPr="00D96E41">
        <w:rPr>
          <w:rFonts w:ascii="Times New Roman" w:eastAsia="Times New Roman" w:hAnsi="Times New Roman" w:cs="Times New Roman"/>
          <w:vertAlign w:val="superscript"/>
        </w:rPr>
        <w:t>a</w:t>
      </w:r>
      <w:proofErr w:type="spellEnd"/>
      <w:r w:rsidRPr="00D96E41">
        <w:rPr>
          <w:rFonts w:ascii="Times New Roman" w:eastAsia="Times New Roman" w:hAnsi="Times New Roman" w:cs="Times New Roman"/>
        </w:rPr>
        <w:t xml:space="preserve">, Clare </w:t>
      </w:r>
      <w:proofErr w:type="spellStart"/>
      <w:r w:rsidRPr="00D96E41">
        <w:rPr>
          <w:rFonts w:ascii="Times New Roman" w:eastAsia="Times New Roman" w:hAnsi="Times New Roman" w:cs="Times New Roman"/>
        </w:rPr>
        <w:t>Jackson</w:t>
      </w:r>
      <w:r w:rsidRPr="00D96E41">
        <w:rPr>
          <w:rFonts w:ascii="Times New Roman" w:eastAsia="Times New Roman" w:hAnsi="Times New Roman" w:cs="Times New Roman"/>
          <w:vertAlign w:val="superscript"/>
        </w:rPr>
        <w:t>a</w:t>
      </w:r>
      <w:proofErr w:type="spellEnd"/>
      <w:r w:rsidRPr="00D96E41">
        <w:rPr>
          <w:rFonts w:ascii="Times New Roman" w:eastAsia="Times New Roman" w:hAnsi="Times New Roman" w:cs="Times New Roman"/>
        </w:rPr>
        <w:t xml:space="preserve">, and Markus </w:t>
      </w:r>
      <w:proofErr w:type="spellStart"/>
      <w:r w:rsidRPr="00D96E41">
        <w:rPr>
          <w:rFonts w:ascii="Times New Roman" w:eastAsia="Times New Roman" w:hAnsi="Times New Roman" w:cs="Times New Roman"/>
        </w:rPr>
        <w:t>Reuber</w:t>
      </w:r>
      <w:r w:rsidRPr="00D96E41">
        <w:rPr>
          <w:rFonts w:ascii="Times New Roman" w:eastAsia="Times New Roman" w:hAnsi="Times New Roman" w:cs="Times New Roman"/>
          <w:vertAlign w:val="superscript"/>
        </w:rPr>
        <w:t>b</w:t>
      </w:r>
      <w:proofErr w:type="spellEnd"/>
      <w:r>
        <w:rPr>
          <w:rFonts w:ascii="Times New Roman" w:eastAsia="Times New Roman" w:hAnsi="Times New Roman" w:cs="Times New Roman"/>
          <w:vertAlign w:val="superscript"/>
        </w:rPr>
        <w:br/>
      </w:r>
    </w:p>
    <w:p w14:paraId="130A5B04" w14:textId="77777777" w:rsidR="00561C1F" w:rsidRDefault="00561C1F" w:rsidP="00561C1F">
      <w:pPr>
        <w:spacing w:line="480" w:lineRule="auto"/>
        <w:rPr>
          <w:rFonts w:ascii="Times New Roman" w:eastAsia="Times New Roman" w:hAnsi="Times New Roman" w:cs="Times New Roman"/>
        </w:rPr>
      </w:pPr>
      <w:r w:rsidRPr="00D96E41">
        <w:rPr>
          <w:rFonts w:ascii="Times New Roman" w:eastAsia="Times New Roman" w:hAnsi="Times New Roman" w:cs="Times New Roman"/>
          <w:vertAlign w:val="superscript"/>
        </w:rPr>
        <w:t>a</w:t>
      </w:r>
      <w:r w:rsidRPr="00D96E41">
        <w:rPr>
          <w:rFonts w:ascii="Times New Roman" w:eastAsia="Times New Roman" w:hAnsi="Times New Roman" w:cs="Times New Roman"/>
        </w:rPr>
        <w:t xml:space="preserve"> Department of Sociology, University of York, </w:t>
      </w:r>
      <w:proofErr w:type="spellStart"/>
      <w:r w:rsidRPr="00D96E41">
        <w:rPr>
          <w:rFonts w:ascii="Times New Roman" w:eastAsia="Times New Roman" w:hAnsi="Times New Roman" w:cs="Times New Roman"/>
        </w:rPr>
        <w:t>Heslington</w:t>
      </w:r>
      <w:proofErr w:type="spellEnd"/>
      <w:r w:rsidRPr="00D96E41">
        <w:rPr>
          <w:rFonts w:ascii="Times New Roman" w:eastAsia="Times New Roman" w:hAnsi="Times New Roman" w:cs="Times New Roman"/>
        </w:rPr>
        <w:t>, York, YO10 5DD, UK</w:t>
      </w:r>
    </w:p>
    <w:p w14:paraId="0F5265E6" w14:textId="77777777" w:rsidR="00561C1F" w:rsidRDefault="00561C1F" w:rsidP="00561C1F">
      <w:pPr>
        <w:spacing w:line="480" w:lineRule="auto"/>
        <w:rPr>
          <w:rFonts w:ascii="Times New Roman" w:eastAsia="Times New Roman" w:hAnsi="Times New Roman" w:cs="Times New Roman"/>
        </w:rPr>
      </w:pPr>
      <w:r>
        <w:rPr>
          <w:rFonts w:ascii="Times New Roman" w:eastAsia="Times New Roman" w:hAnsi="Times New Roman" w:cs="Times New Roman"/>
        </w:rPr>
        <w:t xml:space="preserve">Email addresses: </w:t>
      </w:r>
    </w:p>
    <w:p w14:paraId="671BD9EE" w14:textId="77777777" w:rsidR="00561C1F" w:rsidRPr="002059FD" w:rsidRDefault="00561C1F" w:rsidP="00561C1F">
      <w:pPr>
        <w:spacing w:line="480" w:lineRule="auto"/>
        <w:rPr>
          <w:rFonts w:ascii="Times New Roman" w:eastAsia="Times New Roman" w:hAnsi="Times New Roman" w:cs="Times New Roman"/>
          <w:color w:val="000000" w:themeColor="text1"/>
        </w:rPr>
      </w:pPr>
      <w:r w:rsidRPr="002059FD">
        <w:rPr>
          <w:rFonts w:ascii="Times New Roman" w:eastAsia="Times New Roman" w:hAnsi="Times New Roman" w:cs="Times New Roman"/>
          <w:color w:val="000000" w:themeColor="text1"/>
        </w:rPr>
        <w:t>paulchappellmail@gmail.com</w:t>
      </w:r>
    </w:p>
    <w:p w14:paraId="32847433" w14:textId="77777777" w:rsidR="00561C1F" w:rsidRPr="00241D59" w:rsidRDefault="00BF4292" w:rsidP="00561C1F">
      <w:pPr>
        <w:spacing w:line="480" w:lineRule="auto"/>
        <w:rPr>
          <w:rFonts w:ascii="Times New Roman" w:eastAsia="Times New Roman" w:hAnsi="Times New Roman" w:cs="Times New Roman"/>
          <w:color w:val="000000" w:themeColor="text1"/>
        </w:rPr>
      </w:pPr>
      <w:hyperlink r:id="rId8" w:history="1">
        <w:r w:rsidR="00561C1F" w:rsidRPr="00241D59">
          <w:rPr>
            <w:rStyle w:val="Hyperlink"/>
            <w:rFonts w:ascii="Times New Roman" w:eastAsia="Times New Roman" w:hAnsi="Times New Roman" w:cs="Times New Roman"/>
            <w:color w:val="000000" w:themeColor="text1"/>
          </w:rPr>
          <w:t>merran.toerien@york.ac.uk</w:t>
        </w:r>
      </w:hyperlink>
    </w:p>
    <w:p w14:paraId="1E6AA238" w14:textId="77777777" w:rsidR="00561C1F" w:rsidRPr="00D96E41" w:rsidRDefault="00BF4292" w:rsidP="00561C1F">
      <w:pPr>
        <w:spacing w:line="480" w:lineRule="auto"/>
        <w:rPr>
          <w:rFonts w:ascii="Times New Roman" w:eastAsia="Times New Roman" w:hAnsi="Times New Roman" w:cs="Times New Roman"/>
        </w:rPr>
      </w:pPr>
      <w:hyperlink r:id="rId9" w:history="1">
        <w:r w:rsidR="00561C1F" w:rsidRPr="00B60DE3">
          <w:rPr>
            <w:rStyle w:val="Hyperlink"/>
            <w:rFonts w:ascii="Times New Roman" w:eastAsia="Times New Roman" w:hAnsi="Times New Roman" w:cs="Times New Roman"/>
            <w:color w:val="000000" w:themeColor="text1"/>
          </w:rPr>
          <w:t>clare.jackson@york.ac.uk</w:t>
        </w:r>
      </w:hyperlink>
      <w:r w:rsidR="00561C1F" w:rsidRPr="00B60DE3">
        <w:rPr>
          <w:rFonts w:ascii="Times New Roman" w:eastAsia="Times New Roman" w:hAnsi="Times New Roman" w:cs="Times New Roman"/>
          <w:color w:val="000000" w:themeColor="text1"/>
        </w:rPr>
        <w:br/>
      </w:r>
      <w:r w:rsidR="00561C1F" w:rsidRPr="00D96E41">
        <w:rPr>
          <w:rFonts w:ascii="Times New Roman" w:eastAsia="Times New Roman" w:hAnsi="Times New Roman" w:cs="Times New Roman"/>
          <w:vertAlign w:val="superscript"/>
        </w:rPr>
        <w:t>b</w:t>
      </w:r>
      <w:r w:rsidR="00561C1F" w:rsidRPr="00D96E41">
        <w:rPr>
          <w:rFonts w:ascii="Times New Roman" w:hAnsi="Times New Roman"/>
        </w:rPr>
        <w:t xml:space="preserve"> </w:t>
      </w:r>
      <w:r w:rsidR="00561C1F" w:rsidRPr="00D96E41">
        <w:rPr>
          <w:rFonts w:ascii="Times New Roman" w:eastAsia="Times New Roman" w:hAnsi="Times New Roman" w:cs="Times New Roman"/>
        </w:rPr>
        <w:t>Academic Neurology Unit, University of Sheffield</w:t>
      </w:r>
      <w:r w:rsidR="00561C1F">
        <w:rPr>
          <w:rFonts w:ascii="Times New Roman" w:eastAsia="Times New Roman" w:hAnsi="Times New Roman" w:cs="Times New Roman"/>
        </w:rPr>
        <w:t xml:space="preserve">, </w:t>
      </w:r>
      <w:r w:rsidR="00561C1F" w:rsidRPr="00D96E41">
        <w:rPr>
          <w:rFonts w:ascii="Times New Roman" w:eastAsia="Times New Roman" w:hAnsi="Times New Roman" w:cs="Times New Roman"/>
        </w:rPr>
        <w:t xml:space="preserve">Royal </w:t>
      </w:r>
      <w:proofErr w:type="spellStart"/>
      <w:r w:rsidR="00561C1F" w:rsidRPr="00D96E41">
        <w:rPr>
          <w:rFonts w:ascii="Times New Roman" w:eastAsia="Times New Roman" w:hAnsi="Times New Roman" w:cs="Times New Roman"/>
        </w:rPr>
        <w:t>Hallamshire</w:t>
      </w:r>
      <w:proofErr w:type="spellEnd"/>
      <w:r w:rsidR="00561C1F" w:rsidRPr="00D96E41">
        <w:rPr>
          <w:rFonts w:ascii="Times New Roman" w:eastAsia="Times New Roman" w:hAnsi="Times New Roman" w:cs="Times New Roman"/>
        </w:rPr>
        <w:t xml:space="preserve"> Hospital</w:t>
      </w:r>
      <w:r w:rsidR="00561C1F">
        <w:rPr>
          <w:rFonts w:ascii="Times New Roman" w:eastAsia="Times New Roman" w:hAnsi="Times New Roman" w:cs="Times New Roman"/>
        </w:rPr>
        <w:t>,</w:t>
      </w:r>
    </w:p>
    <w:p w14:paraId="7BDE0213" w14:textId="77777777" w:rsidR="00561C1F" w:rsidRPr="00D96E41" w:rsidRDefault="00561C1F" w:rsidP="00561C1F">
      <w:pPr>
        <w:spacing w:line="480" w:lineRule="auto"/>
        <w:rPr>
          <w:rFonts w:ascii="Times New Roman" w:eastAsia="Times New Roman" w:hAnsi="Times New Roman" w:cs="Times New Roman"/>
        </w:rPr>
      </w:pPr>
      <w:proofErr w:type="spellStart"/>
      <w:r w:rsidRPr="00D96E41">
        <w:rPr>
          <w:rFonts w:ascii="Times New Roman" w:eastAsia="Times New Roman" w:hAnsi="Times New Roman" w:cs="Times New Roman"/>
        </w:rPr>
        <w:t>G</w:t>
      </w:r>
      <w:r>
        <w:rPr>
          <w:rFonts w:ascii="Times New Roman" w:eastAsia="Times New Roman" w:hAnsi="Times New Roman" w:cs="Times New Roman"/>
        </w:rPr>
        <w:t>lossop</w:t>
      </w:r>
      <w:proofErr w:type="spellEnd"/>
      <w:r>
        <w:rPr>
          <w:rFonts w:ascii="Times New Roman" w:eastAsia="Times New Roman" w:hAnsi="Times New Roman" w:cs="Times New Roman"/>
        </w:rPr>
        <w:t xml:space="preserve"> Road, Sheffield, S10 2JF, UK</w:t>
      </w:r>
    </w:p>
    <w:p w14:paraId="0F029AE7" w14:textId="77777777" w:rsidR="00561C1F" w:rsidRDefault="00561C1F" w:rsidP="00561C1F">
      <w:pPr>
        <w:spacing w:line="480" w:lineRule="auto"/>
        <w:rPr>
          <w:rFonts w:ascii="Times New Roman" w:eastAsia="Times New Roman" w:hAnsi="Times New Roman" w:cs="Times New Roman"/>
        </w:rPr>
      </w:pPr>
      <w:r>
        <w:rPr>
          <w:rFonts w:ascii="Times New Roman" w:eastAsia="Times New Roman" w:hAnsi="Times New Roman" w:cs="Times New Roman"/>
        </w:rPr>
        <w:t xml:space="preserve">Email: </w:t>
      </w:r>
      <w:hyperlink r:id="rId10" w:history="1">
        <w:r w:rsidRPr="0017600C">
          <w:rPr>
            <w:rStyle w:val="Hyperlink"/>
            <w:rFonts w:ascii="Times New Roman" w:eastAsia="Times New Roman" w:hAnsi="Times New Roman" w:cs="Times New Roman"/>
            <w:color w:val="000000" w:themeColor="text1"/>
          </w:rPr>
          <w:t>markus.reuber@sth.nhs.uk</w:t>
        </w:r>
      </w:hyperlink>
    </w:p>
    <w:p w14:paraId="3C5D3E99" w14:textId="77777777" w:rsidR="0012244C" w:rsidRDefault="0012244C">
      <w:pPr>
        <w:rPr>
          <w:rFonts w:ascii="Times New Roman" w:eastAsia="Times New Roman" w:hAnsi="Times New Roman" w:cs="Times New Roman"/>
          <w:b/>
        </w:rPr>
      </w:pPr>
    </w:p>
    <w:p w14:paraId="4B4EBABD" w14:textId="75B1B64E" w:rsidR="00561C1F" w:rsidRDefault="00561C1F">
      <w:pPr>
        <w:rPr>
          <w:rFonts w:ascii="Times New Roman" w:eastAsia="Times New Roman" w:hAnsi="Times New Roman" w:cs="Times New Roman"/>
          <w:b/>
        </w:rPr>
      </w:pPr>
      <w:r>
        <w:rPr>
          <w:rFonts w:ascii="Times New Roman" w:eastAsia="Times New Roman" w:hAnsi="Times New Roman" w:cs="Times New Roman"/>
          <w:b/>
        </w:rPr>
        <w:br w:type="page"/>
      </w:r>
    </w:p>
    <w:p w14:paraId="1A37E093" w14:textId="77777777" w:rsidR="00561C1F" w:rsidRDefault="00561C1F" w:rsidP="001D65BA">
      <w:pPr>
        <w:shd w:val="clear" w:color="auto" w:fill="FFFFFF"/>
        <w:spacing w:beforeAutospacing="1" w:afterAutospacing="1" w:line="480" w:lineRule="auto"/>
        <w:textAlignment w:val="baseline"/>
        <w:rPr>
          <w:rFonts w:ascii="Times New Roman" w:eastAsia="Times New Roman" w:hAnsi="Times New Roman" w:cs="Times New Roman"/>
          <w:b/>
        </w:rPr>
      </w:pPr>
    </w:p>
    <w:p w14:paraId="10826E43" w14:textId="61FA8EF6" w:rsidR="008E055E" w:rsidRPr="001D65BA" w:rsidRDefault="008E055E" w:rsidP="001D65BA">
      <w:pPr>
        <w:shd w:val="clear" w:color="auto" w:fill="FFFFFF"/>
        <w:spacing w:beforeAutospacing="1" w:afterAutospacing="1" w:line="480" w:lineRule="auto"/>
        <w:textAlignment w:val="baseline"/>
        <w:rPr>
          <w:rFonts w:ascii="Georgia" w:eastAsiaTheme="minorEastAsia" w:hAnsi="Georgia" w:cs="Times New Roman"/>
          <w:b/>
          <w:bCs/>
          <w:i/>
          <w:iCs/>
          <w:color w:val="505050"/>
        </w:rPr>
      </w:pPr>
      <w:r w:rsidRPr="007752F7">
        <w:rPr>
          <w:rFonts w:ascii="Times New Roman" w:eastAsia="Times New Roman" w:hAnsi="Times New Roman" w:cs="Times New Roman"/>
          <w:b/>
        </w:rPr>
        <w:t>Abstract</w:t>
      </w:r>
      <w:r>
        <w:rPr>
          <w:rFonts w:ascii="Times New Roman" w:eastAsia="Times New Roman" w:hAnsi="Times New Roman" w:cs="Times New Roman"/>
          <w:b/>
        </w:rPr>
        <w:t xml:space="preserve"> </w:t>
      </w:r>
      <w:r w:rsidRPr="00445AC7">
        <w:rPr>
          <w:rFonts w:ascii="Times New Roman" w:eastAsia="Times New Roman" w:hAnsi="Times New Roman" w:cs="Times New Roman"/>
          <w:b/>
          <w:color w:val="FF0000"/>
        </w:rPr>
        <w:t xml:space="preserve"> </w:t>
      </w:r>
    </w:p>
    <w:p w14:paraId="76CCBC48" w14:textId="7740D25E" w:rsidR="008E055E" w:rsidRDefault="008E055E" w:rsidP="005C55FB">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rPr>
        <w:t xml:space="preserve">The </w:t>
      </w:r>
      <w:r w:rsidR="00930D53">
        <w:rPr>
          <w:rFonts w:ascii="Times New Roman" w:eastAsia="Times New Roman" w:hAnsi="Times New Roman" w:cs="Times New Roman"/>
        </w:rPr>
        <w:t xml:space="preserve">UK’s </w:t>
      </w:r>
      <w:r>
        <w:rPr>
          <w:rFonts w:ascii="Times New Roman" w:eastAsia="Times New Roman" w:hAnsi="Times New Roman" w:cs="Times New Roman"/>
        </w:rPr>
        <w:t xml:space="preserve">Royal College of Surgeons (2016) has argued that health professionals must </w:t>
      </w:r>
      <w:r w:rsidR="00372F0B">
        <w:rPr>
          <w:rFonts w:ascii="Times New Roman" w:eastAsia="Times New Roman" w:hAnsi="Times New Roman" w:cs="Times New Roman"/>
        </w:rPr>
        <w:t>replace</w:t>
      </w:r>
      <w:r>
        <w:rPr>
          <w:rFonts w:ascii="Times New Roman" w:eastAsia="Times New Roman" w:hAnsi="Times New Roman" w:cs="Times New Roman"/>
        </w:rPr>
        <w:t xml:space="preserve"> a ‘paternalistic’ approach to consent </w:t>
      </w:r>
      <w:r w:rsidR="00372F0B">
        <w:rPr>
          <w:rFonts w:ascii="Times New Roman" w:eastAsia="Times New Roman" w:hAnsi="Times New Roman" w:cs="Times New Roman"/>
        </w:rPr>
        <w:t>with</w:t>
      </w:r>
      <w:r>
        <w:rPr>
          <w:rFonts w:ascii="Times New Roman" w:eastAsia="Times New Roman" w:hAnsi="Times New Roman" w:cs="Times New Roman"/>
        </w:rPr>
        <w:t xml:space="preserve"> ‘informed choice’. We engage with these guidelines through analysis of neurology consultations</w:t>
      </w:r>
      <w:r w:rsidR="00D96E41">
        <w:rPr>
          <w:rFonts w:ascii="Times New Roman" w:eastAsia="Times New Roman" w:hAnsi="Times New Roman" w:cs="Times New Roman"/>
        </w:rPr>
        <w:t xml:space="preserve"> in two UK-based neuroscience </w:t>
      </w:r>
      <w:proofErr w:type="spellStart"/>
      <w:r w:rsidR="00D96E41">
        <w:rPr>
          <w:rFonts w:ascii="Times New Roman" w:eastAsia="Times New Roman" w:hAnsi="Times New Roman" w:cs="Times New Roman"/>
        </w:rPr>
        <w:t>centres</w:t>
      </w:r>
      <w:proofErr w:type="spellEnd"/>
      <w:r>
        <w:rPr>
          <w:rFonts w:ascii="Times New Roman" w:eastAsia="Times New Roman" w:hAnsi="Times New Roman" w:cs="Times New Roman"/>
        </w:rPr>
        <w:t xml:space="preserve">, where informed choice has been </w:t>
      </w:r>
      <w:r w:rsidR="00D96E41">
        <w:rPr>
          <w:rFonts w:ascii="Times New Roman" w:eastAsia="Times New Roman" w:hAnsi="Times New Roman" w:cs="Times New Roman"/>
        </w:rPr>
        <w:t xml:space="preserve">advocated </w:t>
      </w:r>
      <w:r>
        <w:rPr>
          <w:rFonts w:ascii="Times New Roman" w:eastAsia="Times New Roman" w:hAnsi="Times New Roman" w:cs="Times New Roman"/>
        </w:rPr>
        <w:t xml:space="preserve">for over a decade. </w:t>
      </w:r>
      <w:r w:rsidR="00D96E41">
        <w:rPr>
          <w:rFonts w:ascii="Times New Roman" w:eastAsia="Times New Roman" w:hAnsi="Times New Roman" w:cs="Times New Roman"/>
        </w:rPr>
        <w:t>Based on 223 recorded consultations and related questionnaire data</w:t>
      </w:r>
      <w:r w:rsidR="00930D53">
        <w:rPr>
          <w:rFonts w:ascii="Times New Roman" w:eastAsia="Times New Roman" w:hAnsi="Times New Roman" w:cs="Times New Roman"/>
        </w:rPr>
        <w:t xml:space="preserve"> (collected in 2012)</w:t>
      </w:r>
      <w:r w:rsidR="00D96E41">
        <w:rPr>
          <w:rFonts w:ascii="Times New Roman" w:eastAsia="Times New Roman" w:hAnsi="Times New Roman" w:cs="Times New Roman"/>
        </w:rPr>
        <w:t>, w</w:t>
      </w:r>
      <w:r>
        <w:rPr>
          <w:rFonts w:ascii="Times New Roman" w:eastAsia="Times New Roman" w:hAnsi="Times New Roman" w:cs="Times New Roman"/>
        </w:rPr>
        <w:t xml:space="preserve">e </w:t>
      </w:r>
      <w:r w:rsidR="00D96E41">
        <w:rPr>
          <w:rFonts w:ascii="Times New Roman" w:eastAsia="Times New Roman" w:hAnsi="Times New Roman" w:cs="Times New Roman"/>
        </w:rPr>
        <w:t>used conversation analysis (CA) to identify two practices for offering choice: patient view elicitors (PVEs) and option-lists. This paper reports further, mixed-methods analys</w:t>
      </w:r>
      <w:r w:rsidR="00771DC1">
        <w:rPr>
          <w:rFonts w:ascii="Times New Roman" w:eastAsia="Times New Roman" w:hAnsi="Times New Roman" w:cs="Times New Roman"/>
        </w:rPr>
        <w:t>e</w:t>
      </w:r>
      <w:r w:rsidR="00D96E41">
        <w:rPr>
          <w:rFonts w:ascii="Times New Roman" w:eastAsia="Times New Roman" w:hAnsi="Times New Roman" w:cs="Times New Roman"/>
        </w:rPr>
        <w:t>s, combin</w:t>
      </w:r>
      <w:r w:rsidR="00372F0B">
        <w:rPr>
          <w:rFonts w:ascii="Times New Roman" w:eastAsia="Times New Roman" w:hAnsi="Times New Roman" w:cs="Times New Roman"/>
        </w:rPr>
        <w:t>ing</w:t>
      </w:r>
      <w:r w:rsidR="00D96E41">
        <w:rPr>
          <w:rFonts w:ascii="Times New Roman" w:eastAsia="Times New Roman" w:hAnsi="Times New Roman" w:cs="Times New Roman"/>
        </w:rPr>
        <w:t xml:space="preserve"> CA with statistical techniques to </w:t>
      </w:r>
      <w:r>
        <w:rPr>
          <w:rFonts w:ascii="Times New Roman" w:eastAsia="Times New Roman" w:hAnsi="Times New Roman" w:cs="Times New Roman"/>
        </w:rPr>
        <w:t xml:space="preserve">compare </w:t>
      </w:r>
      <w:r w:rsidR="00D96E41">
        <w:rPr>
          <w:rFonts w:ascii="Times New Roman" w:eastAsia="Times New Roman" w:hAnsi="Times New Roman" w:cs="Times New Roman"/>
        </w:rPr>
        <w:t xml:space="preserve">the ‘choice’ practices with recommendations. </w:t>
      </w:r>
      <w:r w:rsidR="00372F0B">
        <w:rPr>
          <w:rFonts w:ascii="Times New Roman" w:eastAsia="Times New Roman" w:hAnsi="Times New Roman" w:cs="Times New Roman"/>
        </w:rPr>
        <w:t>R</w:t>
      </w:r>
      <w:r>
        <w:rPr>
          <w:rFonts w:ascii="Times New Roman" w:eastAsia="Times New Roman" w:hAnsi="Times New Roman" w:cs="Times New Roman"/>
        </w:rPr>
        <w:t xml:space="preserve">ecommendations were overwhelmingly more common. There was little evidence that patient demographics determined whether choice was offered. Instead, </w:t>
      </w:r>
      <w:r w:rsidR="00372F0B">
        <w:rPr>
          <w:rFonts w:ascii="Times New Roman" w:eastAsia="Times New Roman" w:hAnsi="Times New Roman" w:cs="Times New Roman"/>
        </w:rPr>
        <w:t xml:space="preserve">decisional practices were associated with a range of clinical considerations. </w:t>
      </w:r>
      <w:r w:rsidR="00423421">
        <w:rPr>
          <w:rFonts w:ascii="Times New Roman" w:eastAsia="Times New Roman" w:hAnsi="Times New Roman" w:cs="Times New Roman"/>
        </w:rPr>
        <w:t xml:space="preserve"> T</w:t>
      </w:r>
      <w:r w:rsidR="00372F0B">
        <w:rPr>
          <w:rFonts w:ascii="Times New Roman" w:eastAsia="Times New Roman" w:hAnsi="Times New Roman" w:cs="Times New Roman"/>
        </w:rPr>
        <w:t xml:space="preserve">here was </w:t>
      </w:r>
      <w:r w:rsidR="008C48AE">
        <w:rPr>
          <w:rFonts w:ascii="Times New Roman" w:eastAsia="Times New Roman" w:hAnsi="Times New Roman" w:cs="Times New Roman"/>
        </w:rPr>
        <w:t xml:space="preserve">also </w:t>
      </w:r>
      <w:r w:rsidR="00372F0B">
        <w:rPr>
          <w:rFonts w:ascii="Times New Roman" w:eastAsia="Times New Roman" w:hAnsi="Times New Roman" w:cs="Times New Roman"/>
        </w:rPr>
        <w:t xml:space="preserve">evidence that </w:t>
      </w:r>
      <w:r>
        <w:rPr>
          <w:rFonts w:ascii="Times New Roman" w:eastAsia="Times New Roman" w:hAnsi="Times New Roman" w:cs="Times New Roman"/>
        </w:rPr>
        <w:t xml:space="preserve">individual neurologists tended to have a ‘style’, making it partly </w:t>
      </w:r>
      <w:r w:rsidR="00D96E41">
        <w:rPr>
          <w:rFonts w:ascii="Times New Roman" w:eastAsia="Times New Roman" w:hAnsi="Times New Roman" w:cs="Times New Roman"/>
        </w:rPr>
        <w:t xml:space="preserve">a matter of </w:t>
      </w:r>
      <w:r>
        <w:rPr>
          <w:rFonts w:ascii="Times New Roman" w:eastAsia="Times New Roman" w:hAnsi="Times New Roman" w:cs="Times New Roman"/>
        </w:rPr>
        <w:t xml:space="preserve">chance which decisional practice(s) patients encountered. This variability matters for the </w:t>
      </w:r>
      <w:r w:rsidRPr="00A46AF9">
        <w:rPr>
          <w:rFonts w:ascii="Times New Roman" w:eastAsia="Times New Roman" w:hAnsi="Times New Roman" w:cs="Times New Roman"/>
          <w:i/>
        </w:rPr>
        <w:t>perception</w:t>
      </w:r>
      <w:r>
        <w:rPr>
          <w:rFonts w:ascii="Times New Roman" w:eastAsia="Times New Roman" w:hAnsi="Times New Roman" w:cs="Times New Roman"/>
        </w:rPr>
        <w:t xml:space="preserve"> of choice: neurologists and patients were more likely to agree a choice had been offered if a PVE or option-list was used. </w:t>
      </w:r>
      <w:r w:rsidR="00B015A8">
        <w:rPr>
          <w:rFonts w:ascii="Times New Roman" w:eastAsia="Times New Roman" w:hAnsi="Times New Roman" w:cs="Times New Roman"/>
        </w:rPr>
        <w:t xml:space="preserve">It also matters for the outcome of the decision-making process: </w:t>
      </w:r>
      <w:r>
        <w:rPr>
          <w:rFonts w:ascii="Times New Roman" w:eastAsia="Times New Roman" w:hAnsi="Times New Roman" w:cs="Times New Roman"/>
          <w:lang w:val="en-GB"/>
        </w:rPr>
        <w:t xml:space="preserve">while recommendations nearly always ended in agreement to undertake the proffered course of action, option-lists and PVEs did so only about two-thirds of the time. </w:t>
      </w:r>
      <w:r w:rsidR="00BA18F0">
        <w:rPr>
          <w:rFonts w:ascii="Times New Roman" w:eastAsia="Times New Roman" w:hAnsi="Times New Roman" w:cs="Times New Roman"/>
          <w:lang w:val="en-GB"/>
        </w:rPr>
        <w:t xml:space="preserve">While the direction of causality is unknown, this may indicate that patients are better enabled to refuse things they don’t want when neurologists avoid recommending.  </w:t>
      </w:r>
      <w:r w:rsidR="00BA18F0" w:rsidRPr="005804C0">
        <w:rPr>
          <w:rFonts w:ascii="Times New Roman" w:eastAsia="Times New Roman" w:hAnsi="Times New Roman" w:cs="Times New Roman"/>
          <w:color w:val="000000" w:themeColor="text1"/>
        </w:rPr>
        <w:t xml:space="preserve">We argue that </w:t>
      </w:r>
      <w:r w:rsidR="00BA18F0">
        <w:rPr>
          <w:rFonts w:ascii="Times New Roman" w:eastAsia="Times New Roman" w:hAnsi="Times New Roman" w:cs="Times New Roman"/>
          <w:color w:val="000000" w:themeColor="text1"/>
        </w:rPr>
        <w:t xml:space="preserve">our findings imply that neurologists tend to view </w:t>
      </w:r>
      <w:r w:rsidR="00BA18F0" w:rsidRPr="005F6875">
        <w:rPr>
          <w:rFonts w:ascii="Times New Roman" w:eastAsia="Times New Roman" w:hAnsi="Times New Roman" w:cs="Times New Roman"/>
          <w:color w:val="000000" w:themeColor="text1"/>
        </w:rPr>
        <w:lastRenderedPageBreak/>
        <w:t>choice as risky</w:t>
      </w:r>
      <w:r w:rsidR="00BA18F0">
        <w:rPr>
          <w:rFonts w:ascii="Times New Roman" w:eastAsia="Times New Roman" w:hAnsi="Times New Roman" w:cs="Times New Roman"/>
          <w:color w:val="000000" w:themeColor="text1"/>
        </w:rPr>
        <w:t xml:space="preserve"> </w:t>
      </w:r>
      <w:r w:rsidR="005F6875">
        <w:rPr>
          <w:rFonts w:ascii="Times New Roman" w:eastAsia="Times New Roman" w:hAnsi="Times New Roman" w:cs="Times New Roman"/>
          <w:color w:val="000000" w:themeColor="text1"/>
        </w:rPr>
        <w:t xml:space="preserve">– in that the patient might make the ‘wrong’ choice – </w:t>
      </w:r>
      <w:r w:rsidR="00BA18F0">
        <w:rPr>
          <w:rFonts w:ascii="Times New Roman" w:eastAsia="Times New Roman" w:hAnsi="Times New Roman" w:cs="Times New Roman"/>
          <w:color w:val="000000" w:themeColor="text1"/>
        </w:rPr>
        <w:t xml:space="preserve">but that the inter-individual variation indicates that greater use of the more participatory practices is possible.    </w:t>
      </w:r>
    </w:p>
    <w:p w14:paraId="0D278D06" w14:textId="7BEC60DF" w:rsidR="00296641" w:rsidRDefault="00296641" w:rsidP="005C55FB">
      <w:pPr>
        <w:spacing w:line="480" w:lineRule="auto"/>
        <w:rPr>
          <w:rFonts w:ascii="Times New Roman" w:eastAsia="Times New Roman" w:hAnsi="Times New Roman" w:cs="Times New Roman"/>
        </w:rPr>
      </w:pPr>
      <w:r>
        <w:rPr>
          <w:rFonts w:ascii="Times New Roman" w:eastAsia="Times New Roman" w:hAnsi="Times New Roman" w:cs="Times New Roman"/>
          <w:color w:val="000000" w:themeColor="text1"/>
        </w:rPr>
        <w:t xml:space="preserve">Keywords: </w:t>
      </w:r>
      <w:r w:rsidRPr="00296641">
        <w:rPr>
          <w:rFonts w:ascii="Times New Roman" w:eastAsia="Times New Roman" w:hAnsi="Times New Roman" w:cs="Times New Roman"/>
          <w:color w:val="000000" w:themeColor="text1"/>
        </w:rPr>
        <w:t>UK; patient choice; doctor-patient interaction; neurology consultations; conversation analysis; mixed-methods; decision-making.</w:t>
      </w:r>
    </w:p>
    <w:p w14:paraId="0A9D4D78" w14:textId="4AD8D292" w:rsidR="008E055E" w:rsidRPr="00561C1F" w:rsidRDefault="00561C1F" w:rsidP="00561C1F">
      <w:pPr>
        <w:rPr>
          <w:rFonts w:ascii="Times New Roman" w:eastAsia="Times New Roman" w:hAnsi="Times New Roman" w:cs="Times New Roman"/>
        </w:rPr>
      </w:pPr>
      <w:r>
        <w:rPr>
          <w:rFonts w:ascii="Times New Roman" w:eastAsia="Times New Roman" w:hAnsi="Times New Roman" w:cs="Times New Roman"/>
        </w:rPr>
        <w:br w:type="page"/>
      </w:r>
      <w:r w:rsidR="001D65BA">
        <w:rPr>
          <w:rFonts w:ascii="Times New Roman" w:eastAsia="Times New Roman" w:hAnsi="Times New Roman" w:cs="Times New Roman"/>
        </w:rPr>
        <w:lastRenderedPageBreak/>
        <w:br/>
      </w:r>
      <w:r w:rsidR="008E055E" w:rsidRPr="000A7C2F">
        <w:rPr>
          <w:rFonts w:ascii="Times New Roman" w:eastAsia="Times New Roman" w:hAnsi="Times New Roman" w:cs="Times New Roman"/>
          <w:b/>
        </w:rPr>
        <w:t>1. Introduction</w:t>
      </w:r>
    </w:p>
    <w:p w14:paraId="4FB1ADEA" w14:textId="77777777" w:rsidR="008E055E" w:rsidRPr="000A7C2F" w:rsidRDefault="008E055E" w:rsidP="005C55FB">
      <w:pPr>
        <w:spacing w:line="480" w:lineRule="auto"/>
        <w:rPr>
          <w:rFonts w:ascii="Times New Roman" w:eastAsia="Times New Roman" w:hAnsi="Times New Roman" w:cs="Times New Roman"/>
          <w:b/>
        </w:rPr>
      </w:pPr>
    </w:p>
    <w:p w14:paraId="6E69C21F" w14:textId="47D2FE5A" w:rsidR="008E055E" w:rsidRPr="000A7C2F" w:rsidRDefault="00323065" w:rsidP="005C55FB">
      <w:pPr>
        <w:spacing w:line="480" w:lineRule="auto"/>
        <w:rPr>
          <w:rFonts w:ascii="Times New Roman" w:eastAsia="Times New Roman" w:hAnsi="Times New Roman" w:cs="Times New Roman"/>
        </w:rPr>
      </w:pPr>
      <w:r>
        <w:rPr>
          <w:rFonts w:ascii="Times New Roman" w:eastAsia="Times New Roman" w:hAnsi="Times New Roman" w:cs="Times New Roman"/>
        </w:rPr>
        <w:t>W</w:t>
      </w:r>
      <w:r w:rsidR="008E055E" w:rsidRPr="000A7C2F">
        <w:rPr>
          <w:rFonts w:ascii="Times New Roman" w:eastAsia="Times New Roman" w:hAnsi="Times New Roman" w:cs="Times New Roman"/>
        </w:rPr>
        <w:t xml:space="preserve">idely-publicized Royal College of Surgeons’ </w:t>
      </w:r>
      <w:r w:rsidR="008E055E" w:rsidRPr="000A7C2F">
        <w:rPr>
          <w:rFonts w:ascii="Times New Roman" w:eastAsia="Times New Roman" w:hAnsi="Times New Roman" w:cs="Times New Roman"/>
          <w:noProof/>
        </w:rPr>
        <w:t>(</w:t>
      </w:r>
      <w:r w:rsidR="00943126" w:rsidRPr="000A7C2F">
        <w:rPr>
          <w:rFonts w:ascii="Times New Roman" w:eastAsia="Times New Roman" w:hAnsi="Times New Roman" w:cs="Times New Roman"/>
          <w:noProof/>
        </w:rPr>
        <w:t>RCS</w:t>
      </w:r>
      <w:r w:rsidR="008E055E" w:rsidRPr="000A7C2F">
        <w:rPr>
          <w:rFonts w:ascii="Times New Roman" w:eastAsia="Times New Roman" w:hAnsi="Times New Roman" w:cs="Times New Roman"/>
          <w:noProof/>
        </w:rPr>
        <w:t>, 2016)</w:t>
      </w:r>
      <w:r w:rsidR="008E055E" w:rsidRPr="000A7C2F">
        <w:rPr>
          <w:rFonts w:ascii="Times New Roman" w:eastAsia="Times New Roman" w:hAnsi="Times New Roman" w:cs="Times New Roman"/>
        </w:rPr>
        <w:t xml:space="preserve"> guidelines on consent specify that </w:t>
      </w:r>
      <w:r w:rsidR="00392ACC" w:rsidRPr="000A7C2F">
        <w:rPr>
          <w:rFonts w:ascii="Times New Roman" w:eastAsia="Times New Roman" w:hAnsi="Times New Roman" w:cs="Times New Roman"/>
        </w:rPr>
        <w:t xml:space="preserve">the aim </w:t>
      </w:r>
      <w:r w:rsidR="00392ACC">
        <w:rPr>
          <w:rFonts w:ascii="Times New Roman" w:eastAsia="Times New Roman" w:hAnsi="Times New Roman" w:cs="Times New Roman"/>
        </w:rPr>
        <w:t>“</w:t>
      </w:r>
      <w:r w:rsidR="00392ACC" w:rsidRPr="000A7C2F">
        <w:rPr>
          <w:rFonts w:ascii="Times New Roman" w:eastAsia="Times New Roman" w:hAnsi="Times New Roman" w:cs="Times New Roman"/>
        </w:rPr>
        <w:t>is to give the patient the information they need to make a decision about what treatment or procedure (if any) they want” (p. 4).</w:t>
      </w:r>
      <w:r w:rsidR="008E055E" w:rsidRPr="000A7C2F">
        <w:rPr>
          <w:rFonts w:ascii="Times New Roman" w:eastAsia="Times New Roman" w:hAnsi="Times New Roman" w:cs="Times New Roman"/>
        </w:rPr>
        <w:t xml:space="preserve"> The guidelines are responsive to the 2015 Supreme Court case of Montgomery vs </w:t>
      </w:r>
      <w:proofErr w:type="spellStart"/>
      <w:r w:rsidR="008E055E" w:rsidRPr="000A7C2F">
        <w:rPr>
          <w:rFonts w:ascii="Times New Roman" w:eastAsia="Times New Roman" w:hAnsi="Times New Roman" w:cs="Times New Roman"/>
        </w:rPr>
        <w:t>Lanarkshire</w:t>
      </w:r>
      <w:proofErr w:type="spellEnd"/>
      <w:r w:rsidR="008E055E" w:rsidRPr="000A7C2F">
        <w:rPr>
          <w:rFonts w:ascii="Times New Roman" w:eastAsia="Times New Roman" w:hAnsi="Times New Roman" w:cs="Times New Roman"/>
        </w:rPr>
        <w:t xml:space="preserve"> Health Board</w:t>
      </w:r>
      <w:r w:rsidR="008D4435" w:rsidRPr="000A7C2F">
        <w:rPr>
          <w:rFonts w:ascii="Times New Roman" w:eastAsia="Times New Roman" w:hAnsi="Times New Roman" w:cs="Times New Roman"/>
        </w:rPr>
        <w:t xml:space="preserve"> </w:t>
      </w:r>
      <w:r w:rsidR="00E151DE" w:rsidRPr="000A7C2F">
        <w:rPr>
          <w:rFonts w:ascii="Times New Roman" w:eastAsia="Times New Roman" w:hAnsi="Times New Roman" w:cs="Times New Roman"/>
        </w:rPr>
        <w:t xml:space="preserve">in which a woman was awarded damages because her </w:t>
      </w:r>
      <w:r w:rsidR="008D4435" w:rsidRPr="000A7C2F">
        <w:rPr>
          <w:rFonts w:ascii="Times New Roman" w:eastAsia="Times New Roman" w:hAnsi="Times New Roman" w:cs="Times New Roman"/>
        </w:rPr>
        <w:t>obstetrician</w:t>
      </w:r>
      <w:r w:rsidR="00E151DE" w:rsidRPr="000A7C2F">
        <w:rPr>
          <w:rFonts w:ascii="Times New Roman" w:eastAsia="Times New Roman" w:hAnsi="Times New Roman" w:cs="Times New Roman"/>
        </w:rPr>
        <w:t xml:space="preserve"> had not fully explained the risk of vaginal birth in her circumstances (small pelvis</w:t>
      </w:r>
      <w:r w:rsidR="008D4435" w:rsidRPr="000A7C2F">
        <w:rPr>
          <w:rFonts w:ascii="Times New Roman" w:eastAsia="Times New Roman" w:hAnsi="Times New Roman" w:cs="Times New Roman"/>
        </w:rPr>
        <w:t>, large baby)</w:t>
      </w:r>
      <w:r w:rsidR="00423421">
        <w:rPr>
          <w:rFonts w:ascii="Times New Roman" w:eastAsia="Times New Roman" w:hAnsi="Times New Roman" w:cs="Times New Roman"/>
        </w:rPr>
        <w:t>.</w:t>
      </w:r>
      <w:r w:rsidR="008D4435" w:rsidRPr="000A7C2F">
        <w:rPr>
          <w:rFonts w:ascii="Times New Roman" w:eastAsia="Times New Roman" w:hAnsi="Times New Roman" w:cs="Times New Roman"/>
        </w:rPr>
        <w:t xml:space="preserve"> </w:t>
      </w:r>
      <w:r w:rsidR="00423421">
        <w:rPr>
          <w:rFonts w:ascii="Times New Roman" w:eastAsia="Times New Roman" w:hAnsi="Times New Roman" w:cs="Times New Roman"/>
        </w:rPr>
        <w:t>H</w:t>
      </w:r>
      <w:r w:rsidR="008D4435" w:rsidRPr="000A7C2F">
        <w:rPr>
          <w:rFonts w:ascii="Times New Roman" w:eastAsia="Times New Roman" w:hAnsi="Times New Roman" w:cs="Times New Roman"/>
        </w:rPr>
        <w:t xml:space="preserve">er baby </w:t>
      </w:r>
      <w:r w:rsidR="0063242B" w:rsidRPr="000A7C2F">
        <w:rPr>
          <w:rFonts w:ascii="Times New Roman" w:eastAsia="Times New Roman" w:hAnsi="Times New Roman" w:cs="Times New Roman"/>
        </w:rPr>
        <w:t>–</w:t>
      </w:r>
      <w:r w:rsidR="008D4435" w:rsidRPr="000A7C2F">
        <w:rPr>
          <w:rFonts w:ascii="Times New Roman" w:eastAsia="Times New Roman" w:hAnsi="Times New Roman" w:cs="Times New Roman"/>
        </w:rPr>
        <w:t xml:space="preserve"> starved of oxygen for 12 minutes – was born with cerebral palsy. This case</w:t>
      </w:r>
      <w:r w:rsidR="00DA4834" w:rsidRPr="000A7C2F">
        <w:rPr>
          <w:rFonts w:ascii="Times New Roman" w:eastAsia="Times New Roman" w:hAnsi="Times New Roman" w:cs="Times New Roman"/>
        </w:rPr>
        <w:t>,</w:t>
      </w:r>
      <w:r w:rsidR="008D4435" w:rsidRPr="000A7C2F">
        <w:rPr>
          <w:rFonts w:ascii="Times New Roman" w:eastAsia="Times New Roman" w:hAnsi="Times New Roman" w:cs="Times New Roman"/>
        </w:rPr>
        <w:t xml:space="preserve"> </w:t>
      </w:r>
      <w:r w:rsidR="008E055E" w:rsidRPr="000A7C2F">
        <w:rPr>
          <w:rFonts w:ascii="Times New Roman" w:eastAsia="Times New Roman" w:hAnsi="Times New Roman" w:cs="Times New Roman"/>
        </w:rPr>
        <w:t xml:space="preserve">according to the RCS, </w:t>
      </w:r>
      <w:r w:rsidR="008D4435" w:rsidRPr="000A7C2F">
        <w:rPr>
          <w:rFonts w:ascii="Times New Roman" w:eastAsia="Times New Roman" w:hAnsi="Times New Roman" w:cs="Times New Roman"/>
        </w:rPr>
        <w:t xml:space="preserve">marks </w:t>
      </w:r>
      <w:r w:rsidR="00B74AD1">
        <w:rPr>
          <w:rFonts w:ascii="Times New Roman" w:eastAsia="Times New Roman" w:hAnsi="Times New Roman" w:cs="Times New Roman"/>
        </w:rPr>
        <w:t xml:space="preserve">a </w:t>
      </w:r>
      <w:r w:rsidR="008E055E" w:rsidRPr="000A7C2F">
        <w:rPr>
          <w:rFonts w:ascii="Times New Roman" w:eastAsia="Times New Roman" w:hAnsi="Times New Roman" w:cs="Times New Roman"/>
        </w:rPr>
        <w:t>radical shift in how the consent process is conceptualized:</w:t>
      </w:r>
      <w:r w:rsidR="008E055E" w:rsidRPr="000A7C2F">
        <w:rPr>
          <w:rFonts w:ascii="Times New Roman" w:eastAsia="Times New Roman" w:hAnsi="Times New Roman" w:cs="Times New Roman"/>
        </w:rPr>
        <w:br/>
      </w:r>
    </w:p>
    <w:p w14:paraId="6A49107A" w14:textId="77777777" w:rsidR="008E055E" w:rsidRPr="000A7C2F" w:rsidRDefault="008E055E" w:rsidP="005C55FB">
      <w:pPr>
        <w:spacing w:line="480" w:lineRule="auto"/>
        <w:ind w:left="720"/>
        <w:rPr>
          <w:rFonts w:ascii="Times New Roman" w:eastAsia="Times New Roman" w:hAnsi="Times New Roman" w:cs="Times New Roman"/>
        </w:rPr>
      </w:pPr>
      <w:r w:rsidRPr="000A7C2F">
        <w:rPr>
          <w:rFonts w:ascii="Times New Roman" w:eastAsia="Times New Roman" w:hAnsi="Times New Roman" w:cs="Times New Roman"/>
        </w:rPr>
        <w:t xml:space="preserve">From one in which the surgeon would explain the procedure to the patient and obtain their consent to proceed, to one in which the surgeon sets out the treatment options and allows the patient to decide (p. 15). </w:t>
      </w:r>
    </w:p>
    <w:p w14:paraId="100A03D8" w14:textId="77777777" w:rsidR="008E055E" w:rsidRPr="000A7C2F" w:rsidRDefault="008E055E" w:rsidP="005C55FB">
      <w:pPr>
        <w:spacing w:line="480" w:lineRule="auto"/>
        <w:rPr>
          <w:rFonts w:ascii="Times New Roman" w:eastAsia="Times New Roman" w:hAnsi="Times New Roman" w:cs="Times New Roman"/>
        </w:rPr>
      </w:pPr>
    </w:p>
    <w:p w14:paraId="6B42420B" w14:textId="7C164A68" w:rsidR="008E055E" w:rsidRPr="000A7C2F" w:rsidRDefault="008E055E" w:rsidP="005C55FB">
      <w:pPr>
        <w:spacing w:line="480" w:lineRule="auto"/>
        <w:rPr>
          <w:rFonts w:ascii="Times New Roman" w:eastAsia="Times New Roman" w:hAnsi="Times New Roman" w:cs="Times New Roman"/>
        </w:rPr>
      </w:pPr>
      <w:r w:rsidRPr="000A7C2F">
        <w:rPr>
          <w:rFonts w:ascii="Times New Roman" w:eastAsia="Times New Roman" w:hAnsi="Times New Roman" w:cs="Times New Roman"/>
        </w:rPr>
        <w:t xml:space="preserve">While recognizing that the </w:t>
      </w:r>
      <w:r w:rsidR="00423421">
        <w:rPr>
          <w:rFonts w:ascii="Times New Roman" w:eastAsia="Times New Roman" w:hAnsi="Times New Roman" w:cs="Times New Roman"/>
        </w:rPr>
        <w:t xml:space="preserve">UK’s </w:t>
      </w:r>
      <w:r w:rsidRPr="000A7C2F">
        <w:rPr>
          <w:rFonts w:ascii="Times New Roman" w:eastAsia="Times New Roman" w:hAnsi="Times New Roman" w:cs="Times New Roman"/>
        </w:rPr>
        <w:t xml:space="preserve">General Medical Council has “consistently supported patient autonomy”, the RCS argues that “established clinical practice – and a large body of case law – </w:t>
      </w:r>
      <w:r w:rsidR="00DA4834" w:rsidRPr="000A7C2F">
        <w:rPr>
          <w:rFonts w:ascii="Times New Roman" w:eastAsia="Times New Roman" w:hAnsi="Times New Roman" w:cs="Times New Roman"/>
        </w:rPr>
        <w:t xml:space="preserve">[has typically] </w:t>
      </w:r>
      <w:r w:rsidRPr="000A7C2F">
        <w:rPr>
          <w:rFonts w:ascii="Times New Roman" w:eastAsia="Times New Roman" w:hAnsi="Times New Roman" w:cs="Times New Roman"/>
        </w:rPr>
        <w:t xml:space="preserve">followed a more paternalistic approach” (p. 3).  The </w:t>
      </w:r>
      <w:r w:rsidR="00EE5591" w:rsidRPr="000A7C2F">
        <w:rPr>
          <w:rFonts w:ascii="Times New Roman" w:eastAsia="Times New Roman" w:hAnsi="Times New Roman" w:cs="Times New Roman"/>
        </w:rPr>
        <w:t xml:space="preserve">Montgomery </w:t>
      </w:r>
      <w:r w:rsidRPr="000A7C2F">
        <w:rPr>
          <w:rFonts w:ascii="Times New Roman" w:eastAsia="Times New Roman" w:hAnsi="Times New Roman" w:cs="Times New Roman"/>
        </w:rPr>
        <w:t>case thus necessitates “a change in attitude from surgeons in discussions about consent” (p. 3).  Moreover, the RCS guidance is offered to “</w:t>
      </w:r>
      <w:r w:rsidRPr="000A7C2F">
        <w:rPr>
          <w:rFonts w:ascii="Times New Roman" w:eastAsia="Times New Roman" w:hAnsi="Times New Roman" w:cs="Times New Roman"/>
          <w:lang w:val="en-GB"/>
        </w:rPr>
        <w:t>other healthcare professionals” (p. 4), implying that similar changes may be needed in other specialties.</w:t>
      </w:r>
    </w:p>
    <w:p w14:paraId="67EC9242" w14:textId="77777777" w:rsidR="008E055E" w:rsidRPr="000A7C2F" w:rsidRDefault="008E055E" w:rsidP="005C55FB">
      <w:pPr>
        <w:spacing w:line="480" w:lineRule="auto"/>
        <w:rPr>
          <w:rFonts w:ascii="Times New Roman" w:eastAsia="Times New Roman" w:hAnsi="Times New Roman" w:cs="Times New Roman"/>
          <w:lang w:val="en-GB"/>
        </w:rPr>
      </w:pPr>
    </w:p>
    <w:p w14:paraId="79B3EE53" w14:textId="3929FEED" w:rsidR="008E055E" w:rsidRPr="000A7C2F" w:rsidRDefault="008E055E" w:rsidP="005C55FB">
      <w:pPr>
        <w:spacing w:line="480" w:lineRule="auto"/>
        <w:rPr>
          <w:rFonts w:ascii="Times New Roman" w:eastAsia="Times New Roman" w:hAnsi="Times New Roman" w:cs="Times New Roman"/>
        </w:rPr>
      </w:pPr>
      <w:r w:rsidRPr="000A7C2F">
        <w:rPr>
          <w:rFonts w:ascii="Times New Roman" w:eastAsia="Times New Roman" w:hAnsi="Times New Roman" w:cs="Times New Roman"/>
          <w:lang w:val="en-GB"/>
        </w:rPr>
        <w:lastRenderedPageBreak/>
        <w:t xml:space="preserve">In this paper, we engage with these guidelines through our investigation of decision-making in neurology – a specialty where the RCS guidance </w:t>
      </w:r>
      <w:r w:rsidR="00EE5591" w:rsidRPr="000A7C2F">
        <w:rPr>
          <w:rFonts w:ascii="Times New Roman" w:eastAsia="Times New Roman" w:hAnsi="Times New Roman" w:cs="Times New Roman"/>
          <w:lang w:val="en-GB"/>
        </w:rPr>
        <w:t>should</w:t>
      </w:r>
      <w:r w:rsidRPr="000A7C2F">
        <w:rPr>
          <w:rFonts w:ascii="Times New Roman" w:eastAsia="Times New Roman" w:hAnsi="Times New Roman" w:cs="Times New Roman"/>
          <w:lang w:val="en-GB"/>
        </w:rPr>
        <w:t xml:space="preserve"> already </w:t>
      </w:r>
      <w:r w:rsidR="00EE5591" w:rsidRPr="000A7C2F">
        <w:rPr>
          <w:rFonts w:ascii="Times New Roman" w:eastAsia="Times New Roman" w:hAnsi="Times New Roman" w:cs="Times New Roman"/>
          <w:lang w:val="en-GB"/>
        </w:rPr>
        <w:t xml:space="preserve">be </w:t>
      </w:r>
      <w:r w:rsidRPr="000A7C2F">
        <w:rPr>
          <w:rFonts w:ascii="Times New Roman" w:eastAsia="Times New Roman" w:hAnsi="Times New Roman" w:cs="Times New Roman"/>
          <w:lang w:val="en-GB"/>
        </w:rPr>
        <w:t>embedded, given that T</w:t>
      </w:r>
      <w:r w:rsidRPr="000A7C2F">
        <w:rPr>
          <w:rFonts w:ascii="Times New Roman" w:eastAsia="Times New Roman" w:hAnsi="Times New Roman" w:cs="Times New Roman"/>
        </w:rPr>
        <w:t xml:space="preserve">he National Service Framework (NSF) for long-term conditions </w:t>
      </w:r>
      <w:r w:rsidRPr="000A7C2F">
        <w:rPr>
          <w:rFonts w:ascii="Times New Roman" w:eastAsia="Times New Roman" w:hAnsi="Times New Roman" w:cs="Times New Roman"/>
          <w:noProof/>
        </w:rPr>
        <w:t>(</w:t>
      </w:r>
      <w:r w:rsidR="00943126" w:rsidRPr="00F75EE5">
        <w:rPr>
          <w:rFonts w:ascii="Times New Roman" w:eastAsia="Times New Roman" w:hAnsi="Times New Roman" w:cs="Times New Roman"/>
          <w:noProof/>
        </w:rPr>
        <w:t>D</w:t>
      </w:r>
      <w:r w:rsidR="00F75EE5">
        <w:rPr>
          <w:rFonts w:ascii="Times New Roman" w:eastAsia="Times New Roman" w:hAnsi="Times New Roman" w:cs="Times New Roman"/>
          <w:noProof/>
        </w:rPr>
        <w:t xml:space="preserve">epartment of </w:t>
      </w:r>
      <w:r w:rsidR="00943126" w:rsidRPr="00F75EE5">
        <w:rPr>
          <w:rFonts w:ascii="Times New Roman" w:eastAsia="Times New Roman" w:hAnsi="Times New Roman" w:cs="Times New Roman"/>
          <w:noProof/>
        </w:rPr>
        <w:t>H</w:t>
      </w:r>
      <w:r w:rsidR="00F75EE5">
        <w:rPr>
          <w:rFonts w:ascii="Times New Roman" w:eastAsia="Times New Roman" w:hAnsi="Times New Roman" w:cs="Times New Roman"/>
          <w:noProof/>
        </w:rPr>
        <w:t>ealth</w:t>
      </w:r>
      <w:r w:rsidRPr="00F75EE5">
        <w:rPr>
          <w:rFonts w:ascii="Times New Roman" w:eastAsia="Times New Roman" w:hAnsi="Times New Roman" w:cs="Times New Roman"/>
          <w:noProof/>
        </w:rPr>
        <w:t>, 2005</w:t>
      </w:r>
      <w:r w:rsidRPr="000A7C2F">
        <w:rPr>
          <w:rFonts w:ascii="Times New Roman" w:eastAsia="Times New Roman" w:hAnsi="Times New Roman" w:cs="Times New Roman"/>
          <w:noProof/>
        </w:rPr>
        <w:t>)</w:t>
      </w:r>
      <w:r w:rsidR="00DA4834" w:rsidRPr="000A7C2F">
        <w:rPr>
          <w:rFonts w:ascii="Times New Roman" w:eastAsia="Times New Roman" w:hAnsi="Times New Roman" w:cs="Times New Roman"/>
        </w:rPr>
        <w:t>,</w:t>
      </w:r>
      <w:r w:rsidRPr="000A7C2F">
        <w:rPr>
          <w:rFonts w:ascii="Times New Roman" w:eastAsia="Times New Roman" w:hAnsi="Times New Roman" w:cs="Times New Roman"/>
        </w:rPr>
        <w:t xml:space="preserve"> in place for over a decade, specifies that patients</w:t>
      </w:r>
      <w:r w:rsidR="007E661A">
        <w:rPr>
          <w:rFonts w:ascii="Times New Roman" w:eastAsia="Times New Roman" w:hAnsi="Times New Roman" w:cs="Times New Roman"/>
        </w:rPr>
        <w:t xml:space="preserve"> should</w:t>
      </w:r>
      <w:r w:rsidRPr="000A7C2F">
        <w:rPr>
          <w:rFonts w:ascii="Times New Roman" w:eastAsia="Times New Roman" w:hAnsi="Times New Roman" w:cs="Times New Roman"/>
        </w:rPr>
        <w:t xml:space="preserve"> “receive appropriate information before starting medication to enable informed choice” (p. 27). Although the NSF allows for more leeway than the RCS guidelines</w:t>
      </w:r>
      <w:r w:rsidR="00256FD7" w:rsidRPr="000A7C2F">
        <w:rPr>
          <w:rFonts w:ascii="Times New Roman" w:eastAsia="Times New Roman" w:hAnsi="Times New Roman" w:cs="Times New Roman"/>
        </w:rPr>
        <w:t xml:space="preserve"> </w:t>
      </w:r>
      <w:r w:rsidRPr="000A7C2F">
        <w:rPr>
          <w:rFonts w:ascii="Times New Roman" w:eastAsia="Times New Roman" w:hAnsi="Times New Roman" w:cs="Times New Roman"/>
        </w:rPr>
        <w:t xml:space="preserve">– acknowledging that “not everyone with a long term neurological condition will want to participate actively in their own care” (p. 21) – the documents share an emphasis on providing information about </w:t>
      </w:r>
      <w:r w:rsidR="00EE5591" w:rsidRPr="000A7C2F">
        <w:rPr>
          <w:rFonts w:ascii="Times New Roman" w:eastAsia="Times New Roman" w:hAnsi="Times New Roman" w:cs="Times New Roman"/>
        </w:rPr>
        <w:t xml:space="preserve">treatment </w:t>
      </w:r>
      <w:r w:rsidRPr="000A7C2F">
        <w:rPr>
          <w:rFonts w:ascii="Times New Roman" w:eastAsia="Times New Roman" w:hAnsi="Times New Roman" w:cs="Times New Roman"/>
          <w:i/>
        </w:rPr>
        <w:t>options</w:t>
      </w:r>
      <w:r w:rsidRPr="000A7C2F">
        <w:rPr>
          <w:rFonts w:ascii="Times New Roman" w:eastAsia="Times New Roman" w:hAnsi="Times New Roman" w:cs="Times New Roman"/>
        </w:rPr>
        <w:t xml:space="preserve">. Neurology offers an excellent site, therefore, for investigating how (and to what extent) health professionals </w:t>
      </w:r>
      <w:r w:rsidR="00EE5591" w:rsidRPr="000A7C2F">
        <w:rPr>
          <w:rFonts w:ascii="Times New Roman" w:eastAsia="Times New Roman" w:hAnsi="Times New Roman" w:cs="Times New Roman"/>
        </w:rPr>
        <w:t>are</w:t>
      </w:r>
      <w:r w:rsidRPr="000A7C2F">
        <w:rPr>
          <w:rFonts w:ascii="Times New Roman" w:eastAsia="Times New Roman" w:hAnsi="Times New Roman" w:cs="Times New Roman"/>
        </w:rPr>
        <w:t xml:space="preserve"> already acting in accordance with the consent process </w:t>
      </w:r>
      <w:r w:rsidR="00EE5591" w:rsidRPr="000A7C2F">
        <w:rPr>
          <w:rFonts w:ascii="Times New Roman" w:eastAsia="Times New Roman" w:hAnsi="Times New Roman" w:cs="Times New Roman"/>
        </w:rPr>
        <w:t>proposed</w:t>
      </w:r>
      <w:r w:rsidRPr="000A7C2F">
        <w:rPr>
          <w:rFonts w:ascii="Times New Roman" w:eastAsia="Times New Roman" w:hAnsi="Times New Roman" w:cs="Times New Roman"/>
        </w:rPr>
        <w:t xml:space="preserve"> by the RCS.  </w:t>
      </w:r>
    </w:p>
    <w:p w14:paraId="06CAEC21" w14:textId="77777777" w:rsidR="008E055E" w:rsidRPr="000A7C2F" w:rsidRDefault="008E055E" w:rsidP="005C55FB">
      <w:pPr>
        <w:spacing w:line="480" w:lineRule="auto"/>
        <w:rPr>
          <w:rFonts w:ascii="Times New Roman" w:eastAsia="Times New Roman" w:hAnsi="Times New Roman" w:cs="Times New Roman"/>
        </w:rPr>
      </w:pPr>
    </w:p>
    <w:p w14:paraId="31D158C6" w14:textId="3F22FBA4" w:rsidR="008E055E" w:rsidRPr="000A7C2F" w:rsidRDefault="008E055E" w:rsidP="005C55FB">
      <w:pPr>
        <w:spacing w:line="480" w:lineRule="auto"/>
        <w:rPr>
          <w:rFonts w:ascii="Times New Roman" w:eastAsia="Times New Roman" w:hAnsi="Times New Roman" w:cs="Times New Roman"/>
        </w:rPr>
      </w:pPr>
      <w:r w:rsidRPr="000A7C2F">
        <w:rPr>
          <w:rFonts w:ascii="Times New Roman" w:eastAsia="Times New Roman" w:hAnsi="Times New Roman" w:cs="Times New Roman"/>
        </w:rPr>
        <w:t>Our wider project – funded by the UK’s National Institute for Health Research – sought to explicate interactional practices used by neurologists to initiate decision-making with patients.</w:t>
      </w:r>
      <w:r w:rsidR="00DA4834" w:rsidRPr="000A7C2F">
        <w:rPr>
          <w:rFonts w:ascii="Times New Roman" w:eastAsia="Times New Roman" w:hAnsi="Times New Roman" w:cs="Times New Roman"/>
        </w:rPr>
        <w:t xml:space="preserve"> </w:t>
      </w:r>
      <w:r w:rsidRPr="000A7C2F">
        <w:rPr>
          <w:rFonts w:ascii="Times New Roman" w:eastAsia="Times New Roman" w:hAnsi="Times New Roman" w:cs="Times New Roman"/>
        </w:rPr>
        <w:t xml:space="preserve">Here, we compare three such practices: recommending, option-listing and </w:t>
      </w:r>
      <w:r w:rsidR="00DA4834" w:rsidRPr="000A7C2F">
        <w:rPr>
          <w:rFonts w:ascii="Times New Roman" w:eastAsia="Times New Roman" w:hAnsi="Times New Roman" w:cs="Times New Roman"/>
        </w:rPr>
        <w:t xml:space="preserve">patient view elicitors (PVEs). </w:t>
      </w:r>
      <w:r w:rsidRPr="000A7C2F">
        <w:rPr>
          <w:rFonts w:ascii="Times New Roman" w:eastAsia="Times New Roman" w:hAnsi="Times New Roman" w:cs="Times New Roman"/>
        </w:rPr>
        <w:t>We argue that, relative to recommending, the latter two invite patients to take a more active role in decision-making, and alig</w:t>
      </w:r>
      <w:r w:rsidR="00DA4834" w:rsidRPr="000A7C2F">
        <w:rPr>
          <w:rFonts w:ascii="Times New Roman" w:eastAsia="Times New Roman" w:hAnsi="Times New Roman" w:cs="Times New Roman"/>
        </w:rPr>
        <w:t>n more with the RCS guidelines.</w:t>
      </w:r>
      <w:r w:rsidRPr="000A7C2F">
        <w:rPr>
          <w:rFonts w:ascii="Times New Roman" w:eastAsia="Times New Roman" w:hAnsi="Times New Roman" w:cs="Times New Roman"/>
        </w:rPr>
        <w:t xml:space="preserve"> It is striking, therefore, that recommendations were overwhelmingly more common</w:t>
      </w:r>
      <w:r w:rsidR="00256FD7" w:rsidRPr="000A7C2F">
        <w:rPr>
          <w:rFonts w:ascii="Times New Roman" w:eastAsia="Times New Roman" w:hAnsi="Times New Roman" w:cs="Times New Roman"/>
        </w:rPr>
        <w:t>,</w:t>
      </w:r>
      <w:r w:rsidRPr="000A7C2F">
        <w:rPr>
          <w:rFonts w:ascii="Times New Roman" w:eastAsia="Times New Roman" w:hAnsi="Times New Roman" w:cs="Times New Roman"/>
        </w:rPr>
        <w:t xml:space="preserve"> even in neurology. </w:t>
      </w:r>
    </w:p>
    <w:p w14:paraId="3C1CA6FC" w14:textId="77777777" w:rsidR="00636331" w:rsidRPr="000A7C2F" w:rsidRDefault="00636331" w:rsidP="005C55FB">
      <w:pPr>
        <w:spacing w:line="480" w:lineRule="auto"/>
        <w:rPr>
          <w:rFonts w:ascii="Times New Roman" w:eastAsia="Times New Roman" w:hAnsi="Times New Roman" w:cs="Times New Roman"/>
        </w:rPr>
      </w:pPr>
    </w:p>
    <w:p w14:paraId="1B0FF2FE" w14:textId="77777777" w:rsidR="008E055E" w:rsidRPr="000A7C2F" w:rsidRDefault="008E055E" w:rsidP="005C55FB">
      <w:pPr>
        <w:spacing w:line="480" w:lineRule="auto"/>
        <w:rPr>
          <w:rFonts w:ascii="Times New Roman" w:eastAsia="Times New Roman" w:hAnsi="Times New Roman" w:cs="Times New Roman"/>
          <w:b/>
        </w:rPr>
      </w:pPr>
      <w:r w:rsidRPr="000A7C2F">
        <w:rPr>
          <w:rFonts w:ascii="Times New Roman" w:eastAsia="Times New Roman" w:hAnsi="Times New Roman" w:cs="Times New Roman"/>
          <w:b/>
        </w:rPr>
        <w:t>2.  What we already know about real-time decision-making in the clinic</w:t>
      </w:r>
    </w:p>
    <w:p w14:paraId="1BFA2B0D" w14:textId="55AC73D2" w:rsidR="008E055E" w:rsidRPr="000A7C2F" w:rsidRDefault="008E055E" w:rsidP="005C55FB">
      <w:pPr>
        <w:spacing w:line="480" w:lineRule="auto"/>
        <w:rPr>
          <w:rFonts w:ascii="Times New Roman" w:eastAsia="Times New Roman" w:hAnsi="Times New Roman" w:cs="Times New Roman"/>
          <w:lang w:val="en-GB"/>
        </w:rPr>
      </w:pPr>
      <w:r w:rsidRPr="000A7C2F">
        <w:rPr>
          <w:rFonts w:ascii="Times New Roman" w:eastAsia="Times New Roman" w:hAnsi="Times New Roman" w:cs="Times New Roman"/>
        </w:rPr>
        <w:t>Our project builds on previous research on real-time decision-making in the clinic.  Much of this has focused on the treatment r</w:t>
      </w:r>
      <w:r w:rsidR="00DA4834" w:rsidRPr="000A7C2F">
        <w:rPr>
          <w:rFonts w:ascii="Times New Roman" w:eastAsia="Times New Roman" w:hAnsi="Times New Roman" w:cs="Times New Roman"/>
        </w:rPr>
        <w:t xml:space="preserve">ecommendation. </w:t>
      </w:r>
      <w:r w:rsidRPr="000A7C2F">
        <w:rPr>
          <w:rFonts w:ascii="Times New Roman" w:eastAsia="Times New Roman" w:hAnsi="Times New Roman" w:cs="Times New Roman"/>
        </w:rPr>
        <w:t xml:space="preserve">Although </w:t>
      </w:r>
      <w:r w:rsidRPr="000A7C2F">
        <w:rPr>
          <w:rFonts w:ascii="Times New Roman" w:eastAsia="Times New Roman" w:hAnsi="Times New Roman" w:cs="Times New Roman"/>
        </w:rPr>
        <w:lastRenderedPageBreak/>
        <w:t>recommendations may be designed in various ways, it is well-established that clinicians and patients understand re</w:t>
      </w:r>
      <w:r w:rsidR="00DA4834" w:rsidRPr="000A7C2F">
        <w:rPr>
          <w:rFonts w:ascii="Times New Roman" w:eastAsia="Times New Roman" w:hAnsi="Times New Roman" w:cs="Times New Roman"/>
        </w:rPr>
        <w:t xml:space="preserve">commendations to be proposals: </w:t>
      </w:r>
      <w:r w:rsidRPr="000A7C2F">
        <w:rPr>
          <w:rFonts w:ascii="Times New Roman" w:eastAsia="Times New Roman" w:hAnsi="Times New Roman" w:cs="Times New Roman"/>
        </w:rPr>
        <w:t xml:space="preserve">they are subject to the patient’s acceptance, and </w:t>
      </w:r>
      <w:r w:rsidR="00B20694">
        <w:rPr>
          <w:rFonts w:ascii="Times New Roman" w:eastAsia="Times New Roman" w:hAnsi="Times New Roman" w:cs="Times New Roman"/>
        </w:rPr>
        <w:t>may be resisted</w:t>
      </w:r>
      <w:r w:rsidRPr="000A7C2F">
        <w:rPr>
          <w:rFonts w:ascii="Times New Roman" w:eastAsia="Times New Roman" w:hAnsi="Times New Roman" w:cs="Times New Roman"/>
        </w:rPr>
        <w:t xml:space="preserve"> </w:t>
      </w:r>
      <w:r w:rsidRPr="000A7C2F">
        <w:rPr>
          <w:rFonts w:ascii="Times New Roman" w:eastAsia="Times New Roman" w:hAnsi="Times New Roman" w:cs="Times New Roman"/>
          <w:noProof/>
        </w:rPr>
        <w:t>(Costello</w:t>
      </w:r>
      <w:r w:rsidR="00943126" w:rsidRPr="000A7C2F">
        <w:rPr>
          <w:rFonts w:ascii="Times New Roman" w:eastAsia="Times New Roman" w:hAnsi="Times New Roman" w:cs="Times New Roman"/>
          <w:noProof/>
        </w:rPr>
        <w:t xml:space="preserve"> </w:t>
      </w:r>
      <w:r w:rsidR="00636331">
        <w:rPr>
          <w:rFonts w:ascii="Times New Roman" w:eastAsia="Times New Roman" w:hAnsi="Times New Roman" w:cs="Times New Roman"/>
          <w:noProof/>
        </w:rPr>
        <w:t>and</w:t>
      </w:r>
      <w:r w:rsidR="00943126" w:rsidRPr="000A7C2F">
        <w:rPr>
          <w:rFonts w:ascii="Times New Roman" w:eastAsia="Times New Roman" w:hAnsi="Times New Roman" w:cs="Times New Roman"/>
          <w:noProof/>
        </w:rPr>
        <w:t xml:space="preserve"> Roberts, 2001; Koenig, 2011; </w:t>
      </w:r>
      <w:r w:rsidRPr="000A7C2F">
        <w:rPr>
          <w:rFonts w:ascii="Times New Roman" w:eastAsia="Times New Roman" w:hAnsi="Times New Roman" w:cs="Times New Roman"/>
          <w:noProof/>
        </w:rPr>
        <w:t>Stivers, 200</w:t>
      </w:r>
      <w:r w:rsidR="001273D0">
        <w:rPr>
          <w:rFonts w:ascii="Times New Roman" w:eastAsia="Times New Roman" w:hAnsi="Times New Roman" w:cs="Times New Roman"/>
          <w:noProof/>
        </w:rPr>
        <w:t>5</w:t>
      </w:r>
      <w:r w:rsidRPr="000A7C2F">
        <w:rPr>
          <w:rFonts w:ascii="Times New Roman" w:eastAsia="Times New Roman" w:hAnsi="Times New Roman" w:cs="Times New Roman"/>
          <w:noProof/>
        </w:rPr>
        <w:t>)</w:t>
      </w:r>
      <w:r w:rsidR="00DA4834" w:rsidRPr="000A7C2F">
        <w:rPr>
          <w:rFonts w:ascii="Times New Roman" w:eastAsia="Times New Roman" w:hAnsi="Times New Roman" w:cs="Times New Roman"/>
        </w:rPr>
        <w:t>.</w:t>
      </w:r>
      <w:r w:rsidRPr="000A7C2F">
        <w:rPr>
          <w:rFonts w:ascii="Times New Roman" w:eastAsia="Times New Roman" w:hAnsi="Times New Roman" w:cs="Times New Roman"/>
        </w:rPr>
        <w:t xml:space="preserve"> Nevertheless, there is evidence </w:t>
      </w:r>
      <w:r w:rsidR="00B20694">
        <w:rPr>
          <w:rFonts w:ascii="Times New Roman" w:eastAsia="Times New Roman" w:hAnsi="Times New Roman" w:cs="Times New Roman"/>
        </w:rPr>
        <w:t>showing how</w:t>
      </w:r>
      <w:r w:rsidRPr="000A7C2F">
        <w:rPr>
          <w:rFonts w:ascii="Times New Roman" w:eastAsia="Times New Roman" w:hAnsi="Times New Roman" w:cs="Times New Roman"/>
        </w:rPr>
        <w:t xml:space="preserve"> clinicians may persuade patients to accept the course of action they th</w:t>
      </w:r>
      <w:r w:rsidR="00DA4834" w:rsidRPr="000A7C2F">
        <w:rPr>
          <w:rFonts w:ascii="Times New Roman" w:eastAsia="Times New Roman" w:hAnsi="Times New Roman" w:cs="Times New Roman"/>
        </w:rPr>
        <w:t xml:space="preserve">ink is best </w:t>
      </w:r>
      <w:r w:rsidRPr="000A7C2F">
        <w:rPr>
          <w:rFonts w:ascii="Times New Roman" w:eastAsia="Times New Roman" w:hAnsi="Times New Roman" w:cs="Times New Roman"/>
          <w:noProof/>
        </w:rPr>
        <w:t xml:space="preserve">(Quirk </w:t>
      </w:r>
      <w:r w:rsidR="00943126" w:rsidRPr="000A7C2F">
        <w:rPr>
          <w:rFonts w:ascii="Times New Roman" w:eastAsia="Times New Roman" w:hAnsi="Times New Roman" w:cs="Times New Roman"/>
          <w:noProof/>
        </w:rPr>
        <w:t>et al.,</w:t>
      </w:r>
      <w:r w:rsidRPr="000A7C2F">
        <w:rPr>
          <w:rFonts w:ascii="Times New Roman" w:eastAsia="Times New Roman" w:hAnsi="Times New Roman" w:cs="Times New Roman"/>
          <w:noProof/>
        </w:rPr>
        <w:t xml:space="preserve"> 2012)</w:t>
      </w:r>
      <w:r w:rsidRPr="000A7C2F">
        <w:rPr>
          <w:rFonts w:ascii="Times New Roman" w:eastAsia="Times New Roman" w:hAnsi="Times New Roman" w:cs="Times New Roman"/>
        </w:rPr>
        <w:t xml:space="preserve">. </w:t>
      </w:r>
      <w:r w:rsidR="00636331">
        <w:rPr>
          <w:rFonts w:ascii="Times New Roman" w:eastAsia="Times New Roman" w:hAnsi="Times New Roman" w:cs="Times New Roman"/>
          <w:noProof/>
          <w:lang w:val="en-GB"/>
        </w:rPr>
        <w:t xml:space="preserve">Hudak et al. </w:t>
      </w:r>
      <w:r w:rsidR="00943126" w:rsidRPr="000A7C2F">
        <w:rPr>
          <w:rFonts w:ascii="Times New Roman" w:eastAsia="Times New Roman" w:hAnsi="Times New Roman" w:cs="Times New Roman"/>
          <w:noProof/>
          <w:lang w:val="en-GB"/>
        </w:rPr>
        <w:t>(</w:t>
      </w:r>
      <w:r w:rsidRPr="000A7C2F">
        <w:rPr>
          <w:rFonts w:ascii="Times New Roman" w:eastAsia="Times New Roman" w:hAnsi="Times New Roman" w:cs="Times New Roman"/>
          <w:noProof/>
          <w:lang w:val="en-GB"/>
        </w:rPr>
        <w:t>2011)</w:t>
      </w:r>
      <w:r w:rsidRPr="000A7C2F">
        <w:rPr>
          <w:rFonts w:ascii="Times New Roman" w:eastAsia="Times New Roman" w:hAnsi="Times New Roman" w:cs="Times New Roman"/>
          <w:lang w:val="en-GB"/>
        </w:rPr>
        <w:t xml:space="preserve"> </w:t>
      </w:r>
      <w:r w:rsidR="00B20694">
        <w:rPr>
          <w:rFonts w:ascii="Times New Roman" w:eastAsia="Times New Roman" w:hAnsi="Times New Roman" w:cs="Times New Roman"/>
          <w:lang w:val="en-GB"/>
        </w:rPr>
        <w:t>show</w:t>
      </w:r>
      <w:r w:rsidRPr="000A7C2F">
        <w:rPr>
          <w:rFonts w:ascii="Times New Roman" w:eastAsia="Times New Roman" w:hAnsi="Times New Roman" w:cs="Times New Roman"/>
          <w:lang w:val="en-GB"/>
        </w:rPr>
        <w:t xml:space="preserve"> how surgeons may build their recommendations to try to ward off resistance</w:t>
      </w:r>
      <w:r w:rsidR="00943126" w:rsidRPr="000A7C2F">
        <w:rPr>
          <w:rFonts w:ascii="Times New Roman" w:eastAsia="Times New Roman" w:hAnsi="Times New Roman" w:cs="Times New Roman"/>
          <w:lang w:val="en-GB"/>
        </w:rPr>
        <w:t>.</w:t>
      </w:r>
      <w:r w:rsidRPr="000A7C2F">
        <w:rPr>
          <w:rFonts w:ascii="Times New Roman" w:eastAsia="Times New Roman" w:hAnsi="Times New Roman" w:cs="Times New Roman"/>
          <w:noProof/>
          <w:lang w:val="en-GB"/>
        </w:rPr>
        <w:t xml:space="preserve"> Stiver</w:t>
      </w:r>
      <w:r w:rsidR="00943126" w:rsidRPr="000A7C2F">
        <w:rPr>
          <w:rFonts w:ascii="Times New Roman" w:eastAsia="Times New Roman" w:hAnsi="Times New Roman" w:cs="Times New Roman"/>
          <w:noProof/>
          <w:lang w:val="en-GB"/>
        </w:rPr>
        <w:t>s</w:t>
      </w:r>
      <w:r w:rsidRPr="000A7C2F">
        <w:rPr>
          <w:rFonts w:ascii="Times New Roman" w:eastAsia="Times New Roman" w:hAnsi="Times New Roman" w:cs="Times New Roman"/>
          <w:noProof/>
          <w:lang w:val="en-GB"/>
        </w:rPr>
        <w:t xml:space="preserve"> </w:t>
      </w:r>
      <w:r w:rsidR="00943126" w:rsidRPr="000A7C2F">
        <w:rPr>
          <w:rFonts w:ascii="Times New Roman" w:eastAsia="Times New Roman" w:hAnsi="Times New Roman" w:cs="Times New Roman"/>
          <w:noProof/>
          <w:lang w:val="en-GB"/>
        </w:rPr>
        <w:t>(</w:t>
      </w:r>
      <w:r w:rsidRPr="000A7C2F">
        <w:rPr>
          <w:rFonts w:ascii="Times New Roman" w:eastAsia="Times New Roman" w:hAnsi="Times New Roman" w:cs="Times New Roman"/>
          <w:noProof/>
          <w:lang w:val="en-GB"/>
        </w:rPr>
        <w:t>2005)</w:t>
      </w:r>
      <w:r w:rsidRPr="000A7C2F">
        <w:rPr>
          <w:rFonts w:ascii="Times New Roman" w:eastAsia="Times New Roman" w:hAnsi="Times New Roman" w:cs="Times New Roman"/>
          <w:lang w:val="en-GB"/>
        </w:rPr>
        <w:t xml:space="preserve"> found that parents were less likely to resist a non-antibiotic treatment recommendation for their child if this was framed as a positive recommendation (for a specific alternative), rather than as a </w:t>
      </w:r>
      <w:r w:rsidR="00B20694">
        <w:rPr>
          <w:rFonts w:ascii="Times New Roman" w:eastAsia="Times New Roman" w:hAnsi="Times New Roman" w:cs="Times New Roman"/>
          <w:lang w:val="en-GB"/>
        </w:rPr>
        <w:t xml:space="preserve">recommendation </w:t>
      </w:r>
      <w:r w:rsidRPr="000A7C2F">
        <w:rPr>
          <w:rFonts w:ascii="Times New Roman" w:eastAsia="Times New Roman" w:hAnsi="Times New Roman" w:cs="Times New Roman"/>
          <w:lang w:val="en-GB"/>
        </w:rPr>
        <w:t xml:space="preserve">against antibiotics. </w:t>
      </w:r>
      <w:r w:rsidRPr="000A7C2F">
        <w:rPr>
          <w:rFonts w:ascii="Times New Roman" w:eastAsia="Times New Roman" w:hAnsi="Times New Roman" w:cs="Times New Roman"/>
          <w:noProof/>
          <w:lang w:val="en-GB"/>
        </w:rPr>
        <w:t>Opel et al</w:t>
      </w:r>
      <w:r w:rsidR="00943126" w:rsidRPr="000A7C2F">
        <w:rPr>
          <w:rFonts w:ascii="Times New Roman" w:eastAsia="Times New Roman" w:hAnsi="Times New Roman" w:cs="Times New Roman"/>
          <w:noProof/>
          <w:lang w:val="en-GB"/>
        </w:rPr>
        <w:t>.</w:t>
      </w:r>
      <w:r w:rsidRPr="000A7C2F">
        <w:rPr>
          <w:rFonts w:ascii="Times New Roman" w:eastAsia="Times New Roman" w:hAnsi="Times New Roman" w:cs="Times New Roman"/>
          <w:noProof/>
          <w:lang w:val="en-GB"/>
        </w:rPr>
        <w:t xml:space="preserve"> </w:t>
      </w:r>
      <w:r w:rsidR="00943126" w:rsidRPr="000A7C2F">
        <w:rPr>
          <w:rFonts w:ascii="Times New Roman" w:eastAsia="Times New Roman" w:hAnsi="Times New Roman" w:cs="Times New Roman"/>
          <w:noProof/>
          <w:lang w:val="en-GB"/>
        </w:rPr>
        <w:t>(</w:t>
      </w:r>
      <w:r w:rsidRPr="000A7C2F">
        <w:rPr>
          <w:rFonts w:ascii="Times New Roman" w:eastAsia="Times New Roman" w:hAnsi="Times New Roman" w:cs="Times New Roman"/>
          <w:noProof/>
          <w:lang w:val="en-GB"/>
        </w:rPr>
        <w:t>2013)</w:t>
      </w:r>
      <w:r w:rsidRPr="000A7C2F">
        <w:rPr>
          <w:rFonts w:ascii="Times New Roman" w:eastAsia="Times New Roman" w:hAnsi="Times New Roman" w:cs="Times New Roman"/>
          <w:lang w:val="en-GB"/>
        </w:rPr>
        <w:t xml:space="preserve"> showed that significantly fewer parents resisted vaccine recommendations for their children when the </w:t>
      </w:r>
      <w:r w:rsidR="00392ACC" w:rsidRPr="000A7C2F">
        <w:rPr>
          <w:rFonts w:ascii="Times New Roman" w:eastAsia="Times New Roman" w:hAnsi="Times New Roman" w:cs="Times New Roman"/>
          <w:lang w:val="en-GB"/>
        </w:rPr>
        <w:t xml:space="preserve">provider used a “presumptive initiation format” </w:t>
      </w:r>
      <w:r w:rsidR="00392ACC">
        <w:rPr>
          <w:rFonts w:ascii="Times New Roman" w:eastAsia="Times New Roman" w:hAnsi="Times New Roman" w:cs="Times New Roman"/>
          <w:lang w:val="en-GB"/>
        </w:rPr>
        <w:t>(i.e. contain</w:t>
      </w:r>
      <w:r w:rsidR="00E772EA">
        <w:rPr>
          <w:rFonts w:ascii="Times New Roman" w:eastAsia="Times New Roman" w:hAnsi="Times New Roman" w:cs="Times New Roman"/>
          <w:lang w:val="en-GB"/>
        </w:rPr>
        <w:t>ing</w:t>
      </w:r>
      <w:r w:rsidR="00392ACC">
        <w:rPr>
          <w:rFonts w:ascii="Times New Roman" w:eastAsia="Times New Roman" w:hAnsi="Times New Roman" w:cs="Times New Roman"/>
          <w:lang w:val="en-GB"/>
        </w:rPr>
        <w:t xml:space="preserve"> a linguistic presupposition of vaccination) </w:t>
      </w:r>
      <w:r w:rsidR="00392ACC" w:rsidRPr="000A7C2F">
        <w:rPr>
          <w:rFonts w:ascii="Times New Roman" w:eastAsia="Times New Roman" w:hAnsi="Times New Roman" w:cs="Times New Roman"/>
          <w:lang w:val="en-GB"/>
        </w:rPr>
        <w:t>as opposed to a “participatory” one</w:t>
      </w:r>
      <w:r w:rsidR="00392ACC">
        <w:rPr>
          <w:rFonts w:ascii="Times New Roman" w:eastAsia="Times New Roman" w:hAnsi="Times New Roman" w:cs="Times New Roman"/>
          <w:lang w:val="en-GB"/>
        </w:rPr>
        <w:t xml:space="preserve"> (i.e. provid</w:t>
      </w:r>
      <w:r w:rsidR="00E772EA">
        <w:rPr>
          <w:rFonts w:ascii="Times New Roman" w:eastAsia="Times New Roman" w:hAnsi="Times New Roman" w:cs="Times New Roman"/>
          <w:lang w:val="en-GB"/>
        </w:rPr>
        <w:t>ing</w:t>
      </w:r>
      <w:r w:rsidR="00392ACC">
        <w:rPr>
          <w:rFonts w:ascii="Times New Roman" w:eastAsia="Times New Roman" w:hAnsi="Times New Roman" w:cs="Times New Roman"/>
          <w:lang w:val="en-GB"/>
        </w:rPr>
        <w:t xml:space="preserve"> parents with more decisional latitude).</w:t>
      </w:r>
      <w:r w:rsidR="00392ACC" w:rsidRPr="000A7C2F">
        <w:rPr>
          <w:rFonts w:ascii="Times New Roman" w:eastAsia="Times New Roman" w:hAnsi="Times New Roman" w:cs="Times New Roman"/>
          <w:lang w:val="en-GB"/>
        </w:rPr>
        <w:t xml:space="preserve"> This distinction maps closely onto the focus of our</w:t>
      </w:r>
      <w:r w:rsidR="00392ACC">
        <w:rPr>
          <w:rFonts w:ascii="Times New Roman" w:eastAsia="Times New Roman" w:hAnsi="Times New Roman" w:cs="Times New Roman"/>
          <w:lang w:val="en-GB"/>
        </w:rPr>
        <w:t xml:space="preserve"> paper</w:t>
      </w:r>
      <w:r w:rsidRPr="000A7C2F">
        <w:rPr>
          <w:rFonts w:ascii="Times New Roman" w:eastAsia="Times New Roman" w:hAnsi="Times New Roman" w:cs="Times New Roman"/>
          <w:lang w:val="en-GB"/>
        </w:rPr>
        <w:t xml:space="preserve">. </w:t>
      </w:r>
    </w:p>
    <w:p w14:paraId="67524306" w14:textId="77777777" w:rsidR="008E055E" w:rsidRPr="000A7C2F" w:rsidRDefault="008E055E" w:rsidP="005C55FB">
      <w:pPr>
        <w:spacing w:line="480" w:lineRule="auto"/>
        <w:rPr>
          <w:rFonts w:ascii="Times New Roman" w:eastAsia="Times New Roman" w:hAnsi="Times New Roman" w:cs="Times New Roman"/>
          <w:lang w:val="en-GB"/>
        </w:rPr>
      </w:pPr>
    </w:p>
    <w:p w14:paraId="12D36AA5" w14:textId="53E41F6C" w:rsidR="00392ACC" w:rsidRPr="000A7C2F" w:rsidRDefault="008E055E" w:rsidP="00392ACC">
      <w:pPr>
        <w:spacing w:line="480" w:lineRule="auto"/>
        <w:rPr>
          <w:rFonts w:ascii="Times New Roman" w:eastAsia="Times New Roman" w:hAnsi="Times New Roman" w:cs="Times New Roman"/>
        </w:rPr>
      </w:pPr>
      <w:r w:rsidRPr="000A7C2F">
        <w:rPr>
          <w:rFonts w:ascii="Times New Roman" w:hAnsi="Times New Roman" w:cs="Times New Roman"/>
        </w:rPr>
        <w:t xml:space="preserve">Collins et al. </w:t>
      </w:r>
      <w:r w:rsidRPr="000A7C2F">
        <w:rPr>
          <w:rFonts w:ascii="Times New Roman" w:eastAsia="Times New Roman" w:hAnsi="Times New Roman" w:cs="Times New Roman"/>
          <w:noProof/>
        </w:rPr>
        <w:t>(2005)</w:t>
      </w:r>
      <w:r w:rsidRPr="000A7C2F">
        <w:rPr>
          <w:rFonts w:ascii="Times New Roman" w:eastAsia="Times New Roman" w:hAnsi="Times New Roman" w:cs="Times New Roman"/>
        </w:rPr>
        <w:t xml:space="preserve"> drew a related distinction, demonstrating a continuum of approaches to decision-making, ranging from ‘unilateral’ (or clinician-determined) to ‘bilateral’ (or shared).  Illustrating the ‘bilateral’ approach, they showed how clinicians sometimes replace the treatment recommendation with efforts to </w:t>
      </w:r>
      <w:r w:rsidR="00392ACC">
        <w:rPr>
          <w:rFonts w:ascii="Times New Roman" w:eastAsia="Times New Roman" w:hAnsi="Times New Roman" w:cs="Times New Roman"/>
        </w:rPr>
        <w:t>include patients</w:t>
      </w:r>
      <w:r w:rsidR="00E772EA">
        <w:rPr>
          <w:rFonts w:ascii="Times New Roman" w:eastAsia="Times New Roman" w:hAnsi="Times New Roman" w:cs="Times New Roman"/>
        </w:rPr>
        <w:t xml:space="preserve"> actively</w:t>
      </w:r>
      <w:r w:rsidR="00392ACC">
        <w:rPr>
          <w:rFonts w:ascii="Times New Roman" w:eastAsia="Times New Roman" w:hAnsi="Times New Roman" w:cs="Times New Roman"/>
        </w:rPr>
        <w:t xml:space="preserve"> by</w:t>
      </w:r>
      <w:r w:rsidR="00E772EA">
        <w:rPr>
          <w:rFonts w:ascii="Times New Roman" w:eastAsia="Times New Roman" w:hAnsi="Times New Roman" w:cs="Times New Roman"/>
        </w:rPr>
        <w:t>, for example,</w:t>
      </w:r>
      <w:r w:rsidR="00392ACC">
        <w:rPr>
          <w:rFonts w:ascii="Times New Roman" w:eastAsia="Times New Roman" w:hAnsi="Times New Roman" w:cs="Times New Roman"/>
        </w:rPr>
        <w:t xml:space="preserve"> “</w:t>
      </w:r>
      <w:r w:rsidR="00392ACC" w:rsidRPr="000A7C2F">
        <w:rPr>
          <w:rFonts w:ascii="Times New Roman" w:hAnsi="Times New Roman" w:cs="Times New Roman"/>
          <w:lang w:eastAsia="en-GB"/>
        </w:rPr>
        <w:t>signposting options in advance of naming them; eliciting displays of understanding and statements of preference from the patient</w:t>
      </w:r>
      <w:r w:rsidR="00392ACC">
        <w:rPr>
          <w:rFonts w:ascii="Times New Roman" w:hAnsi="Times New Roman" w:cs="Times New Roman"/>
          <w:lang w:eastAsia="en-GB"/>
        </w:rPr>
        <w:t>”</w:t>
      </w:r>
      <w:r w:rsidR="00392ACC" w:rsidRPr="000A7C2F">
        <w:rPr>
          <w:rFonts w:ascii="Times New Roman" w:hAnsi="Times New Roman" w:cs="Times New Roman"/>
          <w:lang w:eastAsia="en-GB"/>
        </w:rPr>
        <w:t xml:space="preserve"> (p. 2625).  </w:t>
      </w:r>
    </w:p>
    <w:p w14:paraId="5BFDECA2" w14:textId="77777777" w:rsidR="008E055E" w:rsidRPr="000A7C2F" w:rsidRDefault="008E055E" w:rsidP="00392ACC">
      <w:pPr>
        <w:spacing w:line="480" w:lineRule="auto"/>
        <w:rPr>
          <w:rFonts w:ascii="Times New Roman" w:eastAsia="Times New Roman" w:hAnsi="Times New Roman" w:cs="Times New Roman"/>
          <w:lang w:val="en-GB"/>
        </w:rPr>
      </w:pPr>
    </w:p>
    <w:p w14:paraId="28984C8E" w14:textId="62EBA9FB" w:rsidR="00F133D5" w:rsidRPr="000A7C2F" w:rsidRDefault="008E055E" w:rsidP="005C55FB">
      <w:pPr>
        <w:spacing w:line="480" w:lineRule="auto"/>
        <w:rPr>
          <w:rFonts w:ascii="Times New Roman" w:eastAsia="Times New Roman" w:hAnsi="Times New Roman" w:cs="Times New Roman"/>
        </w:rPr>
      </w:pPr>
      <w:r w:rsidRPr="000A7C2F">
        <w:rPr>
          <w:rFonts w:ascii="Times New Roman" w:eastAsia="Times New Roman" w:hAnsi="Times New Roman" w:cs="Times New Roman"/>
        </w:rPr>
        <w:lastRenderedPageBreak/>
        <w:t>Extending this research, our primary study used conversation analysis (CA) to identify two key practices whereby clinicians might invite patients to contribute, actively, to decision-making</w:t>
      </w:r>
      <w:r w:rsidR="00EE5591" w:rsidRPr="000A7C2F">
        <w:rPr>
          <w:rFonts w:ascii="Times New Roman" w:eastAsia="Times New Roman" w:hAnsi="Times New Roman" w:cs="Times New Roman"/>
        </w:rPr>
        <w:t xml:space="preserve"> about treatment, investigation or referral options</w:t>
      </w:r>
      <w:r w:rsidR="00E772EA">
        <w:rPr>
          <w:rFonts w:ascii="Times New Roman" w:eastAsia="Times New Roman" w:hAnsi="Times New Roman" w:cs="Times New Roman"/>
        </w:rPr>
        <w:t xml:space="preserve">. </w:t>
      </w:r>
      <w:r w:rsidRPr="000A7C2F">
        <w:rPr>
          <w:rFonts w:ascii="Times New Roman" w:eastAsia="Times New Roman" w:hAnsi="Times New Roman" w:cs="Times New Roman"/>
        </w:rPr>
        <w:t xml:space="preserve">We </w:t>
      </w:r>
      <w:r w:rsidR="00771BE5">
        <w:rPr>
          <w:rFonts w:ascii="Times New Roman" w:eastAsia="Times New Roman" w:hAnsi="Times New Roman" w:cs="Times New Roman"/>
        </w:rPr>
        <w:t>call</w:t>
      </w:r>
      <w:r w:rsidRPr="000A7C2F">
        <w:rPr>
          <w:rFonts w:ascii="Times New Roman" w:eastAsia="Times New Roman" w:hAnsi="Times New Roman" w:cs="Times New Roman"/>
        </w:rPr>
        <w:t xml:space="preserve"> these </w:t>
      </w:r>
      <w:r w:rsidR="00256FD7" w:rsidRPr="000A7C2F">
        <w:rPr>
          <w:rFonts w:ascii="Times New Roman" w:eastAsia="Times New Roman" w:hAnsi="Times New Roman" w:cs="Times New Roman"/>
        </w:rPr>
        <w:t>‘</w:t>
      </w:r>
      <w:r w:rsidRPr="000A7C2F">
        <w:rPr>
          <w:rFonts w:ascii="Times New Roman" w:eastAsia="Times New Roman" w:hAnsi="Times New Roman" w:cs="Times New Roman"/>
        </w:rPr>
        <w:t>option-lists</w:t>
      </w:r>
      <w:r w:rsidR="00256FD7" w:rsidRPr="000A7C2F">
        <w:rPr>
          <w:rFonts w:ascii="Times New Roman" w:eastAsia="Times New Roman" w:hAnsi="Times New Roman" w:cs="Times New Roman"/>
        </w:rPr>
        <w:t>’</w:t>
      </w:r>
      <w:r w:rsidRPr="000A7C2F">
        <w:rPr>
          <w:rFonts w:ascii="Times New Roman" w:eastAsia="Times New Roman" w:hAnsi="Times New Roman" w:cs="Times New Roman"/>
        </w:rPr>
        <w:t xml:space="preserve"> and ‘patient view elicitors’ </w:t>
      </w:r>
      <w:r w:rsidR="00DA4834" w:rsidRPr="000A7C2F">
        <w:rPr>
          <w:rFonts w:ascii="Times New Roman" w:eastAsia="Times New Roman" w:hAnsi="Times New Roman" w:cs="Times New Roman"/>
        </w:rPr>
        <w:t>(</w:t>
      </w:r>
      <w:r w:rsidRPr="000A7C2F">
        <w:rPr>
          <w:rFonts w:ascii="Times New Roman" w:eastAsia="Times New Roman" w:hAnsi="Times New Roman" w:cs="Times New Roman"/>
        </w:rPr>
        <w:t>PVEs</w:t>
      </w:r>
      <w:r w:rsidR="00DA4834" w:rsidRPr="00636331">
        <w:rPr>
          <w:rFonts w:ascii="Times New Roman" w:eastAsia="Times New Roman" w:hAnsi="Times New Roman" w:cs="Times New Roman"/>
        </w:rPr>
        <w:t>)</w:t>
      </w:r>
      <w:r w:rsidRPr="00636331">
        <w:rPr>
          <w:rFonts w:ascii="Times New Roman" w:eastAsia="Times New Roman" w:hAnsi="Times New Roman" w:cs="Times New Roman"/>
        </w:rPr>
        <w:t xml:space="preserve"> (</w:t>
      </w:r>
      <w:proofErr w:type="spellStart"/>
      <w:r w:rsidR="009117FE">
        <w:rPr>
          <w:rFonts w:ascii="Times New Roman" w:eastAsia="Times New Roman" w:hAnsi="Times New Roman" w:cs="Times New Roman"/>
        </w:rPr>
        <w:t>Reuber</w:t>
      </w:r>
      <w:proofErr w:type="spellEnd"/>
      <w:r w:rsidR="009117FE">
        <w:rPr>
          <w:rFonts w:ascii="Times New Roman" w:eastAsia="Times New Roman" w:hAnsi="Times New Roman" w:cs="Times New Roman"/>
        </w:rPr>
        <w:t xml:space="preserve"> et al., 2015</w:t>
      </w:r>
      <w:r w:rsidRPr="000A7C2F">
        <w:rPr>
          <w:rFonts w:ascii="Times New Roman" w:eastAsia="Times New Roman" w:hAnsi="Times New Roman" w:cs="Times New Roman"/>
        </w:rPr>
        <w:t xml:space="preserve">).  In brief, option-listing </w:t>
      </w:r>
      <w:r w:rsidR="00771BE5">
        <w:rPr>
          <w:rFonts w:ascii="Times New Roman" w:eastAsia="Times New Roman" w:hAnsi="Times New Roman" w:cs="Times New Roman"/>
        </w:rPr>
        <w:t xml:space="preserve">– </w:t>
      </w:r>
      <w:r w:rsidR="009C3462" w:rsidRPr="000A7C2F">
        <w:rPr>
          <w:rFonts w:ascii="Times New Roman" w:eastAsia="Times New Roman" w:hAnsi="Times New Roman" w:cs="Times New Roman"/>
        </w:rPr>
        <w:t xml:space="preserve">illustrated below – </w:t>
      </w:r>
      <w:r w:rsidRPr="000A7C2F">
        <w:rPr>
          <w:rFonts w:ascii="Times New Roman" w:eastAsia="Times New Roman" w:hAnsi="Times New Roman" w:cs="Times New Roman"/>
        </w:rPr>
        <w:t>consists of an explicit listing of alternatives</w:t>
      </w:r>
      <w:r w:rsidR="009C3462" w:rsidRPr="000A7C2F">
        <w:rPr>
          <w:rFonts w:ascii="Times New Roman" w:eastAsia="Times New Roman" w:hAnsi="Times New Roman" w:cs="Times New Roman"/>
        </w:rPr>
        <w:t xml:space="preserve"> (lines </w:t>
      </w:r>
      <w:r w:rsidR="003C55B4" w:rsidRPr="000A7C2F">
        <w:rPr>
          <w:rFonts w:ascii="Times New Roman" w:eastAsia="Times New Roman" w:hAnsi="Times New Roman" w:cs="Times New Roman"/>
        </w:rPr>
        <w:t>2-3, 5-6</w:t>
      </w:r>
      <w:r w:rsidR="009C3462" w:rsidRPr="000A7C2F">
        <w:rPr>
          <w:rFonts w:ascii="Times New Roman" w:eastAsia="Times New Roman" w:hAnsi="Times New Roman" w:cs="Times New Roman"/>
        </w:rPr>
        <w:t>)</w:t>
      </w:r>
      <w:r w:rsidRPr="000A7C2F">
        <w:rPr>
          <w:rFonts w:ascii="Times New Roman" w:eastAsia="Times New Roman" w:hAnsi="Times New Roman" w:cs="Times New Roman"/>
        </w:rPr>
        <w:t xml:space="preserve"> from which the p</w:t>
      </w:r>
      <w:r w:rsidR="00DA4834" w:rsidRPr="000A7C2F">
        <w:rPr>
          <w:rFonts w:ascii="Times New Roman" w:eastAsia="Times New Roman" w:hAnsi="Times New Roman" w:cs="Times New Roman"/>
        </w:rPr>
        <w:t>atient</w:t>
      </w:r>
      <w:r w:rsidR="00636331">
        <w:rPr>
          <w:rFonts w:ascii="Times New Roman" w:eastAsia="Times New Roman" w:hAnsi="Times New Roman" w:cs="Times New Roman"/>
        </w:rPr>
        <w:t xml:space="preserve"> </w:t>
      </w:r>
      <w:r w:rsidR="00DA4834" w:rsidRPr="000A7C2F">
        <w:rPr>
          <w:rFonts w:ascii="Times New Roman" w:eastAsia="Times New Roman" w:hAnsi="Times New Roman" w:cs="Times New Roman"/>
        </w:rPr>
        <w:t xml:space="preserve">may choose. </w:t>
      </w:r>
      <w:r w:rsidR="00655A7C" w:rsidRPr="000A7C2F">
        <w:rPr>
          <w:rFonts w:ascii="Times New Roman" w:eastAsia="Times New Roman" w:hAnsi="Times New Roman" w:cs="Times New Roman"/>
        </w:rPr>
        <w:t>This</w:t>
      </w:r>
      <w:r w:rsidRPr="000A7C2F">
        <w:rPr>
          <w:rFonts w:ascii="Times New Roman" w:eastAsia="Times New Roman" w:hAnsi="Times New Roman" w:cs="Times New Roman"/>
        </w:rPr>
        <w:t xml:space="preserve"> includes an initial announcement that there is a decision to be made</w:t>
      </w:r>
      <w:r w:rsidR="009C3462" w:rsidRPr="000A7C2F">
        <w:rPr>
          <w:rFonts w:ascii="Times New Roman" w:eastAsia="Times New Roman" w:hAnsi="Times New Roman" w:cs="Times New Roman"/>
        </w:rPr>
        <w:t xml:space="preserve"> (line </w:t>
      </w:r>
      <w:r w:rsidR="003C55B4" w:rsidRPr="000A7C2F">
        <w:rPr>
          <w:rFonts w:ascii="Times New Roman" w:eastAsia="Times New Roman" w:hAnsi="Times New Roman" w:cs="Times New Roman"/>
        </w:rPr>
        <w:t>1</w:t>
      </w:r>
      <w:r w:rsidR="009C3462" w:rsidRPr="000A7C2F">
        <w:rPr>
          <w:rFonts w:ascii="Times New Roman" w:eastAsia="Times New Roman" w:hAnsi="Times New Roman" w:cs="Times New Roman"/>
        </w:rPr>
        <w:t>)</w:t>
      </w:r>
      <w:r w:rsidRPr="000A7C2F">
        <w:rPr>
          <w:rFonts w:ascii="Times New Roman" w:eastAsia="Times New Roman" w:hAnsi="Times New Roman" w:cs="Times New Roman"/>
        </w:rPr>
        <w:t xml:space="preserve">.  </w:t>
      </w:r>
      <w:r w:rsidR="003C55B4" w:rsidRPr="000A7C2F">
        <w:rPr>
          <w:rFonts w:ascii="Times New Roman" w:eastAsia="Times New Roman" w:hAnsi="Times New Roman" w:cs="Times New Roman"/>
        </w:rPr>
        <w:br/>
      </w:r>
    </w:p>
    <w:p w14:paraId="376BE4EF" w14:textId="61982BF0" w:rsidR="008E055E" w:rsidRPr="000A7C2F" w:rsidRDefault="0025007D" w:rsidP="005C55FB">
      <w:pPr>
        <w:spacing w:line="480" w:lineRule="auto"/>
        <w:rPr>
          <w:rFonts w:ascii="Times New Roman" w:hAnsi="Times New Roman" w:cs="Times New Roman"/>
          <w:sz w:val="22"/>
          <w:szCs w:val="22"/>
        </w:rPr>
      </w:pPr>
      <w:r w:rsidRPr="000A7C2F">
        <w:rPr>
          <w:rFonts w:ascii="Times New Roman" w:eastAsia="Times New Roman" w:hAnsi="Times New Roman" w:cs="Times New Roman"/>
        </w:rPr>
        <w:t>Example of option-listing</w:t>
      </w:r>
      <w:r w:rsidR="00F133D5" w:rsidRPr="000A7C2F">
        <w:rPr>
          <w:rFonts w:ascii="Times New Roman" w:eastAsia="Times New Roman" w:hAnsi="Times New Roman" w:cs="Times New Roman"/>
        </w:rPr>
        <w:t xml:space="preserve"> </w:t>
      </w:r>
      <w:r w:rsidR="00655A7C" w:rsidRPr="000A7C2F">
        <w:rPr>
          <w:rFonts w:ascii="Times New Roman" w:eastAsia="Times New Roman" w:hAnsi="Times New Roman" w:cs="Times New Roman"/>
          <w:lang w:eastAsia="en-GB"/>
        </w:rPr>
        <w:t>(</w:t>
      </w:r>
      <w:r w:rsidR="00F133D5" w:rsidRPr="000A7C2F">
        <w:rPr>
          <w:rFonts w:ascii="Times New Roman" w:eastAsia="Times New Roman" w:hAnsi="Times New Roman" w:cs="Times New Roman"/>
          <w:lang w:eastAsia="en-GB"/>
        </w:rPr>
        <w:t>G018</w:t>
      </w:r>
      <w:r w:rsidR="00636331">
        <w:rPr>
          <w:rFonts w:ascii="Times New Roman" w:eastAsia="Times New Roman" w:hAnsi="Times New Roman" w:cs="Times New Roman"/>
          <w:lang w:eastAsia="en-GB"/>
        </w:rPr>
        <w:t>; Multiple Sclerosis</w:t>
      </w:r>
      <w:r w:rsidR="00655A7C" w:rsidRPr="000A7C2F">
        <w:rPr>
          <w:rFonts w:ascii="Times New Roman" w:eastAsia="Times New Roman" w:hAnsi="Times New Roman" w:cs="Times New Roman"/>
          <w:lang w:eastAsia="en-GB"/>
        </w:rPr>
        <w:t>)</w:t>
      </w:r>
    </w:p>
    <w:p w14:paraId="515C3110" w14:textId="6BBC24C2" w:rsidR="003C55B4" w:rsidRPr="000A7C2F" w:rsidRDefault="003C55B4" w:rsidP="003C55B4">
      <w:pPr>
        <w:spacing w:line="480" w:lineRule="auto"/>
        <w:ind w:firstLine="720"/>
        <w:rPr>
          <w:rFonts w:ascii="Times New Roman" w:eastAsia="Times New Roman" w:hAnsi="Times New Roman" w:cs="Times New Roman"/>
          <w:lang w:eastAsia="en-GB"/>
        </w:rPr>
      </w:pPr>
      <w:proofErr w:type="gramStart"/>
      <w:r w:rsidRPr="000A7C2F">
        <w:rPr>
          <w:rFonts w:ascii="Times New Roman" w:eastAsia="Times New Roman" w:hAnsi="Times New Roman" w:cs="Times New Roman"/>
          <w:lang w:eastAsia="en-GB"/>
        </w:rPr>
        <w:t>01  Neu</w:t>
      </w:r>
      <w:proofErr w:type="gramEnd"/>
      <w:r w:rsidRPr="000A7C2F">
        <w:rPr>
          <w:rFonts w:ascii="Times New Roman" w:eastAsia="Times New Roman" w:hAnsi="Times New Roman" w:cs="Times New Roman"/>
          <w:lang w:eastAsia="en-GB"/>
        </w:rPr>
        <w:t xml:space="preserve">:   And </w:t>
      </w:r>
      <w:r w:rsidRPr="000A7C2F">
        <w:rPr>
          <w:rFonts w:ascii="Times New Roman" w:eastAsia="Times New Roman" w:hAnsi="Times New Roman" w:cs="Times New Roman"/>
          <w:b/>
          <w:lang w:eastAsia="en-GB"/>
        </w:rPr>
        <w:t>there’s two ways of dealing with this</w:t>
      </w:r>
      <w:r w:rsidRPr="000A7C2F">
        <w:rPr>
          <w:rFonts w:ascii="Times New Roman" w:eastAsia="Times New Roman" w:hAnsi="Times New Roman" w:cs="Times New Roman"/>
          <w:lang w:eastAsia="en-GB"/>
        </w:rPr>
        <w:t xml:space="preserve">. </w:t>
      </w:r>
      <w:r w:rsidRPr="000A7C2F">
        <w:rPr>
          <w:rFonts w:ascii="Times New Roman" w:eastAsia="Times New Roman" w:hAnsi="Times New Roman" w:cs="Times New Roman"/>
          <w:b/>
          <w:lang w:eastAsia="en-GB"/>
        </w:rPr>
        <w:t>If you don’t feel</w:t>
      </w:r>
      <w:r w:rsidRPr="000A7C2F">
        <w:rPr>
          <w:rFonts w:ascii="Times New Roman" w:eastAsia="Times New Roman" w:hAnsi="Times New Roman" w:cs="Times New Roman"/>
          <w:lang w:eastAsia="en-GB"/>
        </w:rPr>
        <w:t xml:space="preserve"> that </w:t>
      </w:r>
    </w:p>
    <w:p w14:paraId="75F49B41" w14:textId="2BDB0F27" w:rsidR="003C55B4" w:rsidRPr="000A7C2F" w:rsidRDefault="003C55B4" w:rsidP="003C55B4">
      <w:pPr>
        <w:spacing w:line="480" w:lineRule="auto"/>
        <w:ind w:firstLine="720"/>
        <w:rPr>
          <w:rFonts w:ascii="Times New Roman" w:eastAsia="Times New Roman" w:hAnsi="Times New Roman" w:cs="Times New Roman"/>
          <w:lang w:eastAsia="en-GB"/>
        </w:rPr>
      </w:pPr>
      <w:r w:rsidRPr="000A7C2F">
        <w:rPr>
          <w:rFonts w:ascii="Times New Roman" w:eastAsia="Times New Roman" w:hAnsi="Times New Roman" w:cs="Times New Roman"/>
          <w:lang w:eastAsia="en-GB"/>
        </w:rPr>
        <w:t xml:space="preserve">02             things are absolutely back to normal… then </w:t>
      </w:r>
      <w:r w:rsidRPr="000A7C2F">
        <w:rPr>
          <w:rFonts w:ascii="Times New Roman" w:eastAsia="Times New Roman" w:hAnsi="Times New Roman" w:cs="Times New Roman"/>
          <w:b/>
          <w:lang w:eastAsia="en-GB"/>
        </w:rPr>
        <w:t>I can give you some</w:t>
      </w:r>
      <w:r w:rsidRPr="000A7C2F">
        <w:rPr>
          <w:rFonts w:ascii="Times New Roman" w:eastAsia="Times New Roman" w:hAnsi="Times New Roman" w:cs="Times New Roman"/>
          <w:lang w:eastAsia="en-GB"/>
        </w:rPr>
        <w:t xml:space="preserve"> </w:t>
      </w:r>
    </w:p>
    <w:p w14:paraId="4E786EB4" w14:textId="0DE11B92" w:rsidR="003C55B4" w:rsidRPr="000A7C2F" w:rsidRDefault="003C55B4" w:rsidP="003C55B4">
      <w:pPr>
        <w:spacing w:line="480" w:lineRule="auto"/>
        <w:ind w:firstLine="720"/>
        <w:rPr>
          <w:rFonts w:ascii="Times New Roman" w:eastAsia="Times New Roman" w:hAnsi="Times New Roman" w:cs="Times New Roman"/>
          <w:lang w:eastAsia="en-GB"/>
        </w:rPr>
      </w:pPr>
      <w:r w:rsidRPr="000A7C2F">
        <w:rPr>
          <w:rFonts w:ascii="Times New Roman" w:eastAsia="Times New Roman" w:hAnsi="Times New Roman" w:cs="Times New Roman"/>
          <w:lang w:eastAsia="en-GB"/>
        </w:rPr>
        <w:t xml:space="preserve">03             </w:t>
      </w:r>
      <w:r w:rsidRPr="000A7C2F">
        <w:rPr>
          <w:rFonts w:ascii="Times New Roman" w:eastAsia="Times New Roman" w:hAnsi="Times New Roman" w:cs="Times New Roman"/>
          <w:b/>
          <w:lang w:eastAsia="en-GB"/>
        </w:rPr>
        <w:t xml:space="preserve">steroid treatment </w:t>
      </w:r>
      <w:r w:rsidRPr="000A7C2F">
        <w:rPr>
          <w:rFonts w:ascii="Times New Roman" w:eastAsia="Times New Roman" w:hAnsi="Times New Roman" w:cs="Times New Roman"/>
          <w:lang w:eastAsia="en-GB"/>
        </w:rPr>
        <w:t>for a short while.</w:t>
      </w:r>
    </w:p>
    <w:p w14:paraId="7D3BE134" w14:textId="53C2F738" w:rsidR="003C55B4" w:rsidRPr="000A7C2F" w:rsidRDefault="003C55B4" w:rsidP="003C55B4">
      <w:pPr>
        <w:spacing w:line="480" w:lineRule="auto"/>
        <w:rPr>
          <w:rFonts w:ascii="Times New Roman" w:eastAsia="Times New Roman" w:hAnsi="Times New Roman" w:cs="Times New Roman"/>
          <w:lang w:eastAsia="en-GB"/>
        </w:rPr>
      </w:pPr>
      <w:r w:rsidRPr="000A7C2F">
        <w:rPr>
          <w:rFonts w:ascii="Times New Roman" w:eastAsia="Times New Roman" w:hAnsi="Times New Roman" w:cs="Times New Roman"/>
          <w:lang w:eastAsia="en-GB"/>
        </w:rPr>
        <w:t xml:space="preserve">            </w:t>
      </w:r>
      <w:proofErr w:type="gramStart"/>
      <w:r w:rsidRPr="000A7C2F">
        <w:rPr>
          <w:rFonts w:ascii="Times New Roman" w:eastAsia="Times New Roman" w:hAnsi="Times New Roman" w:cs="Times New Roman"/>
          <w:lang w:eastAsia="en-GB"/>
        </w:rPr>
        <w:t>04  Pat</w:t>
      </w:r>
      <w:proofErr w:type="gramEnd"/>
      <w:r w:rsidRPr="000A7C2F">
        <w:rPr>
          <w:rFonts w:ascii="Times New Roman" w:eastAsia="Times New Roman" w:hAnsi="Times New Roman" w:cs="Times New Roman"/>
          <w:lang w:eastAsia="en-GB"/>
        </w:rPr>
        <w:t>:     Mm hm. …</w:t>
      </w:r>
    </w:p>
    <w:p w14:paraId="40502BEE" w14:textId="299E63C2" w:rsidR="003C55B4" w:rsidRPr="000A7C2F" w:rsidRDefault="003C55B4" w:rsidP="003C55B4">
      <w:pPr>
        <w:spacing w:line="480" w:lineRule="auto"/>
        <w:rPr>
          <w:rFonts w:ascii="Times New Roman" w:eastAsia="Times New Roman" w:hAnsi="Times New Roman" w:cs="Times New Roman"/>
          <w:lang w:eastAsia="en-GB"/>
        </w:rPr>
      </w:pPr>
      <w:r w:rsidRPr="000A7C2F">
        <w:rPr>
          <w:rFonts w:ascii="Times New Roman" w:eastAsia="Times New Roman" w:hAnsi="Times New Roman" w:cs="Times New Roman"/>
          <w:lang w:eastAsia="en-GB"/>
        </w:rPr>
        <w:t xml:space="preserve">           </w:t>
      </w:r>
      <w:proofErr w:type="gramStart"/>
      <w:r w:rsidRPr="000A7C2F">
        <w:rPr>
          <w:rFonts w:ascii="Times New Roman" w:eastAsia="Times New Roman" w:hAnsi="Times New Roman" w:cs="Times New Roman"/>
          <w:lang w:eastAsia="en-GB"/>
        </w:rPr>
        <w:t>05  Neu</w:t>
      </w:r>
      <w:proofErr w:type="gramEnd"/>
      <w:r w:rsidRPr="000A7C2F">
        <w:rPr>
          <w:rFonts w:ascii="Times New Roman" w:eastAsia="Times New Roman" w:hAnsi="Times New Roman" w:cs="Times New Roman"/>
          <w:lang w:eastAsia="en-GB"/>
        </w:rPr>
        <w:t xml:space="preserve">:    </w:t>
      </w:r>
      <w:r w:rsidRPr="000A7C2F">
        <w:rPr>
          <w:rFonts w:ascii="Times New Roman" w:eastAsia="Times New Roman" w:hAnsi="Times New Roman" w:cs="Times New Roman"/>
          <w:b/>
          <w:lang w:eastAsia="en-GB"/>
        </w:rPr>
        <w:t xml:space="preserve">Alternatively I could arrange for you to be seen by one of our </w:t>
      </w:r>
    </w:p>
    <w:p w14:paraId="7D3B84B8" w14:textId="3C65C605" w:rsidR="003C55B4" w:rsidRPr="000A7C2F" w:rsidRDefault="003C55B4" w:rsidP="003C55B4">
      <w:pPr>
        <w:spacing w:line="480" w:lineRule="auto"/>
        <w:rPr>
          <w:rFonts w:ascii="Times New Roman" w:eastAsia="Times New Roman" w:hAnsi="Times New Roman" w:cs="Times New Roman"/>
          <w:b/>
          <w:lang w:eastAsia="en-GB"/>
        </w:rPr>
      </w:pPr>
      <w:r w:rsidRPr="000A7C2F">
        <w:rPr>
          <w:rFonts w:ascii="Times New Roman" w:eastAsia="Times New Roman" w:hAnsi="Times New Roman" w:cs="Times New Roman"/>
          <w:lang w:eastAsia="en-GB"/>
        </w:rPr>
        <w:t xml:space="preserve">           06             </w:t>
      </w:r>
      <w:r w:rsidR="0025007D" w:rsidRPr="000A7C2F">
        <w:rPr>
          <w:rFonts w:ascii="Times New Roman" w:eastAsia="Times New Roman" w:hAnsi="Times New Roman" w:cs="Times New Roman"/>
          <w:b/>
          <w:lang w:eastAsia="en-GB"/>
        </w:rPr>
        <w:t>MS</w:t>
      </w:r>
      <w:r w:rsidR="0025007D" w:rsidRPr="000A7C2F">
        <w:rPr>
          <w:rFonts w:ascii="Times New Roman" w:eastAsia="Times New Roman" w:hAnsi="Times New Roman" w:cs="Times New Roman"/>
          <w:lang w:eastAsia="en-GB"/>
        </w:rPr>
        <w:t xml:space="preserve"> </w:t>
      </w:r>
      <w:r w:rsidRPr="000A7C2F">
        <w:rPr>
          <w:rFonts w:ascii="Times New Roman" w:eastAsia="Times New Roman" w:hAnsi="Times New Roman" w:cs="Times New Roman"/>
          <w:b/>
          <w:lang w:eastAsia="en-GB"/>
        </w:rPr>
        <w:t>specialists.</w:t>
      </w:r>
    </w:p>
    <w:p w14:paraId="6F5F785C" w14:textId="0097C4EA" w:rsidR="003C55B4" w:rsidRPr="000A7C2F" w:rsidRDefault="003C55B4" w:rsidP="003C55B4">
      <w:pPr>
        <w:spacing w:line="480" w:lineRule="auto"/>
        <w:rPr>
          <w:rFonts w:ascii="Times New Roman" w:eastAsia="Times New Roman" w:hAnsi="Times New Roman" w:cs="Times New Roman"/>
          <w:lang w:eastAsia="en-GB"/>
        </w:rPr>
      </w:pPr>
      <w:r w:rsidRPr="000A7C2F">
        <w:rPr>
          <w:rFonts w:ascii="Times New Roman" w:eastAsia="Times New Roman" w:hAnsi="Times New Roman" w:cs="Times New Roman"/>
          <w:lang w:eastAsia="en-GB"/>
        </w:rPr>
        <w:t xml:space="preserve">           </w:t>
      </w:r>
      <w:proofErr w:type="gramStart"/>
      <w:r w:rsidRPr="000A7C2F">
        <w:rPr>
          <w:rFonts w:ascii="Times New Roman" w:eastAsia="Times New Roman" w:hAnsi="Times New Roman" w:cs="Times New Roman"/>
          <w:lang w:eastAsia="en-GB"/>
        </w:rPr>
        <w:t>07  Pat</w:t>
      </w:r>
      <w:proofErr w:type="gramEnd"/>
      <w:r w:rsidRPr="000A7C2F">
        <w:rPr>
          <w:rFonts w:ascii="Times New Roman" w:eastAsia="Times New Roman" w:hAnsi="Times New Roman" w:cs="Times New Roman"/>
          <w:lang w:eastAsia="en-GB"/>
        </w:rPr>
        <w:t xml:space="preserve">:     Uh huh. </w:t>
      </w:r>
    </w:p>
    <w:p w14:paraId="5C022519" w14:textId="77777777" w:rsidR="003C55B4" w:rsidRPr="000A7C2F" w:rsidRDefault="003C55B4" w:rsidP="003C55B4">
      <w:pPr>
        <w:spacing w:line="480" w:lineRule="auto"/>
        <w:rPr>
          <w:rFonts w:ascii="Times New Roman" w:eastAsia="Times New Roman" w:hAnsi="Times New Roman" w:cs="Times New Roman"/>
          <w:lang w:eastAsia="en-GB"/>
        </w:rPr>
      </w:pPr>
      <w:r w:rsidRPr="000A7C2F">
        <w:rPr>
          <w:rFonts w:ascii="Times New Roman" w:eastAsia="Times New Roman" w:hAnsi="Times New Roman" w:cs="Times New Roman"/>
          <w:lang w:eastAsia="en-GB"/>
        </w:rPr>
        <w:t xml:space="preserve">           </w:t>
      </w:r>
      <w:proofErr w:type="gramStart"/>
      <w:r w:rsidRPr="000A7C2F">
        <w:rPr>
          <w:rFonts w:ascii="Times New Roman" w:eastAsia="Times New Roman" w:hAnsi="Times New Roman" w:cs="Times New Roman"/>
          <w:lang w:eastAsia="en-GB"/>
        </w:rPr>
        <w:t>08  Neu</w:t>
      </w:r>
      <w:proofErr w:type="gramEnd"/>
      <w:r w:rsidRPr="000A7C2F">
        <w:rPr>
          <w:rFonts w:ascii="Times New Roman" w:eastAsia="Times New Roman" w:hAnsi="Times New Roman" w:cs="Times New Roman"/>
          <w:lang w:eastAsia="en-GB"/>
        </w:rPr>
        <w:t xml:space="preserve">:   … see if they think that the inflammation…would benefit from some </w:t>
      </w:r>
    </w:p>
    <w:p w14:paraId="08C2F827" w14:textId="77777777" w:rsidR="00655A7C" w:rsidRPr="000A7C2F" w:rsidRDefault="003C55B4" w:rsidP="00622CA6">
      <w:pPr>
        <w:spacing w:line="480" w:lineRule="auto"/>
        <w:rPr>
          <w:rFonts w:ascii="Times New Roman" w:eastAsia="Times New Roman" w:hAnsi="Times New Roman" w:cs="Times New Roman"/>
          <w:lang w:eastAsia="en-GB"/>
        </w:rPr>
      </w:pPr>
      <w:r w:rsidRPr="000A7C2F">
        <w:rPr>
          <w:rFonts w:ascii="Times New Roman" w:eastAsia="Times New Roman" w:hAnsi="Times New Roman" w:cs="Times New Roman"/>
          <w:lang w:eastAsia="en-GB"/>
        </w:rPr>
        <w:t xml:space="preserve">           09             other forms of treatment </w:t>
      </w:r>
      <w:r w:rsidRPr="000A7C2F">
        <w:rPr>
          <w:rFonts w:ascii="Times New Roman" w:eastAsia="Times New Roman" w:hAnsi="Times New Roman" w:cs="Times New Roman"/>
          <w:lang w:eastAsia="en-GB"/>
        </w:rPr>
        <w:br/>
      </w:r>
    </w:p>
    <w:p w14:paraId="2CECB3A7" w14:textId="26B2BD3E" w:rsidR="00622CA6" w:rsidRPr="000A7C2F" w:rsidRDefault="00636331" w:rsidP="00622CA6">
      <w:pPr>
        <w:spacing w:line="480" w:lineRule="auto"/>
        <w:rPr>
          <w:rFonts w:ascii="Times New Roman" w:eastAsia="Times New Roman" w:hAnsi="Times New Roman" w:cs="Times New Roman"/>
        </w:rPr>
      </w:pPr>
      <w:r>
        <w:rPr>
          <w:rFonts w:ascii="Times New Roman" w:eastAsia="Times New Roman" w:hAnsi="Times New Roman" w:cs="Times New Roman"/>
          <w:lang w:eastAsia="en-GB"/>
        </w:rPr>
        <w:t>T</w:t>
      </w:r>
      <w:r w:rsidR="00655A7C" w:rsidRPr="000A7C2F">
        <w:rPr>
          <w:rFonts w:ascii="Times New Roman" w:eastAsia="Times New Roman" w:hAnsi="Times New Roman" w:cs="Times New Roman"/>
          <w:lang w:eastAsia="en-GB"/>
        </w:rPr>
        <w:t>he identifiers in this paper show where the recording was made (Glasgow or Sheffield) and the recording</w:t>
      </w:r>
      <w:r w:rsidR="00ED62D4" w:rsidRPr="000A7C2F">
        <w:rPr>
          <w:rFonts w:ascii="Times New Roman" w:eastAsia="Times New Roman" w:hAnsi="Times New Roman" w:cs="Times New Roman"/>
          <w:lang w:eastAsia="en-GB"/>
        </w:rPr>
        <w:t xml:space="preserve"> number</w:t>
      </w:r>
      <w:r w:rsidR="00655A7C" w:rsidRPr="000A7C2F">
        <w:rPr>
          <w:rFonts w:ascii="Times New Roman" w:eastAsia="Times New Roman" w:hAnsi="Times New Roman" w:cs="Times New Roman"/>
          <w:lang w:eastAsia="en-GB"/>
        </w:rPr>
        <w:t xml:space="preserve"> (numbered consecutively at each site from 001).  For ease of reading we have not us</w:t>
      </w:r>
      <w:r w:rsidR="00ED62D4" w:rsidRPr="000A7C2F">
        <w:rPr>
          <w:rFonts w:ascii="Times New Roman" w:eastAsia="Times New Roman" w:hAnsi="Times New Roman" w:cs="Times New Roman"/>
          <w:lang w:eastAsia="en-GB"/>
        </w:rPr>
        <w:t>ed</w:t>
      </w:r>
      <w:r w:rsidR="00655A7C" w:rsidRPr="000A7C2F">
        <w:rPr>
          <w:rFonts w:ascii="Times New Roman" w:eastAsia="Times New Roman" w:hAnsi="Times New Roman" w:cs="Times New Roman"/>
          <w:lang w:eastAsia="en-GB"/>
        </w:rPr>
        <w:t xml:space="preserve"> Jeffersonian transcription notation here, </w:t>
      </w:r>
      <w:r w:rsidR="00771BE5">
        <w:rPr>
          <w:rFonts w:ascii="Times New Roman" w:eastAsia="Times New Roman" w:hAnsi="Times New Roman" w:cs="Times New Roman"/>
          <w:lang w:eastAsia="en-GB"/>
        </w:rPr>
        <w:t>given</w:t>
      </w:r>
      <w:r w:rsidR="00256FD7" w:rsidRPr="000A7C2F">
        <w:rPr>
          <w:rFonts w:ascii="Times New Roman" w:eastAsia="Times New Roman" w:hAnsi="Times New Roman" w:cs="Times New Roman"/>
          <w:lang w:eastAsia="en-GB"/>
        </w:rPr>
        <w:t xml:space="preserve"> </w:t>
      </w:r>
      <w:r w:rsidR="00655A7C" w:rsidRPr="000A7C2F">
        <w:rPr>
          <w:rFonts w:ascii="Times New Roman" w:eastAsia="Times New Roman" w:hAnsi="Times New Roman" w:cs="Times New Roman"/>
          <w:lang w:eastAsia="en-GB"/>
        </w:rPr>
        <w:t xml:space="preserve">our primary focus on the quantitative </w:t>
      </w:r>
      <w:r w:rsidR="00AA1BCE">
        <w:rPr>
          <w:rFonts w:ascii="Times New Roman" w:eastAsia="Times New Roman" w:hAnsi="Times New Roman" w:cs="Times New Roman"/>
          <w:lang w:eastAsia="en-GB"/>
        </w:rPr>
        <w:t>analysis</w:t>
      </w:r>
      <w:r w:rsidR="00655A7C" w:rsidRPr="000A7C2F">
        <w:rPr>
          <w:rFonts w:ascii="Times New Roman" w:eastAsia="Times New Roman" w:hAnsi="Times New Roman" w:cs="Times New Roman"/>
          <w:lang w:eastAsia="en-GB"/>
        </w:rPr>
        <w:t xml:space="preserve">. </w:t>
      </w:r>
      <w:r w:rsidR="00655A7C" w:rsidRPr="000A7C2F">
        <w:rPr>
          <w:rFonts w:ascii="Times New Roman" w:eastAsia="Times New Roman" w:hAnsi="Times New Roman" w:cs="Times New Roman"/>
          <w:lang w:eastAsia="en-GB"/>
        </w:rPr>
        <w:br/>
      </w:r>
      <w:r w:rsidR="003C55B4" w:rsidRPr="000A7C2F">
        <w:rPr>
          <w:rFonts w:ascii="Times New Roman" w:eastAsia="Times New Roman" w:hAnsi="Times New Roman" w:cs="Times New Roman"/>
          <w:lang w:eastAsia="en-GB"/>
        </w:rPr>
        <w:br/>
      </w:r>
      <w:r w:rsidR="008E055E" w:rsidRPr="000A7C2F">
        <w:rPr>
          <w:rFonts w:ascii="Times New Roman" w:eastAsia="Times New Roman" w:hAnsi="Times New Roman" w:cs="Times New Roman"/>
        </w:rPr>
        <w:lastRenderedPageBreak/>
        <w:t xml:space="preserve">The term ‘patient view elicitor’ incorporates a range of turn designs, which invite the </w:t>
      </w:r>
      <w:r w:rsidR="00622CA6" w:rsidRPr="000A7C2F">
        <w:rPr>
          <w:rFonts w:ascii="Times New Roman" w:eastAsia="Times New Roman" w:hAnsi="Times New Roman" w:cs="Times New Roman"/>
        </w:rPr>
        <w:t>patient to express:</w:t>
      </w:r>
    </w:p>
    <w:p w14:paraId="4FC66471" w14:textId="71AD70BF" w:rsidR="00622CA6" w:rsidRPr="000A7C2F" w:rsidRDefault="00622CA6" w:rsidP="00ED62D4">
      <w:pPr>
        <w:pStyle w:val="ListParagraph"/>
        <w:numPr>
          <w:ilvl w:val="0"/>
          <w:numId w:val="18"/>
        </w:numPr>
        <w:spacing w:line="480" w:lineRule="auto"/>
        <w:rPr>
          <w:rFonts w:ascii="Times New Roman" w:eastAsia="Times New Roman" w:hAnsi="Times New Roman" w:cs="Times New Roman"/>
        </w:rPr>
      </w:pPr>
      <w:r w:rsidRPr="000A7C2F">
        <w:rPr>
          <w:rFonts w:ascii="Times New Roman" w:eastAsia="Times New Roman" w:hAnsi="Times New Roman" w:cs="Times New Roman"/>
        </w:rPr>
        <w:t xml:space="preserve">A preference; e.g. </w:t>
      </w:r>
      <w:r w:rsidR="00541C47" w:rsidRPr="00541C47">
        <w:rPr>
          <w:rFonts w:ascii="Times New Roman" w:eastAsia="Times New Roman" w:hAnsi="Times New Roman" w:cs="Times New Roman"/>
          <w:i/>
        </w:rPr>
        <w:t>Do</w:t>
      </w:r>
      <w:r w:rsidR="008E055E" w:rsidRPr="000A7C2F">
        <w:rPr>
          <w:rFonts w:ascii="Times New Roman" w:eastAsia="Times New Roman" w:hAnsi="Times New Roman" w:cs="Times New Roman"/>
          <w:i/>
        </w:rPr>
        <w:t xml:space="preserve"> you want to try a new drug?</w:t>
      </w:r>
      <w:r w:rsidRPr="000A7C2F">
        <w:rPr>
          <w:rFonts w:ascii="Times New Roman" w:eastAsia="Times New Roman" w:hAnsi="Times New Roman" w:cs="Times New Roman"/>
        </w:rPr>
        <w:t xml:space="preserve"> (G075)</w:t>
      </w:r>
    </w:p>
    <w:p w14:paraId="314368B2" w14:textId="7BA403C1" w:rsidR="00BA0E59" w:rsidRPr="000A7C2F" w:rsidRDefault="00622CA6" w:rsidP="00BA0E59">
      <w:pPr>
        <w:pStyle w:val="ListParagraph"/>
        <w:numPr>
          <w:ilvl w:val="0"/>
          <w:numId w:val="18"/>
        </w:numPr>
        <w:spacing w:line="480" w:lineRule="auto"/>
        <w:rPr>
          <w:rFonts w:ascii="Times New Roman" w:eastAsia="Times New Roman" w:hAnsi="Times New Roman" w:cs="Times New Roman"/>
          <w:i/>
        </w:rPr>
      </w:pPr>
      <w:r w:rsidRPr="000A7C2F">
        <w:rPr>
          <w:rFonts w:ascii="Times New Roman" w:eastAsia="Times New Roman" w:hAnsi="Times New Roman" w:cs="Times New Roman"/>
        </w:rPr>
        <w:t>How they “feel” about an option</w:t>
      </w:r>
      <w:r w:rsidR="00BA0E59" w:rsidRPr="000A7C2F">
        <w:rPr>
          <w:rFonts w:ascii="Times New Roman" w:eastAsia="Times New Roman" w:hAnsi="Times New Roman" w:cs="Times New Roman"/>
        </w:rPr>
        <w:t xml:space="preserve">; </w:t>
      </w:r>
      <w:r w:rsidR="00ED62D4" w:rsidRPr="000A7C2F">
        <w:rPr>
          <w:rFonts w:ascii="Times New Roman" w:eastAsia="Times New Roman" w:hAnsi="Times New Roman" w:cs="Times New Roman"/>
        </w:rPr>
        <w:t xml:space="preserve">e.g. </w:t>
      </w:r>
      <w:r w:rsidR="00F133D5" w:rsidRPr="000A7C2F">
        <w:rPr>
          <w:rFonts w:ascii="Times New Roman" w:eastAsia="Times New Roman" w:hAnsi="Times New Roman" w:cs="Times New Roman"/>
          <w:i/>
        </w:rPr>
        <w:t xml:space="preserve">What are your own feelings? </w:t>
      </w:r>
      <w:r w:rsidR="00F133D5" w:rsidRPr="000A7C2F">
        <w:rPr>
          <w:rFonts w:ascii="Times New Roman" w:eastAsia="Times New Roman" w:hAnsi="Times New Roman" w:cs="Times New Roman"/>
        </w:rPr>
        <w:t>(G092)</w:t>
      </w:r>
    </w:p>
    <w:p w14:paraId="431B1584" w14:textId="229706A8" w:rsidR="00F133D5" w:rsidRPr="000A7C2F" w:rsidRDefault="00622CA6" w:rsidP="00F133D5">
      <w:pPr>
        <w:pStyle w:val="ListParagraph"/>
        <w:numPr>
          <w:ilvl w:val="0"/>
          <w:numId w:val="18"/>
        </w:numPr>
        <w:spacing w:line="480" w:lineRule="auto"/>
        <w:rPr>
          <w:rFonts w:ascii="Times New Roman" w:eastAsia="Times New Roman" w:hAnsi="Times New Roman" w:cs="Times New Roman"/>
        </w:rPr>
      </w:pPr>
      <w:r w:rsidRPr="000A7C2F">
        <w:rPr>
          <w:rFonts w:ascii="Times New Roman" w:eastAsia="Times New Roman" w:hAnsi="Times New Roman" w:cs="Times New Roman"/>
        </w:rPr>
        <w:t>T</w:t>
      </w:r>
      <w:r w:rsidR="008E055E" w:rsidRPr="000A7C2F">
        <w:rPr>
          <w:rFonts w:ascii="Times New Roman" w:eastAsia="Times New Roman" w:hAnsi="Times New Roman" w:cs="Times New Roman"/>
        </w:rPr>
        <w:t>heir “thoughts” on a proposed course of action</w:t>
      </w:r>
      <w:r w:rsidRPr="000A7C2F">
        <w:rPr>
          <w:rFonts w:ascii="Times New Roman" w:eastAsia="Times New Roman" w:hAnsi="Times New Roman" w:cs="Times New Roman"/>
        </w:rPr>
        <w:t xml:space="preserve">; e.g. </w:t>
      </w:r>
      <w:r w:rsidR="00F133D5" w:rsidRPr="000A7C2F">
        <w:rPr>
          <w:rFonts w:ascii="Times New Roman" w:eastAsia="Times New Roman" w:hAnsi="Times New Roman" w:cs="Times New Roman"/>
          <w:i/>
        </w:rPr>
        <w:t>What do you think about drugs like interferon?</w:t>
      </w:r>
      <w:r w:rsidR="00F133D5" w:rsidRPr="000A7C2F">
        <w:rPr>
          <w:rFonts w:ascii="Times New Roman" w:eastAsia="Times New Roman" w:hAnsi="Times New Roman" w:cs="Times New Roman"/>
        </w:rPr>
        <w:t xml:space="preserve"> (S084)</w:t>
      </w:r>
    </w:p>
    <w:p w14:paraId="3A11F1DC" w14:textId="727E86C4" w:rsidR="00622CA6" w:rsidRPr="000A7C2F" w:rsidRDefault="00622CA6" w:rsidP="00ED62D4">
      <w:pPr>
        <w:pStyle w:val="ListParagraph"/>
        <w:numPr>
          <w:ilvl w:val="0"/>
          <w:numId w:val="18"/>
        </w:numPr>
        <w:spacing w:line="480" w:lineRule="auto"/>
        <w:rPr>
          <w:rFonts w:ascii="Times New Roman" w:eastAsia="Times New Roman" w:hAnsi="Times New Roman" w:cs="Times New Roman"/>
        </w:rPr>
      </w:pPr>
      <w:r w:rsidRPr="000A7C2F">
        <w:rPr>
          <w:rFonts w:ascii="Times New Roman" w:eastAsia="Times New Roman" w:hAnsi="Times New Roman" w:cs="Times New Roman"/>
        </w:rPr>
        <w:t>A</w:t>
      </w:r>
      <w:r w:rsidR="008E055E" w:rsidRPr="000A7C2F">
        <w:rPr>
          <w:rFonts w:ascii="Times New Roman" w:eastAsia="Times New Roman" w:hAnsi="Times New Roman" w:cs="Times New Roman"/>
        </w:rPr>
        <w:t>nd other v</w:t>
      </w:r>
      <w:r w:rsidR="00BA0E59" w:rsidRPr="000A7C2F">
        <w:rPr>
          <w:rFonts w:ascii="Times New Roman" w:eastAsia="Times New Roman" w:hAnsi="Times New Roman" w:cs="Times New Roman"/>
        </w:rPr>
        <w:t xml:space="preserve">ariants on this theme; e.g. </w:t>
      </w:r>
      <w:r w:rsidR="008E055E" w:rsidRPr="000A7C2F">
        <w:rPr>
          <w:rFonts w:ascii="Times New Roman" w:eastAsia="Times New Roman" w:hAnsi="Times New Roman" w:cs="Times New Roman"/>
          <w:i/>
        </w:rPr>
        <w:t xml:space="preserve">Is that </w:t>
      </w:r>
      <w:proofErr w:type="gramStart"/>
      <w:r w:rsidR="008E055E" w:rsidRPr="000A7C2F">
        <w:rPr>
          <w:rFonts w:ascii="Times New Roman" w:eastAsia="Times New Roman" w:hAnsi="Times New Roman" w:cs="Times New Roman"/>
          <w:i/>
        </w:rPr>
        <w:t>bad</w:t>
      </w:r>
      <w:proofErr w:type="gramEnd"/>
      <w:r w:rsidR="008E055E" w:rsidRPr="000A7C2F">
        <w:rPr>
          <w:rFonts w:ascii="Times New Roman" w:eastAsia="Times New Roman" w:hAnsi="Times New Roman" w:cs="Times New Roman"/>
          <w:i/>
        </w:rPr>
        <w:t xml:space="preserve"> enough that you’d want to change drugs?</w:t>
      </w:r>
      <w:r w:rsidR="00B20694">
        <w:rPr>
          <w:rFonts w:ascii="Times New Roman" w:eastAsia="Times New Roman" w:hAnsi="Times New Roman" w:cs="Times New Roman"/>
        </w:rPr>
        <w:t xml:space="preserve"> (S060</w:t>
      </w:r>
      <w:r w:rsidR="008E055E" w:rsidRPr="000A7C2F">
        <w:rPr>
          <w:rFonts w:ascii="Times New Roman" w:eastAsia="Times New Roman" w:hAnsi="Times New Roman" w:cs="Times New Roman"/>
        </w:rPr>
        <w:t>)</w:t>
      </w:r>
      <w:r w:rsidR="00B20694">
        <w:rPr>
          <w:rFonts w:ascii="Times New Roman" w:eastAsia="Times New Roman" w:hAnsi="Times New Roman" w:cs="Times New Roman"/>
        </w:rPr>
        <w:t>.</w:t>
      </w:r>
    </w:p>
    <w:p w14:paraId="71B6C241" w14:textId="4E0324B0" w:rsidR="000A7C2F" w:rsidRPr="000A7C2F" w:rsidRDefault="00256FD7" w:rsidP="007856E7">
      <w:pPr>
        <w:spacing w:line="480" w:lineRule="auto"/>
        <w:rPr>
          <w:rFonts w:ascii="Times New Roman" w:eastAsia="Times New Roman" w:hAnsi="Times New Roman" w:cs="Times New Roman"/>
        </w:rPr>
      </w:pPr>
      <w:r w:rsidRPr="000A7C2F">
        <w:rPr>
          <w:rFonts w:ascii="Times New Roman" w:eastAsia="Times New Roman" w:hAnsi="Times New Roman" w:cs="Times New Roman"/>
        </w:rPr>
        <w:br/>
      </w:r>
      <w:r w:rsidR="00CB10D3" w:rsidRPr="000A7C2F">
        <w:rPr>
          <w:rFonts w:ascii="Times New Roman" w:eastAsia="Times New Roman" w:hAnsi="Times New Roman" w:cs="Times New Roman"/>
        </w:rPr>
        <w:t>All three</w:t>
      </w:r>
      <w:r w:rsidR="00312191">
        <w:rPr>
          <w:rFonts w:ascii="Times New Roman" w:eastAsia="Times New Roman" w:hAnsi="Times New Roman" w:cs="Times New Roman"/>
        </w:rPr>
        <w:t xml:space="preserve"> </w:t>
      </w:r>
      <w:r w:rsidR="00CB10D3" w:rsidRPr="000A7C2F">
        <w:rPr>
          <w:rFonts w:ascii="Times New Roman" w:eastAsia="Times New Roman" w:hAnsi="Times New Roman" w:cs="Times New Roman"/>
        </w:rPr>
        <w:t xml:space="preserve">practices may be designed in varying ways </w:t>
      </w:r>
      <w:r w:rsidR="00F6108A">
        <w:rPr>
          <w:rFonts w:ascii="Times New Roman" w:eastAsia="Times New Roman" w:hAnsi="Times New Roman" w:cs="Times New Roman"/>
        </w:rPr>
        <w:t>with implications</w:t>
      </w:r>
      <w:r w:rsidR="00CB10D3" w:rsidRPr="000A7C2F">
        <w:rPr>
          <w:rFonts w:ascii="Times New Roman" w:eastAsia="Times New Roman" w:hAnsi="Times New Roman" w:cs="Times New Roman"/>
        </w:rPr>
        <w:t xml:space="preserve"> for what sort of res</w:t>
      </w:r>
      <w:r w:rsidR="00541C47">
        <w:rPr>
          <w:rFonts w:ascii="Times New Roman" w:eastAsia="Times New Roman" w:hAnsi="Times New Roman" w:cs="Times New Roman"/>
        </w:rPr>
        <w:t xml:space="preserve">ponse is relevant next. </w:t>
      </w:r>
      <w:r w:rsidR="00CB10D3" w:rsidRPr="000A7C2F">
        <w:rPr>
          <w:rFonts w:ascii="Times New Roman" w:eastAsia="Times New Roman" w:hAnsi="Times New Roman" w:cs="Times New Roman"/>
        </w:rPr>
        <w:t xml:space="preserve">The crucial contrast, for </w:t>
      </w:r>
      <w:r w:rsidR="00980DED">
        <w:rPr>
          <w:rFonts w:ascii="Times New Roman" w:eastAsia="Times New Roman" w:hAnsi="Times New Roman" w:cs="Times New Roman"/>
        </w:rPr>
        <w:t>our</w:t>
      </w:r>
      <w:r w:rsidR="00CB10D3" w:rsidRPr="000A7C2F">
        <w:rPr>
          <w:rFonts w:ascii="Times New Roman" w:eastAsia="Times New Roman" w:hAnsi="Times New Roman" w:cs="Times New Roman"/>
        </w:rPr>
        <w:t xml:space="preserve"> purposes</w:t>
      </w:r>
      <w:r w:rsidR="00980DED">
        <w:rPr>
          <w:rFonts w:ascii="Times New Roman" w:eastAsia="Times New Roman" w:hAnsi="Times New Roman" w:cs="Times New Roman"/>
        </w:rPr>
        <w:t xml:space="preserve"> here</w:t>
      </w:r>
      <w:r w:rsidR="00CB10D3" w:rsidRPr="000A7C2F">
        <w:rPr>
          <w:rFonts w:ascii="Times New Roman" w:eastAsia="Times New Roman" w:hAnsi="Times New Roman" w:cs="Times New Roman"/>
        </w:rPr>
        <w:t xml:space="preserve">, </w:t>
      </w:r>
      <w:r w:rsidR="000A7C2F" w:rsidRPr="000A7C2F">
        <w:rPr>
          <w:rFonts w:ascii="Times New Roman" w:eastAsia="Times New Roman" w:hAnsi="Times New Roman" w:cs="Times New Roman"/>
        </w:rPr>
        <w:t>i</w:t>
      </w:r>
      <w:r w:rsidR="00CB10D3" w:rsidRPr="000A7C2F">
        <w:rPr>
          <w:rFonts w:ascii="Times New Roman" w:eastAsia="Times New Roman" w:hAnsi="Times New Roman" w:cs="Times New Roman"/>
        </w:rPr>
        <w:t xml:space="preserve">s the way in which option-lists and PVEs </w:t>
      </w:r>
      <w:r w:rsidR="008E055E" w:rsidRPr="000A7C2F">
        <w:rPr>
          <w:rFonts w:ascii="Times New Roman" w:eastAsia="Times New Roman" w:hAnsi="Times New Roman" w:cs="Times New Roman"/>
        </w:rPr>
        <w:t>orient to the decision as lying in the patient’s domain</w:t>
      </w:r>
      <w:r w:rsidR="00B20694">
        <w:rPr>
          <w:rFonts w:ascii="Times New Roman" w:eastAsia="Times New Roman" w:hAnsi="Times New Roman" w:cs="Times New Roman"/>
        </w:rPr>
        <w:t>.  B</w:t>
      </w:r>
      <w:r w:rsidR="000A7C2F" w:rsidRPr="000A7C2F">
        <w:rPr>
          <w:rFonts w:ascii="Times New Roman" w:eastAsia="Times New Roman" w:hAnsi="Times New Roman" w:cs="Times New Roman"/>
        </w:rPr>
        <w:t>oth</w:t>
      </w:r>
      <w:r w:rsidR="00CB10D3" w:rsidRPr="000A7C2F">
        <w:rPr>
          <w:rFonts w:ascii="Times New Roman" w:eastAsia="Times New Roman" w:hAnsi="Times New Roman" w:cs="Times New Roman"/>
        </w:rPr>
        <w:t xml:space="preserve"> </w:t>
      </w:r>
      <w:r w:rsidR="00BD0594" w:rsidRPr="000A7C2F">
        <w:rPr>
          <w:rFonts w:ascii="Times New Roman" w:eastAsia="Times New Roman" w:hAnsi="Times New Roman" w:cs="Times New Roman"/>
        </w:rPr>
        <w:t xml:space="preserve">seek the patient’s active voicing of their position with respect to the option(s), </w:t>
      </w:r>
      <w:r w:rsidR="00CB10D3" w:rsidRPr="000A7C2F">
        <w:rPr>
          <w:rFonts w:ascii="Times New Roman" w:eastAsia="Times New Roman" w:hAnsi="Times New Roman" w:cs="Times New Roman"/>
        </w:rPr>
        <w:t xml:space="preserve">while </w:t>
      </w:r>
      <w:r w:rsidR="008E055E" w:rsidRPr="000A7C2F">
        <w:rPr>
          <w:rFonts w:ascii="Times New Roman" w:eastAsia="Times New Roman" w:hAnsi="Times New Roman" w:cs="Times New Roman"/>
        </w:rPr>
        <w:t xml:space="preserve">recommendations </w:t>
      </w:r>
      <w:r w:rsidR="009B0E11" w:rsidRPr="000A7C2F">
        <w:rPr>
          <w:rFonts w:ascii="Times New Roman" w:eastAsia="Times New Roman" w:hAnsi="Times New Roman" w:cs="Times New Roman"/>
        </w:rPr>
        <w:t>des</w:t>
      </w:r>
      <w:r w:rsidR="00D0319D" w:rsidRPr="000A7C2F">
        <w:rPr>
          <w:rFonts w:ascii="Times New Roman" w:eastAsia="Times New Roman" w:hAnsi="Times New Roman" w:cs="Times New Roman"/>
        </w:rPr>
        <w:t xml:space="preserve">ignedly </w:t>
      </w:r>
      <w:r w:rsidR="008E055E" w:rsidRPr="000A7C2F">
        <w:rPr>
          <w:rFonts w:ascii="Times New Roman" w:eastAsia="Times New Roman" w:hAnsi="Times New Roman" w:cs="Times New Roman"/>
        </w:rPr>
        <w:t>make explicit which option the neurologist thinks is best</w:t>
      </w:r>
      <w:r w:rsidR="00CB10D3" w:rsidRPr="000A7C2F">
        <w:rPr>
          <w:rFonts w:ascii="Times New Roman" w:eastAsia="Times New Roman" w:hAnsi="Times New Roman" w:cs="Times New Roman"/>
        </w:rPr>
        <w:t xml:space="preserve">, </w:t>
      </w:r>
      <w:r w:rsidR="00B74AD1">
        <w:rPr>
          <w:rFonts w:ascii="Times New Roman" w:eastAsia="Times New Roman" w:hAnsi="Times New Roman" w:cs="Times New Roman"/>
        </w:rPr>
        <w:t xml:space="preserve">only </w:t>
      </w:r>
      <w:r w:rsidR="00CB10D3" w:rsidRPr="000A7C2F">
        <w:rPr>
          <w:rFonts w:ascii="Times New Roman" w:eastAsia="Times New Roman" w:hAnsi="Times New Roman" w:cs="Times New Roman"/>
        </w:rPr>
        <w:t xml:space="preserve">seeking the patient’s acceptance </w:t>
      </w:r>
      <w:r w:rsidR="00F133D5" w:rsidRPr="000A7C2F">
        <w:rPr>
          <w:rFonts w:ascii="Times New Roman" w:eastAsia="Times New Roman" w:hAnsi="Times New Roman" w:cs="Times New Roman"/>
        </w:rPr>
        <w:t>thereof</w:t>
      </w:r>
      <w:r w:rsidR="00541C47">
        <w:rPr>
          <w:rFonts w:ascii="Times New Roman" w:eastAsia="Times New Roman" w:hAnsi="Times New Roman" w:cs="Times New Roman"/>
        </w:rPr>
        <w:t xml:space="preserve"> (see </w:t>
      </w:r>
      <w:proofErr w:type="spellStart"/>
      <w:r w:rsidR="00541C47">
        <w:rPr>
          <w:rFonts w:ascii="Times New Roman" w:eastAsia="Times New Roman" w:hAnsi="Times New Roman" w:cs="Times New Roman"/>
        </w:rPr>
        <w:t>Toerien</w:t>
      </w:r>
      <w:proofErr w:type="spellEnd"/>
      <w:r w:rsidR="00541C47">
        <w:rPr>
          <w:rFonts w:ascii="Times New Roman" w:eastAsia="Times New Roman" w:hAnsi="Times New Roman" w:cs="Times New Roman"/>
        </w:rPr>
        <w:t xml:space="preserve"> et al., 2013)</w:t>
      </w:r>
      <w:r w:rsidR="00E17D1D" w:rsidRPr="000A7C2F">
        <w:rPr>
          <w:rFonts w:ascii="Times New Roman" w:eastAsia="Times New Roman" w:hAnsi="Times New Roman" w:cs="Times New Roman"/>
        </w:rPr>
        <w:t xml:space="preserve">.  </w:t>
      </w:r>
    </w:p>
    <w:p w14:paraId="42106E78" w14:textId="77777777" w:rsidR="000A7C2F" w:rsidRPr="000A7C2F" w:rsidRDefault="000A7C2F" w:rsidP="007856E7">
      <w:pPr>
        <w:spacing w:line="480" w:lineRule="auto"/>
        <w:rPr>
          <w:rFonts w:ascii="Times New Roman" w:eastAsia="Times New Roman" w:hAnsi="Times New Roman" w:cs="Times New Roman"/>
        </w:rPr>
      </w:pPr>
    </w:p>
    <w:p w14:paraId="01858E9C" w14:textId="794A5D0A" w:rsidR="00C80F87" w:rsidRDefault="00F133D5" w:rsidP="00C4718C">
      <w:pPr>
        <w:spacing w:line="480" w:lineRule="auto"/>
        <w:rPr>
          <w:rFonts w:ascii="Times New Roman" w:hAnsi="Times New Roman" w:cs="Times New Roman"/>
        </w:rPr>
      </w:pPr>
      <w:r w:rsidRPr="000A7C2F">
        <w:rPr>
          <w:rFonts w:ascii="Times New Roman" w:eastAsia="Times New Roman" w:hAnsi="Times New Roman" w:cs="Times New Roman"/>
        </w:rPr>
        <w:t>The following examples</w:t>
      </w:r>
      <w:r w:rsidR="00B35300" w:rsidRPr="000A7C2F">
        <w:rPr>
          <w:rFonts w:ascii="Times New Roman" w:eastAsia="Times New Roman" w:hAnsi="Times New Roman" w:cs="Times New Roman"/>
        </w:rPr>
        <w:t xml:space="preserve">, together with </w:t>
      </w:r>
      <w:r w:rsidR="00CB7B09" w:rsidRPr="000A7C2F">
        <w:rPr>
          <w:rFonts w:ascii="Times New Roman" w:eastAsia="Times New Roman" w:hAnsi="Times New Roman" w:cs="Times New Roman"/>
        </w:rPr>
        <w:t>the option-listing example, above</w:t>
      </w:r>
      <w:r w:rsidR="00B35300" w:rsidRPr="000A7C2F">
        <w:rPr>
          <w:rFonts w:ascii="Times New Roman" w:eastAsia="Times New Roman" w:hAnsi="Times New Roman" w:cs="Times New Roman"/>
        </w:rPr>
        <w:t>,</w:t>
      </w:r>
      <w:r w:rsidR="00E17D1D" w:rsidRPr="000A7C2F">
        <w:rPr>
          <w:rFonts w:ascii="Times New Roman" w:eastAsia="Times New Roman" w:hAnsi="Times New Roman" w:cs="Times New Roman"/>
        </w:rPr>
        <w:t xml:space="preserve"> illustrate this contrast by </w:t>
      </w:r>
      <w:r w:rsidRPr="000A7C2F">
        <w:rPr>
          <w:rFonts w:ascii="Times New Roman" w:eastAsia="Times New Roman" w:hAnsi="Times New Roman" w:cs="Times New Roman"/>
        </w:rPr>
        <w:t xml:space="preserve">showing </w:t>
      </w:r>
      <w:r w:rsidR="00E17D1D" w:rsidRPr="000A7C2F">
        <w:rPr>
          <w:rFonts w:ascii="Times New Roman" w:eastAsia="Times New Roman" w:hAnsi="Times New Roman" w:cs="Times New Roman"/>
        </w:rPr>
        <w:t xml:space="preserve">the </w:t>
      </w:r>
      <w:r w:rsidR="000A7C2F" w:rsidRPr="000A7C2F">
        <w:rPr>
          <w:rFonts w:ascii="Times New Roman" w:eastAsia="Times New Roman" w:hAnsi="Times New Roman" w:cs="Times New Roman"/>
        </w:rPr>
        <w:t>same decision type (</w:t>
      </w:r>
      <w:r w:rsidR="00B20694">
        <w:rPr>
          <w:rFonts w:ascii="Times New Roman" w:eastAsia="Times New Roman" w:hAnsi="Times New Roman" w:cs="Times New Roman"/>
        </w:rPr>
        <w:t xml:space="preserve">whether to take </w:t>
      </w:r>
      <w:r w:rsidR="000A7C2F" w:rsidRPr="000A7C2F">
        <w:rPr>
          <w:rFonts w:ascii="Times New Roman" w:eastAsia="Times New Roman" w:hAnsi="Times New Roman" w:cs="Times New Roman"/>
        </w:rPr>
        <w:t xml:space="preserve">steroids) handled </w:t>
      </w:r>
      <w:r w:rsidR="00E772EA">
        <w:rPr>
          <w:rFonts w:ascii="Times New Roman" w:eastAsia="Times New Roman" w:hAnsi="Times New Roman" w:cs="Times New Roman"/>
        </w:rPr>
        <w:t>using</w:t>
      </w:r>
      <w:r w:rsidR="000A7C2F" w:rsidRPr="000A7C2F">
        <w:rPr>
          <w:rFonts w:ascii="Times New Roman" w:eastAsia="Times New Roman" w:hAnsi="Times New Roman" w:cs="Times New Roman"/>
        </w:rPr>
        <w:t xml:space="preserve"> each </w:t>
      </w:r>
      <w:r w:rsidR="00E17D1D" w:rsidRPr="000A7C2F">
        <w:rPr>
          <w:rFonts w:ascii="Times New Roman" w:eastAsia="Times New Roman" w:hAnsi="Times New Roman" w:cs="Times New Roman"/>
        </w:rPr>
        <w:t>practice</w:t>
      </w:r>
      <w:r w:rsidR="00B35300" w:rsidRPr="000A7C2F">
        <w:rPr>
          <w:rFonts w:ascii="Times New Roman" w:eastAsia="Times New Roman" w:hAnsi="Times New Roman" w:cs="Times New Roman"/>
        </w:rPr>
        <w:t xml:space="preserve">. </w:t>
      </w:r>
      <w:r w:rsidR="00CB7B09" w:rsidRPr="000A7C2F">
        <w:rPr>
          <w:rFonts w:ascii="Times New Roman" w:eastAsia="Times New Roman" w:hAnsi="Times New Roman" w:cs="Times New Roman"/>
        </w:rPr>
        <w:t>We have seen steroids listed as one option among two</w:t>
      </w:r>
      <w:r w:rsidR="00E772EA">
        <w:rPr>
          <w:rFonts w:ascii="Times New Roman" w:eastAsia="Times New Roman" w:hAnsi="Times New Roman" w:cs="Times New Roman"/>
        </w:rPr>
        <w:t xml:space="preserve"> alternatives. </w:t>
      </w:r>
      <w:r w:rsidR="004A5DE6" w:rsidRPr="000A7C2F">
        <w:rPr>
          <w:rFonts w:ascii="Times New Roman" w:eastAsia="Times New Roman" w:hAnsi="Times New Roman" w:cs="Times New Roman"/>
        </w:rPr>
        <w:t xml:space="preserve">In the following </w:t>
      </w:r>
      <w:r w:rsidR="00F048E2">
        <w:rPr>
          <w:rFonts w:ascii="Times New Roman" w:eastAsia="Times New Roman" w:hAnsi="Times New Roman" w:cs="Times New Roman"/>
        </w:rPr>
        <w:t>turn</w:t>
      </w:r>
      <w:r w:rsidR="004A5DE6" w:rsidRPr="000A7C2F">
        <w:rPr>
          <w:rFonts w:ascii="Times New Roman" w:eastAsia="Times New Roman" w:hAnsi="Times New Roman" w:cs="Times New Roman"/>
        </w:rPr>
        <w:t xml:space="preserve">, </w:t>
      </w:r>
      <w:r w:rsidR="00CB7B09" w:rsidRPr="000A7C2F">
        <w:rPr>
          <w:rFonts w:ascii="Times New Roman" w:hAnsi="Times New Roman" w:cs="Times New Roman"/>
        </w:rPr>
        <w:t>the</w:t>
      </w:r>
      <w:r w:rsidR="00C80F87" w:rsidRPr="000A7C2F">
        <w:rPr>
          <w:rFonts w:ascii="Times New Roman" w:hAnsi="Times New Roman" w:cs="Times New Roman"/>
        </w:rPr>
        <w:t xml:space="preserve"> neurologist </w:t>
      </w:r>
      <w:r w:rsidR="00CB7B09" w:rsidRPr="000A7C2F">
        <w:rPr>
          <w:rFonts w:ascii="Times New Roman" w:hAnsi="Times New Roman" w:cs="Times New Roman"/>
        </w:rPr>
        <w:t xml:space="preserve">also constructs steroid use as optional, this time </w:t>
      </w:r>
      <w:r w:rsidR="00F048E2">
        <w:rPr>
          <w:rFonts w:ascii="Times New Roman" w:hAnsi="Times New Roman" w:cs="Times New Roman"/>
        </w:rPr>
        <w:t>using</w:t>
      </w:r>
      <w:r w:rsidR="00CB7B09" w:rsidRPr="000A7C2F">
        <w:rPr>
          <w:rFonts w:ascii="Times New Roman" w:hAnsi="Times New Roman" w:cs="Times New Roman"/>
        </w:rPr>
        <w:t xml:space="preserve"> a PVE</w:t>
      </w:r>
      <w:r w:rsidR="00B20694">
        <w:rPr>
          <w:rFonts w:ascii="Times New Roman" w:hAnsi="Times New Roman" w:cs="Times New Roman"/>
        </w:rPr>
        <w:t>, which foregrounds the patient’s wishes</w:t>
      </w:r>
      <w:r w:rsidR="00C80F87" w:rsidRPr="000A7C2F">
        <w:rPr>
          <w:rFonts w:ascii="Times New Roman" w:hAnsi="Times New Roman" w:cs="Times New Roman"/>
        </w:rPr>
        <w:t>:</w:t>
      </w:r>
    </w:p>
    <w:p w14:paraId="1BD2633D" w14:textId="77777777" w:rsidR="00C4718C" w:rsidRPr="000A7C2F" w:rsidRDefault="00C4718C" w:rsidP="00C4718C">
      <w:pPr>
        <w:spacing w:line="480" w:lineRule="auto"/>
        <w:rPr>
          <w:rFonts w:ascii="Times New Roman" w:eastAsia="Times New Roman" w:hAnsi="Times New Roman" w:cs="Times New Roman"/>
        </w:rPr>
      </w:pPr>
    </w:p>
    <w:p w14:paraId="2A53399F" w14:textId="7D41DD83" w:rsidR="00C80F87" w:rsidRPr="000A7C2F" w:rsidRDefault="00C80F87" w:rsidP="00C4718C">
      <w:pPr>
        <w:spacing w:line="480" w:lineRule="auto"/>
        <w:ind w:firstLine="720"/>
        <w:rPr>
          <w:rFonts w:ascii="Times New Roman" w:hAnsi="Times New Roman" w:cs="Times New Roman"/>
        </w:rPr>
      </w:pPr>
      <w:proofErr w:type="spellStart"/>
      <w:r w:rsidRPr="000A7C2F">
        <w:rPr>
          <w:rFonts w:ascii="Times New Roman" w:eastAsia="Times New Roman" w:hAnsi="Times New Roman" w:cs="Times New Roman"/>
          <w:b/>
          <w:i/>
        </w:rPr>
        <w:t>D’you</w:t>
      </w:r>
      <w:proofErr w:type="spellEnd"/>
      <w:r w:rsidRPr="000A7C2F">
        <w:rPr>
          <w:rFonts w:ascii="Times New Roman" w:eastAsia="Times New Roman" w:hAnsi="Times New Roman" w:cs="Times New Roman"/>
          <w:b/>
          <w:i/>
        </w:rPr>
        <w:t xml:space="preserve"> want to</w:t>
      </w:r>
      <w:r w:rsidRPr="000A7C2F">
        <w:rPr>
          <w:rFonts w:ascii="Times New Roman" w:eastAsia="Times New Roman" w:hAnsi="Times New Roman" w:cs="Times New Roman"/>
          <w:i/>
        </w:rPr>
        <w:t xml:space="preserve"> try some steroids?</w:t>
      </w:r>
      <w:r w:rsidRPr="000A7C2F">
        <w:rPr>
          <w:rFonts w:ascii="Times New Roman" w:eastAsia="Times New Roman" w:hAnsi="Times New Roman" w:cs="Times New Roman"/>
        </w:rPr>
        <w:t xml:space="preserve"> (S080)</w:t>
      </w:r>
    </w:p>
    <w:p w14:paraId="0458EAE9" w14:textId="5C3DB878" w:rsidR="00C80F87" w:rsidRPr="000A7C2F" w:rsidRDefault="00C80F87" w:rsidP="00C4718C">
      <w:pPr>
        <w:spacing w:line="480" w:lineRule="auto"/>
        <w:rPr>
          <w:rFonts w:ascii="Times New Roman" w:hAnsi="Times New Roman" w:cs="Times New Roman"/>
        </w:rPr>
      </w:pPr>
    </w:p>
    <w:p w14:paraId="680E204A" w14:textId="34C82774" w:rsidR="00C80F87" w:rsidRPr="000A7C2F" w:rsidRDefault="00CB7B09" w:rsidP="00C4718C">
      <w:pPr>
        <w:spacing w:line="480" w:lineRule="auto"/>
        <w:rPr>
          <w:rFonts w:ascii="Times New Roman" w:hAnsi="Times New Roman" w:cs="Times New Roman"/>
        </w:rPr>
      </w:pPr>
      <w:r w:rsidRPr="000A7C2F">
        <w:rPr>
          <w:rFonts w:ascii="Times New Roman" w:hAnsi="Times New Roman" w:cs="Times New Roman"/>
        </w:rPr>
        <w:lastRenderedPageBreak/>
        <w:t xml:space="preserve">In our final </w:t>
      </w:r>
      <w:r w:rsidR="00F048E2">
        <w:rPr>
          <w:rFonts w:ascii="Times New Roman" w:hAnsi="Times New Roman" w:cs="Times New Roman"/>
        </w:rPr>
        <w:t>example</w:t>
      </w:r>
      <w:r w:rsidRPr="000A7C2F">
        <w:rPr>
          <w:rFonts w:ascii="Times New Roman" w:hAnsi="Times New Roman" w:cs="Times New Roman"/>
        </w:rPr>
        <w:t>, the neurologist, h</w:t>
      </w:r>
      <w:r w:rsidR="004A5DE6" w:rsidRPr="000A7C2F">
        <w:rPr>
          <w:rFonts w:ascii="Times New Roman" w:hAnsi="Times New Roman" w:cs="Times New Roman"/>
        </w:rPr>
        <w:t>aving provided some diagnostic information about the patient’s symptoms (not shown)</w:t>
      </w:r>
      <w:r w:rsidR="0025007D" w:rsidRPr="000A7C2F">
        <w:rPr>
          <w:rFonts w:ascii="Times New Roman" w:hAnsi="Times New Roman" w:cs="Times New Roman"/>
        </w:rPr>
        <w:t>, builds on this to justify steroids as his recommended course of action</w:t>
      </w:r>
      <w:r w:rsidR="00B20694">
        <w:rPr>
          <w:rFonts w:ascii="Times New Roman" w:hAnsi="Times New Roman" w:cs="Times New Roman"/>
        </w:rPr>
        <w:t>, thereby foreg</w:t>
      </w:r>
      <w:r w:rsidR="00F048E2">
        <w:rPr>
          <w:rFonts w:ascii="Times New Roman" w:hAnsi="Times New Roman" w:cs="Times New Roman"/>
        </w:rPr>
        <w:t>r</w:t>
      </w:r>
      <w:r w:rsidR="00B20694">
        <w:rPr>
          <w:rFonts w:ascii="Times New Roman" w:hAnsi="Times New Roman" w:cs="Times New Roman"/>
        </w:rPr>
        <w:t>ounding his opinion</w:t>
      </w:r>
      <w:r w:rsidR="0025007D" w:rsidRPr="000A7C2F">
        <w:rPr>
          <w:rFonts w:ascii="Times New Roman" w:hAnsi="Times New Roman" w:cs="Times New Roman"/>
        </w:rPr>
        <w:t>.</w:t>
      </w:r>
    </w:p>
    <w:p w14:paraId="38B0493A" w14:textId="77777777" w:rsidR="004A5DE6" w:rsidRPr="000A7C2F" w:rsidRDefault="004A5DE6" w:rsidP="00C4718C">
      <w:pPr>
        <w:spacing w:line="480" w:lineRule="auto"/>
        <w:rPr>
          <w:rFonts w:ascii="Times New Roman" w:hAnsi="Times New Roman" w:cs="Times New Roman"/>
        </w:rPr>
      </w:pPr>
    </w:p>
    <w:p w14:paraId="6B2A0421" w14:textId="45F19857" w:rsidR="0025007D" w:rsidRPr="000A7C2F" w:rsidRDefault="0025007D" w:rsidP="00C4718C">
      <w:pPr>
        <w:spacing w:line="480" w:lineRule="auto"/>
        <w:ind w:left="720"/>
        <w:rPr>
          <w:rFonts w:ascii="Times New Roman" w:hAnsi="Times New Roman" w:cs="Times New Roman"/>
          <w:i/>
        </w:rPr>
      </w:pPr>
      <w:r w:rsidRPr="000A7C2F">
        <w:rPr>
          <w:rFonts w:ascii="Times New Roman" w:hAnsi="Times New Roman" w:cs="Times New Roman"/>
          <w:i/>
        </w:rPr>
        <w:t xml:space="preserve">And that’s why </w:t>
      </w:r>
      <w:r w:rsidRPr="000A7C2F">
        <w:rPr>
          <w:rFonts w:ascii="Times New Roman" w:hAnsi="Times New Roman" w:cs="Times New Roman"/>
          <w:b/>
          <w:i/>
        </w:rPr>
        <w:t>I want to</w:t>
      </w:r>
      <w:r w:rsidRPr="000A7C2F">
        <w:rPr>
          <w:rFonts w:ascii="Times New Roman" w:hAnsi="Times New Roman" w:cs="Times New Roman"/>
          <w:i/>
        </w:rPr>
        <w:t xml:space="preserve"> get the trial of steroids… It kind of depends on how things go, but I think five days of steroid tablets, you know, a short sharp course…  should give us enough information to see whether or not we need to do anything else with it</w:t>
      </w:r>
      <w:r w:rsidR="000A7C2F" w:rsidRPr="000A7C2F">
        <w:rPr>
          <w:rFonts w:ascii="Times New Roman" w:hAnsi="Times New Roman" w:cs="Times New Roman"/>
          <w:i/>
        </w:rPr>
        <w:t xml:space="preserve"> (G042)</w:t>
      </w:r>
      <w:r w:rsidRPr="000A7C2F">
        <w:rPr>
          <w:rFonts w:ascii="Times New Roman" w:hAnsi="Times New Roman" w:cs="Times New Roman"/>
          <w:i/>
        </w:rPr>
        <w:t>.</w:t>
      </w:r>
    </w:p>
    <w:p w14:paraId="354BBAD6" w14:textId="7676F208" w:rsidR="004A5DE6" w:rsidRPr="000A7C2F" w:rsidRDefault="004A5DE6" w:rsidP="00C4718C">
      <w:pPr>
        <w:spacing w:line="480" w:lineRule="auto"/>
        <w:rPr>
          <w:rFonts w:ascii="Times New Roman" w:hAnsi="Times New Roman" w:cs="Times New Roman"/>
          <w:sz w:val="20"/>
          <w:szCs w:val="20"/>
        </w:rPr>
      </w:pPr>
    </w:p>
    <w:p w14:paraId="4556FD99" w14:textId="77777777" w:rsidR="004A5DE6" w:rsidRPr="000A7C2F" w:rsidRDefault="004A5DE6" w:rsidP="00C4718C">
      <w:pPr>
        <w:spacing w:line="480" w:lineRule="auto"/>
        <w:rPr>
          <w:rFonts w:ascii="Times New Roman" w:hAnsi="Times New Roman" w:cs="Times New Roman"/>
        </w:rPr>
      </w:pPr>
    </w:p>
    <w:p w14:paraId="1A22E14F" w14:textId="18A6AEED" w:rsidR="008E055E" w:rsidRPr="000A7C2F" w:rsidRDefault="00B20694" w:rsidP="00C4718C">
      <w:pPr>
        <w:spacing w:line="480" w:lineRule="auto"/>
        <w:rPr>
          <w:rFonts w:ascii="Times New Roman" w:eastAsia="Times New Roman" w:hAnsi="Times New Roman" w:cs="Times New Roman"/>
        </w:rPr>
      </w:pPr>
      <w:r>
        <w:rPr>
          <w:rFonts w:ascii="Times New Roman" w:eastAsia="Times New Roman" w:hAnsi="Times New Roman" w:cs="Times New Roman"/>
        </w:rPr>
        <w:t>W</w:t>
      </w:r>
      <w:r w:rsidRPr="000A7C2F">
        <w:rPr>
          <w:rFonts w:ascii="Times New Roman" w:eastAsia="Times New Roman" w:hAnsi="Times New Roman" w:cs="Times New Roman"/>
        </w:rPr>
        <w:t>e understand the</w:t>
      </w:r>
      <w:r>
        <w:rPr>
          <w:rFonts w:ascii="Times New Roman" w:eastAsia="Times New Roman" w:hAnsi="Times New Roman" w:cs="Times New Roman"/>
        </w:rPr>
        <w:t>se</w:t>
      </w:r>
      <w:r w:rsidRPr="000A7C2F">
        <w:rPr>
          <w:rFonts w:ascii="Times New Roman" w:eastAsia="Times New Roman" w:hAnsi="Times New Roman" w:cs="Times New Roman"/>
        </w:rPr>
        <w:t xml:space="preserve"> three practices as alternative approaches to the same activity: initiating – and, for later decision-points, pursuing – a decision about some possible treatment, investigation or referral</w:t>
      </w:r>
      <w:r>
        <w:rPr>
          <w:rFonts w:ascii="Times New Roman" w:eastAsia="Times New Roman" w:hAnsi="Times New Roman" w:cs="Times New Roman"/>
        </w:rPr>
        <w:t xml:space="preserve">, </w:t>
      </w:r>
      <w:r w:rsidRPr="000A7C2F">
        <w:rPr>
          <w:rFonts w:ascii="Times New Roman" w:eastAsia="Times New Roman" w:hAnsi="Times New Roman" w:cs="Times New Roman"/>
        </w:rPr>
        <w:t>introduced</w:t>
      </w:r>
      <w:r>
        <w:rPr>
          <w:rFonts w:ascii="Times New Roman" w:eastAsia="Times New Roman" w:hAnsi="Times New Roman" w:cs="Times New Roman"/>
        </w:rPr>
        <w:t xml:space="preserve"> by the neurologist</w:t>
      </w:r>
      <w:r w:rsidRPr="000A7C2F">
        <w:rPr>
          <w:rFonts w:ascii="Times New Roman" w:eastAsia="Times New Roman" w:hAnsi="Times New Roman" w:cs="Times New Roman"/>
        </w:rPr>
        <w:t>.</w:t>
      </w:r>
      <w:r>
        <w:rPr>
          <w:rFonts w:ascii="Times New Roman" w:eastAsia="Times New Roman" w:hAnsi="Times New Roman" w:cs="Times New Roman"/>
        </w:rPr>
        <w:t xml:space="preserve">  </w:t>
      </w:r>
      <w:r w:rsidR="00CB7B09" w:rsidRPr="000A7C2F">
        <w:rPr>
          <w:rFonts w:ascii="Times New Roman" w:eastAsia="Times New Roman" w:hAnsi="Times New Roman" w:cs="Times New Roman"/>
        </w:rPr>
        <w:br/>
        <w:t xml:space="preserve"> </w:t>
      </w:r>
      <w:r w:rsidR="0025007D" w:rsidRPr="000A7C2F">
        <w:rPr>
          <w:rFonts w:ascii="Times New Roman" w:eastAsia="Times New Roman" w:hAnsi="Times New Roman" w:cs="Times New Roman"/>
        </w:rPr>
        <w:t xml:space="preserve"> </w:t>
      </w:r>
      <w:r w:rsidR="00655A7C" w:rsidRPr="000A7C2F">
        <w:rPr>
          <w:rFonts w:ascii="Times New Roman" w:eastAsia="Times New Roman" w:hAnsi="Times New Roman" w:cs="Times New Roman"/>
        </w:rPr>
        <w:br/>
      </w:r>
      <w:r w:rsidR="00BD0594" w:rsidRPr="000A7C2F">
        <w:rPr>
          <w:rFonts w:ascii="Times New Roman" w:eastAsia="Times New Roman" w:hAnsi="Times New Roman" w:cs="Times New Roman"/>
        </w:rPr>
        <w:t>As</w:t>
      </w:r>
      <w:r w:rsidR="008E055E" w:rsidRPr="000A7C2F">
        <w:rPr>
          <w:rFonts w:ascii="Times New Roman" w:eastAsia="Times New Roman" w:hAnsi="Times New Roman" w:cs="Times New Roman"/>
        </w:rPr>
        <w:t xml:space="preserve"> we have argued previously, although option-lists and PVEs seldom set up an entirely open (or neutral) decision, they can be said to offer the patient more of a say in the decision-making </w:t>
      </w:r>
      <w:r w:rsidR="00EE5591" w:rsidRPr="000A7C2F">
        <w:rPr>
          <w:rFonts w:ascii="Times New Roman" w:eastAsia="Times New Roman" w:hAnsi="Times New Roman" w:cs="Times New Roman"/>
        </w:rPr>
        <w:t>than</w:t>
      </w:r>
      <w:r w:rsidR="00BE5641" w:rsidRPr="000A7C2F">
        <w:rPr>
          <w:rFonts w:ascii="Times New Roman" w:eastAsia="Times New Roman" w:hAnsi="Times New Roman" w:cs="Times New Roman"/>
        </w:rPr>
        <w:t xml:space="preserve"> recommendations (</w:t>
      </w:r>
      <w:proofErr w:type="spellStart"/>
      <w:r w:rsidR="00541C47">
        <w:rPr>
          <w:rFonts w:ascii="Times New Roman" w:eastAsia="Times New Roman" w:hAnsi="Times New Roman" w:cs="Times New Roman"/>
        </w:rPr>
        <w:t>Reuber</w:t>
      </w:r>
      <w:proofErr w:type="spellEnd"/>
      <w:r w:rsidR="00541C47">
        <w:rPr>
          <w:rFonts w:ascii="Times New Roman" w:eastAsia="Times New Roman" w:hAnsi="Times New Roman" w:cs="Times New Roman"/>
        </w:rPr>
        <w:t xml:space="preserve"> et al., 2015</w:t>
      </w:r>
      <w:r w:rsidR="00BE5641" w:rsidRPr="000A7C2F">
        <w:rPr>
          <w:rFonts w:ascii="Times New Roman" w:eastAsia="Times New Roman" w:hAnsi="Times New Roman" w:cs="Times New Roman"/>
        </w:rPr>
        <w:t xml:space="preserve">). </w:t>
      </w:r>
      <w:r w:rsidR="008E055E" w:rsidRPr="000A7C2F">
        <w:rPr>
          <w:rFonts w:ascii="Times New Roman" w:eastAsia="Times New Roman" w:hAnsi="Times New Roman" w:cs="Times New Roman"/>
        </w:rPr>
        <w:t xml:space="preserve">This is </w:t>
      </w:r>
      <w:r w:rsidR="00BE5641" w:rsidRPr="000A7C2F">
        <w:rPr>
          <w:rFonts w:ascii="Times New Roman" w:eastAsia="Times New Roman" w:hAnsi="Times New Roman" w:cs="Times New Roman"/>
        </w:rPr>
        <w:t xml:space="preserve">for two, interrelated reasons. </w:t>
      </w:r>
      <w:r w:rsidR="008E055E" w:rsidRPr="000A7C2F">
        <w:rPr>
          <w:rFonts w:ascii="Times New Roman" w:eastAsia="Times New Roman" w:hAnsi="Times New Roman" w:cs="Times New Roman"/>
        </w:rPr>
        <w:t>First, recommendations seek acceptance of a conclusion alr</w:t>
      </w:r>
      <w:r w:rsidR="00BE5641" w:rsidRPr="000A7C2F">
        <w:rPr>
          <w:rFonts w:ascii="Times New Roman" w:eastAsia="Times New Roman" w:hAnsi="Times New Roman" w:cs="Times New Roman"/>
        </w:rPr>
        <w:t xml:space="preserve">eady reached by the clinician. </w:t>
      </w:r>
      <w:r w:rsidR="008E055E" w:rsidRPr="000A7C2F">
        <w:rPr>
          <w:rFonts w:ascii="Times New Roman" w:eastAsia="Times New Roman" w:hAnsi="Times New Roman" w:cs="Times New Roman"/>
        </w:rPr>
        <w:t xml:space="preserve">Second, although recommendations can be formulated to carry different levels of deontic force </w:t>
      </w:r>
      <w:r w:rsidR="00541C47">
        <w:rPr>
          <w:rFonts w:ascii="Times New Roman" w:hAnsi="Times New Roman" w:cs="Times New Roman"/>
          <w:noProof/>
          <w:color w:val="000000"/>
        </w:rPr>
        <w:t>(Stevanovic and</w:t>
      </w:r>
      <w:r w:rsidR="008E055E" w:rsidRPr="000A7C2F">
        <w:rPr>
          <w:rFonts w:ascii="Times New Roman" w:hAnsi="Times New Roman" w:cs="Times New Roman"/>
          <w:noProof/>
          <w:color w:val="000000"/>
        </w:rPr>
        <w:t xml:space="preserve"> Peräkylä, 2012)</w:t>
      </w:r>
      <w:r w:rsidR="008E055E" w:rsidRPr="000A7C2F">
        <w:rPr>
          <w:rFonts w:ascii="Times New Roman" w:eastAsia="Times New Roman" w:hAnsi="Times New Roman" w:cs="Times New Roman"/>
        </w:rPr>
        <w:t xml:space="preserve"> – ranging from a pronouncement that a particular treatment is necessary, through to a highly mitigated suggestion that a treatment might be helpful – recommendations unavoidably position the patient as having to respond </w:t>
      </w:r>
      <w:r w:rsidR="00EE5591" w:rsidRPr="000A7C2F">
        <w:rPr>
          <w:rFonts w:ascii="Times New Roman" w:eastAsia="Times New Roman" w:hAnsi="Times New Roman" w:cs="Times New Roman"/>
        </w:rPr>
        <w:t>to</w:t>
      </w:r>
      <w:r w:rsidR="008E055E" w:rsidRPr="000A7C2F">
        <w:rPr>
          <w:rFonts w:ascii="Times New Roman" w:eastAsia="Times New Roman" w:hAnsi="Times New Roman" w:cs="Times New Roman"/>
        </w:rPr>
        <w:t xml:space="preserve"> </w:t>
      </w:r>
      <w:r w:rsidR="00BE5641" w:rsidRPr="000A7C2F">
        <w:rPr>
          <w:rFonts w:ascii="Times New Roman" w:eastAsia="Times New Roman" w:hAnsi="Times New Roman" w:cs="Times New Roman"/>
        </w:rPr>
        <w:t xml:space="preserve">an </w:t>
      </w:r>
      <w:r w:rsidR="008E055E" w:rsidRPr="000A7C2F">
        <w:rPr>
          <w:rFonts w:ascii="Times New Roman" w:eastAsia="Times New Roman" w:hAnsi="Times New Roman" w:cs="Times New Roman"/>
        </w:rPr>
        <w:t xml:space="preserve">‘expert opinion’.  To resist a recommendation is to go against that expertise.    </w:t>
      </w:r>
    </w:p>
    <w:p w14:paraId="472A424E" w14:textId="77777777" w:rsidR="008E055E" w:rsidRPr="000A7C2F" w:rsidRDefault="008E055E" w:rsidP="005C55FB">
      <w:pPr>
        <w:spacing w:line="480" w:lineRule="auto"/>
        <w:rPr>
          <w:rFonts w:ascii="Times New Roman" w:eastAsia="Times New Roman" w:hAnsi="Times New Roman" w:cs="Times New Roman"/>
        </w:rPr>
      </w:pPr>
    </w:p>
    <w:p w14:paraId="3B3E836D" w14:textId="6CF30AF4" w:rsidR="008E055E" w:rsidRPr="000A7C2F" w:rsidRDefault="008E055E" w:rsidP="005C55FB">
      <w:pPr>
        <w:spacing w:line="480" w:lineRule="auto"/>
        <w:rPr>
          <w:rFonts w:ascii="Times New Roman" w:hAnsi="Times New Roman" w:cs="Times New Roman"/>
        </w:rPr>
      </w:pPr>
      <w:r w:rsidRPr="000A7C2F">
        <w:rPr>
          <w:rFonts w:ascii="Times New Roman" w:eastAsia="Times New Roman" w:hAnsi="Times New Roman" w:cs="Times New Roman"/>
          <w:lang w:val="en-GB"/>
        </w:rPr>
        <w:t>As a practice for initiating decision-making</w:t>
      </w:r>
      <w:r w:rsidRPr="000A7C2F">
        <w:rPr>
          <w:rFonts w:ascii="Times New Roman" w:hAnsi="Times New Roman" w:cs="Times New Roman"/>
        </w:rPr>
        <w:t xml:space="preserve">, then, recommendations fall on the ‘old’ side of the RCS’s distinction: the approach to consent “in which the surgeon would explain the procedure to the patient and obtain their consent to proceed” (p. 15).  Option-listing, by contrast, maps closely onto the advocated ‘new’ approach, “in which the surgeon sets out the treatment options and allows the patient to decide” (ibid.).  PVEs lie closer to the ‘new’ </w:t>
      </w:r>
      <w:r w:rsidR="00DA3B51" w:rsidRPr="000A7C2F">
        <w:rPr>
          <w:rFonts w:ascii="Times New Roman" w:hAnsi="Times New Roman" w:cs="Times New Roman"/>
        </w:rPr>
        <w:t>approach</w:t>
      </w:r>
      <w:r w:rsidRPr="000A7C2F">
        <w:rPr>
          <w:rFonts w:ascii="Times New Roman" w:hAnsi="Times New Roman" w:cs="Times New Roman"/>
        </w:rPr>
        <w:t xml:space="preserve">, in that they also seek the patient’s </w:t>
      </w:r>
      <w:r w:rsidR="00BE5641" w:rsidRPr="000A7C2F">
        <w:rPr>
          <w:rFonts w:ascii="Times New Roman" w:hAnsi="Times New Roman" w:cs="Times New Roman"/>
        </w:rPr>
        <w:t xml:space="preserve">active involvement in the </w:t>
      </w:r>
      <w:r w:rsidRPr="000A7C2F">
        <w:rPr>
          <w:rFonts w:ascii="Times New Roman" w:hAnsi="Times New Roman" w:cs="Times New Roman"/>
        </w:rPr>
        <w:t>decision</w:t>
      </w:r>
      <w:r w:rsidR="00BE5641" w:rsidRPr="000A7C2F">
        <w:rPr>
          <w:rFonts w:ascii="Times New Roman" w:hAnsi="Times New Roman" w:cs="Times New Roman"/>
        </w:rPr>
        <w:t>-making</w:t>
      </w:r>
      <w:r w:rsidRPr="000A7C2F">
        <w:rPr>
          <w:rFonts w:ascii="Times New Roman" w:hAnsi="Times New Roman" w:cs="Times New Roman"/>
        </w:rPr>
        <w:t xml:space="preserve">.  </w:t>
      </w:r>
      <w:r w:rsidR="00705519">
        <w:rPr>
          <w:rFonts w:ascii="Times New Roman" w:eastAsia="Times New Roman" w:hAnsi="Times New Roman" w:cs="Times New Roman"/>
        </w:rPr>
        <w:t xml:space="preserve">In our primary </w:t>
      </w:r>
      <w:r w:rsidRPr="000A7C2F">
        <w:rPr>
          <w:rFonts w:ascii="Times New Roman" w:eastAsia="Times New Roman" w:hAnsi="Times New Roman" w:cs="Times New Roman"/>
        </w:rPr>
        <w:t xml:space="preserve">study, we focused on how these two practices could be used to facilitate </w:t>
      </w:r>
      <w:r w:rsidR="00705519">
        <w:rPr>
          <w:rFonts w:ascii="Times New Roman" w:eastAsia="Times New Roman" w:hAnsi="Times New Roman" w:cs="Times New Roman"/>
        </w:rPr>
        <w:t xml:space="preserve">patient </w:t>
      </w:r>
      <w:r w:rsidRPr="000A7C2F">
        <w:rPr>
          <w:rFonts w:ascii="Times New Roman" w:eastAsia="Times New Roman" w:hAnsi="Times New Roman" w:cs="Times New Roman"/>
        </w:rPr>
        <w:t>choice</w:t>
      </w:r>
      <w:r w:rsidR="00E772EA">
        <w:rPr>
          <w:rFonts w:ascii="Times New Roman" w:eastAsia="Times New Roman" w:hAnsi="Times New Roman" w:cs="Times New Roman"/>
        </w:rPr>
        <w:t xml:space="preserve"> (</w:t>
      </w:r>
      <w:proofErr w:type="spellStart"/>
      <w:r w:rsidR="00541C47">
        <w:rPr>
          <w:rFonts w:ascii="Times New Roman" w:eastAsia="Times New Roman" w:hAnsi="Times New Roman" w:cs="Times New Roman"/>
        </w:rPr>
        <w:t>Reuber</w:t>
      </w:r>
      <w:proofErr w:type="spellEnd"/>
      <w:r w:rsidR="00541C47">
        <w:rPr>
          <w:rFonts w:ascii="Times New Roman" w:eastAsia="Times New Roman" w:hAnsi="Times New Roman" w:cs="Times New Roman"/>
        </w:rPr>
        <w:t xml:space="preserve"> et al., 2015</w:t>
      </w:r>
      <w:r w:rsidR="00E772EA">
        <w:rPr>
          <w:rFonts w:ascii="Times New Roman" w:eastAsia="Times New Roman" w:hAnsi="Times New Roman" w:cs="Times New Roman"/>
        </w:rPr>
        <w:t>)</w:t>
      </w:r>
      <w:r w:rsidRPr="000A7C2F">
        <w:rPr>
          <w:rFonts w:ascii="Times New Roman" w:eastAsia="Times New Roman" w:hAnsi="Times New Roman" w:cs="Times New Roman"/>
        </w:rPr>
        <w:t xml:space="preserve">.  </w:t>
      </w:r>
      <w:r w:rsidR="00B74AD1">
        <w:rPr>
          <w:rFonts w:ascii="Times New Roman" w:eastAsia="Times New Roman" w:hAnsi="Times New Roman" w:cs="Times New Roman"/>
        </w:rPr>
        <w:t xml:space="preserve">In the present </w:t>
      </w:r>
      <w:r w:rsidRPr="000A7C2F">
        <w:rPr>
          <w:rFonts w:ascii="Times New Roman" w:eastAsia="Times New Roman" w:hAnsi="Times New Roman" w:cs="Times New Roman"/>
        </w:rPr>
        <w:t>study w</w:t>
      </w:r>
      <w:r w:rsidR="00B74AD1">
        <w:rPr>
          <w:rFonts w:ascii="Times New Roman" w:eastAsia="Times New Roman" w:hAnsi="Times New Roman" w:cs="Times New Roman"/>
        </w:rPr>
        <w:t xml:space="preserve">e </w:t>
      </w:r>
      <w:r w:rsidR="00B74AD1" w:rsidRPr="000A7C2F">
        <w:rPr>
          <w:rFonts w:ascii="Times New Roman" w:eastAsia="Times New Roman" w:hAnsi="Times New Roman" w:cs="Times New Roman"/>
        </w:rPr>
        <w:t>code</w:t>
      </w:r>
      <w:r w:rsidR="00B74AD1">
        <w:rPr>
          <w:rFonts w:ascii="Times New Roman" w:eastAsia="Times New Roman" w:hAnsi="Times New Roman" w:cs="Times New Roman"/>
        </w:rPr>
        <w:t>d</w:t>
      </w:r>
      <w:r w:rsidR="00B74AD1" w:rsidRPr="000A7C2F">
        <w:rPr>
          <w:rFonts w:ascii="Times New Roman" w:eastAsia="Times New Roman" w:hAnsi="Times New Roman" w:cs="Times New Roman"/>
        </w:rPr>
        <w:t xml:space="preserve"> our dataset for quantitative analysis</w:t>
      </w:r>
      <w:r w:rsidR="00B74AD1">
        <w:rPr>
          <w:rFonts w:ascii="Times New Roman" w:eastAsia="Times New Roman" w:hAnsi="Times New Roman" w:cs="Times New Roman"/>
        </w:rPr>
        <w:t xml:space="preserve"> to explore </w:t>
      </w:r>
      <w:r w:rsidRPr="000A7C2F">
        <w:rPr>
          <w:rFonts w:ascii="Times New Roman" w:eastAsia="Times New Roman" w:hAnsi="Times New Roman" w:cs="Times New Roman"/>
        </w:rPr>
        <w:t xml:space="preserve">the distribution </w:t>
      </w:r>
      <w:r w:rsidR="00AA1BCE">
        <w:rPr>
          <w:rFonts w:ascii="Times New Roman" w:eastAsia="Times New Roman" w:hAnsi="Times New Roman" w:cs="Times New Roman"/>
        </w:rPr>
        <w:t>of these practices</w:t>
      </w:r>
      <w:r w:rsidRPr="000A7C2F">
        <w:rPr>
          <w:rFonts w:ascii="Times New Roman" w:eastAsia="Times New Roman" w:hAnsi="Times New Roman" w:cs="Times New Roman"/>
        </w:rPr>
        <w:t xml:space="preserve">, </w:t>
      </w:r>
      <w:r w:rsidR="00B74AD1">
        <w:rPr>
          <w:rFonts w:ascii="Times New Roman" w:eastAsia="Times New Roman" w:hAnsi="Times New Roman" w:cs="Times New Roman"/>
        </w:rPr>
        <w:t xml:space="preserve">and how they </w:t>
      </w:r>
      <w:r w:rsidRPr="000A7C2F">
        <w:rPr>
          <w:rFonts w:ascii="Times New Roman" w:eastAsia="Times New Roman" w:hAnsi="Times New Roman" w:cs="Times New Roman"/>
        </w:rPr>
        <w:t>compare with recommend</w:t>
      </w:r>
      <w:r w:rsidR="00705519">
        <w:rPr>
          <w:rFonts w:ascii="Times New Roman" w:eastAsia="Times New Roman" w:hAnsi="Times New Roman" w:cs="Times New Roman"/>
        </w:rPr>
        <w:t>ations</w:t>
      </w:r>
      <w:r w:rsidRPr="000A7C2F">
        <w:rPr>
          <w:rFonts w:ascii="Times New Roman" w:eastAsia="Times New Roman" w:hAnsi="Times New Roman" w:cs="Times New Roman"/>
        </w:rPr>
        <w:t xml:space="preserve">. </w:t>
      </w:r>
      <w:r w:rsidR="00AD10E7" w:rsidRPr="000A7C2F">
        <w:rPr>
          <w:rFonts w:ascii="Times New Roman" w:eastAsia="Times New Roman" w:hAnsi="Times New Roman" w:cs="Times New Roman"/>
        </w:rPr>
        <w:t xml:space="preserve">Our </w:t>
      </w:r>
      <w:r w:rsidR="00F62C41" w:rsidRPr="000A7C2F">
        <w:rPr>
          <w:rFonts w:ascii="Times New Roman" w:eastAsia="Times New Roman" w:hAnsi="Times New Roman" w:cs="Times New Roman"/>
        </w:rPr>
        <w:t>aim</w:t>
      </w:r>
      <w:r w:rsidR="00AD10E7" w:rsidRPr="000A7C2F">
        <w:rPr>
          <w:rFonts w:ascii="Times New Roman" w:eastAsia="Times New Roman" w:hAnsi="Times New Roman" w:cs="Times New Roman"/>
        </w:rPr>
        <w:t xml:space="preserve">, following the example of Opel (2013), </w:t>
      </w:r>
      <w:r w:rsidR="00AD10E7" w:rsidRPr="000A7C2F">
        <w:rPr>
          <w:rFonts w:ascii="Times New Roman" w:eastAsia="Times New Roman" w:hAnsi="Times New Roman" w:cs="Times New Roman"/>
          <w:noProof/>
        </w:rPr>
        <w:t>Robinson (2007) and Stivers (2015)</w:t>
      </w:r>
      <w:r w:rsidR="00F62C41" w:rsidRPr="000A7C2F">
        <w:rPr>
          <w:rFonts w:ascii="Times New Roman" w:eastAsia="Times New Roman" w:hAnsi="Times New Roman" w:cs="Times New Roman"/>
          <w:noProof/>
        </w:rPr>
        <w:t>,</w:t>
      </w:r>
      <w:r w:rsidR="00AD10E7" w:rsidRPr="000A7C2F">
        <w:rPr>
          <w:rFonts w:ascii="Times New Roman" w:eastAsia="Times New Roman" w:hAnsi="Times New Roman" w:cs="Times New Roman"/>
          <w:noProof/>
        </w:rPr>
        <w:t xml:space="preserve"> </w:t>
      </w:r>
      <w:r w:rsidR="00AD10E7" w:rsidRPr="000A7C2F">
        <w:rPr>
          <w:rFonts w:ascii="Times New Roman" w:eastAsia="Times New Roman" w:hAnsi="Times New Roman" w:cs="Times New Roman"/>
        </w:rPr>
        <w:t xml:space="preserve">was to </w:t>
      </w:r>
      <w:r w:rsidR="00AD10E7" w:rsidRPr="000A7C2F">
        <w:rPr>
          <w:rFonts w:ascii="Times New Roman" w:hAnsi="Times New Roman" w:cs="Times New Roman"/>
          <w:lang w:val="en-GB"/>
        </w:rPr>
        <w:t>reduce</w:t>
      </w:r>
      <w:r w:rsidR="00933ECF" w:rsidRPr="000A7C2F">
        <w:rPr>
          <w:rFonts w:ascii="Times New Roman" w:hAnsi="Times New Roman" w:cs="Times New Roman"/>
          <w:lang w:val="en-GB"/>
        </w:rPr>
        <w:t xml:space="preserve"> the interactional data - for quantitative analysis - </w:t>
      </w:r>
      <w:r w:rsidR="00AD10E7" w:rsidRPr="000A7C2F">
        <w:rPr>
          <w:rFonts w:ascii="Times New Roman" w:hAnsi="Times New Roman" w:cs="Times New Roman"/>
          <w:lang w:val="en-GB"/>
        </w:rPr>
        <w:t>without sacrificing</w:t>
      </w:r>
      <w:r w:rsidR="00981427">
        <w:rPr>
          <w:rFonts w:ascii="Times New Roman" w:hAnsi="Times New Roman" w:cs="Times New Roman"/>
          <w:lang w:val="en-GB"/>
        </w:rPr>
        <w:t xml:space="preserve"> a CA</w:t>
      </w:r>
      <w:r w:rsidR="00AD10E7" w:rsidRPr="000A7C2F">
        <w:rPr>
          <w:rFonts w:ascii="Times New Roman" w:hAnsi="Times New Roman" w:cs="Times New Roman"/>
          <w:lang w:val="en-GB"/>
        </w:rPr>
        <w:t xml:space="preserve"> sensibility</w:t>
      </w:r>
      <w:r w:rsidRPr="000A7C2F">
        <w:rPr>
          <w:rFonts w:ascii="Times New Roman" w:eastAsia="Times New Roman" w:hAnsi="Times New Roman" w:cs="Times New Roman"/>
        </w:rPr>
        <w:t>.</w:t>
      </w:r>
      <w:r w:rsidR="00AD704C" w:rsidRPr="000A7C2F">
        <w:rPr>
          <w:rFonts w:ascii="Times New Roman" w:eastAsia="Times New Roman" w:hAnsi="Times New Roman" w:cs="Times New Roman"/>
        </w:rPr>
        <w:t xml:space="preserve"> We therefore worked iteratively from the recordings and retained as much interactional information as possible by</w:t>
      </w:r>
      <w:r w:rsidR="00981427">
        <w:rPr>
          <w:rFonts w:ascii="Times New Roman" w:eastAsia="Times New Roman" w:hAnsi="Times New Roman" w:cs="Times New Roman"/>
        </w:rPr>
        <w:t xml:space="preserve"> </w:t>
      </w:r>
      <w:r w:rsidR="00AD704C" w:rsidRPr="000A7C2F">
        <w:rPr>
          <w:rFonts w:ascii="Times New Roman" w:eastAsia="Times New Roman" w:hAnsi="Times New Roman" w:cs="Times New Roman"/>
        </w:rPr>
        <w:t xml:space="preserve">maintaining sequential ordering and capturing </w:t>
      </w:r>
      <w:r w:rsidR="004028ED" w:rsidRPr="000A7C2F">
        <w:rPr>
          <w:rFonts w:ascii="Times New Roman" w:eastAsia="Times New Roman" w:hAnsi="Times New Roman" w:cs="Times New Roman"/>
        </w:rPr>
        <w:t xml:space="preserve">both neurologists’ initiating turns and </w:t>
      </w:r>
      <w:r w:rsidR="00AD704C" w:rsidRPr="000A7C2F">
        <w:rPr>
          <w:rFonts w:ascii="Times New Roman" w:eastAsia="Times New Roman" w:hAnsi="Times New Roman" w:cs="Times New Roman"/>
        </w:rPr>
        <w:t>patient</w:t>
      </w:r>
      <w:r w:rsidR="004028ED" w:rsidRPr="000A7C2F">
        <w:rPr>
          <w:rFonts w:ascii="Times New Roman" w:eastAsia="Times New Roman" w:hAnsi="Times New Roman" w:cs="Times New Roman"/>
        </w:rPr>
        <w:t>s’</w:t>
      </w:r>
      <w:r w:rsidR="008D0876" w:rsidRPr="000A7C2F">
        <w:rPr>
          <w:rFonts w:ascii="Times New Roman" w:eastAsia="Times New Roman" w:hAnsi="Times New Roman" w:cs="Times New Roman"/>
        </w:rPr>
        <w:t xml:space="preserve"> </w:t>
      </w:r>
      <w:r w:rsidR="004028ED" w:rsidRPr="000A7C2F">
        <w:rPr>
          <w:rFonts w:ascii="Times New Roman" w:eastAsia="Times New Roman" w:hAnsi="Times New Roman" w:cs="Times New Roman"/>
        </w:rPr>
        <w:t xml:space="preserve">immediate </w:t>
      </w:r>
      <w:r w:rsidR="00F62C41" w:rsidRPr="000A7C2F">
        <w:rPr>
          <w:rFonts w:ascii="Times New Roman" w:eastAsia="Times New Roman" w:hAnsi="Times New Roman" w:cs="Times New Roman"/>
        </w:rPr>
        <w:t>responses</w:t>
      </w:r>
      <w:r w:rsidR="00AD704C" w:rsidRPr="000A7C2F">
        <w:rPr>
          <w:rFonts w:ascii="Times New Roman" w:eastAsia="Times New Roman" w:hAnsi="Times New Roman" w:cs="Times New Roman"/>
        </w:rPr>
        <w:t xml:space="preserve"> </w:t>
      </w:r>
      <w:r w:rsidR="004028ED" w:rsidRPr="000A7C2F">
        <w:rPr>
          <w:rFonts w:ascii="Times New Roman" w:eastAsia="Times New Roman" w:hAnsi="Times New Roman" w:cs="Times New Roman"/>
        </w:rPr>
        <w:t xml:space="preserve">(see </w:t>
      </w:r>
      <w:proofErr w:type="spellStart"/>
      <w:r w:rsidR="00541C47">
        <w:rPr>
          <w:rFonts w:ascii="Times New Roman" w:eastAsia="Times New Roman" w:hAnsi="Times New Roman" w:cs="Times New Roman"/>
        </w:rPr>
        <w:t>Reuber</w:t>
      </w:r>
      <w:proofErr w:type="spellEnd"/>
      <w:r w:rsidR="00541C47">
        <w:rPr>
          <w:rFonts w:ascii="Times New Roman" w:eastAsia="Times New Roman" w:hAnsi="Times New Roman" w:cs="Times New Roman"/>
        </w:rPr>
        <w:t xml:space="preserve"> et al., 2015 and forthcoming</w:t>
      </w:r>
      <w:r w:rsidR="004028ED" w:rsidRPr="000A7C2F">
        <w:rPr>
          <w:rFonts w:ascii="Times New Roman" w:eastAsia="Times New Roman" w:hAnsi="Times New Roman" w:cs="Times New Roman"/>
        </w:rPr>
        <w:t xml:space="preserve"> for analysis of the latter)</w:t>
      </w:r>
      <w:r w:rsidR="005759BA" w:rsidRPr="000A7C2F">
        <w:rPr>
          <w:rFonts w:ascii="Times New Roman" w:eastAsia="Times New Roman" w:hAnsi="Times New Roman" w:cs="Times New Roman"/>
        </w:rPr>
        <w:t xml:space="preserve"> across often extended decision-making trajectories</w:t>
      </w:r>
      <w:r w:rsidR="004028ED" w:rsidRPr="000A7C2F">
        <w:rPr>
          <w:rFonts w:ascii="Times New Roman" w:eastAsia="Times New Roman" w:hAnsi="Times New Roman" w:cs="Times New Roman"/>
        </w:rPr>
        <w:t xml:space="preserve">. </w:t>
      </w:r>
    </w:p>
    <w:p w14:paraId="6844C550" w14:textId="77777777" w:rsidR="008E055E" w:rsidRPr="000A7C2F" w:rsidRDefault="008E055E" w:rsidP="005C55FB">
      <w:pPr>
        <w:spacing w:line="480" w:lineRule="auto"/>
        <w:rPr>
          <w:rFonts w:ascii="Times New Roman" w:eastAsia="Times New Roman" w:hAnsi="Times New Roman" w:cs="Times New Roman"/>
        </w:rPr>
      </w:pPr>
    </w:p>
    <w:p w14:paraId="3763E8BF" w14:textId="77777777" w:rsidR="008E055E" w:rsidRPr="000A7C2F" w:rsidRDefault="008E055E" w:rsidP="005C55FB">
      <w:pPr>
        <w:spacing w:line="480" w:lineRule="auto"/>
        <w:rPr>
          <w:rFonts w:ascii="Times New Roman" w:eastAsia="Times New Roman" w:hAnsi="Times New Roman" w:cs="Times New Roman"/>
          <w:b/>
        </w:rPr>
      </w:pPr>
      <w:r w:rsidRPr="000A7C2F">
        <w:rPr>
          <w:rFonts w:ascii="Times New Roman" w:eastAsia="Times New Roman" w:hAnsi="Times New Roman" w:cs="Times New Roman"/>
          <w:b/>
        </w:rPr>
        <w:t>3. Methods</w:t>
      </w:r>
    </w:p>
    <w:p w14:paraId="0EE4C19B" w14:textId="77777777" w:rsidR="008E055E" w:rsidRPr="000A7C2F" w:rsidRDefault="008E055E" w:rsidP="005C55FB">
      <w:pPr>
        <w:spacing w:line="480" w:lineRule="auto"/>
        <w:rPr>
          <w:rFonts w:ascii="Times New Roman" w:eastAsia="Times New Roman" w:hAnsi="Times New Roman" w:cs="Times New Roman"/>
        </w:rPr>
      </w:pPr>
    </w:p>
    <w:p w14:paraId="78E3FF18" w14:textId="77777777" w:rsidR="008E055E" w:rsidRPr="000A7C2F" w:rsidRDefault="008E055E" w:rsidP="005C55FB">
      <w:pPr>
        <w:spacing w:line="480" w:lineRule="auto"/>
        <w:outlineLvl w:val="0"/>
        <w:rPr>
          <w:rFonts w:ascii="Times New Roman" w:eastAsia="Times New Roman" w:hAnsi="Times New Roman" w:cs="Times New Roman"/>
          <w:b/>
          <w:i/>
        </w:rPr>
      </w:pPr>
      <w:r w:rsidRPr="000A7C2F">
        <w:rPr>
          <w:rFonts w:ascii="Times New Roman" w:eastAsia="Times New Roman" w:hAnsi="Times New Roman" w:cs="Times New Roman"/>
          <w:b/>
          <w:i/>
        </w:rPr>
        <w:t>3.1 Recruitment and data collection</w:t>
      </w:r>
    </w:p>
    <w:p w14:paraId="5F77801F" w14:textId="09F7DDD5" w:rsidR="005759BA" w:rsidRPr="007571B6" w:rsidRDefault="008E055E" w:rsidP="00835989">
      <w:pPr>
        <w:pStyle w:val="CommentText"/>
        <w:spacing w:line="480" w:lineRule="auto"/>
        <w:rPr>
          <w:rFonts w:ascii="Times New Roman" w:eastAsia="Times New Roman" w:hAnsi="Times New Roman" w:cs="Times New Roman"/>
          <w:lang w:val="en-GB"/>
        </w:rPr>
      </w:pPr>
      <w:r w:rsidRPr="00F62C41">
        <w:rPr>
          <w:rFonts w:ascii="Times New Roman" w:hAnsi="Times New Roman" w:cs="Times New Roman"/>
        </w:rPr>
        <w:t>Our primary dataset of 223 audio/video recordings of neurology outpatient appointments</w:t>
      </w:r>
      <w:r w:rsidR="007E494B" w:rsidRPr="00F62C41">
        <w:rPr>
          <w:rFonts w:ascii="Times New Roman" w:hAnsi="Times New Roman" w:cs="Times New Roman"/>
        </w:rPr>
        <w:t xml:space="preserve"> was</w:t>
      </w:r>
      <w:r w:rsidRPr="00F62C41">
        <w:rPr>
          <w:rFonts w:ascii="Times New Roman" w:hAnsi="Times New Roman" w:cs="Times New Roman"/>
        </w:rPr>
        <w:t xml:space="preserve"> collected in 2012 in two major clinical neuroscience </w:t>
      </w:r>
      <w:proofErr w:type="spellStart"/>
      <w:r w:rsidRPr="00F62C41">
        <w:rPr>
          <w:rFonts w:ascii="Times New Roman" w:hAnsi="Times New Roman" w:cs="Times New Roman"/>
        </w:rPr>
        <w:t>centres</w:t>
      </w:r>
      <w:proofErr w:type="spellEnd"/>
      <w:r w:rsidRPr="00F62C41">
        <w:rPr>
          <w:rFonts w:ascii="Times New Roman" w:hAnsi="Times New Roman" w:cs="Times New Roman"/>
        </w:rPr>
        <w:t xml:space="preserve"> (in </w:t>
      </w:r>
      <w:r w:rsidRPr="00F62C41">
        <w:rPr>
          <w:rFonts w:ascii="Times New Roman" w:hAnsi="Times New Roman" w:cs="Times New Roman"/>
        </w:rPr>
        <w:lastRenderedPageBreak/>
        <w:t>Glasgow and Sheffield).</w:t>
      </w:r>
      <w:r w:rsidR="00F62C41">
        <w:rPr>
          <w:rFonts w:ascii="Times New Roman" w:hAnsi="Times New Roman" w:cs="Times New Roman"/>
        </w:rPr>
        <w:t xml:space="preserve"> </w:t>
      </w:r>
      <w:r w:rsidR="00981427">
        <w:rPr>
          <w:rFonts w:ascii="Times New Roman" w:hAnsi="Times New Roman" w:cs="Times New Roman"/>
        </w:rPr>
        <w:t>N</w:t>
      </w:r>
      <w:r w:rsidRPr="00F62C41">
        <w:rPr>
          <w:rFonts w:ascii="Times New Roman" w:hAnsi="Times New Roman" w:cs="Times New Roman"/>
        </w:rPr>
        <w:t>eurologists and patients</w:t>
      </w:r>
      <w:r w:rsidRPr="00367B23">
        <w:rPr>
          <w:rFonts w:ascii="Times New Roman" w:hAnsi="Times New Roman" w:cs="Times New Roman"/>
        </w:rPr>
        <w:t xml:space="preserve"> </w:t>
      </w:r>
      <w:r w:rsidR="00981427">
        <w:rPr>
          <w:rFonts w:ascii="Times New Roman" w:hAnsi="Times New Roman" w:cs="Times New Roman"/>
        </w:rPr>
        <w:t xml:space="preserve">also </w:t>
      </w:r>
      <w:r w:rsidRPr="00367B23">
        <w:rPr>
          <w:rFonts w:ascii="Times New Roman" w:hAnsi="Times New Roman" w:cs="Times New Roman"/>
        </w:rPr>
        <w:t xml:space="preserve">completed </w:t>
      </w:r>
      <w:r w:rsidRPr="00CE7C22">
        <w:rPr>
          <w:rFonts w:ascii="Times New Roman" w:hAnsi="Times New Roman" w:cs="Times New Roman"/>
        </w:rPr>
        <w:t>questionnaires before and after their recorded consultation.  Fourteen neurologists (seven at each site), 223 patients (114 in Glasgow, 109 in Sheffield), and 1</w:t>
      </w:r>
      <w:r w:rsidR="00140EB3">
        <w:rPr>
          <w:rFonts w:ascii="Times New Roman" w:hAnsi="Times New Roman" w:cs="Times New Roman"/>
        </w:rPr>
        <w:t>14</w:t>
      </w:r>
      <w:r w:rsidRPr="00CE7C22">
        <w:rPr>
          <w:rFonts w:ascii="Times New Roman" w:hAnsi="Times New Roman" w:cs="Times New Roman"/>
        </w:rPr>
        <w:t xml:space="preserve"> accompanying others (63 and 51, respectively) took part. </w:t>
      </w:r>
      <w:r w:rsidRPr="0056416F">
        <w:rPr>
          <w:rFonts w:ascii="Times New Roman" w:eastAsia="Times New Roman" w:hAnsi="Times New Roman" w:cs="Times New Roman"/>
          <w:lang w:val="en-GB"/>
        </w:rPr>
        <w:t>Clinicians opt</w:t>
      </w:r>
      <w:r>
        <w:rPr>
          <w:rFonts w:ascii="Times New Roman" w:eastAsia="Times New Roman" w:hAnsi="Times New Roman" w:cs="Times New Roman"/>
          <w:lang w:val="en-GB"/>
        </w:rPr>
        <w:t>ed</w:t>
      </w:r>
      <w:r w:rsidRPr="0056416F">
        <w:rPr>
          <w:rFonts w:ascii="Times New Roman" w:eastAsia="Times New Roman" w:hAnsi="Times New Roman" w:cs="Times New Roman"/>
          <w:lang w:val="en-GB"/>
        </w:rPr>
        <w:t xml:space="preserve"> in to the study</w:t>
      </w:r>
      <w:r>
        <w:rPr>
          <w:rFonts w:ascii="Times New Roman" w:eastAsia="Times New Roman" w:hAnsi="Times New Roman" w:cs="Times New Roman"/>
          <w:lang w:val="en-GB"/>
        </w:rPr>
        <w:t>, providing</w:t>
      </w:r>
      <w:r w:rsidRPr="0056416F">
        <w:rPr>
          <w:rFonts w:ascii="Times New Roman" w:eastAsia="Times New Roman" w:hAnsi="Times New Roman" w:cs="Times New Roman"/>
          <w:lang w:val="en-GB"/>
        </w:rPr>
        <w:t xml:space="preserve"> written </w:t>
      </w:r>
      <w:r>
        <w:rPr>
          <w:rFonts w:ascii="Times New Roman" w:eastAsia="Times New Roman" w:hAnsi="Times New Roman" w:cs="Times New Roman"/>
          <w:lang w:val="en-GB"/>
        </w:rPr>
        <w:t>c</w:t>
      </w:r>
      <w:r w:rsidRPr="0056416F">
        <w:rPr>
          <w:rFonts w:ascii="Times New Roman" w:eastAsia="Times New Roman" w:hAnsi="Times New Roman" w:cs="Times New Roman"/>
          <w:lang w:val="en-GB"/>
        </w:rPr>
        <w:t>onsent</w:t>
      </w:r>
      <w:r>
        <w:rPr>
          <w:rFonts w:ascii="Times New Roman" w:eastAsia="Times New Roman" w:hAnsi="Times New Roman" w:cs="Times New Roman"/>
          <w:lang w:val="en-GB"/>
        </w:rPr>
        <w:t>.</w:t>
      </w:r>
      <w:r w:rsidRPr="0056416F">
        <w:rPr>
          <w:rFonts w:ascii="Times New Roman" w:eastAsia="Times New Roman" w:hAnsi="Times New Roman" w:cs="Times New Roman"/>
          <w:lang w:val="en-GB"/>
        </w:rPr>
        <w:t xml:space="preserve">  Patients received advance, written information about the study.  </w:t>
      </w:r>
      <w:r>
        <w:rPr>
          <w:rFonts w:ascii="Times New Roman" w:eastAsia="Times New Roman" w:hAnsi="Times New Roman" w:cs="Times New Roman"/>
          <w:lang w:val="en-GB"/>
        </w:rPr>
        <w:t xml:space="preserve">Dedicated study </w:t>
      </w:r>
      <w:r w:rsidRPr="0056416F">
        <w:rPr>
          <w:rFonts w:ascii="Times New Roman" w:eastAsia="Times New Roman" w:hAnsi="Times New Roman" w:cs="Times New Roman"/>
          <w:lang w:val="en-GB"/>
        </w:rPr>
        <w:t>research assistant</w:t>
      </w:r>
      <w:r>
        <w:rPr>
          <w:rFonts w:ascii="Times New Roman" w:eastAsia="Times New Roman" w:hAnsi="Times New Roman" w:cs="Times New Roman"/>
          <w:lang w:val="en-GB"/>
        </w:rPr>
        <w:t>s</w:t>
      </w:r>
      <w:r w:rsidRPr="0056416F">
        <w:rPr>
          <w:rFonts w:ascii="Times New Roman" w:eastAsia="Times New Roman" w:hAnsi="Times New Roman" w:cs="Times New Roman"/>
          <w:lang w:val="en-GB"/>
        </w:rPr>
        <w:t xml:space="preserve"> conducted informed consent discussions with patients (and accompanying others)</w:t>
      </w:r>
      <w:r>
        <w:rPr>
          <w:rFonts w:ascii="Times New Roman" w:eastAsia="Times New Roman" w:hAnsi="Times New Roman" w:cs="Times New Roman"/>
          <w:lang w:val="en-GB"/>
        </w:rPr>
        <w:t>, taking written consent as appropriate</w:t>
      </w:r>
      <w:r w:rsidRPr="0056416F">
        <w:rPr>
          <w:rFonts w:ascii="Times New Roman" w:eastAsia="Times New Roman" w:hAnsi="Times New Roman" w:cs="Times New Roman"/>
          <w:lang w:val="en-GB"/>
        </w:rPr>
        <w:t>.  All participants were 16 years or older and able to consent in English.</w:t>
      </w:r>
      <w:r>
        <w:rPr>
          <w:rFonts w:ascii="Times New Roman" w:eastAsia="Times New Roman" w:hAnsi="Times New Roman" w:cs="Times New Roman"/>
          <w:lang w:val="en-GB"/>
        </w:rPr>
        <w:t xml:space="preserve">  All could choose whether their consultations were audio- or video-recorded.</w:t>
      </w:r>
      <w:r w:rsidRPr="0056416F">
        <w:rPr>
          <w:rFonts w:ascii="Times New Roman" w:eastAsia="Times New Roman" w:hAnsi="Times New Roman" w:cs="Times New Roman"/>
          <w:lang w:val="en-GB"/>
        </w:rPr>
        <w:t xml:space="preserve"> </w:t>
      </w:r>
      <w:r>
        <w:rPr>
          <w:rFonts w:ascii="Times New Roman" w:eastAsia="Times New Roman" w:hAnsi="Times New Roman" w:cs="Times New Roman"/>
          <w:lang w:val="en-GB"/>
        </w:rPr>
        <w:t>The research assistants operated the recording equipment and provided help with the questionnaires, but were not present during the consultations.</w:t>
      </w:r>
      <w:r w:rsidR="00835989">
        <w:rPr>
          <w:rFonts w:ascii="Times New Roman" w:eastAsia="Times New Roman" w:hAnsi="Times New Roman" w:cs="Times New Roman"/>
          <w:lang w:val="en-GB"/>
        </w:rPr>
        <w:t xml:space="preserve">  </w:t>
      </w:r>
      <w:r w:rsidR="005759BA" w:rsidRPr="0056416F">
        <w:rPr>
          <w:rFonts w:ascii="Times New Roman" w:eastAsia="Times New Roman" w:hAnsi="Times New Roman" w:cs="Times New Roman"/>
        </w:rPr>
        <w:t>Ethics approval was granted by the National Research Ethics Service Committee for Yorkshire &amp; the Humber (Sout</w:t>
      </w:r>
      <w:r w:rsidR="005759BA">
        <w:rPr>
          <w:rFonts w:ascii="Times New Roman" w:eastAsia="Times New Roman" w:hAnsi="Times New Roman" w:cs="Times New Roman"/>
        </w:rPr>
        <w:t>h Yorkshire) on 11 October 2011 and by the Proportionate Review Sub-committee of the NRES Committee North West (Greater Manchester South) on 20 July 2015.</w:t>
      </w:r>
    </w:p>
    <w:p w14:paraId="7B019203" w14:textId="77777777" w:rsidR="008E055E" w:rsidRDefault="008E055E" w:rsidP="005C55FB">
      <w:pPr>
        <w:spacing w:line="480" w:lineRule="auto"/>
        <w:rPr>
          <w:rFonts w:ascii="Arial" w:hAnsi="Arial" w:cs="Arial"/>
          <w:sz w:val="18"/>
          <w:szCs w:val="18"/>
        </w:rPr>
      </w:pPr>
    </w:p>
    <w:p w14:paraId="064B6817" w14:textId="77777777" w:rsidR="008E055E" w:rsidRDefault="008E055E" w:rsidP="005C55FB">
      <w:pPr>
        <w:spacing w:line="480" w:lineRule="auto"/>
        <w:outlineLvl w:val="0"/>
        <w:rPr>
          <w:rFonts w:ascii="Times New Roman" w:hAnsi="Times New Roman" w:cs="Times New Roman"/>
          <w:b/>
          <w:i/>
        </w:rPr>
      </w:pPr>
      <w:r>
        <w:rPr>
          <w:rFonts w:ascii="Times New Roman" w:hAnsi="Times New Roman" w:cs="Times New Roman"/>
          <w:b/>
          <w:i/>
        </w:rPr>
        <w:t>3.2 Coding the recordings</w:t>
      </w:r>
    </w:p>
    <w:p w14:paraId="15E4FC85" w14:textId="3A40C82D" w:rsidR="008E055E" w:rsidRDefault="00D10CBE" w:rsidP="005C55FB">
      <w:pPr>
        <w:spacing w:line="480" w:lineRule="auto"/>
        <w:rPr>
          <w:rFonts w:ascii="Times New Roman" w:hAnsi="Times New Roman" w:cs="Times New Roman"/>
        </w:rPr>
      </w:pPr>
      <w:r>
        <w:rPr>
          <w:rFonts w:ascii="Times New Roman" w:hAnsi="Times New Roman" w:cs="Times New Roman"/>
        </w:rPr>
        <w:t xml:space="preserve">This study was designed to compare neurologists’ recommendations, option-lists and PVEs. </w:t>
      </w:r>
      <w:r w:rsidR="00417528">
        <w:rPr>
          <w:rFonts w:ascii="Times New Roman" w:hAnsi="Times New Roman" w:cs="Times New Roman"/>
        </w:rPr>
        <w:t>Based on our previous qualitative findings (</w:t>
      </w:r>
      <w:proofErr w:type="spellStart"/>
      <w:r w:rsidR="000D6EC0">
        <w:rPr>
          <w:rFonts w:ascii="Times New Roman" w:hAnsi="Times New Roman" w:cs="Times New Roman"/>
        </w:rPr>
        <w:t>Reuber</w:t>
      </w:r>
      <w:proofErr w:type="spellEnd"/>
      <w:r w:rsidR="000D6EC0">
        <w:rPr>
          <w:rFonts w:ascii="Times New Roman" w:hAnsi="Times New Roman" w:cs="Times New Roman"/>
        </w:rPr>
        <w:t xml:space="preserve"> et al., 2015</w:t>
      </w:r>
      <w:r w:rsidR="00417528" w:rsidRPr="00B61194">
        <w:rPr>
          <w:rFonts w:ascii="Times New Roman" w:hAnsi="Times New Roman" w:cs="Times New Roman"/>
        </w:rPr>
        <w:t xml:space="preserve">), </w:t>
      </w:r>
      <w:r w:rsidR="00417528" w:rsidRPr="00F62C41">
        <w:rPr>
          <w:rFonts w:ascii="Times New Roman" w:hAnsi="Times New Roman" w:cs="Times New Roman"/>
          <w:lang w:val="en-GB"/>
        </w:rPr>
        <w:t xml:space="preserve">we produced a coding scheme through an iterative bottom-up process to capture what was going on in the interactions. </w:t>
      </w:r>
      <w:r w:rsidR="00417528" w:rsidRPr="00B61194">
        <w:rPr>
          <w:rFonts w:ascii="Times New Roman" w:hAnsi="Times New Roman" w:cs="Times New Roman"/>
        </w:rPr>
        <w:t xml:space="preserve">Hence, </w:t>
      </w:r>
      <w:r w:rsidR="00015205" w:rsidRPr="007E2AAB">
        <w:rPr>
          <w:rFonts w:ascii="Times New Roman" w:hAnsi="Times New Roman" w:cs="Times New Roman"/>
        </w:rPr>
        <w:t>we</w:t>
      </w:r>
      <w:r w:rsidR="00981427">
        <w:rPr>
          <w:rFonts w:ascii="Times New Roman" w:hAnsi="Times New Roman" w:cs="Times New Roman"/>
        </w:rPr>
        <w:t xml:space="preserve"> developed a</w:t>
      </w:r>
      <w:r w:rsidR="007078AB" w:rsidRPr="00B61194">
        <w:rPr>
          <w:rFonts w:ascii="Times New Roman" w:hAnsi="Times New Roman" w:cs="Times New Roman"/>
        </w:rPr>
        <w:t xml:space="preserve"> set of inclusion criteria</w:t>
      </w:r>
      <w:r w:rsidRPr="00B61194">
        <w:rPr>
          <w:rFonts w:ascii="Times New Roman" w:hAnsi="Times New Roman" w:cs="Times New Roman"/>
        </w:rPr>
        <w:t xml:space="preserve"> </w:t>
      </w:r>
      <w:r w:rsidR="005C591C" w:rsidRPr="00B61194">
        <w:rPr>
          <w:rFonts w:ascii="Times New Roman" w:hAnsi="Times New Roman" w:cs="Times New Roman"/>
        </w:rPr>
        <w:t xml:space="preserve">based on the three </w:t>
      </w:r>
      <w:r w:rsidR="00417528" w:rsidRPr="00B61194">
        <w:rPr>
          <w:rFonts w:ascii="Times New Roman" w:hAnsi="Times New Roman" w:cs="Times New Roman"/>
        </w:rPr>
        <w:t xml:space="preserve">focal </w:t>
      </w:r>
      <w:r w:rsidR="005C591C" w:rsidRPr="00B61194">
        <w:rPr>
          <w:rFonts w:ascii="Times New Roman" w:hAnsi="Times New Roman" w:cs="Times New Roman"/>
        </w:rPr>
        <w:t xml:space="preserve">practices </w:t>
      </w:r>
      <w:r w:rsidR="005C591C">
        <w:rPr>
          <w:rFonts w:ascii="Times New Roman" w:hAnsi="Times New Roman" w:cs="Times New Roman"/>
        </w:rPr>
        <w:t xml:space="preserve">and three </w:t>
      </w:r>
      <w:r w:rsidR="000D6EC0">
        <w:rPr>
          <w:rFonts w:ascii="Times New Roman" w:hAnsi="Times New Roman" w:cs="Times New Roman"/>
        </w:rPr>
        <w:t>recurrent</w:t>
      </w:r>
      <w:r w:rsidR="005C591C">
        <w:rPr>
          <w:rFonts w:ascii="Times New Roman" w:hAnsi="Times New Roman" w:cs="Times New Roman"/>
        </w:rPr>
        <w:t xml:space="preserve"> types of decision: treatment</w:t>
      </w:r>
      <w:r w:rsidR="00835989">
        <w:rPr>
          <w:rFonts w:ascii="Times New Roman" w:hAnsi="Times New Roman" w:cs="Times New Roman"/>
        </w:rPr>
        <w:t>s</w:t>
      </w:r>
      <w:r w:rsidR="005C591C">
        <w:rPr>
          <w:rFonts w:ascii="Times New Roman" w:hAnsi="Times New Roman" w:cs="Times New Roman"/>
        </w:rPr>
        <w:t xml:space="preserve">, investigations and referrals. We developed a </w:t>
      </w:r>
      <w:r w:rsidR="008E055E">
        <w:rPr>
          <w:rFonts w:ascii="Times New Roman" w:hAnsi="Times New Roman" w:cs="Times New Roman"/>
        </w:rPr>
        <w:t>codebook and extraction form</w:t>
      </w:r>
      <w:r w:rsidR="000B0D39">
        <w:rPr>
          <w:rFonts w:ascii="Times New Roman" w:hAnsi="Times New Roman" w:cs="Times New Roman"/>
        </w:rPr>
        <w:t xml:space="preserve"> (available </w:t>
      </w:r>
      <w:r w:rsidR="00946321">
        <w:rPr>
          <w:rFonts w:ascii="Times New Roman" w:hAnsi="Times New Roman" w:cs="Times New Roman"/>
        </w:rPr>
        <w:t>from the corresponding author</w:t>
      </w:r>
      <w:r w:rsidR="000B0D39">
        <w:rPr>
          <w:rFonts w:ascii="Times New Roman" w:hAnsi="Times New Roman" w:cs="Times New Roman"/>
        </w:rPr>
        <w:t>)</w:t>
      </w:r>
      <w:r w:rsidR="008E055E">
        <w:rPr>
          <w:rFonts w:ascii="Times New Roman" w:hAnsi="Times New Roman" w:cs="Times New Roman"/>
        </w:rPr>
        <w:t xml:space="preserve">.  </w:t>
      </w:r>
      <w:r w:rsidR="000B0D39">
        <w:rPr>
          <w:rFonts w:ascii="Times New Roman" w:hAnsi="Times New Roman" w:cs="Times New Roman"/>
        </w:rPr>
        <w:t xml:space="preserve">Working from </w:t>
      </w:r>
      <w:r w:rsidR="008E055E">
        <w:rPr>
          <w:rFonts w:ascii="Times New Roman" w:hAnsi="Times New Roman" w:cs="Times New Roman"/>
        </w:rPr>
        <w:t xml:space="preserve">the audio recordings (because we had those for all cases) </w:t>
      </w:r>
      <w:r w:rsidR="007078AB">
        <w:rPr>
          <w:rFonts w:ascii="Times New Roman" w:hAnsi="Times New Roman" w:cs="Times New Roman"/>
        </w:rPr>
        <w:t xml:space="preserve">in conjunction with </w:t>
      </w:r>
      <w:r w:rsidR="008E055E">
        <w:rPr>
          <w:rFonts w:ascii="Times New Roman" w:hAnsi="Times New Roman" w:cs="Times New Roman"/>
        </w:rPr>
        <w:t>their</w:t>
      </w:r>
      <w:r>
        <w:rPr>
          <w:rFonts w:ascii="Times New Roman" w:hAnsi="Times New Roman" w:cs="Times New Roman"/>
        </w:rPr>
        <w:t xml:space="preserve"> verbatim</w:t>
      </w:r>
      <w:r w:rsidR="008E055E">
        <w:rPr>
          <w:rFonts w:ascii="Times New Roman" w:hAnsi="Times New Roman" w:cs="Times New Roman"/>
        </w:rPr>
        <w:t xml:space="preserve"> transcripts, the following were identified:  </w:t>
      </w:r>
    </w:p>
    <w:p w14:paraId="0CB83CB5" w14:textId="6AF3EC7B" w:rsidR="008E055E" w:rsidRDefault="008E055E" w:rsidP="008E055E">
      <w:pPr>
        <w:pStyle w:val="ListParagraph"/>
        <w:numPr>
          <w:ilvl w:val="0"/>
          <w:numId w:val="8"/>
        </w:numPr>
        <w:spacing w:line="480" w:lineRule="auto"/>
        <w:rPr>
          <w:rFonts w:ascii="Times New Roman" w:hAnsi="Times New Roman" w:cs="Times New Roman"/>
        </w:rPr>
      </w:pPr>
      <w:r>
        <w:rPr>
          <w:rFonts w:ascii="Times New Roman" w:hAnsi="Times New Roman" w:cs="Times New Roman"/>
        </w:rPr>
        <w:lastRenderedPageBreak/>
        <w:t xml:space="preserve">All </w:t>
      </w:r>
      <w:r w:rsidRPr="00C9088E">
        <w:rPr>
          <w:rFonts w:ascii="Times New Roman" w:hAnsi="Times New Roman" w:cs="Times New Roman"/>
          <w:i/>
        </w:rPr>
        <w:t>decisions</w:t>
      </w:r>
      <w:r>
        <w:rPr>
          <w:rFonts w:ascii="Times New Roman" w:hAnsi="Times New Roman" w:cs="Times New Roman"/>
        </w:rPr>
        <w:t xml:space="preserve"> about treatments, investigations or referrals initiated by the neurologist using</w:t>
      </w:r>
      <w:r w:rsidR="000B0D39">
        <w:rPr>
          <w:rFonts w:ascii="Times New Roman" w:hAnsi="Times New Roman" w:cs="Times New Roman"/>
        </w:rPr>
        <w:t xml:space="preserve"> one of our </w:t>
      </w:r>
      <w:r w:rsidR="00471416">
        <w:rPr>
          <w:rFonts w:ascii="Times New Roman" w:hAnsi="Times New Roman" w:cs="Times New Roman"/>
        </w:rPr>
        <w:t xml:space="preserve">three </w:t>
      </w:r>
      <w:r w:rsidR="000B0D39">
        <w:rPr>
          <w:rFonts w:ascii="Times New Roman" w:hAnsi="Times New Roman" w:cs="Times New Roman"/>
        </w:rPr>
        <w:t>core practices</w:t>
      </w:r>
      <w:r w:rsidR="00835989">
        <w:rPr>
          <w:rFonts w:ascii="Times New Roman" w:hAnsi="Times New Roman" w:cs="Times New Roman"/>
        </w:rPr>
        <w:t>.</w:t>
      </w:r>
    </w:p>
    <w:p w14:paraId="12FD9CAF" w14:textId="7F13F0F4" w:rsidR="008E055E" w:rsidRDefault="008E055E" w:rsidP="008E055E">
      <w:pPr>
        <w:pStyle w:val="ListParagraph"/>
        <w:numPr>
          <w:ilvl w:val="0"/>
          <w:numId w:val="8"/>
        </w:numPr>
        <w:spacing w:line="480" w:lineRule="auto"/>
        <w:rPr>
          <w:rFonts w:ascii="Times New Roman" w:hAnsi="Times New Roman" w:cs="Times New Roman"/>
        </w:rPr>
      </w:pPr>
      <w:r>
        <w:rPr>
          <w:rFonts w:ascii="Times New Roman" w:hAnsi="Times New Roman" w:cs="Times New Roman"/>
        </w:rPr>
        <w:t xml:space="preserve">Many decisions entailed extended sequences, with multiple </w:t>
      </w:r>
      <w:r>
        <w:rPr>
          <w:rFonts w:ascii="Times New Roman" w:hAnsi="Times New Roman" w:cs="Times New Roman"/>
          <w:i/>
        </w:rPr>
        <w:t xml:space="preserve">decision-points </w:t>
      </w:r>
      <w:r w:rsidRPr="008137C1">
        <w:rPr>
          <w:rFonts w:ascii="Times New Roman" w:hAnsi="Times New Roman" w:cs="Times New Roman"/>
        </w:rPr>
        <w:t xml:space="preserve">(e.g. </w:t>
      </w:r>
      <w:r w:rsidR="004E73A3">
        <w:rPr>
          <w:rFonts w:ascii="Times New Roman" w:hAnsi="Times New Roman" w:cs="Times New Roman"/>
        </w:rPr>
        <w:t xml:space="preserve">a recommendation followed by </w:t>
      </w:r>
      <w:r w:rsidRPr="008137C1">
        <w:rPr>
          <w:rFonts w:ascii="Times New Roman" w:hAnsi="Times New Roman" w:cs="Times New Roman"/>
        </w:rPr>
        <w:t>an option-list</w:t>
      </w:r>
      <w:r w:rsidR="004E73A3">
        <w:rPr>
          <w:rFonts w:ascii="Times New Roman" w:hAnsi="Times New Roman" w:cs="Times New Roman"/>
        </w:rPr>
        <w:t>,</w:t>
      </w:r>
      <w:r w:rsidRPr="008137C1">
        <w:rPr>
          <w:rFonts w:ascii="Times New Roman" w:hAnsi="Times New Roman" w:cs="Times New Roman"/>
        </w:rPr>
        <w:t xml:space="preserve"> </w:t>
      </w:r>
      <w:r w:rsidR="00471416">
        <w:rPr>
          <w:rFonts w:ascii="Times New Roman" w:hAnsi="Times New Roman" w:cs="Times New Roman"/>
        </w:rPr>
        <w:t>then</w:t>
      </w:r>
      <w:r w:rsidRPr="008137C1">
        <w:rPr>
          <w:rFonts w:ascii="Times New Roman" w:hAnsi="Times New Roman" w:cs="Times New Roman"/>
        </w:rPr>
        <w:t xml:space="preserve"> a PVE).</w:t>
      </w:r>
      <w:r>
        <w:rPr>
          <w:rFonts w:ascii="Times New Roman" w:hAnsi="Times New Roman" w:cs="Times New Roman"/>
          <w:i/>
        </w:rPr>
        <w:t xml:space="preserve">  </w:t>
      </w:r>
      <w:r>
        <w:rPr>
          <w:rFonts w:ascii="Times New Roman" w:hAnsi="Times New Roman" w:cs="Times New Roman"/>
        </w:rPr>
        <w:t>We coded every option-list, PVE or recommendation that occurred</w:t>
      </w:r>
      <w:r w:rsidR="004E73A3">
        <w:rPr>
          <w:rFonts w:ascii="Times New Roman" w:hAnsi="Times New Roman" w:cs="Times New Roman"/>
        </w:rPr>
        <w:t xml:space="preserve"> across each decision</w:t>
      </w:r>
      <w:r w:rsidR="00D13FC6">
        <w:rPr>
          <w:rFonts w:ascii="Times New Roman" w:hAnsi="Times New Roman" w:cs="Times New Roman"/>
        </w:rPr>
        <w:t xml:space="preserve"> type</w:t>
      </w:r>
      <w:r w:rsidR="004E73A3">
        <w:rPr>
          <w:rFonts w:ascii="Times New Roman" w:hAnsi="Times New Roman" w:cs="Times New Roman"/>
        </w:rPr>
        <w:t xml:space="preserve"> </w:t>
      </w:r>
      <w:r w:rsidR="00471416">
        <w:rPr>
          <w:rFonts w:ascii="Times New Roman" w:hAnsi="Times New Roman" w:cs="Times New Roman"/>
        </w:rPr>
        <w:t>meeting</w:t>
      </w:r>
      <w:r w:rsidR="004E73A3">
        <w:rPr>
          <w:rFonts w:ascii="Times New Roman" w:hAnsi="Times New Roman" w:cs="Times New Roman"/>
        </w:rPr>
        <w:t xml:space="preserve"> our inclusion criteria</w:t>
      </w:r>
      <w:r>
        <w:rPr>
          <w:rFonts w:ascii="Times New Roman" w:hAnsi="Times New Roman" w:cs="Times New Roman"/>
        </w:rPr>
        <w:t>.  Our coding retained the sequential order</w:t>
      </w:r>
      <w:r w:rsidR="004E73A3">
        <w:rPr>
          <w:rFonts w:ascii="Times New Roman" w:hAnsi="Times New Roman" w:cs="Times New Roman"/>
        </w:rPr>
        <w:t>ing</w:t>
      </w:r>
      <w:r>
        <w:rPr>
          <w:rFonts w:ascii="Times New Roman" w:hAnsi="Times New Roman" w:cs="Times New Roman"/>
        </w:rPr>
        <w:t>, allowing us to compare first decision-points with l</w:t>
      </w:r>
      <w:r w:rsidR="00471416">
        <w:rPr>
          <w:rFonts w:ascii="Times New Roman" w:hAnsi="Times New Roman" w:cs="Times New Roman"/>
        </w:rPr>
        <w:t>ater ones</w:t>
      </w:r>
      <w:r>
        <w:rPr>
          <w:rFonts w:ascii="Times New Roman" w:hAnsi="Times New Roman" w:cs="Times New Roman"/>
        </w:rPr>
        <w:t xml:space="preserve">.  </w:t>
      </w:r>
    </w:p>
    <w:p w14:paraId="4C3010EA" w14:textId="7E757B53" w:rsidR="008E055E" w:rsidRDefault="008E055E" w:rsidP="008E055E">
      <w:pPr>
        <w:pStyle w:val="ListParagraph"/>
        <w:numPr>
          <w:ilvl w:val="0"/>
          <w:numId w:val="8"/>
        </w:numPr>
        <w:spacing w:line="480" w:lineRule="auto"/>
        <w:rPr>
          <w:rFonts w:ascii="Times New Roman" w:hAnsi="Times New Roman" w:cs="Times New Roman"/>
        </w:rPr>
      </w:pPr>
      <w:r w:rsidRPr="00FA3C7F">
        <w:rPr>
          <w:rFonts w:ascii="Times New Roman" w:hAnsi="Times New Roman" w:cs="Times New Roman"/>
        </w:rPr>
        <w:t xml:space="preserve">For each decision, we noted whether one or more of the possible courses of action had been </w:t>
      </w:r>
      <w:r w:rsidRPr="00FA3C7F">
        <w:rPr>
          <w:rFonts w:ascii="Times New Roman" w:hAnsi="Times New Roman" w:cs="Times New Roman"/>
          <w:i/>
        </w:rPr>
        <w:t>agreed upon</w:t>
      </w:r>
      <w:r w:rsidRPr="00FA3C7F">
        <w:rPr>
          <w:rFonts w:ascii="Times New Roman" w:hAnsi="Times New Roman" w:cs="Times New Roman"/>
        </w:rPr>
        <w:t xml:space="preserve"> by the end of the consultation.  </w:t>
      </w:r>
      <w:r>
        <w:rPr>
          <w:rFonts w:ascii="Times New Roman" w:hAnsi="Times New Roman" w:cs="Times New Roman"/>
        </w:rPr>
        <w:t xml:space="preserve">Coders could select ‘yes’, ‘no’ or ‘decision deferred’.  </w:t>
      </w:r>
      <w:r w:rsidR="00B611D9">
        <w:rPr>
          <w:rFonts w:ascii="Times New Roman" w:hAnsi="Times New Roman" w:cs="Times New Roman"/>
        </w:rPr>
        <w:t xml:space="preserve">The goal was to note whether a proffered course of action was going ahead in principle (we do not have the data to assess whether these </w:t>
      </w:r>
      <w:r w:rsidR="00471416">
        <w:rPr>
          <w:rFonts w:ascii="Times New Roman" w:hAnsi="Times New Roman" w:cs="Times New Roman"/>
        </w:rPr>
        <w:t xml:space="preserve">actually </w:t>
      </w:r>
      <w:r w:rsidR="00B611D9">
        <w:rPr>
          <w:rFonts w:ascii="Times New Roman" w:hAnsi="Times New Roman" w:cs="Times New Roman"/>
        </w:rPr>
        <w:t>occurred</w:t>
      </w:r>
      <w:r w:rsidR="00471416">
        <w:rPr>
          <w:rFonts w:ascii="Times New Roman" w:hAnsi="Times New Roman" w:cs="Times New Roman"/>
        </w:rPr>
        <w:t>)</w:t>
      </w:r>
      <w:r w:rsidR="00B611D9">
        <w:rPr>
          <w:rFonts w:ascii="Times New Roman" w:hAnsi="Times New Roman" w:cs="Times New Roman"/>
        </w:rPr>
        <w:t xml:space="preserve">.  </w:t>
      </w:r>
      <w:r w:rsidR="00DD2EC3">
        <w:rPr>
          <w:rFonts w:ascii="Times New Roman" w:hAnsi="Times New Roman" w:cs="Times New Roman"/>
        </w:rPr>
        <w:t>For option-listing</w:t>
      </w:r>
      <w:r w:rsidR="00AD789E">
        <w:rPr>
          <w:rFonts w:ascii="Times New Roman" w:hAnsi="Times New Roman" w:cs="Times New Roman"/>
        </w:rPr>
        <w:t xml:space="preserve">, if </w:t>
      </w:r>
      <w:r w:rsidR="00AD789E" w:rsidRPr="00AD789E">
        <w:rPr>
          <w:rFonts w:ascii="Times New Roman" w:hAnsi="Times New Roman" w:cs="Times New Roman"/>
          <w:i/>
        </w:rPr>
        <w:t>any</w:t>
      </w:r>
      <w:r w:rsidR="00AD789E">
        <w:rPr>
          <w:rFonts w:ascii="Times New Roman" w:hAnsi="Times New Roman" w:cs="Times New Roman"/>
        </w:rPr>
        <w:t xml:space="preserve"> listed option was agreed upon, coders selected ‘yes’.  For PVEs, if the patient opted </w:t>
      </w:r>
      <w:r w:rsidR="00471416">
        <w:rPr>
          <w:rFonts w:ascii="Times New Roman" w:hAnsi="Times New Roman" w:cs="Times New Roman"/>
        </w:rPr>
        <w:t>for a</w:t>
      </w:r>
      <w:r w:rsidR="00AD789E">
        <w:rPr>
          <w:rFonts w:ascii="Times New Roman" w:hAnsi="Times New Roman" w:cs="Times New Roman"/>
        </w:rPr>
        <w:t xml:space="preserve"> </w:t>
      </w:r>
      <w:r w:rsidR="00B611D9">
        <w:rPr>
          <w:rFonts w:ascii="Times New Roman" w:hAnsi="Times New Roman" w:cs="Times New Roman"/>
        </w:rPr>
        <w:t>course of action</w:t>
      </w:r>
      <w:r w:rsidR="00AD789E">
        <w:rPr>
          <w:rFonts w:ascii="Times New Roman" w:hAnsi="Times New Roman" w:cs="Times New Roman"/>
        </w:rPr>
        <w:t xml:space="preserve"> proffered through the PVE</w:t>
      </w:r>
      <w:r w:rsidR="00B611D9">
        <w:rPr>
          <w:rFonts w:ascii="Times New Roman" w:hAnsi="Times New Roman" w:cs="Times New Roman"/>
        </w:rPr>
        <w:t xml:space="preserve"> – be that specific (e.g. a named drug) or general (e.g. </w:t>
      </w:r>
      <w:r w:rsidR="00471416">
        <w:rPr>
          <w:rFonts w:ascii="Times New Roman" w:hAnsi="Times New Roman" w:cs="Times New Roman"/>
        </w:rPr>
        <w:t>‘</w:t>
      </w:r>
      <w:r w:rsidR="00B611D9">
        <w:rPr>
          <w:rFonts w:ascii="Times New Roman" w:hAnsi="Times New Roman" w:cs="Times New Roman"/>
        </w:rPr>
        <w:t>treatment</w:t>
      </w:r>
      <w:r w:rsidR="00471416">
        <w:rPr>
          <w:rFonts w:ascii="Times New Roman" w:hAnsi="Times New Roman" w:cs="Times New Roman"/>
        </w:rPr>
        <w:t xml:space="preserve">’ </w:t>
      </w:r>
      <w:r w:rsidR="00B611D9">
        <w:rPr>
          <w:rFonts w:ascii="Times New Roman" w:hAnsi="Times New Roman" w:cs="Times New Roman"/>
        </w:rPr>
        <w:t>for the</w:t>
      </w:r>
      <w:r w:rsidR="00471416">
        <w:rPr>
          <w:rFonts w:ascii="Times New Roman" w:hAnsi="Times New Roman" w:cs="Times New Roman"/>
        </w:rPr>
        <w:t>ir</w:t>
      </w:r>
      <w:r w:rsidR="00B611D9">
        <w:rPr>
          <w:rFonts w:ascii="Times New Roman" w:hAnsi="Times New Roman" w:cs="Times New Roman"/>
        </w:rPr>
        <w:t xml:space="preserve"> condition) –</w:t>
      </w:r>
      <w:r w:rsidR="00AD789E">
        <w:rPr>
          <w:rFonts w:ascii="Times New Roman" w:hAnsi="Times New Roman" w:cs="Times New Roman"/>
        </w:rPr>
        <w:t xml:space="preserve"> then coders selected ‘yes’</w:t>
      </w:r>
      <w:r w:rsidR="00B611D9">
        <w:rPr>
          <w:rFonts w:ascii="Times New Roman" w:hAnsi="Times New Roman" w:cs="Times New Roman"/>
        </w:rPr>
        <w:t>.</w:t>
      </w:r>
      <w:r w:rsidR="00AD789E">
        <w:rPr>
          <w:rFonts w:ascii="Times New Roman" w:hAnsi="Times New Roman" w:cs="Times New Roman"/>
        </w:rPr>
        <w:t xml:space="preserve"> </w:t>
      </w:r>
      <w:r>
        <w:rPr>
          <w:rFonts w:ascii="Times New Roman" w:hAnsi="Times New Roman" w:cs="Times New Roman"/>
        </w:rPr>
        <w:t xml:space="preserve">To handle recommendations against doing something, </w:t>
      </w:r>
      <w:r w:rsidR="00471416">
        <w:rPr>
          <w:rFonts w:ascii="Times New Roman" w:hAnsi="Times New Roman" w:cs="Times New Roman"/>
        </w:rPr>
        <w:t>coders</w:t>
      </w:r>
      <w:r>
        <w:rPr>
          <w:rFonts w:ascii="Times New Roman" w:hAnsi="Times New Roman" w:cs="Times New Roman"/>
        </w:rPr>
        <w:t xml:space="preserve"> recorded ‘yes’ if the decision was in </w:t>
      </w:r>
      <w:proofErr w:type="spellStart"/>
      <w:r>
        <w:rPr>
          <w:rFonts w:ascii="Times New Roman" w:hAnsi="Times New Roman" w:cs="Times New Roman"/>
        </w:rPr>
        <w:t>favour</w:t>
      </w:r>
      <w:proofErr w:type="spellEnd"/>
      <w:r>
        <w:rPr>
          <w:rFonts w:ascii="Times New Roman" w:hAnsi="Times New Roman" w:cs="Times New Roman"/>
        </w:rPr>
        <w:t xml:space="preserve"> of a ‘negative’ course of action (e.g. agreeing not to change a medication). </w:t>
      </w:r>
    </w:p>
    <w:p w14:paraId="22A3712A" w14:textId="09686EAB" w:rsidR="008A6AB6" w:rsidRPr="008A6AB6" w:rsidRDefault="008A6AB6" w:rsidP="00ED62D4">
      <w:pPr>
        <w:pStyle w:val="ListParagraph"/>
        <w:numPr>
          <w:ilvl w:val="0"/>
          <w:numId w:val="8"/>
        </w:numPr>
        <w:spacing w:line="480" w:lineRule="auto"/>
        <w:rPr>
          <w:rFonts w:ascii="Times New Roman" w:hAnsi="Times New Roman" w:cs="Times New Roman"/>
        </w:rPr>
      </w:pPr>
      <w:r w:rsidRPr="008A6AB6">
        <w:rPr>
          <w:rFonts w:ascii="Times New Roman" w:hAnsi="Times New Roman" w:cs="Times New Roman"/>
        </w:rPr>
        <w:t xml:space="preserve">For each decision-point, we identified how the patient and/or accompanying other </w:t>
      </w:r>
      <w:r w:rsidRPr="008A6AB6">
        <w:rPr>
          <w:rFonts w:ascii="Times New Roman" w:hAnsi="Times New Roman" w:cs="Times New Roman"/>
          <w:i/>
        </w:rPr>
        <w:t>responded</w:t>
      </w:r>
      <w:r w:rsidRPr="008A6AB6">
        <w:rPr>
          <w:rFonts w:ascii="Times New Roman" w:hAnsi="Times New Roman" w:cs="Times New Roman"/>
        </w:rPr>
        <w:t xml:space="preserve"> in next position. </w:t>
      </w:r>
      <w:r w:rsidR="00471416">
        <w:rPr>
          <w:rFonts w:ascii="Times New Roman" w:hAnsi="Times New Roman" w:cs="Times New Roman"/>
        </w:rPr>
        <w:t>D</w:t>
      </w:r>
      <w:r w:rsidRPr="008A6AB6">
        <w:rPr>
          <w:rFonts w:ascii="Times New Roman" w:hAnsi="Times New Roman" w:cs="Times New Roman"/>
        </w:rPr>
        <w:t xml:space="preserve">ue to space constraints, we do not report analyses </w:t>
      </w:r>
      <w:r w:rsidR="00471416">
        <w:rPr>
          <w:rFonts w:ascii="Times New Roman" w:hAnsi="Times New Roman" w:cs="Times New Roman"/>
        </w:rPr>
        <w:t>of this</w:t>
      </w:r>
      <w:r w:rsidRPr="008A6AB6">
        <w:rPr>
          <w:rFonts w:ascii="Times New Roman" w:hAnsi="Times New Roman" w:cs="Times New Roman"/>
        </w:rPr>
        <w:t xml:space="preserve"> here (see </w:t>
      </w:r>
      <w:proofErr w:type="spellStart"/>
      <w:r w:rsidR="00471416">
        <w:rPr>
          <w:rFonts w:ascii="Times New Roman" w:hAnsi="Times New Roman" w:cs="Times New Roman"/>
        </w:rPr>
        <w:t>Reuber</w:t>
      </w:r>
      <w:proofErr w:type="spellEnd"/>
      <w:r w:rsidR="00471416">
        <w:rPr>
          <w:rFonts w:ascii="Times New Roman" w:hAnsi="Times New Roman" w:cs="Times New Roman"/>
        </w:rPr>
        <w:t xml:space="preserve"> et al., forthcoming</w:t>
      </w:r>
      <w:r w:rsidRPr="008A6AB6">
        <w:rPr>
          <w:rFonts w:ascii="Times New Roman" w:hAnsi="Times New Roman" w:cs="Times New Roman"/>
        </w:rPr>
        <w:t xml:space="preserve">). </w:t>
      </w:r>
      <w:r>
        <w:rPr>
          <w:rFonts w:ascii="Times New Roman" w:hAnsi="Times New Roman" w:cs="Times New Roman"/>
        </w:rPr>
        <w:br/>
      </w:r>
    </w:p>
    <w:p w14:paraId="6B05C8DB" w14:textId="624C402F" w:rsidR="008E055E" w:rsidRPr="00835989" w:rsidRDefault="00946321" w:rsidP="005C55FB">
      <w:pPr>
        <w:spacing w:line="480" w:lineRule="auto"/>
        <w:rPr>
          <w:rFonts w:ascii="Times New Roman" w:hAnsi="Times New Roman" w:cs="Times New Roman"/>
        </w:rPr>
      </w:pPr>
      <w:r w:rsidRPr="00835989">
        <w:rPr>
          <w:rFonts w:ascii="Times New Roman" w:hAnsi="Times New Roman" w:cs="Times New Roman"/>
        </w:rPr>
        <w:t xml:space="preserve">The resulting spreadsheet contained </w:t>
      </w:r>
      <w:r w:rsidR="0094442C" w:rsidRPr="00835989">
        <w:rPr>
          <w:rFonts w:ascii="Times New Roman" w:hAnsi="Times New Roman" w:cs="Times New Roman"/>
        </w:rPr>
        <w:t xml:space="preserve">our </w:t>
      </w:r>
      <w:proofErr w:type="spellStart"/>
      <w:r w:rsidRPr="00835989">
        <w:rPr>
          <w:rFonts w:ascii="Times New Roman" w:hAnsi="Times New Roman" w:cs="Times New Roman"/>
        </w:rPr>
        <w:t>interactionally</w:t>
      </w:r>
      <w:proofErr w:type="spellEnd"/>
      <w:r w:rsidRPr="00835989">
        <w:rPr>
          <w:rFonts w:ascii="Times New Roman" w:hAnsi="Times New Roman" w:cs="Times New Roman"/>
        </w:rPr>
        <w:t>-grounded quantitative codes</w:t>
      </w:r>
      <w:r w:rsidR="0094442C" w:rsidRPr="00835989">
        <w:rPr>
          <w:rFonts w:ascii="Times New Roman" w:hAnsi="Times New Roman" w:cs="Times New Roman"/>
        </w:rPr>
        <w:t xml:space="preserve"> and </w:t>
      </w:r>
      <w:r w:rsidR="00F93ECC" w:rsidRPr="00835989">
        <w:rPr>
          <w:rFonts w:ascii="Times New Roman" w:hAnsi="Times New Roman" w:cs="Times New Roman"/>
        </w:rPr>
        <w:t>the relevant data extract</w:t>
      </w:r>
      <w:r w:rsidR="006701BB" w:rsidRPr="00835989">
        <w:rPr>
          <w:rFonts w:ascii="Times New Roman" w:hAnsi="Times New Roman" w:cs="Times New Roman"/>
        </w:rPr>
        <w:t>s</w:t>
      </w:r>
      <w:r w:rsidR="00F93ECC" w:rsidRPr="00835989">
        <w:rPr>
          <w:rFonts w:ascii="Times New Roman" w:hAnsi="Times New Roman" w:cs="Times New Roman"/>
        </w:rPr>
        <w:t xml:space="preserve">, facilitating our ability to move between a qualitative </w:t>
      </w:r>
      <w:r w:rsidR="00F93ECC" w:rsidRPr="00835989">
        <w:rPr>
          <w:rFonts w:ascii="Times New Roman" w:hAnsi="Times New Roman" w:cs="Times New Roman"/>
        </w:rPr>
        <w:lastRenderedPageBreak/>
        <w:t>and quantitative approach.</w:t>
      </w:r>
      <w:r w:rsidR="008A6AB6" w:rsidRPr="00835989">
        <w:rPr>
          <w:rFonts w:ascii="Times New Roman" w:hAnsi="Times New Roman" w:cs="Times New Roman"/>
        </w:rPr>
        <w:t xml:space="preserve"> </w:t>
      </w:r>
      <w:r w:rsidR="00835989" w:rsidRPr="00835989">
        <w:rPr>
          <w:rFonts w:ascii="Times New Roman" w:hAnsi="Times New Roman" w:cs="Times New Roman"/>
        </w:rPr>
        <w:t>The figure provided as a ‘Supplementary File’</w:t>
      </w:r>
      <w:r w:rsidR="008A6AB6" w:rsidRPr="00835989">
        <w:rPr>
          <w:rFonts w:ascii="Times New Roman" w:hAnsi="Times New Roman" w:cs="Times New Roman"/>
        </w:rPr>
        <w:t xml:space="preserve"> illustrates our coding process, showing how a single consultation might have more than one decision and how decision</w:t>
      </w:r>
      <w:r w:rsidR="007A3842">
        <w:rPr>
          <w:rFonts w:ascii="Times New Roman" w:hAnsi="Times New Roman" w:cs="Times New Roman"/>
        </w:rPr>
        <w:t>s</w:t>
      </w:r>
      <w:r w:rsidR="008A6AB6" w:rsidRPr="00835989">
        <w:rPr>
          <w:rFonts w:ascii="Times New Roman" w:hAnsi="Times New Roman" w:cs="Times New Roman"/>
        </w:rPr>
        <w:t xml:space="preserve"> may have one or more decision-point. </w:t>
      </w:r>
      <w:r w:rsidR="005F68CF" w:rsidRPr="00835989">
        <w:rPr>
          <w:rFonts w:ascii="Times New Roman" w:hAnsi="Times New Roman" w:cs="Times New Roman"/>
        </w:rPr>
        <w:t xml:space="preserve">Given that our aim was to compare recommendations, option-lists and PVEs, we did not attempt to code </w:t>
      </w:r>
      <w:r w:rsidR="00835989">
        <w:rPr>
          <w:rFonts w:ascii="Times New Roman" w:hAnsi="Times New Roman" w:cs="Times New Roman"/>
        </w:rPr>
        <w:t xml:space="preserve">all possible </w:t>
      </w:r>
      <w:r w:rsidR="005F68CF" w:rsidRPr="00835989">
        <w:rPr>
          <w:rFonts w:ascii="Times New Roman" w:hAnsi="Times New Roman" w:cs="Times New Roman"/>
        </w:rPr>
        <w:t>ways in which a decision might be negotiated</w:t>
      </w:r>
      <w:r w:rsidR="00835989">
        <w:rPr>
          <w:rFonts w:ascii="Times New Roman" w:hAnsi="Times New Roman" w:cs="Times New Roman"/>
        </w:rPr>
        <w:t xml:space="preserve">. </w:t>
      </w:r>
      <w:r w:rsidR="00AA1BCE">
        <w:rPr>
          <w:rFonts w:ascii="Times New Roman" w:hAnsi="Times New Roman" w:cs="Times New Roman"/>
        </w:rPr>
        <w:t>T</w:t>
      </w:r>
      <w:r w:rsidR="00835989">
        <w:rPr>
          <w:rFonts w:ascii="Times New Roman" w:hAnsi="Times New Roman" w:cs="Times New Roman"/>
        </w:rPr>
        <w:t>o ensure we were</w:t>
      </w:r>
      <w:r w:rsidR="00DE5173" w:rsidRPr="00835989">
        <w:rPr>
          <w:rFonts w:ascii="Times New Roman" w:hAnsi="Times New Roman" w:cs="Times New Roman"/>
        </w:rPr>
        <w:t xml:space="preserve"> comparing </w:t>
      </w:r>
      <w:r w:rsidR="00835989">
        <w:rPr>
          <w:rFonts w:ascii="Times New Roman" w:hAnsi="Times New Roman" w:cs="Times New Roman"/>
        </w:rPr>
        <w:t xml:space="preserve">neurologist-initiated </w:t>
      </w:r>
      <w:r w:rsidR="00DE5173" w:rsidRPr="00835989">
        <w:rPr>
          <w:rFonts w:ascii="Times New Roman" w:hAnsi="Times New Roman" w:cs="Times New Roman"/>
        </w:rPr>
        <w:t xml:space="preserve">decisions, we excluded patient-initiated </w:t>
      </w:r>
      <w:r w:rsidR="00835989">
        <w:rPr>
          <w:rFonts w:ascii="Times New Roman" w:hAnsi="Times New Roman" w:cs="Times New Roman"/>
        </w:rPr>
        <w:t>ones</w:t>
      </w:r>
      <w:r w:rsidR="005F68CF" w:rsidRPr="00835989">
        <w:rPr>
          <w:rFonts w:ascii="Times New Roman" w:hAnsi="Times New Roman" w:cs="Times New Roman"/>
        </w:rPr>
        <w:t>.</w:t>
      </w:r>
      <w:r w:rsidR="008A6AB6" w:rsidRPr="00835989">
        <w:rPr>
          <w:rFonts w:ascii="Times New Roman" w:hAnsi="Times New Roman" w:cs="Times New Roman"/>
        </w:rPr>
        <w:t xml:space="preserve"> </w:t>
      </w:r>
    </w:p>
    <w:p w14:paraId="4A9CCFE2" w14:textId="77777777" w:rsidR="008E055E" w:rsidRDefault="008E055E" w:rsidP="005C55FB">
      <w:pPr>
        <w:spacing w:line="480" w:lineRule="auto"/>
        <w:rPr>
          <w:rFonts w:ascii="Times New Roman" w:hAnsi="Times New Roman" w:cs="Times New Roman"/>
          <w:color w:val="FF0000"/>
          <w:u w:val="single"/>
        </w:rPr>
      </w:pPr>
    </w:p>
    <w:p w14:paraId="2247431D" w14:textId="77777777" w:rsidR="009117FE" w:rsidRPr="007E2AAB" w:rsidRDefault="009117FE" w:rsidP="005C55FB">
      <w:pPr>
        <w:spacing w:line="480" w:lineRule="auto"/>
        <w:rPr>
          <w:rFonts w:ascii="Times New Roman" w:hAnsi="Times New Roman" w:cs="Times New Roman"/>
          <w:color w:val="FF0000"/>
          <w:u w:val="single"/>
        </w:rPr>
      </w:pPr>
    </w:p>
    <w:p w14:paraId="7CDFDF9F" w14:textId="77777777" w:rsidR="008E055E" w:rsidRPr="007E2457" w:rsidRDefault="008E055E" w:rsidP="005C55FB">
      <w:pPr>
        <w:spacing w:line="480" w:lineRule="auto"/>
        <w:rPr>
          <w:rFonts w:ascii="Times New Roman" w:hAnsi="Times New Roman" w:cs="Times New Roman"/>
          <w:b/>
          <w:i/>
        </w:rPr>
      </w:pPr>
      <w:r w:rsidRPr="007E2457">
        <w:rPr>
          <w:rFonts w:ascii="Times New Roman" w:hAnsi="Times New Roman" w:cs="Times New Roman"/>
          <w:b/>
          <w:i/>
        </w:rPr>
        <w:t>3.3 Inter-coder reliability</w:t>
      </w:r>
    </w:p>
    <w:p w14:paraId="3392E4C0" w14:textId="6FED278E" w:rsidR="008E055E" w:rsidRDefault="008E055E" w:rsidP="005C55FB">
      <w:pPr>
        <w:spacing w:line="480" w:lineRule="auto"/>
        <w:rPr>
          <w:rFonts w:ascii="Times New Roman" w:hAnsi="Times New Roman" w:cs="Times New Roman"/>
          <w:color w:val="000000"/>
        </w:rPr>
      </w:pPr>
      <w:r w:rsidRPr="007E2457">
        <w:rPr>
          <w:rFonts w:ascii="Times New Roman" w:hAnsi="Times New Roman" w:cs="Times New Roman"/>
        </w:rPr>
        <w:t>To test the reliability of our coding, three coders independently coded 20 consultations, sharing 10 with each of the others (30 consultations, or 13.5% of the dataset). Inter-coder agreement o</w:t>
      </w:r>
      <w:r w:rsidRPr="0056416F">
        <w:rPr>
          <w:rFonts w:ascii="Times New Roman" w:hAnsi="Times New Roman" w:cs="Times New Roman"/>
        </w:rPr>
        <w:t xml:space="preserve">f the 39 </w:t>
      </w:r>
      <w:r>
        <w:rPr>
          <w:rFonts w:ascii="Times New Roman" w:hAnsi="Times New Roman" w:cs="Times New Roman"/>
        </w:rPr>
        <w:t>first</w:t>
      </w:r>
      <w:r w:rsidRPr="0056416F">
        <w:rPr>
          <w:rFonts w:ascii="Times New Roman" w:hAnsi="Times New Roman" w:cs="Times New Roman"/>
        </w:rPr>
        <w:t xml:space="preserve"> </w:t>
      </w:r>
      <w:r>
        <w:rPr>
          <w:rFonts w:ascii="Times New Roman" w:hAnsi="Times New Roman" w:cs="Times New Roman"/>
        </w:rPr>
        <w:t>decision-point</w:t>
      </w:r>
      <w:r w:rsidRPr="0056416F">
        <w:rPr>
          <w:rFonts w:ascii="Times New Roman" w:hAnsi="Times New Roman" w:cs="Times New Roman"/>
        </w:rPr>
        <w:t xml:space="preserve">s across the 30 consultations was checked. </w:t>
      </w:r>
      <w:r>
        <w:rPr>
          <w:rFonts w:ascii="Times New Roman" w:hAnsi="Times New Roman" w:cs="Times New Roman"/>
        </w:rPr>
        <w:t>A</w:t>
      </w:r>
      <w:r w:rsidRPr="0056416F">
        <w:rPr>
          <w:rFonts w:ascii="Times New Roman" w:hAnsi="Times New Roman" w:cs="Times New Roman"/>
        </w:rPr>
        <w:t xml:space="preserve">greement on when the first </w:t>
      </w:r>
      <w:r>
        <w:rPr>
          <w:rFonts w:ascii="Times New Roman" w:hAnsi="Times New Roman" w:cs="Times New Roman"/>
        </w:rPr>
        <w:t>decision-point</w:t>
      </w:r>
      <w:r w:rsidRPr="0056416F">
        <w:rPr>
          <w:rFonts w:ascii="Times New Roman" w:hAnsi="Times New Roman" w:cs="Times New Roman"/>
        </w:rPr>
        <w:t xml:space="preserve"> occurred was 74</w:t>
      </w:r>
      <w:r>
        <w:rPr>
          <w:rFonts w:ascii="Times New Roman" w:hAnsi="Times New Roman" w:cs="Times New Roman"/>
        </w:rPr>
        <w:t xml:space="preserve">% - a large majority of cases.  Percentage agreement and Kappa scores were calculated for each variable.  Of the variables pertinent for this paper, agreement was 79.4% for the classification of decision-points (Kappa = 0.70) and 97.4% for the agreed outcome variable (Kappa = 0.92).  </w:t>
      </w:r>
      <w:r w:rsidR="00367B23">
        <w:rPr>
          <w:rFonts w:ascii="Times New Roman" w:hAnsi="Times New Roman" w:cs="Times New Roman"/>
        </w:rPr>
        <w:t xml:space="preserve">This shows that </w:t>
      </w:r>
      <w:r w:rsidR="00367B23">
        <w:rPr>
          <w:rFonts w:ascii="Times New Roman" w:hAnsi="Times New Roman" w:cs="Times New Roman"/>
          <w:color w:val="000000"/>
        </w:rPr>
        <w:t>there was some disagreement, indicative of the nuanced ways that decisions are initiated. However</w:t>
      </w:r>
      <w:r w:rsidR="00F93ECC">
        <w:rPr>
          <w:rFonts w:ascii="Times New Roman" w:hAnsi="Times New Roman" w:cs="Times New Roman"/>
          <w:color w:val="000000"/>
        </w:rPr>
        <w:t>,</w:t>
      </w:r>
      <w:r w:rsidR="00367B23">
        <w:rPr>
          <w:rFonts w:ascii="Times New Roman" w:hAnsi="Times New Roman" w:cs="Times New Roman"/>
        </w:rPr>
        <w:t xml:space="preserve"> the</w:t>
      </w:r>
      <w:r w:rsidR="00701C88">
        <w:rPr>
          <w:rFonts w:ascii="Times New Roman" w:hAnsi="Times New Roman" w:cs="Times New Roman"/>
        </w:rPr>
        <w:t>se</w:t>
      </w:r>
      <w:r w:rsidR="00367B23">
        <w:rPr>
          <w:rFonts w:ascii="Times New Roman" w:hAnsi="Times New Roman" w:cs="Times New Roman"/>
        </w:rPr>
        <w:t xml:space="preserve"> kappa values</w:t>
      </w:r>
      <w:r>
        <w:rPr>
          <w:rFonts w:ascii="Times New Roman" w:hAnsi="Times New Roman" w:cs="Times New Roman"/>
        </w:rPr>
        <w:t xml:space="preserve"> indicate</w:t>
      </w:r>
      <w:r w:rsidRPr="0056416F">
        <w:rPr>
          <w:rFonts w:ascii="Times New Roman" w:hAnsi="Times New Roman" w:cs="Times New Roman"/>
        </w:rPr>
        <w:t xml:space="preserve"> </w:t>
      </w:r>
      <w:r w:rsidRPr="0056416F">
        <w:rPr>
          <w:rFonts w:ascii="Times New Roman" w:hAnsi="Times New Roman" w:cs="Times New Roman"/>
          <w:color w:val="000000"/>
        </w:rPr>
        <w:t xml:space="preserve">‘substantial’ </w:t>
      </w:r>
      <w:r w:rsidR="00F93ECC">
        <w:rPr>
          <w:rFonts w:ascii="Times New Roman" w:hAnsi="Times New Roman" w:cs="Times New Roman"/>
          <w:color w:val="000000"/>
        </w:rPr>
        <w:t xml:space="preserve">and </w:t>
      </w:r>
      <w:r>
        <w:rPr>
          <w:rFonts w:ascii="Times New Roman" w:hAnsi="Times New Roman" w:cs="Times New Roman"/>
          <w:color w:val="000000"/>
        </w:rPr>
        <w:t xml:space="preserve">‘outstanding’ agreement </w:t>
      </w:r>
      <w:r w:rsidR="00367B23">
        <w:rPr>
          <w:rFonts w:ascii="Times New Roman" w:hAnsi="Times New Roman" w:cs="Times New Roman"/>
          <w:color w:val="000000"/>
        </w:rPr>
        <w:t xml:space="preserve">respectively </w:t>
      </w:r>
      <w:r w:rsidRPr="0056416F">
        <w:rPr>
          <w:rFonts w:ascii="Times New Roman" w:hAnsi="Times New Roman" w:cs="Times New Roman"/>
          <w:noProof/>
          <w:color w:val="000000"/>
        </w:rPr>
        <w:t xml:space="preserve">(Landis </w:t>
      </w:r>
      <w:r w:rsidR="00DB7CEB">
        <w:rPr>
          <w:rFonts w:ascii="Times New Roman" w:hAnsi="Times New Roman" w:cs="Times New Roman"/>
          <w:noProof/>
          <w:color w:val="000000"/>
        </w:rPr>
        <w:t>and</w:t>
      </w:r>
      <w:r w:rsidR="00DB7CEB" w:rsidRPr="0056416F">
        <w:rPr>
          <w:rFonts w:ascii="Times New Roman" w:hAnsi="Times New Roman" w:cs="Times New Roman"/>
          <w:noProof/>
          <w:color w:val="000000"/>
        </w:rPr>
        <w:t xml:space="preserve"> </w:t>
      </w:r>
      <w:r w:rsidRPr="0056416F">
        <w:rPr>
          <w:rFonts w:ascii="Times New Roman" w:hAnsi="Times New Roman" w:cs="Times New Roman"/>
          <w:noProof/>
          <w:color w:val="000000"/>
        </w:rPr>
        <w:t>Koch, 1977)</w:t>
      </w:r>
      <w:r w:rsidR="00367B23">
        <w:rPr>
          <w:rFonts w:ascii="Times New Roman" w:hAnsi="Times New Roman" w:cs="Times New Roman"/>
          <w:color w:val="000000"/>
        </w:rPr>
        <w:t>, sufficient for quantitative analyses</w:t>
      </w:r>
      <w:r w:rsidR="00D13FC6">
        <w:rPr>
          <w:rFonts w:ascii="Times New Roman" w:hAnsi="Times New Roman" w:cs="Times New Roman"/>
          <w:color w:val="000000"/>
        </w:rPr>
        <w:t xml:space="preserve">. </w:t>
      </w:r>
    </w:p>
    <w:p w14:paraId="255E7BAF" w14:textId="77777777" w:rsidR="008E055E" w:rsidRDefault="008E055E" w:rsidP="005C55FB">
      <w:pPr>
        <w:spacing w:line="480" w:lineRule="auto"/>
        <w:rPr>
          <w:rFonts w:ascii="Times New Roman" w:hAnsi="Times New Roman" w:cs="Times New Roman"/>
          <w:color w:val="000000"/>
        </w:rPr>
      </w:pPr>
    </w:p>
    <w:p w14:paraId="34BBAB90" w14:textId="654CB057" w:rsidR="008E055E" w:rsidRDefault="008E055E" w:rsidP="005C55FB">
      <w:pPr>
        <w:spacing w:line="480" w:lineRule="auto"/>
        <w:rPr>
          <w:rFonts w:ascii="Times New Roman" w:hAnsi="Times New Roman" w:cs="Times New Roman"/>
        </w:rPr>
      </w:pPr>
      <w:r>
        <w:rPr>
          <w:rFonts w:ascii="Times New Roman" w:hAnsi="Times New Roman" w:cs="Times New Roman"/>
          <w:color w:val="000000"/>
        </w:rPr>
        <w:t xml:space="preserve">Coders subsequently </w:t>
      </w:r>
      <w:r w:rsidR="00367B23">
        <w:rPr>
          <w:rFonts w:ascii="Times New Roman" w:hAnsi="Times New Roman" w:cs="Times New Roman"/>
          <w:color w:val="000000"/>
        </w:rPr>
        <w:t>negotiated</w:t>
      </w:r>
      <w:r>
        <w:rPr>
          <w:rFonts w:ascii="Times New Roman" w:hAnsi="Times New Roman" w:cs="Times New Roman"/>
          <w:color w:val="000000"/>
        </w:rPr>
        <w:t xml:space="preserve"> agreement</w:t>
      </w:r>
      <w:r w:rsidR="008D7765">
        <w:rPr>
          <w:rFonts w:ascii="Times New Roman" w:hAnsi="Times New Roman" w:cs="Times New Roman"/>
          <w:color w:val="000000"/>
        </w:rPr>
        <w:t>s</w:t>
      </w:r>
      <w:r>
        <w:rPr>
          <w:rFonts w:ascii="Times New Roman" w:hAnsi="Times New Roman" w:cs="Times New Roman"/>
          <w:color w:val="000000"/>
        </w:rPr>
        <w:t xml:space="preserve"> on all aspects of coding for the 30 cases before the remainder of the coding was conducted.  </w:t>
      </w:r>
      <w:r w:rsidRPr="0056416F">
        <w:rPr>
          <w:rFonts w:ascii="Times New Roman" w:hAnsi="Times New Roman" w:cs="Times New Roman"/>
        </w:rPr>
        <w:t>The</w:t>
      </w:r>
      <w:r>
        <w:rPr>
          <w:rFonts w:ascii="Times New Roman" w:hAnsi="Times New Roman" w:cs="Times New Roman"/>
        </w:rPr>
        <w:t xml:space="preserve"> resulting quantitative data were</w:t>
      </w:r>
      <w:r w:rsidRPr="0056416F">
        <w:rPr>
          <w:rFonts w:ascii="Times New Roman" w:hAnsi="Times New Roman" w:cs="Times New Roman"/>
        </w:rPr>
        <w:t xml:space="preserve"> then recoded </w:t>
      </w:r>
      <w:r>
        <w:rPr>
          <w:rFonts w:ascii="Times New Roman" w:hAnsi="Times New Roman" w:cs="Times New Roman"/>
        </w:rPr>
        <w:t xml:space="preserve">into forms suitable for analysis.  </w:t>
      </w:r>
    </w:p>
    <w:p w14:paraId="1EB175A0" w14:textId="77777777" w:rsidR="008E055E" w:rsidRDefault="008E055E" w:rsidP="005C55FB">
      <w:pPr>
        <w:spacing w:line="480" w:lineRule="auto"/>
        <w:rPr>
          <w:rFonts w:ascii="Times New Roman" w:hAnsi="Times New Roman" w:cs="Times New Roman"/>
          <w:b/>
        </w:rPr>
      </w:pPr>
    </w:p>
    <w:p w14:paraId="18FA4B73" w14:textId="77777777" w:rsidR="008E055E" w:rsidRDefault="008E055E" w:rsidP="005C55FB">
      <w:pPr>
        <w:spacing w:line="480" w:lineRule="auto"/>
        <w:outlineLvl w:val="0"/>
        <w:rPr>
          <w:rFonts w:ascii="Times New Roman" w:hAnsi="Times New Roman" w:cs="Times New Roman"/>
          <w:b/>
          <w:i/>
        </w:rPr>
      </w:pPr>
      <w:r>
        <w:rPr>
          <w:rFonts w:ascii="Times New Roman" w:hAnsi="Times New Roman" w:cs="Times New Roman"/>
          <w:b/>
          <w:i/>
        </w:rPr>
        <w:t>3.4 Coding the questionnaires</w:t>
      </w:r>
    </w:p>
    <w:p w14:paraId="552D49D3" w14:textId="41C64E99" w:rsidR="008E055E" w:rsidRPr="0056416F" w:rsidRDefault="008E055E" w:rsidP="005C55FB">
      <w:pPr>
        <w:spacing w:line="480" w:lineRule="auto"/>
        <w:rPr>
          <w:rFonts w:ascii="Times New Roman" w:hAnsi="Times New Roman" w:cs="Times New Roman"/>
          <w:shd w:val="clear" w:color="auto" w:fill="FFFFFF"/>
        </w:rPr>
      </w:pPr>
      <w:r>
        <w:rPr>
          <w:rFonts w:ascii="Times New Roman" w:hAnsi="Times New Roman" w:cs="Times New Roman"/>
        </w:rPr>
        <w:t xml:space="preserve">Participant </w:t>
      </w:r>
      <w:r w:rsidRPr="0056416F">
        <w:rPr>
          <w:rFonts w:ascii="Times New Roman" w:hAnsi="Times New Roman" w:cs="Times New Roman"/>
        </w:rPr>
        <w:t xml:space="preserve">demographics </w:t>
      </w:r>
      <w:r w:rsidR="00367B23">
        <w:rPr>
          <w:rFonts w:ascii="Times New Roman" w:hAnsi="Times New Roman" w:cs="Times New Roman"/>
        </w:rPr>
        <w:t>and</w:t>
      </w:r>
      <w:r w:rsidRPr="0056416F">
        <w:rPr>
          <w:rFonts w:ascii="Times New Roman" w:hAnsi="Times New Roman" w:cs="Times New Roman"/>
        </w:rPr>
        <w:t xml:space="preserve"> variables recording aspects of the patient’s condition were derived from the </w:t>
      </w:r>
      <w:r>
        <w:rPr>
          <w:rFonts w:ascii="Times New Roman" w:hAnsi="Times New Roman" w:cs="Times New Roman"/>
        </w:rPr>
        <w:t>questionnaire responses</w:t>
      </w:r>
      <w:r w:rsidRPr="0056416F">
        <w:rPr>
          <w:rFonts w:ascii="Times New Roman" w:hAnsi="Times New Roman" w:cs="Times New Roman"/>
        </w:rPr>
        <w:t xml:space="preserve">.  These included </w:t>
      </w:r>
      <w:r>
        <w:rPr>
          <w:rFonts w:ascii="Times New Roman" w:hAnsi="Times New Roman" w:cs="Times New Roman"/>
        </w:rPr>
        <w:t>the</w:t>
      </w:r>
      <w:r>
        <w:rPr>
          <w:rFonts w:ascii="Times New Roman" w:hAnsi="Times New Roman" w:cs="Times New Roman"/>
          <w:shd w:val="clear" w:color="auto" w:fill="FFFFFF"/>
        </w:rPr>
        <w:t xml:space="preserve"> extent to which neurologists considered patient</w:t>
      </w:r>
      <w:r w:rsidRPr="0056416F">
        <w:rPr>
          <w:rFonts w:ascii="Times New Roman" w:hAnsi="Times New Roman" w:cs="Times New Roman"/>
          <w:shd w:val="clear" w:color="auto" w:fill="FFFFFF"/>
        </w:rPr>
        <w:t>s</w:t>
      </w:r>
      <w:r>
        <w:rPr>
          <w:rFonts w:ascii="Times New Roman" w:hAnsi="Times New Roman" w:cs="Times New Roman"/>
          <w:shd w:val="clear" w:color="auto" w:fill="FFFFFF"/>
        </w:rPr>
        <w:t>’</w:t>
      </w:r>
      <w:r w:rsidRPr="0056416F">
        <w:rPr>
          <w:rFonts w:ascii="Times New Roman" w:hAnsi="Times New Roman" w:cs="Times New Roman"/>
          <w:shd w:val="clear" w:color="auto" w:fill="FFFFFF"/>
        </w:rPr>
        <w:t xml:space="preserve"> symptoms </w:t>
      </w:r>
      <w:r>
        <w:rPr>
          <w:rFonts w:ascii="Times New Roman" w:hAnsi="Times New Roman" w:cs="Times New Roman"/>
          <w:shd w:val="clear" w:color="auto" w:fill="FFFFFF"/>
        </w:rPr>
        <w:t>to be medically explained</w:t>
      </w:r>
      <w:r w:rsidRPr="0056416F">
        <w:rPr>
          <w:rFonts w:ascii="Times New Roman" w:hAnsi="Times New Roman" w:cs="Times New Roman"/>
          <w:shd w:val="clear" w:color="auto" w:fill="FFFFFF"/>
        </w:rPr>
        <w:t xml:space="preserve"> (‘completely/largely explained’, ‘partly explained/partly unexplained’ and ‘completely/largely unexplained’) and </w:t>
      </w:r>
      <w:r>
        <w:rPr>
          <w:rFonts w:ascii="Times New Roman" w:hAnsi="Times New Roman" w:cs="Times New Roman"/>
          <w:shd w:val="clear" w:color="auto" w:fill="FFFFFF"/>
        </w:rPr>
        <w:t xml:space="preserve">how certain they were of the </w:t>
      </w:r>
      <w:r w:rsidRPr="0056416F">
        <w:rPr>
          <w:rFonts w:ascii="Times New Roman" w:hAnsi="Times New Roman" w:cs="Times New Roman"/>
          <w:shd w:val="clear" w:color="auto" w:fill="FFFFFF"/>
        </w:rPr>
        <w:t>diagnosis</w:t>
      </w:r>
      <w:r>
        <w:rPr>
          <w:rFonts w:ascii="Times New Roman" w:hAnsi="Times New Roman" w:cs="Times New Roman"/>
          <w:shd w:val="clear" w:color="auto" w:fill="FFFFFF"/>
        </w:rPr>
        <w:t xml:space="preserve"> (rated </w:t>
      </w:r>
      <w:r w:rsidRPr="0056416F">
        <w:rPr>
          <w:rFonts w:ascii="Times New Roman" w:hAnsi="Times New Roman" w:cs="Times New Roman"/>
          <w:shd w:val="clear" w:color="auto" w:fill="FFFFFF"/>
        </w:rPr>
        <w:t>from very uncertain (1) to very certain (10)</w:t>
      </w:r>
      <w:r>
        <w:rPr>
          <w:rFonts w:ascii="Times New Roman" w:hAnsi="Times New Roman" w:cs="Times New Roman"/>
          <w:shd w:val="clear" w:color="auto" w:fill="FFFFFF"/>
        </w:rPr>
        <w:t>)</w:t>
      </w:r>
      <w:r w:rsidRPr="0056416F">
        <w:rPr>
          <w:rFonts w:ascii="Times New Roman" w:hAnsi="Times New Roman" w:cs="Times New Roman"/>
          <w:shd w:val="clear" w:color="auto" w:fill="FFFFFF"/>
        </w:rPr>
        <w:t xml:space="preserve">.  We </w:t>
      </w:r>
      <w:r>
        <w:rPr>
          <w:rFonts w:ascii="Times New Roman" w:hAnsi="Times New Roman" w:cs="Times New Roman"/>
          <w:shd w:val="clear" w:color="auto" w:fill="FFFFFF"/>
        </w:rPr>
        <w:t>employ</w:t>
      </w:r>
      <w:r w:rsidRPr="0056416F">
        <w:rPr>
          <w:rFonts w:ascii="Times New Roman" w:hAnsi="Times New Roman" w:cs="Times New Roman"/>
          <w:shd w:val="clear" w:color="auto" w:fill="FFFFFF"/>
        </w:rPr>
        <w:t xml:space="preserve"> </w:t>
      </w:r>
      <w:r>
        <w:rPr>
          <w:rFonts w:ascii="Times New Roman" w:hAnsi="Times New Roman" w:cs="Times New Roman"/>
          <w:shd w:val="clear" w:color="auto" w:fill="FFFFFF"/>
        </w:rPr>
        <w:t>variables that record the length of the consultation, which neurologist provided the consultation, and whether it took place within a general neurology or specialist c</w:t>
      </w:r>
      <w:r w:rsidR="005F77EA">
        <w:rPr>
          <w:rFonts w:ascii="Times New Roman" w:hAnsi="Times New Roman" w:cs="Times New Roman"/>
          <w:shd w:val="clear" w:color="auto" w:fill="FFFFFF"/>
        </w:rPr>
        <w:t xml:space="preserve">linic (e.g. Multiple Sclerosis </w:t>
      </w:r>
      <w:r>
        <w:rPr>
          <w:rFonts w:ascii="Times New Roman" w:hAnsi="Times New Roman" w:cs="Times New Roman"/>
          <w:shd w:val="clear" w:color="auto" w:fill="FFFFFF"/>
        </w:rPr>
        <w:t>or Epilepsy clinics).  The six neurologists who recorded</w:t>
      </w:r>
      <w:r w:rsidRPr="0056416F">
        <w:rPr>
          <w:rFonts w:ascii="Times New Roman" w:hAnsi="Times New Roman" w:cs="Times New Roman"/>
          <w:shd w:val="clear" w:color="auto" w:fill="FFFFFF"/>
        </w:rPr>
        <w:t xml:space="preserve"> </w:t>
      </w:r>
      <w:r>
        <w:rPr>
          <w:rFonts w:ascii="Times New Roman" w:hAnsi="Times New Roman" w:cs="Times New Roman"/>
          <w:shd w:val="clear" w:color="auto" w:fill="FFFFFF"/>
        </w:rPr>
        <w:t>fewer</w:t>
      </w:r>
      <w:r w:rsidRPr="0056416F">
        <w:rPr>
          <w:rFonts w:ascii="Times New Roman" w:hAnsi="Times New Roman" w:cs="Times New Roman"/>
          <w:shd w:val="clear" w:color="auto" w:fill="FFFFFF"/>
        </w:rPr>
        <w:t xml:space="preserve"> than </w:t>
      </w:r>
      <w:r>
        <w:rPr>
          <w:rFonts w:ascii="Times New Roman" w:hAnsi="Times New Roman" w:cs="Times New Roman"/>
          <w:shd w:val="clear" w:color="auto" w:fill="FFFFFF"/>
        </w:rPr>
        <w:t>eight</w:t>
      </w:r>
      <w:r w:rsidRPr="0056416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consultations each </w:t>
      </w:r>
      <w:r w:rsidRPr="0056416F">
        <w:rPr>
          <w:rFonts w:ascii="Times New Roman" w:hAnsi="Times New Roman" w:cs="Times New Roman"/>
          <w:shd w:val="clear" w:color="auto" w:fill="FFFFFF"/>
        </w:rPr>
        <w:t xml:space="preserve">were combined into </w:t>
      </w:r>
      <w:r>
        <w:rPr>
          <w:rFonts w:ascii="Times New Roman" w:hAnsi="Times New Roman" w:cs="Times New Roman"/>
          <w:shd w:val="clear" w:color="auto" w:fill="FFFFFF"/>
        </w:rPr>
        <w:t xml:space="preserve">‘remainder’ groups from Glasgow (three consultants) and Sheffield (three consultants).  </w:t>
      </w:r>
      <w:r>
        <w:rPr>
          <w:rFonts w:ascii="Times New Roman" w:hAnsi="Times New Roman" w:cs="Times New Roman"/>
        </w:rPr>
        <w:t>In post-consultation questionnaires, p</w:t>
      </w:r>
      <w:r w:rsidRPr="0056416F">
        <w:rPr>
          <w:rFonts w:ascii="Times New Roman" w:hAnsi="Times New Roman" w:cs="Times New Roman"/>
        </w:rPr>
        <w:t xml:space="preserve">atients were </w:t>
      </w:r>
      <w:r>
        <w:rPr>
          <w:rFonts w:ascii="Times New Roman" w:hAnsi="Times New Roman" w:cs="Times New Roman"/>
        </w:rPr>
        <w:t>asked:</w:t>
      </w:r>
      <w:r w:rsidRPr="0056416F">
        <w:rPr>
          <w:rFonts w:ascii="Times New Roman" w:hAnsi="Times New Roman" w:cs="Times New Roman"/>
        </w:rPr>
        <w:t xml:space="preserve"> ‘Did the doctor give you a choice about any tests or treatment you might have or the next step in the management of your condition’</w:t>
      </w:r>
      <w:r>
        <w:rPr>
          <w:rFonts w:ascii="Times New Roman" w:hAnsi="Times New Roman" w:cs="Times New Roman"/>
        </w:rPr>
        <w:t>,</w:t>
      </w:r>
      <w:r w:rsidRPr="0056416F">
        <w:rPr>
          <w:rFonts w:ascii="Times New Roman" w:hAnsi="Times New Roman" w:cs="Times New Roman"/>
        </w:rPr>
        <w:t xml:space="preserve"> and </w:t>
      </w:r>
      <w:r>
        <w:rPr>
          <w:rFonts w:ascii="Times New Roman" w:hAnsi="Times New Roman" w:cs="Times New Roman"/>
        </w:rPr>
        <w:t>neurologist</w:t>
      </w:r>
      <w:r w:rsidRPr="0056416F">
        <w:rPr>
          <w:rFonts w:ascii="Times New Roman" w:hAnsi="Times New Roman" w:cs="Times New Roman"/>
        </w:rPr>
        <w:t>s were asked</w:t>
      </w:r>
      <w:r>
        <w:rPr>
          <w:rFonts w:ascii="Times New Roman" w:hAnsi="Times New Roman" w:cs="Times New Roman"/>
        </w:rPr>
        <w:t>:</w:t>
      </w:r>
      <w:r w:rsidRPr="0056416F">
        <w:rPr>
          <w:rFonts w:ascii="Times New Roman" w:hAnsi="Times New Roman" w:cs="Times New Roman"/>
        </w:rPr>
        <w:t xml:space="preserve"> ‘Did you give the patient a choice about treatment or further management?’ A variable that described patient and </w:t>
      </w:r>
      <w:r>
        <w:rPr>
          <w:rFonts w:ascii="Times New Roman" w:hAnsi="Times New Roman" w:cs="Times New Roman"/>
        </w:rPr>
        <w:t xml:space="preserve">neurologist </w:t>
      </w:r>
      <w:r w:rsidRPr="0056416F">
        <w:rPr>
          <w:rFonts w:ascii="Times New Roman" w:hAnsi="Times New Roman" w:cs="Times New Roman"/>
        </w:rPr>
        <w:t xml:space="preserve">agreement on </w:t>
      </w:r>
      <w:r>
        <w:rPr>
          <w:rFonts w:ascii="Times New Roman" w:hAnsi="Times New Roman" w:cs="Times New Roman"/>
        </w:rPr>
        <w:t xml:space="preserve">whether </w:t>
      </w:r>
      <w:r w:rsidRPr="0056416F">
        <w:rPr>
          <w:rFonts w:ascii="Times New Roman" w:hAnsi="Times New Roman" w:cs="Times New Roman"/>
        </w:rPr>
        <w:t>choice</w:t>
      </w:r>
      <w:r>
        <w:rPr>
          <w:rFonts w:ascii="Times New Roman" w:hAnsi="Times New Roman" w:cs="Times New Roman"/>
        </w:rPr>
        <w:t xml:space="preserve"> had been offered</w:t>
      </w:r>
      <w:r w:rsidRPr="0056416F">
        <w:rPr>
          <w:rFonts w:ascii="Times New Roman" w:hAnsi="Times New Roman" w:cs="Times New Roman"/>
        </w:rPr>
        <w:t xml:space="preserve"> was derived. </w:t>
      </w:r>
      <w:r>
        <w:rPr>
          <w:rFonts w:ascii="Times New Roman" w:hAnsi="Times New Roman" w:cs="Times New Roman"/>
        </w:rPr>
        <w:t xml:space="preserve"> </w:t>
      </w:r>
      <w:r>
        <w:rPr>
          <w:rFonts w:ascii="Times New Roman" w:hAnsi="Times New Roman" w:cs="Times New Roman"/>
          <w:shd w:val="clear" w:color="auto" w:fill="FFFFFF"/>
        </w:rPr>
        <w:t>Descriptive</w:t>
      </w:r>
      <w:r w:rsidRPr="0056416F">
        <w:rPr>
          <w:rFonts w:ascii="Times New Roman" w:hAnsi="Times New Roman" w:cs="Times New Roman"/>
          <w:shd w:val="clear" w:color="auto" w:fill="FFFFFF"/>
        </w:rPr>
        <w:t xml:space="preserve"> details </w:t>
      </w:r>
      <w:r>
        <w:rPr>
          <w:rFonts w:ascii="Times New Roman" w:hAnsi="Times New Roman" w:cs="Times New Roman"/>
          <w:shd w:val="clear" w:color="auto" w:fill="FFFFFF"/>
        </w:rPr>
        <w:t>for</w:t>
      </w:r>
      <w:r w:rsidRPr="0056416F">
        <w:rPr>
          <w:rFonts w:ascii="Times New Roman" w:hAnsi="Times New Roman" w:cs="Times New Roman"/>
          <w:shd w:val="clear" w:color="auto" w:fill="FFFFFF"/>
        </w:rPr>
        <w:t xml:space="preserve"> these variables can be seen </w:t>
      </w:r>
      <w:r w:rsidRPr="00423C15">
        <w:rPr>
          <w:rFonts w:ascii="Times New Roman" w:hAnsi="Times New Roman" w:cs="Times New Roman"/>
          <w:shd w:val="clear" w:color="auto" w:fill="FFFFFF"/>
        </w:rPr>
        <w:t xml:space="preserve">in </w:t>
      </w:r>
      <w:r>
        <w:rPr>
          <w:rFonts w:ascii="Times New Roman" w:hAnsi="Times New Roman" w:cs="Times New Roman"/>
          <w:shd w:val="clear" w:color="auto" w:fill="FFFFFF"/>
        </w:rPr>
        <w:t>Tables 3, 4, and 5</w:t>
      </w:r>
      <w:r w:rsidRPr="00423C15">
        <w:rPr>
          <w:rFonts w:ascii="Times New Roman" w:hAnsi="Times New Roman" w:cs="Times New Roman"/>
          <w:shd w:val="clear" w:color="auto" w:fill="FFFFFF"/>
        </w:rPr>
        <w:t>.</w:t>
      </w:r>
    </w:p>
    <w:p w14:paraId="457615B1" w14:textId="77777777" w:rsidR="008E055E" w:rsidRDefault="008E055E" w:rsidP="005C55FB">
      <w:pPr>
        <w:spacing w:line="480" w:lineRule="auto"/>
        <w:rPr>
          <w:rFonts w:ascii="Times New Roman" w:hAnsi="Times New Roman" w:cs="Times New Roman"/>
        </w:rPr>
      </w:pPr>
    </w:p>
    <w:p w14:paraId="5E2B12AC" w14:textId="736C5954" w:rsidR="008E055E" w:rsidRDefault="008E055E" w:rsidP="005C55FB">
      <w:pPr>
        <w:spacing w:line="480" w:lineRule="auto"/>
        <w:outlineLvl w:val="0"/>
        <w:rPr>
          <w:rFonts w:ascii="Times New Roman" w:hAnsi="Times New Roman" w:cs="Times New Roman"/>
          <w:b/>
          <w:i/>
        </w:rPr>
      </w:pPr>
      <w:r>
        <w:rPr>
          <w:rFonts w:ascii="Times New Roman" w:hAnsi="Times New Roman" w:cs="Times New Roman"/>
          <w:b/>
          <w:i/>
        </w:rPr>
        <w:t xml:space="preserve">3.5 </w:t>
      </w:r>
      <w:r w:rsidRPr="00B05368">
        <w:rPr>
          <w:rFonts w:ascii="Times New Roman" w:hAnsi="Times New Roman" w:cs="Times New Roman"/>
          <w:b/>
          <w:i/>
        </w:rPr>
        <w:t>Analytic approach</w:t>
      </w:r>
    </w:p>
    <w:p w14:paraId="3578357D" w14:textId="1A86DF65" w:rsidR="008E055E" w:rsidRDefault="008E055E" w:rsidP="005C55FB">
      <w:pPr>
        <w:pStyle w:val="ChapterBody"/>
        <w:spacing w:line="480" w:lineRule="auto"/>
      </w:pPr>
      <w:r>
        <w:t>Quantitative a</w:t>
      </w:r>
      <w:r w:rsidRPr="0056416F">
        <w:t>nalysis consisted of a three</w:t>
      </w:r>
      <w:r>
        <w:t>-</w:t>
      </w:r>
      <w:r w:rsidRPr="0056416F">
        <w:t xml:space="preserve">stage </w:t>
      </w:r>
      <w:r>
        <w:t xml:space="preserve">descriptive, </w:t>
      </w:r>
      <w:r w:rsidRPr="0056416F">
        <w:t xml:space="preserve">exploratory process.  First, </w:t>
      </w:r>
      <w:r>
        <w:t>we mapped the</w:t>
      </w:r>
      <w:r w:rsidRPr="0056416F">
        <w:t xml:space="preserve"> distribution of the </w:t>
      </w:r>
      <w:r>
        <w:t>three practices</w:t>
      </w:r>
      <w:r w:rsidRPr="0056416F">
        <w:t xml:space="preserve"> across c</w:t>
      </w:r>
      <w:r>
        <w:t>onsultations, decisions, and decision-points</w:t>
      </w:r>
      <w:r w:rsidRPr="0056416F">
        <w:t xml:space="preserve"> (</w:t>
      </w:r>
      <w:r w:rsidRPr="009D0B59">
        <w:t xml:space="preserve">Figure </w:t>
      </w:r>
      <w:r w:rsidR="00B61194">
        <w:t>1</w:t>
      </w:r>
      <w:r w:rsidRPr="009D0B59">
        <w:t xml:space="preserve"> and Table </w:t>
      </w:r>
      <w:r w:rsidR="00B61194">
        <w:t>1</w:t>
      </w:r>
      <w:r w:rsidRPr="0056416F">
        <w:t xml:space="preserve">).  Second, the bivariate links </w:t>
      </w:r>
      <w:r w:rsidRPr="0056416F">
        <w:lastRenderedPageBreak/>
        <w:t>between interactional practices</w:t>
      </w:r>
      <w:r>
        <w:t xml:space="preserve"> and </w:t>
      </w:r>
      <w:r w:rsidRPr="0056416F">
        <w:t>demographic</w:t>
      </w:r>
      <w:r>
        <w:t xml:space="preserve"> and</w:t>
      </w:r>
      <w:r w:rsidRPr="0056416F">
        <w:t xml:space="preserve"> </w:t>
      </w:r>
      <w:r w:rsidR="007A3842">
        <w:t>clinical</w:t>
      </w:r>
      <w:r w:rsidRPr="0056416F">
        <w:t xml:space="preserve"> variables were </w:t>
      </w:r>
      <w:r w:rsidRPr="00423C15">
        <w:t xml:space="preserve">investigated (Tables </w:t>
      </w:r>
      <w:r w:rsidR="007E2AAB">
        <w:t xml:space="preserve">2, </w:t>
      </w:r>
      <w:r>
        <w:t>3, 4, and 5</w:t>
      </w:r>
      <w:r w:rsidR="00FD61C2">
        <w:t>, and 7</w:t>
      </w:r>
      <w:r>
        <w:t xml:space="preserve">) and two binary logistic regression models were estimated (Table 6), </w:t>
      </w:r>
      <w:r w:rsidRPr="0056416F">
        <w:t>using Generalized Estimating Equations Modelling to adjust for the clustered nature of the data</w:t>
      </w:r>
      <w:r>
        <w:t>.  The dependent variable in both models is the binary variable classifying each consultation as either containing at least one PVE and/or option-list or only containing recommendations.  For independent variables, we included all demographic and clinical variables showing</w:t>
      </w:r>
      <w:r w:rsidRPr="0056416F">
        <w:t xml:space="preserve"> an association (at the 0.</w:t>
      </w:r>
      <w:r>
        <w:t>2</w:t>
      </w:r>
      <w:r w:rsidRPr="0056416F">
        <w:t xml:space="preserve"> level) with interactional practices, in order to identify independent predi</w:t>
      </w:r>
      <w:r>
        <w:t xml:space="preserve">ctors of </w:t>
      </w:r>
      <w:r w:rsidR="00064723">
        <w:t>these</w:t>
      </w:r>
      <w:r>
        <w:t xml:space="preserve"> practice</w:t>
      </w:r>
      <w:r w:rsidR="00064723">
        <w:t>s</w:t>
      </w:r>
      <w:r w:rsidR="00543B35">
        <w:t>, excluding the individual neurologist variable, as this led to overfitting</w:t>
      </w:r>
      <w:r>
        <w:t>.  Specification 1 includes all relevant variables, whereas Specification 2 excludes the variables with greater than 5% missing values from the analysis, in order to preserve a higher N.</w:t>
      </w:r>
      <w:r w:rsidRPr="0056416F">
        <w:t xml:space="preserve"> </w:t>
      </w:r>
      <w:r>
        <w:t xml:space="preserve"> </w:t>
      </w:r>
      <w:r w:rsidRPr="0056416F">
        <w:t xml:space="preserve">Third, we </w:t>
      </w:r>
      <w:r>
        <w:t>investigated the bivariate links between practice and outcomes to explore the extent to which different practices may lead to differing levels of take-up of the options proffered by the neurologist</w:t>
      </w:r>
      <w:r w:rsidR="00FD61C2">
        <w:t xml:space="preserve"> (Table 8)</w:t>
      </w:r>
      <w:r>
        <w:t>.  Bivariate associations were investigated using contingency tables, Chi square tests, ANOVA, and correlation, as appropriate.</w:t>
      </w:r>
      <w:r w:rsidR="00CE7C22">
        <w:t xml:space="preserve"> </w:t>
      </w:r>
      <w:r w:rsidR="00543B35">
        <w:t>In all analyses, w</w:t>
      </w:r>
      <w:r w:rsidR="00CE7C22">
        <w:t>e report p values at 0.1, 0.05, 0.01 and .001 levels and consider p-values below 0.05 to indicate statistical significance.</w:t>
      </w:r>
    </w:p>
    <w:p w14:paraId="5FA8D08E" w14:textId="77777777" w:rsidR="008E055E" w:rsidRDefault="008E055E" w:rsidP="005C55FB">
      <w:pPr>
        <w:spacing w:line="480" w:lineRule="auto"/>
        <w:rPr>
          <w:rFonts w:ascii="Times New Roman" w:hAnsi="Times New Roman" w:cs="Times New Roman"/>
        </w:rPr>
      </w:pPr>
    </w:p>
    <w:p w14:paraId="6A55B0C0" w14:textId="14F5F219" w:rsidR="008E055E" w:rsidRPr="0056416F" w:rsidRDefault="008E055E" w:rsidP="005C55FB">
      <w:pPr>
        <w:spacing w:line="480" w:lineRule="auto"/>
        <w:rPr>
          <w:rFonts w:ascii="Times New Roman" w:hAnsi="Times New Roman" w:cs="Times New Roman"/>
        </w:rPr>
      </w:pPr>
      <w:r w:rsidRPr="0056416F">
        <w:rPr>
          <w:rFonts w:ascii="Times New Roman" w:hAnsi="Times New Roman" w:cs="Times New Roman"/>
        </w:rPr>
        <w:t xml:space="preserve">Some participants did not </w:t>
      </w:r>
      <w:r>
        <w:rPr>
          <w:rFonts w:ascii="Times New Roman" w:hAnsi="Times New Roman" w:cs="Times New Roman"/>
        </w:rPr>
        <w:t>fully complete</w:t>
      </w:r>
      <w:r w:rsidRPr="0056416F">
        <w:rPr>
          <w:rFonts w:ascii="Times New Roman" w:hAnsi="Times New Roman" w:cs="Times New Roman"/>
        </w:rPr>
        <w:t xml:space="preserve"> </w:t>
      </w:r>
      <w:r>
        <w:rPr>
          <w:rFonts w:ascii="Times New Roman" w:hAnsi="Times New Roman" w:cs="Times New Roman"/>
        </w:rPr>
        <w:t>the questionnaires.  Additionall</w:t>
      </w:r>
      <w:r w:rsidRPr="0056416F">
        <w:rPr>
          <w:rFonts w:ascii="Times New Roman" w:hAnsi="Times New Roman" w:cs="Times New Roman"/>
        </w:rPr>
        <w:t>y,</w:t>
      </w:r>
      <w:r>
        <w:rPr>
          <w:rFonts w:ascii="Times New Roman" w:hAnsi="Times New Roman" w:cs="Times New Roman"/>
        </w:rPr>
        <w:t xml:space="preserve"> not all consultations contained a decision, as defined by our coding scheme.  T</w:t>
      </w:r>
      <w:r w:rsidRPr="0056416F">
        <w:rPr>
          <w:rFonts w:ascii="Times New Roman" w:hAnsi="Times New Roman" w:cs="Times New Roman"/>
        </w:rPr>
        <w:t xml:space="preserve">o deal with missing data, we took the 144 </w:t>
      </w:r>
      <w:r>
        <w:rPr>
          <w:rFonts w:ascii="Times New Roman" w:hAnsi="Times New Roman" w:cs="Times New Roman"/>
        </w:rPr>
        <w:t>recordings</w:t>
      </w:r>
      <w:r w:rsidRPr="0056416F">
        <w:rPr>
          <w:rFonts w:ascii="Times New Roman" w:hAnsi="Times New Roman" w:cs="Times New Roman"/>
        </w:rPr>
        <w:t xml:space="preserve"> with </w:t>
      </w:r>
      <w:r>
        <w:rPr>
          <w:rFonts w:ascii="Times New Roman" w:hAnsi="Times New Roman" w:cs="Times New Roman"/>
        </w:rPr>
        <w:t xml:space="preserve">at least one decision </w:t>
      </w:r>
      <w:r w:rsidR="009345C0">
        <w:rPr>
          <w:rFonts w:ascii="Times New Roman" w:hAnsi="Times New Roman" w:cs="Times New Roman"/>
        </w:rPr>
        <w:t xml:space="preserve">meeting our inclusion criteria </w:t>
      </w:r>
      <w:r w:rsidRPr="0056416F">
        <w:rPr>
          <w:rFonts w:ascii="Times New Roman" w:hAnsi="Times New Roman" w:cs="Times New Roman"/>
        </w:rPr>
        <w:t xml:space="preserve">as our working sample, and used </w:t>
      </w:r>
      <w:proofErr w:type="spellStart"/>
      <w:r w:rsidRPr="0056416F">
        <w:rPr>
          <w:rFonts w:ascii="Times New Roman" w:hAnsi="Times New Roman" w:cs="Times New Roman"/>
        </w:rPr>
        <w:t>listwise</w:t>
      </w:r>
      <w:proofErr w:type="spellEnd"/>
      <w:r w:rsidRPr="0056416F">
        <w:rPr>
          <w:rFonts w:ascii="Times New Roman" w:hAnsi="Times New Roman" w:cs="Times New Roman"/>
        </w:rPr>
        <w:t xml:space="preserve"> deletion for the remainder of our analyses.  </w:t>
      </w:r>
      <w:r>
        <w:rPr>
          <w:rFonts w:ascii="Times New Roman" w:hAnsi="Times New Roman" w:cs="Times New Roman"/>
        </w:rPr>
        <w:t xml:space="preserve">The frequency of missing values for each of the different variables is shown in </w:t>
      </w:r>
      <w:r w:rsidRPr="00423C15">
        <w:rPr>
          <w:rFonts w:ascii="Times New Roman" w:hAnsi="Times New Roman" w:cs="Times New Roman"/>
        </w:rPr>
        <w:t xml:space="preserve">Tables </w:t>
      </w:r>
      <w:r>
        <w:rPr>
          <w:rFonts w:ascii="Times New Roman" w:hAnsi="Times New Roman" w:cs="Times New Roman"/>
        </w:rPr>
        <w:t>3 and 4</w:t>
      </w:r>
      <w:r w:rsidRPr="00423C15">
        <w:rPr>
          <w:rFonts w:ascii="Times New Roman" w:hAnsi="Times New Roman" w:cs="Times New Roman"/>
        </w:rPr>
        <w:t>.</w:t>
      </w:r>
      <w:r>
        <w:rPr>
          <w:rFonts w:ascii="Times New Roman" w:hAnsi="Times New Roman" w:cs="Times New Roman"/>
        </w:rPr>
        <w:t xml:space="preserve"> </w:t>
      </w:r>
    </w:p>
    <w:p w14:paraId="746A956E" w14:textId="77777777" w:rsidR="008E055E" w:rsidRDefault="008E055E" w:rsidP="005C55FB">
      <w:pPr>
        <w:spacing w:line="480" w:lineRule="auto"/>
        <w:outlineLvl w:val="0"/>
        <w:rPr>
          <w:rFonts w:ascii="Times New Roman" w:eastAsia="Times New Roman" w:hAnsi="Times New Roman" w:cs="Times New Roman"/>
          <w:b/>
        </w:rPr>
      </w:pPr>
    </w:p>
    <w:p w14:paraId="37F39B71" w14:textId="77777777" w:rsidR="008E055E" w:rsidRPr="00A74D2E" w:rsidRDefault="008E055E" w:rsidP="005C55FB">
      <w:pPr>
        <w:spacing w:line="480" w:lineRule="auto"/>
        <w:outlineLvl w:val="0"/>
        <w:rPr>
          <w:rFonts w:ascii="Times New Roman" w:eastAsia="Times New Roman" w:hAnsi="Times New Roman" w:cs="Times New Roman"/>
        </w:rPr>
      </w:pPr>
      <w:r>
        <w:rPr>
          <w:rFonts w:ascii="Times New Roman" w:eastAsia="Times New Roman" w:hAnsi="Times New Roman" w:cs="Times New Roman"/>
          <w:b/>
        </w:rPr>
        <w:t xml:space="preserve">4. </w:t>
      </w:r>
      <w:r w:rsidRPr="0056416F">
        <w:rPr>
          <w:rFonts w:ascii="Times New Roman" w:eastAsia="Times New Roman" w:hAnsi="Times New Roman" w:cs="Times New Roman"/>
          <w:b/>
        </w:rPr>
        <w:t>Findings</w:t>
      </w:r>
    </w:p>
    <w:p w14:paraId="179F08E8" w14:textId="77777777" w:rsidR="008E055E" w:rsidRDefault="008E055E" w:rsidP="005C55FB">
      <w:pPr>
        <w:spacing w:line="480" w:lineRule="auto"/>
        <w:rPr>
          <w:rFonts w:ascii="Times New Roman" w:eastAsia="Times New Roman" w:hAnsi="Times New Roman" w:cs="Times New Roman"/>
          <w:color w:val="FF0000"/>
          <w:lang w:val="en-GB"/>
        </w:rPr>
      </w:pPr>
    </w:p>
    <w:p w14:paraId="4B25715D" w14:textId="77777777" w:rsidR="008E055E" w:rsidRPr="009F5712" w:rsidRDefault="008E055E" w:rsidP="005C55FB">
      <w:pPr>
        <w:spacing w:line="480" w:lineRule="auto"/>
        <w:outlineLvl w:val="0"/>
        <w:rPr>
          <w:rFonts w:ascii="Times New Roman" w:eastAsia="Times New Roman" w:hAnsi="Times New Roman" w:cs="Times New Roman"/>
          <w:b/>
          <w:i/>
          <w:lang w:val="en-GB"/>
        </w:rPr>
      </w:pPr>
      <w:r>
        <w:rPr>
          <w:rFonts w:ascii="Times New Roman" w:eastAsia="Times New Roman" w:hAnsi="Times New Roman" w:cs="Times New Roman"/>
          <w:b/>
          <w:i/>
          <w:lang w:val="en-GB"/>
        </w:rPr>
        <w:t xml:space="preserve">4.1 </w:t>
      </w:r>
      <w:r w:rsidRPr="009F5712">
        <w:rPr>
          <w:rFonts w:ascii="Times New Roman" w:eastAsia="Times New Roman" w:hAnsi="Times New Roman" w:cs="Times New Roman"/>
          <w:b/>
          <w:i/>
          <w:lang w:val="en-GB"/>
        </w:rPr>
        <w:t xml:space="preserve">Decisions and </w:t>
      </w:r>
      <w:r>
        <w:rPr>
          <w:rFonts w:ascii="Times New Roman" w:eastAsia="Times New Roman" w:hAnsi="Times New Roman" w:cs="Times New Roman"/>
          <w:b/>
          <w:i/>
          <w:lang w:val="en-GB"/>
        </w:rPr>
        <w:t>decision-point</w:t>
      </w:r>
      <w:r w:rsidRPr="009F5712">
        <w:rPr>
          <w:rFonts w:ascii="Times New Roman" w:eastAsia="Times New Roman" w:hAnsi="Times New Roman" w:cs="Times New Roman"/>
          <w:b/>
          <w:i/>
          <w:lang w:val="en-GB"/>
        </w:rPr>
        <w:t>s</w:t>
      </w:r>
    </w:p>
    <w:p w14:paraId="767AE8C1" w14:textId="72E99953" w:rsidR="008E055E" w:rsidRPr="0056416F" w:rsidRDefault="00064723" w:rsidP="005C55FB">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Most</w:t>
      </w:r>
      <w:r w:rsidR="008E055E">
        <w:rPr>
          <w:rFonts w:ascii="Times New Roman" w:eastAsia="Times New Roman" w:hAnsi="Times New Roman" w:cs="Times New Roman"/>
          <w:lang w:val="en-GB"/>
        </w:rPr>
        <w:t xml:space="preserve"> consultations (144/223 or 65%) included at least one decision initiated by the neurologist through </w:t>
      </w:r>
      <w:r w:rsidR="006C67FF">
        <w:rPr>
          <w:rFonts w:ascii="Times New Roman" w:eastAsia="Times New Roman" w:hAnsi="Times New Roman" w:cs="Times New Roman"/>
          <w:lang w:val="en-GB"/>
        </w:rPr>
        <w:t xml:space="preserve">an </w:t>
      </w:r>
      <w:r w:rsidR="008E055E">
        <w:rPr>
          <w:rFonts w:ascii="Times New Roman" w:eastAsia="Times New Roman" w:hAnsi="Times New Roman" w:cs="Times New Roman"/>
          <w:lang w:val="en-GB"/>
        </w:rPr>
        <w:t xml:space="preserve">option-list, PVE or recommendation.  </w:t>
      </w:r>
      <w:r w:rsidR="008E055E" w:rsidRPr="0056416F">
        <w:rPr>
          <w:rFonts w:ascii="Times New Roman" w:eastAsia="Times New Roman" w:hAnsi="Times New Roman" w:cs="Times New Roman"/>
          <w:lang w:val="en-GB"/>
        </w:rPr>
        <w:t xml:space="preserve">Figure </w:t>
      </w:r>
      <w:r w:rsidR="008E055E">
        <w:rPr>
          <w:rFonts w:ascii="Times New Roman" w:eastAsia="Times New Roman" w:hAnsi="Times New Roman" w:cs="Times New Roman"/>
          <w:lang w:val="en-GB"/>
        </w:rPr>
        <w:t>1</w:t>
      </w:r>
      <w:r w:rsidR="008E055E" w:rsidRPr="0056416F">
        <w:rPr>
          <w:rFonts w:ascii="Times New Roman" w:eastAsia="Times New Roman" w:hAnsi="Times New Roman" w:cs="Times New Roman"/>
          <w:lang w:val="en-GB"/>
        </w:rPr>
        <w:t xml:space="preserve"> shows the </w:t>
      </w:r>
      <w:r w:rsidR="008E055E">
        <w:rPr>
          <w:rFonts w:ascii="Times New Roman" w:eastAsia="Times New Roman" w:hAnsi="Times New Roman" w:cs="Times New Roman"/>
          <w:lang w:val="en-GB"/>
        </w:rPr>
        <w:t>frequency</w:t>
      </w:r>
      <w:r w:rsidR="008E055E" w:rsidRPr="0056416F">
        <w:rPr>
          <w:rFonts w:ascii="Times New Roman" w:eastAsia="Times New Roman" w:hAnsi="Times New Roman" w:cs="Times New Roman"/>
          <w:lang w:val="en-GB"/>
        </w:rPr>
        <w:t xml:space="preserve"> of decisions </w:t>
      </w:r>
      <w:r w:rsidR="008E055E">
        <w:rPr>
          <w:rFonts w:ascii="Times New Roman" w:eastAsia="Times New Roman" w:hAnsi="Times New Roman" w:cs="Times New Roman"/>
          <w:lang w:val="en-GB"/>
        </w:rPr>
        <w:t xml:space="preserve">across the 144 </w:t>
      </w:r>
      <w:r w:rsidR="008E055E" w:rsidRPr="0056416F">
        <w:rPr>
          <w:rFonts w:ascii="Times New Roman" w:eastAsia="Times New Roman" w:hAnsi="Times New Roman" w:cs="Times New Roman"/>
          <w:lang w:val="en-GB"/>
        </w:rPr>
        <w:t>consultation</w:t>
      </w:r>
      <w:r w:rsidR="008E055E">
        <w:rPr>
          <w:rFonts w:ascii="Times New Roman" w:eastAsia="Times New Roman" w:hAnsi="Times New Roman" w:cs="Times New Roman"/>
          <w:lang w:val="en-GB"/>
        </w:rPr>
        <w:t>s with at least one decision</w:t>
      </w:r>
      <w:r w:rsidR="008E055E" w:rsidRPr="0056416F">
        <w:rPr>
          <w:rFonts w:ascii="Times New Roman" w:eastAsia="Times New Roman" w:hAnsi="Times New Roman" w:cs="Times New Roman"/>
          <w:lang w:val="en-GB"/>
        </w:rPr>
        <w:t xml:space="preserve">, and the </w:t>
      </w:r>
      <w:r w:rsidR="00B61194">
        <w:rPr>
          <w:rFonts w:ascii="Times New Roman" w:eastAsia="Times New Roman" w:hAnsi="Times New Roman" w:cs="Times New Roman"/>
          <w:lang w:val="en-GB"/>
        </w:rPr>
        <w:t>frequency</w:t>
      </w:r>
      <w:r w:rsidR="008E055E" w:rsidRPr="0056416F">
        <w:rPr>
          <w:rFonts w:ascii="Times New Roman" w:eastAsia="Times New Roman" w:hAnsi="Times New Roman" w:cs="Times New Roman"/>
          <w:lang w:val="en-GB"/>
        </w:rPr>
        <w:t xml:space="preserve"> of </w:t>
      </w:r>
      <w:r w:rsidR="008E055E">
        <w:rPr>
          <w:rFonts w:ascii="Times New Roman" w:eastAsia="Times New Roman" w:hAnsi="Times New Roman" w:cs="Times New Roman"/>
          <w:lang w:val="en-GB"/>
        </w:rPr>
        <w:t>decision-point</w:t>
      </w:r>
      <w:r w:rsidR="008E055E" w:rsidRPr="0056416F">
        <w:rPr>
          <w:rFonts w:ascii="Times New Roman" w:eastAsia="Times New Roman" w:hAnsi="Times New Roman" w:cs="Times New Roman"/>
          <w:lang w:val="en-GB"/>
        </w:rPr>
        <w:t xml:space="preserve">s per decision. </w:t>
      </w:r>
      <w:r w:rsidR="006C67FF">
        <w:rPr>
          <w:rFonts w:ascii="Times New Roman" w:eastAsia="Times New Roman" w:hAnsi="Times New Roman" w:cs="Times New Roman"/>
          <w:lang w:val="en-GB"/>
        </w:rPr>
        <w:t xml:space="preserve"> D</w:t>
      </w:r>
      <w:r w:rsidR="008E055E" w:rsidRPr="0056416F">
        <w:rPr>
          <w:rFonts w:ascii="Times New Roman" w:eastAsia="Times New Roman" w:hAnsi="Times New Roman" w:cs="Times New Roman"/>
          <w:lang w:val="en-GB"/>
        </w:rPr>
        <w:t>ecisions per consultation range</w:t>
      </w:r>
      <w:r w:rsidR="008E055E">
        <w:rPr>
          <w:rFonts w:ascii="Times New Roman" w:eastAsia="Times New Roman" w:hAnsi="Times New Roman" w:cs="Times New Roman"/>
          <w:lang w:val="en-GB"/>
        </w:rPr>
        <w:t>d</w:t>
      </w:r>
      <w:r w:rsidR="008E055E" w:rsidRPr="0056416F">
        <w:rPr>
          <w:rFonts w:ascii="Times New Roman" w:eastAsia="Times New Roman" w:hAnsi="Times New Roman" w:cs="Times New Roman"/>
          <w:lang w:val="en-GB"/>
        </w:rPr>
        <w:t xml:space="preserve"> from 1 to 4</w:t>
      </w:r>
      <w:r w:rsidR="008E055E">
        <w:rPr>
          <w:rFonts w:ascii="Times New Roman" w:eastAsia="Times New Roman" w:hAnsi="Times New Roman" w:cs="Times New Roman"/>
          <w:lang w:val="en-GB"/>
        </w:rPr>
        <w:t xml:space="preserve"> </w:t>
      </w:r>
      <w:r w:rsidR="009345C0">
        <w:rPr>
          <w:rFonts w:ascii="Times New Roman" w:eastAsia="Times New Roman" w:hAnsi="Times New Roman" w:cs="Times New Roman"/>
          <w:lang w:val="en-GB"/>
        </w:rPr>
        <w:t>(</w:t>
      </w:r>
      <w:r w:rsidR="008E055E">
        <w:rPr>
          <w:rFonts w:ascii="Times New Roman" w:eastAsia="Times New Roman" w:hAnsi="Times New Roman" w:cs="Times New Roman"/>
          <w:lang w:val="en-GB"/>
        </w:rPr>
        <w:t>median 1</w:t>
      </w:r>
      <w:r w:rsidR="009345C0">
        <w:rPr>
          <w:rFonts w:ascii="Times New Roman" w:eastAsia="Times New Roman" w:hAnsi="Times New Roman" w:cs="Times New Roman"/>
          <w:lang w:val="en-GB"/>
        </w:rPr>
        <w:t>)</w:t>
      </w:r>
      <w:r w:rsidR="008E055E">
        <w:rPr>
          <w:rFonts w:ascii="Times New Roman" w:eastAsia="Times New Roman" w:hAnsi="Times New Roman" w:cs="Times New Roman"/>
          <w:lang w:val="en-GB"/>
        </w:rPr>
        <w:t>,</w:t>
      </w:r>
      <w:r w:rsidR="008E055E" w:rsidRPr="0056416F">
        <w:rPr>
          <w:rFonts w:ascii="Times New Roman" w:eastAsia="Times New Roman" w:hAnsi="Times New Roman" w:cs="Times New Roman"/>
          <w:lang w:val="en-GB"/>
        </w:rPr>
        <w:t xml:space="preserve"> with single-decision consultations </w:t>
      </w:r>
      <w:r w:rsidR="008E055E">
        <w:rPr>
          <w:rFonts w:ascii="Times New Roman" w:eastAsia="Times New Roman" w:hAnsi="Times New Roman" w:cs="Times New Roman"/>
          <w:lang w:val="en-GB"/>
        </w:rPr>
        <w:t>making up</w:t>
      </w:r>
      <w:r w:rsidR="008E055E" w:rsidRPr="0056416F">
        <w:rPr>
          <w:rFonts w:ascii="Times New Roman" w:eastAsia="Times New Roman" w:hAnsi="Times New Roman" w:cs="Times New Roman"/>
          <w:lang w:val="en-GB"/>
        </w:rPr>
        <w:t xml:space="preserve"> 51.4%</w:t>
      </w:r>
      <w:r w:rsidR="008E055E">
        <w:rPr>
          <w:rFonts w:ascii="Times New Roman" w:eastAsia="Times New Roman" w:hAnsi="Times New Roman" w:cs="Times New Roman"/>
          <w:lang w:val="en-GB"/>
        </w:rPr>
        <w:t xml:space="preserve"> of consultations</w:t>
      </w:r>
      <w:r w:rsidR="008E055E" w:rsidRPr="0056416F">
        <w:rPr>
          <w:rFonts w:ascii="Times New Roman" w:eastAsia="Times New Roman" w:hAnsi="Times New Roman" w:cs="Times New Roman"/>
          <w:lang w:val="en-GB"/>
        </w:rPr>
        <w:t xml:space="preserve">. </w:t>
      </w:r>
      <w:r w:rsidR="008E055E">
        <w:rPr>
          <w:rFonts w:ascii="Times New Roman" w:eastAsia="Times New Roman" w:hAnsi="Times New Roman" w:cs="Times New Roman"/>
          <w:lang w:val="en-GB"/>
        </w:rPr>
        <w:t xml:space="preserve"> Decision-point</w:t>
      </w:r>
      <w:r w:rsidR="008E055E" w:rsidRPr="0056416F">
        <w:rPr>
          <w:rFonts w:ascii="Times New Roman" w:eastAsia="Times New Roman" w:hAnsi="Times New Roman" w:cs="Times New Roman"/>
          <w:lang w:val="en-GB"/>
        </w:rPr>
        <w:t>s per decision range</w:t>
      </w:r>
      <w:r w:rsidR="008E055E">
        <w:rPr>
          <w:rFonts w:ascii="Times New Roman" w:eastAsia="Times New Roman" w:hAnsi="Times New Roman" w:cs="Times New Roman"/>
          <w:lang w:val="en-GB"/>
        </w:rPr>
        <w:t>d</w:t>
      </w:r>
      <w:r w:rsidR="008E055E" w:rsidRPr="0056416F">
        <w:rPr>
          <w:rFonts w:ascii="Times New Roman" w:eastAsia="Times New Roman" w:hAnsi="Times New Roman" w:cs="Times New Roman"/>
          <w:lang w:val="en-GB"/>
        </w:rPr>
        <w:t xml:space="preserve"> from 1 to 11</w:t>
      </w:r>
      <w:r w:rsidR="008E055E">
        <w:rPr>
          <w:rFonts w:ascii="Times New Roman" w:eastAsia="Times New Roman" w:hAnsi="Times New Roman" w:cs="Times New Roman"/>
          <w:lang w:val="en-GB"/>
        </w:rPr>
        <w:t xml:space="preserve"> </w:t>
      </w:r>
      <w:r w:rsidR="009345C0">
        <w:rPr>
          <w:rFonts w:ascii="Times New Roman" w:eastAsia="Times New Roman" w:hAnsi="Times New Roman" w:cs="Times New Roman"/>
          <w:lang w:val="en-GB"/>
        </w:rPr>
        <w:t>(</w:t>
      </w:r>
      <w:r w:rsidR="008E055E">
        <w:rPr>
          <w:rFonts w:ascii="Times New Roman" w:eastAsia="Times New Roman" w:hAnsi="Times New Roman" w:cs="Times New Roman"/>
          <w:lang w:val="en-GB"/>
        </w:rPr>
        <w:t>median 2</w:t>
      </w:r>
      <w:r w:rsidR="009345C0">
        <w:rPr>
          <w:rFonts w:ascii="Times New Roman" w:eastAsia="Times New Roman" w:hAnsi="Times New Roman" w:cs="Times New Roman"/>
          <w:lang w:val="en-GB"/>
        </w:rPr>
        <w:t>)</w:t>
      </w:r>
      <w:r w:rsidR="008E055E">
        <w:rPr>
          <w:rFonts w:ascii="Times New Roman" w:eastAsia="Times New Roman" w:hAnsi="Times New Roman" w:cs="Times New Roman"/>
          <w:lang w:val="en-GB"/>
        </w:rPr>
        <w:t>.  A</w:t>
      </w:r>
      <w:r w:rsidR="008E055E" w:rsidRPr="0056416F">
        <w:rPr>
          <w:rFonts w:ascii="Times New Roman" w:eastAsia="Times New Roman" w:hAnsi="Times New Roman" w:cs="Times New Roman"/>
          <w:lang w:val="en-GB"/>
        </w:rPr>
        <w:t xml:space="preserve"> large majority (96.4%) </w:t>
      </w:r>
      <w:r w:rsidR="008E055E">
        <w:rPr>
          <w:rFonts w:ascii="Times New Roman" w:eastAsia="Times New Roman" w:hAnsi="Times New Roman" w:cs="Times New Roman"/>
          <w:lang w:val="en-GB"/>
        </w:rPr>
        <w:t>included</w:t>
      </w:r>
      <w:r w:rsidR="008E055E" w:rsidRPr="0056416F">
        <w:rPr>
          <w:rFonts w:ascii="Times New Roman" w:eastAsia="Times New Roman" w:hAnsi="Times New Roman" w:cs="Times New Roman"/>
          <w:lang w:val="en-GB"/>
        </w:rPr>
        <w:t xml:space="preserve"> 5 or </w:t>
      </w:r>
      <w:r w:rsidR="008E055E">
        <w:rPr>
          <w:rFonts w:ascii="Times New Roman" w:eastAsia="Times New Roman" w:hAnsi="Times New Roman" w:cs="Times New Roman"/>
          <w:lang w:val="en-GB"/>
        </w:rPr>
        <w:t>fewer</w:t>
      </w:r>
      <w:r w:rsidR="008E055E" w:rsidRPr="0056416F">
        <w:rPr>
          <w:rFonts w:ascii="Times New Roman" w:eastAsia="Times New Roman" w:hAnsi="Times New Roman" w:cs="Times New Roman"/>
          <w:lang w:val="en-GB"/>
        </w:rPr>
        <w:t xml:space="preserve"> </w:t>
      </w:r>
      <w:r w:rsidR="008E055E">
        <w:rPr>
          <w:rFonts w:ascii="Times New Roman" w:eastAsia="Times New Roman" w:hAnsi="Times New Roman" w:cs="Times New Roman"/>
          <w:lang w:val="en-GB"/>
        </w:rPr>
        <w:t>decision-point</w:t>
      </w:r>
      <w:r w:rsidR="008E055E" w:rsidRPr="0056416F">
        <w:rPr>
          <w:rFonts w:ascii="Times New Roman" w:eastAsia="Times New Roman" w:hAnsi="Times New Roman" w:cs="Times New Roman"/>
          <w:lang w:val="en-GB"/>
        </w:rPr>
        <w:t>s.</w:t>
      </w:r>
      <w:r w:rsidR="008E055E">
        <w:rPr>
          <w:rFonts w:ascii="Times New Roman" w:eastAsia="Times New Roman" w:hAnsi="Times New Roman" w:cs="Times New Roman"/>
          <w:lang w:val="en-GB"/>
        </w:rPr>
        <w:t xml:space="preserve">  </w:t>
      </w:r>
      <w:r w:rsidR="00EF1E9A">
        <w:rPr>
          <w:rFonts w:ascii="Times New Roman" w:eastAsia="Times New Roman" w:hAnsi="Times New Roman" w:cs="Times New Roman"/>
          <w:lang w:val="en-GB"/>
        </w:rPr>
        <w:t>At a gross level, the number of decision-points can indicat</w:t>
      </w:r>
      <w:r w:rsidR="006C67FF">
        <w:rPr>
          <w:rFonts w:ascii="Times New Roman" w:eastAsia="Times New Roman" w:hAnsi="Times New Roman" w:cs="Times New Roman"/>
          <w:lang w:val="en-GB"/>
        </w:rPr>
        <w:t>e</w:t>
      </w:r>
      <w:r w:rsidR="00EF1E9A">
        <w:rPr>
          <w:rFonts w:ascii="Times New Roman" w:eastAsia="Times New Roman" w:hAnsi="Times New Roman" w:cs="Times New Roman"/>
          <w:lang w:val="en-GB"/>
        </w:rPr>
        <w:t xml:space="preserve"> patient resistance.  The longest chain</w:t>
      </w:r>
      <w:r w:rsidR="006C67FF">
        <w:rPr>
          <w:rFonts w:ascii="Times New Roman" w:eastAsia="Times New Roman" w:hAnsi="Times New Roman" w:cs="Times New Roman"/>
          <w:lang w:val="en-GB"/>
        </w:rPr>
        <w:t xml:space="preserve">, </w:t>
      </w:r>
      <w:r w:rsidR="00EF1E9A">
        <w:rPr>
          <w:rFonts w:ascii="Times New Roman" w:eastAsia="Times New Roman" w:hAnsi="Times New Roman" w:cs="Times New Roman"/>
          <w:lang w:val="en-GB"/>
        </w:rPr>
        <w:t>for example, involved a patient’s resistance</w:t>
      </w:r>
      <w:r>
        <w:rPr>
          <w:rFonts w:ascii="Times New Roman" w:eastAsia="Times New Roman" w:hAnsi="Times New Roman" w:cs="Times New Roman"/>
          <w:lang w:val="en-GB"/>
        </w:rPr>
        <w:t xml:space="preserve"> to</w:t>
      </w:r>
      <w:r w:rsidR="00EF1E9A">
        <w:rPr>
          <w:rFonts w:ascii="Times New Roman" w:eastAsia="Times New Roman" w:hAnsi="Times New Roman" w:cs="Times New Roman"/>
          <w:lang w:val="en-GB"/>
        </w:rPr>
        <w:t>, and neurologist’s pursuit of</w:t>
      </w:r>
      <w:r w:rsidR="009345C0">
        <w:rPr>
          <w:rFonts w:ascii="Times New Roman" w:eastAsia="Times New Roman" w:hAnsi="Times New Roman" w:cs="Times New Roman"/>
          <w:lang w:val="en-GB"/>
        </w:rPr>
        <w:t>,</w:t>
      </w:r>
      <w:r w:rsidR="00EF1E9A">
        <w:rPr>
          <w:rFonts w:ascii="Times New Roman" w:eastAsia="Times New Roman" w:hAnsi="Times New Roman" w:cs="Times New Roman"/>
          <w:lang w:val="en-GB"/>
        </w:rPr>
        <w:t xml:space="preserve"> a </w:t>
      </w:r>
      <w:r w:rsidR="00EF1E9A" w:rsidRPr="005438E9">
        <w:rPr>
          <w:rFonts w:ascii="Times New Roman" w:eastAsia="Times New Roman" w:hAnsi="Times New Roman" w:cs="Times New Roman"/>
          <w:lang w:val="en-GB"/>
        </w:rPr>
        <w:t>recommendation for further investigations.</w:t>
      </w:r>
      <w:r w:rsidR="007B244D">
        <w:rPr>
          <w:rFonts w:ascii="Times New Roman" w:eastAsia="Times New Roman" w:hAnsi="Times New Roman" w:cs="Times New Roman"/>
          <w:lang w:val="en-GB"/>
        </w:rPr>
        <w:t xml:space="preserve"> W</w:t>
      </w:r>
      <w:r w:rsidR="00CE19DE" w:rsidRPr="005438E9">
        <w:rPr>
          <w:rFonts w:ascii="Times New Roman" w:eastAsia="Times New Roman" w:hAnsi="Times New Roman" w:cs="Times New Roman"/>
          <w:lang w:val="en-GB"/>
        </w:rPr>
        <w:t>e do not report analyses of decision-points</w:t>
      </w:r>
      <w:r w:rsidR="006C67FF">
        <w:rPr>
          <w:rFonts w:ascii="Times New Roman" w:eastAsia="Times New Roman" w:hAnsi="Times New Roman" w:cs="Times New Roman"/>
          <w:lang w:val="en-GB"/>
        </w:rPr>
        <w:t xml:space="preserve"> here</w:t>
      </w:r>
      <w:r w:rsidR="00CE19DE" w:rsidRPr="005438E9">
        <w:rPr>
          <w:rFonts w:ascii="Times New Roman" w:eastAsia="Times New Roman" w:hAnsi="Times New Roman" w:cs="Times New Roman"/>
          <w:lang w:val="en-GB"/>
        </w:rPr>
        <w:t xml:space="preserve"> (</w:t>
      </w:r>
      <w:r w:rsidR="006C67FF">
        <w:rPr>
          <w:rFonts w:ascii="Times New Roman" w:eastAsia="Times New Roman" w:hAnsi="Times New Roman" w:cs="Times New Roman"/>
          <w:lang w:val="en-GB"/>
        </w:rPr>
        <w:t>but</w:t>
      </w:r>
      <w:r w:rsidR="00CE19DE" w:rsidRPr="005438E9">
        <w:rPr>
          <w:rFonts w:ascii="Times New Roman" w:eastAsia="Times New Roman" w:hAnsi="Times New Roman" w:cs="Times New Roman"/>
          <w:lang w:val="en-GB"/>
        </w:rPr>
        <w:t xml:space="preserve"> see </w:t>
      </w:r>
      <w:proofErr w:type="spellStart"/>
      <w:r w:rsidR="007B244D">
        <w:rPr>
          <w:rFonts w:ascii="Times New Roman" w:eastAsia="Times New Roman" w:hAnsi="Times New Roman" w:cs="Times New Roman"/>
          <w:lang w:val="en-GB"/>
        </w:rPr>
        <w:t>Reuber</w:t>
      </w:r>
      <w:proofErr w:type="spellEnd"/>
      <w:r w:rsidR="007B244D">
        <w:rPr>
          <w:rFonts w:ascii="Times New Roman" w:eastAsia="Times New Roman" w:hAnsi="Times New Roman" w:cs="Times New Roman"/>
          <w:lang w:val="en-GB"/>
        </w:rPr>
        <w:t xml:space="preserve"> et al., forthcoming</w:t>
      </w:r>
      <w:r w:rsidR="00CE19DE" w:rsidRPr="005438E9">
        <w:rPr>
          <w:rFonts w:ascii="Times New Roman" w:eastAsia="Times New Roman" w:hAnsi="Times New Roman" w:cs="Times New Roman"/>
          <w:lang w:val="en-GB"/>
        </w:rPr>
        <w:t xml:space="preserve">). </w:t>
      </w:r>
      <w:r w:rsidR="005438E9" w:rsidRPr="00CA3027">
        <w:rPr>
          <w:rFonts w:ascii="Times New Roman" w:eastAsia="Times New Roman" w:hAnsi="Times New Roman" w:cs="Times New Roman"/>
          <w:lang w:val="en-GB"/>
        </w:rPr>
        <w:t xml:space="preserve">However, it is worth noting that </w:t>
      </w:r>
      <w:r w:rsidR="005438E9" w:rsidRPr="00CA3027">
        <w:rPr>
          <w:rFonts w:ascii="Times New Roman" w:hAnsi="Times New Roman" w:cs="Times New Roman"/>
        </w:rPr>
        <w:t xml:space="preserve">option-lists have a higher average number of follow-up </w:t>
      </w:r>
      <w:r w:rsidR="006C67FF" w:rsidRPr="00CA3027">
        <w:rPr>
          <w:rFonts w:ascii="Times New Roman" w:hAnsi="Times New Roman" w:cs="Times New Roman"/>
        </w:rPr>
        <w:t>decision-</w:t>
      </w:r>
      <w:r w:rsidR="005438E9" w:rsidRPr="00CA3027">
        <w:rPr>
          <w:rFonts w:ascii="Times New Roman" w:hAnsi="Times New Roman" w:cs="Times New Roman"/>
        </w:rPr>
        <w:t>points (2.5 per decision) than recommendations (1.</w:t>
      </w:r>
      <w:r w:rsidR="00701C88">
        <w:rPr>
          <w:rFonts w:ascii="Times New Roman" w:hAnsi="Times New Roman" w:cs="Times New Roman"/>
        </w:rPr>
        <w:t>6</w:t>
      </w:r>
      <w:r w:rsidR="005438E9" w:rsidRPr="00CA3027">
        <w:rPr>
          <w:rFonts w:ascii="Times New Roman" w:hAnsi="Times New Roman" w:cs="Times New Roman"/>
        </w:rPr>
        <w:t>) and PVEs (1.</w:t>
      </w:r>
      <w:r w:rsidR="00701C88">
        <w:rPr>
          <w:rFonts w:ascii="Times New Roman" w:hAnsi="Times New Roman" w:cs="Times New Roman"/>
        </w:rPr>
        <w:t>2</w:t>
      </w:r>
      <w:r w:rsidR="005438E9" w:rsidRPr="00CA3027">
        <w:rPr>
          <w:rFonts w:ascii="Times New Roman" w:hAnsi="Times New Roman" w:cs="Times New Roman"/>
        </w:rPr>
        <w:t>).</w:t>
      </w:r>
    </w:p>
    <w:p w14:paraId="64402A80" w14:textId="77777777" w:rsidR="008E055E" w:rsidRDefault="008E055E" w:rsidP="005C55FB">
      <w:pPr>
        <w:spacing w:line="480" w:lineRule="auto"/>
        <w:rPr>
          <w:rFonts w:ascii="Times New Roman" w:eastAsia="Times New Roman" w:hAnsi="Times New Roman" w:cs="Times New Roman"/>
          <w:lang w:val="en-GB"/>
        </w:rPr>
      </w:pPr>
    </w:p>
    <w:p w14:paraId="0CAB4A0B" w14:textId="398FAF47" w:rsidR="008E055E" w:rsidRDefault="008E055E" w:rsidP="005C55FB">
      <w:pPr>
        <w:spacing w:line="480" w:lineRule="auto"/>
        <w:outlineLvl w:val="0"/>
        <w:rPr>
          <w:rFonts w:ascii="Times New Roman" w:eastAsia="Times New Roman" w:hAnsi="Times New Roman" w:cs="Times New Roman"/>
          <w:b/>
          <w:i/>
          <w:u w:val="single"/>
          <w:lang w:val="en-GB"/>
        </w:rPr>
      </w:pPr>
      <w:r w:rsidRPr="00073EBB">
        <w:rPr>
          <w:rFonts w:ascii="Times New Roman" w:eastAsia="Times New Roman" w:hAnsi="Times New Roman" w:cs="Times New Roman"/>
          <w:b/>
          <w:i/>
          <w:u w:val="single"/>
          <w:lang w:val="en-GB"/>
        </w:rPr>
        <w:t>Figure 1 here</w:t>
      </w:r>
    </w:p>
    <w:p w14:paraId="22443DCC" w14:textId="77777777" w:rsidR="008E055E" w:rsidRPr="00073EBB" w:rsidRDefault="008E055E" w:rsidP="005C55FB">
      <w:pPr>
        <w:spacing w:line="480" w:lineRule="auto"/>
        <w:outlineLvl w:val="0"/>
        <w:rPr>
          <w:rFonts w:ascii="Times New Roman" w:eastAsia="Times New Roman" w:hAnsi="Times New Roman" w:cs="Times New Roman"/>
          <w:b/>
          <w:i/>
          <w:u w:val="single"/>
          <w:lang w:val="en-GB"/>
        </w:rPr>
      </w:pPr>
    </w:p>
    <w:p w14:paraId="2F037E9F" w14:textId="5A35D300" w:rsidR="008E055E" w:rsidRPr="003C6F78" w:rsidRDefault="008E055E" w:rsidP="005C55FB">
      <w:pPr>
        <w:spacing w:line="480" w:lineRule="auto"/>
        <w:outlineLvl w:val="0"/>
        <w:rPr>
          <w:rFonts w:ascii="Times New Roman" w:eastAsia="Times New Roman" w:hAnsi="Times New Roman" w:cs="Times New Roman"/>
          <w:b/>
          <w:i/>
          <w:lang w:val="en-GB"/>
        </w:rPr>
      </w:pPr>
      <w:r>
        <w:rPr>
          <w:rFonts w:ascii="Times New Roman" w:eastAsia="Times New Roman" w:hAnsi="Times New Roman" w:cs="Times New Roman"/>
          <w:b/>
          <w:i/>
          <w:lang w:val="en-GB"/>
        </w:rPr>
        <w:t xml:space="preserve">4.2 </w:t>
      </w:r>
      <w:r w:rsidRPr="003C6F78">
        <w:rPr>
          <w:rFonts w:ascii="Times New Roman" w:eastAsia="Times New Roman" w:hAnsi="Times New Roman" w:cs="Times New Roman"/>
          <w:b/>
          <w:i/>
          <w:lang w:val="en-GB"/>
        </w:rPr>
        <w:t>Distribution of practices</w:t>
      </w:r>
      <w:r>
        <w:rPr>
          <w:rFonts w:ascii="Times New Roman" w:eastAsia="Times New Roman" w:hAnsi="Times New Roman" w:cs="Times New Roman"/>
          <w:b/>
          <w:i/>
          <w:lang w:val="en-GB"/>
        </w:rPr>
        <w:t xml:space="preserve"> across consultations, decisions, and decision-points</w:t>
      </w:r>
    </w:p>
    <w:p w14:paraId="341D667D" w14:textId="0317D857" w:rsidR="008E055E" w:rsidRDefault="008E055E" w:rsidP="005C55FB">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Table 1 shows the distribution of option-listing, PVEs and recommendations across the sample.  </w:t>
      </w:r>
      <w:r w:rsidRPr="001B7E23">
        <w:rPr>
          <w:rFonts w:ascii="Times New Roman" w:eastAsia="Times New Roman" w:hAnsi="Times New Roman" w:cs="Times New Roman"/>
          <w:lang w:val="en-GB"/>
        </w:rPr>
        <w:t xml:space="preserve">By far the most common practice </w:t>
      </w:r>
      <w:r>
        <w:rPr>
          <w:rFonts w:ascii="Times New Roman" w:eastAsia="Times New Roman" w:hAnsi="Times New Roman" w:cs="Times New Roman"/>
          <w:lang w:val="en-GB"/>
        </w:rPr>
        <w:t>wa</w:t>
      </w:r>
      <w:r w:rsidRPr="001B7E23">
        <w:rPr>
          <w:rFonts w:ascii="Times New Roman" w:eastAsia="Times New Roman" w:hAnsi="Times New Roman" w:cs="Times New Roman"/>
          <w:lang w:val="en-GB"/>
        </w:rPr>
        <w:t>s the recommendation</w:t>
      </w:r>
      <w:r>
        <w:rPr>
          <w:rFonts w:ascii="Times New Roman" w:eastAsia="Times New Roman" w:hAnsi="Times New Roman" w:cs="Times New Roman"/>
          <w:lang w:val="en-GB"/>
        </w:rPr>
        <w:t xml:space="preserve">, followed by the PVE, then the option-list, which was comparatively rare.  This was the case </w:t>
      </w:r>
      <w:r>
        <w:rPr>
          <w:rFonts w:ascii="Times New Roman" w:eastAsia="Times New Roman" w:hAnsi="Times New Roman" w:cs="Times New Roman"/>
          <w:lang w:val="en-GB"/>
        </w:rPr>
        <w:lastRenderedPageBreak/>
        <w:t xml:space="preserve">whether </w:t>
      </w:r>
      <w:r w:rsidR="00515B98">
        <w:rPr>
          <w:rFonts w:ascii="Times New Roman" w:eastAsia="Times New Roman" w:hAnsi="Times New Roman" w:cs="Times New Roman"/>
          <w:lang w:val="en-GB"/>
        </w:rPr>
        <w:t>considering</w:t>
      </w:r>
      <w:r>
        <w:rPr>
          <w:rFonts w:ascii="Times New Roman" w:eastAsia="Times New Roman" w:hAnsi="Times New Roman" w:cs="Times New Roman"/>
          <w:lang w:val="en-GB"/>
        </w:rPr>
        <w:t xml:space="preserve"> the percentage of consultations, decisions, decision-points, or first decision-points.  </w:t>
      </w:r>
    </w:p>
    <w:p w14:paraId="66F1A33F" w14:textId="77777777" w:rsidR="008E055E" w:rsidRDefault="008E055E" w:rsidP="005C55FB">
      <w:pPr>
        <w:spacing w:line="480" w:lineRule="auto"/>
        <w:rPr>
          <w:rFonts w:ascii="Times New Roman" w:eastAsia="Times New Roman" w:hAnsi="Times New Roman" w:cs="Times New Roman"/>
          <w:lang w:val="en-GB"/>
        </w:rPr>
      </w:pPr>
    </w:p>
    <w:p w14:paraId="5F109FEC" w14:textId="0183D504" w:rsidR="008E055E" w:rsidRPr="00073EBB" w:rsidRDefault="008E055E" w:rsidP="005C55FB">
      <w:pPr>
        <w:spacing w:line="480" w:lineRule="auto"/>
        <w:rPr>
          <w:rFonts w:ascii="Times New Roman" w:eastAsia="Times New Roman" w:hAnsi="Times New Roman" w:cs="Times New Roman"/>
          <w:b/>
          <w:i/>
          <w:u w:val="single"/>
          <w:lang w:val="en-GB"/>
        </w:rPr>
      </w:pPr>
      <w:r w:rsidRPr="00073EBB">
        <w:rPr>
          <w:rFonts w:ascii="Times New Roman" w:eastAsia="Times New Roman" w:hAnsi="Times New Roman" w:cs="Times New Roman"/>
          <w:b/>
          <w:i/>
          <w:u w:val="single"/>
          <w:lang w:val="en-GB"/>
        </w:rPr>
        <w:t>Table 1 here</w:t>
      </w:r>
    </w:p>
    <w:p w14:paraId="1BD3FA20" w14:textId="77777777" w:rsidR="008E055E" w:rsidRPr="003D5912" w:rsidRDefault="008E055E" w:rsidP="005C55FB">
      <w:pPr>
        <w:spacing w:line="480" w:lineRule="auto"/>
        <w:rPr>
          <w:rFonts w:ascii="Times New Roman" w:eastAsia="Times New Roman" w:hAnsi="Times New Roman" w:cs="Times New Roman"/>
          <w:u w:val="single"/>
          <w:lang w:val="en-GB"/>
        </w:rPr>
      </w:pPr>
    </w:p>
    <w:p w14:paraId="2E2F6BDA" w14:textId="33CB7B56" w:rsidR="008E055E" w:rsidRDefault="008E055E" w:rsidP="005C55FB">
      <w:pPr>
        <w:spacing w:line="480" w:lineRule="auto"/>
        <w:rPr>
          <w:rFonts w:ascii="Times New Roman" w:hAnsi="Times New Roman" w:cs="Times New Roman"/>
          <w:b/>
          <w:i/>
        </w:rPr>
      </w:pPr>
      <w:r w:rsidRPr="00341B82">
        <w:rPr>
          <w:rFonts w:ascii="Times New Roman" w:hAnsi="Times New Roman" w:cs="Times New Roman"/>
          <w:b/>
          <w:i/>
        </w:rPr>
        <w:t>4.3 Distributio</w:t>
      </w:r>
      <w:r>
        <w:rPr>
          <w:rFonts w:ascii="Times New Roman" w:hAnsi="Times New Roman" w:cs="Times New Roman"/>
          <w:b/>
          <w:i/>
        </w:rPr>
        <w:t xml:space="preserve">n of practices across </w:t>
      </w:r>
      <w:r w:rsidRPr="00341B82">
        <w:rPr>
          <w:rFonts w:ascii="Times New Roman" w:hAnsi="Times New Roman" w:cs="Times New Roman"/>
          <w:b/>
          <w:i/>
        </w:rPr>
        <w:t>decision</w:t>
      </w:r>
      <w:r>
        <w:rPr>
          <w:rFonts w:ascii="Times New Roman" w:hAnsi="Times New Roman" w:cs="Times New Roman"/>
          <w:b/>
          <w:i/>
        </w:rPr>
        <w:t xml:space="preserve"> types</w:t>
      </w:r>
      <w:r w:rsidR="00515B98">
        <w:rPr>
          <w:rFonts w:ascii="Times New Roman" w:hAnsi="Times New Roman" w:cs="Times New Roman"/>
          <w:b/>
          <w:i/>
        </w:rPr>
        <w:t xml:space="preserve"> (treatments, investigations, referrals)</w:t>
      </w:r>
    </w:p>
    <w:p w14:paraId="54731741" w14:textId="0ECB45DF" w:rsidR="008E055E" w:rsidRPr="00073EBB" w:rsidRDefault="008E055E" w:rsidP="005C55FB">
      <w:pPr>
        <w:autoSpaceDE w:val="0"/>
        <w:autoSpaceDN w:val="0"/>
        <w:adjustRightInd w:val="0"/>
        <w:spacing w:line="480" w:lineRule="auto"/>
        <w:rPr>
          <w:rFonts w:ascii="Times New Roman" w:hAnsi="Times New Roman" w:cs="Times New Roman"/>
        </w:rPr>
      </w:pPr>
      <w:r>
        <w:rPr>
          <w:rFonts w:ascii="Times New Roman" w:hAnsi="Times New Roman" w:cs="Times New Roman"/>
        </w:rPr>
        <w:t>Treatment decisions were most common</w:t>
      </w:r>
      <w:r w:rsidRPr="00341B82">
        <w:rPr>
          <w:rFonts w:ascii="Times New Roman" w:hAnsi="Times New Roman" w:cs="Times New Roman"/>
        </w:rPr>
        <w:t xml:space="preserve"> </w:t>
      </w:r>
      <w:r>
        <w:rPr>
          <w:rFonts w:ascii="Times New Roman" w:hAnsi="Times New Roman" w:cs="Times New Roman"/>
        </w:rPr>
        <w:t>(</w:t>
      </w:r>
      <w:r w:rsidRPr="00341B82">
        <w:rPr>
          <w:rFonts w:ascii="Times New Roman" w:hAnsi="Times New Roman" w:cs="Times New Roman"/>
        </w:rPr>
        <w:t>over 60%</w:t>
      </w:r>
      <w:r>
        <w:rPr>
          <w:rFonts w:ascii="Times New Roman" w:hAnsi="Times New Roman" w:cs="Times New Roman"/>
        </w:rPr>
        <w:t>)</w:t>
      </w:r>
      <w:r w:rsidR="00FF202F">
        <w:rPr>
          <w:rFonts w:ascii="Times New Roman" w:hAnsi="Times New Roman" w:cs="Times New Roman"/>
        </w:rPr>
        <w:t>,</w:t>
      </w:r>
      <w:r w:rsidRPr="00341B82">
        <w:rPr>
          <w:rFonts w:ascii="Times New Roman" w:hAnsi="Times New Roman" w:cs="Times New Roman"/>
        </w:rPr>
        <w:t xml:space="preserve"> 29% were investigation</w:t>
      </w:r>
      <w:r w:rsidR="00FF202F">
        <w:rPr>
          <w:rFonts w:ascii="Times New Roman" w:hAnsi="Times New Roman" w:cs="Times New Roman"/>
        </w:rPr>
        <w:t xml:space="preserve"> decisions</w:t>
      </w:r>
      <w:r w:rsidRPr="00341B82">
        <w:rPr>
          <w:rFonts w:ascii="Times New Roman" w:hAnsi="Times New Roman" w:cs="Times New Roman"/>
        </w:rPr>
        <w:t xml:space="preserve">, and less than 10% </w:t>
      </w:r>
      <w:r>
        <w:rPr>
          <w:rFonts w:ascii="Times New Roman" w:hAnsi="Times New Roman" w:cs="Times New Roman"/>
        </w:rPr>
        <w:t>referral decisions</w:t>
      </w:r>
      <w:r w:rsidRPr="00341B82">
        <w:rPr>
          <w:rFonts w:ascii="Times New Roman" w:hAnsi="Times New Roman" w:cs="Times New Roman"/>
        </w:rPr>
        <w:t xml:space="preserve">.  Only a very small proportion of decisions </w:t>
      </w:r>
      <w:r>
        <w:rPr>
          <w:rFonts w:ascii="Times New Roman" w:hAnsi="Times New Roman" w:cs="Times New Roman"/>
        </w:rPr>
        <w:t xml:space="preserve">(n=2, 0.8%) </w:t>
      </w:r>
      <w:r w:rsidRPr="00341B82">
        <w:rPr>
          <w:rFonts w:ascii="Times New Roman" w:hAnsi="Times New Roman" w:cs="Times New Roman"/>
        </w:rPr>
        <w:t xml:space="preserve">included more than one </w:t>
      </w:r>
      <w:r w:rsidR="002C6A5A">
        <w:rPr>
          <w:rFonts w:ascii="Times New Roman" w:hAnsi="Times New Roman" w:cs="Times New Roman"/>
        </w:rPr>
        <w:t xml:space="preserve">decision </w:t>
      </w:r>
      <w:r w:rsidRPr="00341B82">
        <w:rPr>
          <w:rFonts w:ascii="Times New Roman" w:hAnsi="Times New Roman" w:cs="Times New Roman"/>
        </w:rPr>
        <w:t>type</w:t>
      </w:r>
      <w:r w:rsidR="00FA6BD3">
        <w:rPr>
          <w:rFonts w:ascii="Times New Roman" w:hAnsi="Times New Roman" w:cs="Times New Roman"/>
        </w:rPr>
        <w:t xml:space="preserve"> (</w:t>
      </w:r>
      <w:r w:rsidR="00E059F0">
        <w:rPr>
          <w:rFonts w:ascii="Times New Roman" w:hAnsi="Times New Roman" w:cs="Times New Roman"/>
        </w:rPr>
        <w:t xml:space="preserve">for example </w:t>
      </w:r>
      <w:r w:rsidR="00515B98">
        <w:rPr>
          <w:rFonts w:ascii="Times New Roman" w:hAnsi="Times New Roman" w:cs="Times New Roman"/>
        </w:rPr>
        <w:t>option-lists that included</w:t>
      </w:r>
      <w:r w:rsidR="00E059F0">
        <w:rPr>
          <w:rFonts w:ascii="Times New Roman" w:hAnsi="Times New Roman" w:cs="Times New Roman"/>
        </w:rPr>
        <w:t xml:space="preserve"> an investigation and treatment</w:t>
      </w:r>
      <w:r w:rsidR="00515B98">
        <w:rPr>
          <w:rFonts w:ascii="Times New Roman" w:hAnsi="Times New Roman" w:cs="Times New Roman"/>
        </w:rPr>
        <w:t xml:space="preserve"> option</w:t>
      </w:r>
      <w:r w:rsidR="00501D61">
        <w:rPr>
          <w:rFonts w:ascii="Times New Roman" w:hAnsi="Times New Roman" w:cs="Times New Roman"/>
        </w:rPr>
        <w:t>)</w:t>
      </w:r>
      <w:r w:rsidRPr="00341B82">
        <w:rPr>
          <w:rFonts w:ascii="Times New Roman" w:hAnsi="Times New Roman" w:cs="Times New Roman"/>
        </w:rPr>
        <w:t xml:space="preserve">. </w:t>
      </w:r>
      <w:r>
        <w:rPr>
          <w:rFonts w:ascii="Times New Roman" w:hAnsi="Times New Roman" w:cs="Times New Roman"/>
        </w:rPr>
        <w:t xml:space="preserve"> </w:t>
      </w:r>
      <w:r w:rsidRPr="00341B82">
        <w:rPr>
          <w:rFonts w:ascii="Times New Roman" w:hAnsi="Times New Roman" w:cs="Times New Roman"/>
        </w:rPr>
        <w:t xml:space="preserve">Table </w:t>
      </w:r>
      <w:r>
        <w:rPr>
          <w:rFonts w:ascii="Times New Roman" w:hAnsi="Times New Roman" w:cs="Times New Roman"/>
        </w:rPr>
        <w:t xml:space="preserve">2 shows the distribution of the </w:t>
      </w:r>
      <w:r w:rsidRPr="00341B82">
        <w:rPr>
          <w:rFonts w:ascii="Times New Roman" w:hAnsi="Times New Roman" w:cs="Times New Roman"/>
        </w:rPr>
        <w:t>practice</w:t>
      </w:r>
      <w:r>
        <w:rPr>
          <w:rFonts w:ascii="Times New Roman" w:hAnsi="Times New Roman" w:cs="Times New Roman"/>
        </w:rPr>
        <w:t>s</w:t>
      </w:r>
      <w:r w:rsidRPr="00341B82">
        <w:rPr>
          <w:rFonts w:ascii="Times New Roman" w:hAnsi="Times New Roman" w:cs="Times New Roman"/>
        </w:rPr>
        <w:t xml:space="preserve"> across decision</w:t>
      </w:r>
      <w:r>
        <w:rPr>
          <w:rFonts w:ascii="Times New Roman" w:hAnsi="Times New Roman" w:cs="Times New Roman"/>
        </w:rPr>
        <w:t xml:space="preserve"> type</w:t>
      </w:r>
      <w:r w:rsidRPr="00341B82">
        <w:rPr>
          <w:rFonts w:ascii="Times New Roman" w:hAnsi="Times New Roman" w:cs="Times New Roman"/>
        </w:rPr>
        <w:t xml:space="preserve">s, </w:t>
      </w:r>
      <w:r>
        <w:rPr>
          <w:rFonts w:ascii="Times New Roman" w:hAnsi="Times New Roman" w:cs="Times New Roman"/>
        </w:rPr>
        <w:t xml:space="preserve">at </w:t>
      </w:r>
      <w:r w:rsidRPr="00341B82">
        <w:rPr>
          <w:rFonts w:ascii="Times New Roman" w:hAnsi="Times New Roman" w:cs="Times New Roman"/>
        </w:rPr>
        <w:t xml:space="preserve">decision level.  Cases with multiple types of decision are excluded because of the low numbers. </w:t>
      </w:r>
      <w:r>
        <w:rPr>
          <w:rFonts w:ascii="Times New Roman" w:hAnsi="Times New Roman" w:cs="Times New Roman"/>
        </w:rPr>
        <w:t xml:space="preserve"> Table 2</w:t>
      </w:r>
      <w:r w:rsidRPr="00341B82">
        <w:rPr>
          <w:rFonts w:ascii="Times New Roman" w:hAnsi="Times New Roman" w:cs="Times New Roman"/>
        </w:rPr>
        <w:t xml:space="preserve"> reveals that </w:t>
      </w:r>
      <w:r>
        <w:rPr>
          <w:rFonts w:ascii="Times New Roman" w:hAnsi="Times New Roman" w:cs="Times New Roman"/>
        </w:rPr>
        <w:t>recommendations were the most common practice across all decision types and option-lists were the least common.  However, the proportions of the practices used for different decision types differed significantly</w:t>
      </w:r>
      <w:r w:rsidRPr="00341B82">
        <w:rPr>
          <w:rFonts w:ascii="Times New Roman" w:hAnsi="Times New Roman" w:cs="Times New Roman"/>
        </w:rPr>
        <w:t xml:space="preserve">. Investigations </w:t>
      </w:r>
      <w:r>
        <w:rPr>
          <w:rFonts w:ascii="Times New Roman" w:hAnsi="Times New Roman" w:cs="Times New Roman"/>
        </w:rPr>
        <w:t>we</w:t>
      </w:r>
      <w:r w:rsidRPr="00341B82">
        <w:rPr>
          <w:rFonts w:ascii="Times New Roman" w:hAnsi="Times New Roman" w:cs="Times New Roman"/>
        </w:rPr>
        <w:t xml:space="preserve">re </w:t>
      </w:r>
      <w:proofErr w:type="spellStart"/>
      <w:r w:rsidRPr="00341B82">
        <w:rPr>
          <w:rFonts w:ascii="Times New Roman" w:hAnsi="Times New Roman" w:cs="Times New Roman"/>
        </w:rPr>
        <w:t>characterised</w:t>
      </w:r>
      <w:proofErr w:type="spellEnd"/>
      <w:r w:rsidRPr="00341B82">
        <w:rPr>
          <w:rFonts w:ascii="Times New Roman" w:hAnsi="Times New Roman" w:cs="Times New Roman"/>
        </w:rPr>
        <w:t xml:space="preserve"> by </w:t>
      </w:r>
      <w:r>
        <w:rPr>
          <w:rFonts w:ascii="Times New Roman" w:hAnsi="Times New Roman" w:cs="Times New Roman"/>
        </w:rPr>
        <w:t xml:space="preserve">very </w:t>
      </w:r>
      <w:r w:rsidRPr="00341B82">
        <w:rPr>
          <w:rFonts w:ascii="Times New Roman" w:hAnsi="Times New Roman" w:cs="Times New Roman"/>
        </w:rPr>
        <w:t>high numbers of recommendations</w:t>
      </w:r>
      <w:r>
        <w:rPr>
          <w:rFonts w:ascii="Times New Roman" w:hAnsi="Times New Roman" w:cs="Times New Roman"/>
        </w:rPr>
        <w:t>, whereas treatment and referral decisions were relatively more likely to include option-list</w:t>
      </w:r>
      <w:r w:rsidR="00FF202F">
        <w:rPr>
          <w:rFonts w:ascii="Times New Roman" w:hAnsi="Times New Roman" w:cs="Times New Roman"/>
        </w:rPr>
        <w:t>s</w:t>
      </w:r>
      <w:r>
        <w:rPr>
          <w:rFonts w:ascii="Times New Roman" w:hAnsi="Times New Roman" w:cs="Times New Roman"/>
        </w:rPr>
        <w:t xml:space="preserve"> and PVEs.</w:t>
      </w:r>
    </w:p>
    <w:p w14:paraId="5E4FF9A5" w14:textId="77777777" w:rsidR="008E055E" w:rsidRPr="00B13AE7" w:rsidRDefault="008E055E" w:rsidP="005C55FB">
      <w:pPr>
        <w:spacing w:line="480" w:lineRule="auto"/>
        <w:rPr>
          <w:rFonts w:ascii="Times New Roman" w:hAnsi="Times New Roman" w:cs="Times New Roman"/>
          <w:b/>
          <w:i/>
          <w:u w:val="single"/>
        </w:rPr>
      </w:pPr>
    </w:p>
    <w:p w14:paraId="3D291166" w14:textId="51C07DEA" w:rsidR="008E055E" w:rsidRPr="00B13AE7" w:rsidRDefault="008E055E" w:rsidP="005C55FB">
      <w:pPr>
        <w:spacing w:line="480" w:lineRule="auto"/>
        <w:rPr>
          <w:rFonts w:ascii="Times New Roman" w:hAnsi="Times New Roman" w:cs="Times New Roman"/>
          <w:b/>
          <w:i/>
          <w:u w:val="single"/>
        </w:rPr>
      </w:pPr>
      <w:r w:rsidRPr="00B13AE7">
        <w:rPr>
          <w:rFonts w:ascii="Times New Roman" w:hAnsi="Times New Roman" w:cs="Times New Roman"/>
          <w:b/>
          <w:i/>
          <w:u w:val="single"/>
        </w:rPr>
        <w:t>Table 2 here</w:t>
      </w:r>
    </w:p>
    <w:p w14:paraId="6B8D4374" w14:textId="77777777" w:rsidR="008E055E" w:rsidRDefault="008E055E" w:rsidP="005C55FB">
      <w:pPr>
        <w:spacing w:line="480" w:lineRule="auto"/>
        <w:rPr>
          <w:rFonts w:ascii="Times New Roman" w:eastAsia="Times New Roman" w:hAnsi="Times New Roman" w:cs="Times New Roman"/>
          <w:b/>
          <w:i/>
        </w:rPr>
      </w:pPr>
    </w:p>
    <w:p w14:paraId="2561AB55" w14:textId="77777777" w:rsidR="008E055E" w:rsidRPr="00043A27" w:rsidRDefault="008E055E" w:rsidP="005C55FB">
      <w:pPr>
        <w:spacing w:line="480" w:lineRule="auto"/>
        <w:rPr>
          <w:rFonts w:ascii="Times New Roman" w:eastAsia="Times New Roman" w:hAnsi="Times New Roman" w:cs="Times New Roman"/>
          <w:b/>
          <w:i/>
        </w:rPr>
      </w:pPr>
      <w:r>
        <w:rPr>
          <w:rFonts w:ascii="Times New Roman" w:eastAsia="Times New Roman" w:hAnsi="Times New Roman" w:cs="Times New Roman"/>
          <w:b/>
          <w:i/>
        </w:rPr>
        <w:t xml:space="preserve">4.4 </w:t>
      </w:r>
      <w:r w:rsidRPr="00043A27">
        <w:rPr>
          <w:rFonts w:ascii="Times New Roman" w:eastAsia="Times New Roman" w:hAnsi="Times New Roman" w:cs="Times New Roman"/>
          <w:b/>
          <w:i/>
        </w:rPr>
        <w:t>Perception of choice</w:t>
      </w:r>
    </w:p>
    <w:p w14:paraId="2EF6AED3" w14:textId="0750EE7E" w:rsidR="008E055E" w:rsidRDefault="008E055E" w:rsidP="005C55FB">
      <w:pPr>
        <w:spacing w:line="480" w:lineRule="auto"/>
        <w:rPr>
          <w:rFonts w:ascii="Times New Roman" w:hAnsi="Times New Roman" w:cs="Times New Roman"/>
          <w:u w:val="single"/>
        </w:rPr>
      </w:pPr>
      <w:r>
        <w:rPr>
          <w:rFonts w:ascii="Times New Roman" w:eastAsia="Times New Roman" w:hAnsi="Times New Roman" w:cs="Times New Roman"/>
        </w:rPr>
        <w:t xml:space="preserve">Table 3 shows relationships between interactional practice and perceived choice.  </w:t>
      </w:r>
      <w:r w:rsidR="007B244D">
        <w:rPr>
          <w:rFonts w:ascii="Times New Roman" w:eastAsia="Times New Roman" w:hAnsi="Times New Roman" w:cs="Times New Roman"/>
        </w:rPr>
        <w:t>B</w:t>
      </w:r>
      <w:r>
        <w:rPr>
          <w:rFonts w:ascii="Times New Roman" w:eastAsia="Times New Roman" w:hAnsi="Times New Roman" w:cs="Times New Roman"/>
        </w:rPr>
        <w:t xml:space="preserve">oth neurologists and patients were more likely to report that a choice had been </w:t>
      </w:r>
      <w:r>
        <w:rPr>
          <w:rFonts w:ascii="Times New Roman" w:eastAsia="Times New Roman" w:hAnsi="Times New Roman" w:cs="Times New Roman"/>
        </w:rPr>
        <w:lastRenderedPageBreak/>
        <w:t>offered in consultations containing at least one option-list or PVE</w:t>
      </w:r>
      <w:r w:rsidRPr="00610E83">
        <w:rPr>
          <w:rFonts w:ascii="Times New Roman" w:eastAsia="Times New Roman" w:hAnsi="Times New Roman" w:cs="Times New Roman"/>
        </w:rPr>
        <w:t xml:space="preserve">. </w:t>
      </w:r>
      <w:r>
        <w:rPr>
          <w:rFonts w:ascii="Times New Roman" w:eastAsia="Times New Roman" w:hAnsi="Times New Roman" w:cs="Times New Roman"/>
        </w:rPr>
        <w:t xml:space="preserve"> There is a particularly strong relationship between perception of choice and use of option-lists or PVEs </w:t>
      </w:r>
      <w:r w:rsidR="00064723">
        <w:rPr>
          <w:rFonts w:ascii="Times New Roman" w:eastAsia="Times New Roman" w:hAnsi="Times New Roman" w:cs="Times New Roman"/>
        </w:rPr>
        <w:t>when</w:t>
      </w:r>
      <w:r>
        <w:rPr>
          <w:rFonts w:ascii="Times New Roman" w:eastAsia="Times New Roman" w:hAnsi="Times New Roman" w:cs="Times New Roman"/>
        </w:rPr>
        <w:t xml:space="preserve"> the participants </w:t>
      </w:r>
      <w:r w:rsidRPr="00610E83">
        <w:rPr>
          <w:rFonts w:ascii="Times New Roman" w:eastAsia="Times New Roman" w:hAnsi="Times New Roman" w:cs="Times New Roman"/>
          <w:i/>
        </w:rPr>
        <w:t>agreed</w:t>
      </w:r>
      <w:r>
        <w:rPr>
          <w:rFonts w:ascii="Times New Roman" w:eastAsia="Times New Roman" w:hAnsi="Times New Roman" w:cs="Times New Roman"/>
        </w:rPr>
        <w:t xml:space="preserve"> choice was offered</w:t>
      </w:r>
      <w:r w:rsidR="005F77EA">
        <w:rPr>
          <w:rFonts w:ascii="Times New Roman" w:eastAsia="Times New Roman" w:hAnsi="Times New Roman" w:cs="Times New Roman"/>
        </w:rPr>
        <w:t xml:space="preserve"> (see </w:t>
      </w:r>
      <w:proofErr w:type="spellStart"/>
      <w:r w:rsidR="007B244D">
        <w:rPr>
          <w:rFonts w:ascii="Times New Roman" w:eastAsia="Times New Roman" w:hAnsi="Times New Roman" w:cs="Times New Roman"/>
        </w:rPr>
        <w:t>Reuber</w:t>
      </w:r>
      <w:proofErr w:type="spellEnd"/>
      <w:r w:rsidR="007B244D">
        <w:rPr>
          <w:rFonts w:ascii="Times New Roman" w:eastAsia="Times New Roman" w:hAnsi="Times New Roman" w:cs="Times New Roman"/>
        </w:rPr>
        <w:t xml:space="preserve"> et al., forthcoming</w:t>
      </w:r>
      <w:r w:rsidR="0092540F">
        <w:rPr>
          <w:rFonts w:ascii="Times New Roman" w:eastAsia="Times New Roman" w:hAnsi="Times New Roman" w:cs="Times New Roman"/>
        </w:rPr>
        <w:t>)</w:t>
      </w:r>
      <w:r>
        <w:rPr>
          <w:rFonts w:ascii="Times New Roman" w:eastAsia="Times New Roman" w:hAnsi="Times New Roman" w:cs="Times New Roman"/>
          <w:lang w:val="en-GB"/>
        </w:rPr>
        <w:t xml:space="preserve">. These findings indicate that </w:t>
      </w:r>
      <w:r>
        <w:rPr>
          <w:rFonts w:ascii="Times New Roman" w:eastAsia="Times New Roman" w:hAnsi="Times New Roman" w:cs="Times New Roman"/>
        </w:rPr>
        <w:t xml:space="preserve">the understanding of option-lists and PVEs as mechanisms for offering choice is not just an analytic judgement; participants themselves typically perceived </w:t>
      </w:r>
      <w:r w:rsidR="00FF202F">
        <w:rPr>
          <w:rFonts w:ascii="Times New Roman" w:eastAsia="Times New Roman" w:hAnsi="Times New Roman" w:cs="Times New Roman"/>
        </w:rPr>
        <w:t xml:space="preserve">consultations containing </w:t>
      </w:r>
      <w:r w:rsidR="007B244D">
        <w:rPr>
          <w:rFonts w:ascii="Times New Roman" w:eastAsia="Times New Roman" w:hAnsi="Times New Roman" w:cs="Times New Roman"/>
          <w:lang w:val="en-GB"/>
        </w:rPr>
        <w:t>these practices</w:t>
      </w:r>
      <w:r>
        <w:rPr>
          <w:rFonts w:ascii="Times New Roman" w:eastAsia="Times New Roman" w:hAnsi="Times New Roman" w:cs="Times New Roman"/>
          <w:lang w:val="en-GB"/>
        </w:rPr>
        <w:t xml:space="preserve"> as offering choice, and </w:t>
      </w:r>
      <w:r w:rsidR="00FF202F">
        <w:rPr>
          <w:rFonts w:ascii="Times New Roman" w:eastAsia="Times New Roman" w:hAnsi="Times New Roman" w:cs="Times New Roman"/>
          <w:lang w:val="en-GB"/>
        </w:rPr>
        <w:t xml:space="preserve">those containing only </w:t>
      </w:r>
      <w:r>
        <w:rPr>
          <w:rFonts w:ascii="Times New Roman" w:eastAsia="Times New Roman" w:hAnsi="Times New Roman" w:cs="Times New Roman"/>
          <w:lang w:val="en-GB"/>
        </w:rPr>
        <w:t xml:space="preserve">recommendations as not offering choice. </w:t>
      </w:r>
    </w:p>
    <w:p w14:paraId="489DB16A" w14:textId="77777777" w:rsidR="008E055E" w:rsidRDefault="008E055E" w:rsidP="005C55FB">
      <w:pPr>
        <w:spacing w:line="480" w:lineRule="auto"/>
        <w:rPr>
          <w:rFonts w:ascii="Times New Roman" w:hAnsi="Times New Roman" w:cs="Times New Roman"/>
          <w:u w:val="single"/>
        </w:rPr>
      </w:pPr>
    </w:p>
    <w:p w14:paraId="64AC0466" w14:textId="60AB65D4" w:rsidR="008E055E" w:rsidRPr="00B13AE7" w:rsidRDefault="008E055E" w:rsidP="005C55FB">
      <w:pPr>
        <w:spacing w:line="480" w:lineRule="auto"/>
        <w:rPr>
          <w:rFonts w:ascii="Times New Roman" w:hAnsi="Times New Roman" w:cs="Times New Roman"/>
          <w:b/>
          <w:i/>
          <w:u w:val="single"/>
        </w:rPr>
      </w:pPr>
      <w:r w:rsidRPr="00B13AE7">
        <w:rPr>
          <w:rFonts w:ascii="Times New Roman" w:hAnsi="Times New Roman" w:cs="Times New Roman"/>
          <w:b/>
          <w:i/>
          <w:u w:val="single"/>
        </w:rPr>
        <w:t>Table 3 here</w:t>
      </w:r>
    </w:p>
    <w:p w14:paraId="3631B58A" w14:textId="77777777" w:rsidR="008E055E" w:rsidRDefault="008E055E" w:rsidP="005C55FB">
      <w:pPr>
        <w:spacing w:line="480" w:lineRule="auto"/>
        <w:rPr>
          <w:rFonts w:ascii="Times New Roman" w:hAnsi="Times New Roman" w:cs="Times New Roman"/>
          <w:u w:val="single"/>
        </w:rPr>
      </w:pPr>
    </w:p>
    <w:p w14:paraId="2C0E4BF8" w14:textId="77777777" w:rsidR="008E055E" w:rsidRPr="00E03D12" w:rsidRDefault="008E055E" w:rsidP="005C55FB">
      <w:pPr>
        <w:spacing w:line="480" w:lineRule="auto"/>
        <w:rPr>
          <w:rFonts w:ascii="Times New Roman" w:eastAsia="Times New Roman" w:hAnsi="Times New Roman" w:cs="Times New Roman"/>
          <w:b/>
          <w:i/>
          <w:lang w:val="en-GB"/>
        </w:rPr>
      </w:pPr>
      <w:r>
        <w:rPr>
          <w:rFonts w:ascii="Times New Roman" w:eastAsia="Times New Roman" w:hAnsi="Times New Roman" w:cs="Times New Roman"/>
          <w:b/>
          <w:i/>
          <w:lang w:val="en-GB"/>
        </w:rPr>
        <w:t>4.5</w:t>
      </w:r>
      <w:r w:rsidRPr="00E03D12">
        <w:rPr>
          <w:rFonts w:ascii="Times New Roman" w:eastAsia="Times New Roman" w:hAnsi="Times New Roman" w:cs="Times New Roman"/>
          <w:b/>
          <w:i/>
          <w:lang w:val="en-GB"/>
        </w:rPr>
        <w:t xml:space="preserve"> Geographic, patient demographic and clinical factors</w:t>
      </w:r>
    </w:p>
    <w:p w14:paraId="3B8544F5" w14:textId="2B8229E4" w:rsidR="008E055E" w:rsidRDefault="008E055E" w:rsidP="005C55FB">
      <w:pPr>
        <w:spacing w:line="480" w:lineRule="auto"/>
        <w:rPr>
          <w:rFonts w:ascii="Times New Roman" w:eastAsia="Times New Roman" w:hAnsi="Times New Roman" w:cs="Times New Roman"/>
          <w:lang w:val="en-GB"/>
        </w:rPr>
      </w:pPr>
      <w:r w:rsidRPr="00E03D12">
        <w:rPr>
          <w:rFonts w:ascii="Times New Roman" w:eastAsia="Times New Roman" w:hAnsi="Times New Roman" w:cs="Times New Roman"/>
          <w:lang w:val="en-GB"/>
        </w:rPr>
        <w:t>Tables 4 and 5 show the links between decisional practice</w:t>
      </w:r>
      <w:r>
        <w:rPr>
          <w:rFonts w:ascii="Times New Roman" w:eastAsia="Times New Roman" w:hAnsi="Times New Roman" w:cs="Times New Roman"/>
          <w:lang w:val="en-GB"/>
        </w:rPr>
        <w:t>s</w:t>
      </w:r>
      <w:r w:rsidRPr="00E03D12">
        <w:rPr>
          <w:rFonts w:ascii="Times New Roman" w:eastAsia="Times New Roman" w:hAnsi="Times New Roman" w:cs="Times New Roman"/>
          <w:lang w:val="en-GB"/>
        </w:rPr>
        <w:t xml:space="preserve"> and geographic, patient demographic, and clinical factors</w:t>
      </w:r>
      <w:r w:rsidR="007905F8">
        <w:rPr>
          <w:rFonts w:ascii="Times New Roman" w:eastAsia="Times New Roman" w:hAnsi="Times New Roman" w:cs="Times New Roman"/>
          <w:lang w:val="en-GB"/>
        </w:rPr>
        <w:t xml:space="preserve"> (there were too few neurologists to conduct tests based on </w:t>
      </w:r>
      <w:r w:rsidR="007B244D">
        <w:rPr>
          <w:rFonts w:ascii="Times New Roman" w:eastAsia="Times New Roman" w:hAnsi="Times New Roman" w:cs="Times New Roman"/>
          <w:lang w:val="en-GB"/>
        </w:rPr>
        <w:t xml:space="preserve">their </w:t>
      </w:r>
      <w:r w:rsidR="007905F8">
        <w:rPr>
          <w:rFonts w:ascii="Times New Roman" w:eastAsia="Times New Roman" w:hAnsi="Times New Roman" w:cs="Times New Roman"/>
          <w:lang w:val="en-GB"/>
        </w:rPr>
        <w:t xml:space="preserve">demographic characteristics).  </w:t>
      </w:r>
      <w:r>
        <w:rPr>
          <w:rFonts w:ascii="Times New Roman" w:eastAsia="Times New Roman" w:hAnsi="Times New Roman" w:cs="Times New Roman"/>
          <w:lang w:val="en-GB"/>
        </w:rPr>
        <w:t xml:space="preserve">More PVEs </w:t>
      </w:r>
      <w:r w:rsidR="00AA0D5C">
        <w:rPr>
          <w:rFonts w:ascii="Times New Roman" w:eastAsia="Times New Roman" w:hAnsi="Times New Roman" w:cs="Times New Roman"/>
          <w:lang w:val="en-GB"/>
        </w:rPr>
        <w:t>and option-</w:t>
      </w:r>
      <w:r w:rsidR="007E2457">
        <w:rPr>
          <w:rFonts w:ascii="Times New Roman" w:eastAsia="Times New Roman" w:hAnsi="Times New Roman" w:cs="Times New Roman"/>
          <w:lang w:val="en-GB"/>
        </w:rPr>
        <w:t xml:space="preserve">lists </w:t>
      </w:r>
      <w:r>
        <w:rPr>
          <w:rFonts w:ascii="Times New Roman" w:eastAsia="Times New Roman" w:hAnsi="Times New Roman" w:cs="Times New Roman"/>
          <w:lang w:val="en-GB"/>
        </w:rPr>
        <w:t xml:space="preserve">were used in the Sheffield consultations and more recommendations in the Glasgow consultations.  We do not report other geographical differences </w:t>
      </w:r>
      <w:r w:rsidR="007B244D">
        <w:rPr>
          <w:rFonts w:ascii="Times New Roman" w:eastAsia="Times New Roman" w:hAnsi="Times New Roman" w:cs="Times New Roman"/>
          <w:lang w:val="en-GB"/>
        </w:rPr>
        <w:t xml:space="preserve">in detail </w:t>
      </w:r>
      <w:r>
        <w:rPr>
          <w:rFonts w:ascii="Times New Roman" w:eastAsia="Times New Roman" w:hAnsi="Times New Roman" w:cs="Times New Roman"/>
          <w:lang w:val="en-GB"/>
        </w:rPr>
        <w:t>because we have done so previously for the full sample (n=223) (</w:t>
      </w:r>
      <w:r w:rsidR="007B244D">
        <w:rPr>
          <w:rFonts w:ascii="Times New Roman" w:eastAsia="Times New Roman" w:hAnsi="Times New Roman" w:cs="Times New Roman"/>
          <w:lang w:val="en-GB"/>
        </w:rPr>
        <w:t>Wiseman et al., 2016</w:t>
      </w:r>
      <w:r>
        <w:rPr>
          <w:rFonts w:ascii="Times New Roman" w:eastAsia="Times New Roman" w:hAnsi="Times New Roman" w:cs="Times New Roman"/>
          <w:lang w:val="en-GB"/>
        </w:rPr>
        <w:t>) and the characteristics of the working sample (n=144) are very simil</w:t>
      </w:r>
      <w:r w:rsidR="00515B98">
        <w:rPr>
          <w:rFonts w:ascii="Times New Roman" w:eastAsia="Times New Roman" w:hAnsi="Times New Roman" w:cs="Times New Roman"/>
          <w:lang w:val="en-GB"/>
        </w:rPr>
        <w:t>ar</w:t>
      </w:r>
      <w:r>
        <w:rPr>
          <w:rFonts w:ascii="Times New Roman" w:eastAsia="Times New Roman" w:hAnsi="Times New Roman" w:cs="Times New Roman"/>
          <w:lang w:val="en-GB"/>
        </w:rPr>
        <w:t xml:space="preserve">.  To summarize the differences, Glasgow consultations were more likely to be held in general clinics and tended to be shorter.  Symptoms were more likely to be </w:t>
      </w:r>
      <w:r w:rsidR="00701C88">
        <w:rPr>
          <w:rFonts w:ascii="Times New Roman" w:eastAsia="Times New Roman" w:hAnsi="Times New Roman" w:cs="Times New Roman"/>
          <w:lang w:val="en-GB"/>
        </w:rPr>
        <w:t>“</w:t>
      </w:r>
      <w:r>
        <w:rPr>
          <w:rFonts w:ascii="Times New Roman" w:eastAsia="Times New Roman" w:hAnsi="Times New Roman" w:cs="Times New Roman"/>
          <w:lang w:val="en-GB"/>
        </w:rPr>
        <w:t>medically explained</w:t>
      </w:r>
      <w:r w:rsidR="00701C88">
        <w:rPr>
          <w:rFonts w:ascii="Times New Roman" w:eastAsia="Times New Roman" w:hAnsi="Times New Roman" w:cs="Times New Roman"/>
          <w:lang w:val="en-GB"/>
        </w:rPr>
        <w:t>”</w:t>
      </w:r>
      <w:r>
        <w:rPr>
          <w:rFonts w:ascii="Times New Roman" w:eastAsia="Times New Roman" w:hAnsi="Times New Roman" w:cs="Times New Roman"/>
          <w:lang w:val="en-GB"/>
        </w:rPr>
        <w:t xml:space="preserve"> in Sheffield consultations.</w:t>
      </w:r>
    </w:p>
    <w:p w14:paraId="02B33902" w14:textId="77777777" w:rsidR="008E055E" w:rsidRDefault="008E055E" w:rsidP="005C55FB">
      <w:pPr>
        <w:spacing w:line="480" w:lineRule="auto"/>
        <w:rPr>
          <w:rFonts w:ascii="Times New Roman" w:eastAsia="Times New Roman" w:hAnsi="Times New Roman" w:cs="Times New Roman"/>
          <w:lang w:val="en-GB"/>
        </w:rPr>
      </w:pPr>
    </w:p>
    <w:p w14:paraId="309EB893" w14:textId="2A6E5E78" w:rsidR="008E055E" w:rsidRPr="0081196A" w:rsidRDefault="008E055E" w:rsidP="005C55FB">
      <w:pPr>
        <w:spacing w:line="480" w:lineRule="auto"/>
        <w:rPr>
          <w:rFonts w:ascii="Times New Roman" w:eastAsia="Times New Roman" w:hAnsi="Times New Roman" w:cs="Times New Roman"/>
          <w:b/>
          <w:i/>
          <w:u w:val="single"/>
          <w:lang w:val="en-GB"/>
        </w:rPr>
      </w:pPr>
      <w:r w:rsidRPr="0081196A">
        <w:rPr>
          <w:rFonts w:ascii="Times New Roman" w:eastAsia="Times New Roman" w:hAnsi="Times New Roman" w:cs="Times New Roman"/>
          <w:b/>
          <w:i/>
          <w:u w:val="single"/>
          <w:lang w:val="en-GB"/>
        </w:rPr>
        <w:t>Table 4 here</w:t>
      </w:r>
    </w:p>
    <w:p w14:paraId="541BB7BF" w14:textId="77777777" w:rsidR="008E055E" w:rsidRDefault="008E055E" w:rsidP="005C55FB">
      <w:pPr>
        <w:spacing w:line="480" w:lineRule="auto"/>
        <w:rPr>
          <w:rFonts w:ascii="Times New Roman" w:eastAsia="Times New Roman" w:hAnsi="Times New Roman" w:cs="Times New Roman"/>
          <w:b/>
          <w:i/>
          <w:lang w:val="en-GB"/>
        </w:rPr>
      </w:pPr>
    </w:p>
    <w:p w14:paraId="4664EAC9" w14:textId="56008A51" w:rsidR="008E055E" w:rsidRDefault="008E055E" w:rsidP="005C55FB">
      <w:pPr>
        <w:spacing w:line="480" w:lineRule="auto"/>
        <w:rPr>
          <w:rFonts w:ascii="Times New Roman" w:eastAsia="Times New Roman" w:hAnsi="Times New Roman" w:cs="Times New Roman"/>
          <w:lang w:val="en-GB"/>
        </w:rPr>
      </w:pPr>
      <w:r w:rsidRPr="0081196A">
        <w:rPr>
          <w:rFonts w:ascii="Times New Roman" w:eastAsia="Times New Roman" w:hAnsi="Times New Roman" w:cs="Times New Roman"/>
          <w:lang w:val="en-GB"/>
        </w:rPr>
        <w:lastRenderedPageBreak/>
        <w:t>Tables 4 and 5 demonstrate</w:t>
      </w:r>
      <w:r w:rsidRPr="005B6178">
        <w:rPr>
          <w:rFonts w:ascii="Times New Roman" w:eastAsia="Times New Roman" w:hAnsi="Times New Roman" w:cs="Times New Roman"/>
          <w:lang w:val="en-GB"/>
        </w:rPr>
        <w:t xml:space="preserve"> that </w:t>
      </w:r>
      <w:r>
        <w:rPr>
          <w:rFonts w:ascii="Times New Roman" w:eastAsia="Times New Roman" w:hAnsi="Times New Roman" w:cs="Times New Roman"/>
          <w:lang w:val="en-GB"/>
        </w:rPr>
        <w:t xml:space="preserve">the practice employed was largely unrelated to patients’ demographic characteristics.  Different practices were no more or less likely to be employed based upon patients’ gender, ethnicity, educational level (which can be seen as a proxy for social class </w:t>
      </w:r>
      <w:r>
        <w:rPr>
          <w:rFonts w:ascii="Times New Roman" w:eastAsia="Times New Roman" w:hAnsi="Times New Roman" w:cs="Times New Roman"/>
          <w:noProof/>
          <w:lang w:val="en-GB"/>
        </w:rPr>
        <w:t>(Galobardes</w:t>
      </w:r>
      <w:r w:rsidR="00081351">
        <w:rPr>
          <w:rFonts w:ascii="Times New Roman" w:eastAsia="Times New Roman" w:hAnsi="Times New Roman" w:cs="Times New Roman"/>
          <w:noProof/>
          <w:lang w:val="en-GB"/>
        </w:rPr>
        <w:t xml:space="preserve"> et al.</w:t>
      </w:r>
      <w:r>
        <w:rPr>
          <w:rFonts w:ascii="Times New Roman" w:eastAsia="Times New Roman" w:hAnsi="Times New Roman" w:cs="Times New Roman"/>
          <w:noProof/>
          <w:lang w:val="en-GB"/>
        </w:rPr>
        <w:t>, 2007)</w:t>
      </w:r>
      <w:r>
        <w:rPr>
          <w:rFonts w:ascii="Times New Roman" w:eastAsia="Times New Roman" w:hAnsi="Times New Roman" w:cs="Times New Roman"/>
          <w:lang w:val="en-GB"/>
        </w:rPr>
        <w:t xml:space="preserve">) or work status.  </w:t>
      </w:r>
      <w:r w:rsidR="007E2457">
        <w:rPr>
          <w:rFonts w:ascii="Times New Roman" w:eastAsia="Times New Roman" w:hAnsi="Times New Roman" w:cs="Times New Roman"/>
          <w:lang w:val="en-GB"/>
        </w:rPr>
        <w:t>However, one of the two m</w:t>
      </w:r>
      <w:r>
        <w:rPr>
          <w:rFonts w:ascii="Times New Roman" w:eastAsia="Times New Roman" w:hAnsi="Times New Roman" w:cs="Times New Roman"/>
          <w:lang w:val="en-GB"/>
        </w:rPr>
        <w:t>ultivariate analys</w:t>
      </w:r>
      <w:r w:rsidR="007E2457">
        <w:rPr>
          <w:rFonts w:ascii="Times New Roman" w:eastAsia="Times New Roman" w:hAnsi="Times New Roman" w:cs="Times New Roman"/>
          <w:lang w:val="en-GB"/>
        </w:rPr>
        <w:t>e</w:t>
      </w:r>
      <w:r>
        <w:rPr>
          <w:rFonts w:ascii="Times New Roman" w:eastAsia="Times New Roman" w:hAnsi="Times New Roman" w:cs="Times New Roman"/>
          <w:lang w:val="en-GB"/>
        </w:rPr>
        <w:t>s (Specification 2, Table 6) indicates that younger patients were more likely to be given option-lists or PVE</w:t>
      </w:r>
      <w:r w:rsidR="00F85025">
        <w:rPr>
          <w:rFonts w:ascii="Times New Roman" w:eastAsia="Times New Roman" w:hAnsi="Times New Roman" w:cs="Times New Roman"/>
          <w:lang w:val="en-GB"/>
        </w:rPr>
        <w:t>s</w:t>
      </w:r>
      <w:r>
        <w:rPr>
          <w:rFonts w:ascii="Times New Roman" w:eastAsia="Times New Roman" w:hAnsi="Times New Roman" w:cs="Times New Roman"/>
          <w:lang w:val="en-GB"/>
        </w:rPr>
        <w:t xml:space="preserve">, after other variables were controlled for.  </w:t>
      </w:r>
    </w:p>
    <w:p w14:paraId="288FF70A" w14:textId="77777777" w:rsidR="008E055E" w:rsidRDefault="008E055E" w:rsidP="005C55FB">
      <w:pPr>
        <w:spacing w:line="480" w:lineRule="auto"/>
        <w:rPr>
          <w:rFonts w:ascii="Times New Roman" w:eastAsia="Times New Roman" w:hAnsi="Times New Roman" w:cs="Times New Roman"/>
          <w:lang w:val="en-GB"/>
        </w:rPr>
      </w:pPr>
    </w:p>
    <w:p w14:paraId="36050231" w14:textId="766CD406" w:rsidR="008E055E" w:rsidRDefault="008E055E" w:rsidP="005C55FB">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By contrast, clinical factors and factors relating to the type of consultation were more commonly related to the </w:t>
      </w:r>
      <w:r w:rsidRPr="005B6178">
        <w:rPr>
          <w:rFonts w:ascii="Times New Roman" w:eastAsia="Times New Roman" w:hAnsi="Times New Roman" w:cs="Times New Roman"/>
          <w:lang w:val="en-GB"/>
        </w:rPr>
        <w:t xml:space="preserve">practice employed.  </w:t>
      </w:r>
      <w:r>
        <w:rPr>
          <w:rFonts w:ascii="Times New Roman" w:eastAsia="Times New Roman" w:hAnsi="Times New Roman" w:cs="Times New Roman"/>
          <w:lang w:val="en-GB"/>
        </w:rPr>
        <w:t>Bivariate analyses show neurologists were more likely to use option-lists or PVEs when they were more certain about a diagnosis and when the symptoms were medically explained.  They were also more likely to use these two practices in follow-up (than first) appointments</w:t>
      </w:r>
      <w:r w:rsidR="00CE7C22">
        <w:rPr>
          <w:rFonts w:ascii="Times New Roman" w:eastAsia="Times New Roman" w:hAnsi="Times New Roman" w:cs="Times New Roman"/>
          <w:lang w:val="en-GB"/>
        </w:rPr>
        <w:t>.  There was some evidence that PVEs and option-lists were more likely to be used</w:t>
      </w:r>
      <w:r>
        <w:rPr>
          <w:rFonts w:ascii="Times New Roman" w:eastAsia="Times New Roman" w:hAnsi="Times New Roman" w:cs="Times New Roman"/>
          <w:lang w:val="en-GB"/>
        </w:rPr>
        <w:t xml:space="preserve"> in specialist (than general) clinics</w:t>
      </w:r>
      <w:r w:rsidR="00CE7C22">
        <w:rPr>
          <w:rFonts w:ascii="Times New Roman" w:eastAsia="Times New Roman" w:hAnsi="Times New Roman" w:cs="Times New Roman"/>
          <w:lang w:val="en-GB"/>
        </w:rPr>
        <w:t>, although this difference was not significant at the 0.05 level</w:t>
      </w:r>
      <w:r>
        <w:rPr>
          <w:rFonts w:ascii="Times New Roman" w:eastAsia="Times New Roman" w:hAnsi="Times New Roman" w:cs="Times New Roman"/>
          <w:lang w:val="en-GB"/>
        </w:rPr>
        <w:t xml:space="preserve">.  There was no relationship between </w:t>
      </w:r>
      <w:r w:rsidR="00081351">
        <w:rPr>
          <w:rFonts w:ascii="Times New Roman" w:eastAsia="Times New Roman" w:hAnsi="Times New Roman" w:cs="Times New Roman"/>
          <w:lang w:val="en-GB"/>
        </w:rPr>
        <w:t xml:space="preserve">consultation </w:t>
      </w:r>
      <w:r>
        <w:rPr>
          <w:rFonts w:ascii="Times New Roman" w:eastAsia="Times New Roman" w:hAnsi="Times New Roman" w:cs="Times New Roman"/>
          <w:lang w:val="en-GB"/>
        </w:rPr>
        <w:t xml:space="preserve">length and the practice employed.  Most of these associations do not remain </w:t>
      </w:r>
      <w:r w:rsidR="00064723">
        <w:rPr>
          <w:rFonts w:ascii="Times New Roman" w:eastAsia="Times New Roman" w:hAnsi="Times New Roman" w:cs="Times New Roman"/>
          <w:lang w:val="en-GB"/>
        </w:rPr>
        <w:t xml:space="preserve">significant </w:t>
      </w:r>
      <w:r>
        <w:rPr>
          <w:rFonts w:ascii="Times New Roman" w:eastAsia="Times New Roman" w:hAnsi="Times New Roman" w:cs="Times New Roman"/>
          <w:lang w:val="en-GB"/>
        </w:rPr>
        <w:t xml:space="preserve">after controlling for other variables (Table 6), but PVEs or option-lists were still more likely to be employed in consultations where neurologists were more certain of their diagnoses. </w:t>
      </w:r>
    </w:p>
    <w:p w14:paraId="7931D72E" w14:textId="77777777" w:rsidR="008E055E" w:rsidRDefault="008E055E" w:rsidP="005C55FB">
      <w:pPr>
        <w:spacing w:line="480" w:lineRule="auto"/>
        <w:rPr>
          <w:rFonts w:ascii="Times New Roman" w:eastAsia="Times New Roman" w:hAnsi="Times New Roman" w:cs="Times New Roman"/>
          <w:lang w:val="en-GB"/>
        </w:rPr>
      </w:pPr>
    </w:p>
    <w:p w14:paraId="0819078F" w14:textId="672ADD03" w:rsidR="008E055E" w:rsidRPr="0081196A" w:rsidRDefault="008E055E" w:rsidP="005C55FB">
      <w:pPr>
        <w:spacing w:line="480" w:lineRule="auto"/>
        <w:rPr>
          <w:rFonts w:ascii="Times New Roman" w:eastAsia="Times New Roman" w:hAnsi="Times New Roman" w:cs="Times New Roman"/>
          <w:b/>
          <w:i/>
          <w:u w:val="single"/>
          <w:lang w:val="en-GB"/>
        </w:rPr>
      </w:pPr>
      <w:r w:rsidRPr="0081196A">
        <w:rPr>
          <w:rFonts w:ascii="Times New Roman" w:eastAsia="Times New Roman" w:hAnsi="Times New Roman" w:cs="Times New Roman"/>
          <w:b/>
          <w:i/>
          <w:u w:val="single"/>
          <w:lang w:val="en-GB"/>
        </w:rPr>
        <w:t>Table</w:t>
      </w:r>
      <w:r>
        <w:rPr>
          <w:rFonts w:ascii="Times New Roman" w:eastAsia="Times New Roman" w:hAnsi="Times New Roman" w:cs="Times New Roman"/>
          <w:b/>
          <w:i/>
          <w:u w:val="single"/>
          <w:lang w:val="en-GB"/>
        </w:rPr>
        <w:t>s</w:t>
      </w:r>
      <w:r w:rsidRPr="0081196A">
        <w:rPr>
          <w:rFonts w:ascii="Times New Roman" w:eastAsia="Times New Roman" w:hAnsi="Times New Roman" w:cs="Times New Roman"/>
          <w:b/>
          <w:i/>
          <w:u w:val="single"/>
          <w:lang w:val="en-GB"/>
        </w:rPr>
        <w:t xml:space="preserve"> 5</w:t>
      </w:r>
      <w:r>
        <w:rPr>
          <w:rFonts w:ascii="Times New Roman" w:eastAsia="Times New Roman" w:hAnsi="Times New Roman" w:cs="Times New Roman"/>
          <w:b/>
          <w:i/>
          <w:u w:val="single"/>
          <w:lang w:val="en-GB"/>
        </w:rPr>
        <w:t xml:space="preserve"> and 6</w:t>
      </w:r>
      <w:r w:rsidRPr="0081196A">
        <w:rPr>
          <w:rFonts w:ascii="Times New Roman" w:eastAsia="Times New Roman" w:hAnsi="Times New Roman" w:cs="Times New Roman"/>
          <w:b/>
          <w:i/>
          <w:u w:val="single"/>
          <w:lang w:val="en-GB"/>
        </w:rPr>
        <w:t xml:space="preserve"> here</w:t>
      </w:r>
    </w:p>
    <w:p w14:paraId="4343B890" w14:textId="77777777" w:rsidR="008E055E" w:rsidRPr="005B6178" w:rsidRDefault="008E055E" w:rsidP="005C55FB">
      <w:pPr>
        <w:spacing w:line="480" w:lineRule="auto"/>
        <w:rPr>
          <w:rFonts w:ascii="Times New Roman" w:eastAsia="Times New Roman" w:hAnsi="Times New Roman" w:cs="Times New Roman"/>
          <w:lang w:val="en-GB"/>
        </w:rPr>
      </w:pPr>
    </w:p>
    <w:p w14:paraId="180C4E52" w14:textId="77777777" w:rsidR="008E055E" w:rsidRPr="00852F0F" w:rsidRDefault="008E055E" w:rsidP="005C55FB">
      <w:pPr>
        <w:spacing w:line="480" w:lineRule="auto"/>
        <w:outlineLvl w:val="0"/>
        <w:rPr>
          <w:rFonts w:ascii="Times New Roman" w:eastAsia="Times New Roman" w:hAnsi="Times New Roman" w:cs="Times New Roman"/>
          <w:b/>
          <w:i/>
          <w:color w:val="FF0000"/>
          <w:lang w:val="en-GB"/>
        </w:rPr>
      </w:pPr>
      <w:r>
        <w:rPr>
          <w:rFonts w:ascii="Times New Roman" w:eastAsia="Times New Roman" w:hAnsi="Times New Roman" w:cs="Times New Roman"/>
          <w:b/>
          <w:i/>
          <w:lang w:val="en-GB"/>
        </w:rPr>
        <w:t xml:space="preserve">4.6 </w:t>
      </w:r>
      <w:r w:rsidRPr="00852F0F">
        <w:rPr>
          <w:rFonts w:ascii="Times New Roman" w:eastAsia="Times New Roman" w:hAnsi="Times New Roman" w:cs="Times New Roman"/>
          <w:b/>
          <w:i/>
          <w:lang w:val="en-GB"/>
        </w:rPr>
        <w:t>Individual differences</w:t>
      </w:r>
      <w:r>
        <w:rPr>
          <w:rFonts w:ascii="Times New Roman" w:eastAsia="Times New Roman" w:hAnsi="Times New Roman" w:cs="Times New Roman"/>
          <w:b/>
          <w:i/>
          <w:lang w:val="en-GB"/>
        </w:rPr>
        <w:t xml:space="preserve"> between neurologists</w:t>
      </w:r>
    </w:p>
    <w:p w14:paraId="2B2569BF" w14:textId="4B7944B0" w:rsidR="008E055E" w:rsidRDefault="008E055E" w:rsidP="005C55FB">
      <w:pPr>
        <w:spacing w:line="480" w:lineRule="auto"/>
        <w:rPr>
          <w:rFonts w:ascii="Times New Roman" w:eastAsia="Times New Roman" w:hAnsi="Times New Roman" w:cs="Times New Roman"/>
          <w:lang w:val="en-GB"/>
        </w:rPr>
      </w:pPr>
      <w:r w:rsidRPr="00A1323A">
        <w:rPr>
          <w:rFonts w:ascii="Times New Roman" w:eastAsia="Times New Roman" w:hAnsi="Times New Roman" w:cs="Times New Roman"/>
          <w:lang w:val="en-GB"/>
        </w:rPr>
        <w:lastRenderedPageBreak/>
        <w:t xml:space="preserve">Table </w:t>
      </w:r>
      <w:r w:rsidR="007E2457">
        <w:rPr>
          <w:rFonts w:ascii="Times New Roman" w:eastAsia="Times New Roman" w:hAnsi="Times New Roman" w:cs="Times New Roman"/>
          <w:lang w:val="en-GB"/>
        </w:rPr>
        <w:t>7</w:t>
      </w:r>
      <w:r>
        <w:rPr>
          <w:rFonts w:ascii="Times New Roman" w:eastAsia="Times New Roman" w:hAnsi="Times New Roman" w:cs="Times New Roman"/>
          <w:lang w:val="en-GB"/>
        </w:rPr>
        <w:t xml:space="preserve"> shows the differences between neurologists regarding their use of the three practices</w:t>
      </w:r>
      <w:r w:rsidR="0059248E">
        <w:rPr>
          <w:rFonts w:ascii="Times New Roman" w:eastAsia="Times New Roman" w:hAnsi="Times New Roman" w:cs="Times New Roman"/>
          <w:lang w:val="en-GB"/>
        </w:rPr>
        <w:t>.</w:t>
      </w:r>
      <w:r w:rsidR="008131BD">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We have insufficient sample size to employ inferential statistical (chi square) tests to investigate the differences between neurologists for one or more option-list </w:t>
      </w:r>
      <w:r w:rsidRPr="00852F0F">
        <w:rPr>
          <w:rFonts w:ascii="Times New Roman" w:eastAsia="Times New Roman" w:hAnsi="Times New Roman" w:cs="Times New Roman"/>
          <w:i/>
          <w:lang w:val="en-GB"/>
        </w:rPr>
        <w:t>vs</w:t>
      </w:r>
      <w:r>
        <w:rPr>
          <w:rFonts w:ascii="Times New Roman" w:eastAsia="Times New Roman" w:hAnsi="Times New Roman" w:cs="Times New Roman"/>
          <w:lang w:val="en-GB"/>
        </w:rPr>
        <w:t xml:space="preserve">. no option-list.  Nevertheless, it is clear from the descriptive statistics and comparisons between 1 or more PVE and no PVE that there were large differences between neurologists </w:t>
      </w:r>
      <w:r w:rsidR="00701C88">
        <w:rPr>
          <w:rFonts w:ascii="Times New Roman" w:eastAsia="Times New Roman" w:hAnsi="Times New Roman" w:cs="Times New Roman"/>
          <w:lang w:val="en-GB"/>
        </w:rPr>
        <w:t xml:space="preserve">in </w:t>
      </w:r>
      <w:r>
        <w:rPr>
          <w:rFonts w:ascii="Times New Roman" w:eastAsia="Times New Roman" w:hAnsi="Times New Roman" w:cs="Times New Roman"/>
          <w:lang w:val="en-GB"/>
        </w:rPr>
        <w:t>how often they employed PVEs</w:t>
      </w:r>
      <w:r w:rsidR="00701C88">
        <w:rPr>
          <w:rFonts w:ascii="Times New Roman" w:eastAsia="Times New Roman" w:hAnsi="Times New Roman" w:cs="Times New Roman"/>
          <w:lang w:val="en-GB"/>
        </w:rPr>
        <w:t xml:space="preserve"> or</w:t>
      </w:r>
      <w:r w:rsidR="00FD61C2">
        <w:rPr>
          <w:rFonts w:ascii="Times New Roman" w:eastAsia="Times New Roman" w:hAnsi="Times New Roman" w:cs="Times New Roman"/>
          <w:lang w:val="en-GB"/>
        </w:rPr>
        <w:t xml:space="preserve"> recommendations</w:t>
      </w:r>
      <w:r>
        <w:rPr>
          <w:rFonts w:ascii="Times New Roman" w:eastAsia="Times New Roman" w:hAnsi="Times New Roman" w:cs="Times New Roman"/>
          <w:lang w:val="en-GB"/>
        </w:rPr>
        <w:t xml:space="preserve">.  Two contrasting cases highlight </w:t>
      </w:r>
      <w:r w:rsidR="00081351">
        <w:rPr>
          <w:rFonts w:ascii="Times New Roman" w:eastAsia="Times New Roman" w:hAnsi="Times New Roman" w:cs="Times New Roman"/>
          <w:lang w:val="en-GB"/>
        </w:rPr>
        <w:t>how</w:t>
      </w:r>
      <w:r>
        <w:rPr>
          <w:rFonts w:ascii="Times New Roman" w:eastAsia="Times New Roman" w:hAnsi="Times New Roman" w:cs="Times New Roman"/>
          <w:lang w:val="en-GB"/>
        </w:rPr>
        <w:t xml:space="preserve"> individuals may exhibit a ‘style’ of decision-making: Sheffield 4 recorded no consultations containing only recommendations, and employed PVEs in all 19 consultations, whereas Glasgow 1 used recommendations in all 14 consultations, and used a lower combined proportion of PVEs and option-lists than any other neurologist.  </w:t>
      </w:r>
    </w:p>
    <w:p w14:paraId="2D7F5CB8" w14:textId="77777777" w:rsidR="00FD61C2" w:rsidRDefault="00FD61C2" w:rsidP="005C55FB">
      <w:pPr>
        <w:spacing w:line="480" w:lineRule="auto"/>
        <w:rPr>
          <w:rFonts w:ascii="Times New Roman" w:eastAsia="Times New Roman" w:hAnsi="Times New Roman" w:cs="Times New Roman"/>
          <w:lang w:val="en-GB"/>
        </w:rPr>
      </w:pPr>
    </w:p>
    <w:p w14:paraId="55568294" w14:textId="726D9780" w:rsidR="008E055E" w:rsidRDefault="00FD61C2" w:rsidP="005C55FB">
      <w:pPr>
        <w:spacing w:line="480" w:lineRule="auto"/>
        <w:rPr>
          <w:rFonts w:ascii="Times New Roman" w:eastAsia="Times New Roman" w:hAnsi="Times New Roman" w:cs="Times New Roman"/>
          <w:b/>
          <w:i/>
          <w:lang w:val="en-GB"/>
        </w:rPr>
      </w:pPr>
      <w:r w:rsidRPr="00D27074">
        <w:rPr>
          <w:rFonts w:ascii="Times New Roman" w:eastAsia="Times New Roman" w:hAnsi="Times New Roman" w:cs="Times New Roman"/>
          <w:b/>
          <w:i/>
          <w:lang w:val="en-GB"/>
        </w:rPr>
        <w:t>Table 7 here</w:t>
      </w:r>
    </w:p>
    <w:p w14:paraId="6BB8402D" w14:textId="77777777" w:rsidR="00FD61C2" w:rsidRPr="00D27074" w:rsidRDefault="00FD61C2" w:rsidP="005C55FB">
      <w:pPr>
        <w:spacing w:line="480" w:lineRule="auto"/>
        <w:rPr>
          <w:rFonts w:ascii="Times New Roman" w:eastAsia="Times New Roman" w:hAnsi="Times New Roman" w:cs="Times New Roman"/>
          <w:b/>
          <w:i/>
          <w:lang w:val="en-GB"/>
        </w:rPr>
      </w:pPr>
    </w:p>
    <w:p w14:paraId="72DC3876" w14:textId="79A080CB" w:rsidR="008E055E" w:rsidRDefault="008E055E" w:rsidP="005C55FB">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One potential explanation is that certain subspecialties may be more suited to certain forms of decision-making.  However, a specialism–based explanation of individual differences does not appear to offer a good account for the patterning seen here, because, as Table </w:t>
      </w:r>
      <w:r w:rsidR="007E2457">
        <w:rPr>
          <w:rFonts w:ascii="Times New Roman" w:eastAsia="Times New Roman" w:hAnsi="Times New Roman" w:cs="Times New Roman"/>
          <w:lang w:val="en-GB"/>
        </w:rPr>
        <w:t>4</w:t>
      </w:r>
      <w:r>
        <w:rPr>
          <w:rFonts w:ascii="Times New Roman" w:eastAsia="Times New Roman" w:hAnsi="Times New Roman" w:cs="Times New Roman"/>
          <w:lang w:val="en-GB"/>
        </w:rPr>
        <w:t xml:space="preserve"> shows, there is no significant link between specialism and decisional practices.  </w:t>
      </w:r>
      <w:r w:rsidR="00507D24">
        <w:rPr>
          <w:rFonts w:ascii="Times New Roman" w:eastAsia="Times New Roman" w:hAnsi="Times New Roman" w:cs="Times New Roman"/>
          <w:lang w:val="en-GB"/>
        </w:rPr>
        <w:t>The above examples</w:t>
      </w:r>
      <w:r>
        <w:rPr>
          <w:rFonts w:ascii="Times New Roman" w:eastAsia="Times New Roman" w:hAnsi="Times New Roman" w:cs="Times New Roman"/>
          <w:lang w:val="en-GB"/>
        </w:rPr>
        <w:t xml:space="preserve"> again illustrate this point: both Sheffield 4 and Glasgow 1 are </w:t>
      </w:r>
      <w:r w:rsidR="00081351">
        <w:rPr>
          <w:rFonts w:ascii="Times New Roman" w:eastAsia="Times New Roman" w:hAnsi="Times New Roman" w:cs="Times New Roman"/>
          <w:lang w:val="en-GB"/>
        </w:rPr>
        <w:t xml:space="preserve">from the same </w:t>
      </w:r>
      <w:r w:rsidR="005B2C12">
        <w:rPr>
          <w:rFonts w:ascii="Times New Roman" w:eastAsia="Times New Roman" w:hAnsi="Times New Roman" w:cs="Times New Roman"/>
          <w:lang w:val="en-GB"/>
        </w:rPr>
        <w:t>sub</w:t>
      </w:r>
      <w:r w:rsidR="00081351">
        <w:rPr>
          <w:rFonts w:ascii="Times New Roman" w:eastAsia="Times New Roman" w:hAnsi="Times New Roman" w:cs="Times New Roman"/>
          <w:lang w:val="en-GB"/>
        </w:rPr>
        <w:t>specialty</w:t>
      </w:r>
      <w:r w:rsidR="00507D24">
        <w:rPr>
          <w:rFonts w:ascii="Times New Roman" w:eastAsia="Times New Roman" w:hAnsi="Times New Roman" w:cs="Times New Roman"/>
          <w:lang w:val="en-GB"/>
        </w:rPr>
        <w:t>.</w:t>
      </w:r>
    </w:p>
    <w:p w14:paraId="056EF8C3" w14:textId="77777777" w:rsidR="008E055E" w:rsidRDefault="008E055E" w:rsidP="005C55FB">
      <w:pPr>
        <w:spacing w:line="480" w:lineRule="auto"/>
        <w:rPr>
          <w:rFonts w:ascii="Times New Roman" w:eastAsia="Times New Roman" w:hAnsi="Times New Roman" w:cs="Times New Roman"/>
          <w:u w:val="single"/>
          <w:lang w:val="en-GB"/>
        </w:rPr>
      </w:pPr>
    </w:p>
    <w:p w14:paraId="0D4A07EA" w14:textId="3F5BDE2F" w:rsidR="008E055E" w:rsidRPr="0080365F" w:rsidRDefault="008E055E" w:rsidP="005C55FB">
      <w:pPr>
        <w:spacing w:line="480" w:lineRule="auto"/>
        <w:rPr>
          <w:rFonts w:ascii="Times New Roman" w:eastAsia="Times New Roman" w:hAnsi="Times New Roman" w:cs="Times New Roman"/>
          <w:b/>
          <w:i/>
          <w:lang w:val="en-GB"/>
        </w:rPr>
      </w:pPr>
      <w:r>
        <w:rPr>
          <w:rFonts w:ascii="Times New Roman" w:eastAsia="Times New Roman" w:hAnsi="Times New Roman" w:cs="Times New Roman"/>
          <w:b/>
          <w:i/>
          <w:lang w:val="en-GB"/>
        </w:rPr>
        <w:t xml:space="preserve">4.7 </w:t>
      </w:r>
      <w:r w:rsidRPr="0080365F">
        <w:rPr>
          <w:rFonts w:ascii="Times New Roman" w:eastAsia="Times New Roman" w:hAnsi="Times New Roman" w:cs="Times New Roman"/>
          <w:b/>
          <w:i/>
          <w:lang w:val="en-GB"/>
        </w:rPr>
        <w:t xml:space="preserve">Outcome: is </w:t>
      </w:r>
      <w:r>
        <w:rPr>
          <w:rFonts w:ascii="Times New Roman" w:eastAsia="Times New Roman" w:hAnsi="Times New Roman" w:cs="Times New Roman"/>
          <w:b/>
          <w:i/>
          <w:lang w:val="en-GB"/>
        </w:rPr>
        <w:t>the proffered</w:t>
      </w:r>
      <w:r w:rsidRPr="0080365F">
        <w:rPr>
          <w:rFonts w:ascii="Times New Roman" w:eastAsia="Times New Roman" w:hAnsi="Times New Roman" w:cs="Times New Roman"/>
          <w:b/>
          <w:i/>
          <w:lang w:val="en-GB"/>
        </w:rPr>
        <w:t xml:space="preserve"> course of </w:t>
      </w:r>
      <w:r>
        <w:rPr>
          <w:rFonts w:ascii="Times New Roman" w:eastAsia="Times New Roman" w:hAnsi="Times New Roman" w:cs="Times New Roman"/>
          <w:b/>
          <w:i/>
          <w:lang w:val="en-GB"/>
        </w:rPr>
        <w:t xml:space="preserve">action going </w:t>
      </w:r>
      <w:r w:rsidR="00081351">
        <w:rPr>
          <w:rFonts w:ascii="Times New Roman" w:eastAsia="Times New Roman" w:hAnsi="Times New Roman" w:cs="Times New Roman"/>
          <w:b/>
          <w:i/>
          <w:lang w:val="en-GB"/>
        </w:rPr>
        <w:t>ahead</w:t>
      </w:r>
      <w:r>
        <w:rPr>
          <w:rFonts w:ascii="Times New Roman" w:eastAsia="Times New Roman" w:hAnsi="Times New Roman" w:cs="Times New Roman"/>
          <w:b/>
          <w:i/>
          <w:lang w:val="en-GB"/>
        </w:rPr>
        <w:t xml:space="preserve"> in principle</w:t>
      </w:r>
      <w:r w:rsidRPr="0080365F">
        <w:rPr>
          <w:rFonts w:ascii="Times New Roman" w:eastAsia="Times New Roman" w:hAnsi="Times New Roman" w:cs="Times New Roman"/>
          <w:b/>
          <w:i/>
          <w:lang w:val="en-GB"/>
        </w:rPr>
        <w:t>?</w:t>
      </w:r>
    </w:p>
    <w:p w14:paraId="6C1E62E3" w14:textId="4497AA45" w:rsidR="008E055E" w:rsidRPr="0092547F" w:rsidRDefault="008E055E" w:rsidP="005C55FB">
      <w:pPr>
        <w:spacing w:line="480" w:lineRule="auto"/>
        <w:rPr>
          <w:rFonts w:ascii="Times New Roman" w:eastAsia="Times New Roman" w:hAnsi="Times New Roman" w:cs="Times New Roman"/>
          <w:lang w:val="en-GB"/>
        </w:rPr>
      </w:pPr>
      <w:r w:rsidRPr="00A80983">
        <w:rPr>
          <w:rFonts w:ascii="Times New Roman" w:eastAsia="Times New Roman" w:hAnsi="Times New Roman" w:cs="Times New Roman"/>
          <w:lang w:val="en-GB"/>
        </w:rPr>
        <w:t xml:space="preserve">Table </w:t>
      </w:r>
      <w:r w:rsidR="007E2457">
        <w:rPr>
          <w:rFonts w:ascii="Times New Roman" w:eastAsia="Times New Roman" w:hAnsi="Times New Roman" w:cs="Times New Roman"/>
          <w:lang w:val="en-GB"/>
        </w:rPr>
        <w:t>8</w:t>
      </w:r>
      <w:r>
        <w:rPr>
          <w:rFonts w:ascii="Times New Roman" w:eastAsia="Times New Roman" w:hAnsi="Times New Roman" w:cs="Times New Roman"/>
          <w:lang w:val="en-GB"/>
        </w:rPr>
        <w:t xml:space="preserve"> </w:t>
      </w:r>
      <w:r w:rsidRPr="00A80983">
        <w:rPr>
          <w:rFonts w:ascii="Times New Roman" w:eastAsia="Times New Roman" w:hAnsi="Times New Roman" w:cs="Times New Roman"/>
          <w:lang w:val="en-GB"/>
        </w:rPr>
        <w:t>shows the links between practices and an important outcome measure: whether agreement was reached</w:t>
      </w:r>
      <w:r>
        <w:rPr>
          <w:rFonts w:ascii="Times New Roman" w:eastAsia="Times New Roman" w:hAnsi="Times New Roman" w:cs="Times New Roman"/>
          <w:lang w:val="en-GB"/>
        </w:rPr>
        <w:t xml:space="preserve"> </w:t>
      </w:r>
      <w:r w:rsidRPr="00A80983">
        <w:rPr>
          <w:rFonts w:ascii="Times New Roman" w:eastAsia="Times New Roman" w:hAnsi="Times New Roman" w:cs="Times New Roman"/>
          <w:lang w:val="en-GB"/>
        </w:rPr>
        <w:t xml:space="preserve">that </w:t>
      </w:r>
      <w:r>
        <w:rPr>
          <w:rFonts w:ascii="Times New Roman" w:eastAsia="Times New Roman" w:hAnsi="Times New Roman" w:cs="Times New Roman"/>
          <w:lang w:val="en-GB"/>
        </w:rPr>
        <w:t>a</w:t>
      </w:r>
      <w:r w:rsidRPr="00A80983">
        <w:rPr>
          <w:rFonts w:ascii="Times New Roman" w:eastAsia="Times New Roman" w:hAnsi="Times New Roman" w:cs="Times New Roman"/>
          <w:lang w:val="en-GB"/>
        </w:rPr>
        <w:t xml:space="preserve"> course of action</w:t>
      </w:r>
      <w:r>
        <w:rPr>
          <w:rFonts w:ascii="Times New Roman" w:eastAsia="Times New Roman" w:hAnsi="Times New Roman" w:cs="Times New Roman"/>
          <w:lang w:val="en-GB"/>
        </w:rPr>
        <w:t xml:space="preserve"> made available by the </w:t>
      </w:r>
      <w:r>
        <w:rPr>
          <w:rFonts w:ascii="Times New Roman" w:eastAsia="Times New Roman" w:hAnsi="Times New Roman" w:cs="Times New Roman"/>
          <w:lang w:val="en-GB"/>
        </w:rPr>
        <w:lastRenderedPageBreak/>
        <w:t xml:space="preserve">neurologist was going to be acted upon by the patient.  Crucially, when only recommendations were used, nearly all (98.6%) decisions concluded with the recommended course of action </w:t>
      </w:r>
      <w:r w:rsidR="004D3BA0">
        <w:rPr>
          <w:rFonts w:ascii="Times New Roman" w:eastAsia="Times New Roman" w:hAnsi="Times New Roman" w:cs="Times New Roman"/>
          <w:lang w:val="en-GB"/>
        </w:rPr>
        <w:t>agreed</w:t>
      </w:r>
      <w:r>
        <w:rPr>
          <w:rFonts w:ascii="Times New Roman" w:eastAsia="Times New Roman" w:hAnsi="Times New Roman" w:cs="Times New Roman"/>
          <w:lang w:val="en-GB"/>
        </w:rPr>
        <w:t xml:space="preserve"> in principle.  By contrast, agreement was reached in only 68.6% of cases with a PVE or option-list.  Thus</w:t>
      </w:r>
      <w:r>
        <w:rPr>
          <w:rFonts w:ascii="Times New Roman" w:hAnsi="Times New Roman" w:cs="Times New Roman"/>
        </w:rPr>
        <w:t xml:space="preserve">, rejection of the proposed course of action – or deferral of a decision – was far more likely </w:t>
      </w:r>
      <w:r w:rsidRPr="008F4D55">
        <w:rPr>
          <w:rFonts w:ascii="Times New Roman" w:hAnsi="Times New Roman" w:cs="Times New Roman"/>
        </w:rPr>
        <w:t xml:space="preserve">when PVEs or option-lists </w:t>
      </w:r>
      <w:r>
        <w:rPr>
          <w:rFonts w:ascii="Times New Roman" w:hAnsi="Times New Roman" w:cs="Times New Roman"/>
        </w:rPr>
        <w:t>we</w:t>
      </w:r>
      <w:r w:rsidRPr="008F4D55">
        <w:rPr>
          <w:rFonts w:ascii="Times New Roman" w:hAnsi="Times New Roman" w:cs="Times New Roman"/>
        </w:rPr>
        <w:t>re employed</w:t>
      </w:r>
      <w:r>
        <w:rPr>
          <w:rFonts w:ascii="Times New Roman" w:hAnsi="Times New Roman" w:cs="Times New Roman"/>
        </w:rPr>
        <w:t xml:space="preserve"> (although</w:t>
      </w:r>
      <w:r w:rsidR="00081351">
        <w:rPr>
          <w:rFonts w:ascii="Times New Roman" w:hAnsi="Times New Roman" w:cs="Times New Roman"/>
        </w:rPr>
        <w:t xml:space="preserve"> </w:t>
      </w:r>
      <w:r>
        <w:rPr>
          <w:rFonts w:ascii="Times New Roman" w:hAnsi="Times New Roman" w:cs="Times New Roman"/>
        </w:rPr>
        <w:t xml:space="preserve">the direction of causality is </w:t>
      </w:r>
      <w:r w:rsidR="00507D24">
        <w:rPr>
          <w:rFonts w:ascii="Times New Roman" w:hAnsi="Times New Roman" w:cs="Times New Roman"/>
        </w:rPr>
        <w:t>un</w:t>
      </w:r>
      <w:r>
        <w:rPr>
          <w:rFonts w:ascii="Times New Roman" w:hAnsi="Times New Roman" w:cs="Times New Roman"/>
        </w:rPr>
        <w:t>known).</w:t>
      </w:r>
      <w:r w:rsidRPr="008F4D55">
        <w:rPr>
          <w:rFonts w:ascii="Times New Roman" w:hAnsi="Times New Roman" w:cs="Times New Roman"/>
        </w:rPr>
        <w:t xml:space="preserve"> </w:t>
      </w:r>
    </w:p>
    <w:p w14:paraId="64C49839" w14:textId="77777777" w:rsidR="008E055E" w:rsidRPr="008F4D55" w:rsidRDefault="008E055E" w:rsidP="005C55FB">
      <w:pPr>
        <w:spacing w:line="480" w:lineRule="auto"/>
        <w:rPr>
          <w:rFonts w:ascii="Times New Roman" w:hAnsi="Times New Roman" w:cs="Times New Roman"/>
        </w:rPr>
      </w:pPr>
    </w:p>
    <w:p w14:paraId="078E6566" w14:textId="23E8AA86" w:rsidR="008E055E" w:rsidRPr="00F87669" w:rsidRDefault="008E055E" w:rsidP="005C55FB">
      <w:pPr>
        <w:spacing w:line="480" w:lineRule="auto"/>
        <w:rPr>
          <w:rFonts w:ascii="Times New Roman" w:hAnsi="Times New Roman" w:cs="Times New Roman"/>
          <w:b/>
          <w:i/>
          <w:u w:val="single"/>
        </w:rPr>
      </w:pPr>
      <w:r w:rsidRPr="00F87669">
        <w:rPr>
          <w:rFonts w:ascii="Times New Roman" w:hAnsi="Times New Roman" w:cs="Times New Roman"/>
          <w:b/>
          <w:i/>
          <w:u w:val="single"/>
        </w:rPr>
        <w:t xml:space="preserve">Table </w:t>
      </w:r>
      <w:r w:rsidR="007E2457">
        <w:rPr>
          <w:rFonts w:ascii="Times New Roman" w:hAnsi="Times New Roman" w:cs="Times New Roman"/>
          <w:b/>
          <w:i/>
          <w:u w:val="single"/>
        </w:rPr>
        <w:t>8</w:t>
      </w:r>
      <w:r w:rsidRPr="00F87669">
        <w:rPr>
          <w:rFonts w:ascii="Times New Roman" w:hAnsi="Times New Roman" w:cs="Times New Roman"/>
          <w:b/>
          <w:i/>
          <w:u w:val="single"/>
        </w:rPr>
        <w:t xml:space="preserve"> here</w:t>
      </w:r>
    </w:p>
    <w:p w14:paraId="096BEFFD" w14:textId="77777777" w:rsidR="00081351" w:rsidRDefault="00081351" w:rsidP="006C67FF">
      <w:pPr>
        <w:rPr>
          <w:rFonts w:ascii="Times New Roman" w:eastAsia="Times New Roman" w:hAnsi="Times New Roman" w:cs="Times New Roman"/>
          <w:lang w:val="en-GB"/>
        </w:rPr>
      </w:pPr>
    </w:p>
    <w:p w14:paraId="0CE26500" w14:textId="77777777" w:rsidR="00081351" w:rsidRDefault="00081351" w:rsidP="006C67FF">
      <w:pPr>
        <w:rPr>
          <w:rFonts w:ascii="Times New Roman" w:eastAsia="Times New Roman" w:hAnsi="Times New Roman" w:cs="Times New Roman"/>
          <w:lang w:val="en-GB"/>
        </w:rPr>
      </w:pPr>
    </w:p>
    <w:p w14:paraId="64496B4B" w14:textId="77777777" w:rsidR="00081351" w:rsidRDefault="00081351" w:rsidP="006C67FF">
      <w:pPr>
        <w:rPr>
          <w:rFonts w:ascii="Times New Roman" w:eastAsia="Times New Roman" w:hAnsi="Times New Roman" w:cs="Times New Roman"/>
          <w:lang w:val="en-GB"/>
        </w:rPr>
      </w:pPr>
    </w:p>
    <w:p w14:paraId="0368CABB" w14:textId="4D8EAF41" w:rsidR="008E055E" w:rsidRDefault="006C67FF" w:rsidP="006C67FF">
      <w:pPr>
        <w:rPr>
          <w:rFonts w:ascii="Times New Roman" w:eastAsia="Times New Roman" w:hAnsi="Times New Roman" w:cs="Times New Roman"/>
          <w:b/>
          <w:lang w:val="en-GB"/>
        </w:rPr>
      </w:pPr>
      <w:r>
        <w:rPr>
          <w:rFonts w:ascii="Times New Roman" w:eastAsia="Times New Roman" w:hAnsi="Times New Roman" w:cs="Times New Roman"/>
          <w:lang w:val="en-GB"/>
        </w:rPr>
        <w:br/>
      </w:r>
      <w:r w:rsidR="008E055E">
        <w:rPr>
          <w:rFonts w:ascii="Times New Roman" w:eastAsia="Times New Roman" w:hAnsi="Times New Roman" w:cs="Times New Roman"/>
          <w:b/>
          <w:lang w:val="en-GB"/>
        </w:rPr>
        <w:t xml:space="preserve">5. </w:t>
      </w:r>
      <w:r w:rsidR="008E055E" w:rsidRPr="00ED011D">
        <w:rPr>
          <w:rFonts w:ascii="Times New Roman" w:eastAsia="Times New Roman" w:hAnsi="Times New Roman" w:cs="Times New Roman"/>
          <w:b/>
          <w:lang w:val="en-GB"/>
        </w:rPr>
        <w:t>Discussion</w:t>
      </w:r>
    </w:p>
    <w:p w14:paraId="66362CA4" w14:textId="77777777" w:rsidR="008E055E" w:rsidRDefault="008E055E" w:rsidP="005C55FB">
      <w:pPr>
        <w:spacing w:line="480" w:lineRule="auto"/>
        <w:rPr>
          <w:rFonts w:ascii="Times New Roman" w:eastAsia="Times New Roman" w:hAnsi="Times New Roman" w:cs="Times New Roman"/>
          <w:u w:val="single"/>
          <w:lang w:val="en-GB"/>
        </w:rPr>
      </w:pPr>
    </w:p>
    <w:p w14:paraId="475B7F12" w14:textId="431AF427" w:rsidR="008E055E" w:rsidRPr="003771D3" w:rsidRDefault="008E055E" w:rsidP="005C55FB">
      <w:pPr>
        <w:spacing w:line="480" w:lineRule="auto"/>
        <w:rPr>
          <w:rFonts w:ascii="Times New Roman" w:eastAsia="Times New Roman" w:hAnsi="Times New Roman" w:cs="Times New Roman"/>
          <w:lang w:val="en-GB"/>
        </w:rPr>
      </w:pPr>
      <w:r w:rsidRPr="00B97C23">
        <w:rPr>
          <w:rFonts w:ascii="Times New Roman" w:eastAsia="Times New Roman" w:hAnsi="Times New Roman" w:cs="Times New Roman"/>
          <w:lang w:val="en-GB"/>
        </w:rPr>
        <w:t xml:space="preserve">The </w:t>
      </w:r>
      <w:r>
        <w:rPr>
          <w:rFonts w:ascii="Times New Roman" w:eastAsia="Times New Roman" w:hAnsi="Times New Roman" w:cs="Times New Roman"/>
          <w:lang w:val="en-GB"/>
        </w:rPr>
        <w:t xml:space="preserve">recent </w:t>
      </w:r>
      <w:r w:rsidRPr="00B97C23">
        <w:rPr>
          <w:rFonts w:ascii="Times New Roman" w:eastAsia="Times New Roman" w:hAnsi="Times New Roman" w:cs="Times New Roman"/>
          <w:lang w:val="en-GB"/>
        </w:rPr>
        <w:t xml:space="preserve">RCS </w:t>
      </w:r>
      <w:r>
        <w:rPr>
          <w:rFonts w:ascii="Times New Roman" w:eastAsia="Times New Roman" w:hAnsi="Times New Roman" w:cs="Times New Roman"/>
          <w:lang w:val="en-GB"/>
        </w:rPr>
        <w:t xml:space="preserve">(2016) </w:t>
      </w:r>
      <w:r w:rsidRPr="00B97C23">
        <w:rPr>
          <w:rFonts w:ascii="Times New Roman" w:eastAsia="Times New Roman" w:hAnsi="Times New Roman" w:cs="Times New Roman"/>
          <w:lang w:val="en-GB"/>
        </w:rPr>
        <w:t xml:space="preserve">guidance </w:t>
      </w:r>
      <w:r>
        <w:rPr>
          <w:rFonts w:ascii="Times New Roman" w:eastAsia="Times New Roman" w:hAnsi="Times New Roman" w:cs="Times New Roman"/>
          <w:lang w:val="en-GB"/>
        </w:rPr>
        <w:t xml:space="preserve">on consent </w:t>
      </w:r>
      <w:r w:rsidRPr="00B97C23">
        <w:rPr>
          <w:rFonts w:ascii="Times New Roman" w:eastAsia="Times New Roman" w:hAnsi="Times New Roman" w:cs="Times New Roman"/>
          <w:lang w:val="en-GB"/>
        </w:rPr>
        <w:t xml:space="preserve">proposes, in effect, that health professionals should </w:t>
      </w:r>
      <w:r>
        <w:rPr>
          <w:rFonts w:ascii="Times New Roman" w:eastAsia="Times New Roman" w:hAnsi="Times New Roman" w:cs="Times New Roman"/>
          <w:lang w:val="en-GB"/>
        </w:rPr>
        <w:t>(largely) a</w:t>
      </w:r>
      <w:r w:rsidRPr="00B97C23">
        <w:rPr>
          <w:rFonts w:ascii="Times New Roman" w:eastAsia="Times New Roman" w:hAnsi="Times New Roman" w:cs="Times New Roman"/>
          <w:lang w:val="en-GB"/>
        </w:rPr>
        <w:t xml:space="preserve">bandon recommending </w:t>
      </w:r>
      <w:r w:rsidR="00FD087E">
        <w:rPr>
          <w:rFonts w:ascii="Times New Roman" w:eastAsia="Times New Roman" w:hAnsi="Times New Roman" w:cs="Times New Roman"/>
          <w:lang w:val="en-GB"/>
        </w:rPr>
        <w:t>in favour of</w:t>
      </w:r>
      <w:r w:rsidRPr="00B97C23">
        <w:rPr>
          <w:rFonts w:ascii="Times New Roman" w:eastAsia="Times New Roman" w:hAnsi="Times New Roman" w:cs="Times New Roman"/>
          <w:lang w:val="en-GB"/>
        </w:rPr>
        <w:t xml:space="preserve"> option-listing together with a PVE to invite the pa</w:t>
      </w:r>
      <w:r>
        <w:rPr>
          <w:rFonts w:ascii="Times New Roman" w:eastAsia="Times New Roman" w:hAnsi="Times New Roman" w:cs="Times New Roman"/>
          <w:lang w:val="en-GB"/>
        </w:rPr>
        <w:t>tient’s selection from the list.  Our findings show that, despite long-standing guidance that patients should be enabled to make an “informed choice” (</w:t>
      </w:r>
      <w:r w:rsidR="0092540F" w:rsidRPr="0092540F">
        <w:rPr>
          <w:rFonts w:ascii="Times New Roman" w:eastAsia="Times New Roman" w:hAnsi="Times New Roman" w:cs="Times New Roman"/>
          <w:lang w:val="en-GB"/>
        </w:rPr>
        <w:t>D</w:t>
      </w:r>
      <w:r w:rsidR="00081351">
        <w:rPr>
          <w:rFonts w:ascii="Times New Roman" w:eastAsia="Times New Roman" w:hAnsi="Times New Roman" w:cs="Times New Roman"/>
          <w:lang w:val="en-GB"/>
        </w:rPr>
        <w:t xml:space="preserve">epartment of </w:t>
      </w:r>
      <w:r w:rsidR="0092540F" w:rsidRPr="0092540F">
        <w:rPr>
          <w:rFonts w:ascii="Times New Roman" w:eastAsia="Times New Roman" w:hAnsi="Times New Roman" w:cs="Times New Roman"/>
          <w:lang w:val="en-GB"/>
        </w:rPr>
        <w:t>H</w:t>
      </w:r>
      <w:r w:rsidR="00081351">
        <w:rPr>
          <w:rFonts w:ascii="Times New Roman" w:eastAsia="Times New Roman" w:hAnsi="Times New Roman" w:cs="Times New Roman"/>
          <w:lang w:val="en-GB"/>
        </w:rPr>
        <w:t>ealth</w:t>
      </w:r>
      <w:r w:rsidR="0092540F" w:rsidRPr="0092540F">
        <w:rPr>
          <w:rFonts w:ascii="Times New Roman" w:eastAsia="Times New Roman" w:hAnsi="Times New Roman" w:cs="Times New Roman"/>
          <w:lang w:val="en-GB"/>
        </w:rPr>
        <w:t>, 2005</w:t>
      </w:r>
      <w:r w:rsidRPr="00BA18F0">
        <w:rPr>
          <w:rFonts w:ascii="Times New Roman" w:eastAsia="Times New Roman" w:hAnsi="Times New Roman" w:cs="Times New Roman"/>
          <w:i/>
          <w:lang w:val="en-GB"/>
        </w:rPr>
        <w:t>,</w:t>
      </w:r>
      <w:r>
        <w:rPr>
          <w:rFonts w:ascii="Times New Roman" w:eastAsia="Times New Roman" w:hAnsi="Times New Roman" w:cs="Times New Roman"/>
          <w:lang w:val="en-GB"/>
        </w:rPr>
        <w:t xml:space="preserve"> p. 27), recommending remains the primary means through which </w:t>
      </w:r>
      <w:r w:rsidR="00C46BC8">
        <w:rPr>
          <w:rFonts w:ascii="Times New Roman" w:eastAsia="Times New Roman" w:hAnsi="Times New Roman" w:cs="Times New Roman"/>
          <w:lang w:val="en-GB"/>
        </w:rPr>
        <w:t>neurologists</w:t>
      </w:r>
      <w:r>
        <w:rPr>
          <w:rFonts w:ascii="Times New Roman" w:eastAsia="Times New Roman" w:hAnsi="Times New Roman" w:cs="Times New Roman"/>
          <w:lang w:val="en-GB"/>
        </w:rPr>
        <w:t xml:space="preserve"> initiate decision-making.  Moreover, option-listing was rare: there were around 13 recommendations for every option-list.  On our measures, patients were offered choice in only about half the recorded consultations.  Current practice in neurology thus appears to map more closely onto the ‘old’ approach articulated by the RCS – where clinician</w:t>
      </w:r>
      <w:r w:rsidR="002E5B18">
        <w:rPr>
          <w:rFonts w:ascii="Times New Roman" w:eastAsia="Times New Roman" w:hAnsi="Times New Roman" w:cs="Times New Roman"/>
          <w:lang w:val="en-GB"/>
        </w:rPr>
        <w:t>s</w:t>
      </w:r>
      <w:r>
        <w:rPr>
          <w:rFonts w:ascii="Times New Roman" w:eastAsia="Times New Roman" w:hAnsi="Times New Roman" w:cs="Times New Roman"/>
          <w:lang w:val="en-GB"/>
        </w:rPr>
        <w:t xml:space="preserve"> explain the procedure and seek consent –</w:t>
      </w:r>
      <w:r w:rsidR="00081351">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than the </w:t>
      </w:r>
      <w:r w:rsidR="004D3BA0">
        <w:rPr>
          <w:rFonts w:ascii="Times New Roman" w:eastAsia="Times New Roman" w:hAnsi="Times New Roman" w:cs="Times New Roman"/>
          <w:lang w:val="en-GB"/>
        </w:rPr>
        <w:t>practice</w:t>
      </w:r>
      <w:r>
        <w:rPr>
          <w:rFonts w:ascii="Times New Roman" w:eastAsia="Times New Roman" w:hAnsi="Times New Roman" w:cs="Times New Roman"/>
          <w:lang w:val="en-GB"/>
        </w:rPr>
        <w:t xml:space="preserve"> advocated: where clinician</w:t>
      </w:r>
      <w:r w:rsidR="002E5B18">
        <w:rPr>
          <w:rFonts w:ascii="Times New Roman" w:eastAsia="Times New Roman" w:hAnsi="Times New Roman" w:cs="Times New Roman"/>
          <w:lang w:val="en-GB"/>
        </w:rPr>
        <w:t>s</w:t>
      </w:r>
      <w:r>
        <w:rPr>
          <w:rFonts w:ascii="Times New Roman" w:eastAsia="Times New Roman" w:hAnsi="Times New Roman" w:cs="Times New Roman"/>
          <w:lang w:val="en-GB"/>
        </w:rPr>
        <w:t xml:space="preserve"> set out the options and let patient</w:t>
      </w:r>
      <w:r w:rsidR="002E5B18">
        <w:rPr>
          <w:rFonts w:ascii="Times New Roman" w:eastAsia="Times New Roman" w:hAnsi="Times New Roman" w:cs="Times New Roman"/>
          <w:lang w:val="en-GB"/>
        </w:rPr>
        <w:t>s</w:t>
      </w:r>
      <w:r>
        <w:rPr>
          <w:rFonts w:ascii="Times New Roman" w:eastAsia="Times New Roman" w:hAnsi="Times New Roman" w:cs="Times New Roman"/>
          <w:lang w:val="en-GB"/>
        </w:rPr>
        <w:t xml:space="preserve"> decide.  This coheres with a range of findings regarding the inconsistency of participatory decision-making more broadly (e.g. </w:t>
      </w:r>
      <w:r>
        <w:rPr>
          <w:rFonts w:ascii="Times New Roman" w:eastAsia="Times New Roman" w:hAnsi="Times New Roman" w:cs="Times New Roman"/>
          <w:noProof/>
          <w:lang w:val="en-GB"/>
        </w:rPr>
        <w:t xml:space="preserve">Couët et al., 2015; </w:t>
      </w:r>
      <w:r>
        <w:rPr>
          <w:rFonts w:ascii="Times New Roman" w:eastAsia="Times New Roman" w:hAnsi="Times New Roman" w:cs="Times New Roman"/>
          <w:noProof/>
          <w:lang w:val="en-GB"/>
        </w:rPr>
        <w:lastRenderedPageBreak/>
        <w:t>Elwyn et al., 2013; Jones et al., 2014)</w:t>
      </w:r>
      <w:r>
        <w:rPr>
          <w:rFonts w:ascii="Times New Roman" w:eastAsia="Times New Roman" w:hAnsi="Times New Roman" w:cs="Times New Roman"/>
          <w:lang w:val="en-GB"/>
        </w:rPr>
        <w:t xml:space="preserve">, and in neurology specifically (e.g. </w:t>
      </w:r>
      <w:r>
        <w:rPr>
          <w:rFonts w:ascii="Times New Roman" w:eastAsia="Times New Roman" w:hAnsi="Times New Roman" w:cs="Times New Roman"/>
          <w:noProof/>
          <w:lang w:val="en-GB"/>
        </w:rPr>
        <w:t>McCorry</w:t>
      </w:r>
      <w:r w:rsidR="00081351">
        <w:rPr>
          <w:rFonts w:ascii="Times New Roman" w:eastAsia="Times New Roman" w:hAnsi="Times New Roman" w:cs="Times New Roman"/>
          <w:noProof/>
          <w:lang w:val="en-GB"/>
        </w:rPr>
        <w:t xml:space="preserve"> et al.</w:t>
      </w:r>
      <w:r>
        <w:rPr>
          <w:rFonts w:ascii="Times New Roman" w:eastAsia="Times New Roman" w:hAnsi="Times New Roman" w:cs="Times New Roman"/>
          <w:noProof/>
          <w:lang w:val="en-GB"/>
        </w:rPr>
        <w:t>, 2009; Palace, 2013; Pietrolongo et al., 2013)</w:t>
      </w:r>
      <w:r>
        <w:rPr>
          <w:rFonts w:ascii="Times New Roman" w:eastAsia="Times New Roman" w:hAnsi="Times New Roman" w:cs="Times New Roman"/>
          <w:lang w:val="en-GB"/>
        </w:rPr>
        <w:t>.</w:t>
      </w:r>
    </w:p>
    <w:p w14:paraId="1C26BA2C" w14:textId="77777777" w:rsidR="008E055E" w:rsidRDefault="008E055E" w:rsidP="005C55FB">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       </w:t>
      </w:r>
    </w:p>
    <w:p w14:paraId="14C0DB4A" w14:textId="6D71F8F4" w:rsidR="008E055E" w:rsidRDefault="008E055E" w:rsidP="005C55FB">
      <w:p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lang w:val="en-GB"/>
        </w:rPr>
        <w:t xml:space="preserve">We explored whether our findings might be explained </w:t>
      </w:r>
      <w:r w:rsidR="00C46BC8">
        <w:rPr>
          <w:rFonts w:ascii="Times New Roman" w:eastAsia="Times New Roman" w:hAnsi="Times New Roman" w:cs="Times New Roman"/>
          <w:lang w:val="en-GB"/>
        </w:rPr>
        <w:t>by</w:t>
      </w:r>
      <w:r>
        <w:rPr>
          <w:rFonts w:ascii="Times New Roman" w:eastAsia="Times New Roman" w:hAnsi="Times New Roman" w:cs="Times New Roman"/>
          <w:lang w:val="en-GB"/>
        </w:rPr>
        <w:t xml:space="preserve"> clinician </w:t>
      </w:r>
      <w:r w:rsidR="008D7765">
        <w:rPr>
          <w:rFonts w:ascii="Times New Roman" w:eastAsia="Times New Roman" w:hAnsi="Times New Roman" w:cs="Times New Roman"/>
          <w:lang w:val="en-GB"/>
        </w:rPr>
        <w:t>‘</w:t>
      </w:r>
      <w:r>
        <w:rPr>
          <w:rFonts w:ascii="Times New Roman" w:eastAsia="Times New Roman" w:hAnsi="Times New Roman" w:cs="Times New Roman"/>
          <w:lang w:val="en-GB"/>
        </w:rPr>
        <w:t>bias</w:t>
      </w:r>
      <w:r w:rsidR="008D7765">
        <w:rPr>
          <w:rFonts w:ascii="Times New Roman" w:eastAsia="Times New Roman" w:hAnsi="Times New Roman" w:cs="Times New Roman"/>
          <w:lang w:val="en-GB"/>
        </w:rPr>
        <w:t xml:space="preserve">’ </w:t>
      </w:r>
      <w:r w:rsidR="00261CDF">
        <w:rPr>
          <w:rFonts w:ascii="Times New Roman" w:eastAsia="Times New Roman" w:hAnsi="Times New Roman" w:cs="Times New Roman"/>
          <w:lang w:val="en-GB"/>
        </w:rPr>
        <w:t>regarding</w:t>
      </w:r>
      <w:r w:rsidR="008D7765">
        <w:rPr>
          <w:rFonts w:ascii="Times New Roman" w:eastAsia="Times New Roman" w:hAnsi="Times New Roman" w:cs="Times New Roman"/>
          <w:lang w:val="en-GB"/>
        </w:rPr>
        <w:t xml:space="preserve"> patients’ sociodemographic status</w:t>
      </w:r>
      <w:r w:rsidR="00081351">
        <w:rPr>
          <w:rFonts w:ascii="Times New Roman" w:eastAsia="Times New Roman" w:hAnsi="Times New Roman" w:cs="Times New Roman"/>
          <w:lang w:val="en-GB"/>
        </w:rPr>
        <w:t xml:space="preserve"> </w:t>
      </w:r>
      <w:r>
        <w:rPr>
          <w:rFonts w:ascii="Times New Roman" w:eastAsia="Times New Roman" w:hAnsi="Times New Roman" w:cs="Times New Roman"/>
          <w:color w:val="000000" w:themeColor="text1"/>
          <w:lang w:val="en-GB"/>
        </w:rPr>
        <w:t>(cf</w:t>
      </w:r>
      <w:r w:rsidR="002C5F53">
        <w:rPr>
          <w:rFonts w:ascii="Times New Roman" w:eastAsia="Times New Roman" w:hAnsi="Times New Roman" w:cs="Times New Roman"/>
          <w:color w:val="000000" w:themeColor="text1"/>
          <w:lang w:val="en-GB"/>
        </w:rPr>
        <w:t>.</w:t>
      </w:r>
      <w:r>
        <w:rPr>
          <w:rFonts w:ascii="Times New Roman" w:eastAsia="Times New Roman" w:hAnsi="Times New Roman" w:cs="Times New Roman"/>
          <w:color w:val="000000" w:themeColor="text1"/>
          <w:lang w:val="en-GB"/>
        </w:rPr>
        <w:t xml:space="preserve"> </w:t>
      </w:r>
      <w:r>
        <w:rPr>
          <w:rFonts w:ascii="Times New Roman" w:eastAsia="Times New Roman" w:hAnsi="Times New Roman" w:cs="Times New Roman"/>
          <w:noProof/>
          <w:color w:val="000000" w:themeColor="text1"/>
          <w:lang w:val="en-GB"/>
        </w:rPr>
        <w:t>Aelbrecht et al.,</w:t>
      </w:r>
      <w:r w:rsidR="002C5F53">
        <w:rPr>
          <w:rFonts w:ascii="Times New Roman" w:eastAsia="Times New Roman" w:hAnsi="Times New Roman" w:cs="Times New Roman"/>
          <w:noProof/>
          <w:color w:val="000000" w:themeColor="text1"/>
          <w:lang w:val="en-GB"/>
        </w:rPr>
        <w:t xml:space="preserve"> 2015; Waitzkin, 1989; Willems et al.</w:t>
      </w:r>
      <w:r>
        <w:rPr>
          <w:rFonts w:ascii="Times New Roman" w:eastAsia="Times New Roman" w:hAnsi="Times New Roman" w:cs="Times New Roman"/>
          <w:noProof/>
          <w:color w:val="000000" w:themeColor="text1"/>
          <w:lang w:val="en-GB"/>
        </w:rPr>
        <w:t>, 2005)</w:t>
      </w:r>
      <w:r>
        <w:rPr>
          <w:rFonts w:ascii="Times New Roman" w:eastAsia="Times New Roman" w:hAnsi="Times New Roman" w:cs="Times New Roman"/>
          <w:color w:val="000000" w:themeColor="text1"/>
          <w:lang w:val="en-GB"/>
        </w:rPr>
        <w:t xml:space="preserve">.  </w:t>
      </w:r>
      <w:r>
        <w:rPr>
          <w:rFonts w:ascii="Times New Roman" w:eastAsia="Times New Roman" w:hAnsi="Times New Roman" w:cs="Times New Roman"/>
          <w:lang w:val="en-GB"/>
        </w:rPr>
        <w:t xml:space="preserve">However, </w:t>
      </w:r>
      <w:r w:rsidR="00261CDF">
        <w:rPr>
          <w:rFonts w:ascii="Times New Roman" w:eastAsia="Times New Roman" w:hAnsi="Times New Roman" w:cs="Times New Roman"/>
          <w:lang w:val="en-GB"/>
        </w:rPr>
        <w:t>apart from</w:t>
      </w:r>
      <w:r>
        <w:rPr>
          <w:rFonts w:ascii="Times New Roman" w:eastAsia="Times New Roman" w:hAnsi="Times New Roman" w:cs="Times New Roman"/>
          <w:lang w:val="en-GB"/>
        </w:rPr>
        <w:t xml:space="preserve"> </w:t>
      </w:r>
      <w:r>
        <w:rPr>
          <w:rFonts w:ascii="Times New Roman" w:eastAsia="Times New Roman" w:hAnsi="Times New Roman" w:cs="Times New Roman"/>
          <w:color w:val="000000" w:themeColor="text1"/>
          <w:lang w:val="en-GB"/>
        </w:rPr>
        <w:t xml:space="preserve">younger patients being more likely to be </w:t>
      </w:r>
      <w:r w:rsidR="002E5B18">
        <w:rPr>
          <w:rFonts w:ascii="Times New Roman" w:eastAsia="Times New Roman" w:hAnsi="Times New Roman" w:cs="Times New Roman"/>
          <w:color w:val="000000" w:themeColor="text1"/>
          <w:lang w:val="en-GB"/>
        </w:rPr>
        <w:t>offered</w:t>
      </w:r>
      <w:r>
        <w:rPr>
          <w:rFonts w:ascii="Times New Roman" w:eastAsia="Times New Roman" w:hAnsi="Times New Roman" w:cs="Times New Roman"/>
          <w:color w:val="000000" w:themeColor="text1"/>
          <w:lang w:val="en-GB"/>
        </w:rPr>
        <w:t xml:space="preserve"> </w:t>
      </w:r>
      <w:r w:rsidR="00C46BC8">
        <w:rPr>
          <w:rFonts w:ascii="Times New Roman" w:eastAsia="Times New Roman" w:hAnsi="Times New Roman" w:cs="Times New Roman"/>
          <w:color w:val="000000" w:themeColor="text1"/>
          <w:lang w:val="en-GB"/>
        </w:rPr>
        <w:t>‘</w:t>
      </w:r>
      <w:r w:rsidR="007E2457">
        <w:rPr>
          <w:rFonts w:ascii="Times New Roman" w:eastAsia="Times New Roman" w:hAnsi="Times New Roman" w:cs="Times New Roman"/>
          <w:color w:val="000000" w:themeColor="text1"/>
          <w:lang w:val="en-GB"/>
        </w:rPr>
        <w:t>choice</w:t>
      </w:r>
      <w:r w:rsidR="00C46BC8">
        <w:rPr>
          <w:rFonts w:ascii="Times New Roman" w:eastAsia="Times New Roman" w:hAnsi="Times New Roman" w:cs="Times New Roman"/>
          <w:color w:val="000000" w:themeColor="text1"/>
          <w:lang w:val="en-GB"/>
        </w:rPr>
        <w:t>’</w:t>
      </w:r>
      <w:r>
        <w:rPr>
          <w:rFonts w:ascii="Times New Roman" w:eastAsia="Times New Roman" w:hAnsi="Times New Roman" w:cs="Times New Roman"/>
          <w:color w:val="000000" w:themeColor="text1"/>
          <w:lang w:val="en-GB"/>
        </w:rPr>
        <w:t xml:space="preserve"> – which might reflect an assumption that young adults prefer choice and elderly people prefer to be told what is best (e.g. </w:t>
      </w:r>
      <w:r>
        <w:rPr>
          <w:rFonts w:ascii="Times New Roman" w:eastAsia="Times New Roman" w:hAnsi="Times New Roman" w:cs="Times New Roman"/>
          <w:noProof/>
          <w:color w:val="000000" w:themeColor="text1"/>
          <w:lang w:val="en-GB"/>
        </w:rPr>
        <w:t xml:space="preserve">Levinson </w:t>
      </w:r>
      <w:r w:rsidR="002C5F53">
        <w:rPr>
          <w:rFonts w:ascii="Times New Roman" w:eastAsia="Times New Roman" w:hAnsi="Times New Roman" w:cs="Times New Roman"/>
          <w:noProof/>
          <w:color w:val="000000" w:themeColor="text1"/>
          <w:lang w:val="en-GB"/>
        </w:rPr>
        <w:t>et al.</w:t>
      </w:r>
      <w:r>
        <w:rPr>
          <w:rFonts w:ascii="Times New Roman" w:eastAsia="Times New Roman" w:hAnsi="Times New Roman" w:cs="Times New Roman"/>
          <w:noProof/>
          <w:color w:val="000000" w:themeColor="text1"/>
          <w:lang w:val="en-GB"/>
        </w:rPr>
        <w:t>, 2005)</w:t>
      </w:r>
      <w:r>
        <w:rPr>
          <w:rFonts w:ascii="Times New Roman" w:eastAsia="Times New Roman" w:hAnsi="Times New Roman" w:cs="Times New Roman"/>
          <w:color w:val="000000" w:themeColor="text1"/>
          <w:lang w:val="en-GB"/>
        </w:rPr>
        <w:t xml:space="preserve"> – we found no significant relationships between </w:t>
      </w:r>
      <w:r w:rsidR="00C46BC8">
        <w:rPr>
          <w:rFonts w:ascii="Times New Roman" w:eastAsia="Times New Roman" w:hAnsi="Times New Roman" w:cs="Times New Roman"/>
          <w:color w:val="000000" w:themeColor="text1"/>
          <w:lang w:val="en-GB"/>
        </w:rPr>
        <w:t>the</w:t>
      </w:r>
      <w:r>
        <w:rPr>
          <w:rFonts w:ascii="Times New Roman" w:eastAsia="Times New Roman" w:hAnsi="Times New Roman" w:cs="Times New Roman"/>
          <w:color w:val="000000" w:themeColor="text1"/>
          <w:lang w:val="en-GB"/>
        </w:rPr>
        <w:t xml:space="preserve"> practices and patient demographics. </w:t>
      </w:r>
      <w:r w:rsidR="002E5B18">
        <w:rPr>
          <w:rFonts w:ascii="Times New Roman" w:eastAsia="Times New Roman" w:hAnsi="Times New Roman" w:cs="Times New Roman"/>
          <w:color w:val="000000" w:themeColor="text1"/>
          <w:lang w:val="en-GB"/>
        </w:rPr>
        <w:t xml:space="preserve"> </w:t>
      </w:r>
      <w:r>
        <w:rPr>
          <w:rFonts w:ascii="Times New Roman" w:eastAsia="Times New Roman" w:hAnsi="Times New Roman" w:cs="Times New Roman"/>
          <w:color w:val="000000" w:themeColor="text1"/>
          <w:lang w:val="en-GB"/>
        </w:rPr>
        <w:t xml:space="preserve">Rather, three factors seem to be most relevant: </w:t>
      </w:r>
    </w:p>
    <w:p w14:paraId="45A96D4A" w14:textId="77777777" w:rsidR="008E055E" w:rsidRDefault="008E055E" w:rsidP="008E055E">
      <w:pPr>
        <w:pStyle w:val="ListParagraph"/>
        <w:numPr>
          <w:ilvl w:val="0"/>
          <w:numId w:val="17"/>
        </w:numPr>
        <w:spacing w:line="480" w:lineRule="auto"/>
        <w:rPr>
          <w:rFonts w:ascii="Times New Roman" w:eastAsia="Times New Roman" w:hAnsi="Times New Roman" w:cs="Times New Roman"/>
          <w:color w:val="000000" w:themeColor="text1"/>
          <w:lang w:val="en-GB"/>
        </w:rPr>
      </w:pPr>
      <w:r w:rsidRPr="000C1D42">
        <w:rPr>
          <w:rFonts w:ascii="Times New Roman" w:eastAsia="Times New Roman" w:hAnsi="Times New Roman" w:cs="Times New Roman"/>
          <w:color w:val="000000" w:themeColor="text1"/>
          <w:lang w:val="en-GB"/>
        </w:rPr>
        <w:t xml:space="preserve">Clinic location </w:t>
      </w:r>
      <w:r>
        <w:rPr>
          <w:rFonts w:ascii="Times New Roman" w:eastAsia="Times New Roman" w:hAnsi="Times New Roman" w:cs="Times New Roman"/>
          <w:color w:val="000000" w:themeColor="text1"/>
          <w:lang w:val="en-GB"/>
        </w:rPr>
        <w:t xml:space="preserve">– option-listing and PVEs were more commonly used in </w:t>
      </w:r>
      <w:r w:rsidRPr="000C1D42">
        <w:rPr>
          <w:rFonts w:ascii="Times New Roman" w:eastAsia="Times New Roman" w:hAnsi="Times New Roman" w:cs="Times New Roman"/>
          <w:color w:val="000000" w:themeColor="text1"/>
          <w:lang w:val="en-GB"/>
        </w:rPr>
        <w:t>Sheffield</w:t>
      </w:r>
      <w:r>
        <w:rPr>
          <w:rFonts w:ascii="Times New Roman" w:eastAsia="Times New Roman" w:hAnsi="Times New Roman" w:cs="Times New Roman"/>
          <w:color w:val="000000" w:themeColor="text1"/>
          <w:lang w:val="en-GB"/>
        </w:rPr>
        <w:t xml:space="preserve"> than Glasgow;</w:t>
      </w:r>
    </w:p>
    <w:p w14:paraId="0FD28DB2" w14:textId="77777777" w:rsidR="008E055E" w:rsidRPr="000C1D42" w:rsidRDefault="008E055E" w:rsidP="008E055E">
      <w:pPr>
        <w:pStyle w:val="ListParagraph"/>
        <w:numPr>
          <w:ilvl w:val="0"/>
          <w:numId w:val="17"/>
        </w:num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The individual clinician;</w:t>
      </w:r>
    </w:p>
    <w:p w14:paraId="3C49A5E0" w14:textId="5411842D" w:rsidR="00CE7C22" w:rsidRDefault="00CE7C22" w:rsidP="00CE7C22">
      <w:pPr>
        <w:pStyle w:val="ListParagraph"/>
        <w:numPr>
          <w:ilvl w:val="0"/>
          <w:numId w:val="17"/>
        </w:num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C</w:t>
      </w:r>
      <w:r w:rsidRPr="000C1D42">
        <w:rPr>
          <w:rFonts w:ascii="Times New Roman" w:eastAsia="Times New Roman" w:hAnsi="Times New Roman" w:cs="Times New Roman"/>
          <w:color w:val="000000" w:themeColor="text1"/>
          <w:lang w:val="en-GB"/>
        </w:rPr>
        <w:t>linical considerations</w:t>
      </w:r>
      <w:r>
        <w:rPr>
          <w:rFonts w:ascii="Times New Roman" w:eastAsia="Times New Roman" w:hAnsi="Times New Roman" w:cs="Times New Roman"/>
          <w:color w:val="000000" w:themeColor="text1"/>
          <w:lang w:val="en-GB"/>
        </w:rPr>
        <w:t>.</w:t>
      </w:r>
      <w:r w:rsidRPr="000C1D42">
        <w:rPr>
          <w:rFonts w:ascii="Times New Roman" w:eastAsia="Times New Roman" w:hAnsi="Times New Roman" w:cs="Times New Roman"/>
          <w:color w:val="000000" w:themeColor="text1"/>
          <w:lang w:val="en-GB"/>
        </w:rPr>
        <w:t xml:space="preserve"> </w:t>
      </w:r>
      <w:r>
        <w:rPr>
          <w:rFonts w:ascii="Times New Roman" w:eastAsia="Times New Roman" w:hAnsi="Times New Roman" w:cs="Times New Roman"/>
          <w:color w:val="000000" w:themeColor="text1"/>
          <w:lang w:val="en-GB"/>
        </w:rPr>
        <w:t>Option-list</w:t>
      </w:r>
      <w:r w:rsidR="00C46BC8">
        <w:rPr>
          <w:rFonts w:ascii="Times New Roman" w:eastAsia="Times New Roman" w:hAnsi="Times New Roman" w:cs="Times New Roman"/>
          <w:color w:val="000000" w:themeColor="text1"/>
          <w:lang w:val="en-GB"/>
        </w:rPr>
        <w:t>s</w:t>
      </w:r>
      <w:r>
        <w:rPr>
          <w:rFonts w:ascii="Times New Roman" w:eastAsia="Times New Roman" w:hAnsi="Times New Roman" w:cs="Times New Roman"/>
          <w:color w:val="000000" w:themeColor="text1"/>
          <w:lang w:val="en-GB"/>
        </w:rPr>
        <w:t xml:space="preserve"> and PVEs were more commonly used for treatment than investigation decisions and if there was greater</w:t>
      </w:r>
      <w:r w:rsidRPr="000C1D42">
        <w:rPr>
          <w:rFonts w:ascii="Times New Roman" w:eastAsia="Times New Roman" w:hAnsi="Times New Roman" w:cs="Times New Roman"/>
          <w:color w:val="000000" w:themeColor="text1"/>
          <w:lang w:val="en-GB"/>
        </w:rPr>
        <w:t xml:space="preserve"> certainty about the diagnosis</w:t>
      </w:r>
      <w:r>
        <w:rPr>
          <w:rFonts w:ascii="Times New Roman" w:eastAsia="Times New Roman" w:hAnsi="Times New Roman" w:cs="Times New Roman"/>
          <w:color w:val="000000" w:themeColor="text1"/>
          <w:lang w:val="en-GB"/>
        </w:rPr>
        <w:t xml:space="preserve">. Bivariate analyses also indicated PVEs and </w:t>
      </w:r>
      <w:r w:rsidR="002E5B18">
        <w:rPr>
          <w:rFonts w:ascii="Times New Roman" w:eastAsia="Times New Roman" w:hAnsi="Times New Roman" w:cs="Times New Roman"/>
          <w:color w:val="000000" w:themeColor="text1"/>
          <w:lang w:val="en-GB"/>
        </w:rPr>
        <w:t>o</w:t>
      </w:r>
      <w:r>
        <w:rPr>
          <w:rFonts w:ascii="Times New Roman" w:eastAsia="Times New Roman" w:hAnsi="Times New Roman" w:cs="Times New Roman"/>
          <w:color w:val="000000" w:themeColor="text1"/>
          <w:lang w:val="en-GB"/>
        </w:rPr>
        <w:t xml:space="preserve">ption-lists were more likely to be used if </w:t>
      </w:r>
      <w:r w:rsidRPr="000C1D42">
        <w:rPr>
          <w:rFonts w:ascii="Times New Roman" w:eastAsia="Times New Roman" w:hAnsi="Times New Roman" w:cs="Times New Roman"/>
          <w:color w:val="000000" w:themeColor="text1"/>
          <w:lang w:val="en-GB"/>
        </w:rPr>
        <w:t>symptoms were medically explained</w:t>
      </w:r>
      <w:r>
        <w:rPr>
          <w:rFonts w:ascii="Times New Roman" w:eastAsia="Times New Roman" w:hAnsi="Times New Roman" w:cs="Times New Roman"/>
          <w:color w:val="000000" w:themeColor="text1"/>
          <w:lang w:val="en-GB"/>
        </w:rPr>
        <w:t xml:space="preserve">, and in </w:t>
      </w:r>
      <w:r w:rsidRPr="000C1D42">
        <w:rPr>
          <w:rFonts w:ascii="Times New Roman" w:eastAsia="Times New Roman" w:hAnsi="Times New Roman" w:cs="Times New Roman"/>
          <w:color w:val="000000" w:themeColor="text1"/>
          <w:lang w:val="en-GB"/>
        </w:rPr>
        <w:t xml:space="preserve">follow-up </w:t>
      </w:r>
      <w:r>
        <w:rPr>
          <w:rFonts w:ascii="Times New Roman" w:eastAsia="Times New Roman" w:hAnsi="Times New Roman" w:cs="Times New Roman"/>
          <w:color w:val="000000" w:themeColor="text1"/>
          <w:lang w:val="en-GB"/>
        </w:rPr>
        <w:t>appointments.</w:t>
      </w:r>
      <w:r w:rsidRPr="000C1D42">
        <w:rPr>
          <w:rFonts w:ascii="Times New Roman" w:eastAsia="Times New Roman" w:hAnsi="Times New Roman" w:cs="Times New Roman"/>
          <w:color w:val="000000" w:themeColor="text1"/>
          <w:lang w:val="en-GB"/>
        </w:rPr>
        <w:t xml:space="preserve"> </w:t>
      </w:r>
    </w:p>
    <w:p w14:paraId="3BAA3DEB" w14:textId="77777777" w:rsidR="00D17115" w:rsidRPr="000C1D42" w:rsidRDefault="00D17115" w:rsidP="008131BD">
      <w:pPr>
        <w:pStyle w:val="ListParagraph"/>
        <w:spacing w:line="480" w:lineRule="auto"/>
        <w:rPr>
          <w:rFonts w:ascii="Times New Roman" w:eastAsia="Times New Roman" w:hAnsi="Times New Roman" w:cs="Times New Roman"/>
          <w:color w:val="000000" w:themeColor="text1"/>
          <w:lang w:val="en-GB"/>
        </w:rPr>
      </w:pPr>
    </w:p>
    <w:p w14:paraId="234178D3" w14:textId="48688A0C" w:rsidR="003C4E2B" w:rsidRDefault="00832C0B" w:rsidP="003C4E2B">
      <w:p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It is hard to pick apart the relative importance of these factors because we were unable to properly control for the influence of individual clinicians in our multivariate analyses</w:t>
      </w:r>
      <w:r w:rsidR="008131BD">
        <w:rPr>
          <w:rFonts w:ascii="Times New Roman" w:eastAsia="Times New Roman" w:hAnsi="Times New Roman" w:cs="Times New Roman"/>
          <w:color w:val="000000" w:themeColor="text1"/>
          <w:lang w:val="en-GB"/>
        </w:rPr>
        <w:t>.  However,</w:t>
      </w:r>
      <w:r>
        <w:rPr>
          <w:rFonts w:ascii="Times New Roman" w:eastAsia="Times New Roman" w:hAnsi="Times New Roman" w:cs="Times New Roman"/>
          <w:color w:val="000000" w:themeColor="text1"/>
          <w:lang w:val="en-GB"/>
        </w:rPr>
        <w:t xml:space="preserve"> </w:t>
      </w:r>
      <w:r w:rsidR="003C4E2B">
        <w:rPr>
          <w:rFonts w:ascii="Times New Roman" w:eastAsia="Times New Roman" w:hAnsi="Times New Roman" w:cs="Times New Roman"/>
          <w:color w:val="000000" w:themeColor="text1"/>
          <w:lang w:val="en-GB"/>
        </w:rPr>
        <w:t xml:space="preserve">the most convincing reading of our descriptive analyses is that the first </w:t>
      </w:r>
      <w:r w:rsidR="003C4E2B">
        <w:rPr>
          <w:rFonts w:ascii="Times New Roman" w:eastAsia="Times New Roman" w:hAnsi="Times New Roman" w:cs="Times New Roman"/>
          <w:color w:val="000000" w:themeColor="text1"/>
        </w:rPr>
        <w:t xml:space="preserve">factor </w:t>
      </w:r>
      <w:r w:rsidR="0092540F">
        <w:rPr>
          <w:rFonts w:ascii="Times New Roman" w:eastAsia="Times New Roman" w:hAnsi="Times New Roman" w:cs="Times New Roman"/>
          <w:color w:val="000000" w:themeColor="text1"/>
        </w:rPr>
        <w:t>–</w:t>
      </w:r>
      <w:r w:rsidR="003C4E2B">
        <w:rPr>
          <w:rFonts w:ascii="Times New Roman" w:eastAsia="Times New Roman" w:hAnsi="Times New Roman" w:cs="Times New Roman"/>
          <w:color w:val="000000" w:themeColor="text1"/>
        </w:rPr>
        <w:t xml:space="preserve"> geographical differences – may not represent ‘cultural’ differences between Glasgow and Sheffield.  Rather, the importance of geography is likely</w:t>
      </w:r>
      <w:r w:rsidR="003C4E2B" w:rsidRPr="000C1D42">
        <w:rPr>
          <w:rFonts w:ascii="Times New Roman" w:eastAsia="Times New Roman" w:hAnsi="Times New Roman" w:cs="Times New Roman"/>
          <w:color w:val="000000" w:themeColor="text1"/>
        </w:rPr>
        <w:t xml:space="preserve"> </w:t>
      </w:r>
      <w:r w:rsidR="003C4E2B" w:rsidRPr="000C1D42">
        <w:rPr>
          <w:rFonts w:ascii="Times New Roman" w:eastAsia="Times New Roman" w:hAnsi="Times New Roman" w:cs="Times New Roman"/>
          <w:color w:val="000000" w:themeColor="text1"/>
        </w:rPr>
        <w:lastRenderedPageBreak/>
        <w:t xml:space="preserve">explained by </w:t>
      </w:r>
      <w:r w:rsidR="003C4E2B">
        <w:rPr>
          <w:rFonts w:ascii="Times New Roman" w:eastAsia="Times New Roman" w:hAnsi="Times New Roman" w:cs="Times New Roman"/>
          <w:color w:val="000000" w:themeColor="text1"/>
        </w:rPr>
        <w:t>the idiosyncrasies of the individual neurologists</w:t>
      </w:r>
      <w:r w:rsidR="003C4E2B">
        <w:rPr>
          <w:rFonts w:ascii="Times New Roman" w:eastAsia="Times New Roman" w:hAnsi="Times New Roman" w:cs="Times New Roman"/>
          <w:color w:val="000000" w:themeColor="text1"/>
          <w:lang w:val="en-GB"/>
        </w:rPr>
        <w:t xml:space="preserve"> and the clinical situations common in those clinics, because both of these factors contribute to skewing the distribution of practices in favour of more ‘choice’ in Sheffield.</w:t>
      </w:r>
      <w:r w:rsidR="00984B75">
        <w:rPr>
          <w:rFonts w:ascii="Times New Roman" w:eastAsia="Times New Roman" w:hAnsi="Times New Roman" w:cs="Times New Roman"/>
          <w:color w:val="000000" w:themeColor="text1"/>
          <w:lang w:val="en-GB"/>
        </w:rPr>
        <w:t xml:space="preserve">  </w:t>
      </w:r>
    </w:p>
    <w:p w14:paraId="4AE5B75B" w14:textId="6C56F714" w:rsidR="00E059F0" w:rsidRDefault="00E059F0" w:rsidP="005C55FB">
      <w:pPr>
        <w:spacing w:line="480" w:lineRule="auto"/>
        <w:rPr>
          <w:rFonts w:ascii="Times New Roman" w:eastAsia="Times New Roman" w:hAnsi="Times New Roman" w:cs="Times New Roman"/>
          <w:color w:val="000000" w:themeColor="text1"/>
          <w:lang w:val="en-GB"/>
        </w:rPr>
      </w:pPr>
    </w:p>
    <w:p w14:paraId="046F0FF1" w14:textId="0BBB3D45" w:rsidR="00691E40" w:rsidRDefault="00C46BC8" w:rsidP="005C55FB">
      <w:p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T</w:t>
      </w:r>
      <w:r w:rsidR="00FD61C2">
        <w:rPr>
          <w:rFonts w:ascii="Times New Roman" w:eastAsia="Times New Roman" w:hAnsi="Times New Roman" w:cs="Times New Roman"/>
          <w:color w:val="000000" w:themeColor="text1"/>
          <w:lang w:val="en-GB"/>
        </w:rPr>
        <w:t>he evidence for individual decision-making ‘styles’ among neurologists</w:t>
      </w:r>
      <w:r>
        <w:rPr>
          <w:rFonts w:ascii="Times New Roman" w:eastAsia="Times New Roman" w:hAnsi="Times New Roman" w:cs="Times New Roman"/>
          <w:color w:val="000000" w:themeColor="text1"/>
          <w:lang w:val="en-GB"/>
        </w:rPr>
        <w:t xml:space="preserve"> in our sample</w:t>
      </w:r>
      <w:r w:rsidR="00FD61C2">
        <w:rPr>
          <w:rFonts w:ascii="Times New Roman" w:eastAsia="Times New Roman" w:hAnsi="Times New Roman" w:cs="Times New Roman"/>
          <w:color w:val="000000" w:themeColor="text1"/>
          <w:lang w:val="en-GB"/>
        </w:rPr>
        <w:t xml:space="preserve"> is strong, even within subspecialties</w:t>
      </w:r>
      <w:r>
        <w:rPr>
          <w:rFonts w:ascii="Times New Roman" w:eastAsia="Times New Roman" w:hAnsi="Times New Roman" w:cs="Times New Roman"/>
          <w:color w:val="000000" w:themeColor="text1"/>
          <w:lang w:val="en-GB"/>
        </w:rPr>
        <w:t xml:space="preserve">; </w:t>
      </w:r>
      <w:r w:rsidR="00FD61C2">
        <w:rPr>
          <w:rFonts w:ascii="Times New Roman" w:eastAsia="Times New Roman" w:hAnsi="Times New Roman" w:cs="Times New Roman"/>
          <w:color w:val="000000" w:themeColor="text1"/>
          <w:lang w:val="en-GB"/>
        </w:rPr>
        <w:t xml:space="preserve">whether patients are offered a choice is partly based on which neurologist they see. This is key in the UK context of secondary care, which operates a referral system </w:t>
      </w:r>
      <w:r w:rsidR="008131BD">
        <w:rPr>
          <w:rFonts w:ascii="Times New Roman" w:eastAsia="Times New Roman" w:hAnsi="Times New Roman" w:cs="Times New Roman"/>
          <w:color w:val="000000" w:themeColor="text1"/>
          <w:lang w:val="en-GB"/>
        </w:rPr>
        <w:t xml:space="preserve">via the patient’s general practitioner.  Although patients do have (limited) rights to choose </w:t>
      </w:r>
      <w:r w:rsidR="00081351">
        <w:rPr>
          <w:rFonts w:ascii="Times New Roman" w:eastAsia="Times New Roman" w:hAnsi="Times New Roman" w:cs="Times New Roman"/>
          <w:color w:val="000000" w:themeColor="text1"/>
          <w:lang w:val="en-GB"/>
        </w:rPr>
        <w:t xml:space="preserve">their </w:t>
      </w:r>
      <w:r w:rsidR="00BA18F0">
        <w:rPr>
          <w:rFonts w:ascii="Times New Roman" w:eastAsia="Times New Roman" w:hAnsi="Times New Roman" w:cs="Times New Roman"/>
          <w:color w:val="000000" w:themeColor="text1"/>
          <w:lang w:val="en-GB"/>
        </w:rPr>
        <w:t>consultant</w:t>
      </w:r>
      <w:r w:rsidR="004F2EA4">
        <w:rPr>
          <w:rFonts w:ascii="Times New Roman" w:eastAsia="Times New Roman" w:hAnsi="Times New Roman" w:cs="Times New Roman"/>
          <w:color w:val="000000" w:themeColor="text1"/>
          <w:lang w:val="en-GB"/>
        </w:rPr>
        <w:t xml:space="preserve">, </w:t>
      </w:r>
      <w:r w:rsidR="009D44A8">
        <w:rPr>
          <w:rFonts w:ascii="Times New Roman" w:eastAsia="Times New Roman" w:hAnsi="Times New Roman" w:cs="Times New Roman"/>
          <w:color w:val="000000" w:themeColor="text1"/>
          <w:lang w:val="en-GB"/>
        </w:rPr>
        <w:t>the allocation</w:t>
      </w:r>
      <w:r w:rsidR="004F2EA4">
        <w:rPr>
          <w:rFonts w:ascii="Times New Roman" w:eastAsia="Times New Roman" w:hAnsi="Times New Roman" w:cs="Times New Roman"/>
          <w:color w:val="000000" w:themeColor="text1"/>
          <w:lang w:val="en-GB"/>
        </w:rPr>
        <w:t xml:space="preserve"> </w:t>
      </w:r>
      <w:r w:rsidR="009D44A8">
        <w:rPr>
          <w:rFonts w:ascii="Times New Roman" w:eastAsia="Times New Roman" w:hAnsi="Times New Roman" w:cs="Times New Roman"/>
          <w:color w:val="000000" w:themeColor="text1"/>
          <w:lang w:val="en-GB"/>
        </w:rPr>
        <w:t xml:space="preserve">is typically </w:t>
      </w:r>
      <w:r>
        <w:rPr>
          <w:rFonts w:ascii="Times New Roman" w:eastAsia="Times New Roman" w:hAnsi="Times New Roman" w:cs="Times New Roman"/>
          <w:color w:val="000000" w:themeColor="text1"/>
          <w:lang w:val="en-GB"/>
        </w:rPr>
        <w:t>made</w:t>
      </w:r>
      <w:r w:rsidR="009D44A8">
        <w:rPr>
          <w:rFonts w:ascii="Times New Roman" w:eastAsia="Times New Roman" w:hAnsi="Times New Roman" w:cs="Times New Roman"/>
          <w:color w:val="000000" w:themeColor="text1"/>
          <w:lang w:val="en-GB"/>
        </w:rPr>
        <w:t xml:space="preserve"> for them</w:t>
      </w:r>
      <w:r w:rsidR="00FD61C2">
        <w:rPr>
          <w:rFonts w:ascii="Times New Roman" w:eastAsia="Times New Roman" w:hAnsi="Times New Roman" w:cs="Times New Roman"/>
          <w:color w:val="000000" w:themeColor="text1"/>
          <w:lang w:val="en-GB"/>
        </w:rPr>
        <w:t xml:space="preserve">. </w:t>
      </w:r>
      <w:r w:rsidR="008E055E">
        <w:rPr>
          <w:rFonts w:ascii="Times New Roman" w:eastAsia="Times New Roman" w:hAnsi="Times New Roman" w:cs="Times New Roman"/>
          <w:color w:val="000000" w:themeColor="text1"/>
          <w:lang w:val="en-GB"/>
        </w:rPr>
        <w:t xml:space="preserve"> </w:t>
      </w:r>
      <w:r w:rsidR="00691E40">
        <w:rPr>
          <w:rFonts w:ascii="Times New Roman" w:eastAsia="Times New Roman" w:hAnsi="Times New Roman" w:cs="Times New Roman"/>
          <w:color w:val="000000" w:themeColor="text1"/>
          <w:lang w:val="en-GB"/>
        </w:rPr>
        <w:t xml:space="preserve">Our study shows that this </w:t>
      </w:r>
      <w:r w:rsidR="008E055E">
        <w:rPr>
          <w:rFonts w:ascii="Times New Roman" w:eastAsia="Times New Roman" w:hAnsi="Times New Roman" w:cs="Times New Roman"/>
          <w:lang w:val="en-GB"/>
        </w:rPr>
        <w:t>variability matters</w:t>
      </w:r>
      <w:r w:rsidR="00691E40">
        <w:rPr>
          <w:rFonts w:ascii="Times New Roman" w:eastAsia="Times New Roman" w:hAnsi="Times New Roman" w:cs="Times New Roman"/>
          <w:lang w:val="en-GB"/>
        </w:rPr>
        <w:t>, firstly,</w:t>
      </w:r>
      <w:r w:rsidR="008E055E">
        <w:rPr>
          <w:rFonts w:ascii="Times New Roman" w:eastAsia="Times New Roman" w:hAnsi="Times New Roman" w:cs="Times New Roman"/>
          <w:lang w:val="en-GB"/>
        </w:rPr>
        <w:t xml:space="preserve"> for the </w:t>
      </w:r>
      <w:r w:rsidR="008E055E" w:rsidRPr="007A00E2">
        <w:rPr>
          <w:rFonts w:ascii="Times New Roman" w:eastAsia="Times New Roman" w:hAnsi="Times New Roman" w:cs="Times New Roman"/>
          <w:i/>
          <w:lang w:val="en-GB"/>
        </w:rPr>
        <w:t>perception</w:t>
      </w:r>
      <w:r w:rsidR="008E055E">
        <w:rPr>
          <w:rFonts w:ascii="Times New Roman" w:eastAsia="Times New Roman" w:hAnsi="Times New Roman" w:cs="Times New Roman"/>
          <w:lang w:val="en-GB"/>
        </w:rPr>
        <w:t xml:space="preserve"> of choice, since neurologists and patients were far more likely to report that a choice was offered </w:t>
      </w:r>
      <w:r w:rsidR="002E5B18">
        <w:rPr>
          <w:rFonts w:ascii="Times New Roman" w:eastAsia="Times New Roman" w:hAnsi="Times New Roman" w:cs="Times New Roman"/>
          <w:lang w:val="en-GB"/>
        </w:rPr>
        <w:t>in consultations where</w:t>
      </w:r>
      <w:r w:rsidR="008E055E">
        <w:rPr>
          <w:rFonts w:ascii="Times New Roman" w:eastAsia="Times New Roman" w:hAnsi="Times New Roman" w:cs="Times New Roman"/>
          <w:lang w:val="en-GB"/>
        </w:rPr>
        <w:t xml:space="preserve"> option-list</w:t>
      </w:r>
      <w:r w:rsidR="00691E40">
        <w:rPr>
          <w:rFonts w:ascii="Times New Roman" w:eastAsia="Times New Roman" w:hAnsi="Times New Roman" w:cs="Times New Roman"/>
          <w:lang w:val="en-GB"/>
        </w:rPr>
        <w:t>s</w:t>
      </w:r>
      <w:r w:rsidR="008E055E">
        <w:rPr>
          <w:rFonts w:ascii="Times New Roman" w:eastAsia="Times New Roman" w:hAnsi="Times New Roman" w:cs="Times New Roman"/>
          <w:lang w:val="en-GB"/>
        </w:rPr>
        <w:t xml:space="preserve"> or PVEs were employed. </w:t>
      </w:r>
      <w:r w:rsidR="00691E40">
        <w:rPr>
          <w:rFonts w:ascii="Times New Roman" w:eastAsia="Times New Roman" w:hAnsi="Times New Roman" w:cs="Times New Roman"/>
          <w:lang w:val="en-GB"/>
        </w:rPr>
        <w:t xml:space="preserve"> Secondly, while o</w:t>
      </w:r>
      <w:r w:rsidR="008E055E">
        <w:rPr>
          <w:rFonts w:ascii="Times New Roman" w:eastAsia="Times New Roman" w:hAnsi="Times New Roman" w:cs="Times New Roman"/>
          <w:color w:val="000000" w:themeColor="text1"/>
          <w:lang w:val="en-GB"/>
        </w:rPr>
        <w:t xml:space="preserve">ur data do not allow </w:t>
      </w:r>
      <w:r>
        <w:rPr>
          <w:rFonts w:ascii="Times New Roman" w:eastAsia="Times New Roman" w:hAnsi="Times New Roman" w:cs="Times New Roman"/>
          <w:color w:val="000000" w:themeColor="text1"/>
          <w:lang w:val="en-GB"/>
        </w:rPr>
        <w:t>for</w:t>
      </w:r>
      <w:r w:rsidR="008E055E">
        <w:rPr>
          <w:rFonts w:ascii="Times New Roman" w:eastAsia="Times New Roman" w:hAnsi="Times New Roman" w:cs="Times New Roman"/>
          <w:color w:val="000000" w:themeColor="text1"/>
          <w:lang w:val="en-GB"/>
        </w:rPr>
        <w:t xml:space="preserve"> definitive conclusions regarding the direction of causality</w:t>
      </w:r>
      <w:r w:rsidR="00691E40">
        <w:rPr>
          <w:rFonts w:ascii="Times New Roman" w:eastAsia="Times New Roman" w:hAnsi="Times New Roman" w:cs="Times New Roman"/>
          <w:color w:val="000000" w:themeColor="text1"/>
          <w:lang w:val="en-GB"/>
        </w:rPr>
        <w:t xml:space="preserve">, our findings also suggest that option-lists and PVEs may </w:t>
      </w:r>
      <w:r w:rsidR="008E055E">
        <w:rPr>
          <w:rFonts w:ascii="Times New Roman" w:eastAsia="Times New Roman" w:hAnsi="Times New Roman" w:cs="Times New Roman"/>
          <w:lang w:val="en-GB"/>
        </w:rPr>
        <w:t>enabl</w:t>
      </w:r>
      <w:r w:rsidR="00691E40">
        <w:rPr>
          <w:rFonts w:ascii="Times New Roman" w:eastAsia="Times New Roman" w:hAnsi="Times New Roman" w:cs="Times New Roman"/>
          <w:lang w:val="en-GB"/>
        </w:rPr>
        <w:t>e</w:t>
      </w:r>
      <w:r w:rsidR="008E055E">
        <w:rPr>
          <w:rFonts w:ascii="Times New Roman" w:eastAsia="Times New Roman" w:hAnsi="Times New Roman" w:cs="Times New Roman"/>
          <w:lang w:val="en-GB"/>
        </w:rPr>
        <w:t xml:space="preserve"> choice </w:t>
      </w:r>
      <w:r w:rsidR="008E055E" w:rsidRPr="00CA23F2">
        <w:rPr>
          <w:rFonts w:ascii="Times New Roman" w:eastAsia="Times New Roman" w:hAnsi="Times New Roman" w:cs="Times New Roman"/>
          <w:i/>
          <w:lang w:val="en-GB"/>
        </w:rPr>
        <w:t>in practice</w:t>
      </w:r>
      <w:r w:rsidR="00691E40">
        <w:rPr>
          <w:rFonts w:ascii="Times New Roman" w:eastAsia="Times New Roman" w:hAnsi="Times New Roman" w:cs="Times New Roman"/>
          <w:lang w:val="en-GB"/>
        </w:rPr>
        <w:t>.  Given that recommendations nearly always ended in agreement that the proffered course of action would go ahead, but option-lists and PVEs ended in agreement only about two-thirds of the time, it may be that the latter practices facilitat</w:t>
      </w:r>
      <w:r w:rsidR="007C3DBD">
        <w:rPr>
          <w:rFonts w:ascii="Times New Roman" w:eastAsia="Times New Roman" w:hAnsi="Times New Roman" w:cs="Times New Roman"/>
          <w:lang w:val="en-GB"/>
        </w:rPr>
        <w:t>e</w:t>
      </w:r>
      <w:r w:rsidR="00691E40">
        <w:rPr>
          <w:rFonts w:ascii="Times New Roman" w:eastAsia="Times New Roman" w:hAnsi="Times New Roman" w:cs="Times New Roman"/>
          <w:lang w:val="en-GB"/>
        </w:rPr>
        <w:t xml:space="preserve"> more independent decision-making </w:t>
      </w:r>
      <w:r w:rsidR="007C3DBD">
        <w:rPr>
          <w:rFonts w:ascii="Times New Roman" w:eastAsia="Times New Roman" w:hAnsi="Times New Roman" w:cs="Times New Roman"/>
          <w:lang w:val="en-GB"/>
        </w:rPr>
        <w:t>by</w:t>
      </w:r>
      <w:r w:rsidR="00691E40">
        <w:rPr>
          <w:rFonts w:ascii="Times New Roman" w:eastAsia="Times New Roman" w:hAnsi="Times New Roman" w:cs="Times New Roman"/>
          <w:lang w:val="en-GB"/>
        </w:rPr>
        <w:t xml:space="preserve"> patients.  This may explain the </w:t>
      </w:r>
      <w:r w:rsidR="008E055E">
        <w:rPr>
          <w:rFonts w:ascii="Times New Roman" w:eastAsia="Times New Roman" w:hAnsi="Times New Roman" w:cs="Times New Roman"/>
          <w:lang w:val="en-GB"/>
        </w:rPr>
        <w:t>more even split between agreement and refusal</w:t>
      </w:r>
      <w:r w:rsidR="00B33B14">
        <w:rPr>
          <w:rFonts w:ascii="Times New Roman" w:eastAsia="Times New Roman" w:hAnsi="Times New Roman" w:cs="Times New Roman"/>
          <w:lang w:val="en-GB"/>
        </w:rPr>
        <w:t xml:space="preserve"> in response to option-lists and PVEs</w:t>
      </w:r>
      <w:r w:rsidR="008E055E">
        <w:rPr>
          <w:rFonts w:ascii="Times New Roman" w:eastAsia="Times New Roman" w:hAnsi="Times New Roman" w:cs="Times New Roman"/>
          <w:lang w:val="en-GB"/>
        </w:rPr>
        <w:t xml:space="preserve"> relative to recommendations, where patients might be more likely to ‘go along with’ the expert opinion.  This interpretation is supported by </w:t>
      </w:r>
      <w:r w:rsidR="008E055E">
        <w:rPr>
          <w:rFonts w:ascii="Times New Roman" w:eastAsia="Times New Roman" w:hAnsi="Times New Roman" w:cs="Times New Roman"/>
          <w:color w:val="000000" w:themeColor="text1"/>
          <w:lang w:val="en-GB"/>
        </w:rPr>
        <w:t>Opel</w:t>
      </w:r>
      <w:r w:rsidR="002C5F53">
        <w:rPr>
          <w:rFonts w:ascii="Times New Roman" w:eastAsia="Times New Roman" w:hAnsi="Times New Roman" w:cs="Times New Roman"/>
          <w:color w:val="000000" w:themeColor="text1"/>
          <w:lang w:val="en-GB"/>
        </w:rPr>
        <w:t xml:space="preserve"> et al.’s</w:t>
      </w:r>
      <w:r w:rsidR="008E055E">
        <w:rPr>
          <w:rFonts w:ascii="Times New Roman" w:eastAsia="Times New Roman" w:hAnsi="Times New Roman" w:cs="Times New Roman"/>
          <w:color w:val="000000" w:themeColor="text1"/>
          <w:lang w:val="en-GB"/>
        </w:rPr>
        <w:t xml:space="preserve"> </w:t>
      </w:r>
      <w:r w:rsidR="008E055E">
        <w:rPr>
          <w:rFonts w:ascii="Times New Roman" w:eastAsia="Times New Roman" w:hAnsi="Times New Roman" w:cs="Times New Roman"/>
          <w:noProof/>
          <w:color w:val="000000" w:themeColor="text1"/>
          <w:lang w:val="en-GB"/>
        </w:rPr>
        <w:t>(2013)</w:t>
      </w:r>
      <w:r w:rsidR="008E055E">
        <w:rPr>
          <w:rFonts w:ascii="Times New Roman" w:eastAsia="Times New Roman" w:hAnsi="Times New Roman" w:cs="Times New Roman"/>
          <w:color w:val="000000" w:themeColor="text1"/>
          <w:lang w:val="en-GB"/>
        </w:rPr>
        <w:t xml:space="preserve"> finding that ‘participatory’ approaches were less likely than ‘presumptive’ approaches to lead to parents agreeing to vaccinate their children (the option </w:t>
      </w:r>
      <w:r>
        <w:rPr>
          <w:rFonts w:ascii="Times New Roman" w:eastAsia="Times New Roman" w:hAnsi="Times New Roman" w:cs="Times New Roman"/>
          <w:color w:val="000000" w:themeColor="text1"/>
          <w:lang w:val="en-GB"/>
        </w:rPr>
        <w:t xml:space="preserve">clinicians </w:t>
      </w:r>
      <w:r w:rsidR="007C3DBD">
        <w:rPr>
          <w:rFonts w:ascii="Times New Roman" w:eastAsia="Times New Roman" w:hAnsi="Times New Roman" w:cs="Times New Roman"/>
          <w:color w:val="000000" w:themeColor="text1"/>
          <w:lang w:val="en-GB"/>
        </w:rPr>
        <w:t>thought</w:t>
      </w:r>
      <w:r w:rsidR="008E055E">
        <w:rPr>
          <w:rFonts w:ascii="Times New Roman" w:eastAsia="Times New Roman" w:hAnsi="Times New Roman" w:cs="Times New Roman"/>
          <w:color w:val="000000" w:themeColor="text1"/>
          <w:lang w:val="en-GB"/>
        </w:rPr>
        <w:t xml:space="preserve"> best).  </w:t>
      </w:r>
    </w:p>
    <w:p w14:paraId="666E82B2" w14:textId="77777777" w:rsidR="00691E40" w:rsidRDefault="00691E40" w:rsidP="005C55FB">
      <w:pPr>
        <w:spacing w:line="480" w:lineRule="auto"/>
        <w:rPr>
          <w:rFonts w:ascii="Times New Roman" w:eastAsia="Times New Roman" w:hAnsi="Times New Roman" w:cs="Times New Roman"/>
          <w:color w:val="000000" w:themeColor="text1"/>
          <w:lang w:val="en-GB"/>
        </w:rPr>
      </w:pPr>
    </w:p>
    <w:p w14:paraId="26745D82" w14:textId="24405845" w:rsidR="008E055E" w:rsidRDefault="00C46BC8" w:rsidP="005C55FB">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lastRenderedPageBreak/>
        <w:t>However</w:t>
      </w:r>
      <w:r w:rsidR="008E055E">
        <w:rPr>
          <w:rFonts w:ascii="Times New Roman" w:eastAsia="Times New Roman" w:hAnsi="Times New Roman" w:cs="Times New Roman"/>
          <w:lang w:val="en-GB"/>
        </w:rPr>
        <w:t xml:space="preserve">, it is </w:t>
      </w:r>
      <w:r>
        <w:rPr>
          <w:rFonts w:ascii="Times New Roman" w:eastAsia="Times New Roman" w:hAnsi="Times New Roman" w:cs="Times New Roman"/>
          <w:lang w:val="en-GB"/>
        </w:rPr>
        <w:t xml:space="preserve">also </w:t>
      </w:r>
      <w:r w:rsidR="008E055E">
        <w:rPr>
          <w:rFonts w:ascii="Times New Roman" w:eastAsia="Times New Roman" w:hAnsi="Times New Roman" w:cs="Times New Roman"/>
          <w:lang w:val="en-GB"/>
        </w:rPr>
        <w:t xml:space="preserve">possible that </w:t>
      </w:r>
      <w:r>
        <w:rPr>
          <w:rFonts w:ascii="Times New Roman" w:eastAsia="Times New Roman" w:hAnsi="Times New Roman" w:cs="Times New Roman"/>
          <w:lang w:val="en-GB"/>
        </w:rPr>
        <w:t>neurologists</w:t>
      </w:r>
      <w:r w:rsidR="008E055E">
        <w:rPr>
          <w:rFonts w:ascii="Times New Roman" w:eastAsia="Times New Roman" w:hAnsi="Times New Roman" w:cs="Times New Roman"/>
          <w:lang w:val="en-GB"/>
        </w:rPr>
        <w:t xml:space="preserve"> are more likely to use option-lists and PVEs when they already have reason to think patients might resist the proffered course of action (e.g. they know the patient’s treatment preferences).  </w:t>
      </w:r>
      <w:r w:rsidR="008E055E" w:rsidRPr="00C24D65">
        <w:rPr>
          <w:rFonts w:ascii="Times New Roman" w:eastAsia="Times New Roman" w:hAnsi="Times New Roman" w:cs="Times New Roman"/>
          <w:lang w:val="en-GB"/>
        </w:rPr>
        <w:t xml:space="preserve">Moreover, </w:t>
      </w:r>
      <w:r w:rsidR="008E055E">
        <w:rPr>
          <w:rFonts w:ascii="Times New Roman" w:eastAsia="Times New Roman" w:hAnsi="Times New Roman" w:cs="Times New Roman"/>
          <w:lang w:val="en-GB"/>
        </w:rPr>
        <w:t xml:space="preserve">since </w:t>
      </w:r>
      <w:r w:rsidR="008E055E" w:rsidRPr="00C24D65">
        <w:rPr>
          <w:rFonts w:ascii="Times New Roman" w:eastAsia="Times New Roman" w:hAnsi="Times New Roman" w:cs="Times New Roman"/>
          <w:lang w:val="en-GB"/>
        </w:rPr>
        <w:t>our study was not designed to assess the relative clinical significa</w:t>
      </w:r>
      <w:r w:rsidR="008E055E">
        <w:rPr>
          <w:rFonts w:ascii="Times New Roman" w:eastAsia="Times New Roman" w:hAnsi="Times New Roman" w:cs="Times New Roman"/>
          <w:lang w:val="en-GB"/>
        </w:rPr>
        <w:t xml:space="preserve">nce of decisions, we cannot be sure whether the neurologists – insofar as they departed from their individual styles – were selecting practices </w:t>
      </w:r>
      <w:r w:rsidR="009D44A8">
        <w:rPr>
          <w:rFonts w:ascii="Times New Roman" w:eastAsia="Times New Roman" w:hAnsi="Times New Roman" w:cs="Times New Roman"/>
          <w:lang w:val="en-GB"/>
        </w:rPr>
        <w:t xml:space="preserve">based on </w:t>
      </w:r>
      <w:r w:rsidR="008E055E">
        <w:rPr>
          <w:rFonts w:ascii="Times New Roman" w:eastAsia="Times New Roman" w:hAnsi="Times New Roman" w:cs="Times New Roman"/>
          <w:lang w:val="en-GB"/>
        </w:rPr>
        <w:t>some form of risk/benefit analysis.</w:t>
      </w:r>
      <w:r w:rsidR="00B2356E">
        <w:rPr>
          <w:rFonts w:ascii="Times New Roman" w:eastAsia="Times New Roman" w:hAnsi="Times New Roman" w:cs="Times New Roman"/>
          <w:lang w:val="en-GB"/>
        </w:rPr>
        <w:t xml:space="preserve">  Certainly, the complex combination of clinical factors associated with whether the neurologists opted to recommend (</w:t>
      </w:r>
      <w:r w:rsidR="00EF0014" w:rsidRPr="00EF0014">
        <w:rPr>
          <w:rFonts w:ascii="Times New Roman" w:eastAsia="Times New Roman" w:hAnsi="Times New Roman" w:cs="Times New Roman"/>
          <w:i/>
          <w:lang w:val="en-GB"/>
        </w:rPr>
        <w:t>vs</w:t>
      </w:r>
      <w:r w:rsidR="00EF0014">
        <w:rPr>
          <w:rFonts w:ascii="Times New Roman" w:eastAsia="Times New Roman" w:hAnsi="Times New Roman" w:cs="Times New Roman"/>
          <w:lang w:val="en-GB"/>
        </w:rPr>
        <w:t>.</w:t>
      </w:r>
      <w:r w:rsidR="00B2356E">
        <w:rPr>
          <w:rFonts w:ascii="Times New Roman" w:eastAsia="Times New Roman" w:hAnsi="Times New Roman" w:cs="Times New Roman"/>
          <w:lang w:val="en-GB"/>
        </w:rPr>
        <w:t xml:space="preserve"> offering choice) suggest that they perceive choice </w:t>
      </w:r>
      <w:r w:rsidR="00FA088C">
        <w:rPr>
          <w:rFonts w:ascii="Times New Roman" w:eastAsia="Times New Roman" w:hAnsi="Times New Roman" w:cs="Times New Roman"/>
          <w:lang w:val="en-GB"/>
        </w:rPr>
        <w:t>as</w:t>
      </w:r>
      <w:r w:rsidR="00B2356E">
        <w:rPr>
          <w:rFonts w:ascii="Times New Roman" w:eastAsia="Times New Roman" w:hAnsi="Times New Roman" w:cs="Times New Roman"/>
          <w:lang w:val="en-GB"/>
        </w:rPr>
        <w:t xml:space="preserve"> risky</w:t>
      </w:r>
      <w:r w:rsidR="00A13A4B">
        <w:rPr>
          <w:rFonts w:ascii="Times New Roman" w:eastAsia="Times New Roman" w:hAnsi="Times New Roman" w:cs="Times New Roman"/>
          <w:lang w:val="en-GB"/>
        </w:rPr>
        <w:t xml:space="preserve"> –</w:t>
      </w:r>
      <w:r w:rsidR="007C3DBD">
        <w:rPr>
          <w:rFonts w:ascii="Times New Roman" w:eastAsia="Times New Roman" w:hAnsi="Times New Roman" w:cs="Times New Roman"/>
          <w:lang w:val="en-GB"/>
        </w:rPr>
        <w:t xml:space="preserve"> </w:t>
      </w:r>
      <w:r w:rsidR="00A13A4B">
        <w:rPr>
          <w:rFonts w:ascii="Times New Roman" w:eastAsia="Times New Roman" w:hAnsi="Times New Roman" w:cs="Times New Roman"/>
          <w:lang w:val="en-GB"/>
        </w:rPr>
        <w:t>the patient might choose what they consider to be the ‘wrong’ option</w:t>
      </w:r>
      <w:r w:rsidR="00FB1296">
        <w:rPr>
          <w:rFonts w:ascii="Times New Roman" w:eastAsia="Times New Roman" w:hAnsi="Times New Roman" w:cs="Times New Roman"/>
          <w:lang w:val="en-GB"/>
        </w:rPr>
        <w:t>. Clinicians may therefore</w:t>
      </w:r>
      <w:r w:rsidR="00A13A4B">
        <w:rPr>
          <w:rFonts w:ascii="Times New Roman" w:eastAsia="Times New Roman" w:hAnsi="Times New Roman" w:cs="Times New Roman"/>
          <w:lang w:val="en-GB"/>
        </w:rPr>
        <w:t xml:space="preserve"> </w:t>
      </w:r>
      <w:r w:rsidR="00FB1296">
        <w:rPr>
          <w:rFonts w:ascii="Times New Roman" w:eastAsia="Times New Roman" w:hAnsi="Times New Roman" w:cs="Times New Roman"/>
          <w:lang w:val="en-GB"/>
        </w:rPr>
        <w:t>cho</w:t>
      </w:r>
      <w:r w:rsidR="00B33B14">
        <w:rPr>
          <w:rFonts w:ascii="Times New Roman" w:eastAsia="Times New Roman" w:hAnsi="Times New Roman" w:cs="Times New Roman"/>
          <w:lang w:val="en-GB"/>
        </w:rPr>
        <w:t>o</w:t>
      </w:r>
      <w:r w:rsidR="002F6F3B">
        <w:rPr>
          <w:rFonts w:ascii="Times New Roman" w:eastAsia="Times New Roman" w:hAnsi="Times New Roman" w:cs="Times New Roman"/>
          <w:lang w:val="en-GB"/>
        </w:rPr>
        <w:t xml:space="preserve">se a more directive </w:t>
      </w:r>
      <w:r w:rsidR="00FB1296">
        <w:rPr>
          <w:rFonts w:ascii="Times New Roman" w:eastAsia="Times New Roman" w:hAnsi="Times New Roman" w:cs="Times New Roman"/>
          <w:lang w:val="en-GB"/>
        </w:rPr>
        <w:t>approach</w:t>
      </w:r>
      <w:r w:rsidR="00A13A4B">
        <w:rPr>
          <w:rFonts w:ascii="Times New Roman" w:eastAsia="Times New Roman" w:hAnsi="Times New Roman" w:cs="Times New Roman"/>
          <w:lang w:val="en-GB"/>
        </w:rPr>
        <w:t xml:space="preserve"> if they believe the clinical stakes </w:t>
      </w:r>
      <w:r w:rsidR="001B4EE5">
        <w:rPr>
          <w:rFonts w:ascii="Times New Roman" w:eastAsia="Times New Roman" w:hAnsi="Times New Roman" w:cs="Times New Roman"/>
          <w:lang w:val="en-GB"/>
        </w:rPr>
        <w:t>are</w:t>
      </w:r>
      <w:r w:rsidR="00A13A4B">
        <w:rPr>
          <w:rFonts w:ascii="Times New Roman" w:eastAsia="Times New Roman" w:hAnsi="Times New Roman" w:cs="Times New Roman"/>
          <w:lang w:val="en-GB"/>
        </w:rPr>
        <w:t xml:space="preserve"> too high. </w:t>
      </w:r>
    </w:p>
    <w:p w14:paraId="3CE5C135" w14:textId="40803486" w:rsidR="008E055E" w:rsidRDefault="008E055E" w:rsidP="00A13A4B">
      <w:pPr>
        <w:spacing w:line="480" w:lineRule="auto"/>
        <w:rPr>
          <w:rFonts w:ascii="Times New Roman" w:eastAsia="Times New Roman" w:hAnsi="Times New Roman" w:cs="Times New Roman"/>
          <w:lang w:val="en-GB"/>
        </w:rPr>
      </w:pPr>
    </w:p>
    <w:p w14:paraId="7306FBE7" w14:textId="68AFF1EC" w:rsidR="008E055E" w:rsidRDefault="008E055E" w:rsidP="005C55FB">
      <w:p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lang w:val="en-GB"/>
        </w:rPr>
        <w:t>O</w:t>
      </w:r>
      <w:r>
        <w:rPr>
          <w:rFonts w:ascii="Times New Roman" w:eastAsia="Times New Roman" w:hAnsi="Times New Roman" w:cs="Times New Roman"/>
          <w:color w:val="000000" w:themeColor="text1"/>
          <w:lang w:val="en-GB"/>
        </w:rPr>
        <w:t>ur qualitative analysis provides support for this</w:t>
      </w:r>
      <w:r w:rsidR="00FA088C">
        <w:rPr>
          <w:rFonts w:ascii="Times New Roman" w:eastAsia="Times New Roman" w:hAnsi="Times New Roman" w:cs="Times New Roman"/>
          <w:color w:val="000000" w:themeColor="text1"/>
          <w:lang w:val="en-GB"/>
        </w:rPr>
        <w:t xml:space="preserve">.  For example, we have </w:t>
      </w:r>
      <w:r>
        <w:rPr>
          <w:rFonts w:ascii="Times New Roman" w:eastAsia="Times New Roman" w:hAnsi="Times New Roman" w:cs="Times New Roman"/>
          <w:color w:val="000000" w:themeColor="text1"/>
          <w:lang w:val="en-GB"/>
        </w:rPr>
        <w:t>observed a two-step process</w:t>
      </w:r>
      <w:r w:rsidR="00FA088C">
        <w:rPr>
          <w:rFonts w:ascii="Times New Roman" w:eastAsia="Times New Roman" w:hAnsi="Times New Roman" w:cs="Times New Roman"/>
          <w:color w:val="000000" w:themeColor="text1"/>
          <w:lang w:val="en-GB"/>
        </w:rPr>
        <w:t xml:space="preserve"> for anti-epileptic drug decisions</w:t>
      </w:r>
      <w:r>
        <w:rPr>
          <w:rFonts w:ascii="Times New Roman" w:eastAsia="Times New Roman" w:hAnsi="Times New Roman" w:cs="Times New Roman"/>
          <w:color w:val="000000" w:themeColor="text1"/>
          <w:lang w:val="en-GB"/>
        </w:rPr>
        <w:t xml:space="preserve">, where the neurologist recommends </w:t>
      </w:r>
      <w:r w:rsidRPr="00FA088C">
        <w:rPr>
          <w:rFonts w:ascii="Times New Roman" w:eastAsia="Times New Roman" w:hAnsi="Times New Roman" w:cs="Times New Roman"/>
          <w:i/>
          <w:color w:val="000000" w:themeColor="text1"/>
          <w:lang w:val="en-GB"/>
        </w:rPr>
        <w:t>that</w:t>
      </w:r>
      <w:r w:rsidRPr="00C30E98">
        <w:rPr>
          <w:rFonts w:ascii="Times New Roman" w:eastAsia="Times New Roman" w:hAnsi="Times New Roman" w:cs="Times New Roman"/>
          <w:color w:val="000000" w:themeColor="text1"/>
          <w:lang w:val="en-GB"/>
        </w:rPr>
        <w:t xml:space="preserve"> </w:t>
      </w:r>
      <w:r w:rsidR="00FA088C">
        <w:rPr>
          <w:rFonts w:ascii="Times New Roman" w:eastAsia="Times New Roman" w:hAnsi="Times New Roman" w:cs="Times New Roman"/>
          <w:color w:val="000000" w:themeColor="text1"/>
          <w:lang w:val="en-GB"/>
        </w:rPr>
        <w:t>a</w:t>
      </w:r>
      <w:r>
        <w:rPr>
          <w:rFonts w:ascii="Times New Roman" w:eastAsia="Times New Roman" w:hAnsi="Times New Roman" w:cs="Times New Roman"/>
          <w:color w:val="000000" w:themeColor="text1"/>
          <w:lang w:val="en-GB"/>
        </w:rPr>
        <w:t xml:space="preserve"> patient with poorly controlled epilepsy try a different drug, but switches to option-listing </w:t>
      </w:r>
      <w:r w:rsidR="00FA088C">
        <w:rPr>
          <w:rFonts w:ascii="Times New Roman" w:eastAsia="Times New Roman" w:hAnsi="Times New Roman" w:cs="Times New Roman"/>
          <w:color w:val="000000" w:themeColor="text1"/>
          <w:lang w:val="en-GB"/>
        </w:rPr>
        <w:t>regarding</w:t>
      </w:r>
      <w:r>
        <w:rPr>
          <w:rFonts w:ascii="Times New Roman" w:eastAsia="Times New Roman" w:hAnsi="Times New Roman" w:cs="Times New Roman"/>
          <w:color w:val="000000" w:themeColor="text1"/>
          <w:lang w:val="en-GB"/>
        </w:rPr>
        <w:t xml:space="preserve"> </w:t>
      </w:r>
      <w:r w:rsidRPr="004D7F45">
        <w:rPr>
          <w:rFonts w:ascii="Times New Roman" w:eastAsia="Times New Roman" w:hAnsi="Times New Roman" w:cs="Times New Roman"/>
          <w:i/>
          <w:color w:val="000000" w:themeColor="text1"/>
          <w:lang w:val="en-GB"/>
        </w:rPr>
        <w:t>which</w:t>
      </w:r>
      <w:r>
        <w:rPr>
          <w:rFonts w:ascii="Times New Roman" w:eastAsia="Times New Roman" w:hAnsi="Times New Roman" w:cs="Times New Roman"/>
          <w:color w:val="000000" w:themeColor="text1"/>
          <w:lang w:val="en-GB"/>
        </w:rPr>
        <w:t xml:space="preserve"> drug to try.  This is a</w:t>
      </w:r>
      <w:r w:rsidR="00705519">
        <w:rPr>
          <w:rFonts w:ascii="Times New Roman" w:eastAsia="Times New Roman" w:hAnsi="Times New Roman" w:cs="Times New Roman"/>
          <w:color w:val="000000" w:themeColor="text1"/>
          <w:lang w:val="en-GB"/>
        </w:rPr>
        <w:t>n</w:t>
      </w:r>
      <w:r>
        <w:rPr>
          <w:rFonts w:ascii="Times New Roman" w:eastAsia="Times New Roman" w:hAnsi="Times New Roman" w:cs="Times New Roman"/>
          <w:color w:val="000000" w:themeColor="text1"/>
          <w:lang w:val="en-GB"/>
        </w:rPr>
        <w:t xml:space="preserve"> example of choice being offered where the diagnosis is certain and medically explained, typically in a specialist clinic, at a follow-up appointment, with a patient who may well have </w:t>
      </w:r>
      <w:r w:rsidR="00705519">
        <w:rPr>
          <w:rFonts w:ascii="Times New Roman" w:eastAsia="Times New Roman" w:hAnsi="Times New Roman" w:cs="Times New Roman"/>
          <w:color w:val="000000" w:themeColor="text1"/>
          <w:lang w:val="en-GB"/>
        </w:rPr>
        <w:t xml:space="preserve">prior </w:t>
      </w:r>
      <w:r>
        <w:rPr>
          <w:rFonts w:ascii="Times New Roman" w:eastAsia="Times New Roman" w:hAnsi="Times New Roman" w:cs="Times New Roman"/>
          <w:color w:val="000000" w:themeColor="text1"/>
          <w:lang w:val="en-GB"/>
        </w:rPr>
        <w:t>experience of choosing between anti-epileptics.  Nevertheless, choice is offered for that part of the decision for which the neurologist has: a) less evidence regarding which option is best, and b) good reason to seek the patient’s views given that drugs have different risks.  With respect to the decision to change drugs,</w:t>
      </w:r>
      <w:r w:rsidR="00C30E98">
        <w:rPr>
          <w:rFonts w:ascii="Times New Roman" w:eastAsia="Times New Roman" w:hAnsi="Times New Roman" w:cs="Times New Roman"/>
          <w:color w:val="000000" w:themeColor="text1"/>
          <w:lang w:val="en-GB"/>
        </w:rPr>
        <w:t xml:space="preserve"> </w:t>
      </w:r>
      <w:r>
        <w:rPr>
          <w:rFonts w:ascii="Times New Roman" w:eastAsia="Times New Roman" w:hAnsi="Times New Roman" w:cs="Times New Roman"/>
          <w:color w:val="000000" w:themeColor="text1"/>
          <w:lang w:val="en-GB"/>
        </w:rPr>
        <w:t>the neurologist prioritises the ‘duty of care’ over offer</w:t>
      </w:r>
      <w:r w:rsidR="005B2C12">
        <w:rPr>
          <w:rFonts w:ascii="Times New Roman" w:eastAsia="Times New Roman" w:hAnsi="Times New Roman" w:cs="Times New Roman"/>
          <w:color w:val="000000" w:themeColor="text1"/>
          <w:lang w:val="en-GB"/>
        </w:rPr>
        <w:t xml:space="preserve">ing </w:t>
      </w:r>
      <w:r>
        <w:rPr>
          <w:rFonts w:ascii="Times New Roman" w:eastAsia="Times New Roman" w:hAnsi="Times New Roman" w:cs="Times New Roman"/>
          <w:color w:val="000000" w:themeColor="text1"/>
          <w:lang w:val="en-GB"/>
        </w:rPr>
        <w:t xml:space="preserve">choice.  This aligns with Quirk et al.’s (2012) finding that </w:t>
      </w:r>
      <w:r>
        <w:rPr>
          <w:rFonts w:ascii="Times New Roman" w:eastAsia="Times New Roman" w:hAnsi="Times New Roman" w:cs="Times New Roman"/>
          <w:color w:val="000000" w:themeColor="text1"/>
          <w:lang w:val="en-GB"/>
        </w:rPr>
        <w:lastRenderedPageBreak/>
        <w:t xml:space="preserve">there was a somewhat higher level of risk associated with more pressured and directed decisions </w:t>
      </w:r>
      <w:r w:rsidR="00EF0014">
        <w:rPr>
          <w:rFonts w:ascii="Times New Roman" w:eastAsia="Times New Roman" w:hAnsi="Times New Roman" w:cs="Times New Roman"/>
          <w:color w:val="000000" w:themeColor="text1"/>
          <w:lang w:val="en-GB"/>
        </w:rPr>
        <w:t>(</w:t>
      </w:r>
      <w:r w:rsidR="00EF0014" w:rsidRPr="00EF0014">
        <w:rPr>
          <w:rFonts w:ascii="Times New Roman" w:eastAsia="Times New Roman" w:hAnsi="Times New Roman" w:cs="Times New Roman"/>
          <w:i/>
          <w:color w:val="000000" w:themeColor="text1"/>
          <w:lang w:val="en-GB"/>
        </w:rPr>
        <w:t>vs</w:t>
      </w:r>
      <w:r w:rsidR="00EF0014">
        <w:rPr>
          <w:rFonts w:ascii="Times New Roman" w:eastAsia="Times New Roman" w:hAnsi="Times New Roman" w:cs="Times New Roman"/>
          <w:color w:val="000000" w:themeColor="text1"/>
          <w:lang w:val="en-GB"/>
        </w:rPr>
        <w:t>. more open ones) in UK psychiatric consultations.</w:t>
      </w:r>
    </w:p>
    <w:p w14:paraId="6DFAB8D0" w14:textId="77777777" w:rsidR="008E055E" w:rsidRDefault="008E055E" w:rsidP="005C55FB">
      <w:p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lang w:val="en-GB"/>
        </w:rPr>
        <w:t xml:space="preserve"> </w:t>
      </w:r>
    </w:p>
    <w:p w14:paraId="6039F1C1" w14:textId="3D1DFBDC" w:rsidR="00700136" w:rsidRDefault="008E055E" w:rsidP="005C55FB">
      <w:p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The strong tendency for neurologists to recommend when making decisions about investigations (</w:t>
      </w:r>
      <w:r w:rsidR="00EF0014" w:rsidRPr="00EF0014">
        <w:rPr>
          <w:rFonts w:ascii="Times New Roman" w:eastAsia="Times New Roman" w:hAnsi="Times New Roman" w:cs="Times New Roman"/>
          <w:i/>
          <w:color w:val="000000" w:themeColor="text1"/>
          <w:lang w:val="en-GB"/>
        </w:rPr>
        <w:t>vs</w:t>
      </w:r>
      <w:r w:rsidR="00EF0014">
        <w:rPr>
          <w:rFonts w:ascii="Times New Roman" w:eastAsia="Times New Roman" w:hAnsi="Times New Roman" w:cs="Times New Roman"/>
          <w:color w:val="000000" w:themeColor="text1"/>
          <w:lang w:val="en-GB"/>
        </w:rPr>
        <w:t xml:space="preserve">. </w:t>
      </w:r>
      <w:r>
        <w:rPr>
          <w:rFonts w:ascii="Times New Roman" w:eastAsia="Times New Roman" w:hAnsi="Times New Roman" w:cs="Times New Roman"/>
          <w:color w:val="000000" w:themeColor="text1"/>
          <w:lang w:val="en-GB"/>
        </w:rPr>
        <w:t xml:space="preserve">treatments and referrals) </w:t>
      </w:r>
      <w:r w:rsidR="00D63EFA">
        <w:rPr>
          <w:rFonts w:ascii="Times New Roman" w:eastAsia="Times New Roman" w:hAnsi="Times New Roman" w:cs="Times New Roman"/>
          <w:color w:val="000000" w:themeColor="text1"/>
          <w:lang w:val="en-GB"/>
        </w:rPr>
        <w:t>may also be understood as supporting</w:t>
      </w:r>
      <w:r w:rsidR="004F2124">
        <w:rPr>
          <w:rFonts w:ascii="Times New Roman" w:eastAsia="Times New Roman" w:hAnsi="Times New Roman" w:cs="Times New Roman"/>
          <w:color w:val="000000" w:themeColor="text1"/>
          <w:lang w:val="en-GB"/>
        </w:rPr>
        <w:t xml:space="preserve"> this analysis</w:t>
      </w:r>
      <w:r>
        <w:rPr>
          <w:rFonts w:ascii="Times New Roman" w:eastAsia="Times New Roman" w:hAnsi="Times New Roman" w:cs="Times New Roman"/>
          <w:color w:val="000000" w:themeColor="text1"/>
          <w:lang w:val="en-GB"/>
        </w:rPr>
        <w:t xml:space="preserve">.  Given that patients have as much legal right to refuse investigations as they have to refuse treatment </w:t>
      </w:r>
      <w:r>
        <w:rPr>
          <w:rFonts w:ascii="Times New Roman" w:eastAsia="Times New Roman" w:hAnsi="Times New Roman" w:cs="Times New Roman"/>
          <w:noProof/>
          <w:color w:val="000000" w:themeColor="text1"/>
          <w:lang w:val="en-GB"/>
        </w:rPr>
        <w:t>(</w:t>
      </w:r>
      <w:r w:rsidR="002C5F53">
        <w:rPr>
          <w:rFonts w:ascii="Times New Roman" w:eastAsia="Times New Roman" w:hAnsi="Times New Roman" w:cs="Times New Roman"/>
          <w:noProof/>
          <w:color w:val="000000" w:themeColor="text1"/>
          <w:lang w:val="en-GB"/>
        </w:rPr>
        <w:t>D</w:t>
      </w:r>
      <w:r w:rsidR="00EF0014">
        <w:rPr>
          <w:rFonts w:ascii="Times New Roman" w:eastAsia="Times New Roman" w:hAnsi="Times New Roman" w:cs="Times New Roman"/>
          <w:noProof/>
          <w:color w:val="000000" w:themeColor="text1"/>
          <w:lang w:val="en-GB"/>
        </w:rPr>
        <w:t xml:space="preserve">epartment of </w:t>
      </w:r>
      <w:r w:rsidR="002C5F53">
        <w:rPr>
          <w:rFonts w:ascii="Times New Roman" w:eastAsia="Times New Roman" w:hAnsi="Times New Roman" w:cs="Times New Roman"/>
          <w:noProof/>
          <w:color w:val="000000" w:themeColor="text1"/>
          <w:lang w:val="en-GB"/>
        </w:rPr>
        <w:t>H</w:t>
      </w:r>
      <w:r w:rsidR="00EF0014">
        <w:rPr>
          <w:rFonts w:ascii="Times New Roman" w:eastAsia="Times New Roman" w:hAnsi="Times New Roman" w:cs="Times New Roman"/>
          <w:noProof/>
          <w:color w:val="000000" w:themeColor="text1"/>
          <w:lang w:val="en-GB"/>
        </w:rPr>
        <w:t>ealth</w:t>
      </w:r>
      <w:r>
        <w:rPr>
          <w:rFonts w:ascii="Times New Roman" w:eastAsia="Times New Roman" w:hAnsi="Times New Roman" w:cs="Times New Roman"/>
          <w:noProof/>
          <w:color w:val="000000" w:themeColor="text1"/>
          <w:lang w:val="en-GB"/>
        </w:rPr>
        <w:t>, 2015)</w:t>
      </w:r>
      <w:r>
        <w:rPr>
          <w:rFonts w:ascii="Times New Roman" w:eastAsia="Times New Roman" w:hAnsi="Times New Roman" w:cs="Times New Roman"/>
          <w:color w:val="000000" w:themeColor="text1"/>
          <w:lang w:val="en-GB"/>
        </w:rPr>
        <w:t xml:space="preserve"> one might expect no such relationship between practice and decision type.  However, it seems that neurologists </w:t>
      </w:r>
      <w:r w:rsidR="00B70E7B">
        <w:rPr>
          <w:rFonts w:ascii="Times New Roman" w:eastAsia="Times New Roman" w:hAnsi="Times New Roman" w:cs="Times New Roman"/>
          <w:color w:val="000000" w:themeColor="text1"/>
          <w:lang w:val="en-GB"/>
        </w:rPr>
        <w:t>regularly</w:t>
      </w:r>
      <w:r>
        <w:rPr>
          <w:rFonts w:ascii="Times New Roman" w:eastAsia="Times New Roman" w:hAnsi="Times New Roman" w:cs="Times New Roman"/>
          <w:color w:val="000000" w:themeColor="text1"/>
          <w:lang w:val="en-GB"/>
        </w:rPr>
        <w:t xml:space="preserve"> prioritis</w:t>
      </w:r>
      <w:r w:rsidR="00B70E7B">
        <w:rPr>
          <w:rFonts w:ascii="Times New Roman" w:eastAsia="Times New Roman" w:hAnsi="Times New Roman" w:cs="Times New Roman"/>
          <w:color w:val="000000" w:themeColor="text1"/>
          <w:lang w:val="en-GB"/>
        </w:rPr>
        <w:t>e</w:t>
      </w:r>
      <w:r>
        <w:rPr>
          <w:rFonts w:ascii="Times New Roman" w:eastAsia="Times New Roman" w:hAnsi="Times New Roman" w:cs="Times New Roman"/>
          <w:color w:val="000000" w:themeColor="text1"/>
          <w:lang w:val="en-GB"/>
        </w:rPr>
        <w:t xml:space="preserve"> their </w:t>
      </w:r>
      <w:r w:rsidR="00EF0014">
        <w:rPr>
          <w:rFonts w:ascii="Times New Roman" w:eastAsia="Times New Roman" w:hAnsi="Times New Roman" w:cs="Times New Roman"/>
          <w:color w:val="000000" w:themeColor="text1"/>
          <w:lang w:val="en-GB"/>
        </w:rPr>
        <w:t>view</w:t>
      </w:r>
      <w:r w:rsidR="004F2124">
        <w:rPr>
          <w:rFonts w:ascii="Times New Roman" w:eastAsia="Times New Roman" w:hAnsi="Times New Roman" w:cs="Times New Roman"/>
          <w:color w:val="000000" w:themeColor="text1"/>
          <w:lang w:val="en-GB"/>
        </w:rPr>
        <w:t xml:space="preserve"> of what is best </w:t>
      </w:r>
      <w:r>
        <w:rPr>
          <w:rFonts w:ascii="Times New Roman" w:eastAsia="Times New Roman" w:hAnsi="Times New Roman" w:cs="Times New Roman"/>
          <w:color w:val="000000" w:themeColor="text1"/>
          <w:lang w:val="en-GB"/>
        </w:rPr>
        <w:t>over the ‘informed choice’ policy</w:t>
      </w:r>
      <w:r w:rsidR="00D63EFA">
        <w:rPr>
          <w:rFonts w:ascii="Times New Roman" w:eastAsia="Times New Roman" w:hAnsi="Times New Roman" w:cs="Times New Roman"/>
          <w:color w:val="000000" w:themeColor="text1"/>
          <w:lang w:val="en-GB"/>
        </w:rPr>
        <w:t xml:space="preserve"> </w:t>
      </w:r>
      <w:r w:rsidR="000E255D">
        <w:rPr>
          <w:rFonts w:ascii="Times New Roman" w:eastAsia="Times New Roman" w:hAnsi="Times New Roman" w:cs="Times New Roman"/>
          <w:color w:val="000000" w:themeColor="text1"/>
          <w:lang w:val="en-GB"/>
        </w:rPr>
        <w:t>when they consider there to be suffic</w:t>
      </w:r>
      <w:r w:rsidR="00037681">
        <w:rPr>
          <w:rFonts w:ascii="Times New Roman" w:eastAsia="Times New Roman" w:hAnsi="Times New Roman" w:cs="Times New Roman"/>
          <w:color w:val="000000" w:themeColor="text1"/>
          <w:lang w:val="en-GB"/>
        </w:rPr>
        <w:t>i</w:t>
      </w:r>
      <w:r w:rsidR="000E255D">
        <w:rPr>
          <w:rFonts w:ascii="Times New Roman" w:eastAsia="Times New Roman" w:hAnsi="Times New Roman" w:cs="Times New Roman"/>
          <w:color w:val="000000" w:themeColor="text1"/>
          <w:lang w:val="en-GB"/>
        </w:rPr>
        <w:t xml:space="preserve">ent </w:t>
      </w:r>
      <w:r>
        <w:rPr>
          <w:rFonts w:ascii="Times New Roman" w:eastAsia="Times New Roman" w:hAnsi="Times New Roman" w:cs="Times New Roman"/>
          <w:color w:val="000000" w:themeColor="text1"/>
          <w:lang w:val="en-GB"/>
        </w:rPr>
        <w:t xml:space="preserve">diagnostic uncertainty </w:t>
      </w:r>
      <w:r w:rsidR="000E255D">
        <w:rPr>
          <w:rFonts w:ascii="Times New Roman" w:eastAsia="Times New Roman" w:hAnsi="Times New Roman" w:cs="Times New Roman"/>
          <w:color w:val="000000" w:themeColor="text1"/>
          <w:lang w:val="en-GB"/>
        </w:rPr>
        <w:t>to warrant</w:t>
      </w:r>
      <w:r w:rsidR="00F42F80">
        <w:rPr>
          <w:rFonts w:ascii="Times New Roman" w:eastAsia="Times New Roman" w:hAnsi="Times New Roman" w:cs="Times New Roman"/>
          <w:color w:val="000000" w:themeColor="text1"/>
          <w:lang w:val="en-GB"/>
        </w:rPr>
        <w:t xml:space="preserve"> </w:t>
      </w:r>
      <w:r w:rsidR="000E255D">
        <w:rPr>
          <w:rFonts w:ascii="Times New Roman" w:eastAsia="Times New Roman" w:hAnsi="Times New Roman" w:cs="Times New Roman"/>
          <w:color w:val="000000" w:themeColor="text1"/>
          <w:lang w:val="en-GB"/>
        </w:rPr>
        <w:t xml:space="preserve">(further) </w:t>
      </w:r>
      <w:r w:rsidR="00F42F80">
        <w:rPr>
          <w:rFonts w:ascii="Times New Roman" w:eastAsia="Times New Roman" w:hAnsi="Times New Roman" w:cs="Times New Roman"/>
          <w:color w:val="000000" w:themeColor="text1"/>
          <w:lang w:val="en-GB"/>
        </w:rPr>
        <w:t xml:space="preserve">testing.  In such cases, not only is there often </w:t>
      </w:r>
      <w:r w:rsidR="00EF0014">
        <w:rPr>
          <w:rFonts w:ascii="Times New Roman" w:eastAsia="Times New Roman" w:hAnsi="Times New Roman" w:cs="Times New Roman"/>
          <w:color w:val="000000" w:themeColor="text1"/>
          <w:lang w:val="en-GB"/>
        </w:rPr>
        <w:t>the</w:t>
      </w:r>
      <w:r w:rsidR="00F42F80">
        <w:rPr>
          <w:rFonts w:ascii="Times New Roman" w:eastAsia="Times New Roman" w:hAnsi="Times New Roman" w:cs="Times New Roman"/>
          <w:color w:val="000000" w:themeColor="text1"/>
          <w:lang w:val="en-GB"/>
        </w:rPr>
        <w:t xml:space="preserve"> </w:t>
      </w:r>
      <w:r w:rsidR="00EF0014">
        <w:rPr>
          <w:rFonts w:ascii="Times New Roman" w:eastAsia="Times New Roman" w:hAnsi="Times New Roman" w:cs="Times New Roman"/>
          <w:color w:val="000000" w:themeColor="text1"/>
          <w:lang w:val="en-GB"/>
        </w:rPr>
        <w:t>risk of</w:t>
      </w:r>
      <w:r w:rsidR="00F42F80">
        <w:rPr>
          <w:rFonts w:ascii="Times New Roman" w:eastAsia="Times New Roman" w:hAnsi="Times New Roman" w:cs="Times New Roman"/>
          <w:color w:val="000000" w:themeColor="text1"/>
          <w:lang w:val="en-GB"/>
        </w:rPr>
        <w:t xml:space="preserve"> missing a serious diagnosis, but testing is typically positioned as a precursor to identifying a solution to the patient’s complaint.  </w:t>
      </w:r>
      <w:r w:rsidR="000E255D">
        <w:rPr>
          <w:rFonts w:ascii="Times New Roman" w:eastAsia="Times New Roman" w:hAnsi="Times New Roman" w:cs="Times New Roman"/>
          <w:color w:val="000000" w:themeColor="text1"/>
          <w:lang w:val="en-GB"/>
        </w:rPr>
        <w:t xml:space="preserve">Foregrounding the patient’s right to choose </w:t>
      </w:r>
      <w:r w:rsidR="00EF0014">
        <w:rPr>
          <w:rFonts w:ascii="Times New Roman" w:eastAsia="Times New Roman" w:hAnsi="Times New Roman" w:cs="Times New Roman"/>
          <w:color w:val="000000" w:themeColor="text1"/>
          <w:lang w:val="en-GB"/>
        </w:rPr>
        <w:t>whether to test</w:t>
      </w:r>
      <w:r w:rsidR="00F42F80">
        <w:rPr>
          <w:rFonts w:ascii="Times New Roman" w:eastAsia="Times New Roman" w:hAnsi="Times New Roman" w:cs="Times New Roman"/>
          <w:color w:val="000000" w:themeColor="text1"/>
          <w:lang w:val="en-GB"/>
        </w:rPr>
        <w:t xml:space="preserve"> might </w:t>
      </w:r>
      <w:r w:rsidR="00EF0014">
        <w:rPr>
          <w:rFonts w:ascii="Times New Roman" w:eastAsia="Times New Roman" w:hAnsi="Times New Roman" w:cs="Times New Roman"/>
          <w:color w:val="000000" w:themeColor="text1"/>
          <w:lang w:val="en-GB"/>
        </w:rPr>
        <w:t xml:space="preserve">thus </w:t>
      </w:r>
      <w:r w:rsidR="00F42F80">
        <w:rPr>
          <w:rFonts w:ascii="Times New Roman" w:eastAsia="Times New Roman" w:hAnsi="Times New Roman" w:cs="Times New Roman"/>
          <w:color w:val="000000" w:themeColor="text1"/>
          <w:lang w:val="en-GB"/>
        </w:rPr>
        <w:t xml:space="preserve">be viewed as </w:t>
      </w:r>
      <w:r w:rsidR="000E255D">
        <w:rPr>
          <w:rFonts w:ascii="Times New Roman" w:eastAsia="Times New Roman" w:hAnsi="Times New Roman" w:cs="Times New Roman"/>
          <w:color w:val="000000" w:themeColor="text1"/>
          <w:lang w:val="en-GB"/>
        </w:rPr>
        <w:t>risky – particularly if treatment differ</w:t>
      </w:r>
      <w:r w:rsidR="00B70E7B">
        <w:rPr>
          <w:rFonts w:ascii="Times New Roman" w:eastAsia="Times New Roman" w:hAnsi="Times New Roman" w:cs="Times New Roman"/>
          <w:color w:val="000000" w:themeColor="text1"/>
          <w:lang w:val="en-GB"/>
        </w:rPr>
        <w:t>s</w:t>
      </w:r>
      <w:r w:rsidR="000E255D">
        <w:rPr>
          <w:rFonts w:ascii="Times New Roman" w:eastAsia="Times New Roman" w:hAnsi="Times New Roman" w:cs="Times New Roman"/>
          <w:color w:val="000000" w:themeColor="text1"/>
          <w:lang w:val="en-GB"/>
        </w:rPr>
        <w:t xml:space="preserve"> depending on the diagnosis (e.g. for epileptic </w:t>
      </w:r>
      <w:r w:rsidR="000E255D" w:rsidRPr="00B70E7B">
        <w:rPr>
          <w:rFonts w:ascii="Times New Roman" w:eastAsia="Times New Roman" w:hAnsi="Times New Roman" w:cs="Times New Roman"/>
          <w:i/>
          <w:color w:val="000000" w:themeColor="text1"/>
          <w:lang w:val="en-GB"/>
        </w:rPr>
        <w:t>vs</w:t>
      </w:r>
      <w:r w:rsidR="000E255D">
        <w:rPr>
          <w:rFonts w:ascii="Times New Roman" w:eastAsia="Times New Roman" w:hAnsi="Times New Roman" w:cs="Times New Roman"/>
          <w:color w:val="000000" w:themeColor="text1"/>
          <w:lang w:val="en-GB"/>
        </w:rPr>
        <w:t>. non-epileptic seizures).</w:t>
      </w:r>
      <w:r w:rsidR="00B41B95">
        <w:rPr>
          <w:rFonts w:ascii="Times New Roman" w:eastAsia="Times New Roman" w:hAnsi="Times New Roman" w:cs="Times New Roman"/>
          <w:color w:val="000000" w:themeColor="text1"/>
          <w:lang w:val="en-GB"/>
        </w:rPr>
        <w:t xml:space="preserve"> </w:t>
      </w:r>
    </w:p>
    <w:p w14:paraId="546839E0" w14:textId="77777777" w:rsidR="00700136" w:rsidRDefault="00700136" w:rsidP="005C55FB">
      <w:pPr>
        <w:spacing w:line="480" w:lineRule="auto"/>
        <w:rPr>
          <w:rFonts w:ascii="Times New Roman" w:eastAsia="Times New Roman" w:hAnsi="Times New Roman" w:cs="Times New Roman"/>
          <w:color w:val="000000" w:themeColor="text1"/>
          <w:lang w:val="en-GB"/>
        </w:rPr>
      </w:pPr>
    </w:p>
    <w:p w14:paraId="4690F2FB" w14:textId="332F77AA" w:rsidR="008E055E" w:rsidRDefault="008E055E" w:rsidP="005C55FB">
      <w:p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Thus, we </w:t>
      </w:r>
      <w:r w:rsidR="000E255D">
        <w:rPr>
          <w:rFonts w:ascii="Times New Roman" w:eastAsia="Times New Roman" w:hAnsi="Times New Roman" w:cs="Times New Roman"/>
          <w:color w:val="000000" w:themeColor="text1"/>
          <w:lang w:val="en-GB"/>
        </w:rPr>
        <w:t xml:space="preserve">appear to be </w:t>
      </w:r>
      <w:r>
        <w:rPr>
          <w:rFonts w:ascii="Times New Roman" w:eastAsia="Times New Roman" w:hAnsi="Times New Roman" w:cs="Times New Roman"/>
          <w:color w:val="000000" w:themeColor="text1"/>
          <w:lang w:val="en-GB"/>
        </w:rPr>
        <w:t>see</w:t>
      </w:r>
      <w:r w:rsidR="000E255D">
        <w:rPr>
          <w:rFonts w:ascii="Times New Roman" w:eastAsia="Times New Roman" w:hAnsi="Times New Roman" w:cs="Times New Roman"/>
          <w:color w:val="000000" w:themeColor="text1"/>
          <w:lang w:val="en-GB"/>
        </w:rPr>
        <w:t>ing</w:t>
      </w:r>
      <w:r>
        <w:rPr>
          <w:rFonts w:ascii="Times New Roman" w:eastAsia="Times New Roman" w:hAnsi="Times New Roman" w:cs="Times New Roman"/>
          <w:color w:val="000000" w:themeColor="text1"/>
          <w:lang w:val="en-GB"/>
        </w:rPr>
        <w:t xml:space="preserve"> a complex interplay between the exercise of epistemic </w:t>
      </w:r>
      <w:r>
        <w:rPr>
          <w:rFonts w:ascii="Times New Roman" w:eastAsia="Times New Roman" w:hAnsi="Times New Roman" w:cs="Times New Roman"/>
          <w:noProof/>
          <w:color w:val="000000" w:themeColor="text1"/>
          <w:lang w:val="en-GB"/>
        </w:rPr>
        <w:t>(Heritage, 2012)</w:t>
      </w:r>
      <w:r w:rsidR="002C5F53">
        <w:rPr>
          <w:rFonts w:ascii="Times New Roman" w:eastAsia="Times New Roman" w:hAnsi="Times New Roman" w:cs="Times New Roman"/>
          <w:color w:val="000000" w:themeColor="text1"/>
          <w:lang w:val="en-GB"/>
        </w:rPr>
        <w:t xml:space="preserve"> and deontic authority (</w:t>
      </w:r>
      <w:r>
        <w:rPr>
          <w:rFonts w:ascii="Times New Roman" w:eastAsia="Times New Roman" w:hAnsi="Times New Roman" w:cs="Times New Roman"/>
          <w:noProof/>
          <w:color w:val="000000" w:themeColor="text1"/>
          <w:lang w:val="en-GB"/>
        </w:rPr>
        <w:t>Stevanovic &amp; Peräkylä, 2012)</w:t>
      </w:r>
      <w:r w:rsidR="000E255D">
        <w:rPr>
          <w:rFonts w:ascii="Times New Roman" w:eastAsia="Times New Roman" w:hAnsi="Times New Roman" w:cs="Times New Roman"/>
          <w:noProof/>
          <w:color w:val="000000" w:themeColor="text1"/>
          <w:lang w:val="en-GB"/>
        </w:rPr>
        <w:t>, with neurologists being more likely to tell patients what to do when less certain of the diagnosis</w:t>
      </w:r>
      <w:r w:rsidR="00700136">
        <w:rPr>
          <w:rFonts w:ascii="Times New Roman" w:eastAsia="Times New Roman" w:hAnsi="Times New Roman" w:cs="Times New Roman"/>
          <w:noProof/>
          <w:color w:val="000000" w:themeColor="text1"/>
          <w:lang w:val="en-GB"/>
        </w:rPr>
        <w:t xml:space="preserve">, and more likely to give patients a choice when they are better placed to weigh up the risk/benefit ratio of </w:t>
      </w:r>
      <w:r w:rsidR="00EF0014">
        <w:rPr>
          <w:rFonts w:ascii="Times New Roman" w:eastAsia="Times New Roman" w:hAnsi="Times New Roman" w:cs="Times New Roman"/>
          <w:noProof/>
          <w:color w:val="000000" w:themeColor="text1"/>
          <w:lang w:val="en-GB"/>
        </w:rPr>
        <w:t>doing so</w:t>
      </w:r>
      <w:r>
        <w:rPr>
          <w:rFonts w:ascii="Times New Roman" w:eastAsia="Times New Roman" w:hAnsi="Times New Roman" w:cs="Times New Roman"/>
          <w:color w:val="000000" w:themeColor="text1"/>
          <w:lang w:val="en-GB"/>
        </w:rPr>
        <w:t xml:space="preserve">.  This may be understood as another instantiation of the ‘risk-choice paradox’, compellingly demonstrated in maternity care </w:t>
      </w:r>
      <w:r>
        <w:rPr>
          <w:rFonts w:ascii="Times New Roman" w:eastAsia="Times New Roman" w:hAnsi="Times New Roman" w:cs="Times New Roman"/>
          <w:noProof/>
          <w:color w:val="000000" w:themeColor="text1"/>
          <w:lang w:val="en-GB"/>
        </w:rPr>
        <w:t>(Symon, 2006)</w:t>
      </w:r>
      <w:r>
        <w:rPr>
          <w:rFonts w:ascii="Times New Roman" w:eastAsia="Times New Roman" w:hAnsi="Times New Roman" w:cs="Times New Roman"/>
          <w:color w:val="000000" w:themeColor="text1"/>
          <w:lang w:val="en-GB"/>
        </w:rPr>
        <w:t>, where there is, simultaneously, a strong emphasis on avoiding risk and enabling choice for the woman</w:t>
      </w:r>
      <w:r w:rsidR="00890BF5">
        <w:rPr>
          <w:rFonts w:ascii="Times New Roman" w:eastAsia="Times New Roman" w:hAnsi="Times New Roman" w:cs="Times New Roman"/>
          <w:color w:val="000000" w:themeColor="text1"/>
          <w:lang w:val="en-GB"/>
        </w:rPr>
        <w:t xml:space="preserve"> in labour</w:t>
      </w:r>
      <w:r>
        <w:rPr>
          <w:rFonts w:ascii="Times New Roman" w:eastAsia="Times New Roman" w:hAnsi="Times New Roman" w:cs="Times New Roman"/>
          <w:color w:val="000000" w:themeColor="text1"/>
          <w:lang w:val="en-GB"/>
        </w:rPr>
        <w:t xml:space="preserve">.  </w:t>
      </w:r>
    </w:p>
    <w:p w14:paraId="41C664EB" w14:textId="77777777" w:rsidR="008E055E" w:rsidRDefault="008E055E" w:rsidP="005C55FB">
      <w:p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lastRenderedPageBreak/>
        <w:t xml:space="preserve"> </w:t>
      </w:r>
    </w:p>
    <w:p w14:paraId="60F7622A" w14:textId="38DA123B" w:rsidR="00736DF7" w:rsidRDefault="00700136" w:rsidP="005C55FB">
      <w:p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Our ongoing qualitative analysis</w:t>
      </w:r>
      <w:r w:rsidR="00736DF7">
        <w:rPr>
          <w:rFonts w:ascii="Times New Roman" w:eastAsia="Times New Roman" w:hAnsi="Times New Roman" w:cs="Times New Roman"/>
          <w:color w:val="000000" w:themeColor="text1"/>
          <w:lang w:val="en-GB"/>
        </w:rPr>
        <w:t xml:space="preserve"> </w:t>
      </w:r>
      <w:r>
        <w:rPr>
          <w:rFonts w:ascii="Times New Roman" w:eastAsia="Times New Roman" w:hAnsi="Times New Roman" w:cs="Times New Roman"/>
          <w:color w:val="000000" w:themeColor="text1"/>
          <w:lang w:val="en-GB"/>
        </w:rPr>
        <w:t xml:space="preserve">also suggests that neurologists and patients orient to decisions about investigations as lying predominantly in the neurologist’s domain, while treatment decisions are </w:t>
      </w:r>
      <w:r w:rsidR="00736DF7">
        <w:rPr>
          <w:rFonts w:ascii="Times New Roman" w:eastAsia="Times New Roman" w:hAnsi="Times New Roman" w:cs="Times New Roman"/>
          <w:color w:val="000000" w:themeColor="text1"/>
          <w:lang w:val="en-GB"/>
        </w:rPr>
        <w:t xml:space="preserve">understood as </w:t>
      </w:r>
      <w:r w:rsidR="00866E04">
        <w:rPr>
          <w:rFonts w:ascii="Times New Roman" w:eastAsia="Times New Roman" w:hAnsi="Times New Roman" w:cs="Times New Roman"/>
          <w:color w:val="000000" w:themeColor="text1"/>
          <w:lang w:val="en-GB"/>
        </w:rPr>
        <w:t>more open to</w:t>
      </w:r>
      <w:r w:rsidR="00736DF7">
        <w:rPr>
          <w:rFonts w:ascii="Times New Roman" w:eastAsia="Times New Roman" w:hAnsi="Times New Roman" w:cs="Times New Roman"/>
          <w:color w:val="000000" w:themeColor="text1"/>
          <w:lang w:val="en-GB"/>
        </w:rPr>
        <w:t xml:space="preserve"> joint negotiation (e.g.</w:t>
      </w:r>
      <w:r w:rsidR="00B96685">
        <w:rPr>
          <w:rFonts w:ascii="Times New Roman" w:eastAsia="Times New Roman" w:hAnsi="Times New Roman" w:cs="Times New Roman"/>
          <w:color w:val="000000" w:themeColor="text1"/>
          <w:lang w:val="en-GB"/>
        </w:rPr>
        <w:t xml:space="preserve"> </w:t>
      </w:r>
      <w:r w:rsidR="00313324">
        <w:rPr>
          <w:rFonts w:ascii="Times New Roman" w:eastAsia="Times New Roman" w:hAnsi="Times New Roman" w:cs="Times New Roman"/>
          <w:color w:val="000000" w:themeColor="text1"/>
          <w:lang w:val="en-GB"/>
        </w:rPr>
        <w:t>Costello and Roberts, 2001</w:t>
      </w:r>
      <w:r w:rsidR="00736DF7">
        <w:rPr>
          <w:rFonts w:ascii="Times New Roman" w:eastAsia="Times New Roman" w:hAnsi="Times New Roman" w:cs="Times New Roman"/>
          <w:color w:val="000000" w:themeColor="text1"/>
          <w:lang w:val="en-GB"/>
        </w:rPr>
        <w:t xml:space="preserve">).  This may be partly because investigations are understood as a component of the diagnostic activity – which </w:t>
      </w:r>
      <w:r w:rsidR="00EF0014">
        <w:rPr>
          <w:rFonts w:ascii="Times New Roman" w:eastAsia="Times New Roman" w:hAnsi="Times New Roman" w:cs="Times New Roman"/>
          <w:color w:val="000000" w:themeColor="text1"/>
          <w:lang w:val="en-GB"/>
        </w:rPr>
        <w:t>is</w:t>
      </w:r>
      <w:r w:rsidR="00736DF7">
        <w:rPr>
          <w:rFonts w:ascii="Times New Roman" w:eastAsia="Times New Roman" w:hAnsi="Times New Roman" w:cs="Times New Roman"/>
          <w:color w:val="000000" w:themeColor="text1"/>
          <w:lang w:val="en-GB"/>
        </w:rPr>
        <w:t xml:space="preserve"> treated as largely a matter for the ‘experts’ (Heath, 1992) – and partly because the responsibility for carrying out tests lies with the healthcare service.  </w:t>
      </w:r>
      <w:r w:rsidR="00866E04">
        <w:rPr>
          <w:rFonts w:ascii="Times New Roman" w:eastAsia="Times New Roman" w:hAnsi="Times New Roman" w:cs="Times New Roman"/>
          <w:color w:val="000000" w:themeColor="text1"/>
          <w:lang w:val="en-GB"/>
        </w:rPr>
        <w:t xml:space="preserve">Moreover, many tests are one-offs, carrying little risk of serious side effects for the patient, thus making their conduct </w:t>
      </w:r>
      <w:r w:rsidR="00B41B95">
        <w:rPr>
          <w:rFonts w:ascii="Times New Roman" w:eastAsia="Times New Roman" w:hAnsi="Times New Roman" w:cs="Times New Roman"/>
          <w:color w:val="000000" w:themeColor="text1"/>
          <w:lang w:val="en-GB"/>
        </w:rPr>
        <w:t xml:space="preserve">relatively straightforward from a medical point of view.  </w:t>
      </w:r>
      <w:r w:rsidR="00736DF7">
        <w:rPr>
          <w:rFonts w:ascii="Times New Roman" w:eastAsia="Times New Roman" w:hAnsi="Times New Roman" w:cs="Times New Roman"/>
          <w:color w:val="000000" w:themeColor="text1"/>
          <w:lang w:val="en-GB"/>
        </w:rPr>
        <w:t xml:space="preserve">By contrast, many treatments require </w:t>
      </w:r>
      <w:r w:rsidR="00B41B95">
        <w:rPr>
          <w:rFonts w:ascii="Times New Roman" w:eastAsia="Times New Roman" w:hAnsi="Times New Roman" w:cs="Times New Roman"/>
          <w:color w:val="000000" w:themeColor="text1"/>
          <w:lang w:val="en-GB"/>
        </w:rPr>
        <w:t xml:space="preserve">the </w:t>
      </w:r>
      <w:r w:rsidR="00736DF7">
        <w:rPr>
          <w:rFonts w:ascii="Times New Roman" w:eastAsia="Times New Roman" w:hAnsi="Times New Roman" w:cs="Times New Roman"/>
          <w:color w:val="000000" w:themeColor="text1"/>
          <w:lang w:val="en-GB"/>
        </w:rPr>
        <w:t xml:space="preserve">patient to take responsibility for self-administering injections </w:t>
      </w:r>
      <w:r w:rsidR="00866E04">
        <w:rPr>
          <w:rFonts w:ascii="Times New Roman" w:eastAsia="Times New Roman" w:hAnsi="Times New Roman" w:cs="Times New Roman"/>
          <w:color w:val="000000" w:themeColor="text1"/>
          <w:lang w:val="en-GB"/>
        </w:rPr>
        <w:t xml:space="preserve">or tablets </w:t>
      </w:r>
      <w:r w:rsidR="00736DF7">
        <w:rPr>
          <w:rFonts w:ascii="Times New Roman" w:eastAsia="Times New Roman" w:hAnsi="Times New Roman" w:cs="Times New Roman"/>
          <w:color w:val="000000" w:themeColor="text1"/>
          <w:lang w:val="en-GB"/>
        </w:rPr>
        <w:t xml:space="preserve">(often at a particular time) and may necessitate strategies for dealing with </w:t>
      </w:r>
      <w:r w:rsidR="00B41B95">
        <w:rPr>
          <w:rFonts w:ascii="Times New Roman" w:eastAsia="Times New Roman" w:hAnsi="Times New Roman" w:cs="Times New Roman"/>
          <w:color w:val="000000" w:themeColor="text1"/>
          <w:lang w:val="en-GB"/>
        </w:rPr>
        <w:t xml:space="preserve">ongoing </w:t>
      </w:r>
      <w:r w:rsidR="00736DF7">
        <w:rPr>
          <w:rFonts w:ascii="Times New Roman" w:eastAsia="Times New Roman" w:hAnsi="Times New Roman" w:cs="Times New Roman"/>
          <w:color w:val="000000" w:themeColor="text1"/>
          <w:lang w:val="en-GB"/>
        </w:rPr>
        <w:t xml:space="preserve">side effects.  Thus, in addition to the evidence that neurologists appear to be using different practices based on their assessment of the risk associated with </w:t>
      </w:r>
      <w:r w:rsidR="005B2C12">
        <w:rPr>
          <w:rFonts w:ascii="Times New Roman" w:eastAsia="Times New Roman" w:hAnsi="Times New Roman" w:cs="Times New Roman"/>
          <w:color w:val="000000" w:themeColor="text1"/>
          <w:lang w:val="en-GB"/>
        </w:rPr>
        <w:t>a</w:t>
      </w:r>
      <w:r w:rsidR="00736DF7">
        <w:rPr>
          <w:rFonts w:ascii="Times New Roman" w:eastAsia="Times New Roman" w:hAnsi="Times New Roman" w:cs="Times New Roman"/>
          <w:color w:val="000000" w:themeColor="text1"/>
          <w:lang w:val="en-GB"/>
        </w:rPr>
        <w:t xml:space="preserve"> ‘wrong’ choice, it appears that they are also attuned to </w:t>
      </w:r>
      <w:r w:rsidR="00866E04">
        <w:rPr>
          <w:rFonts w:ascii="Times New Roman" w:eastAsia="Times New Roman" w:hAnsi="Times New Roman" w:cs="Times New Roman"/>
          <w:color w:val="000000" w:themeColor="text1"/>
          <w:lang w:val="en-GB"/>
        </w:rPr>
        <w:t xml:space="preserve">the relative rights and responsibilities of each party </w:t>
      </w:r>
      <w:r w:rsidR="005B2C12">
        <w:rPr>
          <w:rFonts w:ascii="Times New Roman" w:eastAsia="Times New Roman" w:hAnsi="Times New Roman" w:cs="Times New Roman"/>
          <w:color w:val="000000" w:themeColor="text1"/>
          <w:lang w:val="en-GB"/>
        </w:rPr>
        <w:t>regarding</w:t>
      </w:r>
      <w:r w:rsidR="00866E04">
        <w:rPr>
          <w:rFonts w:ascii="Times New Roman" w:eastAsia="Times New Roman" w:hAnsi="Times New Roman" w:cs="Times New Roman"/>
          <w:color w:val="000000" w:themeColor="text1"/>
          <w:lang w:val="en-GB"/>
        </w:rPr>
        <w:t xml:space="preserve"> the decision being made.</w:t>
      </w:r>
      <w:r w:rsidR="00B41B95">
        <w:rPr>
          <w:rFonts w:ascii="Times New Roman" w:eastAsia="Times New Roman" w:hAnsi="Times New Roman" w:cs="Times New Roman"/>
          <w:color w:val="000000" w:themeColor="text1"/>
          <w:lang w:val="en-GB"/>
        </w:rPr>
        <w:t xml:space="preserve"> </w:t>
      </w:r>
    </w:p>
    <w:p w14:paraId="3D8123D0" w14:textId="0D7DD428" w:rsidR="00700136" w:rsidRDefault="00736DF7" w:rsidP="005C55FB">
      <w:p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 </w:t>
      </w:r>
    </w:p>
    <w:p w14:paraId="6989D8C2" w14:textId="20FA4398" w:rsidR="004F2124" w:rsidRDefault="004F2124" w:rsidP="005C55FB">
      <w:p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Nevertheless, our findings clearly demonstrate that the same activity – decision-making – and</w:t>
      </w:r>
      <w:r w:rsidR="00B41B95">
        <w:rPr>
          <w:rFonts w:ascii="Times New Roman" w:eastAsia="Times New Roman" w:hAnsi="Times New Roman" w:cs="Times New Roman"/>
          <w:color w:val="000000" w:themeColor="text1"/>
          <w:lang w:val="en-GB"/>
        </w:rPr>
        <w:t xml:space="preserve"> </w:t>
      </w:r>
      <w:r>
        <w:rPr>
          <w:rFonts w:ascii="Times New Roman" w:eastAsia="Times New Roman" w:hAnsi="Times New Roman" w:cs="Times New Roman"/>
          <w:color w:val="000000" w:themeColor="text1"/>
          <w:lang w:val="en-GB"/>
        </w:rPr>
        <w:t xml:space="preserve">even the same decision regarding the same condition in the same </w:t>
      </w:r>
      <w:r w:rsidR="005B2C12">
        <w:rPr>
          <w:rFonts w:ascii="Times New Roman" w:eastAsia="Times New Roman" w:hAnsi="Times New Roman" w:cs="Times New Roman"/>
          <w:color w:val="000000" w:themeColor="text1"/>
          <w:lang w:val="en-GB"/>
        </w:rPr>
        <w:t>sub</w:t>
      </w:r>
      <w:r>
        <w:rPr>
          <w:rFonts w:ascii="Times New Roman" w:eastAsia="Times New Roman" w:hAnsi="Times New Roman" w:cs="Times New Roman"/>
          <w:color w:val="000000" w:themeColor="text1"/>
          <w:lang w:val="en-GB"/>
        </w:rPr>
        <w:t>specialty, can be handled different</w:t>
      </w:r>
      <w:r w:rsidR="007C3DBD">
        <w:rPr>
          <w:rFonts w:ascii="Times New Roman" w:eastAsia="Times New Roman" w:hAnsi="Times New Roman" w:cs="Times New Roman"/>
          <w:color w:val="000000" w:themeColor="text1"/>
          <w:lang w:val="en-GB"/>
        </w:rPr>
        <w:t>ly</w:t>
      </w:r>
      <w:r>
        <w:rPr>
          <w:rFonts w:ascii="Times New Roman" w:eastAsia="Times New Roman" w:hAnsi="Times New Roman" w:cs="Times New Roman"/>
          <w:color w:val="000000" w:themeColor="text1"/>
          <w:lang w:val="en-GB"/>
        </w:rPr>
        <w:t xml:space="preserve">.  This shows the more participatory practices </w:t>
      </w:r>
      <w:r w:rsidR="005B2C12">
        <w:rPr>
          <w:rFonts w:ascii="Times New Roman" w:eastAsia="Times New Roman" w:hAnsi="Times New Roman" w:cs="Times New Roman"/>
          <w:color w:val="000000" w:themeColor="text1"/>
          <w:lang w:val="en-GB"/>
        </w:rPr>
        <w:t>can be used</w:t>
      </w:r>
      <w:r>
        <w:rPr>
          <w:rFonts w:ascii="Times New Roman" w:eastAsia="Times New Roman" w:hAnsi="Times New Roman" w:cs="Times New Roman"/>
          <w:color w:val="000000" w:themeColor="text1"/>
          <w:lang w:val="en-GB"/>
        </w:rPr>
        <w:t xml:space="preserve"> even in </w:t>
      </w:r>
      <w:r w:rsidR="00FB1296">
        <w:rPr>
          <w:rFonts w:ascii="Times New Roman" w:eastAsia="Times New Roman" w:hAnsi="Times New Roman" w:cs="Times New Roman"/>
          <w:color w:val="000000" w:themeColor="text1"/>
          <w:lang w:val="en-GB"/>
        </w:rPr>
        <w:t xml:space="preserve">(some) </w:t>
      </w:r>
      <w:r>
        <w:rPr>
          <w:rFonts w:ascii="Times New Roman" w:eastAsia="Times New Roman" w:hAnsi="Times New Roman" w:cs="Times New Roman"/>
          <w:color w:val="000000" w:themeColor="text1"/>
          <w:lang w:val="en-GB"/>
        </w:rPr>
        <w:t xml:space="preserve">situations where some clinicians routinely recommend.  Our findings have three key implications: </w:t>
      </w:r>
      <w:proofErr w:type="spellStart"/>
      <w:r>
        <w:rPr>
          <w:rFonts w:ascii="Times New Roman" w:eastAsia="Times New Roman" w:hAnsi="Times New Roman" w:cs="Times New Roman"/>
          <w:color w:val="000000" w:themeColor="text1"/>
          <w:lang w:val="en-GB"/>
        </w:rPr>
        <w:t>i</w:t>
      </w:r>
      <w:proofErr w:type="spellEnd"/>
      <w:r>
        <w:rPr>
          <w:rFonts w:ascii="Times New Roman" w:eastAsia="Times New Roman" w:hAnsi="Times New Roman" w:cs="Times New Roman"/>
          <w:color w:val="000000" w:themeColor="text1"/>
          <w:lang w:val="en-GB"/>
        </w:rPr>
        <w:t>) Given that recommending is overwhelmingly common</w:t>
      </w:r>
      <w:r w:rsidR="007C3DBD">
        <w:rPr>
          <w:rFonts w:ascii="Times New Roman" w:eastAsia="Times New Roman" w:hAnsi="Times New Roman" w:cs="Times New Roman"/>
          <w:color w:val="000000" w:themeColor="text1"/>
          <w:lang w:val="en-GB"/>
        </w:rPr>
        <w:t>,</w:t>
      </w:r>
      <w:r>
        <w:rPr>
          <w:rFonts w:ascii="Times New Roman" w:eastAsia="Times New Roman" w:hAnsi="Times New Roman" w:cs="Times New Roman"/>
          <w:color w:val="000000" w:themeColor="text1"/>
          <w:lang w:val="en-GB"/>
        </w:rPr>
        <w:t xml:space="preserve"> even in neurology</w:t>
      </w:r>
      <w:r w:rsidR="007C3DBD">
        <w:rPr>
          <w:rFonts w:ascii="Times New Roman" w:eastAsia="Times New Roman" w:hAnsi="Times New Roman" w:cs="Times New Roman"/>
          <w:color w:val="000000" w:themeColor="text1"/>
          <w:lang w:val="en-GB"/>
        </w:rPr>
        <w:t>,</w:t>
      </w:r>
      <w:r>
        <w:rPr>
          <w:rFonts w:ascii="Times New Roman" w:eastAsia="Times New Roman" w:hAnsi="Times New Roman" w:cs="Times New Roman"/>
          <w:color w:val="000000" w:themeColor="text1"/>
          <w:lang w:val="en-GB"/>
        </w:rPr>
        <w:t xml:space="preserve"> </w:t>
      </w:r>
      <w:r w:rsidR="005B2C12">
        <w:rPr>
          <w:rFonts w:ascii="Times New Roman" w:eastAsia="Times New Roman" w:hAnsi="Times New Roman" w:cs="Times New Roman"/>
          <w:color w:val="000000" w:themeColor="text1"/>
          <w:lang w:val="en-GB"/>
        </w:rPr>
        <w:t>this</w:t>
      </w:r>
      <w:r>
        <w:rPr>
          <w:rFonts w:ascii="Times New Roman" w:eastAsia="Times New Roman" w:hAnsi="Times New Roman" w:cs="Times New Roman"/>
          <w:color w:val="000000" w:themeColor="text1"/>
          <w:lang w:val="en-GB"/>
        </w:rPr>
        <w:t xml:space="preserve"> is likely </w:t>
      </w:r>
      <w:r w:rsidR="005B2C12">
        <w:rPr>
          <w:rFonts w:ascii="Times New Roman" w:eastAsia="Times New Roman" w:hAnsi="Times New Roman" w:cs="Times New Roman"/>
          <w:color w:val="000000" w:themeColor="text1"/>
          <w:lang w:val="en-GB"/>
        </w:rPr>
        <w:t xml:space="preserve">to be </w:t>
      </w:r>
      <w:r w:rsidR="00037681">
        <w:rPr>
          <w:rFonts w:ascii="Times New Roman" w:eastAsia="Times New Roman" w:hAnsi="Times New Roman" w:cs="Times New Roman"/>
          <w:color w:val="000000" w:themeColor="text1"/>
          <w:lang w:val="en-GB"/>
        </w:rPr>
        <w:t>so</w:t>
      </w:r>
      <w:r>
        <w:rPr>
          <w:rFonts w:ascii="Times New Roman" w:eastAsia="Times New Roman" w:hAnsi="Times New Roman" w:cs="Times New Roman"/>
          <w:color w:val="000000" w:themeColor="text1"/>
          <w:lang w:val="en-GB"/>
        </w:rPr>
        <w:t xml:space="preserve"> across a range of specialties</w:t>
      </w:r>
      <w:r w:rsidR="00417196">
        <w:rPr>
          <w:rFonts w:ascii="Times New Roman" w:eastAsia="Times New Roman" w:hAnsi="Times New Roman" w:cs="Times New Roman"/>
          <w:color w:val="000000" w:themeColor="text1"/>
          <w:lang w:val="en-GB"/>
        </w:rPr>
        <w:t xml:space="preserve">.  The RCS guidance is right, then, to suggest that a more ‘paternalistic’ </w:t>
      </w:r>
      <w:r w:rsidR="00417196">
        <w:rPr>
          <w:rFonts w:ascii="Times New Roman" w:eastAsia="Times New Roman" w:hAnsi="Times New Roman" w:cs="Times New Roman"/>
          <w:color w:val="000000" w:themeColor="text1"/>
          <w:lang w:val="en-GB"/>
        </w:rPr>
        <w:lastRenderedPageBreak/>
        <w:t xml:space="preserve">approach – where the doctor </w:t>
      </w:r>
      <w:r w:rsidR="005B2C12">
        <w:rPr>
          <w:rFonts w:ascii="Times New Roman" w:eastAsia="Times New Roman" w:hAnsi="Times New Roman" w:cs="Times New Roman"/>
          <w:color w:val="000000" w:themeColor="text1"/>
          <w:lang w:val="en-GB"/>
        </w:rPr>
        <w:t>advises</w:t>
      </w:r>
      <w:r w:rsidR="00417196">
        <w:rPr>
          <w:rFonts w:ascii="Times New Roman" w:eastAsia="Times New Roman" w:hAnsi="Times New Roman" w:cs="Times New Roman"/>
          <w:color w:val="000000" w:themeColor="text1"/>
          <w:lang w:val="en-GB"/>
        </w:rPr>
        <w:t xml:space="preserve"> the patient to do what s/he considers best – remains part of established practice; ii) We believe that this is partly explained by doctors’ concerns that choice may be risky for patients (they may make the ‘wrong’ choice); iii) Nevertheless, some neurologists have developed a more ‘choice-oriented’ style, </w:t>
      </w:r>
      <w:r w:rsidR="005D1096">
        <w:rPr>
          <w:rFonts w:ascii="Times New Roman" w:eastAsia="Times New Roman" w:hAnsi="Times New Roman" w:cs="Times New Roman"/>
          <w:color w:val="000000" w:themeColor="text1"/>
          <w:lang w:val="en-GB"/>
        </w:rPr>
        <w:t>and here we note that the</w:t>
      </w:r>
      <w:r w:rsidR="005D1096">
        <w:rPr>
          <w:rFonts w:ascii="Times New Roman" w:eastAsia="Times New Roman" w:hAnsi="Times New Roman" w:cs="Times New Roman"/>
          <w:lang w:val="en-GB"/>
        </w:rPr>
        <w:t xml:space="preserve"> neurologist who offers most choice works in a specialist clinic, with patients whose symptoms are medically explained, </w:t>
      </w:r>
      <w:r w:rsidR="007C3DBD">
        <w:rPr>
          <w:rFonts w:ascii="Times New Roman" w:eastAsia="Times New Roman" w:hAnsi="Times New Roman" w:cs="Times New Roman"/>
          <w:lang w:val="en-GB"/>
        </w:rPr>
        <w:t xml:space="preserve">and </w:t>
      </w:r>
      <w:r w:rsidR="005D1096">
        <w:rPr>
          <w:rFonts w:ascii="Times New Roman" w:eastAsia="Times New Roman" w:hAnsi="Times New Roman" w:cs="Times New Roman"/>
          <w:lang w:val="en-GB"/>
        </w:rPr>
        <w:t xml:space="preserve">hence has </w:t>
      </w:r>
      <w:r w:rsidR="00A21583">
        <w:rPr>
          <w:rFonts w:ascii="Times New Roman" w:eastAsia="Times New Roman" w:hAnsi="Times New Roman" w:cs="Times New Roman"/>
          <w:lang w:val="en-GB"/>
        </w:rPr>
        <w:t>exactly the basis for offering choice suggested by our findings</w:t>
      </w:r>
      <w:r w:rsidR="005D1096">
        <w:rPr>
          <w:rFonts w:ascii="Times New Roman" w:eastAsia="Times New Roman" w:hAnsi="Times New Roman" w:cs="Times New Roman"/>
          <w:lang w:val="en-GB"/>
        </w:rPr>
        <w:t xml:space="preserve">. </w:t>
      </w:r>
      <w:r w:rsidR="003F114B">
        <w:rPr>
          <w:rFonts w:ascii="Times New Roman" w:eastAsia="Times New Roman" w:hAnsi="Times New Roman" w:cs="Times New Roman"/>
          <w:lang w:val="en-GB"/>
        </w:rPr>
        <w:t xml:space="preserve">Further, </w:t>
      </w:r>
      <w:r w:rsidR="003F114B">
        <w:rPr>
          <w:rFonts w:ascii="Times New Roman" w:eastAsia="Times New Roman" w:hAnsi="Times New Roman" w:cs="Times New Roman"/>
          <w:color w:val="000000" w:themeColor="text1"/>
          <w:lang w:val="en-GB"/>
        </w:rPr>
        <w:t>all the neurologists</w:t>
      </w:r>
      <w:r w:rsidR="00417196">
        <w:rPr>
          <w:rFonts w:ascii="Times New Roman" w:eastAsia="Times New Roman" w:hAnsi="Times New Roman" w:cs="Times New Roman"/>
          <w:color w:val="000000" w:themeColor="text1"/>
          <w:lang w:val="en-GB"/>
        </w:rPr>
        <w:t xml:space="preserve"> do – at least on occasion – offer choice.  Thus, the potential to expand the implementation of patient choice </w:t>
      </w:r>
      <w:r w:rsidR="00BB043A">
        <w:rPr>
          <w:rFonts w:ascii="Times New Roman" w:eastAsia="Times New Roman" w:hAnsi="Times New Roman" w:cs="Times New Roman"/>
          <w:color w:val="000000" w:themeColor="text1"/>
          <w:lang w:val="en-GB"/>
        </w:rPr>
        <w:t xml:space="preserve">(should this be appropriate) </w:t>
      </w:r>
      <w:r w:rsidR="00417196">
        <w:rPr>
          <w:rFonts w:ascii="Times New Roman" w:eastAsia="Times New Roman" w:hAnsi="Times New Roman" w:cs="Times New Roman"/>
          <w:color w:val="000000" w:themeColor="text1"/>
          <w:lang w:val="en-GB"/>
        </w:rPr>
        <w:t>is already with</w:t>
      </w:r>
      <w:r w:rsidR="007C3DBD">
        <w:rPr>
          <w:rFonts w:ascii="Times New Roman" w:eastAsia="Times New Roman" w:hAnsi="Times New Roman" w:cs="Times New Roman"/>
          <w:color w:val="000000" w:themeColor="text1"/>
          <w:lang w:val="en-GB"/>
        </w:rPr>
        <w:t>in</w:t>
      </w:r>
      <w:r w:rsidR="00417196">
        <w:rPr>
          <w:rFonts w:ascii="Times New Roman" w:eastAsia="Times New Roman" w:hAnsi="Times New Roman" w:cs="Times New Roman"/>
          <w:color w:val="000000" w:themeColor="text1"/>
          <w:lang w:val="en-GB"/>
        </w:rPr>
        <w:t xml:space="preserve"> neurologists’ ‘repertoire’.    </w:t>
      </w:r>
    </w:p>
    <w:p w14:paraId="50A66939" w14:textId="77777777" w:rsidR="00417196" w:rsidRDefault="00417196" w:rsidP="005C55FB">
      <w:pPr>
        <w:spacing w:line="480" w:lineRule="auto"/>
        <w:rPr>
          <w:rFonts w:ascii="Times New Roman" w:eastAsia="Times New Roman" w:hAnsi="Times New Roman" w:cs="Times New Roman"/>
          <w:color w:val="000000" w:themeColor="text1"/>
          <w:lang w:val="en-GB"/>
        </w:rPr>
      </w:pPr>
    </w:p>
    <w:p w14:paraId="731A6E20" w14:textId="0A27DA7A" w:rsidR="008E055E" w:rsidRPr="00C2439B" w:rsidRDefault="008E055E" w:rsidP="005C55FB">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GB"/>
        </w:rPr>
        <w:t xml:space="preserve">To our knowledge, our study is the first to map out, across a relatively large dataset of recorded consultations, the relationship between recommendations and practices that are demonstrably understood as offering choice, and a complex array of demographic and self-report variables of clinical relevance.  This has allowed </w:t>
      </w:r>
      <w:r w:rsidR="00BB043A">
        <w:rPr>
          <w:rFonts w:ascii="Times New Roman" w:eastAsia="Times New Roman" w:hAnsi="Times New Roman" w:cs="Times New Roman"/>
          <w:color w:val="000000" w:themeColor="text1"/>
          <w:lang w:val="en-GB"/>
        </w:rPr>
        <w:t xml:space="preserve">for </w:t>
      </w:r>
      <w:r>
        <w:rPr>
          <w:rFonts w:ascii="Times New Roman" w:eastAsia="Times New Roman" w:hAnsi="Times New Roman" w:cs="Times New Roman"/>
          <w:color w:val="000000" w:themeColor="text1"/>
          <w:lang w:val="en-GB"/>
        </w:rPr>
        <w:t xml:space="preserve">a nuanced understanding of how neurologists initiate decision-making in real-time.  The study </w:t>
      </w:r>
      <w:r w:rsidR="009D44A8">
        <w:rPr>
          <w:rFonts w:ascii="Times New Roman" w:eastAsia="Times New Roman" w:hAnsi="Times New Roman" w:cs="Times New Roman"/>
          <w:color w:val="000000" w:themeColor="text1"/>
          <w:lang w:val="en-GB"/>
        </w:rPr>
        <w:t>has</w:t>
      </w:r>
      <w:r>
        <w:rPr>
          <w:rFonts w:ascii="Times New Roman" w:eastAsia="Times New Roman" w:hAnsi="Times New Roman" w:cs="Times New Roman"/>
          <w:color w:val="000000" w:themeColor="text1"/>
          <w:lang w:val="en-GB"/>
        </w:rPr>
        <w:t xml:space="preserve"> its limitations, including those imposed by sample size</w:t>
      </w:r>
      <w:r w:rsidR="00CF17DA">
        <w:rPr>
          <w:rFonts w:ascii="Times New Roman" w:eastAsia="Times New Roman" w:hAnsi="Times New Roman" w:cs="Times New Roman"/>
          <w:color w:val="000000" w:themeColor="text1"/>
          <w:lang w:val="en-GB"/>
        </w:rPr>
        <w:t xml:space="preserve"> (e.g. we were unable to conduct inferential analyses of neurologists’ demographics)</w:t>
      </w:r>
      <w:r>
        <w:rPr>
          <w:rFonts w:ascii="Times New Roman" w:eastAsia="Times New Roman" w:hAnsi="Times New Roman" w:cs="Times New Roman"/>
          <w:color w:val="000000" w:themeColor="text1"/>
          <w:lang w:val="en-GB"/>
        </w:rPr>
        <w:t>, and the nature of our dataset.</w:t>
      </w:r>
      <w:r w:rsidR="00CF17DA">
        <w:rPr>
          <w:rFonts w:ascii="Times New Roman" w:eastAsia="Times New Roman" w:hAnsi="Times New Roman" w:cs="Times New Roman"/>
          <w:color w:val="000000" w:themeColor="text1"/>
          <w:lang w:val="en-GB"/>
        </w:rPr>
        <w:t xml:space="preserve"> For example,</w:t>
      </w:r>
      <w:r>
        <w:rPr>
          <w:rFonts w:ascii="Times New Roman" w:eastAsia="Times New Roman" w:hAnsi="Times New Roman" w:cs="Times New Roman"/>
          <w:color w:val="000000" w:themeColor="text1"/>
          <w:lang w:val="en-GB"/>
        </w:rPr>
        <w:t xml:space="preserve"> </w:t>
      </w:r>
      <w:r w:rsidR="00BF2C6D">
        <w:rPr>
          <w:rFonts w:ascii="Times New Roman" w:eastAsia="Times New Roman" w:hAnsi="Times New Roman" w:cs="Times New Roman"/>
          <w:color w:val="000000" w:themeColor="text1"/>
          <w:lang w:val="en-GB"/>
        </w:rPr>
        <w:t>w</w:t>
      </w:r>
      <w:r w:rsidRPr="00C2439B">
        <w:rPr>
          <w:rFonts w:ascii="Times New Roman" w:eastAsia="Times New Roman" w:hAnsi="Times New Roman" w:cs="Times New Roman"/>
          <w:color w:val="000000" w:themeColor="text1"/>
        </w:rPr>
        <w:t xml:space="preserve">e </w:t>
      </w:r>
      <w:r w:rsidR="00CF17DA">
        <w:rPr>
          <w:rFonts w:ascii="Times New Roman" w:eastAsia="Times New Roman" w:hAnsi="Times New Roman" w:cs="Times New Roman"/>
          <w:color w:val="000000" w:themeColor="text1"/>
        </w:rPr>
        <w:t>were able only</w:t>
      </w:r>
      <w:r w:rsidR="009D44A8">
        <w:rPr>
          <w:rFonts w:ascii="Times New Roman" w:eastAsia="Times New Roman" w:hAnsi="Times New Roman" w:cs="Times New Roman"/>
          <w:color w:val="000000" w:themeColor="text1"/>
        </w:rPr>
        <w:t xml:space="preserve"> to</w:t>
      </w:r>
      <w:r w:rsidRPr="00C2439B">
        <w:rPr>
          <w:rFonts w:ascii="Times New Roman" w:eastAsia="Times New Roman" w:hAnsi="Times New Roman" w:cs="Times New Roman"/>
          <w:color w:val="000000" w:themeColor="text1"/>
        </w:rPr>
        <w:t xml:space="preserve"> judge ‘outcomes’ </w:t>
      </w:r>
      <w:r>
        <w:rPr>
          <w:rFonts w:ascii="Times New Roman" w:eastAsia="Times New Roman" w:hAnsi="Times New Roman" w:cs="Times New Roman"/>
          <w:color w:val="000000" w:themeColor="text1"/>
        </w:rPr>
        <w:t xml:space="preserve">based on </w:t>
      </w:r>
      <w:r w:rsidRPr="00C2439B">
        <w:rPr>
          <w:rFonts w:ascii="Times New Roman" w:eastAsia="Times New Roman" w:hAnsi="Times New Roman" w:cs="Times New Roman"/>
          <w:color w:val="000000" w:themeColor="text1"/>
        </w:rPr>
        <w:t xml:space="preserve">conversational and self-report data. </w:t>
      </w:r>
      <w:r>
        <w:rPr>
          <w:rFonts w:ascii="Times New Roman" w:eastAsia="Times New Roman" w:hAnsi="Times New Roman" w:cs="Times New Roman"/>
          <w:color w:val="000000" w:themeColor="text1"/>
        </w:rPr>
        <w:t xml:space="preserve"> </w:t>
      </w:r>
      <w:r w:rsidRPr="00C2439B">
        <w:rPr>
          <w:rFonts w:ascii="Times New Roman" w:eastAsia="Times New Roman" w:hAnsi="Times New Roman" w:cs="Times New Roman"/>
          <w:color w:val="000000" w:themeColor="text1"/>
        </w:rPr>
        <w:t>We have not</w:t>
      </w:r>
      <w:r>
        <w:rPr>
          <w:rFonts w:ascii="Times New Roman" w:eastAsia="Times New Roman" w:hAnsi="Times New Roman" w:cs="Times New Roman"/>
          <w:color w:val="000000" w:themeColor="text1"/>
        </w:rPr>
        <w:t xml:space="preserve"> </w:t>
      </w:r>
      <w:r w:rsidRPr="00C2439B">
        <w:rPr>
          <w:rFonts w:ascii="Times New Roman" w:eastAsia="Times New Roman" w:hAnsi="Times New Roman" w:cs="Times New Roman"/>
          <w:color w:val="000000" w:themeColor="text1"/>
        </w:rPr>
        <w:t xml:space="preserve">tracked what happened following </w:t>
      </w:r>
      <w:r w:rsidR="00BF2C6D">
        <w:rPr>
          <w:rFonts w:ascii="Times New Roman" w:eastAsia="Times New Roman" w:hAnsi="Times New Roman" w:cs="Times New Roman"/>
          <w:color w:val="000000" w:themeColor="text1"/>
        </w:rPr>
        <w:t xml:space="preserve">the consultations and </w:t>
      </w:r>
      <w:r w:rsidRPr="00C2439B">
        <w:rPr>
          <w:rFonts w:ascii="Times New Roman" w:eastAsia="Times New Roman" w:hAnsi="Times New Roman" w:cs="Times New Roman"/>
          <w:color w:val="000000" w:themeColor="text1"/>
        </w:rPr>
        <w:t>do not have measures of physical or mental health that might have been a consequence of decisions taken.</w:t>
      </w:r>
      <w:r>
        <w:rPr>
          <w:rFonts w:ascii="Times New Roman" w:eastAsia="Times New Roman" w:hAnsi="Times New Roman" w:cs="Times New Roman"/>
          <w:color w:val="000000" w:themeColor="text1"/>
        </w:rPr>
        <w:t xml:space="preserve">  Further research is warranted.  </w:t>
      </w:r>
      <w:r w:rsidRPr="00C2439B">
        <w:rPr>
          <w:rFonts w:ascii="Times New Roman" w:eastAsia="Times New Roman" w:hAnsi="Times New Roman" w:cs="Times New Roman"/>
          <w:color w:val="000000" w:themeColor="text1"/>
        </w:rPr>
        <w:t xml:space="preserve"> </w:t>
      </w:r>
    </w:p>
    <w:p w14:paraId="57FFAAE6" w14:textId="77777777" w:rsidR="008E055E" w:rsidRDefault="008E055E" w:rsidP="005C55FB">
      <w:pPr>
        <w:spacing w:line="480" w:lineRule="auto"/>
        <w:rPr>
          <w:rFonts w:ascii="Times New Roman" w:eastAsia="Times New Roman" w:hAnsi="Times New Roman" w:cs="Times New Roman"/>
          <w:color w:val="000000" w:themeColor="text1"/>
          <w:lang w:val="en-GB"/>
        </w:rPr>
      </w:pPr>
    </w:p>
    <w:p w14:paraId="064C1B57" w14:textId="30186749" w:rsidR="008E055E" w:rsidRDefault="008E055E" w:rsidP="005C55FB">
      <w:p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lastRenderedPageBreak/>
        <w:t xml:space="preserve">We are also aware that the concept of ‘choice’ is contested and relatively poorly understood in interactional practice </w:t>
      </w:r>
      <w:r>
        <w:rPr>
          <w:rFonts w:ascii="Times New Roman" w:eastAsia="Times New Roman" w:hAnsi="Times New Roman" w:cs="Times New Roman"/>
          <w:noProof/>
          <w:color w:val="000000" w:themeColor="text1"/>
          <w:lang w:val="en-GB"/>
        </w:rPr>
        <w:t>(Pilnick, 2008)</w:t>
      </w:r>
      <w:r>
        <w:rPr>
          <w:rFonts w:ascii="Times New Roman" w:eastAsia="Times New Roman" w:hAnsi="Times New Roman" w:cs="Times New Roman"/>
          <w:color w:val="000000" w:themeColor="text1"/>
          <w:lang w:val="en-GB"/>
        </w:rPr>
        <w:t xml:space="preserve">.  We have focused on option-listing and PVEs because: a) our qualitative work showed how they were used to create explicit moments of choice; b) participants reported perceiving choice in those consultations where these practices were used; and c) option-lists and PVEs map onto the ‘informed choice’ ideal as articulated in NHS policy and guidance documents.  Nevertheless, other practices will </w:t>
      </w:r>
      <w:r w:rsidR="00705519">
        <w:rPr>
          <w:rFonts w:ascii="Times New Roman" w:eastAsia="Times New Roman" w:hAnsi="Times New Roman" w:cs="Times New Roman"/>
          <w:color w:val="000000" w:themeColor="text1"/>
          <w:lang w:val="en-GB"/>
        </w:rPr>
        <w:t xml:space="preserve">undoubtedly </w:t>
      </w:r>
      <w:r>
        <w:rPr>
          <w:rFonts w:ascii="Times New Roman" w:eastAsia="Times New Roman" w:hAnsi="Times New Roman" w:cs="Times New Roman"/>
          <w:color w:val="000000" w:themeColor="text1"/>
          <w:lang w:val="en-GB"/>
        </w:rPr>
        <w:t>play a role in the perceptio</w:t>
      </w:r>
      <w:r w:rsidR="007C3DBD">
        <w:rPr>
          <w:rFonts w:ascii="Times New Roman" w:eastAsia="Times New Roman" w:hAnsi="Times New Roman" w:cs="Times New Roman"/>
          <w:color w:val="000000" w:themeColor="text1"/>
          <w:lang w:val="en-GB"/>
        </w:rPr>
        <w:t>n of choice and its enactment</w:t>
      </w:r>
      <w:r>
        <w:rPr>
          <w:rFonts w:ascii="Times New Roman" w:eastAsia="Times New Roman" w:hAnsi="Times New Roman" w:cs="Times New Roman"/>
          <w:color w:val="000000" w:themeColor="text1"/>
          <w:lang w:val="en-GB"/>
        </w:rPr>
        <w:t xml:space="preserve">.  Moreover, as our qualitative work has shown, these practices do not </w:t>
      </w:r>
      <w:r w:rsidRPr="001B15CE">
        <w:rPr>
          <w:rFonts w:ascii="Times New Roman" w:eastAsia="Times New Roman" w:hAnsi="Times New Roman" w:cs="Times New Roman"/>
          <w:i/>
          <w:color w:val="000000" w:themeColor="text1"/>
          <w:lang w:val="en-GB"/>
        </w:rPr>
        <w:t xml:space="preserve">guarantee </w:t>
      </w:r>
      <w:r>
        <w:rPr>
          <w:rFonts w:ascii="Times New Roman" w:eastAsia="Times New Roman" w:hAnsi="Times New Roman" w:cs="Times New Roman"/>
          <w:color w:val="000000" w:themeColor="text1"/>
          <w:lang w:val="en-GB"/>
        </w:rPr>
        <w:t xml:space="preserve">that patient choice is enabled, and can be used as strategies to pursue the neurologist’s agenda </w:t>
      </w:r>
      <w:r w:rsidRPr="00623C81">
        <w:rPr>
          <w:rFonts w:ascii="Times New Roman" w:eastAsia="Times New Roman" w:hAnsi="Times New Roman" w:cs="Times New Roman"/>
          <w:lang w:val="en-GB"/>
        </w:rPr>
        <w:t>(</w:t>
      </w:r>
      <w:proofErr w:type="spellStart"/>
      <w:r w:rsidR="00804C6E">
        <w:rPr>
          <w:rFonts w:ascii="Times New Roman" w:eastAsia="Times New Roman" w:hAnsi="Times New Roman" w:cs="Times New Roman"/>
          <w:lang w:val="en-GB"/>
        </w:rPr>
        <w:t>Reuber</w:t>
      </w:r>
      <w:proofErr w:type="spellEnd"/>
      <w:r w:rsidR="00804C6E">
        <w:rPr>
          <w:rFonts w:ascii="Times New Roman" w:eastAsia="Times New Roman" w:hAnsi="Times New Roman" w:cs="Times New Roman"/>
          <w:lang w:val="en-GB"/>
        </w:rPr>
        <w:t xml:space="preserve"> et al., 2015</w:t>
      </w:r>
      <w:r w:rsidRPr="00623C81">
        <w:rPr>
          <w:rFonts w:ascii="Times New Roman" w:eastAsia="Times New Roman" w:hAnsi="Times New Roman" w:cs="Times New Roman"/>
          <w:lang w:val="en-GB"/>
        </w:rPr>
        <w:t>).</w:t>
      </w:r>
      <w:r>
        <w:rPr>
          <w:rFonts w:ascii="Times New Roman" w:eastAsia="Times New Roman" w:hAnsi="Times New Roman" w:cs="Times New Roman"/>
          <w:color w:val="000000" w:themeColor="text1"/>
          <w:lang w:val="en-GB"/>
        </w:rPr>
        <w:t xml:space="preserve">  Such complexities, while making further qualitative work necessary, underscore the significance of our quantitative findings: despite the potential for all three practices to be used in atypical ways, the evidence strongly supports our claim that option-lists and PVEs, but not recommendations, are understood as making choice available.   </w:t>
      </w:r>
    </w:p>
    <w:p w14:paraId="30C18DA8" w14:textId="77777777" w:rsidR="008E055E" w:rsidRDefault="008E055E" w:rsidP="005C55FB">
      <w:pPr>
        <w:spacing w:line="480" w:lineRule="auto"/>
        <w:rPr>
          <w:rFonts w:ascii="Times New Roman" w:eastAsia="Times New Roman" w:hAnsi="Times New Roman" w:cs="Times New Roman"/>
          <w:color w:val="000000" w:themeColor="text1"/>
          <w:lang w:val="en-GB"/>
        </w:rPr>
      </w:pPr>
    </w:p>
    <w:p w14:paraId="3AA98F82" w14:textId="1D3B33D1" w:rsidR="00AB2AD6" w:rsidRDefault="008E055E" w:rsidP="005C55FB">
      <w:pPr>
        <w:spacing w:line="48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In summary, neurologists do not appear to be adhering, systematically, to the guidelines on patient choice.  However, ‘</w:t>
      </w:r>
      <w:r w:rsidR="009D44A8">
        <w:rPr>
          <w:rFonts w:ascii="Times New Roman" w:eastAsia="Times New Roman" w:hAnsi="Times New Roman" w:cs="Times New Roman"/>
          <w:color w:val="000000" w:themeColor="text1"/>
          <w:lang w:val="en-GB"/>
        </w:rPr>
        <w:t>o</w:t>
      </w:r>
      <w:r>
        <w:rPr>
          <w:rFonts w:ascii="Times New Roman" w:eastAsia="Times New Roman" w:hAnsi="Times New Roman" w:cs="Times New Roman"/>
          <w:color w:val="000000" w:themeColor="text1"/>
          <w:lang w:val="en-GB"/>
        </w:rPr>
        <w:t>ne</w:t>
      </w:r>
      <w:r w:rsidR="009D44A8">
        <w:rPr>
          <w:rFonts w:ascii="Times New Roman" w:eastAsia="Times New Roman" w:hAnsi="Times New Roman" w:cs="Times New Roman"/>
          <w:color w:val="000000" w:themeColor="text1"/>
          <w:lang w:val="en-GB"/>
        </w:rPr>
        <w:t>-</w:t>
      </w:r>
      <w:r>
        <w:rPr>
          <w:rFonts w:ascii="Times New Roman" w:eastAsia="Times New Roman" w:hAnsi="Times New Roman" w:cs="Times New Roman"/>
          <w:color w:val="000000" w:themeColor="text1"/>
          <w:lang w:val="en-GB"/>
        </w:rPr>
        <w:t>size</w:t>
      </w:r>
      <w:r w:rsidR="009D44A8">
        <w:rPr>
          <w:rFonts w:ascii="Times New Roman" w:eastAsia="Times New Roman" w:hAnsi="Times New Roman" w:cs="Times New Roman"/>
          <w:color w:val="000000" w:themeColor="text1"/>
          <w:lang w:val="en-GB"/>
        </w:rPr>
        <w:t>-</w:t>
      </w:r>
      <w:r>
        <w:rPr>
          <w:rFonts w:ascii="Times New Roman" w:eastAsia="Times New Roman" w:hAnsi="Times New Roman" w:cs="Times New Roman"/>
          <w:color w:val="000000" w:themeColor="text1"/>
          <w:lang w:val="en-GB"/>
        </w:rPr>
        <w:t>fits</w:t>
      </w:r>
      <w:r w:rsidR="009D44A8">
        <w:rPr>
          <w:rFonts w:ascii="Times New Roman" w:eastAsia="Times New Roman" w:hAnsi="Times New Roman" w:cs="Times New Roman"/>
          <w:color w:val="000000" w:themeColor="text1"/>
          <w:lang w:val="en-GB"/>
        </w:rPr>
        <w:t>-</w:t>
      </w:r>
      <w:r>
        <w:rPr>
          <w:rFonts w:ascii="Times New Roman" w:eastAsia="Times New Roman" w:hAnsi="Times New Roman" w:cs="Times New Roman"/>
          <w:color w:val="000000" w:themeColor="text1"/>
          <w:lang w:val="en-GB"/>
        </w:rPr>
        <w:t>all’ guid</w:t>
      </w:r>
      <w:r w:rsidR="00417196">
        <w:rPr>
          <w:rFonts w:ascii="Times New Roman" w:eastAsia="Times New Roman" w:hAnsi="Times New Roman" w:cs="Times New Roman"/>
          <w:color w:val="000000" w:themeColor="text1"/>
          <w:lang w:val="en-GB"/>
        </w:rPr>
        <w:t xml:space="preserve">elines </w:t>
      </w:r>
      <w:r>
        <w:rPr>
          <w:rFonts w:ascii="Times New Roman" w:eastAsia="Times New Roman" w:hAnsi="Times New Roman" w:cs="Times New Roman"/>
          <w:color w:val="000000" w:themeColor="text1"/>
          <w:lang w:val="en-GB"/>
        </w:rPr>
        <w:t xml:space="preserve">that uphold a particular practice are, </w:t>
      </w:r>
      <w:r w:rsidR="00FB30F7">
        <w:rPr>
          <w:rFonts w:ascii="Times New Roman" w:eastAsia="Times New Roman" w:hAnsi="Times New Roman" w:cs="Times New Roman"/>
          <w:color w:val="000000" w:themeColor="text1"/>
          <w:lang w:val="en-GB"/>
        </w:rPr>
        <w:t>we would argue</w:t>
      </w:r>
      <w:r>
        <w:rPr>
          <w:rFonts w:ascii="Times New Roman" w:eastAsia="Times New Roman" w:hAnsi="Times New Roman" w:cs="Times New Roman"/>
          <w:color w:val="000000" w:themeColor="text1"/>
          <w:lang w:val="en-GB"/>
        </w:rPr>
        <w:t>, unhelpful</w:t>
      </w:r>
      <w:r w:rsidR="00BF2C6D">
        <w:rPr>
          <w:rFonts w:ascii="Times New Roman" w:eastAsia="Times New Roman" w:hAnsi="Times New Roman" w:cs="Times New Roman"/>
          <w:color w:val="000000" w:themeColor="text1"/>
          <w:lang w:val="en-GB"/>
        </w:rPr>
        <w:t xml:space="preserve">, both because they fail to take into account the complex balancing act that clinicians are demonstrably performing when selecting between alternative practices, and because </w:t>
      </w:r>
      <w:r w:rsidR="00134B31">
        <w:rPr>
          <w:rFonts w:ascii="Times New Roman" w:eastAsia="Times New Roman" w:hAnsi="Times New Roman" w:cs="Times New Roman"/>
          <w:color w:val="000000" w:themeColor="text1"/>
          <w:lang w:val="en-GB"/>
        </w:rPr>
        <w:t>these</w:t>
      </w:r>
      <w:r w:rsidR="00BF2C6D">
        <w:rPr>
          <w:rFonts w:ascii="Times New Roman" w:eastAsia="Times New Roman" w:hAnsi="Times New Roman" w:cs="Times New Roman"/>
          <w:color w:val="000000" w:themeColor="text1"/>
          <w:lang w:val="en-GB"/>
        </w:rPr>
        <w:t xml:space="preserve"> are not always enacted as policy-makers might intend</w:t>
      </w:r>
      <w:r>
        <w:rPr>
          <w:rFonts w:ascii="Times New Roman" w:eastAsia="Times New Roman" w:hAnsi="Times New Roman" w:cs="Times New Roman"/>
          <w:color w:val="000000" w:themeColor="text1"/>
          <w:lang w:val="en-GB"/>
        </w:rPr>
        <w:t xml:space="preserve">. </w:t>
      </w:r>
      <w:r w:rsidR="00BF2C6D">
        <w:rPr>
          <w:rFonts w:ascii="Times New Roman" w:eastAsia="Times New Roman" w:hAnsi="Times New Roman" w:cs="Times New Roman"/>
          <w:color w:val="000000" w:themeColor="text1"/>
          <w:lang w:val="en-GB"/>
        </w:rPr>
        <w:t xml:space="preserve"> To enact </w:t>
      </w:r>
      <w:r w:rsidR="0041622A">
        <w:rPr>
          <w:rFonts w:ascii="Times New Roman" w:eastAsia="Times New Roman" w:hAnsi="Times New Roman" w:cs="Times New Roman"/>
          <w:color w:val="000000" w:themeColor="text1"/>
          <w:lang w:val="en-GB"/>
        </w:rPr>
        <w:t>a patient-centred</w:t>
      </w:r>
      <w:r w:rsidR="00BF2C6D">
        <w:rPr>
          <w:rFonts w:ascii="Times New Roman" w:eastAsia="Times New Roman" w:hAnsi="Times New Roman" w:cs="Times New Roman"/>
          <w:color w:val="000000" w:themeColor="text1"/>
          <w:lang w:val="en-GB"/>
        </w:rPr>
        <w:t xml:space="preserve"> approach in a meaningful way</w:t>
      </w:r>
      <w:r w:rsidR="0041622A">
        <w:rPr>
          <w:rFonts w:ascii="Times New Roman" w:eastAsia="Times New Roman" w:hAnsi="Times New Roman" w:cs="Times New Roman"/>
          <w:color w:val="000000" w:themeColor="text1"/>
          <w:lang w:val="en-GB"/>
        </w:rPr>
        <w:t xml:space="preserve"> requires health professionals to engage</w:t>
      </w:r>
      <w:r w:rsidR="00AB2AD6">
        <w:rPr>
          <w:rFonts w:ascii="Times New Roman" w:eastAsia="Times New Roman" w:hAnsi="Times New Roman" w:cs="Times New Roman"/>
          <w:color w:val="000000" w:themeColor="text1"/>
          <w:lang w:val="en-GB"/>
        </w:rPr>
        <w:t>,</w:t>
      </w:r>
      <w:r w:rsidR="0041622A">
        <w:rPr>
          <w:rFonts w:ascii="Times New Roman" w:eastAsia="Times New Roman" w:hAnsi="Times New Roman" w:cs="Times New Roman"/>
          <w:color w:val="000000" w:themeColor="text1"/>
          <w:lang w:val="en-GB"/>
        </w:rPr>
        <w:t xml:space="preserve"> not in rote-learning of a </w:t>
      </w:r>
      <w:r w:rsidR="00AB2AD6">
        <w:rPr>
          <w:rFonts w:ascii="Times New Roman" w:eastAsia="Times New Roman" w:hAnsi="Times New Roman" w:cs="Times New Roman"/>
          <w:color w:val="000000" w:themeColor="text1"/>
          <w:lang w:val="en-GB"/>
        </w:rPr>
        <w:t xml:space="preserve">formula for consent, but in reflective practice.  This should include understanding the implicit </w:t>
      </w:r>
      <w:r w:rsidR="00AB2AD6" w:rsidRPr="00AB2AD6">
        <w:rPr>
          <w:rFonts w:ascii="Times New Roman" w:eastAsia="Times New Roman" w:hAnsi="Times New Roman" w:cs="Times New Roman"/>
          <w:i/>
          <w:color w:val="000000" w:themeColor="text1"/>
          <w:lang w:val="en-GB"/>
        </w:rPr>
        <w:t>interactional</w:t>
      </w:r>
      <w:r w:rsidR="00AB2AD6">
        <w:rPr>
          <w:rFonts w:ascii="Times New Roman" w:eastAsia="Times New Roman" w:hAnsi="Times New Roman" w:cs="Times New Roman"/>
          <w:color w:val="000000" w:themeColor="text1"/>
          <w:lang w:val="en-GB"/>
        </w:rPr>
        <w:t xml:space="preserve"> </w:t>
      </w:r>
      <w:r w:rsidR="00AB2AD6">
        <w:rPr>
          <w:rFonts w:ascii="Times New Roman" w:eastAsia="Times New Roman" w:hAnsi="Times New Roman" w:cs="Times New Roman"/>
          <w:color w:val="000000" w:themeColor="text1"/>
          <w:lang w:val="en-GB"/>
        </w:rPr>
        <w:lastRenderedPageBreak/>
        <w:t xml:space="preserve">decisions (e.g. using an option-list, PVE and/or recommendation) they must make every time they initiate a substantive decision-making trajectory with a patient.  </w:t>
      </w:r>
    </w:p>
    <w:p w14:paraId="36627925" w14:textId="77777777" w:rsidR="0012244C" w:rsidRDefault="0012244C" w:rsidP="0012244C">
      <w:pPr>
        <w:spacing w:line="480" w:lineRule="auto"/>
        <w:rPr>
          <w:rFonts w:ascii="Times New Roman" w:hAnsi="Times New Roman"/>
        </w:rPr>
      </w:pPr>
    </w:p>
    <w:p w14:paraId="7ACE4167" w14:textId="55AFF8C3" w:rsidR="0012244C" w:rsidRPr="0012244C" w:rsidRDefault="0012244C" w:rsidP="0012244C">
      <w:pPr>
        <w:spacing w:line="480" w:lineRule="auto"/>
        <w:rPr>
          <w:rFonts w:ascii="Times New Roman" w:hAnsi="Times New Roman"/>
          <w:b/>
        </w:rPr>
      </w:pPr>
      <w:r w:rsidRPr="0012244C">
        <w:rPr>
          <w:rFonts w:ascii="Times New Roman" w:hAnsi="Times New Roman"/>
          <w:b/>
        </w:rPr>
        <w:t>Acknowledgements</w:t>
      </w:r>
    </w:p>
    <w:p w14:paraId="7CDD7A74" w14:textId="77777777" w:rsidR="0012244C" w:rsidRDefault="0012244C" w:rsidP="0012244C">
      <w:pPr>
        <w:spacing w:line="480" w:lineRule="auto"/>
        <w:rPr>
          <w:rFonts w:ascii="Times New Roman" w:hAnsi="Times New Roman"/>
          <w:iCs/>
        </w:rPr>
      </w:pPr>
      <w:r>
        <w:rPr>
          <w:rFonts w:ascii="Times New Roman" w:hAnsi="Times New Roman"/>
        </w:rPr>
        <w:t xml:space="preserve">This paper arises out of a wider project funded by the UK’s National Institute for Health Research (NIHR), </w:t>
      </w:r>
      <w:r>
        <w:rPr>
          <w:rFonts w:ascii="Times New Roman" w:hAnsi="Times New Roman"/>
          <w:iCs/>
        </w:rPr>
        <w:t>Health Services and Delivery Research (HS&amp;DR)</w:t>
      </w:r>
      <w:r w:rsidRPr="00DE0EFD">
        <w:rPr>
          <w:rFonts w:ascii="Times New Roman" w:hAnsi="Times New Roman"/>
          <w:iCs/>
        </w:rPr>
        <w:t xml:space="preserve"> </w:t>
      </w:r>
      <w:proofErr w:type="spellStart"/>
      <w:r w:rsidRPr="00DE0EFD">
        <w:rPr>
          <w:rFonts w:ascii="Times New Roman" w:hAnsi="Times New Roman"/>
          <w:iCs/>
        </w:rPr>
        <w:t>programme</w:t>
      </w:r>
      <w:proofErr w:type="spellEnd"/>
      <w:r w:rsidRPr="00DE0EFD">
        <w:rPr>
          <w:rFonts w:ascii="Times New Roman" w:hAnsi="Times New Roman"/>
          <w:iCs/>
        </w:rPr>
        <w:t xml:space="preserve"> (project number</w:t>
      </w:r>
      <w:r>
        <w:rPr>
          <w:rFonts w:ascii="Times New Roman" w:hAnsi="Times New Roman"/>
          <w:iCs/>
        </w:rPr>
        <w:t>s</w:t>
      </w:r>
      <w:r w:rsidRPr="00DE0EFD">
        <w:rPr>
          <w:rFonts w:ascii="Times New Roman" w:hAnsi="Times New Roman"/>
          <w:iCs/>
        </w:rPr>
        <w:t xml:space="preserve"> 10/2000/61</w:t>
      </w:r>
      <w:r>
        <w:rPr>
          <w:rFonts w:ascii="Times New Roman" w:hAnsi="Times New Roman"/>
          <w:iCs/>
        </w:rPr>
        <w:t xml:space="preserve"> and 14/19/43</w:t>
      </w:r>
      <w:r w:rsidRPr="00DE0EFD">
        <w:rPr>
          <w:rFonts w:ascii="Times New Roman" w:hAnsi="Times New Roman"/>
          <w:iCs/>
        </w:rPr>
        <w:t>)</w:t>
      </w:r>
      <w:r w:rsidRPr="00DE0EFD">
        <w:rPr>
          <w:rFonts w:ascii="Times New Roman" w:hAnsi="Times New Roman"/>
        </w:rPr>
        <w:t xml:space="preserve">. </w:t>
      </w:r>
      <w:r>
        <w:rPr>
          <w:rFonts w:ascii="Times New Roman" w:hAnsi="Times New Roman"/>
        </w:rPr>
        <w:t xml:space="preserve"> The primary project report is published in the Health Services and Delivery Research journal, Volume 3, Issue 7.  </w:t>
      </w:r>
      <w:r>
        <w:rPr>
          <w:rFonts w:ascii="Times New Roman" w:hAnsi="Times New Roman"/>
          <w:iCs/>
        </w:rPr>
        <w:t xml:space="preserve">Further details can be found at: </w:t>
      </w:r>
      <w:hyperlink r:id="rId11" w:anchor="/abstract" w:history="1">
        <w:r w:rsidRPr="002A5453">
          <w:rPr>
            <w:rStyle w:val="Hyperlink"/>
            <w:iCs/>
          </w:rPr>
          <w:t>https://www.journalslibrary.nihr.ac.uk/hsdr/hsdr03070#/abstract</w:t>
        </w:r>
      </w:hyperlink>
      <w:r>
        <w:rPr>
          <w:rFonts w:ascii="Times New Roman" w:hAnsi="Times New Roman"/>
          <w:iCs/>
        </w:rPr>
        <w:t xml:space="preserve">.  The follow-on project report has been </w:t>
      </w:r>
      <w:proofErr w:type="spellStart"/>
      <w:r>
        <w:rPr>
          <w:rFonts w:ascii="Times New Roman" w:hAnsi="Times New Roman"/>
          <w:iCs/>
        </w:rPr>
        <w:t>favourably</w:t>
      </w:r>
      <w:proofErr w:type="spellEnd"/>
      <w:r>
        <w:rPr>
          <w:rFonts w:ascii="Times New Roman" w:hAnsi="Times New Roman"/>
          <w:iCs/>
        </w:rPr>
        <w:t xml:space="preserve"> reviewed and revised but is not yet published.  Further details can be found at: </w:t>
      </w:r>
      <w:hyperlink r:id="rId12" w:anchor="/" w:history="1">
        <w:r w:rsidRPr="00466F79">
          <w:rPr>
            <w:rStyle w:val="Hyperlink"/>
            <w:rFonts w:ascii="Times New Roman" w:hAnsi="Times New Roman"/>
            <w:iCs/>
          </w:rPr>
          <w:t>https://www.journalslibrary.nihr.ac.uk/programmes/hsdr/141943/#/</w:t>
        </w:r>
      </w:hyperlink>
    </w:p>
    <w:p w14:paraId="57AFBE02" w14:textId="77777777" w:rsidR="0012244C" w:rsidRDefault="0012244C" w:rsidP="0012244C">
      <w:pPr>
        <w:spacing w:after="165" w:line="480" w:lineRule="auto"/>
        <w:rPr>
          <w:rFonts w:ascii="Times New Roman" w:hAnsi="Times New Roman"/>
          <w:iCs/>
        </w:rPr>
      </w:pPr>
      <w:r w:rsidRPr="00DE0EFD">
        <w:rPr>
          <w:rFonts w:ascii="Times New Roman" w:hAnsi="Times New Roman"/>
          <w:iCs/>
        </w:rPr>
        <w:t xml:space="preserve">The views and opinions expressed in </w:t>
      </w:r>
      <w:r>
        <w:rPr>
          <w:rFonts w:ascii="Times New Roman" w:hAnsi="Times New Roman"/>
          <w:iCs/>
        </w:rPr>
        <w:t>this paper</w:t>
      </w:r>
      <w:r w:rsidRPr="00DE0EFD">
        <w:rPr>
          <w:rFonts w:ascii="Times New Roman" w:hAnsi="Times New Roman"/>
          <w:iCs/>
        </w:rPr>
        <w:t xml:space="preserve"> are those of the author</w:t>
      </w:r>
      <w:r>
        <w:rPr>
          <w:rFonts w:ascii="Times New Roman" w:hAnsi="Times New Roman"/>
          <w:iCs/>
        </w:rPr>
        <w:t>s</w:t>
      </w:r>
      <w:r w:rsidRPr="00DE0EFD">
        <w:rPr>
          <w:rFonts w:ascii="Times New Roman" w:hAnsi="Times New Roman"/>
          <w:iCs/>
        </w:rPr>
        <w:t xml:space="preserve"> and do not necessarily reflect those of the </w:t>
      </w:r>
      <w:r>
        <w:rPr>
          <w:rFonts w:ascii="Times New Roman" w:hAnsi="Times New Roman"/>
          <w:iCs/>
        </w:rPr>
        <w:t>NHS, the NIHR, MRC, CCF, NETSCC, the Health Services and Delivery Research</w:t>
      </w:r>
      <w:r w:rsidRPr="00DE0EFD">
        <w:rPr>
          <w:rFonts w:ascii="Times New Roman" w:hAnsi="Times New Roman"/>
          <w:iCs/>
        </w:rPr>
        <w:t xml:space="preserve"> </w:t>
      </w:r>
      <w:proofErr w:type="spellStart"/>
      <w:r w:rsidRPr="00DE0EFD">
        <w:rPr>
          <w:rFonts w:ascii="Times New Roman" w:hAnsi="Times New Roman"/>
          <w:iCs/>
        </w:rPr>
        <w:t>programme</w:t>
      </w:r>
      <w:proofErr w:type="spellEnd"/>
      <w:r w:rsidRPr="00DE0EFD">
        <w:rPr>
          <w:rFonts w:ascii="Times New Roman" w:hAnsi="Times New Roman"/>
          <w:iCs/>
        </w:rPr>
        <w:t>, or the Department of Health.</w:t>
      </w:r>
      <w:r>
        <w:rPr>
          <w:rFonts w:ascii="Times New Roman" w:hAnsi="Times New Roman"/>
          <w:iCs/>
        </w:rPr>
        <w:t xml:space="preserve"> </w:t>
      </w:r>
    </w:p>
    <w:p w14:paraId="0C1934F6" w14:textId="77777777" w:rsidR="0012244C" w:rsidRDefault="0012244C" w:rsidP="0012244C">
      <w:pPr>
        <w:spacing w:after="165" w:line="480" w:lineRule="auto"/>
        <w:rPr>
          <w:rFonts w:ascii="Times New Roman" w:hAnsi="Times New Roman"/>
          <w:iCs/>
        </w:rPr>
      </w:pPr>
      <w:r>
        <w:rPr>
          <w:rFonts w:ascii="Times New Roman" w:hAnsi="Times New Roman"/>
          <w:iCs/>
        </w:rPr>
        <w:t xml:space="preserve">Reviewers’ feedback during the funding application and final report writing process contributed to the development of the study design and our discussion of the implications of our findings.  However, the funder was not involved in the collection or analysis of the data, in the writing of this paper, or in the decision to submit it for publication. </w:t>
      </w:r>
    </w:p>
    <w:p w14:paraId="3E1179DD" w14:textId="77777777" w:rsidR="0012244C" w:rsidRDefault="0012244C" w:rsidP="0012244C">
      <w:pPr>
        <w:spacing w:line="480" w:lineRule="auto"/>
        <w:ind w:firstLine="720"/>
        <w:rPr>
          <w:rFonts w:ascii="Times New Roman" w:hAnsi="Times New Roman" w:cs="Times New Roman"/>
        </w:rPr>
      </w:pPr>
    </w:p>
    <w:p w14:paraId="3F7CEB7A" w14:textId="77777777" w:rsidR="0012244C" w:rsidRDefault="0012244C" w:rsidP="0012244C">
      <w:pPr>
        <w:spacing w:line="480" w:lineRule="auto"/>
      </w:pPr>
      <w:r>
        <w:rPr>
          <w:rFonts w:ascii="Times New Roman" w:hAnsi="Times New Roman" w:cs="Times New Roman"/>
        </w:rPr>
        <w:t xml:space="preserve">We would like to acknowledge the invaluable contribution made to the original project by Rod Duncan and Rebecca Shaw (project co-applicants) and Zoe Gallant </w:t>
      </w:r>
      <w:r>
        <w:rPr>
          <w:rFonts w:ascii="Times New Roman" w:hAnsi="Times New Roman" w:cs="Times New Roman"/>
        </w:rPr>
        <w:lastRenderedPageBreak/>
        <w:t xml:space="preserve">and Fiona Smith, the project research assistants, who were responsible for recruitment and data collection.  </w:t>
      </w:r>
      <w:r>
        <w:rPr>
          <w:rFonts w:ascii="Times New Roman" w:eastAsia="Times New Roman" w:hAnsi="Times New Roman" w:cs="Times New Roman"/>
          <w:color w:val="000000"/>
        </w:rPr>
        <w:t>Special thanks</w:t>
      </w:r>
      <w:r w:rsidRPr="003C1A39">
        <w:rPr>
          <w:rFonts w:ascii="Times New Roman" w:eastAsia="Times New Roman" w:hAnsi="Times New Roman" w:cs="Times New Roman"/>
          <w:color w:val="000000"/>
        </w:rPr>
        <w:t xml:space="preserve"> to the patients and neurologists who </w:t>
      </w:r>
      <w:r>
        <w:rPr>
          <w:rFonts w:ascii="Times New Roman" w:eastAsia="Times New Roman" w:hAnsi="Times New Roman" w:cs="Times New Roman"/>
          <w:color w:val="000000"/>
        </w:rPr>
        <w:t xml:space="preserve">made this study possible by </w:t>
      </w:r>
      <w:r w:rsidRPr="003C1A39">
        <w:rPr>
          <w:rFonts w:ascii="Times New Roman" w:eastAsia="Times New Roman" w:hAnsi="Times New Roman" w:cs="Times New Roman"/>
          <w:color w:val="000000"/>
        </w:rPr>
        <w:t>agree</w:t>
      </w:r>
      <w:r>
        <w:rPr>
          <w:rFonts w:ascii="Times New Roman" w:eastAsia="Times New Roman" w:hAnsi="Times New Roman" w:cs="Times New Roman"/>
          <w:color w:val="000000"/>
        </w:rPr>
        <w:t>ing</w:t>
      </w:r>
      <w:r w:rsidRPr="003C1A39">
        <w:rPr>
          <w:rFonts w:ascii="Times New Roman" w:eastAsia="Times New Roman" w:hAnsi="Times New Roman" w:cs="Times New Roman"/>
          <w:color w:val="000000"/>
        </w:rPr>
        <w:t xml:space="preserve"> to have their consultations recorded. </w:t>
      </w:r>
      <w:r>
        <w:rPr>
          <w:rFonts w:ascii="Times New Roman" w:eastAsia="Times New Roman" w:hAnsi="Times New Roman" w:cs="Times New Roman"/>
          <w:color w:val="000000"/>
        </w:rPr>
        <w:t xml:space="preserve"> Finally, we are very grateful to the anonymous reviewers, who provided detailed and thoughtful suggestions for revision – and particularly helped us to think through the discussion of our findings more carefully.  </w:t>
      </w:r>
    </w:p>
    <w:p w14:paraId="7AA8BA10" w14:textId="77777777" w:rsidR="008E055E" w:rsidRDefault="008E055E" w:rsidP="005C55FB">
      <w:pPr>
        <w:spacing w:line="480" w:lineRule="auto"/>
        <w:rPr>
          <w:rFonts w:ascii="Times New Roman" w:eastAsia="Times New Roman" w:hAnsi="Times New Roman" w:cs="Times New Roman"/>
          <w:sz w:val="22"/>
          <w:szCs w:val="22"/>
          <w:lang w:val="en-GB"/>
        </w:rPr>
      </w:pPr>
    </w:p>
    <w:p w14:paraId="5B7D1965" w14:textId="77777777" w:rsidR="0012244C" w:rsidRDefault="0012244C" w:rsidP="005C55FB">
      <w:pPr>
        <w:spacing w:line="480" w:lineRule="auto"/>
        <w:rPr>
          <w:rFonts w:ascii="Times New Roman" w:eastAsia="Times New Roman" w:hAnsi="Times New Roman" w:cs="Times New Roman"/>
          <w:sz w:val="22"/>
          <w:szCs w:val="22"/>
          <w:lang w:val="en-GB"/>
        </w:rPr>
      </w:pPr>
    </w:p>
    <w:p w14:paraId="5E05C9AA" w14:textId="77777777" w:rsidR="008E055E" w:rsidRDefault="008E055E" w:rsidP="005E7135">
      <w:pPr>
        <w:spacing w:line="480" w:lineRule="auto"/>
        <w:rPr>
          <w:rFonts w:ascii="Times New Roman" w:hAnsi="Times New Roman" w:cs="Times New Roman"/>
          <w:b/>
        </w:rPr>
      </w:pPr>
      <w:r w:rsidRPr="00F852A3">
        <w:rPr>
          <w:rFonts w:ascii="Times New Roman" w:hAnsi="Times New Roman" w:cs="Times New Roman"/>
          <w:b/>
        </w:rPr>
        <w:t>References</w:t>
      </w:r>
    </w:p>
    <w:p w14:paraId="70246B90" w14:textId="04EB6DAA" w:rsidR="005E7135" w:rsidRPr="005E7135" w:rsidRDefault="005E7135" w:rsidP="005E7135">
      <w:pPr>
        <w:pStyle w:val="EndNoteBibliography"/>
        <w:spacing w:line="480" w:lineRule="auto"/>
        <w:ind w:left="567" w:hanging="567"/>
        <w:rPr>
          <w:rFonts w:ascii="Times New Roman" w:hAnsi="Times New Roman" w:cs="Times New Roman"/>
          <w:noProof/>
        </w:rPr>
      </w:pPr>
      <w:r w:rsidRPr="005E7135">
        <w:rPr>
          <w:rFonts w:ascii="Times New Roman" w:hAnsi="Times New Roman" w:cs="Times New Roman"/>
          <w:noProof/>
        </w:rPr>
        <w:t>Aelbrecht, K., Rimondini, M., Bensing, J., Moretti, F., Willems, S., Mazzi, M., Fletcher, I., Deveugele, M.</w:t>
      </w:r>
      <w:r w:rsidR="00865AC0">
        <w:rPr>
          <w:rFonts w:ascii="Times New Roman" w:hAnsi="Times New Roman" w:cs="Times New Roman"/>
          <w:noProof/>
        </w:rPr>
        <w:t xml:space="preserve">, 2015. </w:t>
      </w:r>
      <w:r w:rsidRPr="005E7135">
        <w:rPr>
          <w:rFonts w:ascii="Times New Roman" w:hAnsi="Times New Roman" w:cs="Times New Roman"/>
          <w:noProof/>
        </w:rPr>
        <w:t>Quality of doctor</w:t>
      </w:r>
      <w:r w:rsidR="00865AC0">
        <w:rPr>
          <w:rFonts w:ascii="Times New Roman" w:hAnsi="Times New Roman" w:cs="Times New Roman"/>
          <w:noProof/>
        </w:rPr>
        <w:t>-</w:t>
      </w:r>
      <w:r w:rsidRPr="005E7135">
        <w:rPr>
          <w:rFonts w:ascii="Times New Roman" w:hAnsi="Times New Roman" w:cs="Times New Roman"/>
          <w:noProof/>
        </w:rPr>
        <w:t>patient communication through the eyes of the patient: variation according to the patient’s educational level. Adv. Health Sci. Educ.</w:t>
      </w:r>
      <w:r w:rsidRPr="005E7135">
        <w:rPr>
          <w:rFonts w:ascii="Times New Roman" w:hAnsi="Times New Roman" w:cs="Times New Roman"/>
          <w:i/>
          <w:noProof/>
        </w:rPr>
        <w:t xml:space="preserve"> </w:t>
      </w:r>
      <w:r w:rsidRPr="00865AC0">
        <w:rPr>
          <w:rFonts w:ascii="Times New Roman" w:hAnsi="Times New Roman" w:cs="Times New Roman"/>
          <w:noProof/>
        </w:rPr>
        <w:t>20</w:t>
      </w:r>
      <w:r w:rsidR="00865AC0">
        <w:rPr>
          <w:rFonts w:ascii="Times New Roman" w:hAnsi="Times New Roman" w:cs="Times New Roman"/>
          <w:noProof/>
        </w:rPr>
        <w:t xml:space="preserve">, </w:t>
      </w:r>
      <w:r w:rsidRPr="005E7135">
        <w:rPr>
          <w:rFonts w:ascii="Times New Roman" w:hAnsi="Times New Roman" w:cs="Times New Roman"/>
          <w:noProof/>
        </w:rPr>
        <w:t xml:space="preserve">873-884. </w:t>
      </w:r>
    </w:p>
    <w:p w14:paraId="403F6042" w14:textId="398577A6"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Collins, S., Drew, P., Watt, I., Entwistle, V.</w:t>
      </w:r>
      <w:r w:rsidR="00005929">
        <w:rPr>
          <w:rFonts w:ascii="Times New Roman" w:hAnsi="Times New Roman" w:cs="Times New Roman"/>
          <w:noProof/>
        </w:rPr>
        <w:t xml:space="preserve"> 2005.</w:t>
      </w:r>
      <w:r w:rsidRPr="005E7135">
        <w:rPr>
          <w:rFonts w:ascii="Times New Roman" w:hAnsi="Times New Roman" w:cs="Times New Roman"/>
          <w:noProof/>
        </w:rPr>
        <w:t xml:space="preserve"> 'Unilateral' and 'bilateral' practitioner approaches in decision-making about treatment. Soc. Sci. Med.</w:t>
      </w:r>
      <w:r w:rsidRPr="005E7135">
        <w:rPr>
          <w:rFonts w:ascii="Times New Roman" w:hAnsi="Times New Roman" w:cs="Times New Roman"/>
          <w:i/>
          <w:noProof/>
        </w:rPr>
        <w:t xml:space="preserve"> </w:t>
      </w:r>
      <w:r w:rsidRPr="001742CC">
        <w:rPr>
          <w:rFonts w:ascii="Times New Roman" w:hAnsi="Times New Roman" w:cs="Times New Roman"/>
          <w:noProof/>
        </w:rPr>
        <w:t>61</w:t>
      </w:r>
      <w:r w:rsidR="001742CC">
        <w:rPr>
          <w:rFonts w:ascii="Times New Roman" w:hAnsi="Times New Roman" w:cs="Times New Roman"/>
          <w:noProof/>
        </w:rPr>
        <w:t xml:space="preserve">, </w:t>
      </w:r>
      <w:r w:rsidRPr="005E7135">
        <w:rPr>
          <w:rFonts w:ascii="Times New Roman" w:hAnsi="Times New Roman" w:cs="Times New Roman"/>
          <w:noProof/>
        </w:rPr>
        <w:t xml:space="preserve">2611-2627. </w:t>
      </w:r>
    </w:p>
    <w:p w14:paraId="5A5CA203" w14:textId="43D7A704"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Costello, B. A., Roberts, F. </w:t>
      </w:r>
      <w:r w:rsidR="001742CC">
        <w:rPr>
          <w:rFonts w:ascii="Times New Roman" w:hAnsi="Times New Roman" w:cs="Times New Roman"/>
          <w:noProof/>
        </w:rPr>
        <w:t xml:space="preserve">2001. </w:t>
      </w:r>
      <w:r w:rsidRPr="005E7135">
        <w:rPr>
          <w:rFonts w:ascii="Times New Roman" w:hAnsi="Times New Roman" w:cs="Times New Roman"/>
          <w:noProof/>
        </w:rPr>
        <w:t>Medical Recommendations as Joint Social Practice. Health Commun</w:t>
      </w:r>
      <w:r w:rsidR="001742CC">
        <w:rPr>
          <w:rFonts w:ascii="Times New Roman" w:hAnsi="Times New Roman" w:cs="Times New Roman"/>
          <w:noProof/>
        </w:rPr>
        <w:t>. 13,</w:t>
      </w:r>
      <w:r w:rsidRPr="005E7135">
        <w:rPr>
          <w:rFonts w:ascii="Times New Roman" w:hAnsi="Times New Roman" w:cs="Times New Roman"/>
          <w:noProof/>
        </w:rPr>
        <w:t xml:space="preserve"> 241-260. </w:t>
      </w:r>
    </w:p>
    <w:p w14:paraId="2EC0255B" w14:textId="6A46101A"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Couët, N., Desroches, S., Robitaille, H., Vaillancourt, H., Leblanc, A., Turcotte, S., Elwyn, G., Légaré, F. </w:t>
      </w:r>
      <w:r w:rsidR="001742CC">
        <w:rPr>
          <w:rFonts w:ascii="Times New Roman" w:hAnsi="Times New Roman" w:cs="Times New Roman"/>
          <w:noProof/>
        </w:rPr>
        <w:t xml:space="preserve">2015. </w:t>
      </w:r>
      <w:r w:rsidRPr="005E7135">
        <w:rPr>
          <w:rFonts w:ascii="Times New Roman" w:hAnsi="Times New Roman" w:cs="Times New Roman"/>
          <w:noProof/>
        </w:rPr>
        <w:t>Assessments of the extent to which health</w:t>
      </w:r>
      <w:r w:rsidRPr="005E7135">
        <w:rPr>
          <w:rFonts w:eastAsia="Calibri" w:cs="Calibri"/>
          <w:noProof/>
        </w:rPr>
        <w:t>‐</w:t>
      </w:r>
      <w:r w:rsidRPr="005E7135">
        <w:rPr>
          <w:rFonts w:ascii="Times New Roman" w:hAnsi="Times New Roman" w:cs="Times New Roman"/>
          <w:noProof/>
        </w:rPr>
        <w:t>care providers involve patients in decision making: a systematic review of studies using the OPTION instrument. Health Expect. 18,</w:t>
      </w:r>
      <w:r w:rsidR="001742CC">
        <w:rPr>
          <w:rFonts w:ascii="Times New Roman" w:hAnsi="Times New Roman" w:cs="Times New Roman"/>
          <w:noProof/>
        </w:rPr>
        <w:t xml:space="preserve"> </w:t>
      </w:r>
      <w:r w:rsidRPr="005E7135">
        <w:rPr>
          <w:rFonts w:ascii="Times New Roman" w:hAnsi="Times New Roman" w:cs="Times New Roman"/>
          <w:noProof/>
        </w:rPr>
        <w:t xml:space="preserve">542-561. </w:t>
      </w:r>
    </w:p>
    <w:p w14:paraId="1C65ECDA" w14:textId="7C2C116D" w:rsidR="005E7135" w:rsidRPr="005E7135" w:rsidRDefault="00AF209D" w:rsidP="005E7135">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Department of Health 2005</w:t>
      </w:r>
      <w:r w:rsidR="005E7135" w:rsidRPr="005E7135">
        <w:rPr>
          <w:rFonts w:ascii="Times New Roman" w:hAnsi="Times New Roman" w:cs="Times New Roman"/>
          <w:noProof/>
        </w:rPr>
        <w:t>. The National Service Framework for Long-Term Conditions. London: Department of Health.</w:t>
      </w:r>
    </w:p>
    <w:p w14:paraId="0D3C240A" w14:textId="029FA7A1" w:rsidR="005E7135" w:rsidRPr="005E7135" w:rsidRDefault="00AF209D" w:rsidP="005E7135">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lastRenderedPageBreak/>
        <w:t>Department of Health. 2015</w:t>
      </w:r>
      <w:r w:rsidR="005E7135" w:rsidRPr="005E7135">
        <w:rPr>
          <w:rFonts w:ascii="Times New Roman" w:hAnsi="Times New Roman" w:cs="Times New Roman"/>
          <w:noProof/>
        </w:rPr>
        <w:t xml:space="preserve">. </w:t>
      </w:r>
      <w:r w:rsidR="005E7135" w:rsidRPr="005E7135">
        <w:rPr>
          <w:rFonts w:ascii="Times New Roman" w:hAnsi="Times New Roman" w:cs="Times New Roman"/>
          <w:i/>
          <w:noProof/>
        </w:rPr>
        <w:t>The NHS Constitution</w:t>
      </w:r>
      <w:r w:rsidR="005E7135" w:rsidRPr="005E7135">
        <w:rPr>
          <w:rFonts w:ascii="Times New Roman" w:hAnsi="Times New Roman" w:cs="Times New Roman"/>
          <w:noProof/>
        </w:rPr>
        <w:t xml:space="preserve">. </w:t>
      </w:r>
      <w:hyperlink r:id="rId13" w:history="1">
        <w:r w:rsidR="005E7135" w:rsidRPr="005E7135">
          <w:rPr>
            <w:rStyle w:val="Hyperlink"/>
            <w:rFonts w:ascii="Times New Roman" w:hAnsi="Times New Roman" w:cs="Times New Roman"/>
            <w:noProof/>
          </w:rPr>
          <w:t>https://www.gov.uk/government/uploads/system/uploads/attachment_data/file/480482/NHS_Constitution_WEB.pdf</w:t>
        </w:r>
      </w:hyperlink>
      <w:r w:rsidR="005E7135" w:rsidRPr="005E7135">
        <w:rPr>
          <w:rFonts w:ascii="Times New Roman" w:hAnsi="Times New Roman" w:cs="Times New Roman"/>
          <w:noProof/>
        </w:rPr>
        <w:t xml:space="preserve"> (accessed 16 November 2017)</w:t>
      </w:r>
    </w:p>
    <w:p w14:paraId="573F59FD" w14:textId="006C3247"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Elwyn, G., Scholl, I., Tiet</w:t>
      </w:r>
      <w:r w:rsidR="001742CC">
        <w:rPr>
          <w:rFonts w:ascii="Times New Roman" w:hAnsi="Times New Roman" w:cs="Times New Roman"/>
          <w:noProof/>
        </w:rPr>
        <w:t>bohl, C., Mann, M., Edwards, A.</w:t>
      </w:r>
      <w:r w:rsidRPr="005E7135">
        <w:rPr>
          <w:rFonts w:ascii="Times New Roman" w:hAnsi="Times New Roman" w:cs="Times New Roman"/>
          <w:noProof/>
        </w:rPr>
        <w:t xml:space="preserve">G., Clay, C., </w:t>
      </w:r>
      <w:proofErr w:type="spellStart"/>
      <w:r w:rsidRPr="005E7135">
        <w:rPr>
          <w:rFonts w:ascii="Times New Roman" w:eastAsiaTheme="minorEastAsia" w:hAnsi="Times New Roman" w:cs="Times New Roman"/>
          <w:u w:val="single" w:color="DCA10D"/>
        </w:rPr>
        <w:t>Légaré</w:t>
      </w:r>
      <w:proofErr w:type="spellEnd"/>
      <w:r w:rsidRPr="005E7135">
        <w:rPr>
          <w:rFonts w:ascii="Times New Roman" w:eastAsiaTheme="minorEastAsia" w:hAnsi="Times New Roman" w:cs="Times New Roman"/>
          <w:u w:val="single" w:color="DCA10D"/>
        </w:rPr>
        <w:t xml:space="preserve"> F</w:t>
      </w:r>
      <w:r w:rsidR="001742CC">
        <w:rPr>
          <w:rFonts w:ascii="Times New Roman" w:eastAsiaTheme="minorEastAsia" w:hAnsi="Times New Roman" w:cs="Times New Roman"/>
          <w:u w:val="single" w:color="DCA10D"/>
        </w:rPr>
        <w:t>.</w:t>
      </w:r>
      <w:r w:rsidRPr="005E7135">
        <w:rPr>
          <w:rFonts w:ascii="Times New Roman" w:eastAsiaTheme="minorEastAsia" w:hAnsi="Times New Roman" w:cs="Times New Roman"/>
        </w:rPr>
        <w:t>, </w:t>
      </w:r>
      <w:r w:rsidRPr="005E7135">
        <w:rPr>
          <w:rFonts w:ascii="Times New Roman" w:eastAsiaTheme="minorEastAsia" w:hAnsi="Times New Roman" w:cs="Times New Roman"/>
          <w:u w:val="single" w:color="DCA10D"/>
        </w:rPr>
        <w:t xml:space="preserve">van der </w:t>
      </w:r>
      <w:proofErr w:type="spellStart"/>
      <w:r w:rsidRPr="005E7135">
        <w:rPr>
          <w:rFonts w:ascii="Times New Roman" w:eastAsiaTheme="minorEastAsia" w:hAnsi="Times New Roman" w:cs="Times New Roman"/>
          <w:u w:val="single" w:color="DCA10D"/>
        </w:rPr>
        <w:t>Weijden</w:t>
      </w:r>
      <w:proofErr w:type="spellEnd"/>
      <w:r w:rsidRPr="005E7135">
        <w:rPr>
          <w:rFonts w:ascii="Times New Roman" w:eastAsiaTheme="minorEastAsia" w:hAnsi="Times New Roman" w:cs="Times New Roman"/>
          <w:u w:val="single" w:color="DCA10D"/>
        </w:rPr>
        <w:t xml:space="preserve"> T</w:t>
      </w:r>
      <w:r w:rsidR="001742CC">
        <w:rPr>
          <w:rFonts w:ascii="Times New Roman" w:eastAsiaTheme="minorEastAsia" w:hAnsi="Times New Roman" w:cs="Times New Roman"/>
          <w:u w:val="single" w:color="DCA10D"/>
        </w:rPr>
        <w:t>.</w:t>
      </w:r>
      <w:r w:rsidRPr="005E7135">
        <w:rPr>
          <w:rFonts w:ascii="Times New Roman" w:eastAsiaTheme="minorEastAsia" w:hAnsi="Times New Roman" w:cs="Times New Roman"/>
        </w:rPr>
        <w:t>, </w:t>
      </w:r>
      <w:r w:rsidRPr="005E7135">
        <w:rPr>
          <w:rFonts w:ascii="Times New Roman" w:eastAsiaTheme="minorEastAsia" w:hAnsi="Times New Roman" w:cs="Times New Roman"/>
          <w:u w:val="single" w:color="DCA10D"/>
        </w:rPr>
        <w:t>Lewis C</w:t>
      </w:r>
      <w:r w:rsidR="001742CC">
        <w:rPr>
          <w:rFonts w:ascii="Times New Roman" w:eastAsiaTheme="minorEastAsia" w:hAnsi="Times New Roman" w:cs="Times New Roman"/>
          <w:u w:val="single" w:color="DCA10D"/>
        </w:rPr>
        <w:t>.</w:t>
      </w:r>
      <w:r w:rsidRPr="005E7135">
        <w:rPr>
          <w:rFonts w:ascii="Times New Roman" w:eastAsiaTheme="minorEastAsia" w:hAnsi="Times New Roman" w:cs="Times New Roman"/>
          <w:u w:val="single" w:color="DCA10D"/>
        </w:rPr>
        <w:t>L</w:t>
      </w:r>
      <w:r w:rsidR="001742CC">
        <w:rPr>
          <w:rFonts w:ascii="Times New Roman" w:eastAsiaTheme="minorEastAsia" w:hAnsi="Times New Roman" w:cs="Times New Roman"/>
          <w:u w:val="single" w:color="DCA10D"/>
        </w:rPr>
        <w:t>.</w:t>
      </w:r>
      <w:r w:rsidRPr="005E7135">
        <w:rPr>
          <w:rFonts w:ascii="Times New Roman" w:eastAsiaTheme="minorEastAsia" w:hAnsi="Times New Roman" w:cs="Times New Roman"/>
        </w:rPr>
        <w:t>, </w:t>
      </w:r>
      <w:r w:rsidRPr="005E7135">
        <w:rPr>
          <w:rFonts w:ascii="Times New Roman" w:eastAsiaTheme="minorEastAsia" w:hAnsi="Times New Roman" w:cs="Times New Roman"/>
          <w:u w:val="single" w:color="DCA10D"/>
        </w:rPr>
        <w:t>Wexler R</w:t>
      </w:r>
      <w:r w:rsidR="001742CC">
        <w:rPr>
          <w:rFonts w:ascii="Times New Roman" w:eastAsiaTheme="minorEastAsia" w:hAnsi="Times New Roman" w:cs="Times New Roman"/>
          <w:u w:val="single" w:color="DCA10D"/>
        </w:rPr>
        <w:t>.</w:t>
      </w:r>
      <w:r w:rsidRPr="005E7135">
        <w:rPr>
          <w:rFonts w:ascii="Times New Roman" w:eastAsiaTheme="minorEastAsia" w:hAnsi="Times New Roman" w:cs="Times New Roman"/>
          <w:u w:val="single" w:color="DCA10D"/>
        </w:rPr>
        <w:t>M</w:t>
      </w:r>
      <w:r w:rsidR="001742CC">
        <w:rPr>
          <w:rFonts w:ascii="Times New Roman" w:eastAsiaTheme="minorEastAsia" w:hAnsi="Times New Roman" w:cs="Times New Roman"/>
          <w:u w:val="single" w:color="DCA10D"/>
        </w:rPr>
        <w:t>.</w:t>
      </w:r>
      <w:r w:rsidRPr="005E7135">
        <w:rPr>
          <w:rFonts w:ascii="Times New Roman" w:eastAsiaTheme="minorEastAsia" w:hAnsi="Times New Roman" w:cs="Times New Roman"/>
        </w:rPr>
        <w:t>, </w:t>
      </w:r>
      <w:proofErr w:type="spellStart"/>
      <w:r w:rsidRPr="005E7135">
        <w:rPr>
          <w:rFonts w:ascii="Times New Roman" w:eastAsiaTheme="minorEastAsia" w:hAnsi="Times New Roman" w:cs="Times New Roman"/>
          <w:u w:val="single" w:color="DCA10D"/>
        </w:rPr>
        <w:t>Frosch</w:t>
      </w:r>
      <w:proofErr w:type="spellEnd"/>
      <w:r w:rsidRPr="005E7135">
        <w:rPr>
          <w:rFonts w:ascii="Times New Roman" w:eastAsiaTheme="minorEastAsia" w:hAnsi="Times New Roman" w:cs="Times New Roman"/>
          <w:u w:val="single" w:color="DCA10D"/>
        </w:rPr>
        <w:t xml:space="preserve"> D</w:t>
      </w:r>
      <w:r w:rsidR="001742CC">
        <w:rPr>
          <w:rFonts w:ascii="Times New Roman" w:eastAsiaTheme="minorEastAsia" w:hAnsi="Times New Roman" w:cs="Times New Roman"/>
          <w:u w:val="single" w:color="DCA10D"/>
        </w:rPr>
        <w:t>.</w:t>
      </w:r>
      <w:r w:rsidRPr="005E7135">
        <w:rPr>
          <w:rFonts w:ascii="Times New Roman" w:eastAsiaTheme="minorEastAsia" w:hAnsi="Times New Roman" w:cs="Times New Roman"/>
          <w:u w:val="single" w:color="DCA10D"/>
        </w:rPr>
        <w:t>L</w:t>
      </w:r>
      <w:r w:rsidRPr="005E7135">
        <w:rPr>
          <w:rFonts w:ascii="Times New Roman" w:eastAsiaTheme="minorEastAsia" w:hAnsi="Times New Roman" w:cs="Times New Roman"/>
          <w:color w:val="353535"/>
        </w:rPr>
        <w:t>.</w:t>
      </w:r>
      <w:r w:rsidRPr="005E7135">
        <w:rPr>
          <w:rFonts w:ascii="Times New Roman" w:hAnsi="Times New Roman" w:cs="Times New Roman"/>
          <w:noProof/>
        </w:rPr>
        <w:t xml:space="preserve"> </w:t>
      </w:r>
      <w:r w:rsidR="001742CC">
        <w:rPr>
          <w:rFonts w:ascii="Times New Roman" w:hAnsi="Times New Roman" w:cs="Times New Roman"/>
          <w:noProof/>
        </w:rPr>
        <w:t xml:space="preserve">2013. </w:t>
      </w:r>
      <w:r w:rsidRPr="005E7135">
        <w:rPr>
          <w:rFonts w:ascii="Times New Roman" w:hAnsi="Times New Roman" w:cs="Times New Roman"/>
          <w:noProof/>
        </w:rPr>
        <w:t xml:space="preserve">“Many miles to go…”: a systematic review of the implementation of patient decision support interventions into routine clinical practice. BMC Med. Inform. Decis. 13, S14. </w:t>
      </w:r>
    </w:p>
    <w:p w14:paraId="346C2E41" w14:textId="59827DF4" w:rsid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Galobardes, B., Lynch, J., Smith, G. D. </w:t>
      </w:r>
      <w:r w:rsidR="001742CC">
        <w:rPr>
          <w:rFonts w:ascii="Times New Roman" w:hAnsi="Times New Roman" w:cs="Times New Roman"/>
          <w:noProof/>
        </w:rPr>
        <w:t xml:space="preserve">2007. </w:t>
      </w:r>
      <w:r w:rsidRPr="005E7135">
        <w:rPr>
          <w:rFonts w:ascii="Times New Roman" w:hAnsi="Times New Roman" w:cs="Times New Roman"/>
          <w:noProof/>
        </w:rPr>
        <w:t>Measuring socioeconomic position in health research. Brit. Med. Bull.</w:t>
      </w:r>
      <w:r w:rsidRPr="005E7135">
        <w:rPr>
          <w:rFonts w:ascii="Times New Roman" w:hAnsi="Times New Roman" w:cs="Times New Roman"/>
          <w:i/>
          <w:noProof/>
        </w:rPr>
        <w:t xml:space="preserve"> </w:t>
      </w:r>
      <w:r w:rsidRPr="001742CC">
        <w:rPr>
          <w:rFonts w:ascii="Times New Roman" w:hAnsi="Times New Roman" w:cs="Times New Roman"/>
          <w:noProof/>
        </w:rPr>
        <w:t>81</w:t>
      </w:r>
      <w:r w:rsidR="001742CC">
        <w:rPr>
          <w:rFonts w:ascii="Times New Roman" w:hAnsi="Times New Roman" w:cs="Times New Roman"/>
          <w:i/>
          <w:noProof/>
        </w:rPr>
        <w:t>,</w:t>
      </w:r>
      <w:r w:rsidRPr="005E7135">
        <w:rPr>
          <w:rFonts w:ascii="Times New Roman" w:hAnsi="Times New Roman" w:cs="Times New Roman"/>
          <w:noProof/>
        </w:rPr>
        <w:t xml:space="preserve"> 21-37. </w:t>
      </w:r>
    </w:p>
    <w:p w14:paraId="10FF1533" w14:textId="4AD883C6" w:rsidR="00313324" w:rsidRPr="005E7135" w:rsidRDefault="001742CC" w:rsidP="005E7135">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 xml:space="preserve">Heath, C. </w:t>
      </w:r>
      <w:r w:rsidR="00313324">
        <w:rPr>
          <w:rFonts w:ascii="Times New Roman" w:hAnsi="Times New Roman" w:cs="Times New Roman"/>
          <w:noProof/>
        </w:rPr>
        <w:t>1992</w:t>
      </w:r>
      <w:r>
        <w:rPr>
          <w:rFonts w:ascii="Times New Roman" w:hAnsi="Times New Roman" w:cs="Times New Roman"/>
          <w:noProof/>
        </w:rPr>
        <w:t>.</w:t>
      </w:r>
      <w:r w:rsidR="00313324">
        <w:rPr>
          <w:rFonts w:ascii="Times New Roman" w:hAnsi="Times New Roman" w:cs="Times New Roman"/>
          <w:noProof/>
        </w:rPr>
        <w:t xml:space="preserve"> The delivery and reception of diagnosis in the general-practice consultation</w:t>
      </w:r>
      <w:r>
        <w:rPr>
          <w:rFonts w:ascii="Times New Roman" w:hAnsi="Times New Roman" w:cs="Times New Roman"/>
          <w:noProof/>
        </w:rPr>
        <w:t>, in:</w:t>
      </w:r>
      <w:r w:rsidR="00313324">
        <w:rPr>
          <w:rFonts w:ascii="Times New Roman" w:hAnsi="Times New Roman" w:cs="Times New Roman"/>
          <w:noProof/>
        </w:rPr>
        <w:t xml:space="preserve"> Drew</w:t>
      </w:r>
      <w:r>
        <w:rPr>
          <w:rFonts w:ascii="Times New Roman" w:hAnsi="Times New Roman" w:cs="Times New Roman"/>
          <w:noProof/>
        </w:rPr>
        <w:t>, P.,</w:t>
      </w:r>
      <w:r w:rsidR="00313324">
        <w:rPr>
          <w:rFonts w:ascii="Times New Roman" w:hAnsi="Times New Roman" w:cs="Times New Roman"/>
          <w:noProof/>
        </w:rPr>
        <w:t xml:space="preserve"> Heritage</w:t>
      </w:r>
      <w:r>
        <w:rPr>
          <w:rFonts w:ascii="Times New Roman" w:hAnsi="Times New Roman" w:cs="Times New Roman"/>
          <w:noProof/>
        </w:rPr>
        <w:t>, J.</w:t>
      </w:r>
      <w:r w:rsidR="00313324">
        <w:rPr>
          <w:rFonts w:ascii="Times New Roman" w:hAnsi="Times New Roman" w:cs="Times New Roman"/>
          <w:noProof/>
        </w:rPr>
        <w:t xml:space="preserve"> (</w:t>
      </w:r>
      <w:r>
        <w:rPr>
          <w:rFonts w:ascii="Times New Roman" w:hAnsi="Times New Roman" w:cs="Times New Roman"/>
          <w:noProof/>
        </w:rPr>
        <w:t>E</w:t>
      </w:r>
      <w:r w:rsidR="00313324">
        <w:rPr>
          <w:rFonts w:ascii="Times New Roman" w:hAnsi="Times New Roman" w:cs="Times New Roman"/>
          <w:noProof/>
        </w:rPr>
        <w:t>ds</w:t>
      </w:r>
      <w:r>
        <w:rPr>
          <w:rFonts w:ascii="Times New Roman" w:hAnsi="Times New Roman" w:cs="Times New Roman"/>
          <w:noProof/>
        </w:rPr>
        <w:t>.),</w:t>
      </w:r>
      <w:r w:rsidR="00313324">
        <w:rPr>
          <w:rFonts w:ascii="Times New Roman" w:hAnsi="Times New Roman" w:cs="Times New Roman"/>
          <w:noProof/>
        </w:rPr>
        <w:t xml:space="preserve"> Talk at work: interaction in institutional setttings</w:t>
      </w:r>
      <w:r>
        <w:rPr>
          <w:rFonts w:ascii="Times New Roman" w:hAnsi="Times New Roman" w:cs="Times New Roman"/>
          <w:noProof/>
        </w:rPr>
        <w:t>, Cambridge Univesity Press, Cambridge, p</w:t>
      </w:r>
      <w:r w:rsidR="00313324">
        <w:rPr>
          <w:rFonts w:ascii="Times New Roman" w:hAnsi="Times New Roman" w:cs="Times New Roman"/>
          <w:noProof/>
        </w:rPr>
        <w:t>p. 235-267.</w:t>
      </w:r>
    </w:p>
    <w:p w14:paraId="35374A4E" w14:textId="6AA68B37"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Heritage, J. </w:t>
      </w:r>
      <w:r w:rsidR="001742CC">
        <w:rPr>
          <w:rFonts w:ascii="Times New Roman" w:hAnsi="Times New Roman" w:cs="Times New Roman"/>
          <w:noProof/>
        </w:rPr>
        <w:t xml:space="preserve">2012. </w:t>
      </w:r>
      <w:r w:rsidRPr="005E7135">
        <w:rPr>
          <w:rFonts w:ascii="Times New Roman" w:hAnsi="Times New Roman" w:cs="Times New Roman"/>
          <w:noProof/>
        </w:rPr>
        <w:t xml:space="preserve">The Epistemic Engine: Sequence Organization and Territories of Knowledge. Res. </w:t>
      </w:r>
      <w:r w:rsidR="001742CC">
        <w:rPr>
          <w:rFonts w:ascii="Times New Roman" w:hAnsi="Times New Roman" w:cs="Times New Roman"/>
          <w:noProof/>
        </w:rPr>
        <w:t xml:space="preserve">Lang. Soc. Interac., 45, </w:t>
      </w:r>
      <w:r w:rsidRPr="005E7135">
        <w:rPr>
          <w:rFonts w:ascii="Times New Roman" w:hAnsi="Times New Roman" w:cs="Times New Roman"/>
          <w:noProof/>
        </w:rPr>
        <w:t xml:space="preserve">pp. 30-52. </w:t>
      </w:r>
    </w:p>
    <w:p w14:paraId="252A723F" w14:textId="7E300540" w:rsidR="005E7135" w:rsidRPr="005E7135" w:rsidRDefault="001742CC" w:rsidP="005E7135">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 xml:space="preserve">Hudak, P., Clark, S., </w:t>
      </w:r>
      <w:r w:rsidR="005E7135" w:rsidRPr="005E7135">
        <w:rPr>
          <w:rFonts w:ascii="Times New Roman" w:hAnsi="Times New Roman" w:cs="Times New Roman"/>
          <w:noProof/>
        </w:rPr>
        <w:t>Raymond, G.</w:t>
      </w:r>
      <w:r>
        <w:rPr>
          <w:rFonts w:ascii="Times New Roman" w:hAnsi="Times New Roman" w:cs="Times New Roman"/>
          <w:noProof/>
        </w:rPr>
        <w:t xml:space="preserve"> 2011.</w:t>
      </w:r>
      <w:r w:rsidR="005E7135" w:rsidRPr="005E7135">
        <w:rPr>
          <w:rFonts w:ascii="Times New Roman" w:hAnsi="Times New Roman" w:cs="Times New Roman"/>
          <w:noProof/>
        </w:rPr>
        <w:t xml:space="preserve"> How surgeons design treatment recommendations in orthopaedic surgery. Soc. Sci. Med.</w:t>
      </w:r>
      <w:r w:rsidR="005E7135" w:rsidRPr="005E7135">
        <w:rPr>
          <w:rFonts w:ascii="Times New Roman" w:hAnsi="Times New Roman" w:cs="Times New Roman"/>
          <w:i/>
          <w:noProof/>
        </w:rPr>
        <w:t xml:space="preserve"> </w:t>
      </w:r>
      <w:r w:rsidR="005E7135" w:rsidRPr="001742CC">
        <w:rPr>
          <w:rFonts w:ascii="Times New Roman" w:hAnsi="Times New Roman" w:cs="Times New Roman"/>
          <w:noProof/>
        </w:rPr>
        <w:t>73</w:t>
      </w:r>
      <w:r w:rsidR="005E7135" w:rsidRPr="005E7135">
        <w:rPr>
          <w:rFonts w:ascii="Times New Roman" w:hAnsi="Times New Roman" w:cs="Times New Roman"/>
          <w:noProof/>
        </w:rPr>
        <w:t xml:space="preserve">, 1028-1036. </w:t>
      </w:r>
    </w:p>
    <w:p w14:paraId="686DA18B" w14:textId="1A5B5247"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Jones, L., Roberts, L., Little</w:t>
      </w:r>
      <w:r w:rsidR="001742CC">
        <w:rPr>
          <w:rFonts w:ascii="Times New Roman" w:hAnsi="Times New Roman" w:cs="Times New Roman"/>
          <w:noProof/>
        </w:rPr>
        <w:t>, P., Mullee, M., Cleland, J.,</w:t>
      </w:r>
      <w:r w:rsidRPr="005E7135">
        <w:rPr>
          <w:rFonts w:ascii="Times New Roman" w:hAnsi="Times New Roman" w:cs="Times New Roman"/>
          <w:noProof/>
        </w:rPr>
        <w:t xml:space="preserve"> Cooper, C. </w:t>
      </w:r>
      <w:r w:rsidR="001742CC">
        <w:rPr>
          <w:rFonts w:ascii="Times New Roman" w:hAnsi="Times New Roman" w:cs="Times New Roman"/>
          <w:noProof/>
        </w:rPr>
        <w:t xml:space="preserve">2014. </w:t>
      </w:r>
      <w:r w:rsidRPr="005E7135">
        <w:rPr>
          <w:rFonts w:ascii="Times New Roman" w:hAnsi="Times New Roman" w:cs="Times New Roman"/>
          <w:noProof/>
        </w:rPr>
        <w:t xml:space="preserve">Shared decision-making in back pain consultations: an illusion or reality? Eur. Spine </w:t>
      </w:r>
      <w:r w:rsidRPr="001742CC">
        <w:rPr>
          <w:rFonts w:ascii="Times New Roman" w:hAnsi="Times New Roman" w:cs="Times New Roman"/>
          <w:noProof/>
        </w:rPr>
        <w:t>J.</w:t>
      </w:r>
      <w:r w:rsidR="001742CC">
        <w:rPr>
          <w:rFonts w:ascii="Times New Roman" w:hAnsi="Times New Roman" w:cs="Times New Roman"/>
          <w:i/>
          <w:noProof/>
        </w:rPr>
        <w:t xml:space="preserve"> </w:t>
      </w:r>
      <w:r w:rsidRPr="001742CC">
        <w:rPr>
          <w:rFonts w:ascii="Times New Roman" w:hAnsi="Times New Roman" w:cs="Times New Roman"/>
          <w:noProof/>
        </w:rPr>
        <w:t>23</w:t>
      </w:r>
      <w:r w:rsidRPr="005E7135">
        <w:rPr>
          <w:rFonts w:ascii="Times New Roman" w:hAnsi="Times New Roman" w:cs="Times New Roman"/>
          <w:noProof/>
        </w:rPr>
        <w:t xml:space="preserve">, 13-19. </w:t>
      </w:r>
    </w:p>
    <w:p w14:paraId="50DB3659" w14:textId="203223D8"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Koenig, C. </w:t>
      </w:r>
      <w:r w:rsidR="001742CC">
        <w:rPr>
          <w:rFonts w:ascii="Times New Roman" w:hAnsi="Times New Roman" w:cs="Times New Roman"/>
          <w:noProof/>
        </w:rPr>
        <w:t xml:space="preserve">2011. </w:t>
      </w:r>
      <w:r w:rsidRPr="005E7135">
        <w:rPr>
          <w:rFonts w:ascii="Times New Roman" w:hAnsi="Times New Roman" w:cs="Times New Roman"/>
          <w:noProof/>
        </w:rPr>
        <w:t>Patient resistance as agency in treatment decisions. Soc. Sci. Med.</w:t>
      </w:r>
      <w:r w:rsidRPr="005E7135">
        <w:rPr>
          <w:rFonts w:ascii="Times New Roman" w:hAnsi="Times New Roman" w:cs="Times New Roman"/>
          <w:i/>
          <w:noProof/>
        </w:rPr>
        <w:t xml:space="preserve"> </w:t>
      </w:r>
      <w:r w:rsidRPr="001742CC">
        <w:rPr>
          <w:rFonts w:ascii="Times New Roman" w:hAnsi="Times New Roman" w:cs="Times New Roman"/>
          <w:noProof/>
        </w:rPr>
        <w:t>72</w:t>
      </w:r>
      <w:r w:rsidR="001742CC" w:rsidRPr="001742CC">
        <w:rPr>
          <w:rFonts w:ascii="Times New Roman" w:hAnsi="Times New Roman" w:cs="Times New Roman"/>
          <w:noProof/>
        </w:rPr>
        <w:t xml:space="preserve">, </w:t>
      </w:r>
      <w:r w:rsidRPr="001742CC">
        <w:rPr>
          <w:rFonts w:ascii="Times New Roman" w:hAnsi="Times New Roman" w:cs="Times New Roman"/>
          <w:noProof/>
        </w:rPr>
        <w:t>1105</w:t>
      </w:r>
      <w:r w:rsidRPr="005E7135">
        <w:rPr>
          <w:rFonts w:ascii="Times New Roman" w:hAnsi="Times New Roman" w:cs="Times New Roman"/>
          <w:noProof/>
        </w:rPr>
        <w:t xml:space="preserve">-1114. </w:t>
      </w:r>
    </w:p>
    <w:p w14:paraId="04C0E0E8" w14:textId="7E76CD55" w:rsidR="005E7135" w:rsidRPr="005E7135" w:rsidRDefault="001742CC" w:rsidP="005E7135">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Landis, J.</w:t>
      </w:r>
      <w:r w:rsidR="005E7135" w:rsidRPr="005E7135">
        <w:rPr>
          <w:rFonts w:ascii="Times New Roman" w:hAnsi="Times New Roman" w:cs="Times New Roman"/>
          <w:noProof/>
        </w:rPr>
        <w:t xml:space="preserve">R., Koch, G.G. </w:t>
      </w:r>
      <w:r>
        <w:rPr>
          <w:rFonts w:ascii="Times New Roman" w:hAnsi="Times New Roman" w:cs="Times New Roman"/>
          <w:noProof/>
        </w:rPr>
        <w:t xml:space="preserve">1977. </w:t>
      </w:r>
      <w:r w:rsidR="005E7135" w:rsidRPr="005E7135">
        <w:rPr>
          <w:rFonts w:ascii="Times New Roman" w:hAnsi="Times New Roman" w:cs="Times New Roman"/>
          <w:noProof/>
        </w:rPr>
        <w:t xml:space="preserve">The measurement of observer agreement for categorical data. Biometrics, 33, 159-174. </w:t>
      </w:r>
    </w:p>
    <w:p w14:paraId="7680DF52" w14:textId="25F4B315"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lastRenderedPageBreak/>
        <w:t xml:space="preserve">Levinson, W., Kao, A., Kuby, A., Thisted, R.A. </w:t>
      </w:r>
      <w:r w:rsidR="001742CC">
        <w:rPr>
          <w:rFonts w:ascii="Times New Roman" w:hAnsi="Times New Roman" w:cs="Times New Roman"/>
          <w:noProof/>
        </w:rPr>
        <w:t xml:space="preserve">2005. </w:t>
      </w:r>
      <w:r w:rsidRPr="005E7135">
        <w:rPr>
          <w:rFonts w:ascii="Times New Roman" w:hAnsi="Times New Roman" w:cs="Times New Roman"/>
          <w:noProof/>
        </w:rPr>
        <w:t>Not all patients want to participate in decision making. J. Gen. Intern. Med.</w:t>
      </w:r>
      <w:r w:rsidR="001742CC">
        <w:rPr>
          <w:rFonts w:ascii="Times New Roman" w:hAnsi="Times New Roman" w:cs="Times New Roman"/>
          <w:noProof/>
        </w:rPr>
        <w:t xml:space="preserve"> 20, </w:t>
      </w:r>
      <w:r w:rsidRPr="005E7135">
        <w:rPr>
          <w:rFonts w:ascii="Times New Roman" w:hAnsi="Times New Roman" w:cs="Times New Roman"/>
          <w:noProof/>
        </w:rPr>
        <w:t xml:space="preserve">531-535. </w:t>
      </w:r>
    </w:p>
    <w:p w14:paraId="49045216" w14:textId="4D5AC5B4"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McCorry, D., Marson, T., </w:t>
      </w:r>
      <w:r w:rsidR="001742CC">
        <w:rPr>
          <w:rFonts w:ascii="Times New Roman" w:hAnsi="Times New Roman" w:cs="Times New Roman"/>
          <w:noProof/>
        </w:rPr>
        <w:t>Jacoby, A. 2009</w:t>
      </w:r>
      <w:r w:rsidRPr="005E7135">
        <w:rPr>
          <w:rFonts w:ascii="Times New Roman" w:hAnsi="Times New Roman" w:cs="Times New Roman"/>
          <w:noProof/>
        </w:rPr>
        <w:t>. Understanding routine antiepileptic drug desicions: a qualitative analysis of patients' accounts of hospital consultations. Epilepsy Behav</w:t>
      </w:r>
      <w:r w:rsidRPr="005E7135">
        <w:rPr>
          <w:rFonts w:ascii="Times New Roman" w:hAnsi="Times New Roman" w:cs="Times New Roman"/>
          <w:i/>
          <w:noProof/>
        </w:rPr>
        <w:t xml:space="preserve">. </w:t>
      </w:r>
      <w:r w:rsidRPr="005E7135">
        <w:rPr>
          <w:rFonts w:ascii="Times New Roman" w:hAnsi="Times New Roman" w:cs="Times New Roman"/>
          <w:noProof/>
        </w:rPr>
        <w:t>14</w:t>
      </w:r>
      <w:r w:rsidR="001742CC">
        <w:rPr>
          <w:rFonts w:ascii="Times New Roman" w:hAnsi="Times New Roman" w:cs="Times New Roman"/>
          <w:noProof/>
        </w:rPr>
        <w:t>,</w:t>
      </w:r>
      <w:r w:rsidRPr="005E7135">
        <w:rPr>
          <w:rFonts w:ascii="Times New Roman" w:hAnsi="Times New Roman" w:cs="Times New Roman"/>
          <w:noProof/>
        </w:rPr>
        <w:t xml:space="preserve"> 210-214.</w:t>
      </w:r>
    </w:p>
    <w:p w14:paraId="45CDF53A" w14:textId="43C9EF57" w:rsidR="005E7135" w:rsidRPr="005E7135" w:rsidRDefault="005E7135" w:rsidP="005E7135">
      <w:pPr>
        <w:spacing w:line="480" w:lineRule="auto"/>
        <w:ind w:left="709" w:hanging="709"/>
        <w:rPr>
          <w:rFonts w:ascii="Times New Roman" w:eastAsia="Times New Roman" w:hAnsi="Times New Roman" w:cs="Times New Roman"/>
          <w:sz w:val="20"/>
          <w:szCs w:val="20"/>
          <w:lang w:val="en-GB"/>
        </w:rPr>
      </w:pPr>
      <w:r w:rsidRPr="005E7135">
        <w:rPr>
          <w:rFonts w:ascii="Times New Roman" w:hAnsi="Times New Roman" w:cs="Times New Roman"/>
          <w:noProof/>
        </w:rPr>
        <w:t xml:space="preserve">Opel, D. J., Heritage, J., Taylor, J. A., Mangione-Smith, R., Salas, H. S., DeVere, V., Zhou, C., Robinson, J. D. </w:t>
      </w:r>
      <w:r w:rsidR="001742CC">
        <w:rPr>
          <w:rFonts w:ascii="Times New Roman" w:hAnsi="Times New Roman" w:cs="Times New Roman"/>
          <w:noProof/>
        </w:rPr>
        <w:t xml:space="preserve">2013. </w:t>
      </w:r>
      <w:r w:rsidRPr="005E7135">
        <w:rPr>
          <w:rFonts w:ascii="Times New Roman" w:hAnsi="Times New Roman" w:cs="Times New Roman"/>
          <w:noProof/>
        </w:rPr>
        <w:t>The architecture of provider-parent vaccine discussions at health supervision visits. Peds. 132</w:t>
      </w:r>
      <w:r w:rsidR="001742CC">
        <w:rPr>
          <w:rFonts w:ascii="Times New Roman" w:hAnsi="Times New Roman" w:cs="Times New Roman"/>
          <w:noProof/>
        </w:rPr>
        <w:t>,</w:t>
      </w:r>
      <w:r w:rsidRPr="005E7135">
        <w:rPr>
          <w:rFonts w:ascii="Times New Roman" w:hAnsi="Times New Roman" w:cs="Times New Roman"/>
          <w:noProof/>
        </w:rPr>
        <w:t xml:space="preserve"> </w:t>
      </w:r>
      <w:r w:rsidRPr="005E7135">
        <w:rPr>
          <w:rFonts w:ascii="Times New Roman" w:eastAsia="Times New Roman" w:hAnsi="Times New Roman" w:cs="Times New Roman"/>
          <w:color w:val="000000"/>
          <w:shd w:val="clear" w:color="auto" w:fill="FFFFFF"/>
          <w:lang w:val="en-GB"/>
        </w:rPr>
        <w:t>1037–1046</w:t>
      </w:r>
    </w:p>
    <w:p w14:paraId="4B4EE43D" w14:textId="29F2AC9D"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Palace, J. </w:t>
      </w:r>
      <w:r w:rsidR="001742CC">
        <w:rPr>
          <w:rFonts w:ascii="Times New Roman" w:hAnsi="Times New Roman" w:cs="Times New Roman"/>
          <w:noProof/>
        </w:rPr>
        <w:t xml:space="preserve">2013. </w:t>
      </w:r>
      <w:r w:rsidRPr="005E7135">
        <w:rPr>
          <w:rFonts w:ascii="Times New Roman" w:hAnsi="Times New Roman" w:cs="Times New Roman"/>
          <w:noProof/>
        </w:rPr>
        <w:t>Partnership and consent in MS treatment choice. J. Neurol. Sci.</w:t>
      </w:r>
      <w:r w:rsidR="001742CC">
        <w:rPr>
          <w:rFonts w:ascii="Times New Roman" w:hAnsi="Times New Roman" w:cs="Times New Roman"/>
          <w:noProof/>
        </w:rPr>
        <w:t xml:space="preserve"> 335</w:t>
      </w:r>
      <w:r w:rsidRPr="005E7135">
        <w:rPr>
          <w:rFonts w:ascii="Times New Roman" w:hAnsi="Times New Roman" w:cs="Times New Roman"/>
          <w:noProof/>
        </w:rPr>
        <w:t>,</w:t>
      </w:r>
      <w:r w:rsidR="001742CC">
        <w:rPr>
          <w:rFonts w:ascii="Times New Roman" w:hAnsi="Times New Roman" w:cs="Times New Roman"/>
          <w:noProof/>
        </w:rPr>
        <w:t xml:space="preserve"> </w:t>
      </w:r>
      <w:r w:rsidRPr="005E7135">
        <w:rPr>
          <w:rFonts w:ascii="Times New Roman" w:hAnsi="Times New Roman" w:cs="Times New Roman"/>
          <w:noProof/>
        </w:rPr>
        <w:t xml:space="preserve">5-8. </w:t>
      </w:r>
    </w:p>
    <w:p w14:paraId="2C96E15C" w14:textId="414DD81B"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Pietrolongo, E., Giordano, A., Kleinefeld, M., Confalonieri, P., Lugaresi, A., Tortorella, C., </w:t>
      </w:r>
      <w:proofErr w:type="spellStart"/>
      <w:r w:rsidRPr="005E7135">
        <w:rPr>
          <w:rFonts w:ascii="Times New Roman" w:eastAsiaTheme="minorEastAsia" w:hAnsi="Times New Roman" w:cs="Times New Roman"/>
          <w:color w:val="353535"/>
        </w:rPr>
        <w:t>Pugliatti</w:t>
      </w:r>
      <w:proofErr w:type="spellEnd"/>
      <w:r w:rsidRPr="005E7135">
        <w:rPr>
          <w:rFonts w:ascii="Times New Roman" w:eastAsiaTheme="minorEastAsia" w:hAnsi="Times New Roman" w:cs="Times New Roman"/>
          <w:color w:val="353535"/>
        </w:rPr>
        <w:t xml:space="preserve"> M, </w:t>
      </w:r>
      <w:proofErr w:type="spellStart"/>
      <w:r w:rsidRPr="005E7135">
        <w:rPr>
          <w:rFonts w:ascii="Times New Roman" w:eastAsiaTheme="minorEastAsia" w:hAnsi="Times New Roman" w:cs="Times New Roman"/>
          <w:color w:val="353535"/>
        </w:rPr>
        <w:t>Radice</w:t>
      </w:r>
      <w:proofErr w:type="spellEnd"/>
      <w:r w:rsidRPr="005E7135">
        <w:rPr>
          <w:rFonts w:ascii="Times New Roman" w:eastAsiaTheme="minorEastAsia" w:hAnsi="Times New Roman" w:cs="Times New Roman"/>
          <w:color w:val="353535"/>
        </w:rPr>
        <w:t xml:space="preserve"> D, Goss C, </w:t>
      </w:r>
      <w:proofErr w:type="spellStart"/>
      <w:r w:rsidRPr="005E7135">
        <w:rPr>
          <w:rFonts w:ascii="Times New Roman" w:eastAsiaTheme="minorEastAsia" w:hAnsi="Times New Roman" w:cs="Times New Roman"/>
          <w:color w:val="353535"/>
        </w:rPr>
        <w:t>Heesen</w:t>
      </w:r>
      <w:proofErr w:type="spellEnd"/>
      <w:r w:rsidRPr="005E7135">
        <w:rPr>
          <w:rFonts w:ascii="Times New Roman" w:eastAsiaTheme="minorEastAsia" w:hAnsi="Times New Roman" w:cs="Times New Roman"/>
          <w:color w:val="353535"/>
        </w:rPr>
        <w:t xml:space="preserve"> C, </w:t>
      </w:r>
      <w:proofErr w:type="spellStart"/>
      <w:r w:rsidRPr="005E7135">
        <w:rPr>
          <w:rFonts w:ascii="Times New Roman" w:eastAsiaTheme="minorEastAsia" w:hAnsi="Times New Roman" w:cs="Times New Roman"/>
          <w:color w:val="353535"/>
        </w:rPr>
        <w:t>Solari</w:t>
      </w:r>
      <w:proofErr w:type="spellEnd"/>
      <w:r w:rsidRPr="005E7135">
        <w:rPr>
          <w:rFonts w:ascii="Times New Roman" w:eastAsiaTheme="minorEastAsia" w:hAnsi="Times New Roman" w:cs="Times New Roman"/>
          <w:color w:val="353535"/>
        </w:rPr>
        <w:t xml:space="preserve"> A; </w:t>
      </w:r>
      <w:proofErr w:type="spellStart"/>
      <w:r w:rsidRPr="005E7135">
        <w:rPr>
          <w:rFonts w:ascii="Times New Roman" w:eastAsiaTheme="minorEastAsia" w:hAnsi="Times New Roman" w:cs="Times New Roman"/>
          <w:color w:val="353535"/>
        </w:rPr>
        <w:t>AutoMS</w:t>
      </w:r>
      <w:proofErr w:type="spellEnd"/>
      <w:r w:rsidRPr="005E7135">
        <w:rPr>
          <w:rFonts w:ascii="Times New Roman" w:eastAsiaTheme="minorEastAsia" w:hAnsi="Times New Roman" w:cs="Times New Roman"/>
          <w:color w:val="353535"/>
        </w:rPr>
        <w:t xml:space="preserve"> group. </w:t>
      </w:r>
      <w:r w:rsidR="001742CC">
        <w:rPr>
          <w:rFonts w:ascii="Times New Roman" w:eastAsiaTheme="minorEastAsia" w:hAnsi="Times New Roman" w:cs="Times New Roman"/>
          <w:color w:val="353535"/>
        </w:rPr>
        <w:t xml:space="preserve">2013. </w:t>
      </w:r>
      <w:r w:rsidRPr="005E7135">
        <w:rPr>
          <w:rFonts w:ascii="Times New Roman" w:hAnsi="Times New Roman" w:cs="Times New Roman"/>
          <w:noProof/>
        </w:rPr>
        <w:t xml:space="preserve">Decision-making in multiple sclerosis consultations in Italy: third observer and patient assessments. </w:t>
      </w:r>
      <w:r w:rsidRPr="001742CC">
        <w:rPr>
          <w:rFonts w:ascii="Times New Roman" w:hAnsi="Times New Roman" w:cs="Times New Roman"/>
          <w:noProof/>
        </w:rPr>
        <w:t>PLoS One</w:t>
      </w:r>
      <w:r w:rsidR="001742CC">
        <w:rPr>
          <w:rFonts w:ascii="Times New Roman" w:hAnsi="Times New Roman" w:cs="Times New Roman"/>
          <w:noProof/>
        </w:rPr>
        <w:t>.</w:t>
      </w:r>
      <w:r w:rsidRPr="001742CC">
        <w:rPr>
          <w:rFonts w:ascii="Times New Roman" w:hAnsi="Times New Roman" w:cs="Times New Roman"/>
          <w:noProof/>
        </w:rPr>
        <w:t xml:space="preserve"> 8,</w:t>
      </w:r>
      <w:r w:rsidRPr="005E7135">
        <w:rPr>
          <w:rFonts w:ascii="Times New Roman" w:hAnsi="Times New Roman" w:cs="Times New Roman"/>
          <w:noProof/>
        </w:rPr>
        <w:t xml:space="preserve"> e60721. </w:t>
      </w:r>
    </w:p>
    <w:p w14:paraId="33506129" w14:textId="226EAE5B"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Pilnick, A. </w:t>
      </w:r>
      <w:r w:rsidR="001742CC">
        <w:rPr>
          <w:rFonts w:ascii="Times New Roman" w:hAnsi="Times New Roman" w:cs="Times New Roman"/>
          <w:noProof/>
        </w:rPr>
        <w:t xml:space="preserve">2008. </w:t>
      </w:r>
      <w:r w:rsidRPr="005E7135">
        <w:rPr>
          <w:rFonts w:ascii="Times New Roman" w:hAnsi="Times New Roman" w:cs="Times New Roman"/>
          <w:noProof/>
        </w:rPr>
        <w:t>'It's something for you both to think about': choice and decision making in nuchal translucency screening for Down's syndrome. Sociol. Health Ill.</w:t>
      </w:r>
      <w:r w:rsidRPr="005E7135">
        <w:rPr>
          <w:rFonts w:ascii="Times New Roman" w:hAnsi="Times New Roman" w:cs="Times New Roman"/>
          <w:i/>
          <w:noProof/>
        </w:rPr>
        <w:t xml:space="preserve"> </w:t>
      </w:r>
      <w:r w:rsidRPr="001742CC">
        <w:rPr>
          <w:rFonts w:ascii="Times New Roman" w:hAnsi="Times New Roman" w:cs="Times New Roman"/>
          <w:noProof/>
        </w:rPr>
        <w:t>30</w:t>
      </w:r>
      <w:r w:rsidRPr="005E7135">
        <w:rPr>
          <w:rFonts w:ascii="Times New Roman" w:hAnsi="Times New Roman" w:cs="Times New Roman"/>
          <w:noProof/>
        </w:rPr>
        <w:t>,</w:t>
      </w:r>
      <w:r w:rsidR="001742CC">
        <w:rPr>
          <w:rFonts w:ascii="Times New Roman" w:hAnsi="Times New Roman" w:cs="Times New Roman"/>
          <w:noProof/>
        </w:rPr>
        <w:t xml:space="preserve"> </w:t>
      </w:r>
      <w:r w:rsidRPr="005E7135">
        <w:rPr>
          <w:rFonts w:ascii="Times New Roman" w:hAnsi="Times New Roman" w:cs="Times New Roman"/>
          <w:noProof/>
        </w:rPr>
        <w:t xml:space="preserve">511-530. </w:t>
      </w:r>
    </w:p>
    <w:p w14:paraId="2DAC3A76" w14:textId="052389C7" w:rsidR="005E7135" w:rsidRPr="00CE6C57" w:rsidRDefault="005E7135" w:rsidP="00CE6C57">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Quirk, A., Chaplin, R., Lelliott, P., </w:t>
      </w:r>
      <w:r w:rsidR="001742CC">
        <w:rPr>
          <w:rFonts w:ascii="Times New Roman" w:hAnsi="Times New Roman" w:cs="Times New Roman"/>
          <w:noProof/>
        </w:rPr>
        <w:t>and</w:t>
      </w:r>
      <w:r w:rsidRPr="005E7135">
        <w:rPr>
          <w:rFonts w:ascii="Times New Roman" w:hAnsi="Times New Roman" w:cs="Times New Roman"/>
          <w:noProof/>
        </w:rPr>
        <w:t xml:space="preserve"> Seale, C. </w:t>
      </w:r>
      <w:r w:rsidR="001742CC">
        <w:rPr>
          <w:rFonts w:ascii="Times New Roman" w:hAnsi="Times New Roman" w:cs="Times New Roman"/>
          <w:noProof/>
        </w:rPr>
        <w:t xml:space="preserve">2012. </w:t>
      </w:r>
      <w:r w:rsidRPr="005E7135">
        <w:rPr>
          <w:rFonts w:ascii="Times New Roman" w:hAnsi="Times New Roman" w:cs="Times New Roman"/>
          <w:noProof/>
        </w:rPr>
        <w:t xml:space="preserve">How pressure is applied in shared </w:t>
      </w:r>
      <w:r w:rsidRPr="00CE6C57">
        <w:rPr>
          <w:rFonts w:ascii="Times New Roman" w:hAnsi="Times New Roman" w:cs="Times New Roman"/>
          <w:noProof/>
        </w:rPr>
        <w:t>decisions about antipsychotic medication: a conversation analytic study of psychiatric outpatient consultations. Sociol. Health Ill</w:t>
      </w:r>
      <w:r w:rsidR="001742CC">
        <w:rPr>
          <w:rFonts w:ascii="Times New Roman" w:hAnsi="Times New Roman" w:cs="Times New Roman"/>
          <w:noProof/>
        </w:rPr>
        <w:t>. 34</w:t>
      </w:r>
      <w:r w:rsidRPr="00CE6C57">
        <w:rPr>
          <w:rFonts w:ascii="Times New Roman" w:hAnsi="Times New Roman" w:cs="Times New Roman"/>
          <w:noProof/>
        </w:rPr>
        <w:t xml:space="preserve">, 95-113. </w:t>
      </w:r>
    </w:p>
    <w:p w14:paraId="2B49E563" w14:textId="4C2B3C1F" w:rsidR="00636331" w:rsidRPr="00CE6C57" w:rsidRDefault="00636331" w:rsidP="00CE6C57">
      <w:pPr>
        <w:pStyle w:val="EndNoteBibliography"/>
        <w:spacing w:line="480" w:lineRule="auto"/>
        <w:ind w:left="720" w:hanging="720"/>
        <w:rPr>
          <w:rFonts w:ascii="Times New Roman" w:hAnsi="Times New Roman" w:cs="Times New Roman"/>
          <w:noProof/>
        </w:rPr>
      </w:pPr>
      <w:r w:rsidRPr="00CE6C57">
        <w:rPr>
          <w:rFonts w:ascii="Times New Roman" w:hAnsi="Times New Roman" w:cs="Times New Roman"/>
          <w:noProof/>
        </w:rPr>
        <w:t>Reuber, M., Toerien M., Shaw R.</w:t>
      </w:r>
      <w:r w:rsidR="001742CC">
        <w:rPr>
          <w:rFonts w:ascii="Times New Roman" w:hAnsi="Times New Roman" w:cs="Times New Roman"/>
          <w:noProof/>
        </w:rPr>
        <w:t>,</w:t>
      </w:r>
      <w:r w:rsidRPr="00CE6C57">
        <w:rPr>
          <w:rFonts w:ascii="Times New Roman" w:hAnsi="Times New Roman" w:cs="Times New Roman"/>
          <w:noProof/>
        </w:rPr>
        <w:t xml:space="preserve"> </w:t>
      </w:r>
      <w:r w:rsidR="001742CC">
        <w:rPr>
          <w:rFonts w:ascii="Times New Roman" w:hAnsi="Times New Roman" w:cs="Times New Roman"/>
          <w:noProof/>
        </w:rPr>
        <w:t>D</w:t>
      </w:r>
      <w:r w:rsidRPr="00CE6C57">
        <w:rPr>
          <w:rFonts w:ascii="Times New Roman" w:hAnsi="Times New Roman" w:cs="Times New Roman"/>
          <w:noProof/>
          <w:lang w:val="en-GB"/>
        </w:rPr>
        <w:t>uncan, R</w:t>
      </w:r>
      <w:r w:rsidRPr="00CE6C57">
        <w:rPr>
          <w:rFonts w:ascii="Times New Roman" w:hAnsi="Times New Roman" w:cs="Times New Roman"/>
          <w:noProof/>
        </w:rPr>
        <w:t>. 2015</w:t>
      </w:r>
      <w:r w:rsidR="001742CC">
        <w:rPr>
          <w:rFonts w:ascii="Times New Roman" w:hAnsi="Times New Roman" w:cs="Times New Roman"/>
          <w:noProof/>
        </w:rPr>
        <w:t>.</w:t>
      </w:r>
      <w:r w:rsidRPr="00CE6C57">
        <w:rPr>
          <w:rFonts w:ascii="Times New Roman" w:hAnsi="Times New Roman" w:cs="Times New Roman"/>
          <w:noProof/>
        </w:rPr>
        <w:t xml:space="preserve"> Delivering patient choice in clinical practice: a conversation analytic study of communication practices used in neurology clinics to involve patients in decision-making. </w:t>
      </w:r>
      <w:r w:rsidR="001742CC">
        <w:rPr>
          <w:rFonts w:ascii="Times New Roman" w:hAnsi="Times New Roman" w:cs="Times New Roman"/>
          <w:noProof/>
        </w:rPr>
        <w:t>HS&amp;DR Res.</w:t>
      </w:r>
      <w:r w:rsidRPr="00CE6C57">
        <w:rPr>
          <w:rFonts w:ascii="Times New Roman" w:hAnsi="Times New Roman" w:cs="Times New Roman"/>
          <w:noProof/>
        </w:rPr>
        <w:t xml:space="preserve"> 3.</w:t>
      </w:r>
    </w:p>
    <w:p w14:paraId="06ABFF4A" w14:textId="544D1693" w:rsidR="007B244D" w:rsidRDefault="007B244D" w:rsidP="00CE6C57">
      <w:pPr>
        <w:pStyle w:val="EndNoteBibliography"/>
        <w:spacing w:line="480" w:lineRule="auto"/>
        <w:ind w:left="720" w:hanging="720"/>
        <w:rPr>
          <w:rFonts w:ascii="Times New Roman" w:hAnsi="Times New Roman" w:cs="Times New Roman"/>
          <w:noProof/>
        </w:rPr>
      </w:pPr>
      <w:r w:rsidRPr="00CE6C57">
        <w:rPr>
          <w:rFonts w:ascii="Times New Roman" w:hAnsi="Times New Roman" w:cs="Times New Roman"/>
          <w:noProof/>
        </w:rPr>
        <w:lastRenderedPageBreak/>
        <w:t>Reuber, M., Chappell, P., Jackson, C.</w:t>
      </w:r>
      <w:r w:rsidR="001742CC">
        <w:rPr>
          <w:rFonts w:ascii="Times New Roman" w:hAnsi="Times New Roman" w:cs="Times New Roman"/>
          <w:noProof/>
        </w:rPr>
        <w:t>,</w:t>
      </w:r>
      <w:r>
        <w:rPr>
          <w:rFonts w:ascii="Times New Roman" w:hAnsi="Times New Roman" w:cs="Times New Roman"/>
          <w:noProof/>
        </w:rPr>
        <w:t xml:space="preserve"> Toerien, M. (forthcoming). Evaluating nuanced practices for initiating decision-making in neurology clinics: a mixed-methods study. Accepted for publication </w:t>
      </w:r>
      <w:r w:rsidR="001742CC">
        <w:rPr>
          <w:rFonts w:ascii="Times New Roman" w:hAnsi="Times New Roman" w:cs="Times New Roman"/>
          <w:noProof/>
        </w:rPr>
        <w:t>in HS&amp;DR Res</w:t>
      </w:r>
      <w:r>
        <w:rPr>
          <w:rFonts w:ascii="Times New Roman" w:hAnsi="Times New Roman" w:cs="Times New Roman"/>
          <w:noProof/>
        </w:rPr>
        <w:t xml:space="preserve">.   </w:t>
      </w:r>
    </w:p>
    <w:p w14:paraId="434B8F2B" w14:textId="7DA27757"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Robinson, J. D. </w:t>
      </w:r>
      <w:r w:rsidR="001742CC">
        <w:rPr>
          <w:rFonts w:ascii="Times New Roman" w:hAnsi="Times New Roman" w:cs="Times New Roman"/>
          <w:noProof/>
        </w:rPr>
        <w:t xml:space="preserve">2007. </w:t>
      </w:r>
      <w:r w:rsidRPr="005E7135">
        <w:rPr>
          <w:rFonts w:ascii="Times New Roman" w:hAnsi="Times New Roman" w:cs="Times New Roman"/>
          <w:noProof/>
        </w:rPr>
        <w:t>The role of numbers and statistics within conversation analysis. Commun. Methods Meas.</w:t>
      </w:r>
      <w:r w:rsidR="001742CC">
        <w:rPr>
          <w:rFonts w:ascii="Times New Roman" w:hAnsi="Times New Roman" w:cs="Times New Roman"/>
          <w:noProof/>
        </w:rPr>
        <w:t xml:space="preserve"> 1</w:t>
      </w:r>
      <w:r w:rsidRPr="005E7135">
        <w:rPr>
          <w:rFonts w:ascii="Times New Roman" w:hAnsi="Times New Roman" w:cs="Times New Roman"/>
          <w:noProof/>
        </w:rPr>
        <w:t xml:space="preserve">, 65-75. </w:t>
      </w:r>
    </w:p>
    <w:p w14:paraId="44C03758" w14:textId="74CEA0EE"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Royal Colleg</w:t>
      </w:r>
      <w:r w:rsidR="00D230E9">
        <w:rPr>
          <w:rFonts w:ascii="Times New Roman" w:hAnsi="Times New Roman" w:cs="Times New Roman"/>
          <w:noProof/>
        </w:rPr>
        <w:t>e of Surgeons (2016). Consent: s</w:t>
      </w:r>
      <w:r w:rsidRPr="005E7135">
        <w:rPr>
          <w:rFonts w:ascii="Times New Roman" w:hAnsi="Times New Roman" w:cs="Times New Roman"/>
          <w:noProof/>
        </w:rPr>
        <w:t xml:space="preserve">upported </w:t>
      </w:r>
      <w:r w:rsidR="00D230E9">
        <w:rPr>
          <w:rFonts w:ascii="Times New Roman" w:hAnsi="Times New Roman" w:cs="Times New Roman"/>
          <w:noProof/>
        </w:rPr>
        <w:t>decision-m</w:t>
      </w:r>
      <w:r w:rsidRPr="005E7135">
        <w:rPr>
          <w:rFonts w:ascii="Times New Roman" w:hAnsi="Times New Roman" w:cs="Times New Roman"/>
          <w:noProof/>
        </w:rPr>
        <w:t>aking. A guide to good practice. RCS Professional and Clinical Standards. https://www.rcseng.ac.uk/library-and-publications/college-publications/docs/con</w:t>
      </w:r>
      <w:r w:rsidR="00D230E9">
        <w:rPr>
          <w:rFonts w:ascii="Times New Roman" w:hAnsi="Times New Roman" w:cs="Times New Roman"/>
          <w:noProof/>
        </w:rPr>
        <w:t>sent-good-practice-guide/ (A</w:t>
      </w:r>
      <w:r w:rsidRPr="005E7135">
        <w:rPr>
          <w:rFonts w:ascii="Times New Roman" w:hAnsi="Times New Roman" w:cs="Times New Roman"/>
          <w:noProof/>
        </w:rPr>
        <w:t>ccessed 17</w:t>
      </w:r>
      <w:r w:rsidRPr="005E7135">
        <w:rPr>
          <w:rFonts w:ascii="Times New Roman" w:hAnsi="Times New Roman" w:cs="Times New Roman"/>
          <w:noProof/>
          <w:vertAlign w:val="superscript"/>
        </w:rPr>
        <w:t>th</w:t>
      </w:r>
      <w:r w:rsidRPr="005E7135">
        <w:rPr>
          <w:rFonts w:ascii="Times New Roman" w:hAnsi="Times New Roman" w:cs="Times New Roman"/>
          <w:noProof/>
        </w:rPr>
        <w:t xml:space="preserve"> October 2017)</w:t>
      </w:r>
    </w:p>
    <w:p w14:paraId="1D17F2D4" w14:textId="1B1C9331" w:rsidR="005E7135" w:rsidRPr="005E7135" w:rsidRDefault="005E7135" w:rsidP="00D230E9">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Stevanovic, M., &amp; Peräkylä, A. </w:t>
      </w:r>
      <w:r w:rsidR="00D230E9">
        <w:rPr>
          <w:rFonts w:ascii="Times New Roman" w:hAnsi="Times New Roman" w:cs="Times New Roman"/>
          <w:noProof/>
        </w:rPr>
        <w:t xml:space="preserve">2012. </w:t>
      </w:r>
      <w:r w:rsidRPr="005E7135">
        <w:rPr>
          <w:rFonts w:ascii="Times New Roman" w:hAnsi="Times New Roman" w:cs="Times New Roman"/>
          <w:noProof/>
        </w:rPr>
        <w:t xml:space="preserve">Deontic </w:t>
      </w:r>
      <w:r w:rsidR="00D230E9">
        <w:rPr>
          <w:rFonts w:ascii="Times New Roman" w:hAnsi="Times New Roman" w:cs="Times New Roman"/>
          <w:noProof/>
        </w:rPr>
        <w:t>a</w:t>
      </w:r>
      <w:r w:rsidRPr="005E7135">
        <w:rPr>
          <w:rFonts w:ascii="Times New Roman" w:hAnsi="Times New Roman" w:cs="Times New Roman"/>
          <w:noProof/>
        </w:rPr>
        <w:t xml:space="preserve">uthority in </w:t>
      </w:r>
      <w:r w:rsidR="00D230E9">
        <w:rPr>
          <w:rFonts w:ascii="Times New Roman" w:hAnsi="Times New Roman" w:cs="Times New Roman"/>
          <w:noProof/>
        </w:rPr>
        <w:t>i</w:t>
      </w:r>
      <w:r w:rsidRPr="005E7135">
        <w:rPr>
          <w:rFonts w:ascii="Times New Roman" w:hAnsi="Times New Roman" w:cs="Times New Roman"/>
          <w:noProof/>
        </w:rPr>
        <w:t xml:space="preserve">nteraction: </w:t>
      </w:r>
      <w:r w:rsidR="00D230E9">
        <w:rPr>
          <w:rFonts w:ascii="Times New Roman" w:hAnsi="Times New Roman" w:cs="Times New Roman"/>
          <w:noProof/>
        </w:rPr>
        <w:t>t</w:t>
      </w:r>
      <w:r w:rsidRPr="005E7135">
        <w:rPr>
          <w:rFonts w:ascii="Times New Roman" w:hAnsi="Times New Roman" w:cs="Times New Roman"/>
          <w:noProof/>
        </w:rPr>
        <w:t xml:space="preserve">he </w:t>
      </w:r>
      <w:r w:rsidR="00D230E9">
        <w:rPr>
          <w:rFonts w:ascii="Times New Roman" w:hAnsi="Times New Roman" w:cs="Times New Roman"/>
          <w:noProof/>
        </w:rPr>
        <w:t>r</w:t>
      </w:r>
      <w:r w:rsidRPr="005E7135">
        <w:rPr>
          <w:rFonts w:ascii="Times New Roman" w:hAnsi="Times New Roman" w:cs="Times New Roman"/>
          <w:noProof/>
        </w:rPr>
        <w:t xml:space="preserve">ight to </w:t>
      </w:r>
      <w:r w:rsidR="00D230E9">
        <w:rPr>
          <w:rFonts w:ascii="Times New Roman" w:hAnsi="Times New Roman" w:cs="Times New Roman"/>
          <w:noProof/>
        </w:rPr>
        <w:t>a</w:t>
      </w:r>
      <w:r w:rsidRPr="005E7135">
        <w:rPr>
          <w:rFonts w:ascii="Times New Roman" w:hAnsi="Times New Roman" w:cs="Times New Roman"/>
          <w:noProof/>
        </w:rPr>
        <w:t xml:space="preserve">nnounce, </w:t>
      </w:r>
      <w:r w:rsidR="00D230E9">
        <w:rPr>
          <w:rFonts w:ascii="Times New Roman" w:hAnsi="Times New Roman" w:cs="Times New Roman"/>
          <w:noProof/>
        </w:rPr>
        <w:t>p</w:t>
      </w:r>
      <w:r w:rsidRPr="005E7135">
        <w:rPr>
          <w:rFonts w:ascii="Times New Roman" w:hAnsi="Times New Roman" w:cs="Times New Roman"/>
          <w:noProof/>
        </w:rPr>
        <w:t xml:space="preserve">ropose, and </w:t>
      </w:r>
      <w:r w:rsidR="00D230E9">
        <w:rPr>
          <w:rFonts w:ascii="Times New Roman" w:hAnsi="Times New Roman" w:cs="Times New Roman"/>
          <w:noProof/>
        </w:rPr>
        <w:t>d</w:t>
      </w:r>
      <w:r w:rsidRPr="005E7135">
        <w:rPr>
          <w:rFonts w:ascii="Times New Roman" w:hAnsi="Times New Roman" w:cs="Times New Roman"/>
          <w:noProof/>
        </w:rPr>
        <w:t>ecide. Res. Lang. Soc. Interac.</w:t>
      </w:r>
      <w:r w:rsidR="00D230E9">
        <w:rPr>
          <w:rFonts w:ascii="Times New Roman" w:hAnsi="Times New Roman" w:cs="Times New Roman"/>
          <w:noProof/>
        </w:rPr>
        <w:t xml:space="preserve"> 45, </w:t>
      </w:r>
      <w:r w:rsidRPr="005E7135">
        <w:rPr>
          <w:rFonts w:ascii="Times New Roman" w:hAnsi="Times New Roman" w:cs="Times New Roman"/>
          <w:noProof/>
        </w:rPr>
        <w:t xml:space="preserve">297-321. </w:t>
      </w:r>
    </w:p>
    <w:p w14:paraId="3ACB69E9" w14:textId="2E636C4E" w:rsidR="005E7135" w:rsidRPr="005E7135" w:rsidRDefault="00D230E9" w:rsidP="005E7135">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Stivers, T. 2005</w:t>
      </w:r>
      <w:r w:rsidR="005E7135" w:rsidRPr="005E7135">
        <w:rPr>
          <w:rFonts w:ascii="Times New Roman" w:hAnsi="Times New Roman" w:cs="Times New Roman"/>
          <w:noProof/>
        </w:rPr>
        <w:t>. Non-antibiotic treatment recommendations: delivery formats and implications for parent resistance. Soc. Sci. Med.</w:t>
      </w:r>
      <w:r w:rsidR="005E7135" w:rsidRPr="005E7135">
        <w:rPr>
          <w:rFonts w:ascii="Times New Roman" w:hAnsi="Times New Roman" w:cs="Times New Roman"/>
          <w:i/>
          <w:noProof/>
        </w:rPr>
        <w:t xml:space="preserve"> </w:t>
      </w:r>
      <w:r w:rsidR="005E7135" w:rsidRPr="00D230E9">
        <w:rPr>
          <w:rFonts w:ascii="Times New Roman" w:hAnsi="Times New Roman" w:cs="Times New Roman"/>
          <w:noProof/>
        </w:rPr>
        <w:t>60</w:t>
      </w:r>
      <w:r>
        <w:rPr>
          <w:rFonts w:ascii="Times New Roman" w:hAnsi="Times New Roman" w:cs="Times New Roman"/>
          <w:noProof/>
        </w:rPr>
        <w:t>,</w:t>
      </w:r>
      <w:r w:rsidR="005E7135" w:rsidRPr="005E7135">
        <w:rPr>
          <w:rFonts w:ascii="Times New Roman" w:hAnsi="Times New Roman" w:cs="Times New Roman"/>
          <w:noProof/>
        </w:rPr>
        <w:t xml:space="preserve"> 949-964. </w:t>
      </w:r>
    </w:p>
    <w:p w14:paraId="3E78DAFB" w14:textId="1C2B456F" w:rsidR="005E7135" w:rsidRP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Stivers, T. </w:t>
      </w:r>
      <w:r w:rsidR="00D230E9">
        <w:rPr>
          <w:rFonts w:ascii="Times New Roman" w:hAnsi="Times New Roman" w:cs="Times New Roman"/>
          <w:noProof/>
        </w:rPr>
        <w:t>2015. Coding s</w:t>
      </w:r>
      <w:r w:rsidRPr="005E7135">
        <w:rPr>
          <w:rFonts w:ascii="Times New Roman" w:hAnsi="Times New Roman" w:cs="Times New Roman"/>
          <w:noProof/>
        </w:rPr>
        <w:t xml:space="preserve">ocial </w:t>
      </w:r>
      <w:r w:rsidR="00D230E9">
        <w:rPr>
          <w:rFonts w:ascii="Times New Roman" w:hAnsi="Times New Roman" w:cs="Times New Roman"/>
          <w:noProof/>
        </w:rPr>
        <w:t>i</w:t>
      </w:r>
      <w:r w:rsidRPr="005E7135">
        <w:rPr>
          <w:rFonts w:ascii="Times New Roman" w:hAnsi="Times New Roman" w:cs="Times New Roman"/>
          <w:noProof/>
        </w:rPr>
        <w:t xml:space="preserve">nteraction: </w:t>
      </w:r>
      <w:r w:rsidR="00D230E9">
        <w:rPr>
          <w:rFonts w:ascii="Times New Roman" w:hAnsi="Times New Roman" w:cs="Times New Roman"/>
          <w:noProof/>
        </w:rPr>
        <w:t>a he</w:t>
      </w:r>
      <w:r w:rsidRPr="005E7135">
        <w:rPr>
          <w:rFonts w:ascii="Times New Roman" w:hAnsi="Times New Roman" w:cs="Times New Roman"/>
          <w:noProof/>
        </w:rPr>
        <w:t xml:space="preserve">retical </w:t>
      </w:r>
      <w:r w:rsidR="00D230E9">
        <w:rPr>
          <w:rFonts w:ascii="Times New Roman" w:hAnsi="Times New Roman" w:cs="Times New Roman"/>
          <w:noProof/>
        </w:rPr>
        <w:t>a</w:t>
      </w:r>
      <w:r w:rsidRPr="005E7135">
        <w:rPr>
          <w:rFonts w:ascii="Times New Roman" w:hAnsi="Times New Roman" w:cs="Times New Roman"/>
          <w:noProof/>
        </w:rPr>
        <w:t xml:space="preserve">pproach in </w:t>
      </w:r>
      <w:r w:rsidR="00D230E9">
        <w:rPr>
          <w:rFonts w:ascii="Times New Roman" w:hAnsi="Times New Roman" w:cs="Times New Roman"/>
          <w:noProof/>
        </w:rPr>
        <w:t>c</w:t>
      </w:r>
      <w:r w:rsidRPr="005E7135">
        <w:rPr>
          <w:rFonts w:ascii="Times New Roman" w:hAnsi="Times New Roman" w:cs="Times New Roman"/>
          <w:noProof/>
        </w:rPr>
        <w:t xml:space="preserve">onversation </w:t>
      </w:r>
      <w:r w:rsidR="00D230E9">
        <w:rPr>
          <w:rFonts w:ascii="Times New Roman" w:hAnsi="Times New Roman" w:cs="Times New Roman"/>
          <w:noProof/>
        </w:rPr>
        <w:t>a</w:t>
      </w:r>
      <w:r w:rsidRPr="005E7135">
        <w:rPr>
          <w:rFonts w:ascii="Times New Roman" w:hAnsi="Times New Roman" w:cs="Times New Roman"/>
          <w:noProof/>
        </w:rPr>
        <w:t>nalysis? Res. Lang. Soc. Interac.,</w:t>
      </w:r>
      <w:r w:rsidRPr="00D230E9">
        <w:rPr>
          <w:rFonts w:ascii="Times New Roman" w:hAnsi="Times New Roman" w:cs="Times New Roman"/>
          <w:noProof/>
        </w:rPr>
        <w:t xml:space="preserve"> 48</w:t>
      </w:r>
      <w:r w:rsidRPr="005E7135">
        <w:rPr>
          <w:rFonts w:ascii="Times New Roman" w:hAnsi="Times New Roman" w:cs="Times New Roman"/>
          <w:noProof/>
        </w:rPr>
        <w:t xml:space="preserve">, 1-19. </w:t>
      </w:r>
    </w:p>
    <w:p w14:paraId="3D759C23" w14:textId="46A4C41E" w:rsidR="005E7135" w:rsidRDefault="005E7135" w:rsidP="00CE6C57">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Symon, A. </w:t>
      </w:r>
      <w:r w:rsidR="00D230E9">
        <w:rPr>
          <w:rFonts w:ascii="Times New Roman" w:hAnsi="Times New Roman" w:cs="Times New Roman"/>
          <w:noProof/>
        </w:rPr>
        <w:t>2006. The risk-choice paradox, in:</w:t>
      </w:r>
      <w:r w:rsidRPr="005E7135">
        <w:rPr>
          <w:rFonts w:ascii="Times New Roman" w:hAnsi="Times New Roman" w:cs="Times New Roman"/>
          <w:noProof/>
        </w:rPr>
        <w:t xml:space="preserve"> Symon</w:t>
      </w:r>
      <w:r w:rsidR="00D230E9">
        <w:rPr>
          <w:rFonts w:ascii="Times New Roman" w:hAnsi="Times New Roman" w:cs="Times New Roman"/>
          <w:noProof/>
        </w:rPr>
        <w:t>, A</w:t>
      </w:r>
      <w:r w:rsidRPr="005E7135">
        <w:rPr>
          <w:rFonts w:ascii="Times New Roman" w:hAnsi="Times New Roman" w:cs="Times New Roman"/>
          <w:noProof/>
        </w:rPr>
        <w:t xml:space="preserve"> (Ed.)</w:t>
      </w:r>
      <w:r w:rsidR="00D230E9">
        <w:rPr>
          <w:rFonts w:ascii="Times New Roman" w:hAnsi="Times New Roman" w:cs="Times New Roman"/>
          <w:noProof/>
        </w:rPr>
        <w:t>,</w:t>
      </w:r>
      <w:r w:rsidRPr="005E7135">
        <w:rPr>
          <w:rFonts w:ascii="Times New Roman" w:hAnsi="Times New Roman" w:cs="Times New Roman"/>
          <w:noProof/>
        </w:rPr>
        <w:t xml:space="preserve"> Risk and </w:t>
      </w:r>
      <w:r w:rsidR="00D230E9">
        <w:rPr>
          <w:rFonts w:ascii="Times New Roman" w:hAnsi="Times New Roman" w:cs="Times New Roman"/>
          <w:noProof/>
        </w:rPr>
        <w:t>choice in m</w:t>
      </w:r>
      <w:r w:rsidRPr="005E7135">
        <w:rPr>
          <w:rFonts w:ascii="Times New Roman" w:hAnsi="Times New Roman" w:cs="Times New Roman"/>
          <w:noProof/>
        </w:rPr>
        <w:t xml:space="preserve">aternity </w:t>
      </w:r>
      <w:r w:rsidR="00D230E9">
        <w:rPr>
          <w:rFonts w:ascii="Times New Roman" w:hAnsi="Times New Roman" w:cs="Times New Roman"/>
          <w:noProof/>
        </w:rPr>
        <w:t>c</w:t>
      </w:r>
      <w:r w:rsidRPr="005E7135">
        <w:rPr>
          <w:rFonts w:ascii="Times New Roman" w:hAnsi="Times New Roman" w:cs="Times New Roman"/>
          <w:noProof/>
        </w:rPr>
        <w:t>are. Churchill Livingstone</w:t>
      </w:r>
      <w:r w:rsidR="00D230E9">
        <w:rPr>
          <w:rFonts w:ascii="Times New Roman" w:hAnsi="Times New Roman" w:cs="Times New Roman"/>
          <w:noProof/>
        </w:rPr>
        <w:t>: Edinburgh</w:t>
      </w:r>
      <w:r w:rsidRPr="005E7135">
        <w:rPr>
          <w:rFonts w:ascii="Times New Roman" w:hAnsi="Times New Roman" w:cs="Times New Roman"/>
          <w:noProof/>
        </w:rPr>
        <w:t xml:space="preserve">, pp. 1-12. </w:t>
      </w:r>
    </w:p>
    <w:p w14:paraId="4811B2DA" w14:textId="71E8D623" w:rsidR="00541C47" w:rsidRPr="00541C47" w:rsidRDefault="00541C47" w:rsidP="00CE6C57">
      <w:pPr>
        <w:pStyle w:val="EndNoteBibliography"/>
        <w:spacing w:line="480" w:lineRule="auto"/>
        <w:ind w:left="720" w:hanging="720"/>
        <w:rPr>
          <w:rFonts w:ascii="Times New Roman" w:hAnsi="Times New Roman" w:cs="Times New Roman"/>
          <w:noProof/>
        </w:rPr>
      </w:pPr>
      <w:r w:rsidRPr="00541C47">
        <w:rPr>
          <w:rFonts w:ascii="Times New Roman" w:hAnsi="Times New Roman" w:cs="Times New Roman"/>
          <w:noProof/>
        </w:rPr>
        <w:t>Toerien, M., Shaw, R</w:t>
      </w:r>
      <w:r w:rsidR="00D230E9">
        <w:rPr>
          <w:rFonts w:ascii="Times New Roman" w:hAnsi="Times New Roman" w:cs="Times New Roman"/>
          <w:noProof/>
        </w:rPr>
        <w:t xml:space="preserve">., </w:t>
      </w:r>
      <w:r w:rsidRPr="00541C47">
        <w:rPr>
          <w:rFonts w:ascii="Times New Roman" w:hAnsi="Times New Roman" w:cs="Times New Roman"/>
          <w:noProof/>
        </w:rPr>
        <w:t>Reuber, M. 2013</w:t>
      </w:r>
      <w:r w:rsidR="00D230E9">
        <w:rPr>
          <w:rFonts w:ascii="Times New Roman" w:hAnsi="Times New Roman" w:cs="Times New Roman"/>
          <w:noProof/>
        </w:rPr>
        <w:t>.</w:t>
      </w:r>
      <w:r w:rsidRPr="00541C47">
        <w:rPr>
          <w:rFonts w:ascii="Times New Roman" w:hAnsi="Times New Roman" w:cs="Times New Roman"/>
          <w:noProof/>
        </w:rPr>
        <w:t xml:space="preserve"> Initiating decision-making in neurology consultations: 'recommending' versus 'option-listing' and the implications for medical authority, </w:t>
      </w:r>
      <w:r w:rsidRPr="00541C47">
        <w:rPr>
          <w:rFonts w:ascii="Times New Roman" w:hAnsi="Times New Roman" w:cs="Times New Roman"/>
          <w:i/>
          <w:noProof/>
        </w:rPr>
        <w:t xml:space="preserve">Sociol Health </w:t>
      </w:r>
      <w:r w:rsidRPr="00541C47">
        <w:rPr>
          <w:rFonts w:ascii="Times New Roman" w:hAnsi="Times New Roman" w:cs="Times New Roman"/>
          <w:noProof/>
        </w:rPr>
        <w:t>Ill</w:t>
      </w:r>
      <w:r w:rsidR="00D230E9">
        <w:rPr>
          <w:rFonts w:ascii="Times New Roman" w:hAnsi="Times New Roman" w:cs="Times New Roman"/>
          <w:noProof/>
        </w:rPr>
        <w:t>.</w:t>
      </w:r>
      <w:r w:rsidRPr="00541C47">
        <w:rPr>
          <w:rFonts w:ascii="Times New Roman" w:hAnsi="Times New Roman" w:cs="Times New Roman"/>
          <w:noProof/>
        </w:rPr>
        <w:t xml:space="preserve"> 35, 873-90.</w:t>
      </w:r>
    </w:p>
    <w:p w14:paraId="63F3B318" w14:textId="634B5DF7" w:rsidR="005E7135" w:rsidRPr="005E7135" w:rsidRDefault="005E7135" w:rsidP="00CE6C57">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t xml:space="preserve">Waitzkin, H. </w:t>
      </w:r>
      <w:r w:rsidR="00D230E9">
        <w:rPr>
          <w:rFonts w:ascii="Times New Roman" w:hAnsi="Times New Roman" w:cs="Times New Roman"/>
          <w:noProof/>
        </w:rPr>
        <w:t xml:space="preserve">1989. </w:t>
      </w:r>
      <w:r w:rsidRPr="005E7135">
        <w:rPr>
          <w:rFonts w:ascii="Times New Roman" w:hAnsi="Times New Roman" w:cs="Times New Roman"/>
          <w:noProof/>
        </w:rPr>
        <w:t xml:space="preserve">A critical theory of medical discourse: </w:t>
      </w:r>
      <w:r w:rsidR="00D230E9">
        <w:rPr>
          <w:rFonts w:ascii="Times New Roman" w:hAnsi="Times New Roman" w:cs="Times New Roman"/>
          <w:noProof/>
        </w:rPr>
        <w:t>i</w:t>
      </w:r>
      <w:r w:rsidRPr="005E7135">
        <w:rPr>
          <w:rFonts w:ascii="Times New Roman" w:hAnsi="Times New Roman" w:cs="Times New Roman"/>
          <w:noProof/>
        </w:rPr>
        <w:t xml:space="preserve">deology, social control, and the processing of social context in medical encounters. </w:t>
      </w:r>
      <w:r w:rsidRPr="005E7135">
        <w:rPr>
          <w:rFonts w:ascii="Times New Roman" w:hAnsi="Times New Roman" w:cs="Times New Roman"/>
          <w:i/>
          <w:noProof/>
        </w:rPr>
        <w:t>J. Health Soc. Behavior</w:t>
      </w:r>
      <w:r w:rsidRPr="005E7135">
        <w:rPr>
          <w:rFonts w:ascii="Times New Roman" w:hAnsi="Times New Roman" w:cs="Times New Roman"/>
          <w:noProof/>
        </w:rPr>
        <w:t xml:space="preserve">, 30, 220-239. </w:t>
      </w:r>
    </w:p>
    <w:p w14:paraId="172A8B65" w14:textId="26826399" w:rsidR="005E7135" w:rsidRDefault="005E7135" w:rsidP="005E7135">
      <w:pPr>
        <w:pStyle w:val="EndNoteBibliography"/>
        <w:spacing w:line="480" w:lineRule="auto"/>
        <w:ind w:left="720" w:hanging="720"/>
        <w:rPr>
          <w:rFonts w:ascii="Times New Roman" w:hAnsi="Times New Roman" w:cs="Times New Roman"/>
          <w:noProof/>
        </w:rPr>
      </w:pPr>
      <w:r w:rsidRPr="005E7135">
        <w:rPr>
          <w:rFonts w:ascii="Times New Roman" w:hAnsi="Times New Roman" w:cs="Times New Roman"/>
          <w:noProof/>
        </w:rPr>
        <w:lastRenderedPageBreak/>
        <w:t xml:space="preserve">Willems, S., De Maesschalck, S., Deveugele, M., Derese, A., De Maeseneer, J. </w:t>
      </w:r>
      <w:r w:rsidR="00D230E9">
        <w:rPr>
          <w:rFonts w:ascii="Times New Roman" w:hAnsi="Times New Roman" w:cs="Times New Roman"/>
          <w:noProof/>
        </w:rPr>
        <w:t xml:space="preserve">2005. </w:t>
      </w:r>
      <w:r w:rsidRPr="005E7135">
        <w:rPr>
          <w:rFonts w:ascii="Times New Roman" w:hAnsi="Times New Roman" w:cs="Times New Roman"/>
          <w:noProof/>
        </w:rPr>
        <w:t>Socio-economic status of the patient and doctor–patient communication: does it make a difference? Pat. Educ. Couns.</w:t>
      </w:r>
      <w:r w:rsidR="00D230E9">
        <w:rPr>
          <w:rFonts w:ascii="Times New Roman" w:hAnsi="Times New Roman" w:cs="Times New Roman"/>
          <w:noProof/>
        </w:rPr>
        <w:t xml:space="preserve"> 56</w:t>
      </w:r>
      <w:r w:rsidRPr="005E7135">
        <w:rPr>
          <w:rFonts w:ascii="Times New Roman" w:hAnsi="Times New Roman" w:cs="Times New Roman"/>
          <w:noProof/>
        </w:rPr>
        <w:t>,</w:t>
      </w:r>
      <w:r w:rsidR="00D230E9">
        <w:rPr>
          <w:rFonts w:ascii="Times New Roman" w:hAnsi="Times New Roman" w:cs="Times New Roman"/>
          <w:noProof/>
        </w:rPr>
        <w:t xml:space="preserve"> </w:t>
      </w:r>
      <w:r w:rsidRPr="005E7135">
        <w:rPr>
          <w:rFonts w:ascii="Times New Roman" w:hAnsi="Times New Roman" w:cs="Times New Roman"/>
          <w:noProof/>
        </w:rPr>
        <w:t xml:space="preserve">139-146. </w:t>
      </w:r>
    </w:p>
    <w:p w14:paraId="2D378F63" w14:textId="290366FF" w:rsidR="003B613F" w:rsidRPr="00CA18DC" w:rsidRDefault="003B613F" w:rsidP="003B613F">
      <w:pPr>
        <w:widowControl w:val="0"/>
        <w:autoSpaceDE w:val="0"/>
        <w:autoSpaceDN w:val="0"/>
        <w:adjustRightInd w:val="0"/>
        <w:spacing w:line="480" w:lineRule="auto"/>
        <w:rPr>
          <w:rFonts w:ascii="Times New Roman" w:eastAsiaTheme="minorEastAsia" w:hAnsi="Times New Roman"/>
        </w:rPr>
      </w:pPr>
      <w:r w:rsidRPr="00CA18DC">
        <w:rPr>
          <w:rFonts w:ascii="Times New Roman" w:hAnsi="Times New Roman"/>
          <w:noProof/>
        </w:rPr>
        <w:t>Wiseman</w:t>
      </w:r>
      <w:r>
        <w:rPr>
          <w:rFonts w:ascii="Times New Roman" w:hAnsi="Times New Roman"/>
          <w:noProof/>
        </w:rPr>
        <w:t>,</w:t>
      </w:r>
      <w:r w:rsidRPr="00CA18DC">
        <w:rPr>
          <w:rFonts w:ascii="Times New Roman" w:hAnsi="Times New Roman"/>
          <w:noProof/>
        </w:rPr>
        <w:t xml:space="preserve"> H</w:t>
      </w:r>
      <w:r>
        <w:rPr>
          <w:rFonts w:ascii="Times New Roman" w:hAnsi="Times New Roman"/>
          <w:noProof/>
        </w:rPr>
        <w:t>.</w:t>
      </w:r>
      <w:r w:rsidRPr="00CA18DC">
        <w:rPr>
          <w:rFonts w:ascii="Times New Roman" w:hAnsi="Times New Roman"/>
          <w:noProof/>
        </w:rPr>
        <w:t>, Chappell</w:t>
      </w:r>
      <w:r>
        <w:rPr>
          <w:rFonts w:ascii="Times New Roman" w:hAnsi="Times New Roman"/>
          <w:noProof/>
        </w:rPr>
        <w:t>,</w:t>
      </w:r>
      <w:r w:rsidRPr="00CA18DC">
        <w:rPr>
          <w:rFonts w:ascii="Times New Roman" w:hAnsi="Times New Roman"/>
          <w:noProof/>
        </w:rPr>
        <w:t xml:space="preserve"> P</w:t>
      </w:r>
      <w:r>
        <w:rPr>
          <w:rFonts w:ascii="Times New Roman" w:hAnsi="Times New Roman"/>
          <w:noProof/>
        </w:rPr>
        <w:t>.</w:t>
      </w:r>
      <w:r w:rsidRPr="00CA18DC">
        <w:rPr>
          <w:rFonts w:ascii="Times New Roman" w:hAnsi="Times New Roman"/>
          <w:noProof/>
        </w:rPr>
        <w:t>, Toerien</w:t>
      </w:r>
      <w:r>
        <w:rPr>
          <w:rFonts w:ascii="Times New Roman" w:hAnsi="Times New Roman"/>
          <w:noProof/>
        </w:rPr>
        <w:t>,</w:t>
      </w:r>
      <w:r w:rsidRPr="00CA18DC">
        <w:rPr>
          <w:rFonts w:ascii="Times New Roman" w:hAnsi="Times New Roman"/>
          <w:noProof/>
        </w:rPr>
        <w:t xml:space="preserve"> M</w:t>
      </w:r>
      <w:r>
        <w:rPr>
          <w:rFonts w:ascii="Times New Roman" w:hAnsi="Times New Roman"/>
          <w:noProof/>
        </w:rPr>
        <w:t>.</w:t>
      </w:r>
      <w:r w:rsidRPr="00CA18DC">
        <w:rPr>
          <w:rFonts w:ascii="Times New Roman" w:hAnsi="Times New Roman"/>
          <w:noProof/>
        </w:rPr>
        <w:t xml:space="preserve">, </w:t>
      </w:r>
      <w:r w:rsidRPr="00CA18DC">
        <w:rPr>
          <w:rFonts w:ascii="Times New Roman" w:eastAsia="Times New Roman" w:hAnsi="Times New Roman"/>
          <w:color w:val="222222"/>
          <w:shd w:val="clear" w:color="auto" w:fill="FFFFFF"/>
        </w:rPr>
        <w:t>Shaw</w:t>
      </w:r>
      <w:r>
        <w:rPr>
          <w:rFonts w:ascii="Times New Roman" w:eastAsia="Times New Roman" w:hAnsi="Times New Roman"/>
          <w:color w:val="222222"/>
          <w:shd w:val="clear" w:color="auto" w:fill="FFFFFF"/>
        </w:rPr>
        <w:t>,</w:t>
      </w:r>
      <w:r w:rsidRPr="00CA18DC">
        <w:rPr>
          <w:rFonts w:ascii="Times New Roman" w:eastAsia="Times New Roman" w:hAnsi="Times New Roman"/>
          <w:color w:val="222222"/>
          <w:shd w:val="clear" w:color="auto" w:fill="FFFFFF"/>
        </w:rPr>
        <w:t xml:space="preserve"> R</w:t>
      </w:r>
      <w:r>
        <w:rPr>
          <w:rFonts w:ascii="Times New Roman" w:eastAsia="Times New Roman" w:hAnsi="Times New Roman"/>
          <w:color w:val="222222"/>
          <w:shd w:val="clear" w:color="auto" w:fill="FFFFFF"/>
        </w:rPr>
        <w:t>.</w:t>
      </w:r>
      <w:r w:rsidRPr="00CA18DC">
        <w:rPr>
          <w:rFonts w:ascii="Times New Roman" w:eastAsia="Times New Roman" w:hAnsi="Times New Roman"/>
          <w:color w:val="222222"/>
          <w:shd w:val="clear" w:color="auto" w:fill="FFFFFF"/>
        </w:rPr>
        <w:t>, Duncan</w:t>
      </w:r>
      <w:r>
        <w:rPr>
          <w:rFonts w:ascii="Times New Roman" w:eastAsia="Times New Roman" w:hAnsi="Times New Roman"/>
          <w:color w:val="222222"/>
          <w:shd w:val="clear" w:color="auto" w:fill="FFFFFF"/>
        </w:rPr>
        <w:t>,</w:t>
      </w:r>
      <w:r w:rsidRPr="00CA18DC">
        <w:rPr>
          <w:rFonts w:ascii="Times New Roman" w:eastAsia="Times New Roman" w:hAnsi="Times New Roman"/>
          <w:color w:val="222222"/>
          <w:shd w:val="clear" w:color="auto" w:fill="FFFFFF"/>
        </w:rPr>
        <w:t xml:space="preserve"> R</w:t>
      </w:r>
      <w:r>
        <w:rPr>
          <w:rFonts w:ascii="Times New Roman" w:eastAsia="Times New Roman" w:hAnsi="Times New Roman"/>
          <w:color w:val="222222"/>
          <w:shd w:val="clear" w:color="auto" w:fill="FFFFFF"/>
        </w:rPr>
        <w:t>.</w:t>
      </w:r>
      <w:r w:rsidR="00D230E9">
        <w:rPr>
          <w:rFonts w:ascii="Times New Roman" w:eastAsia="Times New Roman" w:hAnsi="Times New Roman"/>
          <w:color w:val="222222"/>
          <w:shd w:val="clear" w:color="auto" w:fill="FFFFFF"/>
        </w:rPr>
        <w:t>,</w:t>
      </w:r>
      <w:r>
        <w:rPr>
          <w:rFonts w:ascii="Times New Roman" w:eastAsia="Times New Roman" w:hAnsi="Times New Roman"/>
          <w:color w:val="222222"/>
          <w:shd w:val="clear" w:color="auto" w:fill="FFFFFF"/>
        </w:rPr>
        <w:t xml:space="preserve"> </w:t>
      </w:r>
      <w:proofErr w:type="spellStart"/>
      <w:r w:rsidRPr="00CA18DC">
        <w:rPr>
          <w:rFonts w:ascii="Times New Roman" w:eastAsia="Times New Roman" w:hAnsi="Times New Roman"/>
          <w:color w:val="222222"/>
          <w:shd w:val="clear" w:color="auto" w:fill="FFFFFF"/>
        </w:rPr>
        <w:t>Reuber</w:t>
      </w:r>
      <w:proofErr w:type="spellEnd"/>
      <w:r>
        <w:rPr>
          <w:rFonts w:ascii="Times New Roman" w:eastAsia="Times New Roman" w:hAnsi="Times New Roman"/>
          <w:color w:val="222222"/>
          <w:shd w:val="clear" w:color="auto" w:fill="FFFFFF"/>
        </w:rPr>
        <w:t>,</w:t>
      </w:r>
      <w:r w:rsidRPr="00CA18DC">
        <w:rPr>
          <w:rFonts w:ascii="Times New Roman" w:eastAsia="Times New Roman" w:hAnsi="Times New Roman"/>
          <w:color w:val="222222"/>
          <w:shd w:val="clear" w:color="auto" w:fill="FFFFFF"/>
        </w:rPr>
        <w:t xml:space="preserve"> M.</w:t>
      </w:r>
      <w:r>
        <w:rPr>
          <w:rFonts w:ascii="Times New Roman" w:eastAsia="Times New Roman" w:hAnsi="Times New Roman"/>
          <w:color w:val="222222"/>
          <w:shd w:val="clear" w:color="auto" w:fill="FFFFFF"/>
        </w:rPr>
        <w:t xml:space="preserve"> 2016</w:t>
      </w:r>
      <w:r w:rsidR="00D230E9">
        <w:rPr>
          <w:rFonts w:ascii="Times New Roman" w:eastAsia="Times New Roman" w:hAnsi="Times New Roman"/>
          <w:color w:val="222222"/>
          <w:shd w:val="clear" w:color="auto" w:fill="FFFFFF"/>
        </w:rPr>
        <w:t>.</w:t>
      </w:r>
      <w:r w:rsidRPr="00CA18DC">
        <w:rPr>
          <w:rFonts w:ascii="Times New Roman" w:eastAsia="Times New Roman" w:hAnsi="Times New Roman"/>
          <w:color w:val="222222"/>
          <w:shd w:val="clear" w:color="auto" w:fill="FFFFFF"/>
        </w:rPr>
        <w:t xml:space="preserve"> </w:t>
      </w:r>
      <w:r w:rsidRPr="00CA18DC">
        <w:rPr>
          <w:rFonts w:ascii="Times New Roman" w:hAnsi="Times New Roman"/>
          <w:noProof/>
        </w:rPr>
        <w:t xml:space="preserve">Do patients </w:t>
      </w:r>
      <w:r w:rsidRPr="00D230E9">
        <w:rPr>
          <w:rFonts w:ascii="Times New Roman" w:hAnsi="Times New Roman"/>
          <w:noProof/>
        </w:rPr>
        <w:t>want choice? An observational study of neurology consultations. Patient Educ Couns</w:t>
      </w:r>
      <w:r w:rsidR="00D230E9" w:rsidRPr="00D230E9">
        <w:rPr>
          <w:rFonts w:ascii="Times New Roman" w:hAnsi="Times New Roman"/>
          <w:noProof/>
        </w:rPr>
        <w:t>.</w:t>
      </w:r>
      <w:r w:rsidRPr="00D230E9">
        <w:rPr>
          <w:rFonts w:ascii="Times New Roman" w:hAnsi="Times New Roman"/>
          <w:noProof/>
        </w:rPr>
        <w:t xml:space="preserve"> 99, 1170</w:t>
      </w:r>
      <w:r w:rsidRPr="00CA18DC">
        <w:rPr>
          <w:rFonts w:ascii="Times New Roman" w:hAnsi="Times New Roman"/>
          <w:noProof/>
        </w:rPr>
        <w:t>-78.</w:t>
      </w:r>
    </w:p>
    <w:p w14:paraId="1988B940" w14:textId="77777777" w:rsidR="003B613F" w:rsidRPr="005E7135" w:rsidRDefault="003B613F" w:rsidP="005E7135">
      <w:pPr>
        <w:pStyle w:val="EndNoteBibliography"/>
        <w:spacing w:line="480" w:lineRule="auto"/>
        <w:ind w:left="720" w:hanging="720"/>
        <w:rPr>
          <w:rFonts w:ascii="Times New Roman" w:hAnsi="Times New Roman" w:cs="Times New Roman"/>
          <w:noProof/>
        </w:rPr>
      </w:pPr>
    </w:p>
    <w:p w14:paraId="1F166D5B" w14:textId="77777777" w:rsidR="008E055E" w:rsidRDefault="008E055E" w:rsidP="005C55FB">
      <w:pPr>
        <w:spacing w:line="480" w:lineRule="auto"/>
        <w:rPr>
          <w:rFonts w:ascii="Times New Roman" w:hAnsi="Times New Roman" w:cs="Times New Roman"/>
        </w:rPr>
      </w:pPr>
    </w:p>
    <w:p w14:paraId="229264A0" w14:textId="02931A49" w:rsidR="00D230E9" w:rsidRDefault="00D230E9">
      <w:pPr>
        <w:rPr>
          <w:rFonts w:ascii="Times New Roman" w:hAnsi="Times New Roman" w:cs="Times New Roman"/>
        </w:rPr>
      </w:pPr>
      <w:r>
        <w:rPr>
          <w:rFonts w:ascii="Times New Roman" w:hAnsi="Times New Roman" w:cs="Times New Roman"/>
        </w:rPr>
        <w:br w:type="page"/>
      </w:r>
    </w:p>
    <w:p w14:paraId="6064073C" w14:textId="77777777" w:rsidR="008E055E" w:rsidRDefault="008E055E" w:rsidP="005C55FB">
      <w:pPr>
        <w:spacing w:line="480" w:lineRule="auto"/>
        <w:rPr>
          <w:rFonts w:ascii="Times New Roman" w:hAnsi="Times New Roman" w:cs="Times New Roman"/>
        </w:rPr>
      </w:pPr>
    </w:p>
    <w:p w14:paraId="652B0366" w14:textId="77777777" w:rsidR="008E055E" w:rsidRDefault="008E055E" w:rsidP="005C55FB">
      <w:pPr>
        <w:spacing w:line="480" w:lineRule="auto"/>
        <w:rPr>
          <w:noProof/>
        </w:rPr>
      </w:pPr>
    </w:p>
    <w:p w14:paraId="3E2E3F84" w14:textId="77777777" w:rsidR="008E055E" w:rsidRPr="00073EBB" w:rsidRDefault="008E055E" w:rsidP="005C55FB">
      <w:pPr>
        <w:spacing w:line="480" w:lineRule="auto"/>
        <w:rPr>
          <w:rFonts w:ascii="Times New Roman" w:hAnsi="Times New Roman" w:cs="Times New Roman"/>
          <w:b/>
          <w:noProof/>
        </w:rPr>
      </w:pPr>
      <w:r w:rsidRPr="00073EBB">
        <w:rPr>
          <w:rFonts w:ascii="Times New Roman" w:hAnsi="Times New Roman" w:cs="Times New Roman"/>
          <w:b/>
          <w:noProof/>
        </w:rPr>
        <w:t>Figure caption</w:t>
      </w:r>
    </w:p>
    <w:p w14:paraId="0F476E2B" w14:textId="05E173A6" w:rsidR="008E055E" w:rsidRPr="007025A7" w:rsidRDefault="008E055E" w:rsidP="005C55FB">
      <w:pPr>
        <w:spacing w:line="480" w:lineRule="auto"/>
        <w:rPr>
          <w:rFonts w:ascii="Times New Roman" w:eastAsia="Times New Roman" w:hAnsi="Times New Roman" w:cs="Times New Roman"/>
          <w:u w:val="single"/>
          <w:lang w:val="en-GB"/>
        </w:rPr>
      </w:pPr>
      <w:r>
        <w:rPr>
          <w:rFonts w:ascii="Times New Roman" w:eastAsia="Times New Roman" w:hAnsi="Times New Roman" w:cs="Times New Roman"/>
          <w:u w:val="single"/>
          <w:lang w:val="en-GB"/>
        </w:rPr>
        <w:t>Figure 1</w:t>
      </w:r>
      <w:r w:rsidRPr="007025A7">
        <w:rPr>
          <w:rFonts w:ascii="Times New Roman" w:eastAsia="Times New Roman" w:hAnsi="Times New Roman" w:cs="Times New Roman"/>
          <w:u w:val="single"/>
          <w:lang w:val="en-GB"/>
        </w:rPr>
        <w:t xml:space="preserve">.  Frequency of decisions per consultation </w:t>
      </w:r>
      <w:r>
        <w:rPr>
          <w:rFonts w:ascii="Times New Roman" w:eastAsia="Times New Roman" w:hAnsi="Times New Roman" w:cs="Times New Roman"/>
          <w:u w:val="single"/>
          <w:lang w:val="en-GB"/>
        </w:rPr>
        <w:t xml:space="preserve">(only including consultations with at least 1 decision) </w:t>
      </w:r>
      <w:r w:rsidRPr="007025A7">
        <w:rPr>
          <w:rFonts w:ascii="Times New Roman" w:eastAsia="Times New Roman" w:hAnsi="Times New Roman" w:cs="Times New Roman"/>
          <w:u w:val="single"/>
          <w:lang w:val="en-GB"/>
        </w:rPr>
        <w:t>(left</w:t>
      </w:r>
      <w:r>
        <w:rPr>
          <w:rFonts w:ascii="Times New Roman" w:eastAsia="Times New Roman" w:hAnsi="Times New Roman" w:cs="Times New Roman"/>
          <w:u w:val="single"/>
          <w:lang w:val="en-GB"/>
        </w:rPr>
        <w:t>, n=246</w:t>
      </w:r>
      <w:r w:rsidRPr="007025A7">
        <w:rPr>
          <w:rFonts w:ascii="Times New Roman" w:eastAsia="Times New Roman" w:hAnsi="Times New Roman" w:cs="Times New Roman"/>
          <w:u w:val="single"/>
          <w:lang w:val="en-GB"/>
        </w:rPr>
        <w:t xml:space="preserve">) and frequency of </w:t>
      </w:r>
      <w:r>
        <w:rPr>
          <w:rFonts w:ascii="Times New Roman" w:eastAsia="Times New Roman" w:hAnsi="Times New Roman" w:cs="Times New Roman"/>
          <w:u w:val="single"/>
          <w:lang w:val="en-GB"/>
        </w:rPr>
        <w:t>decision-point</w:t>
      </w:r>
      <w:r w:rsidRPr="007025A7">
        <w:rPr>
          <w:rFonts w:ascii="Times New Roman" w:eastAsia="Times New Roman" w:hAnsi="Times New Roman" w:cs="Times New Roman"/>
          <w:u w:val="single"/>
          <w:lang w:val="en-GB"/>
        </w:rPr>
        <w:t>s per decision (right</w:t>
      </w:r>
      <w:r>
        <w:rPr>
          <w:rFonts w:ascii="Times New Roman" w:eastAsia="Times New Roman" w:hAnsi="Times New Roman" w:cs="Times New Roman"/>
          <w:u w:val="single"/>
          <w:lang w:val="en-GB"/>
        </w:rPr>
        <w:t>, n=623</w:t>
      </w:r>
      <w:r w:rsidRPr="007025A7">
        <w:rPr>
          <w:rFonts w:ascii="Times New Roman" w:eastAsia="Times New Roman" w:hAnsi="Times New Roman" w:cs="Times New Roman"/>
          <w:u w:val="single"/>
          <w:lang w:val="en-GB"/>
        </w:rPr>
        <w:t xml:space="preserve">). </w:t>
      </w:r>
    </w:p>
    <w:p w14:paraId="1569C448" w14:textId="02C9B424" w:rsidR="008E055E" w:rsidRDefault="008E055E" w:rsidP="00177807">
      <w:pPr>
        <w:autoSpaceDE w:val="0"/>
        <w:autoSpaceDN w:val="0"/>
        <w:adjustRightInd w:val="0"/>
        <w:spacing w:line="480" w:lineRule="auto"/>
        <w:rPr>
          <w:rFonts w:ascii="Times New Roman" w:hAnsi="Times New Roman" w:cs="Times New Roman"/>
          <w:lang w:val="en-GB"/>
        </w:rPr>
      </w:pPr>
      <w:r w:rsidRPr="00917746">
        <w:rPr>
          <w:rFonts w:ascii="Times New Roman" w:hAnsi="Times New Roman" w:cs="Times New Roman"/>
          <w:lang w:val="en-GB"/>
        </w:rPr>
        <w:t xml:space="preserve"> </w:t>
      </w:r>
    </w:p>
    <w:p w14:paraId="159BCE55" w14:textId="77777777" w:rsidR="008E055E" w:rsidRPr="00073EBB" w:rsidRDefault="008E055E" w:rsidP="00177807">
      <w:pPr>
        <w:spacing w:line="480" w:lineRule="auto"/>
        <w:rPr>
          <w:rFonts w:ascii="Times New Roman" w:hAnsi="Times New Roman" w:cs="Times New Roman"/>
          <w:b/>
          <w:noProof/>
        </w:rPr>
      </w:pPr>
      <w:r w:rsidRPr="00073EBB">
        <w:rPr>
          <w:rFonts w:ascii="Times New Roman" w:hAnsi="Times New Roman" w:cs="Times New Roman"/>
          <w:b/>
          <w:noProof/>
        </w:rPr>
        <w:t>Tables</w:t>
      </w:r>
    </w:p>
    <w:p w14:paraId="154753FF" w14:textId="588AD733" w:rsidR="008E055E" w:rsidRDefault="008E055E" w:rsidP="00177807">
      <w:pPr>
        <w:spacing w:line="480" w:lineRule="auto"/>
        <w:rPr>
          <w:rFonts w:ascii="Times New Roman" w:eastAsia="Times New Roman" w:hAnsi="Times New Roman" w:cs="Times New Roman"/>
          <w:u w:val="single"/>
          <w:lang w:val="en-GB"/>
        </w:rPr>
      </w:pPr>
      <w:r w:rsidRPr="007025A7">
        <w:rPr>
          <w:rFonts w:ascii="Times New Roman" w:eastAsia="Times New Roman" w:hAnsi="Times New Roman" w:cs="Times New Roman"/>
          <w:u w:val="single"/>
          <w:lang w:val="en-GB"/>
        </w:rPr>
        <w:t xml:space="preserve">Table </w:t>
      </w:r>
      <w:r>
        <w:rPr>
          <w:rFonts w:ascii="Times New Roman" w:eastAsia="Times New Roman" w:hAnsi="Times New Roman" w:cs="Times New Roman"/>
          <w:u w:val="single"/>
          <w:lang w:val="en-GB"/>
        </w:rPr>
        <w:t>1</w:t>
      </w:r>
      <w:r w:rsidRPr="007025A7">
        <w:rPr>
          <w:rFonts w:ascii="Times New Roman" w:eastAsia="Times New Roman" w:hAnsi="Times New Roman" w:cs="Times New Roman"/>
          <w:u w:val="single"/>
          <w:lang w:val="en-GB"/>
        </w:rPr>
        <w:t xml:space="preserve">.  Distribution of </w:t>
      </w:r>
      <w:r>
        <w:rPr>
          <w:rFonts w:ascii="Times New Roman" w:eastAsia="Times New Roman" w:hAnsi="Times New Roman" w:cs="Times New Roman"/>
          <w:u w:val="single"/>
          <w:lang w:val="en-GB"/>
        </w:rPr>
        <w:t xml:space="preserve">the </w:t>
      </w:r>
      <w:r w:rsidRPr="007025A7">
        <w:rPr>
          <w:rFonts w:ascii="Times New Roman" w:eastAsia="Times New Roman" w:hAnsi="Times New Roman" w:cs="Times New Roman"/>
          <w:u w:val="single"/>
          <w:lang w:val="en-GB"/>
        </w:rPr>
        <w:t>practice</w:t>
      </w:r>
      <w:r>
        <w:rPr>
          <w:rFonts w:ascii="Times New Roman" w:eastAsia="Times New Roman" w:hAnsi="Times New Roman" w:cs="Times New Roman"/>
          <w:u w:val="single"/>
          <w:lang w:val="en-GB"/>
        </w:rPr>
        <w:t>s</w:t>
      </w:r>
      <w:r w:rsidRPr="007025A7">
        <w:rPr>
          <w:rFonts w:ascii="Times New Roman" w:eastAsia="Times New Roman" w:hAnsi="Times New Roman" w:cs="Times New Roman"/>
          <w:u w:val="single"/>
          <w:lang w:val="en-GB"/>
        </w:rPr>
        <w:t xml:space="preserve"> across consultations</w:t>
      </w:r>
      <w:r>
        <w:rPr>
          <w:rFonts w:ascii="Times New Roman" w:eastAsia="Times New Roman" w:hAnsi="Times New Roman" w:cs="Times New Roman"/>
          <w:u w:val="single"/>
          <w:lang w:val="en-GB"/>
        </w:rPr>
        <w:t>, decisions, and decision-points</w:t>
      </w:r>
      <w:r w:rsidR="00944104">
        <w:rPr>
          <w:rFonts w:ascii="Times New Roman" w:eastAsia="Times New Roman" w:hAnsi="Times New Roman" w:cs="Times New Roman"/>
          <w:u w:val="single"/>
          <w:lang w:val="en-GB"/>
        </w:rPr>
        <w:t xml:space="preserve"> (row %)</w:t>
      </w:r>
    </w:p>
    <w:tbl>
      <w:tblPr>
        <w:tblpPr w:leftFromText="180" w:rightFromText="180" w:vertAnchor="text" w:horzAnchor="margin" w:tblpXSpec="center" w:tblpY="99"/>
        <w:tblW w:w="9046" w:type="dxa"/>
        <w:tblLook w:val="04A0" w:firstRow="1" w:lastRow="0" w:firstColumn="1" w:lastColumn="0" w:noHBand="0" w:noVBand="1"/>
      </w:tblPr>
      <w:tblGrid>
        <w:gridCol w:w="1242"/>
        <w:gridCol w:w="426"/>
        <w:gridCol w:w="1559"/>
        <w:gridCol w:w="1276"/>
        <w:gridCol w:w="1134"/>
        <w:gridCol w:w="1275"/>
        <w:gridCol w:w="1560"/>
        <w:gridCol w:w="574"/>
      </w:tblGrid>
      <w:tr w:rsidR="008E055E" w:rsidRPr="00BC3BFF" w14:paraId="6A32D5C9" w14:textId="77777777" w:rsidTr="005C55FB">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E0B31"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B0416C"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CAB85C"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Recommendations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40F5904"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PVEs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BD6E61D"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w:t>
            </w:r>
            <w:r w:rsidRPr="00C6234E">
              <w:rPr>
                <w:rFonts w:ascii="Calibri" w:eastAsia="Times New Roman" w:hAnsi="Calibri" w:cs="Times New Roman"/>
                <w:color w:val="000000"/>
                <w:sz w:val="16"/>
                <w:szCs w:val="16"/>
                <w:lang w:val="en-GB" w:eastAsia="en-GB"/>
              </w:rPr>
              <w:t>ption-lists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46C372"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PVEs or o</w:t>
            </w:r>
            <w:r w:rsidRPr="00C6234E">
              <w:rPr>
                <w:rFonts w:ascii="Calibri" w:eastAsia="Times New Roman" w:hAnsi="Calibri" w:cs="Times New Roman"/>
                <w:color w:val="000000"/>
                <w:sz w:val="16"/>
                <w:szCs w:val="16"/>
                <w:lang w:val="en-GB" w:eastAsia="en-GB"/>
              </w:rPr>
              <w:t>ption-lists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BC4CF3F"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 PVE or o</w:t>
            </w:r>
            <w:r w:rsidRPr="00C6234E">
              <w:rPr>
                <w:rFonts w:ascii="Calibri" w:eastAsia="Times New Roman" w:hAnsi="Calibri" w:cs="Times New Roman"/>
                <w:color w:val="000000"/>
                <w:sz w:val="16"/>
                <w:szCs w:val="16"/>
                <w:lang w:val="en-GB" w:eastAsia="en-GB"/>
              </w:rPr>
              <w:t>ption-list</w:t>
            </w:r>
            <w:r>
              <w:rPr>
                <w:rFonts w:ascii="Calibri" w:eastAsia="Times New Roman" w:hAnsi="Calibri" w:cs="Times New Roman"/>
                <w:color w:val="000000"/>
                <w:sz w:val="16"/>
                <w:szCs w:val="16"/>
                <w:lang w:val="en-GB" w:eastAsia="en-GB"/>
              </w:rPr>
              <w:t xml:space="preserve"> (only recommendations)</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084F6DC5"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Total</w:t>
            </w:r>
          </w:p>
        </w:tc>
      </w:tr>
      <w:tr w:rsidR="008E055E" w:rsidRPr="00BC3BFF" w14:paraId="384C5BD1" w14:textId="77777777" w:rsidTr="005C55F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3B407B34"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Consultations</w:t>
            </w:r>
          </w:p>
        </w:tc>
        <w:tc>
          <w:tcPr>
            <w:tcW w:w="426" w:type="dxa"/>
            <w:tcBorders>
              <w:top w:val="nil"/>
              <w:left w:val="nil"/>
              <w:bottom w:val="single" w:sz="4" w:space="0" w:color="auto"/>
              <w:right w:val="single" w:sz="4" w:space="0" w:color="auto"/>
            </w:tcBorders>
            <w:shd w:val="clear" w:color="auto" w:fill="auto"/>
            <w:noWrap/>
            <w:vAlign w:val="bottom"/>
            <w:hideMark/>
          </w:tcPr>
          <w:p w14:paraId="33C3450B"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n</w:t>
            </w:r>
          </w:p>
        </w:tc>
        <w:tc>
          <w:tcPr>
            <w:tcW w:w="1559" w:type="dxa"/>
            <w:tcBorders>
              <w:top w:val="nil"/>
              <w:left w:val="nil"/>
              <w:bottom w:val="single" w:sz="4" w:space="0" w:color="auto"/>
              <w:right w:val="single" w:sz="4" w:space="0" w:color="auto"/>
            </w:tcBorders>
            <w:shd w:val="clear" w:color="auto" w:fill="auto"/>
            <w:noWrap/>
            <w:vAlign w:val="bottom"/>
            <w:hideMark/>
          </w:tcPr>
          <w:p w14:paraId="653C97F4"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131</w:t>
            </w:r>
          </w:p>
        </w:tc>
        <w:tc>
          <w:tcPr>
            <w:tcW w:w="1276" w:type="dxa"/>
            <w:tcBorders>
              <w:top w:val="nil"/>
              <w:left w:val="nil"/>
              <w:bottom w:val="single" w:sz="4" w:space="0" w:color="auto"/>
              <w:right w:val="single" w:sz="4" w:space="0" w:color="auto"/>
            </w:tcBorders>
            <w:shd w:val="clear" w:color="auto" w:fill="auto"/>
            <w:noWrap/>
            <w:vAlign w:val="bottom"/>
            <w:hideMark/>
          </w:tcPr>
          <w:p w14:paraId="609E4720"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77</w:t>
            </w:r>
          </w:p>
        </w:tc>
        <w:tc>
          <w:tcPr>
            <w:tcW w:w="1134" w:type="dxa"/>
            <w:tcBorders>
              <w:top w:val="nil"/>
              <w:left w:val="nil"/>
              <w:bottom w:val="single" w:sz="4" w:space="0" w:color="auto"/>
              <w:right w:val="single" w:sz="4" w:space="0" w:color="auto"/>
            </w:tcBorders>
            <w:shd w:val="clear" w:color="auto" w:fill="auto"/>
            <w:noWrap/>
            <w:vAlign w:val="bottom"/>
            <w:hideMark/>
          </w:tcPr>
          <w:p w14:paraId="331B8E83"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24</w:t>
            </w:r>
          </w:p>
        </w:tc>
        <w:tc>
          <w:tcPr>
            <w:tcW w:w="1275" w:type="dxa"/>
            <w:tcBorders>
              <w:top w:val="nil"/>
              <w:left w:val="nil"/>
              <w:bottom w:val="single" w:sz="4" w:space="0" w:color="auto"/>
              <w:right w:val="single" w:sz="4" w:space="0" w:color="auto"/>
            </w:tcBorders>
            <w:shd w:val="clear" w:color="auto" w:fill="auto"/>
            <w:noWrap/>
            <w:vAlign w:val="bottom"/>
            <w:hideMark/>
          </w:tcPr>
          <w:p w14:paraId="4337030B"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80</w:t>
            </w:r>
          </w:p>
        </w:tc>
        <w:tc>
          <w:tcPr>
            <w:tcW w:w="1560" w:type="dxa"/>
            <w:tcBorders>
              <w:top w:val="nil"/>
              <w:left w:val="nil"/>
              <w:bottom w:val="single" w:sz="4" w:space="0" w:color="auto"/>
              <w:right w:val="single" w:sz="4" w:space="0" w:color="auto"/>
            </w:tcBorders>
            <w:shd w:val="clear" w:color="auto" w:fill="auto"/>
            <w:noWrap/>
            <w:vAlign w:val="bottom"/>
            <w:hideMark/>
          </w:tcPr>
          <w:p w14:paraId="307C9377"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64</w:t>
            </w:r>
          </w:p>
        </w:tc>
        <w:tc>
          <w:tcPr>
            <w:tcW w:w="574" w:type="dxa"/>
            <w:tcBorders>
              <w:top w:val="nil"/>
              <w:left w:val="nil"/>
              <w:bottom w:val="single" w:sz="4" w:space="0" w:color="auto"/>
              <w:right w:val="single" w:sz="4" w:space="0" w:color="auto"/>
            </w:tcBorders>
            <w:shd w:val="clear" w:color="auto" w:fill="auto"/>
            <w:noWrap/>
            <w:vAlign w:val="bottom"/>
            <w:hideMark/>
          </w:tcPr>
          <w:p w14:paraId="3632073C"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144</w:t>
            </w:r>
          </w:p>
        </w:tc>
      </w:tr>
      <w:tr w:rsidR="008E055E" w:rsidRPr="00BC3BFF" w14:paraId="3BFCDD49" w14:textId="77777777" w:rsidTr="005C55F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6B44A7"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0235B1CF"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w:t>
            </w:r>
          </w:p>
        </w:tc>
        <w:tc>
          <w:tcPr>
            <w:tcW w:w="1559" w:type="dxa"/>
            <w:tcBorders>
              <w:top w:val="nil"/>
              <w:left w:val="nil"/>
              <w:bottom w:val="single" w:sz="4" w:space="0" w:color="auto"/>
              <w:right w:val="single" w:sz="4" w:space="0" w:color="auto"/>
            </w:tcBorders>
            <w:shd w:val="clear" w:color="auto" w:fill="auto"/>
            <w:noWrap/>
            <w:vAlign w:val="bottom"/>
            <w:hideMark/>
          </w:tcPr>
          <w:p w14:paraId="60F2FE55"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91%</w:t>
            </w:r>
          </w:p>
        </w:tc>
        <w:tc>
          <w:tcPr>
            <w:tcW w:w="1276" w:type="dxa"/>
            <w:tcBorders>
              <w:top w:val="nil"/>
              <w:left w:val="nil"/>
              <w:bottom w:val="single" w:sz="4" w:space="0" w:color="auto"/>
              <w:right w:val="single" w:sz="4" w:space="0" w:color="auto"/>
            </w:tcBorders>
            <w:shd w:val="clear" w:color="auto" w:fill="auto"/>
            <w:noWrap/>
            <w:vAlign w:val="bottom"/>
            <w:hideMark/>
          </w:tcPr>
          <w:p w14:paraId="6513DC32"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53.5%</w:t>
            </w:r>
          </w:p>
        </w:tc>
        <w:tc>
          <w:tcPr>
            <w:tcW w:w="1134" w:type="dxa"/>
            <w:tcBorders>
              <w:top w:val="nil"/>
              <w:left w:val="nil"/>
              <w:bottom w:val="single" w:sz="4" w:space="0" w:color="auto"/>
              <w:right w:val="single" w:sz="4" w:space="0" w:color="auto"/>
            </w:tcBorders>
            <w:shd w:val="clear" w:color="auto" w:fill="auto"/>
            <w:noWrap/>
            <w:vAlign w:val="bottom"/>
            <w:hideMark/>
          </w:tcPr>
          <w:p w14:paraId="45F3486C"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16.7%</w:t>
            </w:r>
          </w:p>
        </w:tc>
        <w:tc>
          <w:tcPr>
            <w:tcW w:w="1275" w:type="dxa"/>
            <w:tcBorders>
              <w:top w:val="nil"/>
              <w:left w:val="nil"/>
              <w:bottom w:val="single" w:sz="4" w:space="0" w:color="auto"/>
              <w:right w:val="single" w:sz="4" w:space="0" w:color="auto"/>
            </w:tcBorders>
            <w:shd w:val="clear" w:color="auto" w:fill="auto"/>
            <w:noWrap/>
            <w:vAlign w:val="bottom"/>
            <w:hideMark/>
          </w:tcPr>
          <w:p w14:paraId="212E4468"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55.6%</w:t>
            </w:r>
          </w:p>
        </w:tc>
        <w:tc>
          <w:tcPr>
            <w:tcW w:w="1560" w:type="dxa"/>
            <w:tcBorders>
              <w:top w:val="nil"/>
              <w:left w:val="nil"/>
              <w:bottom w:val="single" w:sz="4" w:space="0" w:color="auto"/>
              <w:right w:val="single" w:sz="4" w:space="0" w:color="auto"/>
            </w:tcBorders>
            <w:shd w:val="clear" w:color="auto" w:fill="auto"/>
            <w:noWrap/>
            <w:vAlign w:val="bottom"/>
            <w:hideMark/>
          </w:tcPr>
          <w:p w14:paraId="07031636"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44.4%</w:t>
            </w:r>
          </w:p>
        </w:tc>
        <w:tc>
          <w:tcPr>
            <w:tcW w:w="574" w:type="dxa"/>
            <w:tcBorders>
              <w:top w:val="nil"/>
              <w:left w:val="nil"/>
              <w:bottom w:val="single" w:sz="4" w:space="0" w:color="auto"/>
              <w:right w:val="single" w:sz="4" w:space="0" w:color="auto"/>
            </w:tcBorders>
            <w:shd w:val="clear" w:color="auto" w:fill="auto"/>
            <w:noWrap/>
            <w:vAlign w:val="bottom"/>
            <w:hideMark/>
          </w:tcPr>
          <w:p w14:paraId="1C77D396"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n/a</w:t>
            </w:r>
          </w:p>
        </w:tc>
      </w:tr>
      <w:tr w:rsidR="008E055E" w:rsidRPr="00BC3BFF" w14:paraId="3BFB3A8A" w14:textId="77777777" w:rsidTr="005C55F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EC21168"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Decisions</w:t>
            </w:r>
          </w:p>
        </w:tc>
        <w:tc>
          <w:tcPr>
            <w:tcW w:w="426" w:type="dxa"/>
            <w:tcBorders>
              <w:top w:val="nil"/>
              <w:left w:val="nil"/>
              <w:bottom w:val="single" w:sz="4" w:space="0" w:color="auto"/>
              <w:right w:val="single" w:sz="4" w:space="0" w:color="auto"/>
            </w:tcBorders>
            <w:shd w:val="clear" w:color="auto" w:fill="auto"/>
            <w:noWrap/>
            <w:vAlign w:val="bottom"/>
            <w:hideMark/>
          </w:tcPr>
          <w:p w14:paraId="2622C575"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n</w:t>
            </w:r>
          </w:p>
        </w:tc>
        <w:tc>
          <w:tcPr>
            <w:tcW w:w="1559" w:type="dxa"/>
            <w:tcBorders>
              <w:top w:val="nil"/>
              <w:left w:val="nil"/>
              <w:bottom w:val="single" w:sz="4" w:space="0" w:color="auto"/>
              <w:right w:val="single" w:sz="4" w:space="0" w:color="auto"/>
            </w:tcBorders>
            <w:shd w:val="clear" w:color="auto" w:fill="auto"/>
            <w:noWrap/>
            <w:vAlign w:val="bottom"/>
            <w:hideMark/>
          </w:tcPr>
          <w:p w14:paraId="1EFDEAF4"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207</w:t>
            </w:r>
          </w:p>
        </w:tc>
        <w:tc>
          <w:tcPr>
            <w:tcW w:w="1276" w:type="dxa"/>
            <w:tcBorders>
              <w:top w:val="nil"/>
              <w:left w:val="nil"/>
              <w:bottom w:val="single" w:sz="4" w:space="0" w:color="auto"/>
              <w:right w:val="single" w:sz="4" w:space="0" w:color="auto"/>
            </w:tcBorders>
            <w:shd w:val="clear" w:color="auto" w:fill="auto"/>
            <w:noWrap/>
            <w:vAlign w:val="bottom"/>
            <w:hideMark/>
          </w:tcPr>
          <w:p w14:paraId="0E2B5721"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105</w:t>
            </w:r>
          </w:p>
        </w:tc>
        <w:tc>
          <w:tcPr>
            <w:tcW w:w="1134" w:type="dxa"/>
            <w:tcBorders>
              <w:top w:val="nil"/>
              <w:left w:val="nil"/>
              <w:bottom w:val="single" w:sz="4" w:space="0" w:color="auto"/>
              <w:right w:val="single" w:sz="4" w:space="0" w:color="auto"/>
            </w:tcBorders>
            <w:shd w:val="clear" w:color="auto" w:fill="auto"/>
            <w:noWrap/>
            <w:vAlign w:val="bottom"/>
            <w:hideMark/>
          </w:tcPr>
          <w:p w14:paraId="2FBA4137"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27</w:t>
            </w:r>
          </w:p>
        </w:tc>
        <w:tc>
          <w:tcPr>
            <w:tcW w:w="1275" w:type="dxa"/>
            <w:tcBorders>
              <w:top w:val="nil"/>
              <w:left w:val="nil"/>
              <w:bottom w:val="single" w:sz="4" w:space="0" w:color="auto"/>
              <w:right w:val="single" w:sz="4" w:space="0" w:color="auto"/>
            </w:tcBorders>
            <w:shd w:val="clear" w:color="auto" w:fill="auto"/>
            <w:noWrap/>
            <w:vAlign w:val="bottom"/>
            <w:hideMark/>
          </w:tcPr>
          <w:p w14:paraId="1764A59D"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105</w:t>
            </w:r>
          </w:p>
        </w:tc>
        <w:tc>
          <w:tcPr>
            <w:tcW w:w="1560" w:type="dxa"/>
            <w:tcBorders>
              <w:top w:val="nil"/>
              <w:left w:val="nil"/>
              <w:bottom w:val="single" w:sz="4" w:space="0" w:color="auto"/>
              <w:right w:val="single" w:sz="4" w:space="0" w:color="auto"/>
            </w:tcBorders>
            <w:shd w:val="clear" w:color="auto" w:fill="auto"/>
            <w:noWrap/>
            <w:vAlign w:val="bottom"/>
            <w:hideMark/>
          </w:tcPr>
          <w:p w14:paraId="0B322838"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141</w:t>
            </w:r>
          </w:p>
        </w:tc>
        <w:tc>
          <w:tcPr>
            <w:tcW w:w="574" w:type="dxa"/>
            <w:tcBorders>
              <w:top w:val="nil"/>
              <w:left w:val="nil"/>
              <w:bottom w:val="single" w:sz="4" w:space="0" w:color="auto"/>
              <w:right w:val="single" w:sz="4" w:space="0" w:color="auto"/>
            </w:tcBorders>
            <w:shd w:val="clear" w:color="auto" w:fill="auto"/>
            <w:noWrap/>
            <w:vAlign w:val="bottom"/>
            <w:hideMark/>
          </w:tcPr>
          <w:p w14:paraId="1E3D97F4"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24</w:t>
            </w:r>
            <w:r>
              <w:rPr>
                <w:rFonts w:ascii="Calibri" w:eastAsia="Times New Roman" w:hAnsi="Calibri" w:cs="Times New Roman"/>
                <w:color w:val="000000"/>
                <w:sz w:val="16"/>
                <w:szCs w:val="16"/>
                <w:lang w:val="en-GB" w:eastAsia="en-GB"/>
              </w:rPr>
              <w:t>6</w:t>
            </w:r>
          </w:p>
        </w:tc>
      </w:tr>
      <w:tr w:rsidR="008E055E" w:rsidRPr="00BC3BFF" w14:paraId="37DF83B2" w14:textId="77777777" w:rsidTr="005C55F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3001A43D"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4A068569"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w:t>
            </w:r>
          </w:p>
        </w:tc>
        <w:tc>
          <w:tcPr>
            <w:tcW w:w="1559" w:type="dxa"/>
            <w:tcBorders>
              <w:top w:val="nil"/>
              <w:left w:val="nil"/>
              <w:bottom w:val="single" w:sz="4" w:space="0" w:color="auto"/>
              <w:right w:val="single" w:sz="4" w:space="0" w:color="auto"/>
            </w:tcBorders>
            <w:shd w:val="clear" w:color="auto" w:fill="auto"/>
            <w:noWrap/>
            <w:vAlign w:val="bottom"/>
            <w:hideMark/>
          </w:tcPr>
          <w:p w14:paraId="7738F165"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84.1%</w:t>
            </w:r>
          </w:p>
        </w:tc>
        <w:tc>
          <w:tcPr>
            <w:tcW w:w="1276" w:type="dxa"/>
            <w:tcBorders>
              <w:top w:val="nil"/>
              <w:left w:val="nil"/>
              <w:bottom w:val="single" w:sz="4" w:space="0" w:color="auto"/>
              <w:right w:val="single" w:sz="4" w:space="0" w:color="auto"/>
            </w:tcBorders>
            <w:shd w:val="clear" w:color="auto" w:fill="auto"/>
            <w:noWrap/>
            <w:vAlign w:val="bottom"/>
            <w:hideMark/>
          </w:tcPr>
          <w:p w14:paraId="5E91B13E"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42.7%</w:t>
            </w:r>
          </w:p>
        </w:tc>
        <w:tc>
          <w:tcPr>
            <w:tcW w:w="1134" w:type="dxa"/>
            <w:tcBorders>
              <w:top w:val="nil"/>
              <w:left w:val="nil"/>
              <w:bottom w:val="single" w:sz="4" w:space="0" w:color="auto"/>
              <w:right w:val="single" w:sz="4" w:space="0" w:color="auto"/>
            </w:tcBorders>
            <w:shd w:val="clear" w:color="auto" w:fill="auto"/>
            <w:noWrap/>
            <w:vAlign w:val="bottom"/>
            <w:hideMark/>
          </w:tcPr>
          <w:p w14:paraId="1649739D"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11.0%</w:t>
            </w:r>
          </w:p>
        </w:tc>
        <w:tc>
          <w:tcPr>
            <w:tcW w:w="1275" w:type="dxa"/>
            <w:tcBorders>
              <w:top w:val="nil"/>
              <w:left w:val="nil"/>
              <w:bottom w:val="single" w:sz="4" w:space="0" w:color="auto"/>
              <w:right w:val="single" w:sz="4" w:space="0" w:color="auto"/>
            </w:tcBorders>
            <w:shd w:val="clear" w:color="auto" w:fill="auto"/>
            <w:noWrap/>
            <w:vAlign w:val="bottom"/>
            <w:hideMark/>
          </w:tcPr>
          <w:p w14:paraId="1AE50A94"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42.7%</w:t>
            </w:r>
          </w:p>
        </w:tc>
        <w:tc>
          <w:tcPr>
            <w:tcW w:w="1560" w:type="dxa"/>
            <w:tcBorders>
              <w:top w:val="nil"/>
              <w:left w:val="nil"/>
              <w:bottom w:val="single" w:sz="4" w:space="0" w:color="auto"/>
              <w:right w:val="single" w:sz="4" w:space="0" w:color="auto"/>
            </w:tcBorders>
            <w:shd w:val="clear" w:color="auto" w:fill="auto"/>
            <w:noWrap/>
            <w:vAlign w:val="bottom"/>
            <w:hideMark/>
          </w:tcPr>
          <w:p w14:paraId="5FD3A09D"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57.3%</w:t>
            </w:r>
          </w:p>
        </w:tc>
        <w:tc>
          <w:tcPr>
            <w:tcW w:w="574" w:type="dxa"/>
            <w:tcBorders>
              <w:top w:val="nil"/>
              <w:left w:val="nil"/>
              <w:bottom w:val="single" w:sz="4" w:space="0" w:color="auto"/>
              <w:right w:val="single" w:sz="4" w:space="0" w:color="auto"/>
            </w:tcBorders>
            <w:shd w:val="clear" w:color="auto" w:fill="auto"/>
            <w:noWrap/>
            <w:vAlign w:val="bottom"/>
            <w:hideMark/>
          </w:tcPr>
          <w:p w14:paraId="54C58080"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n/a</w:t>
            </w:r>
          </w:p>
        </w:tc>
      </w:tr>
      <w:tr w:rsidR="008E055E" w:rsidRPr="00BC3BFF" w14:paraId="01A779AA" w14:textId="77777777" w:rsidTr="005C55F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4CC0B4C"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All decision-points</w:t>
            </w:r>
          </w:p>
        </w:tc>
        <w:tc>
          <w:tcPr>
            <w:tcW w:w="426" w:type="dxa"/>
            <w:tcBorders>
              <w:top w:val="nil"/>
              <w:left w:val="nil"/>
              <w:bottom w:val="single" w:sz="4" w:space="0" w:color="auto"/>
              <w:right w:val="single" w:sz="4" w:space="0" w:color="auto"/>
            </w:tcBorders>
            <w:shd w:val="clear" w:color="auto" w:fill="auto"/>
            <w:noWrap/>
            <w:vAlign w:val="bottom"/>
            <w:hideMark/>
          </w:tcPr>
          <w:p w14:paraId="72DA2EF5"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n</w:t>
            </w:r>
          </w:p>
        </w:tc>
        <w:tc>
          <w:tcPr>
            <w:tcW w:w="1559" w:type="dxa"/>
            <w:tcBorders>
              <w:top w:val="nil"/>
              <w:left w:val="nil"/>
              <w:bottom w:val="single" w:sz="4" w:space="0" w:color="auto"/>
              <w:right w:val="single" w:sz="4" w:space="0" w:color="auto"/>
            </w:tcBorders>
            <w:shd w:val="clear" w:color="auto" w:fill="auto"/>
            <w:noWrap/>
            <w:vAlign w:val="bottom"/>
            <w:hideMark/>
          </w:tcPr>
          <w:p w14:paraId="374870BB"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439</w:t>
            </w:r>
          </w:p>
        </w:tc>
        <w:tc>
          <w:tcPr>
            <w:tcW w:w="1276" w:type="dxa"/>
            <w:tcBorders>
              <w:top w:val="nil"/>
              <w:left w:val="nil"/>
              <w:bottom w:val="single" w:sz="4" w:space="0" w:color="auto"/>
              <w:right w:val="single" w:sz="4" w:space="0" w:color="auto"/>
            </w:tcBorders>
            <w:shd w:val="clear" w:color="auto" w:fill="auto"/>
            <w:noWrap/>
            <w:vAlign w:val="bottom"/>
            <w:hideMark/>
          </w:tcPr>
          <w:p w14:paraId="711975FF"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149</w:t>
            </w:r>
          </w:p>
        </w:tc>
        <w:tc>
          <w:tcPr>
            <w:tcW w:w="1134" w:type="dxa"/>
            <w:tcBorders>
              <w:top w:val="nil"/>
              <w:left w:val="nil"/>
              <w:bottom w:val="single" w:sz="4" w:space="0" w:color="auto"/>
              <w:right w:val="single" w:sz="4" w:space="0" w:color="auto"/>
            </w:tcBorders>
            <w:shd w:val="clear" w:color="auto" w:fill="auto"/>
            <w:noWrap/>
            <w:vAlign w:val="bottom"/>
            <w:hideMark/>
          </w:tcPr>
          <w:p w14:paraId="78D09D16"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34</w:t>
            </w:r>
          </w:p>
        </w:tc>
        <w:tc>
          <w:tcPr>
            <w:tcW w:w="1275" w:type="dxa"/>
            <w:tcBorders>
              <w:top w:val="nil"/>
              <w:left w:val="nil"/>
              <w:bottom w:val="single" w:sz="4" w:space="0" w:color="auto"/>
              <w:right w:val="single" w:sz="4" w:space="0" w:color="auto"/>
            </w:tcBorders>
            <w:shd w:val="clear" w:color="auto" w:fill="auto"/>
            <w:noWrap/>
            <w:vAlign w:val="bottom"/>
            <w:hideMark/>
          </w:tcPr>
          <w:p w14:paraId="76275318"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183</w:t>
            </w:r>
          </w:p>
        </w:tc>
        <w:tc>
          <w:tcPr>
            <w:tcW w:w="1560" w:type="dxa"/>
            <w:tcBorders>
              <w:top w:val="nil"/>
              <w:left w:val="nil"/>
              <w:bottom w:val="single" w:sz="4" w:space="0" w:color="auto"/>
              <w:right w:val="single" w:sz="4" w:space="0" w:color="auto"/>
            </w:tcBorders>
            <w:shd w:val="clear" w:color="auto" w:fill="auto"/>
            <w:noWrap/>
            <w:vAlign w:val="bottom"/>
            <w:hideMark/>
          </w:tcPr>
          <w:p w14:paraId="5DABB488"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439</w:t>
            </w:r>
          </w:p>
        </w:tc>
        <w:tc>
          <w:tcPr>
            <w:tcW w:w="574" w:type="dxa"/>
            <w:tcBorders>
              <w:top w:val="nil"/>
              <w:left w:val="nil"/>
              <w:bottom w:val="single" w:sz="4" w:space="0" w:color="auto"/>
              <w:right w:val="single" w:sz="4" w:space="0" w:color="auto"/>
            </w:tcBorders>
            <w:shd w:val="clear" w:color="auto" w:fill="auto"/>
            <w:noWrap/>
            <w:vAlign w:val="bottom"/>
            <w:hideMark/>
          </w:tcPr>
          <w:p w14:paraId="1F39A624"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623</w:t>
            </w:r>
          </w:p>
        </w:tc>
      </w:tr>
      <w:tr w:rsidR="008E055E" w:rsidRPr="00BC3BFF" w14:paraId="7B6EBE67" w14:textId="77777777" w:rsidTr="005C55F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0F32648"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B10627C"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w:t>
            </w:r>
          </w:p>
        </w:tc>
        <w:tc>
          <w:tcPr>
            <w:tcW w:w="1559" w:type="dxa"/>
            <w:tcBorders>
              <w:top w:val="nil"/>
              <w:left w:val="nil"/>
              <w:bottom w:val="single" w:sz="4" w:space="0" w:color="auto"/>
              <w:right w:val="single" w:sz="4" w:space="0" w:color="auto"/>
            </w:tcBorders>
            <w:shd w:val="clear" w:color="auto" w:fill="auto"/>
            <w:noWrap/>
            <w:vAlign w:val="bottom"/>
            <w:hideMark/>
          </w:tcPr>
          <w:p w14:paraId="1E9F1B95"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70.6%</w:t>
            </w:r>
          </w:p>
        </w:tc>
        <w:tc>
          <w:tcPr>
            <w:tcW w:w="1276" w:type="dxa"/>
            <w:tcBorders>
              <w:top w:val="nil"/>
              <w:left w:val="nil"/>
              <w:bottom w:val="single" w:sz="4" w:space="0" w:color="auto"/>
              <w:right w:val="single" w:sz="4" w:space="0" w:color="auto"/>
            </w:tcBorders>
            <w:shd w:val="clear" w:color="auto" w:fill="auto"/>
            <w:noWrap/>
            <w:vAlign w:val="bottom"/>
            <w:hideMark/>
          </w:tcPr>
          <w:p w14:paraId="58F1EDE8"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23.9%</w:t>
            </w:r>
          </w:p>
        </w:tc>
        <w:tc>
          <w:tcPr>
            <w:tcW w:w="1134" w:type="dxa"/>
            <w:tcBorders>
              <w:top w:val="nil"/>
              <w:left w:val="nil"/>
              <w:bottom w:val="single" w:sz="4" w:space="0" w:color="auto"/>
              <w:right w:val="single" w:sz="4" w:space="0" w:color="auto"/>
            </w:tcBorders>
            <w:shd w:val="clear" w:color="auto" w:fill="auto"/>
            <w:noWrap/>
            <w:vAlign w:val="bottom"/>
            <w:hideMark/>
          </w:tcPr>
          <w:p w14:paraId="5440C1C2"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5.5%</w:t>
            </w:r>
          </w:p>
        </w:tc>
        <w:tc>
          <w:tcPr>
            <w:tcW w:w="1275" w:type="dxa"/>
            <w:tcBorders>
              <w:top w:val="nil"/>
              <w:left w:val="nil"/>
              <w:bottom w:val="single" w:sz="4" w:space="0" w:color="auto"/>
              <w:right w:val="single" w:sz="4" w:space="0" w:color="auto"/>
            </w:tcBorders>
            <w:shd w:val="clear" w:color="auto" w:fill="auto"/>
            <w:noWrap/>
            <w:vAlign w:val="bottom"/>
            <w:hideMark/>
          </w:tcPr>
          <w:p w14:paraId="53561F92"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29.4%</w:t>
            </w:r>
          </w:p>
        </w:tc>
        <w:tc>
          <w:tcPr>
            <w:tcW w:w="1560" w:type="dxa"/>
            <w:tcBorders>
              <w:top w:val="nil"/>
              <w:left w:val="nil"/>
              <w:bottom w:val="single" w:sz="4" w:space="0" w:color="auto"/>
              <w:right w:val="single" w:sz="4" w:space="0" w:color="auto"/>
            </w:tcBorders>
            <w:shd w:val="clear" w:color="auto" w:fill="auto"/>
            <w:noWrap/>
            <w:vAlign w:val="bottom"/>
            <w:hideMark/>
          </w:tcPr>
          <w:p w14:paraId="2A05F3B1"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70.6%</w:t>
            </w:r>
          </w:p>
        </w:tc>
        <w:tc>
          <w:tcPr>
            <w:tcW w:w="574" w:type="dxa"/>
            <w:tcBorders>
              <w:top w:val="nil"/>
              <w:left w:val="nil"/>
              <w:bottom w:val="single" w:sz="4" w:space="0" w:color="auto"/>
              <w:right w:val="single" w:sz="4" w:space="0" w:color="auto"/>
            </w:tcBorders>
            <w:shd w:val="clear" w:color="auto" w:fill="auto"/>
            <w:noWrap/>
            <w:vAlign w:val="bottom"/>
            <w:hideMark/>
          </w:tcPr>
          <w:p w14:paraId="41628400"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100%</w:t>
            </w:r>
          </w:p>
        </w:tc>
      </w:tr>
      <w:tr w:rsidR="008E055E" w:rsidRPr="00BC3BFF" w14:paraId="7B14B476" w14:textId="77777777" w:rsidTr="005C55F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28B5D6B"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decision-points</w:t>
            </w:r>
          </w:p>
        </w:tc>
        <w:tc>
          <w:tcPr>
            <w:tcW w:w="426" w:type="dxa"/>
            <w:tcBorders>
              <w:top w:val="nil"/>
              <w:left w:val="nil"/>
              <w:bottom w:val="single" w:sz="4" w:space="0" w:color="auto"/>
              <w:right w:val="single" w:sz="4" w:space="0" w:color="auto"/>
            </w:tcBorders>
            <w:shd w:val="clear" w:color="auto" w:fill="auto"/>
            <w:noWrap/>
            <w:vAlign w:val="bottom"/>
            <w:hideMark/>
          </w:tcPr>
          <w:p w14:paraId="178BB035"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n</w:t>
            </w:r>
          </w:p>
        </w:tc>
        <w:tc>
          <w:tcPr>
            <w:tcW w:w="1559" w:type="dxa"/>
            <w:tcBorders>
              <w:top w:val="nil"/>
              <w:left w:val="nil"/>
              <w:bottom w:val="single" w:sz="4" w:space="0" w:color="auto"/>
              <w:right w:val="single" w:sz="4" w:space="0" w:color="auto"/>
            </w:tcBorders>
            <w:shd w:val="clear" w:color="auto" w:fill="auto"/>
            <w:noWrap/>
            <w:vAlign w:val="bottom"/>
            <w:hideMark/>
          </w:tcPr>
          <w:p w14:paraId="64F3AF07"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173</w:t>
            </w:r>
          </w:p>
        </w:tc>
        <w:tc>
          <w:tcPr>
            <w:tcW w:w="1276" w:type="dxa"/>
            <w:tcBorders>
              <w:top w:val="nil"/>
              <w:left w:val="nil"/>
              <w:bottom w:val="single" w:sz="4" w:space="0" w:color="auto"/>
              <w:right w:val="single" w:sz="4" w:space="0" w:color="auto"/>
            </w:tcBorders>
            <w:shd w:val="clear" w:color="auto" w:fill="auto"/>
            <w:noWrap/>
            <w:vAlign w:val="bottom"/>
            <w:hideMark/>
          </w:tcPr>
          <w:p w14:paraId="738E8E36"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58</w:t>
            </w:r>
          </w:p>
        </w:tc>
        <w:tc>
          <w:tcPr>
            <w:tcW w:w="1134" w:type="dxa"/>
            <w:tcBorders>
              <w:top w:val="nil"/>
              <w:left w:val="nil"/>
              <w:bottom w:val="single" w:sz="4" w:space="0" w:color="auto"/>
              <w:right w:val="single" w:sz="4" w:space="0" w:color="auto"/>
            </w:tcBorders>
            <w:shd w:val="clear" w:color="auto" w:fill="auto"/>
            <w:noWrap/>
            <w:vAlign w:val="bottom"/>
            <w:hideMark/>
          </w:tcPr>
          <w:p w14:paraId="3EF29252"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15</w:t>
            </w:r>
          </w:p>
        </w:tc>
        <w:tc>
          <w:tcPr>
            <w:tcW w:w="1275" w:type="dxa"/>
            <w:tcBorders>
              <w:top w:val="nil"/>
              <w:left w:val="nil"/>
              <w:bottom w:val="single" w:sz="4" w:space="0" w:color="auto"/>
              <w:right w:val="single" w:sz="4" w:space="0" w:color="auto"/>
            </w:tcBorders>
            <w:shd w:val="clear" w:color="auto" w:fill="auto"/>
            <w:noWrap/>
            <w:vAlign w:val="bottom"/>
            <w:hideMark/>
          </w:tcPr>
          <w:p w14:paraId="7AE4326C"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73</w:t>
            </w:r>
          </w:p>
        </w:tc>
        <w:tc>
          <w:tcPr>
            <w:tcW w:w="1560" w:type="dxa"/>
            <w:tcBorders>
              <w:top w:val="nil"/>
              <w:left w:val="nil"/>
              <w:bottom w:val="single" w:sz="4" w:space="0" w:color="auto"/>
              <w:right w:val="single" w:sz="4" w:space="0" w:color="auto"/>
            </w:tcBorders>
            <w:shd w:val="clear" w:color="auto" w:fill="auto"/>
            <w:noWrap/>
            <w:vAlign w:val="bottom"/>
            <w:hideMark/>
          </w:tcPr>
          <w:p w14:paraId="1F6F42E3"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173</w:t>
            </w:r>
          </w:p>
        </w:tc>
        <w:tc>
          <w:tcPr>
            <w:tcW w:w="574" w:type="dxa"/>
            <w:tcBorders>
              <w:top w:val="nil"/>
              <w:left w:val="nil"/>
              <w:bottom w:val="single" w:sz="4" w:space="0" w:color="auto"/>
              <w:right w:val="single" w:sz="4" w:space="0" w:color="auto"/>
            </w:tcBorders>
            <w:shd w:val="clear" w:color="auto" w:fill="auto"/>
            <w:noWrap/>
            <w:vAlign w:val="bottom"/>
            <w:hideMark/>
          </w:tcPr>
          <w:p w14:paraId="0A65B671"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246</w:t>
            </w:r>
          </w:p>
        </w:tc>
      </w:tr>
      <w:tr w:rsidR="008E055E" w:rsidRPr="00BC3BFF" w14:paraId="117192FB" w14:textId="77777777" w:rsidTr="005C55F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5C0189"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38B3C98D"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w:t>
            </w:r>
          </w:p>
        </w:tc>
        <w:tc>
          <w:tcPr>
            <w:tcW w:w="1559" w:type="dxa"/>
            <w:tcBorders>
              <w:top w:val="nil"/>
              <w:left w:val="nil"/>
              <w:bottom w:val="single" w:sz="4" w:space="0" w:color="auto"/>
              <w:right w:val="single" w:sz="4" w:space="0" w:color="auto"/>
            </w:tcBorders>
            <w:shd w:val="clear" w:color="auto" w:fill="auto"/>
            <w:noWrap/>
            <w:vAlign w:val="bottom"/>
            <w:hideMark/>
          </w:tcPr>
          <w:p w14:paraId="6447E576"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70.3%</w:t>
            </w:r>
          </w:p>
        </w:tc>
        <w:tc>
          <w:tcPr>
            <w:tcW w:w="1276" w:type="dxa"/>
            <w:tcBorders>
              <w:top w:val="nil"/>
              <w:left w:val="nil"/>
              <w:bottom w:val="single" w:sz="4" w:space="0" w:color="auto"/>
              <w:right w:val="single" w:sz="4" w:space="0" w:color="auto"/>
            </w:tcBorders>
            <w:shd w:val="clear" w:color="auto" w:fill="auto"/>
            <w:noWrap/>
            <w:vAlign w:val="bottom"/>
            <w:hideMark/>
          </w:tcPr>
          <w:p w14:paraId="353AC565"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23.6%</w:t>
            </w:r>
          </w:p>
        </w:tc>
        <w:tc>
          <w:tcPr>
            <w:tcW w:w="1134" w:type="dxa"/>
            <w:tcBorders>
              <w:top w:val="nil"/>
              <w:left w:val="nil"/>
              <w:bottom w:val="single" w:sz="4" w:space="0" w:color="auto"/>
              <w:right w:val="single" w:sz="4" w:space="0" w:color="auto"/>
            </w:tcBorders>
            <w:shd w:val="clear" w:color="auto" w:fill="auto"/>
            <w:noWrap/>
            <w:vAlign w:val="bottom"/>
            <w:hideMark/>
          </w:tcPr>
          <w:p w14:paraId="2AB39241"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6.1%</w:t>
            </w:r>
          </w:p>
        </w:tc>
        <w:tc>
          <w:tcPr>
            <w:tcW w:w="1275" w:type="dxa"/>
            <w:tcBorders>
              <w:top w:val="nil"/>
              <w:left w:val="nil"/>
              <w:bottom w:val="single" w:sz="4" w:space="0" w:color="auto"/>
              <w:right w:val="single" w:sz="4" w:space="0" w:color="auto"/>
            </w:tcBorders>
            <w:shd w:val="clear" w:color="auto" w:fill="auto"/>
            <w:noWrap/>
            <w:vAlign w:val="bottom"/>
            <w:hideMark/>
          </w:tcPr>
          <w:p w14:paraId="45FE83EE"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29.6%</w:t>
            </w:r>
          </w:p>
        </w:tc>
        <w:tc>
          <w:tcPr>
            <w:tcW w:w="1560" w:type="dxa"/>
            <w:tcBorders>
              <w:top w:val="nil"/>
              <w:left w:val="nil"/>
              <w:bottom w:val="single" w:sz="4" w:space="0" w:color="auto"/>
              <w:right w:val="single" w:sz="4" w:space="0" w:color="auto"/>
            </w:tcBorders>
            <w:shd w:val="clear" w:color="auto" w:fill="auto"/>
            <w:noWrap/>
            <w:vAlign w:val="bottom"/>
            <w:hideMark/>
          </w:tcPr>
          <w:p w14:paraId="501823C4"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70.3%</w:t>
            </w:r>
          </w:p>
        </w:tc>
        <w:tc>
          <w:tcPr>
            <w:tcW w:w="574" w:type="dxa"/>
            <w:tcBorders>
              <w:top w:val="nil"/>
              <w:left w:val="nil"/>
              <w:bottom w:val="single" w:sz="4" w:space="0" w:color="auto"/>
              <w:right w:val="single" w:sz="4" w:space="0" w:color="auto"/>
            </w:tcBorders>
            <w:shd w:val="clear" w:color="auto" w:fill="auto"/>
            <w:noWrap/>
            <w:vAlign w:val="bottom"/>
            <w:hideMark/>
          </w:tcPr>
          <w:p w14:paraId="4920FC08" w14:textId="77777777" w:rsidR="008E055E" w:rsidRPr="00C6234E" w:rsidRDefault="008E055E"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100%</w:t>
            </w:r>
          </w:p>
        </w:tc>
      </w:tr>
    </w:tbl>
    <w:p w14:paraId="4D205304" w14:textId="40639471" w:rsidR="00177807" w:rsidRDefault="00177807" w:rsidP="00177807">
      <w:pPr>
        <w:spacing w:line="480" w:lineRule="auto"/>
        <w:rPr>
          <w:rFonts w:ascii="Times New Roman" w:hAnsi="Times New Roman" w:cs="Times New Roman"/>
          <w:u w:val="single"/>
        </w:rPr>
      </w:pPr>
    </w:p>
    <w:p w14:paraId="474280E7" w14:textId="77777777" w:rsidR="00177807" w:rsidRDefault="00177807">
      <w:pPr>
        <w:rPr>
          <w:rFonts w:ascii="Times New Roman" w:hAnsi="Times New Roman" w:cs="Times New Roman"/>
          <w:u w:val="single"/>
        </w:rPr>
      </w:pPr>
      <w:r>
        <w:rPr>
          <w:rFonts w:ascii="Times New Roman" w:hAnsi="Times New Roman" w:cs="Times New Roman"/>
          <w:u w:val="single"/>
        </w:rPr>
        <w:br w:type="page"/>
      </w:r>
    </w:p>
    <w:p w14:paraId="6C1DA441" w14:textId="77777777" w:rsidR="008E055E" w:rsidRPr="00341B82" w:rsidRDefault="008E055E" w:rsidP="00177807">
      <w:pPr>
        <w:spacing w:line="480" w:lineRule="auto"/>
        <w:rPr>
          <w:rFonts w:ascii="Times New Roman" w:hAnsi="Times New Roman" w:cs="Times New Roman"/>
          <w:u w:val="single"/>
        </w:rPr>
      </w:pPr>
      <w:r>
        <w:rPr>
          <w:rFonts w:ascii="Times New Roman" w:hAnsi="Times New Roman" w:cs="Times New Roman"/>
          <w:u w:val="single"/>
        </w:rPr>
        <w:lastRenderedPageBreak/>
        <w:t>Table 2</w:t>
      </w:r>
      <w:r w:rsidRPr="00341B82">
        <w:rPr>
          <w:rFonts w:ascii="Times New Roman" w:hAnsi="Times New Roman" w:cs="Times New Roman"/>
          <w:u w:val="single"/>
        </w:rPr>
        <w:t>.  Forms of practice used for different types of decisions (column %)</w:t>
      </w:r>
    </w:p>
    <w:tbl>
      <w:tblPr>
        <w:tblW w:w="8095" w:type="dxa"/>
        <w:tblInd w:w="93" w:type="dxa"/>
        <w:tblLook w:val="04A0" w:firstRow="1" w:lastRow="0" w:firstColumn="1" w:lastColumn="0" w:noHBand="0" w:noVBand="1"/>
      </w:tblPr>
      <w:tblGrid>
        <w:gridCol w:w="2317"/>
        <w:gridCol w:w="952"/>
        <w:gridCol w:w="1419"/>
        <w:gridCol w:w="1281"/>
        <w:gridCol w:w="1276"/>
        <w:gridCol w:w="850"/>
      </w:tblGrid>
      <w:tr w:rsidR="008E055E" w14:paraId="53D137CC" w14:textId="77777777" w:rsidTr="005C55FB">
        <w:trPr>
          <w:trHeight w:val="315"/>
        </w:trPr>
        <w:tc>
          <w:tcPr>
            <w:tcW w:w="2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6144A"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 </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79C561E7"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 </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2449C10C"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Investigation</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C7FB304"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Treatment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036923"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Referral</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FE51E89"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Total</w:t>
            </w:r>
          </w:p>
        </w:tc>
      </w:tr>
      <w:tr w:rsidR="008E055E" w14:paraId="3B48AA6E" w14:textId="77777777" w:rsidTr="005C55FB">
        <w:trPr>
          <w:trHeight w:val="315"/>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1C5678A2" w14:textId="77777777" w:rsidR="008E055E" w:rsidRPr="00DF7F97" w:rsidRDefault="008E055E" w:rsidP="00177807">
            <w:pPr>
              <w:spacing w:line="480" w:lineRule="auto"/>
              <w:rPr>
                <w:rFonts w:ascii="Calibri" w:hAnsi="Calibri"/>
                <w:b/>
                <w:bCs/>
                <w:color w:val="000000"/>
                <w:sz w:val="16"/>
                <w:szCs w:val="16"/>
              </w:rPr>
            </w:pPr>
            <w:r w:rsidRPr="00DF7F97">
              <w:rPr>
                <w:rFonts w:ascii="Calibri" w:hAnsi="Calibri"/>
                <w:b/>
                <w:bCs/>
                <w:color w:val="000000"/>
                <w:sz w:val="16"/>
                <w:szCs w:val="16"/>
              </w:rPr>
              <w:t>Decisions</w:t>
            </w:r>
          </w:p>
        </w:tc>
        <w:tc>
          <w:tcPr>
            <w:tcW w:w="952" w:type="dxa"/>
            <w:tcBorders>
              <w:top w:val="nil"/>
              <w:left w:val="nil"/>
              <w:bottom w:val="single" w:sz="4" w:space="0" w:color="auto"/>
              <w:right w:val="single" w:sz="4" w:space="0" w:color="auto"/>
            </w:tcBorders>
            <w:shd w:val="clear" w:color="auto" w:fill="auto"/>
            <w:noWrap/>
            <w:vAlign w:val="bottom"/>
            <w:hideMark/>
          </w:tcPr>
          <w:p w14:paraId="3C5EAB6E"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 </w:t>
            </w:r>
          </w:p>
        </w:tc>
        <w:tc>
          <w:tcPr>
            <w:tcW w:w="1419" w:type="dxa"/>
            <w:tcBorders>
              <w:top w:val="nil"/>
              <w:left w:val="nil"/>
              <w:bottom w:val="single" w:sz="4" w:space="0" w:color="auto"/>
              <w:right w:val="single" w:sz="4" w:space="0" w:color="auto"/>
            </w:tcBorders>
            <w:shd w:val="clear" w:color="auto" w:fill="auto"/>
            <w:noWrap/>
            <w:vAlign w:val="bottom"/>
            <w:hideMark/>
          </w:tcPr>
          <w:p w14:paraId="16E366DE"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 </w:t>
            </w:r>
          </w:p>
        </w:tc>
        <w:tc>
          <w:tcPr>
            <w:tcW w:w="1281" w:type="dxa"/>
            <w:tcBorders>
              <w:top w:val="nil"/>
              <w:left w:val="nil"/>
              <w:bottom w:val="single" w:sz="4" w:space="0" w:color="auto"/>
              <w:right w:val="single" w:sz="4" w:space="0" w:color="auto"/>
            </w:tcBorders>
            <w:shd w:val="clear" w:color="auto" w:fill="auto"/>
            <w:noWrap/>
            <w:vAlign w:val="bottom"/>
            <w:hideMark/>
          </w:tcPr>
          <w:p w14:paraId="2CEE0633"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70AB2B"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776365E3"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 </w:t>
            </w:r>
          </w:p>
        </w:tc>
      </w:tr>
      <w:tr w:rsidR="008E055E" w14:paraId="5F5F26FE" w14:textId="77777777" w:rsidTr="005C55FB">
        <w:trPr>
          <w:trHeight w:val="31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14:paraId="6DBF0644" w14:textId="3F0D8A36" w:rsidR="008E055E" w:rsidRPr="00DF7F97" w:rsidRDefault="00BE4C69" w:rsidP="00177807">
            <w:pPr>
              <w:spacing w:line="480" w:lineRule="auto"/>
              <w:rPr>
                <w:rFonts w:ascii="Calibri" w:hAnsi="Calibri"/>
                <w:color w:val="000000"/>
                <w:sz w:val="16"/>
                <w:szCs w:val="16"/>
              </w:rPr>
            </w:pPr>
            <w:r>
              <w:rPr>
                <w:rFonts w:ascii="Calibri" w:hAnsi="Calibri"/>
                <w:color w:val="000000"/>
                <w:sz w:val="16"/>
                <w:szCs w:val="16"/>
              </w:rPr>
              <w:t>At least one r</w:t>
            </w:r>
            <w:r w:rsidR="008E055E" w:rsidRPr="00DF7F97">
              <w:rPr>
                <w:rFonts w:ascii="Calibri" w:hAnsi="Calibri"/>
                <w:color w:val="000000"/>
                <w:sz w:val="16"/>
                <w:szCs w:val="16"/>
              </w:rPr>
              <w:t>ecommendation</w:t>
            </w:r>
          </w:p>
        </w:tc>
        <w:tc>
          <w:tcPr>
            <w:tcW w:w="952" w:type="dxa"/>
            <w:tcBorders>
              <w:top w:val="nil"/>
              <w:left w:val="nil"/>
              <w:bottom w:val="single" w:sz="4" w:space="0" w:color="auto"/>
              <w:right w:val="single" w:sz="4" w:space="0" w:color="auto"/>
            </w:tcBorders>
            <w:shd w:val="clear" w:color="auto" w:fill="auto"/>
            <w:noWrap/>
            <w:vAlign w:val="bottom"/>
            <w:hideMark/>
          </w:tcPr>
          <w:p w14:paraId="54604368"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Count</w:t>
            </w:r>
          </w:p>
        </w:tc>
        <w:tc>
          <w:tcPr>
            <w:tcW w:w="1419" w:type="dxa"/>
            <w:tcBorders>
              <w:top w:val="nil"/>
              <w:left w:val="nil"/>
              <w:bottom w:val="single" w:sz="4" w:space="0" w:color="auto"/>
              <w:right w:val="single" w:sz="4" w:space="0" w:color="auto"/>
            </w:tcBorders>
            <w:shd w:val="clear" w:color="auto" w:fill="auto"/>
            <w:noWrap/>
            <w:vAlign w:val="bottom"/>
            <w:hideMark/>
          </w:tcPr>
          <w:p w14:paraId="0C06CB6B"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64</w:t>
            </w:r>
          </w:p>
        </w:tc>
        <w:tc>
          <w:tcPr>
            <w:tcW w:w="1281" w:type="dxa"/>
            <w:tcBorders>
              <w:top w:val="nil"/>
              <w:left w:val="nil"/>
              <w:bottom w:val="single" w:sz="4" w:space="0" w:color="auto"/>
              <w:right w:val="single" w:sz="4" w:space="0" w:color="auto"/>
            </w:tcBorders>
            <w:shd w:val="clear" w:color="auto" w:fill="auto"/>
            <w:noWrap/>
            <w:vAlign w:val="bottom"/>
            <w:hideMark/>
          </w:tcPr>
          <w:p w14:paraId="7BB68B27"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124</w:t>
            </w:r>
          </w:p>
        </w:tc>
        <w:tc>
          <w:tcPr>
            <w:tcW w:w="1276" w:type="dxa"/>
            <w:tcBorders>
              <w:top w:val="nil"/>
              <w:left w:val="nil"/>
              <w:bottom w:val="single" w:sz="4" w:space="0" w:color="auto"/>
              <w:right w:val="single" w:sz="4" w:space="0" w:color="auto"/>
            </w:tcBorders>
            <w:shd w:val="clear" w:color="auto" w:fill="auto"/>
            <w:noWrap/>
            <w:vAlign w:val="bottom"/>
            <w:hideMark/>
          </w:tcPr>
          <w:p w14:paraId="25055BB8"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17</w:t>
            </w:r>
          </w:p>
        </w:tc>
        <w:tc>
          <w:tcPr>
            <w:tcW w:w="850" w:type="dxa"/>
            <w:tcBorders>
              <w:top w:val="nil"/>
              <w:left w:val="nil"/>
              <w:bottom w:val="single" w:sz="4" w:space="0" w:color="auto"/>
              <w:right w:val="single" w:sz="4" w:space="0" w:color="auto"/>
            </w:tcBorders>
            <w:shd w:val="clear" w:color="auto" w:fill="auto"/>
            <w:noWrap/>
            <w:vAlign w:val="bottom"/>
            <w:hideMark/>
          </w:tcPr>
          <w:p w14:paraId="599C61C2"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205</w:t>
            </w:r>
          </w:p>
        </w:tc>
      </w:tr>
      <w:tr w:rsidR="008E055E" w14:paraId="15189F96" w14:textId="77777777" w:rsidTr="005C55FB">
        <w:trPr>
          <w:trHeight w:val="315"/>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6067BE1B" w14:textId="77777777" w:rsidR="008E055E" w:rsidRPr="00DF7F97" w:rsidRDefault="008E055E" w:rsidP="00177807">
            <w:pPr>
              <w:spacing w:line="480" w:lineRule="auto"/>
              <w:rPr>
                <w:rFonts w:ascii="Calibri" w:hAnsi="Calibri"/>
                <w:b/>
                <w:bCs/>
                <w:color w:val="000000"/>
                <w:sz w:val="16"/>
                <w:szCs w:val="16"/>
              </w:rPr>
            </w:pPr>
            <w:r w:rsidRPr="00DF7F97">
              <w:rPr>
                <w:rFonts w:ascii="Calibri" w:hAnsi="Calibri"/>
                <w:b/>
                <w:bCs/>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bottom"/>
            <w:hideMark/>
          </w:tcPr>
          <w:p w14:paraId="06F4F7DD"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w:t>
            </w:r>
          </w:p>
        </w:tc>
        <w:tc>
          <w:tcPr>
            <w:tcW w:w="1419" w:type="dxa"/>
            <w:tcBorders>
              <w:top w:val="nil"/>
              <w:left w:val="nil"/>
              <w:bottom w:val="single" w:sz="4" w:space="0" w:color="auto"/>
              <w:right w:val="single" w:sz="4" w:space="0" w:color="auto"/>
            </w:tcBorders>
            <w:shd w:val="clear" w:color="auto" w:fill="auto"/>
            <w:noWrap/>
            <w:vAlign w:val="bottom"/>
            <w:hideMark/>
          </w:tcPr>
          <w:p w14:paraId="7ED59BE5" w14:textId="77777777" w:rsidR="008E055E" w:rsidRPr="00DF7F97" w:rsidRDefault="008E055E" w:rsidP="00177807">
            <w:pPr>
              <w:spacing w:line="480" w:lineRule="auto"/>
              <w:jc w:val="right"/>
              <w:rPr>
                <w:rFonts w:ascii="Calibri" w:hAnsi="Calibri"/>
                <w:b/>
                <w:bCs/>
                <w:color w:val="000000"/>
                <w:sz w:val="16"/>
                <w:szCs w:val="16"/>
              </w:rPr>
            </w:pPr>
            <w:r w:rsidRPr="00DF7F97">
              <w:rPr>
                <w:rFonts w:ascii="Calibri" w:hAnsi="Calibri"/>
                <w:b/>
                <w:bCs/>
                <w:color w:val="000000"/>
                <w:sz w:val="16"/>
                <w:szCs w:val="16"/>
              </w:rPr>
              <w:t>90.1%*</w:t>
            </w:r>
          </w:p>
        </w:tc>
        <w:tc>
          <w:tcPr>
            <w:tcW w:w="1281" w:type="dxa"/>
            <w:tcBorders>
              <w:top w:val="nil"/>
              <w:left w:val="nil"/>
              <w:bottom w:val="single" w:sz="4" w:space="0" w:color="auto"/>
              <w:right w:val="single" w:sz="4" w:space="0" w:color="auto"/>
            </w:tcBorders>
            <w:shd w:val="clear" w:color="auto" w:fill="auto"/>
            <w:noWrap/>
            <w:vAlign w:val="bottom"/>
            <w:hideMark/>
          </w:tcPr>
          <w:p w14:paraId="63CA8C63" w14:textId="77777777" w:rsidR="008E055E" w:rsidRPr="00DF7F97" w:rsidRDefault="008E055E" w:rsidP="00177807">
            <w:pPr>
              <w:spacing w:line="480" w:lineRule="auto"/>
              <w:jc w:val="right"/>
              <w:rPr>
                <w:rFonts w:ascii="Calibri" w:hAnsi="Calibri"/>
                <w:b/>
                <w:bCs/>
                <w:color w:val="000000"/>
                <w:sz w:val="16"/>
                <w:szCs w:val="16"/>
              </w:rPr>
            </w:pPr>
            <w:r w:rsidRPr="00DF7F97">
              <w:rPr>
                <w:rFonts w:ascii="Calibri" w:hAnsi="Calibri"/>
                <w:b/>
                <w:bCs/>
                <w:color w:val="000000"/>
                <w:sz w:val="16"/>
                <w:szCs w:val="16"/>
              </w:rPr>
              <w:t>82.7%*</w:t>
            </w:r>
          </w:p>
        </w:tc>
        <w:tc>
          <w:tcPr>
            <w:tcW w:w="1276" w:type="dxa"/>
            <w:tcBorders>
              <w:top w:val="nil"/>
              <w:left w:val="nil"/>
              <w:bottom w:val="single" w:sz="4" w:space="0" w:color="auto"/>
              <w:right w:val="single" w:sz="4" w:space="0" w:color="auto"/>
            </w:tcBorders>
            <w:shd w:val="clear" w:color="auto" w:fill="auto"/>
            <w:noWrap/>
            <w:vAlign w:val="bottom"/>
            <w:hideMark/>
          </w:tcPr>
          <w:p w14:paraId="6C7896E4" w14:textId="77777777" w:rsidR="008E055E" w:rsidRPr="00DF7F97" w:rsidRDefault="008E055E" w:rsidP="00177807">
            <w:pPr>
              <w:spacing w:line="480" w:lineRule="auto"/>
              <w:jc w:val="right"/>
              <w:rPr>
                <w:rFonts w:ascii="Calibri" w:hAnsi="Calibri"/>
                <w:b/>
                <w:bCs/>
                <w:color w:val="000000"/>
                <w:sz w:val="16"/>
                <w:szCs w:val="16"/>
              </w:rPr>
            </w:pPr>
            <w:r w:rsidRPr="00DF7F97">
              <w:rPr>
                <w:rFonts w:ascii="Calibri" w:hAnsi="Calibri"/>
                <w:b/>
                <w:bCs/>
                <w:color w:val="000000"/>
                <w:sz w:val="16"/>
                <w:szCs w:val="16"/>
              </w:rPr>
              <w:t>73.9%*</w:t>
            </w:r>
          </w:p>
        </w:tc>
        <w:tc>
          <w:tcPr>
            <w:tcW w:w="850" w:type="dxa"/>
            <w:tcBorders>
              <w:top w:val="nil"/>
              <w:left w:val="nil"/>
              <w:bottom w:val="single" w:sz="4" w:space="0" w:color="auto"/>
              <w:right w:val="single" w:sz="4" w:space="0" w:color="auto"/>
            </w:tcBorders>
            <w:shd w:val="clear" w:color="auto" w:fill="auto"/>
            <w:noWrap/>
            <w:vAlign w:val="bottom"/>
            <w:hideMark/>
          </w:tcPr>
          <w:p w14:paraId="69419C5E"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84.0%</w:t>
            </w:r>
          </w:p>
        </w:tc>
      </w:tr>
      <w:tr w:rsidR="008E055E" w14:paraId="4A294FD6" w14:textId="77777777" w:rsidTr="005C55FB">
        <w:trPr>
          <w:trHeight w:val="315"/>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6CAF045F" w14:textId="1DF44526" w:rsidR="008E055E" w:rsidRPr="00DF7F97" w:rsidRDefault="00BE4C69" w:rsidP="00177807">
            <w:pPr>
              <w:spacing w:line="480" w:lineRule="auto"/>
              <w:rPr>
                <w:rFonts w:ascii="Calibri" w:hAnsi="Calibri"/>
                <w:color w:val="000000"/>
                <w:sz w:val="16"/>
                <w:szCs w:val="16"/>
              </w:rPr>
            </w:pPr>
            <w:r>
              <w:rPr>
                <w:rFonts w:ascii="Calibri" w:hAnsi="Calibri"/>
                <w:color w:val="000000"/>
                <w:sz w:val="16"/>
                <w:szCs w:val="16"/>
              </w:rPr>
              <w:t>At least one o</w:t>
            </w:r>
            <w:r w:rsidR="008E055E" w:rsidRPr="00DF7F97">
              <w:rPr>
                <w:rFonts w:ascii="Calibri" w:hAnsi="Calibri"/>
                <w:color w:val="000000"/>
                <w:sz w:val="16"/>
                <w:szCs w:val="16"/>
              </w:rPr>
              <w:t>ption</w:t>
            </w:r>
            <w:r w:rsidR="008E055E">
              <w:rPr>
                <w:rFonts w:ascii="Calibri" w:hAnsi="Calibri"/>
                <w:color w:val="000000"/>
                <w:sz w:val="16"/>
                <w:szCs w:val="16"/>
              </w:rPr>
              <w:t>-</w:t>
            </w:r>
            <w:r w:rsidR="008E055E" w:rsidRPr="00DF7F97">
              <w:rPr>
                <w:rFonts w:ascii="Calibri" w:hAnsi="Calibri"/>
                <w:color w:val="000000"/>
                <w:sz w:val="16"/>
                <w:szCs w:val="16"/>
              </w:rPr>
              <w:t>list</w:t>
            </w:r>
          </w:p>
        </w:tc>
        <w:tc>
          <w:tcPr>
            <w:tcW w:w="952" w:type="dxa"/>
            <w:tcBorders>
              <w:top w:val="nil"/>
              <w:left w:val="nil"/>
              <w:bottom w:val="single" w:sz="4" w:space="0" w:color="auto"/>
              <w:right w:val="single" w:sz="4" w:space="0" w:color="auto"/>
            </w:tcBorders>
            <w:shd w:val="clear" w:color="auto" w:fill="auto"/>
            <w:noWrap/>
            <w:vAlign w:val="bottom"/>
            <w:hideMark/>
          </w:tcPr>
          <w:p w14:paraId="1147AA46"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Count</w:t>
            </w:r>
          </w:p>
        </w:tc>
        <w:tc>
          <w:tcPr>
            <w:tcW w:w="1419" w:type="dxa"/>
            <w:tcBorders>
              <w:top w:val="nil"/>
              <w:left w:val="nil"/>
              <w:bottom w:val="single" w:sz="4" w:space="0" w:color="auto"/>
              <w:right w:val="single" w:sz="4" w:space="0" w:color="auto"/>
            </w:tcBorders>
            <w:shd w:val="clear" w:color="auto" w:fill="auto"/>
            <w:noWrap/>
            <w:vAlign w:val="bottom"/>
            <w:hideMark/>
          </w:tcPr>
          <w:p w14:paraId="055BF95A"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1</w:t>
            </w:r>
          </w:p>
        </w:tc>
        <w:tc>
          <w:tcPr>
            <w:tcW w:w="1281" w:type="dxa"/>
            <w:tcBorders>
              <w:top w:val="nil"/>
              <w:left w:val="nil"/>
              <w:bottom w:val="single" w:sz="4" w:space="0" w:color="auto"/>
              <w:right w:val="single" w:sz="4" w:space="0" w:color="auto"/>
            </w:tcBorders>
            <w:shd w:val="clear" w:color="auto" w:fill="auto"/>
            <w:noWrap/>
            <w:vAlign w:val="bottom"/>
            <w:hideMark/>
          </w:tcPr>
          <w:p w14:paraId="3479B4D5"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20</w:t>
            </w:r>
          </w:p>
        </w:tc>
        <w:tc>
          <w:tcPr>
            <w:tcW w:w="1276" w:type="dxa"/>
            <w:tcBorders>
              <w:top w:val="nil"/>
              <w:left w:val="nil"/>
              <w:bottom w:val="single" w:sz="4" w:space="0" w:color="auto"/>
              <w:right w:val="single" w:sz="4" w:space="0" w:color="auto"/>
            </w:tcBorders>
            <w:shd w:val="clear" w:color="auto" w:fill="auto"/>
            <w:noWrap/>
            <w:vAlign w:val="bottom"/>
            <w:hideMark/>
          </w:tcPr>
          <w:p w14:paraId="3C1B1FA1"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14:paraId="77992B91"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25</w:t>
            </w:r>
          </w:p>
        </w:tc>
      </w:tr>
      <w:tr w:rsidR="008E055E" w14:paraId="38FE0C1B" w14:textId="77777777" w:rsidTr="005C55FB">
        <w:trPr>
          <w:trHeight w:val="315"/>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2DE8AFD1"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bottom"/>
            <w:hideMark/>
          </w:tcPr>
          <w:p w14:paraId="52ADAE0E"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w:t>
            </w:r>
          </w:p>
        </w:tc>
        <w:tc>
          <w:tcPr>
            <w:tcW w:w="1419" w:type="dxa"/>
            <w:tcBorders>
              <w:top w:val="nil"/>
              <w:left w:val="nil"/>
              <w:bottom w:val="single" w:sz="4" w:space="0" w:color="auto"/>
              <w:right w:val="single" w:sz="4" w:space="0" w:color="auto"/>
            </w:tcBorders>
            <w:shd w:val="clear" w:color="auto" w:fill="auto"/>
            <w:noWrap/>
            <w:vAlign w:val="bottom"/>
            <w:hideMark/>
          </w:tcPr>
          <w:p w14:paraId="6BFB33B6" w14:textId="77777777" w:rsidR="008E055E" w:rsidRPr="00DF7F97" w:rsidRDefault="008E055E" w:rsidP="00177807">
            <w:pPr>
              <w:spacing w:line="480" w:lineRule="auto"/>
              <w:jc w:val="right"/>
              <w:rPr>
                <w:rFonts w:ascii="Calibri" w:hAnsi="Calibri"/>
                <w:b/>
                <w:bCs/>
                <w:color w:val="000000"/>
                <w:sz w:val="16"/>
                <w:szCs w:val="16"/>
              </w:rPr>
            </w:pPr>
            <w:r w:rsidRPr="00DF7F97">
              <w:rPr>
                <w:rFonts w:ascii="Calibri" w:hAnsi="Calibri"/>
                <w:b/>
                <w:bCs/>
                <w:color w:val="000000"/>
                <w:sz w:val="16"/>
                <w:szCs w:val="16"/>
              </w:rPr>
              <w:t>1.4%*</w:t>
            </w:r>
          </w:p>
        </w:tc>
        <w:tc>
          <w:tcPr>
            <w:tcW w:w="1281" w:type="dxa"/>
            <w:tcBorders>
              <w:top w:val="nil"/>
              <w:left w:val="nil"/>
              <w:bottom w:val="single" w:sz="4" w:space="0" w:color="auto"/>
              <w:right w:val="single" w:sz="4" w:space="0" w:color="auto"/>
            </w:tcBorders>
            <w:shd w:val="clear" w:color="auto" w:fill="auto"/>
            <w:noWrap/>
            <w:vAlign w:val="bottom"/>
            <w:hideMark/>
          </w:tcPr>
          <w:p w14:paraId="1EFBCB26" w14:textId="77777777" w:rsidR="008E055E" w:rsidRPr="00DF7F97" w:rsidRDefault="008E055E" w:rsidP="00177807">
            <w:pPr>
              <w:spacing w:line="480" w:lineRule="auto"/>
              <w:jc w:val="right"/>
              <w:rPr>
                <w:rFonts w:ascii="Calibri" w:hAnsi="Calibri"/>
                <w:b/>
                <w:bCs/>
                <w:color w:val="000000"/>
                <w:sz w:val="16"/>
                <w:szCs w:val="16"/>
              </w:rPr>
            </w:pPr>
            <w:r w:rsidRPr="00DF7F97">
              <w:rPr>
                <w:rFonts w:ascii="Calibri" w:hAnsi="Calibri"/>
                <w:b/>
                <w:bCs/>
                <w:color w:val="000000"/>
                <w:sz w:val="16"/>
                <w:szCs w:val="16"/>
              </w:rPr>
              <w:t>13.3%*</w:t>
            </w:r>
          </w:p>
        </w:tc>
        <w:tc>
          <w:tcPr>
            <w:tcW w:w="1276" w:type="dxa"/>
            <w:tcBorders>
              <w:top w:val="nil"/>
              <w:left w:val="nil"/>
              <w:bottom w:val="single" w:sz="4" w:space="0" w:color="auto"/>
              <w:right w:val="single" w:sz="4" w:space="0" w:color="auto"/>
            </w:tcBorders>
            <w:shd w:val="clear" w:color="auto" w:fill="auto"/>
            <w:noWrap/>
            <w:vAlign w:val="bottom"/>
            <w:hideMark/>
          </w:tcPr>
          <w:p w14:paraId="3CAD385D" w14:textId="77777777" w:rsidR="008E055E" w:rsidRPr="00DF7F97" w:rsidRDefault="008E055E" w:rsidP="00177807">
            <w:pPr>
              <w:spacing w:line="480" w:lineRule="auto"/>
              <w:jc w:val="right"/>
              <w:rPr>
                <w:rFonts w:ascii="Calibri" w:hAnsi="Calibri"/>
                <w:b/>
                <w:bCs/>
                <w:color w:val="000000"/>
                <w:sz w:val="16"/>
                <w:szCs w:val="16"/>
              </w:rPr>
            </w:pPr>
            <w:r w:rsidRPr="00DF7F97">
              <w:rPr>
                <w:rFonts w:ascii="Calibri" w:hAnsi="Calibri"/>
                <w:b/>
                <w:bCs/>
                <w:color w:val="000000"/>
                <w:sz w:val="16"/>
                <w:szCs w:val="16"/>
              </w:rPr>
              <w:t>17.4%*</w:t>
            </w:r>
          </w:p>
        </w:tc>
        <w:tc>
          <w:tcPr>
            <w:tcW w:w="850" w:type="dxa"/>
            <w:tcBorders>
              <w:top w:val="nil"/>
              <w:left w:val="nil"/>
              <w:bottom w:val="single" w:sz="4" w:space="0" w:color="auto"/>
              <w:right w:val="single" w:sz="4" w:space="0" w:color="auto"/>
            </w:tcBorders>
            <w:shd w:val="clear" w:color="auto" w:fill="auto"/>
            <w:noWrap/>
            <w:vAlign w:val="bottom"/>
            <w:hideMark/>
          </w:tcPr>
          <w:p w14:paraId="5C580D2B"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10.2%</w:t>
            </w:r>
          </w:p>
        </w:tc>
      </w:tr>
      <w:tr w:rsidR="008E055E" w14:paraId="61AC4522" w14:textId="77777777" w:rsidTr="005C55FB">
        <w:trPr>
          <w:trHeight w:val="315"/>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0523275A" w14:textId="2348BACD" w:rsidR="008E055E" w:rsidRPr="00DF7F97" w:rsidRDefault="00BE4C69" w:rsidP="00177807">
            <w:pPr>
              <w:spacing w:line="480" w:lineRule="auto"/>
              <w:rPr>
                <w:rFonts w:ascii="Calibri" w:hAnsi="Calibri"/>
                <w:color w:val="000000"/>
                <w:sz w:val="16"/>
                <w:szCs w:val="16"/>
              </w:rPr>
            </w:pPr>
            <w:r>
              <w:rPr>
                <w:rFonts w:ascii="Calibri" w:hAnsi="Calibri"/>
                <w:color w:val="000000"/>
                <w:sz w:val="16"/>
                <w:szCs w:val="16"/>
              </w:rPr>
              <w:t xml:space="preserve">At least one </w:t>
            </w:r>
            <w:r w:rsidR="008E055E" w:rsidRPr="00DF7F97">
              <w:rPr>
                <w:rFonts w:ascii="Calibri" w:hAnsi="Calibri"/>
                <w:color w:val="000000"/>
                <w:sz w:val="16"/>
                <w:szCs w:val="16"/>
              </w:rPr>
              <w:t>PVE</w:t>
            </w:r>
          </w:p>
        </w:tc>
        <w:tc>
          <w:tcPr>
            <w:tcW w:w="952" w:type="dxa"/>
            <w:tcBorders>
              <w:top w:val="nil"/>
              <w:left w:val="nil"/>
              <w:bottom w:val="single" w:sz="4" w:space="0" w:color="auto"/>
              <w:right w:val="single" w:sz="4" w:space="0" w:color="auto"/>
            </w:tcBorders>
            <w:shd w:val="clear" w:color="auto" w:fill="auto"/>
            <w:noWrap/>
            <w:vAlign w:val="bottom"/>
            <w:hideMark/>
          </w:tcPr>
          <w:p w14:paraId="30A95C5F"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 xml:space="preserve">Count </w:t>
            </w:r>
          </w:p>
        </w:tc>
        <w:tc>
          <w:tcPr>
            <w:tcW w:w="1419" w:type="dxa"/>
            <w:tcBorders>
              <w:top w:val="nil"/>
              <w:left w:val="nil"/>
              <w:bottom w:val="single" w:sz="4" w:space="0" w:color="auto"/>
              <w:right w:val="single" w:sz="4" w:space="0" w:color="auto"/>
            </w:tcBorders>
            <w:shd w:val="clear" w:color="auto" w:fill="auto"/>
            <w:noWrap/>
            <w:vAlign w:val="bottom"/>
            <w:hideMark/>
          </w:tcPr>
          <w:p w14:paraId="6C497696"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17</w:t>
            </w:r>
          </w:p>
        </w:tc>
        <w:tc>
          <w:tcPr>
            <w:tcW w:w="1281" w:type="dxa"/>
            <w:tcBorders>
              <w:top w:val="nil"/>
              <w:left w:val="nil"/>
              <w:bottom w:val="single" w:sz="4" w:space="0" w:color="auto"/>
              <w:right w:val="single" w:sz="4" w:space="0" w:color="auto"/>
            </w:tcBorders>
            <w:shd w:val="clear" w:color="auto" w:fill="auto"/>
            <w:noWrap/>
            <w:vAlign w:val="bottom"/>
            <w:hideMark/>
          </w:tcPr>
          <w:p w14:paraId="59573CAC"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67</w:t>
            </w:r>
          </w:p>
        </w:tc>
        <w:tc>
          <w:tcPr>
            <w:tcW w:w="1276" w:type="dxa"/>
            <w:tcBorders>
              <w:top w:val="nil"/>
              <w:left w:val="nil"/>
              <w:bottom w:val="single" w:sz="4" w:space="0" w:color="auto"/>
              <w:right w:val="single" w:sz="4" w:space="0" w:color="auto"/>
            </w:tcBorders>
            <w:shd w:val="clear" w:color="auto" w:fill="auto"/>
            <w:noWrap/>
            <w:vAlign w:val="bottom"/>
            <w:hideMark/>
          </w:tcPr>
          <w:p w14:paraId="02BF66C8"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14</w:t>
            </w:r>
          </w:p>
        </w:tc>
        <w:tc>
          <w:tcPr>
            <w:tcW w:w="850" w:type="dxa"/>
            <w:tcBorders>
              <w:top w:val="nil"/>
              <w:left w:val="nil"/>
              <w:bottom w:val="single" w:sz="4" w:space="0" w:color="auto"/>
              <w:right w:val="single" w:sz="4" w:space="0" w:color="auto"/>
            </w:tcBorders>
            <w:shd w:val="clear" w:color="auto" w:fill="auto"/>
            <w:noWrap/>
            <w:vAlign w:val="bottom"/>
            <w:hideMark/>
          </w:tcPr>
          <w:p w14:paraId="03D6C766"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98</w:t>
            </w:r>
          </w:p>
        </w:tc>
      </w:tr>
      <w:tr w:rsidR="008E055E" w14:paraId="721B9E6C" w14:textId="77777777" w:rsidTr="005C55FB">
        <w:trPr>
          <w:trHeight w:val="315"/>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28E51936"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bottom"/>
            <w:hideMark/>
          </w:tcPr>
          <w:p w14:paraId="7804FE70"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w:t>
            </w:r>
          </w:p>
        </w:tc>
        <w:tc>
          <w:tcPr>
            <w:tcW w:w="1419" w:type="dxa"/>
            <w:tcBorders>
              <w:top w:val="nil"/>
              <w:left w:val="nil"/>
              <w:bottom w:val="single" w:sz="4" w:space="0" w:color="auto"/>
              <w:right w:val="single" w:sz="4" w:space="0" w:color="auto"/>
            </w:tcBorders>
            <w:shd w:val="clear" w:color="auto" w:fill="auto"/>
            <w:noWrap/>
            <w:vAlign w:val="bottom"/>
            <w:hideMark/>
          </w:tcPr>
          <w:p w14:paraId="72A1F603" w14:textId="77777777" w:rsidR="008E055E" w:rsidRPr="00DF7F97" w:rsidRDefault="008E055E" w:rsidP="00177807">
            <w:pPr>
              <w:spacing w:line="480" w:lineRule="auto"/>
              <w:jc w:val="right"/>
              <w:rPr>
                <w:rFonts w:ascii="Calibri" w:hAnsi="Calibri"/>
                <w:b/>
                <w:bCs/>
                <w:color w:val="000000"/>
                <w:sz w:val="16"/>
                <w:szCs w:val="16"/>
              </w:rPr>
            </w:pPr>
            <w:r w:rsidRPr="00DF7F97">
              <w:rPr>
                <w:rFonts w:ascii="Calibri" w:hAnsi="Calibri"/>
                <w:b/>
                <w:bCs/>
                <w:color w:val="000000"/>
                <w:sz w:val="16"/>
                <w:szCs w:val="16"/>
              </w:rPr>
              <w:t>23.9**</w:t>
            </w:r>
          </w:p>
        </w:tc>
        <w:tc>
          <w:tcPr>
            <w:tcW w:w="1281" w:type="dxa"/>
            <w:tcBorders>
              <w:top w:val="nil"/>
              <w:left w:val="nil"/>
              <w:bottom w:val="single" w:sz="4" w:space="0" w:color="auto"/>
              <w:right w:val="single" w:sz="4" w:space="0" w:color="auto"/>
            </w:tcBorders>
            <w:shd w:val="clear" w:color="auto" w:fill="auto"/>
            <w:noWrap/>
            <w:vAlign w:val="bottom"/>
            <w:hideMark/>
          </w:tcPr>
          <w:p w14:paraId="4A67BD83" w14:textId="77777777" w:rsidR="008E055E" w:rsidRPr="00DF7F97" w:rsidRDefault="008E055E" w:rsidP="00177807">
            <w:pPr>
              <w:spacing w:line="480" w:lineRule="auto"/>
              <w:jc w:val="right"/>
              <w:rPr>
                <w:rFonts w:ascii="Calibri" w:hAnsi="Calibri"/>
                <w:b/>
                <w:bCs/>
                <w:color w:val="000000"/>
                <w:sz w:val="16"/>
                <w:szCs w:val="16"/>
              </w:rPr>
            </w:pPr>
            <w:r w:rsidRPr="00DF7F97">
              <w:rPr>
                <w:rFonts w:ascii="Calibri" w:hAnsi="Calibri"/>
                <w:b/>
                <w:bCs/>
                <w:color w:val="000000"/>
                <w:sz w:val="16"/>
                <w:szCs w:val="16"/>
              </w:rPr>
              <w:t>44.7**</w:t>
            </w:r>
          </w:p>
        </w:tc>
        <w:tc>
          <w:tcPr>
            <w:tcW w:w="1276" w:type="dxa"/>
            <w:tcBorders>
              <w:top w:val="nil"/>
              <w:left w:val="nil"/>
              <w:bottom w:val="single" w:sz="4" w:space="0" w:color="auto"/>
              <w:right w:val="single" w:sz="4" w:space="0" w:color="auto"/>
            </w:tcBorders>
            <w:shd w:val="clear" w:color="auto" w:fill="auto"/>
            <w:noWrap/>
            <w:vAlign w:val="bottom"/>
            <w:hideMark/>
          </w:tcPr>
          <w:p w14:paraId="08DE1E23" w14:textId="77777777" w:rsidR="008E055E" w:rsidRPr="00DF7F97" w:rsidRDefault="008E055E" w:rsidP="00177807">
            <w:pPr>
              <w:spacing w:line="480" w:lineRule="auto"/>
              <w:jc w:val="right"/>
              <w:rPr>
                <w:rFonts w:ascii="Calibri" w:hAnsi="Calibri"/>
                <w:b/>
                <w:bCs/>
                <w:color w:val="000000"/>
                <w:sz w:val="16"/>
                <w:szCs w:val="16"/>
              </w:rPr>
            </w:pPr>
            <w:r w:rsidRPr="00DF7F97">
              <w:rPr>
                <w:rFonts w:ascii="Calibri" w:hAnsi="Calibri"/>
                <w:b/>
                <w:bCs/>
                <w:color w:val="000000"/>
                <w:sz w:val="16"/>
                <w:szCs w:val="16"/>
              </w:rPr>
              <w:t>60.9**</w:t>
            </w:r>
          </w:p>
        </w:tc>
        <w:tc>
          <w:tcPr>
            <w:tcW w:w="850" w:type="dxa"/>
            <w:tcBorders>
              <w:top w:val="nil"/>
              <w:left w:val="nil"/>
              <w:bottom w:val="single" w:sz="4" w:space="0" w:color="auto"/>
              <w:right w:val="single" w:sz="4" w:space="0" w:color="auto"/>
            </w:tcBorders>
            <w:shd w:val="clear" w:color="auto" w:fill="auto"/>
            <w:noWrap/>
            <w:vAlign w:val="bottom"/>
            <w:hideMark/>
          </w:tcPr>
          <w:p w14:paraId="4C36EC7F"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40.2</w:t>
            </w:r>
          </w:p>
        </w:tc>
      </w:tr>
      <w:tr w:rsidR="008E055E" w14:paraId="05525675" w14:textId="77777777" w:rsidTr="005C55FB">
        <w:trPr>
          <w:trHeight w:val="315"/>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289990B8" w14:textId="38330B83" w:rsidR="008E055E" w:rsidRPr="00DF7F97" w:rsidRDefault="00BE4C69" w:rsidP="00177807">
            <w:pPr>
              <w:spacing w:line="480" w:lineRule="auto"/>
              <w:rPr>
                <w:rFonts w:ascii="Calibri" w:hAnsi="Calibri"/>
                <w:color w:val="000000"/>
                <w:sz w:val="16"/>
                <w:szCs w:val="16"/>
              </w:rPr>
            </w:pPr>
            <w:r>
              <w:rPr>
                <w:rFonts w:ascii="Calibri" w:hAnsi="Calibri"/>
                <w:color w:val="000000"/>
                <w:sz w:val="16"/>
                <w:szCs w:val="16"/>
              </w:rPr>
              <w:t xml:space="preserve">At least one </w:t>
            </w:r>
            <w:r w:rsidR="008E055E" w:rsidRPr="00DF7F97">
              <w:rPr>
                <w:rFonts w:ascii="Calibri" w:hAnsi="Calibri"/>
                <w:color w:val="000000"/>
                <w:sz w:val="16"/>
                <w:szCs w:val="16"/>
              </w:rPr>
              <w:t>PVE or Option</w:t>
            </w:r>
            <w:r w:rsidR="008E055E">
              <w:rPr>
                <w:rFonts w:ascii="Calibri" w:hAnsi="Calibri"/>
                <w:color w:val="000000"/>
                <w:sz w:val="16"/>
                <w:szCs w:val="16"/>
              </w:rPr>
              <w:t>-</w:t>
            </w:r>
            <w:r w:rsidR="008E055E" w:rsidRPr="00DF7F97">
              <w:rPr>
                <w:rFonts w:ascii="Calibri" w:hAnsi="Calibri"/>
                <w:color w:val="000000"/>
                <w:sz w:val="16"/>
                <w:szCs w:val="16"/>
              </w:rPr>
              <w:t>list</w:t>
            </w:r>
          </w:p>
        </w:tc>
        <w:tc>
          <w:tcPr>
            <w:tcW w:w="952" w:type="dxa"/>
            <w:tcBorders>
              <w:top w:val="nil"/>
              <w:left w:val="nil"/>
              <w:bottom w:val="single" w:sz="4" w:space="0" w:color="auto"/>
              <w:right w:val="single" w:sz="4" w:space="0" w:color="auto"/>
            </w:tcBorders>
            <w:shd w:val="clear" w:color="auto" w:fill="auto"/>
            <w:noWrap/>
            <w:vAlign w:val="bottom"/>
            <w:hideMark/>
          </w:tcPr>
          <w:p w14:paraId="2651A382"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Count</w:t>
            </w:r>
          </w:p>
        </w:tc>
        <w:tc>
          <w:tcPr>
            <w:tcW w:w="1419" w:type="dxa"/>
            <w:tcBorders>
              <w:top w:val="nil"/>
              <w:left w:val="nil"/>
              <w:bottom w:val="single" w:sz="4" w:space="0" w:color="auto"/>
              <w:right w:val="single" w:sz="4" w:space="0" w:color="auto"/>
            </w:tcBorders>
            <w:shd w:val="clear" w:color="auto" w:fill="auto"/>
            <w:noWrap/>
            <w:vAlign w:val="bottom"/>
            <w:hideMark/>
          </w:tcPr>
          <w:p w14:paraId="24FA82B4"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17</w:t>
            </w:r>
          </w:p>
        </w:tc>
        <w:tc>
          <w:tcPr>
            <w:tcW w:w="1281" w:type="dxa"/>
            <w:tcBorders>
              <w:top w:val="nil"/>
              <w:left w:val="nil"/>
              <w:bottom w:val="single" w:sz="4" w:space="0" w:color="auto"/>
              <w:right w:val="single" w:sz="4" w:space="0" w:color="auto"/>
            </w:tcBorders>
            <w:shd w:val="clear" w:color="auto" w:fill="auto"/>
            <w:noWrap/>
            <w:vAlign w:val="bottom"/>
            <w:hideMark/>
          </w:tcPr>
          <w:p w14:paraId="3974EA04"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71</w:t>
            </w:r>
          </w:p>
        </w:tc>
        <w:tc>
          <w:tcPr>
            <w:tcW w:w="1276" w:type="dxa"/>
            <w:tcBorders>
              <w:top w:val="nil"/>
              <w:left w:val="nil"/>
              <w:bottom w:val="single" w:sz="4" w:space="0" w:color="auto"/>
              <w:right w:val="single" w:sz="4" w:space="0" w:color="auto"/>
            </w:tcBorders>
            <w:shd w:val="clear" w:color="auto" w:fill="auto"/>
            <w:noWrap/>
            <w:vAlign w:val="bottom"/>
            <w:hideMark/>
          </w:tcPr>
          <w:p w14:paraId="55425EE3"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15</w:t>
            </w:r>
          </w:p>
        </w:tc>
        <w:tc>
          <w:tcPr>
            <w:tcW w:w="850" w:type="dxa"/>
            <w:tcBorders>
              <w:top w:val="nil"/>
              <w:left w:val="nil"/>
              <w:bottom w:val="single" w:sz="4" w:space="0" w:color="auto"/>
              <w:right w:val="single" w:sz="4" w:space="0" w:color="auto"/>
            </w:tcBorders>
            <w:shd w:val="clear" w:color="auto" w:fill="auto"/>
            <w:noWrap/>
            <w:vAlign w:val="bottom"/>
            <w:hideMark/>
          </w:tcPr>
          <w:p w14:paraId="6E3F1695"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103</w:t>
            </w:r>
          </w:p>
        </w:tc>
      </w:tr>
      <w:tr w:rsidR="008E055E" w14:paraId="0F23B055" w14:textId="77777777" w:rsidTr="005C55FB">
        <w:trPr>
          <w:trHeight w:val="315"/>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14:paraId="42CB7196"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 </w:t>
            </w:r>
          </w:p>
        </w:tc>
        <w:tc>
          <w:tcPr>
            <w:tcW w:w="952" w:type="dxa"/>
            <w:tcBorders>
              <w:top w:val="nil"/>
              <w:left w:val="nil"/>
              <w:bottom w:val="single" w:sz="4" w:space="0" w:color="auto"/>
              <w:right w:val="single" w:sz="4" w:space="0" w:color="auto"/>
            </w:tcBorders>
            <w:shd w:val="clear" w:color="auto" w:fill="auto"/>
            <w:noWrap/>
            <w:vAlign w:val="bottom"/>
            <w:hideMark/>
          </w:tcPr>
          <w:p w14:paraId="11D17258" w14:textId="77777777" w:rsidR="008E055E" w:rsidRPr="00DF7F97" w:rsidRDefault="008E055E" w:rsidP="00177807">
            <w:pPr>
              <w:spacing w:line="480" w:lineRule="auto"/>
              <w:rPr>
                <w:rFonts w:ascii="Calibri" w:hAnsi="Calibri"/>
                <w:color w:val="000000"/>
                <w:sz w:val="16"/>
                <w:szCs w:val="16"/>
              </w:rPr>
            </w:pPr>
            <w:r w:rsidRPr="00DF7F97">
              <w:rPr>
                <w:rFonts w:ascii="Calibri" w:hAnsi="Calibri"/>
                <w:color w:val="000000"/>
                <w:sz w:val="16"/>
                <w:szCs w:val="16"/>
              </w:rPr>
              <w:t>%</w:t>
            </w:r>
          </w:p>
        </w:tc>
        <w:tc>
          <w:tcPr>
            <w:tcW w:w="1419" w:type="dxa"/>
            <w:tcBorders>
              <w:top w:val="nil"/>
              <w:left w:val="nil"/>
              <w:bottom w:val="single" w:sz="4" w:space="0" w:color="auto"/>
              <w:right w:val="single" w:sz="4" w:space="0" w:color="auto"/>
            </w:tcBorders>
            <w:shd w:val="clear" w:color="auto" w:fill="auto"/>
            <w:noWrap/>
            <w:vAlign w:val="bottom"/>
            <w:hideMark/>
          </w:tcPr>
          <w:p w14:paraId="2B1C4E32" w14:textId="77777777" w:rsidR="008E055E" w:rsidRPr="00DF7F97" w:rsidRDefault="008E055E" w:rsidP="00177807">
            <w:pPr>
              <w:spacing w:line="480" w:lineRule="auto"/>
              <w:jc w:val="right"/>
              <w:rPr>
                <w:rFonts w:ascii="Calibri" w:hAnsi="Calibri"/>
                <w:b/>
                <w:bCs/>
                <w:color w:val="000000"/>
                <w:sz w:val="16"/>
                <w:szCs w:val="16"/>
              </w:rPr>
            </w:pPr>
            <w:r w:rsidRPr="00DF7F97">
              <w:rPr>
                <w:rFonts w:ascii="Calibri" w:hAnsi="Calibri"/>
                <w:b/>
                <w:bCs/>
                <w:color w:val="000000"/>
                <w:sz w:val="16"/>
                <w:szCs w:val="16"/>
              </w:rPr>
              <w:t>23.9%***</w:t>
            </w:r>
          </w:p>
        </w:tc>
        <w:tc>
          <w:tcPr>
            <w:tcW w:w="1281" w:type="dxa"/>
            <w:tcBorders>
              <w:top w:val="nil"/>
              <w:left w:val="nil"/>
              <w:bottom w:val="single" w:sz="4" w:space="0" w:color="auto"/>
              <w:right w:val="single" w:sz="4" w:space="0" w:color="auto"/>
            </w:tcBorders>
            <w:shd w:val="clear" w:color="auto" w:fill="auto"/>
            <w:noWrap/>
            <w:vAlign w:val="bottom"/>
            <w:hideMark/>
          </w:tcPr>
          <w:p w14:paraId="77F09ECA" w14:textId="77777777" w:rsidR="008E055E" w:rsidRPr="00DF7F97" w:rsidRDefault="008E055E" w:rsidP="00177807">
            <w:pPr>
              <w:spacing w:line="480" w:lineRule="auto"/>
              <w:jc w:val="right"/>
              <w:rPr>
                <w:rFonts w:ascii="Calibri" w:hAnsi="Calibri"/>
                <w:b/>
                <w:bCs/>
                <w:color w:val="000000"/>
                <w:sz w:val="16"/>
                <w:szCs w:val="16"/>
              </w:rPr>
            </w:pPr>
            <w:r w:rsidRPr="00DF7F97">
              <w:rPr>
                <w:rFonts w:ascii="Calibri" w:hAnsi="Calibri"/>
                <w:b/>
                <w:bCs/>
                <w:color w:val="000000"/>
                <w:sz w:val="16"/>
                <w:szCs w:val="16"/>
              </w:rPr>
              <w:t>47.3%***</w:t>
            </w:r>
          </w:p>
        </w:tc>
        <w:tc>
          <w:tcPr>
            <w:tcW w:w="1276" w:type="dxa"/>
            <w:tcBorders>
              <w:top w:val="nil"/>
              <w:left w:val="nil"/>
              <w:bottom w:val="single" w:sz="4" w:space="0" w:color="auto"/>
              <w:right w:val="single" w:sz="4" w:space="0" w:color="auto"/>
            </w:tcBorders>
            <w:shd w:val="clear" w:color="auto" w:fill="auto"/>
            <w:noWrap/>
            <w:vAlign w:val="bottom"/>
            <w:hideMark/>
          </w:tcPr>
          <w:p w14:paraId="6508A849" w14:textId="77777777" w:rsidR="008E055E" w:rsidRPr="00DF7F97" w:rsidRDefault="008E055E" w:rsidP="00177807">
            <w:pPr>
              <w:spacing w:line="480" w:lineRule="auto"/>
              <w:jc w:val="right"/>
              <w:rPr>
                <w:rFonts w:ascii="Calibri" w:hAnsi="Calibri"/>
                <w:b/>
                <w:bCs/>
                <w:color w:val="000000"/>
                <w:sz w:val="16"/>
                <w:szCs w:val="16"/>
              </w:rPr>
            </w:pPr>
            <w:r w:rsidRPr="00DF7F97">
              <w:rPr>
                <w:rFonts w:ascii="Calibri" w:hAnsi="Calibri"/>
                <w:b/>
                <w:bCs/>
                <w:color w:val="000000"/>
                <w:sz w:val="16"/>
                <w:szCs w:val="16"/>
              </w:rPr>
              <w:t>65.2%***</w:t>
            </w:r>
          </w:p>
        </w:tc>
        <w:tc>
          <w:tcPr>
            <w:tcW w:w="850" w:type="dxa"/>
            <w:tcBorders>
              <w:top w:val="nil"/>
              <w:left w:val="nil"/>
              <w:bottom w:val="single" w:sz="4" w:space="0" w:color="auto"/>
              <w:right w:val="single" w:sz="4" w:space="0" w:color="auto"/>
            </w:tcBorders>
            <w:shd w:val="clear" w:color="auto" w:fill="auto"/>
            <w:noWrap/>
            <w:vAlign w:val="bottom"/>
            <w:hideMark/>
          </w:tcPr>
          <w:p w14:paraId="182CF0EF" w14:textId="77777777" w:rsidR="008E055E" w:rsidRPr="00DF7F97" w:rsidRDefault="008E055E" w:rsidP="00177807">
            <w:pPr>
              <w:spacing w:line="480" w:lineRule="auto"/>
              <w:jc w:val="right"/>
              <w:rPr>
                <w:rFonts w:ascii="Calibri" w:hAnsi="Calibri"/>
                <w:color w:val="000000"/>
                <w:sz w:val="16"/>
                <w:szCs w:val="16"/>
              </w:rPr>
            </w:pPr>
            <w:r w:rsidRPr="00DF7F97">
              <w:rPr>
                <w:rFonts w:ascii="Calibri" w:hAnsi="Calibri"/>
                <w:color w:val="000000"/>
                <w:sz w:val="16"/>
                <w:szCs w:val="16"/>
              </w:rPr>
              <w:t>42.2%</w:t>
            </w:r>
          </w:p>
        </w:tc>
      </w:tr>
    </w:tbl>
    <w:p w14:paraId="6730667F" w14:textId="77777777" w:rsidR="008E055E" w:rsidRPr="005B1E5B" w:rsidRDefault="008E055E" w:rsidP="00177807">
      <w:pPr>
        <w:spacing w:line="480" w:lineRule="auto"/>
        <w:rPr>
          <w:rFonts w:ascii="Arial" w:hAnsi="Arial" w:cs="Arial"/>
          <w:sz w:val="16"/>
          <w:szCs w:val="16"/>
        </w:rPr>
      </w:pPr>
      <w:r w:rsidRPr="005B1E5B">
        <w:rPr>
          <w:sz w:val="16"/>
          <w:szCs w:val="16"/>
        </w:rPr>
        <w:t>***</w:t>
      </w:r>
      <w:r w:rsidRPr="005B1E5B">
        <w:rPr>
          <w:sz w:val="16"/>
          <w:szCs w:val="16"/>
        </w:rPr>
        <w:tab/>
        <w:t xml:space="preserve">p </w:t>
      </w:r>
      <w:r w:rsidRPr="005B1E5B">
        <w:rPr>
          <w:rFonts w:ascii="Arial" w:hAnsi="Arial" w:cs="Arial"/>
          <w:sz w:val="16"/>
          <w:szCs w:val="16"/>
        </w:rPr>
        <w:t>≤ 0.001</w:t>
      </w:r>
    </w:p>
    <w:p w14:paraId="46D90A20" w14:textId="77777777" w:rsidR="008E055E" w:rsidRPr="005B1E5B" w:rsidRDefault="008E055E" w:rsidP="00177807">
      <w:pPr>
        <w:spacing w:line="480" w:lineRule="auto"/>
        <w:rPr>
          <w:rFonts w:ascii="Arial" w:hAnsi="Arial" w:cs="Arial"/>
          <w:sz w:val="16"/>
          <w:szCs w:val="16"/>
        </w:rPr>
      </w:pPr>
      <w:r w:rsidRPr="005B1E5B">
        <w:rPr>
          <w:sz w:val="16"/>
          <w:szCs w:val="16"/>
        </w:rPr>
        <w:t>**</w:t>
      </w:r>
      <w:r w:rsidRPr="005B1E5B">
        <w:rPr>
          <w:sz w:val="16"/>
          <w:szCs w:val="16"/>
        </w:rPr>
        <w:tab/>
        <w:t xml:space="preserve">p </w:t>
      </w:r>
      <w:r w:rsidRPr="005B1E5B">
        <w:rPr>
          <w:rFonts w:ascii="Arial" w:hAnsi="Arial" w:cs="Arial"/>
          <w:sz w:val="16"/>
          <w:szCs w:val="16"/>
        </w:rPr>
        <w:t>≤ 0.01</w:t>
      </w:r>
    </w:p>
    <w:p w14:paraId="0F664E5C" w14:textId="77777777" w:rsidR="008E055E" w:rsidRPr="005B1E5B" w:rsidRDefault="008E055E" w:rsidP="00177807">
      <w:pPr>
        <w:spacing w:line="480" w:lineRule="auto"/>
        <w:rPr>
          <w:rFonts w:ascii="Arial" w:hAnsi="Arial" w:cs="Arial"/>
          <w:sz w:val="16"/>
          <w:szCs w:val="16"/>
        </w:rPr>
      </w:pPr>
      <w:r w:rsidRPr="005B1E5B">
        <w:rPr>
          <w:sz w:val="16"/>
          <w:szCs w:val="16"/>
        </w:rPr>
        <w:t>*</w:t>
      </w:r>
      <w:r w:rsidRPr="005B1E5B">
        <w:rPr>
          <w:sz w:val="16"/>
          <w:szCs w:val="16"/>
        </w:rPr>
        <w:tab/>
        <w:t xml:space="preserve">p </w:t>
      </w:r>
      <w:r w:rsidRPr="005B1E5B">
        <w:rPr>
          <w:rFonts w:ascii="Arial" w:hAnsi="Arial" w:cs="Arial"/>
          <w:sz w:val="16"/>
          <w:szCs w:val="16"/>
        </w:rPr>
        <w:t>≤ 0.05</w:t>
      </w:r>
    </w:p>
    <w:p w14:paraId="62D8E601" w14:textId="77777777" w:rsidR="008E055E" w:rsidRPr="005B1E5B" w:rsidRDefault="008E055E" w:rsidP="00177807">
      <w:pPr>
        <w:spacing w:line="480" w:lineRule="auto"/>
        <w:rPr>
          <w:b/>
          <w:i/>
          <w:sz w:val="16"/>
          <w:szCs w:val="16"/>
        </w:rPr>
      </w:pPr>
      <w:r w:rsidRPr="005B1E5B">
        <w:rPr>
          <w:sz w:val="16"/>
          <w:szCs w:val="16"/>
        </w:rPr>
        <w:t>~</w:t>
      </w:r>
      <w:r w:rsidRPr="005B1E5B">
        <w:rPr>
          <w:sz w:val="16"/>
          <w:szCs w:val="16"/>
        </w:rPr>
        <w:tab/>
        <w:t xml:space="preserve">p </w:t>
      </w:r>
      <w:r w:rsidRPr="005B1E5B">
        <w:rPr>
          <w:rFonts w:ascii="Arial" w:hAnsi="Arial" w:cs="Arial"/>
          <w:sz w:val="16"/>
          <w:szCs w:val="16"/>
        </w:rPr>
        <w:t>≤ 0.1</w:t>
      </w:r>
    </w:p>
    <w:p w14:paraId="35FC9240" w14:textId="77777777" w:rsidR="008E055E" w:rsidRPr="00440DDA" w:rsidRDefault="008E055E" w:rsidP="00177807">
      <w:pPr>
        <w:spacing w:line="480" w:lineRule="auto"/>
        <w:rPr>
          <w:sz w:val="16"/>
          <w:szCs w:val="16"/>
          <w:u w:val="single"/>
        </w:rPr>
      </w:pPr>
      <w:r w:rsidRPr="005B1E5B">
        <w:rPr>
          <w:sz w:val="16"/>
          <w:szCs w:val="16"/>
          <w:u w:val="single"/>
        </w:rPr>
        <w:t xml:space="preserve">NB. </w:t>
      </w:r>
      <w:r>
        <w:rPr>
          <w:sz w:val="16"/>
          <w:szCs w:val="16"/>
          <w:u w:val="single"/>
        </w:rPr>
        <w:t>S</w:t>
      </w:r>
      <w:r w:rsidRPr="005B1E5B">
        <w:rPr>
          <w:sz w:val="16"/>
          <w:szCs w:val="16"/>
          <w:u w:val="single"/>
        </w:rPr>
        <w:t xml:space="preserve">tatistical tests show comparisons between </w:t>
      </w:r>
      <w:r>
        <w:rPr>
          <w:sz w:val="16"/>
          <w:szCs w:val="16"/>
          <w:u w:val="single"/>
        </w:rPr>
        <w:t xml:space="preserve">1 or more recommendation and no recommendation; </w:t>
      </w:r>
      <w:r w:rsidRPr="005B1E5B">
        <w:rPr>
          <w:sz w:val="16"/>
          <w:szCs w:val="16"/>
          <w:u w:val="single"/>
        </w:rPr>
        <w:t xml:space="preserve">1 or </w:t>
      </w:r>
      <w:r>
        <w:rPr>
          <w:sz w:val="16"/>
          <w:szCs w:val="16"/>
          <w:u w:val="single"/>
        </w:rPr>
        <w:t>more PVE and no PVE; 1 or more o</w:t>
      </w:r>
      <w:r w:rsidRPr="005B1E5B">
        <w:rPr>
          <w:sz w:val="16"/>
          <w:szCs w:val="16"/>
          <w:u w:val="single"/>
        </w:rPr>
        <w:t xml:space="preserve">ption-list and no </w:t>
      </w:r>
      <w:r>
        <w:rPr>
          <w:sz w:val="16"/>
          <w:szCs w:val="16"/>
          <w:u w:val="single"/>
        </w:rPr>
        <w:t>o</w:t>
      </w:r>
      <w:r w:rsidRPr="005B1E5B">
        <w:rPr>
          <w:sz w:val="16"/>
          <w:szCs w:val="16"/>
          <w:u w:val="single"/>
        </w:rPr>
        <w:t>ption</w:t>
      </w:r>
      <w:r>
        <w:rPr>
          <w:sz w:val="16"/>
          <w:szCs w:val="16"/>
          <w:u w:val="single"/>
        </w:rPr>
        <w:t>-list; and a</w:t>
      </w:r>
      <w:r w:rsidRPr="005B1E5B">
        <w:rPr>
          <w:sz w:val="16"/>
          <w:szCs w:val="16"/>
          <w:u w:val="single"/>
        </w:rPr>
        <w:t xml:space="preserve">t least 1 PVE or </w:t>
      </w:r>
      <w:r>
        <w:rPr>
          <w:sz w:val="16"/>
          <w:szCs w:val="16"/>
          <w:u w:val="single"/>
        </w:rPr>
        <w:t>o</w:t>
      </w:r>
      <w:r w:rsidRPr="005B1E5B">
        <w:rPr>
          <w:sz w:val="16"/>
          <w:szCs w:val="16"/>
          <w:u w:val="single"/>
        </w:rPr>
        <w:t xml:space="preserve">ption-list and no PVE or </w:t>
      </w:r>
      <w:r>
        <w:rPr>
          <w:sz w:val="16"/>
          <w:szCs w:val="16"/>
          <w:u w:val="single"/>
        </w:rPr>
        <w:t>option-l</w:t>
      </w:r>
      <w:r w:rsidRPr="005B1E5B">
        <w:rPr>
          <w:sz w:val="16"/>
          <w:szCs w:val="16"/>
          <w:u w:val="single"/>
        </w:rPr>
        <w:t>ist</w:t>
      </w:r>
      <w:r>
        <w:rPr>
          <w:sz w:val="16"/>
          <w:szCs w:val="16"/>
          <w:u w:val="single"/>
        </w:rPr>
        <w:t>.</w:t>
      </w:r>
    </w:p>
    <w:p w14:paraId="35836B94" w14:textId="77777777" w:rsidR="008E055E" w:rsidRDefault="008E055E" w:rsidP="00177807">
      <w:pPr>
        <w:spacing w:line="480" w:lineRule="auto"/>
        <w:rPr>
          <w:rFonts w:ascii="Times New Roman" w:eastAsia="Times New Roman" w:hAnsi="Times New Roman" w:cs="Times New Roman"/>
          <w:color w:val="000000" w:themeColor="text1"/>
          <w:lang w:val="en-GB"/>
        </w:rPr>
      </w:pPr>
    </w:p>
    <w:p w14:paraId="0DC2EDCD" w14:textId="77777777" w:rsidR="008E055E" w:rsidRPr="007D72BC" w:rsidRDefault="008E055E" w:rsidP="00177807">
      <w:pPr>
        <w:spacing w:line="480" w:lineRule="auto"/>
        <w:rPr>
          <w:rFonts w:ascii="Times New Roman" w:hAnsi="Times New Roman" w:cs="Times New Roman"/>
          <w:u w:val="single"/>
        </w:rPr>
      </w:pPr>
      <w:r w:rsidRPr="007D72BC">
        <w:rPr>
          <w:rFonts w:ascii="Times New Roman" w:hAnsi="Times New Roman" w:cs="Times New Roman"/>
          <w:u w:val="single"/>
        </w:rPr>
        <w:t>Table 3. Decisional practice and perception of choice (column %)</w:t>
      </w:r>
    </w:p>
    <w:tbl>
      <w:tblPr>
        <w:tblpPr w:leftFromText="180" w:rightFromText="180" w:vertAnchor="text" w:horzAnchor="margin" w:tblpXSpec="center" w:tblpY="232"/>
        <w:tblW w:w="4361" w:type="dxa"/>
        <w:tblLook w:val="04A0" w:firstRow="1" w:lastRow="0" w:firstColumn="1" w:lastColumn="0" w:noHBand="0" w:noVBand="1"/>
      </w:tblPr>
      <w:tblGrid>
        <w:gridCol w:w="1701"/>
        <w:gridCol w:w="1701"/>
        <w:gridCol w:w="1701"/>
        <w:gridCol w:w="1701"/>
      </w:tblGrid>
      <w:tr w:rsidR="00655F86" w:rsidRPr="00E03D12" w14:paraId="69BE3576" w14:textId="77777777" w:rsidTr="00655F86">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98D92"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98B6C28"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Option list or PVE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4C10F93"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No Option list or PVE</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14:paraId="0D7F5A77"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Total</w:t>
            </w:r>
          </w:p>
        </w:tc>
      </w:tr>
      <w:tr w:rsidR="00655F86" w:rsidRPr="00E03D12" w14:paraId="66B6F89C"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115CC7B"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05FCC4"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BE9AF0"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 </w:t>
            </w:r>
          </w:p>
        </w:tc>
        <w:tc>
          <w:tcPr>
            <w:tcW w:w="801" w:type="dxa"/>
            <w:tcBorders>
              <w:top w:val="nil"/>
              <w:left w:val="nil"/>
              <w:bottom w:val="single" w:sz="4" w:space="0" w:color="auto"/>
              <w:right w:val="single" w:sz="4" w:space="0" w:color="auto"/>
            </w:tcBorders>
            <w:shd w:val="clear" w:color="auto" w:fill="auto"/>
            <w:noWrap/>
            <w:vAlign w:val="bottom"/>
            <w:hideMark/>
          </w:tcPr>
          <w:p w14:paraId="2B4A915A"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 </w:t>
            </w:r>
          </w:p>
        </w:tc>
      </w:tr>
      <w:tr w:rsidR="00655F86" w:rsidRPr="00E03D12" w14:paraId="1ECDFDF6"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46C758B"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N</w:t>
            </w:r>
          </w:p>
        </w:tc>
        <w:tc>
          <w:tcPr>
            <w:tcW w:w="1701" w:type="dxa"/>
            <w:tcBorders>
              <w:top w:val="nil"/>
              <w:left w:val="nil"/>
              <w:bottom w:val="single" w:sz="4" w:space="0" w:color="auto"/>
              <w:right w:val="single" w:sz="4" w:space="0" w:color="auto"/>
            </w:tcBorders>
            <w:shd w:val="clear" w:color="auto" w:fill="auto"/>
            <w:noWrap/>
            <w:vAlign w:val="bottom"/>
            <w:hideMark/>
          </w:tcPr>
          <w:p w14:paraId="645626CD"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80</w:t>
            </w:r>
          </w:p>
        </w:tc>
        <w:tc>
          <w:tcPr>
            <w:tcW w:w="1701" w:type="dxa"/>
            <w:tcBorders>
              <w:top w:val="nil"/>
              <w:left w:val="nil"/>
              <w:bottom w:val="single" w:sz="4" w:space="0" w:color="auto"/>
              <w:right w:val="single" w:sz="4" w:space="0" w:color="auto"/>
            </w:tcBorders>
            <w:shd w:val="clear" w:color="auto" w:fill="auto"/>
            <w:noWrap/>
            <w:vAlign w:val="bottom"/>
            <w:hideMark/>
          </w:tcPr>
          <w:p w14:paraId="581B7092"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64</w:t>
            </w:r>
          </w:p>
        </w:tc>
        <w:tc>
          <w:tcPr>
            <w:tcW w:w="801" w:type="dxa"/>
            <w:tcBorders>
              <w:top w:val="nil"/>
              <w:left w:val="nil"/>
              <w:bottom w:val="single" w:sz="4" w:space="0" w:color="auto"/>
              <w:right w:val="single" w:sz="4" w:space="0" w:color="auto"/>
            </w:tcBorders>
            <w:shd w:val="clear" w:color="auto" w:fill="auto"/>
            <w:noWrap/>
            <w:vAlign w:val="bottom"/>
            <w:hideMark/>
          </w:tcPr>
          <w:p w14:paraId="2FBA72AC"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 144</w:t>
            </w:r>
          </w:p>
        </w:tc>
      </w:tr>
      <w:tr w:rsidR="00655F86" w:rsidRPr="00E03D12" w14:paraId="1D00DCC3"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F949929"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14A0DE"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6C2EE8"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 </w:t>
            </w:r>
          </w:p>
        </w:tc>
        <w:tc>
          <w:tcPr>
            <w:tcW w:w="801" w:type="dxa"/>
            <w:tcBorders>
              <w:top w:val="nil"/>
              <w:left w:val="nil"/>
              <w:bottom w:val="single" w:sz="4" w:space="0" w:color="auto"/>
              <w:right w:val="single" w:sz="4" w:space="0" w:color="auto"/>
            </w:tcBorders>
            <w:shd w:val="clear" w:color="auto" w:fill="auto"/>
            <w:noWrap/>
            <w:vAlign w:val="bottom"/>
            <w:hideMark/>
          </w:tcPr>
          <w:p w14:paraId="16502DFC"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 </w:t>
            </w:r>
          </w:p>
        </w:tc>
      </w:tr>
      <w:tr w:rsidR="00655F86" w:rsidRPr="00E03D12" w14:paraId="746017CB"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521F1DE"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Patient choice</w:t>
            </w:r>
          </w:p>
        </w:tc>
        <w:tc>
          <w:tcPr>
            <w:tcW w:w="1701" w:type="dxa"/>
            <w:tcBorders>
              <w:top w:val="nil"/>
              <w:left w:val="nil"/>
              <w:bottom w:val="single" w:sz="4" w:space="0" w:color="auto"/>
              <w:right w:val="single" w:sz="4" w:space="0" w:color="auto"/>
            </w:tcBorders>
            <w:shd w:val="clear" w:color="auto" w:fill="auto"/>
            <w:noWrap/>
            <w:vAlign w:val="bottom"/>
            <w:hideMark/>
          </w:tcPr>
          <w:p w14:paraId="40D4B2F6"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n=75</w:t>
            </w:r>
          </w:p>
        </w:tc>
        <w:tc>
          <w:tcPr>
            <w:tcW w:w="1701" w:type="dxa"/>
            <w:tcBorders>
              <w:top w:val="nil"/>
              <w:left w:val="nil"/>
              <w:bottom w:val="single" w:sz="4" w:space="0" w:color="auto"/>
              <w:right w:val="single" w:sz="4" w:space="0" w:color="auto"/>
            </w:tcBorders>
            <w:shd w:val="clear" w:color="auto" w:fill="auto"/>
            <w:noWrap/>
            <w:vAlign w:val="bottom"/>
            <w:hideMark/>
          </w:tcPr>
          <w:p w14:paraId="3AE256B8"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n=59</w:t>
            </w:r>
          </w:p>
        </w:tc>
        <w:tc>
          <w:tcPr>
            <w:tcW w:w="1701" w:type="dxa"/>
            <w:tcBorders>
              <w:top w:val="nil"/>
              <w:left w:val="nil"/>
              <w:bottom w:val="single" w:sz="4" w:space="0" w:color="auto"/>
              <w:right w:val="single" w:sz="4" w:space="0" w:color="auto"/>
            </w:tcBorders>
            <w:shd w:val="clear" w:color="auto" w:fill="auto"/>
            <w:noWrap/>
            <w:vAlign w:val="bottom"/>
            <w:hideMark/>
          </w:tcPr>
          <w:p w14:paraId="18259209"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 n=134</w:t>
            </w:r>
          </w:p>
        </w:tc>
      </w:tr>
      <w:tr w:rsidR="00655F86" w:rsidRPr="00E03D12" w14:paraId="15050699"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7DAD40"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Choice</w:t>
            </w:r>
          </w:p>
        </w:tc>
        <w:tc>
          <w:tcPr>
            <w:tcW w:w="1701" w:type="dxa"/>
            <w:tcBorders>
              <w:top w:val="nil"/>
              <w:left w:val="nil"/>
              <w:bottom w:val="single" w:sz="4" w:space="0" w:color="auto"/>
              <w:right w:val="single" w:sz="4" w:space="0" w:color="auto"/>
            </w:tcBorders>
            <w:shd w:val="clear" w:color="auto" w:fill="auto"/>
            <w:noWrap/>
            <w:vAlign w:val="bottom"/>
            <w:hideMark/>
          </w:tcPr>
          <w:p w14:paraId="5C0DF30F"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81.3%**</w:t>
            </w:r>
          </w:p>
        </w:tc>
        <w:tc>
          <w:tcPr>
            <w:tcW w:w="1701" w:type="dxa"/>
            <w:tcBorders>
              <w:top w:val="nil"/>
              <w:left w:val="nil"/>
              <w:bottom w:val="single" w:sz="4" w:space="0" w:color="auto"/>
              <w:right w:val="single" w:sz="4" w:space="0" w:color="auto"/>
            </w:tcBorders>
            <w:shd w:val="clear" w:color="auto" w:fill="auto"/>
            <w:noWrap/>
            <w:vAlign w:val="bottom"/>
            <w:hideMark/>
          </w:tcPr>
          <w:p w14:paraId="1E327100"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59.3%**</w:t>
            </w:r>
          </w:p>
        </w:tc>
        <w:tc>
          <w:tcPr>
            <w:tcW w:w="1701" w:type="dxa"/>
            <w:tcBorders>
              <w:top w:val="nil"/>
              <w:left w:val="nil"/>
              <w:bottom w:val="single" w:sz="4" w:space="0" w:color="auto"/>
              <w:right w:val="single" w:sz="4" w:space="0" w:color="auto"/>
            </w:tcBorders>
            <w:shd w:val="clear" w:color="auto" w:fill="auto"/>
            <w:noWrap/>
            <w:vAlign w:val="bottom"/>
            <w:hideMark/>
          </w:tcPr>
          <w:p w14:paraId="1025CBB8"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71.6%</w:t>
            </w:r>
          </w:p>
        </w:tc>
      </w:tr>
      <w:tr w:rsidR="00655F86" w:rsidRPr="00E03D12" w14:paraId="06E8F517"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CDACA42"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No choice</w:t>
            </w:r>
          </w:p>
        </w:tc>
        <w:tc>
          <w:tcPr>
            <w:tcW w:w="1701" w:type="dxa"/>
            <w:tcBorders>
              <w:top w:val="nil"/>
              <w:left w:val="nil"/>
              <w:bottom w:val="single" w:sz="4" w:space="0" w:color="auto"/>
              <w:right w:val="single" w:sz="4" w:space="0" w:color="auto"/>
            </w:tcBorders>
            <w:shd w:val="clear" w:color="auto" w:fill="auto"/>
            <w:noWrap/>
            <w:vAlign w:val="bottom"/>
            <w:hideMark/>
          </w:tcPr>
          <w:p w14:paraId="0A7CFA2E"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18.7%**</w:t>
            </w:r>
          </w:p>
        </w:tc>
        <w:tc>
          <w:tcPr>
            <w:tcW w:w="1701" w:type="dxa"/>
            <w:tcBorders>
              <w:top w:val="nil"/>
              <w:left w:val="nil"/>
              <w:bottom w:val="single" w:sz="4" w:space="0" w:color="auto"/>
              <w:right w:val="single" w:sz="4" w:space="0" w:color="auto"/>
            </w:tcBorders>
            <w:shd w:val="clear" w:color="auto" w:fill="auto"/>
            <w:noWrap/>
            <w:vAlign w:val="bottom"/>
            <w:hideMark/>
          </w:tcPr>
          <w:p w14:paraId="779665C3"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40.7%**</w:t>
            </w:r>
          </w:p>
        </w:tc>
        <w:tc>
          <w:tcPr>
            <w:tcW w:w="1701" w:type="dxa"/>
            <w:tcBorders>
              <w:top w:val="nil"/>
              <w:left w:val="nil"/>
              <w:bottom w:val="single" w:sz="4" w:space="0" w:color="auto"/>
              <w:right w:val="single" w:sz="4" w:space="0" w:color="auto"/>
            </w:tcBorders>
            <w:shd w:val="clear" w:color="auto" w:fill="auto"/>
            <w:noWrap/>
            <w:vAlign w:val="bottom"/>
            <w:hideMark/>
          </w:tcPr>
          <w:p w14:paraId="5FCAECBD"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28.4%</w:t>
            </w:r>
          </w:p>
        </w:tc>
      </w:tr>
      <w:tr w:rsidR="00655F86" w:rsidRPr="00E03D12" w14:paraId="3DA20B0C"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0F3272"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Clinician choice</w:t>
            </w:r>
          </w:p>
        </w:tc>
        <w:tc>
          <w:tcPr>
            <w:tcW w:w="1701" w:type="dxa"/>
            <w:tcBorders>
              <w:top w:val="nil"/>
              <w:left w:val="nil"/>
              <w:bottom w:val="single" w:sz="4" w:space="0" w:color="auto"/>
              <w:right w:val="single" w:sz="4" w:space="0" w:color="auto"/>
            </w:tcBorders>
            <w:shd w:val="clear" w:color="auto" w:fill="auto"/>
            <w:noWrap/>
            <w:vAlign w:val="bottom"/>
            <w:hideMark/>
          </w:tcPr>
          <w:p w14:paraId="2597D6B2"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n=78</w:t>
            </w:r>
          </w:p>
        </w:tc>
        <w:tc>
          <w:tcPr>
            <w:tcW w:w="1701" w:type="dxa"/>
            <w:tcBorders>
              <w:top w:val="nil"/>
              <w:left w:val="nil"/>
              <w:bottom w:val="single" w:sz="4" w:space="0" w:color="auto"/>
              <w:right w:val="single" w:sz="4" w:space="0" w:color="auto"/>
            </w:tcBorders>
            <w:shd w:val="clear" w:color="auto" w:fill="auto"/>
            <w:noWrap/>
            <w:vAlign w:val="bottom"/>
            <w:hideMark/>
          </w:tcPr>
          <w:p w14:paraId="4D143AFD"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n=63</w:t>
            </w:r>
          </w:p>
        </w:tc>
        <w:tc>
          <w:tcPr>
            <w:tcW w:w="1701" w:type="dxa"/>
            <w:tcBorders>
              <w:top w:val="nil"/>
              <w:left w:val="nil"/>
              <w:bottom w:val="single" w:sz="4" w:space="0" w:color="auto"/>
              <w:right w:val="single" w:sz="4" w:space="0" w:color="auto"/>
            </w:tcBorders>
            <w:shd w:val="clear" w:color="auto" w:fill="auto"/>
            <w:noWrap/>
            <w:vAlign w:val="bottom"/>
            <w:hideMark/>
          </w:tcPr>
          <w:p w14:paraId="1C27CAF6"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 n=141</w:t>
            </w:r>
          </w:p>
        </w:tc>
      </w:tr>
      <w:tr w:rsidR="00655F86" w:rsidRPr="00E03D12" w14:paraId="5531B521"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C8E905F"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Choice</w:t>
            </w:r>
          </w:p>
        </w:tc>
        <w:tc>
          <w:tcPr>
            <w:tcW w:w="1701" w:type="dxa"/>
            <w:tcBorders>
              <w:top w:val="nil"/>
              <w:left w:val="nil"/>
              <w:bottom w:val="single" w:sz="4" w:space="0" w:color="auto"/>
              <w:right w:val="single" w:sz="4" w:space="0" w:color="auto"/>
            </w:tcBorders>
            <w:shd w:val="clear" w:color="auto" w:fill="auto"/>
            <w:noWrap/>
            <w:vAlign w:val="bottom"/>
            <w:hideMark/>
          </w:tcPr>
          <w:p w14:paraId="5B59BCD7"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83.3%***</w:t>
            </w:r>
          </w:p>
        </w:tc>
        <w:tc>
          <w:tcPr>
            <w:tcW w:w="1701" w:type="dxa"/>
            <w:tcBorders>
              <w:top w:val="nil"/>
              <w:left w:val="nil"/>
              <w:bottom w:val="single" w:sz="4" w:space="0" w:color="auto"/>
              <w:right w:val="single" w:sz="4" w:space="0" w:color="auto"/>
            </w:tcBorders>
            <w:shd w:val="clear" w:color="auto" w:fill="auto"/>
            <w:noWrap/>
            <w:vAlign w:val="bottom"/>
            <w:hideMark/>
          </w:tcPr>
          <w:p w14:paraId="1CAE7B3E"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52.4%***</w:t>
            </w:r>
          </w:p>
        </w:tc>
        <w:tc>
          <w:tcPr>
            <w:tcW w:w="1701" w:type="dxa"/>
            <w:tcBorders>
              <w:top w:val="nil"/>
              <w:left w:val="nil"/>
              <w:bottom w:val="single" w:sz="4" w:space="0" w:color="auto"/>
              <w:right w:val="single" w:sz="4" w:space="0" w:color="auto"/>
            </w:tcBorders>
            <w:shd w:val="clear" w:color="auto" w:fill="auto"/>
            <w:noWrap/>
            <w:vAlign w:val="bottom"/>
            <w:hideMark/>
          </w:tcPr>
          <w:p w14:paraId="6CBACC04"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69.5%</w:t>
            </w:r>
          </w:p>
        </w:tc>
      </w:tr>
      <w:tr w:rsidR="00655F86" w:rsidRPr="00E03D12" w14:paraId="3A9EB0B0"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EFEA09B"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No choice</w:t>
            </w:r>
          </w:p>
        </w:tc>
        <w:tc>
          <w:tcPr>
            <w:tcW w:w="1701" w:type="dxa"/>
            <w:tcBorders>
              <w:top w:val="nil"/>
              <w:left w:val="nil"/>
              <w:bottom w:val="single" w:sz="4" w:space="0" w:color="auto"/>
              <w:right w:val="single" w:sz="4" w:space="0" w:color="auto"/>
            </w:tcBorders>
            <w:shd w:val="clear" w:color="auto" w:fill="auto"/>
            <w:noWrap/>
            <w:vAlign w:val="bottom"/>
            <w:hideMark/>
          </w:tcPr>
          <w:p w14:paraId="4A95A4FA"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16.7%***</w:t>
            </w:r>
          </w:p>
        </w:tc>
        <w:tc>
          <w:tcPr>
            <w:tcW w:w="1701" w:type="dxa"/>
            <w:tcBorders>
              <w:top w:val="nil"/>
              <w:left w:val="nil"/>
              <w:bottom w:val="single" w:sz="4" w:space="0" w:color="auto"/>
              <w:right w:val="single" w:sz="4" w:space="0" w:color="auto"/>
            </w:tcBorders>
            <w:shd w:val="clear" w:color="auto" w:fill="auto"/>
            <w:noWrap/>
            <w:vAlign w:val="bottom"/>
            <w:hideMark/>
          </w:tcPr>
          <w:p w14:paraId="69E6E076"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47.6%***</w:t>
            </w:r>
          </w:p>
        </w:tc>
        <w:tc>
          <w:tcPr>
            <w:tcW w:w="1701" w:type="dxa"/>
            <w:tcBorders>
              <w:top w:val="nil"/>
              <w:left w:val="nil"/>
              <w:bottom w:val="single" w:sz="4" w:space="0" w:color="auto"/>
              <w:right w:val="single" w:sz="4" w:space="0" w:color="auto"/>
            </w:tcBorders>
            <w:shd w:val="clear" w:color="auto" w:fill="auto"/>
            <w:noWrap/>
            <w:vAlign w:val="bottom"/>
            <w:hideMark/>
          </w:tcPr>
          <w:p w14:paraId="593E004F"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30.5%</w:t>
            </w:r>
          </w:p>
        </w:tc>
      </w:tr>
      <w:tr w:rsidR="00655F86" w:rsidRPr="00E03D12" w14:paraId="0DEB5FDA"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4ED2F8B"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Patient-doctor agreement on choice</w:t>
            </w:r>
          </w:p>
        </w:tc>
        <w:tc>
          <w:tcPr>
            <w:tcW w:w="1701" w:type="dxa"/>
            <w:tcBorders>
              <w:top w:val="nil"/>
              <w:left w:val="nil"/>
              <w:bottom w:val="single" w:sz="4" w:space="0" w:color="auto"/>
              <w:right w:val="single" w:sz="4" w:space="0" w:color="auto"/>
            </w:tcBorders>
            <w:shd w:val="clear" w:color="auto" w:fill="auto"/>
            <w:noWrap/>
            <w:vAlign w:val="bottom"/>
            <w:hideMark/>
          </w:tcPr>
          <w:p w14:paraId="7DEFF5F9"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n=73</w:t>
            </w:r>
          </w:p>
        </w:tc>
        <w:tc>
          <w:tcPr>
            <w:tcW w:w="1701" w:type="dxa"/>
            <w:tcBorders>
              <w:top w:val="nil"/>
              <w:left w:val="nil"/>
              <w:bottom w:val="single" w:sz="4" w:space="0" w:color="auto"/>
              <w:right w:val="single" w:sz="4" w:space="0" w:color="auto"/>
            </w:tcBorders>
            <w:shd w:val="clear" w:color="auto" w:fill="auto"/>
            <w:noWrap/>
            <w:vAlign w:val="bottom"/>
            <w:hideMark/>
          </w:tcPr>
          <w:p w14:paraId="79BC43B8"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n=59</w:t>
            </w:r>
          </w:p>
        </w:tc>
        <w:tc>
          <w:tcPr>
            <w:tcW w:w="1701" w:type="dxa"/>
            <w:tcBorders>
              <w:top w:val="nil"/>
              <w:left w:val="nil"/>
              <w:bottom w:val="single" w:sz="4" w:space="0" w:color="auto"/>
              <w:right w:val="single" w:sz="4" w:space="0" w:color="auto"/>
            </w:tcBorders>
            <w:shd w:val="clear" w:color="auto" w:fill="auto"/>
            <w:noWrap/>
            <w:vAlign w:val="bottom"/>
            <w:hideMark/>
          </w:tcPr>
          <w:p w14:paraId="467EEA32"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 n=132</w:t>
            </w:r>
          </w:p>
        </w:tc>
      </w:tr>
      <w:tr w:rsidR="00655F86" w:rsidRPr="00E03D12" w14:paraId="3C3D2C3F"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9C8DFF3"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Agree choice</w:t>
            </w:r>
          </w:p>
        </w:tc>
        <w:tc>
          <w:tcPr>
            <w:tcW w:w="1701" w:type="dxa"/>
            <w:tcBorders>
              <w:top w:val="nil"/>
              <w:left w:val="nil"/>
              <w:bottom w:val="single" w:sz="4" w:space="0" w:color="auto"/>
              <w:right w:val="single" w:sz="4" w:space="0" w:color="auto"/>
            </w:tcBorders>
            <w:shd w:val="clear" w:color="auto" w:fill="auto"/>
            <w:noWrap/>
            <w:vAlign w:val="bottom"/>
            <w:hideMark/>
          </w:tcPr>
          <w:p w14:paraId="4FC72E64"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71.2%***</w:t>
            </w:r>
          </w:p>
        </w:tc>
        <w:tc>
          <w:tcPr>
            <w:tcW w:w="1701" w:type="dxa"/>
            <w:tcBorders>
              <w:top w:val="nil"/>
              <w:left w:val="nil"/>
              <w:bottom w:val="single" w:sz="4" w:space="0" w:color="auto"/>
              <w:right w:val="single" w:sz="4" w:space="0" w:color="auto"/>
            </w:tcBorders>
            <w:shd w:val="clear" w:color="auto" w:fill="auto"/>
            <w:noWrap/>
            <w:vAlign w:val="bottom"/>
            <w:hideMark/>
          </w:tcPr>
          <w:p w14:paraId="274B8E7E"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33.9%***</w:t>
            </w:r>
          </w:p>
        </w:tc>
        <w:tc>
          <w:tcPr>
            <w:tcW w:w="1701" w:type="dxa"/>
            <w:tcBorders>
              <w:top w:val="nil"/>
              <w:left w:val="nil"/>
              <w:bottom w:val="single" w:sz="4" w:space="0" w:color="auto"/>
              <w:right w:val="single" w:sz="4" w:space="0" w:color="auto"/>
            </w:tcBorders>
            <w:shd w:val="clear" w:color="auto" w:fill="auto"/>
            <w:noWrap/>
            <w:vAlign w:val="bottom"/>
            <w:hideMark/>
          </w:tcPr>
          <w:p w14:paraId="18A63B49"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54.5%</w:t>
            </w:r>
          </w:p>
        </w:tc>
      </w:tr>
      <w:tr w:rsidR="00655F86" w:rsidRPr="00E03D12" w14:paraId="4352032F"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1D746BB"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lastRenderedPageBreak/>
              <w:t>Agree no choice</w:t>
            </w:r>
          </w:p>
        </w:tc>
        <w:tc>
          <w:tcPr>
            <w:tcW w:w="1701" w:type="dxa"/>
            <w:tcBorders>
              <w:top w:val="nil"/>
              <w:left w:val="nil"/>
              <w:bottom w:val="single" w:sz="4" w:space="0" w:color="auto"/>
              <w:right w:val="single" w:sz="4" w:space="0" w:color="auto"/>
            </w:tcBorders>
            <w:shd w:val="clear" w:color="auto" w:fill="auto"/>
            <w:noWrap/>
            <w:vAlign w:val="bottom"/>
            <w:hideMark/>
          </w:tcPr>
          <w:p w14:paraId="46050733"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6.8%***</w:t>
            </w:r>
          </w:p>
        </w:tc>
        <w:tc>
          <w:tcPr>
            <w:tcW w:w="1701" w:type="dxa"/>
            <w:tcBorders>
              <w:top w:val="nil"/>
              <w:left w:val="nil"/>
              <w:bottom w:val="single" w:sz="4" w:space="0" w:color="auto"/>
              <w:right w:val="single" w:sz="4" w:space="0" w:color="auto"/>
            </w:tcBorders>
            <w:shd w:val="clear" w:color="auto" w:fill="auto"/>
            <w:noWrap/>
            <w:vAlign w:val="bottom"/>
            <w:hideMark/>
          </w:tcPr>
          <w:p w14:paraId="49F2108F"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22.0%***</w:t>
            </w:r>
          </w:p>
        </w:tc>
        <w:tc>
          <w:tcPr>
            <w:tcW w:w="1701" w:type="dxa"/>
            <w:tcBorders>
              <w:top w:val="nil"/>
              <w:left w:val="nil"/>
              <w:bottom w:val="single" w:sz="4" w:space="0" w:color="auto"/>
              <w:right w:val="single" w:sz="4" w:space="0" w:color="auto"/>
            </w:tcBorders>
            <w:shd w:val="clear" w:color="auto" w:fill="auto"/>
            <w:noWrap/>
            <w:vAlign w:val="bottom"/>
            <w:hideMark/>
          </w:tcPr>
          <w:p w14:paraId="66722067"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13.6%</w:t>
            </w:r>
          </w:p>
        </w:tc>
      </w:tr>
      <w:tr w:rsidR="00655F86" w:rsidRPr="00E03D12" w14:paraId="483B37BA"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C50EDE7"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Patient no doctor yes</w:t>
            </w:r>
          </w:p>
        </w:tc>
        <w:tc>
          <w:tcPr>
            <w:tcW w:w="1701" w:type="dxa"/>
            <w:tcBorders>
              <w:top w:val="nil"/>
              <w:left w:val="nil"/>
              <w:bottom w:val="single" w:sz="4" w:space="0" w:color="auto"/>
              <w:right w:val="single" w:sz="4" w:space="0" w:color="auto"/>
            </w:tcBorders>
            <w:shd w:val="clear" w:color="auto" w:fill="auto"/>
            <w:noWrap/>
            <w:vAlign w:val="bottom"/>
            <w:hideMark/>
          </w:tcPr>
          <w:p w14:paraId="6DB10514"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12.3%***</w:t>
            </w:r>
          </w:p>
        </w:tc>
        <w:tc>
          <w:tcPr>
            <w:tcW w:w="1701" w:type="dxa"/>
            <w:tcBorders>
              <w:top w:val="nil"/>
              <w:left w:val="nil"/>
              <w:bottom w:val="single" w:sz="4" w:space="0" w:color="auto"/>
              <w:right w:val="single" w:sz="4" w:space="0" w:color="auto"/>
            </w:tcBorders>
            <w:shd w:val="clear" w:color="auto" w:fill="auto"/>
            <w:noWrap/>
            <w:vAlign w:val="bottom"/>
            <w:hideMark/>
          </w:tcPr>
          <w:p w14:paraId="3B1CAF0D"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18.6%***</w:t>
            </w:r>
          </w:p>
        </w:tc>
        <w:tc>
          <w:tcPr>
            <w:tcW w:w="1701" w:type="dxa"/>
            <w:tcBorders>
              <w:top w:val="nil"/>
              <w:left w:val="nil"/>
              <w:bottom w:val="single" w:sz="4" w:space="0" w:color="auto"/>
              <w:right w:val="single" w:sz="4" w:space="0" w:color="auto"/>
            </w:tcBorders>
            <w:shd w:val="clear" w:color="auto" w:fill="auto"/>
            <w:noWrap/>
            <w:vAlign w:val="bottom"/>
            <w:hideMark/>
          </w:tcPr>
          <w:p w14:paraId="56745705"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15.2%</w:t>
            </w:r>
          </w:p>
        </w:tc>
      </w:tr>
      <w:tr w:rsidR="00655F86" w:rsidRPr="00E03D12" w14:paraId="4A1CCD1B" w14:textId="77777777" w:rsidTr="00655F8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2D5BD67" w14:textId="77777777" w:rsidR="00655F86" w:rsidRPr="00E03D12" w:rsidRDefault="00655F86" w:rsidP="00177807">
            <w:pPr>
              <w:spacing w:line="480" w:lineRule="auto"/>
              <w:rPr>
                <w:rFonts w:cstheme="minorHAnsi"/>
                <w:color w:val="000000"/>
                <w:sz w:val="16"/>
                <w:szCs w:val="16"/>
              </w:rPr>
            </w:pPr>
            <w:r w:rsidRPr="00E03D12">
              <w:rPr>
                <w:rFonts w:cstheme="minorHAnsi"/>
                <w:color w:val="000000"/>
                <w:sz w:val="16"/>
                <w:szCs w:val="16"/>
              </w:rPr>
              <w:t>Patient yes doctor no</w:t>
            </w:r>
          </w:p>
        </w:tc>
        <w:tc>
          <w:tcPr>
            <w:tcW w:w="1701" w:type="dxa"/>
            <w:tcBorders>
              <w:top w:val="nil"/>
              <w:left w:val="nil"/>
              <w:bottom w:val="single" w:sz="4" w:space="0" w:color="auto"/>
              <w:right w:val="single" w:sz="4" w:space="0" w:color="auto"/>
            </w:tcBorders>
            <w:shd w:val="clear" w:color="auto" w:fill="auto"/>
            <w:noWrap/>
            <w:vAlign w:val="bottom"/>
            <w:hideMark/>
          </w:tcPr>
          <w:p w14:paraId="3444DCE0"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9.6%***</w:t>
            </w:r>
          </w:p>
        </w:tc>
        <w:tc>
          <w:tcPr>
            <w:tcW w:w="1701" w:type="dxa"/>
            <w:tcBorders>
              <w:top w:val="nil"/>
              <w:left w:val="nil"/>
              <w:bottom w:val="single" w:sz="4" w:space="0" w:color="auto"/>
              <w:right w:val="single" w:sz="4" w:space="0" w:color="auto"/>
            </w:tcBorders>
            <w:shd w:val="clear" w:color="auto" w:fill="auto"/>
            <w:noWrap/>
            <w:vAlign w:val="bottom"/>
            <w:hideMark/>
          </w:tcPr>
          <w:p w14:paraId="50DA593D"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25.4%***</w:t>
            </w:r>
          </w:p>
        </w:tc>
        <w:tc>
          <w:tcPr>
            <w:tcW w:w="1701" w:type="dxa"/>
            <w:tcBorders>
              <w:top w:val="nil"/>
              <w:left w:val="nil"/>
              <w:bottom w:val="single" w:sz="4" w:space="0" w:color="auto"/>
              <w:right w:val="single" w:sz="4" w:space="0" w:color="auto"/>
            </w:tcBorders>
            <w:shd w:val="clear" w:color="auto" w:fill="auto"/>
            <w:noWrap/>
            <w:vAlign w:val="bottom"/>
            <w:hideMark/>
          </w:tcPr>
          <w:p w14:paraId="639E4729" w14:textId="77777777" w:rsidR="00655F86" w:rsidRPr="00E03D12" w:rsidRDefault="00655F86" w:rsidP="00177807">
            <w:pPr>
              <w:spacing w:line="480" w:lineRule="auto"/>
              <w:rPr>
                <w:rFonts w:cstheme="minorHAnsi"/>
                <w:b/>
                <w:bCs/>
                <w:color w:val="000000"/>
                <w:sz w:val="16"/>
                <w:szCs w:val="16"/>
              </w:rPr>
            </w:pPr>
            <w:r w:rsidRPr="00E03D12">
              <w:rPr>
                <w:rFonts w:cstheme="minorHAnsi"/>
                <w:b/>
                <w:bCs/>
                <w:color w:val="000000"/>
                <w:sz w:val="16"/>
                <w:szCs w:val="16"/>
              </w:rPr>
              <w:t>16.7%</w:t>
            </w:r>
          </w:p>
        </w:tc>
      </w:tr>
    </w:tbl>
    <w:p w14:paraId="4DF55D26" w14:textId="77777777" w:rsidR="008E055E" w:rsidRDefault="008E055E" w:rsidP="00177807">
      <w:pPr>
        <w:spacing w:line="480" w:lineRule="auto"/>
        <w:rPr>
          <w:rFonts w:cstheme="minorHAnsi"/>
          <w:sz w:val="16"/>
          <w:szCs w:val="16"/>
        </w:rPr>
      </w:pPr>
    </w:p>
    <w:p w14:paraId="59035A90" w14:textId="77777777" w:rsidR="008E055E" w:rsidRDefault="008E055E" w:rsidP="00177807">
      <w:pPr>
        <w:spacing w:line="480" w:lineRule="auto"/>
        <w:rPr>
          <w:rFonts w:cstheme="minorHAnsi"/>
          <w:sz w:val="16"/>
          <w:szCs w:val="16"/>
        </w:rPr>
      </w:pPr>
      <w:r w:rsidRPr="006834E8">
        <w:rPr>
          <w:rFonts w:cstheme="minorHAnsi"/>
          <w:sz w:val="16"/>
          <w:szCs w:val="16"/>
        </w:rPr>
        <w:t>***</w:t>
      </w:r>
      <w:r w:rsidRPr="006834E8">
        <w:rPr>
          <w:rFonts w:cstheme="minorHAnsi"/>
          <w:sz w:val="16"/>
          <w:szCs w:val="16"/>
        </w:rPr>
        <w:tab/>
        <w:t xml:space="preserve">p </w:t>
      </w:r>
      <w:r w:rsidRPr="00E03D12">
        <w:rPr>
          <w:rFonts w:cstheme="minorHAnsi"/>
          <w:sz w:val="16"/>
          <w:szCs w:val="16"/>
        </w:rPr>
        <w:t>≤ 0.001</w:t>
      </w:r>
    </w:p>
    <w:p w14:paraId="70B62565" w14:textId="77777777" w:rsidR="008E055E" w:rsidRPr="00E03D12" w:rsidRDefault="008E055E" w:rsidP="00177807">
      <w:pPr>
        <w:spacing w:line="480" w:lineRule="auto"/>
        <w:rPr>
          <w:rFonts w:cstheme="minorHAnsi"/>
          <w:sz w:val="16"/>
          <w:szCs w:val="16"/>
        </w:rPr>
      </w:pPr>
      <w:r w:rsidRPr="006834E8">
        <w:rPr>
          <w:rFonts w:cstheme="minorHAnsi"/>
          <w:sz w:val="16"/>
          <w:szCs w:val="16"/>
        </w:rPr>
        <w:t>**</w:t>
      </w:r>
      <w:r w:rsidRPr="006834E8">
        <w:rPr>
          <w:rFonts w:cstheme="minorHAnsi"/>
          <w:sz w:val="16"/>
          <w:szCs w:val="16"/>
        </w:rPr>
        <w:tab/>
        <w:t xml:space="preserve">p </w:t>
      </w:r>
      <w:r w:rsidRPr="00E03D12">
        <w:rPr>
          <w:rFonts w:cstheme="minorHAnsi"/>
          <w:sz w:val="16"/>
          <w:szCs w:val="16"/>
        </w:rPr>
        <w:t>≤ 0.01</w:t>
      </w:r>
    </w:p>
    <w:p w14:paraId="16C580CA" w14:textId="77777777" w:rsidR="008E055E" w:rsidRPr="00E03D12" w:rsidRDefault="008E055E" w:rsidP="00177807">
      <w:pPr>
        <w:spacing w:line="480" w:lineRule="auto"/>
        <w:rPr>
          <w:rFonts w:cstheme="minorHAnsi"/>
          <w:sz w:val="16"/>
          <w:szCs w:val="16"/>
        </w:rPr>
      </w:pPr>
      <w:r w:rsidRPr="006834E8">
        <w:rPr>
          <w:rFonts w:cstheme="minorHAnsi"/>
          <w:sz w:val="16"/>
          <w:szCs w:val="16"/>
        </w:rPr>
        <w:t>*</w:t>
      </w:r>
      <w:r w:rsidRPr="006834E8">
        <w:rPr>
          <w:rFonts w:cstheme="minorHAnsi"/>
          <w:sz w:val="16"/>
          <w:szCs w:val="16"/>
        </w:rPr>
        <w:tab/>
        <w:t xml:space="preserve">p </w:t>
      </w:r>
      <w:r w:rsidRPr="00E03D12">
        <w:rPr>
          <w:rFonts w:cstheme="minorHAnsi"/>
          <w:sz w:val="16"/>
          <w:szCs w:val="16"/>
        </w:rPr>
        <w:t>≤ 0.05</w:t>
      </w:r>
    </w:p>
    <w:p w14:paraId="31EA8AD8" w14:textId="77777777" w:rsidR="008E055E" w:rsidRDefault="008E055E" w:rsidP="00177807">
      <w:pPr>
        <w:spacing w:line="480" w:lineRule="auto"/>
        <w:rPr>
          <w:rFonts w:cstheme="minorHAnsi"/>
          <w:sz w:val="16"/>
          <w:szCs w:val="16"/>
        </w:rPr>
      </w:pPr>
      <w:r w:rsidRPr="006834E8">
        <w:rPr>
          <w:rFonts w:cstheme="minorHAnsi"/>
          <w:sz w:val="16"/>
          <w:szCs w:val="16"/>
        </w:rPr>
        <w:t>~</w:t>
      </w:r>
      <w:r w:rsidRPr="006834E8">
        <w:rPr>
          <w:rFonts w:cstheme="minorHAnsi"/>
          <w:sz w:val="16"/>
          <w:szCs w:val="16"/>
        </w:rPr>
        <w:tab/>
        <w:t xml:space="preserve">p </w:t>
      </w:r>
      <w:r w:rsidRPr="00E03D12">
        <w:rPr>
          <w:rFonts w:cstheme="minorHAnsi"/>
          <w:sz w:val="16"/>
          <w:szCs w:val="16"/>
        </w:rPr>
        <w:t>≤ 0.1</w:t>
      </w:r>
    </w:p>
    <w:p w14:paraId="0DDD428F" w14:textId="77777777" w:rsidR="008E055E" w:rsidRPr="00E03D12" w:rsidRDefault="008E055E" w:rsidP="00177807">
      <w:pPr>
        <w:spacing w:line="480" w:lineRule="auto"/>
        <w:rPr>
          <w:rFonts w:cstheme="minorHAnsi"/>
          <w:sz w:val="16"/>
          <w:szCs w:val="16"/>
        </w:rPr>
      </w:pPr>
    </w:p>
    <w:p w14:paraId="7C4F235D" w14:textId="69F0E9F8" w:rsidR="008E055E" w:rsidRPr="00E03D12" w:rsidRDefault="008E055E" w:rsidP="00177807">
      <w:pPr>
        <w:spacing w:line="480" w:lineRule="auto"/>
        <w:rPr>
          <w:rFonts w:cstheme="minorHAnsi"/>
          <w:sz w:val="16"/>
          <w:szCs w:val="16"/>
          <w:u w:val="single"/>
        </w:rPr>
      </w:pPr>
      <w:r w:rsidRPr="006834E8">
        <w:rPr>
          <w:rFonts w:cstheme="minorHAnsi"/>
          <w:sz w:val="16"/>
          <w:szCs w:val="16"/>
          <w:u w:val="single"/>
        </w:rPr>
        <w:t xml:space="preserve">NB. Statistical tests show comparisons between </w:t>
      </w:r>
      <w:r>
        <w:rPr>
          <w:rFonts w:cstheme="minorHAnsi"/>
          <w:sz w:val="16"/>
          <w:szCs w:val="16"/>
          <w:u w:val="single"/>
        </w:rPr>
        <w:t>at least 1 PVE or o</w:t>
      </w:r>
      <w:r w:rsidRPr="006834E8">
        <w:rPr>
          <w:rFonts w:cstheme="minorHAnsi"/>
          <w:sz w:val="16"/>
          <w:szCs w:val="16"/>
          <w:u w:val="single"/>
        </w:rPr>
        <w:t>ption-list and no PVE or</w:t>
      </w:r>
      <w:r>
        <w:rPr>
          <w:rFonts w:cstheme="minorHAnsi"/>
          <w:sz w:val="16"/>
          <w:szCs w:val="16"/>
          <w:u w:val="single"/>
        </w:rPr>
        <w:t xml:space="preserve"> option-l</w:t>
      </w:r>
      <w:r w:rsidRPr="00E03D12">
        <w:rPr>
          <w:rFonts w:cstheme="minorHAnsi"/>
          <w:sz w:val="16"/>
          <w:szCs w:val="16"/>
          <w:u w:val="single"/>
        </w:rPr>
        <w:t>ist</w:t>
      </w:r>
      <w:r>
        <w:rPr>
          <w:rFonts w:cstheme="minorHAnsi"/>
          <w:sz w:val="16"/>
          <w:szCs w:val="16"/>
          <w:u w:val="single"/>
        </w:rPr>
        <w:t>.</w:t>
      </w:r>
    </w:p>
    <w:p w14:paraId="030CA891" w14:textId="77777777" w:rsidR="008E055E" w:rsidRPr="00E03D12" w:rsidRDefault="008E055E" w:rsidP="00177807">
      <w:pPr>
        <w:spacing w:line="480" w:lineRule="auto"/>
        <w:rPr>
          <w:rFonts w:ascii="Times New Roman" w:eastAsia="Times New Roman" w:hAnsi="Times New Roman" w:cs="Times New Roman"/>
          <w:b/>
          <w:i/>
          <w:lang w:val="en-GB"/>
        </w:rPr>
      </w:pPr>
    </w:p>
    <w:p w14:paraId="4F562348" w14:textId="4277D4C0" w:rsidR="00D635B4" w:rsidRPr="007B3EAB" w:rsidRDefault="008E055E" w:rsidP="00D635B4">
      <w:pPr>
        <w:pStyle w:val="TableHeading"/>
        <w:rPr>
          <w:rFonts w:ascii="Times New Roman" w:hAnsi="Times New Roman" w:cs="Times New Roman"/>
          <w:i w:val="0"/>
        </w:rPr>
      </w:pPr>
      <w:r w:rsidRPr="007B3EAB">
        <w:rPr>
          <w:rFonts w:ascii="Times New Roman" w:eastAsia="Times New Roman" w:hAnsi="Times New Roman" w:cs="Times New Roman"/>
          <w:i w:val="0"/>
          <w:u w:val="single"/>
        </w:rPr>
        <w:t xml:space="preserve">Table 4.  </w:t>
      </w:r>
      <w:r w:rsidR="00D635B4" w:rsidRPr="0025660A">
        <w:rPr>
          <w:rFonts w:ascii="Times New Roman" w:hAnsi="Times New Roman" w:cs="Times New Roman"/>
          <w:i w:val="0"/>
          <w:u w:val="single"/>
        </w:rPr>
        <w:t>Distribution of patients from different demographic groups and with different clinical characteristics, and distribution of different types of consultations, across consultations containing different decisional practices. Categorical variables. (row %)</w:t>
      </w:r>
    </w:p>
    <w:p w14:paraId="17AB66DE" w14:textId="5DB99026" w:rsidR="008E055E" w:rsidRPr="00D635B4" w:rsidRDefault="008E055E" w:rsidP="00177807">
      <w:pPr>
        <w:spacing w:line="480" w:lineRule="auto"/>
        <w:rPr>
          <w:rFonts w:ascii="Times New Roman" w:eastAsia="Times New Roman" w:hAnsi="Times New Roman" w:cs="Times New Roman"/>
          <w:u w:val="single"/>
          <w:lang w:val="en-GB"/>
        </w:rPr>
      </w:pPr>
    </w:p>
    <w:tbl>
      <w:tblPr>
        <w:tblW w:w="6147" w:type="dxa"/>
        <w:tblInd w:w="93" w:type="dxa"/>
        <w:tblLook w:val="04A0" w:firstRow="1" w:lastRow="0" w:firstColumn="1" w:lastColumn="0" w:noHBand="0" w:noVBand="1"/>
      </w:tblPr>
      <w:tblGrid>
        <w:gridCol w:w="2745"/>
        <w:gridCol w:w="1701"/>
        <w:gridCol w:w="1701"/>
      </w:tblGrid>
      <w:tr w:rsidR="00655F86" w:rsidRPr="00D22B3E" w14:paraId="202D68D4" w14:textId="77777777" w:rsidTr="00695CA7">
        <w:trPr>
          <w:trHeight w:val="300"/>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6223A"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7ED2B2"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At least 1 PVE or option-list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65D872"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No PVEs or option-lists (only recs)</w:t>
            </w:r>
          </w:p>
        </w:tc>
      </w:tr>
      <w:tr w:rsidR="00655F86" w:rsidRPr="00D22B3E" w14:paraId="00BB3AF4"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359C3454" w14:textId="77777777" w:rsidR="00655F86" w:rsidRPr="00695CA7" w:rsidRDefault="00655F86" w:rsidP="00177807">
            <w:pPr>
              <w:spacing w:line="480" w:lineRule="auto"/>
              <w:rPr>
                <w:rFonts w:ascii="Calibri" w:eastAsia="Times New Roman" w:hAnsi="Calibri" w:cs="Times New Roman"/>
                <w:b/>
                <w:color w:val="000000"/>
                <w:sz w:val="16"/>
                <w:szCs w:val="16"/>
                <w:lang w:val="en-GB" w:eastAsia="en-GB"/>
              </w:rPr>
            </w:pPr>
            <w:r w:rsidRPr="00695CA7">
              <w:rPr>
                <w:rFonts w:ascii="Calibri" w:eastAsia="Times New Roman" w:hAnsi="Calibri" w:cs="Times New Roman"/>
                <w:b/>
                <w:color w:val="000000"/>
                <w:sz w:val="16"/>
                <w:szCs w:val="16"/>
                <w:lang w:val="en-GB" w:eastAsia="en-GB"/>
              </w:rPr>
              <w:t xml:space="preserve">All </w:t>
            </w:r>
          </w:p>
        </w:tc>
        <w:tc>
          <w:tcPr>
            <w:tcW w:w="1701" w:type="dxa"/>
            <w:tcBorders>
              <w:top w:val="nil"/>
              <w:left w:val="nil"/>
              <w:bottom w:val="single" w:sz="4" w:space="0" w:color="auto"/>
              <w:right w:val="single" w:sz="4" w:space="0" w:color="auto"/>
            </w:tcBorders>
            <w:shd w:val="clear" w:color="auto" w:fill="auto"/>
            <w:noWrap/>
            <w:vAlign w:val="bottom"/>
            <w:hideMark/>
          </w:tcPr>
          <w:p w14:paraId="202864C8"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55.6% (n=80)</w:t>
            </w:r>
          </w:p>
        </w:tc>
        <w:tc>
          <w:tcPr>
            <w:tcW w:w="1701" w:type="dxa"/>
            <w:tcBorders>
              <w:top w:val="nil"/>
              <w:left w:val="nil"/>
              <w:bottom w:val="single" w:sz="4" w:space="0" w:color="auto"/>
              <w:right w:val="single" w:sz="4" w:space="0" w:color="auto"/>
            </w:tcBorders>
            <w:shd w:val="clear" w:color="auto" w:fill="auto"/>
            <w:noWrap/>
            <w:vAlign w:val="bottom"/>
            <w:hideMark/>
          </w:tcPr>
          <w:p w14:paraId="48AF1B68"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44.4% (n=64)</w:t>
            </w:r>
          </w:p>
        </w:tc>
      </w:tr>
      <w:tr w:rsidR="00655F86" w:rsidRPr="00D22B3E" w14:paraId="780736AB"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55369375"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Location</w:t>
            </w:r>
          </w:p>
        </w:tc>
        <w:tc>
          <w:tcPr>
            <w:tcW w:w="1701" w:type="dxa"/>
            <w:tcBorders>
              <w:top w:val="nil"/>
              <w:left w:val="nil"/>
              <w:bottom w:val="single" w:sz="4" w:space="0" w:color="auto"/>
              <w:right w:val="single" w:sz="4" w:space="0" w:color="auto"/>
            </w:tcBorders>
            <w:shd w:val="clear" w:color="auto" w:fill="auto"/>
            <w:noWrap/>
            <w:vAlign w:val="bottom"/>
            <w:hideMark/>
          </w:tcPr>
          <w:p w14:paraId="3DF93599"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1C8A12FD"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 </w:t>
            </w:r>
          </w:p>
        </w:tc>
      </w:tr>
      <w:tr w:rsidR="00655F86" w:rsidRPr="00D22B3E" w14:paraId="30C02AAA"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47C93841"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Sheffield</w:t>
            </w:r>
          </w:p>
        </w:tc>
        <w:tc>
          <w:tcPr>
            <w:tcW w:w="1701" w:type="dxa"/>
            <w:tcBorders>
              <w:top w:val="nil"/>
              <w:left w:val="nil"/>
              <w:bottom w:val="single" w:sz="4" w:space="0" w:color="auto"/>
              <w:right w:val="single" w:sz="4" w:space="0" w:color="auto"/>
            </w:tcBorders>
            <w:shd w:val="clear" w:color="auto" w:fill="auto"/>
            <w:noWrap/>
            <w:vAlign w:val="bottom"/>
            <w:hideMark/>
          </w:tcPr>
          <w:p w14:paraId="099CBE95"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67.1%**</w:t>
            </w:r>
          </w:p>
        </w:tc>
        <w:tc>
          <w:tcPr>
            <w:tcW w:w="1701" w:type="dxa"/>
            <w:tcBorders>
              <w:top w:val="nil"/>
              <w:left w:val="nil"/>
              <w:bottom w:val="single" w:sz="4" w:space="0" w:color="auto"/>
              <w:right w:val="single" w:sz="4" w:space="0" w:color="auto"/>
            </w:tcBorders>
            <w:shd w:val="clear" w:color="auto" w:fill="auto"/>
            <w:noWrap/>
            <w:vAlign w:val="bottom"/>
            <w:hideMark/>
          </w:tcPr>
          <w:p w14:paraId="5D4810FA"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32.9%**</w:t>
            </w:r>
          </w:p>
        </w:tc>
      </w:tr>
      <w:tr w:rsidR="00655F86" w:rsidRPr="00D22B3E" w14:paraId="0071DED4"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573183D6"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Glasgow</w:t>
            </w:r>
          </w:p>
        </w:tc>
        <w:tc>
          <w:tcPr>
            <w:tcW w:w="1701" w:type="dxa"/>
            <w:tcBorders>
              <w:top w:val="nil"/>
              <w:left w:val="nil"/>
              <w:bottom w:val="single" w:sz="4" w:space="0" w:color="auto"/>
              <w:right w:val="single" w:sz="4" w:space="0" w:color="auto"/>
            </w:tcBorders>
            <w:shd w:val="clear" w:color="auto" w:fill="auto"/>
            <w:noWrap/>
            <w:vAlign w:val="bottom"/>
            <w:hideMark/>
          </w:tcPr>
          <w:p w14:paraId="32796F89"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43.7%**</w:t>
            </w:r>
          </w:p>
        </w:tc>
        <w:tc>
          <w:tcPr>
            <w:tcW w:w="1701" w:type="dxa"/>
            <w:tcBorders>
              <w:top w:val="nil"/>
              <w:left w:val="nil"/>
              <w:bottom w:val="single" w:sz="4" w:space="0" w:color="auto"/>
              <w:right w:val="single" w:sz="4" w:space="0" w:color="auto"/>
            </w:tcBorders>
            <w:shd w:val="clear" w:color="auto" w:fill="auto"/>
            <w:noWrap/>
            <w:vAlign w:val="bottom"/>
            <w:hideMark/>
          </w:tcPr>
          <w:p w14:paraId="77B89D27"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56.3%**</w:t>
            </w:r>
          </w:p>
        </w:tc>
      </w:tr>
      <w:tr w:rsidR="00655F86" w:rsidRPr="00D22B3E" w14:paraId="5BBC6C33"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6AC6570B"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Clinic type</w:t>
            </w:r>
          </w:p>
        </w:tc>
        <w:tc>
          <w:tcPr>
            <w:tcW w:w="1701" w:type="dxa"/>
            <w:tcBorders>
              <w:top w:val="nil"/>
              <w:left w:val="nil"/>
              <w:bottom w:val="single" w:sz="4" w:space="0" w:color="auto"/>
              <w:right w:val="single" w:sz="4" w:space="0" w:color="auto"/>
            </w:tcBorders>
            <w:shd w:val="clear" w:color="auto" w:fill="auto"/>
            <w:noWrap/>
            <w:vAlign w:val="bottom"/>
            <w:hideMark/>
          </w:tcPr>
          <w:p w14:paraId="11F43D31"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61DC4E80"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 </w:t>
            </w:r>
          </w:p>
        </w:tc>
      </w:tr>
      <w:tr w:rsidR="00655F86" w:rsidRPr="00D22B3E" w14:paraId="7710E251"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668FC95A"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Seen in general clinic</w:t>
            </w:r>
          </w:p>
        </w:tc>
        <w:tc>
          <w:tcPr>
            <w:tcW w:w="1701" w:type="dxa"/>
            <w:tcBorders>
              <w:top w:val="nil"/>
              <w:left w:val="nil"/>
              <w:bottom w:val="single" w:sz="4" w:space="0" w:color="auto"/>
              <w:right w:val="single" w:sz="4" w:space="0" w:color="auto"/>
            </w:tcBorders>
            <w:shd w:val="clear" w:color="auto" w:fill="auto"/>
            <w:noWrap/>
            <w:vAlign w:val="bottom"/>
            <w:hideMark/>
          </w:tcPr>
          <w:p w14:paraId="37ADF7FD"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41.7%~</w:t>
            </w:r>
          </w:p>
        </w:tc>
        <w:tc>
          <w:tcPr>
            <w:tcW w:w="1701" w:type="dxa"/>
            <w:tcBorders>
              <w:top w:val="nil"/>
              <w:left w:val="nil"/>
              <w:bottom w:val="single" w:sz="4" w:space="0" w:color="auto"/>
              <w:right w:val="single" w:sz="4" w:space="0" w:color="auto"/>
            </w:tcBorders>
            <w:shd w:val="clear" w:color="auto" w:fill="auto"/>
            <w:noWrap/>
            <w:vAlign w:val="bottom"/>
            <w:hideMark/>
          </w:tcPr>
          <w:p w14:paraId="280F893E"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58.3%~</w:t>
            </w:r>
          </w:p>
        </w:tc>
      </w:tr>
      <w:tr w:rsidR="00655F86" w:rsidRPr="00D22B3E" w14:paraId="31C7D3CF"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5DC7329D"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Seen in specialist clinic</w:t>
            </w:r>
          </w:p>
        </w:tc>
        <w:tc>
          <w:tcPr>
            <w:tcW w:w="1701" w:type="dxa"/>
            <w:tcBorders>
              <w:top w:val="nil"/>
              <w:left w:val="nil"/>
              <w:bottom w:val="single" w:sz="4" w:space="0" w:color="auto"/>
              <w:right w:val="single" w:sz="4" w:space="0" w:color="auto"/>
            </w:tcBorders>
            <w:shd w:val="clear" w:color="auto" w:fill="auto"/>
            <w:noWrap/>
            <w:vAlign w:val="bottom"/>
            <w:hideMark/>
          </w:tcPr>
          <w:p w14:paraId="461829F0"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58.3%~</w:t>
            </w:r>
          </w:p>
        </w:tc>
        <w:tc>
          <w:tcPr>
            <w:tcW w:w="1701" w:type="dxa"/>
            <w:tcBorders>
              <w:top w:val="nil"/>
              <w:left w:val="nil"/>
              <w:bottom w:val="single" w:sz="4" w:space="0" w:color="auto"/>
              <w:right w:val="single" w:sz="4" w:space="0" w:color="auto"/>
            </w:tcBorders>
            <w:shd w:val="clear" w:color="auto" w:fill="auto"/>
            <w:noWrap/>
            <w:vAlign w:val="bottom"/>
            <w:hideMark/>
          </w:tcPr>
          <w:p w14:paraId="280DBAE6"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41.7%~</w:t>
            </w:r>
          </w:p>
        </w:tc>
      </w:tr>
      <w:tr w:rsidR="00655F86" w:rsidRPr="00D22B3E" w14:paraId="0FBA0CDB"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5A158643"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Specialism</w:t>
            </w:r>
          </w:p>
        </w:tc>
        <w:tc>
          <w:tcPr>
            <w:tcW w:w="1701" w:type="dxa"/>
            <w:tcBorders>
              <w:top w:val="nil"/>
              <w:left w:val="nil"/>
              <w:bottom w:val="single" w:sz="4" w:space="0" w:color="auto"/>
              <w:right w:val="single" w:sz="4" w:space="0" w:color="auto"/>
            </w:tcBorders>
            <w:shd w:val="clear" w:color="auto" w:fill="auto"/>
            <w:noWrap/>
            <w:vAlign w:val="bottom"/>
            <w:hideMark/>
          </w:tcPr>
          <w:p w14:paraId="65739A67"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1EF7490C"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 </w:t>
            </w:r>
          </w:p>
        </w:tc>
      </w:tr>
      <w:tr w:rsidR="00655F86" w:rsidRPr="00D22B3E" w14:paraId="55C5B1AB"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6F8BE993"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General (n=25)</w:t>
            </w:r>
          </w:p>
        </w:tc>
        <w:tc>
          <w:tcPr>
            <w:tcW w:w="1701" w:type="dxa"/>
            <w:tcBorders>
              <w:top w:val="nil"/>
              <w:left w:val="nil"/>
              <w:bottom w:val="single" w:sz="4" w:space="0" w:color="auto"/>
              <w:right w:val="single" w:sz="4" w:space="0" w:color="auto"/>
            </w:tcBorders>
            <w:shd w:val="clear" w:color="auto" w:fill="auto"/>
            <w:noWrap/>
            <w:vAlign w:val="bottom"/>
            <w:hideMark/>
          </w:tcPr>
          <w:p w14:paraId="2A1E5FE5"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44.0%</w:t>
            </w:r>
          </w:p>
        </w:tc>
        <w:tc>
          <w:tcPr>
            <w:tcW w:w="1701" w:type="dxa"/>
            <w:tcBorders>
              <w:top w:val="nil"/>
              <w:left w:val="nil"/>
              <w:bottom w:val="single" w:sz="4" w:space="0" w:color="auto"/>
              <w:right w:val="single" w:sz="4" w:space="0" w:color="auto"/>
            </w:tcBorders>
            <w:shd w:val="clear" w:color="auto" w:fill="auto"/>
            <w:noWrap/>
            <w:vAlign w:val="bottom"/>
            <w:hideMark/>
          </w:tcPr>
          <w:p w14:paraId="6A518E1C"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56.0%</w:t>
            </w:r>
          </w:p>
        </w:tc>
      </w:tr>
      <w:tr w:rsidR="00655F86" w:rsidRPr="00D22B3E" w14:paraId="2B422AD2"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1C3DE3BC"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Epilepsy (n=37)</w:t>
            </w:r>
          </w:p>
        </w:tc>
        <w:tc>
          <w:tcPr>
            <w:tcW w:w="1701" w:type="dxa"/>
            <w:tcBorders>
              <w:top w:val="nil"/>
              <w:left w:val="nil"/>
              <w:bottom w:val="single" w:sz="4" w:space="0" w:color="auto"/>
              <w:right w:val="single" w:sz="4" w:space="0" w:color="auto"/>
            </w:tcBorders>
            <w:shd w:val="clear" w:color="auto" w:fill="auto"/>
            <w:noWrap/>
            <w:vAlign w:val="bottom"/>
            <w:hideMark/>
          </w:tcPr>
          <w:p w14:paraId="1E0C9C45"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54.1%</w:t>
            </w:r>
          </w:p>
        </w:tc>
        <w:tc>
          <w:tcPr>
            <w:tcW w:w="1701" w:type="dxa"/>
            <w:tcBorders>
              <w:top w:val="nil"/>
              <w:left w:val="nil"/>
              <w:bottom w:val="single" w:sz="4" w:space="0" w:color="auto"/>
              <w:right w:val="single" w:sz="4" w:space="0" w:color="auto"/>
            </w:tcBorders>
            <w:shd w:val="clear" w:color="auto" w:fill="auto"/>
            <w:noWrap/>
            <w:vAlign w:val="bottom"/>
            <w:hideMark/>
          </w:tcPr>
          <w:p w14:paraId="64D3C53A"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45.9%</w:t>
            </w:r>
          </w:p>
        </w:tc>
      </w:tr>
      <w:tr w:rsidR="00655F86" w:rsidRPr="00D22B3E" w14:paraId="752370CF"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24719195"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Headache / vascular (n=11)</w:t>
            </w:r>
          </w:p>
        </w:tc>
        <w:tc>
          <w:tcPr>
            <w:tcW w:w="1701" w:type="dxa"/>
            <w:tcBorders>
              <w:top w:val="nil"/>
              <w:left w:val="nil"/>
              <w:bottom w:val="single" w:sz="4" w:space="0" w:color="auto"/>
              <w:right w:val="single" w:sz="4" w:space="0" w:color="auto"/>
            </w:tcBorders>
            <w:shd w:val="clear" w:color="auto" w:fill="auto"/>
            <w:noWrap/>
            <w:vAlign w:val="bottom"/>
            <w:hideMark/>
          </w:tcPr>
          <w:p w14:paraId="7B2F4159"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45.5%</w:t>
            </w:r>
          </w:p>
        </w:tc>
        <w:tc>
          <w:tcPr>
            <w:tcW w:w="1701" w:type="dxa"/>
            <w:tcBorders>
              <w:top w:val="nil"/>
              <w:left w:val="nil"/>
              <w:bottom w:val="single" w:sz="4" w:space="0" w:color="auto"/>
              <w:right w:val="single" w:sz="4" w:space="0" w:color="auto"/>
            </w:tcBorders>
            <w:shd w:val="clear" w:color="auto" w:fill="auto"/>
            <w:noWrap/>
            <w:vAlign w:val="bottom"/>
            <w:hideMark/>
          </w:tcPr>
          <w:p w14:paraId="5EEAEA18"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54.5%</w:t>
            </w:r>
          </w:p>
        </w:tc>
      </w:tr>
      <w:tr w:rsidR="00655F86" w:rsidRPr="00D22B3E" w14:paraId="668D2281"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6BABAA16"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MS (n=42)</w:t>
            </w:r>
          </w:p>
        </w:tc>
        <w:tc>
          <w:tcPr>
            <w:tcW w:w="1701" w:type="dxa"/>
            <w:tcBorders>
              <w:top w:val="nil"/>
              <w:left w:val="nil"/>
              <w:bottom w:val="single" w:sz="4" w:space="0" w:color="auto"/>
              <w:right w:val="single" w:sz="4" w:space="0" w:color="auto"/>
            </w:tcBorders>
            <w:shd w:val="clear" w:color="auto" w:fill="auto"/>
            <w:noWrap/>
            <w:vAlign w:val="bottom"/>
            <w:hideMark/>
          </w:tcPr>
          <w:p w14:paraId="7C24CFDD"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64.3%</w:t>
            </w:r>
          </w:p>
        </w:tc>
        <w:tc>
          <w:tcPr>
            <w:tcW w:w="1701" w:type="dxa"/>
            <w:tcBorders>
              <w:top w:val="nil"/>
              <w:left w:val="nil"/>
              <w:bottom w:val="single" w:sz="4" w:space="0" w:color="auto"/>
              <w:right w:val="single" w:sz="4" w:space="0" w:color="auto"/>
            </w:tcBorders>
            <w:shd w:val="clear" w:color="auto" w:fill="auto"/>
            <w:noWrap/>
            <w:vAlign w:val="bottom"/>
            <w:hideMark/>
          </w:tcPr>
          <w:p w14:paraId="2B473A1D"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35.7%</w:t>
            </w:r>
          </w:p>
        </w:tc>
      </w:tr>
      <w:tr w:rsidR="00655F86" w:rsidRPr="00D22B3E" w14:paraId="2C696FCF"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4F71A300"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Neuromuscular (n=10)</w:t>
            </w:r>
          </w:p>
        </w:tc>
        <w:tc>
          <w:tcPr>
            <w:tcW w:w="1701" w:type="dxa"/>
            <w:tcBorders>
              <w:top w:val="nil"/>
              <w:left w:val="nil"/>
              <w:bottom w:val="single" w:sz="4" w:space="0" w:color="auto"/>
              <w:right w:val="single" w:sz="4" w:space="0" w:color="auto"/>
            </w:tcBorders>
            <w:shd w:val="clear" w:color="auto" w:fill="auto"/>
            <w:noWrap/>
            <w:vAlign w:val="bottom"/>
            <w:hideMark/>
          </w:tcPr>
          <w:p w14:paraId="382F7E4A"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50.0%</w:t>
            </w:r>
          </w:p>
        </w:tc>
        <w:tc>
          <w:tcPr>
            <w:tcW w:w="1701" w:type="dxa"/>
            <w:tcBorders>
              <w:top w:val="nil"/>
              <w:left w:val="nil"/>
              <w:bottom w:val="single" w:sz="4" w:space="0" w:color="auto"/>
              <w:right w:val="single" w:sz="4" w:space="0" w:color="auto"/>
            </w:tcBorders>
            <w:shd w:val="clear" w:color="auto" w:fill="auto"/>
            <w:noWrap/>
            <w:vAlign w:val="bottom"/>
            <w:hideMark/>
          </w:tcPr>
          <w:p w14:paraId="110CA02C"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50.0%</w:t>
            </w:r>
          </w:p>
        </w:tc>
      </w:tr>
      <w:tr w:rsidR="00655F86" w:rsidRPr="00D22B3E" w14:paraId="44FCC382"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63F31809"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Other sub specialism (n=19)</w:t>
            </w:r>
          </w:p>
        </w:tc>
        <w:tc>
          <w:tcPr>
            <w:tcW w:w="1701" w:type="dxa"/>
            <w:tcBorders>
              <w:top w:val="nil"/>
              <w:left w:val="nil"/>
              <w:bottom w:val="single" w:sz="4" w:space="0" w:color="auto"/>
              <w:right w:val="single" w:sz="4" w:space="0" w:color="auto"/>
            </w:tcBorders>
            <w:shd w:val="clear" w:color="auto" w:fill="auto"/>
            <w:noWrap/>
            <w:vAlign w:val="bottom"/>
            <w:hideMark/>
          </w:tcPr>
          <w:p w14:paraId="06D24F97"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63.2%</w:t>
            </w:r>
          </w:p>
        </w:tc>
        <w:tc>
          <w:tcPr>
            <w:tcW w:w="1701" w:type="dxa"/>
            <w:tcBorders>
              <w:top w:val="nil"/>
              <w:left w:val="nil"/>
              <w:bottom w:val="single" w:sz="4" w:space="0" w:color="auto"/>
              <w:right w:val="single" w:sz="4" w:space="0" w:color="auto"/>
            </w:tcBorders>
            <w:shd w:val="clear" w:color="auto" w:fill="auto"/>
            <w:noWrap/>
            <w:vAlign w:val="bottom"/>
            <w:hideMark/>
          </w:tcPr>
          <w:p w14:paraId="4D440190"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36.8%</w:t>
            </w:r>
          </w:p>
        </w:tc>
      </w:tr>
      <w:tr w:rsidR="00655F86" w:rsidRPr="00D22B3E" w14:paraId="6290FF4C"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2FE53608" w14:textId="0D3F8798"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Patient </w:t>
            </w:r>
            <w:r w:rsidRPr="00B70D85">
              <w:rPr>
                <w:rFonts w:ascii="Calibri" w:eastAsia="Times New Roman" w:hAnsi="Calibri" w:cs="Times New Roman"/>
                <w:b/>
                <w:color w:val="000000"/>
                <w:sz w:val="16"/>
                <w:szCs w:val="16"/>
                <w:lang w:val="en-GB" w:eastAsia="en-GB"/>
              </w:rPr>
              <w:t>Accompanied?</w:t>
            </w:r>
          </w:p>
        </w:tc>
        <w:tc>
          <w:tcPr>
            <w:tcW w:w="1701" w:type="dxa"/>
            <w:tcBorders>
              <w:top w:val="nil"/>
              <w:left w:val="nil"/>
              <w:bottom w:val="single" w:sz="4" w:space="0" w:color="auto"/>
              <w:right w:val="single" w:sz="4" w:space="0" w:color="auto"/>
            </w:tcBorders>
            <w:shd w:val="clear" w:color="auto" w:fill="auto"/>
            <w:noWrap/>
            <w:vAlign w:val="bottom"/>
            <w:hideMark/>
          </w:tcPr>
          <w:p w14:paraId="24BD0AE7"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035803A8"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 </w:t>
            </w:r>
          </w:p>
        </w:tc>
      </w:tr>
      <w:tr w:rsidR="00655F86" w:rsidRPr="00D22B3E" w14:paraId="47593448"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6F9EFA72"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Accompanied</w:t>
            </w:r>
          </w:p>
        </w:tc>
        <w:tc>
          <w:tcPr>
            <w:tcW w:w="1701" w:type="dxa"/>
            <w:tcBorders>
              <w:top w:val="nil"/>
              <w:left w:val="nil"/>
              <w:bottom w:val="single" w:sz="4" w:space="0" w:color="auto"/>
              <w:right w:val="single" w:sz="4" w:space="0" w:color="auto"/>
            </w:tcBorders>
            <w:shd w:val="clear" w:color="auto" w:fill="auto"/>
            <w:noWrap/>
            <w:vAlign w:val="bottom"/>
            <w:hideMark/>
          </w:tcPr>
          <w:p w14:paraId="7EDE0C13"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54.1%</w:t>
            </w:r>
          </w:p>
        </w:tc>
        <w:tc>
          <w:tcPr>
            <w:tcW w:w="1701" w:type="dxa"/>
            <w:tcBorders>
              <w:top w:val="nil"/>
              <w:left w:val="nil"/>
              <w:bottom w:val="single" w:sz="4" w:space="0" w:color="auto"/>
              <w:right w:val="single" w:sz="4" w:space="0" w:color="auto"/>
            </w:tcBorders>
            <w:shd w:val="clear" w:color="auto" w:fill="auto"/>
            <w:noWrap/>
            <w:vAlign w:val="bottom"/>
            <w:hideMark/>
          </w:tcPr>
          <w:p w14:paraId="27822885"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45.9%</w:t>
            </w:r>
          </w:p>
        </w:tc>
      </w:tr>
      <w:tr w:rsidR="00655F86" w:rsidRPr="00D22B3E" w14:paraId="5F4D22B1"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44379050"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lastRenderedPageBreak/>
              <w:t>Alone</w:t>
            </w:r>
          </w:p>
        </w:tc>
        <w:tc>
          <w:tcPr>
            <w:tcW w:w="1701" w:type="dxa"/>
            <w:tcBorders>
              <w:top w:val="nil"/>
              <w:left w:val="nil"/>
              <w:bottom w:val="single" w:sz="4" w:space="0" w:color="auto"/>
              <w:right w:val="single" w:sz="4" w:space="0" w:color="auto"/>
            </w:tcBorders>
            <w:shd w:val="clear" w:color="auto" w:fill="auto"/>
            <w:noWrap/>
            <w:vAlign w:val="bottom"/>
            <w:hideMark/>
          </w:tcPr>
          <w:p w14:paraId="06C5E217"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57.1%</w:t>
            </w:r>
          </w:p>
        </w:tc>
        <w:tc>
          <w:tcPr>
            <w:tcW w:w="1701" w:type="dxa"/>
            <w:tcBorders>
              <w:top w:val="nil"/>
              <w:left w:val="nil"/>
              <w:bottom w:val="single" w:sz="4" w:space="0" w:color="auto"/>
              <w:right w:val="single" w:sz="4" w:space="0" w:color="auto"/>
            </w:tcBorders>
            <w:shd w:val="clear" w:color="auto" w:fill="auto"/>
            <w:noWrap/>
            <w:vAlign w:val="bottom"/>
            <w:hideMark/>
          </w:tcPr>
          <w:p w14:paraId="707F50D6"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42.9%</w:t>
            </w:r>
          </w:p>
        </w:tc>
      </w:tr>
      <w:tr w:rsidR="00655F86" w:rsidRPr="00D22B3E" w14:paraId="26262739"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2D38D15E"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First appointment?</w:t>
            </w:r>
          </w:p>
        </w:tc>
        <w:tc>
          <w:tcPr>
            <w:tcW w:w="1701" w:type="dxa"/>
            <w:tcBorders>
              <w:top w:val="nil"/>
              <w:left w:val="nil"/>
              <w:bottom w:val="single" w:sz="4" w:space="0" w:color="auto"/>
              <w:right w:val="single" w:sz="4" w:space="0" w:color="auto"/>
            </w:tcBorders>
            <w:shd w:val="clear" w:color="auto" w:fill="auto"/>
            <w:noWrap/>
            <w:vAlign w:val="bottom"/>
            <w:hideMark/>
          </w:tcPr>
          <w:p w14:paraId="23CA1D3D"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n=67</w:t>
            </w:r>
          </w:p>
        </w:tc>
        <w:tc>
          <w:tcPr>
            <w:tcW w:w="1701" w:type="dxa"/>
            <w:tcBorders>
              <w:top w:val="nil"/>
              <w:left w:val="nil"/>
              <w:bottom w:val="single" w:sz="4" w:space="0" w:color="auto"/>
              <w:right w:val="single" w:sz="4" w:space="0" w:color="auto"/>
            </w:tcBorders>
            <w:shd w:val="clear" w:color="auto" w:fill="auto"/>
            <w:noWrap/>
            <w:vAlign w:val="bottom"/>
            <w:hideMark/>
          </w:tcPr>
          <w:p w14:paraId="1BD06E5A"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n=45</w:t>
            </w:r>
          </w:p>
        </w:tc>
      </w:tr>
      <w:tr w:rsidR="00655F86" w:rsidRPr="00D22B3E" w14:paraId="048F04B5"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20BB75D9"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First appointment</w:t>
            </w:r>
          </w:p>
        </w:tc>
        <w:tc>
          <w:tcPr>
            <w:tcW w:w="1701" w:type="dxa"/>
            <w:tcBorders>
              <w:top w:val="nil"/>
              <w:left w:val="nil"/>
              <w:bottom w:val="single" w:sz="4" w:space="0" w:color="auto"/>
              <w:right w:val="single" w:sz="4" w:space="0" w:color="auto"/>
            </w:tcBorders>
            <w:shd w:val="clear" w:color="auto" w:fill="auto"/>
            <w:noWrap/>
            <w:vAlign w:val="bottom"/>
            <w:hideMark/>
          </w:tcPr>
          <w:p w14:paraId="7720F3C8"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45.5%*</w:t>
            </w:r>
          </w:p>
        </w:tc>
        <w:tc>
          <w:tcPr>
            <w:tcW w:w="1701" w:type="dxa"/>
            <w:tcBorders>
              <w:top w:val="nil"/>
              <w:left w:val="nil"/>
              <w:bottom w:val="single" w:sz="4" w:space="0" w:color="auto"/>
              <w:right w:val="single" w:sz="4" w:space="0" w:color="auto"/>
            </w:tcBorders>
            <w:shd w:val="clear" w:color="auto" w:fill="auto"/>
            <w:noWrap/>
            <w:vAlign w:val="bottom"/>
            <w:hideMark/>
          </w:tcPr>
          <w:p w14:paraId="4635446E"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54.5%*</w:t>
            </w:r>
          </w:p>
        </w:tc>
      </w:tr>
      <w:tr w:rsidR="00655F86" w:rsidRPr="00D22B3E" w14:paraId="1B0BD30B"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7DB457EF"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Follow-up appointment</w:t>
            </w:r>
          </w:p>
        </w:tc>
        <w:tc>
          <w:tcPr>
            <w:tcW w:w="1701" w:type="dxa"/>
            <w:tcBorders>
              <w:top w:val="nil"/>
              <w:left w:val="nil"/>
              <w:bottom w:val="single" w:sz="4" w:space="0" w:color="auto"/>
              <w:right w:val="single" w:sz="4" w:space="0" w:color="auto"/>
            </w:tcBorders>
            <w:shd w:val="clear" w:color="auto" w:fill="auto"/>
            <w:noWrap/>
            <w:vAlign w:val="bottom"/>
            <w:hideMark/>
          </w:tcPr>
          <w:p w14:paraId="7B7674D6"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65.8%*</w:t>
            </w:r>
          </w:p>
        </w:tc>
        <w:tc>
          <w:tcPr>
            <w:tcW w:w="1701" w:type="dxa"/>
            <w:tcBorders>
              <w:top w:val="nil"/>
              <w:left w:val="nil"/>
              <w:bottom w:val="single" w:sz="4" w:space="0" w:color="auto"/>
              <w:right w:val="single" w:sz="4" w:space="0" w:color="auto"/>
            </w:tcBorders>
            <w:shd w:val="clear" w:color="auto" w:fill="auto"/>
            <w:noWrap/>
            <w:vAlign w:val="bottom"/>
            <w:hideMark/>
          </w:tcPr>
          <w:p w14:paraId="0A6D380C"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34.2%*</w:t>
            </w:r>
          </w:p>
        </w:tc>
      </w:tr>
      <w:tr w:rsidR="00655F86" w:rsidRPr="00D22B3E" w14:paraId="5456F242"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2FAC06B1"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 xml:space="preserve">Symptoms </w:t>
            </w:r>
          </w:p>
        </w:tc>
        <w:tc>
          <w:tcPr>
            <w:tcW w:w="1701" w:type="dxa"/>
            <w:tcBorders>
              <w:top w:val="nil"/>
              <w:left w:val="nil"/>
              <w:bottom w:val="single" w:sz="4" w:space="0" w:color="auto"/>
              <w:right w:val="single" w:sz="4" w:space="0" w:color="auto"/>
            </w:tcBorders>
            <w:shd w:val="clear" w:color="auto" w:fill="auto"/>
            <w:noWrap/>
            <w:vAlign w:val="bottom"/>
            <w:hideMark/>
          </w:tcPr>
          <w:p w14:paraId="4660C6CB"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09B7341D"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 xml:space="preserve"> </w:t>
            </w:r>
          </w:p>
        </w:tc>
      </w:tr>
      <w:tr w:rsidR="00655F86" w:rsidRPr="00D22B3E" w14:paraId="0D506D2D"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2698B0E2"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Completely / largely explained</w:t>
            </w:r>
          </w:p>
        </w:tc>
        <w:tc>
          <w:tcPr>
            <w:tcW w:w="1701" w:type="dxa"/>
            <w:tcBorders>
              <w:top w:val="nil"/>
              <w:left w:val="nil"/>
              <w:bottom w:val="single" w:sz="4" w:space="0" w:color="auto"/>
              <w:right w:val="single" w:sz="4" w:space="0" w:color="auto"/>
            </w:tcBorders>
            <w:shd w:val="clear" w:color="auto" w:fill="auto"/>
            <w:noWrap/>
            <w:vAlign w:val="bottom"/>
            <w:hideMark/>
          </w:tcPr>
          <w:p w14:paraId="0698B339"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61.8%*</w:t>
            </w:r>
          </w:p>
        </w:tc>
        <w:tc>
          <w:tcPr>
            <w:tcW w:w="1701" w:type="dxa"/>
            <w:tcBorders>
              <w:top w:val="nil"/>
              <w:left w:val="nil"/>
              <w:bottom w:val="single" w:sz="4" w:space="0" w:color="auto"/>
              <w:right w:val="single" w:sz="4" w:space="0" w:color="auto"/>
            </w:tcBorders>
            <w:shd w:val="clear" w:color="auto" w:fill="auto"/>
            <w:noWrap/>
            <w:vAlign w:val="bottom"/>
            <w:hideMark/>
          </w:tcPr>
          <w:p w14:paraId="2B2032FA"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38.2%*</w:t>
            </w:r>
          </w:p>
        </w:tc>
      </w:tr>
      <w:tr w:rsidR="00655F86" w:rsidRPr="00D22B3E" w14:paraId="378E36F3"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61790E58"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Partly explained</w:t>
            </w:r>
          </w:p>
        </w:tc>
        <w:tc>
          <w:tcPr>
            <w:tcW w:w="1701" w:type="dxa"/>
            <w:tcBorders>
              <w:top w:val="nil"/>
              <w:left w:val="nil"/>
              <w:bottom w:val="single" w:sz="4" w:space="0" w:color="auto"/>
              <w:right w:val="single" w:sz="4" w:space="0" w:color="auto"/>
            </w:tcBorders>
            <w:shd w:val="clear" w:color="auto" w:fill="auto"/>
            <w:noWrap/>
            <w:vAlign w:val="bottom"/>
            <w:hideMark/>
          </w:tcPr>
          <w:p w14:paraId="38EB0341"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44.1%*</w:t>
            </w:r>
          </w:p>
        </w:tc>
        <w:tc>
          <w:tcPr>
            <w:tcW w:w="1701" w:type="dxa"/>
            <w:tcBorders>
              <w:top w:val="nil"/>
              <w:left w:val="nil"/>
              <w:bottom w:val="single" w:sz="4" w:space="0" w:color="auto"/>
              <w:right w:val="single" w:sz="4" w:space="0" w:color="auto"/>
            </w:tcBorders>
            <w:shd w:val="clear" w:color="auto" w:fill="auto"/>
            <w:noWrap/>
            <w:vAlign w:val="bottom"/>
            <w:hideMark/>
          </w:tcPr>
          <w:p w14:paraId="2AE8944E"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55.9%*</w:t>
            </w:r>
          </w:p>
        </w:tc>
      </w:tr>
      <w:tr w:rsidR="00655F86" w:rsidRPr="00D22B3E" w14:paraId="267D8AC3"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65DECE1C"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Completely Unexplained</w:t>
            </w:r>
          </w:p>
        </w:tc>
        <w:tc>
          <w:tcPr>
            <w:tcW w:w="1701" w:type="dxa"/>
            <w:tcBorders>
              <w:top w:val="nil"/>
              <w:left w:val="nil"/>
              <w:bottom w:val="single" w:sz="4" w:space="0" w:color="auto"/>
              <w:right w:val="single" w:sz="4" w:space="0" w:color="auto"/>
            </w:tcBorders>
            <w:shd w:val="clear" w:color="auto" w:fill="auto"/>
            <w:noWrap/>
            <w:vAlign w:val="bottom"/>
            <w:hideMark/>
          </w:tcPr>
          <w:p w14:paraId="4A51700C"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37.5%*</w:t>
            </w:r>
          </w:p>
        </w:tc>
        <w:tc>
          <w:tcPr>
            <w:tcW w:w="1701" w:type="dxa"/>
            <w:tcBorders>
              <w:top w:val="nil"/>
              <w:left w:val="nil"/>
              <w:bottom w:val="single" w:sz="4" w:space="0" w:color="auto"/>
              <w:right w:val="single" w:sz="4" w:space="0" w:color="auto"/>
            </w:tcBorders>
            <w:shd w:val="clear" w:color="auto" w:fill="auto"/>
            <w:noWrap/>
            <w:vAlign w:val="bottom"/>
            <w:hideMark/>
          </w:tcPr>
          <w:p w14:paraId="31445BAB"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62.5%*</w:t>
            </w:r>
          </w:p>
        </w:tc>
      </w:tr>
      <w:tr w:rsidR="00655F86" w:rsidRPr="00D22B3E" w14:paraId="78486ADA"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29F889BE" w14:textId="5CE4600A"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Patient’s </w:t>
            </w:r>
            <w:r w:rsidRPr="00B70D85">
              <w:rPr>
                <w:rFonts w:ascii="Calibri" w:eastAsia="Times New Roman" w:hAnsi="Calibri" w:cs="Times New Roman"/>
                <w:b/>
                <w:color w:val="000000"/>
                <w:sz w:val="16"/>
                <w:szCs w:val="16"/>
                <w:lang w:val="en-GB" w:eastAsia="en-GB"/>
              </w:rPr>
              <w:t>Gender</w:t>
            </w:r>
          </w:p>
        </w:tc>
        <w:tc>
          <w:tcPr>
            <w:tcW w:w="1701" w:type="dxa"/>
            <w:tcBorders>
              <w:top w:val="nil"/>
              <w:left w:val="nil"/>
              <w:bottom w:val="single" w:sz="4" w:space="0" w:color="auto"/>
              <w:right w:val="single" w:sz="4" w:space="0" w:color="auto"/>
            </w:tcBorders>
            <w:shd w:val="clear" w:color="auto" w:fill="auto"/>
            <w:noWrap/>
            <w:vAlign w:val="bottom"/>
            <w:hideMark/>
          </w:tcPr>
          <w:p w14:paraId="280251E2"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7C0C2084"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 </w:t>
            </w:r>
          </w:p>
        </w:tc>
      </w:tr>
      <w:tr w:rsidR="00655F86" w:rsidRPr="00D22B3E" w14:paraId="5A3FD3FD"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0D3813A0"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Female</w:t>
            </w:r>
          </w:p>
        </w:tc>
        <w:tc>
          <w:tcPr>
            <w:tcW w:w="1701" w:type="dxa"/>
            <w:tcBorders>
              <w:top w:val="nil"/>
              <w:left w:val="nil"/>
              <w:bottom w:val="single" w:sz="4" w:space="0" w:color="auto"/>
              <w:right w:val="single" w:sz="4" w:space="0" w:color="auto"/>
            </w:tcBorders>
            <w:shd w:val="clear" w:color="auto" w:fill="auto"/>
            <w:noWrap/>
            <w:vAlign w:val="center"/>
            <w:hideMark/>
          </w:tcPr>
          <w:p w14:paraId="2E8A72BC"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53.9%</w:t>
            </w:r>
          </w:p>
        </w:tc>
        <w:tc>
          <w:tcPr>
            <w:tcW w:w="1701" w:type="dxa"/>
            <w:tcBorders>
              <w:top w:val="nil"/>
              <w:left w:val="nil"/>
              <w:bottom w:val="single" w:sz="4" w:space="0" w:color="auto"/>
              <w:right w:val="single" w:sz="4" w:space="0" w:color="auto"/>
            </w:tcBorders>
            <w:shd w:val="clear" w:color="auto" w:fill="auto"/>
            <w:noWrap/>
            <w:vAlign w:val="center"/>
            <w:hideMark/>
          </w:tcPr>
          <w:p w14:paraId="1060523E"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46.1%</w:t>
            </w:r>
          </w:p>
        </w:tc>
      </w:tr>
      <w:tr w:rsidR="00655F86" w:rsidRPr="00D22B3E" w14:paraId="2385A8F6"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5DB464FA"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Male</w:t>
            </w:r>
          </w:p>
        </w:tc>
        <w:tc>
          <w:tcPr>
            <w:tcW w:w="1701" w:type="dxa"/>
            <w:tcBorders>
              <w:top w:val="nil"/>
              <w:left w:val="nil"/>
              <w:bottom w:val="single" w:sz="4" w:space="0" w:color="auto"/>
              <w:right w:val="single" w:sz="4" w:space="0" w:color="auto"/>
            </w:tcBorders>
            <w:shd w:val="clear" w:color="auto" w:fill="auto"/>
            <w:noWrap/>
            <w:vAlign w:val="center"/>
            <w:hideMark/>
          </w:tcPr>
          <w:p w14:paraId="1C6531BD"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58.2%</w:t>
            </w:r>
          </w:p>
        </w:tc>
        <w:tc>
          <w:tcPr>
            <w:tcW w:w="1701" w:type="dxa"/>
            <w:tcBorders>
              <w:top w:val="nil"/>
              <w:left w:val="nil"/>
              <w:bottom w:val="single" w:sz="4" w:space="0" w:color="auto"/>
              <w:right w:val="single" w:sz="4" w:space="0" w:color="auto"/>
            </w:tcBorders>
            <w:shd w:val="clear" w:color="auto" w:fill="auto"/>
            <w:noWrap/>
            <w:vAlign w:val="center"/>
            <w:hideMark/>
          </w:tcPr>
          <w:p w14:paraId="7131EE08"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41.8%</w:t>
            </w:r>
          </w:p>
        </w:tc>
      </w:tr>
      <w:tr w:rsidR="00655F86" w:rsidRPr="00D22B3E" w14:paraId="3B100E94"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59AFA92D"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Ethnicity</w:t>
            </w:r>
          </w:p>
        </w:tc>
        <w:tc>
          <w:tcPr>
            <w:tcW w:w="1701" w:type="dxa"/>
            <w:tcBorders>
              <w:top w:val="nil"/>
              <w:left w:val="nil"/>
              <w:bottom w:val="single" w:sz="4" w:space="0" w:color="auto"/>
              <w:right w:val="single" w:sz="4" w:space="0" w:color="auto"/>
            </w:tcBorders>
            <w:shd w:val="clear" w:color="auto" w:fill="auto"/>
            <w:noWrap/>
            <w:vAlign w:val="center"/>
            <w:hideMark/>
          </w:tcPr>
          <w:p w14:paraId="2F084406"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B26657B"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 xml:space="preserve"> </w:t>
            </w:r>
          </w:p>
        </w:tc>
      </w:tr>
      <w:tr w:rsidR="00655F86" w:rsidRPr="00D22B3E" w14:paraId="761CD223"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720C1702"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White British</w:t>
            </w:r>
          </w:p>
        </w:tc>
        <w:tc>
          <w:tcPr>
            <w:tcW w:w="1701" w:type="dxa"/>
            <w:tcBorders>
              <w:top w:val="nil"/>
              <w:left w:val="nil"/>
              <w:bottom w:val="single" w:sz="4" w:space="0" w:color="auto"/>
              <w:right w:val="single" w:sz="4" w:space="0" w:color="auto"/>
            </w:tcBorders>
            <w:shd w:val="clear" w:color="auto" w:fill="auto"/>
            <w:noWrap/>
            <w:vAlign w:val="center"/>
            <w:hideMark/>
          </w:tcPr>
          <w:p w14:paraId="10161587"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56.1%</w:t>
            </w:r>
          </w:p>
        </w:tc>
        <w:tc>
          <w:tcPr>
            <w:tcW w:w="1701" w:type="dxa"/>
            <w:tcBorders>
              <w:top w:val="nil"/>
              <w:left w:val="nil"/>
              <w:bottom w:val="single" w:sz="4" w:space="0" w:color="auto"/>
              <w:right w:val="single" w:sz="4" w:space="0" w:color="auto"/>
            </w:tcBorders>
            <w:shd w:val="clear" w:color="auto" w:fill="auto"/>
            <w:noWrap/>
            <w:vAlign w:val="center"/>
            <w:hideMark/>
          </w:tcPr>
          <w:p w14:paraId="3A44A28D"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43.9%</w:t>
            </w:r>
          </w:p>
        </w:tc>
      </w:tr>
      <w:tr w:rsidR="00655F86" w:rsidRPr="00D22B3E" w14:paraId="59886827"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4AB67D87"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Other</w:t>
            </w:r>
          </w:p>
        </w:tc>
        <w:tc>
          <w:tcPr>
            <w:tcW w:w="1701" w:type="dxa"/>
            <w:tcBorders>
              <w:top w:val="nil"/>
              <w:left w:val="nil"/>
              <w:bottom w:val="single" w:sz="4" w:space="0" w:color="auto"/>
              <w:right w:val="single" w:sz="4" w:space="0" w:color="auto"/>
            </w:tcBorders>
            <w:shd w:val="clear" w:color="auto" w:fill="auto"/>
            <w:noWrap/>
            <w:vAlign w:val="center"/>
            <w:hideMark/>
          </w:tcPr>
          <w:p w14:paraId="3D5D4B43"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50.0%</w:t>
            </w:r>
          </w:p>
        </w:tc>
        <w:tc>
          <w:tcPr>
            <w:tcW w:w="1701" w:type="dxa"/>
            <w:tcBorders>
              <w:top w:val="nil"/>
              <w:left w:val="nil"/>
              <w:bottom w:val="single" w:sz="4" w:space="0" w:color="auto"/>
              <w:right w:val="single" w:sz="4" w:space="0" w:color="auto"/>
            </w:tcBorders>
            <w:shd w:val="clear" w:color="auto" w:fill="auto"/>
            <w:noWrap/>
            <w:vAlign w:val="center"/>
            <w:hideMark/>
          </w:tcPr>
          <w:p w14:paraId="3F1D13AB"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50.0%</w:t>
            </w:r>
          </w:p>
        </w:tc>
      </w:tr>
      <w:tr w:rsidR="00655F86" w:rsidRPr="00D22B3E" w14:paraId="48826F19"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6110829F"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 xml:space="preserve">Post-school </w:t>
            </w:r>
            <w:proofErr w:type="spellStart"/>
            <w:r w:rsidRPr="00B70D85">
              <w:rPr>
                <w:rFonts w:ascii="Calibri" w:eastAsia="Times New Roman" w:hAnsi="Calibri" w:cs="Times New Roman"/>
                <w:b/>
                <w:color w:val="000000"/>
                <w:sz w:val="16"/>
                <w:szCs w:val="16"/>
                <w:lang w:val="en-GB" w:eastAsia="en-GB"/>
              </w:rPr>
              <w:t>quals</w:t>
            </w:r>
            <w:proofErr w:type="spellEnd"/>
            <w:r w:rsidRPr="00B70D85">
              <w:rPr>
                <w:rFonts w:ascii="Calibri" w:eastAsia="Times New Roman" w:hAnsi="Calibri" w:cs="Times New Roman"/>
                <w:b/>
                <w:color w:val="000000"/>
                <w:sz w:val="16"/>
                <w:szCs w:val="16"/>
                <w:lang w:val="en-GB" w:eastAsia="en-GB"/>
              </w:rPr>
              <w:t>? (n=119)</w:t>
            </w:r>
          </w:p>
        </w:tc>
        <w:tc>
          <w:tcPr>
            <w:tcW w:w="1701" w:type="dxa"/>
            <w:tcBorders>
              <w:top w:val="nil"/>
              <w:left w:val="nil"/>
              <w:bottom w:val="single" w:sz="4" w:space="0" w:color="auto"/>
              <w:right w:val="single" w:sz="4" w:space="0" w:color="auto"/>
            </w:tcBorders>
            <w:shd w:val="clear" w:color="auto" w:fill="auto"/>
            <w:noWrap/>
            <w:vAlign w:val="center"/>
            <w:hideMark/>
          </w:tcPr>
          <w:p w14:paraId="3DBF34F5"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n=67</w:t>
            </w:r>
          </w:p>
        </w:tc>
        <w:tc>
          <w:tcPr>
            <w:tcW w:w="1701" w:type="dxa"/>
            <w:tcBorders>
              <w:top w:val="nil"/>
              <w:left w:val="nil"/>
              <w:bottom w:val="single" w:sz="4" w:space="0" w:color="auto"/>
              <w:right w:val="single" w:sz="4" w:space="0" w:color="auto"/>
            </w:tcBorders>
            <w:shd w:val="clear" w:color="auto" w:fill="auto"/>
            <w:noWrap/>
            <w:vAlign w:val="center"/>
            <w:hideMark/>
          </w:tcPr>
          <w:p w14:paraId="6B5F77C3"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n=52</w:t>
            </w:r>
          </w:p>
        </w:tc>
      </w:tr>
      <w:tr w:rsidR="00655F86" w:rsidRPr="00D22B3E" w14:paraId="47E36FEC"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4EECE447"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Post-school </w:t>
            </w:r>
            <w:proofErr w:type="spellStart"/>
            <w:r w:rsidRPr="00B70D85">
              <w:rPr>
                <w:rFonts w:ascii="Calibri" w:eastAsia="Times New Roman" w:hAnsi="Calibri" w:cs="Times New Roman"/>
                <w:color w:val="000000"/>
                <w:sz w:val="16"/>
                <w:szCs w:val="16"/>
                <w:lang w:val="en-GB" w:eastAsia="en-GB"/>
              </w:rPr>
              <w:t>quals</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2C3A429B"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60.0%</w:t>
            </w:r>
          </w:p>
        </w:tc>
        <w:tc>
          <w:tcPr>
            <w:tcW w:w="1701" w:type="dxa"/>
            <w:tcBorders>
              <w:top w:val="nil"/>
              <w:left w:val="nil"/>
              <w:bottom w:val="single" w:sz="4" w:space="0" w:color="auto"/>
              <w:right w:val="single" w:sz="4" w:space="0" w:color="auto"/>
            </w:tcBorders>
            <w:shd w:val="clear" w:color="auto" w:fill="auto"/>
            <w:noWrap/>
            <w:vAlign w:val="center"/>
            <w:hideMark/>
          </w:tcPr>
          <w:p w14:paraId="5219EE9A"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40.0%</w:t>
            </w:r>
          </w:p>
        </w:tc>
      </w:tr>
      <w:tr w:rsidR="00655F86" w:rsidRPr="00D22B3E" w14:paraId="5BF60019"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7B4992BD"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No post-school </w:t>
            </w:r>
            <w:proofErr w:type="spellStart"/>
            <w:r w:rsidRPr="00B70D85">
              <w:rPr>
                <w:rFonts w:ascii="Calibri" w:eastAsia="Times New Roman" w:hAnsi="Calibri" w:cs="Times New Roman"/>
                <w:color w:val="000000"/>
                <w:sz w:val="16"/>
                <w:szCs w:val="16"/>
                <w:lang w:val="en-GB" w:eastAsia="en-GB"/>
              </w:rPr>
              <w:t>quals</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3589CE72"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53.6%</w:t>
            </w:r>
          </w:p>
        </w:tc>
        <w:tc>
          <w:tcPr>
            <w:tcW w:w="1701" w:type="dxa"/>
            <w:tcBorders>
              <w:top w:val="nil"/>
              <w:left w:val="nil"/>
              <w:bottom w:val="single" w:sz="4" w:space="0" w:color="auto"/>
              <w:right w:val="single" w:sz="4" w:space="0" w:color="auto"/>
            </w:tcBorders>
            <w:shd w:val="clear" w:color="auto" w:fill="auto"/>
            <w:noWrap/>
            <w:vAlign w:val="center"/>
            <w:hideMark/>
          </w:tcPr>
          <w:p w14:paraId="02C1B2D3"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46.4%</w:t>
            </w:r>
          </w:p>
        </w:tc>
      </w:tr>
      <w:tr w:rsidR="00655F86" w:rsidRPr="00D22B3E" w14:paraId="3B068616"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076EA8D0"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Work status (n=143)</w:t>
            </w:r>
          </w:p>
        </w:tc>
        <w:tc>
          <w:tcPr>
            <w:tcW w:w="1701" w:type="dxa"/>
            <w:tcBorders>
              <w:top w:val="nil"/>
              <w:left w:val="nil"/>
              <w:bottom w:val="single" w:sz="4" w:space="0" w:color="auto"/>
              <w:right w:val="single" w:sz="4" w:space="0" w:color="auto"/>
            </w:tcBorders>
            <w:shd w:val="clear" w:color="auto" w:fill="auto"/>
            <w:noWrap/>
            <w:vAlign w:val="center"/>
            <w:hideMark/>
          </w:tcPr>
          <w:p w14:paraId="76F5FFA0"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n=79</w:t>
            </w:r>
          </w:p>
        </w:tc>
        <w:tc>
          <w:tcPr>
            <w:tcW w:w="1701" w:type="dxa"/>
            <w:tcBorders>
              <w:top w:val="nil"/>
              <w:left w:val="nil"/>
              <w:bottom w:val="single" w:sz="4" w:space="0" w:color="auto"/>
              <w:right w:val="single" w:sz="4" w:space="0" w:color="auto"/>
            </w:tcBorders>
            <w:shd w:val="clear" w:color="auto" w:fill="auto"/>
            <w:noWrap/>
            <w:vAlign w:val="center"/>
            <w:hideMark/>
          </w:tcPr>
          <w:p w14:paraId="565CA3D8"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n=64</w:t>
            </w:r>
          </w:p>
        </w:tc>
      </w:tr>
      <w:tr w:rsidR="00655F86" w:rsidRPr="00D22B3E" w14:paraId="1A9345EB"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0452D40F"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In work / education / other</w:t>
            </w:r>
          </w:p>
        </w:tc>
        <w:tc>
          <w:tcPr>
            <w:tcW w:w="1701" w:type="dxa"/>
            <w:tcBorders>
              <w:top w:val="nil"/>
              <w:left w:val="nil"/>
              <w:bottom w:val="single" w:sz="4" w:space="0" w:color="auto"/>
              <w:right w:val="single" w:sz="4" w:space="0" w:color="auto"/>
            </w:tcBorders>
            <w:shd w:val="clear" w:color="auto" w:fill="auto"/>
            <w:noWrap/>
            <w:vAlign w:val="center"/>
            <w:hideMark/>
          </w:tcPr>
          <w:p w14:paraId="3FBDB75E"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57.5%</w:t>
            </w:r>
          </w:p>
        </w:tc>
        <w:tc>
          <w:tcPr>
            <w:tcW w:w="1701" w:type="dxa"/>
            <w:tcBorders>
              <w:top w:val="nil"/>
              <w:left w:val="nil"/>
              <w:bottom w:val="single" w:sz="4" w:space="0" w:color="auto"/>
              <w:right w:val="single" w:sz="4" w:space="0" w:color="auto"/>
            </w:tcBorders>
            <w:shd w:val="clear" w:color="auto" w:fill="auto"/>
            <w:noWrap/>
            <w:vAlign w:val="center"/>
            <w:hideMark/>
          </w:tcPr>
          <w:p w14:paraId="6C3078B2"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42.5%</w:t>
            </w:r>
          </w:p>
        </w:tc>
      </w:tr>
      <w:tr w:rsidR="00655F86" w:rsidRPr="00D22B3E" w14:paraId="1F07E6FF"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1EEE0896"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Not working due to ill health </w:t>
            </w:r>
          </w:p>
        </w:tc>
        <w:tc>
          <w:tcPr>
            <w:tcW w:w="1701" w:type="dxa"/>
            <w:tcBorders>
              <w:top w:val="nil"/>
              <w:left w:val="nil"/>
              <w:bottom w:val="single" w:sz="4" w:space="0" w:color="auto"/>
              <w:right w:val="single" w:sz="4" w:space="0" w:color="auto"/>
            </w:tcBorders>
            <w:shd w:val="clear" w:color="auto" w:fill="auto"/>
            <w:noWrap/>
            <w:vAlign w:val="center"/>
            <w:hideMark/>
          </w:tcPr>
          <w:p w14:paraId="4E1CF14F"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48.6%</w:t>
            </w:r>
          </w:p>
        </w:tc>
        <w:tc>
          <w:tcPr>
            <w:tcW w:w="1701" w:type="dxa"/>
            <w:tcBorders>
              <w:top w:val="nil"/>
              <w:left w:val="nil"/>
              <w:bottom w:val="single" w:sz="4" w:space="0" w:color="auto"/>
              <w:right w:val="single" w:sz="4" w:space="0" w:color="auto"/>
            </w:tcBorders>
            <w:shd w:val="clear" w:color="auto" w:fill="auto"/>
            <w:noWrap/>
            <w:vAlign w:val="center"/>
            <w:hideMark/>
          </w:tcPr>
          <w:p w14:paraId="47623E96"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51.4%</w:t>
            </w:r>
          </w:p>
        </w:tc>
      </w:tr>
      <w:tr w:rsidR="00655F86" w:rsidRPr="00D22B3E" w14:paraId="7FD844B9"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0D358AB3" w14:textId="77777777" w:rsidR="00655F86" w:rsidRPr="00B70D85" w:rsidRDefault="00655F86" w:rsidP="00177807">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 xml:space="preserve">Employment </w:t>
            </w:r>
          </w:p>
        </w:tc>
        <w:tc>
          <w:tcPr>
            <w:tcW w:w="1701" w:type="dxa"/>
            <w:tcBorders>
              <w:top w:val="nil"/>
              <w:left w:val="nil"/>
              <w:bottom w:val="single" w:sz="4" w:space="0" w:color="auto"/>
              <w:right w:val="single" w:sz="4" w:space="0" w:color="auto"/>
            </w:tcBorders>
            <w:shd w:val="clear" w:color="auto" w:fill="auto"/>
            <w:noWrap/>
            <w:vAlign w:val="center"/>
            <w:hideMark/>
          </w:tcPr>
          <w:p w14:paraId="6BE3EE73"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23FACE3"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 xml:space="preserve"> </w:t>
            </w:r>
          </w:p>
        </w:tc>
      </w:tr>
      <w:tr w:rsidR="00655F86" w:rsidRPr="00D22B3E" w14:paraId="19C2BC1F"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26D15941"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Employed</w:t>
            </w:r>
          </w:p>
        </w:tc>
        <w:tc>
          <w:tcPr>
            <w:tcW w:w="1701" w:type="dxa"/>
            <w:tcBorders>
              <w:top w:val="nil"/>
              <w:left w:val="nil"/>
              <w:bottom w:val="single" w:sz="4" w:space="0" w:color="auto"/>
              <w:right w:val="single" w:sz="4" w:space="0" w:color="auto"/>
            </w:tcBorders>
            <w:shd w:val="clear" w:color="auto" w:fill="auto"/>
            <w:noWrap/>
            <w:vAlign w:val="center"/>
            <w:hideMark/>
          </w:tcPr>
          <w:p w14:paraId="34A5F3E4"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61.5%</w:t>
            </w:r>
          </w:p>
        </w:tc>
        <w:tc>
          <w:tcPr>
            <w:tcW w:w="1701" w:type="dxa"/>
            <w:tcBorders>
              <w:top w:val="nil"/>
              <w:left w:val="nil"/>
              <w:bottom w:val="single" w:sz="4" w:space="0" w:color="auto"/>
              <w:right w:val="single" w:sz="4" w:space="0" w:color="auto"/>
            </w:tcBorders>
            <w:shd w:val="clear" w:color="auto" w:fill="auto"/>
            <w:noWrap/>
            <w:vAlign w:val="center"/>
            <w:hideMark/>
          </w:tcPr>
          <w:p w14:paraId="5D8A3291"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38.5%</w:t>
            </w:r>
          </w:p>
        </w:tc>
      </w:tr>
      <w:tr w:rsidR="00655F86" w:rsidRPr="00D22B3E" w14:paraId="329EDE32" w14:textId="77777777" w:rsidTr="00695CA7">
        <w:trPr>
          <w:trHeight w:val="300"/>
        </w:trPr>
        <w:tc>
          <w:tcPr>
            <w:tcW w:w="2745" w:type="dxa"/>
            <w:tcBorders>
              <w:top w:val="nil"/>
              <w:left w:val="single" w:sz="4" w:space="0" w:color="auto"/>
              <w:bottom w:val="single" w:sz="4" w:space="0" w:color="auto"/>
              <w:right w:val="single" w:sz="4" w:space="0" w:color="auto"/>
            </w:tcBorders>
            <w:shd w:val="clear" w:color="auto" w:fill="auto"/>
            <w:noWrap/>
            <w:vAlign w:val="bottom"/>
            <w:hideMark/>
          </w:tcPr>
          <w:p w14:paraId="5EB7A3C3"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Not employed</w:t>
            </w:r>
          </w:p>
        </w:tc>
        <w:tc>
          <w:tcPr>
            <w:tcW w:w="1701" w:type="dxa"/>
            <w:tcBorders>
              <w:top w:val="nil"/>
              <w:left w:val="nil"/>
              <w:bottom w:val="single" w:sz="4" w:space="0" w:color="auto"/>
              <w:right w:val="single" w:sz="4" w:space="0" w:color="auto"/>
            </w:tcBorders>
            <w:shd w:val="clear" w:color="auto" w:fill="auto"/>
            <w:noWrap/>
            <w:vAlign w:val="center"/>
            <w:hideMark/>
          </w:tcPr>
          <w:p w14:paraId="215E08A8"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52.2%</w:t>
            </w:r>
          </w:p>
        </w:tc>
        <w:tc>
          <w:tcPr>
            <w:tcW w:w="1701" w:type="dxa"/>
            <w:tcBorders>
              <w:top w:val="nil"/>
              <w:left w:val="nil"/>
              <w:bottom w:val="single" w:sz="4" w:space="0" w:color="auto"/>
              <w:right w:val="single" w:sz="4" w:space="0" w:color="auto"/>
            </w:tcBorders>
            <w:shd w:val="clear" w:color="auto" w:fill="auto"/>
            <w:noWrap/>
            <w:vAlign w:val="center"/>
            <w:hideMark/>
          </w:tcPr>
          <w:p w14:paraId="2F7EE834" w14:textId="77777777" w:rsidR="00655F86" w:rsidRPr="00B70D85" w:rsidRDefault="00655F86" w:rsidP="00177807">
            <w:pPr>
              <w:spacing w:line="480" w:lineRule="auto"/>
              <w:rPr>
                <w:rFonts w:ascii="Calibri" w:eastAsia="Times New Roman" w:hAnsi="Calibri" w:cs="Times New Roman"/>
                <w:color w:val="000000"/>
                <w:sz w:val="16"/>
                <w:szCs w:val="16"/>
                <w:lang w:val="en-GB" w:eastAsia="en-GB"/>
              </w:rPr>
            </w:pPr>
            <w:r>
              <w:rPr>
                <w:rFonts w:ascii="Calibri" w:hAnsi="Calibri"/>
                <w:color w:val="000000"/>
                <w:sz w:val="16"/>
                <w:szCs w:val="16"/>
              </w:rPr>
              <w:t>47.8%</w:t>
            </w:r>
          </w:p>
        </w:tc>
      </w:tr>
    </w:tbl>
    <w:p w14:paraId="286A7206" w14:textId="77777777" w:rsidR="008E055E" w:rsidRPr="005D753D" w:rsidRDefault="008E055E" w:rsidP="00177807">
      <w:pPr>
        <w:spacing w:line="480" w:lineRule="auto"/>
        <w:rPr>
          <w:rFonts w:ascii="Arial" w:eastAsia="Times New Roman" w:hAnsi="Arial" w:cs="Arial"/>
          <w:sz w:val="16"/>
          <w:szCs w:val="16"/>
          <w:lang w:val="en-GB" w:eastAsia="en-GB"/>
        </w:rPr>
      </w:pPr>
      <w:r w:rsidRPr="005D753D">
        <w:rPr>
          <w:sz w:val="16"/>
          <w:szCs w:val="16"/>
        </w:rPr>
        <w:t>***</w:t>
      </w:r>
      <w:r w:rsidRPr="005D753D">
        <w:rPr>
          <w:sz w:val="16"/>
          <w:szCs w:val="16"/>
        </w:rPr>
        <w:tab/>
        <w:t xml:space="preserve">p </w:t>
      </w:r>
      <w:r w:rsidRPr="005D753D">
        <w:rPr>
          <w:rFonts w:ascii="Arial" w:eastAsia="Times New Roman" w:hAnsi="Arial" w:cs="Arial"/>
          <w:sz w:val="16"/>
          <w:szCs w:val="16"/>
          <w:lang w:val="en-GB" w:eastAsia="en-GB"/>
        </w:rPr>
        <w:t>≤ 0.001</w:t>
      </w:r>
    </w:p>
    <w:p w14:paraId="16A51378" w14:textId="77777777" w:rsidR="008E055E" w:rsidRPr="005D753D" w:rsidRDefault="008E055E" w:rsidP="00177807">
      <w:pPr>
        <w:spacing w:line="480" w:lineRule="auto"/>
        <w:rPr>
          <w:rFonts w:ascii="Arial" w:eastAsia="Times New Roman" w:hAnsi="Arial" w:cs="Arial"/>
          <w:sz w:val="16"/>
          <w:szCs w:val="16"/>
          <w:lang w:val="en-GB" w:eastAsia="en-GB"/>
        </w:rPr>
      </w:pPr>
      <w:r w:rsidRPr="005D753D">
        <w:rPr>
          <w:sz w:val="16"/>
          <w:szCs w:val="16"/>
        </w:rPr>
        <w:t>**</w:t>
      </w:r>
      <w:r w:rsidRPr="005D753D">
        <w:rPr>
          <w:sz w:val="16"/>
          <w:szCs w:val="16"/>
        </w:rPr>
        <w:tab/>
        <w:t xml:space="preserve">p </w:t>
      </w:r>
      <w:r w:rsidRPr="005D753D">
        <w:rPr>
          <w:rFonts w:ascii="Arial" w:eastAsia="Times New Roman" w:hAnsi="Arial" w:cs="Arial"/>
          <w:sz w:val="16"/>
          <w:szCs w:val="16"/>
          <w:lang w:val="en-GB" w:eastAsia="en-GB"/>
        </w:rPr>
        <w:t>≤ 0.01</w:t>
      </w:r>
    </w:p>
    <w:p w14:paraId="55E89A6A" w14:textId="77777777" w:rsidR="008E055E" w:rsidRPr="00B70D85" w:rsidRDefault="008E055E" w:rsidP="00177807">
      <w:pPr>
        <w:spacing w:line="480" w:lineRule="auto"/>
        <w:rPr>
          <w:rFonts w:ascii="Arial" w:eastAsia="Times New Roman" w:hAnsi="Arial" w:cs="Arial"/>
          <w:sz w:val="16"/>
          <w:szCs w:val="16"/>
          <w:lang w:val="en-GB" w:eastAsia="en-GB"/>
        </w:rPr>
      </w:pPr>
      <w:r w:rsidRPr="00B70D85">
        <w:rPr>
          <w:sz w:val="16"/>
          <w:szCs w:val="16"/>
        </w:rPr>
        <w:t>*</w:t>
      </w:r>
      <w:r w:rsidRPr="00B70D85">
        <w:rPr>
          <w:sz w:val="16"/>
          <w:szCs w:val="16"/>
        </w:rPr>
        <w:tab/>
        <w:t xml:space="preserve">p </w:t>
      </w:r>
      <w:r w:rsidRPr="00B70D85">
        <w:rPr>
          <w:rFonts w:ascii="Arial" w:eastAsia="Times New Roman" w:hAnsi="Arial" w:cs="Arial"/>
          <w:sz w:val="16"/>
          <w:szCs w:val="16"/>
          <w:lang w:val="en-GB" w:eastAsia="en-GB"/>
        </w:rPr>
        <w:t>≤ 0.05</w:t>
      </w:r>
    </w:p>
    <w:p w14:paraId="5778BAB5" w14:textId="77777777" w:rsidR="008E055E" w:rsidRPr="00B70D85" w:rsidRDefault="008E055E" w:rsidP="00177807">
      <w:pPr>
        <w:spacing w:line="480" w:lineRule="auto"/>
        <w:rPr>
          <w:rFonts w:ascii="Arial" w:eastAsia="Times New Roman" w:hAnsi="Arial" w:cs="Arial"/>
          <w:sz w:val="16"/>
          <w:szCs w:val="16"/>
          <w:lang w:val="en-GB" w:eastAsia="en-GB"/>
        </w:rPr>
      </w:pPr>
      <w:r w:rsidRPr="00B70D85">
        <w:rPr>
          <w:sz w:val="16"/>
          <w:szCs w:val="16"/>
        </w:rPr>
        <w:t>~</w:t>
      </w:r>
      <w:r w:rsidRPr="00B70D85">
        <w:rPr>
          <w:sz w:val="16"/>
          <w:szCs w:val="16"/>
        </w:rPr>
        <w:tab/>
        <w:t xml:space="preserve">p </w:t>
      </w:r>
      <w:r w:rsidRPr="00B70D85">
        <w:rPr>
          <w:rFonts w:ascii="Arial" w:eastAsia="Times New Roman" w:hAnsi="Arial" w:cs="Arial"/>
          <w:sz w:val="16"/>
          <w:szCs w:val="16"/>
          <w:lang w:val="en-GB" w:eastAsia="en-GB"/>
        </w:rPr>
        <w:t>≤ 0.1</w:t>
      </w:r>
    </w:p>
    <w:p w14:paraId="4D9FA8AA" w14:textId="49AA36F2" w:rsidR="008E055E" w:rsidRDefault="008E055E" w:rsidP="00177807">
      <w:pPr>
        <w:spacing w:line="480" w:lineRule="auto"/>
        <w:rPr>
          <w:rFonts w:ascii="Times New Roman" w:eastAsia="Times New Roman" w:hAnsi="Times New Roman" w:cs="Times New Roman"/>
          <w:sz w:val="16"/>
          <w:szCs w:val="16"/>
          <w:u w:val="single"/>
          <w:lang w:val="en-GB"/>
        </w:rPr>
      </w:pPr>
      <w:r w:rsidRPr="00B70D85">
        <w:rPr>
          <w:rFonts w:ascii="Times New Roman" w:eastAsia="Times New Roman" w:hAnsi="Times New Roman" w:cs="Times New Roman"/>
          <w:sz w:val="16"/>
          <w:szCs w:val="16"/>
          <w:u w:val="single"/>
          <w:lang w:val="en-GB"/>
        </w:rPr>
        <w:t xml:space="preserve">NB. </w:t>
      </w:r>
      <w:r w:rsidR="007E2457">
        <w:rPr>
          <w:rFonts w:ascii="Times New Roman" w:eastAsia="Times New Roman" w:hAnsi="Times New Roman" w:cs="Times New Roman"/>
          <w:sz w:val="16"/>
          <w:szCs w:val="16"/>
          <w:u w:val="single"/>
          <w:lang w:val="en-GB"/>
        </w:rPr>
        <w:t xml:space="preserve">Statistical tests show comparisons between </w:t>
      </w:r>
      <w:r w:rsidR="00655F86">
        <w:rPr>
          <w:rFonts w:ascii="Times New Roman" w:eastAsia="Times New Roman" w:hAnsi="Times New Roman" w:cs="Times New Roman"/>
          <w:sz w:val="16"/>
          <w:szCs w:val="16"/>
          <w:u w:val="single"/>
          <w:lang w:val="en-GB"/>
        </w:rPr>
        <w:t>a</w:t>
      </w:r>
      <w:r w:rsidRPr="00B70D85">
        <w:rPr>
          <w:rFonts w:ascii="Times New Roman" w:eastAsia="Times New Roman" w:hAnsi="Times New Roman" w:cs="Times New Roman"/>
          <w:sz w:val="16"/>
          <w:szCs w:val="16"/>
          <w:u w:val="single"/>
          <w:lang w:val="en-GB"/>
        </w:rPr>
        <w:t>t least 1 PVE or op</w:t>
      </w:r>
      <w:r>
        <w:rPr>
          <w:rFonts w:ascii="Times New Roman" w:eastAsia="Times New Roman" w:hAnsi="Times New Roman" w:cs="Times New Roman"/>
          <w:sz w:val="16"/>
          <w:szCs w:val="16"/>
          <w:u w:val="single"/>
          <w:lang w:val="en-GB"/>
        </w:rPr>
        <w:t>tion-list and no PVE or option-l</w:t>
      </w:r>
      <w:r w:rsidRPr="00B70D85">
        <w:rPr>
          <w:rFonts w:ascii="Times New Roman" w:eastAsia="Times New Roman" w:hAnsi="Times New Roman" w:cs="Times New Roman"/>
          <w:sz w:val="16"/>
          <w:szCs w:val="16"/>
          <w:u w:val="single"/>
          <w:lang w:val="en-GB"/>
        </w:rPr>
        <w:t>ist</w:t>
      </w:r>
      <w:r>
        <w:rPr>
          <w:rFonts w:ascii="Times New Roman" w:eastAsia="Times New Roman" w:hAnsi="Times New Roman" w:cs="Times New Roman"/>
          <w:sz w:val="16"/>
          <w:szCs w:val="16"/>
          <w:u w:val="single"/>
          <w:lang w:val="en-GB"/>
        </w:rPr>
        <w:t>.</w:t>
      </w:r>
    </w:p>
    <w:p w14:paraId="2378858B" w14:textId="77777777" w:rsidR="00435BE7" w:rsidRDefault="00435BE7" w:rsidP="00435BE7">
      <w:pPr>
        <w:spacing w:line="480" w:lineRule="auto"/>
        <w:rPr>
          <w:rFonts w:ascii="Times New Roman" w:eastAsia="Times New Roman" w:hAnsi="Times New Roman" w:cs="Times New Roman"/>
          <w:u w:val="single"/>
          <w:lang w:val="en-GB"/>
        </w:rPr>
      </w:pPr>
    </w:p>
    <w:p w14:paraId="2060FF24" w14:textId="50BC7673" w:rsidR="00C14D49" w:rsidRDefault="00C14D49">
      <w:pPr>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br w:type="page"/>
      </w:r>
    </w:p>
    <w:p w14:paraId="6918F064" w14:textId="77777777" w:rsidR="007E2457" w:rsidRDefault="007E2457" w:rsidP="00177807">
      <w:pPr>
        <w:spacing w:line="480" w:lineRule="auto"/>
        <w:rPr>
          <w:rFonts w:ascii="Times New Roman" w:eastAsia="Times New Roman" w:hAnsi="Times New Roman" w:cs="Times New Roman"/>
          <w:color w:val="000000" w:themeColor="text1"/>
          <w:lang w:val="en-GB"/>
        </w:rPr>
      </w:pPr>
    </w:p>
    <w:p w14:paraId="2D4B443F" w14:textId="6FB4629D" w:rsidR="008E055E" w:rsidRPr="0025660A" w:rsidRDefault="008E055E" w:rsidP="00177807">
      <w:pPr>
        <w:spacing w:line="480" w:lineRule="auto"/>
        <w:rPr>
          <w:rFonts w:ascii="Times New Roman" w:hAnsi="Times New Roman" w:cs="Times New Roman"/>
          <w:u w:val="single"/>
        </w:rPr>
      </w:pPr>
      <w:r w:rsidRPr="0025660A">
        <w:rPr>
          <w:rFonts w:ascii="Times New Roman" w:eastAsia="Times New Roman" w:hAnsi="Times New Roman" w:cs="Times New Roman"/>
          <w:u w:val="single"/>
        </w:rPr>
        <w:t xml:space="preserve">Table 5. </w:t>
      </w:r>
      <w:r w:rsidR="00D635B4" w:rsidRPr="0025660A">
        <w:rPr>
          <w:rFonts w:ascii="Times New Roman" w:hAnsi="Times New Roman" w:cs="Times New Roman"/>
          <w:u w:val="single"/>
        </w:rPr>
        <w:t xml:space="preserve">Distribution of patients from different demographic groups and with different clinical characteristics, and distribution of different types of consultations, across consultations containing different decisional practices. Continuous variables. </w:t>
      </w:r>
    </w:p>
    <w:tbl>
      <w:tblPr>
        <w:tblW w:w="6675" w:type="dxa"/>
        <w:tblLook w:val="04A0" w:firstRow="1" w:lastRow="0" w:firstColumn="1" w:lastColumn="0" w:noHBand="0" w:noVBand="1"/>
      </w:tblPr>
      <w:tblGrid>
        <w:gridCol w:w="2142"/>
        <w:gridCol w:w="1038"/>
        <w:gridCol w:w="1276"/>
        <w:gridCol w:w="1085"/>
        <w:gridCol w:w="1134"/>
      </w:tblGrid>
      <w:tr w:rsidR="00655F86" w:rsidRPr="0042267C" w14:paraId="5557B0EE" w14:textId="77777777" w:rsidTr="00695CA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5E46D"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 </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1A9904A3"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EED01C"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A</w:t>
            </w:r>
            <w:r>
              <w:rPr>
                <w:rFonts w:ascii="Calibri" w:eastAsia="Times New Roman" w:hAnsi="Calibri" w:cs="Times New Roman"/>
                <w:color w:val="000000"/>
                <w:sz w:val="16"/>
                <w:szCs w:val="16"/>
                <w:lang w:val="en-GB" w:eastAsia="en-GB"/>
              </w:rPr>
              <w:t>t least 1 PVE / or o</w:t>
            </w:r>
            <w:r w:rsidRPr="00C6234E">
              <w:rPr>
                <w:rFonts w:ascii="Calibri" w:eastAsia="Times New Roman" w:hAnsi="Calibri" w:cs="Times New Roman"/>
                <w:color w:val="000000"/>
                <w:sz w:val="16"/>
                <w:szCs w:val="16"/>
                <w:lang w:val="en-GB" w:eastAsia="en-GB"/>
              </w:rPr>
              <w:t xml:space="preserve">ption-list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77B282E8" w14:textId="77777777" w:rsidR="00655F86" w:rsidRPr="0042267C" w:rsidRDefault="00655F86" w:rsidP="00177807">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 PVE or o</w:t>
            </w:r>
            <w:r w:rsidRPr="0042267C">
              <w:rPr>
                <w:rFonts w:ascii="Calibri" w:eastAsia="Times New Roman" w:hAnsi="Calibri" w:cs="Times New Roman"/>
                <w:color w:val="000000"/>
                <w:sz w:val="16"/>
                <w:szCs w:val="16"/>
                <w:lang w:val="en-GB" w:eastAsia="en-GB"/>
              </w:rPr>
              <w:t>ption-list (only recs)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54FC17" w14:textId="77777777" w:rsidR="00655F86" w:rsidRPr="0042267C" w:rsidRDefault="00655F86" w:rsidP="00177807">
            <w:pPr>
              <w:spacing w:line="480" w:lineRule="auto"/>
              <w:rPr>
                <w:rFonts w:ascii="Calibri" w:eastAsia="Times New Roman" w:hAnsi="Calibri" w:cs="Times New Roman"/>
                <w:color w:val="000000"/>
                <w:sz w:val="16"/>
                <w:szCs w:val="16"/>
                <w:lang w:val="en-GB" w:eastAsia="en-GB"/>
              </w:rPr>
            </w:pPr>
            <w:r w:rsidRPr="0042267C">
              <w:rPr>
                <w:rFonts w:ascii="Calibri" w:eastAsia="Times New Roman" w:hAnsi="Calibri" w:cs="Times New Roman"/>
                <w:color w:val="000000"/>
                <w:sz w:val="16"/>
                <w:szCs w:val="16"/>
                <w:lang w:val="en-GB" w:eastAsia="en-GB"/>
              </w:rPr>
              <w:t>All</w:t>
            </w:r>
          </w:p>
        </w:tc>
      </w:tr>
      <w:tr w:rsidR="00655F86" w:rsidRPr="00665A14" w14:paraId="153BDE03" w14:textId="77777777" w:rsidTr="00695CA7">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202B8B9B" w14:textId="77777777" w:rsidR="00655F86" w:rsidRPr="00C6234E" w:rsidRDefault="00655F86" w:rsidP="00177807">
            <w:pPr>
              <w:spacing w:line="48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Patient a</w:t>
            </w:r>
            <w:r w:rsidRPr="00C6234E">
              <w:rPr>
                <w:rFonts w:ascii="Calibri" w:eastAsia="Times New Roman" w:hAnsi="Calibri" w:cs="Times New Roman"/>
                <w:b/>
                <w:bCs/>
                <w:color w:val="000000"/>
                <w:sz w:val="16"/>
                <w:szCs w:val="16"/>
                <w:lang w:val="en-GB" w:eastAsia="en-GB"/>
              </w:rPr>
              <w:t>ge</w:t>
            </w:r>
          </w:p>
        </w:tc>
        <w:tc>
          <w:tcPr>
            <w:tcW w:w="1038" w:type="dxa"/>
            <w:tcBorders>
              <w:top w:val="nil"/>
              <w:left w:val="nil"/>
              <w:bottom w:val="single" w:sz="4" w:space="0" w:color="auto"/>
              <w:right w:val="single" w:sz="4" w:space="0" w:color="auto"/>
            </w:tcBorders>
            <w:shd w:val="clear" w:color="auto" w:fill="auto"/>
            <w:noWrap/>
            <w:vAlign w:val="bottom"/>
            <w:hideMark/>
          </w:tcPr>
          <w:p w14:paraId="4197776D"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Mean</w:t>
            </w:r>
          </w:p>
        </w:tc>
        <w:tc>
          <w:tcPr>
            <w:tcW w:w="1276" w:type="dxa"/>
            <w:tcBorders>
              <w:top w:val="nil"/>
              <w:left w:val="nil"/>
              <w:bottom w:val="single" w:sz="4" w:space="0" w:color="auto"/>
              <w:right w:val="single" w:sz="4" w:space="0" w:color="auto"/>
            </w:tcBorders>
            <w:shd w:val="clear" w:color="auto" w:fill="auto"/>
            <w:noWrap/>
            <w:vAlign w:val="bottom"/>
            <w:hideMark/>
          </w:tcPr>
          <w:p w14:paraId="551EE065"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44.5</w:t>
            </w:r>
          </w:p>
        </w:tc>
        <w:tc>
          <w:tcPr>
            <w:tcW w:w="1085" w:type="dxa"/>
            <w:tcBorders>
              <w:top w:val="nil"/>
              <w:left w:val="nil"/>
              <w:bottom w:val="single" w:sz="4" w:space="0" w:color="auto"/>
              <w:right w:val="single" w:sz="4" w:space="0" w:color="auto"/>
            </w:tcBorders>
            <w:shd w:val="clear" w:color="auto" w:fill="auto"/>
            <w:noWrap/>
            <w:vAlign w:val="bottom"/>
            <w:hideMark/>
          </w:tcPr>
          <w:p w14:paraId="1C935411"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48.1</w:t>
            </w:r>
          </w:p>
        </w:tc>
        <w:tc>
          <w:tcPr>
            <w:tcW w:w="1134" w:type="dxa"/>
            <w:tcBorders>
              <w:top w:val="nil"/>
              <w:left w:val="nil"/>
              <w:bottom w:val="single" w:sz="4" w:space="0" w:color="auto"/>
              <w:right w:val="single" w:sz="4" w:space="0" w:color="auto"/>
            </w:tcBorders>
            <w:shd w:val="clear" w:color="auto" w:fill="auto"/>
            <w:noWrap/>
            <w:vAlign w:val="bottom"/>
            <w:hideMark/>
          </w:tcPr>
          <w:p w14:paraId="5B0CCDB1"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46.1</w:t>
            </w:r>
          </w:p>
        </w:tc>
      </w:tr>
      <w:tr w:rsidR="00655F86" w:rsidRPr="00665A14" w14:paraId="39145632" w14:textId="77777777" w:rsidTr="00695CA7">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34C0E358" w14:textId="77777777" w:rsidR="00655F86" w:rsidRPr="00C6234E" w:rsidRDefault="00655F86" w:rsidP="00177807">
            <w:pPr>
              <w:spacing w:line="480" w:lineRule="auto"/>
              <w:rPr>
                <w:rFonts w:ascii="Calibri" w:eastAsia="Times New Roman" w:hAnsi="Calibri" w:cs="Times New Roman"/>
                <w:b/>
                <w:bCs/>
                <w:color w:val="000000"/>
                <w:sz w:val="16"/>
                <w:szCs w:val="16"/>
                <w:lang w:val="en-GB" w:eastAsia="en-GB"/>
              </w:rPr>
            </w:pPr>
            <w:r w:rsidRPr="00C6234E">
              <w:rPr>
                <w:rFonts w:ascii="Calibri" w:eastAsia="Times New Roman" w:hAnsi="Calibri" w:cs="Times New Roman"/>
                <w:b/>
                <w:bCs/>
                <w:color w:val="000000"/>
                <w:sz w:val="16"/>
                <w:szCs w:val="16"/>
                <w:lang w:val="en-GB"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6DE8108"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S.D.</w:t>
            </w:r>
          </w:p>
        </w:tc>
        <w:tc>
          <w:tcPr>
            <w:tcW w:w="1276" w:type="dxa"/>
            <w:tcBorders>
              <w:top w:val="nil"/>
              <w:left w:val="nil"/>
              <w:bottom w:val="single" w:sz="4" w:space="0" w:color="auto"/>
              <w:right w:val="single" w:sz="4" w:space="0" w:color="auto"/>
            </w:tcBorders>
            <w:shd w:val="clear" w:color="auto" w:fill="auto"/>
            <w:noWrap/>
            <w:vAlign w:val="bottom"/>
            <w:hideMark/>
          </w:tcPr>
          <w:p w14:paraId="15A96841"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14.1</w:t>
            </w:r>
          </w:p>
        </w:tc>
        <w:tc>
          <w:tcPr>
            <w:tcW w:w="1085" w:type="dxa"/>
            <w:tcBorders>
              <w:top w:val="nil"/>
              <w:left w:val="nil"/>
              <w:bottom w:val="single" w:sz="4" w:space="0" w:color="auto"/>
              <w:right w:val="single" w:sz="4" w:space="0" w:color="auto"/>
            </w:tcBorders>
            <w:shd w:val="clear" w:color="auto" w:fill="auto"/>
            <w:noWrap/>
            <w:vAlign w:val="bottom"/>
            <w:hideMark/>
          </w:tcPr>
          <w:p w14:paraId="1F115244"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768DCD92"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14.8</w:t>
            </w:r>
          </w:p>
        </w:tc>
      </w:tr>
      <w:tr w:rsidR="00655F86" w:rsidRPr="00665A14" w14:paraId="0FA4C080" w14:textId="77777777" w:rsidTr="00695CA7">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5C3B9541" w14:textId="77777777" w:rsidR="00655F86" w:rsidRPr="00C6234E" w:rsidRDefault="00655F86" w:rsidP="00177807">
            <w:pPr>
              <w:spacing w:line="480" w:lineRule="auto"/>
              <w:rPr>
                <w:rFonts w:ascii="Calibri" w:eastAsia="Times New Roman" w:hAnsi="Calibri" w:cs="Times New Roman"/>
                <w:b/>
                <w:bCs/>
                <w:color w:val="000000"/>
                <w:sz w:val="16"/>
                <w:szCs w:val="16"/>
                <w:lang w:val="en-GB" w:eastAsia="en-GB"/>
              </w:rPr>
            </w:pPr>
            <w:r w:rsidRPr="00C6234E">
              <w:rPr>
                <w:rFonts w:ascii="Calibri" w:eastAsia="Times New Roman" w:hAnsi="Calibri" w:cs="Times New Roman"/>
                <w:b/>
                <w:bCs/>
                <w:color w:val="000000"/>
                <w:sz w:val="16"/>
                <w:szCs w:val="16"/>
                <w:lang w:val="en-GB"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4D9B753"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AEA2B1"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 </w:t>
            </w:r>
          </w:p>
        </w:tc>
        <w:tc>
          <w:tcPr>
            <w:tcW w:w="1085" w:type="dxa"/>
            <w:tcBorders>
              <w:top w:val="nil"/>
              <w:left w:val="nil"/>
              <w:bottom w:val="single" w:sz="4" w:space="0" w:color="auto"/>
              <w:right w:val="single" w:sz="4" w:space="0" w:color="auto"/>
            </w:tcBorders>
            <w:shd w:val="clear" w:color="auto" w:fill="auto"/>
            <w:noWrap/>
            <w:vAlign w:val="bottom"/>
            <w:hideMark/>
          </w:tcPr>
          <w:p w14:paraId="52A45CC2"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874D15"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 </w:t>
            </w:r>
          </w:p>
        </w:tc>
      </w:tr>
      <w:tr w:rsidR="00655F86" w:rsidRPr="00665A14" w14:paraId="375C26CE" w14:textId="77777777" w:rsidTr="00695CA7">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3E79A5DF" w14:textId="77777777" w:rsidR="00655F86" w:rsidRPr="00C6234E" w:rsidRDefault="00655F86" w:rsidP="00177807">
            <w:pPr>
              <w:spacing w:line="480" w:lineRule="auto"/>
              <w:rPr>
                <w:rFonts w:ascii="Calibri" w:eastAsia="Times New Roman" w:hAnsi="Calibri" w:cs="Times New Roman"/>
                <w:b/>
                <w:bCs/>
                <w:color w:val="000000"/>
                <w:sz w:val="16"/>
                <w:szCs w:val="16"/>
                <w:lang w:val="en-GB" w:eastAsia="en-GB"/>
              </w:rPr>
            </w:pPr>
            <w:r w:rsidRPr="00C6234E">
              <w:rPr>
                <w:rFonts w:ascii="Calibri" w:eastAsia="Times New Roman" w:hAnsi="Calibri" w:cs="Times New Roman"/>
                <w:b/>
                <w:bCs/>
                <w:color w:val="000000"/>
                <w:sz w:val="16"/>
                <w:szCs w:val="16"/>
                <w:lang w:val="en-GB" w:eastAsia="en-GB"/>
              </w:rPr>
              <w:t>Certainty</w:t>
            </w:r>
          </w:p>
        </w:tc>
        <w:tc>
          <w:tcPr>
            <w:tcW w:w="1038" w:type="dxa"/>
            <w:tcBorders>
              <w:top w:val="nil"/>
              <w:left w:val="nil"/>
              <w:bottom w:val="single" w:sz="4" w:space="0" w:color="auto"/>
              <w:right w:val="single" w:sz="4" w:space="0" w:color="auto"/>
            </w:tcBorders>
            <w:shd w:val="clear" w:color="auto" w:fill="auto"/>
            <w:noWrap/>
            <w:vAlign w:val="bottom"/>
            <w:hideMark/>
          </w:tcPr>
          <w:p w14:paraId="5BDD3EC4"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Mean</w:t>
            </w:r>
          </w:p>
        </w:tc>
        <w:tc>
          <w:tcPr>
            <w:tcW w:w="1276" w:type="dxa"/>
            <w:tcBorders>
              <w:top w:val="nil"/>
              <w:left w:val="nil"/>
              <w:bottom w:val="single" w:sz="4" w:space="0" w:color="auto"/>
              <w:right w:val="single" w:sz="4" w:space="0" w:color="auto"/>
            </w:tcBorders>
            <w:shd w:val="clear" w:color="auto" w:fill="auto"/>
            <w:noWrap/>
            <w:vAlign w:val="bottom"/>
            <w:hideMark/>
          </w:tcPr>
          <w:p w14:paraId="16B8E0FD" w14:textId="77777777" w:rsidR="00655F86" w:rsidRPr="00C6234E" w:rsidRDefault="00655F86" w:rsidP="00177807">
            <w:pPr>
              <w:spacing w:line="480" w:lineRule="auto"/>
              <w:rPr>
                <w:rFonts w:ascii="Calibri" w:eastAsia="Times New Roman" w:hAnsi="Calibri" w:cs="Times New Roman"/>
                <w:b/>
                <w:bCs/>
                <w:color w:val="000000"/>
                <w:sz w:val="16"/>
                <w:szCs w:val="16"/>
                <w:lang w:val="en-GB" w:eastAsia="en-GB"/>
              </w:rPr>
            </w:pPr>
            <w:r w:rsidRPr="00C6234E">
              <w:rPr>
                <w:rFonts w:ascii="Calibri" w:eastAsia="Times New Roman" w:hAnsi="Calibri" w:cs="Times New Roman"/>
                <w:b/>
                <w:bCs/>
                <w:color w:val="000000"/>
                <w:sz w:val="16"/>
                <w:szCs w:val="16"/>
                <w:lang w:val="en-GB" w:eastAsia="en-GB"/>
              </w:rPr>
              <w:t>8.74*</w:t>
            </w:r>
          </w:p>
        </w:tc>
        <w:tc>
          <w:tcPr>
            <w:tcW w:w="1085" w:type="dxa"/>
            <w:tcBorders>
              <w:top w:val="nil"/>
              <w:left w:val="nil"/>
              <w:bottom w:val="single" w:sz="4" w:space="0" w:color="auto"/>
              <w:right w:val="single" w:sz="4" w:space="0" w:color="auto"/>
            </w:tcBorders>
            <w:shd w:val="clear" w:color="auto" w:fill="auto"/>
            <w:noWrap/>
            <w:vAlign w:val="bottom"/>
            <w:hideMark/>
          </w:tcPr>
          <w:p w14:paraId="4D9C18A9" w14:textId="77777777" w:rsidR="00655F86" w:rsidRPr="00C6234E" w:rsidRDefault="00655F86" w:rsidP="00177807">
            <w:pPr>
              <w:spacing w:line="480" w:lineRule="auto"/>
              <w:rPr>
                <w:rFonts w:ascii="Calibri" w:eastAsia="Times New Roman" w:hAnsi="Calibri" w:cs="Times New Roman"/>
                <w:b/>
                <w:bCs/>
                <w:color w:val="000000"/>
                <w:sz w:val="16"/>
                <w:szCs w:val="16"/>
                <w:lang w:val="en-GB" w:eastAsia="en-GB"/>
              </w:rPr>
            </w:pPr>
            <w:r w:rsidRPr="00C6234E">
              <w:rPr>
                <w:rFonts w:ascii="Calibri" w:eastAsia="Times New Roman" w:hAnsi="Calibri" w:cs="Times New Roman"/>
                <w:b/>
                <w:bCs/>
                <w:color w:val="000000"/>
                <w:sz w:val="16"/>
                <w:szCs w:val="16"/>
                <w:lang w:val="en-GB" w:eastAsia="en-GB"/>
              </w:rPr>
              <w:t>8.0*</w:t>
            </w:r>
          </w:p>
        </w:tc>
        <w:tc>
          <w:tcPr>
            <w:tcW w:w="1134" w:type="dxa"/>
            <w:tcBorders>
              <w:top w:val="nil"/>
              <w:left w:val="nil"/>
              <w:bottom w:val="single" w:sz="4" w:space="0" w:color="auto"/>
              <w:right w:val="single" w:sz="4" w:space="0" w:color="auto"/>
            </w:tcBorders>
            <w:shd w:val="clear" w:color="auto" w:fill="auto"/>
            <w:noWrap/>
            <w:vAlign w:val="bottom"/>
            <w:hideMark/>
          </w:tcPr>
          <w:p w14:paraId="786AE18F"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8.41</w:t>
            </w:r>
          </w:p>
        </w:tc>
      </w:tr>
      <w:tr w:rsidR="00655F86" w:rsidRPr="00665A14" w14:paraId="2235EADB" w14:textId="77777777" w:rsidTr="00695CA7">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6549906A"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52361BB5"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S.D.</w:t>
            </w:r>
          </w:p>
        </w:tc>
        <w:tc>
          <w:tcPr>
            <w:tcW w:w="1276" w:type="dxa"/>
            <w:tcBorders>
              <w:top w:val="nil"/>
              <w:left w:val="nil"/>
              <w:bottom w:val="single" w:sz="4" w:space="0" w:color="auto"/>
              <w:right w:val="single" w:sz="4" w:space="0" w:color="auto"/>
            </w:tcBorders>
            <w:shd w:val="clear" w:color="auto" w:fill="auto"/>
            <w:noWrap/>
            <w:vAlign w:val="bottom"/>
            <w:hideMark/>
          </w:tcPr>
          <w:p w14:paraId="28583AE9"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1.7</w:t>
            </w:r>
          </w:p>
        </w:tc>
        <w:tc>
          <w:tcPr>
            <w:tcW w:w="1085" w:type="dxa"/>
            <w:tcBorders>
              <w:top w:val="nil"/>
              <w:left w:val="nil"/>
              <w:bottom w:val="single" w:sz="4" w:space="0" w:color="auto"/>
              <w:right w:val="single" w:sz="4" w:space="0" w:color="auto"/>
            </w:tcBorders>
            <w:shd w:val="clear" w:color="auto" w:fill="auto"/>
            <w:noWrap/>
            <w:vAlign w:val="bottom"/>
            <w:hideMark/>
          </w:tcPr>
          <w:p w14:paraId="5BD8B481"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1.9</w:t>
            </w:r>
          </w:p>
        </w:tc>
        <w:tc>
          <w:tcPr>
            <w:tcW w:w="1134" w:type="dxa"/>
            <w:tcBorders>
              <w:top w:val="nil"/>
              <w:left w:val="nil"/>
              <w:bottom w:val="single" w:sz="4" w:space="0" w:color="auto"/>
              <w:right w:val="single" w:sz="4" w:space="0" w:color="auto"/>
            </w:tcBorders>
            <w:shd w:val="clear" w:color="auto" w:fill="auto"/>
            <w:noWrap/>
            <w:vAlign w:val="bottom"/>
            <w:hideMark/>
          </w:tcPr>
          <w:p w14:paraId="23918F5F"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1.8</w:t>
            </w:r>
          </w:p>
        </w:tc>
      </w:tr>
      <w:tr w:rsidR="00655F86" w:rsidRPr="00665A14" w14:paraId="6D1F2D55" w14:textId="77777777" w:rsidTr="00695CA7">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097FA802" w14:textId="77777777" w:rsidR="00655F86" w:rsidRPr="00C6234E" w:rsidRDefault="00655F86" w:rsidP="00177807">
            <w:pPr>
              <w:spacing w:line="480" w:lineRule="auto"/>
              <w:rPr>
                <w:rFonts w:ascii="Calibri" w:eastAsia="Times New Roman" w:hAnsi="Calibri" w:cs="Times New Roman"/>
                <w:b/>
                <w:bCs/>
                <w:color w:val="000000"/>
                <w:sz w:val="16"/>
                <w:szCs w:val="16"/>
                <w:lang w:val="en-GB" w:eastAsia="en-GB"/>
              </w:rPr>
            </w:pPr>
            <w:r w:rsidRPr="00C6234E">
              <w:rPr>
                <w:rFonts w:ascii="Calibri" w:eastAsia="Times New Roman" w:hAnsi="Calibri" w:cs="Times New Roman"/>
                <w:b/>
                <w:bCs/>
                <w:color w:val="000000"/>
                <w:sz w:val="16"/>
                <w:szCs w:val="16"/>
                <w:lang w:val="en-GB" w:eastAsia="en-GB"/>
              </w:rPr>
              <w:t>Duration</w:t>
            </w:r>
          </w:p>
        </w:tc>
        <w:tc>
          <w:tcPr>
            <w:tcW w:w="1038" w:type="dxa"/>
            <w:tcBorders>
              <w:top w:val="nil"/>
              <w:left w:val="nil"/>
              <w:bottom w:val="single" w:sz="4" w:space="0" w:color="auto"/>
              <w:right w:val="single" w:sz="4" w:space="0" w:color="auto"/>
            </w:tcBorders>
            <w:shd w:val="clear" w:color="auto" w:fill="auto"/>
            <w:noWrap/>
            <w:vAlign w:val="bottom"/>
            <w:hideMark/>
          </w:tcPr>
          <w:p w14:paraId="015CFD0B"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Mean</w:t>
            </w:r>
          </w:p>
        </w:tc>
        <w:tc>
          <w:tcPr>
            <w:tcW w:w="1276" w:type="dxa"/>
            <w:tcBorders>
              <w:top w:val="nil"/>
              <w:left w:val="nil"/>
              <w:bottom w:val="single" w:sz="4" w:space="0" w:color="auto"/>
              <w:right w:val="single" w:sz="4" w:space="0" w:color="auto"/>
            </w:tcBorders>
            <w:shd w:val="clear" w:color="auto" w:fill="auto"/>
            <w:noWrap/>
            <w:vAlign w:val="bottom"/>
            <w:hideMark/>
          </w:tcPr>
          <w:p w14:paraId="52D861DE"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22.3</w:t>
            </w:r>
          </w:p>
        </w:tc>
        <w:tc>
          <w:tcPr>
            <w:tcW w:w="1085" w:type="dxa"/>
            <w:tcBorders>
              <w:top w:val="nil"/>
              <w:left w:val="nil"/>
              <w:bottom w:val="single" w:sz="4" w:space="0" w:color="auto"/>
              <w:right w:val="single" w:sz="4" w:space="0" w:color="auto"/>
            </w:tcBorders>
            <w:shd w:val="clear" w:color="auto" w:fill="auto"/>
            <w:noWrap/>
            <w:vAlign w:val="bottom"/>
            <w:hideMark/>
          </w:tcPr>
          <w:p w14:paraId="522F5F62"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20.1</w:t>
            </w:r>
          </w:p>
        </w:tc>
        <w:tc>
          <w:tcPr>
            <w:tcW w:w="1134" w:type="dxa"/>
            <w:tcBorders>
              <w:top w:val="nil"/>
              <w:left w:val="nil"/>
              <w:bottom w:val="single" w:sz="4" w:space="0" w:color="auto"/>
              <w:right w:val="single" w:sz="4" w:space="0" w:color="auto"/>
            </w:tcBorders>
            <w:shd w:val="clear" w:color="auto" w:fill="auto"/>
            <w:noWrap/>
            <w:vAlign w:val="bottom"/>
            <w:hideMark/>
          </w:tcPr>
          <w:p w14:paraId="7E6B155B"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21.3</w:t>
            </w:r>
          </w:p>
        </w:tc>
      </w:tr>
      <w:tr w:rsidR="00655F86" w:rsidRPr="00665A14" w14:paraId="6FB1F980" w14:textId="77777777" w:rsidTr="00695CA7">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601AF7A9" w14:textId="77777777" w:rsidR="00655F86" w:rsidRPr="00C6234E" w:rsidRDefault="00655F86" w:rsidP="00177807">
            <w:pPr>
              <w:spacing w:line="480" w:lineRule="auto"/>
              <w:rPr>
                <w:rFonts w:ascii="Calibri" w:eastAsia="Times New Roman" w:hAnsi="Calibri" w:cs="Times New Roman"/>
                <w:b/>
                <w:bCs/>
                <w:color w:val="000000"/>
                <w:sz w:val="16"/>
                <w:szCs w:val="16"/>
                <w:lang w:val="en-GB" w:eastAsia="en-GB"/>
              </w:rPr>
            </w:pPr>
            <w:r w:rsidRPr="00C6234E">
              <w:rPr>
                <w:rFonts w:ascii="Calibri" w:eastAsia="Times New Roman" w:hAnsi="Calibri" w:cs="Times New Roman"/>
                <w:b/>
                <w:bCs/>
                <w:color w:val="000000"/>
                <w:sz w:val="16"/>
                <w:szCs w:val="16"/>
                <w:lang w:val="en-GB"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059BE9E3"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S.D.</w:t>
            </w:r>
          </w:p>
        </w:tc>
        <w:tc>
          <w:tcPr>
            <w:tcW w:w="1276" w:type="dxa"/>
            <w:tcBorders>
              <w:top w:val="nil"/>
              <w:left w:val="nil"/>
              <w:bottom w:val="single" w:sz="4" w:space="0" w:color="auto"/>
              <w:right w:val="single" w:sz="4" w:space="0" w:color="auto"/>
            </w:tcBorders>
            <w:shd w:val="clear" w:color="auto" w:fill="auto"/>
            <w:noWrap/>
            <w:vAlign w:val="bottom"/>
            <w:hideMark/>
          </w:tcPr>
          <w:p w14:paraId="41AA893C"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10.9</w:t>
            </w:r>
          </w:p>
        </w:tc>
        <w:tc>
          <w:tcPr>
            <w:tcW w:w="1085" w:type="dxa"/>
            <w:tcBorders>
              <w:top w:val="nil"/>
              <w:left w:val="nil"/>
              <w:bottom w:val="single" w:sz="4" w:space="0" w:color="auto"/>
              <w:right w:val="single" w:sz="4" w:space="0" w:color="auto"/>
            </w:tcBorders>
            <w:shd w:val="clear" w:color="auto" w:fill="auto"/>
            <w:noWrap/>
            <w:vAlign w:val="bottom"/>
            <w:hideMark/>
          </w:tcPr>
          <w:p w14:paraId="465F8DCD"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5ACFC47E" w14:textId="77777777" w:rsidR="00655F86" w:rsidRPr="00C6234E" w:rsidRDefault="00655F86" w:rsidP="00177807">
            <w:pPr>
              <w:spacing w:line="480" w:lineRule="auto"/>
              <w:rPr>
                <w:rFonts w:ascii="Calibri" w:eastAsia="Times New Roman" w:hAnsi="Calibri" w:cs="Times New Roman"/>
                <w:color w:val="000000"/>
                <w:sz w:val="16"/>
                <w:szCs w:val="16"/>
                <w:lang w:val="en-GB" w:eastAsia="en-GB"/>
              </w:rPr>
            </w:pPr>
            <w:r w:rsidRPr="00C6234E">
              <w:rPr>
                <w:rFonts w:ascii="Calibri" w:eastAsia="Times New Roman" w:hAnsi="Calibri" w:cs="Times New Roman"/>
                <w:color w:val="000000"/>
                <w:sz w:val="16"/>
                <w:szCs w:val="16"/>
                <w:lang w:val="en-GB" w:eastAsia="en-GB"/>
              </w:rPr>
              <w:t>11.2</w:t>
            </w:r>
          </w:p>
        </w:tc>
      </w:tr>
    </w:tbl>
    <w:p w14:paraId="19BD9AA3" w14:textId="77777777" w:rsidR="008E055E" w:rsidRPr="005B1E5B" w:rsidRDefault="008E055E" w:rsidP="00177807">
      <w:pPr>
        <w:spacing w:line="480" w:lineRule="auto"/>
        <w:rPr>
          <w:rFonts w:ascii="Arial" w:eastAsia="Times New Roman" w:hAnsi="Arial" w:cs="Arial"/>
          <w:sz w:val="16"/>
          <w:szCs w:val="16"/>
          <w:lang w:val="en-GB" w:eastAsia="en-GB"/>
        </w:rPr>
      </w:pPr>
      <w:r w:rsidRPr="005B1E5B">
        <w:rPr>
          <w:sz w:val="16"/>
          <w:szCs w:val="16"/>
        </w:rPr>
        <w:t>***</w:t>
      </w:r>
      <w:r w:rsidRPr="005B1E5B">
        <w:rPr>
          <w:sz w:val="16"/>
          <w:szCs w:val="16"/>
        </w:rPr>
        <w:tab/>
        <w:t xml:space="preserve">p </w:t>
      </w:r>
      <w:r w:rsidRPr="005B1E5B">
        <w:rPr>
          <w:rFonts w:ascii="Arial" w:eastAsia="Times New Roman" w:hAnsi="Arial" w:cs="Arial"/>
          <w:sz w:val="16"/>
          <w:szCs w:val="16"/>
          <w:lang w:val="en-GB" w:eastAsia="en-GB"/>
        </w:rPr>
        <w:t>≤ 0.001</w:t>
      </w:r>
    </w:p>
    <w:p w14:paraId="19E231DD" w14:textId="77777777" w:rsidR="008E055E" w:rsidRPr="005B1E5B" w:rsidRDefault="008E055E" w:rsidP="00177807">
      <w:pPr>
        <w:spacing w:line="480" w:lineRule="auto"/>
        <w:rPr>
          <w:rFonts w:ascii="Arial" w:eastAsia="Times New Roman" w:hAnsi="Arial" w:cs="Arial"/>
          <w:sz w:val="16"/>
          <w:szCs w:val="16"/>
          <w:lang w:val="en-GB" w:eastAsia="en-GB"/>
        </w:rPr>
      </w:pPr>
      <w:r w:rsidRPr="005B1E5B">
        <w:rPr>
          <w:sz w:val="16"/>
          <w:szCs w:val="16"/>
        </w:rPr>
        <w:t>**</w:t>
      </w:r>
      <w:r w:rsidRPr="005B1E5B">
        <w:rPr>
          <w:sz w:val="16"/>
          <w:szCs w:val="16"/>
        </w:rPr>
        <w:tab/>
        <w:t xml:space="preserve">p </w:t>
      </w:r>
      <w:r w:rsidRPr="005B1E5B">
        <w:rPr>
          <w:rFonts w:ascii="Arial" w:eastAsia="Times New Roman" w:hAnsi="Arial" w:cs="Arial"/>
          <w:sz w:val="16"/>
          <w:szCs w:val="16"/>
          <w:lang w:val="en-GB" w:eastAsia="en-GB"/>
        </w:rPr>
        <w:t>≤ 0.01</w:t>
      </w:r>
    </w:p>
    <w:p w14:paraId="159FAC2D" w14:textId="77777777" w:rsidR="008E055E" w:rsidRPr="005B1E5B" w:rsidRDefault="008E055E" w:rsidP="00177807">
      <w:pPr>
        <w:spacing w:line="480" w:lineRule="auto"/>
        <w:rPr>
          <w:rFonts w:ascii="Arial" w:eastAsia="Times New Roman" w:hAnsi="Arial" w:cs="Arial"/>
          <w:sz w:val="16"/>
          <w:szCs w:val="16"/>
          <w:lang w:val="en-GB" w:eastAsia="en-GB"/>
        </w:rPr>
      </w:pPr>
      <w:r w:rsidRPr="005B1E5B">
        <w:rPr>
          <w:sz w:val="16"/>
          <w:szCs w:val="16"/>
        </w:rPr>
        <w:t>*</w:t>
      </w:r>
      <w:r w:rsidRPr="005B1E5B">
        <w:rPr>
          <w:sz w:val="16"/>
          <w:szCs w:val="16"/>
        </w:rPr>
        <w:tab/>
        <w:t xml:space="preserve">p </w:t>
      </w:r>
      <w:r w:rsidRPr="005B1E5B">
        <w:rPr>
          <w:rFonts w:ascii="Arial" w:eastAsia="Times New Roman" w:hAnsi="Arial" w:cs="Arial"/>
          <w:sz w:val="16"/>
          <w:szCs w:val="16"/>
          <w:lang w:val="en-GB" w:eastAsia="en-GB"/>
        </w:rPr>
        <w:t>≤ 0.05</w:t>
      </w:r>
    </w:p>
    <w:p w14:paraId="299CF95D" w14:textId="77777777" w:rsidR="008E055E" w:rsidRPr="005B1E5B" w:rsidRDefault="008E055E" w:rsidP="00177807">
      <w:pPr>
        <w:spacing w:line="480" w:lineRule="auto"/>
        <w:rPr>
          <w:rFonts w:ascii="Arial" w:eastAsia="Times New Roman" w:hAnsi="Arial" w:cs="Arial"/>
          <w:sz w:val="16"/>
          <w:szCs w:val="16"/>
          <w:lang w:val="en-GB" w:eastAsia="en-GB"/>
        </w:rPr>
      </w:pPr>
      <w:r w:rsidRPr="005B1E5B">
        <w:rPr>
          <w:sz w:val="16"/>
          <w:szCs w:val="16"/>
        </w:rPr>
        <w:t>~</w:t>
      </w:r>
      <w:r w:rsidRPr="005B1E5B">
        <w:rPr>
          <w:sz w:val="16"/>
          <w:szCs w:val="16"/>
        </w:rPr>
        <w:tab/>
        <w:t xml:space="preserve">p </w:t>
      </w:r>
      <w:r w:rsidRPr="005B1E5B">
        <w:rPr>
          <w:rFonts w:ascii="Arial" w:eastAsia="Times New Roman" w:hAnsi="Arial" w:cs="Arial"/>
          <w:sz w:val="16"/>
          <w:szCs w:val="16"/>
          <w:lang w:val="en-GB" w:eastAsia="en-GB"/>
        </w:rPr>
        <w:t>≤ 0.1</w:t>
      </w:r>
    </w:p>
    <w:p w14:paraId="06173569" w14:textId="77777777" w:rsidR="008E055E" w:rsidRPr="005B1E5B" w:rsidRDefault="008E055E" w:rsidP="00177807">
      <w:pPr>
        <w:spacing w:line="480" w:lineRule="auto"/>
        <w:rPr>
          <w:rFonts w:ascii="Times New Roman" w:eastAsia="Times New Roman" w:hAnsi="Times New Roman" w:cs="Times New Roman"/>
          <w:b/>
          <w:i/>
          <w:sz w:val="16"/>
          <w:szCs w:val="16"/>
          <w:lang w:val="en-GB"/>
        </w:rPr>
      </w:pPr>
    </w:p>
    <w:p w14:paraId="4368C1B4" w14:textId="0D7E2C08" w:rsidR="008E055E" w:rsidRPr="005B1E5B" w:rsidRDefault="008E055E" w:rsidP="00177807">
      <w:pPr>
        <w:spacing w:line="480" w:lineRule="auto"/>
        <w:rPr>
          <w:rFonts w:ascii="Times New Roman" w:eastAsia="Times New Roman" w:hAnsi="Times New Roman" w:cs="Times New Roman"/>
          <w:sz w:val="16"/>
          <w:szCs w:val="16"/>
          <w:u w:val="single"/>
          <w:lang w:val="en-GB"/>
        </w:rPr>
      </w:pPr>
      <w:r w:rsidRPr="005B1E5B">
        <w:rPr>
          <w:rFonts w:ascii="Times New Roman" w:eastAsia="Times New Roman" w:hAnsi="Times New Roman" w:cs="Times New Roman"/>
          <w:sz w:val="16"/>
          <w:szCs w:val="16"/>
          <w:u w:val="single"/>
          <w:lang w:val="en-GB"/>
        </w:rPr>
        <w:t>NB. Statistical tests show comparisons between</w:t>
      </w:r>
      <w:r>
        <w:rPr>
          <w:rFonts w:ascii="Times New Roman" w:eastAsia="Times New Roman" w:hAnsi="Times New Roman" w:cs="Times New Roman"/>
          <w:sz w:val="16"/>
          <w:szCs w:val="16"/>
          <w:u w:val="single"/>
          <w:lang w:val="en-GB"/>
        </w:rPr>
        <w:t xml:space="preserve"> a</w:t>
      </w:r>
      <w:r w:rsidRPr="005B1E5B">
        <w:rPr>
          <w:rFonts w:ascii="Times New Roman" w:eastAsia="Times New Roman" w:hAnsi="Times New Roman" w:cs="Times New Roman"/>
          <w:sz w:val="16"/>
          <w:szCs w:val="16"/>
          <w:u w:val="single"/>
          <w:lang w:val="en-GB"/>
        </w:rPr>
        <w:t>t least 1 PV</w:t>
      </w:r>
      <w:r>
        <w:rPr>
          <w:rFonts w:ascii="Times New Roman" w:eastAsia="Times New Roman" w:hAnsi="Times New Roman" w:cs="Times New Roman"/>
          <w:sz w:val="16"/>
          <w:szCs w:val="16"/>
          <w:u w:val="single"/>
          <w:lang w:val="en-GB"/>
        </w:rPr>
        <w:t>E or option-list and no PVE or o</w:t>
      </w:r>
      <w:r w:rsidRPr="005B1E5B">
        <w:rPr>
          <w:rFonts w:ascii="Times New Roman" w:eastAsia="Times New Roman" w:hAnsi="Times New Roman" w:cs="Times New Roman"/>
          <w:sz w:val="16"/>
          <w:szCs w:val="16"/>
          <w:u w:val="single"/>
          <w:lang w:val="en-GB"/>
        </w:rPr>
        <w:t>ption-</w:t>
      </w:r>
      <w:r>
        <w:rPr>
          <w:rFonts w:ascii="Times New Roman" w:eastAsia="Times New Roman" w:hAnsi="Times New Roman" w:cs="Times New Roman"/>
          <w:sz w:val="16"/>
          <w:szCs w:val="16"/>
          <w:u w:val="single"/>
          <w:lang w:val="en-GB"/>
        </w:rPr>
        <w:t>list.</w:t>
      </w:r>
    </w:p>
    <w:p w14:paraId="24DBF7F3" w14:textId="7CCB2BA1" w:rsidR="00C14D49" w:rsidRDefault="00C14D49">
      <w:pPr>
        <w:rPr>
          <w:rFonts w:ascii="Times New Roman" w:eastAsia="Times New Roman" w:hAnsi="Times New Roman" w:cs="Times New Roman"/>
          <w:color w:val="FF0000"/>
          <w:lang w:val="en-GB"/>
        </w:rPr>
      </w:pPr>
      <w:r>
        <w:rPr>
          <w:rFonts w:ascii="Times New Roman" w:eastAsia="Times New Roman" w:hAnsi="Times New Roman" w:cs="Times New Roman"/>
          <w:color w:val="FF0000"/>
          <w:lang w:val="en-GB"/>
        </w:rPr>
        <w:br w:type="page"/>
      </w:r>
    </w:p>
    <w:p w14:paraId="1955B0A2" w14:textId="77777777" w:rsidR="008E055E" w:rsidRDefault="008E055E" w:rsidP="00177807">
      <w:pPr>
        <w:spacing w:line="480" w:lineRule="auto"/>
        <w:outlineLvl w:val="0"/>
        <w:rPr>
          <w:rFonts w:ascii="Times New Roman" w:eastAsia="Times New Roman" w:hAnsi="Times New Roman" w:cs="Times New Roman"/>
          <w:color w:val="FF0000"/>
          <w:lang w:val="en-GB"/>
        </w:rPr>
      </w:pPr>
    </w:p>
    <w:p w14:paraId="25C3EBC9" w14:textId="16468205" w:rsidR="008E055E" w:rsidRPr="00EF6CDD" w:rsidRDefault="008E055E" w:rsidP="00177807">
      <w:pPr>
        <w:pStyle w:val="ChapfigTables"/>
        <w:spacing w:line="480" w:lineRule="auto"/>
        <w:rPr>
          <w:b w:val="0"/>
          <w:i w:val="0"/>
          <w:u w:val="single"/>
        </w:rPr>
      </w:pPr>
      <w:r w:rsidRPr="00EF6CDD">
        <w:rPr>
          <w:b w:val="0"/>
          <w:i w:val="0"/>
          <w:u w:val="single"/>
        </w:rPr>
        <w:t xml:space="preserve">Table 6.  Multivariate predictors of decisional practice (Odds ratios of consultation </w:t>
      </w:r>
      <w:r w:rsidR="00695CA7">
        <w:rPr>
          <w:b w:val="0"/>
          <w:i w:val="0"/>
          <w:u w:val="single"/>
        </w:rPr>
        <w:t>containing at least one PVE or o</w:t>
      </w:r>
      <w:r w:rsidRPr="00EF6CDD">
        <w:rPr>
          <w:b w:val="0"/>
          <w:i w:val="0"/>
          <w:u w:val="single"/>
        </w:rPr>
        <w:t>ption</w:t>
      </w:r>
      <w:r w:rsidR="00695CA7">
        <w:rPr>
          <w:b w:val="0"/>
          <w:i w:val="0"/>
          <w:u w:val="single"/>
        </w:rPr>
        <w:t>-</w:t>
      </w:r>
      <w:r w:rsidRPr="00EF6CDD">
        <w:rPr>
          <w:b w:val="0"/>
          <w:i w:val="0"/>
          <w:u w:val="single"/>
        </w:rPr>
        <w:t>list)</w:t>
      </w:r>
    </w:p>
    <w:p w14:paraId="683954EF" w14:textId="77777777" w:rsidR="008E055E" w:rsidRDefault="008E055E" w:rsidP="00177807">
      <w:pPr>
        <w:spacing w:line="480" w:lineRule="auto"/>
        <w:outlineLvl w:val="0"/>
        <w:rPr>
          <w:rFonts w:ascii="Times New Roman" w:eastAsia="Times New Roman" w:hAnsi="Times New Roman" w:cs="Times New Roman"/>
          <w:color w:val="FF0000"/>
          <w:lang w:val="en-GB"/>
        </w:rPr>
      </w:pPr>
    </w:p>
    <w:tbl>
      <w:tblPr>
        <w:tblW w:w="8210" w:type="dxa"/>
        <w:tblInd w:w="93" w:type="dxa"/>
        <w:tblLook w:val="04A0" w:firstRow="1" w:lastRow="0" w:firstColumn="1" w:lastColumn="0" w:noHBand="0" w:noVBand="1"/>
      </w:tblPr>
      <w:tblGrid>
        <w:gridCol w:w="1738"/>
        <w:gridCol w:w="2600"/>
        <w:gridCol w:w="719"/>
        <w:gridCol w:w="1217"/>
        <w:gridCol w:w="719"/>
        <w:gridCol w:w="1217"/>
      </w:tblGrid>
      <w:tr w:rsidR="008E055E" w:rsidRPr="000B6165" w14:paraId="5F787E1B" w14:textId="77777777" w:rsidTr="005C55FB">
        <w:trPr>
          <w:trHeight w:val="330"/>
        </w:trPr>
        <w:tc>
          <w:tcPr>
            <w:tcW w:w="17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7C49A2"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 </w:t>
            </w:r>
          </w:p>
        </w:tc>
        <w:tc>
          <w:tcPr>
            <w:tcW w:w="2600" w:type="dxa"/>
            <w:tcBorders>
              <w:top w:val="single" w:sz="8" w:space="0" w:color="auto"/>
              <w:left w:val="nil"/>
              <w:bottom w:val="single" w:sz="8" w:space="0" w:color="auto"/>
              <w:right w:val="single" w:sz="8" w:space="0" w:color="auto"/>
            </w:tcBorders>
            <w:shd w:val="clear" w:color="auto" w:fill="auto"/>
            <w:noWrap/>
            <w:vAlign w:val="center"/>
            <w:hideMark/>
          </w:tcPr>
          <w:p w14:paraId="0D21D2E0"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 </w:t>
            </w:r>
          </w:p>
        </w:tc>
        <w:tc>
          <w:tcPr>
            <w:tcW w:w="1936" w:type="dxa"/>
            <w:gridSpan w:val="2"/>
            <w:tcBorders>
              <w:top w:val="single" w:sz="12" w:space="0" w:color="000000"/>
              <w:left w:val="nil"/>
              <w:bottom w:val="single" w:sz="8" w:space="0" w:color="000000"/>
              <w:right w:val="single" w:sz="8" w:space="0" w:color="000000"/>
            </w:tcBorders>
            <w:shd w:val="clear" w:color="auto" w:fill="auto"/>
            <w:vAlign w:val="center"/>
            <w:hideMark/>
          </w:tcPr>
          <w:p w14:paraId="65A39B23" w14:textId="77777777" w:rsidR="008E055E" w:rsidRPr="00EF6CDD" w:rsidRDefault="008E055E" w:rsidP="00177807">
            <w:pPr>
              <w:spacing w:line="480" w:lineRule="auto"/>
              <w:jc w:val="center"/>
              <w:rPr>
                <w:rFonts w:ascii="Arial" w:eastAsia="Times New Roman" w:hAnsi="Arial" w:cs="Arial"/>
                <w:color w:val="000000"/>
                <w:sz w:val="16"/>
                <w:szCs w:val="16"/>
                <w:lang w:val="en-GB" w:eastAsia="en-GB"/>
              </w:rPr>
            </w:pPr>
            <w:r w:rsidRPr="00EF6CDD">
              <w:rPr>
                <w:rFonts w:ascii="Arial" w:eastAsia="Times New Roman" w:hAnsi="Arial" w:cs="Arial"/>
                <w:color w:val="000000"/>
                <w:sz w:val="16"/>
                <w:szCs w:val="16"/>
                <w:lang w:val="en-GB" w:eastAsia="en-GB"/>
              </w:rPr>
              <w:t>Specification 1 (n= 112)</w:t>
            </w:r>
          </w:p>
        </w:tc>
        <w:tc>
          <w:tcPr>
            <w:tcW w:w="1936" w:type="dxa"/>
            <w:gridSpan w:val="2"/>
            <w:tcBorders>
              <w:top w:val="single" w:sz="12" w:space="0" w:color="000000"/>
              <w:left w:val="nil"/>
              <w:bottom w:val="single" w:sz="8" w:space="0" w:color="000000"/>
              <w:right w:val="single" w:sz="8" w:space="0" w:color="000000"/>
            </w:tcBorders>
            <w:shd w:val="clear" w:color="auto" w:fill="auto"/>
            <w:vAlign w:val="center"/>
            <w:hideMark/>
          </w:tcPr>
          <w:p w14:paraId="50837DA8" w14:textId="77777777" w:rsidR="008E055E" w:rsidRPr="00EF6CDD" w:rsidRDefault="008E055E" w:rsidP="00177807">
            <w:pPr>
              <w:spacing w:line="480" w:lineRule="auto"/>
              <w:jc w:val="center"/>
              <w:rPr>
                <w:rFonts w:ascii="Arial" w:eastAsia="Times New Roman" w:hAnsi="Arial" w:cs="Arial"/>
                <w:color w:val="000000"/>
                <w:sz w:val="16"/>
                <w:szCs w:val="16"/>
                <w:lang w:val="en-GB" w:eastAsia="en-GB"/>
              </w:rPr>
            </w:pPr>
            <w:r w:rsidRPr="00EF6CDD">
              <w:rPr>
                <w:rFonts w:ascii="Arial" w:eastAsia="Times New Roman" w:hAnsi="Arial" w:cs="Arial"/>
                <w:color w:val="000000"/>
                <w:sz w:val="16"/>
                <w:szCs w:val="16"/>
                <w:lang w:val="en-GB" w:eastAsia="en-GB"/>
              </w:rPr>
              <w:t>Specification 2 (n= 144)</w:t>
            </w:r>
          </w:p>
        </w:tc>
      </w:tr>
      <w:tr w:rsidR="008E055E" w:rsidRPr="000B6165" w14:paraId="35798317" w14:textId="77777777" w:rsidTr="005C55FB">
        <w:trPr>
          <w:trHeight w:val="315"/>
        </w:trPr>
        <w:tc>
          <w:tcPr>
            <w:tcW w:w="1738" w:type="dxa"/>
            <w:tcBorders>
              <w:top w:val="nil"/>
              <w:left w:val="single" w:sz="8" w:space="0" w:color="auto"/>
              <w:bottom w:val="single" w:sz="8" w:space="0" w:color="auto"/>
              <w:right w:val="single" w:sz="8" w:space="0" w:color="auto"/>
            </w:tcBorders>
            <w:shd w:val="clear" w:color="auto" w:fill="auto"/>
            <w:noWrap/>
            <w:vAlign w:val="center"/>
            <w:hideMark/>
          </w:tcPr>
          <w:p w14:paraId="2C8AB71D"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 </w:t>
            </w:r>
          </w:p>
        </w:tc>
        <w:tc>
          <w:tcPr>
            <w:tcW w:w="2600" w:type="dxa"/>
            <w:tcBorders>
              <w:top w:val="nil"/>
              <w:left w:val="nil"/>
              <w:bottom w:val="single" w:sz="8" w:space="0" w:color="auto"/>
              <w:right w:val="single" w:sz="8" w:space="0" w:color="auto"/>
            </w:tcBorders>
            <w:shd w:val="clear" w:color="auto" w:fill="auto"/>
            <w:noWrap/>
            <w:vAlign w:val="center"/>
            <w:hideMark/>
          </w:tcPr>
          <w:p w14:paraId="609F9D30"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 </w:t>
            </w:r>
          </w:p>
        </w:tc>
        <w:tc>
          <w:tcPr>
            <w:tcW w:w="719" w:type="dxa"/>
            <w:tcBorders>
              <w:top w:val="nil"/>
              <w:left w:val="nil"/>
              <w:bottom w:val="single" w:sz="8" w:space="0" w:color="auto"/>
              <w:right w:val="single" w:sz="8" w:space="0" w:color="auto"/>
            </w:tcBorders>
            <w:shd w:val="clear" w:color="auto" w:fill="auto"/>
            <w:noWrap/>
            <w:vAlign w:val="center"/>
            <w:hideMark/>
          </w:tcPr>
          <w:p w14:paraId="665E297B"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OR</w:t>
            </w:r>
          </w:p>
        </w:tc>
        <w:tc>
          <w:tcPr>
            <w:tcW w:w="1217" w:type="dxa"/>
            <w:tcBorders>
              <w:top w:val="nil"/>
              <w:left w:val="nil"/>
              <w:bottom w:val="single" w:sz="8" w:space="0" w:color="auto"/>
              <w:right w:val="single" w:sz="8" w:space="0" w:color="auto"/>
            </w:tcBorders>
            <w:shd w:val="clear" w:color="auto" w:fill="auto"/>
            <w:noWrap/>
            <w:vAlign w:val="center"/>
            <w:hideMark/>
          </w:tcPr>
          <w:p w14:paraId="456A34DE"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95% CI</w:t>
            </w:r>
          </w:p>
        </w:tc>
        <w:tc>
          <w:tcPr>
            <w:tcW w:w="719" w:type="dxa"/>
            <w:tcBorders>
              <w:top w:val="nil"/>
              <w:left w:val="nil"/>
              <w:bottom w:val="single" w:sz="8" w:space="0" w:color="auto"/>
              <w:right w:val="single" w:sz="8" w:space="0" w:color="auto"/>
            </w:tcBorders>
            <w:shd w:val="clear" w:color="auto" w:fill="auto"/>
            <w:noWrap/>
            <w:vAlign w:val="center"/>
            <w:hideMark/>
          </w:tcPr>
          <w:p w14:paraId="167AF2AE"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OR</w:t>
            </w:r>
          </w:p>
        </w:tc>
        <w:tc>
          <w:tcPr>
            <w:tcW w:w="1217" w:type="dxa"/>
            <w:tcBorders>
              <w:top w:val="nil"/>
              <w:left w:val="nil"/>
              <w:bottom w:val="single" w:sz="8" w:space="0" w:color="auto"/>
              <w:right w:val="single" w:sz="8" w:space="0" w:color="auto"/>
            </w:tcBorders>
            <w:shd w:val="clear" w:color="auto" w:fill="auto"/>
            <w:noWrap/>
            <w:vAlign w:val="center"/>
            <w:hideMark/>
          </w:tcPr>
          <w:p w14:paraId="05BCC260"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95% CI</w:t>
            </w:r>
          </w:p>
        </w:tc>
      </w:tr>
      <w:tr w:rsidR="008E055E" w:rsidRPr="000B6165" w14:paraId="719E3B66" w14:textId="77777777" w:rsidTr="005C55FB">
        <w:trPr>
          <w:trHeight w:val="315"/>
        </w:trPr>
        <w:tc>
          <w:tcPr>
            <w:tcW w:w="1738" w:type="dxa"/>
            <w:tcBorders>
              <w:top w:val="nil"/>
              <w:left w:val="single" w:sz="8" w:space="0" w:color="auto"/>
              <w:bottom w:val="single" w:sz="8" w:space="0" w:color="auto"/>
              <w:right w:val="single" w:sz="8" w:space="0" w:color="auto"/>
            </w:tcBorders>
            <w:shd w:val="clear" w:color="auto" w:fill="auto"/>
            <w:noWrap/>
            <w:vAlign w:val="center"/>
            <w:hideMark/>
          </w:tcPr>
          <w:p w14:paraId="11A6D543"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Site</w:t>
            </w:r>
          </w:p>
        </w:tc>
        <w:tc>
          <w:tcPr>
            <w:tcW w:w="2600" w:type="dxa"/>
            <w:tcBorders>
              <w:top w:val="nil"/>
              <w:left w:val="nil"/>
              <w:bottom w:val="single" w:sz="8" w:space="0" w:color="auto"/>
              <w:right w:val="single" w:sz="8" w:space="0" w:color="auto"/>
            </w:tcBorders>
            <w:shd w:val="clear" w:color="auto" w:fill="auto"/>
            <w:noWrap/>
            <w:vAlign w:val="center"/>
            <w:hideMark/>
          </w:tcPr>
          <w:p w14:paraId="48501EE4"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Glasgow</w:t>
            </w:r>
          </w:p>
        </w:tc>
        <w:tc>
          <w:tcPr>
            <w:tcW w:w="719" w:type="dxa"/>
            <w:tcBorders>
              <w:top w:val="nil"/>
              <w:left w:val="nil"/>
              <w:bottom w:val="single" w:sz="8" w:space="0" w:color="auto"/>
              <w:right w:val="single" w:sz="8" w:space="0" w:color="auto"/>
            </w:tcBorders>
            <w:shd w:val="clear" w:color="auto" w:fill="auto"/>
            <w:noWrap/>
            <w:vAlign w:val="center"/>
            <w:hideMark/>
          </w:tcPr>
          <w:p w14:paraId="44BDE978" w14:textId="77777777" w:rsidR="008E055E" w:rsidRPr="00EF6CDD" w:rsidRDefault="008E055E" w:rsidP="00177807">
            <w:pPr>
              <w:spacing w:line="480" w:lineRule="auto"/>
              <w:jc w:val="right"/>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0.45</w:t>
            </w:r>
          </w:p>
        </w:tc>
        <w:tc>
          <w:tcPr>
            <w:tcW w:w="1217" w:type="dxa"/>
            <w:tcBorders>
              <w:top w:val="nil"/>
              <w:left w:val="nil"/>
              <w:bottom w:val="single" w:sz="8" w:space="0" w:color="auto"/>
              <w:right w:val="single" w:sz="8" w:space="0" w:color="auto"/>
            </w:tcBorders>
            <w:shd w:val="clear" w:color="auto" w:fill="auto"/>
            <w:noWrap/>
            <w:vAlign w:val="center"/>
            <w:hideMark/>
          </w:tcPr>
          <w:p w14:paraId="44B275DD"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0.17 - 1.31</w:t>
            </w:r>
          </w:p>
        </w:tc>
        <w:tc>
          <w:tcPr>
            <w:tcW w:w="719" w:type="dxa"/>
            <w:tcBorders>
              <w:top w:val="nil"/>
              <w:left w:val="nil"/>
              <w:bottom w:val="single" w:sz="8" w:space="0" w:color="auto"/>
              <w:right w:val="single" w:sz="8" w:space="0" w:color="auto"/>
            </w:tcBorders>
            <w:shd w:val="clear" w:color="auto" w:fill="auto"/>
            <w:noWrap/>
            <w:vAlign w:val="center"/>
            <w:hideMark/>
          </w:tcPr>
          <w:p w14:paraId="0D606DE3" w14:textId="77777777" w:rsidR="008E055E" w:rsidRPr="00EF6CDD" w:rsidRDefault="008E055E" w:rsidP="00177807">
            <w:pPr>
              <w:spacing w:line="480" w:lineRule="auto"/>
              <w:rPr>
                <w:rFonts w:ascii="Calibri" w:eastAsia="Times New Roman" w:hAnsi="Calibri" w:cs="Times New Roman"/>
                <w:b/>
                <w:bCs/>
                <w:color w:val="000000"/>
                <w:sz w:val="16"/>
                <w:szCs w:val="16"/>
                <w:lang w:val="en-GB" w:eastAsia="en-GB"/>
              </w:rPr>
            </w:pPr>
            <w:r w:rsidRPr="00EF6CDD">
              <w:rPr>
                <w:rFonts w:ascii="Calibri" w:eastAsia="Times New Roman" w:hAnsi="Calibri" w:cs="Times New Roman"/>
                <w:b/>
                <w:bCs/>
                <w:color w:val="000000"/>
                <w:sz w:val="16"/>
                <w:szCs w:val="16"/>
                <w:lang w:val="en-GB" w:eastAsia="en-GB"/>
              </w:rPr>
              <w:t>0.37*</w:t>
            </w:r>
          </w:p>
        </w:tc>
        <w:tc>
          <w:tcPr>
            <w:tcW w:w="1217" w:type="dxa"/>
            <w:tcBorders>
              <w:top w:val="nil"/>
              <w:left w:val="nil"/>
              <w:bottom w:val="single" w:sz="8" w:space="0" w:color="auto"/>
              <w:right w:val="single" w:sz="8" w:space="0" w:color="auto"/>
            </w:tcBorders>
            <w:shd w:val="clear" w:color="auto" w:fill="auto"/>
            <w:noWrap/>
            <w:vAlign w:val="center"/>
            <w:hideMark/>
          </w:tcPr>
          <w:p w14:paraId="476465B2"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.15 - .91</w:t>
            </w:r>
          </w:p>
        </w:tc>
      </w:tr>
      <w:tr w:rsidR="008E055E" w:rsidRPr="000B6165" w14:paraId="38872FE1" w14:textId="77777777" w:rsidTr="005C55FB">
        <w:trPr>
          <w:trHeight w:val="315"/>
        </w:trPr>
        <w:tc>
          <w:tcPr>
            <w:tcW w:w="1738" w:type="dxa"/>
            <w:tcBorders>
              <w:top w:val="nil"/>
              <w:left w:val="single" w:sz="8" w:space="0" w:color="auto"/>
              <w:bottom w:val="single" w:sz="8" w:space="0" w:color="auto"/>
              <w:right w:val="single" w:sz="8" w:space="0" w:color="auto"/>
            </w:tcBorders>
            <w:shd w:val="clear" w:color="auto" w:fill="auto"/>
            <w:noWrap/>
            <w:vAlign w:val="center"/>
            <w:hideMark/>
          </w:tcPr>
          <w:p w14:paraId="5E599ACF"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Clinic type</w:t>
            </w:r>
          </w:p>
        </w:tc>
        <w:tc>
          <w:tcPr>
            <w:tcW w:w="2600" w:type="dxa"/>
            <w:tcBorders>
              <w:top w:val="nil"/>
              <w:left w:val="nil"/>
              <w:bottom w:val="single" w:sz="8" w:space="0" w:color="auto"/>
              <w:right w:val="single" w:sz="8" w:space="0" w:color="auto"/>
            </w:tcBorders>
            <w:shd w:val="clear" w:color="auto" w:fill="auto"/>
            <w:noWrap/>
            <w:vAlign w:val="center"/>
            <w:hideMark/>
          </w:tcPr>
          <w:p w14:paraId="2E94E0A0"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General</w:t>
            </w:r>
          </w:p>
        </w:tc>
        <w:tc>
          <w:tcPr>
            <w:tcW w:w="719" w:type="dxa"/>
            <w:tcBorders>
              <w:top w:val="nil"/>
              <w:left w:val="nil"/>
              <w:bottom w:val="single" w:sz="8" w:space="0" w:color="auto"/>
              <w:right w:val="single" w:sz="8" w:space="0" w:color="auto"/>
            </w:tcBorders>
            <w:shd w:val="clear" w:color="auto" w:fill="auto"/>
            <w:noWrap/>
            <w:vAlign w:val="center"/>
            <w:hideMark/>
          </w:tcPr>
          <w:p w14:paraId="207A2368" w14:textId="77777777" w:rsidR="008E055E" w:rsidRPr="00EF6CDD" w:rsidRDefault="008E055E" w:rsidP="00177807">
            <w:pPr>
              <w:spacing w:line="480" w:lineRule="auto"/>
              <w:jc w:val="right"/>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0.42</w:t>
            </w:r>
          </w:p>
        </w:tc>
        <w:tc>
          <w:tcPr>
            <w:tcW w:w="1217" w:type="dxa"/>
            <w:tcBorders>
              <w:top w:val="nil"/>
              <w:left w:val="nil"/>
              <w:bottom w:val="single" w:sz="8" w:space="0" w:color="auto"/>
              <w:right w:val="single" w:sz="8" w:space="0" w:color="auto"/>
            </w:tcBorders>
            <w:shd w:val="clear" w:color="auto" w:fill="auto"/>
            <w:noWrap/>
            <w:vAlign w:val="center"/>
            <w:hideMark/>
          </w:tcPr>
          <w:p w14:paraId="08AD18FD"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0.12 - 1.40</w:t>
            </w:r>
          </w:p>
        </w:tc>
        <w:tc>
          <w:tcPr>
            <w:tcW w:w="719" w:type="dxa"/>
            <w:tcBorders>
              <w:top w:val="nil"/>
              <w:left w:val="nil"/>
              <w:bottom w:val="single" w:sz="8" w:space="0" w:color="auto"/>
              <w:right w:val="single" w:sz="8" w:space="0" w:color="auto"/>
            </w:tcBorders>
            <w:shd w:val="clear" w:color="auto" w:fill="auto"/>
            <w:noWrap/>
            <w:vAlign w:val="center"/>
            <w:hideMark/>
          </w:tcPr>
          <w:p w14:paraId="73A44AF8" w14:textId="77777777" w:rsidR="008E055E" w:rsidRPr="00EF6CDD" w:rsidRDefault="008E055E" w:rsidP="00177807">
            <w:pPr>
              <w:spacing w:line="480" w:lineRule="auto"/>
              <w:jc w:val="right"/>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0.68</w:t>
            </w:r>
          </w:p>
        </w:tc>
        <w:tc>
          <w:tcPr>
            <w:tcW w:w="1217" w:type="dxa"/>
            <w:tcBorders>
              <w:top w:val="nil"/>
              <w:left w:val="nil"/>
              <w:bottom w:val="single" w:sz="8" w:space="0" w:color="auto"/>
              <w:right w:val="single" w:sz="8" w:space="0" w:color="auto"/>
            </w:tcBorders>
            <w:shd w:val="clear" w:color="auto" w:fill="auto"/>
            <w:noWrap/>
            <w:vAlign w:val="center"/>
            <w:hideMark/>
          </w:tcPr>
          <w:p w14:paraId="00DCFA9E"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0.23 - 2.02</w:t>
            </w:r>
          </w:p>
        </w:tc>
      </w:tr>
      <w:tr w:rsidR="008E055E" w:rsidRPr="000B6165" w14:paraId="1065718C" w14:textId="77777777" w:rsidTr="005C55FB">
        <w:trPr>
          <w:trHeight w:val="315"/>
        </w:trPr>
        <w:tc>
          <w:tcPr>
            <w:tcW w:w="1738" w:type="dxa"/>
            <w:tcBorders>
              <w:top w:val="nil"/>
              <w:left w:val="single" w:sz="8" w:space="0" w:color="auto"/>
              <w:bottom w:val="single" w:sz="8" w:space="0" w:color="auto"/>
              <w:right w:val="single" w:sz="8" w:space="0" w:color="auto"/>
            </w:tcBorders>
            <w:shd w:val="clear" w:color="auto" w:fill="auto"/>
            <w:noWrap/>
            <w:vAlign w:val="center"/>
            <w:hideMark/>
          </w:tcPr>
          <w:p w14:paraId="35449239"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Symptoms</w:t>
            </w:r>
          </w:p>
        </w:tc>
        <w:tc>
          <w:tcPr>
            <w:tcW w:w="2600" w:type="dxa"/>
            <w:tcBorders>
              <w:top w:val="nil"/>
              <w:left w:val="nil"/>
              <w:bottom w:val="single" w:sz="8" w:space="0" w:color="auto"/>
              <w:right w:val="single" w:sz="8" w:space="0" w:color="auto"/>
            </w:tcBorders>
            <w:shd w:val="clear" w:color="auto" w:fill="auto"/>
            <w:noWrap/>
            <w:vAlign w:val="center"/>
            <w:hideMark/>
          </w:tcPr>
          <w:p w14:paraId="22AA5E97"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Completely unexplained</w:t>
            </w:r>
          </w:p>
        </w:tc>
        <w:tc>
          <w:tcPr>
            <w:tcW w:w="719" w:type="dxa"/>
            <w:tcBorders>
              <w:top w:val="nil"/>
              <w:left w:val="nil"/>
              <w:bottom w:val="single" w:sz="8" w:space="0" w:color="auto"/>
              <w:right w:val="single" w:sz="8" w:space="0" w:color="auto"/>
            </w:tcBorders>
            <w:shd w:val="clear" w:color="auto" w:fill="auto"/>
            <w:noWrap/>
            <w:vAlign w:val="center"/>
            <w:hideMark/>
          </w:tcPr>
          <w:p w14:paraId="7CFB7E13" w14:textId="77777777" w:rsidR="008E055E" w:rsidRPr="00EF6CDD" w:rsidRDefault="008E055E" w:rsidP="00177807">
            <w:pPr>
              <w:spacing w:line="480" w:lineRule="auto"/>
              <w:jc w:val="right"/>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1.31</w:t>
            </w:r>
          </w:p>
        </w:tc>
        <w:tc>
          <w:tcPr>
            <w:tcW w:w="1217" w:type="dxa"/>
            <w:tcBorders>
              <w:top w:val="nil"/>
              <w:left w:val="nil"/>
              <w:bottom w:val="single" w:sz="8" w:space="0" w:color="auto"/>
              <w:right w:val="single" w:sz="8" w:space="0" w:color="auto"/>
            </w:tcBorders>
            <w:shd w:val="clear" w:color="auto" w:fill="auto"/>
            <w:noWrap/>
            <w:vAlign w:val="center"/>
            <w:hideMark/>
          </w:tcPr>
          <w:p w14:paraId="57209A15"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0.29- 5.83</w:t>
            </w:r>
          </w:p>
        </w:tc>
        <w:tc>
          <w:tcPr>
            <w:tcW w:w="719" w:type="dxa"/>
            <w:tcBorders>
              <w:top w:val="nil"/>
              <w:left w:val="nil"/>
              <w:bottom w:val="single" w:sz="8" w:space="0" w:color="auto"/>
              <w:right w:val="single" w:sz="8" w:space="0" w:color="auto"/>
            </w:tcBorders>
            <w:shd w:val="clear" w:color="auto" w:fill="auto"/>
            <w:noWrap/>
            <w:vAlign w:val="center"/>
            <w:hideMark/>
          </w:tcPr>
          <w:p w14:paraId="18C40926" w14:textId="77777777" w:rsidR="008E055E" w:rsidRPr="00EF6CDD" w:rsidRDefault="008E055E" w:rsidP="00177807">
            <w:pPr>
              <w:spacing w:line="480" w:lineRule="auto"/>
              <w:jc w:val="right"/>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2.3</w:t>
            </w:r>
          </w:p>
        </w:tc>
        <w:tc>
          <w:tcPr>
            <w:tcW w:w="1217" w:type="dxa"/>
            <w:tcBorders>
              <w:top w:val="nil"/>
              <w:left w:val="nil"/>
              <w:bottom w:val="single" w:sz="8" w:space="0" w:color="auto"/>
              <w:right w:val="single" w:sz="8" w:space="0" w:color="auto"/>
            </w:tcBorders>
            <w:shd w:val="clear" w:color="auto" w:fill="auto"/>
            <w:noWrap/>
            <w:vAlign w:val="center"/>
            <w:hideMark/>
          </w:tcPr>
          <w:p w14:paraId="339FB166"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.70 - 7.45</w:t>
            </w:r>
          </w:p>
        </w:tc>
      </w:tr>
      <w:tr w:rsidR="008E055E" w:rsidRPr="000B6165" w14:paraId="12A2E294" w14:textId="77777777" w:rsidTr="005C55FB">
        <w:trPr>
          <w:trHeight w:val="315"/>
        </w:trPr>
        <w:tc>
          <w:tcPr>
            <w:tcW w:w="1738" w:type="dxa"/>
            <w:tcBorders>
              <w:top w:val="nil"/>
              <w:left w:val="single" w:sz="8" w:space="0" w:color="auto"/>
              <w:bottom w:val="single" w:sz="8" w:space="0" w:color="auto"/>
              <w:right w:val="single" w:sz="8" w:space="0" w:color="auto"/>
            </w:tcBorders>
            <w:shd w:val="clear" w:color="auto" w:fill="auto"/>
            <w:noWrap/>
            <w:vAlign w:val="center"/>
            <w:hideMark/>
          </w:tcPr>
          <w:p w14:paraId="1EC1B305"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 </w:t>
            </w:r>
          </w:p>
        </w:tc>
        <w:tc>
          <w:tcPr>
            <w:tcW w:w="2600" w:type="dxa"/>
            <w:tcBorders>
              <w:top w:val="nil"/>
              <w:left w:val="nil"/>
              <w:bottom w:val="single" w:sz="8" w:space="0" w:color="auto"/>
              <w:right w:val="single" w:sz="8" w:space="0" w:color="auto"/>
            </w:tcBorders>
            <w:shd w:val="clear" w:color="auto" w:fill="auto"/>
            <w:noWrap/>
            <w:vAlign w:val="center"/>
            <w:hideMark/>
          </w:tcPr>
          <w:p w14:paraId="07FD9246"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Partly explained</w:t>
            </w:r>
          </w:p>
        </w:tc>
        <w:tc>
          <w:tcPr>
            <w:tcW w:w="719" w:type="dxa"/>
            <w:tcBorders>
              <w:top w:val="nil"/>
              <w:left w:val="nil"/>
              <w:bottom w:val="single" w:sz="8" w:space="0" w:color="auto"/>
              <w:right w:val="single" w:sz="8" w:space="0" w:color="auto"/>
            </w:tcBorders>
            <w:shd w:val="clear" w:color="auto" w:fill="auto"/>
            <w:noWrap/>
            <w:vAlign w:val="center"/>
            <w:hideMark/>
          </w:tcPr>
          <w:p w14:paraId="25E13789" w14:textId="77777777" w:rsidR="008E055E" w:rsidRPr="00EF6CDD" w:rsidRDefault="008E055E" w:rsidP="00177807">
            <w:pPr>
              <w:spacing w:line="480" w:lineRule="auto"/>
              <w:jc w:val="right"/>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0.94</w:t>
            </w:r>
          </w:p>
        </w:tc>
        <w:tc>
          <w:tcPr>
            <w:tcW w:w="1217" w:type="dxa"/>
            <w:tcBorders>
              <w:top w:val="nil"/>
              <w:left w:val="nil"/>
              <w:bottom w:val="single" w:sz="8" w:space="0" w:color="auto"/>
              <w:right w:val="single" w:sz="8" w:space="0" w:color="auto"/>
            </w:tcBorders>
            <w:shd w:val="clear" w:color="auto" w:fill="auto"/>
            <w:noWrap/>
            <w:vAlign w:val="center"/>
            <w:hideMark/>
          </w:tcPr>
          <w:p w14:paraId="4C1C4DC6"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.33 - 2.67</w:t>
            </w:r>
          </w:p>
        </w:tc>
        <w:tc>
          <w:tcPr>
            <w:tcW w:w="719" w:type="dxa"/>
            <w:tcBorders>
              <w:top w:val="nil"/>
              <w:left w:val="nil"/>
              <w:bottom w:val="single" w:sz="8" w:space="0" w:color="auto"/>
              <w:right w:val="single" w:sz="8" w:space="0" w:color="auto"/>
            </w:tcBorders>
            <w:shd w:val="clear" w:color="auto" w:fill="auto"/>
            <w:noWrap/>
            <w:vAlign w:val="center"/>
            <w:hideMark/>
          </w:tcPr>
          <w:p w14:paraId="74E077F3" w14:textId="77777777" w:rsidR="008E055E" w:rsidRPr="00EF6CDD" w:rsidRDefault="008E055E" w:rsidP="00177807">
            <w:pPr>
              <w:spacing w:line="480" w:lineRule="auto"/>
              <w:jc w:val="right"/>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1.44</w:t>
            </w:r>
          </w:p>
        </w:tc>
        <w:tc>
          <w:tcPr>
            <w:tcW w:w="1217" w:type="dxa"/>
            <w:tcBorders>
              <w:top w:val="nil"/>
              <w:left w:val="nil"/>
              <w:bottom w:val="single" w:sz="8" w:space="0" w:color="auto"/>
              <w:right w:val="single" w:sz="8" w:space="0" w:color="auto"/>
            </w:tcBorders>
            <w:shd w:val="clear" w:color="auto" w:fill="auto"/>
            <w:noWrap/>
            <w:vAlign w:val="center"/>
            <w:hideMark/>
          </w:tcPr>
          <w:p w14:paraId="62668901"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.55 - 3.76</w:t>
            </w:r>
          </w:p>
        </w:tc>
      </w:tr>
      <w:tr w:rsidR="008E055E" w:rsidRPr="000B6165" w14:paraId="7A263086" w14:textId="77777777" w:rsidTr="005C55FB">
        <w:trPr>
          <w:trHeight w:val="315"/>
        </w:trPr>
        <w:tc>
          <w:tcPr>
            <w:tcW w:w="1738" w:type="dxa"/>
            <w:tcBorders>
              <w:top w:val="nil"/>
              <w:left w:val="single" w:sz="8" w:space="0" w:color="auto"/>
              <w:bottom w:val="single" w:sz="8" w:space="0" w:color="auto"/>
              <w:right w:val="single" w:sz="8" w:space="0" w:color="auto"/>
            </w:tcBorders>
            <w:shd w:val="clear" w:color="auto" w:fill="auto"/>
            <w:noWrap/>
            <w:vAlign w:val="center"/>
            <w:hideMark/>
          </w:tcPr>
          <w:p w14:paraId="0DDAFADF"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First appointment?</w:t>
            </w:r>
          </w:p>
        </w:tc>
        <w:tc>
          <w:tcPr>
            <w:tcW w:w="2600" w:type="dxa"/>
            <w:tcBorders>
              <w:top w:val="nil"/>
              <w:left w:val="nil"/>
              <w:bottom w:val="single" w:sz="8" w:space="0" w:color="auto"/>
              <w:right w:val="single" w:sz="8" w:space="0" w:color="auto"/>
            </w:tcBorders>
            <w:shd w:val="clear" w:color="auto" w:fill="auto"/>
            <w:noWrap/>
            <w:vAlign w:val="center"/>
            <w:hideMark/>
          </w:tcPr>
          <w:p w14:paraId="24D6EBD8"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First</w:t>
            </w:r>
          </w:p>
        </w:tc>
        <w:tc>
          <w:tcPr>
            <w:tcW w:w="719" w:type="dxa"/>
            <w:tcBorders>
              <w:top w:val="nil"/>
              <w:left w:val="nil"/>
              <w:bottom w:val="single" w:sz="8" w:space="0" w:color="auto"/>
              <w:right w:val="single" w:sz="8" w:space="0" w:color="auto"/>
            </w:tcBorders>
            <w:shd w:val="clear" w:color="auto" w:fill="auto"/>
            <w:noWrap/>
            <w:vAlign w:val="center"/>
            <w:hideMark/>
          </w:tcPr>
          <w:p w14:paraId="64228519" w14:textId="77777777" w:rsidR="008E055E" w:rsidRPr="00EF6CDD" w:rsidRDefault="008E055E" w:rsidP="00177807">
            <w:pPr>
              <w:spacing w:line="480" w:lineRule="auto"/>
              <w:jc w:val="right"/>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0.46</w:t>
            </w:r>
          </w:p>
        </w:tc>
        <w:tc>
          <w:tcPr>
            <w:tcW w:w="1217" w:type="dxa"/>
            <w:tcBorders>
              <w:top w:val="nil"/>
              <w:left w:val="nil"/>
              <w:bottom w:val="single" w:sz="8" w:space="0" w:color="auto"/>
              <w:right w:val="single" w:sz="8" w:space="0" w:color="auto"/>
            </w:tcBorders>
            <w:shd w:val="clear" w:color="auto" w:fill="auto"/>
            <w:noWrap/>
            <w:vAlign w:val="center"/>
            <w:hideMark/>
          </w:tcPr>
          <w:p w14:paraId="1B5902CD"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.16 - 1.31</w:t>
            </w:r>
          </w:p>
        </w:tc>
        <w:tc>
          <w:tcPr>
            <w:tcW w:w="719" w:type="dxa"/>
            <w:tcBorders>
              <w:top w:val="nil"/>
              <w:left w:val="nil"/>
              <w:bottom w:val="single" w:sz="8" w:space="0" w:color="auto"/>
              <w:right w:val="single" w:sz="8" w:space="0" w:color="auto"/>
            </w:tcBorders>
            <w:shd w:val="clear" w:color="auto" w:fill="auto"/>
            <w:noWrap/>
            <w:vAlign w:val="center"/>
            <w:hideMark/>
          </w:tcPr>
          <w:p w14:paraId="40CD2978"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w:t>
            </w:r>
          </w:p>
        </w:tc>
        <w:tc>
          <w:tcPr>
            <w:tcW w:w="1217" w:type="dxa"/>
            <w:tcBorders>
              <w:top w:val="nil"/>
              <w:left w:val="nil"/>
              <w:bottom w:val="single" w:sz="8" w:space="0" w:color="auto"/>
              <w:right w:val="single" w:sz="8" w:space="0" w:color="auto"/>
            </w:tcBorders>
            <w:shd w:val="clear" w:color="auto" w:fill="auto"/>
            <w:noWrap/>
            <w:vAlign w:val="center"/>
            <w:hideMark/>
          </w:tcPr>
          <w:p w14:paraId="19BCC6E0"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w:t>
            </w:r>
          </w:p>
        </w:tc>
      </w:tr>
      <w:tr w:rsidR="008E055E" w:rsidRPr="000B6165" w14:paraId="3143F195" w14:textId="77777777" w:rsidTr="005C55FB">
        <w:trPr>
          <w:trHeight w:val="315"/>
        </w:trPr>
        <w:tc>
          <w:tcPr>
            <w:tcW w:w="1738" w:type="dxa"/>
            <w:tcBorders>
              <w:top w:val="nil"/>
              <w:left w:val="single" w:sz="8" w:space="0" w:color="auto"/>
              <w:bottom w:val="single" w:sz="8" w:space="0" w:color="auto"/>
              <w:right w:val="single" w:sz="8" w:space="0" w:color="auto"/>
            </w:tcBorders>
            <w:shd w:val="clear" w:color="auto" w:fill="auto"/>
            <w:noWrap/>
            <w:vAlign w:val="center"/>
            <w:hideMark/>
          </w:tcPr>
          <w:p w14:paraId="26208AE1"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Certainty</w:t>
            </w:r>
          </w:p>
        </w:tc>
        <w:tc>
          <w:tcPr>
            <w:tcW w:w="2600" w:type="dxa"/>
            <w:tcBorders>
              <w:top w:val="nil"/>
              <w:left w:val="nil"/>
              <w:bottom w:val="single" w:sz="8" w:space="0" w:color="auto"/>
              <w:right w:val="single" w:sz="8" w:space="0" w:color="auto"/>
            </w:tcBorders>
            <w:shd w:val="clear" w:color="auto" w:fill="auto"/>
            <w:noWrap/>
            <w:vAlign w:val="center"/>
            <w:hideMark/>
          </w:tcPr>
          <w:p w14:paraId="497C9981"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 </w:t>
            </w:r>
          </w:p>
        </w:tc>
        <w:tc>
          <w:tcPr>
            <w:tcW w:w="719" w:type="dxa"/>
            <w:tcBorders>
              <w:top w:val="nil"/>
              <w:left w:val="nil"/>
              <w:bottom w:val="single" w:sz="8" w:space="0" w:color="auto"/>
              <w:right w:val="single" w:sz="8" w:space="0" w:color="auto"/>
            </w:tcBorders>
            <w:shd w:val="clear" w:color="auto" w:fill="auto"/>
            <w:noWrap/>
            <w:vAlign w:val="center"/>
            <w:hideMark/>
          </w:tcPr>
          <w:p w14:paraId="4C19B371" w14:textId="77777777" w:rsidR="008E055E" w:rsidRPr="00EF6CDD" w:rsidRDefault="008E055E" w:rsidP="00177807">
            <w:pPr>
              <w:spacing w:line="480" w:lineRule="auto"/>
              <w:rPr>
                <w:rFonts w:ascii="Calibri" w:eastAsia="Times New Roman" w:hAnsi="Calibri" w:cs="Times New Roman"/>
                <w:b/>
                <w:bCs/>
                <w:color w:val="000000"/>
                <w:sz w:val="16"/>
                <w:szCs w:val="16"/>
                <w:lang w:val="en-GB" w:eastAsia="en-GB"/>
              </w:rPr>
            </w:pPr>
            <w:r w:rsidRPr="00EF6CDD">
              <w:rPr>
                <w:rFonts w:ascii="Calibri" w:eastAsia="Times New Roman" w:hAnsi="Calibri" w:cs="Times New Roman"/>
                <w:b/>
                <w:bCs/>
                <w:color w:val="000000"/>
                <w:sz w:val="16"/>
                <w:szCs w:val="16"/>
                <w:lang w:val="en-GB" w:eastAsia="en-GB"/>
              </w:rPr>
              <w:t>1.59*</w:t>
            </w:r>
          </w:p>
        </w:tc>
        <w:tc>
          <w:tcPr>
            <w:tcW w:w="1217" w:type="dxa"/>
            <w:tcBorders>
              <w:top w:val="nil"/>
              <w:left w:val="nil"/>
              <w:bottom w:val="single" w:sz="8" w:space="0" w:color="auto"/>
              <w:right w:val="single" w:sz="8" w:space="0" w:color="auto"/>
            </w:tcBorders>
            <w:shd w:val="clear" w:color="auto" w:fill="auto"/>
            <w:noWrap/>
            <w:vAlign w:val="center"/>
            <w:hideMark/>
          </w:tcPr>
          <w:p w14:paraId="1105DE21"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1.20- 2.09</w:t>
            </w:r>
          </w:p>
        </w:tc>
        <w:tc>
          <w:tcPr>
            <w:tcW w:w="719" w:type="dxa"/>
            <w:tcBorders>
              <w:top w:val="nil"/>
              <w:left w:val="nil"/>
              <w:bottom w:val="single" w:sz="8" w:space="0" w:color="auto"/>
              <w:right w:val="single" w:sz="8" w:space="0" w:color="auto"/>
            </w:tcBorders>
            <w:shd w:val="clear" w:color="auto" w:fill="auto"/>
            <w:noWrap/>
            <w:vAlign w:val="center"/>
            <w:hideMark/>
          </w:tcPr>
          <w:p w14:paraId="292756EE" w14:textId="77777777" w:rsidR="008E055E" w:rsidRPr="00EF6CDD" w:rsidRDefault="008E055E" w:rsidP="00177807">
            <w:pPr>
              <w:spacing w:line="480" w:lineRule="auto"/>
              <w:rPr>
                <w:rFonts w:ascii="Calibri" w:eastAsia="Times New Roman" w:hAnsi="Calibri" w:cs="Times New Roman"/>
                <w:b/>
                <w:bCs/>
                <w:color w:val="000000"/>
                <w:sz w:val="16"/>
                <w:szCs w:val="16"/>
                <w:lang w:val="en-GB" w:eastAsia="en-GB"/>
              </w:rPr>
            </w:pPr>
            <w:r w:rsidRPr="00EF6CDD">
              <w:rPr>
                <w:rFonts w:ascii="Calibri" w:eastAsia="Times New Roman" w:hAnsi="Calibri" w:cs="Times New Roman"/>
                <w:b/>
                <w:bCs/>
                <w:color w:val="000000"/>
                <w:sz w:val="16"/>
                <w:szCs w:val="16"/>
                <w:lang w:val="en-GB" w:eastAsia="en-GB"/>
              </w:rPr>
              <w:t>1.30~</w:t>
            </w:r>
          </w:p>
        </w:tc>
        <w:tc>
          <w:tcPr>
            <w:tcW w:w="1217" w:type="dxa"/>
            <w:tcBorders>
              <w:top w:val="nil"/>
              <w:left w:val="nil"/>
              <w:bottom w:val="single" w:sz="8" w:space="0" w:color="auto"/>
              <w:right w:val="single" w:sz="8" w:space="0" w:color="auto"/>
            </w:tcBorders>
            <w:shd w:val="clear" w:color="auto" w:fill="auto"/>
            <w:noWrap/>
            <w:vAlign w:val="center"/>
            <w:hideMark/>
          </w:tcPr>
          <w:p w14:paraId="653EB21D"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.97 - 1.7</w:t>
            </w:r>
          </w:p>
        </w:tc>
      </w:tr>
      <w:tr w:rsidR="008E055E" w:rsidRPr="000B6165" w14:paraId="5FD70A85" w14:textId="77777777" w:rsidTr="005C55FB">
        <w:trPr>
          <w:trHeight w:val="315"/>
        </w:trPr>
        <w:tc>
          <w:tcPr>
            <w:tcW w:w="1738" w:type="dxa"/>
            <w:tcBorders>
              <w:top w:val="nil"/>
              <w:left w:val="single" w:sz="8" w:space="0" w:color="auto"/>
              <w:bottom w:val="single" w:sz="8" w:space="0" w:color="auto"/>
              <w:right w:val="single" w:sz="8" w:space="0" w:color="auto"/>
            </w:tcBorders>
            <w:shd w:val="clear" w:color="auto" w:fill="auto"/>
            <w:noWrap/>
            <w:vAlign w:val="center"/>
            <w:hideMark/>
          </w:tcPr>
          <w:p w14:paraId="16979BF3"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Age</w:t>
            </w:r>
          </w:p>
        </w:tc>
        <w:tc>
          <w:tcPr>
            <w:tcW w:w="2600" w:type="dxa"/>
            <w:tcBorders>
              <w:top w:val="nil"/>
              <w:left w:val="nil"/>
              <w:bottom w:val="single" w:sz="8" w:space="0" w:color="auto"/>
              <w:right w:val="single" w:sz="8" w:space="0" w:color="auto"/>
            </w:tcBorders>
            <w:shd w:val="clear" w:color="auto" w:fill="auto"/>
            <w:noWrap/>
            <w:vAlign w:val="center"/>
            <w:hideMark/>
          </w:tcPr>
          <w:p w14:paraId="5146834E"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 </w:t>
            </w:r>
          </w:p>
        </w:tc>
        <w:tc>
          <w:tcPr>
            <w:tcW w:w="719" w:type="dxa"/>
            <w:tcBorders>
              <w:top w:val="nil"/>
              <w:left w:val="nil"/>
              <w:bottom w:val="single" w:sz="8" w:space="0" w:color="auto"/>
              <w:right w:val="single" w:sz="8" w:space="0" w:color="auto"/>
            </w:tcBorders>
            <w:shd w:val="clear" w:color="auto" w:fill="auto"/>
            <w:noWrap/>
            <w:vAlign w:val="center"/>
            <w:hideMark/>
          </w:tcPr>
          <w:p w14:paraId="192832DC" w14:textId="77777777" w:rsidR="008E055E" w:rsidRPr="00EF6CDD" w:rsidRDefault="008E055E" w:rsidP="00177807">
            <w:pPr>
              <w:spacing w:line="480" w:lineRule="auto"/>
              <w:jc w:val="right"/>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0.98</w:t>
            </w:r>
          </w:p>
        </w:tc>
        <w:tc>
          <w:tcPr>
            <w:tcW w:w="1217" w:type="dxa"/>
            <w:tcBorders>
              <w:top w:val="nil"/>
              <w:left w:val="nil"/>
              <w:bottom w:val="single" w:sz="8" w:space="0" w:color="auto"/>
              <w:right w:val="single" w:sz="8" w:space="0" w:color="auto"/>
            </w:tcBorders>
            <w:shd w:val="clear" w:color="auto" w:fill="auto"/>
            <w:noWrap/>
            <w:vAlign w:val="center"/>
            <w:hideMark/>
          </w:tcPr>
          <w:p w14:paraId="3633EE80"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.95 - 1.01</w:t>
            </w:r>
          </w:p>
        </w:tc>
        <w:tc>
          <w:tcPr>
            <w:tcW w:w="719" w:type="dxa"/>
            <w:tcBorders>
              <w:top w:val="nil"/>
              <w:left w:val="nil"/>
              <w:bottom w:val="single" w:sz="8" w:space="0" w:color="auto"/>
              <w:right w:val="single" w:sz="8" w:space="0" w:color="auto"/>
            </w:tcBorders>
            <w:shd w:val="clear" w:color="auto" w:fill="auto"/>
            <w:noWrap/>
            <w:vAlign w:val="center"/>
            <w:hideMark/>
          </w:tcPr>
          <w:p w14:paraId="01517068" w14:textId="77777777" w:rsidR="008E055E" w:rsidRPr="00EF6CDD" w:rsidRDefault="008E055E" w:rsidP="00177807">
            <w:pPr>
              <w:keepNext/>
              <w:keepLines/>
              <w:spacing w:before="200" w:line="480" w:lineRule="auto"/>
              <w:jc w:val="right"/>
              <w:outlineLvl w:val="5"/>
              <w:rPr>
                <w:rFonts w:ascii="Calibri" w:eastAsia="Times New Roman" w:hAnsi="Calibri" w:cs="Times New Roman"/>
                <w:b/>
                <w:color w:val="000000"/>
                <w:sz w:val="16"/>
                <w:szCs w:val="16"/>
                <w:lang w:val="en-GB" w:eastAsia="en-GB"/>
              </w:rPr>
            </w:pPr>
            <w:r w:rsidRPr="00EF6CDD">
              <w:rPr>
                <w:rFonts w:ascii="Calibri" w:eastAsia="Times New Roman" w:hAnsi="Calibri" w:cs="Times New Roman"/>
                <w:b/>
                <w:color w:val="000000"/>
                <w:sz w:val="16"/>
                <w:szCs w:val="16"/>
                <w:lang w:val="en-GB" w:eastAsia="en-GB"/>
              </w:rPr>
              <w:t>0.91*</w:t>
            </w:r>
          </w:p>
        </w:tc>
        <w:tc>
          <w:tcPr>
            <w:tcW w:w="1217" w:type="dxa"/>
            <w:tcBorders>
              <w:top w:val="nil"/>
              <w:left w:val="nil"/>
              <w:bottom w:val="single" w:sz="8" w:space="0" w:color="auto"/>
              <w:right w:val="single" w:sz="8" w:space="0" w:color="auto"/>
            </w:tcBorders>
            <w:shd w:val="clear" w:color="auto" w:fill="auto"/>
            <w:noWrap/>
            <w:vAlign w:val="center"/>
            <w:hideMark/>
          </w:tcPr>
          <w:p w14:paraId="2C51F955" w14:textId="77777777" w:rsidR="008E055E" w:rsidRPr="00EF6CDD" w:rsidRDefault="008E055E" w:rsidP="00177807">
            <w:pPr>
              <w:spacing w:line="480" w:lineRule="auto"/>
              <w:rPr>
                <w:rFonts w:ascii="Calibri" w:eastAsia="Times New Roman" w:hAnsi="Calibri" w:cs="Times New Roman"/>
                <w:color w:val="000000"/>
                <w:sz w:val="16"/>
                <w:szCs w:val="16"/>
                <w:lang w:val="en-GB" w:eastAsia="en-GB"/>
              </w:rPr>
            </w:pPr>
            <w:r w:rsidRPr="00EF6CDD">
              <w:rPr>
                <w:rFonts w:ascii="Calibri" w:eastAsia="Times New Roman" w:hAnsi="Calibri" w:cs="Times New Roman"/>
                <w:color w:val="000000"/>
                <w:sz w:val="16"/>
                <w:szCs w:val="16"/>
                <w:lang w:val="en-GB" w:eastAsia="en-GB"/>
              </w:rPr>
              <w:t>.95 - 0.99</w:t>
            </w:r>
          </w:p>
        </w:tc>
      </w:tr>
    </w:tbl>
    <w:p w14:paraId="57BB7116" w14:textId="77777777" w:rsidR="008E055E" w:rsidRPr="00A80983" w:rsidRDefault="008E055E" w:rsidP="00177807">
      <w:pPr>
        <w:pStyle w:val="Chaplegends"/>
        <w:spacing w:line="480" w:lineRule="auto"/>
      </w:pPr>
      <w:r w:rsidRPr="00A80983">
        <w:t>***</w:t>
      </w:r>
      <w:r w:rsidRPr="00A80983">
        <w:tab/>
        <w:t>p ≤ 0.001</w:t>
      </w:r>
    </w:p>
    <w:p w14:paraId="4CEE3634" w14:textId="77777777" w:rsidR="008E055E" w:rsidRPr="00A80983" w:rsidRDefault="008E055E" w:rsidP="00177807">
      <w:pPr>
        <w:pStyle w:val="Chaplegends"/>
        <w:spacing w:line="480" w:lineRule="auto"/>
      </w:pPr>
      <w:r w:rsidRPr="00A80983">
        <w:t>**</w:t>
      </w:r>
      <w:r w:rsidRPr="00A80983">
        <w:tab/>
        <w:t>p ≤ 0.01</w:t>
      </w:r>
    </w:p>
    <w:p w14:paraId="69A2413B" w14:textId="77777777" w:rsidR="008E055E" w:rsidRPr="00A80983" w:rsidRDefault="008E055E" w:rsidP="00177807">
      <w:pPr>
        <w:pStyle w:val="Chaplegends"/>
        <w:spacing w:line="480" w:lineRule="auto"/>
      </w:pPr>
      <w:r w:rsidRPr="00A80983">
        <w:t>*</w:t>
      </w:r>
      <w:r w:rsidRPr="00A80983">
        <w:tab/>
        <w:t>p ≤ 0.05</w:t>
      </w:r>
    </w:p>
    <w:p w14:paraId="10AD5432" w14:textId="77777777" w:rsidR="008E055E" w:rsidRPr="00A80983" w:rsidRDefault="008E055E" w:rsidP="00177807">
      <w:pPr>
        <w:pStyle w:val="Chaplegends"/>
        <w:spacing w:line="480" w:lineRule="auto"/>
      </w:pPr>
      <w:r w:rsidRPr="00A80983">
        <w:t>~</w:t>
      </w:r>
      <w:r w:rsidRPr="00A80983">
        <w:tab/>
        <w:t xml:space="preserve">p </w:t>
      </w:r>
      <w:r>
        <w:t>≤ 0.1</w:t>
      </w:r>
    </w:p>
    <w:p w14:paraId="6483BAE2" w14:textId="77777777" w:rsidR="008E055E" w:rsidRDefault="008E055E" w:rsidP="00177807">
      <w:pPr>
        <w:pStyle w:val="Chaplegends"/>
        <w:spacing w:line="480" w:lineRule="auto"/>
        <w:rPr>
          <w:u w:val="single"/>
        </w:rPr>
      </w:pPr>
      <w:r w:rsidRPr="00A80983">
        <w:rPr>
          <w:u w:val="single"/>
        </w:rPr>
        <w:t xml:space="preserve">NB. </w:t>
      </w:r>
      <w:r>
        <w:rPr>
          <w:u w:val="single"/>
        </w:rPr>
        <w:t xml:space="preserve">Dependent variable reference category is no PVE and/or option-list (only recommendations). </w:t>
      </w:r>
    </w:p>
    <w:p w14:paraId="125BEEB7" w14:textId="77777777" w:rsidR="003C4507" w:rsidRPr="00A80983" w:rsidRDefault="003C4507" w:rsidP="00177807">
      <w:pPr>
        <w:pStyle w:val="Chaplegends"/>
        <w:spacing w:line="480" w:lineRule="auto"/>
        <w:rPr>
          <w:u w:val="single"/>
        </w:rPr>
      </w:pPr>
    </w:p>
    <w:p w14:paraId="6074B4CA" w14:textId="7030F18B" w:rsidR="003C4507" w:rsidRPr="009C36AD" w:rsidRDefault="003C4507" w:rsidP="003C4507">
      <w:pPr>
        <w:spacing w:line="480" w:lineRule="auto"/>
        <w:rPr>
          <w:rFonts w:ascii="Times New Roman" w:eastAsia="Times New Roman" w:hAnsi="Times New Roman" w:cs="Times New Roman"/>
          <w:u w:val="single"/>
          <w:lang w:val="en-GB"/>
        </w:rPr>
      </w:pPr>
      <w:r w:rsidRPr="00B56A1A">
        <w:rPr>
          <w:rFonts w:ascii="Times New Roman" w:eastAsia="Times New Roman" w:hAnsi="Times New Roman" w:cs="Times New Roman"/>
          <w:u w:val="single"/>
          <w:lang w:val="en-GB"/>
        </w:rPr>
        <w:t xml:space="preserve">Table </w:t>
      </w:r>
      <w:r>
        <w:rPr>
          <w:rFonts w:ascii="Times New Roman" w:eastAsia="Times New Roman" w:hAnsi="Times New Roman" w:cs="Times New Roman"/>
          <w:u w:val="single"/>
          <w:lang w:val="en-GB"/>
        </w:rPr>
        <w:t>7</w:t>
      </w:r>
      <w:r w:rsidRPr="00B56A1A">
        <w:rPr>
          <w:rFonts w:ascii="Times New Roman" w:eastAsia="Times New Roman" w:hAnsi="Times New Roman" w:cs="Times New Roman"/>
          <w:u w:val="single"/>
          <w:lang w:val="en-GB"/>
        </w:rPr>
        <w:t xml:space="preserve">.  </w:t>
      </w:r>
      <w:r w:rsidR="00BE4C69">
        <w:rPr>
          <w:rFonts w:ascii="Times New Roman" w:eastAsia="Times New Roman" w:hAnsi="Times New Roman" w:cs="Times New Roman"/>
          <w:u w:val="single"/>
          <w:lang w:val="en-GB"/>
        </w:rPr>
        <w:t xml:space="preserve">Individual neurologists’ use of different decisional practices </w:t>
      </w:r>
      <w:r>
        <w:rPr>
          <w:rFonts w:ascii="Times New Roman" w:eastAsia="Times New Roman" w:hAnsi="Times New Roman" w:cs="Times New Roman"/>
          <w:u w:val="single"/>
          <w:lang w:val="en-GB"/>
        </w:rPr>
        <w:t xml:space="preserve">(row %) </w:t>
      </w:r>
    </w:p>
    <w:p w14:paraId="784892CE" w14:textId="77777777" w:rsidR="003C4507" w:rsidRDefault="003C4507" w:rsidP="003C4507">
      <w:pPr>
        <w:spacing w:line="480" w:lineRule="auto"/>
        <w:rPr>
          <w:rFonts w:ascii="Times New Roman" w:eastAsia="Times New Roman" w:hAnsi="Times New Roman" w:cs="Times New Roman"/>
          <w:sz w:val="16"/>
          <w:szCs w:val="16"/>
          <w:u w:val="single"/>
          <w:lang w:val="en-GB"/>
        </w:rPr>
      </w:pPr>
    </w:p>
    <w:tbl>
      <w:tblPr>
        <w:tblW w:w="688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21"/>
        <w:gridCol w:w="1721"/>
        <w:gridCol w:w="1721"/>
        <w:gridCol w:w="1721"/>
      </w:tblGrid>
      <w:tr w:rsidR="003C4507" w:rsidRPr="00B70D85" w14:paraId="7C4E0975" w14:textId="77777777" w:rsidTr="0063242B">
        <w:trPr>
          <w:trHeight w:val="300"/>
        </w:trPr>
        <w:tc>
          <w:tcPr>
            <w:tcW w:w="1721" w:type="dxa"/>
            <w:shd w:val="clear" w:color="auto" w:fill="auto"/>
            <w:noWrap/>
            <w:vAlign w:val="bottom"/>
            <w:hideMark/>
          </w:tcPr>
          <w:p w14:paraId="1334D87B" w14:textId="77777777" w:rsidR="003C4507" w:rsidRPr="00655F86" w:rsidRDefault="003C4507" w:rsidP="0063242B">
            <w:pPr>
              <w:spacing w:line="480" w:lineRule="auto"/>
              <w:rPr>
                <w:rFonts w:ascii="Calibri" w:eastAsia="Times New Roman" w:hAnsi="Calibri" w:cs="Times New Roman"/>
                <w:b/>
                <w:color w:val="000000"/>
                <w:sz w:val="16"/>
                <w:szCs w:val="16"/>
                <w:lang w:val="en-GB" w:eastAsia="en-GB"/>
              </w:rPr>
            </w:pPr>
          </w:p>
        </w:tc>
        <w:tc>
          <w:tcPr>
            <w:tcW w:w="1721" w:type="dxa"/>
          </w:tcPr>
          <w:p w14:paraId="6D61B308" w14:textId="77777777" w:rsidR="003C4507" w:rsidRDefault="003C4507" w:rsidP="0063242B">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At least one recommendation</w:t>
            </w:r>
          </w:p>
        </w:tc>
        <w:tc>
          <w:tcPr>
            <w:tcW w:w="1721" w:type="dxa"/>
            <w:shd w:val="clear" w:color="auto" w:fill="auto"/>
            <w:noWrap/>
            <w:vAlign w:val="bottom"/>
            <w:hideMark/>
          </w:tcPr>
          <w:p w14:paraId="581E3DA1"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At least 1 PVE</w:t>
            </w:r>
          </w:p>
        </w:tc>
        <w:tc>
          <w:tcPr>
            <w:tcW w:w="1721" w:type="dxa"/>
            <w:shd w:val="clear" w:color="auto" w:fill="auto"/>
            <w:noWrap/>
            <w:vAlign w:val="bottom"/>
            <w:hideMark/>
          </w:tcPr>
          <w:p w14:paraId="1B2F2FEB"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At least 1 Option-list</w:t>
            </w:r>
          </w:p>
        </w:tc>
      </w:tr>
      <w:tr w:rsidR="003C4507" w:rsidRPr="00B70D85" w14:paraId="33B0259A" w14:textId="77777777" w:rsidTr="0063242B">
        <w:trPr>
          <w:trHeight w:val="300"/>
        </w:trPr>
        <w:tc>
          <w:tcPr>
            <w:tcW w:w="1721" w:type="dxa"/>
            <w:shd w:val="clear" w:color="auto" w:fill="auto"/>
            <w:noWrap/>
            <w:vAlign w:val="bottom"/>
          </w:tcPr>
          <w:p w14:paraId="58CDCB75" w14:textId="77777777" w:rsidR="003C4507" w:rsidRPr="002701D6" w:rsidRDefault="003C4507" w:rsidP="0063242B">
            <w:pPr>
              <w:spacing w:line="480" w:lineRule="auto"/>
              <w:rPr>
                <w:rFonts w:ascii="Calibri" w:eastAsia="Times New Roman" w:hAnsi="Calibri" w:cs="Times New Roman"/>
                <w:b/>
                <w:color w:val="000000"/>
                <w:sz w:val="16"/>
                <w:szCs w:val="16"/>
                <w:lang w:val="en-GB" w:eastAsia="en-GB"/>
              </w:rPr>
            </w:pPr>
          </w:p>
        </w:tc>
        <w:tc>
          <w:tcPr>
            <w:tcW w:w="1721" w:type="dxa"/>
          </w:tcPr>
          <w:p w14:paraId="6A032E61"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p>
        </w:tc>
        <w:tc>
          <w:tcPr>
            <w:tcW w:w="1721" w:type="dxa"/>
            <w:shd w:val="clear" w:color="auto" w:fill="auto"/>
            <w:noWrap/>
            <w:vAlign w:val="bottom"/>
          </w:tcPr>
          <w:p w14:paraId="17172824"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p>
        </w:tc>
        <w:tc>
          <w:tcPr>
            <w:tcW w:w="1721" w:type="dxa"/>
            <w:shd w:val="clear" w:color="auto" w:fill="auto"/>
            <w:noWrap/>
            <w:vAlign w:val="bottom"/>
          </w:tcPr>
          <w:p w14:paraId="6E6BABF1"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p>
        </w:tc>
      </w:tr>
      <w:tr w:rsidR="003C4507" w:rsidRPr="00B70D85" w14:paraId="1A22DC55" w14:textId="77777777" w:rsidTr="0063242B">
        <w:trPr>
          <w:trHeight w:val="300"/>
        </w:trPr>
        <w:tc>
          <w:tcPr>
            <w:tcW w:w="1721" w:type="dxa"/>
            <w:shd w:val="clear" w:color="auto" w:fill="auto"/>
            <w:noWrap/>
            <w:vAlign w:val="bottom"/>
            <w:hideMark/>
          </w:tcPr>
          <w:p w14:paraId="079F51E7" w14:textId="77777777" w:rsidR="003C4507" w:rsidRPr="002701D6" w:rsidRDefault="003C4507" w:rsidP="0063242B">
            <w:pPr>
              <w:spacing w:line="480" w:lineRule="auto"/>
              <w:rPr>
                <w:rFonts w:ascii="Calibri" w:eastAsia="Times New Roman" w:hAnsi="Calibri" w:cs="Times New Roman"/>
                <w:b/>
                <w:color w:val="000000"/>
                <w:sz w:val="16"/>
                <w:szCs w:val="16"/>
                <w:lang w:val="en-GB" w:eastAsia="en-GB"/>
              </w:rPr>
            </w:pPr>
            <w:r w:rsidRPr="002701D6">
              <w:rPr>
                <w:rFonts w:ascii="Calibri" w:eastAsia="Times New Roman" w:hAnsi="Calibri" w:cs="Times New Roman"/>
                <w:b/>
                <w:color w:val="000000"/>
                <w:sz w:val="16"/>
                <w:szCs w:val="16"/>
                <w:lang w:val="en-GB" w:eastAsia="en-GB"/>
              </w:rPr>
              <w:t xml:space="preserve">All </w:t>
            </w:r>
          </w:p>
        </w:tc>
        <w:tc>
          <w:tcPr>
            <w:tcW w:w="1721" w:type="dxa"/>
          </w:tcPr>
          <w:p w14:paraId="0615ACF0"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91.0%</w:t>
            </w:r>
          </w:p>
        </w:tc>
        <w:tc>
          <w:tcPr>
            <w:tcW w:w="1721" w:type="dxa"/>
            <w:shd w:val="clear" w:color="auto" w:fill="auto"/>
            <w:noWrap/>
            <w:vAlign w:val="bottom"/>
            <w:hideMark/>
          </w:tcPr>
          <w:p w14:paraId="08983880"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55.6% (n=80)</w:t>
            </w:r>
          </w:p>
        </w:tc>
        <w:tc>
          <w:tcPr>
            <w:tcW w:w="1721" w:type="dxa"/>
            <w:shd w:val="clear" w:color="auto" w:fill="auto"/>
            <w:noWrap/>
            <w:vAlign w:val="bottom"/>
            <w:hideMark/>
          </w:tcPr>
          <w:p w14:paraId="52BC3AA6"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44.4% (n=64)</w:t>
            </w:r>
          </w:p>
        </w:tc>
      </w:tr>
      <w:tr w:rsidR="003C4507" w:rsidRPr="00B70D85" w14:paraId="59EC930C" w14:textId="77777777" w:rsidTr="0063242B">
        <w:trPr>
          <w:trHeight w:val="300"/>
        </w:trPr>
        <w:tc>
          <w:tcPr>
            <w:tcW w:w="1721" w:type="dxa"/>
            <w:shd w:val="clear" w:color="auto" w:fill="auto"/>
            <w:noWrap/>
            <w:vAlign w:val="bottom"/>
          </w:tcPr>
          <w:p w14:paraId="466B5D2E" w14:textId="77777777" w:rsidR="003C4507" w:rsidRPr="002701D6" w:rsidRDefault="003C4507" w:rsidP="0063242B">
            <w:pPr>
              <w:spacing w:line="480" w:lineRule="auto"/>
              <w:rPr>
                <w:rFonts w:ascii="Calibri" w:eastAsia="Times New Roman" w:hAnsi="Calibri" w:cs="Times New Roman"/>
                <w:b/>
                <w:color w:val="000000"/>
                <w:sz w:val="16"/>
                <w:szCs w:val="16"/>
                <w:lang w:val="en-GB" w:eastAsia="en-GB"/>
              </w:rPr>
            </w:pPr>
          </w:p>
        </w:tc>
        <w:tc>
          <w:tcPr>
            <w:tcW w:w="1721" w:type="dxa"/>
          </w:tcPr>
          <w:p w14:paraId="1FE27F4F"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p>
        </w:tc>
        <w:tc>
          <w:tcPr>
            <w:tcW w:w="1721" w:type="dxa"/>
            <w:shd w:val="clear" w:color="auto" w:fill="auto"/>
            <w:noWrap/>
            <w:vAlign w:val="bottom"/>
          </w:tcPr>
          <w:p w14:paraId="4F3ACC1F"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p>
        </w:tc>
        <w:tc>
          <w:tcPr>
            <w:tcW w:w="1721" w:type="dxa"/>
            <w:shd w:val="clear" w:color="auto" w:fill="auto"/>
            <w:noWrap/>
            <w:vAlign w:val="bottom"/>
          </w:tcPr>
          <w:p w14:paraId="1DB5939C"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p>
        </w:tc>
      </w:tr>
      <w:tr w:rsidR="003C4507" w:rsidRPr="00D22B3E" w14:paraId="58FB3E56" w14:textId="77777777" w:rsidTr="0063242B">
        <w:trPr>
          <w:trHeight w:val="300"/>
        </w:trPr>
        <w:tc>
          <w:tcPr>
            <w:tcW w:w="1721" w:type="dxa"/>
            <w:shd w:val="clear" w:color="auto" w:fill="auto"/>
            <w:noWrap/>
            <w:vAlign w:val="bottom"/>
            <w:hideMark/>
          </w:tcPr>
          <w:p w14:paraId="63D22938"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Neurologist</w:t>
            </w:r>
          </w:p>
        </w:tc>
        <w:tc>
          <w:tcPr>
            <w:tcW w:w="1721" w:type="dxa"/>
          </w:tcPr>
          <w:p w14:paraId="10843ED6"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p>
        </w:tc>
        <w:tc>
          <w:tcPr>
            <w:tcW w:w="1721" w:type="dxa"/>
            <w:shd w:val="clear" w:color="auto" w:fill="auto"/>
            <w:noWrap/>
            <w:vAlign w:val="bottom"/>
            <w:hideMark/>
          </w:tcPr>
          <w:p w14:paraId="3C6B4406"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 </w:t>
            </w:r>
          </w:p>
        </w:tc>
        <w:tc>
          <w:tcPr>
            <w:tcW w:w="1721" w:type="dxa"/>
            <w:shd w:val="clear" w:color="auto" w:fill="auto"/>
            <w:noWrap/>
            <w:vAlign w:val="bottom"/>
            <w:hideMark/>
          </w:tcPr>
          <w:p w14:paraId="7A1D816D"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 xml:space="preserve"> </w:t>
            </w:r>
          </w:p>
        </w:tc>
      </w:tr>
      <w:tr w:rsidR="003C4507" w:rsidRPr="00D22B3E" w14:paraId="5FB39FC0" w14:textId="77777777" w:rsidTr="0063242B">
        <w:trPr>
          <w:trHeight w:val="300"/>
        </w:trPr>
        <w:tc>
          <w:tcPr>
            <w:tcW w:w="1721" w:type="dxa"/>
            <w:shd w:val="clear" w:color="auto" w:fill="auto"/>
            <w:noWrap/>
            <w:vAlign w:val="bottom"/>
            <w:hideMark/>
          </w:tcPr>
          <w:p w14:paraId="3993604E"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Sheffield 2 (n=10)</w:t>
            </w:r>
          </w:p>
        </w:tc>
        <w:tc>
          <w:tcPr>
            <w:tcW w:w="1721" w:type="dxa"/>
          </w:tcPr>
          <w:p w14:paraId="65E25BDD"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90%**</w:t>
            </w:r>
          </w:p>
        </w:tc>
        <w:tc>
          <w:tcPr>
            <w:tcW w:w="1721" w:type="dxa"/>
            <w:shd w:val="clear" w:color="auto" w:fill="auto"/>
            <w:noWrap/>
            <w:vAlign w:val="bottom"/>
            <w:hideMark/>
          </w:tcPr>
          <w:p w14:paraId="37EB0AB9"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50.0%**</w:t>
            </w:r>
          </w:p>
        </w:tc>
        <w:tc>
          <w:tcPr>
            <w:tcW w:w="1721" w:type="dxa"/>
            <w:shd w:val="clear" w:color="auto" w:fill="auto"/>
            <w:noWrap/>
            <w:vAlign w:val="bottom"/>
            <w:hideMark/>
          </w:tcPr>
          <w:p w14:paraId="4F072217"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0.0%ᵃ</w:t>
            </w:r>
          </w:p>
        </w:tc>
      </w:tr>
      <w:tr w:rsidR="003C4507" w:rsidRPr="00D22B3E" w14:paraId="3A5B0F57" w14:textId="77777777" w:rsidTr="0063242B">
        <w:trPr>
          <w:trHeight w:val="300"/>
        </w:trPr>
        <w:tc>
          <w:tcPr>
            <w:tcW w:w="1721" w:type="dxa"/>
            <w:shd w:val="clear" w:color="auto" w:fill="auto"/>
            <w:noWrap/>
            <w:vAlign w:val="bottom"/>
            <w:hideMark/>
          </w:tcPr>
          <w:p w14:paraId="090468F6"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Sheffield 3 (n=14)</w:t>
            </w:r>
          </w:p>
        </w:tc>
        <w:tc>
          <w:tcPr>
            <w:tcW w:w="1721" w:type="dxa"/>
          </w:tcPr>
          <w:p w14:paraId="093B618A"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85.7%**</w:t>
            </w:r>
          </w:p>
        </w:tc>
        <w:tc>
          <w:tcPr>
            <w:tcW w:w="1721" w:type="dxa"/>
            <w:shd w:val="clear" w:color="auto" w:fill="auto"/>
            <w:noWrap/>
            <w:vAlign w:val="bottom"/>
            <w:hideMark/>
          </w:tcPr>
          <w:p w14:paraId="46199924"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50.0%**</w:t>
            </w:r>
          </w:p>
        </w:tc>
        <w:tc>
          <w:tcPr>
            <w:tcW w:w="1721" w:type="dxa"/>
            <w:shd w:val="clear" w:color="auto" w:fill="auto"/>
            <w:noWrap/>
            <w:vAlign w:val="bottom"/>
            <w:hideMark/>
          </w:tcPr>
          <w:p w14:paraId="5F14C1C8"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7.1%ᵃ</w:t>
            </w:r>
          </w:p>
        </w:tc>
      </w:tr>
      <w:tr w:rsidR="003C4507" w:rsidRPr="00D22B3E" w14:paraId="648404D0" w14:textId="77777777" w:rsidTr="0063242B">
        <w:trPr>
          <w:trHeight w:val="300"/>
        </w:trPr>
        <w:tc>
          <w:tcPr>
            <w:tcW w:w="1721" w:type="dxa"/>
            <w:shd w:val="clear" w:color="auto" w:fill="auto"/>
            <w:noWrap/>
            <w:vAlign w:val="bottom"/>
            <w:hideMark/>
          </w:tcPr>
          <w:p w14:paraId="526855D8"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Sheffield 4 (n=19)</w:t>
            </w:r>
          </w:p>
        </w:tc>
        <w:tc>
          <w:tcPr>
            <w:tcW w:w="1721" w:type="dxa"/>
          </w:tcPr>
          <w:p w14:paraId="07B22620"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73.7%**</w:t>
            </w:r>
          </w:p>
        </w:tc>
        <w:tc>
          <w:tcPr>
            <w:tcW w:w="1721" w:type="dxa"/>
            <w:shd w:val="clear" w:color="auto" w:fill="auto"/>
            <w:noWrap/>
            <w:vAlign w:val="bottom"/>
            <w:hideMark/>
          </w:tcPr>
          <w:p w14:paraId="586D4741"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100.0%**</w:t>
            </w:r>
          </w:p>
        </w:tc>
        <w:tc>
          <w:tcPr>
            <w:tcW w:w="1721" w:type="dxa"/>
            <w:shd w:val="clear" w:color="auto" w:fill="auto"/>
            <w:noWrap/>
            <w:vAlign w:val="bottom"/>
            <w:hideMark/>
          </w:tcPr>
          <w:p w14:paraId="73537A34"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36.8%ᵃ</w:t>
            </w:r>
          </w:p>
        </w:tc>
      </w:tr>
      <w:tr w:rsidR="003C4507" w:rsidRPr="00D22B3E" w14:paraId="348CADE8" w14:textId="77777777" w:rsidTr="0063242B">
        <w:trPr>
          <w:trHeight w:val="300"/>
        </w:trPr>
        <w:tc>
          <w:tcPr>
            <w:tcW w:w="1721" w:type="dxa"/>
            <w:shd w:val="clear" w:color="auto" w:fill="auto"/>
            <w:noWrap/>
            <w:vAlign w:val="bottom"/>
            <w:hideMark/>
          </w:tcPr>
          <w:p w14:paraId="37B99D5E"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Sheffield 6 (n= 12)</w:t>
            </w:r>
          </w:p>
        </w:tc>
        <w:tc>
          <w:tcPr>
            <w:tcW w:w="1721" w:type="dxa"/>
          </w:tcPr>
          <w:p w14:paraId="66D6F803"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100.0%**</w:t>
            </w:r>
          </w:p>
        </w:tc>
        <w:tc>
          <w:tcPr>
            <w:tcW w:w="1721" w:type="dxa"/>
            <w:shd w:val="clear" w:color="auto" w:fill="auto"/>
            <w:noWrap/>
            <w:vAlign w:val="bottom"/>
            <w:hideMark/>
          </w:tcPr>
          <w:p w14:paraId="5FF57543"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41.7%**</w:t>
            </w:r>
          </w:p>
        </w:tc>
        <w:tc>
          <w:tcPr>
            <w:tcW w:w="1721" w:type="dxa"/>
            <w:shd w:val="clear" w:color="auto" w:fill="auto"/>
            <w:noWrap/>
            <w:vAlign w:val="bottom"/>
            <w:hideMark/>
          </w:tcPr>
          <w:p w14:paraId="66A073F0"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25.0%ᵃ</w:t>
            </w:r>
          </w:p>
        </w:tc>
      </w:tr>
      <w:tr w:rsidR="003C4507" w:rsidRPr="00D22B3E" w14:paraId="7390282A" w14:textId="77777777" w:rsidTr="0063242B">
        <w:trPr>
          <w:trHeight w:val="300"/>
        </w:trPr>
        <w:tc>
          <w:tcPr>
            <w:tcW w:w="1721" w:type="dxa"/>
            <w:shd w:val="clear" w:color="auto" w:fill="auto"/>
            <w:noWrap/>
            <w:vAlign w:val="bottom"/>
            <w:hideMark/>
          </w:tcPr>
          <w:p w14:paraId="13F87074"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lastRenderedPageBreak/>
              <w:t>Sheffield rest (n=18)</w:t>
            </w:r>
          </w:p>
        </w:tc>
        <w:tc>
          <w:tcPr>
            <w:tcW w:w="1721" w:type="dxa"/>
          </w:tcPr>
          <w:p w14:paraId="3CFEDD72"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83.3%**</w:t>
            </w:r>
          </w:p>
        </w:tc>
        <w:tc>
          <w:tcPr>
            <w:tcW w:w="1721" w:type="dxa"/>
            <w:shd w:val="clear" w:color="auto" w:fill="auto"/>
            <w:noWrap/>
            <w:vAlign w:val="bottom"/>
            <w:hideMark/>
          </w:tcPr>
          <w:p w14:paraId="188226F3"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72.2%**</w:t>
            </w:r>
          </w:p>
        </w:tc>
        <w:tc>
          <w:tcPr>
            <w:tcW w:w="1721" w:type="dxa"/>
            <w:shd w:val="clear" w:color="auto" w:fill="auto"/>
            <w:noWrap/>
            <w:vAlign w:val="bottom"/>
            <w:hideMark/>
          </w:tcPr>
          <w:p w14:paraId="541CE529"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22.2%ᵃ</w:t>
            </w:r>
          </w:p>
        </w:tc>
      </w:tr>
      <w:tr w:rsidR="003C4507" w:rsidRPr="00D22B3E" w14:paraId="4BE88A98" w14:textId="77777777" w:rsidTr="0063242B">
        <w:trPr>
          <w:trHeight w:val="300"/>
        </w:trPr>
        <w:tc>
          <w:tcPr>
            <w:tcW w:w="1721" w:type="dxa"/>
            <w:shd w:val="clear" w:color="auto" w:fill="auto"/>
            <w:noWrap/>
            <w:vAlign w:val="bottom"/>
            <w:hideMark/>
          </w:tcPr>
          <w:p w14:paraId="7C61BE07"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Glasgow 1 (n=23)</w:t>
            </w:r>
          </w:p>
        </w:tc>
        <w:tc>
          <w:tcPr>
            <w:tcW w:w="1721" w:type="dxa"/>
          </w:tcPr>
          <w:p w14:paraId="4CC40C9A"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100.0%**</w:t>
            </w:r>
          </w:p>
        </w:tc>
        <w:tc>
          <w:tcPr>
            <w:tcW w:w="1721" w:type="dxa"/>
            <w:shd w:val="clear" w:color="auto" w:fill="auto"/>
            <w:noWrap/>
            <w:vAlign w:val="bottom"/>
            <w:hideMark/>
          </w:tcPr>
          <w:p w14:paraId="182445BE"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30.4%**</w:t>
            </w:r>
          </w:p>
        </w:tc>
        <w:tc>
          <w:tcPr>
            <w:tcW w:w="1721" w:type="dxa"/>
            <w:shd w:val="clear" w:color="auto" w:fill="auto"/>
            <w:noWrap/>
            <w:vAlign w:val="bottom"/>
            <w:hideMark/>
          </w:tcPr>
          <w:p w14:paraId="42943CAD"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4.3%ᵃ</w:t>
            </w:r>
          </w:p>
        </w:tc>
      </w:tr>
      <w:tr w:rsidR="003C4507" w:rsidRPr="00D22B3E" w14:paraId="47E0C80C" w14:textId="77777777" w:rsidTr="0063242B">
        <w:trPr>
          <w:trHeight w:val="300"/>
        </w:trPr>
        <w:tc>
          <w:tcPr>
            <w:tcW w:w="1721" w:type="dxa"/>
            <w:shd w:val="clear" w:color="auto" w:fill="auto"/>
            <w:noWrap/>
            <w:vAlign w:val="bottom"/>
            <w:hideMark/>
          </w:tcPr>
          <w:p w14:paraId="3319C994"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Glasgow 2 (n=13)</w:t>
            </w:r>
          </w:p>
        </w:tc>
        <w:tc>
          <w:tcPr>
            <w:tcW w:w="1721" w:type="dxa"/>
          </w:tcPr>
          <w:p w14:paraId="7F56FCDE"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92.3%**</w:t>
            </w:r>
          </w:p>
        </w:tc>
        <w:tc>
          <w:tcPr>
            <w:tcW w:w="1721" w:type="dxa"/>
            <w:shd w:val="clear" w:color="auto" w:fill="auto"/>
            <w:noWrap/>
            <w:vAlign w:val="bottom"/>
            <w:hideMark/>
          </w:tcPr>
          <w:p w14:paraId="472FC324"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38.5%**</w:t>
            </w:r>
          </w:p>
        </w:tc>
        <w:tc>
          <w:tcPr>
            <w:tcW w:w="1721" w:type="dxa"/>
            <w:shd w:val="clear" w:color="auto" w:fill="auto"/>
            <w:noWrap/>
            <w:vAlign w:val="bottom"/>
            <w:hideMark/>
          </w:tcPr>
          <w:p w14:paraId="0E5E048A"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0.0%ᵃ</w:t>
            </w:r>
          </w:p>
        </w:tc>
      </w:tr>
      <w:tr w:rsidR="003C4507" w:rsidRPr="00D22B3E" w14:paraId="211AF883" w14:textId="77777777" w:rsidTr="0063242B">
        <w:trPr>
          <w:trHeight w:val="300"/>
        </w:trPr>
        <w:tc>
          <w:tcPr>
            <w:tcW w:w="1721" w:type="dxa"/>
            <w:shd w:val="clear" w:color="auto" w:fill="auto"/>
            <w:noWrap/>
            <w:vAlign w:val="bottom"/>
            <w:hideMark/>
          </w:tcPr>
          <w:p w14:paraId="15674AC1"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Glasgow 4 (n=12)</w:t>
            </w:r>
          </w:p>
        </w:tc>
        <w:tc>
          <w:tcPr>
            <w:tcW w:w="1721" w:type="dxa"/>
          </w:tcPr>
          <w:p w14:paraId="36AB9226"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100.0%**</w:t>
            </w:r>
          </w:p>
        </w:tc>
        <w:tc>
          <w:tcPr>
            <w:tcW w:w="1721" w:type="dxa"/>
            <w:shd w:val="clear" w:color="auto" w:fill="auto"/>
            <w:noWrap/>
            <w:vAlign w:val="bottom"/>
            <w:hideMark/>
          </w:tcPr>
          <w:p w14:paraId="6F1292F2"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41.7%**</w:t>
            </w:r>
          </w:p>
        </w:tc>
        <w:tc>
          <w:tcPr>
            <w:tcW w:w="1721" w:type="dxa"/>
            <w:shd w:val="clear" w:color="auto" w:fill="auto"/>
            <w:noWrap/>
            <w:vAlign w:val="bottom"/>
            <w:hideMark/>
          </w:tcPr>
          <w:p w14:paraId="369C3145"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41.7%ᵃ</w:t>
            </w:r>
          </w:p>
        </w:tc>
      </w:tr>
      <w:tr w:rsidR="003C4507" w:rsidRPr="00D22B3E" w14:paraId="74BC9385" w14:textId="77777777" w:rsidTr="0063242B">
        <w:trPr>
          <w:trHeight w:val="300"/>
        </w:trPr>
        <w:tc>
          <w:tcPr>
            <w:tcW w:w="1721" w:type="dxa"/>
            <w:shd w:val="clear" w:color="auto" w:fill="auto"/>
            <w:noWrap/>
            <w:vAlign w:val="bottom"/>
            <w:hideMark/>
          </w:tcPr>
          <w:p w14:paraId="22BC8844"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Glasgow 5 (n=14)</w:t>
            </w:r>
          </w:p>
        </w:tc>
        <w:tc>
          <w:tcPr>
            <w:tcW w:w="1721" w:type="dxa"/>
          </w:tcPr>
          <w:p w14:paraId="35C467E7"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100.0%**</w:t>
            </w:r>
          </w:p>
        </w:tc>
        <w:tc>
          <w:tcPr>
            <w:tcW w:w="1721" w:type="dxa"/>
            <w:shd w:val="clear" w:color="auto" w:fill="auto"/>
            <w:noWrap/>
            <w:vAlign w:val="bottom"/>
            <w:hideMark/>
          </w:tcPr>
          <w:p w14:paraId="4AD2E288"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35.7%**</w:t>
            </w:r>
          </w:p>
        </w:tc>
        <w:tc>
          <w:tcPr>
            <w:tcW w:w="1721" w:type="dxa"/>
            <w:shd w:val="clear" w:color="auto" w:fill="auto"/>
            <w:noWrap/>
            <w:vAlign w:val="bottom"/>
            <w:hideMark/>
          </w:tcPr>
          <w:p w14:paraId="17495E8A"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21.4%ᵃ</w:t>
            </w:r>
          </w:p>
        </w:tc>
      </w:tr>
      <w:tr w:rsidR="003C4507" w:rsidRPr="00D22B3E" w14:paraId="280BBAF8" w14:textId="77777777" w:rsidTr="0063242B">
        <w:trPr>
          <w:trHeight w:val="300"/>
        </w:trPr>
        <w:tc>
          <w:tcPr>
            <w:tcW w:w="1721" w:type="dxa"/>
            <w:shd w:val="clear" w:color="auto" w:fill="auto"/>
            <w:noWrap/>
            <w:vAlign w:val="bottom"/>
            <w:hideMark/>
          </w:tcPr>
          <w:p w14:paraId="017448C9"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Glasgow rest (n=9)</w:t>
            </w:r>
          </w:p>
        </w:tc>
        <w:tc>
          <w:tcPr>
            <w:tcW w:w="1721" w:type="dxa"/>
          </w:tcPr>
          <w:p w14:paraId="6518F70C"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88.9%**</w:t>
            </w:r>
          </w:p>
        </w:tc>
        <w:tc>
          <w:tcPr>
            <w:tcW w:w="1721" w:type="dxa"/>
            <w:shd w:val="clear" w:color="auto" w:fill="auto"/>
            <w:noWrap/>
            <w:vAlign w:val="bottom"/>
            <w:hideMark/>
          </w:tcPr>
          <w:p w14:paraId="09CA71C3" w14:textId="77777777" w:rsidR="003C4507" w:rsidRPr="00B70D85" w:rsidRDefault="003C4507" w:rsidP="0063242B">
            <w:pPr>
              <w:spacing w:line="480" w:lineRule="auto"/>
              <w:rPr>
                <w:rFonts w:ascii="Calibri" w:eastAsia="Times New Roman" w:hAnsi="Calibri" w:cs="Times New Roman"/>
                <w:b/>
                <w:color w:val="000000"/>
                <w:sz w:val="16"/>
                <w:szCs w:val="16"/>
                <w:lang w:val="en-GB" w:eastAsia="en-GB"/>
              </w:rPr>
            </w:pPr>
            <w:r w:rsidRPr="00B70D85">
              <w:rPr>
                <w:rFonts w:ascii="Calibri" w:eastAsia="Times New Roman" w:hAnsi="Calibri" w:cs="Times New Roman"/>
                <w:b/>
                <w:color w:val="000000"/>
                <w:sz w:val="16"/>
                <w:szCs w:val="16"/>
                <w:lang w:val="en-GB" w:eastAsia="en-GB"/>
              </w:rPr>
              <w:t>66.7%**</w:t>
            </w:r>
          </w:p>
        </w:tc>
        <w:tc>
          <w:tcPr>
            <w:tcW w:w="1721" w:type="dxa"/>
            <w:shd w:val="clear" w:color="auto" w:fill="auto"/>
            <w:noWrap/>
            <w:vAlign w:val="bottom"/>
            <w:hideMark/>
          </w:tcPr>
          <w:p w14:paraId="367B0215" w14:textId="77777777" w:rsidR="003C4507" w:rsidRPr="00B70D85" w:rsidRDefault="003C4507" w:rsidP="0063242B">
            <w:pPr>
              <w:spacing w:line="480" w:lineRule="auto"/>
              <w:rPr>
                <w:rFonts w:ascii="Calibri" w:eastAsia="Times New Roman" w:hAnsi="Calibri" w:cs="Times New Roman"/>
                <w:color w:val="000000"/>
                <w:sz w:val="16"/>
                <w:szCs w:val="16"/>
                <w:lang w:val="en-GB" w:eastAsia="en-GB"/>
              </w:rPr>
            </w:pPr>
            <w:r w:rsidRPr="00B70D85">
              <w:rPr>
                <w:rFonts w:ascii="Calibri" w:eastAsia="Times New Roman" w:hAnsi="Calibri" w:cs="Times New Roman"/>
                <w:color w:val="000000"/>
                <w:sz w:val="16"/>
                <w:szCs w:val="16"/>
                <w:lang w:val="en-GB" w:eastAsia="en-GB"/>
              </w:rPr>
              <w:t>0.0%ᵃ</w:t>
            </w:r>
          </w:p>
        </w:tc>
      </w:tr>
    </w:tbl>
    <w:p w14:paraId="65107FAD" w14:textId="77777777" w:rsidR="003C4507" w:rsidRDefault="003C4507" w:rsidP="003C4507">
      <w:pPr>
        <w:spacing w:line="480" w:lineRule="auto"/>
        <w:rPr>
          <w:sz w:val="16"/>
          <w:szCs w:val="16"/>
        </w:rPr>
      </w:pPr>
      <w:r w:rsidRPr="00D22B3E">
        <w:rPr>
          <w:sz w:val="16"/>
          <w:szCs w:val="16"/>
        </w:rPr>
        <w:t>ᵃ</w:t>
      </w:r>
      <w:r>
        <w:rPr>
          <w:sz w:val="16"/>
          <w:szCs w:val="16"/>
        </w:rPr>
        <w:t>Significance testing not employed for this comparison</w:t>
      </w:r>
    </w:p>
    <w:p w14:paraId="44FF09E8" w14:textId="77777777" w:rsidR="003C4507" w:rsidRPr="005B1E5B" w:rsidRDefault="003C4507" w:rsidP="003C4507">
      <w:pPr>
        <w:spacing w:line="480" w:lineRule="auto"/>
        <w:rPr>
          <w:rFonts w:ascii="Arial" w:eastAsia="Times New Roman" w:hAnsi="Arial" w:cs="Arial"/>
          <w:sz w:val="16"/>
          <w:szCs w:val="16"/>
          <w:lang w:val="en-GB" w:eastAsia="en-GB"/>
        </w:rPr>
      </w:pPr>
      <w:r w:rsidRPr="005B1E5B">
        <w:rPr>
          <w:sz w:val="16"/>
          <w:szCs w:val="16"/>
        </w:rPr>
        <w:t>***</w:t>
      </w:r>
      <w:r w:rsidRPr="005B1E5B">
        <w:rPr>
          <w:sz w:val="16"/>
          <w:szCs w:val="16"/>
        </w:rPr>
        <w:tab/>
        <w:t xml:space="preserve">p </w:t>
      </w:r>
      <w:r w:rsidRPr="005B1E5B">
        <w:rPr>
          <w:rFonts w:ascii="Arial" w:eastAsia="Times New Roman" w:hAnsi="Arial" w:cs="Arial"/>
          <w:sz w:val="16"/>
          <w:szCs w:val="16"/>
          <w:lang w:val="en-GB" w:eastAsia="en-GB"/>
        </w:rPr>
        <w:t>≤ 0.001</w:t>
      </w:r>
    </w:p>
    <w:p w14:paraId="072BDF01" w14:textId="77777777" w:rsidR="003C4507" w:rsidRPr="005B1E5B" w:rsidRDefault="003C4507" w:rsidP="003C4507">
      <w:pPr>
        <w:spacing w:line="480" w:lineRule="auto"/>
        <w:rPr>
          <w:rFonts w:ascii="Arial" w:eastAsia="Times New Roman" w:hAnsi="Arial" w:cs="Arial"/>
          <w:sz w:val="16"/>
          <w:szCs w:val="16"/>
          <w:lang w:val="en-GB" w:eastAsia="en-GB"/>
        </w:rPr>
      </w:pPr>
      <w:r w:rsidRPr="005B1E5B">
        <w:rPr>
          <w:sz w:val="16"/>
          <w:szCs w:val="16"/>
        </w:rPr>
        <w:t>**</w:t>
      </w:r>
      <w:r w:rsidRPr="005B1E5B">
        <w:rPr>
          <w:sz w:val="16"/>
          <w:szCs w:val="16"/>
        </w:rPr>
        <w:tab/>
        <w:t xml:space="preserve">p </w:t>
      </w:r>
      <w:r w:rsidRPr="005B1E5B">
        <w:rPr>
          <w:rFonts w:ascii="Arial" w:eastAsia="Times New Roman" w:hAnsi="Arial" w:cs="Arial"/>
          <w:sz w:val="16"/>
          <w:szCs w:val="16"/>
          <w:lang w:val="en-GB" w:eastAsia="en-GB"/>
        </w:rPr>
        <w:t>≤ 0.01</w:t>
      </w:r>
    </w:p>
    <w:p w14:paraId="3916D50C" w14:textId="77777777" w:rsidR="003C4507" w:rsidRPr="005B1E5B" w:rsidRDefault="003C4507" w:rsidP="003C4507">
      <w:pPr>
        <w:spacing w:line="480" w:lineRule="auto"/>
        <w:rPr>
          <w:rFonts w:ascii="Arial" w:eastAsia="Times New Roman" w:hAnsi="Arial" w:cs="Arial"/>
          <w:sz w:val="16"/>
          <w:szCs w:val="16"/>
          <w:lang w:val="en-GB" w:eastAsia="en-GB"/>
        </w:rPr>
      </w:pPr>
      <w:r w:rsidRPr="005B1E5B">
        <w:rPr>
          <w:sz w:val="16"/>
          <w:szCs w:val="16"/>
        </w:rPr>
        <w:t>*</w:t>
      </w:r>
      <w:r w:rsidRPr="005B1E5B">
        <w:rPr>
          <w:sz w:val="16"/>
          <w:szCs w:val="16"/>
        </w:rPr>
        <w:tab/>
        <w:t xml:space="preserve">p </w:t>
      </w:r>
      <w:r w:rsidRPr="005B1E5B">
        <w:rPr>
          <w:rFonts w:ascii="Arial" w:eastAsia="Times New Roman" w:hAnsi="Arial" w:cs="Arial"/>
          <w:sz w:val="16"/>
          <w:szCs w:val="16"/>
          <w:lang w:val="en-GB" w:eastAsia="en-GB"/>
        </w:rPr>
        <w:t>≤ 0.05</w:t>
      </w:r>
    </w:p>
    <w:p w14:paraId="3BF8033A" w14:textId="77777777" w:rsidR="003C4507" w:rsidRPr="00651B4D" w:rsidRDefault="003C4507" w:rsidP="003C4507">
      <w:pPr>
        <w:spacing w:line="480" w:lineRule="auto"/>
        <w:rPr>
          <w:rFonts w:ascii="Arial" w:eastAsia="Times New Roman" w:hAnsi="Arial" w:cs="Arial"/>
          <w:sz w:val="16"/>
          <w:szCs w:val="16"/>
          <w:lang w:val="en-GB" w:eastAsia="en-GB"/>
        </w:rPr>
      </w:pPr>
      <w:r w:rsidRPr="005B1E5B">
        <w:rPr>
          <w:sz w:val="16"/>
          <w:szCs w:val="16"/>
        </w:rPr>
        <w:t>~</w:t>
      </w:r>
      <w:r w:rsidRPr="005B1E5B">
        <w:rPr>
          <w:sz w:val="16"/>
          <w:szCs w:val="16"/>
        </w:rPr>
        <w:tab/>
        <w:t xml:space="preserve">p </w:t>
      </w:r>
      <w:r w:rsidRPr="005B1E5B">
        <w:rPr>
          <w:rFonts w:ascii="Arial" w:eastAsia="Times New Roman" w:hAnsi="Arial" w:cs="Arial"/>
          <w:sz w:val="16"/>
          <w:szCs w:val="16"/>
          <w:lang w:val="en-GB" w:eastAsia="en-GB"/>
        </w:rPr>
        <w:t>≤ 0.1</w:t>
      </w:r>
    </w:p>
    <w:p w14:paraId="34A0A80E" w14:textId="77777777" w:rsidR="003C4507" w:rsidRDefault="003C4507" w:rsidP="003C4507">
      <w:pPr>
        <w:spacing w:line="480" w:lineRule="auto"/>
        <w:rPr>
          <w:rFonts w:ascii="Times New Roman" w:eastAsia="Times New Roman" w:hAnsi="Times New Roman" w:cs="Times New Roman"/>
          <w:sz w:val="16"/>
          <w:szCs w:val="16"/>
          <w:u w:val="single"/>
          <w:lang w:val="en-GB"/>
        </w:rPr>
      </w:pPr>
      <w:r w:rsidRPr="00B70D85">
        <w:rPr>
          <w:rFonts w:ascii="Times New Roman" w:eastAsia="Times New Roman" w:hAnsi="Times New Roman" w:cs="Times New Roman"/>
          <w:sz w:val="16"/>
          <w:szCs w:val="16"/>
          <w:u w:val="single"/>
          <w:lang w:val="en-GB"/>
        </w:rPr>
        <w:t xml:space="preserve">NB. </w:t>
      </w:r>
      <w:r>
        <w:rPr>
          <w:rFonts w:ascii="Times New Roman" w:eastAsia="Times New Roman" w:hAnsi="Times New Roman" w:cs="Times New Roman"/>
          <w:sz w:val="16"/>
          <w:szCs w:val="16"/>
          <w:u w:val="single"/>
          <w:lang w:val="en-GB"/>
        </w:rPr>
        <w:t>Statistical tests show comparison between a</w:t>
      </w:r>
      <w:r w:rsidRPr="00B70D85">
        <w:rPr>
          <w:rFonts w:ascii="Times New Roman" w:eastAsia="Times New Roman" w:hAnsi="Times New Roman" w:cs="Times New Roman"/>
          <w:sz w:val="16"/>
          <w:szCs w:val="16"/>
          <w:u w:val="single"/>
          <w:lang w:val="en-GB"/>
        </w:rPr>
        <w:t xml:space="preserve">t least 1 </w:t>
      </w:r>
      <w:r>
        <w:rPr>
          <w:rFonts w:ascii="Times New Roman" w:eastAsia="Times New Roman" w:hAnsi="Times New Roman" w:cs="Times New Roman"/>
          <w:sz w:val="16"/>
          <w:szCs w:val="16"/>
          <w:u w:val="single"/>
          <w:lang w:val="en-GB"/>
        </w:rPr>
        <w:t xml:space="preserve">recommendation and no recommendation; and at least one </w:t>
      </w:r>
      <w:r w:rsidRPr="00B70D85">
        <w:rPr>
          <w:rFonts w:ascii="Times New Roman" w:eastAsia="Times New Roman" w:hAnsi="Times New Roman" w:cs="Times New Roman"/>
          <w:sz w:val="16"/>
          <w:szCs w:val="16"/>
          <w:u w:val="single"/>
          <w:lang w:val="en-GB"/>
        </w:rPr>
        <w:t xml:space="preserve">PVE </w:t>
      </w:r>
      <w:r>
        <w:rPr>
          <w:rFonts w:ascii="Times New Roman" w:eastAsia="Times New Roman" w:hAnsi="Times New Roman" w:cs="Times New Roman"/>
          <w:sz w:val="16"/>
          <w:szCs w:val="16"/>
          <w:u w:val="single"/>
          <w:lang w:val="en-GB"/>
        </w:rPr>
        <w:t>and no PVE.</w:t>
      </w:r>
    </w:p>
    <w:p w14:paraId="2CA55D33" w14:textId="77777777" w:rsidR="008E055E" w:rsidRDefault="008E055E" w:rsidP="00177807">
      <w:pPr>
        <w:spacing w:line="480" w:lineRule="auto"/>
        <w:rPr>
          <w:rFonts w:ascii="Times New Roman" w:eastAsia="Times New Roman" w:hAnsi="Times New Roman" w:cs="Times New Roman"/>
          <w:color w:val="000000" w:themeColor="text1"/>
          <w:lang w:val="en-GB"/>
        </w:rPr>
      </w:pPr>
    </w:p>
    <w:p w14:paraId="5EF532FC" w14:textId="29F6B72F" w:rsidR="008E055E" w:rsidRPr="00C35B7D" w:rsidRDefault="008E055E" w:rsidP="00177807">
      <w:pPr>
        <w:spacing w:line="480" w:lineRule="auto"/>
        <w:rPr>
          <w:rFonts w:ascii="Times New Roman" w:hAnsi="Times New Roman" w:cs="Times New Roman"/>
          <w:u w:val="single"/>
        </w:rPr>
      </w:pPr>
      <w:r w:rsidRPr="00C35B7D">
        <w:rPr>
          <w:rFonts w:ascii="Times New Roman" w:hAnsi="Times New Roman" w:cs="Times New Roman"/>
          <w:u w:val="single"/>
        </w:rPr>
        <w:t xml:space="preserve">Table </w:t>
      </w:r>
      <w:r w:rsidR="007E2457">
        <w:rPr>
          <w:rFonts w:ascii="Times New Roman" w:hAnsi="Times New Roman" w:cs="Times New Roman"/>
          <w:u w:val="single"/>
        </w:rPr>
        <w:t>8</w:t>
      </w:r>
      <w:r w:rsidRPr="00C35B7D">
        <w:rPr>
          <w:rFonts w:ascii="Times New Roman" w:hAnsi="Times New Roman" w:cs="Times New Roman"/>
          <w:u w:val="single"/>
        </w:rPr>
        <w:t>. Forms of decisional practice used and whether recommended courses of action are agreed to happen in principle (column %)</w:t>
      </w:r>
    </w:p>
    <w:p w14:paraId="7FB1D5FE" w14:textId="77777777" w:rsidR="008E055E" w:rsidRPr="008F4D55" w:rsidRDefault="008E055E" w:rsidP="00177807">
      <w:pPr>
        <w:spacing w:line="480" w:lineRule="auto"/>
        <w:rPr>
          <w:rFonts w:ascii="Times New Roman" w:hAnsi="Times New Roman" w:cs="Times New Roman"/>
        </w:rPr>
      </w:pPr>
      <w:r w:rsidRPr="008F4D55">
        <w:rPr>
          <w:rFonts w:ascii="Times New Roman" w:hAnsi="Times New Roman" w:cs="Times New Roman"/>
          <w:highlight w:val="yellow"/>
        </w:rPr>
        <w:t xml:space="preserve"> </w:t>
      </w:r>
      <w:r w:rsidRPr="004A695D">
        <w:rPr>
          <w:rFonts w:ascii="Times New Roman" w:hAnsi="Times New Roman" w:cs="Times New Roman"/>
          <w:highlight w:val="yellow"/>
        </w:rPr>
        <w:t xml:space="preserve"> </w:t>
      </w:r>
    </w:p>
    <w:tbl>
      <w:tblPr>
        <w:tblW w:w="6252" w:type="dxa"/>
        <w:tblInd w:w="93" w:type="dxa"/>
        <w:tblLook w:val="04A0" w:firstRow="1" w:lastRow="0" w:firstColumn="1" w:lastColumn="0" w:noHBand="0" w:noVBand="1"/>
      </w:tblPr>
      <w:tblGrid>
        <w:gridCol w:w="2142"/>
        <w:gridCol w:w="1417"/>
        <w:gridCol w:w="1418"/>
        <w:gridCol w:w="1275"/>
      </w:tblGrid>
      <w:tr w:rsidR="00655F86" w:rsidRPr="00C36D10" w14:paraId="31E41084" w14:textId="77777777" w:rsidTr="00695CA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B796B"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5B625E"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 xml:space="preserve">At least </w:t>
            </w:r>
            <w:r>
              <w:rPr>
                <w:rFonts w:ascii="Calibri" w:eastAsia="Times New Roman" w:hAnsi="Calibri" w:cs="Times New Roman"/>
                <w:color w:val="000000"/>
                <w:sz w:val="16"/>
                <w:szCs w:val="16"/>
                <w:lang w:val="en-GB" w:eastAsia="en-GB"/>
              </w:rPr>
              <w:t>1</w:t>
            </w:r>
            <w:r w:rsidRPr="007365AA">
              <w:rPr>
                <w:rFonts w:ascii="Calibri" w:eastAsia="Times New Roman" w:hAnsi="Calibri" w:cs="Times New Roman"/>
                <w:color w:val="000000"/>
                <w:sz w:val="16"/>
                <w:szCs w:val="16"/>
                <w:lang w:val="en-GB" w:eastAsia="en-GB"/>
              </w:rPr>
              <w:t xml:space="preserve"> PVE or </w:t>
            </w:r>
            <w:r>
              <w:rPr>
                <w:rFonts w:ascii="Calibri" w:eastAsia="Times New Roman" w:hAnsi="Calibri" w:cs="Times New Roman"/>
                <w:color w:val="000000"/>
                <w:sz w:val="16"/>
                <w:szCs w:val="16"/>
                <w:lang w:val="en-GB" w:eastAsia="en-GB"/>
              </w:rPr>
              <w:t>o</w:t>
            </w:r>
            <w:r w:rsidRPr="007365AA">
              <w:rPr>
                <w:rFonts w:ascii="Calibri" w:eastAsia="Times New Roman" w:hAnsi="Calibri" w:cs="Times New Roman"/>
                <w:color w:val="000000"/>
                <w:sz w:val="16"/>
                <w:szCs w:val="16"/>
                <w:lang w:val="en-GB" w:eastAsia="en-GB"/>
              </w:rPr>
              <w:t>ption</w:t>
            </w:r>
            <w:r>
              <w:rPr>
                <w:rFonts w:ascii="Calibri" w:eastAsia="Times New Roman" w:hAnsi="Calibri" w:cs="Times New Roman"/>
                <w:color w:val="000000"/>
                <w:sz w:val="16"/>
                <w:szCs w:val="16"/>
                <w:lang w:val="en-GB" w:eastAsia="en-GB"/>
              </w:rPr>
              <w:t>-</w:t>
            </w:r>
            <w:r w:rsidRPr="007365AA">
              <w:rPr>
                <w:rFonts w:ascii="Calibri" w:eastAsia="Times New Roman" w:hAnsi="Calibri" w:cs="Times New Roman"/>
                <w:color w:val="000000"/>
                <w:sz w:val="16"/>
                <w:szCs w:val="16"/>
                <w:lang w:val="en-GB" w:eastAsia="en-GB"/>
              </w:rPr>
              <w:t>list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D9869D"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No PVE or option</w:t>
            </w:r>
            <w:r>
              <w:rPr>
                <w:rFonts w:ascii="Calibri" w:eastAsia="Times New Roman" w:hAnsi="Calibri" w:cs="Times New Roman"/>
                <w:color w:val="000000"/>
                <w:sz w:val="16"/>
                <w:szCs w:val="16"/>
                <w:lang w:val="en-GB" w:eastAsia="en-GB"/>
              </w:rPr>
              <w:t>-</w:t>
            </w:r>
            <w:r w:rsidRPr="007365AA">
              <w:rPr>
                <w:rFonts w:ascii="Calibri" w:eastAsia="Times New Roman" w:hAnsi="Calibri" w:cs="Times New Roman"/>
                <w:color w:val="000000"/>
                <w:sz w:val="16"/>
                <w:szCs w:val="16"/>
                <w:lang w:val="en-GB" w:eastAsia="en-GB"/>
              </w:rPr>
              <w:t xml:space="preserve"> list (only recs)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0E2667"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Total</w:t>
            </w:r>
          </w:p>
        </w:tc>
      </w:tr>
      <w:tr w:rsidR="00655F86" w:rsidRPr="00C36D10" w14:paraId="2450A8BE" w14:textId="77777777" w:rsidTr="00695CA7">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155A5C4A"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N</w:t>
            </w:r>
          </w:p>
        </w:tc>
        <w:tc>
          <w:tcPr>
            <w:tcW w:w="1417" w:type="dxa"/>
            <w:tcBorders>
              <w:top w:val="nil"/>
              <w:left w:val="nil"/>
              <w:bottom w:val="single" w:sz="4" w:space="0" w:color="auto"/>
              <w:right w:val="single" w:sz="4" w:space="0" w:color="auto"/>
            </w:tcBorders>
            <w:shd w:val="clear" w:color="auto" w:fill="auto"/>
            <w:noWrap/>
            <w:vAlign w:val="bottom"/>
            <w:hideMark/>
          </w:tcPr>
          <w:p w14:paraId="059B2260"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105</w:t>
            </w:r>
          </w:p>
        </w:tc>
        <w:tc>
          <w:tcPr>
            <w:tcW w:w="1418" w:type="dxa"/>
            <w:tcBorders>
              <w:top w:val="nil"/>
              <w:left w:val="nil"/>
              <w:bottom w:val="single" w:sz="4" w:space="0" w:color="auto"/>
              <w:right w:val="single" w:sz="4" w:space="0" w:color="auto"/>
            </w:tcBorders>
            <w:shd w:val="clear" w:color="auto" w:fill="auto"/>
            <w:noWrap/>
            <w:vAlign w:val="bottom"/>
            <w:hideMark/>
          </w:tcPr>
          <w:p w14:paraId="2B826F87"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141</w:t>
            </w:r>
          </w:p>
        </w:tc>
        <w:tc>
          <w:tcPr>
            <w:tcW w:w="1275" w:type="dxa"/>
            <w:tcBorders>
              <w:top w:val="nil"/>
              <w:left w:val="nil"/>
              <w:bottom w:val="single" w:sz="4" w:space="0" w:color="auto"/>
              <w:right w:val="single" w:sz="4" w:space="0" w:color="auto"/>
            </w:tcBorders>
            <w:shd w:val="clear" w:color="auto" w:fill="auto"/>
            <w:noWrap/>
            <w:vAlign w:val="bottom"/>
            <w:hideMark/>
          </w:tcPr>
          <w:p w14:paraId="45FD5FCA"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246</w:t>
            </w:r>
          </w:p>
        </w:tc>
      </w:tr>
      <w:tr w:rsidR="00655F86" w:rsidRPr="00C36D10" w14:paraId="1D77D126" w14:textId="77777777" w:rsidTr="00695CA7">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45664B21"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Decision deferred</w:t>
            </w:r>
          </w:p>
        </w:tc>
        <w:tc>
          <w:tcPr>
            <w:tcW w:w="1417" w:type="dxa"/>
            <w:tcBorders>
              <w:top w:val="nil"/>
              <w:left w:val="nil"/>
              <w:bottom w:val="single" w:sz="4" w:space="0" w:color="auto"/>
              <w:right w:val="single" w:sz="4" w:space="0" w:color="auto"/>
            </w:tcBorders>
            <w:shd w:val="clear" w:color="auto" w:fill="auto"/>
            <w:noWrap/>
            <w:vAlign w:val="bottom"/>
            <w:hideMark/>
          </w:tcPr>
          <w:p w14:paraId="33B6DF57"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11.4%***</w:t>
            </w:r>
          </w:p>
        </w:tc>
        <w:tc>
          <w:tcPr>
            <w:tcW w:w="1418" w:type="dxa"/>
            <w:tcBorders>
              <w:top w:val="nil"/>
              <w:left w:val="nil"/>
              <w:bottom w:val="single" w:sz="4" w:space="0" w:color="auto"/>
              <w:right w:val="single" w:sz="4" w:space="0" w:color="auto"/>
            </w:tcBorders>
            <w:shd w:val="clear" w:color="auto" w:fill="auto"/>
            <w:noWrap/>
            <w:vAlign w:val="bottom"/>
            <w:hideMark/>
          </w:tcPr>
          <w:p w14:paraId="09A2CB04"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0.0%***</w:t>
            </w:r>
          </w:p>
        </w:tc>
        <w:tc>
          <w:tcPr>
            <w:tcW w:w="1275" w:type="dxa"/>
            <w:tcBorders>
              <w:top w:val="nil"/>
              <w:left w:val="nil"/>
              <w:bottom w:val="single" w:sz="4" w:space="0" w:color="auto"/>
              <w:right w:val="single" w:sz="4" w:space="0" w:color="auto"/>
            </w:tcBorders>
            <w:shd w:val="clear" w:color="auto" w:fill="auto"/>
            <w:noWrap/>
            <w:vAlign w:val="bottom"/>
            <w:hideMark/>
          </w:tcPr>
          <w:p w14:paraId="45530872"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4.9%</w:t>
            </w:r>
          </w:p>
        </w:tc>
      </w:tr>
      <w:tr w:rsidR="00655F86" w:rsidRPr="00C36D10" w14:paraId="54F06151" w14:textId="77777777" w:rsidTr="00695CA7">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189F64CA"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 xml:space="preserve">No </w:t>
            </w:r>
          </w:p>
        </w:tc>
        <w:tc>
          <w:tcPr>
            <w:tcW w:w="1417" w:type="dxa"/>
            <w:tcBorders>
              <w:top w:val="nil"/>
              <w:left w:val="nil"/>
              <w:bottom w:val="single" w:sz="4" w:space="0" w:color="auto"/>
              <w:right w:val="single" w:sz="4" w:space="0" w:color="auto"/>
            </w:tcBorders>
            <w:shd w:val="clear" w:color="auto" w:fill="auto"/>
            <w:noWrap/>
            <w:vAlign w:val="bottom"/>
            <w:hideMark/>
          </w:tcPr>
          <w:p w14:paraId="298B7917"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66B13FB2"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1.4%***</w:t>
            </w:r>
          </w:p>
        </w:tc>
        <w:tc>
          <w:tcPr>
            <w:tcW w:w="1275" w:type="dxa"/>
            <w:tcBorders>
              <w:top w:val="nil"/>
              <w:left w:val="nil"/>
              <w:bottom w:val="single" w:sz="4" w:space="0" w:color="auto"/>
              <w:right w:val="single" w:sz="4" w:space="0" w:color="auto"/>
            </w:tcBorders>
            <w:shd w:val="clear" w:color="auto" w:fill="auto"/>
            <w:noWrap/>
            <w:vAlign w:val="bottom"/>
            <w:hideMark/>
          </w:tcPr>
          <w:p w14:paraId="38E56F6C"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9.3%</w:t>
            </w:r>
          </w:p>
        </w:tc>
      </w:tr>
      <w:tr w:rsidR="00655F86" w:rsidRPr="00C36D10" w14:paraId="07214A7A" w14:textId="77777777" w:rsidTr="00695CA7">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24D24D86"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Yes</w:t>
            </w:r>
          </w:p>
        </w:tc>
        <w:tc>
          <w:tcPr>
            <w:tcW w:w="1417" w:type="dxa"/>
            <w:tcBorders>
              <w:top w:val="nil"/>
              <w:left w:val="nil"/>
              <w:bottom w:val="single" w:sz="4" w:space="0" w:color="auto"/>
              <w:right w:val="single" w:sz="4" w:space="0" w:color="auto"/>
            </w:tcBorders>
            <w:shd w:val="clear" w:color="auto" w:fill="auto"/>
            <w:noWrap/>
            <w:vAlign w:val="bottom"/>
            <w:hideMark/>
          </w:tcPr>
          <w:p w14:paraId="5176030A"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68.6%***</w:t>
            </w:r>
          </w:p>
        </w:tc>
        <w:tc>
          <w:tcPr>
            <w:tcW w:w="1418" w:type="dxa"/>
            <w:tcBorders>
              <w:top w:val="nil"/>
              <w:left w:val="nil"/>
              <w:bottom w:val="single" w:sz="4" w:space="0" w:color="auto"/>
              <w:right w:val="single" w:sz="4" w:space="0" w:color="auto"/>
            </w:tcBorders>
            <w:shd w:val="clear" w:color="auto" w:fill="auto"/>
            <w:noWrap/>
            <w:vAlign w:val="bottom"/>
            <w:hideMark/>
          </w:tcPr>
          <w:p w14:paraId="375F721F"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98.6%***</w:t>
            </w:r>
          </w:p>
        </w:tc>
        <w:tc>
          <w:tcPr>
            <w:tcW w:w="1275" w:type="dxa"/>
            <w:tcBorders>
              <w:top w:val="nil"/>
              <w:left w:val="nil"/>
              <w:bottom w:val="single" w:sz="4" w:space="0" w:color="auto"/>
              <w:right w:val="single" w:sz="4" w:space="0" w:color="auto"/>
            </w:tcBorders>
            <w:shd w:val="clear" w:color="auto" w:fill="auto"/>
            <w:noWrap/>
            <w:vAlign w:val="bottom"/>
            <w:hideMark/>
          </w:tcPr>
          <w:p w14:paraId="63A9E0C8" w14:textId="77777777" w:rsidR="00655F86" w:rsidRPr="007365AA" w:rsidRDefault="00655F86" w:rsidP="00177807">
            <w:pPr>
              <w:spacing w:line="480" w:lineRule="auto"/>
              <w:rPr>
                <w:rFonts w:ascii="Calibri" w:eastAsia="Times New Roman" w:hAnsi="Calibri" w:cs="Times New Roman"/>
                <w:color w:val="000000"/>
                <w:sz w:val="16"/>
                <w:szCs w:val="16"/>
                <w:lang w:val="en-GB" w:eastAsia="en-GB"/>
              </w:rPr>
            </w:pPr>
            <w:r w:rsidRPr="007365AA">
              <w:rPr>
                <w:rFonts w:ascii="Calibri" w:eastAsia="Times New Roman" w:hAnsi="Calibri" w:cs="Times New Roman"/>
                <w:color w:val="000000"/>
                <w:sz w:val="16"/>
                <w:szCs w:val="16"/>
                <w:lang w:val="en-GB" w:eastAsia="en-GB"/>
              </w:rPr>
              <w:t>85.8%</w:t>
            </w:r>
          </w:p>
        </w:tc>
      </w:tr>
    </w:tbl>
    <w:p w14:paraId="1B57B0F8" w14:textId="77777777" w:rsidR="008E055E" w:rsidRPr="005D2499" w:rsidRDefault="008E055E" w:rsidP="00177807">
      <w:pPr>
        <w:spacing w:line="480" w:lineRule="auto"/>
        <w:rPr>
          <w:rFonts w:ascii="Arial" w:eastAsia="Times New Roman" w:hAnsi="Arial" w:cs="Arial"/>
          <w:sz w:val="16"/>
          <w:szCs w:val="16"/>
          <w:lang w:val="en-GB" w:eastAsia="en-GB"/>
        </w:rPr>
      </w:pPr>
      <w:r w:rsidRPr="005D2499">
        <w:rPr>
          <w:sz w:val="16"/>
          <w:szCs w:val="16"/>
        </w:rPr>
        <w:t>***</w:t>
      </w:r>
      <w:r w:rsidRPr="005D2499">
        <w:rPr>
          <w:sz w:val="16"/>
          <w:szCs w:val="16"/>
        </w:rPr>
        <w:tab/>
        <w:t xml:space="preserve">p </w:t>
      </w:r>
      <w:r w:rsidRPr="005D2499">
        <w:rPr>
          <w:rFonts w:ascii="Arial" w:eastAsia="Times New Roman" w:hAnsi="Arial" w:cs="Arial"/>
          <w:sz w:val="16"/>
          <w:szCs w:val="16"/>
          <w:lang w:val="en-GB" w:eastAsia="en-GB"/>
        </w:rPr>
        <w:t>≤ 0.001</w:t>
      </w:r>
    </w:p>
    <w:p w14:paraId="0E2CD777" w14:textId="77777777" w:rsidR="008E055E" w:rsidRPr="005D2499" w:rsidRDefault="008E055E" w:rsidP="00177807">
      <w:pPr>
        <w:spacing w:line="480" w:lineRule="auto"/>
        <w:rPr>
          <w:rFonts w:ascii="Arial" w:eastAsia="Times New Roman" w:hAnsi="Arial" w:cs="Arial"/>
          <w:sz w:val="16"/>
          <w:szCs w:val="16"/>
          <w:lang w:val="en-GB" w:eastAsia="en-GB"/>
        </w:rPr>
      </w:pPr>
      <w:r w:rsidRPr="005D2499">
        <w:rPr>
          <w:sz w:val="16"/>
          <w:szCs w:val="16"/>
        </w:rPr>
        <w:t>**</w:t>
      </w:r>
      <w:r w:rsidRPr="005D2499">
        <w:rPr>
          <w:sz w:val="16"/>
          <w:szCs w:val="16"/>
        </w:rPr>
        <w:tab/>
        <w:t xml:space="preserve">p </w:t>
      </w:r>
      <w:r w:rsidRPr="005D2499">
        <w:rPr>
          <w:rFonts w:ascii="Arial" w:eastAsia="Times New Roman" w:hAnsi="Arial" w:cs="Arial"/>
          <w:sz w:val="16"/>
          <w:szCs w:val="16"/>
          <w:lang w:val="en-GB" w:eastAsia="en-GB"/>
        </w:rPr>
        <w:t>≤ 0.01</w:t>
      </w:r>
    </w:p>
    <w:p w14:paraId="69529AA3" w14:textId="77777777" w:rsidR="008E055E" w:rsidRPr="005D2499" w:rsidRDefault="008E055E" w:rsidP="00177807">
      <w:pPr>
        <w:spacing w:line="480" w:lineRule="auto"/>
        <w:rPr>
          <w:rFonts w:ascii="Arial" w:eastAsia="Times New Roman" w:hAnsi="Arial" w:cs="Arial"/>
          <w:sz w:val="16"/>
          <w:szCs w:val="16"/>
          <w:lang w:val="en-GB" w:eastAsia="en-GB"/>
        </w:rPr>
      </w:pPr>
      <w:r w:rsidRPr="005D2499">
        <w:rPr>
          <w:sz w:val="16"/>
          <w:szCs w:val="16"/>
        </w:rPr>
        <w:t>*</w:t>
      </w:r>
      <w:r w:rsidRPr="005D2499">
        <w:rPr>
          <w:sz w:val="16"/>
          <w:szCs w:val="16"/>
        </w:rPr>
        <w:tab/>
        <w:t xml:space="preserve">p </w:t>
      </w:r>
      <w:r w:rsidRPr="005D2499">
        <w:rPr>
          <w:rFonts w:ascii="Arial" w:eastAsia="Times New Roman" w:hAnsi="Arial" w:cs="Arial"/>
          <w:sz w:val="16"/>
          <w:szCs w:val="16"/>
          <w:lang w:val="en-GB" w:eastAsia="en-GB"/>
        </w:rPr>
        <w:t>≤ 0.05</w:t>
      </w:r>
    </w:p>
    <w:p w14:paraId="21035814" w14:textId="77777777" w:rsidR="008E055E" w:rsidRPr="005D2499" w:rsidRDefault="008E055E" w:rsidP="00177807">
      <w:pPr>
        <w:spacing w:line="480" w:lineRule="auto"/>
        <w:rPr>
          <w:rFonts w:ascii="Arial" w:eastAsia="Times New Roman" w:hAnsi="Arial" w:cs="Arial"/>
          <w:sz w:val="16"/>
          <w:szCs w:val="16"/>
          <w:lang w:val="en-GB" w:eastAsia="en-GB"/>
        </w:rPr>
      </w:pPr>
      <w:r w:rsidRPr="005D2499">
        <w:rPr>
          <w:sz w:val="16"/>
          <w:szCs w:val="16"/>
        </w:rPr>
        <w:t>~</w:t>
      </w:r>
      <w:r w:rsidRPr="005D2499">
        <w:rPr>
          <w:sz w:val="16"/>
          <w:szCs w:val="16"/>
        </w:rPr>
        <w:tab/>
        <w:t xml:space="preserve">p </w:t>
      </w:r>
      <w:r w:rsidRPr="005D2499">
        <w:rPr>
          <w:rFonts w:ascii="Arial" w:eastAsia="Times New Roman" w:hAnsi="Arial" w:cs="Arial"/>
          <w:sz w:val="16"/>
          <w:szCs w:val="16"/>
          <w:lang w:val="en-GB" w:eastAsia="en-GB"/>
        </w:rPr>
        <w:t>≤ 0.</w:t>
      </w:r>
      <w:r>
        <w:rPr>
          <w:rFonts w:ascii="Arial" w:eastAsia="Times New Roman" w:hAnsi="Arial" w:cs="Arial"/>
          <w:sz w:val="16"/>
          <w:szCs w:val="16"/>
          <w:lang w:val="en-GB" w:eastAsia="en-GB"/>
        </w:rPr>
        <w:t>1</w:t>
      </w:r>
    </w:p>
    <w:p w14:paraId="1856AA38" w14:textId="64A39899" w:rsidR="008E055E" w:rsidRPr="005D2499" w:rsidRDefault="008E055E" w:rsidP="00177807">
      <w:pPr>
        <w:spacing w:line="480" w:lineRule="auto"/>
        <w:rPr>
          <w:rFonts w:ascii="Times New Roman" w:eastAsia="Times New Roman" w:hAnsi="Times New Roman" w:cs="Times New Roman"/>
          <w:sz w:val="16"/>
          <w:szCs w:val="16"/>
          <w:u w:val="single"/>
          <w:lang w:val="en-GB"/>
        </w:rPr>
      </w:pPr>
      <w:r w:rsidRPr="005D2499">
        <w:rPr>
          <w:rFonts w:ascii="Times New Roman" w:eastAsia="Times New Roman" w:hAnsi="Times New Roman" w:cs="Times New Roman"/>
          <w:sz w:val="16"/>
          <w:szCs w:val="16"/>
          <w:u w:val="single"/>
          <w:lang w:val="en-GB"/>
        </w:rPr>
        <w:t>NB. Statistical tests show comparisons</w:t>
      </w:r>
      <w:r w:rsidR="00655F86">
        <w:rPr>
          <w:rFonts w:ascii="Times New Roman" w:eastAsia="Times New Roman" w:hAnsi="Times New Roman" w:cs="Times New Roman"/>
          <w:sz w:val="16"/>
          <w:szCs w:val="16"/>
          <w:u w:val="single"/>
          <w:lang w:val="en-GB"/>
        </w:rPr>
        <w:t xml:space="preserve"> between </w:t>
      </w:r>
      <w:r w:rsidRPr="005D2499">
        <w:rPr>
          <w:rFonts w:ascii="Times New Roman" w:eastAsia="Times New Roman" w:hAnsi="Times New Roman" w:cs="Times New Roman"/>
          <w:sz w:val="16"/>
          <w:szCs w:val="16"/>
          <w:u w:val="single"/>
          <w:lang w:val="en-GB"/>
        </w:rPr>
        <w:t>at least 1 PVE or option-list and no PVE or option-list.</w:t>
      </w:r>
    </w:p>
    <w:p w14:paraId="10C6CFE5" w14:textId="0765F51F" w:rsidR="00C14D49" w:rsidRDefault="00C14D49">
      <w:pPr>
        <w:rPr>
          <w:rFonts w:ascii="Times New Roman" w:eastAsia="Times New Roman" w:hAnsi="Times New Roman" w:cs="Times New Roman"/>
          <w:u w:val="single"/>
          <w:lang w:val="en-GB"/>
        </w:rPr>
      </w:pPr>
      <w:r>
        <w:rPr>
          <w:rFonts w:ascii="Times New Roman" w:eastAsia="Times New Roman" w:hAnsi="Times New Roman" w:cs="Times New Roman"/>
          <w:u w:val="single"/>
          <w:lang w:val="en-GB"/>
        </w:rPr>
        <w:br w:type="page"/>
      </w:r>
    </w:p>
    <w:p w14:paraId="6D795790" w14:textId="77777777" w:rsidR="008E055E" w:rsidRDefault="008E055E" w:rsidP="005C55FB">
      <w:pPr>
        <w:spacing w:line="480" w:lineRule="auto"/>
        <w:rPr>
          <w:rFonts w:ascii="Times New Roman" w:eastAsia="Times New Roman" w:hAnsi="Times New Roman" w:cs="Times New Roman"/>
          <w:u w:val="single"/>
          <w:lang w:val="en-GB"/>
        </w:rPr>
      </w:pPr>
    </w:p>
    <w:p w14:paraId="1C8C0896" w14:textId="77777777" w:rsidR="003B53ED" w:rsidRPr="007025A7" w:rsidRDefault="003B53ED" w:rsidP="003B53ED">
      <w:pPr>
        <w:spacing w:line="480" w:lineRule="auto"/>
        <w:rPr>
          <w:rFonts w:ascii="Times New Roman" w:eastAsia="Times New Roman" w:hAnsi="Times New Roman" w:cs="Times New Roman"/>
          <w:u w:val="single"/>
          <w:lang w:val="en-GB"/>
        </w:rPr>
      </w:pPr>
      <w:r>
        <w:rPr>
          <w:rFonts w:ascii="Times New Roman" w:eastAsia="Times New Roman" w:hAnsi="Times New Roman" w:cs="Times New Roman"/>
          <w:u w:val="single"/>
          <w:lang w:val="en-GB"/>
        </w:rPr>
        <w:t>Figure 1</w:t>
      </w:r>
      <w:r w:rsidRPr="007025A7">
        <w:rPr>
          <w:rFonts w:ascii="Times New Roman" w:eastAsia="Times New Roman" w:hAnsi="Times New Roman" w:cs="Times New Roman"/>
          <w:u w:val="single"/>
          <w:lang w:val="en-GB"/>
        </w:rPr>
        <w:t xml:space="preserve">.  Frequency of decisions per consultation </w:t>
      </w:r>
      <w:r>
        <w:rPr>
          <w:rFonts w:ascii="Times New Roman" w:eastAsia="Times New Roman" w:hAnsi="Times New Roman" w:cs="Times New Roman"/>
          <w:u w:val="single"/>
          <w:lang w:val="en-GB"/>
        </w:rPr>
        <w:t xml:space="preserve">(only including consultations with at least 1 decision) </w:t>
      </w:r>
      <w:r w:rsidRPr="007025A7">
        <w:rPr>
          <w:rFonts w:ascii="Times New Roman" w:eastAsia="Times New Roman" w:hAnsi="Times New Roman" w:cs="Times New Roman"/>
          <w:u w:val="single"/>
          <w:lang w:val="en-GB"/>
        </w:rPr>
        <w:t>(left</w:t>
      </w:r>
      <w:r>
        <w:rPr>
          <w:rFonts w:ascii="Times New Roman" w:eastAsia="Times New Roman" w:hAnsi="Times New Roman" w:cs="Times New Roman"/>
          <w:u w:val="single"/>
          <w:lang w:val="en-GB"/>
        </w:rPr>
        <w:t>, n=246</w:t>
      </w:r>
      <w:r w:rsidRPr="007025A7">
        <w:rPr>
          <w:rFonts w:ascii="Times New Roman" w:eastAsia="Times New Roman" w:hAnsi="Times New Roman" w:cs="Times New Roman"/>
          <w:u w:val="single"/>
          <w:lang w:val="en-GB"/>
        </w:rPr>
        <w:t xml:space="preserve">) and frequency of </w:t>
      </w:r>
      <w:r>
        <w:rPr>
          <w:rFonts w:ascii="Times New Roman" w:eastAsia="Times New Roman" w:hAnsi="Times New Roman" w:cs="Times New Roman"/>
          <w:u w:val="single"/>
          <w:lang w:val="en-GB"/>
        </w:rPr>
        <w:t>decision-point</w:t>
      </w:r>
      <w:r w:rsidRPr="007025A7">
        <w:rPr>
          <w:rFonts w:ascii="Times New Roman" w:eastAsia="Times New Roman" w:hAnsi="Times New Roman" w:cs="Times New Roman"/>
          <w:u w:val="single"/>
          <w:lang w:val="en-GB"/>
        </w:rPr>
        <w:t>s per decision (right</w:t>
      </w:r>
      <w:r>
        <w:rPr>
          <w:rFonts w:ascii="Times New Roman" w:eastAsia="Times New Roman" w:hAnsi="Times New Roman" w:cs="Times New Roman"/>
          <w:u w:val="single"/>
          <w:lang w:val="en-GB"/>
        </w:rPr>
        <w:t>, n=623</w:t>
      </w:r>
      <w:r w:rsidRPr="007025A7">
        <w:rPr>
          <w:rFonts w:ascii="Times New Roman" w:eastAsia="Times New Roman" w:hAnsi="Times New Roman" w:cs="Times New Roman"/>
          <w:u w:val="single"/>
          <w:lang w:val="en-GB"/>
        </w:rPr>
        <w:t xml:space="preserve">). </w:t>
      </w:r>
    </w:p>
    <w:p w14:paraId="3628D3B8" w14:textId="16FB633A" w:rsidR="008E055E" w:rsidRPr="00852F0F" w:rsidRDefault="003B53ED" w:rsidP="005C55FB">
      <w:pPr>
        <w:autoSpaceDE w:val="0"/>
        <w:autoSpaceDN w:val="0"/>
        <w:adjustRightInd w:val="0"/>
        <w:spacing w:line="480" w:lineRule="auto"/>
        <w:rPr>
          <w:rFonts w:ascii="Times New Roman" w:hAnsi="Times New Roman" w:cs="Times New Roman"/>
          <w:lang w:val="en-GB"/>
        </w:rPr>
      </w:pPr>
      <w:r>
        <w:rPr>
          <w:rFonts w:ascii="Times New Roman" w:hAnsi="Times New Roman" w:cs="Times New Roman"/>
          <w:noProof/>
        </w:rPr>
        <w:drawing>
          <wp:inline distT="0" distB="0" distL="0" distR="0" wp14:anchorId="451A53E8" wp14:editId="4D9CBE9B">
            <wp:extent cx="5270500" cy="2635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isions and Decision points SSM PC.png"/>
                    <pic:cNvPicPr/>
                  </pic:nvPicPr>
                  <pic:blipFill>
                    <a:blip r:embed="rId14">
                      <a:extLst>
                        <a:ext uri="{28A0092B-C50C-407E-A947-70E740481C1C}">
                          <a14:useLocalDpi xmlns:a14="http://schemas.microsoft.com/office/drawing/2010/main" val="0"/>
                        </a:ext>
                      </a:extLst>
                    </a:blip>
                    <a:stretch>
                      <a:fillRect/>
                    </a:stretch>
                  </pic:blipFill>
                  <pic:spPr>
                    <a:xfrm>
                      <a:off x="0" y="0"/>
                      <a:ext cx="5270500" cy="2635250"/>
                    </a:xfrm>
                    <a:prstGeom prst="rect">
                      <a:avLst/>
                    </a:prstGeom>
                  </pic:spPr>
                </pic:pic>
              </a:graphicData>
            </a:graphic>
          </wp:inline>
        </w:drawing>
      </w:r>
    </w:p>
    <w:p w14:paraId="574F1687" w14:textId="77777777" w:rsidR="008E055E" w:rsidRPr="00E858E3" w:rsidRDefault="008E055E" w:rsidP="005C55FB">
      <w:pPr>
        <w:spacing w:line="480" w:lineRule="auto"/>
        <w:rPr>
          <w:rFonts w:ascii="Times New Roman" w:hAnsi="Times New Roman" w:cs="Times New Roman"/>
        </w:rPr>
      </w:pPr>
    </w:p>
    <w:p w14:paraId="10202D56" w14:textId="77777777" w:rsidR="003E39EE" w:rsidRDefault="003E39EE"/>
    <w:sectPr w:rsidR="003E39EE" w:rsidSect="005C55FB">
      <w:headerReference w:type="default" r:id="rId15"/>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F4EFF" w14:textId="77777777" w:rsidR="00BF4292" w:rsidRDefault="00BF4292">
      <w:r>
        <w:separator/>
      </w:r>
    </w:p>
  </w:endnote>
  <w:endnote w:type="continuationSeparator" w:id="0">
    <w:p w14:paraId="04A68F92" w14:textId="77777777" w:rsidR="00BF4292" w:rsidRDefault="00BF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rutigerLT-Light">
    <w:altName w:val="Arial Unicode MS"/>
    <w:panose1 w:val="00000000000000000000"/>
    <w:charset w:val="81"/>
    <w:family w:val="swiss"/>
    <w:notTrueType/>
    <w:pitch w:val="default"/>
    <w:sig w:usb0="00000000" w:usb1="09060000" w:usb2="00000010" w:usb3="00000000" w:csb0="0008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AA34" w14:textId="77777777" w:rsidR="00561C1F" w:rsidRDefault="00561C1F" w:rsidP="005C55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D5376D6" w14:textId="77777777" w:rsidR="00561C1F" w:rsidRDefault="00561C1F" w:rsidP="005C55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03344" w14:textId="77777777" w:rsidR="00561C1F" w:rsidRPr="00E43078" w:rsidRDefault="00561C1F" w:rsidP="005C55FB">
    <w:pPr>
      <w:pStyle w:val="Footer"/>
      <w:framePr w:wrap="none" w:vAnchor="text" w:hAnchor="margin" w:xAlign="right" w:y="1"/>
      <w:rPr>
        <w:rStyle w:val="PageNumber"/>
        <w:rFonts w:ascii="Times New Roman" w:hAnsi="Times New Roman" w:cs="Times New Roman"/>
        <w:sz w:val="22"/>
        <w:szCs w:val="22"/>
      </w:rPr>
    </w:pPr>
    <w:r w:rsidRPr="00E43078">
      <w:rPr>
        <w:rStyle w:val="PageNumber"/>
        <w:rFonts w:ascii="Times New Roman" w:hAnsi="Times New Roman" w:cs="Times New Roman"/>
        <w:sz w:val="22"/>
        <w:szCs w:val="22"/>
      </w:rPr>
      <w:fldChar w:fldCharType="begin"/>
    </w:r>
    <w:r w:rsidRPr="00E43078">
      <w:rPr>
        <w:rStyle w:val="PageNumber"/>
        <w:rFonts w:ascii="Times New Roman" w:hAnsi="Times New Roman" w:cs="Times New Roman"/>
        <w:sz w:val="22"/>
        <w:szCs w:val="22"/>
      </w:rPr>
      <w:instrText xml:space="preserve">PAGE  </w:instrText>
    </w:r>
    <w:r w:rsidRPr="00E43078">
      <w:rPr>
        <w:rStyle w:val="PageNumber"/>
        <w:rFonts w:ascii="Times New Roman" w:hAnsi="Times New Roman" w:cs="Times New Roman"/>
        <w:sz w:val="22"/>
        <w:szCs w:val="22"/>
      </w:rPr>
      <w:fldChar w:fldCharType="separate"/>
    </w:r>
    <w:r w:rsidR="00BD1C8D">
      <w:rPr>
        <w:rStyle w:val="PageNumber"/>
        <w:rFonts w:ascii="Times New Roman" w:hAnsi="Times New Roman" w:cs="Times New Roman"/>
        <w:noProof/>
        <w:sz w:val="22"/>
        <w:szCs w:val="22"/>
      </w:rPr>
      <w:t>1</w:t>
    </w:r>
    <w:r w:rsidRPr="00E43078">
      <w:rPr>
        <w:rStyle w:val="PageNumber"/>
        <w:rFonts w:ascii="Times New Roman" w:hAnsi="Times New Roman" w:cs="Times New Roman"/>
        <w:sz w:val="22"/>
        <w:szCs w:val="22"/>
      </w:rPr>
      <w:fldChar w:fldCharType="end"/>
    </w:r>
  </w:p>
  <w:p w14:paraId="564B90B8" w14:textId="77777777" w:rsidR="00561C1F" w:rsidRDefault="00561C1F" w:rsidP="005C55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9D1DC" w14:textId="77777777" w:rsidR="00BF4292" w:rsidRDefault="00BF4292">
      <w:r>
        <w:separator/>
      </w:r>
    </w:p>
  </w:footnote>
  <w:footnote w:type="continuationSeparator" w:id="0">
    <w:p w14:paraId="3F97E3E9" w14:textId="77777777" w:rsidR="00BF4292" w:rsidRDefault="00BF42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6637" w14:textId="6549CE52" w:rsidR="0012244C" w:rsidRPr="0012244C" w:rsidRDefault="0012244C" w:rsidP="0012244C">
    <w:pPr>
      <w:pStyle w:val="Heading2"/>
      <w:spacing w:before="0"/>
      <w:rPr>
        <w:rFonts w:ascii="Arial" w:eastAsia="Times New Roman" w:hAnsi="Arial" w:cs="Arial"/>
        <w:color w:val="505050"/>
        <w:sz w:val="22"/>
        <w:szCs w:val="22"/>
      </w:rPr>
    </w:pPr>
    <w:r w:rsidRPr="0012244C">
      <w:rPr>
        <w:sz w:val="22"/>
        <w:szCs w:val="22"/>
      </w:rPr>
      <w:t xml:space="preserve">This is a pre-publication version of the following paper: Chappell, P., </w:t>
    </w:r>
    <w:proofErr w:type="spellStart"/>
    <w:r w:rsidRPr="0012244C">
      <w:rPr>
        <w:sz w:val="22"/>
        <w:szCs w:val="22"/>
      </w:rPr>
      <w:t>Toerien</w:t>
    </w:r>
    <w:proofErr w:type="spellEnd"/>
    <w:r w:rsidRPr="0012244C">
      <w:rPr>
        <w:sz w:val="22"/>
        <w:szCs w:val="22"/>
      </w:rPr>
      <w:t xml:space="preserve">, M., Jackson, C. and </w:t>
    </w:r>
    <w:proofErr w:type="spellStart"/>
    <w:r w:rsidRPr="0012244C">
      <w:rPr>
        <w:sz w:val="22"/>
        <w:szCs w:val="22"/>
      </w:rPr>
      <w:t>Reuber</w:t>
    </w:r>
    <w:proofErr w:type="spellEnd"/>
    <w:r w:rsidRPr="0012244C">
      <w:rPr>
        <w:sz w:val="22"/>
        <w:szCs w:val="22"/>
      </w:rPr>
      <w:t xml:space="preserve">, M. (2018). Following the patient’s orders? Recommending vs. offering choice in neurology outpatient consultations. </w:t>
    </w:r>
    <w:r w:rsidRPr="0012244C">
      <w:rPr>
        <w:i/>
        <w:sz w:val="22"/>
        <w:szCs w:val="22"/>
      </w:rPr>
      <w:t>Social Science &amp; Medicine</w:t>
    </w:r>
    <w:r w:rsidRPr="0012244C">
      <w:rPr>
        <w:sz w:val="22"/>
        <w:szCs w:val="22"/>
      </w:rPr>
      <w:t xml:space="preserve">, 205: 8-16.   </w:t>
    </w:r>
  </w:p>
  <w:p w14:paraId="4BD1DCE0" w14:textId="3B145911" w:rsidR="0012244C" w:rsidRDefault="0012244C">
    <w:pPr>
      <w:pStyle w:val="Header"/>
    </w:pPr>
  </w:p>
  <w:p w14:paraId="1F3553C5" w14:textId="77777777" w:rsidR="0012244C" w:rsidRDefault="001224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2AB2"/>
    <w:multiLevelType w:val="hybridMultilevel"/>
    <w:tmpl w:val="A8C66574"/>
    <w:lvl w:ilvl="0" w:tplc="188E47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22835"/>
    <w:multiLevelType w:val="hybridMultilevel"/>
    <w:tmpl w:val="5C02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11D52"/>
    <w:multiLevelType w:val="hybridMultilevel"/>
    <w:tmpl w:val="0DACDD34"/>
    <w:lvl w:ilvl="0" w:tplc="6D2EF008">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50907"/>
    <w:multiLevelType w:val="hybridMultilevel"/>
    <w:tmpl w:val="E8D0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51B3F"/>
    <w:multiLevelType w:val="hybridMultilevel"/>
    <w:tmpl w:val="FABC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06027"/>
    <w:multiLevelType w:val="hybridMultilevel"/>
    <w:tmpl w:val="E15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52BCB"/>
    <w:multiLevelType w:val="hybridMultilevel"/>
    <w:tmpl w:val="7BC253F2"/>
    <w:lvl w:ilvl="0" w:tplc="02BE708C">
      <w:start w:val="1"/>
      <w:numFmt w:val="lowerLetter"/>
      <w:lvlText w:val="(%1)"/>
      <w:lvlJc w:val="left"/>
      <w:pPr>
        <w:tabs>
          <w:tab w:val="num" w:pos="720"/>
        </w:tabs>
        <w:ind w:left="720" w:hanging="360"/>
      </w:pPr>
    </w:lvl>
    <w:lvl w:ilvl="1" w:tplc="3E966B3A" w:tentative="1">
      <w:start w:val="1"/>
      <w:numFmt w:val="lowerLetter"/>
      <w:lvlText w:val="(%2)"/>
      <w:lvlJc w:val="left"/>
      <w:pPr>
        <w:tabs>
          <w:tab w:val="num" w:pos="1440"/>
        </w:tabs>
        <w:ind w:left="1440" w:hanging="360"/>
      </w:pPr>
    </w:lvl>
    <w:lvl w:ilvl="2" w:tplc="1E10D6B2" w:tentative="1">
      <w:start w:val="1"/>
      <w:numFmt w:val="lowerLetter"/>
      <w:lvlText w:val="(%3)"/>
      <w:lvlJc w:val="left"/>
      <w:pPr>
        <w:tabs>
          <w:tab w:val="num" w:pos="2160"/>
        </w:tabs>
        <w:ind w:left="2160" w:hanging="360"/>
      </w:pPr>
    </w:lvl>
    <w:lvl w:ilvl="3" w:tplc="0AE200F6" w:tentative="1">
      <w:start w:val="1"/>
      <w:numFmt w:val="lowerLetter"/>
      <w:lvlText w:val="(%4)"/>
      <w:lvlJc w:val="left"/>
      <w:pPr>
        <w:tabs>
          <w:tab w:val="num" w:pos="2880"/>
        </w:tabs>
        <w:ind w:left="2880" w:hanging="360"/>
      </w:pPr>
    </w:lvl>
    <w:lvl w:ilvl="4" w:tplc="4266A01E" w:tentative="1">
      <w:start w:val="1"/>
      <w:numFmt w:val="lowerLetter"/>
      <w:lvlText w:val="(%5)"/>
      <w:lvlJc w:val="left"/>
      <w:pPr>
        <w:tabs>
          <w:tab w:val="num" w:pos="3600"/>
        </w:tabs>
        <w:ind w:left="3600" w:hanging="360"/>
      </w:pPr>
    </w:lvl>
    <w:lvl w:ilvl="5" w:tplc="394ECA70" w:tentative="1">
      <w:start w:val="1"/>
      <w:numFmt w:val="lowerLetter"/>
      <w:lvlText w:val="(%6)"/>
      <w:lvlJc w:val="left"/>
      <w:pPr>
        <w:tabs>
          <w:tab w:val="num" w:pos="4320"/>
        </w:tabs>
        <w:ind w:left="4320" w:hanging="360"/>
      </w:pPr>
    </w:lvl>
    <w:lvl w:ilvl="6" w:tplc="BC00D658" w:tentative="1">
      <w:start w:val="1"/>
      <w:numFmt w:val="lowerLetter"/>
      <w:lvlText w:val="(%7)"/>
      <w:lvlJc w:val="left"/>
      <w:pPr>
        <w:tabs>
          <w:tab w:val="num" w:pos="5040"/>
        </w:tabs>
        <w:ind w:left="5040" w:hanging="360"/>
      </w:pPr>
    </w:lvl>
    <w:lvl w:ilvl="7" w:tplc="6EAA1170" w:tentative="1">
      <w:start w:val="1"/>
      <w:numFmt w:val="lowerLetter"/>
      <w:lvlText w:val="(%8)"/>
      <w:lvlJc w:val="left"/>
      <w:pPr>
        <w:tabs>
          <w:tab w:val="num" w:pos="5760"/>
        </w:tabs>
        <w:ind w:left="5760" w:hanging="360"/>
      </w:pPr>
    </w:lvl>
    <w:lvl w:ilvl="8" w:tplc="49B28CF0" w:tentative="1">
      <w:start w:val="1"/>
      <w:numFmt w:val="lowerLetter"/>
      <w:lvlText w:val="(%9)"/>
      <w:lvlJc w:val="left"/>
      <w:pPr>
        <w:tabs>
          <w:tab w:val="num" w:pos="6480"/>
        </w:tabs>
        <w:ind w:left="6480" w:hanging="360"/>
      </w:pPr>
    </w:lvl>
  </w:abstractNum>
  <w:abstractNum w:abstractNumId="7">
    <w:nsid w:val="153372E7"/>
    <w:multiLevelType w:val="hybridMultilevel"/>
    <w:tmpl w:val="BF12A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B33DA"/>
    <w:multiLevelType w:val="hybridMultilevel"/>
    <w:tmpl w:val="D414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459A4"/>
    <w:multiLevelType w:val="hybridMultilevel"/>
    <w:tmpl w:val="C67E44D2"/>
    <w:lvl w:ilvl="0" w:tplc="861A305C">
      <w:start w:val="1"/>
      <w:numFmt w:val="bullet"/>
      <w:pStyle w:val="MerransNiceBullets"/>
      <w:lvlText w:val=""/>
      <w:lvlJc w:val="left"/>
      <w:pPr>
        <w:tabs>
          <w:tab w:val="num" w:pos="780"/>
        </w:tabs>
        <w:ind w:left="780" w:hanging="360"/>
      </w:pPr>
      <w:rPr>
        <w:rFonts w:ascii="Symbol" w:hAnsi="Symbol" w:hint="default"/>
      </w:rPr>
    </w:lvl>
    <w:lvl w:ilvl="1" w:tplc="DE5AA5EC">
      <w:numFmt w:val="bullet"/>
      <w:lvlText w:val="•"/>
      <w:lvlJc w:val="left"/>
      <w:pPr>
        <w:ind w:left="1500" w:hanging="360"/>
      </w:pPr>
      <w:rPr>
        <w:rFonts w:ascii="Times New Roman" w:eastAsia="FrutigerLT-Light"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1A03139"/>
    <w:multiLevelType w:val="hybridMultilevel"/>
    <w:tmpl w:val="053A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27531"/>
    <w:multiLevelType w:val="hybridMultilevel"/>
    <w:tmpl w:val="C3288F5E"/>
    <w:lvl w:ilvl="0" w:tplc="F126E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80BE2"/>
    <w:multiLevelType w:val="hybridMultilevel"/>
    <w:tmpl w:val="26D291B6"/>
    <w:lvl w:ilvl="0" w:tplc="69508C5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10869"/>
    <w:multiLevelType w:val="hybridMultilevel"/>
    <w:tmpl w:val="BF12A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8C07FC"/>
    <w:multiLevelType w:val="hybridMultilevel"/>
    <w:tmpl w:val="A8A68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B47DF"/>
    <w:multiLevelType w:val="multilevel"/>
    <w:tmpl w:val="FBF6A552"/>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4F3415D"/>
    <w:multiLevelType w:val="hybridMultilevel"/>
    <w:tmpl w:val="112E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DF7B80"/>
    <w:multiLevelType w:val="hybridMultilevel"/>
    <w:tmpl w:val="57AE4002"/>
    <w:lvl w:ilvl="0" w:tplc="FB44E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A3636A"/>
    <w:multiLevelType w:val="hybridMultilevel"/>
    <w:tmpl w:val="66B48D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152436"/>
    <w:multiLevelType w:val="multilevel"/>
    <w:tmpl w:val="E0C6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6"/>
  </w:num>
  <w:num w:numId="4">
    <w:abstractNumId w:val="13"/>
  </w:num>
  <w:num w:numId="5">
    <w:abstractNumId w:val="19"/>
  </w:num>
  <w:num w:numId="6">
    <w:abstractNumId w:val="14"/>
  </w:num>
  <w:num w:numId="7">
    <w:abstractNumId w:val="7"/>
  </w:num>
  <w:num w:numId="8">
    <w:abstractNumId w:val="8"/>
  </w:num>
  <w:num w:numId="9">
    <w:abstractNumId w:val="17"/>
  </w:num>
  <w:num w:numId="10">
    <w:abstractNumId w:val="2"/>
  </w:num>
  <w:num w:numId="11">
    <w:abstractNumId w:val="3"/>
  </w:num>
  <w:num w:numId="12">
    <w:abstractNumId w:val="1"/>
  </w:num>
  <w:num w:numId="13">
    <w:abstractNumId w:val="0"/>
  </w:num>
  <w:num w:numId="14">
    <w:abstractNumId w:val="11"/>
  </w:num>
  <w:num w:numId="15">
    <w:abstractNumId w:val="16"/>
  </w:num>
  <w:num w:numId="16">
    <w:abstractNumId w:val="5"/>
  </w:num>
  <w:num w:numId="17">
    <w:abstractNumId w:val="18"/>
  </w:num>
  <w:num w:numId="18">
    <w:abstractNumId w:val="1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E055E"/>
    <w:rsid w:val="00005929"/>
    <w:rsid w:val="000108CC"/>
    <w:rsid w:val="00015205"/>
    <w:rsid w:val="00021A5E"/>
    <w:rsid w:val="00034422"/>
    <w:rsid w:val="00037681"/>
    <w:rsid w:val="00041A75"/>
    <w:rsid w:val="00064723"/>
    <w:rsid w:val="00081351"/>
    <w:rsid w:val="00097FE0"/>
    <w:rsid w:val="000A7C2F"/>
    <w:rsid w:val="000B0D39"/>
    <w:rsid w:val="000D0E31"/>
    <w:rsid w:val="000D3FD8"/>
    <w:rsid w:val="000D6EC0"/>
    <w:rsid w:val="000E255D"/>
    <w:rsid w:val="000E5D36"/>
    <w:rsid w:val="000F7535"/>
    <w:rsid w:val="0012244C"/>
    <w:rsid w:val="001273D0"/>
    <w:rsid w:val="00133A05"/>
    <w:rsid w:val="00134B31"/>
    <w:rsid w:val="00140EB3"/>
    <w:rsid w:val="00141110"/>
    <w:rsid w:val="001708D7"/>
    <w:rsid w:val="00172849"/>
    <w:rsid w:val="001742CC"/>
    <w:rsid w:val="00177807"/>
    <w:rsid w:val="0017799B"/>
    <w:rsid w:val="001B036E"/>
    <w:rsid w:val="001B4EE5"/>
    <w:rsid w:val="001B607E"/>
    <w:rsid w:val="001D04D0"/>
    <w:rsid w:val="001D3E35"/>
    <w:rsid w:val="001D65BA"/>
    <w:rsid w:val="002059FD"/>
    <w:rsid w:val="00232208"/>
    <w:rsid w:val="00236FE4"/>
    <w:rsid w:val="00241D59"/>
    <w:rsid w:val="00244721"/>
    <w:rsid w:val="002454BC"/>
    <w:rsid w:val="0025007D"/>
    <w:rsid w:val="002502D1"/>
    <w:rsid w:val="00250520"/>
    <w:rsid w:val="0025431B"/>
    <w:rsid w:val="0025660A"/>
    <w:rsid w:val="00256F06"/>
    <w:rsid w:val="00256FD7"/>
    <w:rsid w:val="00261CDF"/>
    <w:rsid w:val="00274DCA"/>
    <w:rsid w:val="00284C5C"/>
    <w:rsid w:val="00287A6C"/>
    <w:rsid w:val="00296641"/>
    <w:rsid w:val="002C5F53"/>
    <w:rsid w:val="002C6A5A"/>
    <w:rsid w:val="002D10CE"/>
    <w:rsid w:val="002E5B18"/>
    <w:rsid w:val="002E6F4D"/>
    <w:rsid w:val="002F06BB"/>
    <w:rsid w:val="002F6964"/>
    <w:rsid w:val="002F6F3B"/>
    <w:rsid w:val="00312191"/>
    <w:rsid w:val="00313324"/>
    <w:rsid w:val="00323065"/>
    <w:rsid w:val="00324295"/>
    <w:rsid w:val="00343DD1"/>
    <w:rsid w:val="00351914"/>
    <w:rsid w:val="00367B23"/>
    <w:rsid w:val="00370B37"/>
    <w:rsid w:val="00372F0B"/>
    <w:rsid w:val="003757EC"/>
    <w:rsid w:val="003839FD"/>
    <w:rsid w:val="00387F95"/>
    <w:rsid w:val="00392ACA"/>
    <w:rsid w:val="00392ACC"/>
    <w:rsid w:val="003B53ED"/>
    <w:rsid w:val="003B613F"/>
    <w:rsid w:val="003B61CE"/>
    <w:rsid w:val="003C1713"/>
    <w:rsid w:val="003C4507"/>
    <w:rsid w:val="003C4E2B"/>
    <w:rsid w:val="003C55B4"/>
    <w:rsid w:val="003D1726"/>
    <w:rsid w:val="003E39EE"/>
    <w:rsid w:val="003F114B"/>
    <w:rsid w:val="004028ED"/>
    <w:rsid w:val="004122A0"/>
    <w:rsid w:val="0041622A"/>
    <w:rsid w:val="00417196"/>
    <w:rsid w:val="00417528"/>
    <w:rsid w:val="00423421"/>
    <w:rsid w:val="00435BE7"/>
    <w:rsid w:val="00471416"/>
    <w:rsid w:val="004A0399"/>
    <w:rsid w:val="004A5DE6"/>
    <w:rsid w:val="004D3BA0"/>
    <w:rsid w:val="004E32AF"/>
    <w:rsid w:val="004E73A3"/>
    <w:rsid w:val="004F2124"/>
    <w:rsid w:val="004F2EA4"/>
    <w:rsid w:val="00501D61"/>
    <w:rsid w:val="00504BBF"/>
    <w:rsid w:val="00507D24"/>
    <w:rsid w:val="00515B98"/>
    <w:rsid w:val="00535984"/>
    <w:rsid w:val="00541C47"/>
    <w:rsid w:val="005438E9"/>
    <w:rsid w:val="00543B35"/>
    <w:rsid w:val="00547A4C"/>
    <w:rsid w:val="0055665B"/>
    <w:rsid w:val="00561C1F"/>
    <w:rsid w:val="00562592"/>
    <w:rsid w:val="00567EFD"/>
    <w:rsid w:val="00570A99"/>
    <w:rsid w:val="005759BA"/>
    <w:rsid w:val="0058385B"/>
    <w:rsid w:val="0059248E"/>
    <w:rsid w:val="00596515"/>
    <w:rsid w:val="005B2C12"/>
    <w:rsid w:val="005C55FB"/>
    <w:rsid w:val="005C591C"/>
    <w:rsid w:val="005D1096"/>
    <w:rsid w:val="005E7135"/>
    <w:rsid w:val="005F397F"/>
    <w:rsid w:val="005F6875"/>
    <w:rsid w:val="005F68CF"/>
    <w:rsid w:val="005F77B5"/>
    <w:rsid w:val="005F77EA"/>
    <w:rsid w:val="00622CA6"/>
    <w:rsid w:val="0062451D"/>
    <w:rsid w:val="0063242B"/>
    <w:rsid w:val="00634E16"/>
    <w:rsid w:val="00636331"/>
    <w:rsid w:val="00637CE4"/>
    <w:rsid w:val="00655A7C"/>
    <w:rsid w:val="00655F86"/>
    <w:rsid w:val="006701BB"/>
    <w:rsid w:val="00674217"/>
    <w:rsid w:val="0067478D"/>
    <w:rsid w:val="00675CDB"/>
    <w:rsid w:val="006820DA"/>
    <w:rsid w:val="00691E40"/>
    <w:rsid w:val="00695CA7"/>
    <w:rsid w:val="006B6C05"/>
    <w:rsid w:val="006C67FF"/>
    <w:rsid w:val="006F6148"/>
    <w:rsid w:val="00700136"/>
    <w:rsid w:val="00701C88"/>
    <w:rsid w:val="00705519"/>
    <w:rsid w:val="007078AB"/>
    <w:rsid w:val="00722F78"/>
    <w:rsid w:val="0073698B"/>
    <w:rsid w:val="00736DF7"/>
    <w:rsid w:val="00771BE5"/>
    <w:rsid w:val="00771DC1"/>
    <w:rsid w:val="007856E7"/>
    <w:rsid w:val="007902F0"/>
    <w:rsid w:val="007905F8"/>
    <w:rsid w:val="007A3842"/>
    <w:rsid w:val="007B244D"/>
    <w:rsid w:val="007B3EAB"/>
    <w:rsid w:val="007C3DBD"/>
    <w:rsid w:val="007E2457"/>
    <w:rsid w:val="007E2AAB"/>
    <w:rsid w:val="007E494B"/>
    <w:rsid w:val="007E661A"/>
    <w:rsid w:val="007F46DC"/>
    <w:rsid w:val="00804C6E"/>
    <w:rsid w:val="008131BD"/>
    <w:rsid w:val="0081518D"/>
    <w:rsid w:val="00815383"/>
    <w:rsid w:val="00832C0B"/>
    <w:rsid w:val="00832DBA"/>
    <w:rsid w:val="00835989"/>
    <w:rsid w:val="008415D8"/>
    <w:rsid w:val="00844E25"/>
    <w:rsid w:val="008656E8"/>
    <w:rsid w:val="00865AC0"/>
    <w:rsid w:val="00866E04"/>
    <w:rsid w:val="00882856"/>
    <w:rsid w:val="00890BF5"/>
    <w:rsid w:val="0089189D"/>
    <w:rsid w:val="008A5BB4"/>
    <w:rsid w:val="008A6AB6"/>
    <w:rsid w:val="008B0398"/>
    <w:rsid w:val="008B06AD"/>
    <w:rsid w:val="008C48AE"/>
    <w:rsid w:val="008D0876"/>
    <w:rsid w:val="008D0FBF"/>
    <w:rsid w:val="008D1AC5"/>
    <w:rsid w:val="008D4435"/>
    <w:rsid w:val="008D7765"/>
    <w:rsid w:val="008E055E"/>
    <w:rsid w:val="008E39DD"/>
    <w:rsid w:val="008F1F90"/>
    <w:rsid w:val="00907708"/>
    <w:rsid w:val="009117FE"/>
    <w:rsid w:val="009150FC"/>
    <w:rsid w:val="009253FA"/>
    <w:rsid w:val="0092540F"/>
    <w:rsid w:val="00930D53"/>
    <w:rsid w:val="00933ECF"/>
    <w:rsid w:val="009345C0"/>
    <w:rsid w:val="009415AE"/>
    <w:rsid w:val="00943126"/>
    <w:rsid w:val="00944104"/>
    <w:rsid w:val="0094442C"/>
    <w:rsid w:val="00946321"/>
    <w:rsid w:val="00964545"/>
    <w:rsid w:val="00980DED"/>
    <w:rsid w:val="00981427"/>
    <w:rsid w:val="00984B75"/>
    <w:rsid w:val="009A752A"/>
    <w:rsid w:val="009B0E11"/>
    <w:rsid w:val="009B26F5"/>
    <w:rsid w:val="009B3B50"/>
    <w:rsid w:val="009C3462"/>
    <w:rsid w:val="009D122D"/>
    <w:rsid w:val="009D1E77"/>
    <w:rsid w:val="009D44A8"/>
    <w:rsid w:val="00A13A4B"/>
    <w:rsid w:val="00A151D6"/>
    <w:rsid w:val="00A21583"/>
    <w:rsid w:val="00A243E5"/>
    <w:rsid w:val="00A36C04"/>
    <w:rsid w:val="00A44255"/>
    <w:rsid w:val="00A74D2A"/>
    <w:rsid w:val="00A96749"/>
    <w:rsid w:val="00AA0D5C"/>
    <w:rsid w:val="00AA1BCE"/>
    <w:rsid w:val="00AB2AD6"/>
    <w:rsid w:val="00AD10E7"/>
    <w:rsid w:val="00AD704C"/>
    <w:rsid w:val="00AD789E"/>
    <w:rsid w:val="00AF209D"/>
    <w:rsid w:val="00B015A8"/>
    <w:rsid w:val="00B018B4"/>
    <w:rsid w:val="00B05866"/>
    <w:rsid w:val="00B14D4E"/>
    <w:rsid w:val="00B20694"/>
    <w:rsid w:val="00B2356E"/>
    <w:rsid w:val="00B23F30"/>
    <w:rsid w:val="00B33B14"/>
    <w:rsid w:val="00B35300"/>
    <w:rsid w:val="00B41B95"/>
    <w:rsid w:val="00B60DE3"/>
    <w:rsid w:val="00B61194"/>
    <w:rsid w:val="00B611D9"/>
    <w:rsid w:val="00B70E7B"/>
    <w:rsid w:val="00B74AD1"/>
    <w:rsid w:val="00B7616F"/>
    <w:rsid w:val="00B93EBD"/>
    <w:rsid w:val="00B96685"/>
    <w:rsid w:val="00BA0E59"/>
    <w:rsid w:val="00BA18F0"/>
    <w:rsid w:val="00BB02C2"/>
    <w:rsid w:val="00BB043A"/>
    <w:rsid w:val="00BD0594"/>
    <w:rsid w:val="00BD1C8D"/>
    <w:rsid w:val="00BD6CF5"/>
    <w:rsid w:val="00BE4C69"/>
    <w:rsid w:val="00BE5641"/>
    <w:rsid w:val="00BF2B46"/>
    <w:rsid w:val="00BF2C6D"/>
    <w:rsid w:val="00BF4292"/>
    <w:rsid w:val="00C025C4"/>
    <w:rsid w:val="00C14D49"/>
    <w:rsid w:val="00C21FFC"/>
    <w:rsid w:val="00C30E98"/>
    <w:rsid w:val="00C40996"/>
    <w:rsid w:val="00C42BC1"/>
    <w:rsid w:val="00C43850"/>
    <w:rsid w:val="00C46BC8"/>
    <w:rsid w:val="00C4718C"/>
    <w:rsid w:val="00C742E3"/>
    <w:rsid w:val="00C7460D"/>
    <w:rsid w:val="00C80F87"/>
    <w:rsid w:val="00CA3027"/>
    <w:rsid w:val="00CB10D3"/>
    <w:rsid w:val="00CB7B09"/>
    <w:rsid w:val="00CD5846"/>
    <w:rsid w:val="00CE19DE"/>
    <w:rsid w:val="00CE6C57"/>
    <w:rsid w:val="00CE7C22"/>
    <w:rsid w:val="00CF17DA"/>
    <w:rsid w:val="00D0319D"/>
    <w:rsid w:val="00D10CBE"/>
    <w:rsid w:val="00D13FC6"/>
    <w:rsid w:val="00D17115"/>
    <w:rsid w:val="00D230E9"/>
    <w:rsid w:val="00D27074"/>
    <w:rsid w:val="00D55CED"/>
    <w:rsid w:val="00D635B4"/>
    <w:rsid w:val="00D63EFA"/>
    <w:rsid w:val="00D73770"/>
    <w:rsid w:val="00D81114"/>
    <w:rsid w:val="00D96E41"/>
    <w:rsid w:val="00DA3B51"/>
    <w:rsid w:val="00DA4834"/>
    <w:rsid w:val="00DA5D03"/>
    <w:rsid w:val="00DA6867"/>
    <w:rsid w:val="00DB3AD2"/>
    <w:rsid w:val="00DB7CEB"/>
    <w:rsid w:val="00DD2EC3"/>
    <w:rsid w:val="00DE42E1"/>
    <w:rsid w:val="00DE5173"/>
    <w:rsid w:val="00DF29B5"/>
    <w:rsid w:val="00DF5139"/>
    <w:rsid w:val="00DF7359"/>
    <w:rsid w:val="00E059F0"/>
    <w:rsid w:val="00E151DE"/>
    <w:rsid w:val="00E17D1D"/>
    <w:rsid w:val="00E454AB"/>
    <w:rsid w:val="00E772EA"/>
    <w:rsid w:val="00E9779D"/>
    <w:rsid w:val="00EA49BE"/>
    <w:rsid w:val="00EC3DFE"/>
    <w:rsid w:val="00ED62D4"/>
    <w:rsid w:val="00EE5591"/>
    <w:rsid w:val="00EE5797"/>
    <w:rsid w:val="00EF0014"/>
    <w:rsid w:val="00EF1E9A"/>
    <w:rsid w:val="00EF2693"/>
    <w:rsid w:val="00EF5280"/>
    <w:rsid w:val="00F02A48"/>
    <w:rsid w:val="00F048E2"/>
    <w:rsid w:val="00F133D5"/>
    <w:rsid w:val="00F175C3"/>
    <w:rsid w:val="00F42F80"/>
    <w:rsid w:val="00F5236C"/>
    <w:rsid w:val="00F53DEB"/>
    <w:rsid w:val="00F6108A"/>
    <w:rsid w:val="00F62C41"/>
    <w:rsid w:val="00F75EE5"/>
    <w:rsid w:val="00F839FE"/>
    <w:rsid w:val="00F85025"/>
    <w:rsid w:val="00F852A3"/>
    <w:rsid w:val="00F9058C"/>
    <w:rsid w:val="00F93ECC"/>
    <w:rsid w:val="00FA088C"/>
    <w:rsid w:val="00FA6BD3"/>
    <w:rsid w:val="00FB015E"/>
    <w:rsid w:val="00FB1296"/>
    <w:rsid w:val="00FB30F7"/>
    <w:rsid w:val="00FB3D08"/>
    <w:rsid w:val="00FD087E"/>
    <w:rsid w:val="00FD410D"/>
    <w:rsid w:val="00FD61C2"/>
    <w:rsid w:val="00FE30C7"/>
    <w:rsid w:val="00FE3756"/>
    <w:rsid w:val="00FF202F"/>
    <w:rsid w:val="00FF7A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BC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55E"/>
    <w:rPr>
      <w:rFonts w:eastAsiaTheme="minorHAnsi"/>
    </w:rPr>
  </w:style>
  <w:style w:type="paragraph" w:styleId="Heading1">
    <w:name w:val="heading 1"/>
    <w:basedOn w:val="Normal"/>
    <w:next w:val="Normal"/>
    <w:link w:val="Heading1Char"/>
    <w:uiPriority w:val="9"/>
    <w:qFormat/>
    <w:rsid w:val="008E05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24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unhideWhenUsed/>
    <w:qFormat/>
    <w:rsid w:val="008E055E"/>
    <w:pPr>
      <w:keepNext/>
      <w:keepLines/>
      <w:spacing w:line="360" w:lineRule="auto"/>
      <w:outlineLvl w:val="4"/>
    </w:pPr>
    <w:rPr>
      <w:rFonts w:ascii="Times New Roman" w:eastAsiaTheme="majorEastAsia" w:hAnsi="Times New Roman" w:cstheme="majorBidi"/>
      <w:b/>
      <w:color w:val="243F60" w:themeColor="accent1" w:themeShade="7F"/>
      <w:szCs w:val="22"/>
      <w:lang w:val="en-GB"/>
    </w:rPr>
  </w:style>
  <w:style w:type="paragraph" w:styleId="Heading6">
    <w:name w:val="heading 6"/>
    <w:basedOn w:val="Normal"/>
    <w:next w:val="Normal"/>
    <w:link w:val="Heading6Char"/>
    <w:uiPriority w:val="9"/>
    <w:semiHidden/>
    <w:unhideWhenUsed/>
    <w:qFormat/>
    <w:rsid w:val="005F68C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rransNiceBullets">
    <w:name w:val="Merran's Nice Bullets"/>
    <w:basedOn w:val="Normal"/>
    <w:qFormat/>
    <w:rsid w:val="00DA5D03"/>
    <w:pPr>
      <w:numPr>
        <w:numId w:val="1"/>
      </w:numPr>
      <w:autoSpaceDE w:val="0"/>
      <w:autoSpaceDN w:val="0"/>
      <w:adjustRightInd w:val="0"/>
      <w:spacing w:line="360" w:lineRule="auto"/>
    </w:pPr>
    <w:rPr>
      <w:rFonts w:ascii="Times New Roman" w:eastAsia="Calibri" w:hAnsi="Times New Roman" w:cs="Times New Roman"/>
      <w:lang w:val="en-GB"/>
    </w:rPr>
  </w:style>
  <w:style w:type="character" w:customStyle="1" w:styleId="Heading1Char">
    <w:name w:val="Heading 1 Char"/>
    <w:basedOn w:val="DefaultParagraphFont"/>
    <w:link w:val="Heading1"/>
    <w:uiPriority w:val="9"/>
    <w:rsid w:val="008E055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8E055E"/>
    <w:rPr>
      <w:rFonts w:ascii="Times New Roman" w:eastAsiaTheme="majorEastAsia" w:hAnsi="Times New Roman" w:cstheme="majorBidi"/>
      <w:b/>
      <w:color w:val="243F60" w:themeColor="accent1" w:themeShade="7F"/>
      <w:szCs w:val="22"/>
      <w:lang w:val="en-GB"/>
    </w:rPr>
  </w:style>
  <w:style w:type="paragraph" w:customStyle="1" w:styleId="p1">
    <w:name w:val="p1"/>
    <w:basedOn w:val="Normal"/>
    <w:rsid w:val="008E055E"/>
    <w:rPr>
      <w:rFonts w:ascii="Garamond" w:hAnsi="Garamond" w:cs="Times New Roman"/>
      <w:sz w:val="18"/>
      <w:szCs w:val="18"/>
    </w:rPr>
  </w:style>
  <w:style w:type="paragraph" w:customStyle="1" w:styleId="p2">
    <w:name w:val="p2"/>
    <w:basedOn w:val="Normal"/>
    <w:rsid w:val="008E055E"/>
    <w:rPr>
      <w:rFonts w:ascii="Garamond" w:hAnsi="Garamond" w:cs="Times New Roman"/>
      <w:sz w:val="17"/>
      <w:szCs w:val="17"/>
    </w:rPr>
  </w:style>
  <w:style w:type="character" w:customStyle="1" w:styleId="apple-converted-space">
    <w:name w:val="apple-converted-space"/>
    <w:basedOn w:val="DefaultParagraphFont"/>
    <w:rsid w:val="008E055E"/>
  </w:style>
  <w:style w:type="paragraph" w:customStyle="1" w:styleId="p3">
    <w:name w:val="p3"/>
    <w:basedOn w:val="Normal"/>
    <w:rsid w:val="008E055E"/>
    <w:pPr>
      <w:spacing w:after="212" w:line="210" w:lineRule="atLeast"/>
      <w:ind w:left="554" w:hanging="554"/>
    </w:pPr>
    <w:rPr>
      <w:rFonts w:ascii="Garamond" w:hAnsi="Garamond" w:cs="Times New Roman"/>
      <w:sz w:val="17"/>
      <w:szCs w:val="17"/>
    </w:rPr>
  </w:style>
  <w:style w:type="paragraph" w:customStyle="1" w:styleId="p4">
    <w:name w:val="p4"/>
    <w:basedOn w:val="Normal"/>
    <w:rsid w:val="008E055E"/>
    <w:rPr>
      <w:rFonts w:ascii="Garamond" w:hAnsi="Garamond" w:cs="Times New Roman"/>
      <w:sz w:val="21"/>
      <w:szCs w:val="21"/>
    </w:rPr>
  </w:style>
  <w:style w:type="character" w:customStyle="1" w:styleId="s1">
    <w:name w:val="s1"/>
    <w:basedOn w:val="DefaultParagraphFont"/>
    <w:rsid w:val="008E055E"/>
    <w:rPr>
      <w:rFonts w:ascii="Garamond" w:hAnsi="Garamond" w:hint="default"/>
      <w:sz w:val="18"/>
      <w:szCs w:val="18"/>
    </w:rPr>
  </w:style>
  <w:style w:type="character" w:customStyle="1" w:styleId="s2">
    <w:name w:val="s2"/>
    <w:basedOn w:val="DefaultParagraphFont"/>
    <w:rsid w:val="008E055E"/>
    <w:rPr>
      <w:rFonts w:ascii="Garamond" w:hAnsi="Garamond" w:hint="default"/>
      <w:position w:val="2565"/>
      <w:sz w:val="10"/>
      <w:szCs w:val="10"/>
    </w:rPr>
  </w:style>
  <w:style w:type="paragraph" w:styleId="ListParagraph">
    <w:name w:val="List Paragraph"/>
    <w:basedOn w:val="Normal"/>
    <w:uiPriority w:val="34"/>
    <w:qFormat/>
    <w:rsid w:val="008E055E"/>
    <w:pPr>
      <w:ind w:left="720"/>
      <w:contextualSpacing/>
    </w:pPr>
  </w:style>
  <w:style w:type="paragraph" w:styleId="NormalWeb">
    <w:name w:val="Normal (Web)"/>
    <w:basedOn w:val="Normal"/>
    <w:uiPriority w:val="99"/>
    <w:semiHidden/>
    <w:unhideWhenUsed/>
    <w:rsid w:val="008E055E"/>
    <w:pPr>
      <w:spacing w:before="100" w:beforeAutospacing="1" w:after="100" w:afterAutospacing="1"/>
    </w:pPr>
    <w:rPr>
      <w:rFonts w:ascii="Times New Roman" w:hAnsi="Times New Roman" w:cs="Times New Roman"/>
    </w:rPr>
  </w:style>
  <w:style w:type="paragraph" w:styleId="CommentText">
    <w:name w:val="annotation text"/>
    <w:basedOn w:val="Normal"/>
    <w:link w:val="CommentTextChar"/>
    <w:uiPriority w:val="99"/>
    <w:unhideWhenUsed/>
    <w:rsid w:val="008E055E"/>
  </w:style>
  <w:style w:type="character" w:customStyle="1" w:styleId="CommentTextChar">
    <w:name w:val="Comment Text Char"/>
    <w:basedOn w:val="DefaultParagraphFont"/>
    <w:link w:val="CommentText"/>
    <w:uiPriority w:val="99"/>
    <w:rsid w:val="008E055E"/>
    <w:rPr>
      <w:rFonts w:eastAsiaTheme="minorHAnsi"/>
    </w:rPr>
  </w:style>
  <w:style w:type="character" w:styleId="CommentReference">
    <w:name w:val="annotation reference"/>
    <w:basedOn w:val="DefaultParagraphFont"/>
    <w:uiPriority w:val="99"/>
    <w:rsid w:val="008E055E"/>
    <w:rPr>
      <w:sz w:val="16"/>
      <w:szCs w:val="16"/>
    </w:rPr>
  </w:style>
  <w:style w:type="paragraph" w:styleId="BalloonText">
    <w:name w:val="Balloon Text"/>
    <w:basedOn w:val="Normal"/>
    <w:link w:val="BalloonTextChar"/>
    <w:uiPriority w:val="99"/>
    <w:semiHidden/>
    <w:unhideWhenUsed/>
    <w:rsid w:val="008E05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55E"/>
    <w:rPr>
      <w:rFonts w:ascii="Times New Roman" w:eastAsiaTheme="minorHAnsi"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E055E"/>
    <w:rPr>
      <w:b/>
      <w:bCs/>
      <w:sz w:val="20"/>
      <w:szCs w:val="20"/>
    </w:rPr>
  </w:style>
  <w:style w:type="character" w:customStyle="1" w:styleId="CommentSubjectChar">
    <w:name w:val="Comment Subject Char"/>
    <w:basedOn w:val="CommentTextChar"/>
    <w:link w:val="CommentSubject"/>
    <w:uiPriority w:val="99"/>
    <w:semiHidden/>
    <w:rsid w:val="008E055E"/>
    <w:rPr>
      <w:rFonts w:eastAsiaTheme="minorHAnsi"/>
      <w:b/>
      <w:bCs/>
      <w:sz w:val="20"/>
      <w:szCs w:val="20"/>
    </w:rPr>
  </w:style>
  <w:style w:type="paragraph" w:styleId="Footer">
    <w:name w:val="footer"/>
    <w:basedOn w:val="Normal"/>
    <w:link w:val="FooterChar"/>
    <w:uiPriority w:val="99"/>
    <w:unhideWhenUsed/>
    <w:rsid w:val="008E055E"/>
    <w:pPr>
      <w:tabs>
        <w:tab w:val="center" w:pos="4513"/>
        <w:tab w:val="right" w:pos="9026"/>
      </w:tabs>
    </w:pPr>
  </w:style>
  <w:style w:type="character" w:customStyle="1" w:styleId="FooterChar">
    <w:name w:val="Footer Char"/>
    <w:basedOn w:val="DefaultParagraphFont"/>
    <w:link w:val="Footer"/>
    <w:uiPriority w:val="99"/>
    <w:rsid w:val="008E055E"/>
    <w:rPr>
      <w:rFonts w:eastAsiaTheme="minorHAnsi"/>
    </w:rPr>
  </w:style>
  <w:style w:type="character" w:styleId="PageNumber">
    <w:name w:val="page number"/>
    <w:basedOn w:val="DefaultParagraphFont"/>
    <w:uiPriority w:val="99"/>
    <w:semiHidden/>
    <w:unhideWhenUsed/>
    <w:rsid w:val="008E055E"/>
  </w:style>
  <w:style w:type="character" w:styleId="Hyperlink">
    <w:name w:val="Hyperlink"/>
    <w:basedOn w:val="DefaultParagraphFont"/>
    <w:uiPriority w:val="99"/>
    <w:unhideWhenUsed/>
    <w:rsid w:val="008E055E"/>
    <w:rPr>
      <w:color w:val="0000FF"/>
      <w:u w:val="single"/>
    </w:rPr>
  </w:style>
  <w:style w:type="paragraph" w:styleId="Header">
    <w:name w:val="header"/>
    <w:basedOn w:val="Normal"/>
    <w:link w:val="HeaderChar"/>
    <w:uiPriority w:val="99"/>
    <w:unhideWhenUsed/>
    <w:rsid w:val="008E055E"/>
    <w:pPr>
      <w:tabs>
        <w:tab w:val="center" w:pos="4513"/>
        <w:tab w:val="right" w:pos="9026"/>
      </w:tabs>
    </w:pPr>
  </w:style>
  <w:style w:type="character" w:customStyle="1" w:styleId="HeaderChar">
    <w:name w:val="Header Char"/>
    <w:basedOn w:val="DefaultParagraphFont"/>
    <w:link w:val="Header"/>
    <w:uiPriority w:val="99"/>
    <w:rsid w:val="008E055E"/>
    <w:rPr>
      <w:rFonts w:eastAsiaTheme="minorHAnsi"/>
    </w:rPr>
  </w:style>
  <w:style w:type="paragraph" w:styleId="Revision">
    <w:name w:val="Revision"/>
    <w:hidden/>
    <w:uiPriority w:val="99"/>
    <w:semiHidden/>
    <w:rsid w:val="008E055E"/>
    <w:rPr>
      <w:rFonts w:eastAsiaTheme="minorHAnsi"/>
    </w:rPr>
  </w:style>
  <w:style w:type="paragraph" w:customStyle="1" w:styleId="EndNoteBibliographyTitle">
    <w:name w:val="EndNote Bibliography Title"/>
    <w:basedOn w:val="Normal"/>
    <w:rsid w:val="008E055E"/>
    <w:pPr>
      <w:jc w:val="center"/>
    </w:pPr>
    <w:rPr>
      <w:rFonts w:ascii="Calibri" w:hAnsi="Calibri"/>
    </w:rPr>
  </w:style>
  <w:style w:type="paragraph" w:customStyle="1" w:styleId="EndNoteBibliography">
    <w:name w:val="EndNote Bibliography"/>
    <w:basedOn w:val="Normal"/>
    <w:rsid w:val="008E055E"/>
    <w:rPr>
      <w:rFonts w:ascii="Calibri" w:hAnsi="Calibri"/>
    </w:rPr>
  </w:style>
  <w:style w:type="paragraph" w:customStyle="1" w:styleId="ChapfigTables">
    <w:name w:val="Chap fig &amp; Tables"/>
    <w:basedOn w:val="Normal"/>
    <w:qFormat/>
    <w:rsid w:val="008E055E"/>
    <w:rPr>
      <w:rFonts w:ascii="Times New Roman" w:eastAsia="Times New Roman" w:hAnsi="Times New Roman" w:cs="Times New Roman"/>
      <w:b/>
      <w:i/>
      <w:lang w:val="en-GB" w:eastAsia="en-GB"/>
    </w:rPr>
  </w:style>
  <w:style w:type="paragraph" w:customStyle="1" w:styleId="Chaplegends">
    <w:name w:val="Chap legends"/>
    <w:basedOn w:val="Normal"/>
    <w:qFormat/>
    <w:rsid w:val="008E055E"/>
    <w:rPr>
      <w:rFonts w:ascii="Times New Roman" w:eastAsia="Times New Roman" w:hAnsi="Times New Roman" w:cs="Times New Roman"/>
      <w:sz w:val="16"/>
      <w:szCs w:val="16"/>
      <w:lang w:val="en-GB" w:eastAsia="en-GB"/>
    </w:rPr>
  </w:style>
  <w:style w:type="paragraph" w:customStyle="1" w:styleId="ChapterBody">
    <w:name w:val="Chapter Body"/>
    <w:basedOn w:val="Normal"/>
    <w:qFormat/>
    <w:rsid w:val="008E055E"/>
    <w:pPr>
      <w:spacing w:line="360" w:lineRule="auto"/>
    </w:pPr>
    <w:rPr>
      <w:rFonts w:ascii="Times New Roman" w:eastAsia="Times New Roman" w:hAnsi="Times New Roman" w:cs="Times New Roman"/>
      <w:lang w:val="en-GB" w:eastAsia="en-GB"/>
    </w:rPr>
  </w:style>
  <w:style w:type="character" w:styleId="Strong">
    <w:name w:val="Strong"/>
    <w:basedOn w:val="DefaultParagraphFont"/>
    <w:uiPriority w:val="22"/>
    <w:qFormat/>
    <w:rsid w:val="00D96E41"/>
    <w:rPr>
      <w:b/>
      <w:bCs/>
    </w:rPr>
  </w:style>
  <w:style w:type="character" w:styleId="FollowedHyperlink">
    <w:name w:val="FollowedHyperlink"/>
    <w:basedOn w:val="DefaultParagraphFont"/>
    <w:uiPriority w:val="99"/>
    <w:semiHidden/>
    <w:unhideWhenUsed/>
    <w:rsid w:val="00D96E41"/>
    <w:rPr>
      <w:color w:val="800080" w:themeColor="followedHyperlink"/>
      <w:u w:val="single"/>
    </w:rPr>
  </w:style>
  <w:style w:type="character" w:customStyle="1" w:styleId="Heading6Char">
    <w:name w:val="Heading 6 Char"/>
    <w:basedOn w:val="DefaultParagraphFont"/>
    <w:link w:val="Heading6"/>
    <w:uiPriority w:val="9"/>
    <w:semiHidden/>
    <w:rsid w:val="005F68CF"/>
    <w:rPr>
      <w:rFonts w:asciiTheme="majorHAnsi" w:eastAsiaTheme="majorEastAsia" w:hAnsiTheme="majorHAnsi" w:cstheme="majorBidi"/>
      <w:color w:val="243F60" w:themeColor="accent1" w:themeShade="7F"/>
    </w:rPr>
  </w:style>
  <w:style w:type="paragraph" w:customStyle="1" w:styleId="TableHeading">
    <w:name w:val="Table Heading"/>
    <w:basedOn w:val="Heading6"/>
    <w:qFormat/>
    <w:rsid w:val="00D635B4"/>
    <w:pPr>
      <w:spacing w:before="200"/>
    </w:pPr>
    <w:rPr>
      <w:i/>
      <w:iCs/>
      <w:color w:val="auto"/>
      <w:lang w:val="en-GB"/>
    </w:rPr>
  </w:style>
  <w:style w:type="character" w:customStyle="1" w:styleId="Heading2Char">
    <w:name w:val="Heading 2 Char"/>
    <w:basedOn w:val="DefaultParagraphFont"/>
    <w:link w:val="Heading2"/>
    <w:uiPriority w:val="9"/>
    <w:rsid w:val="0012244C"/>
    <w:rPr>
      <w:rFonts w:asciiTheme="majorHAnsi" w:eastAsiaTheme="majorEastAsia" w:hAnsiTheme="majorHAnsi" w:cstheme="majorBidi"/>
      <w:color w:val="365F91" w:themeColor="accent1" w:themeShade="BF"/>
      <w:sz w:val="26"/>
      <w:szCs w:val="26"/>
    </w:rPr>
  </w:style>
  <w:style w:type="character" w:customStyle="1" w:styleId="size-xl">
    <w:name w:val="size-xl"/>
    <w:basedOn w:val="DefaultParagraphFont"/>
    <w:rsid w:val="0012244C"/>
  </w:style>
  <w:style w:type="character" w:customStyle="1" w:styleId="size-m">
    <w:name w:val="size-m"/>
    <w:basedOn w:val="DefaultParagraphFont"/>
    <w:rsid w:val="0012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790">
      <w:bodyDiv w:val="1"/>
      <w:marLeft w:val="0"/>
      <w:marRight w:val="0"/>
      <w:marTop w:val="0"/>
      <w:marBottom w:val="0"/>
      <w:divBdr>
        <w:top w:val="none" w:sz="0" w:space="0" w:color="auto"/>
        <w:left w:val="none" w:sz="0" w:space="0" w:color="auto"/>
        <w:bottom w:val="none" w:sz="0" w:space="0" w:color="auto"/>
        <w:right w:val="none" w:sz="0" w:space="0" w:color="auto"/>
      </w:divBdr>
      <w:divsChild>
        <w:div w:id="1629822794">
          <w:marLeft w:val="547"/>
          <w:marRight w:val="0"/>
          <w:marTop w:val="0"/>
          <w:marBottom w:val="0"/>
          <w:divBdr>
            <w:top w:val="none" w:sz="0" w:space="0" w:color="auto"/>
            <w:left w:val="none" w:sz="0" w:space="0" w:color="auto"/>
            <w:bottom w:val="none" w:sz="0" w:space="0" w:color="auto"/>
            <w:right w:val="none" w:sz="0" w:space="0" w:color="auto"/>
          </w:divBdr>
        </w:div>
        <w:div w:id="1114524380">
          <w:marLeft w:val="547"/>
          <w:marRight w:val="0"/>
          <w:marTop w:val="0"/>
          <w:marBottom w:val="0"/>
          <w:divBdr>
            <w:top w:val="none" w:sz="0" w:space="0" w:color="auto"/>
            <w:left w:val="none" w:sz="0" w:space="0" w:color="auto"/>
            <w:bottom w:val="none" w:sz="0" w:space="0" w:color="auto"/>
            <w:right w:val="none" w:sz="0" w:space="0" w:color="auto"/>
          </w:divBdr>
        </w:div>
      </w:divsChild>
    </w:div>
    <w:div w:id="517044943">
      <w:bodyDiv w:val="1"/>
      <w:marLeft w:val="0"/>
      <w:marRight w:val="0"/>
      <w:marTop w:val="0"/>
      <w:marBottom w:val="0"/>
      <w:divBdr>
        <w:top w:val="none" w:sz="0" w:space="0" w:color="auto"/>
        <w:left w:val="none" w:sz="0" w:space="0" w:color="auto"/>
        <w:bottom w:val="none" w:sz="0" w:space="0" w:color="auto"/>
        <w:right w:val="none" w:sz="0" w:space="0" w:color="auto"/>
      </w:divBdr>
    </w:div>
    <w:div w:id="1184786864">
      <w:bodyDiv w:val="1"/>
      <w:marLeft w:val="0"/>
      <w:marRight w:val="0"/>
      <w:marTop w:val="0"/>
      <w:marBottom w:val="0"/>
      <w:divBdr>
        <w:top w:val="none" w:sz="0" w:space="0" w:color="auto"/>
        <w:left w:val="none" w:sz="0" w:space="0" w:color="auto"/>
        <w:bottom w:val="none" w:sz="0" w:space="0" w:color="auto"/>
        <w:right w:val="none" w:sz="0" w:space="0" w:color="auto"/>
      </w:divBdr>
    </w:div>
    <w:div w:id="1214003413">
      <w:bodyDiv w:val="1"/>
      <w:marLeft w:val="0"/>
      <w:marRight w:val="0"/>
      <w:marTop w:val="0"/>
      <w:marBottom w:val="0"/>
      <w:divBdr>
        <w:top w:val="none" w:sz="0" w:space="0" w:color="auto"/>
        <w:left w:val="none" w:sz="0" w:space="0" w:color="auto"/>
        <w:bottom w:val="none" w:sz="0" w:space="0" w:color="auto"/>
        <w:right w:val="none" w:sz="0" w:space="0" w:color="auto"/>
      </w:divBdr>
    </w:div>
    <w:div w:id="1736389090">
      <w:bodyDiv w:val="1"/>
      <w:marLeft w:val="0"/>
      <w:marRight w:val="0"/>
      <w:marTop w:val="0"/>
      <w:marBottom w:val="0"/>
      <w:divBdr>
        <w:top w:val="none" w:sz="0" w:space="0" w:color="auto"/>
        <w:left w:val="none" w:sz="0" w:space="0" w:color="auto"/>
        <w:bottom w:val="none" w:sz="0" w:space="0" w:color="auto"/>
        <w:right w:val="none" w:sz="0" w:space="0" w:color="auto"/>
      </w:divBdr>
    </w:div>
    <w:div w:id="1858346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ournalslibrary.nihr.ac.uk/hsdr/hsdr03070" TargetMode="External"/><Relationship Id="rId12" Type="http://schemas.openxmlformats.org/officeDocument/2006/relationships/hyperlink" Target="https://www.journalslibrary.nihr.ac.uk/programmes/hsdr/141943/" TargetMode="External"/><Relationship Id="rId13" Type="http://schemas.openxmlformats.org/officeDocument/2006/relationships/hyperlink" Target="https://www.gov.uk/government/uploads/system/uploads/attachment_data/file/480482/NHS_Constitution_WEB.pdf" TargetMode="External"/><Relationship Id="rId14" Type="http://schemas.openxmlformats.org/officeDocument/2006/relationships/image" Target="media/image1.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rran.toerien@york.ac.uk" TargetMode="External"/><Relationship Id="rId9" Type="http://schemas.openxmlformats.org/officeDocument/2006/relationships/hyperlink" Target="mailto:clare.jackson@york.ac.uk" TargetMode="External"/><Relationship Id="rId10" Type="http://schemas.openxmlformats.org/officeDocument/2006/relationships/hyperlink" Target="mailto:markus.reuber@s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5FD98-6EBA-1D45-AE2F-69144998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8696</Words>
  <Characters>49573</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2018-05-30T21:15:00Z</dcterms:created>
  <dcterms:modified xsi:type="dcterms:W3CDTF">2018-05-30T21:15:00Z</dcterms:modified>
</cp:coreProperties>
</file>