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187A" w14:textId="3BB9F855" w:rsidR="009806A2" w:rsidRPr="009806A2" w:rsidRDefault="004A78BB" w:rsidP="009806A2">
      <w:pPr>
        <w:pStyle w:val="Title"/>
        <w:spacing w:line="276" w:lineRule="auto"/>
        <w:rPr>
          <w:smallCaps/>
          <w:szCs w:val="24"/>
        </w:rPr>
      </w:pPr>
      <w:bookmarkStart w:id="0" w:name="_Hlk508810353"/>
      <w:r>
        <w:rPr>
          <w:smallCaps/>
          <w:szCs w:val="24"/>
        </w:rPr>
        <w:t>Refusing Life-Prolonging Medical Treatment</w:t>
      </w:r>
      <w:r w:rsidR="00A25E2D">
        <w:rPr>
          <w:smallCaps/>
          <w:szCs w:val="24"/>
        </w:rPr>
        <w:t xml:space="preserve"> and the ECHR</w:t>
      </w:r>
    </w:p>
    <w:p w14:paraId="0560BC1E" w14:textId="77777777" w:rsidR="009806A2" w:rsidRPr="009806A2" w:rsidRDefault="009806A2" w:rsidP="009806A2"/>
    <w:p w14:paraId="6B1D7C6C" w14:textId="77777777" w:rsidR="009806A2" w:rsidRPr="009806A2" w:rsidRDefault="009806A2" w:rsidP="009806A2">
      <w:r w:rsidRPr="009806A2">
        <w:t>Isra Black</w:t>
      </w:r>
    </w:p>
    <w:p w14:paraId="653B3DE8" w14:textId="77777777" w:rsidR="009806A2" w:rsidRPr="009806A2" w:rsidRDefault="009806A2" w:rsidP="009806A2">
      <w:r w:rsidRPr="009806A2">
        <w:t>Lecturer in Law</w:t>
      </w:r>
    </w:p>
    <w:p w14:paraId="2CC2E518" w14:textId="77777777" w:rsidR="009806A2" w:rsidRPr="009806A2" w:rsidRDefault="009806A2" w:rsidP="009806A2">
      <w:r w:rsidRPr="009806A2">
        <w:t>York Law School</w:t>
      </w:r>
      <w:bookmarkStart w:id="1" w:name="_GoBack"/>
      <w:bookmarkEnd w:id="1"/>
    </w:p>
    <w:p w14:paraId="4BDB8E34" w14:textId="77777777" w:rsidR="009806A2" w:rsidRPr="009806A2" w:rsidRDefault="009806A2" w:rsidP="009806A2">
      <w:r w:rsidRPr="009806A2">
        <w:t>The University of York</w:t>
      </w:r>
    </w:p>
    <w:p w14:paraId="40EB3B7B" w14:textId="77777777" w:rsidR="009806A2" w:rsidRPr="009806A2" w:rsidRDefault="009806A2" w:rsidP="009806A2">
      <w:r w:rsidRPr="009806A2">
        <w:t>York YO10 5GD</w:t>
      </w:r>
    </w:p>
    <w:p w14:paraId="1B55A851" w14:textId="77777777" w:rsidR="009806A2" w:rsidRPr="009806A2" w:rsidRDefault="009806A2" w:rsidP="009806A2"/>
    <w:p w14:paraId="342D6893" w14:textId="5FACA03A" w:rsidR="004A78BB" w:rsidRDefault="002D131A" w:rsidP="009806A2">
      <w:hyperlink r:id="rId8" w:history="1">
        <w:r w:rsidR="009806A2" w:rsidRPr="008A0B4C">
          <w:rPr>
            <w:rStyle w:val="Hyperlink"/>
          </w:rPr>
          <w:t>isra.black@york.ac.uk</w:t>
        </w:r>
      </w:hyperlink>
    </w:p>
    <w:p w14:paraId="7C8BC308" w14:textId="77777777" w:rsidR="004A78BB" w:rsidRDefault="004A78BB">
      <w:r>
        <w:br w:type="page"/>
      </w:r>
    </w:p>
    <w:p w14:paraId="0348D41C" w14:textId="77777777" w:rsidR="004A78BB" w:rsidRDefault="004A78BB" w:rsidP="004A78BB">
      <w:pPr>
        <w:pStyle w:val="Body"/>
        <w:rPr>
          <w:b/>
        </w:rPr>
      </w:pPr>
      <w:r w:rsidRPr="004A78BB">
        <w:rPr>
          <w:b/>
        </w:rPr>
        <w:lastRenderedPageBreak/>
        <w:t>Abstract</w:t>
      </w:r>
    </w:p>
    <w:p w14:paraId="66DFAF0D" w14:textId="77777777" w:rsidR="004A78BB" w:rsidRDefault="004A78BB" w:rsidP="004A78BB">
      <w:pPr>
        <w:pStyle w:val="Body"/>
      </w:pPr>
      <w:r w:rsidRPr="004A78BB">
        <w:t xml:space="preserve">This paper considers the content of the right to refuse life-prolonging medical treatment under the European Convention on Human Rights, as well as the European Court of Human Rights’ supervision of domestic legal regimes for refusing life-prolonging treatment. I argue, employing doctrinal and philosophical analyses, that developments in the Convention jurisprudence </w:t>
      </w:r>
      <w:proofErr w:type="gramStart"/>
      <w:r w:rsidRPr="004A78BB">
        <w:t>with regard to</w:t>
      </w:r>
      <w:proofErr w:type="gramEnd"/>
      <w:r w:rsidRPr="004A78BB">
        <w:t xml:space="preserve"> the protection of private life under article 8 ECHR imply a substantively extensive right to refuse life-prolonging treatment, both contemporaneously and in advance. Moreover, I suggest that there is sufficient consensus among Council of Europe Member States on the right to refuse life-prolonging treatment to engage ECtHR supervision of States’ legal frameworks for such refusals. In addition, or in the alternative, I advance that the Strasbourg court may scrutinise Member States’ legal arrangements for refusals of life-prolonging treatment in virtue of the positive obligations to secure respect for private life that inhere in article 8 ECHR.</w:t>
      </w:r>
    </w:p>
    <w:p w14:paraId="59B8EB38" w14:textId="77777777" w:rsidR="004A78BB" w:rsidRDefault="004A78BB" w:rsidP="004A78BB">
      <w:pPr>
        <w:pStyle w:val="Body"/>
        <w:rPr>
          <w:b/>
        </w:rPr>
      </w:pPr>
      <w:r>
        <w:rPr>
          <w:b/>
        </w:rPr>
        <w:t>Keywords</w:t>
      </w:r>
    </w:p>
    <w:p w14:paraId="1F148DE7" w14:textId="77777777" w:rsidR="004A78BB" w:rsidRDefault="004A78BB" w:rsidP="004A78BB">
      <w:pPr>
        <w:pStyle w:val="Body"/>
      </w:pPr>
      <w:r>
        <w:t>human rights; European Convention on Human Rights; refusal of treatment; medical law; ethics; legal philosophy</w:t>
      </w:r>
    </w:p>
    <w:p w14:paraId="31EC0B42" w14:textId="77777777" w:rsidR="004A78BB" w:rsidRDefault="004A78BB" w:rsidP="004A78BB">
      <w:pPr>
        <w:pStyle w:val="Body"/>
        <w:rPr>
          <w:b/>
        </w:rPr>
      </w:pPr>
      <w:r>
        <w:rPr>
          <w:b/>
        </w:rPr>
        <w:t>Acknowledgements</w:t>
      </w:r>
    </w:p>
    <w:p w14:paraId="0F3FA74F" w14:textId="1444F7CD" w:rsidR="009806A2" w:rsidRDefault="004A78BB" w:rsidP="004A78BB">
      <w:pPr>
        <w:pStyle w:val="Body"/>
      </w:pPr>
      <w:r>
        <w:t xml:space="preserve">I </w:t>
      </w:r>
      <w:r w:rsidR="00CD06F7">
        <w:t xml:space="preserve">owe many </w:t>
      </w:r>
      <w:r>
        <w:t>thank</w:t>
      </w:r>
      <w:r w:rsidR="00CD06F7">
        <w:t>s to</w:t>
      </w:r>
      <w:r>
        <w:t xml:space="preserve"> </w:t>
      </w:r>
      <w:r w:rsidR="00C8290F">
        <w:t xml:space="preserve">Lisa Forsberg, </w:t>
      </w:r>
      <w:r>
        <w:t>Simon Halliday, Matt Matravers</w:t>
      </w:r>
      <w:r w:rsidR="00C8290F">
        <w:t>, and Jenny Steele</w:t>
      </w:r>
      <w:r>
        <w:t xml:space="preserve"> for </w:t>
      </w:r>
      <w:r w:rsidR="00C8290F">
        <w:t xml:space="preserve">critical </w:t>
      </w:r>
      <w:r>
        <w:t xml:space="preserve">comments on </w:t>
      </w:r>
      <w:r w:rsidR="00CD06F7">
        <w:t>earlier draft</w:t>
      </w:r>
      <w:r w:rsidR="00C8290F">
        <w:t>s</w:t>
      </w:r>
      <w:r w:rsidR="00CD06F7">
        <w:t xml:space="preserve">. </w:t>
      </w:r>
      <w:r w:rsidR="00C8290F">
        <w:t>T</w:t>
      </w:r>
      <w:r w:rsidR="00CD06F7">
        <w:t>hank</w:t>
      </w:r>
      <w:r w:rsidR="00C8290F">
        <w:t xml:space="preserve"> you also to</w:t>
      </w:r>
      <w:r w:rsidR="00CD06F7">
        <w:t xml:space="preserve"> two anonymous reviewers for the </w:t>
      </w:r>
      <w:r w:rsidR="00C8290F">
        <w:t>j</w:t>
      </w:r>
      <w:r w:rsidR="00CD06F7">
        <w:t xml:space="preserve">ournal. </w:t>
      </w:r>
      <w:r w:rsidR="00C8290F">
        <w:t xml:space="preserve">I would like to acknowledge the support of </w:t>
      </w:r>
      <w:r w:rsidR="00CD06F7">
        <w:t xml:space="preserve">the </w:t>
      </w:r>
      <w:r w:rsidR="00CD06F7" w:rsidRPr="00CD06F7">
        <w:t xml:space="preserve">German Ministry for Education </w:t>
      </w:r>
      <w:r w:rsidR="00C8290F">
        <w:t xml:space="preserve">and Research/EU Joint Programme — </w:t>
      </w:r>
      <w:r w:rsidR="00CD06F7" w:rsidRPr="00CD06F7">
        <w:t>Neu</w:t>
      </w:r>
      <w:r w:rsidR="00CD06F7">
        <w:t xml:space="preserve">rodegenerative Disease Research </w:t>
      </w:r>
      <w:r w:rsidR="00C8290F">
        <w:t xml:space="preserve">(grant </w:t>
      </w:r>
      <w:r w:rsidR="00CD06F7">
        <w:t>#</w:t>
      </w:r>
      <w:r w:rsidR="00CD06F7" w:rsidRPr="00CD06F7">
        <w:t>01ED1402B</w:t>
      </w:r>
      <w:r w:rsidR="00C8290F">
        <w:t xml:space="preserve">), and my project colleagues Johanna </w:t>
      </w:r>
      <w:proofErr w:type="spellStart"/>
      <w:r w:rsidR="00C8290F">
        <w:t>Anneser</w:t>
      </w:r>
      <w:proofErr w:type="spellEnd"/>
      <w:r w:rsidR="00C8290F">
        <w:t>, Gian Domenico Borasio, and Ralf J Jox. The responsibility for errors is mine only.</w:t>
      </w:r>
      <w:r w:rsidR="009806A2">
        <w:br w:type="page"/>
      </w:r>
    </w:p>
    <w:bookmarkEnd w:id="0"/>
    <w:p w14:paraId="3E84B1E7" w14:textId="48922223" w:rsidR="00DC37F8" w:rsidRPr="00F05FE9" w:rsidRDefault="00334E6F" w:rsidP="003D725F">
      <w:pPr>
        <w:pStyle w:val="Title"/>
        <w:spacing w:line="276" w:lineRule="auto"/>
        <w:rPr>
          <w:smallCaps/>
          <w:szCs w:val="24"/>
        </w:rPr>
      </w:pPr>
      <w:r>
        <w:rPr>
          <w:smallCaps/>
          <w:szCs w:val="24"/>
        </w:rPr>
        <w:lastRenderedPageBreak/>
        <w:t>R</w:t>
      </w:r>
      <w:r w:rsidR="005E4E70" w:rsidRPr="00F05FE9">
        <w:rPr>
          <w:smallCaps/>
          <w:szCs w:val="24"/>
        </w:rPr>
        <w:t>ef</w:t>
      </w:r>
      <w:r w:rsidR="00DC37F8" w:rsidRPr="00F05FE9">
        <w:rPr>
          <w:smallCaps/>
          <w:szCs w:val="24"/>
        </w:rPr>
        <w:t xml:space="preserve">using </w:t>
      </w:r>
      <w:r>
        <w:rPr>
          <w:smallCaps/>
          <w:szCs w:val="24"/>
        </w:rPr>
        <w:t>L</w:t>
      </w:r>
      <w:r w:rsidR="002F068A" w:rsidRPr="00F05FE9">
        <w:rPr>
          <w:smallCaps/>
          <w:szCs w:val="24"/>
        </w:rPr>
        <w:t>ife-</w:t>
      </w:r>
      <w:r>
        <w:rPr>
          <w:smallCaps/>
          <w:szCs w:val="24"/>
        </w:rPr>
        <w:t>P</w:t>
      </w:r>
      <w:r w:rsidR="002F068A" w:rsidRPr="00F05FE9">
        <w:rPr>
          <w:smallCaps/>
          <w:szCs w:val="24"/>
        </w:rPr>
        <w:t>rolonging</w:t>
      </w:r>
      <w:r w:rsidR="00DC37F8" w:rsidRPr="00F05FE9">
        <w:rPr>
          <w:smallCaps/>
          <w:szCs w:val="24"/>
        </w:rPr>
        <w:t xml:space="preserve"> </w:t>
      </w:r>
      <w:r>
        <w:rPr>
          <w:smallCaps/>
          <w:szCs w:val="24"/>
        </w:rPr>
        <w:t>M</w:t>
      </w:r>
      <w:r w:rsidR="0080284F" w:rsidRPr="00F05FE9">
        <w:rPr>
          <w:smallCaps/>
          <w:szCs w:val="24"/>
        </w:rPr>
        <w:t xml:space="preserve">edical </w:t>
      </w:r>
      <w:r>
        <w:rPr>
          <w:smallCaps/>
          <w:szCs w:val="24"/>
        </w:rPr>
        <w:t>T</w:t>
      </w:r>
      <w:r w:rsidR="00DC37F8" w:rsidRPr="00F05FE9">
        <w:rPr>
          <w:smallCaps/>
          <w:szCs w:val="24"/>
        </w:rPr>
        <w:t>reatment</w:t>
      </w:r>
      <w:r w:rsidR="00AB2163">
        <w:rPr>
          <w:smallCaps/>
          <w:szCs w:val="24"/>
        </w:rPr>
        <w:t xml:space="preserve"> and the ECHR</w:t>
      </w:r>
    </w:p>
    <w:p w14:paraId="3B8EB250" w14:textId="5F18272B" w:rsidR="006F3BAC" w:rsidRDefault="006F3BAC" w:rsidP="006F3BAC">
      <w:pPr>
        <w:pStyle w:val="Heading1"/>
      </w:pPr>
      <w:r>
        <w:t>Introduction</w:t>
      </w:r>
    </w:p>
    <w:p w14:paraId="5D28CF18" w14:textId="671878F6" w:rsidR="00404068" w:rsidRPr="00F05FE9" w:rsidRDefault="00563CEC" w:rsidP="003D725F">
      <w:pPr>
        <w:pStyle w:val="Body"/>
        <w:spacing w:line="276" w:lineRule="auto"/>
        <w:jc w:val="left"/>
      </w:pPr>
      <w:r w:rsidRPr="00F05FE9">
        <w:t>In this paper, I consider</w:t>
      </w:r>
      <w:r w:rsidR="009956AD" w:rsidRPr="00F05FE9">
        <w:t xml:space="preserve"> the content of the right to refuse life</w:t>
      </w:r>
      <w:r w:rsidRPr="00F05FE9">
        <w:t>-</w:t>
      </w:r>
      <w:r w:rsidR="009956AD" w:rsidRPr="00F05FE9">
        <w:t xml:space="preserve">prolonging medical treatment under </w:t>
      </w:r>
      <w:r w:rsidR="001D035B" w:rsidRPr="00F05FE9">
        <w:t xml:space="preserve">the </w:t>
      </w:r>
      <w:r w:rsidR="009956AD" w:rsidRPr="00F05FE9">
        <w:t>European Convention on Human Rights</w:t>
      </w:r>
      <w:r w:rsidR="008A5B34" w:rsidRPr="00F05FE9">
        <w:t xml:space="preserve"> (henceforth ECHR)</w:t>
      </w:r>
      <w:r w:rsidR="001D035B" w:rsidRPr="00F05FE9">
        <w:t xml:space="preserve">, as well as </w:t>
      </w:r>
      <w:r w:rsidR="006E51D5" w:rsidRPr="00F05FE9">
        <w:t xml:space="preserve">the </w:t>
      </w:r>
      <w:r w:rsidR="003B5E86" w:rsidRPr="00F05FE9">
        <w:t>European Court of Human Rights</w:t>
      </w:r>
      <w:r w:rsidR="006E51D5" w:rsidRPr="00F05FE9">
        <w:t>’</w:t>
      </w:r>
      <w:r w:rsidR="003B5E86" w:rsidRPr="00F05FE9">
        <w:t xml:space="preserve"> </w:t>
      </w:r>
      <w:r w:rsidR="008A5B34" w:rsidRPr="00F05FE9">
        <w:t xml:space="preserve">(henceforth ECtHR) </w:t>
      </w:r>
      <w:r w:rsidRPr="00F05FE9">
        <w:t xml:space="preserve">supervision </w:t>
      </w:r>
      <w:r w:rsidR="001D035B" w:rsidRPr="00F05FE9">
        <w:t xml:space="preserve">of </w:t>
      </w:r>
      <w:r w:rsidR="001978C0" w:rsidRPr="00F05FE9">
        <w:t xml:space="preserve">domestic </w:t>
      </w:r>
      <w:r w:rsidR="001D035B" w:rsidRPr="00F05FE9">
        <w:t xml:space="preserve">legal regimes for refusing </w:t>
      </w:r>
      <w:r w:rsidRPr="00F05FE9">
        <w:t>life-prolonging treatment.</w:t>
      </w:r>
      <w:r w:rsidR="000D6078" w:rsidRPr="00F05FE9">
        <w:rPr>
          <w:rStyle w:val="FootnoteReference"/>
        </w:rPr>
        <w:footnoteReference w:id="1"/>
      </w:r>
      <w:r w:rsidR="001978C0" w:rsidRPr="00F05FE9">
        <w:t xml:space="preserve"> </w:t>
      </w:r>
      <w:r w:rsidR="008A5B34" w:rsidRPr="00F05FE9">
        <w:t xml:space="preserve">I argue, employing a combination of doctrinal and philosophical </w:t>
      </w:r>
      <w:r w:rsidR="001C0524" w:rsidRPr="00F05FE9">
        <w:t>analy</w:t>
      </w:r>
      <w:r w:rsidR="004D2D30" w:rsidRPr="00F05FE9">
        <w:t>s</w:t>
      </w:r>
      <w:r w:rsidR="001C0524" w:rsidRPr="00F05FE9">
        <w:t>is</w:t>
      </w:r>
      <w:r w:rsidR="008A5B34" w:rsidRPr="00F05FE9">
        <w:t xml:space="preserve">, that developments in the </w:t>
      </w:r>
      <w:r w:rsidR="00A27652" w:rsidRPr="00F05FE9">
        <w:t>ECtHR jurisprudence with regard to the protection of private life under article 8 ECHR</w:t>
      </w:r>
      <w:r w:rsidR="00F431DB" w:rsidRPr="00F05FE9">
        <w:t xml:space="preserve"> (§</w:t>
      </w:r>
      <w:r w:rsidR="00517F9B">
        <w:t>2</w:t>
      </w:r>
      <w:r w:rsidR="00F431DB" w:rsidRPr="00F05FE9">
        <w:t>)</w:t>
      </w:r>
      <w:r w:rsidR="005C724B" w:rsidRPr="00F05FE9">
        <w:t xml:space="preserve"> imply a </w:t>
      </w:r>
      <w:r w:rsidR="00CE767E" w:rsidRPr="00F05FE9">
        <w:t>substantively extensive</w:t>
      </w:r>
      <w:r w:rsidR="005C724B" w:rsidRPr="00F05FE9">
        <w:t xml:space="preserve"> right to refuse </w:t>
      </w:r>
      <w:r w:rsidR="002F068A" w:rsidRPr="00F05FE9">
        <w:t>life-prolonging</w:t>
      </w:r>
      <w:r w:rsidR="005C724B" w:rsidRPr="00F05FE9">
        <w:t xml:space="preserve"> treatment</w:t>
      </w:r>
      <w:r w:rsidR="00385089" w:rsidRPr="00F05FE9">
        <w:t>, both contemporaneously and in advance</w:t>
      </w:r>
      <w:r w:rsidR="00F431DB" w:rsidRPr="00F05FE9">
        <w:t xml:space="preserve"> (§</w:t>
      </w:r>
      <w:r w:rsidR="00517F9B">
        <w:t>3</w:t>
      </w:r>
      <w:r w:rsidR="00F431DB" w:rsidRPr="00F05FE9">
        <w:t>)</w:t>
      </w:r>
      <w:r w:rsidR="005C724B" w:rsidRPr="00F05FE9">
        <w:t>.</w:t>
      </w:r>
      <w:r w:rsidR="004D2D30" w:rsidRPr="00F05FE9">
        <w:t xml:space="preserve"> Moreover, I suggest that </w:t>
      </w:r>
      <w:r w:rsidR="00385089" w:rsidRPr="00F05FE9">
        <w:t xml:space="preserve">there is sufficient </w:t>
      </w:r>
      <w:r w:rsidR="00AD6F1D" w:rsidRPr="00F05FE9">
        <w:t xml:space="preserve">consensus among Council of Europe Member States on the right to refuse </w:t>
      </w:r>
      <w:r w:rsidR="002F068A" w:rsidRPr="00F05FE9">
        <w:t>life-prolonging</w:t>
      </w:r>
      <w:r w:rsidR="00CB63AB" w:rsidRPr="00F05FE9">
        <w:t xml:space="preserve"> treatment</w:t>
      </w:r>
      <w:r w:rsidR="00BB6C51" w:rsidRPr="00F05FE9">
        <w:t xml:space="preserve"> </w:t>
      </w:r>
      <w:r w:rsidR="00D54738" w:rsidRPr="00F05FE9">
        <w:t xml:space="preserve">to engage </w:t>
      </w:r>
      <w:r w:rsidR="00CB63AB" w:rsidRPr="00F05FE9">
        <w:t xml:space="preserve">ECtHR </w:t>
      </w:r>
      <w:r w:rsidR="00D54738" w:rsidRPr="00F05FE9">
        <w:t xml:space="preserve">supervision of </w:t>
      </w:r>
      <w:r w:rsidR="00CB63AB" w:rsidRPr="00F05FE9">
        <w:t xml:space="preserve">States’ legal </w:t>
      </w:r>
      <w:r w:rsidR="00B94CBE" w:rsidRPr="00F05FE9">
        <w:t xml:space="preserve">frameworks for </w:t>
      </w:r>
      <w:r w:rsidR="00936221" w:rsidRPr="00F05FE9">
        <w:t xml:space="preserve">such </w:t>
      </w:r>
      <w:r w:rsidR="00B94CBE" w:rsidRPr="00F05FE9">
        <w:t>refusal</w:t>
      </w:r>
      <w:r w:rsidR="00936221" w:rsidRPr="00F05FE9">
        <w:t>s</w:t>
      </w:r>
      <w:r w:rsidR="00F431DB" w:rsidRPr="00F05FE9">
        <w:t xml:space="preserve"> (§</w:t>
      </w:r>
      <w:r w:rsidR="00517F9B">
        <w:t>4</w:t>
      </w:r>
      <w:r w:rsidR="00F431DB" w:rsidRPr="00F05FE9">
        <w:t>)</w:t>
      </w:r>
      <w:r w:rsidR="00D92586" w:rsidRPr="00F05FE9">
        <w:t xml:space="preserve">. In addition, or in the alternative, </w:t>
      </w:r>
      <w:r w:rsidR="00295051" w:rsidRPr="00F05FE9">
        <w:t xml:space="preserve">I advance </w:t>
      </w:r>
      <w:r w:rsidR="00745013" w:rsidRPr="00F05FE9">
        <w:t xml:space="preserve">that </w:t>
      </w:r>
      <w:r w:rsidR="005E4E70" w:rsidRPr="00F05FE9">
        <w:t xml:space="preserve">the </w:t>
      </w:r>
      <w:r w:rsidR="007372DE" w:rsidRPr="00F05FE9">
        <w:t xml:space="preserve">Strasbourg court </w:t>
      </w:r>
      <w:r w:rsidR="005E4E70" w:rsidRPr="00F05FE9">
        <w:t xml:space="preserve">may </w:t>
      </w:r>
      <w:r w:rsidR="00295051" w:rsidRPr="00F05FE9">
        <w:t xml:space="preserve">scrutinise Member </w:t>
      </w:r>
      <w:r w:rsidR="00D92586" w:rsidRPr="00F05FE9">
        <w:t>States</w:t>
      </w:r>
      <w:r w:rsidR="005E4E70" w:rsidRPr="00F05FE9">
        <w:t>’</w:t>
      </w:r>
      <w:r w:rsidR="00BD2021" w:rsidRPr="00F05FE9">
        <w:t xml:space="preserve"> </w:t>
      </w:r>
      <w:r w:rsidR="00295051" w:rsidRPr="00F05FE9">
        <w:t xml:space="preserve">legal arrangements for </w:t>
      </w:r>
      <w:r w:rsidR="00BD2021" w:rsidRPr="00F05FE9">
        <w:t xml:space="preserve">refusals of </w:t>
      </w:r>
      <w:r w:rsidR="002F068A" w:rsidRPr="00F05FE9">
        <w:t>life-prolonging</w:t>
      </w:r>
      <w:r w:rsidR="00BD2021" w:rsidRPr="00F05FE9">
        <w:t xml:space="preserve"> treatment </w:t>
      </w:r>
      <w:r w:rsidR="00EA5961" w:rsidRPr="00F05FE9">
        <w:t xml:space="preserve">in virtue of the positive obligations </w:t>
      </w:r>
      <w:r w:rsidR="00B17E60" w:rsidRPr="00F05FE9">
        <w:t xml:space="preserve">to secure respect for private life </w:t>
      </w:r>
      <w:r w:rsidR="00EA5961" w:rsidRPr="00F05FE9">
        <w:t>that inhere in article 8 ECHR</w:t>
      </w:r>
      <w:r w:rsidR="00F431DB" w:rsidRPr="00F05FE9">
        <w:t xml:space="preserve"> (§</w:t>
      </w:r>
      <w:r w:rsidR="00517F9B">
        <w:t>5</w:t>
      </w:r>
      <w:r w:rsidR="00F431DB" w:rsidRPr="00F05FE9">
        <w:t>)</w:t>
      </w:r>
      <w:r w:rsidR="00EA5961" w:rsidRPr="00F05FE9">
        <w:t>.</w:t>
      </w:r>
    </w:p>
    <w:p w14:paraId="49966E39" w14:textId="30E55D72" w:rsidR="00F431DB" w:rsidRPr="00F05FE9" w:rsidRDefault="0016023F" w:rsidP="003D725F">
      <w:pPr>
        <w:pStyle w:val="Body"/>
        <w:spacing w:line="276" w:lineRule="auto"/>
        <w:jc w:val="left"/>
      </w:pPr>
      <w:r w:rsidRPr="00F05FE9">
        <w:t>W</w:t>
      </w:r>
      <w:r w:rsidR="00404068" w:rsidRPr="00F05FE9">
        <w:t xml:space="preserve">hy it is worth writing about the right to refuse </w:t>
      </w:r>
      <w:r w:rsidR="002F068A" w:rsidRPr="00F05FE9">
        <w:t>life-prolonging</w:t>
      </w:r>
      <w:r w:rsidR="00404068" w:rsidRPr="00F05FE9">
        <w:t xml:space="preserve"> under ECHR law</w:t>
      </w:r>
      <w:r w:rsidRPr="00F05FE9">
        <w:t>?</w:t>
      </w:r>
      <w:r w:rsidR="00A95B3C" w:rsidRPr="00F05FE9">
        <w:t xml:space="preserve"> First, Elizabeth Wicks’ substantive treatment of this issue predates </w:t>
      </w:r>
      <w:r w:rsidR="007372DE" w:rsidRPr="00F05FE9">
        <w:t xml:space="preserve">the developments in the </w:t>
      </w:r>
      <w:r w:rsidR="00D2151B" w:rsidRPr="00F05FE9">
        <w:t xml:space="preserve">article 8 ECHR jurisprudence </w:t>
      </w:r>
      <w:r w:rsidR="00B03AAB" w:rsidRPr="00F05FE9">
        <w:t>discussed</w:t>
      </w:r>
      <w:r w:rsidR="00D2151B" w:rsidRPr="00F05FE9">
        <w:t xml:space="preserve"> in §</w:t>
      </w:r>
      <w:r w:rsidR="00517F9B">
        <w:t>2</w:t>
      </w:r>
      <w:r w:rsidR="00D2151B" w:rsidRPr="00F05FE9">
        <w:t>.</w:t>
      </w:r>
      <w:r w:rsidR="00352C29" w:rsidRPr="00F05FE9">
        <w:rPr>
          <w:rStyle w:val="FootnoteReference"/>
        </w:rPr>
        <w:footnoteReference w:id="2"/>
      </w:r>
      <w:r w:rsidR="00BE55DD" w:rsidRPr="00F05FE9">
        <w:t xml:space="preserve"> </w:t>
      </w:r>
      <w:r w:rsidR="00783F91" w:rsidRPr="00F05FE9">
        <w:t>T</w:t>
      </w:r>
      <w:r w:rsidR="00E022B3" w:rsidRPr="00F05FE9">
        <w:t xml:space="preserve">his is the first </w:t>
      </w:r>
      <w:r w:rsidR="003460B4" w:rsidRPr="00F05FE9">
        <w:t xml:space="preserve">detailed </w:t>
      </w:r>
      <w:r w:rsidR="00E022B3" w:rsidRPr="00F05FE9">
        <w:t>consider</w:t>
      </w:r>
      <w:r w:rsidR="003460B4" w:rsidRPr="00F05FE9">
        <w:t>ation of</w:t>
      </w:r>
      <w:r w:rsidR="00E022B3" w:rsidRPr="00F05FE9">
        <w:t xml:space="preserve"> refusal</w:t>
      </w:r>
      <w:r w:rsidR="003460B4" w:rsidRPr="00F05FE9">
        <w:t>s</w:t>
      </w:r>
      <w:r w:rsidR="00E022B3" w:rsidRPr="00F05FE9">
        <w:t xml:space="preserve"> of medical treatment under ECHR law since Wicks. </w:t>
      </w:r>
      <w:r w:rsidR="00BE55DD" w:rsidRPr="00F05FE9">
        <w:t xml:space="preserve">Second, while a substantively extensive </w:t>
      </w:r>
      <w:r w:rsidR="009E1F16" w:rsidRPr="00F05FE9">
        <w:t xml:space="preserve">legal </w:t>
      </w:r>
      <w:r w:rsidR="00BE55DD" w:rsidRPr="00F05FE9">
        <w:t xml:space="preserve">right to refuse </w:t>
      </w:r>
      <w:r w:rsidR="00F1089B" w:rsidRPr="00F05FE9">
        <w:rPr>
          <w:i/>
        </w:rPr>
        <w:t>any</w:t>
      </w:r>
      <w:r w:rsidR="00F1089B" w:rsidRPr="00F05FE9">
        <w:t xml:space="preserve"> </w:t>
      </w:r>
      <w:r w:rsidR="00BE55DD" w:rsidRPr="00F05FE9">
        <w:t>medic</w:t>
      </w:r>
      <w:r w:rsidR="009E1F16" w:rsidRPr="00F05FE9">
        <w:t>al treatment</w:t>
      </w:r>
      <w:r w:rsidR="00BE55DD" w:rsidRPr="00F05FE9">
        <w:t xml:space="preserve"> exists in England </w:t>
      </w:r>
      <w:r w:rsidR="009E1F16" w:rsidRPr="00F05FE9">
        <w:t>and Wales,</w:t>
      </w:r>
      <w:bookmarkStart w:id="2" w:name="_Ref497763450"/>
      <w:r w:rsidR="00D10530" w:rsidRPr="00F05FE9">
        <w:rPr>
          <w:rStyle w:val="FootnoteReference"/>
        </w:rPr>
        <w:footnoteReference w:id="3"/>
      </w:r>
      <w:bookmarkEnd w:id="2"/>
      <w:r w:rsidR="009E1F16" w:rsidRPr="00F05FE9">
        <w:t xml:space="preserve"> </w:t>
      </w:r>
      <w:r w:rsidR="00352C29" w:rsidRPr="00F05FE9">
        <w:t xml:space="preserve">elsewhere within the Council of Europe </w:t>
      </w:r>
      <w:r w:rsidR="00EC4097" w:rsidRPr="00F05FE9">
        <w:t xml:space="preserve">it may be that </w:t>
      </w:r>
      <w:r w:rsidR="00352C29" w:rsidRPr="00F05FE9">
        <w:t>no right to refuse exists, that right is substantively qualified</w:t>
      </w:r>
      <w:r w:rsidR="008A2228" w:rsidRPr="00F05FE9">
        <w:t>, or does not extend to advance refusals</w:t>
      </w:r>
      <w:r w:rsidR="00352C29" w:rsidRPr="00F05FE9">
        <w:t>.</w:t>
      </w:r>
      <w:r w:rsidR="00352C29" w:rsidRPr="00F05FE9">
        <w:rPr>
          <w:rStyle w:val="FootnoteReference"/>
        </w:rPr>
        <w:footnoteReference w:id="4"/>
      </w:r>
      <w:r w:rsidR="000D6078" w:rsidRPr="00F05FE9">
        <w:t xml:space="preserve"> </w:t>
      </w:r>
      <w:r w:rsidR="00865F69" w:rsidRPr="00F05FE9">
        <w:t>Were</w:t>
      </w:r>
      <w:r w:rsidR="000D6078" w:rsidRPr="00F05FE9">
        <w:t xml:space="preserve"> </w:t>
      </w:r>
      <w:r w:rsidR="00182D2E" w:rsidRPr="00F05FE9">
        <w:t xml:space="preserve">the ECtHR to identify </w:t>
      </w:r>
      <w:r w:rsidR="000D6078" w:rsidRPr="00F05FE9">
        <w:t xml:space="preserve">a Convention right to refuse </w:t>
      </w:r>
      <w:r w:rsidR="002F068A" w:rsidRPr="00F05FE9">
        <w:t>life-prolonging</w:t>
      </w:r>
      <w:r w:rsidR="000D6078" w:rsidRPr="00F05FE9">
        <w:t xml:space="preserve"> treatment</w:t>
      </w:r>
      <w:r w:rsidR="00182D2E" w:rsidRPr="00F05FE9">
        <w:t xml:space="preserve">, this </w:t>
      </w:r>
      <w:r w:rsidR="008058B6" w:rsidRPr="00F05FE9">
        <w:t xml:space="preserve">might </w:t>
      </w:r>
      <w:r w:rsidR="00182D2E" w:rsidRPr="00F05FE9">
        <w:t>provide impetus for permissive legal change across Member States</w:t>
      </w:r>
      <w:r w:rsidR="001D7D06" w:rsidRPr="00F05FE9">
        <w:t xml:space="preserve">, as well as </w:t>
      </w:r>
      <w:r w:rsidR="001E597F" w:rsidRPr="00F05FE9">
        <w:t xml:space="preserve">ground </w:t>
      </w:r>
      <w:r w:rsidR="00B75C92" w:rsidRPr="00F05FE9">
        <w:t>for evaluation</w:t>
      </w:r>
      <w:r w:rsidR="001D7D06" w:rsidRPr="00F05FE9">
        <w:t xml:space="preserve"> of permissive regimes.</w:t>
      </w:r>
      <w:r w:rsidR="002710B2" w:rsidRPr="00F05FE9">
        <w:t xml:space="preserve"> This paper develops an </w:t>
      </w:r>
      <w:r w:rsidR="002710B2" w:rsidRPr="00F05FE9">
        <w:lastRenderedPageBreak/>
        <w:t xml:space="preserve">account of such a right’s content, and </w:t>
      </w:r>
      <w:r w:rsidR="009B107F" w:rsidRPr="00F05FE9">
        <w:t>assesses the prospects for its recognition and enforcement by the ECtHR</w:t>
      </w:r>
      <w:r w:rsidR="002710B2" w:rsidRPr="00F05FE9">
        <w:t>.</w:t>
      </w:r>
      <w:r w:rsidR="00F14CD4" w:rsidRPr="00F05FE9">
        <w:t xml:space="preserve"> </w:t>
      </w:r>
    </w:p>
    <w:p w14:paraId="3A71C6C4" w14:textId="1BB2ABE3" w:rsidR="004B7749" w:rsidRPr="00F05FE9" w:rsidRDefault="00D12476" w:rsidP="003D725F">
      <w:pPr>
        <w:pStyle w:val="Body"/>
        <w:spacing w:line="276" w:lineRule="auto"/>
        <w:jc w:val="left"/>
      </w:pPr>
      <w:r w:rsidRPr="00F05FE9">
        <w:t>By way of preliminaries, I should clarify that my aim</w:t>
      </w:r>
      <w:r w:rsidR="004B7749" w:rsidRPr="00F05FE9">
        <w:t xml:space="preserve"> is to </w:t>
      </w:r>
      <w:r w:rsidR="00010BAC" w:rsidRPr="00F05FE9">
        <w:t xml:space="preserve">provide an account </w:t>
      </w:r>
      <w:r w:rsidR="004B7749" w:rsidRPr="00F05FE9">
        <w:t>of the right to r</w:t>
      </w:r>
      <w:r w:rsidR="001547AB" w:rsidRPr="00F05FE9">
        <w:t>efuse life-</w:t>
      </w:r>
      <w:r w:rsidR="004B7749" w:rsidRPr="00F05FE9">
        <w:t xml:space="preserve">prolonging treatment </w:t>
      </w:r>
      <w:r w:rsidR="005F5200" w:rsidRPr="00F05FE9">
        <w:t xml:space="preserve">under article 8 ECHR </w:t>
      </w:r>
      <w:r w:rsidR="004B7749" w:rsidRPr="00F05FE9">
        <w:t xml:space="preserve">at a general level. </w:t>
      </w:r>
      <w:r w:rsidR="003655D0" w:rsidRPr="00F05FE9">
        <w:t>T</w:t>
      </w:r>
      <w:r w:rsidR="005F5200" w:rsidRPr="00F05FE9">
        <w:t xml:space="preserve">he right I defend is substantively extensive, </w:t>
      </w:r>
      <w:r w:rsidR="003655D0" w:rsidRPr="00F05FE9">
        <w:t>but not unlimited</w:t>
      </w:r>
      <w:r w:rsidR="001547AB" w:rsidRPr="00F05FE9">
        <w:t>.</w:t>
      </w:r>
      <w:r w:rsidR="003655D0" w:rsidRPr="00F05FE9">
        <w:t xml:space="preserve"> </w:t>
      </w:r>
      <w:r w:rsidR="001547AB" w:rsidRPr="00F05FE9">
        <w:t>Therefore,</w:t>
      </w:r>
      <w:r w:rsidR="003655D0" w:rsidRPr="00F05FE9">
        <w:t xml:space="preserve"> further work </w:t>
      </w:r>
      <w:r w:rsidR="001547AB" w:rsidRPr="00F05FE9">
        <w:t xml:space="preserve">is necessary </w:t>
      </w:r>
      <w:r w:rsidR="00FA66D9" w:rsidRPr="00F05FE9">
        <w:t>to specify</w:t>
      </w:r>
      <w:r w:rsidR="001A1A26" w:rsidRPr="00F05FE9">
        <w:t xml:space="preserve"> </w:t>
      </w:r>
      <w:r w:rsidR="001547AB" w:rsidRPr="00F05FE9">
        <w:t xml:space="preserve">the </w:t>
      </w:r>
      <w:r w:rsidR="001A1A26" w:rsidRPr="00F05FE9">
        <w:t xml:space="preserve">class of individuals </w:t>
      </w:r>
      <w:r w:rsidR="001547AB" w:rsidRPr="00F05FE9">
        <w:t xml:space="preserve">who may possess the right to refuse life-prolonging treatment, and </w:t>
      </w:r>
      <w:r w:rsidR="001D77AF" w:rsidRPr="00F05FE9">
        <w:t xml:space="preserve">when </w:t>
      </w:r>
      <w:r w:rsidR="001547AB" w:rsidRPr="00F05FE9">
        <w:t xml:space="preserve">members of that class possess </w:t>
      </w:r>
      <w:r w:rsidR="006E249E" w:rsidRPr="00F05FE9">
        <w:t xml:space="preserve">said </w:t>
      </w:r>
      <w:r w:rsidR="001547AB" w:rsidRPr="00F05FE9">
        <w:t>right.</w:t>
      </w:r>
    </w:p>
    <w:p w14:paraId="3AEEE87C" w14:textId="1630B8CB" w:rsidR="007A6E46" w:rsidRPr="00F05FE9" w:rsidRDefault="008A25D6" w:rsidP="00BD663D">
      <w:pPr>
        <w:pStyle w:val="Heading1"/>
      </w:pPr>
      <w:r w:rsidRPr="00F05FE9">
        <w:rPr>
          <w:i/>
        </w:rPr>
        <w:t>Right D</w:t>
      </w:r>
      <w:r w:rsidR="00C8426C" w:rsidRPr="00F05FE9">
        <w:t xml:space="preserve">: </w:t>
      </w:r>
      <w:proofErr w:type="gramStart"/>
      <w:r w:rsidR="00C8426C" w:rsidRPr="00F05FE9">
        <w:t>the</w:t>
      </w:r>
      <w:proofErr w:type="gramEnd"/>
      <w:r w:rsidR="00C8426C" w:rsidRPr="00F05FE9">
        <w:t xml:space="preserve"> </w:t>
      </w:r>
      <w:r w:rsidR="00BD663D" w:rsidRPr="00F05FE9">
        <w:t>R</w:t>
      </w:r>
      <w:r w:rsidRPr="00F05FE9">
        <w:t xml:space="preserve">ight to </w:t>
      </w:r>
      <w:r w:rsidR="00BD663D" w:rsidRPr="00F05FE9">
        <w:t>D</w:t>
      </w:r>
      <w:r w:rsidRPr="00F05FE9">
        <w:t xml:space="preserve">ecide </w:t>
      </w:r>
      <w:r w:rsidR="00BD663D" w:rsidRPr="00F05FE9">
        <w:t>H</w:t>
      </w:r>
      <w:r w:rsidRPr="00F05FE9">
        <w:t xml:space="preserve">ow and </w:t>
      </w:r>
      <w:r w:rsidR="00BD663D" w:rsidRPr="00F05FE9">
        <w:t>W</w:t>
      </w:r>
      <w:r w:rsidRPr="00F05FE9">
        <w:t xml:space="preserve">hen to </w:t>
      </w:r>
      <w:r w:rsidR="00BD663D" w:rsidRPr="00F05FE9">
        <w:t>D</w:t>
      </w:r>
      <w:r w:rsidRPr="00F05FE9">
        <w:t>ie</w:t>
      </w:r>
    </w:p>
    <w:p w14:paraId="7C43C651" w14:textId="112782BD" w:rsidR="0009577E" w:rsidRPr="00F05FE9" w:rsidRDefault="008A25D6" w:rsidP="003D725F">
      <w:pPr>
        <w:pStyle w:val="Body"/>
        <w:spacing w:line="276" w:lineRule="auto"/>
        <w:jc w:val="left"/>
      </w:pPr>
      <w:r w:rsidRPr="00F05FE9">
        <w:t xml:space="preserve">In litigation challenging State regulation of assisted suicide, the </w:t>
      </w:r>
      <w:r w:rsidR="00AA146B" w:rsidRPr="00F05FE9">
        <w:t>EC</w:t>
      </w:r>
      <w:r w:rsidR="00D329F9">
        <w:t>t</w:t>
      </w:r>
      <w:r w:rsidR="00AA146B" w:rsidRPr="00F05FE9">
        <w:t>HR</w:t>
      </w:r>
      <w:r w:rsidRPr="00F05FE9">
        <w:t xml:space="preserve"> has found </w:t>
      </w:r>
      <w:r w:rsidR="004D7700" w:rsidRPr="00F05FE9">
        <w:rPr>
          <w:i/>
        </w:rPr>
        <w:t>the right to decide how and when to die</w:t>
      </w:r>
      <w:r w:rsidR="004D7700" w:rsidRPr="00F05FE9">
        <w:t xml:space="preserve"> (henceforth </w:t>
      </w:r>
      <w:r w:rsidRPr="00F05FE9">
        <w:rPr>
          <w:i/>
        </w:rPr>
        <w:t>right D</w:t>
      </w:r>
      <w:r w:rsidR="004D7700" w:rsidRPr="00F05FE9">
        <w:t>)</w:t>
      </w:r>
      <w:r w:rsidRPr="00F05FE9">
        <w:t xml:space="preserve"> to be an aspect of the right to private life protected by article 8</w:t>
      </w:r>
      <w:r w:rsidR="00302E49" w:rsidRPr="00F05FE9">
        <w:t xml:space="preserve"> </w:t>
      </w:r>
      <w:r w:rsidR="00AA146B" w:rsidRPr="00F05FE9">
        <w:t>ECHR</w:t>
      </w:r>
      <w:r w:rsidRPr="00F05FE9">
        <w:t>.</w:t>
      </w:r>
      <w:r w:rsidR="00B43A2F" w:rsidRPr="00F05FE9">
        <w:rPr>
          <w:rStyle w:val="FootnoteReference"/>
        </w:rPr>
        <w:footnoteReference w:id="5"/>
      </w:r>
      <w:r w:rsidR="00C46525" w:rsidRPr="00F05FE9">
        <w:t xml:space="preserve"> The genesis of this right is </w:t>
      </w:r>
      <w:r w:rsidR="00C46525" w:rsidRPr="00F05FE9">
        <w:rPr>
          <w:i/>
        </w:rPr>
        <w:t>Pretty v United Kingdom</w:t>
      </w:r>
      <w:r w:rsidR="00C46525" w:rsidRPr="00F05FE9">
        <w:t>, in which the Court held:</w:t>
      </w:r>
    </w:p>
    <w:p w14:paraId="242E032A" w14:textId="33AFD9D0" w:rsidR="00C46525" w:rsidRPr="00F05FE9" w:rsidRDefault="00C46525" w:rsidP="003D725F">
      <w:pPr>
        <w:pStyle w:val="Quote"/>
        <w:spacing w:line="276" w:lineRule="auto"/>
        <w:jc w:val="left"/>
      </w:pPr>
      <w:r w:rsidRPr="00F05FE9">
        <w:t xml:space="preserve">[T]he Court considers that the notion of personal autonomy is an important principle underlying the interpretation of </w:t>
      </w:r>
      <w:r w:rsidR="00ED4A44" w:rsidRPr="00F05FE9">
        <w:t>[Article 8 of the Convention].</w:t>
      </w:r>
    </w:p>
    <w:p w14:paraId="4CEEDED8" w14:textId="610FD403" w:rsidR="0009577E" w:rsidRPr="00F05FE9" w:rsidRDefault="00C46525" w:rsidP="003D725F">
      <w:pPr>
        <w:pStyle w:val="Quote"/>
        <w:spacing w:line="276" w:lineRule="auto"/>
        <w:jc w:val="left"/>
        <w:rPr>
          <w:vertAlign w:val="superscript"/>
        </w:rPr>
      </w:pPr>
      <w:r w:rsidRPr="00F05FE9">
        <w:t>The applicant in this case is prevented by law from exercising her choice to avoid what she considers will be an undignified and distressing end to her life. The Court is not prepared to exclude that this constitutes an interference with her right to respect for private life as guaranteed under Article 8(1) of the Convention.</w:t>
      </w:r>
      <w:bookmarkStart w:id="3" w:name="_Ref497760057"/>
      <w:r w:rsidR="009410B7" w:rsidRPr="00F05FE9">
        <w:rPr>
          <w:rStyle w:val="FootnoteReference"/>
        </w:rPr>
        <w:footnoteReference w:id="6"/>
      </w:r>
      <w:bookmarkEnd w:id="3"/>
    </w:p>
    <w:p w14:paraId="77A765A2" w14:textId="71405AF8" w:rsidR="00B555C9" w:rsidRPr="00F05FE9" w:rsidRDefault="00C46525" w:rsidP="003D725F">
      <w:pPr>
        <w:pStyle w:val="Body"/>
        <w:spacing w:line="276" w:lineRule="auto"/>
        <w:jc w:val="left"/>
      </w:pPr>
      <w:r w:rsidRPr="00F05FE9">
        <w:t xml:space="preserve">More explicitly, in </w:t>
      </w:r>
      <w:r w:rsidRPr="00F05FE9">
        <w:rPr>
          <w:i/>
        </w:rPr>
        <w:t>Haas v Switzerland</w:t>
      </w:r>
      <w:r w:rsidRPr="00F05FE9">
        <w:t>, the ECtHR ruled that:</w:t>
      </w:r>
    </w:p>
    <w:p w14:paraId="39CCBAF8" w14:textId="7E9E0E1A" w:rsidR="0009577E" w:rsidRPr="00F05FE9" w:rsidRDefault="00C46525" w:rsidP="003D725F">
      <w:pPr>
        <w:pStyle w:val="Quote"/>
        <w:spacing w:line="276" w:lineRule="auto"/>
        <w:jc w:val="left"/>
        <w:rPr>
          <w:vertAlign w:val="superscript"/>
        </w:rPr>
      </w:pPr>
      <w:r w:rsidRPr="00F05FE9">
        <w:t xml:space="preserve">the right of an individual to decide how and when to end his life, provided that said individual is </w:t>
      </w:r>
      <w:proofErr w:type="gramStart"/>
      <w:r w:rsidRPr="00F05FE9">
        <w:t>in a position to</w:t>
      </w:r>
      <w:proofErr w:type="gramEnd"/>
      <w:r w:rsidRPr="00F05FE9">
        <w:t xml:space="preserve"> make up his own mind in that </w:t>
      </w:r>
      <w:r w:rsidRPr="00F05FE9">
        <w:lastRenderedPageBreak/>
        <w:t>respect and to take the appropriate action, is one aspect of the right to respect for private life within the meaning of art.8 of the Convention.</w:t>
      </w:r>
      <w:bookmarkStart w:id="4" w:name="_Ref497760067"/>
      <w:r w:rsidR="0068061A" w:rsidRPr="00F05FE9">
        <w:rPr>
          <w:rStyle w:val="FootnoteReference"/>
        </w:rPr>
        <w:footnoteReference w:id="7"/>
      </w:r>
      <w:bookmarkEnd w:id="4"/>
    </w:p>
    <w:p w14:paraId="62540C24" w14:textId="0F809EB7" w:rsidR="00B555C9" w:rsidRPr="00F05FE9" w:rsidRDefault="00C46525" w:rsidP="003D725F">
      <w:pPr>
        <w:pStyle w:val="Body"/>
        <w:spacing w:line="276" w:lineRule="auto"/>
        <w:jc w:val="left"/>
      </w:pPr>
      <w:r w:rsidRPr="00F05FE9">
        <w:t xml:space="preserve">While the </w:t>
      </w:r>
      <w:r w:rsidRPr="00F05FE9">
        <w:rPr>
          <w:i/>
        </w:rPr>
        <w:t xml:space="preserve">Pretty </w:t>
      </w:r>
      <w:r w:rsidRPr="00F05FE9">
        <w:t xml:space="preserve">and </w:t>
      </w:r>
      <w:r w:rsidRPr="00F05FE9">
        <w:rPr>
          <w:i/>
        </w:rPr>
        <w:t xml:space="preserve">Haas </w:t>
      </w:r>
      <w:r w:rsidRPr="00F05FE9">
        <w:t xml:space="preserve">cases relate to suicide assistance, the ECtHR frames </w:t>
      </w:r>
      <w:r w:rsidRPr="00F05FE9">
        <w:rPr>
          <w:i/>
        </w:rPr>
        <w:t>right D</w:t>
      </w:r>
      <w:r w:rsidRPr="00F05FE9">
        <w:t xml:space="preserve"> as a subset of the right to individual autonomy. This is significant insofar as it admits the possibility of </w:t>
      </w:r>
      <w:r w:rsidRPr="00F05FE9">
        <w:rPr>
          <w:i/>
        </w:rPr>
        <w:t>right D</w:t>
      </w:r>
      <w:r w:rsidRPr="00F05FE9">
        <w:t xml:space="preserve">’s multifarious expression, that is, the reach of article 8 ECHR at the end of life is not confined to the regulation of suicide assistance. Indeed, </w:t>
      </w:r>
      <w:r w:rsidRPr="00F05FE9">
        <w:rPr>
          <w:i/>
        </w:rPr>
        <w:t xml:space="preserve">right D </w:t>
      </w:r>
      <w:r w:rsidRPr="00F05FE9">
        <w:t xml:space="preserve">claims might plausibly manifest in a variety of end of life situations, including instances in which an individual seeks </w:t>
      </w:r>
      <w:r w:rsidR="00D022CE" w:rsidRPr="00F05FE9">
        <w:t>to participate in clinical decision-making,</w:t>
      </w:r>
      <w:bookmarkStart w:id="5" w:name="_Ref497760266"/>
      <w:r w:rsidR="0068061A" w:rsidRPr="00F05FE9">
        <w:rPr>
          <w:rStyle w:val="FootnoteReference"/>
        </w:rPr>
        <w:footnoteReference w:id="8"/>
      </w:r>
      <w:bookmarkEnd w:id="5"/>
      <w:r w:rsidR="00D022CE" w:rsidRPr="00F05FE9">
        <w:t xml:space="preserve"> in which she seeks an </w:t>
      </w:r>
      <w:r w:rsidRPr="00F05FE9">
        <w:t>assisted death,</w:t>
      </w:r>
      <w:bookmarkStart w:id="6" w:name="_Ref497763804"/>
      <w:r w:rsidR="0068061A" w:rsidRPr="00F05FE9">
        <w:rPr>
          <w:rStyle w:val="FootnoteReference"/>
        </w:rPr>
        <w:footnoteReference w:id="9"/>
      </w:r>
      <w:bookmarkEnd w:id="6"/>
      <w:r w:rsidRPr="00F05FE9">
        <w:t xml:space="preserve"> </w:t>
      </w:r>
      <w:r w:rsidR="00D022CE" w:rsidRPr="00F05FE9">
        <w:t xml:space="preserve">and </w:t>
      </w:r>
      <w:r w:rsidRPr="00F05FE9">
        <w:t xml:space="preserve">in which she refuses </w:t>
      </w:r>
      <w:r w:rsidR="001D035B" w:rsidRPr="00F05FE9">
        <w:t xml:space="preserve">life-prolonging </w:t>
      </w:r>
      <w:r w:rsidRPr="00F05FE9">
        <w:t>treatment</w:t>
      </w:r>
      <w:r w:rsidR="0078470A" w:rsidRPr="00F05FE9">
        <w:t xml:space="preserve"> (henceforth LPT)</w:t>
      </w:r>
      <w:r w:rsidRPr="00F05FE9">
        <w:t xml:space="preserve">. Moreover, the underlying facets of </w:t>
      </w:r>
      <w:r w:rsidRPr="00F05FE9">
        <w:rPr>
          <w:i/>
        </w:rPr>
        <w:t>right D</w:t>
      </w:r>
      <w:r w:rsidR="000619F6" w:rsidRPr="00F05FE9">
        <w:t xml:space="preserve"> invoked in such cases—</w:t>
      </w:r>
      <w:r w:rsidRPr="00F05FE9">
        <w:t xml:space="preserve">claims to </w:t>
      </w:r>
      <w:r w:rsidR="001C2401" w:rsidRPr="00F05FE9">
        <w:t xml:space="preserve">participation, </w:t>
      </w:r>
      <w:r w:rsidRPr="00F05FE9">
        <w:t xml:space="preserve">assistance, </w:t>
      </w:r>
      <w:r w:rsidR="001C2401" w:rsidRPr="00F05FE9">
        <w:t xml:space="preserve">and </w:t>
      </w:r>
      <w:r w:rsidRPr="00F05FE9">
        <w:t>non-interference</w:t>
      </w:r>
      <w:r w:rsidR="001C2401" w:rsidRPr="00F05FE9">
        <w:t>—</w:t>
      </w:r>
      <w:r w:rsidRPr="00F05FE9">
        <w:t>are not mutually exclusive; appeals to</w:t>
      </w:r>
      <w:r w:rsidRPr="00F05FE9">
        <w:rPr>
          <w:i/>
        </w:rPr>
        <w:t xml:space="preserve"> right D</w:t>
      </w:r>
      <w:r w:rsidRPr="00F05FE9">
        <w:t xml:space="preserve"> in individual cases may rely on more than one of these aspects.</w:t>
      </w:r>
      <w:r w:rsidR="0068061A" w:rsidRPr="00F05FE9">
        <w:rPr>
          <w:rStyle w:val="FootnoteReference"/>
        </w:rPr>
        <w:footnoteReference w:id="10"/>
      </w:r>
    </w:p>
    <w:p w14:paraId="4D62BDAF" w14:textId="6A3E9D5A" w:rsidR="00B555C9" w:rsidRPr="00F05FE9" w:rsidRDefault="00C22B96" w:rsidP="003D725F">
      <w:pPr>
        <w:pStyle w:val="Body"/>
        <w:spacing w:line="276" w:lineRule="auto"/>
        <w:jc w:val="left"/>
      </w:pPr>
      <w:r w:rsidRPr="00F05FE9">
        <w:t>T</w:t>
      </w:r>
      <w:r w:rsidR="00C46525" w:rsidRPr="00F05FE9">
        <w:t xml:space="preserve">here may consequently be ample opportunities for State (and potentially third party) conduct to interfere with an individual’s right to decide the manner and moment of her own death. This interference might consist in overt restriction on the exercise of </w:t>
      </w:r>
      <w:r w:rsidR="00C46525" w:rsidRPr="00F05FE9">
        <w:rPr>
          <w:i/>
        </w:rPr>
        <w:t>right D</w:t>
      </w:r>
      <w:r w:rsidR="008E4957" w:rsidRPr="00F05FE9">
        <w:t>.</w:t>
      </w:r>
      <w:r w:rsidR="008E4957" w:rsidRPr="00F05FE9">
        <w:rPr>
          <w:rStyle w:val="FootnoteReference"/>
        </w:rPr>
        <w:footnoteReference w:id="11"/>
      </w:r>
      <w:r w:rsidR="008E4957" w:rsidRPr="00F05FE9">
        <w:t xml:space="preserve"> Alternatively, it </w:t>
      </w:r>
      <w:r w:rsidR="00C46525" w:rsidRPr="00F05FE9">
        <w:t xml:space="preserve">may arise more subtly in virtue of </w:t>
      </w:r>
      <w:r w:rsidR="0092658F" w:rsidRPr="00F05FE9">
        <w:t xml:space="preserve">the </w:t>
      </w:r>
      <w:r w:rsidR="00C46525" w:rsidRPr="00F05FE9">
        <w:t xml:space="preserve">substantive or procedural </w:t>
      </w:r>
      <w:r w:rsidR="00D75DD1">
        <w:t xml:space="preserve">features </w:t>
      </w:r>
      <w:r w:rsidR="00C46525" w:rsidRPr="00F05FE9">
        <w:t>of legal regimes that ostensibly permit the exercise of individual autonomy,</w:t>
      </w:r>
      <w:r w:rsidR="00D75DD1">
        <w:rPr>
          <w:rStyle w:val="FootnoteReference"/>
        </w:rPr>
        <w:footnoteReference w:id="12"/>
      </w:r>
      <w:r w:rsidR="00C46525" w:rsidRPr="00F05FE9">
        <w:t xml:space="preserve"> </w:t>
      </w:r>
      <w:r w:rsidR="001C4946" w:rsidRPr="00F05FE9">
        <w:t xml:space="preserve">or </w:t>
      </w:r>
      <w:r w:rsidR="00C46525" w:rsidRPr="00F05FE9">
        <w:t>factors such as implementation failure.</w:t>
      </w:r>
    </w:p>
    <w:p w14:paraId="6013BF09" w14:textId="6805881E" w:rsidR="00B555C9" w:rsidRPr="00F05FE9" w:rsidRDefault="00C46525" w:rsidP="003D725F">
      <w:pPr>
        <w:pStyle w:val="Body"/>
        <w:spacing w:line="276" w:lineRule="auto"/>
        <w:jc w:val="left"/>
      </w:pPr>
      <w:r w:rsidRPr="00F05FE9">
        <w:lastRenderedPageBreak/>
        <w:t xml:space="preserve">However, not every interference with </w:t>
      </w:r>
      <w:r w:rsidRPr="00F05FE9">
        <w:rPr>
          <w:i/>
        </w:rPr>
        <w:t>right D</w:t>
      </w:r>
      <w:r w:rsidRPr="00F05FE9">
        <w:t xml:space="preserve"> necessarily makes out a violation of the Convention. Article 8 ECHR is a ‘qualified right’; interference with </w:t>
      </w:r>
      <w:r w:rsidRPr="00F05FE9">
        <w:rPr>
          <w:i/>
        </w:rPr>
        <w:t>right D</w:t>
      </w:r>
      <w:r w:rsidRPr="00F05FE9">
        <w:t xml:space="preserve"> will be permissible according to the terms of article 8(2) ECHR just when it is:</w:t>
      </w:r>
    </w:p>
    <w:p w14:paraId="70949BA7" w14:textId="0CFFE986" w:rsidR="00B555C9" w:rsidRPr="00F05FE9" w:rsidRDefault="00C46525" w:rsidP="003D725F">
      <w:pPr>
        <w:pStyle w:val="Quote"/>
        <w:spacing w:line="276" w:lineRule="auto"/>
        <w:jc w:val="left"/>
      </w:pPr>
      <w:r w:rsidRPr="00F05FE9">
        <w:t>…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10243847" w14:textId="4953227A" w:rsidR="00B555C9" w:rsidRPr="00F05FE9" w:rsidRDefault="00C46525" w:rsidP="003D725F">
      <w:pPr>
        <w:pStyle w:val="Body"/>
        <w:spacing w:line="276" w:lineRule="auto"/>
        <w:jc w:val="left"/>
      </w:pPr>
      <w:r w:rsidRPr="00F05FE9">
        <w:t xml:space="preserve">It follows that talk of a ‘right’ to decide the manner and moment of </w:t>
      </w:r>
      <w:r w:rsidR="00E97CE8" w:rsidRPr="00F05FE9">
        <w:t xml:space="preserve">one’s </w:t>
      </w:r>
      <w:r w:rsidRPr="00F05FE9">
        <w:t xml:space="preserve">death is somewhat loose. For if an interference with </w:t>
      </w:r>
      <w:r w:rsidRPr="00F05FE9">
        <w:rPr>
          <w:i/>
        </w:rPr>
        <w:t>right D</w:t>
      </w:r>
      <w:r w:rsidRPr="00F05FE9">
        <w:t xml:space="preserve"> is permissible under article 8(2) ECHR, individuals do not in fact possess a right in respect of the matter under consideration. Until it is established that interference amounts to a violation of the Convention, </w:t>
      </w:r>
      <w:r w:rsidRPr="00F05FE9">
        <w:rPr>
          <w:i/>
        </w:rPr>
        <w:t>right D</w:t>
      </w:r>
      <w:r w:rsidRPr="00F05FE9">
        <w:t xml:space="preserve"> is a merely prima facie right. However, </w:t>
      </w:r>
      <w:r w:rsidR="00E97CE8" w:rsidRPr="00F05FE9">
        <w:t>since</w:t>
      </w:r>
      <w:r w:rsidRPr="00F05FE9">
        <w:t xml:space="preserve"> the entitlements that typically characterise rights do not attach to prima facie rights</w:t>
      </w:r>
      <w:r w:rsidR="00E97CE8" w:rsidRPr="00F05FE9">
        <w:t xml:space="preserve"> (</w:t>
      </w:r>
      <w:r w:rsidRPr="00F05FE9">
        <w:t>or attach only embryonically</w:t>
      </w:r>
      <w:r w:rsidR="00E97CE8" w:rsidRPr="00F05FE9">
        <w:t>)</w:t>
      </w:r>
      <w:r w:rsidRPr="00F05FE9">
        <w:t>, speaking of them as rights is question-begging.</w:t>
      </w:r>
      <w:bookmarkStart w:id="7" w:name="_Ref497761807"/>
      <w:r w:rsidR="00DB6574" w:rsidRPr="00F05FE9">
        <w:rPr>
          <w:rStyle w:val="FootnoteReference"/>
        </w:rPr>
        <w:footnoteReference w:id="13"/>
      </w:r>
      <w:bookmarkEnd w:id="7"/>
      <w:r w:rsidRPr="00F05FE9">
        <w:t xml:space="preserve"> It is more accurate</w:t>
      </w:r>
      <w:r w:rsidR="00E97CE8" w:rsidRPr="00F05FE9">
        <w:t>, then,</w:t>
      </w:r>
      <w:r w:rsidRPr="00F05FE9">
        <w:t xml:space="preserve"> to speak of interference with an individual’s </w:t>
      </w:r>
      <w:r w:rsidRPr="00F05FE9">
        <w:rPr>
          <w:i/>
        </w:rPr>
        <w:t>fundamental freedom to decide the manner and moment of her own death</w:t>
      </w:r>
      <w:r w:rsidRPr="00F05FE9">
        <w:t xml:space="preserve"> (henceforth </w:t>
      </w:r>
      <w:r w:rsidRPr="00F05FE9">
        <w:rPr>
          <w:i/>
        </w:rPr>
        <w:t>freedom D</w:t>
      </w:r>
      <w:r w:rsidRPr="00F05FE9">
        <w:t xml:space="preserve">), which will only amount to a violation of </w:t>
      </w:r>
      <w:r w:rsidRPr="00F05FE9">
        <w:rPr>
          <w:i/>
        </w:rPr>
        <w:t>right D</w:t>
      </w:r>
      <w:r w:rsidRPr="00F05FE9">
        <w:t xml:space="preserve"> if the requirements of article 8(2) ECHR are not met. This distinction between </w:t>
      </w:r>
      <w:r w:rsidRPr="00F05FE9">
        <w:rPr>
          <w:i/>
        </w:rPr>
        <w:t>freedom D</w:t>
      </w:r>
      <w:r w:rsidRPr="00F05FE9">
        <w:t xml:space="preserve"> and </w:t>
      </w:r>
      <w:r w:rsidRPr="00F05FE9">
        <w:rPr>
          <w:i/>
        </w:rPr>
        <w:t>right D</w:t>
      </w:r>
      <w:r w:rsidRPr="00F05FE9">
        <w:t xml:space="preserve"> will be helpful in the next section, in which we develop an account of the content of </w:t>
      </w:r>
      <w:r w:rsidRPr="00F05FE9">
        <w:rPr>
          <w:i/>
        </w:rPr>
        <w:t>right D</w:t>
      </w:r>
      <w:r w:rsidRPr="00F05FE9">
        <w:t xml:space="preserve"> as it applies to refusals of </w:t>
      </w:r>
      <w:r w:rsidR="002F068A" w:rsidRPr="00F05FE9">
        <w:t>life-prolonging</w:t>
      </w:r>
      <w:r w:rsidRPr="00F05FE9">
        <w:t xml:space="preserve"> treatment.</w:t>
      </w:r>
      <w:bookmarkStart w:id="8" w:name="hn_The_content_of_the_right_to"/>
      <w:bookmarkStart w:id="9" w:name="_Ref497761671"/>
      <w:bookmarkEnd w:id="8"/>
      <w:r w:rsidR="00715464" w:rsidRPr="00F05FE9">
        <w:rPr>
          <w:vertAlign w:val="superscript"/>
        </w:rPr>
        <w:footnoteReference w:id="14"/>
      </w:r>
      <w:bookmarkEnd w:id="9"/>
    </w:p>
    <w:p w14:paraId="4E30E9F5" w14:textId="183670C5" w:rsidR="00C46525" w:rsidRPr="00F05FE9" w:rsidRDefault="00C46525" w:rsidP="00BD663D">
      <w:pPr>
        <w:pStyle w:val="Heading1"/>
      </w:pPr>
      <w:r w:rsidRPr="00F05FE9">
        <w:t xml:space="preserve">The </w:t>
      </w:r>
      <w:r w:rsidR="00BD663D" w:rsidRPr="00F05FE9">
        <w:t>C</w:t>
      </w:r>
      <w:r w:rsidRPr="00F05FE9">
        <w:t xml:space="preserve">ontent of </w:t>
      </w:r>
      <w:r w:rsidR="00BD663D" w:rsidRPr="00F05FE9">
        <w:rPr>
          <w:i/>
        </w:rPr>
        <w:t>R</w:t>
      </w:r>
      <w:r w:rsidR="00C8426C" w:rsidRPr="00F05FE9">
        <w:rPr>
          <w:i/>
        </w:rPr>
        <w:t>ight D</w:t>
      </w:r>
      <w:r w:rsidR="00C8426C" w:rsidRPr="00F05FE9">
        <w:rPr>
          <w:i/>
          <w:vertAlign w:val="subscript"/>
        </w:rPr>
        <w:t>R</w:t>
      </w:r>
      <w:r w:rsidR="00C8426C" w:rsidRPr="00F05FE9">
        <w:rPr>
          <w:i/>
        </w:rPr>
        <w:t xml:space="preserve">: </w:t>
      </w:r>
      <w:proofErr w:type="gramStart"/>
      <w:r w:rsidR="00B62E1C" w:rsidRPr="00F05FE9">
        <w:t>the</w:t>
      </w:r>
      <w:proofErr w:type="gramEnd"/>
      <w:r w:rsidR="00B62E1C" w:rsidRPr="00F05FE9">
        <w:t xml:space="preserve"> </w:t>
      </w:r>
      <w:r w:rsidR="00BD663D" w:rsidRPr="00F05FE9">
        <w:t>R</w:t>
      </w:r>
      <w:r w:rsidR="00B62E1C" w:rsidRPr="00F05FE9">
        <w:t xml:space="preserve">ight to </w:t>
      </w:r>
      <w:r w:rsidR="00BD663D" w:rsidRPr="00F05FE9">
        <w:t>R</w:t>
      </w:r>
      <w:r w:rsidR="00B62E1C" w:rsidRPr="00F05FE9">
        <w:t xml:space="preserve">efuse </w:t>
      </w:r>
      <w:r w:rsidR="00BD663D" w:rsidRPr="00F05FE9">
        <w:t>L</w:t>
      </w:r>
      <w:r w:rsidR="00B62E1C" w:rsidRPr="00F05FE9">
        <w:t>ife-</w:t>
      </w:r>
      <w:r w:rsidR="00BD663D" w:rsidRPr="00F05FE9">
        <w:t>P</w:t>
      </w:r>
      <w:r w:rsidRPr="00F05FE9">
        <w:t xml:space="preserve">rolonging </w:t>
      </w:r>
      <w:r w:rsidR="00BD663D" w:rsidRPr="00F05FE9">
        <w:t>T</w:t>
      </w:r>
      <w:r w:rsidRPr="00F05FE9">
        <w:t>reatment</w:t>
      </w:r>
    </w:p>
    <w:p w14:paraId="588FB0C4" w14:textId="75985F39" w:rsidR="00B555C9" w:rsidRPr="00F05FE9" w:rsidRDefault="00C46525" w:rsidP="003D725F">
      <w:pPr>
        <w:pStyle w:val="Body"/>
        <w:spacing w:line="276" w:lineRule="auto"/>
        <w:jc w:val="left"/>
      </w:pPr>
      <w:r w:rsidRPr="00F05FE9">
        <w:t xml:space="preserve">In the previous section, I note that interference with an individual’s freedom to decide the manner and moment of death need not amount to a violation of </w:t>
      </w:r>
      <w:r w:rsidRPr="00F05FE9">
        <w:rPr>
          <w:i/>
        </w:rPr>
        <w:t>right D</w:t>
      </w:r>
      <w:r w:rsidRPr="00F05FE9">
        <w:t xml:space="preserve">. Thus, </w:t>
      </w:r>
      <w:proofErr w:type="gramStart"/>
      <w:r w:rsidRPr="00F05FE9">
        <w:t>in order to</w:t>
      </w:r>
      <w:proofErr w:type="gramEnd"/>
      <w:r w:rsidRPr="00F05FE9">
        <w:t xml:space="preserve"> ascertain the content of </w:t>
      </w:r>
      <w:r w:rsidRPr="00F05FE9">
        <w:rPr>
          <w:i/>
        </w:rPr>
        <w:t xml:space="preserve">right D </w:t>
      </w:r>
      <w:r w:rsidRPr="00F05FE9">
        <w:t xml:space="preserve">as it applies to refusals of LPT (henceforth </w:t>
      </w:r>
      <w:r w:rsidRPr="00F05FE9">
        <w:rPr>
          <w:i/>
        </w:rPr>
        <w:t>right D</w:t>
      </w:r>
      <w:r w:rsidRPr="00F05FE9">
        <w:rPr>
          <w:i/>
          <w:vertAlign w:val="subscript"/>
        </w:rPr>
        <w:t>R</w:t>
      </w:r>
      <w:r w:rsidRPr="00F05FE9">
        <w:t xml:space="preserve">), we need an account of when State regulation of </w:t>
      </w:r>
      <w:r w:rsidRPr="00F05FE9">
        <w:rPr>
          <w:i/>
        </w:rPr>
        <w:t>freedom D</w:t>
      </w:r>
      <w:r w:rsidRPr="00F05FE9">
        <w:t xml:space="preserve"> as it applies to refusals of LPT is impermissible.</w:t>
      </w:r>
    </w:p>
    <w:p w14:paraId="45BED401" w14:textId="2C135B70" w:rsidR="00B555C9" w:rsidRPr="00F05FE9" w:rsidRDefault="00C46525" w:rsidP="003D725F">
      <w:pPr>
        <w:pStyle w:val="Body"/>
        <w:spacing w:line="276" w:lineRule="auto"/>
        <w:jc w:val="left"/>
      </w:pPr>
      <w:r w:rsidRPr="00F05FE9">
        <w:lastRenderedPageBreak/>
        <w:t xml:space="preserve">Article 8 ECHR provides the </w:t>
      </w:r>
      <w:r w:rsidR="009D5214" w:rsidRPr="00F05FE9">
        <w:t xml:space="preserve">scaffold </w:t>
      </w:r>
      <w:r w:rsidRPr="00F05FE9">
        <w:t xml:space="preserve">for an account of the content </w:t>
      </w:r>
      <w:r w:rsidRPr="00F05FE9">
        <w:rPr>
          <w:i/>
        </w:rPr>
        <w:t>right D</w:t>
      </w:r>
      <w:r w:rsidRPr="00F05FE9">
        <w:rPr>
          <w:i/>
          <w:vertAlign w:val="subscript"/>
        </w:rPr>
        <w:t>R</w:t>
      </w:r>
      <w:r w:rsidRPr="00F05FE9">
        <w:t>: if an individual (henceforth ‘</w:t>
      </w:r>
      <w:r w:rsidR="000C79D5" w:rsidRPr="00F05FE9">
        <w:rPr>
          <w:i/>
        </w:rPr>
        <w:t>P</w:t>
      </w:r>
      <w:r w:rsidRPr="00F05FE9">
        <w:t>’)</w:t>
      </w:r>
      <w:r w:rsidRPr="00F05FE9">
        <w:rPr>
          <w:i/>
        </w:rPr>
        <w:t xml:space="preserve"> </w:t>
      </w:r>
      <w:r w:rsidRPr="00F05FE9">
        <w:t xml:space="preserve">exercises </w:t>
      </w:r>
      <w:r w:rsidRPr="00F05FE9">
        <w:rPr>
          <w:i/>
        </w:rPr>
        <w:t xml:space="preserve">freedom D </w:t>
      </w:r>
      <w:r w:rsidRPr="00F05FE9">
        <w:t>when she refuses LPT such as to engage article 8(1) ECHR</w:t>
      </w:r>
      <w:r w:rsidRPr="00F05FE9">
        <w:rPr>
          <w:i/>
        </w:rPr>
        <w:t xml:space="preserve">, </w:t>
      </w:r>
      <w:r w:rsidR="000C79D5" w:rsidRPr="00F05FE9">
        <w:rPr>
          <w:i/>
        </w:rPr>
        <w:t>P</w:t>
      </w:r>
      <w:r w:rsidRPr="00F05FE9">
        <w:t xml:space="preserve"> possesses a </w:t>
      </w:r>
      <w:r w:rsidRPr="00F05FE9">
        <w:rPr>
          <w:i/>
        </w:rPr>
        <w:t>right D</w:t>
      </w:r>
      <w:r w:rsidRPr="00F05FE9">
        <w:rPr>
          <w:i/>
          <w:vertAlign w:val="subscript"/>
        </w:rPr>
        <w:t>R</w:t>
      </w:r>
      <w:r w:rsidRPr="00F05FE9">
        <w:t xml:space="preserve"> just when any regulation inconsistent with </w:t>
      </w:r>
      <w:r w:rsidR="000C79D5" w:rsidRPr="00F05FE9">
        <w:rPr>
          <w:i/>
        </w:rPr>
        <w:t>P</w:t>
      </w:r>
      <w:r w:rsidRPr="00F05FE9">
        <w:t xml:space="preserve">’s exercise of </w:t>
      </w:r>
      <w:r w:rsidRPr="00F05FE9">
        <w:rPr>
          <w:i/>
        </w:rPr>
        <w:t>freedom D</w:t>
      </w:r>
      <w:r w:rsidRPr="00F05FE9">
        <w:t xml:space="preserve"> cannot be justified in terms of the article 8(2) ECHR limitation clause. </w:t>
      </w:r>
      <w:proofErr w:type="gramStart"/>
      <w:r w:rsidRPr="00F05FE9">
        <w:t>Thus</w:t>
      </w:r>
      <w:proofErr w:type="gramEnd"/>
      <w:r w:rsidRPr="00F05FE9">
        <w:t xml:space="preserve"> whether an individual possesses </w:t>
      </w:r>
      <w:r w:rsidRPr="00F05FE9">
        <w:rPr>
          <w:i/>
        </w:rPr>
        <w:t>right D</w:t>
      </w:r>
      <w:r w:rsidRPr="00F05FE9">
        <w:rPr>
          <w:i/>
          <w:vertAlign w:val="subscript"/>
        </w:rPr>
        <w:t>R</w:t>
      </w:r>
      <w:r w:rsidRPr="00F05FE9">
        <w:t xml:space="preserve"> depends on the following questions:</w:t>
      </w:r>
    </w:p>
    <w:p w14:paraId="7382AB7D" w14:textId="2302345C" w:rsidR="00C46525" w:rsidRPr="00F05FE9" w:rsidRDefault="00C46525" w:rsidP="003D725F">
      <w:pPr>
        <w:pStyle w:val="Quote"/>
        <w:spacing w:line="276" w:lineRule="auto"/>
        <w:contextualSpacing/>
        <w:jc w:val="left"/>
      </w:pPr>
      <w:r w:rsidRPr="00F05FE9">
        <w:t xml:space="preserve">(1) Does the interference relate to </w:t>
      </w:r>
      <w:r w:rsidR="006E12F9" w:rsidRPr="00F05FE9">
        <w:rPr>
          <w:i/>
        </w:rPr>
        <w:t>P</w:t>
      </w:r>
      <w:r w:rsidR="006E12F9" w:rsidRPr="00F05FE9">
        <w:t xml:space="preserve">’s </w:t>
      </w:r>
      <w:r w:rsidRPr="00F05FE9">
        <w:t>exercise of freedom D?</w:t>
      </w:r>
    </w:p>
    <w:p w14:paraId="76F9D2F7" w14:textId="77777777" w:rsidR="00C46525" w:rsidRPr="00F05FE9" w:rsidRDefault="00C46525" w:rsidP="003D725F">
      <w:pPr>
        <w:pStyle w:val="Quote"/>
        <w:spacing w:line="276" w:lineRule="auto"/>
        <w:contextualSpacing/>
        <w:jc w:val="left"/>
      </w:pPr>
      <w:r w:rsidRPr="00F05FE9">
        <w:t>(2) Does the interference pursue a legitimate aim?</w:t>
      </w:r>
    </w:p>
    <w:p w14:paraId="691F57F9" w14:textId="77777777" w:rsidR="00C46525" w:rsidRPr="00F05FE9" w:rsidRDefault="00C46525" w:rsidP="003D725F">
      <w:pPr>
        <w:pStyle w:val="Quote"/>
        <w:spacing w:line="276" w:lineRule="auto"/>
        <w:contextualSpacing/>
        <w:jc w:val="left"/>
      </w:pPr>
      <w:r w:rsidRPr="00F05FE9">
        <w:t>(3a) Is the interference in accordance with the law?</w:t>
      </w:r>
    </w:p>
    <w:p w14:paraId="44D7FC69" w14:textId="622B6576" w:rsidR="00B555C9" w:rsidRPr="00F05FE9" w:rsidRDefault="00C46525" w:rsidP="003D725F">
      <w:pPr>
        <w:pStyle w:val="Quote"/>
        <w:spacing w:line="276" w:lineRule="auto"/>
        <w:contextualSpacing/>
        <w:jc w:val="left"/>
      </w:pPr>
      <w:r w:rsidRPr="00F05FE9">
        <w:t>(3b) Is the interference necessary in a democratic society [proportionate]?</w:t>
      </w:r>
    </w:p>
    <w:p w14:paraId="2CFB1E04" w14:textId="5D65B01C" w:rsidR="00B555C9" w:rsidRPr="00F05FE9" w:rsidRDefault="00C46525" w:rsidP="003D725F">
      <w:pPr>
        <w:pStyle w:val="Body"/>
        <w:spacing w:line="276" w:lineRule="auto"/>
        <w:jc w:val="left"/>
      </w:pPr>
      <w:r w:rsidRPr="00F05FE9">
        <w:t xml:space="preserve">In respect of (1), if the interference does not relate to </w:t>
      </w:r>
      <w:r w:rsidR="000C79D5" w:rsidRPr="00F05FE9">
        <w:rPr>
          <w:i/>
        </w:rPr>
        <w:t>P</w:t>
      </w:r>
      <w:r w:rsidRPr="00F05FE9">
        <w:t xml:space="preserve">’s exercise of </w:t>
      </w:r>
      <w:r w:rsidRPr="00F05FE9">
        <w:rPr>
          <w:i/>
        </w:rPr>
        <w:t>freedom D</w:t>
      </w:r>
      <w:r w:rsidRPr="00F05FE9">
        <w:t xml:space="preserve">, </w:t>
      </w:r>
      <w:r w:rsidRPr="00F05FE9">
        <w:rPr>
          <w:i/>
        </w:rPr>
        <w:t>right D</w:t>
      </w:r>
      <w:r w:rsidRPr="00F05FE9">
        <w:rPr>
          <w:i/>
          <w:vertAlign w:val="subscript"/>
        </w:rPr>
        <w:t>R</w:t>
      </w:r>
      <w:r w:rsidRPr="00F05FE9">
        <w:t xml:space="preserve"> is not in play; article 8(1) ECHR is ‘not engaged’. </w:t>
      </w:r>
      <w:r w:rsidR="006662D3" w:rsidRPr="00F05FE9">
        <w:t xml:space="preserve">The analysis only progresses when </w:t>
      </w:r>
      <w:r w:rsidRPr="00F05FE9">
        <w:t>article 8(1) is engaged.</w:t>
      </w:r>
      <w:r w:rsidR="00FB2822" w:rsidRPr="00F05FE9">
        <w:rPr>
          <w:rStyle w:val="FootnoteReference"/>
        </w:rPr>
        <w:footnoteReference w:id="15"/>
      </w:r>
      <w:r w:rsidRPr="00F05FE9">
        <w:t xml:space="preserve"> On (2)</w:t>
      </w:r>
      <w:r w:rsidR="007D2E2E">
        <w:t>,</w:t>
      </w:r>
      <w:r w:rsidRPr="00F05FE9">
        <w:t xml:space="preserve"> </w:t>
      </w:r>
      <w:r w:rsidR="000C79D5" w:rsidRPr="00F05FE9">
        <w:rPr>
          <w:i/>
        </w:rPr>
        <w:t>P</w:t>
      </w:r>
      <w:r w:rsidRPr="00F05FE9">
        <w:t xml:space="preserve"> possesses </w:t>
      </w:r>
      <w:r w:rsidRPr="00F05FE9">
        <w:rPr>
          <w:i/>
        </w:rPr>
        <w:t>right D</w:t>
      </w:r>
      <w:r w:rsidRPr="00F05FE9">
        <w:rPr>
          <w:i/>
          <w:vertAlign w:val="subscript"/>
        </w:rPr>
        <w:t>R</w:t>
      </w:r>
      <w:r w:rsidRPr="00F05FE9">
        <w:t xml:space="preserve"> in respect of the regulated activity if the interference with </w:t>
      </w:r>
      <w:r w:rsidRPr="00F05FE9">
        <w:rPr>
          <w:i/>
        </w:rPr>
        <w:t>freedom D</w:t>
      </w:r>
      <w:r w:rsidRPr="00F05FE9">
        <w:t xml:space="preserve"> does not pursue a legitimate aim. If the interference is legitimate in its purpose, </w:t>
      </w:r>
      <w:r w:rsidR="000C79D5" w:rsidRPr="00F05FE9">
        <w:rPr>
          <w:i/>
        </w:rPr>
        <w:t>P</w:t>
      </w:r>
      <w:r w:rsidRPr="00F05FE9">
        <w:t xml:space="preserve"> possesses </w:t>
      </w:r>
      <w:r w:rsidRPr="00F05FE9">
        <w:rPr>
          <w:i/>
        </w:rPr>
        <w:t>right D</w:t>
      </w:r>
      <w:r w:rsidRPr="00F05FE9">
        <w:rPr>
          <w:i/>
          <w:vertAlign w:val="subscript"/>
        </w:rPr>
        <w:t>R</w:t>
      </w:r>
      <w:r w:rsidRPr="00F05FE9">
        <w:t xml:space="preserve"> in the event of a negative answer to any one of (3a-b). In the next sections, I consider questions 1, 2, and 3b. I assume that any measure regulating refusals of LPT is prescribed by law and adheres to the Convention principle of legality,</w:t>
      </w:r>
      <w:r w:rsidR="00FB2822" w:rsidRPr="00F05FE9">
        <w:rPr>
          <w:rStyle w:val="FootnoteReference"/>
        </w:rPr>
        <w:footnoteReference w:id="16"/>
      </w:r>
      <w:r w:rsidRPr="00F05FE9">
        <w:t xml:space="preserve"> since this criterion pertains to the means, rather than the substance, of interference with </w:t>
      </w:r>
      <w:r w:rsidRPr="00F05FE9">
        <w:rPr>
          <w:i/>
        </w:rPr>
        <w:t>right D</w:t>
      </w:r>
      <w:r w:rsidRPr="00F05FE9">
        <w:rPr>
          <w:i/>
          <w:vertAlign w:val="subscript"/>
        </w:rPr>
        <w:t>R</w:t>
      </w:r>
      <w:r w:rsidRPr="00F05FE9">
        <w:t>.</w:t>
      </w:r>
      <w:bookmarkStart w:id="10" w:name="hn_Engagement"/>
      <w:bookmarkEnd w:id="10"/>
    </w:p>
    <w:p w14:paraId="402C7C40" w14:textId="0CE417FA" w:rsidR="00C46525" w:rsidRPr="00F05FE9" w:rsidRDefault="00C46525" w:rsidP="00784289">
      <w:pPr>
        <w:pStyle w:val="Heading2"/>
      </w:pPr>
      <w:r w:rsidRPr="00F05FE9">
        <w:t>Engagement</w:t>
      </w:r>
    </w:p>
    <w:p w14:paraId="38BB3913" w14:textId="01F3974A" w:rsidR="00B555C9" w:rsidRPr="00F05FE9" w:rsidRDefault="00C46525" w:rsidP="003D725F">
      <w:pPr>
        <w:pStyle w:val="Body"/>
        <w:spacing w:line="276" w:lineRule="auto"/>
        <w:jc w:val="left"/>
      </w:pPr>
      <w:r w:rsidRPr="00F05FE9">
        <w:t xml:space="preserve">Not all refusals of LPT express </w:t>
      </w:r>
      <w:r w:rsidRPr="00F05FE9">
        <w:rPr>
          <w:i/>
        </w:rPr>
        <w:t>freedom D</w:t>
      </w:r>
      <w:r w:rsidRPr="00F05FE9">
        <w:t xml:space="preserve">. This is because </w:t>
      </w:r>
      <w:r w:rsidRPr="00F05FE9">
        <w:rPr>
          <w:i/>
        </w:rPr>
        <w:t>freedom D</w:t>
      </w:r>
      <w:r w:rsidRPr="00F05FE9">
        <w:t xml:space="preserve"> is tied to, and derives its value from, individual autonomy. It follows that non-autonomous refusals of LPT do not express </w:t>
      </w:r>
      <w:r w:rsidRPr="00F05FE9">
        <w:rPr>
          <w:i/>
        </w:rPr>
        <w:t>freedom D</w:t>
      </w:r>
      <w:r w:rsidRPr="00F05FE9">
        <w:t>, and thus do not engage article 8(1) ECHR.</w:t>
      </w:r>
      <w:bookmarkStart w:id="11" w:name="_Ref497761743"/>
      <w:r w:rsidR="00D02CA9" w:rsidRPr="00F05FE9">
        <w:rPr>
          <w:rStyle w:val="FootnoteReference"/>
        </w:rPr>
        <w:footnoteReference w:id="17"/>
      </w:r>
      <w:bookmarkEnd w:id="11"/>
      <w:r w:rsidRPr="00F05FE9">
        <w:t xml:space="preserve"> This argument is implicit in the ECtHR’s judgment in </w:t>
      </w:r>
      <w:r w:rsidRPr="00F05FE9">
        <w:rPr>
          <w:i/>
        </w:rPr>
        <w:t>Pretty v United Kingdom</w:t>
      </w:r>
      <w:r w:rsidRPr="00F05FE9">
        <w:t>, in which the Court also gave a clear indication that refusals of LPT fall within the scope of article 8(1) ECHR:</w:t>
      </w:r>
    </w:p>
    <w:p w14:paraId="01895B88" w14:textId="4F599F92" w:rsidR="00B555C9" w:rsidRPr="00F05FE9" w:rsidRDefault="00924A14" w:rsidP="003D725F">
      <w:pPr>
        <w:pStyle w:val="Quote"/>
        <w:spacing w:line="276" w:lineRule="auto"/>
        <w:jc w:val="left"/>
      </w:pPr>
      <w:r w:rsidRPr="00F05FE9">
        <w:lastRenderedPageBreak/>
        <w:t>[I]</w:t>
      </w:r>
      <w:r w:rsidR="00C46525" w:rsidRPr="00F05FE9">
        <w:t xml:space="preserve">n the sphere of medical treatment, the refusal to accept a </w:t>
      </w:r>
      <w:proofErr w:type="gramStart"/>
      <w:r w:rsidR="00C46525" w:rsidRPr="00F05FE9">
        <w:t>particular treatment</w:t>
      </w:r>
      <w:proofErr w:type="gramEnd"/>
      <w:r w:rsidR="00C46525" w:rsidRPr="00F05FE9">
        <w:t xml:space="preserve"> might, inevitably, lead to a fatal outcome, yet the imposition of medical treatment, without the consent of a mentally competent adult patient, would interfere with a person's physical integrity in a manner capable of engaging the rights protected under </w:t>
      </w:r>
      <w:r w:rsidR="00621C46" w:rsidRPr="00F05FE9">
        <w:t xml:space="preserve">[article </w:t>
      </w:r>
      <w:r w:rsidR="00C46525" w:rsidRPr="00F05FE9">
        <w:t>8(1)</w:t>
      </w:r>
      <w:r w:rsidR="000B7AF3" w:rsidRPr="00F05FE9">
        <w:t xml:space="preserve"> ECHR]</w:t>
      </w:r>
      <w:r w:rsidR="00C46525" w:rsidRPr="00F05FE9">
        <w:t>.</w:t>
      </w:r>
      <w:r w:rsidR="008B3CE2" w:rsidRPr="00F05FE9">
        <w:rPr>
          <w:rStyle w:val="FootnoteReference"/>
        </w:rPr>
        <w:footnoteReference w:id="18"/>
      </w:r>
    </w:p>
    <w:p w14:paraId="0D892AC7" w14:textId="6293CAB7" w:rsidR="00B555C9" w:rsidRPr="00F05FE9" w:rsidRDefault="00C46525" w:rsidP="003D725F">
      <w:pPr>
        <w:pStyle w:val="Body"/>
        <w:spacing w:line="276" w:lineRule="auto"/>
        <w:jc w:val="left"/>
      </w:pPr>
      <w:r w:rsidRPr="00F05FE9">
        <w:t xml:space="preserve">According to the ECtHR, therefore, interference with the exercise of </w:t>
      </w:r>
      <w:r w:rsidRPr="00F05FE9">
        <w:rPr>
          <w:i/>
        </w:rPr>
        <w:t xml:space="preserve">freedom D </w:t>
      </w:r>
      <w:r w:rsidRPr="00F05FE9">
        <w:t>by overriding a refusal of LPT engages article 8(1) ECHR,</w:t>
      </w:r>
      <w:r w:rsidR="00C73BEC" w:rsidRPr="00F05FE9">
        <w:rPr>
          <w:rStyle w:val="FootnoteReference"/>
        </w:rPr>
        <w:footnoteReference w:id="19"/>
      </w:r>
      <w:r w:rsidRPr="00F05FE9">
        <w:t xml:space="preserve"> subject to the requirement that </w:t>
      </w:r>
      <w:r w:rsidR="000C79D5" w:rsidRPr="00F05FE9">
        <w:rPr>
          <w:i/>
        </w:rPr>
        <w:t>P</w:t>
      </w:r>
      <w:r w:rsidRPr="00F05FE9">
        <w:t xml:space="preserve"> is an adult with decision-making capacity.</w:t>
      </w:r>
      <w:bookmarkStart w:id="12" w:name="_Ref488412772"/>
      <w:r w:rsidR="008B3CE2" w:rsidRPr="00F05FE9">
        <w:rPr>
          <w:rStyle w:val="FootnoteReference"/>
        </w:rPr>
        <w:footnoteReference w:id="20"/>
      </w:r>
      <w:bookmarkEnd w:id="12"/>
      <w:r w:rsidRPr="00F05FE9">
        <w:t xml:space="preserve"> However, an individual’s autonomy may be undermined by factors other than mental incapacity, such as coercion or undue influence. </w:t>
      </w:r>
      <w:proofErr w:type="gramStart"/>
      <w:r w:rsidRPr="00F05FE9">
        <w:t>Thus</w:t>
      </w:r>
      <w:proofErr w:type="gramEnd"/>
      <w:r w:rsidRPr="00F05FE9">
        <w:t xml:space="preserve"> the Court’s dictum in </w:t>
      </w:r>
      <w:r w:rsidRPr="00F05FE9">
        <w:rPr>
          <w:i/>
        </w:rPr>
        <w:t xml:space="preserve">Pretty </w:t>
      </w:r>
      <w:r w:rsidRPr="00F05FE9">
        <w:t>gives a somewhat incomplete picture. Rather, competence</w:t>
      </w:r>
      <w:r w:rsidR="00924A14" w:rsidRPr="00F05FE9">
        <w:t xml:space="preserve"> and</w:t>
      </w:r>
      <w:r w:rsidRPr="00F05FE9">
        <w:t xml:space="preserve"> voluntariness are individually necessary and jointly sufficient conditions for the exercise of </w:t>
      </w:r>
      <w:r w:rsidRPr="00F05FE9">
        <w:rPr>
          <w:i/>
        </w:rPr>
        <w:t>freedom D</w:t>
      </w:r>
      <w:r w:rsidRPr="00F05FE9">
        <w:t xml:space="preserve">, and consequently the engagement of article 8(1) ECHR. This broader view of what constitutes a </w:t>
      </w:r>
      <w:r w:rsidRPr="00F05FE9">
        <w:rPr>
          <w:i/>
        </w:rPr>
        <w:t>valid</w:t>
      </w:r>
      <w:r w:rsidRPr="00F05FE9">
        <w:t xml:space="preserve"> autonomous decision is perhaps reflected in </w:t>
      </w:r>
      <w:r w:rsidRPr="00F05FE9">
        <w:rPr>
          <w:i/>
        </w:rPr>
        <w:t>Haas v Switzerland</w:t>
      </w:r>
      <w:r w:rsidRPr="00F05FE9">
        <w:t>:</w:t>
      </w:r>
    </w:p>
    <w:p w14:paraId="623ADAE0" w14:textId="3FF6DAE3" w:rsidR="00B555C9" w:rsidRPr="00F05FE9" w:rsidRDefault="00C46525" w:rsidP="003D725F">
      <w:pPr>
        <w:pStyle w:val="Quote"/>
        <w:spacing w:line="276" w:lineRule="auto"/>
        <w:jc w:val="left"/>
      </w:pPr>
      <w:r w:rsidRPr="00F05FE9">
        <w:t xml:space="preserve">the Court considers that the right of an individual to decide how and when to end his life, </w:t>
      </w:r>
      <w:r w:rsidRPr="00F05FE9">
        <w:rPr>
          <w:i/>
        </w:rPr>
        <w:t xml:space="preserve">provided that said individual is </w:t>
      </w:r>
      <w:proofErr w:type="gramStart"/>
      <w:r w:rsidRPr="00F05FE9">
        <w:rPr>
          <w:i/>
        </w:rPr>
        <w:t>in a position to</w:t>
      </w:r>
      <w:proofErr w:type="gramEnd"/>
      <w:r w:rsidRPr="00F05FE9">
        <w:rPr>
          <w:i/>
        </w:rPr>
        <w:t xml:space="preserve"> make up his own mind</w:t>
      </w:r>
      <w:r w:rsidRPr="00F05FE9">
        <w:t xml:space="preserve"> in that respect… is one aspect of the right to respect for private life within the meaning of art.8 of the Convention.</w:t>
      </w:r>
      <w:r w:rsidR="00DF43EC" w:rsidRPr="00F05FE9">
        <w:rPr>
          <w:rStyle w:val="FootnoteReference"/>
        </w:rPr>
        <w:footnoteReference w:id="21"/>
      </w:r>
    </w:p>
    <w:p w14:paraId="06EBACC4" w14:textId="17991E52" w:rsidR="00B555C9" w:rsidRPr="00F05FE9" w:rsidRDefault="00C46525" w:rsidP="003D725F">
      <w:pPr>
        <w:pStyle w:val="Body"/>
        <w:spacing w:line="276" w:lineRule="auto"/>
        <w:jc w:val="left"/>
      </w:pPr>
      <w:r w:rsidRPr="00F05FE9">
        <w:t xml:space="preserve">Does the argument that article 8(1) ECHR is engaged when </w:t>
      </w:r>
      <w:r w:rsidR="000C79D5" w:rsidRPr="00F05FE9">
        <w:rPr>
          <w:i/>
        </w:rPr>
        <w:t>P</w:t>
      </w:r>
      <w:r w:rsidRPr="00F05FE9">
        <w:t xml:space="preserve"> makes a valid refusal of LPT apply to both contemporaneous and advance refusals? </w:t>
      </w:r>
      <w:r w:rsidR="00F64CD5" w:rsidRPr="00F05FE9">
        <w:t xml:space="preserve">It might </w:t>
      </w:r>
      <w:r w:rsidR="00F64CD5" w:rsidRPr="00F05FE9">
        <w:lastRenderedPageBreak/>
        <w:t xml:space="preserve">be argued that since </w:t>
      </w:r>
      <w:r w:rsidR="008325C4" w:rsidRPr="00F05FE9">
        <w:rPr>
          <w:i/>
        </w:rPr>
        <w:t>P</w:t>
      </w:r>
      <w:r w:rsidR="008325C4" w:rsidRPr="00F05FE9">
        <w:t xml:space="preserve"> lacks capacity at the time an intervention is offered, she is not autonomous for the purposes of the exercise of </w:t>
      </w:r>
      <w:r w:rsidR="008325C4" w:rsidRPr="00F05FE9">
        <w:rPr>
          <w:i/>
        </w:rPr>
        <w:t>freedom D</w:t>
      </w:r>
      <w:r w:rsidR="008325C4" w:rsidRPr="00F05FE9">
        <w:t>, and therefore article 8(1) ECHR is not engaged. This argume</w:t>
      </w:r>
      <w:r w:rsidR="000077DC" w:rsidRPr="00F05FE9">
        <w:t>nt seems uncompelling, however</w:t>
      </w:r>
      <w:r w:rsidRPr="00F05FE9">
        <w:t xml:space="preserve">. An advance refusal shifts the temporal location of </w:t>
      </w:r>
      <w:r w:rsidR="000C79D5" w:rsidRPr="00F05FE9">
        <w:rPr>
          <w:i/>
        </w:rPr>
        <w:t>P</w:t>
      </w:r>
      <w:r w:rsidRPr="00F05FE9">
        <w:t>’s</w:t>
      </w:r>
      <w:r w:rsidRPr="00F05FE9">
        <w:rPr>
          <w:i/>
        </w:rPr>
        <w:t xml:space="preserve"> </w:t>
      </w:r>
      <w:r w:rsidRPr="00F05FE9">
        <w:t xml:space="preserve">decision in respect of a medical intervention away from the time that same decision takes effect. The object of an advance refusal, therefore, is to displace the material time from its usual location (when medical treatment is offered) to an earlier moment (when </w:t>
      </w:r>
      <w:r w:rsidR="000C79D5" w:rsidRPr="00F05FE9">
        <w:rPr>
          <w:i/>
        </w:rPr>
        <w:t>P</w:t>
      </w:r>
      <w:r w:rsidRPr="00F05FE9">
        <w:t xml:space="preserve"> possesses decision-making capacity</w:t>
      </w:r>
      <w:r w:rsidR="005D67CD" w:rsidRPr="00F05FE9">
        <w:t xml:space="preserve"> and contemplates </w:t>
      </w:r>
      <w:r w:rsidR="00763ACB" w:rsidRPr="00F05FE9">
        <w:t xml:space="preserve">future </w:t>
      </w:r>
      <w:r w:rsidR="005D67CD" w:rsidRPr="00F05FE9">
        <w:t>m</w:t>
      </w:r>
      <w:r w:rsidR="00763ACB" w:rsidRPr="00F05FE9">
        <w:t>edical treatmen</w:t>
      </w:r>
      <w:r w:rsidR="005D67CD" w:rsidRPr="00F05FE9">
        <w:t>t</w:t>
      </w:r>
      <w:r w:rsidRPr="00F05FE9">
        <w:t xml:space="preserve">). I advance that the temporal </w:t>
      </w:r>
      <w:r w:rsidR="00F27AAD" w:rsidRPr="00F05FE9">
        <w:t>displacement</w:t>
      </w:r>
      <w:r w:rsidRPr="00F05FE9">
        <w:t xml:space="preserve"> does not make a relevant difference for the purposes of the exercise of </w:t>
      </w:r>
      <w:r w:rsidRPr="00F05FE9">
        <w:rPr>
          <w:i/>
        </w:rPr>
        <w:t>freedom D</w:t>
      </w:r>
      <w:r w:rsidRPr="00F05FE9">
        <w:t xml:space="preserve">. This is because, all else being equal, if a valid advance refusal </w:t>
      </w:r>
      <w:r w:rsidR="00515C3A" w:rsidRPr="00F05FE9">
        <w:t xml:space="preserve">of LPT </w:t>
      </w:r>
      <w:r w:rsidRPr="00F05FE9">
        <w:t xml:space="preserve">is applicable, that is, if its subject matter relates to relevant facts about </w:t>
      </w:r>
      <w:r w:rsidR="000C79D5" w:rsidRPr="00F05FE9">
        <w:rPr>
          <w:i/>
        </w:rPr>
        <w:t>P</w:t>
      </w:r>
      <w:r w:rsidRPr="00F05FE9">
        <w:t xml:space="preserve"> and the proffered intervention, it is identical to a valid contemporaneous refusal in the following way: both types of refusal constitute a</w:t>
      </w:r>
      <w:r w:rsidR="00097B9F" w:rsidRPr="00F05FE9">
        <w:t>n</w:t>
      </w:r>
      <w:r w:rsidRPr="00F05FE9">
        <w:t xml:space="preserve"> attempt by </w:t>
      </w:r>
      <w:r w:rsidR="000C79D5" w:rsidRPr="00F05FE9">
        <w:rPr>
          <w:i/>
        </w:rPr>
        <w:t>P</w:t>
      </w:r>
      <w:r w:rsidRPr="00F05FE9">
        <w:t xml:space="preserve"> to decide </w:t>
      </w:r>
      <w:r w:rsidR="00221AEB" w:rsidRPr="00F05FE9">
        <w:t xml:space="preserve">how and when </w:t>
      </w:r>
      <w:r w:rsidRPr="00F05FE9">
        <w:t xml:space="preserve">she shan’t live. I argue, therefore, that article 8(1) ECHR is engaged when </w:t>
      </w:r>
      <w:r w:rsidR="000C79D5" w:rsidRPr="00F05FE9">
        <w:rPr>
          <w:i/>
        </w:rPr>
        <w:t>P</w:t>
      </w:r>
      <w:r w:rsidRPr="00F05FE9">
        <w:t xml:space="preserve"> makes a valid refusal of LPT, contemporaneous or advance.</w:t>
      </w:r>
      <w:bookmarkStart w:id="13" w:name="_Ref497771166"/>
      <w:r w:rsidR="001511C4" w:rsidRPr="00F05FE9">
        <w:rPr>
          <w:rStyle w:val="FootnoteReference"/>
        </w:rPr>
        <w:footnoteReference w:id="22"/>
      </w:r>
      <w:bookmarkStart w:id="15" w:name="hn_Legitimate_aim"/>
      <w:bookmarkEnd w:id="13"/>
      <w:bookmarkEnd w:id="15"/>
    </w:p>
    <w:p w14:paraId="69AE3F48" w14:textId="5451130D" w:rsidR="00C46525" w:rsidRPr="00F05FE9" w:rsidRDefault="00C46525" w:rsidP="00784289">
      <w:pPr>
        <w:pStyle w:val="Heading2"/>
      </w:pPr>
      <w:r w:rsidRPr="00F05FE9">
        <w:lastRenderedPageBreak/>
        <w:t>Legitimate aim</w:t>
      </w:r>
    </w:p>
    <w:p w14:paraId="1A4F8DDB" w14:textId="0925C735" w:rsidR="00B555C9" w:rsidRPr="00F05FE9" w:rsidRDefault="00C46525" w:rsidP="003D725F">
      <w:pPr>
        <w:pStyle w:val="Body"/>
        <w:spacing w:line="276" w:lineRule="auto"/>
        <w:jc w:val="left"/>
      </w:pPr>
      <w:r w:rsidRPr="00F05FE9">
        <w:t xml:space="preserve">Any of the aims listed in article 8(2) ECHR may in principle serve as a legitimate ground for interfering with </w:t>
      </w:r>
      <w:r w:rsidRPr="00F05FE9">
        <w:rPr>
          <w:i/>
        </w:rPr>
        <w:t>freedom D</w:t>
      </w:r>
      <w:r w:rsidRPr="00F05FE9">
        <w:t>. Nevertheless, some of the purposes contained in the limitation clause are more plausible objects for State intervention in this domain than others.</w:t>
      </w:r>
    </w:p>
    <w:p w14:paraId="7901DC4D" w14:textId="3D50BEF6" w:rsidR="00B555C9" w:rsidRPr="00F05FE9" w:rsidRDefault="00C46525" w:rsidP="003D725F">
      <w:pPr>
        <w:pStyle w:val="Body"/>
        <w:spacing w:line="276" w:lineRule="auto"/>
        <w:jc w:val="left"/>
      </w:pPr>
      <w:r w:rsidRPr="00F05FE9">
        <w:t>Perhaps the most obvious ground for regulation of refusals of LPT is the ‘protection of health or morals’. The ECtHR has held that this heading includes measures designed to promote individual welfare,</w:t>
      </w:r>
      <w:r w:rsidR="00384CF4" w:rsidRPr="00F05FE9">
        <w:rPr>
          <w:rStyle w:val="FootnoteReference"/>
        </w:rPr>
        <w:footnoteReference w:id="23"/>
      </w:r>
      <w:r w:rsidRPr="00F05FE9">
        <w:t xml:space="preserve"> as well as population health.</w:t>
      </w:r>
      <w:r w:rsidR="00384CF4" w:rsidRPr="00F05FE9">
        <w:rPr>
          <w:rStyle w:val="FootnoteReference"/>
        </w:rPr>
        <w:footnoteReference w:id="24"/>
      </w:r>
      <w:r w:rsidRPr="00F05FE9">
        <w:t xml:space="preserve"> It is also clear from the Court’s jurisprudence that State interference in defence of morals is a legitimate aim even if ‘morality’ is merely a reflection of the prevailing views of the community (as opposed to a more considered ethical outlook).</w:t>
      </w:r>
      <w:bookmarkStart w:id="16" w:name="_Ref497763104"/>
      <w:r w:rsidR="00214636" w:rsidRPr="00F05FE9">
        <w:rPr>
          <w:rStyle w:val="FootnoteReference"/>
        </w:rPr>
        <w:footnoteReference w:id="25"/>
      </w:r>
      <w:bookmarkEnd w:id="16"/>
      <w:r w:rsidRPr="00F05FE9">
        <w:t xml:space="preserve"> Thus legal regimes that license frankly paternalistic interventions, or that restrictively regulate refusal of LPT in response </w:t>
      </w:r>
      <w:r w:rsidR="004E1621" w:rsidRPr="00F05FE9">
        <w:t>because</w:t>
      </w:r>
      <w:r w:rsidRPr="00F05FE9">
        <w:t xml:space="preserve"> it is </w:t>
      </w:r>
      <w:r w:rsidR="004E1621" w:rsidRPr="00F05FE9">
        <w:t>though</w:t>
      </w:r>
      <w:r w:rsidR="007D4DE7" w:rsidRPr="00F05FE9">
        <w:t>t</w:t>
      </w:r>
      <w:r w:rsidR="004E1621" w:rsidRPr="00F05FE9">
        <w:t xml:space="preserve"> </w:t>
      </w:r>
      <w:r w:rsidRPr="00F05FE9">
        <w:t xml:space="preserve">immoral, may </w:t>
      </w:r>
      <w:r w:rsidR="000F0A0D" w:rsidRPr="00F05FE9">
        <w:t>pursue</w:t>
      </w:r>
      <w:r w:rsidRPr="00F05FE9">
        <w:t xml:space="preserve"> a legitimate aim for the purposes of article 8(2)</w:t>
      </w:r>
      <w:r w:rsidR="003C53AE" w:rsidRPr="00F05FE9">
        <w:t xml:space="preserve"> ECHR</w:t>
      </w:r>
      <w:r w:rsidRPr="00F05FE9">
        <w:t>.</w:t>
      </w:r>
      <w:r w:rsidR="002E4BBB" w:rsidRPr="00F05FE9">
        <w:rPr>
          <w:rStyle w:val="FootnoteReference"/>
        </w:rPr>
        <w:footnoteReference w:id="26"/>
      </w:r>
    </w:p>
    <w:p w14:paraId="576D7CB1" w14:textId="5AF814EA" w:rsidR="00B555C9" w:rsidRPr="00F05FE9" w:rsidRDefault="00C46525" w:rsidP="003D725F">
      <w:pPr>
        <w:pStyle w:val="Body"/>
        <w:spacing w:line="276" w:lineRule="auto"/>
        <w:jc w:val="left"/>
      </w:pPr>
      <w:r w:rsidRPr="00F05FE9">
        <w:t xml:space="preserve">The ‘protection of the rights and freedoms of others’ and the ‘prevention of crime’ </w:t>
      </w:r>
      <w:r w:rsidR="00EA7554" w:rsidRPr="00F05FE9">
        <w:t>may</w:t>
      </w:r>
      <w:r w:rsidRPr="00F05FE9">
        <w:t xml:space="preserve"> be legitimate aims for the purposes of regulating refusals of LPT. </w:t>
      </w:r>
      <w:r w:rsidR="00F30425" w:rsidRPr="00F05FE9">
        <w:t>T</w:t>
      </w:r>
      <w:r w:rsidRPr="00F05FE9">
        <w:t xml:space="preserve">hese grounds </w:t>
      </w:r>
      <w:r w:rsidR="00F30425" w:rsidRPr="00F05FE9">
        <w:t xml:space="preserve">may </w:t>
      </w:r>
      <w:r w:rsidRPr="00F05FE9">
        <w:t xml:space="preserve">closely </w:t>
      </w:r>
      <w:proofErr w:type="gramStart"/>
      <w:r w:rsidRPr="00F05FE9">
        <w:t>linked</w:t>
      </w:r>
      <w:proofErr w:type="gramEnd"/>
      <w:r w:rsidRPr="00F05FE9">
        <w:t xml:space="preserve">, </w:t>
      </w:r>
      <w:r w:rsidR="00F30425" w:rsidRPr="00F05FE9">
        <w:t xml:space="preserve">to the extent that </w:t>
      </w:r>
      <w:r w:rsidRPr="00F05FE9">
        <w:t xml:space="preserve">the protection of third </w:t>
      </w:r>
      <w:r w:rsidRPr="00F05FE9">
        <w:lastRenderedPageBreak/>
        <w:t xml:space="preserve">party rights provides the justification for criminal law offences against the person. Hence the State may permissibly aim at discharging, </w:t>
      </w:r>
      <w:r w:rsidRPr="00F05FE9">
        <w:rPr>
          <w:i/>
        </w:rPr>
        <w:t>inter alia</w:t>
      </w:r>
      <w:r w:rsidRPr="00F05FE9">
        <w:t xml:space="preserve">, its </w:t>
      </w:r>
      <w:r w:rsidR="00973C74" w:rsidRPr="00F05FE9">
        <w:t>positive obligation</w:t>
      </w:r>
      <w:r w:rsidRPr="00F05FE9">
        <w:t xml:space="preserve"> under article 2 ECHR to safeguard individuals whose lives are endangered by the conduct of others.</w:t>
      </w:r>
      <w:r w:rsidR="00C94C68" w:rsidRPr="00F05FE9">
        <w:rPr>
          <w:rStyle w:val="FootnoteReference"/>
        </w:rPr>
        <w:footnoteReference w:id="27"/>
      </w:r>
      <w:r w:rsidRPr="00F05FE9">
        <w:t xml:space="preserve"> In </w:t>
      </w:r>
      <w:r w:rsidRPr="00F05FE9">
        <w:rPr>
          <w:i/>
        </w:rPr>
        <w:t>Pretty v United Kingdom</w:t>
      </w:r>
      <w:r w:rsidRPr="00F05FE9">
        <w:t>, the ECtHR</w:t>
      </w:r>
      <w:r w:rsidRPr="00F05FE9">
        <w:rPr>
          <w:i/>
        </w:rPr>
        <w:t xml:space="preserve"> </w:t>
      </w:r>
      <w:r w:rsidRPr="00F05FE9">
        <w:t>held that this obligation constituted a legitimate aim for the purposes of criminal law measures restricting access to suicide assistance:</w:t>
      </w:r>
    </w:p>
    <w:p w14:paraId="1E5582EC" w14:textId="7C930B26" w:rsidR="00B555C9" w:rsidRPr="00F05FE9" w:rsidRDefault="00C46525" w:rsidP="003D725F">
      <w:pPr>
        <w:pStyle w:val="Quote"/>
        <w:spacing w:line="276" w:lineRule="auto"/>
        <w:jc w:val="left"/>
      </w:pPr>
      <w:r w:rsidRPr="00F05FE9">
        <w:t>The law in issue in this case, section 2 of the 1961 Act, was designed to safeguard life by protecting the weak and vulnerable and especially those who are not in a condition to take informed decisions against acts intended to end life or to assist in ending life.</w:t>
      </w:r>
      <w:r w:rsidR="00C94C68" w:rsidRPr="00F05FE9">
        <w:rPr>
          <w:rStyle w:val="FootnoteReference"/>
        </w:rPr>
        <w:footnoteReference w:id="28"/>
      </w:r>
    </w:p>
    <w:p w14:paraId="518C4B6F" w14:textId="44F76958" w:rsidR="00B555C9" w:rsidRPr="00F05FE9" w:rsidRDefault="00C46525" w:rsidP="003D725F">
      <w:pPr>
        <w:pStyle w:val="Body"/>
        <w:spacing w:line="276" w:lineRule="auto"/>
        <w:jc w:val="left"/>
      </w:pPr>
      <w:r w:rsidRPr="00F05FE9">
        <w:t xml:space="preserve">In addition, the ECtHR has noted on </w:t>
      </w:r>
      <w:proofErr w:type="gramStart"/>
      <w:r w:rsidRPr="00F05FE9">
        <w:t>a number of</w:t>
      </w:r>
      <w:proofErr w:type="gramEnd"/>
      <w:r w:rsidRPr="00F05FE9">
        <w:t xml:space="preserve"> occasions that the ‘Convention should be read as a whole’.</w:t>
      </w:r>
      <w:r w:rsidR="00C94C68" w:rsidRPr="00F05FE9">
        <w:rPr>
          <w:rStyle w:val="FootnoteReference"/>
        </w:rPr>
        <w:footnoteReference w:id="29"/>
      </w:r>
      <w:r w:rsidRPr="00F05FE9">
        <w:t xml:space="preserve"> This interpretive tool allows the Court to take into account in its assessment any other rights an individual possesses under the Convention. </w:t>
      </w:r>
      <w:proofErr w:type="gramStart"/>
      <w:r w:rsidRPr="00F05FE9">
        <w:t>Thus</w:t>
      </w:r>
      <w:proofErr w:type="gramEnd"/>
      <w:r w:rsidRPr="00F05FE9">
        <w:t xml:space="preserve"> in </w:t>
      </w:r>
      <w:r w:rsidRPr="00F05FE9">
        <w:rPr>
          <w:i/>
        </w:rPr>
        <w:t>Haas v Switzerland</w:t>
      </w:r>
      <w:r w:rsidRPr="00F05FE9">
        <w:t>, the Court referred to the State’s positive obligation in respect of suicide prevention:</w:t>
      </w:r>
    </w:p>
    <w:p w14:paraId="0E36C7E8" w14:textId="63182430" w:rsidR="00B555C9" w:rsidRPr="00F05FE9" w:rsidRDefault="00C46525" w:rsidP="003D725F">
      <w:pPr>
        <w:pStyle w:val="Quote"/>
        <w:spacing w:line="276" w:lineRule="auto"/>
        <w:jc w:val="left"/>
      </w:pPr>
      <w:r w:rsidRPr="00F05FE9">
        <w:t>Reference should therefore be made, in the context of the examination of any violation of art.8, to art.2 of the Convention, which imposes upon the authorities the duty to protect vulnerable persons, even against actions by which they threaten their own lives.</w:t>
      </w:r>
      <w:r w:rsidR="00634DD1" w:rsidRPr="00F05FE9">
        <w:rPr>
          <w:rStyle w:val="FootnoteReference"/>
        </w:rPr>
        <w:footnoteReference w:id="30"/>
      </w:r>
    </w:p>
    <w:p w14:paraId="669FB5F1" w14:textId="374B627C" w:rsidR="00B555C9" w:rsidRPr="00F05FE9" w:rsidRDefault="00C46525" w:rsidP="003D725F">
      <w:pPr>
        <w:pStyle w:val="Body"/>
        <w:spacing w:line="276" w:lineRule="auto"/>
        <w:jc w:val="left"/>
      </w:pPr>
      <w:r w:rsidRPr="00F05FE9">
        <w:t xml:space="preserve">To the extent that the exercise of </w:t>
      </w:r>
      <w:r w:rsidRPr="00F05FE9">
        <w:rPr>
          <w:i/>
        </w:rPr>
        <w:t>freedom D</w:t>
      </w:r>
      <w:r w:rsidRPr="00F05FE9">
        <w:t xml:space="preserve"> has implications in respect the State’s positive obligations under article 2 ECHR, therefore, measures regulating refusals of LPT may have a legitimate aim for the purposes of article 8(2) ECHR.</w:t>
      </w:r>
      <w:bookmarkStart w:id="17" w:name="_Ref508736015"/>
      <w:r w:rsidR="00656BB0">
        <w:rPr>
          <w:rStyle w:val="FootnoteReference"/>
        </w:rPr>
        <w:footnoteReference w:id="31"/>
      </w:r>
      <w:bookmarkEnd w:id="17"/>
      <w:r w:rsidRPr="00F05FE9">
        <w:t xml:space="preserve"> Of course, interference with </w:t>
      </w:r>
      <w:r w:rsidRPr="00F05FE9">
        <w:rPr>
          <w:i/>
        </w:rPr>
        <w:t>freedom D</w:t>
      </w:r>
      <w:r w:rsidRPr="00F05FE9">
        <w:t xml:space="preserve"> in pursuit of a legitimate aim must also be justified as ‘necessary in a democratic society’.</w:t>
      </w:r>
      <w:bookmarkStart w:id="18" w:name="hn_Proportionality"/>
      <w:bookmarkEnd w:id="18"/>
    </w:p>
    <w:p w14:paraId="5AB982F6" w14:textId="4ADF146A" w:rsidR="00C46525" w:rsidRPr="00F05FE9" w:rsidRDefault="00C46525" w:rsidP="000720C0">
      <w:pPr>
        <w:pStyle w:val="Heading2"/>
      </w:pPr>
      <w:r w:rsidRPr="00F05FE9">
        <w:lastRenderedPageBreak/>
        <w:t>Proportionality</w:t>
      </w:r>
    </w:p>
    <w:p w14:paraId="1813D444" w14:textId="182C2DD0" w:rsidR="00B555C9" w:rsidRPr="00F05FE9" w:rsidRDefault="00C46525" w:rsidP="003D725F">
      <w:pPr>
        <w:pStyle w:val="Body"/>
        <w:spacing w:line="276" w:lineRule="auto"/>
        <w:jc w:val="left"/>
      </w:pPr>
      <w:r w:rsidRPr="00F05FE9">
        <w:t xml:space="preserve">When is state interference with a refusal of LPT justifiable in virtue of its </w:t>
      </w:r>
      <w:r w:rsidRPr="00F05FE9">
        <w:rPr>
          <w:i/>
        </w:rPr>
        <w:t xml:space="preserve">necessity </w:t>
      </w:r>
      <w:r w:rsidRPr="00F05FE9">
        <w:t>in a democratic society? The ECtHR employs a two-limb test to assess whether interference with a fundamental freedom in pursuit of a legitimate aim is lawful.</w:t>
      </w:r>
      <w:r w:rsidR="00BF1DA6" w:rsidRPr="00F05FE9">
        <w:rPr>
          <w:rStyle w:val="FootnoteReference"/>
        </w:rPr>
        <w:footnoteReference w:id="32"/>
      </w:r>
      <w:r w:rsidRPr="00F05FE9">
        <w:t xml:space="preserve"> The first limb, ‘necessity’ </w:t>
      </w:r>
      <w:proofErr w:type="spellStart"/>
      <w:r w:rsidRPr="00F05FE9">
        <w:rPr>
          <w:i/>
        </w:rPr>
        <w:t>stricto</w:t>
      </w:r>
      <w:proofErr w:type="spellEnd"/>
      <w:r w:rsidRPr="00F05FE9">
        <w:rPr>
          <w:i/>
        </w:rPr>
        <w:t xml:space="preserve"> </w:t>
      </w:r>
      <w:proofErr w:type="spellStart"/>
      <w:r w:rsidRPr="00F05FE9">
        <w:rPr>
          <w:i/>
        </w:rPr>
        <w:t>sensu</w:t>
      </w:r>
      <w:proofErr w:type="spellEnd"/>
      <w:r w:rsidRPr="00F05FE9">
        <w:t>, does very little work in the Court’s jurisprudence.</w:t>
      </w:r>
      <w:bookmarkStart w:id="19" w:name="_Ref497763158"/>
      <w:r w:rsidR="00BF1DA6" w:rsidRPr="00F05FE9">
        <w:rPr>
          <w:rStyle w:val="FootnoteReference"/>
        </w:rPr>
        <w:footnoteReference w:id="33"/>
      </w:r>
      <w:bookmarkEnd w:id="19"/>
    </w:p>
    <w:p w14:paraId="4BC2F5E4" w14:textId="028A24DC" w:rsidR="00B555C9" w:rsidRPr="00F05FE9" w:rsidRDefault="00F570BD" w:rsidP="003D725F">
      <w:pPr>
        <w:pStyle w:val="Body"/>
        <w:spacing w:line="276" w:lineRule="auto"/>
        <w:jc w:val="left"/>
      </w:pPr>
      <w:r w:rsidRPr="00F05FE9">
        <w:t xml:space="preserve">George </w:t>
      </w:r>
      <w:proofErr w:type="spellStart"/>
      <w:r w:rsidR="00C46525" w:rsidRPr="00F05FE9">
        <w:t>Letsas</w:t>
      </w:r>
      <w:proofErr w:type="spellEnd"/>
      <w:r w:rsidR="00C46525" w:rsidRPr="00F05FE9">
        <w:t xml:space="preserve"> observes that the second limb, proportionality, is ‘by far the most important and demanding criterion for whether the limitation of a right was permissible under the Convention’.</w:t>
      </w:r>
      <w:r w:rsidR="00BF1DA6" w:rsidRPr="00F05FE9">
        <w:rPr>
          <w:rStyle w:val="FootnoteReference"/>
        </w:rPr>
        <w:footnoteReference w:id="34"/>
      </w:r>
      <w:r w:rsidR="00C46525" w:rsidRPr="00F05FE9">
        <w:t xml:space="preserve"> Unfortunately, however, the ECtHR has been inexplicit in enumerating the elements of its proportionality analysis.</w:t>
      </w:r>
      <w:r w:rsidR="00BF1DA6" w:rsidRPr="00F05FE9">
        <w:rPr>
          <w:rStyle w:val="FootnoteReference"/>
        </w:rPr>
        <w:footnoteReference w:id="35"/>
      </w:r>
      <w:r w:rsidR="00C46525" w:rsidRPr="00F05FE9">
        <w:t xml:space="preserve"> Drawing on the work of Robert </w:t>
      </w:r>
      <w:proofErr w:type="spellStart"/>
      <w:r w:rsidR="00C46525" w:rsidRPr="00F05FE9">
        <w:t>Alexy</w:t>
      </w:r>
      <w:proofErr w:type="spellEnd"/>
      <w:r w:rsidR="00C46525" w:rsidRPr="00F05FE9">
        <w:t>,</w:t>
      </w:r>
      <w:r w:rsidR="00BF1DA6" w:rsidRPr="00F05FE9">
        <w:rPr>
          <w:rStyle w:val="FootnoteReference"/>
        </w:rPr>
        <w:footnoteReference w:id="36"/>
      </w:r>
      <w:r w:rsidR="00C46525" w:rsidRPr="00F05FE9">
        <w:t xml:space="preserve"> </w:t>
      </w:r>
      <w:proofErr w:type="spellStart"/>
      <w:r w:rsidR="00C46525" w:rsidRPr="00F05FE9">
        <w:t>Letsas</w:t>
      </w:r>
      <w:proofErr w:type="spellEnd"/>
      <w:r w:rsidR="00C46525" w:rsidRPr="00F05FE9">
        <w:t xml:space="preserve"> argues that the ‘orthodox’ view of proportionality, that is, the conception employed, </w:t>
      </w:r>
      <w:r w:rsidR="00C46525" w:rsidRPr="00F05FE9">
        <w:rPr>
          <w:i/>
        </w:rPr>
        <w:t xml:space="preserve">inter </w:t>
      </w:r>
      <w:proofErr w:type="spellStart"/>
      <w:r w:rsidR="00C46525" w:rsidRPr="00F05FE9">
        <w:rPr>
          <w:i/>
        </w:rPr>
        <w:t>alios</w:t>
      </w:r>
      <w:proofErr w:type="spellEnd"/>
      <w:r w:rsidR="00C46525" w:rsidRPr="00F05FE9">
        <w:t>, by the ECtHR, consists in two principal claims:</w:t>
      </w:r>
    </w:p>
    <w:p w14:paraId="7D2D150F" w14:textId="77777777" w:rsidR="00C46525" w:rsidRPr="00F05FE9" w:rsidRDefault="00C46525" w:rsidP="003D725F">
      <w:pPr>
        <w:pStyle w:val="Quote"/>
        <w:spacing w:line="276" w:lineRule="auto"/>
        <w:contextualSpacing/>
        <w:jc w:val="left"/>
      </w:pPr>
      <w:r w:rsidRPr="00F05FE9">
        <w:t xml:space="preserve">(1) Proportionality </w:t>
      </w:r>
      <w:proofErr w:type="spellStart"/>
      <w:r w:rsidRPr="00F05FE9">
        <w:rPr>
          <w:i/>
        </w:rPr>
        <w:t>stricto</w:t>
      </w:r>
      <w:proofErr w:type="spellEnd"/>
      <w:r w:rsidRPr="00F05FE9">
        <w:rPr>
          <w:i/>
        </w:rPr>
        <w:t xml:space="preserve"> </w:t>
      </w:r>
      <w:proofErr w:type="spellStart"/>
      <w:r w:rsidRPr="00F05FE9">
        <w:rPr>
          <w:i/>
        </w:rPr>
        <w:t>sensu</w:t>
      </w:r>
      <w:proofErr w:type="spellEnd"/>
      <w:r w:rsidRPr="00F05FE9">
        <w:t xml:space="preserve"> (‘balancing’) is a test that speaks to the limitation, rather than the content of rights…</w:t>
      </w:r>
    </w:p>
    <w:p w14:paraId="116006B8" w14:textId="5348FA25" w:rsidR="00B555C9" w:rsidRPr="00F05FE9" w:rsidRDefault="00C46525" w:rsidP="003D725F">
      <w:pPr>
        <w:pStyle w:val="Quote"/>
        <w:spacing w:line="276" w:lineRule="auto"/>
        <w:contextualSpacing/>
        <w:jc w:val="left"/>
      </w:pPr>
      <w:r w:rsidRPr="00F05FE9">
        <w:lastRenderedPageBreak/>
        <w:t>(2) Rights may justifiably be limited if the overall societal benefits of limiting them exceeds the cost of the harm done to the person whose right it is…</w:t>
      </w:r>
      <w:bookmarkStart w:id="20" w:name="_Ref497761893"/>
      <w:r w:rsidR="00BF1DA6" w:rsidRPr="00F05FE9">
        <w:rPr>
          <w:rStyle w:val="FootnoteReference"/>
        </w:rPr>
        <w:footnoteReference w:id="37"/>
      </w:r>
      <w:bookmarkEnd w:id="20"/>
    </w:p>
    <w:p w14:paraId="2BEE80FC" w14:textId="21F96DB3" w:rsidR="00B555C9" w:rsidRPr="00F05FE9" w:rsidRDefault="00C46525" w:rsidP="003D725F">
      <w:pPr>
        <w:pStyle w:val="Body"/>
        <w:spacing w:line="276" w:lineRule="auto"/>
        <w:jc w:val="left"/>
      </w:pPr>
      <w:proofErr w:type="spellStart"/>
      <w:r w:rsidRPr="00F05FE9">
        <w:t>Letsas</w:t>
      </w:r>
      <w:proofErr w:type="spellEnd"/>
      <w:r w:rsidRPr="00F05FE9">
        <w:t xml:space="preserve"> notes that proportionality so framed ‘has made it very unpopular amongst scholars who reject utilitarianism and defend rights as resistant to utilitarian calculations’.</w:t>
      </w:r>
      <w:r w:rsidR="00BF1DA6" w:rsidRPr="00F05FE9">
        <w:rPr>
          <w:rStyle w:val="FootnoteReference"/>
        </w:rPr>
        <w:footnoteReference w:id="38"/>
      </w:r>
      <w:r w:rsidRPr="00F05FE9">
        <w:t xml:space="preserve"> However, </w:t>
      </w:r>
      <w:proofErr w:type="spellStart"/>
      <w:r w:rsidRPr="00F05FE9">
        <w:t>Letsas</w:t>
      </w:r>
      <w:proofErr w:type="spellEnd"/>
      <w:r w:rsidRPr="00F05FE9">
        <w:t>’ own criticism of the proportionality orthodoxy centres on its status as a ‘misleadingly vacuous metaphor’:</w:t>
      </w:r>
      <w:r w:rsidR="00BF1DA6" w:rsidRPr="00F05FE9">
        <w:rPr>
          <w:rStyle w:val="FootnoteReference"/>
        </w:rPr>
        <w:footnoteReference w:id="39"/>
      </w:r>
    </w:p>
    <w:p w14:paraId="77D7099A" w14:textId="1E496560" w:rsidR="00B555C9" w:rsidRPr="00F05FE9" w:rsidRDefault="00C46525" w:rsidP="003D725F">
      <w:pPr>
        <w:pStyle w:val="Quote"/>
        <w:spacing w:line="276" w:lineRule="auto"/>
        <w:jc w:val="left"/>
      </w:pPr>
      <w:r w:rsidRPr="00F05FE9">
        <w:t xml:space="preserve">All that [the orthodoxy] really says, charitably interpreted, is that courts should consider the effect of an impugned measure on the interests of others, as well as on the interests of the applicant. This is not a moral principle, nor is it an account of what moral rights we have </w:t>
      </w:r>
      <w:r w:rsidR="006D12C5" w:rsidRPr="00F05FE9">
        <w:t>and when they can be overridden…</w:t>
      </w:r>
      <w:r w:rsidR="00E24CEB" w:rsidRPr="00F05FE9">
        <w:rPr>
          <w:rStyle w:val="FootnoteReference"/>
        </w:rPr>
        <w:footnoteReference w:id="40"/>
      </w:r>
    </w:p>
    <w:p w14:paraId="0F9852C8" w14:textId="2FC3B6A9" w:rsidR="00B555C9" w:rsidRPr="00F05FE9" w:rsidRDefault="00E235F9" w:rsidP="003D725F">
      <w:pPr>
        <w:pStyle w:val="Body"/>
        <w:spacing w:line="276" w:lineRule="auto"/>
        <w:jc w:val="left"/>
      </w:pPr>
      <w:proofErr w:type="gramStart"/>
      <w:r w:rsidRPr="00F05FE9">
        <w:t>Thus</w:t>
      </w:r>
      <w:proofErr w:type="gramEnd"/>
      <w:r w:rsidRPr="00F05FE9">
        <w:t xml:space="preserve"> </w:t>
      </w:r>
      <w:r w:rsidR="00E80EC4" w:rsidRPr="00F05FE9">
        <w:t>it is misguided to attack</w:t>
      </w:r>
      <w:r w:rsidR="00C46525" w:rsidRPr="00F05FE9">
        <w:t xml:space="preserve"> the orthodox view of proportionality in virtue of its commitment to some form of utilitarianism, insofar as </w:t>
      </w:r>
      <w:r w:rsidR="00E80EC4" w:rsidRPr="00F05FE9">
        <w:t xml:space="preserve">this implies </w:t>
      </w:r>
      <w:r w:rsidR="00C46525" w:rsidRPr="00F05FE9">
        <w:t>‘two unwarranted equations’:</w:t>
      </w:r>
    </w:p>
    <w:p w14:paraId="61AC839E" w14:textId="5F21ACB3" w:rsidR="00B555C9" w:rsidRPr="00F05FE9" w:rsidRDefault="00C46525" w:rsidP="003D725F">
      <w:pPr>
        <w:pStyle w:val="Quote"/>
        <w:spacing w:line="276" w:lineRule="auto"/>
        <w:jc w:val="left"/>
      </w:pPr>
      <w:r w:rsidRPr="00F05FE9">
        <w:t xml:space="preserve">first to equate balancing with utilitarian reasoning. And second, to equate judicial tests courts use to decide cases (which is an </w:t>
      </w:r>
      <w:r w:rsidRPr="00F05FE9">
        <w:rPr>
          <w:i/>
        </w:rPr>
        <w:t xml:space="preserve">epistemic </w:t>
      </w:r>
      <w:r w:rsidRPr="00F05FE9">
        <w:t xml:space="preserve">or heuristic task), with a theory of what human rights we have (which is a </w:t>
      </w:r>
      <w:r w:rsidRPr="00F05FE9">
        <w:rPr>
          <w:i/>
        </w:rPr>
        <w:t xml:space="preserve">constitutive </w:t>
      </w:r>
      <w:r w:rsidRPr="00F05FE9">
        <w:t>moral question).</w:t>
      </w:r>
      <w:r w:rsidR="00B20619" w:rsidRPr="00F05FE9">
        <w:rPr>
          <w:rStyle w:val="FootnoteReference"/>
        </w:rPr>
        <w:footnoteReference w:id="41"/>
      </w:r>
    </w:p>
    <w:p w14:paraId="324230BF" w14:textId="78066D9A" w:rsidR="00B555C9" w:rsidRPr="00F05FE9" w:rsidRDefault="00C46525" w:rsidP="003D725F">
      <w:pPr>
        <w:pStyle w:val="Body"/>
        <w:spacing w:line="276" w:lineRule="auto"/>
        <w:jc w:val="left"/>
      </w:pPr>
      <w:r w:rsidRPr="00F05FE9">
        <w:t xml:space="preserve">On </w:t>
      </w:r>
      <w:proofErr w:type="spellStart"/>
      <w:r w:rsidRPr="00F05FE9">
        <w:t>Letsas</w:t>
      </w:r>
      <w:proofErr w:type="spellEnd"/>
      <w:r w:rsidRPr="00F05FE9">
        <w:t>’ view, ‘[j]</w:t>
      </w:r>
      <w:proofErr w:type="spellStart"/>
      <w:r w:rsidRPr="00F05FE9">
        <w:t>udicial</w:t>
      </w:r>
      <w:proofErr w:type="spellEnd"/>
      <w:r w:rsidRPr="00F05FE9">
        <w:t xml:space="preserve"> tests employed by human rights courts are [merely] diagnostic institutional tools that help the courts reach outcomes’.</w:t>
      </w:r>
      <w:r w:rsidR="00B20619" w:rsidRPr="00F05FE9">
        <w:rPr>
          <w:rStyle w:val="FootnoteReference"/>
        </w:rPr>
        <w:footnoteReference w:id="42"/>
      </w:r>
      <w:r w:rsidRPr="00F05FE9">
        <w:t xml:space="preserve"> It follows that mechanically working our way through a doctrinal test of proportionality is unlikely in and of itself to yield a plausible account of the content of </w:t>
      </w:r>
      <w:r w:rsidRPr="00F05FE9">
        <w:rPr>
          <w:i/>
        </w:rPr>
        <w:t>right D</w:t>
      </w:r>
      <w:r w:rsidRPr="00F05FE9">
        <w:rPr>
          <w:i/>
          <w:vertAlign w:val="subscript"/>
        </w:rPr>
        <w:t>R</w:t>
      </w:r>
      <w:r w:rsidRPr="00F05FE9">
        <w:rPr>
          <w:i/>
        </w:rPr>
        <w:t>.</w:t>
      </w:r>
      <w:r w:rsidRPr="00F05FE9">
        <w:t xml:space="preserve"> What then are we to do? </w:t>
      </w:r>
      <w:proofErr w:type="spellStart"/>
      <w:r w:rsidRPr="00F05FE9">
        <w:t>Letsas</w:t>
      </w:r>
      <w:proofErr w:type="spellEnd"/>
      <w:r w:rsidRPr="00F05FE9">
        <w:t xml:space="preserve"> argues that for the purposes of </w:t>
      </w:r>
      <w:r w:rsidRPr="00F05FE9">
        <w:lastRenderedPageBreak/>
        <w:t>retrospective analysis of the outcomes in human rights cases, ‘[a]</w:t>
      </w:r>
      <w:proofErr w:type="spellStart"/>
      <w:r w:rsidRPr="00F05FE9">
        <w:t>ny</w:t>
      </w:r>
      <w:proofErr w:type="spellEnd"/>
      <w:r w:rsidRPr="00F05FE9">
        <w:t xml:space="preserve"> attempt to reconstruct what courts do under the heading of proportionality should</w:t>
      </w:r>
      <w:r w:rsidR="00C043BC" w:rsidRPr="00F05FE9">
        <w:t>…</w:t>
      </w:r>
      <w:r w:rsidRPr="00F05FE9">
        <w:t xml:space="preserve"> begin with normative arguments about the nature of human rights as moral rights made independently of legal practice’.</w:t>
      </w:r>
      <w:r w:rsidR="00132D31" w:rsidRPr="00F05FE9">
        <w:rPr>
          <w:rStyle w:val="FootnoteReference"/>
        </w:rPr>
        <w:footnoteReference w:id="43"/>
      </w:r>
      <w:r w:rsidRPr="00F05FE9">
        <w:t xml:space="preserve"> </w:t>
      </w:r>
      <w:r w:rsidR="003F422B" w:rsidRPr="00F05FE9">
        <w:t>Thus</w:t>
      </w:r>
      <w:r w:rsidRPr="00F05FE9">
        <w:t xml:space="preserve"> theories of rights can help explain and evaluate judicial decisions about whether interference with a Convention freedom is justified.</w:t>
      </w:r>
    </w:p>
    <w:p w14:paraId="3054DBE4" w14:textId="0ECDA3F1" w:rsidR="00B555C9" w:rsidRPr="00F05FE9" w:rsidRDefault="00C46525" w:rsidP="003D725F">
      <w:pPr>
        <w:pStyle w:val="Body"/>
        <w:spacing w:line="276" w:lineRule="auto"/>
        <w:jc w:val="left"/>
      </w:pPr>
      <w:r w:rsidRPr="00F05FE9">
        <w:t xml:space="preserve">I advance that </w:t>
      </w:r>
      <w:proofErr w:type="spellStart"/>
      <w:r w:rsidR="00453EA6" w:rsidRPr="00F05FE9">
        <w:t>Letsas</w:t>
      </w:r>
      <w:proofErr w:type="spellEnd"/>
      <w:r w:rsidR="00453EA6" w:rsidRPr="00F05FE9">
        <w:t xml:space="preserve">’ explanatory account of proportionality </w:t>
      </w:r>
      <w:r w:rsidRPr="00F05FE9">
        <w:t xml:space="preserve">is also applicable </w:t>
      </w:r>
      <w:r w:rsidRPr="00F05FE9">
        <w:rPr>
          <w:i/>
        </w:rPr>
        <w:t>ex ante</w:t>
      </w:r>
      <w:r w:rsidRPr="00F05FE9">
        <w:t xml:space="preserve"> to the question of what domestic courts or the ECtHR </w:t>
      </w:r>
      <w:r w:rsidRPr="00F05FE9">
        <w:rPr>
          <w:i/>
        </w:rPr>
        <w:t>ought</w:t>
      </w:r>
      <w:r w:rsidRPr="00F05FE9">
        <w:t xml:space="preserve"> to do when asked to </w:t>
      </w:r>
      <w:r w:rsidR="001246AE" w:rsidRPr="00F05FE9">
        <w:t xml:space="preserve">decide cases that bear on </w:t>
      </w:r>
      <w:r w:rsidR="00526868" w:rsidRPr="00F05FE9">
        <w:t xml:space="preserve">the content of </w:t>
      </w:r>
      <w:r w:rsidR="00E00F03" w:rsidRPr="00F05FE9">
        <w:t xml:space="preserve">Convention </w:t>
      </w:r>
      <w:r w:rsidR="00526868" w:rsidRPr="00F05FE9">
        <w:t>rights</w:t>
      </w:r>
      <w:r w:rsidRPr="00F05FE9">
        <w:t xml:space="preserve">. </w:t>
      </w:r>
      <w:proofErr w:type="gramStart"/>
      <w:r w:rsidRPr="00F05FE9">
        <w:t>Thus</w:t>
      </w:r>
      <w:proofErr w:type="gramEnd"/>
      <w:r w:rsidRPr="00F05FE9">
        <w:t xml:space="preserve"> proportionate interference with </w:t>
      </w:r>
      <w:r w:rsidR="000C79D5" w:rsidRPr="00F05FE9">
        <w:rPr>
          <w:i/>
        </w:rPr>
        <w:t>P</w:t>
      </w:r>
      <w:r w:rsidRPr="00F05FE9">
        <w:t>’s</w:t>
      </w:r>
      <w:r w:rsidRPr="00F05FE9">
        <w:rPr>
          <w:i/>
        </w:rPr>
        <w:t xml:space="preserve"> freedom D</w:t>
      </w:r>
      <w:r w:rsidRPr="00F05FE9">
        <w:t xml:space="preserve"> </w:t>
      </w:r>
      <w:r w:rsidR="0092330D" w:rsidRPr="00F05FE9">
        <w:t>should track</w:t>
      </w:r>
      <w:r w:rsidRPr="00F05FE9">
        <w:t xml:space="preserve"> the content of </w:t>
      </w:r>
      <w:r w:rsidR="000C79D5" w:rsidRPr="00F05FE9">
        <w:rPr>
          <w:i/>
        </w:rPr>
        <w:t>P</w:t>
      </w:r>
      <w:r w:rsidRPr="00F05FE9">
        <w:t>’s</w:t>
      </w:r>
      <w:r w:rsidRPr="00F05FE9">
        <w:rPr>
          <w:i/>
        </w:rPr>
        <w:t xml:space="preserve"> right D</w:t>
      </w:r>
      <w:r w:rsidRPr="00F05FE9">
        <w:rPr>
          <w:i/>
          <w:vertAlign w:val="subscript"/>
        </w:rPr>
        <w:t>R</w:t>
      </w:r>
      <w:r w:rsidRPr="00F05FE9">
        <w:t xml:space="preserve"> according to the distribution of rights yielded by the most attractive moral theory. </w:t>
      </w:r>
      <w:r w:rsidR="00F570BD" w:rsidRPr="00F05FE9">
        <w:t xml:space="preserve">Of course, there is disagreement about </w:t>
      </w:r>
      <w:r w:rsidR="00F73A67" w:rsidRPr="00F05FE9">
        <w:t>the nature of rights</w:t>
      </w:r>
      <w:r w:rsidR="00F570BD" w:rsidRPr="00F05FE9">
        <w:t>.</w:t>
      </w:r>
      <w:r w:rsidR="00663211" w:rsidRPr="00F05FE9">
        <w:rPr>
          <w:rStyle w:val="FootnoteReference"/>
        </w:rPr>
        <w:footnoteReference w:id="44"/>
      </w:r>
      <w:r w:rsidR="00F570BD" w:rsidRPr="00F05FE9">
        <w:t xml:space="preserve"> </w:t>
      </w:r>
      <w:r w:rsidRPr="00F05FE9">
        <w:t>In the next sections,</w:t>
      </w:r>
      <w:r w:rsidR="00F570BD" w:rsidRPr="00F05FE9">
        <w:t xml:space="preserve"> therefore,</w:t>
      </w:r>
      <w:r w:rsidRPr="00F05FE9">
        <w:t xml:space="preserve"> </w:t>
      </w:r>
      <w:r w:rsidR="00F570BD" w:rsidRPr="00F05FE9">
        <w:t xml:space="preserve">I consider </w:t>
      </w:r>
      <w:r w:rsidR="00F570BD" w:rsidRPr="00F05FE9">
        <w:rPr>
          <w:i/>
        </w:rPr>
        <w:t xml:space="preserve">right </w:t>
      </w:r>
      <w:r w:rsidR="0059514A" w:rsidRPr="00F05FE9">
        <w:rPr>
          <w:i/>
        </w:rPr>
        <w:t>D</w:t>
      </w:r>
      <w:r w:rsidR="0059514A" w:rsidRPr="00F05FE9">
        <w:rPr>
          <w:i/>
          <w:vertAlign w:val="subscript"/>
        </w:rPr>
        <w:t>R</w:t>
      </w:r>
      <w:r w:rsidR="0059514A" w:rsidRPr="00F05FE9">
        <w:t xml:space="preserve"> </w:t>
      </w:r>
      <w:proofErr w:type="gramStart"/>
      <w:r w:rsidR="00063D0D" w:rsidRPr="00F05FE9">
        <w:t>in light of</w:t>
      </w:r>
      <w:proofErr w:type="gramEnd"/>
      <w:r w:rsidR="00951FDD" w:rsidRPr="00F05FE9">
        <w:t xml:space="preserve"> two </w:t>
      </w:r>
      <w:r w:rsidR="003B21AF" w:rsidRPr="00F05FE9">
        <w:t>rival</w:t>
      </w:r>
      <w:r w:rsidR="00951FDD" w:rsidRPr="00F05FE9">
        <w:t xml:space="preserve"> theories of human rights</w:t>
      </w:r>
      <w:r w:rsidRPr="00F05FE9">
        <w:t xml:space="preserve">, the </w:t>
      </w:r>
      <w:r w:rsidRPr="00F05FE9">
        <w:rPr>
          <w:i/>
        </w:rPr>
        <w:t xml:space="preserve">interest </w:t>
      </w:r>
      <w:r w:rsidRPr="00F05FE9">
        <w:t xml:space="preserve">view and the </w:t>
      </w:r>
      <w:r w:rsidRPr="00F05FE9">
        <w:rPr>
          <w:i/>
        </w:rPr>
        <w:t xml:space="preserve">reason-blocking </w:t>
      </w:r>
      <w:r w:rsidRPr="00F05FE9">
        <w:t>view.</w:t>
      </w:r>
      <w:r w:rsidR="00E25A0C" w:rsidRPr="00F05FE9">
        <w:rPr>
          <w:rStyle w:val="FootnoteReference"/>
        </w:rPr>
        <w:footnoteReference w:id="45"/>
      </w:r>
      <w:r w:rsidRPr="00F05FE9">
        <w:t xml:space="preserve"> </w:t>
      </w:r>
      <w:bookmarkStart w:id="21" w:name="hn_The_interest_theory"/>
      <w:bookmarkEnd w:id="21"/>
      <w:r w:rsidR="009B5218" w:rsidRPr="00F05FE9">
        <w:t>Since both theories yield a substantively identical right to refuse LPT, it is not necessary to consider which of these theories is most plausible,</w:t>
      </w:r>
      <w:r w:rsidR="009B5218" w:rsidRPr="00F05FE9">
        <w:rPr>
          <w:vertAlign w:val="superscript"/>
        </w:rPr>
        <w:footnoteReference w:id="46"/>
      </w:r>
      <w:r w:rsidR="009B5218" w:rsidRPr="00F05FE9">
        <w:t xml:space="preserve"> or which theory best explains the jurisprudence of the ECtHR.</w:t>
      </w:r>
      <w:r w:rsidR="009B5218" w:rsidRPr="00F05FE9">
        <w:rPr>
          <w:vertAlign w:val="superscript"/>
        </w:rPr>
        <w:footnoteReference w:id="47"/>
      </w:r>
    </w:p>
    <w:p w14:paraId="6771E0BA" w14:textId="536CCF2C" w:rsidR="00C46525" w:rsidRPr="00F05FE9" w:rsidRDefault="00C46525" w:rsidP="00E705CC">
      <w:pPr>
        <w:pStyle w:val="Heading3"/>
      </w:pPr>
      <w:r w:rsidRPr="00F05FE9">
        <w:t>The interest theory</w:t>
      </w:r>
    </w:p>
    <w:p w14:paraId="42847EC3" w14:textId="0507F30A" w:rsidR="00B555C9" w:rsidRPr="00F05FE9" w:rsidRDefault="00C46525" w:rsidP="003D725F">
      <w:pPr>
        <w:pStyle w:val="Body"/>
        <w:spacing w:line="276" w:lineRule="auto"/>
        <w:jc w:val="left"/>
      </w:pPr>
      <w:r w:rsidRPr="00F05FE9">
        <w:t>According to the interest theory of rights, ‘[r]</w:t>
      </w:r>
      <w:proofErr w:type="spellStart"/>
      <w:r w:rsidRPr="00F05FE9">
        <w:t>ights</w:t>
      </w:r>
      <w:proofErr w:type="spellEnd"/>
      <w:r w:rsidRPr="00F05FE9">
        <w:t xml:space="preserve"> protect objective interests of individual well-being that are important enough to impose duties on others’.</w:t>
      </w:r>
      <w:bookmarkStart w:id="22" w:name="_Ref497761825"/>
      <w:r w:rsidR="00D46AC7" w:rsidRPr="00F05FE9">
        <w:rPr>
          <w:rStyle w:val="FootnoteReference"/>
        </w:rPr>
        <w:footnoteReference w:id="48"/>
      </w:r>
      <w:bookmarkEnd w:id="22"/>
      <w:r w:rsidRPr="00F05FE9">
        <w:t xml:space="preserve"> As </w:t>
      </w:r>
      <w:proofErr w:type="spellStart"/>
      <w:r w:rsidRPr="00F05FE9">
        <w:t>Letsas</w:t>
      </w:r>
      <w:proofErr w:type="spellEnd"/>
      <w:r w:rsidRPr="00F05FE9">
        <w:t xml:space="preserve"> notes, the possession of an interest is a necessary, but not sufficient condition for </w:t>
      </w:r>
      <w:r w:rsidR="000C79D5" w:rsidRPr="00F05FE9">
        <w:rPr>
          <w:i/>
        </w:rPr>
        <w:t>P</w:t>
      </w:r>
      <w:r w:rsidRPr="00F05FE9">
        <w:t xml:space="preserve">’s possession of a right to </w:t>
      </w:r>
      <w:r w:rsidRPr="00F05FE9">
        <w:rPr>
          <w:rFonts w:ascii="Cambria" w:hAnsi="Cambria" w:cs="Cambria"/>
        </w:rPr>
        <w:t>φ</w:t>
      </w:r>
      <w:r w:rsidRPr="00F05FE9">
        <w:t>.</w:t>
      </w:r>
      <w:r w:rsidR="00D46AC7" w:rsidRPr="00F05FE9">
        <w:rPr>
          <w:rStyle w:val="FootnoteReference"/>
        </w:rPr>
        <w:footnoteReference w:id="49"/>
      </w:r>
      <w:r w:rsidRPr="00F05FE9">
        <w:t xml:space="preserve"> Rather, the ‘conditions for when an interest generates a right depends on factors such as the nature of the interest and how demanding it is to impose a duty on others to respect or promote it’.</w:t>
      </w:r>
      <w:r w:rsidR="00D46AC7" w:rsidRPr="00F05FE9">
        <w:rPr>
          <w:rStyle w:val="FootnoteReference"/>
        </w:rPr>
        <w:footnoteReference w:id="50"/>
      </w:r>
      <w:r w:rsidRPr="00F05FE9">
        <w:t xml:space="preserve"> As such, the interest view requires the ‘balancing’ of </w:t>
      </w:r>
      <w:r w:rsidR="000C79D5" w:rsidRPr="00F05FE9">
        <w:rPr>
          <w:i/>
        </w:rPr>
        <w:t>P</w:t>
      </w:r>
      <w:r w:rsidRPr="00F05FE9">
        <w:t xml:space="preserve">’s interests with those of others. </w:t>
      </w:r>
      <w:proofErr w:type="spellStart"/>
      <w:r w:rsidRPr="00F05FE9">
        <w:t>Letsas</w:t>
      </w:r>
      <w:proofErr w:type="spellEnd"/>
      <w:r w:rsidRPr="00F05FE9">
        <w:t xml:space="preserve"> argues that this balancing exercise is non-utilitarian in nature:</w:t>
      </w:r>
    </w:p>
    <w:p w14:paraId="6FFFDCDF" w14:textId="52FC1D42" w:rsidR="00B555C9" w:rsidRPr="00F05FE9" w:rsidRDefault="00D60050" w:rsidP="003D725F">
      <w:pPr>
        <w:pStyle w:val="Quote"/>
        <w:spacing w:line="276" w:lineRule="auto"/>
        <w:jc w:val="left"/>
      </w:pPr>
      <w:r w:rsidRPr="00F05FE9">
        <w:lastRenderedPageBreak/>
        <w:t>[A]</w:t>
      </w:r>
      <w:r w:rsidR="00C46525" w:rsidRPr="00F05FE9">
        <w:t xml:space="preserve"> type of cost–benefit analysis would be part and parcel of what courts would have to do to discover what human rights we have</w:t>
      </w:r>
      <w:r w:rsidR="00C043BC" w:rsidRPr="00F05FE9">
        <w:t>…</w:t>
      </w:r>
      <w:r w:rsidR="00C46525" w:rsidRPr="00F05FE9">
        <w:t xml:space="preserve"> According to the [interest theory], costs and benefits are moralized notions, viewed from the objective standpoint of the importance of different interests for our well-being and without being committed to the need to maximize the serving of those interests.</w:t>
      </w:r>
      <w:r w:rsidR="00F57E6B" w:rsidRPr="00F05FE9">
        <w:rPr>
          <w:rStyle w:val="FootnoteReference"/>
        </w:rPr>
        <w:footnoteReference w:id="51"/>
      </w:r>
    </w:p>
    <w:p w14:paraId="45C955A4" w14:textId="658A9655" w:rsidR="00B555C9" w:rsidRPr="00F05FE9" w:rsidRDefault="00C46525" w:rsidP="003D725F">
      <w:pPr>
        <w:pStyle w:val="Body"/>
        <w:spacing w:line="276" w:lineRule="auto"/>
        <w:jc w:val="left"/>
      </w:pPr>
      <w:r w:rsidRPr="00F05FE9">
        <w:t xml:space="preserve">On the interest theory therefore, </w:t>
      </w:r>
      <w:r w:rsidR="000C79D5" w:rsidRPr="00F05FE9">
        <w:rPr>
          <w:i/>
        </w:rPr>
        <w:t>P</w:t>
      </w:r>
      <w:r w:rsidRPr="00F05FE9">
        <w:t xml:space="preserve"> possesses </w:t>
      </w:r>
      <w:r w:rsidRPr="00F05FE9">
        <w:rPr>
          <w:i/>
        </w:rPr>
        <w:t>right D</w:t>
      </w:r>
      <w:r w:rsidRPr="00F05FE9">
        <w:rPr>
          <w:i/>
          <w:vertAlign w:val="subscript"/>
        </w:rPr>
        <w:t>R</w:t>
      </w:r>
      <w:r w:rsidRPr="00F05FE9">
        <w:t xml:space="preserve"> if</w:t>
      </w:r>
      <w:r w:rsidR="00F4469C" w:rsidRPr="00F05FE9">
        <w:t>f</w:t>
      </w:r>
      <w:r w:rsidRPr="00F05FE9">
        <w:t xml:space="preserve"> her interest in refusing LPT is sufficient to impose a duty to uphold it on the State. </w:t>
      </w:r>
      <w:proofErr w:type="gramStart"/>
      <w:r w:rsidRPr="00F05FE9">
        <w:t>Thus</w:t>
      </w:r>
      <w:proofErr w:type="gramEnd"/>
      <w:r w:rsidRPr="00F05FE9">
        <w:t xml:space="preserve"> we require an account of the interests engaged in </w:t>
      </w:r>
      <w:r w:rsidR="000C79D5" w:rsidRPr="00F05FE9">
        <w:rPr>
          <w:i/>
        </w:rPr>
        <w:t>P</w:t>
      </w:r>
      <w:r w:rsidRPr="00F05FE9">
        <w:t xml:space="preserve">’s refusal of LPT, and an assessment of the costs of respecting </w:t>
      </w:r>
      <w:r w:rsidR="000C79D5" w:rsidRPr="00F05FE9">
        <w:rPr>
          <w:i/>
        </w:rPr>
        <w:t>P</w:t>
      </w:r>
      <w:r w:rsidRPr="00F05FE9">
        <w:t xml:space="preserve">’s refusal. Since our discussion relates to the proportionality of interference with </w:t>
      </w:r>
      <w:r w:rsidR="000C79D5" w:rsidRPr="00F05FE9">
        <w:rPr>
          <w:i/>
        </w:rPr>
        <w:t>P</w:t>
      </w:r>
      <w:r w:rsidRPr="00F05FE9">
        <w:t xml:space="preserve">’s freedom to decide how and when to die, </w:t>
      </w:r>
      <w:r w:rsidR="000C79D5" w:rsidRPr="00F05FE9">
        <w:rPr>
          <w:i/>
        </w:rPr>
        <w:t>P</w:t>
      </w:r>
      <w:r w:rsidRPr="00F05FE9">
        <w:t>’s interest in autonomy should be our starting point.</w:t>
      </w:r>
      <w:bookmarkStart w:id="23" w:name="hn_Autonomy"/>
      <w:bookmarkEnd w:id="23"/>
    </w:p>
    <w:p w14:paraId="0C005444" w14:textId="7C21DF2D" w:rsidR="00C46525" w:rsidRPr="00F05FE9" w:rsidRDefault="00C46525" w:rsidP="00F05200">
      <w:pPr>
        <w:pStyle w:val="Heading4"/>
      </w:pPr>
      <w:r w:rsidRPr="00F05FE9">
        <w:t>Autonomy</w:t>
      </w:r>
    </w:p>
    <w:p w14:paraId="57E74D84" w14:textId="04392BE4" w:rsidR="00B555C9" w:rsidRPr="00F05FE9" w:rsidRDefault="00C46525" w:rsidP="003D725F">
      <w:pPr>
        <w:pStyle w:val="Body"/>
        <w:spacing w:line="276" w:lineRule="auto"/>
        <w:jc w:val="left"/>
      </w:pPr>
      <w:r w:rsidRPr="00F05FE9">
        <w:t>It seems an uncontroversial observation that many individuals value the exercise of autonomy, attach priority to it over other valuable goods, such as pleasurable experience,</w:t>
      </w:r>
      <w:bookmarkStart w:id="24" w:name="_Ref497761929"/>
      <w:r w:rsidR="00060B37" w:rsidRPr="00F05FE9">
        <w:rPr>
          <w:rStyle w:val="FootnoteReference"/>
        </w:rPr>
        <w:footnoteReference w:id="52"/>
      </w:r>
      <w:bookmarkEnd w:id="24"/>
      <w:r w:rsidRPr="00F05FE9">
        <w:t xml:space="preserve"> and consequently believe that interference with autonomous choices requires compelling justification. Of course,</w:t>
      </w:r>
      <w:r w:rsidR="001B10A0" w:rsidRPr="00F05FE9">
        <w:t xml:space="preserve"> this is not sufficient to </w:t>
      </w:r>
      <w:r w:rsidRPr="00F05FE9">
        <w:t>establish autonomy’s axiological or normative significance.</w:t>
      </w:r>
    </w:p>
    <w:p w14:paraId="5F95B218" w14:textId="1A34F4A0" w:rsidR="00B555C9" w:rsidRPr="00F05FE9" w:rsidRDefault="004126E7" w:rsidP="003D725F">
      <w:pPr>
        <w:pStyle w:val="Body"/>
        <w:spacing w:line="276" w:lineRule="auto"/>
        <w:jc w:val="left"/>
      </w:pPr>
      <w:r w:rsidRPr="00F05FE9">
        <w:t>It is possible to explain t</w:t>
      </w:r>
      <w:r w:rsidR="00DA2BEC" w:rsidRPr="00F05FE9">
        <w:t xml:space="preserve">he value </w:t>
      </w:r>
      <w:r w:rsidRPr="00F05FE9">
        <w:t xml:space="preserve">of autonomy both in instrumental and intrinsic </w:t>
      </w:r>
      <w:r w:rsidR="008D5278" w:rsidRPr="00F05FE9">
        <w:t>terms</w:t>
      </w:r>
      <w:r w:rsidRPr="00F05FE9">
        <w:t xml:space="preserve">. </w:t>
      </w:r>
      <w:r w:rsidR="005A24B2" w:rsidRPr="00F05FE9">
        <w:t xml:space="preserve">On the </w:t>
      </w:r>
      <w:r w:rsidR="00CD1170" w:rsidRPr="00F05FE9">
        <w:t>instrumental</w:t>
      </w:r>
      <w:r w:rsidR="005548ED" w:rsidRPr="00F05FE9">
        <w:t xml:space="preserve"> view</w:t>
      </w:r>
      <w:r w:rsidR="005A24B2" w:rsidRPr="00F05FE9">
        <w:t xml:space="preserve">, autonomy has value </w:t>
      </w:r>
      <w:r w:rsidR="00E6589F" w:rsidRPr="00F05FE9">
        <w:t>to the extent that it helps achieve better outcomes</w:t>
      </w:r>
      <w:r w:rsidR="001349A1" w:rsidRPr="00F05FE9">
        <w:t xml:space="preserve">, such as increases in prudential </w:t>
      </w:r>
      <w:r w:rsidR="001C4946" w:rsidRPr="00F05FE9">
        <w:t>or</w:t>
      </w:r>
      <w:r w:rsidR="001349A1" w:rsidRPr="00F05FE9">
        <w:t xml:space="preserve"> aggregate welfare</w:t>
      </w:r>
      <w:r w:rsidR="00E6589F" w:rsidRPr="00F05FE9">
        <w:t>.</w:t>
      </w:r>
      <w:r w:rsidR="00E6589F" w:rsidRPr="00F05FE9">
        <w:rPr>
          <w:rStyle w:val="FootnoteReference"/>
          <w:rFonts w:eastAsia="Garamond" w:cs="Garamond"/>
          <w:color w:val="000000"/>
        </w:rPr>
        <w:footnoteReference w:id="53"/>
      </w:r>
      <w:r w:rsidR="00E6589F" w:rsidRPr="00F05FE9">
        <w:t xml:space="preserve"> </w:t>
      </w:r>
      <w:r w:rsidR="005136D4" w:rsidRPr="00F05FE9">
        <w:t xml:space="preserve">Thus </w:t>
      </w:r>
      <w:r w:rsidR="000021B1" w:rsidRPr="00F05FE9">
        <w:t xml:space="preserve">the weight of an </w:t>
      </w:r>
      <w:r w:rsidR="005136D4" w:rsidRPr="00F05FE9">
        <w:t xml:space="preserve">individual’s </w:t>
      </w:r>
      <w:r w:rsidR="00750B23" w:rsidRPr="00F05FE9">
        <w:t>interest in autonomy</w:t>
      </w:r>
      <w:r w:rsidR="000021B1" w:rsidRPr="00F05FE9">
        <w:t>,</w:t>
      </w:r>
      <w:r w:rsidR="00750B23" w:rsidRPr="00F05FE9">
        <w:t xml:space="preserve"> </w:t>
      </w:r>
      <w:r w:rsidR="00190708" w:rsidRPr="00F05FE9">
        <w:lastRenderedPageBreak/>
        <w:t xml:space="preserve">and consequently whether she possesses an autonomy-derived right such as </w:t>
      </w:r>
      <w:r w:rsidR="00190708" w:rsidRPr="00F05FE9">
        <w:rPr>
          <w:i/>
        </w:rPr>
        <w:t>right D</w:t>
      </w:r>
      <w:r w:rsidR="00190708" w:rsidRPr="00F05FE9">
        <w:rPr>
          <w:i/>
          <w:vertAlign w:val="subscript"/>
        </w:rPr>
        <w:t>R</w:t>
      </w:r>
      <w:r w:rsidR="00190708" w:rsidRPr="00F05FE9">
        <w:t xml:space="preserve">, </w:t>
      </w:r>
      <w:r w:rsidR="000021B1" w:rsidRPr="00F05FE9">
        <w:t xml:space="preserve">depends on the relation </w:t>
      </w:r>
      <w:r w:rsidR="00190708" w:rsidRPr="00F05FE9">
        <w:t xml:space="preserve">between </w:t>
      </w:r>
      <w:r w:rsidR="00581479" w:rsidRPr="00F05FE9">
        <w:t>self-determination</w:t>
      </w:r>
      <w:r w:rsidR="000021B1" w:rsidRPr="00F05FE9">
        <w:t xml:space="preserve"> and </w:t>
      </w:r>
      <w:r w:rsidR="00190708" w:rsidRPr="00F05FE9">
        <w:t>what else matters.</w:t>
      </w:r>
      <w:r w:rsidR="001349A1" w:rsidRPr="00F05FE9">
        <w:t xml:space="preserve"> </w:t>
      </w:r>
      <w:r w:rsidR="00542403" w:rsidRPr="00F05FE9">
        <w:t xml:space="preserve">In </w:t>
      </w:r>
      <w:r w:rsidR="00092FB9" w:rsidRPr="00F05FE9">
        <w:t>w</w:t>
      </w:r>
      <w:r w:rsidR="00105751" w:rsidRPr="00F05FE9">
        <w:t>hat</w:t>
      </w:r>
      <w:r w:rsidR="001349A1" w:rsidRPr="00F05FE9">
        <w:t xml:space="preserve"> follows, I assume that autonomy derives </w:t>
      </w:r>
      <w:r w:rsidR="00F14CEC" w:rsidRPr="00F05FE9">
        <w:t xml:space="preserve">instrumental </w:t>
      </w:r>
      <w:r w:rsidR="001349A1" w:rsidRPr="00F05FE9">
        <w:t xml:space="preserve">value from </w:t>
      </w:r>
      <w:r w:rsidR="00D822F5" w:rsidRPr="00F05FE9">
        <w:t xml:space="preserve">its contribution to </w:t>
      </w:r>
      <w:r w:rsidR="001349A1" w:rsidRPr="00F05FE9">
        <w:t>welfare.</w:t>
      </w:r>
      <w:r w:rsidR="001349A1" w:rsidRPr="00F05FE9">
        <w:rPr>
          <w:rStyle w:val="FootnoteReference"/>
          <w:rFonts w:eastAsia="Garamond" w:cs="Garamond"/>
          <w:color w:val="000000"/>
        </w:rPr>
        <w:footnoteReference w:id="54"/>
      </w:r>
    </w:p>
    <w:p w14:paraId="0CDE2733" w14:textId="48814D31" w:rsidR="00B555C9" w:rsidRPr="00F05FE9" w:rsidRDefault="00105751" w:rsidP="003D725F">
      <w:pPr>
        <w:pStyle w:val="Body"/>
        <w:spacing w:line="276" w:lineRule="auto"/>
        <w:jc w:val="left"/>
      </w:pPr>
      <w:r w:rsidRPr="00F05FE9">
        <w:t xml:space="preserve">Many philosophers argue that autonomy </w:t>
      </w:r>
      <w:r w:rsidR="00060B37" w:rsidRPr="00F05FE9">
        <w:t xml:space="preserve">(also) </w:t>
      </w:r>
      <w:r w:rsidRPr="00F05FE9">
        <w:t>has intrinsic value.</w:t>
      </w:r>
      <w:r w:rsidRPr="00F05FE9">
        <w:rPr>
          <w:rStyle w:val="FootnoteReference"/>
          <w:rFonts w:eastAsia="Garamond" w:cs="Garamond"/>
          <w:color w:val="000000"/>
        </w:rPr>
        <w:footnoteReference w:id="55"/>
      </w:r>
      <w:r w:rsidR="00EB28E8" w:rsidRPr="00F05FE9">
        <w:t xml:space="preserve"> </w:t>
      </w:r>
      <w:r w:rsidR="00C46525" w:rsidRPr="00F05FE9">
        <w:t xml:space="preserve">Thomas </w:t>
      </w:r>
      <w:proofErr w:type="spellStart"/>
      <w:r w:rsidR="00C46525" w:rsidRPr="00F05FE9">
        <w:t>Hurka</w:t>
      </w:r>
      <w:proofErr w:type="spellEnd"/>
      <w:r w:rsidR="00C46525" w:rsidRPr="00F05FE9">
        <w:t xml:space="preserve"> expla</w:t>
      </w:r>
      <w:r w:rsidR="00EB28E8" w:rsidRPr="00F05FE9">
        <w:t>i</w:t>
      </w:r>
      <w:r w:rsidR="00C46525" w:rsidRPr="00F05FE9">
        <w:t>n</w:t>
      </w:r>
      <w:r w:rsidR="00EB28E8" w:rsidRPr="00F05FE9">
        <w:t>s</w:t>
      </w:r>
      <w:r w:rsidR="00C46525" w:rsidRPr="00F05FE9">
        <w:t xml:space="preserve"> of autonomy’s intrinsic value in terms of agency:</w:t>
      </w:r>
    </w:p>
    <w:p w14:paraId="41929942" w14:textId="0E566F4E" w:rsidR="00B555C9" w:rsidRPr="00F05FE9" w:rsidRDefault="00C46525" w:rsidP="003D725F">
      <w:pPr>
        <w:pStyle w:val="Quote"/>
        <w:spacing w:line="276" w:lineRule="auto"/>
        <w:jc w:val="left"/>
      </w:pPr>
      <w:r w:rsidRPr="00F05FE9">
        <w:t>There is intrinsic value in the autonomous choice of important goals… And the value of these choices can be captured under the heading of agency. Someone who chooses, in the fullest sense, among forms of life determines not only that she lives in one way, but that she does not live in others. Her autonomy makes her responsible, not just for the positive fact that her life has one shape, but for the negative facts that it does not have various other shapes… to be autonomous, to choose among life-options, is to determine more of what is true than if one is constrained.</w:t>
      </w:r>
      <w:bookmarkStart w:id="25" w:name="_Ref497762742"/>
      <w:r w:rsidR="00060B37" w:rsidRPr="00F05FE9">
        <w:rPr>
          <w:rStyle w:val="FootnoteReference"/>
        </w:rPr>
        <w:footnoteReference w:id="56"/>
      </w:r>
      <w:bookmarkEnd w:id="25"/>
    </w:p>
    <w:p w14:paraId="300E48A0" w14:textId="5D844795" w:rsidR="00B555C9" w:rsidRPr="00F05FE9" w:rsidRDefault="00EB28E8" w:rsidP="003D725F">
      <w:pPr>
        <w:pStyle w:val="Body"/>
        <w:spacing w:line="276" w:lineRule="auto"/>
        <w:jc w:val="left"/>
      </w:pPr>
      <w:proofErr w:type="spellStart"/>
      <w:r w:rsidRPr="00F05FE9">
        <w:t>Hurka</w:t>
      </w:r>
      <w:proofErr w:type="spellEnd"/>
      <w:r w:rsidRPr="00F05FE9">
        <w:t xml:space="preserve"> ascribes relatively weak intrinsic</w:t>
      </w:r>
      <w:r w:rsidR="004042B1" w:rsidRPr="00F05FE9">
        <w:t xml:space="preserve"> </w:t>
      </w:r>
      <w:r w:rsidR="00C46525" w:rsidRPr="00F05FE9">
        <w:t xml:space="preserve">value </w:t>
      </w:r>
      <w:r w:rsidR="00060B37" w:rsidRPr="00F05FE9">
        <w:t xml:space="preserve">to </w:t>
      </w:r>
      <w:r w:rsidR="00C46525" w:rsidRPr="00F05FE9">
        <w:t xml:space="preserve">autonomy. </w:t>
      </w:r>
      <w:r w:rsidR="00276E05" w:rsidRPr="00F05FE9">
        <w:t>T</w:t>
      </w:r>
      <w:r w:rsidR="00C46525" w:rsidRPr="00F05FE9">
        <w:t>he claim that ‘free choice… is no isolated good, but follows with other goods from more fundamental values’ implies that ‘[a]</w:t>
      </w:r>
      <w:proofErr w:type="spellStart"/>
      <w:r w:rsidR="00C46525" w:rsidRPr="00F05FE9">
        <w:t>utonomy</w:t>
      </w:r>
      <w:proofErr w:type="spellEnd"/>
      <w:r w:rsidR="00C46525" w:rsidRPr="00F05FE9">
        <w:t xml:space="preserve"> is just one value among others, with no special weight and no special [normative] standing’.</w:t>
      </w:r>
      <w:r w:rsidR="00060B37" w:rsidRPr="00F05FE9">
        <w:rPr>
          <w:rStyle w:val="FootnoteReference"/>
        </w:rPr>
        <w:footnoteReference w:id="57"/>
      </w:r>
      <w:r w:rsidR="00CB6C44" w:rsidRPr="00F05FE9">
        <w:t xml:space="preserve"> </w:t>
      </w:r>
      <w:proofErr w:type="spellStart"/>
      <w:r w:rsidR="00371F24" w:rsidRPr="00F05FE9">
        <w:t>Hurka’s</w:t>
      </w:r>
      <w:proofErr w:type="spellEnd"/>
      <w:r w:rsidR="00371F24" w:rsidRPr="00F05FE9">
        <w:t xml:space="preserve"> </w:t>
      </w:r>
      <w:r w:rsidR="009F4C4E" w:rsidRPr="00F05FE9">
        <w:t xml:space="preserve">conception of autonomy thus provides a useful basis </w:t>
      </w:r>
      <w:r w:rsidR="00053D40" w:rsidRPr="00F05FE9">
        <w:t xml:space="preserve">for discussion of the content of </w:t>
      </w:r>
      <w:r w:rsidR="00053D40" w:rsidRPr="00F05FE9">
        <w:rPr>
          <w:i/>
        </w:rPr>
        <w:t>right D</w:t>
      </w:r>
      <w:r w:rsidR="00053D40" w:rsidRPr="00F05FE9">
        <w:rPr>
          <w:i/>
          <w:vertAlign w:val="subscript"/>
        </w:rPr>
        <w:t>R</w:t>
      </w:r>
      <w:r w:rsidR="00053D40" w:rsidRPr="00F05FE9">
        <w:t>.</w:t>
      </w:r>
      <w:r w:rsidR="00873AF5" w:rsidRPr="00F05FE9">
        <w:t xml:space="preserve"> For if </w:t>
      </w:r>
      <w:r w:rsidR="00371F24" w:rsidRPr="00F05FE9">
        <w:t xml:space="preserve">a </w:t>
      </w:r>
      <w:r w:rsidR="00873AF5" w:rsidRPr="00F05FE9">
        <w:t xml:space="preserve">relatively weak conception of autonomy gives rise to </w:t>
      </w:r>
      <w:r w:rsidR="00873AF5" w:rsidRPr="00F05FE9">
        <w:rPr>
          <w:i/>
        </w:rPr>
        <w:t>right D</w:t>
      </w:r>
      <w:r w:rsidR="00873AF5" w:rsidRPr="00F05FE9">
        <w:rPr>
          <w:i/>
          <w:vertAlign w:val="subscript"/>
        </w:rPr>
        <w:t>R</w:t>
      </w:r>
      <w:r w:rsidR="00873AF5" w:rsidRPr="00F05FE9">
        <w:t xml:space="preserve"> on the interest theory, </w:t>
      </w:r>
      <w:r w:rsidR="007C287D" w:rsidRPr="00F05FE9">
        <w:t>conceptions</w:t>
      </w:r>
      <w:r w:rsidR="00873AF5" w:rsidRPr="00F05FE9">
        <w:t xml:space="preserve"> </w:t>
      </w:r>
      <w:r w:rsidR="008B55F1" w:rsidRPr="00F05FE9">
        <w:t xml:space="preserve">that </w:t>
      </w:r>
      <w:r w:rsidR="00883239" w:rsidRPr="00F05FE9">
        <w:t>a</w:t>
      </w:r>
      <w:r w:rsidR="008B55F1" w:rsidRPr="00F05FE9">
        <w:t>ssign autonomy</w:t>
      </w:r>
      <w:r w:rsidR="00883239" w:rsidRPr="00F05FE9">
        <w:t xml:space="preserve"> </w:t>
      </w:r>
      <w:r w:rsidR="00197BE6" w:rsidRPr="00F05FE9">
        <w:t xml:space="preserve">more value </w:t>
      </w:r>
      <w:r w:rsidR="001C4946" w:rsidRPr="00F05FE9">
        <w:t>or</w:t>
      </w:r>
      <w:r w:rsidR="00873AF5" w:rsidRPr="00F05FE9">
        <w:t xml:space="preserve"> more moral weight will also imply </w:t>
      </w:r>
      <w:r w:rsidR="00873AF5" w:rsidRPr="00F05FE9">
        <w:rPr>
          <w:i/>
        </w:rPr>
        <w:t>right D</w:t>
      </w:r>
      <w:r w:rsidR="00873AF5" w:rsidRPr="00F05FE9">
        <w:rPr>
          <w:i/>
          <w:vertAlign w:val="subscript"/>
        </w:rPr>
        <w:t>R</w:t>
      </w:r>
      <w:r w:rsidR="00873AF5" w:rsidRPr="00F05FE9">
        <w:t>.</w:t>
      </w:r>
    </w:p>
    <w:p w14:paraId="2F04FF30" w14:textId="645D4052" w:rsidR="00B555C9" w:rsidRPr="00F05FE9" w:rsidRDefault="00371F24" w:rsidP="003D725F">
      <w:pPr>
        <w:pStyle w:val="Body"/>
        <w:spacing w:line="276" w:lineRule="auto"/>
        <w:jc w:val="left"/>
      </w:pPr>
      <w:proofErr w:type="spellStart"/>
      <w:r w:rsidRPr="00F05FE9">
        <w:rPr>
          <w:rFonts w:eastAsia="Garamond" w:cs="Garamond"/>
          <w:color w:val="000000"/>
        </w:rPr>
        <w:t>Hurka</w:t>
      </w:r>
      <w:proofErr w:type="spellEnd"/>
      <w:r w:rsidRPr="00F05FE9">
        <w:rPr>
          <w:rFonts w:eastAsia="Garamond" w:cs="Garamond"/>
          <w:color w:val="000000"/>
        </w:rPr>
        <w:t xml:space="preserve"> writes</w:t>
      </w:r>
      <w:r w:rsidR="008065D0" w:rsidRPr="00F05FE9">
        <w:rPr>
          <w:rFonts w:eastAsia="Garamond" w:cs="Garamond"/>
          <w:color w:val="000000"/>
        </w:rPr>
        <w:t xml:space="preserve"> that</w:t>
      </w:r>
      <w:r w:rsidR="00C46525" w:rsidRPr="00F05FE9">
        <w:rPr>
          <w:rFonts w:eastAsia="Garamond" w:cs="Garamond"/>
          <w:color w:val="000000"/>
        </w:rPr>
        <w:t xml:space="preserve"> ‘[</w:t>
      </w:r>
      <w:proofErr w:type="spellStart"/>
      <w:r w:rsidR="00C46525" w:rsidRPr="00F05FE9">
        <w:rPr>
          <w:rFonts w:eastAsia="Garamond" w:cs="Garamond"/>
          <w:color w:val="000000"/>
        </w:rPr>
        <w:t>i</w:t>
      </w:r>
      <w:proofErr w:type="spellEnd"/>
      <w:r w:rsidR="00C46525" w:rsidRPr="00F05FE9">
        <w:rPr>
          <w:rFonts w:eastAsia="Garamond" w:cs="Garamond"/>
          <w:color w:val="000000"/>
        </w:rPr>
        <w:t>]f autonomy is intrinsically good, any restriction of choice has some morally undesirable effects’.</w:t>
      </w:r>
      <w:r w:rsidR="0029575B" w:rsidRPr="00F05FE9">
        <w:rPr>
          <w:rStyle w:val="FootnoteReference"/>
          <w:rFonts w:eastAsia="Garamond" w:cs="Garamond"/>
          <w:color w:val="000000"/>
        </w:rPr>
        <w:footnoteReference w:id="58"/>
      </w:r>
      <w:r w:rsidR="00197799" w:rsidRPr="00F05FE9">
        <w:rPr>
          <w:rFonts w:eastAsia="Garamond" w:cs="Garamond"/>
          <w:color w:val="000000"/>
        </w:rPr>
        <w:t xml:space="preserve"> </w:t>
      </w:r>
      <w:r w:rsidR="00197799" w:rsidRPr="00F05FE9">
        <w:t>Therefore,</w:t>
      </w:r>
      <w:r w:rsidR="00C46525" w:rsidRPr="00F05FE9">
        <w:t xml:space="preserve"> interference with </w:t>
      </w:r>
      <w:r w:rsidR="000C79D5" w:rsidRPr="00F05FE9">
        <w:rPr>
          <w:i/>
        </w:rPr>
        <w:t>P</w:t>
      </w:r>
      <w:r w:rsidR="00C46525" w:rsidRPr="00F05FE9">
        <w:t xml:space="preserve">’s autonomous refusal of LPT entails moral cost for </w:t>
      </w:r>
      <w:r w:rsidR="00197799" w:rsidRPr="00F05FE9">
        <w:t xml:space="preserve">the agent </w:t>
      </w:r>
      <w:r w:rsidR="00A65815" w:rsidRPr="00F05FE9">
        <w:t xml:space="preserve">(henceforth </w:t>
      </w:r>
      <w:r w:rsidR="00BE089F" w:rsidRPr="00F05FE9">
        <w:rPr>
          <w:i/>
        </w:rPr>
        <w:t>Q</w:t>
      </w:r>
      <w:r w:rsidR="00A65815" w:rsidRPr="00F05FE9">
        <w:rPr>
          <w:rStyle w:val="CommentReference"/>
          <w:sz w:val="24"/>
          <w:szCs w:val="24"/>
        </w:rPr>
        <w:t xml:space="preserve">) </w:t>
      </w:r>
      <w:r w:rsidR="00197799" w:rsidRPr="00F05FE9">
        <w:t xml:space="preserve">who treats </w:t>
      </w:r>
      <w:r w:rsidR="008A749E" w:rsidRPr="00F05FE9">
        <w:rPr>
          <w:i/>
        </w:rPr>
        <w:t>P</w:t>
      </w:r>
      <w:r w:rsidR="00C46525" w:rsidRPr="00F05FE9">
        <w:t xml:space="preserve">; </w:t>
      </w:r>
      <w:r w:rsidR="000C79D5" w:rsidRPr="00F05FE9">
        <w:rPr>
          <w:i/>
        </w:rPr>
        <w:t>P</w:t>
      </w:r>
      <w:r w:rsidR="00C46525" w:rsidRPr="00F05FE9">
        <w:t xml:space="preserve">’s autonomy is </w:t>
      </w:r>
      <w:r w:rsidR="008146FC" w:rsidRPr="00F05FE9">
        <w:t xml:space="preserve">intrinsically </w:t>
      </w:r>
      <w:r w:rsidR="00C46525" w:rsidRPr="00F05FE9">
        <w:t xml:space="preserve">valuable, and its violation makes out a pro </w:t>
      </w:r>
      <w:proofErr w:type="spellStart"/>
      <w:r w:rsidR="00C46525" w:rsidRPr="00F05FE9">
        <w:t>tanto</w:t>
      </w:r>
      <w:proofErr w:type="spellEnd"/>
      <w:r w:rsidR="00C46525" w:rsidRPr="00F05FE9">
        <w:t xml:space="preserve"> moral wrong. </w:t>
      </w:r>
      <w:proofErr w:type="gramStart"/>
      <w:r w:rsidR="008146FC" w:rsidRPr="00F05FE9">
        <w:t>Thus</w:t>
      </w:r>
      <w:proofErr w:type="gramEnd"/>
      <w:r w:rsidR="008146FC" w:rsidRPr="00F05FE9">
        <w:t xml:space="preserve"> a</w:t>
      </w:r>
      <w:r w:rsidR="00C46525" w:rsidRPr="00F05FE9">
        <w:t xml:space="preserve">ll else being equal, </w:t>
      </w:r>
      <w:r w:rsidR="000C79D5" w:rsidRPr="00F05FE9">
        <w:rPr>
          <w:i/>
        </w:rPr>
        <w:t>P</w:t>
      </w:r>
      <w:r w:rsidR="00C46525" w:rsidRPr="00F05FE9">
        <w:rPr>
          <w:i/>
        </w:rPr>
        <w:t>’s</w:t>
      </w:r>
      <w:r w:rsidR="00C46525" w:rsidRPr="00F05FE9">
        <w:t xml:space="preserve"> autonomy provides a reason in favour of imposing a duty on </w:t>
      </w:r>
      <w:r w:rsidR="00960AF8" w:rsidRPr="00F05FE9">
        <w:rPr>
          <w:i/>
        </w:rPr>
        <w:t>Q</w:t>
      </w:r>
      <w:r w:rsidR="00C46525" w:rsidRPr="00F05FE9">
        <w:rPr>
          <w:i/>
        </w:rPr>
        <w:t xml:space="preserve"> </w:t>
      </w:r>
      <w:r w:rsidR="00C46525" w:rsidRPr="00F05FE9">
        <w:t xml:space="preserve">to respect </w:t>
      </w:r>
      <w:r w:rsidR="000C79D5" w:rsidRPr="00F05FE9">
        <w:rPr>
          <w:i/>
        </w:rPr>
        <w:t>P</w:t>
      </w:r>
      <w:r w:rsidR="00C46525" w:rsidRPr="00F05FE9">
        <w:t xml:space="preserve">’s refusal of LPT, such </w:t>
      </w:r>
      <w:r w:rsidR="00C46525" w:rsidRPr="00F05FE9">
        <w:lastRenderedPageBreak/>
        <w:t xml:space="preserve">that </w:t>
      </w:r>
      <w:r w:rsidR="000C79D5" w:rsidRPr="00F05FE9">
        <w:rPr>
          <w:i/>
        </w:rPr>
        <w:t>P</w:t>
      </w:r>
      <w:r w:rsidR="00C46525" w:rsidRPr="00F05FE9">
        <w:rPr>
          <w:i/>
        </w:rPr>
        <w:t xml:space="preserve"> </w:t>
      </w:r>
      <w:r w:rsidR="00C46525" w:rsidRPr="00F05FE9">
        <w:t xml:space="preserve">possesses </w:t>
      </w:r>
      <w:r w:rsidR="00C46525" w:rsidRPr="00F05FE9">
        <w:rPr>
          <w:i/>
        </w:rPr>
        <w:t>right D</w:t>
      </w:r>
      <w:r w:rsidR="00C46525" w:rsidRPr="00F05FE9">
        <w:rPr>
          <w:i/>
          <w:vertAlign w:val="subscript"/>
        </w:rPr>
        <w:t>R</w:t>
      </w:r>
      <w:r w:rsidR="00C46525" w:rsidRPr="00F05FE9">
        <w:t>. The interest theory</w:t>
      </w:r>
      <w:r w:rsidR="008146FC" w:rsidRPr="00F05FE9">
        <w:t xml:space="preserve">, </w:t>
      </w:r>
      <w:r w:rsidR="00573EB5" w:rsidRPr="00F05FE9">
        <w:t>together with the view that autonomy has intrinsic value</w:t>
      </w:r>
      <w:r w:rsidR="005E14D9" w:rsidRPr="00F05FE9">
        <w:t>,</w:t>
      </w:r>
      <w:r w:rsidR="004042B1" w:rsidRPr="00F05FE9">
        <w:t xml:space="preserve"> </w:t>
      </w:r>
      <w:r w:rsidR="00C46525" w:rsidRPr="00F05FE9">
        <w:t xml:space="preserve">implies that restricting </w:t>
      </w:r>
      <w:r w:rsidR="000C79D5" w:rsidRPr="00F05FE9">
        <w:rPr>
          <w:i/>
        </w:rPr>
        <w:t>P</w:t>
      </w:r>
      <w:r w:rsidR="00C46525" w:rsidRPr="00F05FE9">
        <w:t>’s freedom to refuse of LPT in the absence of other morally relevant considerations is disproportionate.</w:t>
      </w:r>
    </w:p>
    <w:p w14:paraId="1AB0A8B7" w14:textId="77777777" w:rsidR="00FE7D5E" w:rsidRPr="00F05FE9" w:rsidRDefault="001D455E" w:rsidP="003D725F">
      <w:pPr>
        <w:pStyle w:val="Body"/>
        <w:spacing w:line="276" w:lineRule="auto"/>
        <w:jc w:val="left"/>
      </w:pPr>
      <w:r w:rsidRPr="00F05FE9">
        <w:t xml:space="preserve">The next stage in our proportionality exercise requires </w:t>
      </w:r>
      <w:r w:rsidR="0095516C" w:rsidRPr="00F05FE9">
        <w:t>‘b</w:t>
      </w:r>
      <w:r w:rsidRPr="00F05FE9">
        <w:t>alancing</w:t>
      </w:r>
      <w:r w:rsidR="0095516C" w:rsidRPr="00F05FE9">
        <w:t xml:space="preserve">’ autonomy against </w:t>
      </w:r>
      <w:r w:rsidR="004A3E8B" w:rsidRPr="00F05FE9">
        <w:t>the relevant article 8(2) ECHR ‘legitimate aims’ identified earlier—welfare, morals, and the interests of others</w:t>
      </w:r>
      <w:r w:rsidRPr="00F05FE9">
        <w:t>.</w:t>
      </w:r>
      <w:r w:rsidR="005F3ACB" w:rsidRPr="00F05FE9">
        <w:rPr>
          <w:rStyle w:val="FootnoteReference"/>
        </w:rPr>
        <w:footnoteReference w:id="59"/>
      </w:r>
      <w:r w:rsidRPr="00F05FE9">
        <w:t xml:space="preserve"> </w:t>
      </w:r>
      <w:bookmarkStart w:id="26" w:name="hn_Welfare"/>
      <w:bookmarkEnd w:id="26"/>
    </w:p>
    <w:p w14:paraId="696D84AB" w14:textId="5D016C9D" w:rsidR="00C46525" w:rsidRPr="00F05FE9" w:rsidRDefault="00C46525" w:rsidP="003D725F">
      <w:pPr>
        <w:pStyle w:val="Heading4"/>
      </w:pPr>
      <w:r w:rsidRPr="00F05FE9">
        <w:t>Welfare</w:t>
      </w:r>
    </w:p>
    <w:p w14:paraId="6DBE9ED7" w14:textId="6A171906" w:rsidR="00B555C9" w:rsidRPr="00F05FE9" w:rsidRDefault="00C46525" w:rsidP="003D725F">
      <w:pPr>
        <w:pStyle w:val="Body"/>
        <w:spacing w:line="276" w:lineRule="auto"/>
        <w:jc w:val="left"/>
      </w:pPr>
      <w:r w:rsidRPr="00F05FE9">
        <w:t xml:space="preserve">Unless we commit to a theory of prudential value according to which being alive always equates to faring well, paternalistic considerations cannot support the argument that </w:t>
      </w:r>
      <w:r w:rsidR="000C79D5" w:rsidRPr="00F05FE9">
        <w:rPr>
          <w:i/>
        </w:rPr>
        <w:t>P</w:t>
      </w:r>
      <w:r w:rsidRPr="00F05FE9">
        <w:t xml:space="preserve"> never possesses </w:t>
      </w:r>
      <w:r w:rsidRPr="00F05FE9">
        <w:rPr>
          <w:i/>
        </w:rPr>
        <w:t>right D</w:t>
      </w:r>
      <w:r w:rsidRPr="00F05FE9">
        <w:rPr>
          <w:i/>
          <w:vertAlign w:val="subscript"/>
        </w:rPr>
        <w:t>R</w:t>
      </w:r>
      <w:r w:rsidRPr="00F05FE9">
        <w:t xml:space="preserve">. All else being equal, if </w:t>
      </w:r>
      <w:r w:rsidR="000C79D5" w:rsidRPr="00F05FE9">
        <w:rPr>
          <w:i/>
        </w:rPr>
        <w:t>P</w:t>
      </w:r>
      <w:r w:rsidRPr="00F05FE9">
        <w:t xml:space="preserve"> is reasonably expected to experience surplus suffering, welfare considerations do not count against the existence of </w:t>
      </w:r>
      <w:r w:rsidRPr="00F05FE9">
        <w:rPr>
          <w:i/>
        </w:rPr>
        <w:t>right D</w:t>
      </w:r>
      <w:r w:rsidRPr="00F05FE9">
        <w:rPr>
          <w:i/>
          <w:vertAlign w:val="subscript"/>
        </w:rPr>
        <w:t>R</w:t>
      </w:r>
      <w:r w:rsidRPr="00F05FE9">
        <w:t xml:space="preserve">. However, the paternalist might concede that </w:t>
      </w:r>
      <w:r w:rsidR="000C79D5" w:rsidRPr="00F05FE9">
        <w:rPr>
          <w:i/>
        </w:rPr>
        <w:t>P</w:t>
      </w:r>
      <w:r w:rsidRPr="00F05FE9">
        <w:t xml:space="preserve"> possesses </w:t>
      </w:r>
      <w:r w:rsidRPr="00F05FE9">
        <w:rPr>
          <w:i/>
        </w:rPr>
        <w:t>right D</w:t>
      </w:r>
      <w:r w:rsidRPr="00F05FE9">
        <w:rPr>
          <w:i/>
          <w:vertAlign w:val="subscript"/>
        </w:rPr>
        <w:t>R</w:t>
      </w:r>
      <w:r w:rsidRPr="00F05FE9">
        <w:t xml:space="preserve"> </w:t>
      </w:r>
      <w:r w:rsidRPr="00F05FE9">
        <w:rPr>
          <w:i/>
        </w:rPr>
        <w:t>unless</w:t>
      </w:r>
      <w:r w:rsidRPr="00F05FE9">
        <w:t xml:space="preserve"> </w:t>
      </w:r>
      <w:r w:rsidR="000C79D5" w:rsidRPr="00F05FE9">
        <w:rPr>
          <w:i/>
        </w:rPr>
        <w:t>P</w:t>
      </w:r>
      <w:r w:rsidRPr="00F05FE9">
        <w:t xml:space="preserve"> is expected to fare well on balance in the future, in which case </w:t>
      </w:r>
      <w:r w:rsidR="000C79D5" w:rsidRPr="00F05FE9">
        <w:rPr>
          <w:i/>
        </w:rPr>
        <w:t>P</w:t>
      </w:r>
      <w:r w:rsidRPr="00F05FE9">
        <w:t xml:space="preserve">’s interest in welfare permits </w:t>
      </w:r>
      <w:r w:rsidR="00BF7E51" w:rsidRPr="00F05FE9">
        <w:rPr>
          <w:i/>
        </w:rPr>
        <w:t>Q</w:t>
      </w:r>
      <w:r w:rsidRPr="00F05FE9">
        <w:t xml:space="preserve"> not to respect </w:t>
      </w:r>
      <w:r w:rsidR="000C79D5" w:rsidRPr="00F05FE9">
        <w:rPr>
          <w:i/>
        </w:rPr>
        <w:t>P</w:t>
      </w:r>
      <w:r w:rsidRPr="00F05FE9">
        <w:t xml:space="preserve">’s autonomous refusal of LPT. The claim is therefore that </w:t>
      </w:r>
      <w:r w:rsidR="000C79D5" w:rsidRPr="00F05FE9">
        <w:rPr>
          <w:i/>
        </w:rPr>
        <w:t>P</w:t>
      </w:r>
      <w:r w:rsidRPr="00F05FE9">
        <w:t xml:space="preserve"> possesses a </w:t>
      </w:r>
      <w:r w:rsidRPr="00F05FE9">
        <w:lastRenderedPageBreak/>
        <w:t xml:space="preserve">substantively qualified </w:t>
      </w:r>
      <w:r w:rsidRPr="00F05FE9">
        <w:rPr>
          <w:i/>
        </w:rPr>
        <w:t>right D</w:t>
      </w:r>
      <w:r w:rsidRPr="00F05FE9">
        <w:rPr>
          <w:i/>
          <w:vertAlign w:val="subscript"/>
        </w:rPr>
        <w:t>R</w:t>
      </w:r>
      <w:r w:rsidRPr="00F05FE9">
        <w:rPr>
          <w:i/>
        </w:rPr>
        <w:t xml:space="preserve"> </w:t>
      </w:r>
      <w:r w:rsidRPr="00F05FE9">
        <w:t xml:space="preserve">because </w:t>
      </w:r>
      <w:r w:rsidR="00BF7E51" w:rsidRPr="00F05FE9">
        <w:rPr>
          <w:i/>
        </w:rPr>
        <w:t>Q</w:t>
      </w:r>
      <w:r w:rsidRPr="00F05FE9">
        <w:t xml:space="preserve">’s reasons to promote </w:t>
      </w:r>
      <w:r w:rsidR="000C79D5" w:rsidRPr="00F05FE9">
        <w:rPr>
          <w:i/>
        </w:rPr>
        <w:t>P</w:t>
      </w:r>
      <w:r w:rsidRPr="00F05FE9">
        <w:t>’s welfare are stronger than those to respect her autonomy.</w:t>
      </w:r>
    </w:p>
    <w:p w14:paraId="44E0861B" w14:textId="4140ED7C" w:rsidR="00B555C9" w:rsidRPr="00F05FE9" w:rsidRDefault="00E76FDF" w:rsidP="003D725F">
      <w:pPr>
        <w:pStyle w:val="Body"/>
        <w:spacing w:line="276" w:lineRule="auto"/>
        <w:jc w:val="left"/>
      </w:pPr>
      <w:r w:rsidRPr="00F05FE9">
        <w:t xml:space="preserve">If the value of autonomy merely </w:t>
      </w:r>
      <w:r w:rsidR="00AF3197" w:rsidRPr="00F05FE9">
        <w:t>derives from i</w:t>
      </w:r>
      <w:r w:rsidR="00382ED1" w:rsidRPr="00F05FE9">
        <w:t xml:space="preserve">ts </w:t>
      </w:r>
      <w:r w:rsidRPr="00F05FE9">
        <w:t xml:space="preserve">instrumental contribution </w:t>
      </w:r>
      <w:r w:rsidR="00382ED1" w:rsidRPr="00F05FE9">
        <w:t>to</w:t>
      </w:r>
      <w:r w:rsidRPr="00F05FE9">
        <w:t xml:space="preserve"> welfare</w:t>
      </w:r>
      <w:r w:rsidR="00AF3197" w:rsidRPr="00F05FE9">
        <w:t xml:space="preserve">, </w:t>
      </w:r>
      <w:r w:rsidR="004E16DA" w:rsidRPr="00F05FE9">
        <w:t xml:space="preserve">it </w:t>
      </w:r>
      <w:r w:rsidR="003C3531" w:rsidRPr="00F05FE9">
        <w:t xml:space="preserve">may seem to </w:t>
      </w:r>
      <w:r w:rsidR="004E16DA" w:rsidRPr="00F05FE9">
        <w:t>follow that</w:t>
      </w:r>
      <w:r w:rsidR="00AF3197" w:rsidRPr="00F05FE9">
        <w:t xml:space="preserve"> when respecting </w:t>
      </w:r>
      <w:r w:rsidR="000C79D5" w:rsidRPr="00F05FE9">
        <w:rPr>
          <w:i/>
        </w:rPr>
        <w:t>P</w:t>
      </w:r>
      <w:r w:rsidR="00AF3197" w:rsidRPr="00F05FE9">
        <w:t>’s autonomy fails to promote her welfare, autonomy has no value</w:t>
      </w:r>
      <w:r w:rsidR="00122D6A" w:rsidRPr="00F05FE9">
        <w:t xml:space="preserve">. </w:t>
      </w:r>
      <w:r w:rsidR="00C52296" w:rsidRPr="00F05FE9">
        <w:t>T</w:t>
      </w:r>
      <w:r w:rsidR="00E93475" w:rsidRPr="00F05FE9">
        <w:t>herefore, i</w:t>
      </w:r>
      <w:r w:rsidR="00122D6A" w:rsidRPr="00F05FE9">
        <w:t xml:space="preserve">n circumstances when respect for </w:t>
      </w:r>
      <w:r w:rsidR="000D7B21" w:rsidRPr="00F05FE9">
        <w:t xml:space="preserve">a refusal of LPT </w:t>
      </w:r>
      <w:r w:rsidR="00122D6A" w:rsidRPr="00F05FE9">
        <w:t xml:space="preserve">is inconsistent with </w:t>
      </w:r>
      <w:r w:rsidR="000C79D5" w:rsidRPr="00F05FE9">
        <w:rPr>
          <w:i/>
        </w:rPr>
        <w:t>P</w:t>
      </w:r>
      <w:r w:rsidR="00122D6A" w:rsidRPr="00F05FE9">
        <w:t>’s welfare,</w:t>
      </w:r>
      <w:r w:rsidR="00F95B16" w:rsidRPr="00F05FE9">
        <w:t xml:space="preserve"> </w:t>
      </w:r>
      <w:r w:rsidR="00122D6A" w:rsidRPr="00F05FE9">
        <w:t xml:space="preserve">there </w:t>
      </w:r>
      <w:r w:rsidR="00C34C91" w:rsidRPr="00F05FE9">
        <w:t xml:space="preserve">can be </w:t>
      </w:r>
      <w:r w:rsidR="00122D6A" w:rsidRPr="00F05FE9">
        <w:t xml:space="preserve">no </w:t>
      </w:r>
      <w:r w:rsidR="00CA0E2D" w:rsidRPr="00F05FE9">
        <w:rPr>
          <w:i/>
        </w:rPr>
        <w:t>right D</w:t>
      </w:r>
      <w:r w:rsidR="00CA0E2D" w:rsidRPr="00F05FE9">
        <w:rPr>
          <w:i/>
          <w:vertAlign w:val="subscript"/>
        </w:rPr>
        <w:t>R</w:t>
      </w:r>
      <w:r w:rsidR="00CA0E2D" w:rsidRPr="00F05FE9">
        <w:t>.</w:t>
      </w:r>
      <w:r w:rsidR="001518A8" w:rsidRPr="00F05FE9">
        <w:t xml:space="preserve"> However, this conclusion is </w:t>
      </w:r>
      <w:r w:rsidR="00535B20" w:rsidRPr="00F05FE9">
        <w:t xml:space="preserve">somewhat </w:t>
      </w:r>
      <w:r w:rsidR="001518A8" w:rsidRPr="00F05FE9">
        <w:t>hasty.</w:t>
      </w:r>
      <w:r w:rsidR="0057221C" w:rsidRPr="00F05FE9">
        <w:t xml:space="preserve"> </w:t>
      </w:r>
      <w:r w:rsidR="00907688" w:rsidRPr="00F05FE9">
        <w:t xml:space="preserve">We might nevertheless </w:t>
      </w:r>
      <w:r w:rsidR="00733FC5" w:rsidRPr="00F05FE9">
        <w:t xml:space="preserve">be required </w:t>
      </w:r>
      <w:r w:rsidR="00E652B4" w:rsidRPr="00F05FE9">
        <w:t xml:space="preserve">to </w:t>
      </w:r>
      <w:r w:rsidR="005A60C0" w:rsidRPr="00F05FE9">
        <w:t xml:space="preserve">respect </w:t>
      </w:r>
      <w:r w:rsidR="000C79D5" w:rsidRPr="00F05FE9">
        <w:rPr>
          <w:i/>
        </w:rPr>
        <w:t>P</w:t>
      </w:r>
      <w:r w:rsidR="00BA7701" w:rsidRPr="00F05FE9">
        <w:t xml:space="preserve">’s </w:t>
      </w:r>
      <w:r w:rsidR="005A60C0" w:rsidRPr="00F05FE9">
        <w:t>autonomy all the time for certain situation</w:t>
      </w:r>
      <w:r w:rsidR="005A74AE" w:rsidRPr="00F05FE9">
        <w:t>-</w:t>
      </w:r>
      <w:r w:rsidR="005A60C0" w:rsidRPr="00F05FE9">
        <w:t xml:space="preserve">types, notwithstanding that respecting autonomy would not promote </w:t>
      </w:r>
      <w:r w:rsidR="000C79D5" w:rsidRPr="00F05FE9">
        <w:rPr>
          <w:i/>
        </w:rPr>
        <w:t>P</w:t>
      </w:r>
      <w:r w:rsidR="00F143E1" w:rsidRPr="00F05FE9">
        <w:t xml:space="preserve">’s </w:t>
      </w:r>
      <w:r w:rsidR="005A60C0" w:rsidRPr="00F05FE9">
        <w:t xml:space="preserve">welfare in </w:t>
      </w:r>
      <w:r w:rsidR="0039568B" w:rsidRPr="00F05FE9">
        <w:t xml:space="preserve">certain </w:t>
      </w:r>
      <w:r w:rsidR="00FA5534" w:rsidRPr="00F05FE9">
        <w:t>situation-</w:t>
      </w:r>
      <w:r w:rsidR="005A60C0" w:rsidRPr="00F05FE9">
        <w:t>tokens.</w:t>
      </w:r>
      <w:r w:rsidR="00E20788" w:rsidRPr="00F05FE9">
        <w:t xml:space="preserve"> </w:t>
      </w:r>
      <w:proofErr w:type="gramStart"/>
      <w:r w:rsidR="00E20788" w:rsidRPr="00F05FE9">
        <w:t>Thus</w:t>
      </w:r>
      <w:proofErr w:type="gramEnd"/>
      <w:r w:rsidR="00E20788" w:rsidRPr="00F05FE9">
        <w:t xml:space="preserve"> </w:t>
      </w:r>
      <w:r w:rsidR="00E20788" w:rsidRPr="00F05FE9">
        <w:rPr>
          <w:i/>
        </w:rPr>
        <w:t>right D</w:t>
      </w:r>
      <w:r w:rsidR="00E20788" w:rsidRPr="00F05FE9">
        <w:rPr>
          <w:i/>
          <w:vertAlign w:val="subscript"/>
        </w:rPr>
        <w:t>R</w:t>
      </w:r>
      <w:r w:rsidR="00790080" w:rsidRPr="00F05FE9">
        <w:t xml:space="preserve"> </w:t>
      </w:r>
      <w:r w:rsidR="00A23030" w:rsidRPr="00F05FE9">
        <w:t>may</w:t>
      </w:r>
      <w:r w:rsidR="00790080" w:rsidRPr="00F05FE9">
        <w:t xml:space="preserve"> </w:t>
      </w:r>
      <w:r w:rsidR="00D02C29" w:rsidRPr="00F05FE9">
        <w:t>extend</w:t>
      </w:r>
      <w:r w:rsidR="00390FE5" w:rsidRPr="00F05FE9">
        <w:t xml:space="preserve"> to </w:t>
      </w:r>
      <w:r w:rsidR="00790080" w:rsidRPr="00F05FE9">
        <w:t>all refusals of LPT</w:t>
      </w:r>
      <w:r w:rsidR="00E20788" w:rsidRPr="00F05FE9">
        <w:t xml:space="preserve">, notwithstanding that some </w:t>
      </w:r>
      <w:r w:rsidR="00790080" w:rsidRPr="00F05FE9">
        <w:t xml:space="preserve">such </w:t>
      </w:r>
      <w:r w:rsidR="00E20788" w:rsidRPr="00F05FE9">
        <w:t xml:space="preserve">refusals </w:t>
      </w:r>
      <w:r w:rsidR="00790080" w:rsidRPr="00F05FE9">
        <w:t xml:space="preserve">would be </w:t>
      </w:r>
      <w:r w:rsidR="00E20788" w:rsidRPr="00F05FE9">
        <w:t xml:space="preserve">inconsistent with </w:t>
      </w:r>
      <w:r w:rsidR="000C79D5" w:rsidRPr="00F05FE9">
        <w:rPr>
          <w:i/>
        </w:rPr>
        <w:t>P</w:t>
      </w:r>
      <w:r w:rsidR="00E20788" w:rsidRPr="00F05FE9">
        <w:t>’s welfare.</w:t>
      </w:r>
    </w:p>
    <w:p w14:paraId="74859824" w14:textId="3AD35CDF" w:rsidR="00B555C9" w:rsidRPr="00F05FE9" w:rsidRDefault="0049154D" w:rsidP="003D725F">
      <w:pPr>
        <w:pStyle w:val="Body"/>
        <w:spacing w:line="276" w:lineRule="auto"/>
        <w:jc w:val="left"/>
      </w:pPr>
      <w:r w:rsidRPr="00F05FE9">
        <w:t>T</w:t>
      </w:r>
      <w:r w:rsidR="005312BE" w:rsidRPr="00F05FE9">
        <w:t xml:space="preserve">he justification for </w:t>
      </w:r>
      <w:r w:rsidR="00224C69" w:rsidRPr="00F05FE9">
        <w:t xml:space="preserve">this approach to </w:t>
      </w:r>
      <w:r w:rsidR="005312BE" w:rsidRPr="00F05FE9">
        <w:rPr>
          <w:i/>
        </w:rPr>
        <w:t>right D</w:t>
      </w:r>
      <w:r w:rsidR="005312BE" w:rsidRPr="00F05FE9">
        <w:rPr>
          <w:i/>
          <w:vertAlign w:val="subscript"/>
        </w:rPr>
        <w:t>R</w:t>
      </w:r>
      <w:r w:rsidR="005312BE" w:rsidRPr="00F05FE9">
        <w:t xml:space="preserve"> </w:t>
      </w:r>
      <w:r w:rsidR="008A1137" w:rsidRPr="00F05FE9">
        <w:t>is</w:t>
      </w:r>
      <w:r w:rsidR="00DF457A" w:rsidRPr="00F05FE9">
        <w:t xml:space="preserve"> </w:t>
      </w:r>
      <w:r w:rsidR="00130E45" w:rsidRPr="00F05FE9">
        <w:t>twofold</w:t>
      </w:r>
      <w:r w:rsidR="005312BE" w:rsidRPr="00F05FE9">
        <w:t>.</w:t>
      </w:r>
      <w:r w:rsidR="00A151F2" w:rsidRPr="00F05FE9">
        <w:t xml:space="preserve"> </w:t>
      </w:r>
      <w:r w:rsidR="00DF457A" w:rsidRPr="00F05FE9">
        <w:t xml:space="preserve">First, </w:t>
      </w:r>
      <w:r w:rsidR="004D4B6B" w:rsidRPr="00F05FE9">
        <w:t xml:space="preserve">there may be </w:t>
      </w:r>
      <w:r w:rsidR="00DF457A" w:rsidRPr="00F05FE9">
        <w:t xml:space="preserve">epistemic uncertainty </w:t>
      </w:r>
      <w:r w:rsidR="008A75A7" w:rsidRPr="00F05FE9">
        <w:t xml:space="preserve">as to whether overriding </w:t>
      </w:r>
      <w:r w:rsidR="000C79D5" w:rsidRPr="00F05FE9">
        <w:rPr>
          <w:i/>
        </w:rPr>
        <w:t>P</w:t>
      </w:r>
      <w:r w:rsidR="008A75A7" w:rsidRPr="00F05FE9">
        <w:t xml:space="preserve">’s autonomous refusal </w:t>
      </w:r>
      <w:r w:rsidR="00E652B4" w:rsidRPr="00F05FE9">
        <w:t xml:space="preserve">will </w:t>
      </w:r>
      <w:r w:rsidR="008A75A7" w:rsidRPr="00F05FE9">
        <w:t>in fact promote her welfare</w:t>
      </w:r>
      <w:r w:rsidR="00F07961" w:rsidRPr="00F05FE9">
        <w:t>. This uncertainty has two face</w:t>
      </w:r>
      <w:r w:rsidR="00360BBC" w:rsidRPr="00F05FE9">
        <w:t>ts</w:t>
      </w:r>
      <w:r w:rsidR="0006597B" w:rsidRPr="00F05FE9">
        <w:t>:</w:t>
      </w:r>
      <w:r w:rsidR="00360BBC" w:rsidRPr="00F05FE9">
        <w:t xml:space="preserve"> </w:t>
      </w:r>
      <w:r w:rsidR="0006597B" w:rsidRPr="00F05FE9">
        <w:t>i</w:t>
      </w:r>
      <w:r w:rsidR="00F07961" w:rsidRPr="00F05FE9">
        <w:t xml:space="preserve">t may be difficult </w:t>
      </w:r>
      <w:r w:rsidR="00360BBC" w:rsidRPr="00F05FE9">
        <w:t xml:space="preserve">to predict the impact of interference with autonomy on any one individual’s welfare, given variations </w:t>
      </w:r>
      <w:r w:rsidR="0006597B" w:rsidRPr="00F05FE9">
        <w:t>between individuals in</w:t>
      </w:r>
      <w:r w:rsidR="0064784D" w:rsidRPr="00F05FE9">
        <w:t xml:space="preserve"> the</w:t>
      </w:r>
      <w:r w:rsidR="0006597B" w:rsidRPr="00F05FE9">
        <w:t xml:space="preserve"> experiential effects </w:t>
      </w:r>
      <w:r w:rsidR="0064784D" w:rsidRPr="00F05FE9">
        <w:t>of</w:t>
      </w:r>
      <w:r w:rsidR="008C60B9" w:rsidRPr="00F05FE9">
        <w:t xml:space="preserve"> such interference</w:t>
      </w:r>
      <w:r w:rsidR="0064784D" w:rsidRPr="00F05FE9">
        <w:t xml:space="preserve"> </w:t>
      </w:r>
      <w:r w:rsidR="001C4946" w:rsidRPr="00F05FE9">
        <w:t>or</w:t>
      </w:r>
      <w:r w:rsidR="0006597B" w:rsidRPr="00F05FE9">
        <w:t xml:space="preserve"> </w:t>
      </w:r>
      <w:r w:rsidR="00570EEB" w:rsidRPr="00F05FE9">
        <w:t xml:space="preserve">in their </w:t>
      </w:r>
      <w:r w:rsidR="0006597B" w:rsidRPr="00F05FE9">
        <w:t xml:space="preserve">preferences </w:t>
      </w:r>
      <w:r w:rsidR="00570EEB" w:rsidRPr="00F05FE9">
        <w:t>thereabout</w:t>
      </w:r>
      <w:r w:rsidR="0005210C" w:rsidRPr="00F05FE9">
        <w:t xml:space="preserve">, </w:t>
      </w:r>
      <w:r w:rsidR="00C65D03" w:rsidRPr="00F05FE9">
        <w:t>and</w:t>
      </w:r>
      <w:r w:rsidR="00EB760E" w:rsidRPr="00F05FE9">
        <w:t xml:space="preserve"> uncertainty</w:t>
      </w:r>
      <w:r w:rsidR="00D35514" w:rsidRPr="00F05FE9">
        <w:t xml:space="preserve"> </w:t>
      </w:r>
      <w:r w:rsidR="00C65D03" w:rsidRPr="00F05FE9">
        <w:t xml:space="preserve">about </w:t>
      </w:r>
      <w:r w:rsidR="00B52C08" w:rsidRPr="00F05FE9">
        <w:t>the</w:t>
      </w:r>
      <w:r w:rsidR="00EB760E" w:rsidRPr="00F05FE9">
        <w:t xml:space="preserve"> </w:t>
      </w:r>
      <w:r w:rsidR="00C65D03" w:rsidRPr="00F05FE9">
        <w:t xml:space="preserve">benefits </w:t>
      </w:r>
      <w:r w:rsidR="00EB760E" w:rsidRPr="00F05FE9">
        <w:t>of treatment</w:t>
      </w:r>
      <w:r w:rsidR="0006597B" w:rsidRPr="00F05FE9">
        <w:t xml:space="preserve">; welfare-promoting </w:t>
      </w:r>
      <w:r w:rsidR="008F18E7" w:rsidRPr="00F05FE9">
        <w:t xml:space="preserve">forced medical treatment may </w:t>
      </w:r>
      <w:r w:rsidR="00AC3254" w:rsidRPr="00F05FE9">
        <w:t xml:space="preserve">also </w:t>
      </w:r>
      <w:r w:rsidR="0099716A" w:rsidRPr="00F05FE9">
        <w:t xml:space="preserve">negatively affect </w:t>
      </w:r>
      <w:r w:rsidR="000C79D5" w:rsidRPr="00F05FE9">
        <w:rPr>
          <w:i/>
        </w:rPr>
        <w:t>P</w:t>
      </w:r>
      <w:r w:rsidR="0099716A" w:rsidRPr="00F05FE9">
        <w:t xml:space="preserve">’s welfare, insofar as it at minimum requires physical or psychological interference, and </w:t>
      </w:r>
      <w:r w:rsidR="00E22898" w:rsidRPr="00F05FE9">
        <w:t xml:space="preserve">potentially </w:t>
      </w:r>
      <w:r w:rsidR="0099716A" w:rsidRPr="00F05FE9">
        <w:t>physical restraint and deprivation of liberty.</w:t>
      </w:r>
      <w:r w:rsidR="00C03F84" w:rsidRPr="00F05FE9">
        <w:t xml:space="preserve"> </w:t>
      </w:r>
      <w:r w:rsidR="00E05B7A" w:rsidRPr="00F05FE9">
        <w:t xml:space="preserve">It is not </w:t>
      </w:r>
      <w:r w:rsidR="00FB7E7A" w:rsidRPr="00F05FE9">
        <w:t>implausible, therefore,</w:t>
      </w:r>
      <w:r w:rsidR="00E05B7A" w:rsidRPr="00F05FE9">
        <w:t xml:space="preserve"> that </w:t>
      </w:r>
      <w:r w:rsidR="00C03F84" w:rsidRPr="00F05FE9">
        <w:t xml:space="preserve">we would lack epistemic access to the answer whether </w:t>
      </w:r>
      <w:r w:rsidR="00FB7E7A" w:rsidRPr="00F05FE9">
        <w:t xml:space="preserve">intervention to override a refusal of LPT </w:t>
      </w:r>
      <w:r w:rsidR="00C03F84" w:rsidRPr="00F05FE9">
        <w:t xml:space="preserve">would </w:t>
      </w:r>
      <w:r w:rsidR="00E05B7A" w:rsidRPr="00F05FE9">
        <w:t xml:space="preserve">make </w:t>
      </w:r>
      <w:r w:rsidR="00D45CDF" w:rsidRPr="00F05FE9">
        <w:t xml:space="preserve">any one </w:t>
      </w:r>
      <w:r w:rsidR="000C79D5" w:rsidRPr="00F05FE9">
        <w:rPr>
          <w:i/>
        </w:rPr>
        <w:t>P</w:t>
      </w:r>
      <w:r w:rsidR="00E05B7A" w:rsidRPr="00F05FE9">
        <w:t xml:space="preserve"> </w:t>
      </w:r>
      <w:r w:rsidR="00C03F84" w:rsidRPr="00F05FE9">
        <w:t xml:space="preserve">fare better or </w:t>
      </w:r>
      <w:r w:rsidR="00E05B7A" w:rsidRPr="00F05FE9">
        <w:t>worse</w:t>
      </w:r>
      <w:r w:rsidR="00980371" w:rsidRPr="00F05FE9">
        <w:t>, prudentially speaking</w:t>
      </w:r>
      <w:r w:rsidR="00C03F84" w:rsidRPr="00F05FE9">
        <w:t>.</w:t>
      </w:r>
      <w:r w:rsidR="00815206" w:rsidRPr="00F05FE9">
        <w:t xml:space="preserve"> </w:t>
      </w:r>
      <w:r w:rsidR="00C03F84" w:rsidRPr="00F05FE9">
        <w:t xml:space="preserve">Faced with this uncertainty, we might </w:t>
      </w:r>
      <w:r w:rsidR="00C4084A" w:rsidRPr="00F05FE9">
        <w:t>therefore</w:t>
      </w:r>
      <w:r w:rsidR="0023087B" w:rsidRPr="00F05FE9">
        <w:t xml:space="preserve"> </w:t>
      </w:r>
      <w:r w:rsidR="00C03F84" w:rsidRPr="00F05FE9">
        <w:t xml:space="preserve">adopt a decision rule that denies that interference with </w:t>
      </w:r>
      <w:r w:rsidR="00D67773" w:rsidRPr="00F05FE9">
        <w:t xml:space="preserve">a refusal of LPT </w:t>
      </w:r>
      <w:r w:rsidR="00C03F84" w:rsidRPr="00F05FE9">
        <w:t>promotes welfare</w:t>
      </w:r>
      <w:r w:rsidR="0038161E" w:rsidRPr="00F05FE9">
        <w:t>.</w:t>
      </w:r>
      <w:r w:rsidR="00C03F84" w:rsidRPr="00F05FE9">
        <w:t xml:space="preserve"> </w:t>
      </w:r>
      <w:r w:rsidR="00130E45" w:rsidRPr="00F05FE9">
        <w:t xml:space="preserve">Second, </w:t>
      </w:r>
      <w:r w:rsidR="0027628C" w:rsidRPr="00F05FE9">
        <w:t xml:space="preserve">were we to second-guess individuals’ autonomous decisions, this might undermine autonomy’s contribution to prudential </w:t>
      </w:r>
      <w:r w:rsidR="00605B1E" w:rsidRPr="00F05FE9">
        <w:t>good</w:t>
      </w:r>
      <w:r w:rsidR="00B70D1A" w:rsidRPr="00F05FE9">
        <w:t xml:space="preserve"> in general. </w:t>
      </w:r>
      <w:r w:rsidR="003F72C3" w:rsidRPr="00F05FE9">
        <w:t xml:space="preserve">There may be welfare-relevant instrumental value in allowing individuals to </w:t>
      </w:r>
      <w:r w:rsidR="00D607B0" w:rsidRPr="00F05FE9">
        <w:t>decide for themselves</w:t>
      </w:r>
      <w:r w:rsidR="003F72C3" w:rsidRPr="00F05FE9">
        <w:t xml:space="preserve">, notwithstanding that a </w:t>
      </w:r>
      <w:proofErr w:type="gramStart"/>
      <w:r w:rsidR="003F72C3" w:rsidRPr="00F05FE9">
        <w:t>particular decision</w:t>
      </w:r>
      <w:proofErr w:type="gramEnd"/>
      <w:r w:rsidR="003F72C3" w:rsidRPr="00F05FE9">
        <w:t xml:space="preserve"> may (or will) fail to </w:t>
      </w:r>
      <w:r w:rsidR="000262BD" w:rsidRPr="00F05FE9">
        <w:t>exert</w:t>
      </w:r>
      <w:r w:rsidR="003F72C3" w:rsidRPr="00F05FE9">
        <w:t xml:space="preserve"> a positive influence on an individual’s welfare</w:t>
      </w:r>
      <w:r w:rsidR="00400E9A" w:rsidRPr="00F05FE9">
        <w:t xml:space="preserve">, </w:t>
      </w:r>
      <w:r w:rsidR="00985C3A" w:rsidRPr="00F05FE9">
        <w:t xml:space="preserve">or </w:t>
      </w:r>
      <w:r w:rsidR="00927CA7" w:rsidRPr="00F05FE9">
        <w:t xml:space="preserve">cause </w:t>
      </w:r>
      <w:r w:rsidR="00400E9A" w:rsidRPr="00F05FE9">
        <w:t>the total loss of capacity for welfare</w:t>
      </w:r>
      <w:r w:rsidR="00400E9A" w:rsidRPr="00222C74">
        <w:t>—</w:t>
      </w:r>
      <w:r w:rsidR="00400E9A" w:rsidRPr="00F05FE9">
        <w:t>death.</w:t>
      </w:r>
      <w:r w:rsidR="001E53DF" w:rsidRPr="00F05FE9">
        <w:t xml:space="preserve"> </w:t>
      </w:r>
      <w:proofErr w:type="gramStart"/>
      <w:r w:rsidR="001E53DF" w:rsidRPr="00F05FE9">
        <w:t>Thus</w:t>
      </w:r>
      <w:proofErr w:type="gramEnd"/>
      <w:r w:rsidR="001E53DF" w:rsidRPr="00F05FE9">
        <w:t xml:space="preserve"> considerations of prudential </w:t>
      </w:r>
      <w:r w:rsidR="00964C76" w:rsidRPr="00F05FE9">
        <w:t xml:space="preserve">good </w:t>
      </w:r>
      <w:r w:rsidR="001E53DF" w:rsidRPr="00F05FE9">
        <w:t xml:space="preserve">may not provide ground for substantive limitation of </w:t>
      </w:r>
      <w:r w:rsidR="001E53DF" w:rsidRPr="00F05FE9">
        <w:rPr>
          <w:i/>
        </w:rPr>
        <w:t>right D</w:t>
      </w:r>
      <w:r w:rsidR="001E53DF" w:rsidRPr="00F05FE9">
        <w:rPr>
          <w:i/>
          <w:vertAlign w:val="subscript"/>
        </w:rPr>
        <w:t>R</w:t>
      </w:r>
      <w:r w:rsidR="001E53DF" w:rsidRPr="00F05FE9">
        <w:t xml:space="preserve">, </w:t>
      </w:r>
      <w:r w:rsidR="005715CB" w:rsidRPr="00F05FE9">
        <w:t xml:space="preserve">even if </w:t>
      </w:r>
      <w:r w:rsidR="001E53DF" w:rsidRPr="00F05FE9">
        <w:t xml:space="preserve">autonomy </w:t>
      </w:r>
      <w:r w:rsidR="00705522" w:rsidRPr="00F05FE9">
        <w:t xml:space="preserve">is valuable only as </w:t>
      </w:r>
      <w:r w:rsidR="00B3569B" w:rsidRPr="00F05FE9">
        <w:t xml:space="preserve">a contributor </w:t>
      </w:r>
      <w:r w:rsidR="001E53DF" w:rsidRPr="00F05FE9">
        <w:t>to welfare.</w:t>
      </w:r>
    </w:p>
    <w:p w14:paraId="442A9138" w14:textId="165851DD" w:rsidR="00B555C9" w:rsidRPr="00F05FE9" w:rsidRDefault="00C23E79" w:rsidP="003D725F">
      <w:pPr>
        <w:pStyle w:val="Body"/>
        <w:spacing w:line="276" w:lineRule="auto"/>
        <w:jc w:val="left"/>
        <w:rPr>
          <w:i/>
        </w:rPr>
      </w:pPr>
      <w:r w:rsidRPr="00F05FE9">
        <w:lastRenderedPageBreak/>
        <w:t xml:space="preserve">If autonomy has intrinsic value </w:t>
      </w:r>
      <w:r w:rsidR="00746BE3" w:rsidRPr="00F05FE9">
        <w:t>in addition to instrumental value,</w:t>
      </w:r>
      <w:bookmarkStart w:id="27" w:name="_Ref497764206"/>
      <w:r w:rsidR="003A5CBA" w:rsidRPr="00F05FE9">
        <w:rPr>
          <w:rStyle w:val="FootnoteReference"/>
        </w:rPr>
        <w:footnoteReference w:id="60"/>
      </w:r>
      <w:bookmarkEnd w:id="27"/>
      <w:r w:rsidR="00746BE3" w:rsidRPr="00F05FE9">
        <w:t xml:space="preserve"> the wrong that results from violating </w:t>
      </w:r>
      <w:r w:rsidR="000C79D5" w:rsidRPr="00F05FE9">
        <w:rPr>
          <w:i/>
        </w:rPr>
        <w:t>P</w:t>
      </w:r>
      <w:r w:rsidR="00746BE3" w:rsidRPr="00F05FE9">
        <w:t xml:space="preserve">’s autonomy adds moral cost </w:t>
      </w:r>
      <w:r w:rsidR="003F2283" w:rsidRPr="00F05FE9">
        <w:t>to</w:t>
      </w:r>
      <w:r w:rsidR="00746BE3" w:rsidRPr="00F05FE9">
        <w:t xml:space="preserve"> non-respect for a refusal of LPT.</w:t>
      </w:r>
      <w:r w:rsidR="00755C68" w:rsidRPr="00F05FE9">
        <w:t xml:space="preserve"> </w:t>
      </w:r>
      <w:r w:rsidR="003F2283" w:rsidRPr="00F05FE9">
        <w:t xml:space="preserve">Whether the </w:t>
      </w:r>
      <w:r w:rsidR="00843533" w:rsidRPr="00F05FE9">
        <w:t>violation</w:t>
      </w:r>
      <w:r w:rsidR="003F2283" w:rsidRPr="00F05FE9">
        <w:t xml:space="preserve"> </w:t>
      </w:r>
      <w:r w:rsidR="00AF1478" w:rsidRPr="00F05FE9">
        <w:t xml:space="preserve">of </w:t>
      </w:r>
      <w:r w:rsidR="003F2283" w:rsidRPr="00F05FE9">
        <w:t xml:space="preserve">autonomy operates </w:t>
      </w:r>
      <w:r w:rsidR="000F6EDA" w:rsidRPr="00F05FE9">
        <w:t>to</w:t>
      </w:r>
      <w:r w:rsidR="003F2283" w:rsidRPr="00F05FE9">
        <w:t xml:space="preserve"> </w:t>
      </w:r>
      <w:r w:rsidR="0092564C" w:rsidRPr="00F05FE9">
        <w:t xml:space="preserve">trump </w:t>
      </w:r>
      <w:r w:rsidR="000C79D5" w:rsidRPr="00F05FE9">
        <w:rPr>
          <w:i/>
        </w:rPr>
        <w:t>P</w:t>
      </w:r>
      <w:r w:rsidR="0092564C" w:rsidRPr="00F05FE9">
        <w:t>’s interest in welfare</w:t>
      </w:r>
      <w:r w:rsidR="0019052D" w:rsidRPr="00F05FE9">
        <w:t xml:space="preserve">—and thereby defeat any </w:t>
      </w:r>
      <w:r w:rsidR="00E9500B" w:rsidRPr="00F05FE9">
        <w:t>welfare-</w:t>
      </w:r>
      <w:r w:rsidR="00D02D32" w:rsidRPr="00F05FE9">
        <w:t>driven</w:t>
      </w:r>
      <w:r w:rsidR="00E9500B" w:rsidRPr="00F05FE9">
        <w:t xml:space="preserve"> limitation of </w:t>
      </w:r>
      <w:r w:rsidR="00E9500B" w:rsidRPr="00F05FE9">
        <w:rPr>
          <w:i/>
        </w:rPr>
        <w:t>right D</w:t>
      </w:r>
      <w:r w:rsidR="00E9500B" w:rsidRPr="00F05FE9">
        <w:rPr>
          <w:i/>
          <w:vertAlign w:val="subscript"/>
        </w:rPr>
        <w:t>R</w:t>
      </w:r>
      <w:r w:rsidR="00E9500B" w:rsidRPr="00F05FE9">
        <w:t>—</w:t>
      </w:r>
      <w:r w:rsidR="00EE4DD3" w:rsidRPr="00F05FE9">
        <w:t xml:space="preserve">will </w:t>
      </w:r>
      <w:r w:rsidR="000F6EDA" w:rsidRPr="00F05FE9">
        <w:t>depend on the relative intrinsic value of autonomy (</w:t>
      </w:r>
      <w:r w:rsidR="00FF5D8C" w:rsidRPr="00F05FE9">
        <w:t xml:space="preserve">and </w:t>
      </w:r>
      <w:r w:rsidR="00EE4DD3" w:rsidRPr="00F05FE9">
        <w:t>values</w:t>
      </w:r>
      <w:r w:rsidR="00FA54CA" w:rsidRPr="00F05FE9">
        <w:t xml:space="preserve"> </w:t>
      </w:r>
      <w:r w:rsidR="00EE4DD3" w:rsidRPr="00F05FE9">
        <w:t xml:space="preserve">such as </w:t>
      </w:r>
      <w:r w:rsidR="000F6EDA" w:rsidRPr="00F05FE9">
        <w:t>agency)</w:t>
      </w:r>
      <w:r w:rsidR="00EE4DD3" w:rsidRPr="00F05FE9">
        <w:rPr>
          <w:rStyle w:val="FootnoteReference"/>
          <w:rFonts w:eastAsia="Garamond" w:cs="Garamond"/>
          <w:color w:val="000000"/>
        </w:rPr>
        <w:footnoteReference w:id="61"/>
      </w:r>
      <w:r w:rsidR="00B966AF" w:rsidRPr="00F05FE9">
        <w:t xml:space="preserve"> and welfare. </w:t>
      </w:r>
      <w:r w:rsidR="00944B4A" w:rsidRPr="00F05FE9">
        <w:t xml:space="preserve">However, following John Stuart Mill </w:t>
      </w:r>
      <w:r w:rsidR="009D359A" w:rsidRPr="00F05FE9">
        <w:t xml:space="preserve">one </w:t>
      </w:r>
      <w:r w:rsidR="00944B4A" w:rsidRPr="00F05FE9">
        <w:t xml:space="preserve">might </w:t>
      </w:r>
      <w:r w:rsidR="008E21D0" w:rsidRPr="00F05FE9">
        <w:t xml:space="preserve">also </w:t>
      </w:r>
      <w:r w:rsidR="00944B4A" w:rsidRPr="00F05FE9">
        <w:t xml:space="preserve">argue that </w:t>
      </w:r>
      <w:r w:rsidR="008E21D0" w:rsidRPr="00F05FE9">
        <w:t>autonomy (or ‘individuality’) is ‘one of the elements of well-being’.</w:t>
      </w:r>
      <w:bookmarkStart w:id="28" w:name="_Ref497762826"/>
      <w:r w:rsidR="003C3555" w:rsidRPr="00F05FE9">
        <w:rPr>
          <w:rStyle w:val="FootnoteReference"/>
          <w:rFonts w:eastAsia="Garamond" w:cs="Garamond"/>
          <w:color w:val="000000"/>
        </w:rPr>
        <w:footnoteReference w:id="62"/>
      </w:r>
      <w:bookmarkEnd w:id="28"/>
      <w:r w:rsidR="008E21D0" w:rsidRPr="00F05FE9">
        <w:t xml:space="preserve"> </w:t>
      </w:r>
      <w:r w:rsidR="00110B4D" w:rsidRPr="00F05FE9">
        <w:t>Accordingly</w:t>
      </w:r>
      <w:r w:rsidR="00A7258B" w:rsidRPr="00F05FE9">
        <w:t xml:space="preserve">, </w:t>
      </w:r>
      <w:r w:rsidR="00912C8B" w:rsidRPr="00F05FE9">
        <w:t xml:space="preserve">every violation of autonomy results in a </w:t>
      </w:r>
      <w:r w:rsidR="00110B4D" w:rsidRPr="00F05FE9">
        <w:t xml:space="preserve">pro </w:t>
      </w:r>
      <w:proofErr w:type="spellStart"/>
      <w:r w:rsidR="00110B4D" w:rsidRPr="00F05FE9">
        <w:t>tanto</w:t>
      </w:r>
      <w:proofErr w:type="spellEnd"/>
      <w:r w:rsidR="00110B4D" w:rsidRPr="00F05FE9">
        <w:t xml:space="preserve"> </w:t>
      </w:r>
      <w:r w:rsidR="00912C8B" w:rsidRPr="00F05FE9">
        <w:t>diminishment of welfare</w:t>
      </w:r>
      <w:r w:rsidR="00110B4D" w:rsidRPr="00F05FE9">
        <w:t xml:space="preserve">. </w:t>
      </w:r>
      <w:r w:rsidR="009D6A28" w:rsidRPr="00F05FE9">
        <w:t xml:space="preserve">Such diminishments need not be </w:t>
      </w:r>
      <w:proofErr w:type="spellStart"/>
      <w:r w:rsidR="00907678" w:rsidRPr="00F05FE9">
        <w:t>uncompensable</w:t>
      </w:r>
      <w:proofErr w:type="spellEnd"/>
      <w:r w:rsidR="009D6A28" w:rsidRPr="00F05FE9">
        <w:t>; as Richard Kraut argues, ‘</w:t>
      </w:r>
      <w:r w:rsidR="009D359A" w:rsidRPr="00F05FE9">
        <w:t>[s][</w:t>
      </w:r>
      <w:proofErr w:type="spellStart"/>
      <w:r w:rsidR="009D6A28" w:rsidRPr="00F05FE9">
        <w:t>omething</w:t>
      </w:r>
      <w:proofErr w:type="spellEnd"/>
      <w:r w:rsidR="009D6A28" w:rsidRPr="00F05FE9">
        <w:t xml:space="preserve"> valuable is lost when independence of mind is not developed or exercised; but certainly not everything’.</w:t>
      </w:r>
      <w:r w:rsidR="009D6A28" w:rsidRPr="00F05FE9">
        <w:rPr>
          <w:rStyle w:val="FootnoteReference"/>
          <w:rFonts w:eastAsia="Garamond" w:cs="Garamond"/>
          <w:color w:val="000000"/>
        </w:rPr>
        <w:footnoteReference w:id="63"/>
      </w:r>
      <w:r w:rsidR="009D6A28" w:rsidRPr="00F05FE9">
        <w:t xml:space="preserve"> </w:t>
      </w:r>
      <w:r w:rsidR="00D46F07" w:rsidRPr="00F05FE9">
        <w:t xml:space="preserve">However, </w:t>
      </w:r>
      <w:r w:rsidR="00C74490" w:rsidRPr="00F05FE9">
        <w:t xml:space="preserve">the absence of bright line between </w:t>
      </w:r>
      <w:r w:rsidR="000C79D5" w:rsidRPr="00F05FE9">
        <w:rPr>
          <w:i/>
        </w:rPr>
        <w:t>P</w:t>
      </w:r>
      <w:r w:rsidR="00C74490" w:rsidRPr="00F05FE9">
        <w:t xml:space="preserve">’s autonomous wishes and her prudential good, </w:t>
      </w:r>
      <w:r w:rsidR="004F65EE" w:rsidRPr="00F05FE9">
        <w:t>together with</w:t>
      </w:r>
      <w:r w:rsidR="000410E3" w:rsidRPr="00F05FE9">
        <w:t xml:space="preserve"> </w:t>
      </w:r>
      <w:r w:rsidR="00C74490" w:rsidRPr="00F05FE9">
        <w:t xml:space="preserve">the </w:t>
      </w:r>
      <w:r w:rsidR="002133B5" w:rsidRPr="00F05FE9">
        <w:t xml:space="preserve">claim </w:t>
      </w:r>
      <w:r w:rsidR="0080650D" w:rsidRPr="00F05FE9">
        <w:t xml:space="preserve">that depriving </w:t>
      </w:r>
      <w:r w:rsidR="000C79D5" w:rsidRPr="00F05FE9">
        <w:rPr>
          <w:i/>
        </w:rPr>
        <w:t>P</w:t>
      </w:r>
      <w:r w:rsidR="0080650D" w:rsidRPr="00F05FE9">
        <w:t xml:space="preserve"> of the choice of </w:t>
      </w:r>
      <w:r w:rsidR="00221AEB" w:rsidRPr="00F05FE9">
        <w:t xml:space="preserve">how and </w:t>
      </w:r>
      <w:r w:rsidR="0080650D" w:rsidRPr="00F05FE9">
        <w:t xml:space="preserve">when to die </w:t>
      </w:r>
      <w:r w:rsidR="00B96A86" w:rsidRPr="00F05FE9">
        <w:t>entail</w:t>
      </w:r>
      <w:r w:rsidR="00CF6475" w:rsidRPr="00F05FE9">
        <w:t>s</w:t>
      </w:r>
      <w:r w:rsidR="00B96A86" w:rsidRPr="00F05FE9">
        <w:t xml:space="preserve"> a significant </w:t>
      </w:r>
      <w:r w:rsidR="00E71CE4" w:rsidRPr="00F05FE9">
        <w:t xml:space="preserve">violation </w:t>
      </w:r>
      <w:r w:rsidR="00470D6C" w:rsidRPr="00F05FE9">
        <w:t xml:space="preserve">of </w:t>
      </w:r>
      <w:r w:rsidR="00B96A86" w:rsidRPr="00F05FE9">
        <w:t>auton</w:t>
      </w:r>
      <w:r w:rsidR="00D352D0" w:rsidRPr="00F05FE9">
        <w:t>omy</w:t>
      </w:r>
      <w:r w:rsidR="004F70A7" w:rsidRPr="00F05FE9">
        <w:t xml:space="preserve"> </w:t>
      </w:r>
      <w:r w:rsidR="006F55F7" w:rsidRPr="00F05FE9">
        <w:t xml:space="preserve">favours the conclusion </w:t>
      </w:r>
      <w:r w:rsidR="00996607" w:rsidRPr="00F05FE9">
        <w:t>that overriding a refusal of LPT entail</w:t>
      </w:r>
      <w:r w:rsidR="00C503E1" w:rsidRPr="00F05FE9">
        <w:t>s</w:t>
      </w:r>
      <w:r w:rsidR="00996607" w:rsidRPr="00F05FE9">
        <w:t xml:space="preserve"> substantial moral cost</w:t>
      </w:r>
      <w:r w:rsidR="000F1417" w:rsidRPr="00F05FE9">
        <w:t xml:space="preserve"> on balance</w:t>
      </w:r>
      <w:r w:rsidR="00996607" w:rsidRPr="00F05FE9">
        <w:t>.</w:t>
      </w:r>
      <w:r w:rsidR="00E71CE4" w:rsidRPr="00F05FE9">
        <w:t xml:space="preserve"> </w:t>
      </w:r>
      <w:proofErr w:type="gramStart"/>
      <w:r w:rsidR="00E71CE4" w:rsidRPr="00F05FE9">
        <w:t>Thus</w:t>
      </w:r>
      <w:proofErr w:type="gramEnd"/>
      <w:r w:rsidR="00E71CE4" w:rsidRPr="00F05FE9">
        <w:t xml:space="preserve"> if autonomy has intrinsic value, </w:t>
      </w:r>
      <w:r w:rsidR="008E3F86" w:rsidRPr="00F05FE9">
        <w:t>this fact likely support</w:t>
      </w:r>
      <w:r w:rsidR="0050050B" w:rsidRPr="00F05FE9">
        <w:t>s</w:t>
      </w:r>
      <w:r w:rsidR="008E3F86" w:rsidRPr="00F05FE9">
        <w:t xml:space="preserve"> the argument that </w:t>
      </w:r>
      <w:r w:rsidR="000C79D5" w:rsidRPr="00F05FE9">
        <w:rPr>
          <w:i/>
        </w:rPr>
        <w:t>P</w:t>
      </w:r>
      <w:r w:rsidR="00257F79" w:rsidRPr="00F05FE9">
        <w:t xml:space="preserve">’s interest in welfare does not </w:t>
      </w:r>
      <w:r w:rsidR="00996D1A" w:rsidRPr="00F05FE9">
        <w:t>limit</w:t>
      </w:r>
      <w:r w:rsidR="00257F79" w:rsidRPr="00F05FE9">
        <w:t xml:space="preserve"> </w:t>
      </w:r>
      <w:r w:rsidR="00257F79" w:rsidRPr="00F05FE9">
        <w:rPr>
          <w:i/>
        </w:rPr>
        <w:t>right D</w:t>
      </w:r>
      <w:r w:rsidR="00257F79" w:rsidRPr="00F05FE9">
        <w:rPr>
          <w:i/>
          <w:vertAlign w:val="subscript"/>
        </w:rPr>
        <w:t>R</w:t>
      </w:r>
      <w:r w:rsidR="00257F79" w:rsidRPr="00F05FE9">
        <w:t>.</w:t>
      </w:r>
    </w:p>
    <w:p w14:paraId="6B4D02D7" w14:textId="7E93E40A" w:rsidR="00B555C9" w:rsidRPr="00F05FE9" w:rsidRDefault="00C46525" w:rsidP="003D725F">
      <w:pPr>
        <w:pStyle w:val="Body"/>
        <w:spacing w:line="276" w:lineRule="auto"/>
        <w:jc w:val="left"/>
      </w:pPr>
      <w:r w:rsidRPr="00F05FE9">
        <w:t xml:space="preserve">Suppose the paternalist concedes that the balance falls in favour of autonomy in respect of contemporaneous refusals of LPT. She might nevertheless </w:t>
      </w:r>
      <w:r w:rsidR="00D44FB2" w:rsidRPr="00F05FE9">
        <w:t xml:space="preserve">argue </w:t>
      </w:r>
      <w:r w:rsidRPr="00F05FE9">
        <w:t xml:space="preserve">that </w:t>
      </w:r>
      <w:r w:rsidR="003B6F9B" w:rsidRPr="00F05FE9">
        <w:t>this does not hold for advance refusals</w:t>
      </w:r>
      <w:r w:rsidR="00206030" w:rsidRPr="00F05FE9">
        <w:t xml:space="preserve"> </w:t>
      </w:r>
      <w:r w:rsidR="006C14C6" w:rsidRPr="00F05FE9">
        <w:t xml:space="preserve">since </w:t>
      </w:r>
      <w:r w:rsidR="000C79D5" w:rsidRPr="00F05FE9">
        <w:rPr>
          <w:i/>
        </w:rPr>
        <w:t>P</w:t>
      </w:r>
      <w:r w:rsidR="00555247" w:rsidRPr="00F05FE9">
        <w:t xml:space="preserve"> is not contemporaneously autonomous</w:t>
      </w:r>
      <w:r w:rsidR="002913C7" w:rsidRPr="00F05FE9">
        <w:t xml:space="preserve">, </w:t>
      </w:r>
      <w:r w:rsidR="00DD144C" w:rsidRPr="00F05FE9">
        <w:t xml:space="preserve">and </w:t>
      </w:r>
      <w:r w:rsidR="006C14C6" w:rsidRPr="00F05FE9">
        <w:t>thus</w:t>
      </w:r>
      <w:r w:rsidR="00DD144C" w:rsidRPr="00F05FE9">
        <w:t xml:space="preserve"> it is less clear that respecting </w:t>
      </w:r>
      <w:r w:rsidR="00DD144C" w:rsidRPr="00F05FE9">
        <w:rPr>
          <w:i/>
        </w:rPr>
        <w:t>P</w:t>
      </w:r>
      <w:r w:rsidR="00DD144C" w:rsidRPr="00F05FE9">
        <w:t>’s advance decision respects her autonomy</w:t>
      </w:r>
      <w:r w:rsidR="00555247" w:rsidRPr="00F05FE9">
        <w:t>.</w:t>
      </w:r>
      <w:r w:rsidR="00A30F33" w:rsidRPr="00F05FE9">
        <w:t xml:space="preserve"> </w:t>
      </w:r>
      <w:r w:rsidR="00DD144C" w:rsidRPr="00F05FE9">
        <w:t>T</w:t>
      </w:r>
      <w:r w:rsidR="00A30F33" w:rsidRPr="00F05FE9">
        <w:t>his argument encounters</w:t>
      </w:r>
      <w:r w:rsidR="00212F9E" w:rsidRPr="00F05FE9">
        <w:t xml:space="preserve"> </w:t>
      </w:r>
      <w:r w:rsidR="00DD144C" w:rsidRPr="00F05FE9">
        <w:t xml:space="preserve">familiar </w:t>
      </w:r>
      <w:r w:rsidR="0048537F" w:rsidRPr="00F05FE9">
        <w:t>d</w:t>
      </w:r>
      <w:r w:rsidR="00A30F33" w:rsidRPr="00F05FE9">
        <w:t>ifficulties</w:t>
      </w:r>
      <w:r w:rsidR="00FC0B6A" w:rsidRPr="00F05FE9">
        <w:t>.</w:t>
      </w:r>
      <w:r w:rsidR="00616127" w:rsidRPr="00F05FE9">
        <w:t xml:space="preserve"> First, </w:t>
      </w:r>
      <w:r w:rsidR="00E878F6" w:rsidRPr="00F05FE9">
        <w:t xml:space="preserve">few </w:t>
      </w:r>
      <w:r w:rsidR="00616127" w:rsidRPr="00F05FE9">
        <w:t>individuals who lack decision-making capacity are mere automata with no conception of their own past; some may be all too conscious that their advance refusal is not respected.</w:t>
      </w:r>
      <w:bookmarkStart w:id="29" w:name="_Ref497762789"/>
      <w:r w:rsidR="003A5CBA" w:rsidRPr="00F05FE9">
        <w:rPr>
          <w:rStyle w:val="FootnoteReference"/>
        </w:rPr>
        <w:footnoteReference w:id="64"/>
      </w:r>
      <w:bookmarkEnd w:id="29"/>
      <w:r w:rsidR="00616127" w:rsidRPr="00F05FE9">
        <w:t xml:space="preserve"> </w:t>
      </w:r>
      <w:r w:rsidR="00EF5CD9" w:rsidRPr="00F05FE9">
        <w:t>And</w:t>
      </w:r>
      <w:r w:rsidR="005B09DD" w:rsidRPr="00F05FE9">
        <w:t xml:space="preserve"> </w:t>
      </w:r>
      <w:r w:rsidR="00616127" w:rsidRPr="00F05FE9">
        <w:t xml:space="preserve">individuals who lack capacity may </w:t>
      </w:r>
      <w:r w:rsidR="00616127" w:rsidRPr="00F05FE9">
        <w:lastRenderedPageBreak/>
        <w:t>possess preferences that are consistent with their autonomous selves.</w:t>
      </w:r>
      <w:r w:rsidR="003A5CBA" w:rsidRPr="00F05FE9">
        <w:rPr>
          <w:rStyle w:val="FootnoteReference"/>
        </w:rPr>
        <w:footnoteReference w:id="65"/>
      </w:r>
      <w:r w:rsidR="00616127" w:rsidRPr="00F05FE9">
        <w:t xml:space="preserve"> </w:t>
      </w:r>
      <w:r w:rsidR="004A06E8" w:rsidRPr="00F05FE9">
        <w:t>I</w:t>
      </w:r>
      <w:r w:rsidR="00616127" w:rsidRPr="00F05FE9">
        <w:t xml:space="preserve">t is not certain that an individual with an advance refusal whose preferences </w:t>
      </w:r>
      <w:r w:rsidR="001C4946" w:rsidRPr="00F05FE9">
        <w:t>or</w:t>
      </w:r>
      <w:r w:rsidR="00616127" w:rsidRPr="00F05FE9">
        <w:t xml:space="preserve"> values are stable </w:t>
      </w:r>
      <w:r w:rsidR="006C543C" w:rsidRPr="00F05FE9">
        <w:t>pre- and</w:t>
      </w:r>
      <w:r w:rsidR="003A3A9B" w:rsidRPr="00F05FE9">
        <w:t xml:space="preserve"> post-</w:t>
      </w:r>
      <w:r w:rsidR="006C543C" w:rsidRPr="00F05FE9">
        <w:t>in</w:t>
      </w:r>
      <w:r w:rsidR="00616127" w:rsidRPr="00F05FE9">
        <w:t xml:space="preserve">capacity will </w:t>
      </w:r>
      <w:r w:rsidR="00F869E5" w:rsidRPr="00F05FE9">
        <w:t xml:space="preserve">comply </w:t>
      </w:r>
      <w:r w:rsidR="00616127" w:rsidRPr="00F05FE9">
        <w:t>with medical treatment</w:t>
      </w:r>
      <w:r w:rsidR="004A06E8" w:rsidRPr="00F05FE9">
        <w:t xml:space="preserve">. </w:t>
      </w:r>
      <w:r w:rsidR="00147055" w:rsidRPr="00F05FE9">
        <w:t>Therefore, forced treatment, with its attendant welfare costs, may be required</w:t>
      </w:r>
      <w:r w:rsidR="008D2E5F" w:rsidRPr="00F05FE9">
        <w:t>.</w:t>
      </w:r>
      <w:r w:rsidR="008D2E5F" w:rsidRPr="00F05FE9">
        <w:rPr>
          <w:rStyle w:val="FootnoteReference"/>
        </w:rPr>
        <w:footnoteReference w:id="66"/>
      </w:r>
      <w:r w:rsidR="00E14C61" w:rsidRPr="00F05FE9">
        <w:t xml:space="preserve"> </w:t>
      </w:r>
      <w:r w:rsidR="00EF5CD9" w:rsidRPr="00F05FE9">
        <w:t xml:space="preserve">These factors raise the epistemic problem of identifying individuals whose welfare will be promoted through non-respect for an advance refusal. </w:t>
      </w:r>
      <w:r w:rsidR="00062B0B" w:rsidRPr="00F05FE9">
        <w:t>Second</w:t>
      </w:r>
      <w:r w:rsidR="00CD5134" w:rsidRPr="00F05FE9">
        <w:t xml:space="preserve">, </w:t>
      </w:r>
      <w:r w:rsidR="00411D37" w:rsidRPr="00F05FE9">
        <w:t xml:space="preserve">it seems plausible that non-respect for advance refusals </w:t>
      </w:r>
      <w:r w:rsidR="00A04C8C" w:rsidRPr="00F05FE9">
        <w:t>would</w:t>
      </w:r>
      <w:r w:rsidR="00411D37" w:rsidRPr="00F05FE9">
        <w:t xml:space="preserve"> undermine the </w:t>
      </w:r>
      <w:r w:rsidR="0059036C" w:rsidRPr="00F05FE9">
        <w:t>general instrumental contribution of autonomy to prudential good in a similar fashion to non-respect for contemporaneous refusals.</w:t>
      </w:r>
      <w:r w:rsidR="00A04C8C" w:rsidRPr="00F05FE9">
        <w:t xml:space="preserve"> </w:t>
      </w:r>
      <w:r w:rsidR="00062B0B" w:rsidRPr="00F05FE9">
        <w:t>Third</w:t>
      </w:r>
      <w:r w:rsidR="00A04C8C" w:rsidRPr="00F05FE9">
        <w:t>,</w:t>
      </w:r>
      <w:r w:rsidR="004B4D83" w:rsidRPr="00F05FE9">
        <w:t xml:space="preserve"> if autonomy has intrinsic value, its violation is </w:t>
      </w:r>
      <w:r w:rsidR="00A84587" w:rsidRPr="00F05FE9">
        <w:t>intr</w:t>
      </w:r>
      <w:r w:rsidR="00574253" w:rsidRPr="00F05FE9">
        <w:t xml:space="preserve">insically wrong, and does not depend on facts about </w:t>
      </w:r>
      <w:r w:rsidR="000C79D5" w:rsidRPr="00F05FE9">
        <w:rPr>
          <w:i/>
        </w:rPr>
        <w:t>P</w:t>
      </w:r>
      <w:r w:rsidR="00574253" w:rsidRPr="00F05FE9">
        <w:t xml:space="preserve">’s knowledge of </w:t>
      </w:r>
      <w:proofErr w:type="gramStart"/>
      <w:r w:rsidR="00574253" w:rsidRPr="00F05FE9">
        <w:t>that state of affairs</w:t>
      </w:r>
      <w:proofErr w:type="gramEnd"/>
      <w:r w:rsidR="00574253" w:rsidRPr="00F05FE9">
        <w:t>.</w:t>
      </w:r>
      <w:r w:rsidR="00062B0B" w:rsidRPr="00F05FE9">
        <w:t xml:space="preserve"> Finally, for desire-theorists about prudential value,</w:t>
      </w:r>
      <w:r w:rsidR="00062B0B" w:rsidRPr="00F05FE9">
        <w:rPr>
          <w:vertAlign w:val="superscript"/>
        </w:rPr>
        <w:footnoteReference w:id="67"/>
      </w:r>
      <w:r w:rsidR="00062B0B" w:rsidRPr="00F05FE9">
        <w:t xml:space="preserve"> non-respect for an advance refusal may negatively impact on </w:t>
      </w:r>
      <w:r w:rsidR="00062B0B" w:rsidRPr="00F05FE9">
        <w:rPr>
          <w:i/>
        </w:rPr>
        <w:t>P</w:t>
      </w:r>
      <w:r w:rsidR="00062B0B" w:rsidRPr="00F05FE9">
        <w:t xml:space="preserve">’s welfare, notwithstanding that the frustration of </w:t>
      </w:r>
      <w:r w:rsidR="00062B0B" w:rsidRPr="00F05FE9">
        <w:rPr>
          <w:i/>
        </w:rPr>
        <w:t>P</w:t>
      </w:r>
      <w:r w:rsidR="00062B0B" w:rsidRPr="00F05FE9">
        <w:t xml:space="preserve">’s autonomous desire to refuse LPT is remote relative to </w:t>
      </w:r>
      <w:r w:rsidR="00062B0B" w:rsidRPr="00F05FE9">
        <w:rPr>
          <w:i/>
        </w:rPr>
        <w:t>P</w:t>
      </w:r>
      <w:r w:rsidR="00062B0B" w:rsidRPr="00F05FE9">
        <w:t>’s holding of the same desire.</w:t>
      </w:r>
      <w:r w:rsidR="00062B0B" w:rsidRPr="00F05FE9">
        <w:rPr>
          <w:vertAlign w:val="superscript"/>
        </w:rPr>
        <w:footnoteReference w:id="68"/>
      </w:r>
    </w:p>
    <w:p w14:paraId="0472E7AC" w14:textId="3DF31C31" w:rsidR="00B555C9" w:rsidRPr="00F05FE9" w:rsidRDefault="00C46525" w:rsidP="003D725F">
      <w:pPr>
        <w:pStyle w:val="Body"/>
        <w:spacing w:line="276" w:lineRule="auto"/>
        <w:jc w:val="left"/>
      </w:pPr>
      <w:r w:rsidRPr="00F05FE9">
        <w:t xml:space="preserve">With the preceding observations in mind, I advance that </w:t>
      </w:r>
      <w:r w:rsidR="000C79D5" w:rsidRPr="00F05FE9">
        <w:rPr>
          <w:i/>
        </w:rPr>
        <w:t>P</w:t>
      </w:r>
      <w:r w:rsidRPr="00F05FE9">
        <w:t xml:space="preserve">’s </w:t>
      </w:r>
      <w:r w:rsidR="00625863" w:rsidRPr="00F05FE9">
        <w:t xml:space="preserve">interest in </w:t>
      </w:r>
      <w:r w:rsidRPr="00F05FE9">
        <w:t xml:space="preserve">welfare is of insufficient strength to limit the scope of </w:t>
      </w:r>
      <w:r w:rsidRPr="00F05FE9">
        <w:rPr>
          <w:i/>
        </w:rPr>
        <w:t>right D</w:t>
      </w:r>
      <w:r w:rsidRPr="00F05FE9">
        <w:rPr>
          <w:i/>
          <w:vertAlign w:val="subscript"/>
        </w:rPr>
        <w:t>R</w:t>
      </w:r>
      <w:r w:rsidRPr="00F05FE9">
        <w:rPr>
          <w:i/>
        </w:rPr>
        <w:t xml:space="preserve"> </w:t>
      </w:r>
      <w:r w:rsidRPr="00F05FE9">
        <w:t xml:space="preserve">to circumstances in which she autonomously wishes to refuse LPT </w:t>
      </w:r>
      <w:r w:rsidRPr="00F05FE9">
        <w:rPr>
          <w:i/>
        </w:rPr>
        <w:t>and</w:t>
      </w:r>
      <w:r w:rsidRPr="00F05FE9">
        <w:t xml:space="preserve"> this wish aligns with </w:t>
      </w:r>
      <w:r w:rsidR="009C7B90" w:rsidRPr="00F05FE9">
        <w:t>prudential good</w:t>
      </w:r>
      <w:r w:rsidRPr="00F05FE9">
        <w:t>.</w:t>
      </w:r>
      <w:r w:rsidR="001C329F" w:rsidRPr="00F05FE9">
        <w:t xml:space="preserve"> This is the case for both contemporaneous and advance refusals of LPT.</w:t>
      </w:r>
      <w:bookmarkStart w:id="30" w:name="hn_Morals"/>
      <w:bookmarkEnd w:id="30"/>
    </w:p>
    <w:p w14:paraId="5AB36B4E" w14:textId="64500B8D" w:rsidR="00C46525" w:rsidRPr="00F05FE9" w:rsidRDefault="00C46525" w:rsidP="003D725F">
      <w:pPr>
        <w:pStyle w:val="Heading4"/>
        <w:spacing w:line="276" w:lineRule="auto"/>
      </w:pPr>
      <w:r w:rsidRPr="00F05FE9">
        <w:t>Morals</w:t>
      </w:r>
    </w:p>
    <w:p w14:paraId="0A2E691C" w14:textId="04966451" w:rsidR="0088436D" w:rsidRPr="00F05FE9" w:rsidRDefault="005344BB" w:rsidP="003D725F">
      <w:pPr>
        <w:pStyle w:val="Body"/>
        <w:spacing w:line="276" w:lineRule="auto"/>
        <w:jc w:val="left"/>
      </w:pPr>
      <w:r w:rsidRPr="00F05FE9">
        <w:t xml:space="preserve">Recall that the interest theory </w:t>
      </w:r>
      <w:r w:rsidR="001B0713" w:rsidRPr="00F05FE9">
        <w:t xml:space="preserve">yields </w:t>
      </w:r>
      <w:r w:rsidRPr="00F05FE9">
        <w:t xml:space="preserve">rights </w:t>
      </w:r>
      <w:r w:rsidR="001B0713" w:rsidRPr="00F05FE9">
        <w:t>just when ‘objective interests of individual well-being</w:t>
      </w:r>
      <w:r w:rsidR="00844B1A" w:rsidRPr="00F05FE9">
        <w:t>…</w:t>
      </w:r>
      <w:r w:rsidR="001B0713" w:rsidRPr="00F05FE9">
        <w:t xml:space="preserve"> are important enough to impose duties on others</w:t>
      </w:r>
      <w:r w:rsidR="00844B1A" w:rsidRPr="00F05FE9">
        <w:t>’.</w:t>
      </w:r>
      <w:r w:rsidR="00844B1A" w:rsidRPr="00F05FE9">
        <w:rPr>
          <w:rStyle w:val="FootnoteReference"/>
        </w:rPr>
        <w:footnoteReference w:id="69"/>
      </w:r>
      <w:r w:rsidR="001B0713" w:rsidRPr="00F05FE9">
        <w:t xml:space="preserve"> </w:t>
      </w:r>
      <w:r w:rsidR="00FB3C2A" w:rsidRPr="00F05FE9">
        <w:t xml:space="preserve">Might it be that </w:t>
      </w:r>
      <w:r w:rsidR="000C79D5" w:rsidRPr="00F05FE9">
        <w:rPr>
          <w:i/>
        </w:rPr>
        <w:t>P</w:t>
      </w:r>
      <w:r w:rsidR="00FB3C2A" w:rsidRPr="00F05FE9">
        <w:t xml:space="preserve">’s interest in autonomy </w:t>
      </w:r>
      <w:r w:rsidR="00410C4A" w:rsidRPr="00F05FE9">
        <w:t xml:space="preserve">is </w:t>
      </w:r>
      <w:r w:rsidR="00050FCD" w:rsidRPr="00F05FE9">
        <w:t xml:space="preserve">secondary to her duty to </w:t>
      </w:r>
      <w:r w:rsidR="00E51781" w:rsidRPr="00F05FE9">
        <w:t xml:space="preserve">behave morally, such that the former cannot give rise to </w:t>
      </w:r>
      <w:r w:rsidR="00410C4A" w:rsidRPr="00F05FE9">
        <w:rPr>
          <w:i/>
        </w:rPr>
        <w:t>right D</w:t>
      </w:r>
      <w:r w:rsidR="00410C4A" w:rsidRPr="00F05FE9">
        <w:rPr>
          <w:i/>
          <w:vertAlign w:val="subscript"/>
        </w:rPr>
        <w:t>R</w:t>
      </w:r>
      <w:r w:rsidR="00E51781" w:rsidRPr="00F05FE9">
        <w:t>?</w:t>
      </w:r>
    </w:p>
    <w:p w14:paraId="472E64CF" w14:textId="75CF8929" w:rsidR="00B555C9" w:rsidRPr="00F05FE9" w:rsidRDefault="00C46525" w:rsidP="003D725F">
      <w:pPr>
        <w:pStyle w:val="Body"/>
        <w:spacing w:line="276" w:lineRule="auto"/>
        <w:jc w:val="left"/>
      </w:pPr>
      <w:r w:rsidRPr="00F05FE9">
        <w:lastRenderedPageBreak/>
        <w:t xml:space="preserve">This </w:t>
      </w:r>
      <w:r w:rsidR="0020192C" w:rsidRPr="00F05FE9">
        <w:t xml:space="preserve">claim </w:t>
      </w:r>
      <w:r w:rsidR="0028082B" w:rsidRPr="00F05FE9">
        <w:t xml:space="preserve">has some </w:t>
      </w:r>
      <w:r w:rsidRPr="00F05FE9">
        <w:t>plausib</w:t>
      </w:r>
      <w:r w:rsidR="0028082B" w:rsidRPr="00F05FE9">
        <w:t>ility</w:t>
      </w:r>
      <w:r w:rsidRPr="00F05FE9">
        <w:t xml:space="preserve">. However, </w:t>
      </w:r>
      <w:r w:rsidR="000C79D5" w:rsidRPr="00F05FE9">
        <w:rPr>
          <w:i/>
        </w:rPr>
        <w:t>P</w:t>
      </w:r>
      <w:r w:rsidRPr="00F05FE9">
        <w:t>’s</w:t>
      </w:r>
      <w:r w:rsidRPr="00F05FE9">
        <w:rPr>
          <w:i/>
        </w:rPr>
        <w:t xml:space="preserve"> </w:t>
      </w:r>
      <w:r w:rsidR="001A66D4" w:rsidRPr="00F05FE9">
        <w:t>duty to adhere</w:t>
      </w:r>
      <w:r w:rsidRPr="00F05FE9">
        <w:t xml:space="preserve"> to moral standards is </w:t>
      </w:r>
      <w:r w:rsidR="005B3B22" w:rsidRPr="00F05FE9">
        <w:t xml:space="preserve">usually </w:t>
      </w:r>
      <w:r w:rsidRPr="00F05FE9">
        <w:t xml:space="preserve">explainable in terms of rights </w:t>
      </w:r>
      <w:r w:rsidR="000E1C38" w:rsidRPr="00F05FE9">
        <w:t xml:space="preserve">others </w:t>
      </w:r>
      <w:r w:rsidRPr="00F05FE9">
        <w:t>possess in virtue of the interest theory</w:t>
      </w:r>
      <w:r w:rsidR="00D23743" w:rsidRPr="00F05FE9">
        <w:t xml:space="preserve">. </w:t>
      </w:r>
      <w:r w:rsidRPr="00F05FE9">
        <w:t>For example, individuals have a defeasible interest in life that is of sufficient weight to underpin a</w:t>
      </w:r>
      <w:r w:rsidR="00D23743" w:rsidRPr="00F05FE9">
        <w:t>n exten</w:t>
      </w:r>
      <w:r w:rsidR="00A366F7" w:rsidRPr="00F05FE9">
        <w:t>sive</w:t>
      </w:r>
      <w:r w:rsidRPr="00F05FE9">
        <w:t xml:space="preserve"> right not to be involuntarily killed.</w:t>
      </w:r>
      <w:r w:rsidR="00542E43" w:rsidRPr="00F05FE9">
        <w:rPr>
          <w:rStyle w:val="FootnoteReference"/>
        </w:rPr>
        <w:footnoteReference w:id="70"/>
      </w:r>
      <w:r w:rsidR="00542E43" w:rsidRPr="00F05FE9">
        <w:rPr>
          <w:i/>
        </w:rPr>
        <w:t xml:space="preserve"> </w:t>
      </w:r>
      <w:r w:rsidR="008B6B27" w:rsidRPr="00F05FE9">
        <w:t>T</w:t>
      </w:r>
      <w:r w:rsidRPr="00F05FE9">
        <w:t xml:space="preserve">herefore, reference to </w:t>
      </w:r>
      <w:r w:rsidR="001C3057" w:rsidRPr="00F05FE9">
        <w:rPr>
          <w:i/>
        </w:rPr>
        <w:t>P</w:t>
      </w:r>
      <w:r w:rsidR="001C3057" w:rsidRPr="00F05FE9">
        <w:t xml:space="preserve">’s </w:t>
      </w:r>
      <w:r w:rsidR="00F003F7" w:rsidRPr="00F05FE9">
        <w:t xml:space="preserve">duty to </w:t>
      </w:r>
      <w:r w:rsidRPr="00F05FE9">
        <w:t>behav</w:t>
      </w:r>
      <w:r w:rsidR="00F003F7" w:rsidRPr="00F05FE9">
        <w:t xml:space="preserve">e </w:t>
      </w:r>
      <w:r w:rsidRPr="00F05FE9">
        <w:t>morally is ‘repetitive’ or superfluous.</w:t>
      </w:r>
      <w:r w:rsidR="00542E43" w:rsidRPr="00F05FE9">
        <w:rPr>
          <w:rStyle w:val="FootnoteReference"/>
        </w:rPr>
        <w:footnoteReference w:id="71"/>
      </w:r>
      <w:r w:rsidRPr="00F05FE9">
        <w:t xml:space="preserve"> In other circumstances, however, </w:t>
      </w:r>
      <w:r w:rsidR="0088005F" w:rsidRPr="00F05FE9">
        <w:t xml:space="preserve">the </w:t>
      </w:r>
      <w:r w:rsidR="00BA63E9" w:rsidRPr="00F05FE9">
        <w:t xml:space="preserve">argument </w:t>
      </w:r>
      <w:r w:rsidR="0088005F" w:rsidRPr="00F05FE9">
        <w:t xml:space="preserve">that </w:t>
      </w:r>
      <w:r w:rsidR="000C79D5" w:rsidRPr="00F05FE9">
        <w:rPr>
          <w:i/>
        </w:rPr>
        <w:t>P</w:t>
      </w:r>
      <w:r w:rsidR="0088005F" w:rsidRPr="00F05FE9">
        <w:t xml:space="preserve"> has a duty to </w:t>
      </w:r>
      <w:r w:rsidRPr="00F05FE9">
        <w:t xml:space="preserve">lead a moral life does not </w:t>
      </w:r>
      <w:r w:rsidR="00542798" w:rsidRPr="00F05FE9">
        <w:t xml:space="preserve">clearly </w:t>
      </w:r>
      <w:r w:rsidRPr="00F05FE9">
        <w:t xml:space="preserve">track other-regarding </w:t>
      </w:r>
      <w:r w:rsidR="00F20CC3" w:rsidRPr="00F05FE9">
        <w:t xml:space="preserve">moral </w:t>
      </w:r>
      <w:r w:rsidR="00C662B7" w:rsidRPr="00F05FE9">
        <w:t>considerations</w:t>
      </w:r>
      <w:r w:rsidRPr="00F05FE9">
        <w:t xml:space="preserve">. </w:t>
      </w:r>
      <w:r w:rsidR="00412710" w:rsidRPr="00F05FE9">
        <w:t xml:space="preserve">Rather, the </w:t>
      </w:r>
      <w:r w:rsidR="00DE13A2" w:rsidRPr="00F05FE9">
        <w:t xml:space="preserve">claim may be that </w:t>
      </w:r>
      <w:r w:rsidR="000C79D5" w:rsidRPr="00F05FE9">
        <w:rPr>
          <w:i/>
        </w:rPr>
        <w:t>P</w:t>
      </w:r>
      <w:r w:rsidR="00341BC1" w:rsidRPr="00F05FE9">
        <w:t xml:space="preserve"> has a duty not to live in a way that others regard as </w:t>
      </w:r>
      <w:r w:rsidR="00C02054" w:rsidRPr="00F05FE9">
        <w:t xml:space="preserve">immoral, </w:t>
      </w:r>
      <w:r w:rsidR="00341BC1" w:rsidRPr="00F05FE9">
        <w:t>offensive</w:t>
      </w:r>
      <w:r w:rsidR="00C02054" w:rsidRPr="00F05FE9">
        <w:t xml:space="preserve">, or </w:t>
      </w:r>
      <w:r w:rsidR="00796C59" w:rsidRPr="00F05FE9">
        <w:t>disapproval-</w:t>
      </w:r>
      <w:r w:rsidR="00C02054" w:rsidRPr="00F05FE9">
        <w:t>worthy</w:t>
      </w:r>
      <w:r w:rsidRPr="00F05FE9">
        <w:t xml:space="preserve">, </w:t>
      </w:r>
      <w:r w:rsidR="00646103" w:rsidRPr="00F05FE9">
        <w:t xml:space="preserve">potentially because </w:t>
      </w:r>
      <w:r w:rsidR="00F50F63" w:rsidRPr="00F05FE9">
        <w:t xml:space="preserve">so </w:t>
      </w:r>
      <w:r w:rsidR="00646103" w:rsidRPr="00F05FE9">
        <w:t xml:space="preserve">to </w:t>
      </w:r>
      <w:r w:rsidR="00307B1C" w:rsidRPr="00F05FE9">
        <w:t xml:space="preserve">behave </w:t>
      </w:r>
      <w:r w:rsidR="00646103" w:rsidRPr="00F05FE9">
        <w:t xml:space="preserve">undermines </w:t>
      </w:r>
      <w:r w:rsidR="00E72E69" w:rsidRPr="00F05FE9">
        <w:t>‘social cohesion’</w:t>
      </w:r>
      <w:r w:rsidRPr="00F05FE9">
        <w:t>.</w:t>
      </w:r>
      <w:r w:rsidR="00BC6AB6" w:rsidRPr="00F05FE9">
        <w:rPr>
          <w:rStyle w:val="FootnoteReference"/>
        </w:rPr>
        <w:footnoteReference w:id="72"/>
      </w:r>
    </w:p>
    <w:p w14:paraId="404486AD" w14:textId="2341274A" w:rsidR="00734F70" w:rsidRPr="00F05FE9" w:rsidRDefault="00C46525" w:rsidP="003D725F">
      <w:pPr>
        <w:pStyle w:val="Body"/>
        <w:spacing w:line="276" w:lineRule="auto"/>
        <w:jc w:val="left"/>
      </w:pPr>
      <w:r w:rsidRPr="00F05FE9">
        <w:t xml:space="preserve">Refusal of LPT is thought impermissible on </w:t>
      </w:r>
      <w:r w:rsidR="002916CF" w:rsidRPr="00F05FE9">
        <w:t xml:space="preserve">several </w:t>
      </w:r>
      <w:r w:rsidRPr="00F05FE9">
        <w:t xml:space="preserve">moral views. For example, </w:t>
      </w:r>
      <w:r w:rsidRPr="00F05FE9">
        <w:rPr>
          <w:i/>
        </w:rPr>
        <w:t xml:space="preserve">vitalism </w:t>
      </w:r>
      <w:r w:rsidRPr="00F05FE9">
        <w:t>‘requires human life to be preserved at all costs’</w:t>
      </w:r>
      <w:r w:rsidR="00102D59" w:rsidRPr="00F05FE9">
        <w:t>;</w:t>
      </w:r>
      <w:bookmarkStart w:id="31" w:name="_Ref497763138"/>
      <w:r w:rsidR="00BC6AB6" w:rsidRPr="00F05FE9">
        <w:rPr>
          <w:rStyle w:val="FootnoteReference"/>
        </w:rPr>
        <w:footnoteReference w:id="73"/>
      </w:r>
      <w:bookmarkEnd w:id="31"/>
      <w:r w:rsidR="00000406" w:rsidRPr="00F05FE9">
        <w:t xml:space="preserve"> refusal of LPT </w:t>
      </w:r>
      <w:r w:rsidR="00655697" w:rsidRPr="00F05FE9">
        <w:t>curtails</w:t>
      </w:r>
      <w:r w:rsidR="00102D59" w:rsidRPr="00F05FE9">
        <w:t xml:space="preserve"> life, and </w:t>
      </w:r>
      <w:r w:rsidR="007C3A7D" w:rsidRPr="00F05FE9">
        <w:t>is therefore impermissible</w:t>
      </w:r>
      <w:r w:rsidR="00102D59" w:rsidRPr="00F05FE9">
        <w:t>.</w:t>
      </w:r>
      <w:r w:rsidRPr="00F05FE9">
        <w:t xml:space="preserve"> </w:t>
      </w:r>
      <w:r w:rsidR="007F2F96" w:rsidRPr="00F05FE9">
        <w:t>M</w:t>
      </w:r>
      <w:r w:rsidRPr="00F05FE9">
        <w:t xml:space="preserve">ore moderately, on John Keown’s </w:t>
      </w:r>
      <w:r w:rsidRPr="00F05FE9">
        <w:rPr>
          <w:i/>
        </w:rPr>
        <w:t xml:space="preserve">inviolability </w:t>
      </w:r>
      <w:r w:rsidRPr="00F05FE9">
        <w:t xml:space="preserve">account, refusals of LPT are morally impermissible just when </w:t>
      </w:r>
      <w:r w:rsidR="000C79D5" w:rsidRPr="00F05FE9">
        <w:rPr>
          <w:i/>
        </w:rPr>
        <w:t>P</w:t>
      </w:r>
      <w:r w:rsidRPr="00F05FE9">
        <w:t>’s refusal has suicidal intent.</w:t>
      </w:r>
      <w:r w:rsidR="00BC6AB6" w:rsidRPr="00F05FE9">
        <w:rPr>
          <w:rStyle w:val="FootnoteReference"/>
        </w:rPr>
        <w:footnoteReference w:id="74"/>
      </w:r>
      <w:r w:rsidRPr="00F05FE9">
        <w:t xml:space="preserve"> Either view may </w:t>
      </w:r>
      <w:r w:rsidR="00677AE6" w:rsidRPr="00F05FE9">
        <w:t xml:space="preserve">support a moralistic argument </w:t>
      </w:r>
      <w:r w:rsidR="00C91172" w:rsidRPr="00F05FE9">
        <w:t xml:space="preserve">that </w:t>
      </w:r>
      <w:r w:rsidRPr="00F05FE9">
        <w:t xml:space="preserve">substantively limits </w:t>
      </w:r>
      <w:r w:rsidR="000C79D5" w:rsidRPr="00F05FE9">
        <w:rPr>
          <w:i/>
        </w:rPr>
        <w:t>P</w:t>
      </w:r>
      <w:r w:rsidRPr="00F05FE9">
        <w:t xml:space="preserve">’s freedom to decide how and when to die, either wholly such that </w:t>
      </w:r>
      <w:r w:rsidRPr="00F05FE9">
        <w:rPr>
          <w:i/>
        </w:rPr>
        <w:t>right D</w:t>
      </w:r>
      <w:r w:rsidRPr="00F05FE9">
        <w:rPr>
          <w:i/>
          <w:vertAlign w:val="subscript"/>
        </w:rPr>
        <w:t>R</w:t>
      </w:r>
      <w:r w:rsidRPr="00F05FE9">
        <w:rPr>
          <w:i/>
        </w:rPr>
        <w:t xml:space="preserve"> </w:t>
      </w:r>
      <w:r w:rsidRPr="00F05FE9">
        <w:t>not exist (</w:t>
      </w:r>
      <w:r w:rsidRPr="00F05FE9">
        <w:rPr>
          <w:i/>
        </w:rPr>
        <w:t>vitalism</w:t>
      </w:r>
      <w:r w:rsidRPr="00F05FE9">
        <w:t xml:space="preserve">), or in part such that </w:t>
      </w:r>
      <w:r w:rsidRPr="00F05FE9">
        <w:rPr>
          <w:i/>
        </w:rPr>
        <w:t>right D</w:t>
      </w:r>
      <w:r w:rsidRPr="00F05FE9">
        <w:rPr>
          <w:i/>
          <w:vertAlign w:val="subscript"/>
        </w:rPr>
        <w:t>R</w:t>
      </w:r>
      <w:r w:rsidRPr="00F05FE9">
        <w:t xml:space="preserve"> does not extend to suicidal refusals (</w:t>
      </w:r>
      <w:r w:rsidRPr="00F05FE9">
        <w:rPr>
          <w:i/>
        </w:rPr>
        <w:t>inviolability</w:t>
      </w:r>
      <w:r w:rsidRPr="00F05FE9">
        <w:t>).</w:t>
      </w:r>
    </w:p>
    <w:p w14:paraId="045206CD" w14:textId="44E77368" w:rsidR="00B555C9" w:rsidRPr="00F05FE9" w:rsidRDefault="00734F70" w:rsidP="003D725F">
      <w:pPr>
        <w:pStyle w:val="Body"/>
        <w:spacing w:line="276" w:lineRule="auto"/>
        <w:jc w:val="left"/>
        <w:rPr>
          <w:i/>
        </w:rPr>
      </w:pPr>
      <w:r w:rsidRPr="00F05FE9">
        <w:t>R</w:t>
      </w:r>
      <w:r w:rsidR="0013222E" w:rsidRPr="00F05FE9">
        <w:t>efusal of LPT,</w:t>
      </w:r>
      <w:r w:rsidRPr="00F05FE9">
        <w:t xml:space="preserve"> however,</w:t>
      </w:r>
      <w:r w:rsidR="0013222E" w:rsidRPr="00F05FE9">
        <w:t xml:space="preserve"> </w:t>
      </w:r>
      <w:r w:rsidR="003D5193" w:rsidRPr="00F05FE9">
        <w:t>is not clearly immoral.</w:t>
      </w:r>
      <w:r w:rsidR="00F67965" w:rsidRPr="00F05FE9">
        <w:t xml:space="preserve"> </w:t>
      </w:r>
      <w:r w:rsidR="00661B0F" w:rsidRPr="00F05FE9">
        <w:rPr>
          <w:i/>
        </w:rPr>
        <w:t>V</w:t>
      </w:r>
      <w:r w:rsidR="00C46525" w:rsidRPr="00F05FE9">
        <w:rPr>
          <w:rFonts w:eastAsia="Garamond" w:cs="Garamond"/>
          <w:i/>
        </w:rPr>
        <w:t xml:space="preserve">italism </w:t>
      </w:r>
      <w:r w:rsidR="00C46525" w:rsidRPr="00F05FE9">
        <w:rPr>
          <w:rFonts w:eastAsia="Garamond" w:cs="Garamond"/>
        </w:rPr>
        <w:t xml:space="preserve">is </w:t>
      </w:r>
      <w:r w:rsidR="008703AC" w:rsidRPr="00F05FE9">
        <w:rPr>
          <w:rFonts w:eastAsia="Garamond" w:cs="Garamond"/>
        </w:rPr>
        <w:t xml:space="preserve">not a </w:t>
      </w:r>
      <w:r w:rsidR="00C46525" w:rsidRPr="00F05FE9">
        <w:rPr>
          <w:rFonts w:eastAsia="Garamond" w:cs="Garamond"/>
        </w:rPr>
        <w:t xml:space="preserve">plausible moral </w:t>
      </w:r>
      <w:r w:rsidR="00A055EC" w:rsidRPr="00F05FE9">
        <w:rPr>
          <w:rFonts w:eastAsia="Garamond" w:cs="Garamond"/>
        </w:rPr>
        <w:t>theory</w:t>
      </w:r>
      <w:r w:rsidR="003524A2" w:rsidRPr="00F05FE9">
        <w:rPr>
          <w:rFonts w:eastAsia="Garamond" w:cs="Garamond"/>
        </w:rPr>
        <w:t>;</w:t>
      </w:r>
      <w:r w:rsidR="008B18C2" w:rsidRPr="00F05FE9">
        <w:rPr>
          <w:rFonts w:eastAsia="Garamond" w:cs="Garamond"/>
        </w:rPr>
        <w:t xml:space="preserve"> </w:t>
      </w:r>
      <w:r w:rsidR="00C46525" w:rsidRPr="00F05FE9">
        <w:rPr>
          <w:rFonts w:eastAsia="Garamond" w:cs="Garamond"/>
        </w:rPr>
        <w:t xml:space="preserve">attempting to preserve life at all costs </w:t>
      </w:r>
      <w:r w:rsidR="00440B6E" w:rsidRPr="00F05FE9">
        <w:rPr>
          <w:rFonts w:eastAsia="Garamond" w:cs="Garamond"/>
        </w:rPr>
        <w:t>would likely</w:t>
      </w:r>
      <w:r w:rsidR="00C46525" w:rsidRPr="00F05FE9">
        <w:rPr>
          <w:rFonts w:eastAsia="Garamond" w:cs="Garamond"/>
        </w:rPr>
        <w:t xml:space="preserve"> cause great suffering, and </w:t>
      </w:r>
      <w:r w:rsidR="00D94314" w:rsidRPr="00F05FE9">
        <w:rPr>
          <w:rFonts w:eastAsia="Garamond" w:cs="Garamond"/>
        </w:rPr>
        <w:t xml:space="preserve">potentially </w:t>
      </w:r>
      <w:r w:rsidR="004B3B0E" w:rsidRPr="00F05FE9">
        <w:rPr>
          <w:rFonts w:eastAsia="Garamond" w:cs="Garamond"/>
        </w:rPr>
        <w:t xml:space="preserve">be </w:t>
      </w:r>
      <w:r w:rsidR="000D5A3E" w:rsidRPr="00F05FE9">
        <w:rPr>
          <w:rFonts w:eastAsia="Garamond" w:cs="Garamond"/>
        </w:rPr>
        <w:t>self-defeating</w:t>
      </w:r>
      <w:r w:rsidR="00F64943" w:rsidRPr="00F05FE9">
        <w:rPr>
          <w:rFonts w:eastAsia="Garamond" w:cs="Garamond"/>
        </w:rPr>
        <w:t xml:space="preserve"> in its </w:t>
      </w:r>
      <w:r w:rsidR="00AB5A6E" w:rsidRPr="00F05FE9">
        <w:rPr>
          <w:rFonts w:eastAsia="Garamond" w:cs="Garamond"/>
        </w:rPr>
        <w:t xml:space="preserve">intense </w:t>
      </w:r>
      <w:r w:rsidR="00F64943" w:rsidRPr="00F05FE9">
        <w:rPr>
          <w:rFonts w:eastAsia="Garamond" w:cs="Garamond"/>
        </w:rPr>
        <w:t>use of resources</w:t>
      </w:r>
      <w:r w:rsidR="00C46525" w:rsidRPr="00F05FE9">
        <w:rPr>
          <w:rFonts w:eastAsia="Garamond" w:cs="Garamond"/>
        </w:rPr>
        <w:t xml:space="preserve">. </w:t>
      </w:r>
      <w:r w:rsidR="00C46525" w:rsidRPr="00F05FE9">
        <w:rPr>
          <w:rFonts w:eastAsia="Garamond" w:cs="Garamond"/>
          <w:i/>
        </w:rPr>
        <w:t>Inviolability</w:t>
      </w:r>
      <w:r w:rsidR="00C46525" w:rsidRPr="00F05FE9">
        <w:rPr>
          <w:rFonts w:eastAsia="Garamond" w:cs="Garamond"/>
        </w:rPr>
        <w:t xml:space="preserve"> disallows only suicidal refusals of LPT, whose impermissibility relies on the existence of basic human goods (one of which is life) and the principle that intentional behaviour inconsistent with</w:t>
      </w:r>
      <w:r w:rsidR="005A0ABC" w:rsidRPr="00F05FE9">
        <w:rPr>
          <w:rFonts w:eastAsia="Garamond" w:cs="Garamond"/>
        </w:rPr>
        <w:t xml:space="preserve"> a</w:t>
      </w:r>
      <w:r w:rsidR="00C46525" w:rsidRPr="00F05FE9">
        <w:rPr>
          <w:rFonts w:eastAsia="Garamond" w:cs="Garamond"/>
        </w:rPr>
        <w:t xml:space="preserve"> basic good is an absolute moral wrong.</w:t>
      </w:r>
      <w:r w:rsidR="009C5991" w:rsidRPr="00F05FE9">
        <w:rPr>
          <w:rStyle w:val="FootnoteReference"/>
          <w:rFonts w:eastAsia="Garamond" w:cs="Garamond"/>
        </w:rPr>
        <w:footnoteReference w:id="75"/>
      </w:r>
      <w:r w:rsidR="00C46525" w:rsidRPr="00F05FE9">
        <w:rPr>
          <w:rFonts w:eastAsia="Garamond" w:cs="Garamond"/>
        </w:rPr>
        <w:t xml:space="preserve"> </w:t>
      </w:r>
    </w:p>
    <w:p w14:paraId="59DB8EEF" w14:textId="075EBC90" w:rsidR="00B555C9" w:rsidRPr="00F05FE9" w:rsidRDefault="00036447" w:rsidP="003D725F">
      <w:pPr>
        <w:pStyle w:val="Body"/>
        <w:spacing w:line="276" w:lineRule="auto"/>
        <w:jc w:val="left"/>
      </w:pPr>
      <w:r w:rsidRPr="00F05FE9">
        <w:lastRenderedPageBreak/>
        <w:t xml:space="preserve">Suppose </w:t>
      </w:r>
      <w:r w:rsidR="00C46525" w:rsidRPr="00F05FE9">
        <w:t xml:space="preserve">the </w:t>
      </w:r>
      <w:r w:rsidR="00C46525" w:rsidRPr="00F05FE9">
        <w:rPr>
          <w:i/>
        </w:rPr>
        <w:t xml:space="preserve">inviolability </w:t>
      </w:r>
      <w:r w:rsidR="00C46525" w:rsidRPr="00F05FE9">
        <w:t xml:space="preserve">view is true, </w:t>
      </w:r>
      <w:r w:rsidR="00075523" w:rsidRPr="00F05FE9">
        <w:t xml:space="preserve">and </w:t>
      </w:r>
      <w:r w:rsidR="00C46525" w:rsidRPr="00F05FE9">
        <w:t>suicidal refusals of LPT are morally impermissible</w:t>
      </w:r>
      <w:r w:rsidR="000F567F" w:rsidRPr="00F05FE9">
        <w:t xml:space="preserve">. Alternatively, suppose that </w:t>
      </w:r>
      <w:r w:rsidR="000F567F" w:rsidRPr="00F05FE9">
        <w:rPr>
          <w:i/>
        </w:rPr>
        <w:t xml:space="preserve">inviolability </w:t>
      </w:r>
      <w:r w:rsidR="000F567F" w:rsidRPr="00F05FE9">
        <w:t xml:space="preserve">is false, but </w:t>
      </w:r>
      <w:r w:rsidR="00732456" w:rsidRPr="00F05FE9">
        <w:t xml:space="preserve">suicidal refusals of LPT are </w:t>
      </w:r>
      <w:r w:rsidR="00B6584E" w:rsidRPr="00F05FE9">
        <w:t xml:space="preserve">nevertheless </w:t>
      </w:r>
      <w:r w:rsidR="00732456" w:rsidRPr="00F05FE9">
        <w:t xml:space="preserve">generative of </w:t>
      </w:r>
      <w:r w:rsidR="00BF5645" w:rsidRPr="00F05FE9">
        <w:t xml:space="preserve">widespread </w:t>
      </w:r>
      <w:r w:rsidR="00732456" w:rsidRPr="00F05FE9">
        <w:t>opprobrium.</w:t>
      </w:r>
      <w:r w:rsidR="00755CB3" w:rsidRPr="00F05FE9">
        <w:rPr>
          <w:rStyle w:val="FootnoteReference"/>
        </w:rPr>
        <w:footnoteReference w:id="76"/>
      </w:r>
      <w:r w:rsidR="00732456" w:rsidRPr="00F05FE9">
        <w:t xml:space="preserve"> </w:t>
      </w:r>
      <w:r w:rsidR="00C46525" w:rsidRPr="00F05FE9">
        <w:t xml:space="preserve">The balancing of </w:t>
      </w:r>
      <w:r w:rsidR="000C79D5" w:rsidRPr="00F05FE9">
        <w:rPr>
          <w:i/>
        </w:rPr>
        <w:t>P</w:t>
      </w:r>
      <w:r w:rsidR="00C46525" w:rsidRPr="00F05FE9">
        <w:t xml:space="preserve">’s autonomy interests and the </w:t>
      </w:r>
      <w:r w:rsidR="0062716E" w:rsidRPr="00F05FE9">
        <w:t>‘</w:t>
      </w:r>
      <w:r w:rsidR="00C46525" w:rsidRPr="00F05FE9">
        <w:t>protection</w:t>
      </w:r>
      <w:r w:rsidR="0062716E" w:rsidRPr="00F05FE9">
        <w:t>’</w:t>
      </w:r>
      <w:r w:rsidR="00C46525" w:rsidRPr="00F05FE9">
        <w:t xml:space="preserve"> of morals might nevertheless require that individuals possess a blanket </w:t>
      </w:r>
      <w:r w:rsidR="00C46525" w:rsidRPr="00F05FE9">
        <w:rPr>
          <w:i/>
        </w:rPr>
        <w:t>right D</w:t>
      </w:r>
      <w:r w:rsidR="00C46525" w:rsidRPr="00F05FE9">
        <w:rPr>
          <w:i/>
          <w:vertAlign w:val="subscript"/>
        </w:rPr>
        <w:t>R</w:t>
      </w:r>
      <w:r w:rsidR="00C46525" w:rsidRPr="00F05FE9">
        <w:t xml:space="preserve">, because of the risk of false positives, that is, permissible conduct that is wrongly identified as impermissible, in virtue of the harms </w:t>
      </w:r>
      <w:r w:rsidR="00EB38BD" w:rsidRPr="00F05FE9">
        <w:t>attendant on</w:t>
      </w:r>
      <w:r w:rsidR="00C46525" w:rsidRPr="00F05FE9">
        <w:t xml:space="preserve"> forcing treatment on individuals mistakenly thought to intend suicide while refusing treatment.</w:t>
      </w:r>
      <w:r w:rsidR="00FA0A9D" w:rsidRPr="00F05FE9">
        <w:t xml:space="preserve"> </w:t>
      </w:r>
      <w:r w:rsidR="00C46525" w:rsidRPr="00F05FE9">
        <w:t>John Keown concedes as much:</w:t>
      </w:r>
    </w:p>
    <w:p w14:paraId="570743F6" w14:textId="2CAD486F" w:rsidR="00B555C9" w:rsidRPr="00F05FE9" w:rsidRDefault="00C46525" w:rsidP="003D725F">
      <w:pPr>
        <w:pStyle w:val="Quote"/>
        <w:spacing w:line="276" w:lineRule="auto"/>
        <w:jc w:val="left"/>
      </w:pPr>
      <w:proofErr w:type="gramStart"/>
      <w:r w:rsidRPr="00F05FE9">
        <w:t>in order to</w:t>
      </w:r>
      <w:proofErr w:type="gramEnd"/>
      <w:r w:rsidRPr="00F05FE9">
        <w:t xml:space="preserve"> avoid the injustice of doctors forcing treatment on patients who are wrongly suspected of refusing treatment with intent to kill themselves, the law could properly require doctors to respect all competent refusals of treatment, without in any way endorsing those which are suicidal.</w:t>
      </w:r>
      <w:r w:rsidR="0033323A" w:rsidRPr="00F05FE9">
        <w:rPr>
          <w:rStyle w:val="FootnoteReference"/>
        </w:rPr>
        <w:footnoteReference w:id="77"/>
      </w:r>
    </w:p>
    <w:p w14:paraId="4CC705BD" w14:textId="1932FA1C" w:rsidR="00B555C9" w:rsidRPr="00F05FE9" w:rsidRDefault="00C46525" w:rsidP="003D725F">
      <w:pPr>
        <w:pStyle w:val="Body"/>
        <w:spacing w:line="276" w:lineRule="auto"/>
        <w:jc w:val="left"/>
      </w:pPr>
      <w:r w:rsidRPr="00F05FE9">
        <w:t xml:space="preserve">Therefore, even if we concede that morals might constitute a relevant counterweight to </w:t>
      </w:r>
      <w:r w:rsidR="000C79D5" w:rsidRPr="00F05FE9">
        <w:rPr>
          <w:i/>
        </w:rPr>
        <w:t>P</w:t>
      </w:r>
      <w:r w:rsidRPr="00F05FE9">
        <w:t xml:space="preserve">’s autonomy, we might doubt whether </w:t>
      </w:r>
      <w:r w:rsidR="0093258D" w:rsidRPr="00F05FE9">
        <w:t>the former</w:t>
      </w:r>
      <w:r w:rsidRPr="00F05FE9">
        <w:t xml:space="preserve"> provide</w:t>
      </w:r>
      <w:r w:rsidR="0093258D" w:rsidRPr="00F05FE9">
        <w:t>s</w:t>
      </w:r>
      <w:r w:rsidRPr="00F05FE9">
        <w:t xml:space="preserve"> ground for the substantive limitation of </w:t>
      </w:r>
      <w:r w:rsidRPr="00F05FE9">
        <w:rPr>
          <w:i/>
        </w:rPr>
        <w:t>right D</w:t>
      </w:r>
      <w:r w:rsidRPr="00F05FE9">
        <w:rPr>
          <w:i/>
          <w:vertAlign w:val="subscript"/>
        </w:rPr>
        <w:t>R</w:t>
      </w:r>
      <w:r w:rsidRPr="00F05FE9">
        <w:t>.</w:t>
      </w:r>
      <w:bookmarkStart w:id="32" w:name="hn_The_interests_of_others"/>
      <w:bookmarkEnd w:id="32"/>
    </w:p>
    <w:p w14:paraId="7DC6C1BE" w14:textId="5500A608" w:rsidR="00C46525" w:rsidRPr="00F05FE9" w:rsidRDefault="00C46525" w:rsidP="003D725F">
      <w:pPr>
        <w:pStyle w:val="Heading4"/>
        <w:spacing w:line="276" w:lineRule="auto"/>
      </w:pPr>
      <w:r w:rsidRPr="00F05FE9">
        <w:t>The interests of others</w:t>
      </w:r>
    </w:p>
    <w:p w14:paraId="0A34078B" w14:textId="22816B2B" w:rsidR="00B555C9" w:rsidRPr="00F05FE9" w:rsidRDefault="00C46525" w:rsidP="003D725F">
      <w:pPr>
        <w:pStyle w:val="Body"/>
        <w:spacing w:line="276" w:lineRule="auto"/>
        <w:jc w:val="left"/>
      </w:pPr>
      <w:r w:rsidRPr="00F05FE9">
        <w:t xml:space="preserve">To what extent </w:t>
      </w:r>
      <w:r w:rsidR="00862185" w:rsidRPr="00F05FE9">
        <w:t>might</w:t>
      </w:r>
      <w:r w:rsidRPr="00F05FE9">
        <w:t xml:space="preserve"> other-regarding considerations outweigh an individual’s autonomy interests such as to deny or limit her right to refuse LPT? Let us first consider </w:t>
      </w:r>
      <w:r w:rsidR="00E30A4B" w:rsidRPr="00F05FE9">
        <w:t xml:space="preserve">two </w:t>
      </w:r>
      <w:r w:rsidRPr="00F05FE9">
        <w:t>argument</w:t>
      </w:r>
      <w:r w:rsidR="00F32A5E" w:rsidRPr="00F05FE9">
        <w:t>s</w:t>
      </w:r>
      <w:r w:rsidRPr="00F05FE9">
        <w:t xml:space="preserve"> from welfare, before moving on to arguments from</w:t>
      </w:r>
      <w:r w:rsidR="00F51AA2" w:rsidRPr="00F05FE9">
        <w:t xml:space="preserve"> </w:t>
      </w:r>
      <w:r w:rsidR="00440C04" w:rsidRPr="00F05FE9">
        <w:t>the right to life and population health.</w:t>
      </w:r>
    </w:p>
    <w:p w14:paraId="269EF233" w14:textId="72B05758" w:rsidR="00365ACC" w:rsidRPr="00F05FE9" w:rsidRDefault="00C46525" w:rsidP="003D725F">
      <w:pPr>
        <w:pStyle w:val="Body"/>
        <w:spacing w:line="276" w:lineRule="auto"/>
        <w:jc w:val="left"/>
      </w:pPr>
      <w:r w:rsidRPr="00F05FE9">
        <w:t xml:space="preserve">The moralist might advance </w:t>
      </w:r>
      <w:r w:rsidR="00261AD9" w:rsidRPr="00F05FE9">
        <w:t>the following</w:t>
      </w:r>
      <w:r w:rsidRPr="00F05FE9">
        <w:t xml:space="preserve"> argument from welfare: </w:t>
      </w:r>
      <w:r w:rsidR="000C79D5" w:rsidRPr="00F05FE9">
        <w:rPr>
          <w:i/>
        </w:rPr>
        <w:t>P</w:t>
      </w:r>
      <w:r w:rsidRPr="00F05FE9">
        <w:t xml:space="preserve">’s immoral conduct of her own life, in our case, the refusal of LPT, is so outrageous that it has an impact </w:t>
      </w:r>
      <w:r w:rsidR="00B959BA" w:rsidRPr="00F05FE9">
        <w:t xml:space="preserve">on another </w:t>
      </w:r>
      <w:r w:rsidR="00A42F97" w:rsidRPr="00F05FE9">
        <w:t xml:space="preserve">welfare </w:t>
      </w:r>
      <w:r w:rsidR="00B959BA" w:rsidRPr="00F05FE9">
        <w:t xml:space="preserve">subject </w:t>
      </w:r>
      <w:r w:rsidR="00A42F97" w:rsidRPr="00F05FE9">
        <w:t xml:space="preserve">(henceforth </w:t>
      </w:r>
      <w:r w:rsidR="00A42F97" w:rsidRPr="00F05FE9">
        <w:rPr>
          <w:i/>
        </w:rPr>
        <w:t>R</w:t>
      </w:r>
      <w:r w:rsidR="00A42F97" w:rsidRPr="00F05FE9">
        <w:t>)</w:t>
      </w:r>
      <w:r w:rsidRPr="00F05FE9">
        <w:t xml:space="preserve">, and </w:t>
      </w:r>
      <w:r w:rsidR="00332B56" w:rsidRPr="00F05FE9">
        <w:rPr>
          <w:i/>
        </w:rPr>
        <w:t>R</w:t>
      </w:r>
      <w:r w:rsidRPr="00F05FE9">
        <w:t xml:space="preserve">’s </w:t>
      </w:r>
      <w:r w:rsidR="0090597D" w:rsidRPr="00F05FE9">
        <w:t xml:space="preserve">welfare </w:t>
      </w:r>
      <w:r w:rsidRPr="00F05FE9">
        <w:t xml:space="preserve">interest is sufficiently important to defeat </w:t>
      </w:r>
      <w:r w:rsidR="000C79D5" w:rsidRPr="00F05FE9">
        <w:rPr>
          <w:i/>
        </w:rPr>
        <w:t>P</w:t>
      </w:r>
      <w:r w:rsidRPr="00F05FE9">
        <w:t xml:space="preserve">’s right to </w:t>
      </w:r>
      <w:r w:rsidR="00A2734A" w:rsidRPr="00F05FE9">
        <w:t xml:space="preserve">refuse </w:t>
      </w:r>
      <w:r w:rsidRPr="00F05FE9">
        <w:t xml:space="preserve">LPT. This argument seems </w:t>
      </w:r>
      <w:r w:rsidR="00BE57F8" w:rsidRPr="00F05FE9">
        <w:t>wildly i</w:t>
      </w:r>
      <w:r w:rsidRPr="00F05FE9">
        <w:t>mplausible.</w:t>
      </w:r>
      <w:r w:rsidR="00EC4292" w:rsidRPr="00F05FE9">
        <w:rPr>
          <w:rStyle w:val="FootnoteReference"/>
        </w:rPr>
        <w:footnoteReference w:id="78"/>
      </w:r>
      <w:r w:rsidRPr="00F05FE9">
        <w:t xml:space="preserve"> </w:t>
      </w:r>
      <w:r w:rsidR="00103A4C" w:rsidRPr="00F05FE9">
        <w:t xml:space="preserve">We might reasonably think </w:t>
      </w:r>
      <w:r w:rsidRPr="00F05FE9">
        <w:lastRenderedPageBreak/>
        <w:t xml:space="preserve">that </w:t>
      </w:r>
      <w:r w:rsidR="005F4186" w:rsidRPr="00F05FE9">
        <w:t xml:space="preserve">the negatives associated with violating </w:t>
      </w:r>
      <w:r w:rsidR="005F4186" w:rsidRPr="00F05FE9">
        <w:rPr>
          <w:i/>
        </w:rPr>
        <w:t>P</w:t>
      </w:r>
      <w:r w:rsidR="005F4186" w:rsidRPr="00F05FE9">
        <w:t xml:space="preserve">’s autonomy and forcing treatment would always outweigh </w:t>
      </w:r>
      <w:r w:rsidR="00016174" w:rsidRPr="00F05FE9">
        <w:t xml:space="preserve">any </w:t>
      </w:r>
      <w:r w:rsidRPr="00F05FE9">
        <w:t xml:space="preserve">negative impact of </w:t>
      </w:r>
      <w:r w:rsidR="000C79D5" w:rsidRPr="00F05FE9">
        <w:rPr>
          <w:i/>
        </w:rPr>
        <w:t>P</w:t>
      </w:r>
      <w:r w:rsidRPr="00F05FE9">
        <w:t xml:space="preserve">’s </w:t>
      </w:r>
      <w:r w:rsidR="00BF2664" w:rsidRPr="00F05FE9">
        <w:t>‘</w:t>
      </w:r>
      <w:r w:rsidRPr="00F05FE9">
        <w:t>immorality</w:t>
      </w:r>
      <w:r w:rsidR="00BF2664" w:rsidRPr="00F05FE9">
        <w:t>’</w:t>
      </w:r>
      <w:r w:rsidRPr="00F05FE9">
        <w:t xml:space="preserve"> on </w:t>
      </w:r>
      <w:r w:rsidR="00637ADD" w:rsidRPr="00F05FE9">
        <w:rPr>
          <w:i/>
        </w:rPr>
        <w:t>R</w:t>
      </w:r>
      <w:r w:rsidRPr="00F05FE9">
        <w:t xml:space="preserve">’s welfare, such that </w:t>
      </w:r>
      <w:r w:rsidR="00637ADD" w:rsidRPr="00F05FE9">
        <w:rPr>
          <w:i/>
        </w:rPr>
        <w:t>R</w:t>
      </w:r>
      <w:r w:rsidRPr="00F05FE9">
        <w:t xml:space="preserve">’s moralistic welfare interest could never defeat </w:t>
      </w:r>
      <w:r w:rsidR="000C79D5" w:rsidRPr="00F05FE9">
        <w:rPr>
          <w:i/>
        </w:rPr>
        <w:t>P</w:t>
      </w:r>
      <w:r w:rsidRPr="00F05FE9">
        <w:t xml:space="preserve">’s interest in autonomy. However, it might be counter-argued that while any one </w:t>
      </w:r>
      <w:r w:rsidR="00AB15BF" w:rsidRPr="00F05FE9">
        <w:rPr>
          <w:i/>
        </w:rPr>
        <w:t>R</w:t>
      </w:r>
      <w:r w:rsidRPr="00F05FE9">
        <w:t xml:space="preserve">’s welfare is not significantly affected by </w:t>
      </w:r>
      <w:r w:rsidR="000C79D5" w:rsidRPr="00F05FE9">
        <w:rPr>
          <w:i/>
        </w:rPr>
        <w:t>P</w:t>
      </w:r>
      <w:r w:rsidRPr="00F05FE9">
        <w:t>’s refusal of LPT, if many individuals share the same</w:t>
      </w:r>
      <w:r w:rsidR="00B10F8B" w:rsidRPr="00F05FE9">
        <w:t xml:space="preserve"> moralistic </w:t>
      </w:r>
      <w:r w:rsidR="00E07DA7" w:rsidRPr="00F05FE9">
        <w:t>states of mind</w:t>
      </w:r>
      <w:r w:rsidR="00B10F8B" w:rsidRPr="00F05FE9">
        <w:t xml:space="preserve"> or a few</w:t>
      </w:r>
      <w:r w:rsidRPr="00F05FE9">
        <w:t xml:space="preserve"> individuals experience particularly intense and persistent moralistic outrage, the aggregate </w:t>
      </w:r>
      <w:r w:rsidR="00774B4E" w:rsidRPr="00F05FE9">
        <w:t xml:space="preserve">negative </w:t>
      </w:r>
      <w:r w:rsidR="00BE57F8" w:rsidRPr="00F05FE9">
        <w:t xml:space="preserve">effect on </w:t>
      </w:r>
      <w:r w:rsidRPr="00F05FE9">
        <w:t xml:space="preserve">welfare may be very significant, and sufficient to outweigh </w:t>
      </w:r>
      <w:r w:rsidR="00150A89" w:rsidRPr="00F05FE9">
        <w:t>the</w:t>
      </w:r>
      <w:r w:rsidRPr="00F05FE9">
        <w:t xml:space="preserve"> aggregate </w:t>
      </w:r>
      <w:r w:rsidR="00150A89" w:rsidRPr="00F05FE9">
        <w:t xml:space="preserve">negatives for </w:t>
      </w:r>
      <w:r w:rsidRPr="00F05FE9">
        <w:t>any number of individuals who</w:t>
      </w:r>
      <w:r w:rsidR="00257083" w:rsidRPr="00F05FE9">
        <w:t>se refusal of</w:t>
      </w:r>
      <w:r w:rsidRPr="00F05FE9">
        <w:t xml:space="preserve"> LPT</w:t>
      </w:r>
      <w:r w:rsidR="00E55D01" w:rsidRPr="00F05FE9">
        <w:t xml:space="preserve"> is </w:t>
      </w:r>
      <w:r w:rsidR="000D1288" w:rsidRPr="00F05FE9">
        <w:t>overridden</w:t>
      </w:r>
      <w:r w:rsidRPr="00F05FE9">
        <w:rPr>
          <w:i/>
        </w:rPr>
        <w:t>.</w:t>
      </w:r>
    </w:p>
    <w:p w14:paraId="44B84A17" w14:textId="05873085" w:rsidR="001C1B79" w:rsidRPr="00F05FE9" w:rsidRDefault="00C46525" w:rsidP="003D725F">
      <w:pPr>
        <w:pStyle w:val="Body"/>
        <w:spacing w:line="276" w:lineRule="auto"/>
        <w:jc w:val="left"/>
      </w:pPr>
      <w:r w:rsidRPr="00F05FE9">
        <w:t>Recall, however, that the</w:t>
      </w:r>
      <w:r w:rsidR="00183173" w:rsidRPr="00F05FE9">
        <w:t xml:space="preserve"> interest theory’s</w:t>
      </w:r>
      <w:r w:rsidRPr="00F05FE9">
        <w:t xml:space="preserve"> cost-benefit analysis is ‘moralised’</w:t>
      </w:r>
      <w:r w:rsidR="00D52629" w:rsidRPr="00F05FE9">
        <w:t>, that is, it need not commit to</w:t>
      </w:r>
      <w:r w:rsidR="00642753" w:rsidRPr="00F05FE9">
        <w:t xml:space="preserve"> the promotion of interests </w:t>
      </w:r>
      <w:r w:rsidR="005171C7" w:rsidRPr="00F05FE9">
        <w:t xml:space="preserve">that </w:t>
      </w:r>
      <w:r w:rsidR="00365ACC" w:rsidRPr="00F05FE9">
        <w:t xml:space="preserve">apparently </w:t>
      </w:r>
      <w:r w:rsidR="005171C7" w:rsidRPr="00F05FE9">
        <w:t xml:space="preserve">maximise </w:t>
      </w:r>
      <w:r w:rsidR="009F4586" w:rsidRPr="00F05FE9">
        <w:t xml:space="preserve">the </w:t>
      </w:r>
      <w:r w:rsidR="005171C7" w:rsidRPr="00F05FE9">
        <w:t>net aggregate welfare</w:t>
      </w:r>
      <w:r w:rsidR="001F7743" w:rsidRPr="00F05FE9">
        <w:t xml:space="preserve"> </w:t>
      </w:r>
      <w:r w:rsidR="009F4586" w:rsidRPr="00F05FE9">
        <w:t xml:space="preserve">of </w:t>
      </w:r>
      <w:r w:rsidR="001F7743" w:rsidRPr="00F05FE9">
        <w:t xml:space="preserve">a </w:t>
      </w:r>
      <w:proofErr w:type="gramStart"/>
      <w:r w:rsidR="001F7743" w:rsidRPr="00F05FE9">
        <w:t>particular population</w:t>
      </w:r>
      <w:proofErr w:type="gramEnd"/>
      <w:r w:rsidR="00F071F0" w:rsidRPr="00F05FE9">
        <w:t>;</w:t>
      </w:r>
      <w:r w:rsidR="00D52629" w:rsidRPr="00F05FE9">
        <w:rPr>
          <w:rStyle w:val="FootnoteReference"/>
        </w:rPr>
        <w:footnoteReference w:id="79"/>
      </w:r>
      <w:r w:rsidR="00F071F0" w:rsidRPr="00F05FE9">
        <w:t xml:space="preserve"> w</w:t>
      </w:r>
      <w:r w:rsidR="00362F1C" w:rsidRPr="00F05FE9">
        <w:t xml:space="preserve">e may discount </w:t>
      </w:r>
      <w:r w:rsidRPr="00F05FE9">
        <w:t xml:space="preserve">interests if there are plausible moral reasons for so doing. </w:t>
      </w:r>
      <w:r w:rsidR="001C1B79" w:rsidRPr="00F05FE9">
        <w:t xml:space="preserve">Robert </w:t>
      </w:r>
      <w:proofErr w:type="spellStart"/>
      <w:r w:rsidR="001C1B79" w:rsidRPr="00F05FE9">
        <w:t>Goodin</w:t>
      </w:r>
      <w:proofErr w:type="spellEnd"/>
      <w:r w:rsidR="001C1B79" w:rsidRPr="00F05FE9">
        <w:t xml:space="preserve"> argues</w:t>
      </w:r>
      <w:r w:rsidR="006614F7" w:rsidRPr="00F05FE9">
        <w:t xml:space="preserve"> </w:t>
      </w:r>
      <w:r w:rsidR="001C1B79" w:rsidRPr="00F05FE9">
        <w:t>that</w:t>
      </w:r>
      <w:r w:rsidR="006614F7" w:rsidRPr="00F05FE9">
        <w:t xml:space="preserve">, </w:t>
      </w:r>
      <w:r w:rsidR="006614F7" w:rsidRPr="00F05FE9">
        <w:rPr>
          <w:i/>
        </w:rPr>
        <w:t>inter alia</w:t>
      </w:r>
      <w:r w:rsidR="006614F7" w:rsidRPr="00F05FE9">
        <w:t>,</w:t>
      </w:r>
      <w:r w:rsidR="001C1B79" w:rsidRPr="00F05FE9">
        <w:t xml:space="preserve"> </w:t>
      </w:r>
      <w:r w:rsidR="006614F7" w:rsidRPr="00F05FE9">
        <w:t xml:space="preserve">individuals’ </w:t>
      </w:r>
      <w:r w:rsidR="001C1B79" w:rsidRPr="00F05FE9">
        <w:rPr>
          <w:i/>
        </w:rPr>
        <w:t xml:space="preserve">implicit preferences for preferences </w:t>
      </w:r>
      <w:r w:rsidR="006614F7" w:rsidRPr="00F05FE9">
        <w:t xml:space="preserve">may justify the </w:t>
      </w:r>
      <w:r w:rsidR="006614F7" w:rsidRPr="00F05FE9">
        <w:rPr>
          <w:i/>
        </w:rPr>
        <w:t>laundering</w:t>
      </w:r>
      <w:r w:rsidR="00BB69EC" w:rsidRPr="00F05FE9">
        <w:t xml:space="preserve"> </w:t>
      </w:r>
      <w:r w:rsidR="006614F7" w:rsidRPr="00F05FE9">
        <w:t>of preferences such that ‘certain classes of desires and preferences [do not count] when aggregating individual utilities’</w:t>
      </w:r>
      <w:r w:rsidR="00A04F9A" w:rsidRPr="00F05FE9">
        <w:t>.</w:t>
      </w:r>
      <w:r w:rsidR="00A04F9A" w:rsidRPr="00F05FE9">
        <w:rPr>
          <w:rStyle w:val="FootnoteReference"/>
        </w:rPr>
        <w:footnoteReference w:id="80"/>
      </w:r>
      <w:r w:rsidR="00C91CF3" w:rsidRPr="00F05FE9">
        <w:t xml:space="preserve"> Implicit preferences for preferences</w:t>
      </w:r>
      <w:r w:rsidR="007766E7" w:rsidRPr="00F05FE9">
        <w:t xml:space="preserve"> </w:t>
      </w:r>
      <w:r w:rsidR="00C91CF3" w:rsidRPr="00F05FE9">
        <w:t xml:space="preserve">are the ‘logical relations among those preferences that people </w:t>
      </w:r>
      <w:r w:rsidR="00C91CF3" w:rsidRPr="00F05FE9">
        <w:rPr>
          <w:i/>
        </w:rPr>
        <w:t xml:space="preserve">do </w:t>
      </w:r>
      <w:r w:rsidR="00C91CF3" w:rsidRPr="00F05FE9">
        <w:t>acknowledge which imply certain other preferences that they may fail to acknowledge</w:t>
      </w:r>
      <w:r w:rsidR="003D5CED" w:rsidRPr="00F05FE9">
        <w:t>’</w:t>
      </w:r>
      <w:r w:rsidR="00C91CF3" w:rsidRPr="00F05FE9">
        <w:t>.</w:t>
      </w:r>
      <w:r w:rsidR="00CE44FE" w:rsidRPr="00F05FE9">
        <w:rPr>
          <w:rStyle w:val="FootnoteReference"/>
        </w:rPr>
        <w:footnoteReference w:id="81"/>
      </w:r>
      <w:r w:rsidR="00C94C1E" w:rsidRPr="00F05FE9">
        <w:t xml:space="preserve"> To the extent that </w:t>
      </w:r>
      <w:r w:rsidR="007766E7" w:rsidRPr="00F05FE9">
        <w:t>these implicit second-order preferences possess greater moral importance than individuals</w:t>
      </w:r>
      <w:r w:rsidR="001E388C" w:rsidRPr="00F05FE9">
        <w:t>’</w:t>
      </w:r>
      <w:r w:rsidR="007766E7" w:rsidRPr="00F05FE9">
        <w:t xml:space="preserve"> expressed first-order preferences,</w:t>
      </w:r>
      <w:r w:rsidR="001E388C" w:rsidRPr="00F05FE9">
        <w:rPr>
          <w:rStyle w:val="FootnoteReference"/>
        </w:rPr>
        <w:footnoteReference w:id="82"/>
      </w:r>
      <w:r w:rsidR="007766E7" w:rsidRPr="00F05FE9">
        <w:t xml:space="preserve"> it </w:t>
      </w:r>
      <w:r w:rsidR="00637EA0" w:rsidRPr="00F05FE9">
        <w:t xml:space="preserve">may be </w:t>
      </w:r>
      <w:r w:rsidR="007766E7" w:rsidRPr="00F05FE9">
        <w:t xml:space="preserve">permissible </w:t>
      </w:r>
      <w:r w:rsidR="004C4FF2" w:rsidRPr="00F05FE9">
        <w:t xml:space="preserve">to </w:t>
      </w:r>
      <w:r w:rsidR="00F071F0" w:rsidRPr="00F05FE9">
        <w:t xml:space="preserve">launder moralistic welfare interests that </w:t>
      </w:r>
      <w:r w:rsidR="00DF038A" w:rsidRPr="00F05FE9">
        <w:t xml:space="preserve">might otherwise defeat </w:t>
      </w:r>
      <w:r w:rsidR="00F071F0" w:rsidRPr="00F05FE9">
        <w:rPr>
          <w:i/>
        </w:rPr>
        <w:t>P</w:t>
      </w:r>
      <w:r w:rsidR="00F071F0" w:rsidRPr="00F05FE9">
        <w:t xml:space="preserve">’s possession of </w:t>
      </w:r>
      <w:r w:rsidR="00F071F0" w:rsidRPr="00F05FE9">
        <w:rPr>
          <w:i/>
        </w:rPr>
        <w:t>right D</w:t>
      </w:r>
      <w:r w:rsidR="00F071F0" w:rsidRPr="00F05FE9">
        <w:rPr>
          <w:i/>
          <w:vertAlign w:val="subscript"/>
        </w:rPr>
        <w:t>R</w:t>
      </w:r>
      <w:r w:rsidR="00F071F0" w:rsidRPr="00F05FE9">
        <w:t>.</w:t>
      </w:r>
      <w:r w:rsidR="00C94C1E" w:rsidRPr="00F05FE9">
        <w:t xml:space="preserve"> </w:t>
      </w:r>
      <w:r w:rsidR="00637EA0" w:rsidRPr="00F05FE9">
        <w:t xml:space="preserve">For </w:t>
      </w:r>
      <w:r w:rsidR="006203DA" w:rsidRPr="00F05FE9">
        <w:t>beneath</w:t>
      </w:r>
      <w:r w:rsidR="00637EA0" w:rsidRPr="00F05FE9">
        <w:t xml:space="preserve"> the </w:t>
      </w:r>
      <w:r w:rsidR="00C94C1E" w:rsidRPr="00F05FE9">
        <w:t xml:space="preserve">explicit preference </w:t>
      </w:r>
      <w:r w:rsidR="00637EA0" w:rsidRPr="00F05FE9">
        <w:t xml:space="preserve">not to have one’s welfare negatively impacted by the immoral behaviour of others </w:t>
      </w:r>
      <w:r w:rsidR="00DF038A" w:rsidRPr="00F05FE9">
        <w:t xml:space="preserve">appears to lie a preference </w:t>
      </w:r>
      <w:r w:rsidR="00D23D95" w:rsidRPr="00F05FE9">
        <w:t xml:space="preserve">that speaks to </w:t>
      </w:r>
      <w:r w:rsidR="006E2CBB" w:rsidRPr="00F05FE9">
        <w:t xml:space="preserve">the freedom </w:t>
      </w:r>
      <w:r w:rsidR="00636EC4" w:rsidRPr="00F05FE9">
        <w:t xml:space="preserve">to </w:t>
      </w:r>
      <w:r w:rsidR="00D23D95" w:rsidRPr="00F05FE9">
        <w:t>live one’s life according to beliefs</w:t>
      </w:r>
      <w:r w:rsidR="000417A4" w:rsidRPr="00F05FE9">
        <w:t xml:space="preserve"> of one’s own choosing, in this instance, a </w:t>
      </w:r>
      <w:proofErr w:type="gramStart"/>
      <w:r w:rsidR="000417A4" w:rsidRPr="00F05FE9">
        <w:t>particular</w:t>
      </w:r>
      <w:r w:rsidR="00E46EF9" w:rsidRPr="00F05FE9">
        <w:t xml:space="preserve"> </w:t>
      </w:r>
      <w:r w:rsidR="000417A4" w:rsidRPr="00F05FE9">
        <w:t>moral</w:t>
      </w:r>
      <w:proofErr w:type="gramEnd"/>
      <w:r w:rsidR="000417A4" w:rsidRPr="00F05FE9">
        <w:t xml:space="preserve"> code</w:t>
      </w:r>
      <w:r w:rsidR="00636EC4" w:rsidRPr="00F05FE9">
        <w:t>.</w:t>
      </w:r>
      <w:r w:rsidR="006E5A0F" w:rsidRPr="00F05FE9">
        <w:t xml:space="preserve"> Yet it seems difficult to deny the </w:t>
      </w:r>
      <w:r w:rsidR="0038486C" w:rsidRPr="00F05FE9">
        <w:t>universalizability of this preference, that is, the extension of its benefit to other individuals.</w:t>
      </w:r>
      <w:r w:rsidR="005C5E30" w:rsidRPr="00F05FE9">
        <w:t xml:space="preserve"> Yet so universalised, </w:t>
      </w:r>
      <w:r w:rsidR="00846640" w:rsidRPr="00F05FE9">
        <w:t xml:space="preserve">the second-order preference appears to require the discounting of the first; the freedom to follow one’s </w:t>
      </w:r>
      <w:r w:rsidR="00846640" w:rsidRPr="00F05FE9">
        <w:rPr>
          <w:i/>
        </w:rPr>
        <w:t xml:space="preserve">conception of the good life </w:t>
      </w:r>
      <w:r w:rsidR="008F33C8" w:rsidRPr="00F05FE9">
        <w:t xml:space="preserve">requires giving up </w:t>
      </w:r>
      <w:r w:rsidR="001315F9" w:rsidRPr="00F05FE9">
        <w:t xml:space="preserve">any claim to restrain others in their pursuit of </w:t>
      </w:r>
      <w:r w:rsidR="001315F9" w:rsidRPr="00F05FE9">
        <w:lastRenderedPageBreak/>
        <w:t xml:space="preserve">the same. This is not to diminish the negative impact that </w:t>
      </w:r>
      <w:r w:rsidR="00A65D7C" w:rsidRPr="00F05FE9">
        <w:t>an individual’s</w:t>
      </w:r>
      <w:r w:rsidR="001315F9" w:rsidRPr="00F05FE9">
        <w:t xml:space="preserve"> ‘immoral’ </w:t>
      </w:r>
      <w:r w:rsidR="00A12CAB" w:rsidRPr="00F05FE9">
        <w:t xml:space="preserve">refusal of LPT </w:t>
      </w:r>
      <w:r w:rsidR="001315F9" w:rsidRPr="00F05FE9">
        <w:t xml:space="preserve">may have </w:t>
      </w:r>
      <w:r w:rsidR="00A65D7C" w:rsidRPr="00F05FE9">
        <w:t>the moralist’s</w:t>
      </w:r>
      <w:r w:rsidR="001315F9" w:rsidRPr="00F05FE9">
        <w:t xml:space="preserve"> welfare. </w:t>
      </w:r>
      <w:r w:rsidR="00A3111A" w:rsidRPr="00F05FE9">
        <w:t xml:space="preserve">It is merely to deny that </w:t>
      </w:r>
      <w:r w:rsidR="007F7F0A" w:rsidRPr="00F05FE9">
        <w:t xml:space="preserve">preferences to avoid such impacts </w:t>
      </w:r>
      <w:r w:rsidR="00A3111A" w:rsidRPr="00F05FE9">
        <w:t xml:space="preserve">count in the balance </w:t>
      </w:r>
      <w:r w:rsidR="00C17661" w:rsidRPr="00F05FE9">
        <w:t>when establishing what rights individuals possess.</w:t>
      </w:r>
      <w:r w:rsidR="00E2157B">
        <w:rPr>
          <w:rStyle w:val="FootnoteReference"/>
        </w:rPr>
        <w:footnoteReference w:id="83"/>
      </w:r>
    </w:p>
    <w:p w14:paraId="162983BA" w14:textId="08191130" w:rsidR="00B555C9" w:rsidRPr="00F05FE9" w:rsidRDefault="0014642B" w:rsidP="003D725F">
      <w:pPr>
        <w:pStyle w:val="Body"/>
        <w:spacing w:line="276" w:lineRule="auto"/>
        <w:jc w:val="left"/>
      </w:pPr>
      <w:r w:rsidRPr="00F05FE9">
        <w:t>Perhaps m</w:t>
      </w:r>
      <w:r w:rsidR="00C46525" w:rsidRPr="00F05FE9">
        <w:t xml:space="preserve">ore </w:t>
      </w:r>
      <w:r w:rsidRPr="00F05FE9">
        <w:t xml:space="preserve">promising </w:t>
      </w:r>
      <w:r w:rsidR="00C46525" w:rsidRPr="00F05FE9">
        <w:t>argument</w:t>
      </w:r>
      <w:r w:rsidR="00DD0BD3" w:rsidRPr="00F05FE9">
        <w:t>s</w:t>
      </w:r>
      <w:r w:rsidR="00C46525" w:rsidRPr="00F05FE9">
        <w:t xml:space="preserve"> for restricting</w:t>
      </w:r>
      <w:r w:rsidR="00DD0BD3" w:rsidRPr="00F05FE9">
        <w:t xml:space="preserve"> refusal of LPT arise</w:t>
      </w:r>
      <w:r w:rsidR="00C46525" w:rsidRPr="00F05FE9">
        <w:t xml:space="preserve"> when </w:t>
      </w:r>
      <w:r w:rsidR="000C79D5" w:rsidRPr="00F05FE9">
        <w:rPr>
          <w:i/>
        </w:rPr>
        <w:t>P</w:t>
      </w:r>
      <w:r w:rsidR="00C46525" w:rsidRPr="00F05FE9">
        <w:t xml:space="preserve">’s refusal </w:t>
      </w:r>
      <w:r w:rsidR="00B641E6" w:rsidRPr="00F05FE9">
        <w:t xml:space="preserve">impacts on </w:t>
      </w:r>
      <w:r w:rsidR="00C46525" w:rsidRPr="00F05FE9">
        <w:t xml:space="preserve">the welfare </w:t>
      </w:r>
      <w:r w:rsidR="001C4946" w:rsidRPr="00F05FE9">
        <w:t>or</w:t>
      </w:r>
      <w:r w:rsidR="00C46525" w:rsidRPr="00F05FE9">
        <w:t xml:space="preserve"> autonomy of others </w:t>
      </w:r>
      <w:r w:rsidR="00407527" w:rsidRPr="00F05FE9">
        <w:t xml:space="preserve">in a direct sense, </w:t>
      </w:r>
      <w:r w:rsidR="00C46525" w:rsidRPr="00F05FE9">
        <w:t xml:space="preserve">that is, </w:t>
      </w:r>
      <w:r w:rsidR="00B641E6" w:rsidRPr="00F05FE9">
        <w:t>un</w:t>
      </w:r>
      <w:r w:rsidR="00C46525" w:rsidRPr="00F05FE9">
        <w:t>mediated by moralis</w:t>
      </w:r>
      <w:r w:rsidR="00456694" w:rsidRPr="00F05FE9">
        <w:t>m</w:t>
      </w:r>
      <w:r w:rsidR="00C46525" w:rsidRPr="00F05FE9">
        <w:t xml:space="preserve">. One such argument </w:t>
      </w:r>
      <w:r w:rsidR="00B55A4B" w:rsidRPr="00F05FE9">
        <w:t xml:space="preserve">stems from </w:t>
      </w:r>
      <w:r w:rsidR="00C46525" w:rsidRPr="00F05FE9">
        <w:t>the welfare interests of loved ones.</w:t>
      </w:r>
      <w:r w:rsidR="00A57621" w:rsidRPr="00F05FE9">
        <w:rPr>
          <w:rStyle w:val="FootnoteReference"/>
        </w:rPr>
        <w:footnoteReference w:id="84"/>
      </w:r>
      <w:r w:rsidR="00C46525" w:rsidRPr="00F05FE9">
        <w:t xml:space="preserve"> Here it is advanced that we should disallow </w:t>
      </w:r>
      <w:r w:rsidR="000C79D5" w:rsidRPr="00F05FE9">
        <w:rPr>
          <w:i/>
        </w:rPr>
        <w:t>P</w:t>
      </w:r>
      <w:r w:rsidR="00C46525" w:rsidRPr="00F05FE9">
        <w:t>’s</w:t>
      </w:r>
      <w:r w:rsidR="00C46525" w:rsidRPr="00F05FE9">
        <w:rPr>
          <w:i/>
        </w:rPr>
        <w:t xml:space="preserve"> </w:t>
      </w:r>
      <w:r w:rsidR="00C46525" w:rsidRPr="00F05FE9">
        <w:t xml:space="preserve">refusal of LPT just when it </w:t>
      </w:r>
      <w:r w:rsidR="006C3559" w:rsidRPr="00F05FE9">
        <w:t xml:space="preserve">causes </w:t>
      </w:r>
      <w:r w:rsidR="00C46525" w:rsidRPr="00F05FE9">
        <w:t>her close personal relations</w:t>
      </w:r>
      <w:r w:rsidR="006C3559" w:rsidRPr="00F05FE9">
        <w:t xml:space="preserve"> to</w:t>
      </w:r>
      <w:r w:rsidR="00C46525" w:rsidRPr="00F05FE9">
        <w:t xml:space="preserve"> suffer emotionally </w:t>
      </w:r>
      <w:r w:rsidR="001C4946" w:rsidRPr="00F05FE9">
        <w:t>or</w:t>
      </w:r>
      <w:r w:rsidR="00C46525" w:rsidRPr="00F05FE9">
        <w:t xml:space="preserve"> materially. On a straightforward balancing exercise, we might </w:t>
      </w:r>
      <w:r w:rsidR="00530E8C" w:rsidRPr="00F05FE9">
        <w:t xml:space="preserve">again </w:t>
      </w:r>
      <w:r w:rsidR="00D83C1A" w:rsidRPr="00F05FE9">
        <w:t>suggest</w:t>
      </w:r>
      <w:r w:rsidR="00C46525" w:rsidRPr="00F05FE9">
        <w:t xml:space="preserve"> that in any one case the negative consequences of </w:t>
      </w:r>
      <w:r w:rsidR="000C79D5" w:rsidRPr="00F05FE9">
        <w:rPr>
          <w:i/>
        </w:rPr>
        <w:t>P</w:t>
      </w:r>
      <w:r w:rsidR="00C46525" w:rsidRPr="00F05FE9">
        <w:t>’s refusal of LPT</w:t>
      </w:r>
      <w:r w:rsidR="00530E8C" w:rsidRPr="00F05FE9">
        <w:t xml:space="preserve"> </w:t>
      </w:r>
      <w:r w:rsidR="00C46525" w:rsidRPr="00F05FE9">
        <w:t xml:space="preserve">are </w:t>
      </w:r>
      <w:r w:rsidR="001170BB" w:rsidRPr="00F05FE9">
        <w:t xml:space="preserve">perhaps </w:t>
      </w:r>
      <w:r w:rsidR="00C46525" w:rsidRPr="00F05FE9">
        <w:t xml:space="preserve">unlikely to be </w:t>
      </w:r>
      <w:r w:rsidR="0063642C" w:rsidRPr="00F05FE9">
        <w:t xml:space="preserve">outweigh the moral costs associated with overriding </w:t>
      </w:r>
      <w:r w:rsidR="0063642C" w:rsidRPr="00F05FE9">
        <w:rPr>
          <w:i/>
        </w:rPr>
        <w:t>P</w:t>
      </w:r>
      <w:r w:rsidR="0063642C" w:rsidRPr="00F05FE9">
        <w:t>’s refusal of LPT</w:t>
      </w:r>
      <w:r w:rsidR="00C46525" w:rsidRPr="00F05FE9">
        <w:t>. In addition, it seems plausible that negative consequences for loved ones do not always accompany refusals of LPT.</w:t>
      </w:r>
      <w:r w:rsidR="00000DFE" w:rsidRPr="00F05FE9">
        <w:rPr>
          <w:rStyle w:val="FootnoteReference"/>
        </w:rPr>
        <w:footnoteReference w:id="85"/>
      </w:r>
      <w:r w:rsidR="00C46525" w:rsidRPr="00F05FE9">
        <w:t xml:space="preserve"> Thus </w:t>
      </w:r>
      <w:r w:rsidR="000465B7" w:rsidRPr="00F05FE9">
        <w:t xml:space="preserve">we might advance </w:t>
      </w:r>
      <w:r w:rsidR="00E86EAF" w:rsidRPr="00F05FE9">
        <w:t xml:space="preserve">that </w:t>
      </w:r>
      <w:r w:rsidR="00C46525" w:rsidRPr="00F05FE9">
        <w:t xml:space="preserve">the aggregate welfare </w:t>
      </w:r>
      <w:r w:rsidR="001F5348" w:rsidRPr="00F05FE9">
        <w:t xml:space="preserve">implications </w:t>
      </w:r>
      <w:r w:rsidR="00E268F6" w:rsidRPr="00F05FE9">
        <w:t>of refusal</w:t>
      </w:r>
      <w:r w:rsidR="00C46525" w:rsidRPr="00F05FE9">
        <w:t xml:space="preserve"> of LPT may not be particularly significant. </w:t>
      </w:r>
      <w:r w:rsidR="0026632D" w:rsidRPr="00F05FE9">
        <w:t>However,</w:t>
      </w:r>
      <w:r w:rsidR="004311D8" w:rsidRPr="00F05FE9">
        <w:t xml:space="preserve"> since these are empirical matters</w:t>
      </w:r>
      <w:r w:rsidR="004A6133" w:rsidRPr="00F05FE9">
        <w:t>,</w:t>
      </w:r>
      <w:r w:rsidR="0026632D" w:rsidRPr="00F05FE9">
        <w:t xml:space="preserve"> it is possible to counterargue</w:t>
      </w:r>
      <w:r w:rsidR="00104BBA" w:rsidRPr="00F05FE9">
        <w:t xml:space="preserve"> </w:t>
      </w:r>
      <w:r w:rsidR="009D713A" w:rsidRPr="00F05FE9">
        <w:t xml:space="preserve">that </w:t>
      </w:r>
      <w:r w:rsidR="00C46525" w:rsidRPr="00F05FE9">
        <w:t xml:space="preserve">the negative consequences that result from refusal of LPT would </w:t>
      </w:r>
      <w:r w:rsidR="009F6F26" w:rsidRPr="00F05FE9">
        <w:t xml:space="preserve">at least sometimes </w:t>
      </w:r>
      <w:r w:rsidR="00C46525" w:rsidRPr="00F05FE9">
        <w:t xml:space="preserve">be substantial. </w:t>
      </w:r>
      <w:r w:rsidR="00885600" w:rsidRPr="00F05FE9">
        <w:t>T</w:t>
      </w:r>
      <w:r w:rsidR="004A6133" w:rsidRPr="00F05FE9">
        <w:t xml:space="preserve">his </w:t>
      </w:r>
      <w:r w:rsidR="00374B38" w:rsidRPr="00F05FE9">
        <w:t xml:space="preserve">raises </w:t>
      </w:r>
      <w:r w:rsidR="00AA78F0" w:rsidRPr="00F05FE9">
        <w:t xml:space="preserve">anew the </w:t>
      </w:r>
      <w:r w:rsidR="00374B38" w:rsidRPr="00F05FE9">
        <w:t xml:space="preserve">issue </w:t>
      </w:r>
      <w:r w:rsidR="00851A65" w:rsidRPr="00F05FE9">
        <w:t xml:space="preserve">of </w:t>
      </w:r>
      <w:r w:rsidR="00066828" w:rsidRPr="00F05FE9">
        <w:t xml:space="preserve">balancing in the presence </w:t>
      </w:r>
      <w:r w:rsidR="009339AB" w:rsidRPr="00F05FE9">
        <w:t xml:space="preserve">of epistemic uncertainty. Should we limit </w:t>
      </w:r>
      <w:r w:rsidR="003D7FF9">
        <w:rPr>
          <w:i/>
        </w:rPr>
        <w:t>r</w:t>
      </w:r>
      <w:r w:rsidR="009339AB" w:rsidRPr="00F05FE9">
        <w:rPr>
          <w:i/>
        </w:rPr>
        <w:t>ight D</w:t>
      </w:r>
      <w:r w:rsidR="009339AB" w:rsidRPr="00F05FE9">
        <w:rPr>
          <w:i/>
          <w:vertAlign w:val="subscript"/>
        </w:rPr>
        <w:t>R</w:t>
      </w:r>
      <w:r w:rsidR="00721E14" w:rsidRPr="00F05FE9">
        <w:t xml:space="preserve"> </w:t>
      </w:r>
      <w:r w:rsidR="00AA78F0" w:rsidRPr="00F05FE9">
        <w:t xml:space="preserve">to circumstances in which </w:t>
      </w:r>
      <w:r w:rsidR="009F45DC" w:rsidRPr="00F05FE9">
        <w:t xml:space="preserve">we know that others will not suffer substantially? </w:t>
      </w:r>
      <w:r w:rsidR="005A41C9" w:rsidRPr="00F05FE9">
        <w:t>A</w:t>
      </w:r>
      <w:r w:rsidR="00BC06D1" w:rsidRPr="00F05FE9">
        <w:t>gain, I would argue no</w:t>
      </w:r>
      <w:r w:rsidR="00131A11" w:rsidRPr="00F05FE9">
        <w:t>.</w:t>
      </w:r>
      <w:r w:rsidR="00C659EE" w:rsidRPr="00F05FE9">
        <w:t xml:space="preserve"> </w:t>
      </w:r>
      <w:r w:rsidR="00F1638B" w:rsidRPr="00F05FE9">
        <w:t>I</w:t>
      </w:r>
      <w:r w:rsidR="00CF36B5" w:rsidRPr="00F05FE9">
        <w:t xml:space="preserve">f we are uncertain as to </w:t>
      </w:r>
      <w:r w:rsidR="00C659EE" w:rsidRPr="00F05FE9">
        <w:t>whether</w:t>
      </w:r>
      <w:r w:rsidR="00FC3819" w:rsidRPr="00F05FE9">
        <w:t xml:space="preserve"> </w:t>
      </w:r>
      <w:r w:rsidR="00CB50C9" w:rsidRPr="00F05FE9">
        <w:t xml:space="preserve">close personal relations will be substantially worse off </w:t>
      </w:r>
      <w:r w:rsidR="009846D9" w:rsidRPr="00F05FE9">
        <w:t xml:space="preserve">in individual cases of </w:t>
      </w:r>
      <w:r w:rsidR="00CB50C9" w:rsidRPr="00F05FE9">
        <w:t>refusal of LPT</w:t>
      </w:r>
      <w:r w:rsidR="00DC529C" w:rsidRPr="00F05FE9">
        <w:t xml:space="preserve">, we </w:t>
      </w:r>
      <w:r w:rsidR="00131A11" w:rsidRPr="00F05FE9">
        <w:t>ought</w:t>
      </w:r>
      <w:r w:rsidR="00DC529C" w:rsidRPr="00F05FE9">
        <w:t xml:space="preserve"> not </w:t>
      </w:r>
      <w:r w:rsidR="00131A11" w:rsidRPr="00F05FE9">
        <w:t xml:space="preserve">to </w:t>
      </w:r>
      <w:r w:rsidR="00DC529C" w:rsidRPr="00F05FE9">
        <w:t xml:space="preserve">qualify </w:t>
      </w:r>
      <w:r w:rsidR="003D7FF9">
        <w:rPr>
          <w:i/>
        </w:rPr>
        <w:t>r</w:t>
      </w:r>
      <w:r w:rsidR="00DC529C" w:rsidRPr="00F05FE9">
        <w:rPr>
          <w:i/>
        </w:rPr>
        <w:t>ight D</w:t>
      </w:r>
      <w:r w:rsidR="00DC529C" w:rsidRPr="00F05FE9">
        <w:rPr>
          <w:i/>
          <w:vertAlign w:val="subscript"/>
        </w:rPr>
        <w:t>R</w:t>
      </w:r>
      <w:r w:rsidR="00CF36B5" w:rsidRPr="00F05FE9">
        <w:t xml:space="preserve"> because of the moral costs that attach to </w:t>
      </w:r>
      <w:r w:rsidR="00A244DF" w:rsidRPr="00F05FE9">
        <w:t xml:space="preserve">mistakenly </w:t>
      </w:r>
      <w:r w:rsidR="00CF36B5" w:rsidRPr="00F05FE9">
        <w:t xml:space="preserve">overriding a refusal </w:t>
      </w:r>
      <w:r w:rsidR="00A244DF" w:rsidRPr="00F05FE9">
        <w:t>of LPT when that refusal would not in fact make loved ones worse off.</w:t>
      </w:r>
      <w:r w:rsidR="00F1638B" w:rsidRPr="00F05FE9">
        <w:t xml:space="preserve"> </w:t>
      </w:r>
      <w:r w:rsidR="003D2CC0" w:rsidRPr="00F05FE9">
        <w:t>T</w:t>
      </w:r>
      <w:r w:rsidR="00F1638B" w:rsidRPr="00F05FE9">
        <w:t xml:space="preserve">here is a further reason </w:t>
      </w:r>
      <w:r w:rsidR="005F3187" w:rsidRPr="00F05FE9">
        <w:t xml:space="preserve">why we </w:t>
      </w:r>
      <w:r w:rsidR="00E14FB4" w:rsidRPr="00F05FE9">
        <w:t xml:space="preserve">ought not to limit </w:t>
      </w:r>
      <w:r w:rsidR="003D7FF9">
        <w:rPr>
          <w:i/>
        </w:rPr>
        <w:t>r</w:t>
      </w:r>
      <w:r w:rsidR="00E14FB4" w:rsidRPr="00F05FE9">
        <w:rPr>
          <w:i/>
        </w:rPr>
        <w:t>ight D</w:t>
      </w:r>
      <w:r w:rsidR="00E14FB4" w:rsidRPr="00F05FE9">
        <w:rPr>
          <w:i/>
          <w:vertAlign w:val="subscript"/>
        </w:rPr>
        <w:t>R</w:t>
      </w:r>
      <w:r w:rsidR="00F1638B" w:rsidRPr="00F05FE9">
        <w:t xml:space="preserve"> </w:t>
      </w:r>
      <w:r w:rsidR="006D5A0D" w:rsidRPr="00F05FE9">
        <w:t xml:space="preserve">out of concern for the </w:t>
      </w:r>
      <w:r w:rsidR="00E14FB4" w:rsidRPr="00F05FE9">
        <w:t>welfare of loved ones.</w:t>
      </w:r>
      <w:r w:rsidR="003D2CC0" w:rsidRPr="00F05FE9">
        <w:t xml:space="preserve"> </w:t>
      </w:r>
      <w:r w:rsidR="006D5A0D" w:rsidRPr="00F05FE9">
        <w:t xml:space="preserve">To </w:t>
      </w:r>
      <w:r w:rsidR="006D5A0D" w:rsidRPr="00F05FE9">
        <w:lastRenderedPageBreak/>
        <w:t xml:space="preserve">limit </w:t>
      </w:r>
      <w:r w:rsidR="003D7FF9">
        <w:rPr>
          <w:i/>
        </w:rPr>
        <w:t>r</w:t>
      </w:r>
      <w:r w:rsidR="006D5A0D" w:rsidRPr="00F05FE9">
        <w:rPr>
          <w:i/>
        </w:rPr>
        <w:t>ight D</w:t>
      </w:r>
      <w:r w:rsidR="006D5A0D" w:rsidRPr="00F05FE9">
        <w:rPr>
          <w:i/>
          <w:vertAlign w:val="subscript"/>
        </w:rPr>
        <w:t>R</w:t>
      </w:r>
      <w:r w:rsidR="006D5A0D" w:rsidRPr="00F05FE9">
        <w:t xml:space="preserve"> on this ground implies </w:t>
      </w:r>
      <w:r w:rsidR="00357359" w:rsidRPr="00F05FE9">
        <w:t xml:space="preserve">not only </w:t>
      </w:r>
      <w:r w:rsidR="006D5A0D" w:rsidRPr="00F05FE9">
        <w:t xml:space="preserve">that we ought to </w:t>
      </w:r>
      <w:proofErr w:type="gramStart"/>
      <w:r w:rsidR="006D5A0D" w:rsidRPr="00F05FE9">
        <w:t>take into account</w:t>
      </w:r>
      <w:proofErr w:type="gramEnd"/>
      <w:r w:rsidR="006D5A0D" w:rsidRPr="00F05FE9">
        <w:t xml:space="preserve"> the interests of loved ones in our decision-making but also </w:t>
      </w:r>
      <w:r w:rsidR="00357359" w:rsidRPr="00F05FE9">
        <w:t xml:space="preserve">that we </w:t>
      </w:r>
      <w:r w:rsidR="006D5A0D" w:rsidRPr="00F05FE9">
        <w:t xml:space="preserve">ought to do what would be best for those others, </w:t>
      </w:r>
      <w:r w:rsidR="00357359" w:rsidRPr="00F05FE9">
        <w:t>if the pairwise comparison of our own and their interests favoured the latter.</w:t>
      </w:r>
      <w:r w:rsidR="0085638C" w:rsidRPr="00F05FE9">
        <w:t xml:space="preserve"> This seems </w:t>
      </w:r>
      <w:r w:rsidR="0069576B" w:rsidRPr="00F05FE9">
        <w:t xml:space="preserve">a </w:t>
      </w:r>
      <w:r w:rsidR="0085638C" w:rsidRPr="00F05FE9">
        <w:t>highly unintuitive</w:t>
      </w:r>
      <w:r w:rsidR="0069576B" w:rsidRPr="00F05FE9">
        <w:t xml:space="preserve"> characterisation of the obligations that </w:t>
      </w:r>
      <w:r w:rsidR="00AE77E6" w:rsidRPr="00F05FE9">
        <w:t xml:space="preserve">attach to </w:t>
      </w:r>
      <w:r w:rsidR="0069576B" w:rsidRPr="00F05FE9">
        <w:t>close personal relationships</w:t>
      </w:r>
      <w:r w:rsidR="0085638C" w:rsidRPr="00F05FE9">
        <w:t>, at least when important decision</w:t>
      </w:r>
      <w:r w:rsidR="00B22CE4" w:rsidRPr="00F05FE9">
        <w:t>s</w:t>
      </w:r>
      <w:r w:rsidR="0085638C" w:rsidRPr="00F05FE9">
        <w:t xml:space="preserve"> about how (not) to live </w:t>
      </w:r>
      <w:r w:rsidR="00846CD0" w:rsidRPr="00F05FE9">
        <w:t xml:space="preserve">are </w:t>
      </w:r>
      <w:r w:rsidR="0085638C" w:rsidRPr="00F05FE9">
        <w:t>in play.</w:t>
      </w:r>
    </w:p>
    <w:p w14:paraId="0D022452" w14:textId="4A64FEB0" w:rsidR="00885600" w:rsidRPr="00F05FE9" w:rsidRDefault="00531E6E" w:rsidP="003D725F">
      <w:pPr>
        <w:pStyle w:val="Body"/>
        <w:spacing w:line="276" w:lineRule="auto"/>
        <w:jc w:val="left"/>
      </w:pPr>
      <w:r w:rsidRPr="00F05FE9">
        <w:t xml:space="preserve">A second other-regarding argument is what we </w:t>
      </w:r>
      <w:r w:rsidR="00C46525" w:rsidRPr="00F05FE9">
        <w:t xml:space="preserve">might call the </w:t>
      </w:r>
      <w:r w:rsidR="00C46525" w:rsidRPr="00F05FE9">
        <w:rPr>
          <w:i/>
        </w:rPr>
        <w:t xml:space="preserve">vulnerability </w:t>
      </w:r>
      <w:r w:rsidR="00C46525" w:rsidRPr="00F05FE9">
        <w:t>argument</w:t>
      </w:r>
      <w:r w:rsidR="00700A5B" w:rsidRPr="00F05FE9">
        <w:t xml:space="preserve">. </w:t>
      </w:r>
      <w:r w:rsidR="00C5258C" w:rsidRPr="00F05FE9">
        <w:t xml:space="preserve">This argument rests on an empirical premise: </w:t>
      </w:r>
      <w:r w:rsidR="00C46525" w:rsidRPr="00F05FE9">
        <w:t>permitting individuals to decide how and when to die open</w:t>
      </w:r>
      <w:r w:rsidR="007A3935" w:rsidRPr="00F05FE9">
        <w:t>s</w:t>
      </w:r>
      <w:r w:rsidR="00C46525" w:rsidRPr="00F05FE9">
        <w:t xml:space="preserve"> the door to </w:t>
      </w:r>
      <w:r w:rsidR="005A0389" w:rsidRPr="00F05FE9">
        <w:t xml:space="preserve">coercion, </w:t>
      </w:r>
      <w:r w:rsidR="00C46525" w:rsidRPr="00F05FE9">
        <w:t>undue influence</w:t>
      </w:r>
      <w:r w:rsidR="005A0389" w:rsidRPr="00F05FE9">
        <w:t>, and manipulation</w:t>
      </w:r>
      <w:r w:rsidR="007A3935" w:rsidRPr="00F05FE9">
        <w:t xml:space="preserve">, which in turn </w:t>
      </w:r>
      <w:r w:rsidR="002E5733" w:rsidRPr="00F05FE9">
        <w:t>may result in externally-induced invalid refusals.</w:t>
      </w:r>
      <w:r w:rsidR="00C46525" w:rsidRPr="00F05FE9">
        <w:t xml:space="preserve"> </w:t>
      </w:r>
      <w:proofErr w:type="gramStart"/>
      <w:r w:rsidR="00FC7C82" w:rsidRPr="00F05FE9">
        <w:t>On the basis of</w:t>
      </w:r>
      <w:proofErr w:type="gramEnd"/>
      <w:r w:rsidR="00FC7C82" w:rsidRPr="00F05FE9">
        <w:t xml:space="preserve"> this </w:t>
      </w:r>
      <w:r w:rsidR="00E675C7" w:rsidRPr="00F05FE9">
        <w:t xml:space="preserve">empirical premise, the proponent of the </w:t>
      </w:r>
      <w:r w:rsidR="00E675C7" w:rsidRPr="00F05FE9">
        <w:rPr>
          <w:i/>
        </w:rPr>
        <w:t>vulnerability</w:t>
      </w:r>
      <w:r w:rsidR="00E675C7" w:rsidRPr="00F05FE9">
        <w:t xml:space="preserve"> argument </w:t>
      </w:r>
      <w:r w:rsidR="002607A3" w:rsidRPr="00F05FE9">
        <w:t xml:space="preserve">might advance that </w:t>
      </w:r>
      <w:r w:rsidR="00C46525" w:rsidRPr="00F05FE9">
        <w:t xml:space="preserve">the autonomy interests of individuals who wish to exercise </w:t>
      </w:r>
      <w:r w:rsidR="00C46525" w:rsidRPr="00F05FE9">
        <w:rPr>
          <w:i/>
        </w:rPr>
        <w:t>freedom D</w:t>
      </w:r>
      <w:r w:rsidR="00C46525" w:rsidRPr="00F05FE9">
        <w:t xml:space="preserve"> require balancing against the autonomy and welfare interests of individuals susceptible to make externally-induced invalid refusals. In addition, </w:t>
      </w:r>
      <w:r w:rsidR="002662AE" w:rsidRPr="00F05FE9">
        <w:t xml:space="preserve">a </w:t>
      </w:r>
      <w:r w:rsidR="00C46525" w:rsidRPr="00F05FE9">
        <w:rPr>
          <w:i/>
        </w:rPr>
        <w:t xml:space="preserve">vulnerability </w:t>
      </w:r>
      <w:r w:rsidR="00C46525" w:rsidRPr="00F05FE9">
        <w:t xml:space="preserve">argument </w:t>
      </w:r>
      <w:r w:rsidR="002662AE" w:rsidRPr="00F05FE9">
        <w:t xml:space="preserve">proponent </w:t>
      </w:r>
      <w:r w:rsidR="00C46525" w:rsidRPr="00F05FE9">
        <w:t xml:space="preserve">might claim that it is worse for any number of individuals to refuse LPT involuntarily than it is </w:t>
      </w:r>
      <w:r w:rsidR="00F52CB7" w:rsidRPr="00F05FE9">
        <w:t xml:space="preserve">to compel </w:t>
      </w:r>
      <w:r w:rsidR="00C46525" w:rsidRPr="00F05FE9">
        <w:t xml:space="preserve">individuals who would otherwise refuse LPT voluntarily </w:t>
      </w:r>
      <w:r w:rsidR="00885600" w:rsidRPr="00F05FE9">
        <w:t>to stay alive.</w:t>
      </w:r>
    </w:p>
    <w:p w14:paraId="201425F2" w14:textId="37E78D6B" w:rsidR="00033E10" w:rsidRPr="00F05FE9" w:rsidRDefault="00C46525" w:rsidP="003D725F">
      <w:pPr>
        <w:pStyle w:val="Body"/>
        <w:spacing w:line="276" w:lineRule="auto"/>
        <w:jc w:val="left"/>
      </w:pPr>
      <w:r w:rsidRPr="00F05FE9">
        <w:t xml:space="preserve">It would be cavalier to dismiss the </w:t>
      </w:r>
      <w:r w:rsidRPr="00F05FE9">
        <w:rPr>
          <w:i/>
        </w:rPr>
        <w:t xml:space="preserve">vulnerability </w:t>
      </w:r>
      <w:r w:rsidRPr="00F05FE9">
        <w:t xml:space="preserve">argument out of hand. However, it is difficult to know how much weight to attach to it. There are both normative and empirical factors to consider. In respect of the normative, </w:t>
      </w:r>
      <w:r w:rsidR="00D31E6D" w:rsidRPr="00F05FE9">
        <w:t xml:space="preserve">the weight we attach to the </w:t>
      </w:r>
      <w:r w:rsidR="00D31E6D" w:rsidRPr="00F05FE9">
        <w:rPr>
          <w:i/>
        </w:rPr>
        <w:t xml:space="preserve">vulnerability </w:t>
      </w:r>
      <w:r w:rsidR="00D31E6D" w:rsidRPr="00F05FE9">
        <w:t>argument will in part depend on our views about interpersonal aggregation.</w:t>
      </w:r>
      <w:r w:rsidR="00D31E6D" w:rsidRPr="00F05FE9">
        <w:rPr>
          <w:vertAlign w:val="superscript"/>
        </w:rPr>
        <w:footnoteReference w:id="86"/>
      </w:r>
      <w:r w:rsidR="00D31E6D" w:rsidRPr="00F05FE9">
        <w:t xml:space="preserve"> W</w:t>
      </w:r>
      <w:r w:rsidRPr="00F05FE9">
        <w:t>hile it is perhaps plausible that, all else being equal, it is worse to kill one individual involuntarily than it is to force treatment (and life) on another, the involuntary killing of a few is not obviously worse than the forced treatment of many</w:t>
      </w:r>
      <w:r w:rsidR="00B56FC1" w:rsidRPr="00F05FE9">
        <w:t>.</w:t>
      </w:r>
      <w:r w:rsidRPr="00F05FE9">
        <w:t xml:space="preserve"> In respect of the empirical, we must consider the extent to which permitting refusals of LPT will cause the risk of involuntary killing to materialise, whether the incidence of risk is within acceptable limits given our theory of aggregation, and whether any</w:t>
      </w:r>
      <w:r w:rsidR="0097357A" w:rsidRPr="00F05FE9">
        <w:t>thing</w:t>
      </w:r>
      <w:r w:rsidRPr="00F05FE9">
        <w:t xml:space="preserve"> short of universal prohibition </w:t>
      </w:r>
      <w:r w:rsidR="00EC7480" w:rsidRPr="00F05FE9">
        <w:t>on refusal</w:t>
      </w:r>
      <w:r w:rsidRPr="00F05FE9">
        <w:t xml:space="preserve"> of LPT might acceptably mitigate the risk.</w:t>
      </w:r>
    </w:p>
    <w:p w14:paraId="5EE1C03A" w14:textId="77B8D6A4" w:rsidR="00824E51" w:rsidRPr="00F05FE9" w:rsidRDefault="00C46525" w:rsidP="003D725F">
      <w:pPr>
        <w:pStyle w:val="Body"/>
        <w:spacing w:line="276" w:lineRule="auto"/>
        <w:jc w:val="left"/>
        <w:rPr>
          <w:rFonts w:eastAsia="Garamond" w:cs="Garamond"/>
          <w:vertAlign w:val="superscript"/>
        </w:rPr>
      </w:pPr>
      <w:r w:rsidRPr="00F05FE9">
        <w:rPr>
          <w:rFonts w:eastAsia="Garamond" w:cs="Garamond"/>
        </w:rPr>
        <w:lastRenderedPageBreak/>
        <w:t xml:space="preserve">If it is legitimate to draw a parallel between refusals of LPT and assisted death, it is noteworthy that the </w:t>
      </w:r>
      <w:r w:rsidRPr="00F05FE9">
        <w:rPr>
          <w:rFonts w:eastAsia="Garamond" w:cs="Garamond"/>
          <w:i/>
        </w:rPr>
        <w:t xml:space="preserve">vulnerability </w:t>
      </w:r>
      <w:r w:rsidRPr="00F05FE9">
        <w:rPr>
          <w:rFonts w:eastAsia="Garamond" w:cs="Garamond"/>
        </w:rPr>
        <w:t>argument is very frequently invoked by opponents of assisted death in both academic and public fora</w:t>
      </w:r>
      <w:r w:rsidR="00A15FE6" w:rsidRPr="00F05FE9">
        <w:rPr>
          <w:rFonts w:eastAsia="Garamond" w:cs="Garamond"/>
        </w:rPr>
        <w:t>.</w:t>
      </w:r>
      <w:r w:rsidR="00A15FE6" w:rsidRPr="00F05FE9">
        <w:rPr>
          <w:rStyle w:val="FootnoteReference"/>
          <w:rFonts w:eastAsia="Garamond" w:cs="Garamond"/>
        </w:rPr>
        <w:footnoteReference w:id="87"/>
      </w:r>
      <w:r w:rsidR="00A15FE6" w:rsidRPr="00F05FE9">
        <w:rPr>
          <w:rFonts w:eastAsia="Garamond" w:cs="Garamond"/>
        </w:rPr>
        <w:t xml:space="preserve"> This is </w:t>
      </w:r>
      <w:r w:rsidRPr="00F05FE9">
        <w:rPr>
          <w:rFonts w:eastAsia="Garamond" w:cs="Garamond"/>
        </w:rPr>
        <w:t>notwithstanding that the evidence base for the risk materialising is weak</w:t>
      </w:r>
      <w:r w:rsidR="00033E10" w:rsidRPr="00F05FE9">
        <w:rPr>
          <w:rFonts w:eastAsia="Garamond" w:cs="Garamond"/>
        </w:rPr>
        <w:t>.</w:t>
      </w:r>
      <w:bookmarkStart w:id="33" w:name="_Ref497764105"/>
      <w:r w:rsidR="00E30EA5" w:rsidRPr="00F05FE9">
        <w:rPr>
          <w:rStyle w:val="FootnoteReference"/>
          <w:rFonts w:eastAsia="Garamond" w:cs="Garamond"/>
        </w:rPr>
        <w:footnoteReference w:id="88"/>
      </w:r>
      <w:bookmarkEnd w:id="33"/>
      <w:r w:rsidRPr="00F05FE9">
        <w:rPr>
          <w:rFonts w:eastAsia="Garamond" w:cs="Garamond"/>
        </w:rPr>
        <w:t xml:space="preserve"> </w:t>
      </w:r>
      <w:r w:rsidR="00535AC6" w:rsidRPr="00F05FE9">
        <w:rPr>
          <w:rFonts w:eastAsia="Garamond" w:cs="Garamond"/>
        </w:rPr>
        <w:t xml:space="preserve">Contrariwise, </w:t>
      </w:r>
      <w:r w:rsidRPr="00F05FE9">
        <w:rPr>
          <w:rFonts w:eastAsia="Garamond" w:cs="Garamond"/>
        </w:rPr>
        <w:t xml:space="preserve">the claim that individuals will be coerced or unduly influenced to refuse LPT </w:t>
      </w:r>
      <w:r w:rsidR="004043A7" w:rsidRPr="00F05FE9">
        <w:rPr>
          <w:rFonts w:eastAsia="Garamond" w:cs="Garamond"/>
        </w:rPr>
        <w:t xml:space="preserve">does </w:t>
      </w:r>
      <w:r w:rsidRPr="00F05FE9">
        <w:rPr>
          <w:rFonts w:eastAsia="Garamond" w:cs="Garamond"/>
        </w:rPr>
        <w:t xml:space="preserve">not feature </w:t>
      </w:r>
      <w:r w:rsidR="004043A7" w:rsidRPr="00F05FE9">
        <w:rPr>
          <w:rFonts w:eastAsia="Garamond" w:cs="Garamond"/>
        </w:rPr>
        <w:t xml:space="preserve">in </w:t>
      </w:r>
      <w:r w:rsidRPr="00F05FE9">
        <w:rPr>
          <w:rFonts w:eastAsia="Garamond" w:cs="Garamond"/>
        </w:rPr>
        <w:t xml:space="preserve">academic commentary </w:t>
      </w:r>
      <w:r w:rsidR="0022565B" w:rsidRPr="00F05FE9">
        <w:rPr>
          <w:rFonts w:eastAsia="Garamond" w:cs="Garamond"/>
        </w:rPr>
        <w:t>on treatment refusal</w:t>
      </w:r>
      <w:r w:rsidRPr="00F05FE9">
        <w:rPr>
          <w:rFonts w:eastAsia="Garamond" w:cs="Garamond"/>
        </w:rPr>
        <w:t>. And if the experience of England and Wales is any guide</w:t>
      </w:r>
      <w:r w:rsidR="00FB023C" w:rsidRPr="00F05FE9">
        <w:rPr>
          <w:rFonts w:eastAsia="Garamond" w:cs="Garamond"/>
        </w:rPr>
        <w:t xml:space="preserve"> to public debate</w:t>
      </w:r>
      <w:r w:rsidRPr="00F05FE9">
        <w:rPr>
          <w:rFonts w:eastAsia="Garamond" w:cs="Garamond"/>
        </w:rPr>
        <w:t xml:space="preserve">, the </w:t>
      </w:r>
      <w:r w:rsidRPr="00F05FE9">
        <w:rPr>
          <w:rFonts w:eastAsia="Garamond" w:cs="Garamond"/>
          <w:i/>
        </w:rPr>
        <w:t xml:space="preserve">vulnerability </w:t>
      </w:r>
      <w:r w:rsidRPr="00F05FE9">
        <w:rPr>
          <w:rFonts w:eastAsia="Garamond" w:cs="Garamond"/>
        </w:rPr>
        <w:t>argument was seldom fielded during parliamentary discussions that led to the placement of advance refusals on a statutory footing.</w:t>
      </w:r>
      <w:r w:rsidR="00D102EA" w:rsidRPr="00F05FE9">
        <w:rPr>
          <w:rStyle w:val="FootnoteReference"/>
          <w:rFonts w:eastAsia="Garamond" w:cs="Garamond"/>
        </w:rPr>
        <w:footnoteReference w:id="89"/>
      </w:r>
      <w:r w:rsidRPr="00F05FE9">
        <w:rPr>
          <w:rFonts w:eastAsia="Garamond" w:cs="Garamond"/>
        </w:rPr>
        <w:t xml:space="preserve"> This is notwithstanding that in respect of advance refusals, the individual required to respect </w:t>
      </w:r>
      <w:r w:rsidR="000C79D5" w:rsidRPr="00F05FE9">
        <w:rPr>
          <w:rFonts w:eastAsia="Garamond" w:cs="Garamond"/>
          <w:i/>
        </w:rPr>
        <w:t>P</w:t>
      </w:r>
      <w:r w:rsidRPr="00F05FE9">
        <w:rPr>
          <w:rFonts w:eastAsia="Garamond" w:cs="Garamond"/>
        </w:rPr>
        <w:t xml:space="preserve">’s wishes is usually not present when the refusal is made, and as such does not have </w:t>
      </w:r>
      <w:r w:rsidR="00824E51" w:rsidRPr="00F05FE9">
        <w:rPr>
          <w:rFonts w:eastAsia="Garamond" w:cs="Garamond"/>
        </w:rPr>
        <w:t>first-hand</w:t>
      </w:r>
      <w:r w:rsidRPr="00F05FE9">
        <w:rPr>
          <w:rFonts w:eastAsia="Garamond" w:cs="Garamond"/>
        </w:rPr>
        <w:t xml:space="preserve"> knowledge as to </w:t>
      </w:r>
      <w:r w:rsidR="000C79D5" w:rsidRPr="00F05FE9">
        <w:rPr>
          <w:rFonts w:eastAsia="Garamond" w:cs="Garamond"/>
          <w:i/>
        </w:rPr>
        <w:t>P</w:t>
      </w:r>
      <w:r w:rsidRPr="00F05FE9">
        <w:rPr>
          <w:rFonts w:eastAsia="Garamond" w:cs="Garamond"/>
        </w:rPr>
        <w:t>’s voluntariness (or indeed capacity) at the time the decision was executed.</w:t>
      </w:r>
      <w:r w:rsidR="009210E7" w:rsidRPr="00F05FE9">
        <w:rPr>
          <w:rStyle w:val="FootnoteReference"/>
          <w:rFonts w:eastAsia="Garamond" w:cs="Garamond"/>
        </w:rPr>
        <w:footnoteReference w:id="90"/>
      </w:r>
      <w:r w:rsidRPr="00F05FE9">
        <w:rPr>
          <w:rFonts w:eastAsia="Garamond" w:cs="Garamond"/>
        </w:rPr>
        <w:t xml:space="preserve"> </w:t>
      </w:r>
      <w:r w:rsidRPr="00F05FE9">
        <w:rPr>
          <w:rFonts w:eastAsia="Garamond" w:cs="Garamond"/>
        </w:rPr>
        <w:lastRenderedPageBreak/>
        <w:t xml:space="preserve">Perhaps the </w:t>
      </w:r>
      <w:r w:rsidR="00CC490F" w:rsidRPr="00F05FE9">
        <w:rPr>
          <w:rFonts w:eastAsia="Garamond" w:cs="Garamond"/>
        </w:rPr>
        <w:t xml:space="preserve">empirical premise </w:t>
      </w:r>
      <w:r w:rsidR="001C113C" w:rsidRPr="00F05FE9">
        <w:rPr>
          <w:rFonts w:eastAsia="Garamond" w:cs="Garamond"/>
        </w:rPr>
        <w:t>on</w:t>
      </w:r>
      <w:r w:rsidR="008375B9" w:rsidRPr="00F05FE9">
        <w:rPr>
          <w:rFonts w:eastAsia="Garamond" w:cs="Garamond"/>
        </w:rPr>
        <w:t xml:space="preserve"> which</w:t>
      </w:r>
      <w:r w:rsidR="00CC490F" w:rsidRPr="00F05FE9">
        <w:rPr>
          <w:rFonts w:eastAsia="Garamond" w:cs="Garamond"/>
        </w:rPr>
        <w:t xml:space="preserve"> the </w:t>
      </w:r>
      <w:r w:rsidR="00CC490F" w:rsidRPr="00F05FE9">
        <w:rPr>
          <w:rFonts w:eastAsia="Garamond" w:cs="Garamond"/>
          <w:i/>
        </w:rPr>
        <w:t xml:space="preserve">vulnerability </w:t>
      </w:r>
      <w:r w:rsidR="00CC490F" w:rsidRPr="00F05FE9">
        <w:rPr>
          <w:rFonts w:eastAsia="Garamond" w:cs="Garamond"/>
        </w:rPr>
        <w:t xml:space="preserve">argument </w:t>
      </w:r>
      <w:r w:rsidR="00FB301A" w:rsidRPr="00F05FE9">
        <w:rPr>
          <w:rFonts w:eastAsia="Garamond" w:cs="Garamond"/>
        </w:rPr>
        <w:t>rests</w:t>
      </w:r>
      <w:r w:rsidRPr="00F05FE9">
        <w:rPr>
          <w:rFonts w:eastAsia="Garamond" w:cs="Garamond"/>
        </w:rPr>
        <w:t xml:space="preserve"> is not thought </w:t>
      </w:r>
      <w:r w:rsidR="00BF7F19" w:rsidRPr="00F05FE9">
        <w:rPr>
          <w:rFonts w:eastAsia="Garamond" w:cs="Garamond"/>
        </w:rPr>
        <w:t xml:space="preserve">in play </w:t>
      </w:r>
      <w:r w:rsidR="00CC490F" w:rsidRPr="00F05FE9">
        <w:rPr>
          <w:rFonts w:eastAsia="Garamond" w:cs="Garamond"/>
        </w:rPr>
        <w:t>in the context of refusals of treatment</w:t>
      </w:r>
      <w:r w:rsidRPr="00F05FE9">
        <w:rPr>
          <w:rFonts w:eastAsia="Garamond" w:cs="Garamond"/>
        </w:rPr>
        <w:t xml:space="preserve">? Alternatively, it may be that the </w:t>
      </w:r>
      <w:r w:rsidRPr="00F05FE9">
        <w:rPr>
          <w:rFonts w:eastAsia="Garamond" w:cs="Garamond"/>
          <w:i/>
        </w:rPr>
        <w:t xml:space="preserve">vulnerability </w:t>
      </w:r>
      <w:r w:rsidRPr="00F05FE9">
        <w:rPr>
          <w:rFonts w:eastAsia="Garamond" w:cs="Garamond"/>
        </w:rPr>
        <w:t xml:space="preserve">argument is not deployed in the debate over the content of </w:t>
      </w:r>
      <w:r w:rsidRPr="00F05FE9">
        <w:rPr>
          <w:rFonts w:eastAsia="Garamond" w:cs="Garamond"/>
          <w:i/>
        </w:rPr>
        <w:t>right D</w:t>
      </w:r>
      <w:r w:rsidRPr="00F05FE9">
        <w:rPr>
          <w:rFonts w:eastAsia="Garamond" w:cs="Garamond"/>
          <w:i/>
          <w:vertAlign w:val="subscript"/>
        </w:rPr>
        <w:t>R</w:t>
      </w:r>
      <w:r w:rsidRPr="00F05FE9">
        <w:rPr>
          <w:rFonts w:eastAsia="Garamond" w:cs="Garamond"/>
        </w:rPr>
        <w:t xml:space="preserve"> because concerns about </w:t>
      </w:r>
      <w:r w:rsidR="000C79D5" w:rsidRPr="00F05FE9">
        <w:rPr>
          <w:rFonts w:eastAsia="Garamond" w:cs="Garamond"/>
          <w:i/>
        </w:rPr>
        <w:t>P</w:t>
      </w:r>
      <w:r w:rsidRPr="00F05FE9">
        <w:rPr>
          <w:rFonts w:eastAsia="Garamond" w:cs="Garamond"/>
        </w:rPr>
        <w:t xml:space="preserve">’s voluntariness (or capacity) can be assuaged through procedural requirements designed to evince that </w:t>
      </w:r>
      <w:r w:rsidR="000C79D5" w:rsidRPr="00F05FE9">
        <w:rPr>
          <w:rFonts w:eastAsia="Garamond" w:cs="Garamond"/>
          <w:i/>
        </w:rPr>
        <w:t>P</w:t>
      </w:r>
      <w:r w:rsidRPr="00F05FE9">
        <w:rPr>
          <w:rFonts w:eastAsia="Garamond" w:cs="Garamond"/>
        </w:rPr>
        <w:t>’s (contemporaneous or advance) refusal is autonomous.</w:t>
      </w:r>
      <w:r w:rsidR="0079286C" w:rsidRPr="00F05FE9">
        <w:rPr>
          <w:rStyle w:val="FootnoteReference"/>
          <w:rFonts w:eastAsia="Garamond" w:cs="Garamond"/>
        </w:rPr>
        <w:footnoteReference w:id="91"/>
      </w:r>
      <w:r w:rsidRPr="00F05FE9">
        <w:rPr>
          <w:rFonts w:eastAsia="Garamond" w:cs="Garamond"/>
        </w:rPr>
        <w:t xml:space="preserve"> To disallow refusals of LPT would tip the scales too much; the protection of the vulnerable, at least in respect of refusals of LPT, need not come at the expense of the autonomy interests of individuals who wish to avail themselves of </w:t>
      </w:r>
      <w:r w:rsidRPr="00F05FE9">
        <w:rPr>
          <w:rFonts w:eastAsia="Garamond" w:cs="Garamond"/>
          <w:i/>
        </w:rPr>
        <w:t>freedom D</w:t>
      </w:r>
      <w:r w:rsidRPr="00F05FE9">
        <w:rPr>
          <w:rFonts w:eastAsia="Garamond" w:cs="Garamond"/>
        </w:rPr>
        <w:t xml:space="preserve">. </w:t>
      </w:r>
      <w:r w:rsidR="009C2E5F" w:rsidRPr="00F05FE9">
        <w:rPr>
          <w:rFonts w:eastAsia="Garamond" w:cs="Garamond"/>
        </w:rPr>
        <w:t>For this reason</w:t>
      </w:r>
      <w:r w:rsidRPr="00F05FE9">
        <w:rPr>
          <w:rFonts w:eastAsia="Garamond" w:cs="Garamond"/>
        </w:rPr>
        <w:t xml:space="preserve">, the </w:t>
      </w:r>
      <w:r w:rsidRPr="00F05FE9">
        <w:rPr>
          <w:rFonts w:eastAsia="Garamond" w:cs="Garamond"/>
          <w:i/>
        </w:rPr>
        <w:t xml:space="preserve">vulnerability </w:t>
      </w:r>
      <w:r w:rsidRPr="00F05FE9">
        <w:rPr>
          <w:rFonts w:eastAsia="Garamond" w:cs="Garamond"/>
        </w:rPr>
        <w:t xml:space="preserve">argument </w:t>
      </w:r>
      <w:r w:rsidR="00283151" w:rsidRPr="00F05FE9">
        <w:rPr>
          <w:rFonts w:eastAsia="Garamond" w:cs="Garamond"/>
        </w:rPr>
        <w:t xml:space="preserve">ought </w:t>
      </w:r>
      <w:r w:rsidRPr="00F05FE9">
        <w:rPr>
          <w:rFonts w:eastAsia="Garamond" w:cs="Garamond"/>
        </w:rPr>
        <w:t xml:space="preserve">not </w:t>
      </w:r>
      <w:r w:rsidR="00283151" w:rsidRPr="00F05FE9">
        <w:rPr>
          <w:rFonts w:eastAsia="Garamond" w:cs="Garamond"/>
        </w:rPr>
        <w:t xml:space="preserve">to </w:t>
      </w:r>
      <w:r w:rsidRPr="00F05FE9">
        <w:rPr>
          <w:rFonts w:eastAsia="Garamond" w:cs="Garamond"/>
        </w:rPr>
        <w:t xml:space="preserve">provide a foundation for constraining </w:t>
      </w:r>
      <w:r w:rsidRPr="00F05FE9">
        <w:rPr>
          <w:rFonts w:eastAsia="Garamond" w:cs="Garamond"/>
          <w:i/>
        </w:rPr>
        <w:t>right D</w:t>
      </w:r>
      <w:r w:rsidRPr="00F05FE9">
        <w:rPr>
          <w:rFonts w:eastAsia="Garamond" w:cs="Garamond"/>
          <w:i/>
          <w:vertAlign w:val="subscript"/>
        </w:rPr>
        <w:t>R</w:t>
      </w:r>
      <w:r w:rsidRPr="00F05FE9">
        <w:rPr>
          <w:rFonts w:eastAsia="Garamond" w:cs="Garamond"/>
        </w:rPr>
        <w:t>.</w:t>
      </w:r>
      <w:r w:rsidR="00134823" w:rsidRPr="00F05FE9">
        <w:rPr>
          <w:rStyle w:val="FootnoteReference"/>
          <w:rFonts w:eastAsia="Garamond" w:cs="Garamond"/>
        </w:rPr>
        <w:footnoteReference w:id="92"/>
      </w:r>
    </w:p>
    <w:p w14:paraId="77876DDD" w14:textId="26108D3E" w:rsidR="00B03AE5" w:rsidRPr="00F05FE9" w:rsidRDefault="00C46525" w:rsidP="003D725F">
      <w:pPr>
        <w:pStyle w:val="Body"/>
        <w:spacing w:line="276" w:lineRule="auto"/>
        <w:jc w:val="left"/>
        <w:rPr>
          <w:rFonts w:eastAsia="Garamond" w:cs="Garamond"/>
        </w:rPr>
      </w:pPr>
      <w:r w:rsidRPr="00F05FE9">
        <w:rPr>
          <w:rFonts w:eastAsia="Garamond" w:cs="Garamond"/>
        </w:rPr>
        <w:t xml:space="preserve">Considerations of population health may, however, serve as a plausible substantive restriction on any right to refuse medical treatment, including LPT. Frances </w:t>
      </w:r>
      <w:proofErr w:type="spellStart"/>
      <w:r w:rsidRPr="00F05FE9">
        <w:rPr>
          <w:rFonts w:eastAsia="Garamond" w:cs="Garamond"/>
        </w:rPr>
        <w:t>Kamm</w:t>
      </w:r>
      <w:proofErr w:type="spellEnd"/>
      <w:r w:rsidRPr="00F05FE9">
        <w:rPr>
          <w:rFonts w:eastAsia="Garamond" w:cs="Garamond"/>
        </w:rPr>
        <w:t xml:space="preserve"> writes that the ‘right [to refuse treatment] is, to be sure, not absolute and can sometimes be overridden by considerations of public safety’.</w:t>
      </w:r>
      <w:r w:rsidR="00992CD4" w:rsidRPr="00F05FE9">
        <w:rPr>
          <w:rStyle w:val="FootnoteReference"/>
          <w:rFonts w:eastAsia="Garamond" w:cs="Garamond"/>
        </w:rPr>
        <w:footnoteReference w:id="93"/>
      </w:r>
      <w:r w:rsidRPr="00F05FE9">
        <w:rPr>
          <w:rFonts w:eastAsia="Garamond" w:cs="Garamond"/>
        </w:rPr>
        <w:t xml:space="preserve"> Thus if </w:t>
      </w:r>
      <w:r w:rsidR="000C79D5" w:rsidRPr="00F05FE9">
        <w:rPr>
          <w:rFonts w:eastAsia="Garamond" w:cs="Garamond"/>
          <w:i/>
        </w:rPr>
        <w:t>P</w:t>
      </w:r>
      <w:r w:rsidRPr="00F05FE9">
        <w:rPr>
          <w:rFonts w:eastAsia="Garamond" w:cs="Garamond"/>
        </w:rPr>
        <w:t xml:space="preserve"> refuses treatment for, for example, an infectious disease, and the health or lives of </w:t>
      </w:r>
      <w:r w:rsidR="00660963" w:rsidRPr="00F05FE9">
        <w:rPr>
          <w:rFonts w:eastAsia="Garamond" w:cs="Garamond"/>
          <w:i/>
        </w:rPr>
        <w:t>R</w:t>
      </w:r>
      <w:r w:rsidRPr="00F05FE9">
        <w:rPr>
          <w:rFonts w:eastAsia="Garamond" w:cs="Garamond"/>
        </w:rPr>
        <w:t>(s)</w:t>
      </w:r>
      <w:r w:rsidRPr="00F05FE9">
        <w:rPr>
          <w:rFonts w:eastAsia="Garamond" w:cs="Garamond"/>
          <w:i/>
        </w:rPr>
        <w:t xml:space="preserve"> </w:t>
      </w:r>
      <w:r w:rsidRPr="00F05FE9">
        <w:rPr>
          <w:rFonts w:eastAsia="Garamond" w:cs="Garamond"/>
        </w:rPr>
        <w:t xml:space="preserve">are endangered </w:t>
      </w:r>
      <w:proofErr w:type="gramStart"/>
      <w:r w:rsidRPr="00F05FE9">
        <w:rPr>
          <w:rFonts w:eastAsia="Garamond" w:cs="Garamond"/>
        </w:rPr>
        <w:t>as a consequence</w:t>
      </w:r>
      <w:proofErr w:type="gramEnd"/>
      <w:r w:rsidRPr="00F05FE9">
        <w:rPr>
          <w:rFonts w:eastAsia="Garamond" w:cs="Garamond"/>
        </w:rPr>
        <w:t xml:space="preserve">, </w:t>
      </w:r>
      <w:r w:rsidR="00660963" w:rsidRPr="00F05FE9">
        <w:rPr>
          <w:rFonts w:eastAsia="Garamond" w:cs="Garamond"/>
          <w:i/>
        </w:rPr>
        <w:t>R</w:t>
      </w:r>
      <w:r w:rsidRPr="00F05FE9">
        <w:rPr>
          <w:rFonts w:eastAsia="Garamond" w:cs="Garamond"/>
        </w:rPr>
        <w:t xml:space="preserve">’s interests in welfare/autonomy might plausibly outweigh </w:t>
      </w:r>
      <w:r w:rsidR="000C79D5" w:rsidRPr="00F05FE9">
        <w:rPr>
          <w:rFonts w:eastAsia="Garamond" w:cs="Garamond"/>
          <w:i/>
        </w:rPr>
        <w:t>P</w:t>
      </w:r>
      <w:r w:rsidRPr="00F05FE9">
        <w:rPr>
          <w:rFonts w:eastAsia="Garamond" w:cs="Garamond"/>
        </w:rPr>
        <w:t xml:space="preserve">’s interest in autonomy. </w:t>
      </w:r>
      <w:r w:rsidRPr="00F05FE9">
        <w:rPr>
          <w:rFonts w:eastAsia="Garamond" w:cs="Garamond"/>
        </w:rPr>
        <w:lastRenderedPageBreak/>
        <w:t>However, given the rarity of infectious disease outbreaks</w:t>
      </w:r>
      <w:r w:rsidR="00D6510C" w:rsidRPr="00F05FE9">
        <w:rPr>
          <w:rFonts w:eastAsia="Garamond" w:cs="Garamond"/>
        </w:rPr>
        <w:t>,</w:t>
      </w:r>
      <w:r w:rsidRPr="00F05FE9">
        <w:rPr>
          <w:rFonts w:eastAsia="Garamond" w:cs="Garamond"/>
        </w:rPr>
        <w:t xml:space="preserve"> any population health limitation on </w:t>
      </w:r>
      <w:r w:rsidRPr="00F05FE9">
        <w:rPr>
          <w:rFonts w:eastAsia="Garamond" w:cs="Garamond"/>
          <w:i/>
        </w:rPr>
        <w:t>right D</w:t>
      </w:r>
      <w:r w:rsidRPr="00F05FE9">
        <w:rPr>
          <w:rFonts w:eastAsia="Garamond" w:cs="Garamond"/>
          <w:i/>
          <w:vertAlign w:val="subscript"/>
        </w:rPr>
        <w:t>R</w:t>
      </w:r>
      <w:r w:rsidRPr="00F05FE9">
        <w:rPr>
          <w:rFonts w:eastAsia="Garamond" w:cs="Garamond"/>
        </w:rPr>
        <w:t xml:space="preserve"> would probably be relatively limited in scope.</w:t>
      </w:r>
      <w:bookmarkStart w:id="34" w:name="hn_Conclusion_on_the_interest_"/>
      <w:bookmarkEnd w:id="34"/>
      <w:r w:rsidR="00C17B72" w:rsidRPr="00F05FE9">
        <w:rPr>
          <w:rFonts w:eastAsia="Garamond" w:cs="Garamond"/>
          <w:vertAlign w:val="superscript"/>
        </w:rPr>
        <w:footnoteReference w:id="94"/>
      </w:r>
    </w:p>
    <w:p w14:paraId="69A1E8EE" w14:textId="1EA0E2E1" w:rsidR="00C46525" w:rsidRPr="00F05FE9" w:rsidRDefault="00C46525" w:rsidP="003D725F">
      <w:pPr>
        <w:pStyle w:val="Heading4"/>
        <w:spacing w:line="276" w:lineRule="auto"/>
      </w:pPr>
      <w:r w:rsidRPr="00F05FE9">
        <w:t>Conclusion on the interest theory</w:t>
      </w:r>
    </w:p>
    <w:p w14:paraId="093B5E72" w14:textId="2141C643" w:rsidR="00B555C9" w:rsidRPr="00F05FE9" w:rsidRDefault="00C46525" w:rsidP="003D725F">
      <w:pPr>
        <w:pStyle w:val="Body"/>
        <w:spacing w:line="276" w:lineRule="auto"/>
        <w:jc w:val="left"/>
      </w:pPr>
      <w:r w:rsidRPr="00F05FE9">
        <w:t xml:space="preserve">I argue that the interest theory yields a right to refuse LPT that is substantively extensive. I advance that </w:t>
      </w:r>
      <w:r w:rsidR="000C79D5" w:rsidRPr="00F05FE9">
        <w:rPr>
          <w:i/>
        </w:rPr>
        <w:t>P</w:t>
      </w:r>
      <w:r w:rsidRPr="00F05FE9">
        <w:t xml:space="preserve">’s prudential interests, moralistic considerations, the welfare interests of loved ones, and the </w:t>
      </w:r>
      <w:r w:rsidRPr="00F05FE9">
        <w:rPr>
          <w:i/>
        </w:rPr>
        <w:t>vulnerability</w:t>
      </w:r>
      <w:r w:rsidRPr="00F05FE9">
        <w:t xml:space="preserve"> argument are of insufficient weight to defeat </w:t>
      </w:r>
      <w:r w:rsidR="000C79D5" w:rsidRPr="00F05FE9">
        <w:rPr>
          <w:i/>
        </w:rPr>
        <w:t>P</w:t>
      </w:r>
      <w:r w:rsidRPr="00F05FE9">
        <w:t xml:space="preserve">’s possession of </w:t>
      </w:r>
      <w:r w:rsidRPr="00F05FE9">
        <w:rPr>
          <w:i/>
        </w:rPr>
        <w:t>right D</w:t>
      </w:r>
      <w:r w:rsidRPr="00F05FE9">
        <w:rPr>
          <w:i/>
          <w:vertAlign w:val="subscript"/>
        </w:rPr>
        <w:t>R</w:t>
      </w:r>
      <w:r w:rsidRPr="00F05FE9">
        <w:t xml:space="preserve"> derived from her interest in autonomy</w:t>
      </w:r>
      <w:r w:rsidRPr="00F05FE9">
        <w:rPr>
          <w:i/>
        </w:rPr>
        <w:t xml:space="preserve">. </w:t>
      </w:r>
      <w:r w:rsidRPr="00F05FE9">
        <w:t xml:space="preserve">However, it is plausible that </w:t>
      </w:r>
      <w:r w:rsidRPr="00F05FE9">
        <w:rPr>
          <w:i/>
        </w:rPr>
        <w:t>right D</w:t>
      </w:r>
      <w:r w:rsidRPr="00F05FE9">
        <w:rPr>
          <w:i/>
          <w:vertAlign w:val="subscript"/>
        </w:rPr>
        <w:t>R</w:t>
      </w:r>
      <w:r w:rsidRPr="00F05FE9">
        <w:t xml:space="preserve"> reaches its limit when </w:t>
      </w:r>
      <w:r w:rsidR="000C79D5" w:rsidRPr="00F05FE9">
        <w:rPr>
          <w:i/>
        </w:rPr>
        <w:t>P</w:t>
      </w:r>
      <w:r w:rsidRPr="00F05FE9">
        <w:t xml:space="preserve">’s refusal poses a threat to population health. This seems to be a modest exception to the right to refuse LPT. As we have seen, however, the interest view balancing exercise is complex, and other distributions of </w:t>
      </w:r>
      <w:r w:rsidRPr="00F05FE9">
        <w:rPr>
          <w:i/>
        </w:rPr>
        <w:t>right D</w:t>
      </w:r>
      <w:r w:rsidRPr="00F05FE9">
        <w:rPr>
          <w:i/>
          <w:vertAlign w:val="subscript"/>
        </w:rPr>
        <w:t>R</w:t>
      </w:r>
      <w:r w:rsidRPr="00F05FE9">
        <w:t xml:space="preserve"> may be possible </w:t>
      </w:r>
      <w:proofErr w:type="gramStart"/>
      <w:r w:rsidRPr="00F05FE9">
        <w:t>in light of</w:t>
      </w:r>
      <w:proofErr w:type="gramEnd"/>
      <w:r w:rsidRPr="00F05FE9">
        <w:t xml:space="preserve"> our views about prudential value and </w:t>
      </w:r>
      <w:r w:rsidR="007E4C8C" w:rsidRPr="00F05FE9">
        <w:t xml:space="preserve">interpersonal </w:t>
      </w:r>
      <w:r w:rsidRPr="00F05FE9">
        <w:t>aggregation.</w:t>
      </w:r>
    </w:p>
    <w:p w14:paraId="6109D87A" w14:textId="74ECCBFF" w:rsidR="00C46525" w:rsidRPr="00F05FE9" w:rsidRDefault="00C46525" w:rsidP="003D725F">
      <w:pPr>
        <w:pStyle w:val="Heading3"/>
        <w:spacing w:line="276" w:lineRule="auto"/>
      </w:pPr>
      <w:bookmarkStart w:id="35" w:name="hn_The_reasonblocking_theory"/>
      <w:bookmarkEnd w:id="35"/>
      <w:r w:rsidRPr="00F05FE9">
        <w:t>The reason-blocking theory</w:t>
      </w:r>
    </w:p>
    <w:p w14:paraId="2D72458D" w14:textId="4A9A5CC6" w:rsidR="009E5CD0" w:rsidRPr="00F05FE9" w:rsidRDefault="00C46525" w:rsidP="003D725F">
      <w:pPr>
        <w:pStyle w:val="Body"/>
        <w:spacing w:line="276" w:lineRule="auto"/>
        <w:jc w:val="left"/>
      </w:pPr>
      <w:r w:rsidRPr="00F05FE9">
        <w:t>The reason-blocking theory starts from a denial that ‘the point of rights is to protect interests of individual well-being’.</w:t>
      </w:r>
      <w:r w:rsidR="0096235A" w:rsidRPr="00F05FE9">
        <w:rPr>
          <w:rStyle w:val="FootnoteReference"/>
        </w:rPr>
        <w:footnoteReference w:id="95"/>
      </w:r>
      <w:r w:rsidRPr="00F05FE9">
        <w:t xml:space="preserve"> Rather, the view attaches primacy to the individual’s right to be treated with equal respect and concern by the State.</w:t>
      </w:r>
      <w:bookmarkStart w:id="36" w:name="_Ref497763726"/>
      <w:r w:rsidR="0096235A" w:rsidRPr="00F05FE9">
        <w:rPr>
          <w:rStyle w:val="FootnoteReference"/>
        </w:rPr>
        <w:footnoteReference w:id="96"/>
      </w:r>
      <w:bookmarkEnd w:id="36"/>
      <w:r w:rsidRPr="00F05FE9">
        <w:t xml:space="preserve"> It is from this fundamental right to eq</w:t>
      </w:r>
      <w:r w:rsidR="009E5CD0" w:rsidRPr="00F05FE9">
        <w:t>uality that other rights derive.</w:t>
      </w:r>
    </w:p>
    <w:p w14:paraId="4E5E101B" w14:textId="7742366D" w:rsidR="009E5CD0" w:rsidRPr="00F05FE9" w:rsidRDefault="00C46525" w:rsidP="003D725F">
      <w:pPr>
        <w:pStyle w:val="Body"/>
        <w:spacing w:line="276" w:lineRule="auto"/>
        <w:jc w:val="left"/>
        <w:rPr>
          <w:rFonts w:eastAsia="Garamond" w:cs="Garamond"/>
          <w:vertAlign w:val="superscript"/>
        </w:rPr>
      </w:pPr>
      <w:r w:rsidRPr="00F05FE9">
        <w:rPr>
          <w:rFonts w:eastAsia="Garamond" w:cs="Garamond"/>
        </w:rPr>
        <w:t xml:space="preserve">On the </w:t>
      </w:r>
      <w:r w:rsidRPr="00F05FE9">
        <w:rPr>
          <w:rFonts w:eastAsia="Garamond" w:cs="Garamond"/>
          <w:i/>
        </w:rPr>
        <w:t>reason-blocking theory</w:t>
      </w:r>
      <w:r w:rsidRPr="00F05FE9">
        <w:rPr>
          <w:rFonts w:eastAsia="Garamond" w:cs="Garamond"/>
        </w:rPr>
        <w:t>, the specification of rights takes place by way of an assessment of the compatibility of State conduct with the right to equal respect and concern. By the same token, ‘the judicial test of proportionality [involves] an inquiry into whether the government offended the status of the applicant as an equal member of his political community’.</w:t>
      </w:r>
      <w:r w:rsidR="00DB63B4" w:rsidRPr="00F05FE9">
        <w:rPr>
          <w:rStyle w:val="FootnoteReference"/>
          <w:rFonts w:eastAsia="Garamond" w:cs="Garamond"/>
        </w:rPr>
        <w:footnoteReference w:id="97"/>
      </w:r>
      <w:r w:rsidRPr="00F05FE9">
        <w:rPr>
          <w:rFonts w:eastAsia="Garamond" w:cs="Garamond"/>
        </w:rPr>
        <w:t xml:space="preserve"> This enquiry has exclusive and inclusive facets. The exclusive element of specification excludes ‘considerations that are normally irrelevant to what equal respect and concern requires’,</w:t>
      </w:r>
      <w:r w:rsidR="00DB63B4" w:rsidRPr="00F05FE9">
        <w:rPr>
          <w:rStyle w:val="FootnoteReference"/>
          <w:rFonts w:eastAsia="Garamond" w:cs="Garamond"/>
        </w:rPr>
        <w:footnoteReference w:id="98"/>
      </w:r>
      <w:r w:rsidRPr="00F05FE9">
        <w:rPr>
          <w:rFonts w:eastAsia="Garamond" w:cs="Garamond"/>
        </w:rPr>
        <w:t xml:space="preserve"> that is, it discounts ‘empirical facts [that] are not normative reasons for action in virtue of the value of equal respect and </w:t>
      </w:r>
      <w:r w:rsidRPr="00F05FE9">
        <w:rPr>
          <w:rFonts w:eastAsia="Garamond" w:cs="Garamond"/>
        </w:rPr>
        <w:lastRenderedPageBreak/>
        <w:t>concern’ from forming part of the basis for denying (or indeed granting) an individual a right.</w:t>
      </w:r>
      <w:r w:rsidR="00DB63B4" w:rsidRPr="00F05FE9">
        <w:rPr>
          <w:rStyle w:val="FootnoteReference"/>
          <w:rFonts w:eastAsia="Garamond" w:cs="Garamond"/>
        </w:rPr>
        <w:footnoteReference w:id="99"/>
      </w:r>
      <w:r w:rsidRPr="00F05FE9">
        <w:rPr>
          <w:rFonts w:eastAsia="Garamond" w:cs="Garamond"/>
        </w:rPr>
        <w:t xml:space="preserve"> These excluded considerations, </w:t>
      </w:r>
      <w:proofErr w:type="spellStart"/>
      <w:r w:rsidRPr="00F05FE9">
        <w:rPr>
          <w:rFonts w:eastAsia="Garamond" w:cs="Garamond"/>
        </w:rPr>
        <w:t>Letsas</w:t>
      </w:r>
      <w:proofErr w:type="spellEnd"/>
      <w:r w:rsidRPr="00F05FE9">
        <w:rPr>
          <w:rFonts w:eastAsia="Garamond" w:cs="Garamond"/>
        </w:rPr>
        <w:t xml:space="preserve"> argues, include an individual’s ‘religion… political and philosophical beliefs… conception of the good life… lifestyle choices</w:t>
      </w:r>
      <w:r w:rsidR="00C043BC" w:rsidRPr="00F05FE9">
        <w:rPr>
          <w:rFonts w:eastAsia="Garamond" w:cs="Garamond"/>
        </w:rPr>
        <w:t>…</w:t>
      </w:r>
      <w:r w:rsidRPr="00F05FE9">
        <w:rPr>
          <w:rFonts w:eastAsia="Garamond" w:cs="Garamond"/>
        </w:rPr>
        <w:t xml:space="preserve"> genetic or biological condition… and many others’.</w:t>
      </w:r>
      <w:r w:rsidR="00DB63B4" w:rsidRPr="00F05FE9">
        <w:rPr>
          <w:rStyle w:val="FootnoteReference"/>
          <w:rFonts w:eastAsia="Garamond" w:cs="Garamond"/>
        </w:rPr>
        <w:footnoteReference w:id="100"/>
      </w:r>
      <w:r w:rsidRPr="00F05FE9">
        <w:rPr>
          <w:rFonts w:eastAsia="Garamond" w:cs="Garamond"/>
        </w:rPr>
        <w:t xml:space="preserve"> The inclusive element of specification requires attention to whether the State has ‘employed a blanket or indiscriminate measure that prevents it from taking into account morally relevant considerations’ that would justify individuals receiving different treatment in virtue of differing circumstances.</w:t>
      </w:r>
      <w:r w:rsidR="00DB63B4" w:rsidRPr="00F05FE9">
        <w:rPr>
          <w:rStyle w:val="FootnoteReference"/>
          <w:rFonts w:eastAsia="Garamond" w:cs="Garamond"/>
        </w:rPr>
        <w:footnoteReference w:id="101"/>
      </w:r>
    </w:p>
    <w:p w14:paraId="568659BC" w14:textId="77777777" w:rsidR="009E5CD0" w:rsidRPr="00F05FE9" w:rsidRDefault="00C46525" w:rsidP="003D725F">
      <w:pPr>
        <w:pStyle w:val="Body"/>
        <w:spacing w:line="276" w:lineRule="auto"/>
        <w:jc w:val="left"/>
        <w:rPr>
          <w:rFonts w:eastAsia="Garamond" w:cs="Garamond"/>
        </w:rPr>
      </w:pPr>
      <w:r w:rsidRPr="00F05FE9">
        <w:rPr>
          <w:rFonts w:eastAsia="Garamond" w:cs="Garamond"/>
        </w:rPr>
        <w:t xml:space="preserve">In contrast to the interest theory, the specification of </w:t>
      </w:r>
      <w:r w:rsidRPr="00F05FE9">
        <w:rPr>
          <w:rFonts w:eastAsia="Garamond" w:cs="Garamond"/>
          <w:i/>
        </w:rPr>
        <w:t>right D</w:t>
      </w:r>
      <w:r w:rsidRPr="00F05FE9">
        <w:rPr>
          <w:rFonts w:eastAsia="Garamond" w:cs="Garamond"/>
          <w:i/>
          <w:vertAlign w:val="subscript"/>
        </w:rPr>
        <w:t>R</w:t>
      </w:r>
      <w:r w:rsidRPr="00F05FE9">
        <w:rPr>
          <w:rFonts w:eastAsia="Garamond" w:cs="Garamond"/>
        </w:rPr>
        <w:t xml:space="preserve"> on the reason-blocking theory is a relatively uncomplicated affair. What right to refuse LPT does the reason-blocking theory yield, </w:t>
      </w:r>
      <w:proofErr w:type="gramStart"/>
      <w:r w:rsidRPr="00F05FE9">
        <w:rPr>
          <w:rFonts w:eastAsia="Garamond" w:cs="Garamond"/>
        </w:rPr>
        <w:t>taking into account</w:t>
      </w:r>
      <w:proofErr w:type="gramEnd"/>
      <w:r w:rsidRPr="00F05FE9">
        <w:rPr>
          <w:rFonts w:eastAsia="Garamond" w:cs="Garamond"/>
        </w:rPr>
        <w:t xml:space="preserve"> the relation between equal respect and concern and </w:t>
      </w:r>
      <w:r w:rsidR="000C79D5" w:rsidRPr="00F05FE9">
        <w:rPr>
          <w:rFonts w:eastAsia="Garamond" w:cs="Garamond"/>
          <w:i/>
        </w:rPr>
        <w:t>P</w:t>
      </w:r>
      <w:r w:rsidRPr="00F05FE9">
        <w:rPr>
          <w:rFonts w:eastAsia="Garamond" w:cs="Garamond"/>
        </w:rPr>
        <w:t xml:space="preserve">’s autonomy, and arguments from </w:t>
      </w:r>
      <w:r w:rsidR="000C79D5" w:rsidRPr="00F05FE9">
        <w:rPr>
          <w:rFonts w:eastAsia="Garamond" w:cs="Garamond"/>
          <w:i/>
        </w:rPr>
        <w:t>P</w:t>
      </w:r>
      <w:r w:rsidRPr="00F05FE9">
        <w:rPr>
          <w:rFonts w:eastAsia="Garamond" w:cs="Garamond"/>
        </w:rPr>
        <w:t>’s welfare, the protection of morals, other-regarding considerations?</w:t>
      </w:r>
    </w:p>
    <w:p w14:paraId="076761FB" w14:textId="0514E077" w:rsidR="008F4FA7" w:rsidRPr="00F05FE9" w:rsidRDefault="00C46525" w:rsidP="003D725F">
      <w:pPr>
        <w:pStyle w:val="Body"/>
        <w:spacing w:line="276" w:lineRule="auto"/>
        <w:jc w:val="left"/>
        <w:rPr>
          <w:rFonts w:eastAsia="Garamond" w:cs="Garamond"/>
          <w:vertAlign w:val="superscript"/>
        </w:rPr>
      </w:pPr>
      <w:r w:rsidRPr="00F05FE9">
        <w:rPr>
          <w:rFonts w:eastAsia="Garamond" w:cs="Garamond"/>
        </w:rPr>
        <w:t xml:space="preserve">Let us treat considerations of </w:t>
      </w:r>
      <w:r w:rsidR="000C79D5" w:rsidRPr="00F05FE9">
        <w:rPr>
          <w:rFonts w:eastAsia="Garamond" w:cs="Garamond"/>
          <w:i/>
        </w:rPr>
        <w:t>P</w:t>
      </w:r>
      <w:r w:rsidRPr="00F05FE9">
        <w:rPr>
          <w:rFonts w:eastAsia="Garamond" w:cs="Garamond"/>
        </w:rPr>
        <w:t xml:space="preserve">’s welfare and </w:t>
      </w:r>
      <w:r w:rsidR="009E5CD0" w:rsidRPr="00F05FE9">
        <w:rPr>
          <w:rFonts w:eastAsia="Garamond" w:cs="Garamond"/>
        </w:rPr>
        <w:t xml:space="preserve">the protection of morals </w:t>
      </w:r>
      <w:r w:rsidRPr="00F05FE9">
        <w:rPr>
          <w:rFonts w:eastAsia="Garamond" w:cs="Garamond"/>
        </w:rPr>
        <w:t>together</w:t>
      </w:r>
      <w:r w:rsidR="00EB314C" w:rsidRPr="00F05FE9">
        <w:rPr>
          <w:rFonts w:eastAsia="Garamond" w:cs="Garamond"/>
        </w:rPr>
        <w:t xml:space="preserve">, since similar </w:t>
      </w:r>
      <w:r w:rsidRPr="00F05FE9">
        <w:rPr>
          <w:rFonts w:eastAsia="Garamond" w:cs="Garamond"/>
        </w:rPr>
        <w:t xml:space="preserve">reasoning applies to both </w:t>
      </w:r>
      <w:r w:rsidR="00E96D6D" w:rsidRPr="00F05FE9">
        <w:rPr>
          <w:rFonts w:eastAsia="Garamond" w:cs="Garamond"/>
        </w:rPr>
        <w:t>grounds</w:t>
      </w:r>
      <w:r w:rsidR="00906A81" w:rsidRPr="00F05FE9">
        <w:rPr>
          <w:rFonts w:eastAsia="Garamond" w:cs="Garamond"/>
        </w:rPr>
        <w:t xml:space="preserve">. In </w:t>
      </w:r>
      <w:r w:rsidR="005834EE" w:rsidRPr="00F05FE9">
        <w:rPr>
          <w:rFonts w:eastAsia="Garamond" w:cs="Garamond"/>
        </w:rPr>
        <w:t xml:space="preserve">either </w:t>
      </w:r>
      <w:r w:rsidR="0041227C" w:rsidRPr="00F05FE9">
        <w:rPr>
          <w:rFonts w:eastAsia="Garamond" w:cs="Garamond"/>
        </w:rPr>
        <w:t>case</w:t>
      </w:r>
      <w:r w:rsidR="00906A81" w:rsidRPr="00F05FE9">
        <w:rPr>
          <w:rFonts w:eastAsia="Garamond" w:cs="Garamond"/>
        </w:rPr>
        <w:t xml:space="preserve">, we should </w:t>
      </w:r>
      <w:r w:rsidRPr="00F05FE9">
        <w:rPr>
          <w:rFonts w:eastAsia="Garamond" w:cs="Garamond"/>
        </w:rPr>
        <w:t xml:space="preserve">deny that paternalistic or moralistic </w:t>
      </w:r>
      <w:r w:rsidR="00EF5997" w:rsidRPr="00F05FE9">
        <w:rPr>
          <w:rFonts w:eastAsia="Garamond" w:cs="Garamond"/>
        </w:rPr>
        <w:t>considerations</w:t>
      </w:r>
      <w:r w:rsidRPr="00F05FE9">
        <w:rPr>
          <w:rFonts w:eastAsia="Garamond" w:cs="Garamond"/>
        </w:rPr>
        <w:t xml:space="preserve"> are relevant to the determination of the contours of </w:t>
      </w:r>
      <w:r w:rsidRPr="00F05FE9">
        <w:rPr>
          <w:rFonts w:eastAsia="Garamond" w:cs="Garamond"/>
          <w:i/>
        </w:rPr>
        <w:t>right D</w:t>
      </w:r>
      <w:r w:rsidRPr="00F05FE9">
        <w:rPr>
          <w:rFonts w:eastAsia="Garamond" w:cs="Garamond"/>
          <w:i/>
          <w:vertAlign w:val="subscript"/>
        </w:rPr>
        <w:t>R</w:t>
      </w:r>
      <w:r w:rsidRPr="00F05FE9">
        <w:rPr>
          <w:rFonts w:eastAsia="Garamond" w:cs="Garamond"/>
        </w:rPr>
        <w:t xml:space="preserve">. Recall that when </w:t>
      </w:r>
      <w:r w:rsidR="000C79D5" w:rsidRPr="00F05FE9">
        <w:rPr>
          <w:rFonts w:eastAsia="Garamond" w:cs="Garamond"/>
          <w:i/>
        </w:rPr>
        <w:t>P</w:t>
      </w:r>
      <w:r w:rsidRPr="00F05FE9">
        <w:rPr>
          <w:rFonts w:eastAsia="Garamond" w:cs="Garamond"/>
        </w:rPr>
        <w:t xml:space="preserve"> exercises her autonomy, she, as </w:t>
      </w:r>
      <w:proofErr w:type="spellStart"/>
      <w:r w:rsidRPr="00F05FE9">
        <w:rPr>
          <w:rFonts w:eastAsia="Garamond" w:cs="Garamond"/>
        </w:rPr>
        <w:t>Hurka</w:t>
      </w:r>
      <w:proofErr w:type="spellEnd"/>
      <w:r w:rsidRPr="00F05FE9">
        <w:rPr>
          <w:rFonts w:eastAsia="Garamond" w:cs="Garamond"/>
        </w:rPr>
        <w:t xml:space="preserve"> puts it, ‘determines not only that she lives in one way, but that she does not live in others’.</w:t>
      </w:r>
      <w:r w:rsidR="00910296" w:rsidRPr="00F05FE9">
        <w:rPr>
          <w:rStyle w:val="FootnoteReference"/>
          <w:rFonts w:eastAsia="Garamond" w:cs="Garamond"/>
        </w:rPr>
        <w:footnoteReference w:id="102"/>
      </w:r>
      <w:r w:rsidRPr="00F05FE9">
        <w:rPr>
          <w:rFonts w:eastAsia="Garamond" w:cs="Garamond"/>
        </w:rPr>
        <w:t xml:space="preserve"> To the extent that valid refusals of treatment are manifestations of </w:t>
      </w:r>
      <w:r w:rsidR="000C79D5" w:rsidRPr="00F05FE9">
        <w:rPr>
          <w:rFonts w:eastAsia="Garamond" w:cs="Garamond"/>
          <w:i/>
        </w:rPr>
        <w:t>P</w:t>
      </w:r>
      <w:r w:rsidRPr="00F05FE9">
        <w:rPr>
          <w:rFonts w:eastAsia="Garamond" w:cs="Garamond"/>
        </w:rPr>
        <w:t xml:space="preserve">’s autonomy, therefore, we might argue that </w:t>
      </w:r>
      <w:r w:rsidR="000C79D5" w:rsidRPr="00F05FE9">
        <w:rPr>
          <w:rFonts w:eastAsia="Garamond" w:cs="Garamond"/>
          <w:i/>
        </w:rPr>
        <w:t>P</w:t>
      </w:r>
      <w:r w:rsidRPr="00F05FE9">
        <w:rPr>
          <w:rFonts w:eastAsia="Garamond" w:cs="Garamond"/>
        </w:rPr>
        <w:t>, by her refusal, follows her own conception of the good life.</w:t>
      </w:r>
      <w:r w:rsidR="005C43F4" w:rsidRPr="00F05FE9">
        <w:rPr>
          <w:rStyle w:val="FootnoteReference"/>
          <w:rFonts w:eastAsia="Garamond" w:cs="Garamond"/>
        </w:rPr>
        <w:footnoteReference w:id="103"/>
      </w:r>
      <w:r w:rsidRPr="00F05FE9">
        <w:rPr>
          <w:rFonts w:eastAsia="Garamond" w:cs="Garamond"/>
        </w:rPr>
        <w:t xml:space="preserve"> If so, </w:t>
      </w:r>
      <w:r w:rsidR="000C79D5" w:rsidRPr="00F05FE9">
        <w:rPr>
          <w:rFonts w:eastAsia="Garamond" w:cs="Garamond"/>
          <w:i/>
        </w:rPr>
        <w:t>P</w:t>
      </w:r>
      <w:r w:rsidRPr="00F05FE9">
        <w:rPr>
          <w:rFonts w:eastAsia="Garamond" w:cs="Garamond"/>
        </w:rPr>
        <w:t xml:space="preserve">’s refusal of LPT ‘trumps’ paternalistic or moralistic considerations, because to hold otherwise would be inconsistent with </w:t>
      </w:r>
      <w:r w:rsidR="000C79D5" w:rsidRPr="00F05FE9">
        <w:rPr>
          <w:rFonts w:eastAsia="Garamond" w:cs="Garamond"/>
          <w:i/>
        </w:rPr>
        <w:t>P</w:t>
      </w:r>
      <w:r w:rsidRPr="00F05FE9">
        <w:rPr>
          <w:rFonts w:eastAsia="Garamond" w:cs="Garamond"/>
        </w:rPr>
        <w:t xml:space="preserve">’s right to equal respect and concern. To fail to respect </w:t>
      </w:r>
      <w:r w:rsidR="000C79D5" w:rsidRPr="00F05FE9">
        <w:rPr>
          <w:rFonts w:eastAsia="Garamond" w:cs="Garamond"/>
          <w:i/>
        </w:rPr>
        <w:t>P</w:t>
      </w:r>
      <w:r w:rsidRPr="00F05FE9">
        <w:rPr>
          <w:rFonts w:eastAsia="Garamond" w:cs="Garamond"/>
        </w:rPr>
        <w:t xml:space="preserve">’s refusal of LPT on grounds that it is not </w:t>
      </w:r>
      <w:r w:rsidR="00314F07" w:rsidRPr="00F05FE9">
        <w:rPr>
          <w:rFonts w:eastAsia="Garamond" w:cs="Garamond"/>
        </w:rPr>
        <w:t xml:space="preserve">prudentially </w:t>
      </w:r>
      <w:r w:rsidRPr="00F05FE9">
        <w:rPr>
          <w:rFonts w:eastAsia="Garamond" w:cs="Garamond"/>
        </w:rPr>
        <w:t>good</w:t>
      </w:r>
      <w:r w:rsidR="00314F07" w:rsidRPr="00F05FE9">
        <w:rPr>
          <w:rFonts w:eastAsia="Garamond" w:cs="Garamond"/>
        </w:rPr>
        <w:t xml:space="preserve">, or </w:t>
      </w:r>
      <w:r w:rsidR="005F0E11" w:rsidRPr="00F05FE9">
        <w:rPr>
          <w:rFonts w:eastAsia="Garamond" w:cs="Garamond"/>
        </w:rPr>
        <w:t>immoral</w:t>
      </w:r>
      <w:r w:rsidRPr="00F05FE9">
        <w:rPr>
          <w:rFonts w:eastAsia="Garamond" w:cs="Garamond"/>
        </w:rPr>
        <w:t xml:space="preserve">, is to hold her autonomous choices in lesser esteem than those of others who choose differently. It may be better </w:t>
      </w:r>
      <w:r w:rsidR="001F06A4" w:rsidRPr="00F05FE9">
        <w:rPr>
          <w:rFonts w:eastAsia="Garamond" w:cs="Garamond"/>
        </w:rPr>
        <w:lastRenderedPageBreak/>
        <w:t xml:space="preserve">prudentially or morally </w:t>
      </w:r>
      <w:r w:rsidR="00980F37" w:rsidRPr="00F05FE9">
        <w:rPr>
          <w:rFonts w:eastAsia="Garamond" w:cs="Garamond"/>
        </w:rPr>
        <w:t xml:space="preserve">better </w:t>
      </w:r>
      <w:r w:rsidRPr="00F05FE9">
        <w:rPr>
          <w:rFonts w:eastAsia="Garamond" w:cs="Garamond"/>
        </w:rPr>
        <w:t xml:space="preserve">for </w:t>
      </w:r>
      <w:r w:rsidR="000C79D5" w:rsidRPr="00F05FE9">
        <w:rPr>
          <w:rFonts w:eastAsia="Garamond" w:cs="Garamond"/>
          <w:i/>
        </w:rPr>
        <w:t>P</w:t>
      </w:r>
      <w:r w:rsidRPr="00F05FE9">
        <w:rPr>
          <w:rFonts w:eastAsia="Garamond" w:cs="Garamond"/>
        </w:rPr>
        <w:t xml:space="preserve"> not to refuse LPT, but equal respect and concern includes</w:t>
      </w:r>
      <w:r w:rsidR="00E235F5" w:rsidRPr="00F05FE9">
        <w:rPr>
          <w:rFonts w:eastAsia="Garamond" w:cs="Garamond"/>
        </w:rPr>
        <w:t>, to adopt the language of the ECtHR,</w:t>
      </w:r>
      <w:r w:rsidRPr="00F05FE9">
        <w:rPr>
          <w:rFonts w:eastAsia="Garamond" w:cs="Garamond"/>
        </w:rPr>
        <w:t xml:space="preserve"> ‘the opportunity to pursue [self-regarding] activities perceived to be of a physically or morally harmful or dangerous nature’.</w:t>
      </w:r>
      <w:r w:rsidR="000F5BE6" w:rsidRPr="00F05FE9">
        <w:rPr>
          <w:rStyle w:val="FootnoteReference"/>
          <w:rFonts w:eastAsia="Garamond" w:cs="Garamond"/>
        </w:rPr>
        <w:footnoteReference w:id="104"/>
      </w:r>
      <w:r w:rsidRPr="00F05FE9">
        <w:rPr>
          <w:rFonts w:eastAsia="Garamond" w:cs="Garamond"/>
        </w:rPr>
        <w:t xml:space="preserve"> The alternative, ‘[m]</w:t>
      </w:r>
      <w:proofErr w:type="spellStart"/>
      <w:r w:rsidRPr="00F05FE9">
        <w:rPr>
          <w:rFonts w:eastAsia="Garamond" w:cs="Garamond"/>
        </w:rPr>
        <w:t>aking</w:t>
      </w:r>
      <w:proofErr w:type="spellEnd"/>
      <w:r w:rsidRPr="00F05FE9">
        <w:rPr>
          <w:rFonts w:eastAsia="Garamond" w:cs="Garamond"/>
        </w:rPr>
        <w:t xml:space="preserve"> someone die in a way that others approve’, Ronald Dworkin argued, ‘is a devastating, odious form of tyranny’.</w:t>
      </w:r>
      <w:r w:rsidR="000F5BE6" w:rsidRPr="00F05FE9">
        <w:rPr>
          <w:rStyle w:val="FootnoteReference"/>
          <w:rFonts w:eastAsia="Garamond" w:cs="Garamond"/>
        </w:rPr>
        <w:footnoteReference w:id="105"/>
      </w:r>
    </w:p>
    <w:p w14:paraId="71DFDA46" w14:textId="2C91BC33" w:rsidR="00B16CE7" w:rsidRPr="00F05FE9" w:rsidRDefault="00C46525" w:rsidP="003D725F">
      <w:pPr>
        <w:pStyle w:val="Body"/>
        <w:spacing w:line="276" w:lineRule="auto"/>
        <w:jc w:val="left"/>
        <w:rPr>
          <w:rFonts w:eastAsia="Garamond" w:cs="Garamond"/>
        </w:rPr>
      </w:pPr>
      <w:r w:rsidRPr="00F05FE9">
        <w:rPr>
          <w:rFonts w:eastAsia="Garamond" w:cs="Garamond"/>
        </w:rPr>
        <w:t xml:space="preserve">Turning to other-regarding considerations, the above argument applies </w:t>
      </w:r>
      <w:r w:rsidRPr="00F05FE9">
        <w:rPr>
          <w:rFonts w:eastAsia="Garamond" w:cs="Garamond"/>
          <w:i/>
        </w:rPr>
        <w:t>mutatis mutandis</w:t>
      </w:r>
      <w:r w:rsidRPr="00F05FE9">
        <w:rPr>
          <w:rFonts w:eastAsia="Garamond" w:cs="Garamond"/>
        </w:rPr>
        <w:t xml:space="preserve"> to the argument from the welfare of loved ones, and the moralistic argument from welfare; the right to equal respect and concern </w:t>
      </w:r>
      <w:r w:rsidR="004574C8" w:rsidRPr="00F05FE9">
        <w:rPr>
          <w:rFonts w:eastAsia="Garamond" w:cs="Garamond"/>
        </w:rPr>
        <w:t xml:space="preserve">blocks </w:t>
      </w:r>
      <w:r w:rsidRPr="00F05FE9">
        <w:rPr>
          <w:rFonts w:eastAsia="Garamond" w:cs="Garamond"/>
        </w:rPr>
        <w:t xml:space="preserve">these facts </w:t>
      </w:r>
      <w:r w:rsidR="004574C8" w:rsidRPr="00F05FE9">
        <w:rPr>
          <w:rFonts w:eastAsia="Garamond" w:cs="Garamond"/>
        </w:rPr>
        <w:t xml:space="preserve">from </w:t>
      </w:r>
      <w:r w:rsidRPr="00F05FE9">
        <w:rPr>
          <w:rFonts w:eastAsia="Garamond" w:cs="Garamond"/>
        </w:rPr>
        <w:t>supply</w:t>
      </w:r>
      <w:r w:rsidR="004574C8" w:rsidRPr="00F05FE9">
        <w:rPr>
          <w:rFonts w:eastAsia="Garamond" w:cs="Garamond"/>
        </w:rPr>
        <w:t>ing</w:t>
      </w:r>
      <w:r w:rsidRPr="00F05FE9">
        <w:rPr>
          <w:rFonts w:eastAsia="Garamond" w:cs="Garamond"/>
        </w:rPr>
        <w:t xml:space="preserve"> reasons to limit </w:t>
      </w:r>
      <w:r w:rsidRPr="00F05FE9">
        <w:rPr>
          <w:rFonts w:eastAsia="Garamond" w:cs="Garamond"/>
          <w:i/>
        </w:rPr>
        <w:t>right D</w:t>
      </w:r>
      <w:r w:rsidRPr="00F05FE9">
        <w:rPr>
          <w:rFonts w:eastAsia="Garamond" w:cs="Garamond"/>
          <w:i/>
          <w:vertAlign w:val="subscript"/>
        </w:rPr>
        <w:t>R</w:t>
      </w:r>
      <w:r w:rsidRPr="00F05FE9">
        <w:rPr>
          <w:rFonts w:eastAsia="Garamond" w:cs="Garamond"/>
        </w:rPr>
        <w:t xml:space="preserve">. However, the </w:t>
      </w:r>
      <w:r w:rsidRPr="00F05FE9">
        <w:rPr>
          <w:rFonts w:eastAsia="Garamond" w:cs="Garamond"/>
          <w:i/>
        </w:rPr>
        <w:t xml:space="preserve">vulnerability </w:t>
      </w:r>
      <w:r w:rsidRPr="00F05FE9">
        <w:rPr>
          <w:rFonts w:eastAsia="Garamond" w:cs="Garamond"/>
        </w:rPr>
        <w:t xml:space="preserve">argument and public health considerations appear prima facie to be factors that warrant inclusion in the specification of </w:t>
      </w:r>
      <w:r w:rsidRPr="00F05FE9">
        <w:rPr>
          <w:rFonts w:eastAsia="Garamond" w:cs="Garamond"/>
          <w:i/>
        </w:rPr>
        <w:t>right D</w:t>
      </w:r>
      <w:r w:rsidRPr="00F05FE9">
        <w:rPr>
          <w:rFonts w:eastAsia="Garamond" w:cs="Garamond"/>
          <w:i/>
          <w:vertAlign w:val="subscript"/>
        </w:rPr>
        <w:t>R</w:t>
      </w:r>
      <w:r w:rsidRPr="00F05FE9">
        <w:rPr>
          <w:rFonts w:eastAsia="Garamond" w:cs="Garamond"/>
        </w:rPr>
        <w:t>, and as such deserve closer attention.</w:t>
      </w:r>
    </w:p>
    <w:p w14:paraId="619A05FC" w14:textId="63EA582A" w:rsidR="008730C1" w:rsidRPr="00F05FE9" w:rsidRDefault="00C46525" w:rsidP="003D725F">
      <w:pPr>
        <w:pStyle w:val="Body"/>
        <w:spacing w:line="276" w:lineRule="auto"/>
        <w:jc w:val="left"/>
        <w:rPr>
          <w:rFonts w:eastAsia="Garamond" w:cs="Garamond"/>
        </w:rPr>
      </w:pPr>
      <w:r w:rsidRPr="00F05FE9">
        <w:rPr>
          <w:rFonts w:eastAsia="Garamond" w:cs="Garamond"/>
        </w:rPr>
        <w:t xml:space="preserve">As we saw above, according to the </w:t>
      </w:r>
      <w:r w:rsidRPr="00F05FE9">
        <w:rPr>
          <w:rFonts w:eastAsia="Garamond" w:cs="Garamond"/>
          <w:i/>
        </w:rPr>
        <w:t xml:space="preserve">vulnerability </w:t>
      </w:r>
      <w:r w:rsidRPr="00F05FE9">
        <w:rPr>
          <w:rFonts w:eastAsia="Garamond" w:cs="Garamond"/>
        </w:rPr>
        <w:t xml:space="preserve">argument permitting individuals to decide how and when to die </w:t>
      </w:r>
      <w:r w:rsidR="00B16CE7" w:rsidRPr="00F05FE9">
        <w:rPr>
          <w:rFonts w:eastAsia="Garamond" w:cs="Garamond"/>
        </w:rPr>
        <w:t>gives rise to voluntariness concerns</w:t>
      </w:r>
      <w:r w:rsidRPr="00F05FE9">
        <w:rPr>
          <w:rFonts w:eastAsia="Garamond" w:cs="Garamond"/>
        </w:rPr>
        <w:t>, whose consequence is, for our purposes, that individuals refuse treatment to which</w:t>
      </w:r>
      <w:r w:rsidR="00674970" w:rsidRPr="00F05FE9">
        <w:rPr>
          <w:rFonts w:eastAsia="Garamond" w:cs="Garamond"/>
        </w:rPr>
        <w:t xml:space="preserve"> they would consent</w:t>
      </w:r>
      <w:r w:rsidR="00342489" w:rsidRPr="00F05FE9">
        <w:rPr>
          <w:rFonts w:eastAsia="Garamond" w:cs="Garamond"/>
        </w:rPr>
        <w:t>, absent autonomy-</w:t>
      </w:r>
      <w:r w:rsidRPr="00F05FE9">
        <w:rPr>
          <w:rFonts w:eastAsia="Garamond" w:cs="Garamond"/>
        </w:rPr>
        <w:t xml:space="preserve">undermining influence. Framed in terms of the reason-blocking theory, a proponent of the vulnerability argument might say that allowing refusals of LPT violates the right to equal respect and concern of individuals exposed in consequence to pressure to end their own lives, insofar as the State ranks the liberty of the vulnerable lower than those individuals who would avail themselves of </w:t>
      </w:r>
      <w:r w:rsidRPr="00F05FE9">
        <w:rPr>
          <w:rFonts w:eastAsia="Garamond" w:cs="Garamond"/>
          <w:i/>
        </w:rPr>
        <w:t>right D</w:t>
      </w:r>
      <w:r w:rsidRPr="00F05FE9">
        <w:rPr>
          <w:rFonts w:eastAsia="Garamond" w:cs="Garamond"/>
          <w:i/>
          <w:vertAlign w:val="subscript"/>
        </w:rPr>
        <w:t>R</w:t>
      </w:r>
      <w:r w:rsidRPr="00F05FE9">
        <w:rPr>
          <w:rFonts w:eastAsia="Garamond" w:cs="Garamond"/>
        </w:rPr>
        <w:t>.</w:t>
      </w:r>
    </w:p>
    <w:p w14:paraId="06221BF4" w14:textId="0A84F3DA" w:rsidR="0002381B" w:rsidRPr="00F05FE9" w:rsidRDefault="00C46525" w:rsidP="003D725F">
      <w:pPr>
        <w:pStyle w:val="Body"/>
        <w:spacing w:line="276" w:lineRule="auto"/>
        <w:jc w:val="left"/>
        <w:rPr>
          <w:rFonts w:eastAsia="Garamond" w:cs="Garamond"/>
        </w:rPr>
      </w:pPr>
      <w:r w:rsidRPr="00F05FE9">
        <w:rPr>
          <w:rFonts w:eastAsia="Garamond" w:cs="Garamond"/>
        </w:rPr>
        <w:t xml:space="preserve">The </w:t>
      </w:r>
      <w:r w:rsidRPr="00F05FE9">
        <w:rPr>
          <w:rFonts w:eastAsia="Garamond" w:cs="Garamond"/>
          <w:i/>
        </w:rPr>
        <w:t>vulnerability</w:t>
      </w:r>
      <w:r w:rsidRPr="00F05FE9">
        <w:rPr>
          <w:rFonts w:eastAsia="Garamond" w:cs="Garamond"/>
        </w:rPr>
        <w:t xml:space="preserve"> argument appears to point to a shortcoming in the reason-blocking theory, for it identifies a scenario that requires choosing between </w:t>
      </w:r>
      <w:r w:rsidR="00690A4A" w:rsidRPr="00F05FE9">
        <w:rPr>
          <w:rFonts w:eastAsia="Garamond" w:cs="Garamond"/>
          <w:i/>
        </w:rPr>
        <w:t>Policy</w:t>
      </w:r>
      <w:r w:rsidR="00690A4A" w:rsidRPr="00F05FE9">
        <w:rPr>
          <w:rFonts w:eastAsia="Garamond" w:cs="Garamond"/>
          <w:vertAlign w:val="subscript"/>
        </w:rPr>
        <w:t>1</w:t>
      </w:r>
      <w:r w:rsidRPr="00F05FE9">
        <w:rPr>
          <w:rFonts w:eastAsia="Garamond" w:cs="Garamond"/>
        </w:rPr>
        <w:t xml:space="preserve"> {allowing refusals of LPT} and </w:t>
      </w:r>
      <w:bookmarkStart w:id="37" w:name="_Hlk475093470"/>
      <w:r w:rsidR="000F5BE6" w:rsidRPr="00F05FE9">
        <w:rPr>
          <w:rFonts w:eastAsia="Garamond" w:cs="Cambria"/>
          <w:i/>
        </w:rPr>
        <w:t>Policy</w:t>
      </w:r>
      <w:r w:rsidR="000F5BE6" w:rsidRPr="00F05FE9">
        <w:rPr>
          <w:rFonts w:eastAsia="Garamond" w:cs="Cambria"/>
          <w:vertAlign w:val="subscript"/>
        </w:rPr>
        <w:t>2</w:t>
      </w:r>
      <w:bookmarkEnd w:id="37"/>
      <w:r w:rsidRPr="00F05FE9">
        <w:rPr>
          <w:rFonts w:eastAsia="Garamond" w:cs="Garamond"/>
        </w:rPr>
        <w:t xml:space="preserve"> {disallowing refusals of LPT} in which pursuing </w:t>
      </w:r>
      <w:r w:rsidR="00A41B38" w:rsidRPr="00F05FE9">
        <w:rPr>
          <w:rFonts w:eastAsia="Garamond" w:cs="Cambria"/>
          <w:i/>
        </w:rPr>
        <w:t>Policy</w:t>
      </w:r>
      <w:r w:rsidR="00A41B38" w:rsidRPr="00F05FE9">
        <w:rPr>
          <w:rFonts w:eastAsia="Garamond" w:cs="Cambria"/>
          <w:vertAlign w:val="subscript"/>
        </w:rPr>
        <w:t>1</w:t>
      </w:r>
      <w:r w:rsidRPr="00F05FE9">
        <w:rPr>
          <w:rFonts w:eastAsia="Garamond" w:cs="Garamond"/>
        </w:rPr>
        <w:t xml:space="preserve"> violates the right to equal respect and concern of some population A, whereas pursuing </w:t>
      </w:r>
      <w:r w:rsidR="00A41B38" w:rsidRPr="00F05FE9">
        <w:rPr>
          <w:rFonts w:eastAsia="Garamond" w:cs="Cambria"/>
          <w:i/>
        </w:rPr>
        <w:t>Policy</w:t>
      </w:r>
      <w:r w:rsidR="00A41B38" w:rsidRPr="00F05FE9">
        <w:rPr>
          <w:rFonts w:eastAsia="Garamond" w:cs="Cambria"/>
          <w:vertAlign w:val="subscript"/>
        </w:rPr>
        <w:t>2</w:t>
      </w:r>
      <w:r w:rsidRPr="00F05FE9">
        <w:rPr>
          <w:rFonts w:eastAsia="Garamond" w:cs="Garamond"/>
        </w:rPr>
        <w:t xml:space="preserve"> violates the right to equal respect and concern of some population B. In such circumstances, the reason-blocking theory </w:t>
      </w:r>
      <w:r w:rsidR="009E430A" w:rsidRPr="00F05FE9">
        <w:rPr>
          <w:rFonts w:eastAsia="Garamond" w:cs="Garamond"/>
        </w:rPr>
        <w:t xml:space="preserve">apparently </w:t>
      </w:r>
      <w:r w:rsidRPr="00F05FE9">
        <w:rPr>
          <w:rFonts w:eastAsia="Garamond" w:cs="Garamond"/>
        </w:rPr>
        <w:t xml:space="preserve">fails to yield a determinate answer as to the (existence or) </w:t>
      </w:r>
      <w:r w:rsidRPr="00F05FE9">
        <w:rPr>
          <w:rFonts w:eastAsia="Garamond" w:cs="Garamond"/>
        </w:rPr>
        <w:lastRenderedPageBreak/>
        <w:t xml:space="preserve">content of </w:t>
      </w:r>
      <w:r w:rsidRPr="00F05FE9">
        <w:rPr>
          <w:rFonts w:eastAsia="Garamond" w:cs="Garamond"/>
          <w:i/>
        </w:rPr>
        <w:t>right D</w:t>
      </w:r>
      <w:r w:rsidRPr="00F05FE9">
        <w:rPr>
          <w:rFonts w:eastAsia="Garamond" w:cs="Garamond"/>
          <w:i/>
          <w:vertAlign w:val="subscript"/>
        </w:rPr>
        <w:t>R</w:t>
      </w:r>
      <w:r w:rsidRPr="00F05FE9">
        <w:rPr>
          <w:rFonts w:eastAsia="Garamond" w:cs="Garamond"/>
        </w:rPr>
        <w:t>, since there is no option consistent with equal respect and concern for all community members.</w:t>
      </w:r>
      <w:r w:rsidR="00CC534E" w:rsidRPr="00F05FE9">
        <w:rPr>
          <w:rStyle w:val="FootnoteReference"/>
          <w:rFonts w:eastAsia="Garamond" w:cs="Garamond"/>
        </w:rPr>
        <w:footnoteReference w:id="106"/>
      </w:r>
    </w:p>
    <w:p w14:paraId="79D8ACD8" w14:textId="7AF26BAE" w:rsidR="00D67508" w:rsidRPr="00F05FE9" w:rsidRDefault="00375471" w:rsidP="003D725F">
      <w:pPr>
        <w:pStyle w:val="Body"/>
        <w:spacing w:line="276" w:lineRule="auto"/>
        <w:jc w:val="left"/>
        <w:rPr>
          <w:rFonts w:eastAsia="Garamond" w:cs="Garamond"/>
        </w:rPr>
      </w:pPr>
      <w:r w:rsidRPr="00F05FE9">
        <w:rPr>
          <w:rFonts w:eastAsia="Garamond" w:cs="Garamond"/>
        </w:rPr>
        <w:t>We need not choose</w:t>
      </w:r>
      <w:r w:rsidR="00C46525" w:rsidRPr="00F05FE9">
        <w:rPr>
          <w:rFonts w:eastAsia="Garamond" w:cs="Garamond"/>
        </w:rPr>
        <w:t xml:space="preserve">, however, between </w:t>
      </w:r>
      <w:r w:rsidR="00A41B38" w:rsidRPr="00F05FE9">
        <w:rPr>
          <w:rFonts w:eastAsia="Garamond" w:cs="Garamond"/>
          <w:i/>
        </w:rPr>
        <w:t>Policy</w:t>
      </w:r>
      <w:r w:rsidR="00A41B38" w:rsidRPr="00F05FE9">
        <w:rPr>
          <w:rFonts w:eastAsia="Garamond" w:cs="Garamond"/>
          <w:vertAlign w:val="subscript"/>
        </w:rPr>
        <w:t>1</w:t>
      </w:r>
      <w:r w:rsidR="00C46525" w:rsidRPr="00F05FE9">
        <w:rPr>
          <w:rFonts w:eastAsia="Garamond" w:cs="Garamond"/>
        </w:rPr>
        <w:t xml:space="preserve"> and </w:t>
      </w:r>
      <w:r w:rsidR="00A41B38" w:rsidRPr="00F05FE9">
        <w:rPr>
          <w:rFonts w:eastAsia="Garamond" w:cs="Cambria"/>
          <w:i/>
        </w:rPr>
        <w:t>Policy</w:t>
      </w:r>
      <w:r w:rsidR="00A41B38" w:rsidRPr="00F05FE9">
        <w:rPr>
          <w:rFonts w:eastAsia="Garamond" w:cs="Cambria"/>
          <w:vertAlign w:val="subscript"/>
        </w:rPr>
        <w:t>2</w:t>
      </w:r>
      <w:r w:rsidR="00C46525" w:rsidRPr="00F05FE9">
        <w:rPr>
          <w:rFonts w:eastAsia="Garamond" w:cs="Garamond"/>
        </w:rPr>
        <w:t xml:space="preserve">. It is plausible that a measure mandating respect for </w:t>
      </w:r>
      <w:r w:rsidR="00C46525" w:rsidRPr="00F05FE9">
        <w:rPr>
          <w:rFonts w:eastAsia="Garamond" w:cs="Garamond"/>
          <w:i/>
        </w:rPr>
        <w:t xml:space="preserve">all </w:t>
      </w:r>
      <w:r w:rsidR="00C46525" w:rsidRPr="00F05FE9">
        <w:rPr>
          <w:rFonts w:eastAsia="Garamond" w:cs="Garamond"/>
        </w:rPr>
        <w:t xml:space="preserve">refusals of LPT without reference to the autonomous quality of the decision would violate the right to equal respect and concern of some individuals. </w:t>
      </w:r>
      <w:r w:rsidR="002D4698" w:rsidRPr="00F05FE9">
        <w:rPr>
          <w:rFonts w:eastAsia="Garamond" w:cs="Garamond"/>
        </w:rPr>
        <w:t xml:space="preserve">However, </w:t>
      </w:r>
      <w:r w:rsidR="002C5534" w:rsidRPr="00F05FE9">
        <w:rPr>
          <w:rFonts w:eastAsia="Garamond" w:cs="Garamond"/>
        </w:rPr>
        <w:t xml:space="preserve">since </w:t>
      </w:r>
      <w:r w:rsidR="00C97A1B" w:rsidRPr="00F05FE9">
        <w:rPr>
          <w:rFonts w:eastAsia="Garamond" w:cs="Garamond"/>
        </w:rPr>
        <w:t xml:space="preserve">the reason-blocking theory </w:t>
      </w:r>
      <w:r w:rsidR="00113682" w:rsidRPr="00F05FE9">
        <w:rPr>
          <w:rFonts w:eastAsia="Garamond" w:cs="Garamond"/>
        </w:rPr>
        <w:t xml:space="preserve">requires </w:t>
      </w:r>
      <w:r w:rsidR="00113682" w:rsidRPr="00F05FE9">
        <w:rPr>
          <w:rFonts w:eastAsia="Garamond" w:cs="Garamond"/>
          <w:i/>
        </w:rPr>
        <w:t>P</w:t>
      </w:r>
      <w:r w:rsidR="00113682" w:rsidRPr="00F05FE9">
        <w:rPr>
          <w:rFonts w:eastAsia="Garamond" w:cs="Garamond"/>
        </w:rPr>
        <w:t xml:space="preserve"> to be autonomous </w:t>
      </w:r>
      <w:proofErr w:type="gramStart"/>
      <w:r w:rsidR="00113682" w:rsidRPr="00F05FE9">
        <w:rPr>
          <w:rFonts w:eastAsia="Garamond" w:cs="Garamond"/>
        </w:rPr>
        <w:t>in order to</w:t>
      </w:r>
      <w:proofErr w:type="gramEnd"/>
      <w:r w:rsidR="00113682" w:rsidRPr="00F05FE9">
        <w:rPr>
          <w:rFonts w:eastAsia="Garamond" w:cs="Garamond"/>
        </w:rPr>
        <w:t xml:space="preserve"> </w:t>
      </w:r>
      <w:r w:rsidR="00C97A1B" w:rsidRPr="00F05FE9">
        <w:rPr>
          <w:rFonts w:eastAsia="Garamond" w:cs="Garamond"/>
        </w:rPr>
        <w:t xml:space="preserve">possess </w:t>
      </w:r>
      <w:r w:rsidR="00C97A1B" w:rsidRPr="00F05FE9">
        <w:rPr>
          <w:rFonts w:eastAsia="Garamond" w:cs="Garamond"/>
          <w:i/>
        </w:rPr>
        <w:t>right D</w:t>
      </w:r>
      <w:r w:rsidR="00C97A1B" w:rsidRPr="00F05FE9">
        <w:rPr>
          <w:rFonts w:eastAsia="Garamond" w:cs="Garamond"/>
          <w:i/>
          <w:vertAlign w:val="subscript"/>
        </w:rPr>
        <w:t>R</w:t>
      </w:r>
      <w:r w:rsidR="00C97A1B" w:rsidRPr="00F05FE9">
        <w:rPr>
          <w:rFonts w:eastAsia="Garamond" w:cs="Garamond"/>
        </w:rPr>
        <w:t xml:space="preserve">, </w:t>
      </w:r>
      <w:r w:rsidR="00767A3B" w:rsidRPr="00F05FE9">
        <w:rPr>
          <w:rFonts w:eastAsia="Garamond" w:cs="Garamond"/>
        </w:rPr>
        <w:t xml:space="preserve">it can </w:t>
      </w:r>
      <w:r w:rsidR="00411E56" w:rsidRPr="00F05FE9">
        <w:rPr>
          <w:rFonts w:eastAsia="Garamond" w:cs="Garamond"/>
        </w:rPr>
        <w:t>accommodate</w:t>
      </w:r>
      <w:r w:rsidR="00F87BBA" w:rsidRPr="00F05FE9">
        <w:rPr>
          <w:rFonts w:eastAsia="Garamond" w:cs="Garamond"/>
        </w:rPr>
        <w:t xml:space="preserve"> </w:t>
      </w:r>
      <w:r w:rsidR="00C97A1B" w:rsidRPr="00F05FE9">
        <w:rPr>
          <w:rFonts w:eastAsia="Garamond" w:cs="Garamond"/>
        </w:rPr>
        <w:t xml:space="preserve">the </w:t>
      </w:r>
      <w:r w:rsidR="00C97A1B" w:rsidRPr="00F05FE9">
        <w:rPr>
          <w:rFonts w:eastAsia="Garamond" w:cs="Garamond"/>
          <w:i/>
        </w:rPr>
        <w:t xml:space="preserve">vulnerability </w:t>
      </w:r>
      <w:r w:rsidR="00C97A1B" w:rsidRPr="00F05FE9">
        <w:rPr>
          <w:rFonts w:eastAsia="Garamond" w:cs="Garamond"/>
        </w:rPr>
        <w:t>argument.</w:t>
      </w:r>
      <w:r w:rsidR="0081312A" w:rsidRPr="00F05FE9">
        <w:rPr>
          <w:rFonts w:eastAsia="Garamond" w:cs="Garamond"/>
        </w:rPr>
        <w:t xml:space="preserve"> </w:t>
      </w:r>
      <w:proofErr w:type="gramStart"/>
      <w:r w:rsidR="0081312A" w:rsidRPr="00F05FE9">
        <w:rPr>
          <w:rFonts w:eastAsia="Garamond" w:cs="Garamond"/>
        </w:rPr>
        <w:t>Thus</w:t>
      </w:r>
      <w:proofErr w:type="gramEnd"/>
      <w:r w:rsidR="0081312A" w:rsidRPr="00F05FE9">
        <w:rPr>
          <w:rFonts w:eastAsia="Garamond" w:cs="Garamond"/>
        </w:rPr>
        <w:t xml:space="preserve"> </w:t>
      </w:r>
      <w:r w:rsidR="00DC58BD" w:rsidRPr="00F05FE9">
        <w:rPr>
          <w:rFonts w:eastAsia="Garamond" w:cs="Garamond"/>
        </w:rPr>
        <w:t xml:space="preserve">provided we enshrine </w:t>
      </w:r>
      <w:r w:rsidR="00C46525" w:rsidRPr="00F05FE9">
        <w:rPr>
          <w:rFonts w:eastAsia="Garamond" w:cs="Garamond"/>
          <w:i/>
        </w:rPr>
        <w:t>right D</w:t>
      </w:r>
      <w:r w:rsidR="00C46525" w:rsidRPr="00F05FE9">
        <w:rPr>
          <w:rFonts w:eastAsia="Garamond" w:cs="Garamond"/>
          <w:i/>
          <w:vertAlign w:val="subscript"/>
        </w:rPr>
        <w:t>R</w:t>
      </w:r>
      <w:r w:rsidR="00C46525" w:rsidRPr="00F05FE9">
        <w:rPr>
          <w:rFonts w:eastAsia="Garamond" w:cs="Garamond"/>
        </w:rPr>
        <w:t xml:space="preserve"> within a procedural framework that evinces that </w:t>
      </w:r>
      <w:r w:rsidR="000C79D5" w:rsidRPr="00F05FE9">
        <w:rPr>
          <w:rFonts w:eastAsia="Garamond" w:cs="Garamond"/>
          <w:i/>
        </w:rPr>
        <w:t>P</w:t>
      </w:r>
      <w:r w:rsidR="00C46525" w:rsidRPr="00F05FE9">
        <w:rPr>
          <w:rFonts w:eastAsia="Garamond" w:cs="Garamond"/>
        </w:rPr>
        <w:t>’s (contemporaneous or advance) refusal is autonomous</w:t>
      </w:r>
      <w:r w:rsidR="00DC58BD" w:rsidRPr="00F05FE9">
        <w:rPr>
          <w:rFonts w:eastAsia="Garamond" w:cs="Garamond"/>
        </w:rPr>
        <w:t>, we need</w:t>
      </w:r>
      <w:r w:rsidR="00EC3FC8" w:rsidRPr="00F05FE9">
        <w:rPr>
          <w:rFonts w:eastAsia="Garamond" w:cs="Garamond"/>
        </w:rPr>
        <w:t xml:space="preserve"> not </w:t>
      </w:r>
      <w:r w:rsidR="00C46525" w:rsidRPr="00F05FE9">
        <w:rPr>
          <w:rFonts w:eastAsia="Garamond" w:cs="Garamond"/>
        </w:rPr>
        <w:t xml:space="preserve">to pit the equality of individuals who would refuse LPT against that of individuals vulnerable </w:t>
      </w:r>
      <w:r w:rsidR="008F471B" w:rsidRPr="00F05FE9">
        <w:rPr>
          <w:rFonts w:eastAsia="Garamond" w:cs="Garamond"/>
        </w:rPr>
        <w:t>to improper external influence.</w:t>
      </w:r>
    </w:p>
    <w:p w14:paraId="14F912A9" w14:textId="23ECE2C3" w:rsidR="001D39B3" w:rsidRPr="00F05FE9" w:rsidRDefault="00C46525" w:rsidP="003D725F">
      <w:pPr>
        <w:pStyle w:val="Body"/>
        <w:spacing w:line="276" w:lineRule="auto"/>
        <w:jc w:val="left"/>
        <w:rPr>
          <w:rFonts w:eastAsia="Garamond" w:cs="Garamond"/>
          <w:vertAlign w:val="superscript"/>
        </w:rPr>
      </w:pPr>
      <w:r w:rsidRPr="00F05FE9">
        <w:rPr>
          <w:rFonts w:eastAsia="Garamond" w:cs="Garamond"/>
        </w:rPr>
        <w:t xml:space="preserve">In respect of the argument from population health considerations, the situation in which </w:t>
      </w:r>
      <w:r w:rsidR="000C79D5" w:rsidRPr="00F05FE9">
        <w:rPr>
          <w:rFonts w:eastAsia="Garamond" w:cs="Garamond"/>
          <w:i/>
        </w:rPr>
        <w:t>P</w:t>
      </w:r>
      <w:r w:rsidRPr="00F05FE9">
        <w:rPr>
          <w:rFonts w:eastAsia="Garamond" w:cs="Garamond"/>
        </w:rPr>
        <w:t xml:space="preserve"> endangers </w:t>
      </w:r>
      <w:r w:rsidR="00DE1D69" w:rsidRPr="00F05FE9">
        <w:rPr>
          <w:rFonts w:eastAsia="Garamond" w:cs="Garamond"/>
          <w:i/>
        </w:rPr>
        <w:t>R</w:t>
      </w:r>
      <w:r w:rsidRPr="00F05FE9">
        <w:rPr>
          <w:rFonts w:eastAsia="Garamond" w:cs="Garamond"/>
        </w:rPr>
        <w:t xml:space="preserve"> directly by refusing treatment, for example, for an infectious disease, provides a plausible ground for circumscribing </w:t>
      </w:r>
      <w:r w:rsidRPr="00F05FE9">
        <w:rPr>
          <w:rFonts w:eastAsia="Garamond" w:cs="Garamond"/>
          <w:i/>
        </w:rPr>
        <w:t>right D</w:t>
      </w:r>
      <w:r w:rsidRPr="00F05FE9">
        <w:rPr>
          <w:rFonts w:eastAsia="Garamond" w:cs="Garamond"/>
          <w:i/>
          <w:vertAlign w:val="subscript"/>
        </w:rPr>
        <w:t>R.</w:t>
      </w:r>
      <w:r w:rsidRPr="00F05FE9">
        <w:rPr>
          <w:rFonts w:eastAsia="Garamond" w:cs="Garamond"/>
        </w:rPr>
        <w:t xml:space="preserve"> Arguably, for </w:t>
      </w:r>
      <w:r w:rsidR="000C79D5" w:rsidRPr="00F05FE9">
        <w:rPr>
          <w:rFonts w:eastAsia="Garamond" w:cs="Garamond"/>
          <w:i/>
        </w:rPr>
        <w:t>P</w:t>
      </w:r>
      <w:r w:rsidRPr="00F05FE9">
        <w:rPr>
          <w:rFonts w:eastAsia="Garamond" w:cs="Garamond"/>
        </w:rPr>
        <w:t xml:space="preserve"> to behave in such a fashion exhibits a lack of </w:t>
      </w:r>
      <w:r w:rsidR="00952733" w:rsidRPr="00F05FE9">
        <w:rPr>
          <w:rFonts w:eastAsia="Garamond" w:cs="Garamond"/>
        </w:rPr>
        <w:t xml:space="preserve">respect and </w:t>
      </w:r>
      <w:r w:rsidRPr="00F05FE9">
        <w:rPr>
          <w:rFonts w:eastAsia="Garamond" w:cs="Garamond"/>
        </w:rPr>
        <w:t xml:space="preserve">concern </w:t>
      </w:r>
      <w:r w:rsidR="00D67508" w:rsidRPr="00F05FE9">
        <w:rPr>
          <w:rFonts w:eastAsia="Garamond" w:cs="Garamond"/>
        </w:rPr>
        <w:t xml:space="preserve">for others </w:t>
      </w:r>
      <w:r w:rsidRPr="00F05FE9">
        <w:rPr>
          <w:rFonts w:eastAsia="Garamond" w:cs="Garamond"/>
        </w:rPr>
        <w:t xml:space="preserve">in a way that risks seriously impairing </w:t>
      </w:r>
      <w:r w:rsidR="00936B6F" w:rsidRPr="00F05FE9">
        <w:rPr>
          <w:rFonts w:eastAsia="Garamond" w:cs="Garamond"/>
          <w:i/>
        </w:rPr>
        <w:t>R</w:t>
      </w:r>
      <w:r w:rsidRPr="00F05FE9">
        <w:rPr>
          <w:rFonts w:eastAsia="Garamond" w:cs="Garamond"/>
          <w:i/>
        </w:rPr>
        <w:t>’</w:t>
      </w:r>
      <w:r w:rsidRPr="00F05FE9">
        <w:rPr>
          <w:rFonts w:eastAsia="Garamond" w:cs="Garamond"/>
        </w:rPr>
        <w:t xml:space="preserve">s pursuit of the good life. It seems plausible that on the reason-blocking view </w:t>
      </w:r>
      <w:r w:rsidR="000C79D5" w:rsidRPr="00F05FE9">
        <w:rPr>
          <w:rFonts w:eastAsia="Garamond" w:cs="Garamond"/>
          <w:i/>
        </w:rPr>
        <w:t>P</w:t>
      </w:r>
      <w:r w:rsidRPr="00F05FE9">
        <w:rPr>
          <w:rFonts w:eastAsia="Garamond" w:cs="Garamond"/>
        </w:rPr>
        <w:t xml:space="preserve"> has no right so </w:t>
      </w:r>
      <w:r w:rsidR="00462C8B" w:rsidRPr="00F05FE9">
        <w:rPr>
          <w:rFonts w:eastAsia="Garamond" w:cs="Garamond"/>
        </w:rPr>
        <w:t xml:space="preserve">to </w:t>
      </w:r>
      <w:r w:rsidRPr="00F05FE9">
        <w:rPr>
          <w:rFonts w:eastAsia="Garamond" w:cs="Garamond"/>
        </w:rPr>
        <w:t>behave,</w:t>
      </w:r>
      <w:r w:rsidR="002B709C" w:rsidRPr="00F05FE9">
        <w:rPr>
          <w:rStyle w:val="FootnoteReference"/>
          <w:rFonts w:eastAsia="Garamond" w:cs="Garamond"/>
        </w:rPr>
        <w:footnoteReference w:id="107"/>
      </w:r>
      <w:r w:rsidRPr="00F05FE9">
        <w:rPr>
          <w:rFonts w:eastAsia="Garamond" w:cs="Garamond"/>
        </w:rPr>
        <w:t xml:space="preserve"> and contrariwise by respecting </w:t>
      </w:r>
      <w:r w:rsidR="000C79D5" w:rsidRPr="00F05FE9">
        <w:rPr>
          <w:rFonts w:eastAsia="Garamond" w:cs="Garamond"/>
          <w:i/>
        </w:rPr>
        <w:t>P</w:t>
      </w:r>
      <w:r w:rsidRPr="00F05FE9">
        <w:rPr>
          <w:rFonts w:eastAsia="Garamond" w:cs="Garamond"/>
        </w:rPr>
        <w:t>’s refusal in such circumstances the State would violate its obligation to promote the public health of individuals within its jurisdiction.</w:t>
      </w:r>
      <w:r w:rsidR="002B709C" w:rsidRPr="00F05FE9">
        <w:rPr>
          <w:rStyle w:val="FootnoteReference"/>
          <w:rFonts w:eastAsia="Garamond" w:cs="Garamond"/>
        </w:rPr>
        <w:footnoteReference w:id="108"/>
      </w:r>
    </w:p>
    <w:p w14:paraId="29196522" w14:textId="40B1A93E" w:rsidR="007827B1" w:rsidRPr="00F05FE9" w:rsidRDefault="00C46525" w:rsidP="003D725F">
      <w:pPr>
        <w:pStyle w:val="Body"/>
        <w:spacing w:line="276" w:lineRule="auto"/>
        <w:jc w:val="left"/>
        <w:rPr>
          <w:vertAlign w:val="superscript"/>
        </w:rPr>
      </w:pPr>
      <w:r w:rsidRPr="00F05FE9">
        <w:t xml:space="preserve">Identical to the interest theory of rights, therefore, the reason-blocking theory yields a right to the right to refuse LPT that is substantively extensive. However, when </w:t>
      </w:r>
      <w:r w:rsidR="000C79D5" w:rsidRPr="00F05FE9">
        <w:rPr>
          <w:i/>
        </w:rPr>
        <w:t>P</w:t>
      </w:r>
      <w:r w:rsidRPr="00F05FE9">
        <w:t>’s refusal threatens population health, limitation of the right to refuse is likely to be proportionate.</w:t>
      </w:r>
      <w:r w:rsidR="002B709C" w:rsidRPr="00F05FE9">
        <w:rPr>
          <w:rStyle w:val="FootnoteReference"/>
        </w:rPr>
        <w:footnoteReference w:id="109"/>
      </w:r>
      <w:bookmarkStart w:id="38" w:name="hn_The_structural_margin_of_ap"/>
      <w:bookmarkEnd w:id="38"/>
    </w:p>
    <w:p w14:paraId="12EAF492" w14:textId="0B60248D" w:rsidR="00C46525" w:rsidRPr="00F05FE9" w:rsidRDefault="00C46525" w:rsidP="00BD663D">
      <w:pPr>
        <w:pStyle w:val="Heading1"/>
      </w:pPr>
      <w:r w:rsidRPr="00F05FE9">
        <w:lastRenderedPageBreak/>
        <w:t>The structural margin of appreciation</w:t>
      </w:r>
    </w:p>
    <w:p w14:paraId="7E210DB3" w14:textId="526E67C3" w:rsidR="003C1F61" w:rsidRPr="00F05FE9" w:rsidRDefault="00C46525" w:rsidP="003D725F">
      <w:pPr>
        <w:pStyle w:val="Body"/>
        <w:spacing w:line="276" w:lineRule="auto"/>
        <w:jc w:val="left"/>
      </w:pPr>
      <w:r w:rsidRPr="00F05FE9">
        <w:t xml:space="preserve">I have argued that </w:t>
      </w:r>
      <w:r w:rsidRPr="00F05FE9">
        <w:rPr>
          <w:i/>
        </w:rPr>
        <w:t>right D</w:t>
      </w:r>
      <w:r w:rsidRPr="00F05FE9">
        <w:rPr>
          <w:i/>
          <w:vertAlign w:val="subscript"/>
        </w:rPr>
        <w:t>R</w:t>
      </w:r>
      <w:r w:rsidRPr="00F05FE9">
        <w:t>, properly specified, affords individuals a substantive</w:t>
      </w:r>
      <w:r w:rsidR="004D3974" w:rsidRPr="00F05FE9">
        <w:t>ly extensive</w:t>
      </w:r>
      <w:r w:rsidRPr="00F05FE9">
        <w:t xml:space="preserve"> right to refuse LPT. Interference with </w:t>
      </w:r>
      <w:r w:rsidRPr="00F05FE9">
        <w:rPr>
          <w:i/>
        </w:rPr>
        <w:t>right D</w:t>
      </w:r>
      <w:r w:rsidRPr="00F05FE9">
        <w:rPr>
          <w:i/>
          <w:vertAlign w:val="subscript"/>
        </w:rPr>
        <w:t>R</w:t>
      </w:r>
      <w:r w:rsidRPr="00F05FE9">
        <w:t xml:space="preserve"> is likely to be proportionate only in situations in which respect for </w:t>
      </w:r>
      <w:r w:rsidR="000C79D5" w:rsidRPr="00F05FE9">
        <w:rPr>
          <w:i/>
        </w:rPr>
        <w:t>P</w:t>
      </w:r>
      <w:r w:rsidRPr="00F05FE9">
        <w:t xml:space="preserve">’s autonomy requires setting aside her advance refusal, on the rare occasion that </w:t>
      </w:r>
      <w:r w:rsidR="000C79D5" w:rsidRPr="00F05FE9">
        <w:rPr>
          <w:i/>
        </w:rPr>
        <w:t>P</w:t>
      </w:r>
      <w:r w:rsidRPr="00F05FE9">
        <w:t xml:space="preserve">’s refusal threatens population health, and to the extent that procedural requirements are necessary to ensure </w:t>
      </w:r>
      <w:r w:rsidR="000C79D5" w:rsidRPr="00F05FE9">
        <w:rPr>
          <w:i/>
        </w:rPr>
        <w:t>P</w:t>
      </w:r>
      <w:r w:rsidRPr="00F05FE9">
        <w:t xml:space="preserve">’s refusal of LPT is in fact a manifestation of </w:t>
      </w:r>
      <w:r w:rsidRPr="00F05FE9">
        <w:rPr>
          <w:i/>
        </w:rPr>
        <w:t>freedom D</w:t>
      </w:r>
      <w:r w:rsidRPr="00F05FE9">
        <w:t xml:space="preserve">. State interference with refusals of LPT that deviates from </w:t>
      </w:r>
      <w:r w:rsidRPr="00F05FE9">
        <w:rPr>
          <w:i/>
        </w:rPr>
        <w:t>right D</w:t>
      </w:r>
      <w:r w:rsidRPr="00F05FE9">
        <w:rPr>
          <w:i/>
          <w:vertAlign w:val="subscript"/>
        </w:rPr>
        <w:t>R</w:t>
      </w:r>
      <w:r w:rsidRPr="00F05FE9">
        <w:t xml:space="preserve"> so conceived, therefore, will be inconsistent with article 8 ECHR.</w:t>
      </w:r>
    </w:p>
    <w:p w14:paraId="6330B3A0" w14:textId="07B71A63" w:rsidR="003C1F61" w:rsidRPr="00F05FE9" w:rsidRDefault="00C46525" w:rsidP="003D725F">
      <w:pPr>
        <w:pStyle w:val="Body"/>
        <w:spacing w:line="276" w:lineRule="auto"/>
        <w:jc w:val="left"/>
        <w:rPr>
          <w:rFonts w:eastAsia="Garamond" w:cs="Garamond"/>
        </w:rPr>
      </w:pPr>
      <w:r w:rsidRPr="00F05FE9">
        <w:rPr>
          <w:rFonts w:eastAsia="Garamond" w:cs="Garamond"/>
        </w:rPr>
        <w:t>Article 1 ECHR enjoins Council of Europe Member States to secure the Convention rights and freedoms to all individuals within their jurisdiction. An individual who claims that the State has behaved in a way that is incompatible with her ECHR rights may be able to invoke the Convention in proceedings against the relevant public authority,</w:t>
      </w:r>
      <w:r w:rsidR="003C4461" w:rsidRPr="00F05FE9">
        <w:rPr>
          <w:rStyle w:val="FootnoteReference"/>
          <w:rFonts w:eastAsia="Garamond" w:cs="Garamond"/>
        </w:rPr>
        <w:footnoteReference w:id="110"/>
      </w:r>
      <w:r w:rsidRPr="00F05FE9">
        <w:rPr>
          <w:rFonts w:eastAsia="Garamond" w:cs="Garamond"/>
        </w:rPr>
        <w:t xml:space="preserve"> and national courts may have an obligation to read and give effect to legislation in a way that is consistent with the ECHR rights.</w:t>
      </w:r>
      <w:r w:rsidR="003C4461" w:rsidRPr="00F05FE9">
        <w:rPr>
          <w:rStyle w:val="FootnoteReference"/>
          <w:rFonts w:eastAsia="Garamond" w:cs="Garamond"/>
        </w:rPr>
        <w:footnoteReference w:id="111"/>
      </w:r>
      <w:r w:rsidRPr="00F05FE9">
        <w:rPr>
          <w:rFonts w:eastAsia="Garamond" w:cs="Garamond"/>
        </w:rPr>
        <w:t xml:space="preserve"> As such, a State that fails to make, or makes only limited, provision for contemporaneous </w:t>
      </w:r>
      <w:r w:rsidR="001C4946" w:rsidRPr="00F05FE9">
        <w:rPr>
          <w:rFonts w:eastAsia="Garamond" w:cs="Garamond"/>
        </w:rPr>
        <w:t>or</w:t>
      </w:r>
      <w:r w:rsidRPr="00F05FE9">
        <w:rPr>
          <w:rFonts w:eastAsia="Garamond" w:cs="Garamond"/>
        </w:rPr>
        <w:t xml:space="preserve"> advance refusals of LPT risks litigation whose aim is to (re)align domestic law with </w:t>
      </w:r>
      <w:r w:rsidRPr="00F05FE9">
        <w:rPr>
          <w:rFonts w:eastAsia="Garamond" w:cs="Garamond"/>
          <w:i/>
        </w:rPr>
        <w:t>right D</w:t>
      </w:r>
      <w:r w:rsidRPr="00F05FE9">
        <w:rPr>
          <w:rFonts w:eastAsia="Garamond" w:cs="Garamond"/>
          <w:i/>
          <w:vertAlign w:val="subscript"/>
        </w:rPr>
        <w:t>R</w:t>
      </w:r>
      <w:r w:rsidRPr="00F05FE9">
        <w:rPr>
          <w:rFonts w:eastAsia="Garamond" w:cs="Garamond"/>
        </w:rPr>
        <w:t>.</w:t>
      </w:r>
    </w:p>
    <w:p w14:paraId="50966ABB" w14:textId="3AE1F294" w:rsidR="003C1F61" w:rsidRPr="00F05FE9" w:rsidRDefault="00C46525" w:rsidP="003D725F">
      <w:pPr>
        <w:pStyle w:val="Body"/>
        <w:spacing w:line="276" w:lineRule="auto"/>
        <w:jc w:val="left"/>
        <w:rPr>
          <w:rFonts w:eastAsia="Garamond" w:cs="Garamond"/>
          <w:vertAlign w:val="superscript"/>
        </w:rPr>
      </w:pPr>
      <w:r w:rsidRPr="00F05FE9">
        <w:rPr>
          <w:rFonts w:eastAsia="Garamond" w:cs="Garamond"/>
        </w:rPr>
        <w:t>Of course, there is no guarantee that national courts will accept the argument that there exists a substantive</w:t>
      </w:r>
      <w:r w:rsidR="004D3974" w:rsidRPr="00F05FE9">
        <w:rPr>
          <w:rFonts w:eastAsia="Garamond" w:cs="Garamond"/>
        </w:rPr>
        <w:t>ly extensive</w:t>
      </w:r>
      <w:r w:rsidRPr="00F05FE9">
        <w:rPr>
          <w:rFonts w:eastAsia="Garamond" w:cs="Garamond"/>
        </w:rPr>
        <w:t xml:space="preserve"> right to refuse LPT, and that this right extends to contemporaneous and advance refusals in almost equal measure. An individual who has exhausted all domestic remedies might consequently apply to the ECtHR for judgment as to whether the State has violated her Convention rights, which would in principle require the Court to consider the content of </w:t>
      </w:r>
      <w:r w:rsidRPr="00F05FE9">
        <w:rPr>
          <w:rFonts w:eastAsia="Garamond" w:cs="Garamond"/>
          <w:i/>
        </w:rPr>
        <w:t>right D</w:t>
      </w:r>
      <w:r w:rsidRPr="00F05FE9">
        <w:rPr>
          <w:rFonts w:eastAsia="Garamond" w:cs="Garamond"/>
          <w:i/>
          <w:vertAlign w:val="subscript"/>
        </w:rPr>
        <w:t>R</w:t>
      </w:r>
      <w:r w:rsidRPr="00F05FE9">
        <w:rPr>
          <w:rFonts w:eastAsia="Garamond" w:cs="Garamond"/>
        </w:rPr>
        <w:t>.</w:t>
      </w:r>
      <w:r w:rsidR="003C4461" w:rsidRPr="00F05FE9">
        <w:rPr>
          <w:rStyle w:val="FootnoteReference"/>
          <w:rFonts w:eastAsia="Garamond" w:cs="Garamond"/>
        </w:rPr>
        <w:footnoteReference w:id="112"/>
      </w:r>
    </w:p>
    <w:p w14:paraId="77E46A6F" w14:textId="3646DC1F" w:rsidR="003C1F61" w:rsidRPr="00F05FE9" w:rsidRDefault="00C46525" w:rsidP="003D725F">
      <w:pPr>
        <w:pStyle w:val="Body"/>
        <w:spacing w:line="276" w:lineRule="auto"/>
        <w:jc w:val="left"/>
        <w:rPr>
          <w:rFonts w:eastAsia="Garamond" w:cs="Garamond"/>
        </w:rPr>
      </w:pPr>
      <w:r w:rsidRPr="00F05FE9">
        <w:rPr>
          <w:rFonts w:eastAsia="Garamond" w:cs="Garamond"/>
        </w:rPr>
        <w:t xml:space="preserve">As </w:t>
      </w:r>
      <w:proofErr w:type="spellStart"/>
      <w:r w:rsidRPr="00F05FE9">
        <w:rPr>
          <w:rFonts w:eastAsia="Garamond" w:cs="Garamond"/>
        </w:rPr>
        <w:t>Letsas</w:t>
      </w:r>
      <w:proofErr w:type="spellEnd"/>
      <w:r w:rsidRPr="00F05FE9">
        <w:rPr>
          <w:rFonts w:eastAsia="Garamond" w:cs="Garamond"/>
        </w:rPr>
        <w:t xml:space="preserve"> notes, however, the ECtHR employs a </w:t>
      </w:r>
      <w:r w:rsidRPr="00F05FE9">
        <w:rPr>
          <w:rFonts w:eastAsia="Garamond" w:cs="Garamond"/>
          <w:i/>
        </w:rPr>
        <w:t>structural</w:t>
      </w:r>
      <w:r w:rsidR="003C1F61" w:rsidRPr="00F05FE9">
        <w:rPr>
          <w:rFonts w:eastAsia="Garamond" w:cs="Garamond"/>
        </w:rPr>
        <w:t xml:space="preserve"> concept of </w:t>
      </w:r>
      <w:r w:rsidRPr="00F05FE9">
        <w:rPr>
          <w:rFonts w:eastAsia="Garamond" w:cs="Garamond"/>
        </w:rPr>
        <w:t>the margin of appreciation ‘to express the degree to which the Court will rely on an earlier decision of the national authorities and refrain from second-guessing whether, in its own view, the right has been violated’.</w:t>
      </w:r>
      <w:r w:rsidR="003C4461" w:rsidRPr="00F05FE9">
        <w:rPr>
          <w:rStyle w:val="FootnoteReference"/>
          <w:rFonts w:eastAsia="Garamond" w:cs="Garamond"/>
        </w:rPr>
        <w:footnoteReference w:id="113"/>
      </w:r>
      <w:r w:rsidRPr="00F05FE9">
        <w:rPr>
          <w:rFonts w:eastAsia="Garamond" w:cs="Garamond"/>
        </w:rPr>
        <w:t xml:space="preserve"> Thus the ECtHR may decline to examine the merits of a case, </w:t>
      </w:r>
      <w:r w:rsidRPr="00F05FE9">
        <w:rPr>
          <w:rFonts w:eastAsia="Garamond" w:cs="Garamond"/>
          <w:i/>
        </w:rPr>
        <w:t>inter alia</w:t>
      </w:r>
      <w:r w:rsidRPr="00F05FE9">
        <w:rPr>
          <w:rFonts w:eastAsia="Garamond" w:cs="Garamond"/>
        </w:rPr>
        <w:t xml:space="preserve">, in virtue of the </w:t>
      </w:r>
      <w:r w:rsidRPr="00F05FE9">
        <w:rPr>
          <w:rFonts w:eastAsia="Garamond" w:cs="Garamond"/>
        </w:rPr>
        <w:lastRenderedPageBreak/>
        <w:t xml:space="preserve">state of </w:t>
      </w:r>
      <w:r w:rsidRPr="00F05FE9">
        <w:rPr>
          <w:rFonts w:eastAsia="Garamond" w:cs="Garamond"/>
          <w:i/>
        </w:rPr>
        <w:t>consensus</w:t>
      </w:r>
      <w:r w:rsidRPr="00F05FE9">
        <w:rPr>
          <w:rFonts w:eastAsia="Garamond" w:cs="Garamond"/>
        </w:rPr>
        <w:t xml:space="preserve"> among Member States on the existence and extent of the relevant right.</w:t>
      </w:r>
      <w:r w:rsidR="003C4461" w:rsidRPr="00F05FE9">
        <w:rPr>
          <w:rStyle w:val="FootnoteReference"/>
          <w:rFonts w:eastAsia="Garamond" w:cs="Garamond"/>
        </w:rPr>
        <w:footnoteReference w:id="114"/>
      </w:r>
      <w:r w:rsidRPr="00F05FE9">
        <w:rPr>
          <w:rFonts w:eastAsia="Garamond" w:cs="Garamond"/>
        </w:rPr>
        <w:t xml:space="preserve"> As the Court held in </w:t>
      </w:r>
      <w:r w:rsidRPr="00F05FE9">
        <w:rPr>
          <w:rFonts w:eastAsia="Garamond" w:cs="Garamond"/>
          <w:i/>
        </w:rPr>
        <w:t>Evans v United Kingdom</w:t>
      </w:r>
      <w:r w:rsidRPr="00F05FE9">
        <w:rPr>
          <w:rFonts w:eastAsia="Garamond" w:cs="Garamond"/>
        </w:rPr>
        <w:t xml:space="preserve">, the less consensus, the </w:t>
      </w:r>
      <w:r w:rsidRPr="00F05FE9">
        <w:rPr>
          <w:rFonts w:eastAsia="Garamond" w:cs="Garamond"/>
          <w:i/>
        </w:rPr>
        <w:t xml:space="preserve">wider </w:t>
      </w:r>
      <w:r w:rsidRPr="00F05FE9">
        <w:rPr>
          <w:rFonts w:eastAsia="Garamond" w:cs="Garamond"/>
        </w:rPr>
        <w:t>the margin of appreciation, and, consequently, the more latitude accorded to the State.</w:t>
      </w:r>
    </w:p>
    <w:p w14:paraId="139E1B95" w14:textId="4B02019A" w:rsidR="00B555C9" w:rsidRPr="00F05FE9" w:rsidRDefault="00C46525" w:rsidP="003D725F">
      <w:pPr>
        <w:pStyle w:val="Quote"/>
        <w:spacing w:line="276" w:lineRule="auto"/>
        <w:jc w:val="left"/>
      </w:pPr>
      <w:r w:rsidRPr="00F05FE9">
        <w:t>Where… there is no consensus</w:t>
      </w:r>
      <w:r w:rsidR="00C043BC" w:rsidRPr="00F05FE9">
        <w:t>…</w:t>
      </w:r>
      <w:r w:rsidRPr="00F05FE9">
        <w:t xml:space="preserve"> either as to the relative importance of the interest at stake or as to the best means of protecting it, particularly where the case raises sensitive moral or ethical issues, the margin will be wider.</w:t>
      </w:r>
      <w:bookmarkStart w:id="39" w:name="_Ref497763959"/>
      <w:r w:rsidR="00FF3958" w:rsidRPr="00F05FE9">
        <w:rPr>
          <w:rStyle w:val="FootnoteReference"/>
        </w:rPr>
        <w:footnoteReference w:id="115"/>
      </w:r>
      <w:bookmarkEnd w:id="39"/>
    </w:p>
    <w:p w14:paraId="25195C02" w14:textId="298F522A" w:rsidR="003C1F61" w:rsidRPr="00F05FE9" w:rsidRDefault="00C46525" w:rsidP="003D725F">
      <w:pPr>
        <w:pStyle w:val="Body"/>
        <w:spacing w:line="276" w:lineRule="auto"/>
        <w:jc w:val="left"/>
      </w:pPr>
      <w:r w:rsidRPr="00F05FE9">
        <w:t xml:space="preserve">A detailed examination of the state of consensus within the Council of Europe in respect of refusals of LPT warrants (and would require) a paper of its own. I will, however, sketch an argument that there is sufficient consensus for the ECtHR to consider the content of </w:t>
      </w:r>
      <w:r w:rsidRPr="00F05FE9">
        <w:rPr>
          <w:i/>
        </w:rPr>
        <w:t>right D</w:t>
      </w:r>
      <w:r w:rsidRPr="00F05FE9">
        <w:rPr>
          <w:i/>
          <w:vertAlign w:val="subscript"/>
        </w:rPr>
        <w:t>R</w:t>
      </w:r>
      <w:r w:rsidRPr="00F05FE9">
        <w:t xml:space="preserve">. My contention </w:t>
      </w:r>
      <w:r w:rsidR="00DA3F5A" w:rsidRPr="00F05FE9">
        <w:t>may seem</w:t>
      </w:r>
      <w:r w:rsidRPr="00F05FE9">
        <w:t xml:space="preserve"> unpromising </w:t>
      </w:r>
      <w:proofErr w:type="gramStart"/>
      <w:r w:rsidRPr="00F05FE9">
        <w:t>in light of</w:t>
      </w:r>
      <w:proofErr w:type="gramEnd"/>
      <w:r w:rsidRPr="00F05FE9">
        <w:t xml:space="preserve"> the Court’s observations on the margin of appreciation in its assisted suicide jurisprudence. In </w:t>
      </w:r>
      <w:r w:rsidRPr="00F05FE9">
        <w:rPr>
          <w:i/>
        </w:rPr>
        <w:t>Haas v Switzerland</w:t>
      </w:r>
      <w:r w:rsidRPr="00F05FE9">
        <w:t xml:space="preserve">, the Court held that ‘Member States are far from having reached a consensus </w:t>
      </w:r>
      <w:proofErr w:type="gramStart"/>
      <w:r w:rsidRPr="00F05FE9">
        <w:t>as regards</w:t>
      </w:r>
      <w:proofErr w:type="gramEnd"/>
      <w:r w:rsidRPr="00F05FE9">
        <w:t xml:space="preserve"> the right of an individual to choose how and when to end his life… states have a wide margin of appreciation in that respect’.</w:t>
      </w:r>
      <w:r w:rsidR="0034044E" w:rsidRPr="00F05FE9">
        <w:rPr>
          <w:rStyle w:val="FootnoteReference"/>
        </w:rPr>
        <w:footnoteReference w:id="116"/>
      </w:r>
      <w:r w:rsidRPr="00F05FE9">
        <w:t xml:space="preserve"> If this appraisal refers to the totality of </w:t>
      </w:r>
      <w:r w:rsidRPr="00F05FE9">
        <w:rPr>
          <w:i/>
        </w:rPr>
        <w:t>right D</w:t>
      </w:r>
      <w:r w:rsidRPr="00F05FE9">
        <w:t xml:space="preserve">, ECtHR consideration of the content of </w:t>
      </w:r>
      <w:r w:rsidRPr="00F05FE9">
        <w:rPr>
          <w:i/>
        </w:rPr>
        <w:t>right D</w:t>
      </w:r>
      <w:r w:rsidRPr="00F05FE9">
        <w:rPr>
          <w:i/>
          <w:vertAlign w:val="subscript"/>
        </w:rPr>
        <w:t>R</w:t>
      </w:r>
      <w:r w:rsidRPr="00F05FE9">
        <w:t xml:space="preserve"> seems unlikely. However, I think we should read the Court’s dictum restrictively; we should take it to concern only the structural margin of appreciation </w:t>
      </w:r>
      <w:proofErr w:type="gramStart"/>
      <w:r w:rsidRPr="00F05FE9">
        <w:t>with regard to</w:t>
      </w:r>
      <w:proofErr w:type="gramEnd"/>
      <w:r w:rsidRPr="00F05FE9">
        <w:t xml:space="preserve"> </w:t>
      </w:r>
      <w:r w:rsidR="00E32A3C" w:rsidRPr="00F05FE9">
        <w:t>physician</w:t>
      </w:r>
      <w:r w:rsidR="00E32A3C">
        <w:t>-</w:t>
      </w:r>
      <w:r w:rsidRPr="00F05FE9">
        <w:t>assisted death.</w:t>
      </w:r>
    </w:p>
    <w:p w14:paraId="75E062D1" w14:textId="20E456AD" w:rsidR="001719BC" w:rsidRPr="00F05FE9" w:rsidRDefault="00C46525" w:rsidP="007F581D">
      <w:pPr>
        <w:pStyle w:val="Body"/>
        <w:spacing w:line="276" w:lineRule="auto"/>
        <w:jc w:val="left"/>
        <w:rPr>
          <w:rFonts w:eastAsia="Garamond" w:cs="Garamond"/>
        </w:rPr>
      </w:pPr>
      <w:r w:rsidRPr="00F05FE9">
        <w:rPr>
          <w:rFonts w:eastAsia="Garamond" w:cs="Garamond"/>
        </w:rPr>
        <w:t xml:space="preserve">As a general interpretive matter, we should be cautious to infer a </w:t>
      </w:r>
      <w:r w:rsidR="00E9498D">
        <w:rPr>
          <w:rFonts w:eastAsia="Garamond" w:cs="Garamond"/>
        </w:rPr>
        <w:t xml:space="preserve">determination on </w:t>
      </w:r>
      <w:r w:rsidRPr="00F05FE9">
        <w:rPr>
          <w:rFonts w:eastAsia="Garamond" w:cs="Garamond"/>
        </w:rPr>
        <w:t>any issue broader than the matter under consideration.</w:t>
      </w:r>
      <w:r w:rsidR="007E73AD">
        <w:rPr>
          <w:rStyle w:val="FootnoteReference"/>
          <w:rFonts w:eastAsia="Garamond" w:cs="Garamond"/>
        </w:rPr>
        <w:footnoteReference w:id="117"/>
      </w:r>
      <w:r w:rsidR="003E6D6D">
        <w:rPr>
          <w:rFonts w:eastAsia="Garamond" w:cs="Garamond"/>
        </w:rPr>
        <w:t xml:space="preserve"> </w:t>
      </w:r>
      <w:r w:rsidRPr="00F05FE9">
        <w:rPr>
          <w:rFonts w:eastAsia="Garamond" w:cs="Garamond"/>
        </w:rPr>
        <w:t xml:space="preserve">More practically, the state of consensus among Member States </w:t>
      </w:r>
      <w:proofErr w:type="gramStart"/>
      <w:r w:rsidRPr="00F05FE9">
        <w:rPr>
          <w:rFonts w:eastAsia="Garamond" w:cs="Garamond"/>
        </w:rPr>
        <w:t>with regard to</w:t>
      </w:r>
      <w:proofErr w:type="gramEnd"/>
      <w:r w:rsidRPr="00F05FE9">
        <w:rPr>
          <w:rFonts w:eastAsia="Garamond" w:cs="Garamond"/>
        </w:rPr>
        <w:t xml:space="preserve"> </w:t>
      </w:r>
      <w:r w:rsidR="00E32A3C" w:rsidRPr="00E32A3C">
        <w:rPr>
          <w:rFonts w:eastAsia="Garamond" w:cs="Garamond"/>
        </w:rPr>
        <w:t>physician-</w:t>
      </w:r>
      <w:r w:rsidRPr="00E32A3C">
        <w:rPr>
          <w:rFonts w:eastAsia="Garamond" w:cs="Garamond"/>
        </w:rPr>
        <w:t>assisted</w:t>
      </w:r>
      <w:r w:rsidRPr="00F05FE9">
        <w:rPr>
          <w:rFonts w:eastAsia="Garamond" w:cs="Garamond"/>
        </w:rPr>
        <w:t xml:space="preserve"> death is significantly different to that in respect of refusals of LPT. As the ECtHR noted in </w:t>
      </w:r>
      <w:r w:rsidRPr="00F05FE9">
        <w:rPr>
          <w:rFonts w:eastAsia="Garamond" w:cs="Garamond"/>
          <w:i/>
        </w:rPr>
        <w:t>Koch v Germany</w:t>
      </w:r>
      <w:r w:rsidRPr="00F05FE9">
        <w:rPr>
          <w:rFonts w:eastAsia="Garamond" w:cs="Garamond"/>
        </w:rPr>
        <w:t>, ‘[o]</w:t>
      </w:r>
      <w:proofErr w:type="spellStart"/>
      <w:r w:rsidRPr="00F05FE9">
        <w:rPr>
          <w:rFonts w:eastAsia="Garamond" w:cs="Garamond"/>
        </w:rPr>
        <w:t>nly</w:t>
      </w:r>
      <w:proofErr w:type="spellEnd"/>
      <w:r w:rsidRPr="00F05FE9">
        <w:rPr>
          <w:rFonts w:eastAsia="Garamond" w:cs="Garamond"/>
        </w:rPr>
        <w:t xml:space="preserve"> four [Member States </w:t>
      </w:r>
      <w:r w:rsidRPr="00F05FE9">
        <w:rPr>
          <w:rFonts w:eastAsia="Garamond" w:cs="Garamond"/>
        </w:rPr>
        <w:lastRenderedPageBreak/>
        <w:t>allow] medical practitioners to prescribe a lethal drug in order to enable a patient to end his or her life’.</w:t>
      </w:r>
      <w:r w:rsidR="0034044E" w:rsidRPr="00F05FE9">
        <w:rPr>
          <w:rStyle w:val="FootnoteReference"/>
          <w:rFonts w:eastAsia="Garamond" w:cs="Garamond"/>
        </w:rPr>
        <w:footnoteReference w:id="118"/>
      </w:r>
      <w:r w:rsidRPr="00F05FE9">
        <w:rPr>
          <w:rFonts w:eastAsia="Garamond" w:cs="Garamond"/>
        </w:rPr>
        <w:t xml:space="preserve"> By contrast, there is substantial evidence of permissive consensus on contemporaneous refusals of LPT in law,</w:t>
      </w:r>
      <w:bookmarkStart w:id="40" w:name="_Ref497759964"/>
      <w:r w:rsidR="002D432D" w:rsidRPr="00F05FE9">
        <w:rPr>
          <w:rStyle w:val="FootnoteReference"/>
          <w:rFonts w:eastAsia="Garamond" w:cs="Garamond"/>
        </w:rPr>
        <w:footnoteReference w:id="119"/>
      </w:r>
      <w:bookmarkEnd w:id="40"/>
      <w:r w:rsidRPr="00F05FE9">
        <w:rPr>
          <w:rFonts w:eastAsia="Garamond" w:cs="Garamond"/>
        </w:rPr>
        <w:t xml:space="preserve"> and evidence of an emerging consensus in the same direction for advance refusals of LPT.</w:t>
      </w:r>
      <w:bookmarkStart w:id="41" w:name="_Ref497759968"/>
      <w:r w:rsidR="002D432D" w:rsidRPr="00F05FE9">
        <w:rPr>
          <w:rStyle w:val="FootnoteReference"/>
          <w:rFonts w:eastAsia="Garamond" w:cs="Garamond"/>
        </w:rPr>
        <w:footnoteReference w:id="120"/>
      </w:r>
      <w:bookmarkEnd w:id="41"/>
      <w:r w:rsidRPr="00F05FE9">
        <w:rPr>
          <w:rFonts w:eastAsia="Garamond" w:cs="Garamond"/>
        </w:rPr>
        <w:t xml:space="preserve"> Moreover, we should note that the ECtHR does not require a </w:t>
      </w:r>
      <w:r w:rsidRPr="00F05FE9">
        <w:rPr>
          <w:rFonts w:eastAsia="Garamond" w:cs="Garamond"/>
        </w:rPr>
        <w:lastRenderedPageBreak/>
        <w:t>plurality, majority, or greater amount of agreement among Mem</w:t>
      </w:r>
      <w:r w:rsidR="003C1F61" w:rsidRPr="00F05FE9">
        <w:rPr>
          <w:rFonts w:eastAsia="Garamond" w:cs="Garamond"/>
        </w:rPr>
        <w:t>ber States to find consensus</w:t>
      </w:r>
      <w:r w:rsidR="001719BC" w:rsidRPr="00F05FE9">
        <w:rPr>
          <w:rFonts w:eastAsia="Garamond" w:cs="Garamond"/>
        </w:rPr>
        <w:t xml:space="preserve"> on</w:t>
      </w:r>
      <w:r w:rsidR="001719BC" w:rsidRPr="00F05FE9">
        <w:rPr>
          <w:rFonts w:eastAsia="Garamond" w:cs="Cambria"/>
        </w:rPr>
        <w:t xml:space="preserve"> an issue</w:t>
      </w:r>
      <w:r w:rsidRPr="00F05FE9">
        <w:rPr>
          <w:rFonts w:eastAsia="Garamond" w:cs="Garamond"/>
        </w:rPr>
        <w:t xml:space="preserve">. As the Court noted in </w:t>
      </w:r>
      <w:r w:rsidRPr="00F05FE9">
        <w:rPr>
          <w:rFonts w:eastAsia="Garamond" w:cs="Garamond"/>
          <w:i/>
        </w:rPr>
        <w:t>Goodwin v United Kingdom</w:t>
      </w:r>
      <w:r w:rsidRPr="00F05FE9">
        <w:rPr>
          <w:rFonts w:eastAsia="Garamond" w:cs="Garamond"/>
        </w:rPr>
        <w:t>, a numerical approach may set the bar too low:</w:t>
      </w:r>
    </w:p>
    <w:p w14:paraId="08C5D19E" w14:textId="4173A93B" w:rsidR="001719BC" w:rsidRPr="00F05FE9" w:rsidRDefault="00C46525" w:rsidP="003D725F">
      <w:pPr>
        <w:pStyle w:val="Quote"/>
        <w:spacing w:line="276" w:lineRule="auto"/>
        <w:jc w:val="left"/>
        <w:rPr>
          <w:vertAlign w:val="superscript"/>
        </w:rPr>
      </w:pPr>
      <w:r w:rsidRPr="00F05FE9">
        <w:t>[S]</w:t>
      </w:r>
      <w:proofErr w:type="spellStart"/>
      <w:r w:rsidRPr="00F05FE9">
        <w:t>ince</w:t>
      </w:r>
      <w:proofErr w:type="spellEnd"/>
      <w:r w:rsidRPr="00F05FE9">
        <w:t xml:space="preserve"> the Convention is first and foremost a system for the protection of </w:t>
      </w:r>
      <w:r w:rsidR="000D1288" w:rsidRPr="00F05FE9">
        <w:t>human rights</w:t>
      </w:r>
      <w:r w:rsidRPr="00F05FE9">
        <w:t>, the Court must have regard to the changing conditions within the respondent State and within Contracting States generally and respond, for example, to any evolving convergence as to the standards to be achieved… A failure by the Court to maintain a dynamic and evolutive approach would indeed risk rendering it a bar to reform or improvement.</w:t>
      </w:r>
      <w:bookmarkStart w:id="42" w:name="_Ref497763829"/>
      <w:r w:rsidR="002D432D" w:rsidRPr="00F05FE9">
        <w:rPr>
          <w:rStyle w:val="FootnoteReference"/>
        </w:rPr>
        <w:footnoteReference w:id="121"/>
      </w:r>
      <w:bookmarkEnd w:id="42"/>
    </w:p>
    <w:p w14:paraId="08662F8E" w14:textId="2C9E902C" w:rsidR="004D59B0" w:rsidRPr="00F05FE9" w:rsidRDefault="00C46525" w:rsidP="003D725F">
      <w:pPr>
        <w:pStyle w:val="Body"/>
        <w:spacing w:line="276" w:lineRule="auto"/>
        <w:jc w:val="left"/>
        <w:rPr>
          <w:vertAlign w:val="superscript"/>
        </w:rPr>
      </w:pPr>
      <w:proofErr w:type="gramStart"/>
      <w:r w:rsidRPr="00F05FE9">
        <w:t>Thus</w:t>
      </w:r>
      <w:proofErr w:type="gramEnd"/>
      <w:r w:rsidRPr="00F05FE9">
        <w:t xml:space="preserve"> it may be that the ECtHR will find consensus on the basis of (at best) a modest convergence in Member State practice, which I have demonstrated in respect of both contemporaneous and advance refusals of LPT. Furthermore, the absence of consensus among Member States </w:t>
      </w:r>
      <w:proofErr w:type="gramStart"/>
      <w:r w:rsidRPr="00F05FE9">
        <w:t>with regard to</w:t>
      </w:r>
      <w:proofErr w:type="gramEnd"/>
      <w:r w:rsidR="00A31633" w:rsidRPr="00F05FE9">
        <w:t xml:space="preserve"> an issue</w:t>
      </w:r>
      <w:r w:rsidRPr="00F05FE9">
        <w:t xml:space="preserve"> need not determine that </w:t>
      </w:r>
      <w:r w:rsidR="00A31633" w:rsidRPr="00F05FE9">
        <w:rPr>
          <w:rFonts w:cs="Cambria"/>
        </w:rPr>
        <w:t>its</w:t>
      </w:r>
      <w:r w:rsidRPr="00F05FE9">
        <w:t xml:space="preserve"> regulation lies within the State’s margin of appreciation. In </w:t>
      </w:r>
      <w:r w:rsidRPr="00F05FE9">
        <w:rPr>
          <w:i/>
        </w:rPr>
        <w:t>Goodwin</w:t>
      </w:r>
      <w:r w:rsidRPr="00F05FE9">
        <w:t xml:space="preserve">, the ECtHR abandoned its finding in </w:t>
      </w:r>
      <w:r w:rsidRPr="00F05FE9">
        <w:rPr>
          <w:i/>
        </w:rPr>
        <w:t>Sheffield and Horsham v United Kingdom</w:t>
      </w:r>
      <w:r w:rsidRPr="00F05FE9">
        <w:t xml:space="preserve"> that the absence of ‘common European approach to the problems created by the recognition in law of post-operative gender status’ </w:t>
      </w:r>
      <w:r w:rsidR="00A31633" w:rsidRPr="00F05FE9">
        <w:t>p</w:t>
      </w:r>
      <w:r w:rsidR="00DE5541" w:rsidRPr="00F05FE9">
        <w:t>recluded</w:t>
      </w:r>
      <w:r w:rsidR="00A31633" w:rsidRPr="00F05FE9">
        <w:t xml:space="preserve"> an examination of the </w:t>
      </w:r>
      <w:r w:rsidRPr="00F05FE9">
        <w:t>substantive decision of the national authorities.</w:t>
      </w:r>
      <w:r w:rsidR="002D432D" w:rsidRPr="00F05FE9">
        <w:rPr>
          <w:rStyle w:val="FootnoteReference"/>
        </w:rPr>
        <w:footnoteReference w:id="122"/>
      </w:r>
      <w:r w:rsidRPr="00F05FE9">
        <w:t xml:space="preserve"> However, the basis for departure was not </w:t>
      </w:r>
      <w:r w:rsidR="00B4447D" w:rsidRPr="00F05FE9">
        <w:t>greater</w:t>
      </w:r>
      <w:r w:rsidRPr="00F05FE9">
        <w:t xml:space="preserve"> agreement </w:t>
      </w:r>
      <w:r w:rsidRPr="00F05FE9">
        <w:lastRenderedPageBreak/>
        <w:t>among Member States—little had changed in this regard—but rather ‘clear and uncontested evidence of a continuing international trend’ toward convergence among States outside the Council of Europe.</w:t>
      </w:r>
      <w:r w:rsidR="002D432D" w:rsidRPr="00F05FE9">
        <w:rPr>
          <w:rStyle w:val="FootnoteReference"/>
        </w:rPr>
        <w:footnoteReference w:id="123"/>
      </w:r>
    </w:p>
    <w:p w14:paraId="4D9EACB5" w14:textId="6E1F05EE" w:rsidR="004D59B0" w:rsidRPr="00F05FE9" w:rsidRDefault="00EC13CB" w:rsidP="003D725F">
      <w:pPr>
        <w:pStyle w:val="Body"/>
        <w:spacing w:line="276" w:lineRule="auto"/>
        <w:jc w:val="left"/>
        <w:rPr>
          <w:rFonts w:eastAsia="Garamond" w:cs="Garamond"/>
        </w:rPr>
      </w:pPr>
      <w:r w:rsidRPr="00F05FE9">
        <w:rPr>
          <w:rFonts w:eastAsia="Garamond" w:cs="Garamond"/>
        </w:rPr>
        <w:t>Tentatively</w:t>
      </w:r>
      <w:r w:rsidR="00C46525" w:rsidRPr="00F05FE9">
        <w:rPr>
          <w:rFonts w:eastAsia="Garamond" w:cs="Garamond"/>
        </w:rPr>
        <w:t xml:space="preserve">, I argue that there is numerically sufficient consensus on both advance and contemporaneous refusals of LPT for the ECtHR to determine the content of </w:t>
      </w:r>
      <w:r w:rsidR="00C46525" w:rsidRPr="00F05FE9">
        <w:rPr>
          <w:rFonts w:eastAsia="Garamond" w:cs="Garamond"/>
          <w:i/>
        </w:rPr>
        <w:t>right D</w:t>
      </w:r>
      <w:r w:rsidR="00C46525" w:rsidRPr="00F05FE9">
        <w:rPr>
          <w:rFonts w:eastAsia="Garamond" w:cs="Garamond"/>
          <w:i/>
          <w:vertAlign w:val="subscript"/>
        </w:rPr>
        <w:t>R</w:t>
      </w:r>
      <w:r w:rsidR="00C46525" w:rsidRPr="00F05FE9">
        <w:rPr>
          <w:rFonts w:eastAsia="Garamond" w:cs="Garamond"/>
        </w:rPr>
        <w:t xml:space="preserve">. </w:t>
      </w:r>
      <w:r w:rsidR="00422C8F" w:rsidRPr="00F05FE9">
        <w:rPr>
          <w:rFonts w:eastAsia="Garamond" w:cs="Garamond"/>
        </w:rPr>
        <w:t>Alternatively</w:t>
      </w:r>
      <w:r w:rsidR="00C46525" w:rsidRPr="00F05FE9">
        <w:rPr>
          <w:rFonts w:eastAsia="Garamond" w:cs="Garamond"/>
        </w:rPr>
        <w:t xml:space="preserve">, if am wrong on the numerical issue, the ECtHR might nevertheless choose, consistent with </w:t>
      </w:r>
      <w:r w:rsidR="00C46525" w:rsidRPr="00F05FE9">
        <w:rPr>
          <w:rFonts w:eastAsia="Garamond" w:cs="Garamond"/>
          <w:i/>
        </w:rPr>
        <w:t>Goodwin</w:t>
      </w:r>
      <w:r w:rsidR="00C46525" w:rsidRPr="00F05FE9">
        <w:rPr>
          <w:rFonts w:eastAsia="Garamond" w:cs="Garamond"/>
        </w:rPr>
        <w:t>, to consider what set of arrangements for refusals of LPT are consistent with article 8 ECHR.</w:t>
      </w:r>
      <w:bookmarkStart w:id="43" w:name="hn_Positive_obligations_in_res"/>
      <w:bookmarkEnd w:id="43"/>
    </w:p>
    <w:p w14:paraId="03BCEDA3" w14:textId="25D092DB" w:rsidR="00C46525" w:rsidRPr="00F05FE9" w:rsidRDefault="00C46525" w:rsidP="00BD663D">
      <w:pPr>
        <w:pStyle w:val="Heading1"/>
      </w:pPr>
      <w:bookmarkStart w:id="44" w:name="_Ref497762123"/>
      <w:r w:rsidRPr="00F05FE9">
        <w:t xml:space="preserve">Positive obligations in respect of </w:t>
      </w:r>
      <w:r w:rsidRPr="00F05FE9">
        <w:rPr>
          <w:i/>
        </w:rPr>
        <w:t>right D</w:t>
      </w:r>
      <w:r w:rsidRPr="00F05FE9">
        <w:rPr>
          <w:i/>
          <w:vertAlign w:val="subscript"/>
        </w:rPr>
        <w:t>R</w:t>
      </w:r>
      <w:bookmarkEnd w:id="44"/>
    </w:p>
    <w:p w14:paraId="58FC1F3A" w14:textId="13A9A55D" w:rsidR="008272F4" w:rsidRPr="00F05FE9" w:rsidRDefault="00C46525" w:rsidP="003D725F">
      <w:pPr>
        <w:pStyle w:val="Body"/>
        <w:spacing w:line="276" w:lineRule="auto"/>
        <w:jc w:val="left"/>
      </w:pPr>
      <w:r w:rsidRPr="00F05FE9">
        <w:t xml:space="preserve">Suppose that I am correct insofar as there exists an article 8 ECHR norm applicable to contemporaneous and advance refusals of LPT that Council of Europe Members States must adopt. Alternatively, suppose I am wrong, and that no such norm exists at present in virtue of the absence of Member State consensus; regulation of refusals of LPT </w:t>
      </w:r>
      <w:r w:rsidR="004D59B0" w:rsidRPr="00F05FE9">
        <w:t xml:space="preserve">thus </w:t>
      </w:r>
      <w:r w:rsidRPr="00F05FE9">
        <w:t xml:space="preserve">falls within the margin of appreciation. Suppose also that, following </w:t>
      </w:r>
      <w:r w:rsidR="00346849" w:rsidRPr="00F05FE9">
        <w:t>my initial stipulation</w:t>
      </w:r>
      <w:r w:rsidRPr="00F05FE9">
        <w:t xml:space="preserve">, a State aligns its legal regime with </w:t>
      </w:r>
      <w:r w:rsidRPr="00F05FE9">
        <w:rPr>
          <w:i/>
        </w:rPr>
        <w:t>right D</w:t>
      </w:r>
      <w:r w:rsidRPr="00F05FE9">
        <w:rPr>
          <w:i/>
          <w:vertAlign w:val="subscript"/>
        </w:rPr>
        <w:t>R</w:t>
      </w:r>
      <w:r w:rsidRPr="00F05FE9">
        <w:t xml:space="preserve"> as I frame it, or following </w:t>
      </w:r>
      <w:r w:rsidR="00346849" w:rsidRPr="00F05FE9">
        <w:t xml:space="preserve">my alternative </w:t>
      </w:r>
      <w:r w:rsidRPr="00F05FE9">
        <w:t>stipulation, a State adopts a legal regime for refusals of LPT that is more permissive than a blanket ban. Suppose finally that in both scenarios individuals encounter difficulty refusing treatment in practice.</w:t>
      </w:r>
      <w:r w:rsidR="002D432D" w:rsidRPr="00F05FE9">
        <w:rPr>
          <w:rStyle w:val="FootnoteReference"/>
        </w:rPr>
        <w:footnoteReference w:id="124"/>
      </w:r>
      <w:r w:rsidRPr="00F05FE9">
        <w:t xml:space="preserve"> </w:t>
      </w:r>
      <w:r w:rsidR="00F23E23" w:rsidRPr="00F05FE9">
        <w:t>Under these conditions, r</w:t>
      </w:r>
      <w:r w:rsidRPr="00F05FE9">
        <w:t xml:space="preserve">egardless of whether the content of </w:t>
      </w:r>
      <w:r w:rsidRPr="00F05FE9">
        <w:rPr>
          <w:i/>
        </w:rPr>
        <w:t>right D</w:t>
      </w:r>
      <w:r w:rsidRPr="00F05FE9">
        <w:rPr>
          <w:i/>
          <w:vertAlign w:val="subscript"/>
        </w:rPr>
        <w:t>R</w:t>
      </w:r>
      <w:r w:rsidRPr="00F05FE9">
        <w:rPr>
          <w:i/>
        </w:rPr>
        <w:t xml:space="preserve"> </w:t>
      </w:r>
      <w:r w:rsidRPr="00F05FE9">
        <w:t>is subject to ECtHR supervision, the discrepancy between law and practice may lead to a violation of the Convention.</w:t>
      </w:r>
    </w:p>
    <w:p w14:paraId="1ECCF934" w14:textId="1E4C6AC4" w:rsidR="008272F4" w:rsidRPr="00F05FE9" w:rsidRDefault="005C1432" w:rsidP="003D725F">
      <w:pPr>
        <w:pStyle w:val="Body"/>
        <w:spacing w:line="276" w:lineRule="auto"/>
        <w:jc w:val="left"/>
        <w:rPr>
          <w:rFonts w:eastAsia="Garamond" w:cs="Garamond"/>
          <w:color w:val="000000"/>
        </w:rPr>
      </w:pPr>
      <w:r w:rsidRPr="00F05FE9">
        <w:rPr>
          <w:rFonts w:eastAsia="Garamond" w:cs="Garamond"/>
          <w:color w:val="000000"/>
        </w:rPr>
        <w:t xml:space="preserve">Rosamund Scott observes that ‘once a state has established a particular legal regime, the margin of appreciation </w:t>
      </w:r>
      <w:r w:rsidRPr="00F05FE9">
        <w:rPr>
          <w:rFonts w:eastAsia="Garamond" w:cs="Garamond"/>
          <w:i/>
          <w:color w:val="000000"/>
        </w:rPr>
        <w:t>narrows</w:t>
      </w:r>
      <w:r w:rsidRPr="00F05FE9">
        <w:rPr>
          <w:rFonts w:eastAsia="Garamond" w:cs="Garamond"/>
          <w:color w:val="000000"/>
        </w:rPr>
        <w:t xml:space="preserve"> because the state can be held to account for not fulfilling its obligations within that regime</w:t>
      </w:r>
      <w:r w:rsidR="007D21EB" w:rsidRPr="00F05FE9">
        <w:rPr>
          <w:rFonts w:eastAsia="Garamond" w:cs="Garamond"/>
          <w:color w:val="000000"/>
        </w:rPr>
        <w:t>’</w:t>
      </w:r>
      <w:r w:rsidRPr="00F05FE9">
        <w:rPr>
          <w:rFonts w:eastAsia="Garamond" w:cs="Garamond"/>
          <w:color w:val="000000"/>
        </w:rPr>
        <w:t>.</w:t>
      </w:r>
      <w:bookmarkStart w:id="45" w:name="_Ref497764228"/>
      <w:r w:rsidR="007D21EB" w:rsidRPr="00F05FE9">
        <w:rPr>
          <w:rStyle w:val="FootnoteReference"/>
          <w:rFonts w:eastAsia="Garamond" w:cs="Garamond"/>
          <w:color w:val="000000"/>
        </w:rPr>
        <w:footnoteReference w:id="125"/>
      </w:r>
      <w:bookmarkEnd w:id="45"/>
      <w:r w:rsidRPr="00F05FE9">
        <w:rPr>
          <w:rFonts w:eastAsia="Garamond" w:cs="Garamond"/>
          <w:color w:val="000000"/>
        </w:rPr>
        <w:t xml:space="preserve"> </w:t>
      </w:r>
      <w:r w:rsidR="004D6570" w:rsidRPr="00F05FE9">
        <w:rPr>
          <w:rFonts w:eastAsia="Garamond" w:cs="Garamond"/>
          <w:color w:val="000000"/>
        </w:rPr>
        <w:t>This</w:t>
      </w:r>
      <w:r w:rsidR="00D82235" w:rsidRPr="00F05FE9">
        <w:rPr>
          <w:rFonts w:eastAsia="Garamond" w:cs="Garamond"/>
          <w:color w:val="000000"/>
        </w:rPr>
        <w:t xml:space="preserve"> ground of </w:t>
      </w:r>
      <w:r w:rsidR="00CD5E4B" w:rsidRPr="00F05FE9">
        <w:rPr>
          <w:rFonts w:eastAsia="Garamond" w:cs="Garamond"/>
          <w:color w:val="000000"/>
        </w:rPr>
        <w:t xml:space="preserve">accountability arises </w:t>
      </w:r>
      <w:r w:rsidR="00AF677E" w:rsidRPr="00F05FE9">
        <w:rPr>
          <w:rFonts w:eastAsia="Garamond" w:cs="Garamond"/>
          <w:color w:val="000000"/>
        </w:rPr>
        <w:t xml:space="preserve">in virtue of positive obligations </w:t>
      </w:r>
      <w:r w:rsidR="0067016A" w:rsidRPr="00F05FE9">
        <w:rPr>
          <w:rFonts w:eastAsia="Garamond" w:cs="Garamond"/>
          <w:color w:val="000000"/>
        </w:rPr>
        <w:t>whose purpose is to guarantee that the Convention rights are ‘practical and effective’ as opposed to ‘theoretical and illusory’.</w:t>
      </w:r>
      <w:bookmarkStart w:id="46" w:name="_Ref497763970"/>
      <w:r w:rsidR="0067016A" w:rsidRPr="00F05FE9">
        <w:rPr>
          <w:rFonts w:eastAsia="Garamond" w:cs="Garamond"/>
          <w:color w:val="000000"/>
          <w:vertAlign w:val="superscript"/>
        </w:rPr>
        <w:footnoteReference w:id="126"/>
      </w:r>
      <w:bookmarkEnd w:id="46"/>
      <w:r w:rsidR="0067016A" w:rsidRPr="00F05FE9">
        <w:rPr>
          <w:rFonts w:eastAsia="Garamond" w:cs="Garamond"/>
          <w:color w:val="000000"/>
        </w:rPr>
        <w:t xml:space="preserve"> </w:t>
      </w:r>
      <w:r w:rsidR="00BA5390" w:rsidRPr="00F05FE9">
        <w:rPr>
          <w:rFonts w:eastAsia="Garamond" w:cs="Garamond"/>
          <w:color w:val="000000"/>
        </w:rPr>
        <w:t xml:space="preserve">The ECtHR has held that </w:t>
      </w:r>
      <w:r w:rsidR="00122022" w:rsidRPr="00F05FE9">
        <w:rPr>
          <w:rFonts w:eastAsia="Garamond" w:cs="Garamond"/>
          <w:color w:val="000000"/>
        </w:rPr>
        <w:t xml:space="preserve">such </w:t>
      </w:r>
      <w:r w:rsidR="00BA5390" w:rsidRPr="00F05FE9">
        <w:rPr>
          <w:rFonts w:eastAsia="Garamond" w:cs="Garamond"/>
          <w:color w:val="000000"/>
        </w:rPr>
        <w:t xml:space="preserve">obligations </w:t>
      </w:r>
      <w:r w:rsidR="00C46525" w:rsidRPr="00F05FE9">
        <w:rPr>
          <w:rFonts w:eastAsia="Garamond" w:cs="Garamond"/>
          <w:color w:val="000000"/>
        </w:rPr>
        <w:lastRenderedPageBreak/>
        <w:t>inhere in the right to private life protected by article 8 ECHR</w:t>
      </w:r>
      <w:r w:rsidR="00E54F85" w:rsidRPr="00F05FE9">
        <w:rPr>
          <w:rFonts w:eastAsia="Garamond" w:cs="Garamond"/>
          <w:color w:val="000000"/>
        </w:rPr>
        <w:t xml:space="preserve">, </w:t>
      </w:r>
      <w:r w:rsidR="00C46525" w:rsidRPr="00F05FE9">
        <w:rPr>
          <w:rFonts w:eastAsia="Garamond" w:cs="Garamond"/>
          <w:color w:val="000000"/>
        </w:rPr>
        <w:t>including that to ‘secure</w:t>
      </w:r>
      <w:r w:rsidR="00C043BC" w:rsidRPr="00F05FE9">
        <w:rPr>
          <w:rFonts w:eastAsia="Garamond" w:cs="Garamond"/>
          <w:color w:val="000000"/>
        </w:rPr>
        <w:t>…</w:t>
      </w:r>
      <w:r w:rsidR="00C46525" w:rsidRPr="00F05FE9">
        <w:rPr>
          <w:rFonts w:eastAsia="Garamond" w:cs="Garamond"/>
          <w:color w:val="000000"/>
        </w:rPr>
        <w:t xml:space="preserve"> effective respect for [individuals’] physical and psychological integrity</w:t>
      </w:r>
      <w:r w:rsidR="00F17E37" w:rsidRPr="00F05FE9">
        <w:rPr>
          <w:rFonts w:eastAsia="Garamond" w:cs="Garamond"/>
          <w:color w:val="000000"/>
        </w:rPr>
        <w:t>…</w:t>
      </w:r>
      <w:r w:rsidR="00EA2565" w:rsidRPr="00F05FE9">
        <w:rPr>
          <w:rFonts w:eastAsia="Garamond" w:cs="Garamond"/>
          <w:color w:val="000000"/>
        </w:rPr>
        <w:t xml:space="preserve"> </w:t>
      </w:r>
      <w:r w:rsidR="00F17E37" w:rsidRPr="00F05FE9">
        <w:rPr>
          <w:rFonts w:eastAsia="Garamond" w:cs="Garamond"/>
          <w:color w:val="000000"/>
        </w:rPr>
        <w:t>even</w:t>
      </w:r>
      <w:r w:rsidR="001312D9" w:rsidRPr="00F05FE9">
        <w:rPr>
          <w:rFonts w:eastAsia="Garamond" w:cs="Garamond"/>
          <w:color w:val="000000"/>
        </w:rPr>
        <w:t xml:space="preserve"> in the sphere of relations between individuals</w:t>
      </w:r>
      <w:r w:rsidR="00C46525" w:rsidRPr="00F05FE9">
        <w:rPr>
          <w:rFonts w:eastAsia="Garamond" w:cs="Garamond"/>
          <w:color w:val="000000"/>
        </w:rPr>
        <w:t>’</w:t>
      </w:r>
      <w:r w:rsidR="001312D9" w:rsidRPr="00F05FE9">
        <w:rPr>
          <w:rFonts w:eastAsia="Garamond" w:cs="Garamond"/>
          <w:color w:val="000000"/>
        </w:rPr>
        <w:t>.</w:t>
      </w:r>
      <w:r w:rsidRPr="00F05FE9">
        <w:rPr>
          <w:rStyle w:val="FootnoteReference"/>
          <w:rFonts w:eastAsia="Garamond" w:cs="Garamond"/>
          <w:color w:val="000000"/>
        </w:rPr>
        <w:footnoteReference w:id="127"/>
      </w:r>
      <w:r w:rsidR="008C5133" w:rsidRPr="00F05FE9">
        <w:rPr>
          <w:rFonts w:eastAsia="Garamond" w:cs="Garamond"/>
          <w:color w:val="000000"/>
        </w:rPr>
        <w:t xml:space="preserve"> </w:t>
      </w:r>
      <w:r w:rsidR="001312D9" w:rsidRPr="00F05FE9">
        <w:rPr>
          <w:rFonts w:eastAsia="Garamond" w:cs="Garamond"/>
          <w:color w:val="000000"/>
        </w:rPr>
        <w:t xml:space="preserve">This </w:t>
      </w:r>
      <w:r w:rsidR="00C46525" w:rsidRPr="00F05FE9">
        <w:rPr>
          <w:rFonts w:eastAsia="Garamond" w:cs="Garamond"/>
          <w:color w:val="000000"/>
        </w:rPr>
        <w:t xml:space="preserve">may </w:t>
      </w:r>
      <w:r w:rsidR="00BA5390" w:rsidRPr="00F05FE9">
        <w:rPr>
          <w:rFonts w:eastAsia="Garamond" w:cs="Garamond"/>
          <w:color w:val="000000"/>
        </w:rPr>
        <w:t xml:space="preserve">variously </w:t>
      </w:r>
      <w:r w:rsidR="00C46525" w:rsidRPr="00F05FE9">
        <w:rPr>
          <w:rFonts w:eastAsia="Garamond" w:cs="Garamond"/>
          <w:color w:val="000000"/>
        </w:rPr>
        <w:t>require the State</w:t>
      </w:r>
      <w:r w:rsidR="001A5FF3" w:rsidRPr="00F05FE9">
        <w:rPr>
          <w:rFonts w:eastAsia="Garamond" w:cs="Garamond"/>
          <w:color w:val="000000"/>
        </w:rPr>
        <w:t>’s</w:t>
      </w:r>
      <w:r w:rsidR="00C46525" w:rsidRPr="00F05FE9">
        <w:rPr>
          <w:rFonts w:eastAsia="Garamond" w:cs="Garamond"/>
          <w:color w:val="000000"/>
        </w:rPr>
        <w:t>:</w:t>
      </w:r>
      <w:r w:rsidR="00540440" w:rsidRPr="00F05FE9">
        <w:rPr>
          <w:rStyle w:val="FootnoteReference"/>
          <w:rFonts w:eastAsia="Garamond" w:cs="Garamond"/>
          <w:color w:val="000000"/>
        </w:rPr>
        <w:footnoteReference w:id="128"/>
      </w:r>
    </w:p>
    <w:p w14:paraId="60D40D80" w14:textId="056A85B6" w:rsidR="008272F4" w:rsidRPr="00F05FE9" w:rsidRDefault="00C46525" w:rsidP="003D725F">
      <w:pPr>
        <w:pStyle w:val="Quote"/>
        <w:spacing w:line="276" w:lineRule="auto"/>
        <w:jc w:val="left"/>
        <w:rPr>
          <w:vertAlign w:val="superscript"/>
        </w:rPr>
      </w:pPr>
      <w:r w:rsidRPr="00F05FE9">
        <w:t>provision of a regulatory framework of adjudicatory and enforcement machinery protecting individuals’ rights, and the implementation, where appropriate, of specific measures.</w:t>
      </w:r>
      <w:r w:rsidR="00103FD3" w:rsidRPr="00F05FE9">
        <w:rPr>
          <w:rStyle w:val="FootnoteReference"/>
        </w:rPr>
        <w:footnoteReference w:id="129"/>
      </w:r>
    </w:p>
    <w:p w14:paraId="4203BD80" w14:textId="1A86FDB8" w:rsidR="00F82F81" w:rsidRPr="00F05FE9" w:rsidRDefault="00043915" w:rsidP="003D725F">
      <w:pPr>
        <w:pStyle w:val="Body"/>
        <w:spacing w:line="276" w:lineRule="auto"/>
        <w:jc w:val="left"/>
        <w:rPr>
          <w:vertAlign w:val="superscript"/>
        </w:rPr>
      </w:pPr>
      <w:r w:rsidRPr="00F05FE9">
        <w:t>Commenting on the ECtHR’s abortion jurisprudence, Daniel Fenwick</w:t>
      </w:r>
      <w:r w:rsidR="00026134" w:rsidRPr="00F05FE9">
        <w:t xml:space="preserve"> notes that once </w:t>
      </w:r>
      <w:r w:rsidR="00D649DC" w:rsidRPr="00F05FE9">
        <w:t xml:space="preserve">a </w:t>
      </w:r>
      <w:r w:rsidR="00026134" w:rsidRPr="00F05FE9">
        <w:t xml:space="preserve">permissive </w:t>
      </w:r>
      <w:r w:rsidR="00D649DC" w:rsidRPr="00F05FE9">
        <w:t xml:space="preserve">legal regime </w:t>
      </w:r>
      <w:r w:rsidR="00026134" w:rsidRPr="00F05FE9">
        <w:t xml:space="preserve">is in place, ‘the state’s margin of appreciation does </w:t>
      </w:r>
      <w:r w:rsidR="00026134" w:rsidRPr="00F05FE9">
        <w:rPr>
          <w:i/>
        </w:rPr>
        <w:t>not</w:t>
      </w:r>
      <w:r w:rsidR="00026134" w:rsidRPr="00F05FE9">
        <w:t xml:space="preserve"> extend to the </w:t>
      </w:r>
      <w:r w:rsidR="00026134" w:rsidRPr="00F05FE9">
        <w:rPr>
          <w:i/>
        </w:rPr>
        <w:t xml:space="preserve">manner </w:t>
      </w:r>
      <w:r w:rsidR="00026134" w:rsidRPr="00F05FE9">
        <w:t xml:space="preserve">in which </w:t>
      </w:r>
      <w:r w:rsidR="00607E35" w:rsidRPr="00F05FE9">
        <w:t>[abortion]</w:t>
      </w:r>
      <w:r w:rsidR="00026134" w:rsidRPr="00F05FE9">
        <w:t xml:space="preserve"> is made available’.</w:t>
      </w:r>
      <w:r w:rsidR="00D10B0F" w:rsidRPr="00F05FE9">
        <w:rPr>
          <w:rStyle w:val="FootnoteReference"/>
        </w:rPr>
        <w:footnoteReference w:id="130"/>
      </w:r>
      <w:r w:rsidR="00026134" w:rsidRPr="00F05FE9">
        <w:t xml:space="preserve"> </w:t>
      </w:r>
      <w:r w:rsidR="00BD0569" w:rsidRPr="00F05FE9">
        <w:t xml:space="preserve">That is, the ECtHR will </w:t>
      </w:r>
      <w:r w:rsidR="007A549D" w:rsidRPr="00F05FE9">
        <w:t xml:space="preserve">scrutinise </w:t>
      </w:r>
      <w:r w:rsidR="00BD0569" w:rsidRPr="00F05FE9">
        <w:t xml:space="preserve">the state’s discharge of its positive obligations </w:t>
      </w:r>
      <w:r w:rsidR="007A549D" w:rsidRPr="00F05FE9">
        <w:t>under article 8 ECHR</w:t>
      </w:r>
      <w:r w:rsidR="00AA4F9E" w:rsidRPr="00F05FE9">
        <w:t>.</w:t>
      </w:r>
      <w:r w:rsidR="00221945" w:rsidRPr="00F05FE9">
        <w:rPr>
          <w:rStyle w:val="FootnoteReference"/>
        </w:rPr>
        <w:footnoteReference w:id="131"/>
      </w:r>
      <w:r w:rsidR="00D83D24" w:rsidRPr="00F05FE9">
        <w:t xml:space="preserve"> In particular, the Court will consider</w:t>
      </w:r>
      <w:r w:rsidR="0032186F" w:rsidRPr="00F05FE9">
        <w:t>:</w:t>
      </w:r>
      <w:r w:rsidR="00D83D24" w:rsidRPr="00F05FE9">
        <w:t xml:space="preserve"> whether the state has ‘</w:t>
      </w:r>
      <w:r w:rsidR="00C46525" w:rsidRPr="00F05FE9">
        <w:t>structure</w:t>
      </w:r>
      <w:r w:rsidR="00D83D24" w:rsidRPr="00F05FE9">
        <w:t>[d]</w:t>
      </w:r>
      <w:r w:rsidR="00C46525" w:rsidRPr="00F05FE9">
        <w:t xml:space="preserve"> its legal framework in a way which would limit real possibilities </w:t>
      </w:r>
      <w:r w:rsidR="00D938A2" w:rsidRPr="00F05FE9">
        <w:t xml:space="preserve">[for </w:t>
      </w:r>
      <w:r w:rsidR="00D83D24" w:rsidRPr="00F05FE9">
        <w:t>the exercise of the permitted activity</w:t>
      </w:r>
      <w:r w:rsidR="00D938A2" w:rsidRPr="00F05FE9">
        <w:t>]</w:t>
      </w:r>
      <w:r w:rsidR="00D83D24" w:rsidRPr="00F05FE9">
        <w:t>’</w:t>
      </w:r>
      <w:r w:rsidR="005251ED" w:rsidRPr="00F05FE9">
        <w:t>;</w:t>
      </w:r>
      <w:r w:rsidR="00D83D24" w:rsidRPr="00F05FE9">
        <w:t xml:space="preserve"> whether there exists ‘</w:t>
      </w:r>
      <w:r w:rsidR="00C46525" w:rsidRPr="00F05FE9">
        <w:t>a procedural framework enabling [an individual] to effectively exercise her right of access to lawful [</w:t>
      </w:r>
      <w:r w:rsidR="00BF24B7" w:rsidRPr="00F05FE9">
        <w:rPr>
          <w:rFonts w:cs="Cambria"/>
        </w:rPr>
        <w:t>activities</w:t>
      </w:r>
      <w:r w:rsidR="00D83D24" w:rsidRPr="00F05FE9">
        <w:t>]’</w:t>
      </w:r>
      <w:r w:rsidR="005251ED" w:rsidRPr="00F05FE9">
        <w:rPr>
          <w:rFonts w:cs="Goudy Old Style"/>
        </w:rPr>
        <w:t>; and</w:t>
      </w:r>
      <w:r w:rsidR="00D83D24" w:rsidRPr="00F05FE9">
        <w:rPr>
          <w:rFonts w:cs="Goudy Old Style"/>
        </w:rPr>
        <w:t xml:space="preserve"> whether</w:t>
      </w:r>
      <w:r w:rsidR="00C46525" w:rsidRPr="00F05FE9">
        <w:t xml:space="preserve"> </w:t>
      </w:r>
      <w:r w:rsidR="00D83D24" w:rsidRPr="00F05FE9">
        <w:t>‘</w:t>
      </w:r>
      <w:r w:rsidR="00C46525" w:rsidRPr="00F05FE9">
        <w:t>the relevant decision-making process is fair and such as to afford due respect for the interests safeguarded by it</w:t>
      </w:r>
      <w:r w:rsidR="00D83D24" w:rsidRPr="00F05FE9">
        <w:t>’</w:t>
      </w:r>
      <w:r w:rsidR="00C46525" w:rsidRPr="00F05FE9">
        <w:t>.</w:t>
      </w:r>
      <w:r w:rsidR="00103FD3" w:rsidRPr="00F05FE9">
        <w:rPr>
          <w:rStyle w:val="FootnoteReference"/>
        </w:rPr>
        <w:footnoteReference w:id="132"/>
      </w:r>
    </w:p>
    <w:p w14:paraId="7DC18289" w14:textId="418240C1" w:rsidR="009032CE" w:rsidRPr="00F05FE9" w:rsidRDefault="00C46525" w:rsidP="003D725F">
      <w:pPr>
        <w:pStyle w:val="Body"/>
        <w:spacing w:line="276" w:lineRule="auto"/>
        <w:jc w:val="left"/>
      </w:pPr>
      <w:r w:rsidRPr="00F05FE9">
        <w:t xml:space="preserve">The </w:t>
      </w:r>
      <w:r w:rsidR="00D672B4" w:rsidRPr="00F05FE9">
        <w:t xml:space="preserve">principles set out in the </w:t>
      </w:r>
      <w:r w:rsidRPr="00F05FE9">
        <w:t>ECtHR</w:t>
      </w:r>
      <w:r w:rsidR="00DC47BC" w:rsidRPr="00F05FE9">
        <w:t xml:space="preserve"> abortion</w:t>
      </w:r>
      <w:r w:rsidRPr="00F05FE9">
        <w:t xml:space="preserve"> jurisprudence </w:t>
      </w:r>
      <w:r w:rsidR="00A674B6" w:rsidRPr="00F05FE9">
        <w:t xml:space="preserve">have </w:t>
      </w:r>
      <w:r w:rsidRPr="00F05FE9">
        <w:t xml:space="preserve">clear implications for refusals of LPT. If a State enshrines contemporaneous </w:t>
      </w:r>
      <w:r w:rsidR="001C4946" w:rsidRPr="00F05FE9">
        <w:t>or</w:t>
      </w:r>
      <w:r w:rsidRPr="00F05FE9">
        <w:t xml:space="preserve"> advance refusals in law, it must provide a legal framework that enables individuals who meet the legal criteria to </w:t>
      </w:r>
      <w:r w:rsidR="00025474" w:rsidRPr="00F05FE9">
        <w:t>refuse treatment in practice</w:t>
      </w:r>
      <w:r w:rsidRPr="00F05FE9">
        <w:t xml:space="preserve">. This plausibly entails, </w:t>
      </w:r>
      <w:r w:rsidRPr="00F05FE9">
        <w:rPr>
          <w:i/>
        </w:rPr>
        <w:t>inter alia</w:t>
      </w:r>
      <w:r w:rsidRPr="00F05FE9">
        <w:t xml:space="preserve">, effective mechanisms </w:t>
      </w:r>
      <w:r w:rsidR="00797801" w:rsidRPr="00F05FE9">
        <w:t xml:space="preserve">for determining whether </w:t>
      </w:r>
      <w:r w:rsidR="0061324A" w:rsidRPr="00F05FE9">
        <w:rPr>
          <w:i/>
        </w:rPr>
        <w:t>P</w:t>
      </w:r>
      <w:r w:rsidR="0061324A" w:rsidRPr="00F05FE9">
        <w:t>’s refusal of LPT is valid,</w:t>
      </w:r>
      <w:r w:rsidR="00303C45" w:rsidRPr="00F05FE9">
        <w:t xml:space="preserve"> </w:t>
      </w:r>
      <w:r w:rsidR="0061324A" w:rsidRPr="00F05FE9">
        <w:t xml:space="preserve">and </w:t>
      </w:r>
      <w:r w:rsidR="00797801" w:rsidRPr="00F05FE9">
        <w:t xml:space="preserve">the ability to challenge </w:t>
      </w:r>
      <w:r w:rsidRPr="00F05FE9">
        <w:t>medical decision-making,</w:t>
      </w:r>
      <w:r w:rsidR="001960BC" w:rsidRPr="00F05FE9">
        <w:rPr>
          <w:rStyle w:val="FootnoteReference"/>
        </w:rPr>
        <w:footnoteReference w:id="133"/>
      </w:r>
      <w:r w:rsidRPr="00F05FE9">
        <w:t xml:space="preserve"> ideally </w:t>
      </w:r>
      <w:r w:rsidR="00553C9F" w:rsidRPr="00F05FE9">
        <w:t xml:space="preserve">prior to the </w:t>
      </w:r>
      <w:r w:rsidRPr="00F05FE9">
        <w:t xml:space="preserve">administration of LPT, and certainly before </w:t>
      </w:r>
      <w:r w:rsidR="00945100" w:rsidRPr="00F05FE9">
        <w:t xml:space="preserve">the </w:t>
      </w:r>
      <w:r w:rsidR="00ED4CE1" w:rsidRPr="00F05FE9">
        <w:lastRenderedPageBreak/>
        <w:t xml:space="preserve">meaningful </w:t>
      </w:r>
      <w:r w:rsidR="00945100" w:rsidRPr="00F05FE9">
        <w:t xml:space="preserve">exercise of </w:t>
      </w:r>
      <w:r w:rsidR="00945100" w:rsidRPr="00F05FE9">
        <w:rPr>
          <w:i/>
        </w:rPr>
        <w:t>right D</w:t>
      </w:r>
      <w:r w:rsidR="00945100" w:rsidRPr="00F05FE9">
        <w:rPr>
          <w:i/>
          <w:vertAlign w:val="subscript"/>
        </w:rPr>
        <w:t xml:space="preserve">R </w:t>
      </w:r>
      <w:r w:rsidR="00ED4CE1" w:rsidRPr="00F05FE9">
        <w:t xml:space="preserve">is </w:t>
      </w:r>
      <w:r w:rsidRPr="00F05FE9">
        <w:t>moot.</w:t>
      </w:r>
      <w:r w:rsidR="00FB0ED3" w:rsidRPr="00F05FE9">
        <w:rPr>
          <w:rStyle w:val="FootnoteReference"/>
        </w:rPr>
        <w:footnoteReference w:id="134"/>
      </w:r>
      <w:r w:rsidRPr="00F05FE9">
        <w:t xml:space="preserve"> </w:t>
      </w:r>
      <w:r w:rsidR="0037327A" w:rsidRPr="00F05FE9">
        <w:t xml:space="preserve">As the ECtHR observed in </w:t>
      </w:r>
      <w:proofErr w:type="spellStart"/>
      <w:r w:rsidR="0037327A" w:rsidRPr="00F05FE9">
        <w:rPr>
          <w:i/>
        </w:rPr>
        <w:t>Tysiac</w:t>
      </w:r>
      <w:proofErr w:type="spellEnd"/>
      <w:r w:rsidR="0037327A" w:rsidRPr="00F05FE9">
        <w:rPr>
          <w:i/>
        </w:rPr>
        <w:t xml:space="preserve"> v Poland</w:t>
      </w:r>
      <w:r w:rsidR="0037327A" w:rsidRPr="00F05FE9">
        <w:t>, retrospective measures</w:t>
      </w:r>
      <w:r w:rsidR="00F966F4" w:rsidRPr="00F05FE9">
        <w:t xml:space="preserve"> alone</w:t>
      </w:r>
      <w:r w:rsidR="007B3AC6" w:rsidRPr="00F05FE9">
        <w:t xml:space="preserve"> </w:t>
      </w:r>
      <w:r w:rsidR="00FD0AB2" w:rsidRPr="00F05FE9">
        <w:t xml:space="preserve">may fail to provide adequate protection for private life, </w:t>
      </w:r>
      <w:r w:rsidR="00F966F4" w:rsidRPr="00F05FE9">
        <w:t xml:space="preserve">even assuming </w:t>
      </w:r>
      <w:r w:rsidR="00E318AD" w:rsidRPr="00F05FE9">
        <w:t xml:space="preserve">robust implementation of </w:t>
      </w:r>
      <w:r w:rsidR="00F966F4" w:rsidRPr="00F05FE9">
        <w:t>such regimes</w:t>
      </w:r>
      <w:r w:rsidR="0063318D" w:rsidRPr="00F05FE9">
        <w:t>.</w:t>
      </w:r>
      <w:r w:rsidR="0063318D" w:rsidRPr="00F05FE9">
        <w:rPr>
          <w:rStyle w:val="FootnoteReference"/>
        </w:rPr>
        <w:footnoteReference w:id="135"/>
      </w:r>
      <w:r w:rsidR="007B3AC6" w:rsidRPr="00F05FE9">
        <w:t xml:space="preserve"> </w:t>
      </w:r>
      <w:r w:rsidR="009C6DE0" w:rsidRPr="00F05FE9">
        <w:t>Thus t</w:t>
      </w:r>
      <w:r w:rsidR="007B3AC6" w:rsidRPr="00F05FE9">
        <w:t>he possibility of civil, criminal, and regulatory sanctions on medical behaviour that fails to respect refusals of LPT may not suffice.</w:t>
      </w:r>
      <w:r w:rsidR="0063318D" w:rsidRPr="00F05FE9">
        <w:t xml:space="preserve"> </w:t>
      </w:r>
      <w:r w:rsidRPr="00F05FE9">
        <w:t>Moreover, a Convention-compliant legal regime should not incentivise non-respect for refusals of LPT</w:t>
      </w:r>
      <w:r w:rsidR="00E731C1" w:rsidRPr="00F05FE9">
        <w:t xml:space="preserve">. Such incentives might take the form of </w:t>
      </w:r>
      <w:r w:rsidR="00490F0C" w:rsidRPr="00F05FE9">
        <w:t>more rigorous assessment of medical conduct respectful of a refusal of LPT than that which disregards the same</w:t>
      </w:r>
      <w:r w:rsidR="0075125E" w:rsidRPr="00F05FE9">
        <w:t>,</w:t>
      </w:r>
      <w:r w:rsidR="00B413DB" w:rsidRPr="00F05FE9">
        <w:rPr>
          <w:rStyle w:val="FootnoteReference"/>
        </w:rPr>
        <w:footnoteReference w:id="136"/>
      </w:r>
      <w:r w:rsidR="0075125E" w:rsidRPr="00F05FE9">
        <w:t xml:space="preserve"> or </w:t>
      </w:r>
      <w:r w:rsidR="00097FED" w:rsidRPr="00F05FE9">
        <w:t xml:space="preserve">a lack of </w:t>
      </w:r>
      <w:r w:rsidR="0075125E" w:rsidRPr="00F05FE9">
        <w:t xml:space="preserve">adequate guidance </w:t>
      </w:r>
      <w:r w:rsidR="00965422" w:rsidRPr="00F05FE9">
        <w:t>in respect of the substantive conditions for the exercise of the right</w:t>
      </w:r>
      <w:r w:rsidR="00562C6A" w:rsidRPr="00F05FE9">
        <w:t>,</w:t>
      </w:r>
      <w:r w:rsidR="00562C6A" w:rsidRPr="00F05FE9">
        <w:rPr>
          <w:vertAlign w:val="superscript"/>
        </w:rPr>
        <w:footnoteReference w:id="137"/>
      </w:r>
      <w:r w:rsidR="00562C6A" w:rsidRPr="00F05FE9">
        <w:t xml:space="preserve"> against a backdrop of serious sanctions in the case of </w:t>
      </w:r>
      <w:r w:rsidR="00A90977" w:rsidRPr="00F05FE9">
        <w:t xml:space="preserve">erroneous </w:t>
      </w:r>
      <w:r w:rsidR="005A4157" w:rsidRPr="00F05FE9">
        <w:t>respect for refusal</w:t>
      </w:r>
      <w:r w:rsidR="00562C6A" w:rsidRPr="00F05FE9">
        <w:t>.</w:t>
      </w:r>
      <w:r w:rsidRPr="00F05FE9">
        <w:t xml:space="preserve"> </w:t>
      </w:r>
      <w:r w:rsidR="00604AE7" w:rsidRPr="00F05FE9">
        <w:t xml:space="preserve">As the ECtHR observed in </w:t>
      </w:r>
      <w:r w:rsidR="00604AE7" w:rsidRPr="00F05FE9">
        <w:rPr>
          <w:i/>
        </w:rPr>
        <w:t>A, B, C v Ireland</w:t>
      </w:r>
      <w:r w:rsidR="00604AE7" w:rsidRPr="00F05FE9">
        <w:t xml:space="preserve">, </w:t>
      </w:r>
      <w:r w:rsidR="003335D2" w:rsidRPr="00F05FE9">
        <w:t>a</w:t>
      </w:r>
      <w:r w:rsidR="00F717AF" w:rsidRPr="00F05FE9">
        <w:t>symmetries</w:t>
      </w:r>
      <w:r w:rsidR="004D3E6C" w:rsidRPr="00F05FE9">
        <w:t xml:space="preserve"> in the respective costs of </w:t>
      </w:r>
      <w:r w:rsidR="002274F6" w:rsidRPr="00F05FE9">
        <w:t xml:space="preserve">erroneously </w:t>
      </w:r>
      <w:r w:rsidR="004D3E6C" w:rsidRPr="00F05FE9">
        <w:t>allowing</w:t>
      </w:r>
      <w:r w:rsidR="00DD4564" w:rsidRPr="00F05FE9">
        <w:t xml:space="preserve"> or restricting</w:t>
      </w:r>
      <w:r w:rsidR="004D3E6C" w:rsidRPr="00F05FE9">
        <w:t xml:space="preserve"> the exercise of the relevant </w:t>
      </w:r>
      <w:r w:rsidR="0094726F" w:rsidRPr="00F05FE9">
        <w:t>right,</w:t>
      </w:r>
      <w:r w:rsidR="00F717AF" w:rsidRPr="00F05FE9">
        <w:t xml:space="preserve"> and uncertainty in the application of the law </w:t>
      </w:r>
      <w:r w:rsidR="00715BD8" w:rsidRPr="00F05FE9">
        <w:t xml:space="preserve">are liable to </w:t>
      </w:r>
      <w:r w:rsidR="00F62124" w:rsidRPr="00F05FE9">
        <w:t xml:space="preserve">‘constitute </w:t>
      </w:r>
      <w:r w:rsidR="00715BD8" w:rsidRPr="00F05FE9">
        <w:t xml:space="preserve">a </w:t>
      </w:r>
      <w:r w:rsidR="00604AE7" w:rsidRPr="00F05FE9">
        <w:t>significant</w:t>
      </w:r>
      <w:r w:rsidR="00715BD8" w:rsidRPr="00F05FE9">
        <w:t xml:space="preserve"> </w:t>
      </w:r>
      <w:r w:rsidR="003335D2" w:rsidRPr="00F05FE9">
        <w:t>chilling factor’ for individuals and physicians</w:t>
      </w:r>
      <w:r w:rsidR="00347469" w:rsidRPr="00F05FE9">
        <w:t xml:space="preserve"> </w:t>
      </w:r>
      <w:r w:rsidR="00562C6A" w:rsidRPr="00F05FE9">
        <w:t xml:space="preserve">contemplating </w:t>
      </w:r>
      <w:r w:rsidR="00730585" w:rsidRPr="00F05FE9">
        <w:t xml:space="preserve">a </w:t>
      </w:r>
      <w:r w:rsidR="00212857" w:rsidRPr="00F05FE9">
        <w:t xml:space="preserve">legally </w:t>
      </w:r>
      <w:r w:rsidR="001C7A3C" w:rsidRPr="00F05FE9">
        <w:t xml:space="preserve">permitted </w:t>
      </w:r>
      <w:r w:rsidR="00562C6A" w:rsidRPr="00F05FE9">
        <w:t>course of action</w:t>
      </w:r>
      <w:r w:rsidR="0063624E" w:rsidRPr="00F05FE9">
        <w:t>.</w:t>
      </w:r>
      <w:r w:rsidR="0063624E" w:rsidRPr="00F05FE9">
        <w:rPr>
          <w:vertAlign w:val="superscript"/>
        </w:rPr>
        <w:footnoteReference w:id="138"/>
      </w:r>
      <w:r w:rsidR="0063624E" w:rsidRPr="00F05FE9">
        <w:t xml:space="preserve"> This is</w:t>
      </w:r>
      <w:r w:rsidR="00723011" w:rsidRPr="00F05FE9">
        <w:t xml:space="preserve"> </w:t>
      </w:r>
      <w:r w:rsidR="00B807D0" w:rsidRPr="00F05FE9">
        <w:t>irrespective</w:t>
      </w:r>
      <w:r w:rsidR="00723011" w:rsidRPr="00F05FE9">
        <w:t xml:space="preserve"> of </w:t>
      </w:r>
      <w:r w:rsidR="004B2E8B" w:rsidRPr="00F05FE9">
        <w:t xml:space="preserve">the </w:t>
      </w:r>
      <w:r w:rsidR="00FD0AB2" w:rsidRPr="00F05FE9">
        <w:t xml:space="preserve">whether </w:t>
      </w:r>
      <w:r w:rsidR="00FA63C1" w:rsidRPr="00F05FE9">
        <w:t xml:space="preserve">conduct falling outside the permitted scope of the legal regime </w:t>
      </w:r>
      <w:r w:rsidR="004B2E8B" w:rsidRPr="00F05FE9">
        <w:t xml:space="preserve">will </w:t>
      </w:r>
      <w:r w:rsidR="00FD0AB2" w:rsidRPr="00F05FE9">
        <w:t xml:space="preserve">in fact </w:t>
      </w:r>
      <w:r w:rsidR="004B2E8B" w:rsidRPr="00F05FE9">
        <w:t>incur sanction</w:t>
      </w:r>
      <w:r w:rsidR="003335D2" w:rsidRPr="00F05FE9">
        <w:t>.</w:t>
      </w:r>
    </w:p>
    <w:p w14:paraId="1954A688" w14:textId="26FA2B02" w:rsidR="00C46525" w:rsidRPr="00F05FE9" w:rsidRDefault="001505B7" w:rsidP="003D725F">
      <w:pPr>
        <w:pStyle w:val="Body"/>
        <w:spacing w:line="276" w:lineRule="auto"/>
        <w:jc w:val="left"/>
        <w:rPr>
          <w:vertAlign w:val="superscript"/>
        </w:rPr>
      </w:pPr>
      <w:r w:rsidRPr="00F05FE9">
        <w:lastRenderedPageBreak/>
        <w:t>T</w:t>
      </w:r>
      <w:r w:rsidR="00C46525" w:rsidRPr="00F05FE9">
        <w:t>he ECtHR’s positive obligations regime</w:t>
      </w:r>
      <w:r w:rsidRPr="00F05FE9">
        <w:t>, therefore,</w:t>
      </w:r>
      <w:r w:rsidR="00C46525" w:rsidRPr="00F05FE9">
        <w:t xml:space="preserve"> presents clear risks for States that pay lip service to refusals of LPT, or that fail effectively to implement the law.</w:t>
      </w:r>
      <w:r w:rsidR="00FB0ED3" w:rsidRPr="00F05FE9">
        <w:rPr>
          <w:rStyle w:val="FootnoteReference"/>
        </w:rPr>
        <w:footnoteReference w:id="139"/>
      </w:r>
    </w:p>
    <w:p w14:paraId="6F9EBF81" w14:textId="49EEDF47" w:rsidR="007757B4" w:rsidRPr="00F05FE9" w:rsidRDefault="00E73683" w:rsidP="00BD663D">
      <w:pPr>
        <w:pStyle w:val="Heading1"/>
      </w:pPr>
      <w:r w:rsidRPr="00F05FE9">
        <w:t>Conclusion</w:t>
      </w:r>
    </w:p>
    <w:p w14:paraId="6BF87C95" w14:textId="57E4BB69" w:rsidR="0009549F" w:rsidRPr="00F05FE9" w:rsidRDefault="0009549F" w:rsidP="003D725F">
      <w:pPr>
        <w:pStyle w:val="Body"/>
        <w:spacing w:line="276" w:lineRule="auto"/>
        <w:jc w:val="left"/>
      </w:pPr>
      <w:r w:rsidRPr="00F05FE9">
        <w:t xml:space="preserve">I have argued that </w:t>
      </w:r>
      <w:r w:rsidR="007034F3" w:rsidRPr="00F05FE9">
        <w:t xml:space="preserve">there exists a substantively extensive right to refuse </w:t>
      </w:r>
      <w:r w:rsidR="00810898" w:rsidRPr="00F05FE9">
        <w:t>LPT</w:t>
      </w:r>
      <w:r w:rsidR="007C08B0" w:rsidRPr="00F05FE9">
        <w:t xml:space="preserve">, </w:t>
      </w:r>
      <w:r w:rsidR="007034F3" w:rsidRPr="00F05FE9">
        <w:t xml:space="preserve">which I </w:t>
      </w:r>
      <w:r w:rsidR="007C08B0" w:rsidRPr="00F05FE9">
        <w:t xml:space="preserve">called, </w:t>
      </w:r>
      <w:r w:rsidR="007034F3" w:rsidRPr="00F05FE9">
        <w:rPr>
          <w:i/>
        </w:rPr>
        <w:t>right D</w:t>
      </w:r>
      <w:r w:rsidR="007034F3" w:rsidRPr="00F05FE9">
        <w:rPr>
          <w:i/>
          <w:vertAlign w:val="subscript"/>
        </w:rPr>
        <w:t>R</w:t>
      </w:r>
      <w:r w:rsidR="007034F3" w:rsidRPr="00F05FE9">
        <w:t xml:space="preserve">, </w:t>
      </w:r>
      <w:r w:rsidR="00F3736F" w:rsidRPr="00F05FE9">
        <w:t xml:space="preserve">that is </w:t>
      </w:r>
      <w:r w:rsidR="00DE3628" w:rsidRPr="00F05FE9">
        <w:t>der</w:t>
      </w:r>
      <w:r w:rsidR="00F6418B" w:rsidRPr="00F05FE9">
        <w:t>ivable</w:t>
      </w:r>
      <w:r w:rsidR="00DE3628" w:rsidRPr="00F05FE9">
        <w:t xml:space="preserve"> </w:t>
      </w:r>
      <w:r w:rsidR="007034F3" w:rsidRPr="00F05FE9">
        <w:t xml:space="preserve">from the </w:t>
      </w:r>
      <w:r w:rsidR="000F5C58" w:rsidRPr="00F05FE9">
        <w:rPr>
          <w:i/>
        </w:rPr>
        <w:t xml:space="preserve">freedom </w:t>
      </w:r>
      <w:r w:rsidRPr="00F05FE9">
        <w:rPr>
          <w:i/>
        </w:rPr>
        <w:t>to decide how and when to die</w:t>
      </w:r>
      <w:r w:rsidRPr="00F05FE9">
        <w:t xml:space="preserve"> that </w:t>
      </w:r>
      <w:r w:rsidR="006301CF" w:rsidRPr="00F05FE9">
        <w:t xml:space="preserve">the ECtHR recognises as </w:t>
      </w:r>
      <w:r w:rsidRPr="00F05FE9">
        <w:t xml:space="preserve">part of the </w:t>
      </w:r>
      <w:r w:rsidR="000F5C58" w:rsidRPr="00F05FE9">
        <w:t xml:space="preserve">protection of </w:t>
      </w:r>
      <w:r w:rsidRPr="00F05FE9">
        <w:t xml:space="preserve">private life </w:t>
      </w:r>
      <w:r w:rsidR="000F5C58" w:rsidRPr="00F05FE9">
        <w:t xml:space="preserve">under </w:t>
      </w:r>
      <w:r w:rsidRPr="00F05FE9">
        <w:t>article 8 ECHR</w:t>
      </w:r>
      <w:r w:rsidR="00B13ED6" w:rsidRPr="00F05FE9">
        <w:t>.</w:t>
      </w:r>
    </w:p>
    <w:p w14:paraId="087EC1D3" w14:textId="18E0AA94" w:rsidR="0038795E" w:rsidRPr="00F05FE9" w:rsidRDefault="00D72EFC" w:rsidP="003D725F">
      <w:pPr>
        <w:pStyle w:val="Body"/>
        <w:spacing w:line="276" w:lineRule="auto"/>
        <w:jc w:val="left"/>
      </w:pPr>
      <w:r w:rsidRPr="00F05FE9">
        <w:t>A</w:t>
      </w:r>
      <w:r w:rsidR="0031500C" w:rsidRPr="00F05FE9">
        <w:t>n individual’s freedom to decide how and when to die engages article 8</w:t>
      </w:r>
      <w:r w:rsidR="00FB5C6C" w:rsidRPr="00F05FE9">
        <w:t>(1)</w:t>
      </w:r>
      <w:r w:rsidR="0031500C" w:rsidRPr="00F05FE9">
        <w:t xml:space="preserve"> ECHR when she autonomously refuses </w:t>
      </w:r>
      <w:r w:rsidR="00965CEA" w:rsidRPr="00F05FE9">
        <w:t>LPT</w:t>
      </w:r>
      <w:r w:rsidR="0031500C" w:rsidRPr="00F05FE9">
        <w:t xml:space="preserve">, </w:t>
      </w:r>
      <w:r w:rsidR="00C70F0F" w:rsidRPr="00F05FE9">
        <w:t>whether contemporaneously or in advance.</w:t>
      </w:r>
      <w:r w:rsidR="00F22955" w:rsidRPr="00F05FE9">
        <w:t xml:space="preserve"> </w:t>
      </w:r>
      <w:r w:rsidR="0091538F" w:rsidRPr="00F05FE9">
        <w:t>S</w:t>
      </w:r>
      <w:r w:rsidR="00F22955" w:rsidRPr="00F05FE9">
        <w:t>ince article 8</w:t>
      </w:r>
      <w:r w:rsidR="0091538F" w:rsidRPr="00F05FE9">
        <w:t xml:space="preserve"> ECHR is a qualified right, </w:t>
      </w:r>
      <w:r w:rsidR="00490642" w:rsidRPr="00F05FE9">
        <w:t xml:space="preserve">interference with an autonomous </w:t>
      </w:r>
      <w:r w:rsidR="00DD736C" w:rsidRPr="00F05FE9">
        <w:t xml:space="preserve">refusal of LPT </w:t>
      </w:r>
      <w:r w:rsidR="002B61B7" w:rsidRPr="00F05FE9">
        <w:t>may be permissible</w:t>
      </w:r>
      <w:r w:rsidR="00FB5C6C" w:rsidRPr="00F05FE9">
        <w:t>.</w:t>
      </w:r>
      <w:r w:rsidR="002B61B7" w:rsidRPr="00F05FE9">
        <w:t xml:space="preserve"> I considered whether interference with a refusal of LPT </w:t>
      </w:r>
      <w:r w:rsidR="00E37D31" w:rsidRPr="00F05FE9">
        <w:t xml:space="preserve">whose </w:t>
      </w:r>
      <w:r w:rsidR="00BA57CB" w:rsidRPr="00F05FE9">
        <w:t>aim</w:t>
      </w:r>
      <w:r w:rsidR="00E37D31" w:rsidRPr="00F05FE9">
        <w:t xml:space="preserve"> is</w:t>
      </w:r>
      <w:r w:rsidR="002B61B7" w:rsidRPr="00F05FE9">
        <w:t xml:space="preserve"> to </w:t>
      </w:r>
      <w:r w:rsidR="00975346" w:rsidRPr="00F05FE9">
        <w:t>safeguard</w:t>
      </w:r>
      <w:r w:rsidR="002B61B7" w:rsidRPr="00F05FE9">
        <w:t xml:space="preserve"> </w:t>
      </w:r>
      <w:r w:rsidR="007C7BE9" w:rsidRPr="00F05FE9">
        <w:t xml:space="preserve">welfare, morals, </w:t>
      </w:r>
      <w:r w:rsidR="000A67B2" w:rsidRPr="00F05FE9">
        <w:t>or</w:t>
      </w:r>
      <w:r w:rsidR="000A47ED" w:rsidRPr="00F05FE9">
        <w:t xml:space="preserve"> </w:t>
      </w:r>
      <w:r w:rsidR="007C7BE9" w:rsidRPr="00F05FE9">
        <w:t>the rights and freedoms of others</w:t>
      </w:r>
      <w:r w:rsidR="004B36A6" w:rsidRPr="00F05FE9">
        <w:t xml:space="preserve"> would satisfy the </w:t>
      </w:r>
      <w:r w:rsidR="009904B1" w:rsidRPr="00F05FE9">
        <w:t xml:space="preserve">Convention </w:t>
      </w:r>
      <w:r w:rsidR="004B36A6" w:rsidRPr="00F05FE9">
        <w:t xml:space="preserve">requirement of </w:t>
      </w:r>
      <w:r w:rsidR="004B36A6" w:rsidRPr="00F05FE9">
        <w:rPr>
          <w:i/>
        </w:rPr>
        <w:t>proportionality</w:t>
      </w:r>
      <w:r w:rsidR="00B32720" w:rsidRPr="00F05FE9">
        <w:t xml:space="preserve">. </w:t>
      </w:r>
      <w:r w:rsidR="00B1718D" w:rsidRPr="00F05FE9">
        <w:t xml:space="preserve">Drawing on </w:t>
      </w:r>
      <w:proofErr w:type="spellStart"/>
      <w:r w:rsidR="00B32720" w:rsidRPr="00F05FE9">
        <w:t>Letsas</w:t>
      </w:r>
      <w:proofErr w:type="spellEnd"/>
      <w:r w:rsidR="00B32720" w:rsidRPr="00F05FE9">
        <w:t>’ work</w:t>
      </w:r>
      <w:r w:rsidR="00B1718D" w:rsidRPr="00F05FE9">
        <w:t>,</w:t>
      </w:r>
      <w:r w:rsidR="00E46C33" w:rsidRPr="00F05FE9">
        <w:t xml:space="preserve"> </w:t>
      </w:r>
      <w:r w:rsidR="008923BA" w:rsidRPr="00F05FE9">
        <w:t xml:space="preserve">I advanced that </w:t>
      </w:r>
      <w:r w:rsidR="00EF66A3" w:rsidRPr="00F05FE9">
        <w:t xml:space="preserve">philosophical </w:t>
      </w:r>
      <w:r w:rsidR="00CA777D" w:rsidRPr="00F05FE9">
        <w:t xml:space="preserve">investigation </w:t>
      </w:r>
      <w:r w:rsidR="008923BA" w:rsidRPr="00F05FE9">
        <w:t xml:space="preserve">permits us to determine the content of </w:t>
      </w:r>
      <w:r w:rsidR="008923BA" w:rsidRPr="00F05FE9">
        <w:rPr>
          <w:i/>
        </w:rPr>
        <w:t>right D</w:t>
      </w:r>
      <w:r w:rsidR="008923BA" w:rsidRPr="00F05FE9">
        <w:rPr>
          <w:i/>
          <w:vertAlign w:val="subscript"/>
        </w:rPr>
        <w:t>R</w:t>
      </w:r>
      <w:r w:rsidR="008923BA" w:rsidRPr="00F05FE9">
        <w:t xml:space="preserve"> </w:t>
      </w:r>
      <w:r w:rsidR="008923BA" w:rsidRPr="00F05FE9">
        <w:rPr>
          <w:i/>
        </w:rPr>
        <w:t>ex ante</w:t>
      </w:r>
      <w:r w:rsidR="008923BA" w:rsidRPr="00F05FE9">
        <w:t>, that is, in the absence of any ECtHR decision on the iss</w:t>
      </w:r>
      <w:r w:rsidR="00CA777D" w:rsidRPr="00F05FE9">
        <w:t>u</w:t>
      </w:r>
      <w:r w:rsidR="008923BA" w:rsidRPr="00F05FE9">
        <w:t xml:space="preserve">e. </w:t>
      </w:r>
      <w:r w:rsidR="00E46C33" w:rsidRPr="00F05FE9">
        <w:t>I appeal</w:t>
      </w:r>
      <w:r w:rsidR="00F46670" w:rsidRPr="00F05FE9">
        <w:t>ed</w:t>
      </w:r>
      <w:r w:rsidR="00E46C33" w:rsidRPr="00F05FE9">
        <w:t xml:space="preserve"> to two</w:t>
      </w:r>
      <w:r w:rsidR="0011613B" w:rsidRPr="00F05FE9">
        <w:t xml:space="preserve"> </w:t>
      </w:r>
      <w:r w:rsidR="00A31099" w:rsidRPr="00F05FE9">
        <w:t xml:space="preserve">rival </w:t>
      </w:r>
      <w:r w:rsidR="00E46C33" w:rsidRPr="00F05FE9">
        <w:t xml:space="preserve">theories of </w:t>
      </w:r>
      <w:r w:rsidR="00DF5A2B" w:rsidRPr="00F05FE9">
        <w:t xml:space="preserve">human </w:t>
      </w:r>
      <w:r w:rsidR="00E46C33" w:rsidRPr="00F05FE9">
        <w:t>rights: the interest theory and the reason-blocking theory.</w:t>
      </w:r>
      <w:r w:rsidR="00DB23DD" w:rsidRPr="00F05FE9">
        <w:t xml:space="preserve"> </w:t>
      </w:r>
      <w:r w:rsidR="004164C5" w:rsidRPr="00F05FE9">
        <w:t>My</w:t>
      </w:r>
      <w:r w:rsidR="007C3F5E" w:rsidRPr="00F05FE9">
        <w:t xml:space="preserve"> analysis </w:t>
      </w:r>
      <w:r w:rsidR="00D72818" w:rsidRPr="00F05FE9">
        <w:t xml:space="preserve">of </w:t>
      </w:r>
      <w:r w:rsidR="00D72818" w:rsidRPr="00F05FE9">
        <w:rPr>
          <w:i/>
        </w:rPr>
        <w:t>right D</w:t>
      </w:r>
      <w:r w:rsidR="00D72818" w:rsidRPr="00F05FE9">
        <w:rPr>
          <w:i/>
          <w:vertAlign w:val="subscript"/>
        </w:rPr>
        <w:t>R</w:t>
      </w:r>
      <w:r w:rsidR="00D72818" w:rsidRPr="00F05FE9">
        <w:t xml:space="preserve"> under the</w:t>
      </w:r>
      <w:r w:rsidR="00C2606B" w:rsidRPr="00F05FE9">
        <w:t>se views yields</w:t>
      </w:r>
      <w:r w:rsidR="00D72818" w:rsidRPr="00F05FE9">
        <w:t xml:space="preserve"> a right to refuse </w:t>
      </w:r>
      <w:r w:rsidR="00BE5953" w:rsidRPr="00F05FE9">
        <w:t>LPT</w:t>
      </w:r>
      <w:r w:rsidR="00D72818" w:rsidRPr="00F05FE9">
        <w:t xml:space="preserve"> </w:t>
      </w:r>
      <w:r w:rsidR="00870185" w:rsidRPr="00F05FE9">
        <w:t xml:space="preserve">(both contemporaneous and advance) </w:t>
      </w:r>
      <w:r w:rsidR="00D72818" w:rsidRPr="00F05FE9">
        <w:t>tempered only by considerations of population health</w:t>
      </w:r>
      <w:r w:rsidR="0065526B" w:rsidRPr="00F05FE9">
        <w:t>.</w:t>
      </w:r>
      <w:r w:rsidR="00182F09" w:rsidRPr="00F05FE9">
        <w:t xml:space="preserve"> </w:t>
      </w:r>
      <w:r w:rsidR="0037058C" w:rsidRPr="00F05FE9">
        <w:t>I</w:t>
      </w:r>
      <w:r w:rsidR="00905DE4" w:rsidRPr="00F05FE9">
        <w:t xml:space="preserve">f my conclusions on the content of </w:t>
      </w:r>
      <w:r w:rsidR="00905DE4" w:rsidRPr="00F05FE9">
        <w:rPr>
          <w:i/>
        </w:rPr>
        <w:t>right D</w:t>
      </w:r>
      <w:r w:rsidR="00905DE4" w:rsidRPr="00F05FE9">
        <w:rPr>
          <w:i/>
          <w:vertAlign w:val="subscript"/>
        </w:rPr>
        <w:t>R</w:t>
      </w:r>
      <w:r w:rsidR="00905DE4" w:rsidRPr="00F05FE9">
        <w:t xml:space="preserve"> are persuasive, </w:t>
      </w:r>
      <w:r w:rsidR="0047147A" w:rsidRPr="00F05FE9">
        <w:t xml:space="preserve">there are </w:t>
      </w:r>
      <w:r w:rsidR="00905DE4" w:rsidRPr="00F05FE9">
        <w:t xml:space="preserve">significant implications for those Council of Europe jurisdictions whose legal regimes for refusal of </w:t>
      </w:r>
      <w:r w:rsidR="00844BD5" w:rsidRPr="00F05FE9">
        <w:t>LPT</w:t>
      </w:r>
      <w:r w:rsidR="00905DE4" w:rsidRPr="00F05FE9">
        <w:t xml:space="preserve"> are inconsistent with </w:t>
      </w:r>
      <w:r w:rsidR="00905DE4" w:rsidRPr="00F05FE9">
        <w:rPr>
          <w:i/>
        </w:rPr>
        <w:t>right D</w:t>
      </w:r>
      <w:r w:rsidR="00905DE4" w:rsidRPr="00F05FE9">
        <w:rPr>
          <w:i/>
          <w:vertAlign w:val="subscript"/>
        </w:rPr>
        <w:t>R</w:t>
      </w:r>
      <w:r w:rsidR="00905DE4" w:rsidRPr="00F05FE9">
        <w:t xml:space="preserve"> so framed.</w:t>
      </w:r>
    </w:p>
    <w:p w14:paraId="565332D6" w14:textId="279494E4" w:rsidR="00BD3922" w:rsidRPr="00F05FE9" w:rsidRDefault="00743B16" w:rsidP="003D725F">
      <w:pPr>
        <w:pStyle w:val="Body"/>
        <w:spacing w:line="276" w:lineRule="auto"/>
        <w:jc w:val="left"/>
      </w:pPr>
      <w:r w:rsidRPr="00F05FE9">
        <w:lastRenderedPageBreak/>
        <w:t>A</w:t>
      </w:r>
      <w:r w:rsidR="00444A87" w:rsidRPr="00F05FE9">
        <w:t xml:space="preserve"> failure to enshrine </w:t>
      </w:r>
      <w:r w:rsidR="00444A87" w:rsidRPr="00F05FE9">
        <w:rPr>
          <w:i/>
        </w:rPr>
        <w:t>right D</w:t>
      </w:r>
      <w:r w:rsidR="00444A87" w:rsidRPr="00F05FE9">
        <w:rPr>
          <w:i/>
          <w:vertAlign w:val="subscript"/>
        </w:rPr>
        <w:t>R</w:t>
      </w:r>
      <w:r w:rsidR="00444A87" w:rsidRPr="00F05FE9">
        <w:t xml:space="preserve"> </w:t>
      </w:r>
      <w:r w:rsidRPr="00F05FE9">
        <w:t>(</w:t>
      </w:r>
      <w:r w:rsidR="00444A87" w:rsidRPr="00F05FE9">
        <w:t>as I conceive</w:t>
      </w:r>
      <w:r w:rsidRPr="00F05FE9">
        <w:t>)</w:t>
      </w:r>
      <w:r w:rsidR="00444A87" w:rsidRPr="00F05FE9">
        <w:t xml:space="preserve"> it</w:t>
      </w:r>
      <w:r w:rsidR="00CC1B6D" w:rsidRPr="00F05FE9">
        <w:t xml:space="preserve"> in domestic law</w:t>
      </w:r>
      <w:r w:rsidR="00444A87" w:rsidRPr="00F05FE9">
        <w:t xml:space="preserve"> in principle violate</w:t>
      </w:r>
      <w:r w:rsidR="007A4BDD" w:rsidRPr="00F05FE9">
        <w:t>s</w:t>
      </w:r>
      <w:r w:rsidR="00444A87" w:rsidRPr="00F05FE9">
        <w:t xml:space="preserve"> the Convention</w:t>
      </w:r>
      <w:r w:rsidR="0075483C" w:rsidRPr="00F05FE9">
        <w:t>.</w:t>
      </w:r>
      <w:r w:rsidR="007A4BDD" w:rsidRPr="00F05FE9">
        <w:t xml:space="preserve"> However, the ECtHR </w:t>
      </w:r>
      <w:r w:rsidR="00F529FA" w:rsidRPr="00F05FE9">
        <w:t>might</w:t>
      </w:r>
      <w:r w:rsidR="0047167F" w:rsidRPr="00F05FE9">
        <w:t xml:space="preserve"> </w:t>
      </w:r>
      <w:r w:rsidR="00D065BC" w:rsidRPr="00F05FE9">
        <w:t xml:space="preserve">nevertheless </w:t>
      </w:r>
      <w:r w:rsidR="0047167F" w:rsidRPr="00F05FE9">
        <w:t xml:space="preserve">decline to </w:t>
      </w:r>
      <w:r w:rsidR="00B01B6B" w:rsidRPr="00F05FE9">
        <w:t>examine</w:t>
      </w:r>
      <w:r w:rsidR="00D86D56" w:rsidRPr="00F05FE9">
        <w:t xml:space="preserve"> </w:t>
      </w:r>
      <w:r w:rsidR="0047167F" w:rsidRPr="00F05FE9">
        <w:t xml:space="preserve">the </w:t>
      </w:r>
      <w:r w:rsidR="00D04766" w:rsidRPr="00F05FE9">
        <w:t xml:space="preserve">content of </w:t>
      </w:r>
      <w:r w:rsidR="00D04766" w:rsidRPr="00F05FE9">
        <w:rPr>
          <w:i/>
        </w:rPr>
        <w:t>right D</w:t>
      </w:r>
      <w:r w:rsidR="00D04766" w:rsidRPr="00F05FE9">
        <w:rPr>
          <w:i/>
          <w:vertAlign w:val="subscript"/>
        </w:rPr>
        <w:t>R</w:t>
      </w:r>
      <w:r w:rsidR="00D04766" w:rsidRPr="00F05FE9">
        <w:t xml:space="preserve"> </w:t>
      </w:r>
      <w:r w:rsidR="0047167F" w:rsidRPr="00F05FE9">
        <w:t xml:space="preserve">by invoking an absence of consensus among Member States on </w:t>
      </w:r>
      <w:r w:rsidR="00D86D56" w:rsidRPr="00F05FE9">
        <w:t xml:space="preserve">its </w:t>
      </w:r>
      <w:r w:rsidR="0047167F" w:rsidRPr="00F05FE9">
        <w:t>existence and extent.</w:t>
      </w:r>
      <w:r w:rsidR="00B31E04" w:rsidRPr="00F05FE9">
        <w:t xml:space="preserve"> I attempted, </w:t>
      </w:r>
      <w:r w:rsidR="00B31E04" w:rsidRPr="00F05FE9">
        <w:rPr>
          <w:i/>
        </w:rPr>
        <w:t>inter alia</w:t>
      </w:r>
      <w:r w:rsidR="00B31E04" w:rsidRPr="00F05FE9">
        <w:t xml:space="preserve">, to demonstrate that there is sufficient consensus </w:t>
      </w:r>
      <w:r w:rsidR="00243A39" w:rsidRPr="00F05FE9">
        <w:t xml:space="preserve">among Council of Europe Member States </w:t>
      </w:r>
      <w:r w:rsidR="00D4643F" w:rsidRPr="00F05FE9">
        <w:t>on refusals of life-prolonging treatment to justify ECtHR supervision of domestic law. However, my survey of Member States’ legal regimes for contemporaneous and advance refusals is not comprehensive</w:t>
      </w:r>
      <w:r w:rsidR="002F068A" w:rsidRPr="00F05FE9">
        <w:t>, and further research to asses</w:t>
      </w:r>
      <w:r w:rsidR="00FA1DDA" w:rsidRPr="00F05FE9">
        <w:t>s</w:t>
      </w:r>
      <w:r w:rsidR="002F068A" w:rsidRPr="00F05FE9">
        <w:t xml:space="preserve"> the state of consensus </w:t>
      </w:r>
      <w:r w:rsidR="00FA1DDA" w:rsidRPr="00F05FE9">
        <w:t xml:space="preserve">on refusals of life-prolonging treatment </w:t>
      </w:r>
      <w:r w:rsidR="002F068A" w:rsidRPr="00F05FE9">
        <w:t>is necessary.</w:t>
      </w:r>
      <w:r w:rsidR="00DE00DB" w:rsidRPr="00F05FE9">
        <w:t xml:space="preserve"> That said, we should </w:t>
      </w:r>
      <w:r w:rsidR="00B54DD7" w:rsidRPr="00F05FE9">
        <w:t xml:space="preserve">not forget </w:t>
      </w:r>
      <w:r w:rsidR="00DE00DB" w:rsidRPr="00F05FE9">
        <w:t xml:space="preserve">that the ECtHR has </w:t>
      </w:r>
      <w:r w:rsidR="002658CD" w:rsidRPr="00F05FE9">
        <w:t xml:space="preserve">exercised its supervisory jurisdiction </w:t>
      </w:r>
      <w:r w:rsidR="000253ED" w:rsidRPr="00F05FE9">
        <w:t xml:space="preserve">in cases where consensus among Member States </w:t>
      </w:r>
      <w:proofErr w:type="gramStart"/>
      <w:r w:rsidR="000253ED" w:rsidRPr="00F05FE9">
        <w:t>with regard to</w:t>
      </w:r>
      <w:proofErr w:type="gramEnd"/>
      <w:r w:rsidR="000253ED" w:rsidRPr="00F05FE9">
        <w:t xml:space="preserve"> the relevant right has been quite lacking.</w:t>
      </w:r>
    </w:p>
    <w:p w14:paraId="78372574" w14:textId="659C705D" w:rsidR="00A352F9" w:rsidRPr="00F05FE9" w:rsidRDefault="00445C3D" w:rsidP="003D725F">
      <w:pPr>
        <w:pStyle w:val="Body"/>
        <w:spacing w:line="276" w:lineRule="auto"/>
        <w:jc w:val="left"/>
      </w:pPr>
      <w:r w:rsidRPr="00F05FE9">
        <w:t xml:space="preserve">Finally, I </w:t>
      </w:r>
      <w:r w:rsidR="002E01F2" w:rsidRPr="00F05FE9">
        <w:t xml:space="preserve">argued </w:t>
      </w:r>
      <w:r w:rsidRPr="00F05FE9">
        <w:t xml:space="preserve">that States that take a permissive stance toward </w:t>
      </w:r>
      <w:r w:rsidR="00D11B87" w:rsidRPr="00F05FE9">
        <w:t>refusals of life-prolonging treatment</w:t>
      </w:r>
      <w:r w:rsidR="009C6648" w:rsidRPr="00F05FE9">
        <w:t xml:space="preserve"> </w:t>
      </w:r>
      <w:r w:rsidR="00B04312" w:rsidRPr="00F05FE9">
        <w:t xml:space="preserve">may </w:t>
      </w:r>
      <w:r w:rsidR="005A674E" w:rsidRPr="00F05FE9">
        <w:t>violate the positive obligations that the ECtHR has found to inhere in article 8 ECHR</w:t>
      </w:r>
      <w:r w:rsidR="00FF6CC7" w:rsidRPr="00F05FE9">
        <w:t xml:space="preserve">, </w:t>
      </w:r>
      <w:proofErr w:type="gramStart"/>
      <w:r w:rsidR="00FF6CC7" w:rsidRPr="00F05FE9">
        <w:t>in the event that</w:t>
      </w:r>
      <w:proofErr w:type="gramEnd"/>
      <w:r w:rsidR="00FF6CC7" w:rsidRPr="00F05FE9">
        <w:t xml:space="preserve"> individuals cannot exercise their legal right to refuse</w:t>
      </w:r>
      <w:r w:rsidR="00685DFA" w:rsidRPr="00F05FE9">
        <w:t xml:space="preserve"> LPT</w:t>
      </w:r>
      <w:r w:rsidR="00FF6CC7" w:rsidRPr="00F05FE9">
        <w:t xml:space="preserve"> in a </w:t>
      </w:r>
      <w:r w:rsidR="009C6648" w:rsidRPr="00F05FE9">
        <w:t>practical and effective</w:t>
      </w:r>
      <w:r w:rsidR="00FF6CC7" w:rsidRPr="00F05FE9">
        <w:t xml:space="preserve"> manner</w:t>
      </w:r>
      <w:r w:rsidR="00640392" w:rsidRPr="00F05FE9">
        <w:t>.</w:t>
      </w:r>
      <w:r w:rsidR="00D26933" w:rsidRPr="00F05FE9">
        <w:t xml:space="preserve"> </w:t>
      </w:r>
      <w:r w:rsidR="00407AE8" w:rsidRPr="00F05FE9">
        <w:t>I</w:t>
      </w:r>
      <w:r w:rsidR="005A674E" w:rsidRPr="00F05FE9">
        <w:t xml:space="preserve">t is not </w:t>
      </w:r>
      <w:r w:rsidR="00407AE8" w:rsidRPr="00F05FE9">
        <w:t xml:space="preserve">sufficient </w:t>
      </w:r>
      <w:r w:rsidR="005A674E" w:rsidRPr="00F05FE9">
        <w:t xml:space="preserve">for States </w:t>
      </w:r>
      <w:r w:rsidR="00407AE8" w:rsidRPr="00F05FE9">
        <w:t xml:space="preserve">merely </w:t>
      </w:r>
      <w:r w:rsidR="005A674E" w:rsidRPr="00F05FE9">
        <w:t xml:space="preserve">to </w:t>
      </w:r>
      <w:r w:rsidR="00697258" w:rsidRPr="00F05FE9">
        <w:t xml:space="preserve">permit </w:t>
      </w:r>
      <w:r w:rsidR="005A674E" w:rsidRPr="00F05FE9">
        <w:t xml:space="preserve">refusals </w:t>
      </w:r>
      <w:r w:rsidR="00FF6CC7" w:rsidRPr="00F05FE9">
        <w:t>in law</w:t>
      </w:r>
      <w:r w:rsidR="00434002" w:rsidRPr="00F05FE9">
        <w:t>. Moreover</w:t>
      </w:r>
      <w:r w:rsidR="00FF6CC7" w:rsidRPr="00F05FE9">
        <w:t xml:space="preserve">, </w:t>
      </w:r>
      <w:r w:rsidR="00B01B6B" w:rsidRPr="00F05FE9">
        <w:t xml:space="preserve">there apparently exists widespread </w:t>
      </w:r>
      <w:r w:rsidR="00E90837" w:rsidRPr="00F05FE9">
        <w:t xml:space="preserve">professional reluctance to respect valid refusals of </w:t>
      </w:r>
      <w:r w:rsidR="00ED7ED8" w:rsidRPr="00F05FE9">
        <w:t>treatment</w:t>
      </w:r>
      <w:r w:rsidR="00B01B6B" w:rsidRPr="00F05FE9">
        <w:t>. As such,</w:t>
      </w:r>
      <w:r w:rsidR="00A262FE" w:rsidRPr="00F05FE9">
        <w:t xml:space="preserve"> it is perhaps on the terrain of positive obligations </w:t>
      </w:r>
      <w:r w:rsidR="001B65FF" w:rsidRPr="00F05FE9">
        <w:t xml:space="preserve">that we </w:t>
      </w:r>
      <w:r w:rsidR="00A05EE4" w:rsidRPr="00F05FE9">
        <w:t xml:space="preserve">are most likely to </w:t>
      </w:r>
      <w:r w:rsidR="001B65FF" w:rsidRPr="00F05FE9">
        <w:t xml:space="preserve">see ECtHR intervention on the right to refuse life-prolonging </w:t>
      </w:r>
      <w:r w:rsidR="00B01B6B" w:rsidRPr="00F05FE9">
        <w:t>treatment</w:t>
      </w:r>
      <w:r w:rsidR="001E6C30" w:rsidRPr="00F05FE9">
        <w:t>.</w:t>
      </w:r>
    </w:p>
    <w:sectPr w:rsidR="00A352F9" w:rsidRPr="00F05FE9" w:rsidSect="00443F27">
      <w:headerReference w:type="default" r:id="rId9"/>
      <w:footerReference w:type="default" r:id="rId10"/>
      <w:pgSz w:w="11906" w:h="16837" w:code="9"/>
      <w:pgMar w:top="2268" w:right="2268" w:bottom="2268" w:left="2268" w:header="1701" w:footer="170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9E7E6" w14:textId="77777777" w:rsidR="009D3244" w:rsidRDefault="009D3244">
      <w:r>
        <w:separator/>
      </w:r>
    </w:p>
  </w:endnote>
  <w:endnote w:type="continuationSeparator" w:id="0">
    <w:p w14:paraId="7089DB73" w14:textId="77777777" w:rsidR="009D3244" w:rsidRDefault="009D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DE65" w14:textId="3A46DBED" w:rsidR="002D131A" w:rsidRDefault="002D131A" w:rsidP="009D31B4">
    <w:pPr>
      <w:jc w:val="center"/>
    </w:pPr>
    <w:r>
      <w:fldChar w:fldCharType="begin"/>
    </w:r>
    <w:r>
      <w:instrText xml:space="preserve">PAGE </w:instrText>
    </w:r>
    <w:r>
      <w:fldChar w:fldCharType="separate"/>
    </w:r>
    <w:r w:rsidR="005F5A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F757E" w14:textId="77777777" w:rsidR="009D3244" w:rsidRDefault="009D3244">
      <w:r>
        <w:separator/>
      </w:r>
    </w:p>
  </w:footnote>
  <w:footnote w:type="continuationSeparator" w:id="0">
    <w:p w14:paraId="2BEC3E84" w14:textId="77777777" w:rsidR="009D3244" w:rsidRDefault="009D3244">
      <w:r>
        <w:continuationSeparator/>
      </w:r>
    </w:p>
  </w:footnote>
  <w:footnote w:id="1">
    <w:p w14:paraId="58A6FC8A" w14:textId="7BC1768F" w:rsidR="002D131A" w:rsidRPr="007233D0" w:rsidRDefault="002D131A">
      <w:pPr>
        <w:pStyle w:val="FootnoteText"/>
        <w:rPr>
          <w:sz w:val="20"/>
        </w:rPr>
      </w:pPr>
      <w:r w:rsidRPr="007233D0">
        <w:rPr>
          <w:rStyle w:val="FootnoteReference"/>
          <w:sz w:val="20"/>
        </w:rPr>
        <w:footnoteRef/>
      </w:r>
      <w:r w:rsidRPr="007233D0">
        <w:rPr>
          <w:sz w:val="20"/>
        </w:rPr>
        <w:t xml:space="preserve"> My argument is likely to apply </w:t>
      </w:r>
      <w:r w:rsidRPr="007233D0">
        <w:rPr>
          <w:i/>
          <w:sz w:val="20"/>
        </w:rPr>
        <w:t>mutatis mutandis</w:t>
      </w:r>
      <w:r w:rsidRPr="007233D0">
        <w:rPr>
          <w:sz w:val="20"/>
        </w:rPr>
        <w:t xml:space="preserve"> to any refusal of medical treatment. However, because I draw the right to refuse life-prolonging treatment under ECHR law out of cases relating to assisted death, I prefer not to beg the question of any wider right to refuse treatment.</w:t>
      </w:r>
    </w:p>
  </w:footnote>
  <w:footnote w:id="2">
    <w:p w14:paraId="55AA4881" w14:textId="14BD8B19"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&lt;EndNote&gt;&lt;Cite&gt;&lt;Author&gt;Wicks&lt;/Author&gt;&lt;Year&gt;2001&lt;/Year&gt;&lt;RecNum&gt;1770&lt;/RecNum&gt;&lt;DisplayText&gt;Elizabeth Wicks, ‘The right to refuse medical treatment under the European Convention on Human Rights’ (2001) 9(1) Med Law Rev 17&lt;/DisplayText&gt;&lt;record&gt;&lt;rec-number&gt;1770&lt;/rec-number&gt;&lt;foreign-keys&gt;&lt;key app="EN" db-id="29e2pr0ebtzaxkedz5b5aefxftsede200wps" timestamp="1469957697"&gt;1770&lt;/key&gt;&lt;/foreign-keys&gt;&lt;ref-type name="Journal Article"&gt;17&lt;/ref-type&gt;&lt;contributors&gt;&lt;authors&gt;&lt;author&gt;Wicks, Elizabeth&lt;/author&gt;&lt;/authors&gt;&lt;/contributors&gt;&lt;auth-address&gt;University of Birmingham, UK.&lt;/auth-address&gt;&lt;titles&gt;&lt;title&gt;The right to refuse medical treatment under the European Convention on Human Rights&lt;/title&gt;&lt;secondary-title&gt;Medical law review&lt;/secondary-title&gt;&lt;/titles&gt;&lt;periodical&gt;&lt;full-title&gt;Medical Law Review&lt;/full-title&gt;&lt;abbr-1&gt;Med Law Rev&lt;/abbr-1&gt;&lt;/periodical&gt;&lt;pages&gt;17&lt;/pages&gt;&lt;volume&gt;9&lt;/volume&gt;&lt;number&gt;1&lt;/number&gt;&lt;edition&gt;2003/12/20&lt;/edition&gt;&lt;keywords&gt;&lt;keyword&gt;Cesarean Section/legislation &amp;amp; jurisprudence&lt;/keyword&gt;&lt;keyword&gt;Europe&lt;/keyword&gt;&lt;keyword&gt;Euthanasia, Passive/legislation &amp;amp; jurisprudence&lt;/keyword&gt;&lt;keyword&gt;Female&lt;/keyword&gt;&lt;keyword&gt;Human Rights/*legislation &amp;amp; jurisprudence&lt;/keyword&gt;&lt;keyword&gt;Humans&lt;/keyword&gt;&lt;keyword&gt;Informed Consent&lt;/keyword&gt;&lt;keyword&gt;Mental Competency&lt;/keyword&gt;&lt;keyword&gt;Personal Autonomy&lt;/keyword&gt;&lt;keyword&gt;Pregnancy&lt;/keyword&gt;&lt;keyword&gt;Prejudice&lt;/keyword&gt;&lt;keyword&gt;Religion and Medicine&lt;/keyword&gt;&lt;keyword&gt;Sterilization, Reproductive/legislation &amp;amp; jurisprudence&lt;/keyword&gt;&lt;keyword&gt;Treatment Refusal/*legislation &amp;amp; jurisprudence&lt;/keyword&gt;&lt;keyword&gt;Value of Life&lt;/keyword&gt;&lt;/keywords&gt;&lt;dates&gt;&lt;year&gt;2001&lt;/year&gt;&lt;pub-dates&gt;&lt;date&gt;Spring&lt;/date&gt;&lt;/pub-dates&gt;&lt;/dates&gt;&lt;pub-location&gt;2001&lt;/pub-location&gt;&lt;isbn&gt;0967-0742 (Print)&amp;#xD;0967-0742 (Linking)&lt;/isbn&gt;&lt;accession-num&gt;14682324&lt;/accession-num&gt;&lt;urls&gt;&lt;related-urls&gt;&lt;url&gt;http://www.ncbi.nlm.nih.gov/pubmed/14682324&lt;/url&gt;&lt;/related-urls&gt;&lt;/urls&gt;&lt;language&gt;eng&lt;/language&gt;&lt;/record&gt;&lt;/Cite&gt;&lt;/EndNote&gt;</w:instrText>
      </w:r>
      <w:r w:rsidRPr="007233D0">
        <w:rPr>
          <w:sz w:val="20"/>
        </w:rPr>
        <w:fldChar w:fldCharType="separate"/>
      </w:r>
      <w:r w:rsidRPr="007233D0">
        <w:rPr>
          <w:noProof/>
          <w:sz w:val="20"/>
        </w:rPr>
        <w:t>Elizabeth Wicks, ‘The right to refuse medical treatment under the European Convention on Human Rights’ (2001) 9(1) Med Law Rev 17</w:t>
      </w:r>
      <w:r w:rsidRPr="007233D0">
        <w:rPr>
          <w:sz w:val="20"/>
        </w:rPr>
        <w:fldChar w:fldCharType="end"/>
      </w:r>
      <w:r w:rsidRPr="007233D0">
        <w:rPr>
          <w:sz w:val="20"/>
        </w:rPr>
        <w:t>.</w:t>
      </w:r>
    </w:p>
  </w:footnote>
  <w:footnote w:id="3">
    <w:p w14:paraId="1E96AD61" w14:textId="2FFB90F0" w:rsidR="002D131A" w:rsidRPr="007233D0" w:rsidRDefault="002D131A">
      <w:pPr>
        <w:pStyle w:val="FootnoteText"/>
        <w:rPr>
          <w:sz w:val="20"/>
        </w:rPr>
      </w:pPr>
      <w:r w:rsidRPr="007233D0">
        <w:rPr>
          <w:rStyle w:val="FootnoteReference"/>
          <w:sz w:val="20"/>
        </w:rPr>
        <w:footnoteRef/>
      </w:r>
      <w:r w:rsidRPr="007233D0">
        <w:rPr>
          <w:sz w:val="20"/>
        </w:rPr>
        <w:t xml:space="preserve"> See eg </w:t>
      </w:r>
      <w:r w:rsidRPr="007233D0">
        <w:rPr>
          <w:sz w:val="20"/>
        </w:rPr>
        <w:fldChar w:fldCharType="begin"/>
      </w:r>
      <w:r w:rsidRPr="007233D0">
        <w:rPr>
          <w:sz w:val="20"/>
        </w:rPr>
        <w:instrText xml:space="preserve"> ADDIN EN.CITE &lt;EndNote&gt;&lt;Cite ExcludeAuth="1"&gt;&lt;Year&gt;2002&lt;/Year&gt;&lt;RecNum&gt;1114&lt;/RecNum&gt;&lt;DisplayText&gt;&lt;style face="italic"&gt;Ms B v An NHS Hospital Trust &lt;/style&gt;[2002] EWHC 429 (Fam)&lt;/DisplayText&gt;&lt;record&gt;&lt;rec-number&gt;1114&lt;/rec-number&gt;&lt;foreign-keys&gt;&lt;key app="EN" db-id="29e2pr0ebtzaxkedz5b5aefxftsede200wps" timestamp="1469956993"&gt;1114&lt;/key&gt;&lt;/foreign-keys&gt;&lt;ref-type name="Case (inc all UK, ECJ and ECtHR cases)"&gt;7&lt;/ref-type&gt;&lt;contributors&gt;&lt;/contributors&gt;&lt;titles&gt;&lt;title&gt;Ms B v An NHS Hospital Trust&lt;/title&gt;&lt;secondary-title&gt;[2002] EWHC 429&lt;/secondary-title&gt;&lt;/titles&gt;&lt;dates&gt;&lt;year&gt;2002&lt;/year&gt;&lt;/dates&gt;&lt;publisher&gt;Fam&lt;/publisher&gt;&lt;urls&gt;&lt;/urls&gt;&lt;/record&gt;&lt;/Cite&gt;&lt;/EndNote&gt;</w:instrText>
      </w:r>
      <w:r w:rsidRPr="007233D0">
        <w:rPr>
          <w:sz w:val="20"/>
        </w:rPr>
        <w:fldChar w:fldCharType="separate"/>
      </w:r>
      <w:r w:rsidRPr="007233D0">
        <w:rPr>
          <w:i/>
          <w:noProof/>
          <w:sz w:val="20"/>
        </w:rPr>
        <w:t xml:space="preserve">Ms B v An NHS Hospital Trust </w:t>
      </w:r>
      <w:r w:rsidRPr="007233D0">
        <w:rPr>
          <w:noProof/>
          <w:sz w:val="20"/>
        </w:rPr>
        <w:t>[2002] EWHC 429 (Fam)</w:t>
      </w:r>
      <w:r w:rsidRPr="007233D0">
        <w:rPr>
          <w:sz w:val="20"/>
        </w:rPr>
        <w:fldChar w:fldCharType="end"/>
      </w:r>
      <w:r w:rsidRPr="007233D0">
        <w:rPr>
          <w:sz w:val="20"/>
        </w:rPr>
        <w:t>.</w:t>
      </w:r>
    </w:p>
  </w:footnote>
  <w:footnote w:id="4">
    <w:p w14:paraId="341FB19E" w14:textId="2F2103F8" w:rsidR="002D131A" w:rsidRPr="007233D0" w:rsidRDefault="002D131A">
      <w:pPr>
        <w:pStyle w:val="FootnoteText"/>
        <w:rPr>
          <w:sz w:val="20"/>
        </w:rPr>
      </w:pPr>
      <w:r w:rsidRPr="007233D0">
        <w:rPr>
          <w:rStyle w:val="FootnoteReference"/>
          <w:sz w:val="20"/>
        </w:rPr>
        <w:footnoteRef/>
      </w:r>
      <w:r w:rsidRPr="007233D0">
        <w:rPr>
          <w:sz w:val="20"/>
        </w:rPr>
        <w:t xml:space="preserve"> See footnote text at </w:t>
      </w:r>
      <w:proofErr w:type="spellStart"/>
      <w:r w:rsidRPr="007233D0">
        <w:rPr>
          <w:sz w:val="20"/>
        </w:rPr>
        <w:t>nn</w:t>
      </w:r>
      <w:proofErr w:type="spellEnd"/>
      <w:r w:rsidRPr="007233D0">
        <w:rPr>
          <w:sz w:val="20"/>
        </w:rPr>
        <w:t xml:space="preserve"> </w:t>
      </w:r>
      <w:r w:rsidRPr="007233D0">
        <w:rPr>
          <w:sz w:val="20"/>
        </w:rPr>
        <w:fldChar w:fldCharType="begin"/>
      </w:r>
      <w:r w:rsidRPr="007233D0">
        <w:rPr>
          <w:sz w:val="20"/>
        </w:rPr>
        <w:instrText xml:space="preserve"> NOTEREF _Ref497759964 \h  \* MERGEFORMAT </w:instrText>
      </w:r>
      <w:r w:rsidRPr="007233D0">
        <w:rPr>
          <w:sz w:val="20"/>
        </w:rPr>
      </w:r>
      <w:r w:rsidRPr="007233D0">
        <w:rPr>
          <w:sz w:val="20"/>
        </w:rPr>
        <w:fldChar w:fldCharType="separate"/>
      </w:r>
      <w:r>
        <w:rPr>
          <w:sz w:val="20"/>
        </w:rPr>
        <w:t>119</w:t>
      </w:r>
      <w:r w:rsidRPr="007233D0">
        <w:rPr>
          <w:sz w:val="20"/>
        </w:rPr>
        <w:fldChar w:fldCharType="end"/>
      </w:r>
      <w:r w:rsidRPr="007233D0">
        <w:rPr>
          <w:sz w:val="20"/>
        </w:rPr>
        <w:t>-</w:t>
      </w:r>
      <w:r w:rsidRPr="007233D0">
        <w:rPr>
          <w:sz w:val="20"/>
        </w:rPr>
        <w:fldChar w:fldCharType="begin"/>
      </w:r>
      <w:r w:rsidRPr="007233D0">
        <w:rPr>
          <w:sz w:val="20"/>
        </w:rPr>
        <w:instrText xml:space="preserve"> NOTEREF _Ref497759968 \h  \* MERGEFORMAT </w:instrText>
      </w:r>
      <w:r w:rsidRPr="007233D0">
        <w:rPr>
          <w:sz w:val="20"/>
        </w:rPr>
      </w:r>
      <w:r w:rsidRPr="007233D0">
        <w:rPr>
          <w:sz w:val="20"/>
        </w:rPr>
        <w:fldChar w:fldCharType="separate"/>
      </w:r>
      <w:r>
        <w:rPr>
          <w:sz w:val="20"/>
        </w:rPr>
        <w:t>120</w:t>
      </w:r>
      <w:r w:rsidRPr="007233D0">
        <w:rPr>
          <w:sz w:val="20"/>
        </w:rPr>
        <w:fldChar w:fldCharType="end"/>
      </w:r>
      <w:r w:rsidRPr="007233D0">
        <w:rPr>
          <w:sz w:val="20"/>
        </w:rPr>
        <w:t xml:space="preserve">. </w:t>
      </w:r>
    </w:p>
  </w:footnote>
  <w:footnote w:id="5">
    <w:p w14:paraId="74DBEE60" w14:textId="1B462B1D" w:rsidR="002D131A" w:rsidRPr="007233D0" w:rsidRDefault="002D131A" w:rsidP="00B43A2F">
      <w:pPr>
        <w:rPr>
          <w:sz w:val="20"/>
          <w:szCs w:val="20"/>
        </w:rPr>
      </w:pPr>
      <w:r w:rsidRPr="007233D0">
        <w:rPr>
          <w:rStyle w:val="FootnoteReference"/>
          <w:sz w:val="20"/>
          <w:szCs w:val="20"/>
        </w:rPr>
        <w:footnoteRef/>
      </w:r>
      <w:r w:rsidRPr="007233D0">
        <w:rPr>
          <w:sz w:val="20"/>
          <w:szCs w:val="20"/>
        </w:rPr>
        <w:t xml:space="preserve"> </w:t>
      </w:r>
      <w:r w:rsidRPr="007233D0">
        <w:rPr>
          <w:sz w:val="20"/>
          <w:szCs w:val="20"/>
        </w:rPr>
        <w:fldChar w:fldCharType="begin"/>
      </w:r>
      <w:r w:rsidRPr="007233D0">
        <w:rPr>
          <w:sz w:val="20"/>
          <w:szCs w:val="20"/>
        </w:rPr>
        <w:instrText xml:space="preserve"> ADDIN EN.CITE &lt;EndNote&gt;&lt;Cite ExcludeAuth="1"&gt;&lt;Year&gt;1950&lt;/Year&gt;&lt;RecNum&gt;2047&lt;/RecNum&gt;&lt;DisplayText&gt;European Convention on Human Rights &lt;style face="underline"&gt;www.echr.coe.int/Documents/Convention_ENG.pdf&lt;/style&gt; accessed 17/01/01&lt;/DisplayText&gt;&lt;record&gt;&lt;rec-number&gt;2047&lt;/rec-number&gt;&lt;foreign-keys&gt;&lt;key app="EN" db-id="29e2pr0ebtzaxkedz5b5aefxftsede200wps" timestamp="1469959539"&gt;2047&lt;/key&gt;&lt;/foreign-keys&gt;&lt;ref-type name="Statute, SI, EU leg, Treaties"&gt;31&lt;/ref-type&gt;&lt;contributors&gt;&lt;/contributors&gt;&lt;titles&gt;&lt;title&gt;European Convention on Human Rights&lt;/title&gt;&lt;short-title&gt;ECHR&lt;/short-title&gt;&lt;/titles&gt;&lt;dates&gt;&lt;year&gt;1950&lt;/year&gt;&lt;/dates&gt;&lt;urls&gt;&lt;related-urls&gt;&lt;url&gt;www.echr.coe.int/Documents/Convention_ENG.pdf&lt;/url&gt;&lt;/related-urls&gt;&lt;/urls&gt;&lt;access-date&gt;17/01/01&lt;/access-date&gt;&lt;/record&gt;&lt;/Cite&gt;&lt;/EndNote&gt;</w:instrText>
      </w:r>
      <w:r w:rsidRPr="007233D0">
        <w:rPr>
          <w:sz w:val="20"/>
          <w:szCs w:val="20"/>
        </w:rPr>
        <w:fldChar w:fldCharType="separate"/>
      </w:r>
      <w:r w:rsidRPr="007233D0">
        <w:rPr>
          <w:noProof/>
          <w:sz w:val="20"/>
          <w:szCs w:val="20"/>
        </w:rPr>
        <w:t xml:space="preserve">European Convention on Human Rights </w:t>
      </w:r>
      <w:r w:rsidRPr="007233D0">
        <w:rPr>
          <w:noProof/>
          <w:sz w:val="20"/>
          <w:szCs w:val="20"/>
          <w:u w:val="single"/>
        </w:rPr>
        <w:t>www.echr.coe.int/Documents/Convention_ENG.pdf</w:t>
      </w:r>
      <w:r w:rsidRPr="007233D0">
        <w:rPr>
          <w:noProof/>
          <w:sz w:val="20"/>
          <w:szCs w:val="20"/>
        </w:rPr>
        <w:t xml:space="preserve"> accessed 17/01/01</w:t>
      </w:r>
      <w:r w:rsidRPr="007233D0">
        <w:rPr>
          <w:sz w:val="20"/>
          <w:szCs w:val="20"/>
        </w:rPr>
        <w:fldChar w:fldCharType="end"/>
      </w:r>
      <w:r w:rsidRPr="007233D0">
        <w:rPr>
          <w:sz w:val="20"/>
          <w:szCs w:val="20"/>
        </w:rPr>
        <w:t xml:space="preserve">: </w:t>
      </w:r>
      <w:r w:rsidRPr="007233D0">
        <w:rPr>
          <w:rFonts w:eastAsia="Candara" w:cs="Candara"/>
          <w:color w:val="000000"/>
          <w:sz w:val="20"/>
          <w:szCs w:val="20"/>
        </w:rPr>
        <w:t>Right to respect for private and family life</w:t>
      </w:r>
    </w:p>
    <w:p w14:paraId="1CF38E53" w14:textId="3454D482" w:rsidR="002D131A" w:rsidRPr="007233D0" w:rsidRDefault="002D131A" w:rsidP="00B43A2F">
      <w:pPr>
        <w:pStyle w:val="FootnoteText"/>
        <w:rPr>
          <w:sz w:val="20"/>
        </w:rPr>
      </w:pPr>
      <w:r w:rsidRPr="007233D0">
        <w:rPr>
          <w:rFonts w:eastAsia="Candara" w:cs="Candara"/>
          <w:color w:val="000000"/>
          <w:sz w:val="20"/>
        </w:rPr>
        <w:t>1. Everyone has the right to respect for his private and family life, his home and his correspondence.</w:t>
      </w:r>
    </w:p>
  </w:footnote>
  <w:footnote w:id="6">
    <w:p w14:paraId="4DFE06D1" w14:textId="38484969"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 ExcludeAuth="1"&gt;&lt;Year&gt;2002&lt;/Year&gt;&lt;RecNum&gt;1108&lt;/RecNum&gt;&lt;Pages&gt;[61]`, [65]`, [67]&lt;/Pages&gt;&lt;DisplayText&gt;&lt;style face="italic"&gt;Pretty v United Kingdom &lt;/style&gt;(2002) 35 EHRR 1 (ECtHR) [61], [65], [67]&lt;/DisplayText&gt;&lt;record&gt;&lt;rec-number&gt;1108&lt;/rec-number&gt;&lt;foreign-keys&gt;&lt;key app="EN" db-id="29e2pr0ebtzaxkedz5b5aefxftsede200wps" timestamp="1469956992"&gt;1108&lt;/key&gt;&lt;/foreign-keys&gt;&lt;ref-type name="Case (inc all UK, ECJ and ECtHR cases)"&gt;7&lt;/ref-type&gt;&lt;contributors&gt;&lt;/contributors&gt;&lt;titles&gt;&lt;title&gt;Pretty v United Kingdom&lt;/title&gt;&lt;secondary-title&gt;(2002) 35 EHRR 1&lt;/secondary-title&gt;&lt;short-title&gt;Pretty v UK&lt;/short-title&gt;&lt;/titles&gt;&lt;dates&gt;&lt;year&gt;2002&lt;/year&gt;&lt;/dates&gt;&lt;publisher&gt;ECtHR&lt;/publisher&gt;&lt;urls&gt;&lt;/urls&gt;&lt;/record&gt;&lt;/Cite&gt;&lt;/EndNote&gt;</w:instrText>
      </w:r>
      <w:r w:rsidRPr="007233D0">
        <w:rPr>
          <w:sz w:val="20"/>
        </w:rPr>
        <w:fldChar w:fldCharType="separate"/>
      </w:r>
      <w:r w:rsidRPr="007233D0">
        <w:rPr>
          <w:i/>
          <w:sz w:val="20"/>
        </w:rPr>
        <w:t xml:space="preserve">Pretty v United Kingdom </w:t>
      </w:r>
      <w:r w:rsidRPr="007233D0">
        <w:rPr>
          <w:sz w:val="20"/>
        </w:rPr>
        <w:t>(2002) 35 EHRR 1 (ECtHR) [61], [65], [67]</w:t>
      </w:r>
      <w:r w:rsidRPr="007233D0">
        <w:rPr>
          <w:sz w:val="20"/>
        </w:rPr>
        <w:fldChar w:fldCharType="end"/>
      </w:r>
      <w:r w:rsidRPr="007233D0">
        <w:rPr>
          <w:sz w:val="20"/>
        </w:rPr>
        <w:t xml:space="preserve">. </w:t>
      </w:r>
    </w:p>
  </w:footnote>
  <w:footnote w:id="7">
    <w:p w14:paraId="0AB44A9D" w14:textId="341D76B6"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 ExcludeAuth="1"&gt;&lt;Year&gt;2011&lt;/Year&gt;&lt;RecNum&gt;1162&lt;/RecNum&gt;&lt;Pages&gt;[51]&lt;/Pages&gt;&lt;DisplayText&gt;&lt;style face="italic"&gt;Haas v Switzerland &lt;/style&gt;(2011) 53 EHRR 33 (ECtHR) [51]&lt;/DisplayText&gt;&lt;record&gt;&lt;rec-number&gt;1162&lt;/rec-number&gt;&lt;foreign-keys&gt;&lt;key app="EN" db-id="29e2pr0ebtzaxkedz5b5aefxftsede200wps" timestamp="1469956994"&gt;1162&lt;/key&gt;&lt;/foreign-keys&gt;&lt;ref-type name="Case (inc all UK, ECJ and ECtHR cases)"&gt;7&lt;/ref-type&gt;&lt;contributors&gt;&lt;/contributors&gt;&lt;titles&gt;&lt;title&gt;Haas v Switzerland&lt;/title&gt;&lt;secondary-title&gt;(2011) 53 EHRR 33&lt;/secondary-title&gt;&lt;short-title&gt;Haas c Suisse&lt;/short-title&gt;&lt;/titles&gt;&lt;dates&gt;&lt;year&gt;2011&lt;/year&gt;&lt;/dates&gt;&lt;publisher&gt;ECtHR&lt;/publisher&gt;&lt;urls&gt;&lt;/urls&gt;&lt;/record&gt;&lt;/Cite&gt;&lt;/EndNote&gt;</w:instrText>
      </w:r>
      <w:r w:rsidRPr="007233D0">
        <w:rPr>
          <w:sz w:val="20"/>
        </w:rPr>
        <w:fldChar w:fldCharType="separate"/>
      </w:r>
      <w:r w:rsidRPr="007233D0">
        <w:rPr>
          <w:i/>
          <w:sz w:val="20"/>
        </w:rPr>
        <w:t xml:space="preserve">Haas v Switzerland </w:t>
      </w:r>
      <w:r w:rsidRPr="007233D0">
        <w:rPr>
          <w:sz w:val="20"/>
        </w:rPr>
        <w:t>(2011) 53 EHRR 33 (ECtHR) [51]</w:t>
      </w:r>
      <w:r w:rsidRPr="007233D0">
        <w:rPr>
          <w:sz w:val="20"/>
        </w:rPr>
        <w:fldChar w:fldCharType="end"/>
      </w:r>
      <w:r w:rsidRPr="007233D0">
        <w:rPr>
          <w:sz w:val="20"/>
        </w:rPr>
        <w:t>.</w:t>
      </w:r>
    </w:p>
  </w:footnote>
  <w:footnote w:id="8">
    <w:p w14:paraId="10174071" w14:textId="32BD90CC"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i/>
          <w:sz w:val="20"/>
        </w:rPr>
        <w:t xml:space="preserve">See </w:t>
      </w:r>
      <w:r w:rsidRPr="007233D0">
        <w:rPr>
          <w:sz w:val="20"/>
        </w:rPr>
        <w:fldChar w:fldCharType="begin"/>
      </w:r>
      <w:r w:rsidRPr="007233D0">
        <w:rPr>
          <w:sz w:val="20"/>
        </w:rPr>
        <w:instrText xml:space="preserve"> ADDIN EN.CITE &lt;EndNote&gt;&lt;Cite ExcludeAuth="1"&gt;&lt;Year&gt;2004&lt;/Year&gt;&lt;RecNum&gt;1665&lt;/RecNum&gt;&lt;DisplayText&gt;&lt;style face="italic"&gt;Glass v United Kingdom &lt;/style&gt;[2004] 1 FCR 553; Application no 61827/00 (ECtHR (Fourth Section)); &lt;style face="italic"&gt;R (oao Tracey) v Cambridge University Hospitals NHS Foundation Trust &amp;amp; Ors &lt;/style&gt;[2014] EWCA Civ 822&lt;/DisplayText&gt;&lt;record&gt;&lt;rec-number&gt;1665&lt;/rec-number&gt;&lt;foreign-keys&gt;&lt;key app="EN" db-id="29e2pr0ebtzaxkedz5b5aefxftsede200wps" timestamp="1469957694"&gt;1665&lt;/key&gt;&lt;/foreign-keys&gt;&lt;ref-type name="Case (inc all UK, ECJ and ECtHR cases)"&gt;7&lt;/ref-type&gt;&lt;contributors&gt;&lt;/contributors&gt;&lt;titles&gt;&lt;title&gt;Glass v United Kingdom&lt;/title&gt;&lt;secondary-title&gt;[2004] 1 FCR 553; Application no. 61827/00&lt;/secondary-title&gt;&lt;/titles&gt;&lt;dates&gt;&lt;year&gt;2004&lt;/year&gt;&lt;/dates&gt;&lt;publisher&gt;ECtHR (Fourth Section)&lt;/publisher&gt;&lt;urls&gt;&lt;/urls&gt;&lt;/record&gt;&lt;/Cite&gt;&lt;Cite ExcludeAuth="1"&gt;&lt;Year&gt;2014&lt;/Year&gt;&lt;RecNum&gt;1178&lt;/RecNum&gt;&lt;record&gt;&lt;rec-number&gt;1178&lt;/rec-number&gt;&lt;foreign-keys&gt;&lt;key app="EN" db-id="29e2pr0ebtzaxkedz5b5aefxftsede200wps" timestamp="1469956994"&gt;1178&lt;/key&gt;&lt;/foreign-keys&gt;&lt;ref-type name="Case (inc all UK, ECJ and ECtHR cases)"&gt;7&lt;/ref-type&gt;&lt;contributors&gt;&lt;/contributors&gt;&lt;titles&gt;&lt;title&gt;R (oao Tracey) v Cambridge University Hospitals NHS Foundation Trust &amp;amp; Ors&lt;/title&gt;&lt;secondary-title&gt;[2014] EWCA Civ 822&lt;/secondary-title&gt;&lt;/titles&gt;&lt;dates&gt;&lt;year&gt;2014&lt;/year&gt;&lt;/dates&gt;&lt;urls&gt;&lt;/urls&gt;&lt;/record&gt;&lt;/Cite&gt;&lt;/EndNote&gt;</w:instrText>
      </w:r>
      <w:r w:rsidRPr="007233D0">
        <w:rPr>
          <w:sz w:val="20"/>
        </w:rPr>
        <w:fldChar w:fldCharType="separate"/>
      </w:r>
      <w:r w:rsidRPr="007233D0">
        <w:rPr>
          <w:i/>
          <w:sz w:val="20"/>
        </w:rPr>
        <w:t xml:space="preserve">Glass v United Kingdom </w:t>
      </w:r>
      <w:r w:rsidRPr="007233D0">
        <w:rPr>
          <w:sz w:val="20"/>
        </w:rPr>
        <w:t xml:space="preserve">[2004] 1 FCR 553; Application no 61827/00 (ECtHR (Fourth Section)); </w:t>
      </w:r>
      <w:r w:rsidRPr="007233D0">
        <w:rPr>
          <w:i/>
          <w:sz w:val="20"/>
        </w:rPr>
        <w:t>R (</w:t>
      </w:r>
      <w:proofErr w:type="spellStart"/>
      <w:r w:rsidRPr="007233D0">
        <w:rPr>
          <w:i/>
          <w:sz w:val="20"/>
        </w:rPr>
        <w:t>oao</w:t>
      </w:r>
      <w:proofErr w:type="spellEnd"/>
      <w:r w:rsidRPr="007233D0">
        <w:rPr>
          <w:i/>
          <w:sz w:val="20"/>
        </w:rPr>
        <w:t xml:space="preserve"> Tracey) v Cambridge University Hospitals NHS Foundation Trust &amp; </w:t>
      </w:r>
      <w:proofErr w:type="spellStart"/>
      <w:r w:rsidRPr="007233D0">
        <w:rPr>
          <w:i/>
          <w:sz w:val="20"/>
        </w:rPr>
        <w:t>Ors</w:t>
      </w:r>
      <w:proofErr w:type="spellEnd"/>
      <w:r w:rsidRPr="007233D0">
        <w:rPr>
          <w:i/>
          <w:sz w:val="20"/>
        </w:rPr>
        <w:t xml:space="preserve"> </w:t>
      </w:r>
      <w:r w:rsidRPr="007233D0">
        <w:rPr>
          <w:sz w:val="20"/>
        </w:rPr>
        <w:t xml:space="preserve">[2014] EWCA </w:t>
      </w:r>
      <w:proofErr w:type="spellStart"/>
      <w:r w:rsidRPr="007233D0">
        <w:rPr>
          <w:sz w:val="20"/>
        </w:rPr>
        <w:t>Civ</w:t>
      </w:r>
      <w:proofErr w:type="spellEnd"/>
      <w:r w:rsidRPr="007233D0">
        <w:rPr>
          <w:sz w:val="20"/>
        </w:rPr>
        <w:t xml:space="preserve"> 822</w:t>
      </w:r>
      <w:r w:rsidRPr="007233D0">
        <w:rPr>
          <w:sz w:val="20"/>
        </w:rPr>
        <w:fldChar w:fldCharType="end"/>
      </w:r>
      <w:r w:rsidRPr="007233D0">
        <w:rPr>
          <w:sz w:val="20"/>
        </w:rPr>
        <w:t xml:space="preserve">; </w:t>
      </w:r>
      <w:r w:rsidRPr="007233D0">
        <w:rPr>
          <w:sz w:val="20"/>
        </w:rPr>
        <w:fldChar w:fldCharType="begin"/>
      </w:r>
      <w:r w:rsidRPr="007233D0">
        <w:rPr>
          <w:sz w:val="20"/>
        </w:rPr>
        <w:instrText xml:space="preserve"> ADDIN EN.CITE &lt;EndNote&gt;&lt;Cite ExcludeAuth="1"&gt;&lt;Year&gt;2015&lt;/Year&gt;&lt;RecNum&gt;2404&lt;/RecNum&gt;&lt;DisplayText&gt;&lt;style face="italic"&gt;Winspear v City Hospitals Sunderland NHS Foundation Trust &lt;/style&gt;[2015] EWHC 3250 (QB)&lt;/DisplayText&gt;&lt;record&gt;&lt;rec-number&gt;2404&lt;/rec-number&gt;&lt;foreign-keys&gt;&lt;key app="EN" db-id="29e2pr0ebtzaxkedz5b5aefxftsede200wps" timestamp="1485244955"&gt;2404&lt;/key&gt;&lt;/foreign-keys&gt;&lt;ref-type name="Case (inc all UK, ECJ and ECtHR cases)"&gt;7&lt;/ref-type&gt;&lt;contributors&gt;&lt;/contributors&gt;&lt;titles&gt;&lt;title&gt;Winspear v City Hospitals Sunderland NHS Foundation Trust&lt;/title&gt;&lt;secondary-title&gt;[2015] EWHC 3250&lt;/secondary-title&gt;&lt;/titles&gt;&lt;dates&gt;&lt;year&gt;2015&lt;/year&gt;&lt;/dates&gt;&lt;publisher&gt;QB&lt;/publisher&gt;&lt;urls&gt;&lt;/urls&gt;&lt;/record&gt;&lt;/Cite&gt;&lt;/EndNote&gt;</w:instrText>
      </w:r>
      <w:r w:rsidRPr="007233D0">
        <w:rPr>
          <w:sz w:val="20"/>
        </w:rPr>
        <w:fldChar w:fldCharType="separate"/>
      </w:r>
      <w:r w:rsidRPr="007233D0">
        <w:rPr>
          <w:i/>
          <w:noProof/>
          <w:sz w:val="20"/>
        </w:rPr>
        <w:t xml:space="preserve">Winspear v City Hospitals Sunderland NHS Foundation Trust </w:t>
      </w:r>
      <w:r w:rsidRPr="007233D0">
        <w:rPr>
          <w:noProof/>
          <w:sz w:val="20"/>
        </w:rPr>
        <w:t>[2015] EWHC 3250 (QB)</w:t>
      </w:r>
      <w:r w:rsidRPr="007233D0">
        <w:rPr>
          <w:sz w:val="20"/>
        </w:rPr>
        <w:fldChar w:fldCharType="end"/>
      </w:r>
      <w:r w:rsidRPr="007233D0">
        <w:rPr>
          <w:sz w:val="20"/>
        </w:rPr>
        <w:t>.</w:t>
      </w:r>
    </w:p>
  </w:footnote>
  <w:footnote w:id="9">
    <w:p w14:paraId="467EF673" w14:textId="583A4840" w:rsidR="002D131A" w:rsidRPr="007233D0" w:rsidRDefault="002D131A">
      <w:pPr>
        <w:pStyle w:val="FootnoteText"/>
        <w:rPr>
          <w:sz w:val="20"/>
        </w:rPr>
      </w:pPr>
      <w:r w:rsidRPr="007233D0">
        <w:rPr>
          <w:rStyle w:val="FootnoteReference"/>
          <w:sz w:val="20"/>
        </w:rPr>
        <w:footnoteRef/>
      </w:r>
      <w:r w:rsidRPr="007233D0">
        <w:rPr>
          <w:sz w:val="20"/>
        </w:rPr>
        <w:t xml:space="preserve"> See </w:t>
      </w:r>
      <w:r w:rsidRPr="007233D0">
        <w:rPr>
          <w:sz w:val="20"/>
        </w:rPr>
        <w:fldChar w:fldCharType="begin"/>
      </w:r>
      <w:r w:rsidRPr="007233D0">
        <w:rPr>
          <w:sz w:val="20"/>
        </w:rPr>
        <w:instrText xml:space="preserve"> ADDIN EN.CITE &lt;EndNote&gt;&lt;Cite ExcludeAuth="1"&gt;&lt;Year&gt;2000&lt;/Year&gt;&lt;RecNum&gt;1097&lt;/RecNum&gt;&lt;DisplayText&gt;&lt;style face="italic"&gt;Sanles v Spain &lt;/style&gt;48335/99 (Unreported, 26 October 2000) (ECtHR)&lt;/DisplayText&gt;&lt;record&gt;&lt;rec-number&gt;1097&lt;/rec-number&gt;&lt;foreign-keys&gt;&lt;key app="EN" db-id="29e2pr0ebtzaxkedz5b5aefxftsede200wps" timestamp="1469956992"&gt;1097&lt;/key&gt;&lt;/foreign-keys&gt;&lt;ref-type name="Case (inc all UK, ECJ and ECtHR cases)"&gt;7&lt;/ref-type&gt;&lt;contributors&gt;&lt;/contributors&gt;&lt;titles&gt;&lt;title&gt;Sanles v Spain&lt;/title&gt;&lt;secondary-title&gt;48335/99 (Unreported, 26 October 2000)&lt;/secondary-title&gt;&lt;/titles&gt;&lt;dates&gt;&lt;year&gt;2000&lt;/year&gt;&lt;/dates&gt;&lt;publisher&gt;ECtHR&lt;/publisher&gt;&lt;urls&gt;&lt;related-urls&gt;&lt;url&gt;http://cmiskp.echr.coe.int/tkp197/view.asp?action=html&amp;amp;documentId=670438&amp;amp;portal=hbkm&amp;amp;source=externalbydocnumber&amp;amp;table=F69A27FD8FB86142BF01C1166DEA398649&lt;/url&gt;&lt;/related-urls&gt;&lt;/urls&gt;&lt;access-date&gt;2015/12/12&lt;/access-date&gt;&lt;/record&gt;&lt;/Cite&gt;&lt;/EndNote&gt;</w:instrText>
      </w:r>
      <w:r w:rsidRPr="007233D0">
        <w:rPr>
          <w:sz w:val="20"/>
        </w:rPr>
        <w:fldChar w:fldCharType="separate"/>
      </w:r>
      <w:proofErr w:type="spellStart"/>
      <w:r w:rsidRPr="007233D0">
        <w:rPr>
          <w:i/>
          <w:sz w:val="20"/>
        </w:rPr>
        <w:t>Sanles</w:t>
      </w:r>
      <w:proofErr w:type="spellEnd"/>
      <w:r w:rsidRPr="007233D0">
        <w:rPr>
          <w:i/>
          <w:sz w:val="20"/>
        </w:rPr>
        <w:t xml:space="preserve"> v Spain </w:t>
      </w:r>
      <w:r w:rsidRPr="007233D0">
        <w:rPr>
          <w:sz w:val="20"/>
        </w:rPr>
        <w:t>48335/99 (Unreported, 26 October 2000) (ECtHR)</w:t>
      </w:r>
      <w:r w:rsidRPr="007233D0">
        <w:rPr>
          <w:sz w:val="20"/>
        </w:rPr>
        <w:fldChar w:fldCharType="end"/>
      </w:r>
      <w:r w:rsidRPr="007233D0">
        <w:rPr>
          <w:sz w:val="20"/>
        </w:rPr>
        <w:t xml:space="preserve">; </w:t>
      </w:r>
      <w:r w:rsidRPr="007233D0">
        <w:rPr>
          <w:i/>
          <w:sz w:val="20"/>
        </w:rPr>
        <w:t>Pretty</w:t>
      </w:r>
      <w:r w:rsidRPr="007233D0">
        <w:rPr>
          <w:sz w:val="20"/>
        </w:rPr>
        <w:t xml:space="preserve"> (n </w:t>
      </w:r>
      <w:r w:rsidRPr="007233D0">
        <w:rPr>
          <w:sz w:val="20"/>
        </w:rPr>
        <w:fldChar w:fldCharType="begin"/>
      </w:r>
      <w:r w:rsidRPr="007233D0">
        <w:rPr>
          <w:sz w:val="20"/>
        </w:rPr>
        <w:instrText xml:space="preserve"> NOTEREF _Ref497760057 \h  \* MERGEFORMAT </w:instrText>
      </w:r>
      <w:r w:rsidRPr="007233D0">
        <w:rPr>
          <w:sz w:val="20"/>
        </w:rPr>
      </w:r>
      <w:r w:rsidRPr="007233D0">
        <w:rPr>
          <w:sz w:val="20"/>
        </w:rPr>
        <w:fldChar w:fldCharType="separate"/>
      </w:r>
      <w:r>
        <w:rPr>
          <w:sz w:val="20"/>
        </w:rPr>
        <w:t>6</w:t>
      </w:r>
      <w:r w:rsidRPr="007233D0">
        <w:rPr>
          <w:sz w:val="20"/>
        </w:rPr>
        <w:fldChar w:fldCharType="end"/>
      </w:r>
      <w:r w:rsidRPr="007233D0">
        <w:rPr>
          <w:sz w:val="20"/>
        </w:rPr>
        <w:t xml:space="preserve">); </w:t>
      </w:r>
      <w:r w:rsidRPr="007233D0">
        <w:rPr>
          <w:i/>
          <w:sz w:val="20"/>
        </w:rPr>
        <w:t>Haas</w:t>
      </w:r>
      <w:r w:rsidRPr="007233D0">
        <w:rPr>
          <w:sz w:val="20"/>
        </w:rPr>
        <w:t xml:space="preserve"> (n </w:t>
      </w:r>
      <w:r w:rsidRPr="007233D0">
        <w:rPr>
          <w:sz w:val="20"/>
        </w:rPr>
        <w:fldChar w:fldCharType="begin"/>
      </w:r>
      <w:r w:rsidRPr="007233D0">
        <w:rPr>
          <w:sz w:val="20"/>
        </w:rPr>
        <w:instrText xml:space="preserve"> NOTEREF _Ref497760067 \h  \* MERGEFORMAT </w:instrText>
      </w:r>
      <w:r w:rsidRPr="007233D0">
        <w:rPr>
          <w:sz w:val="20"/>
        </w:rPr>
      </w:r>
      <w:r w:rsidRPr="007233D0">
        <w:rPr>
          <w:sz w:val="20"/>
        </w:rPr>
        <w:fldChar w:fldCharType="separate"/>
      </w:r>
      <w:r>
        <w:rPr>
          <w:sz w:val="20"/>
        </w:rPr>
        <w:t>7</w:t>
      </w:r>
      <w:r w:rsidRPr="007233D0">
        <w:rPr>
          <w:sz w:val="20"/>
        </w:rPr>
        <w:fldChar w:fldCharType="end"/>
      </w:r>
      <w:r w:rsidRPr="007233D0">
        <w:rPr>
          <w:sz w:val="20"/>
        </w:rPr>
        <w:t xml:space="preserve">); </w:t>
      </w:r>
      <w:r w:rsidRPr="007233D0">
        <w:rPr>
          <w:sz w:val="20"/>
        </w:rPr>
        <w:fldChar w:fldCharType="begin">
          <w:fldData xml:space="preserve">PEVuZE5vdGU+PENpdGUgRXhjbHVkZUF1dGg9IjEiPjxZZWFyPjIwMTM8L1llYXI+PFJlY051bT4x
MTczPC9SZWNOdW0+PERpc3BsYXlUZXh0PjxzdHlsZSBmYWNlPSJpdGFsaWMiPktvY2ggdiBHZXJt
YW55IDwvc3R5bGU+KDIwMTMpIDU2IEVIUlIgNiAoRUN0SFIpOyA8c3R5bGUgZmFjZT0iaXRhbGlj
Ij5Hcm9zcyB2IFN3aXR6ZXJsYW5kIDwvc3R5bGU+KDIwMTQpIDU4IEVIUlIgNyAoRUN0SFIpOyA8
c3R5bGUgZmFjZT0iaXRhbGljIj5Hcm9zcyB2IFN3aXR6ZXJsYW5kIDwvc3R5bGU+KDIwMTUpIDYw
IEVIUlIgMTggKEVDdEhSKTsgPHN0eWxlIGZhY2U9Iml0YWxpYyI+Tmlja2luc29uIHYgVW5pdGVk
IEtpbmdkb20gKEFkbWlzc2liaWxpdHkpIDwvc3R5bGU+KDIwMTUpIDYxIEVIUlIgU0U3IChFQ3RI
Uik8L0Rpc3BsYXlUZXh0PjxyZWNvcmQ+PHJlYy1udW1iZXI+MTE3MzwvcmVjLW51bWJlcj48Zm9y
ZWlnbi1rZXlzPjxrZXkgYXBwPSJFTiIgZGItaWQ9IjI5ZTJwcjBlYnR6YXhrZWR6NWI1YWVmeGZ0
c2VkZTIwMHdwcyIgdGltZXN0YW1wPSIxNDY5OTU2OTk0Ij4xMTczPC9rZXk+PC9mb3JlaWduLWtl
eXM+PHJlZi10eXBlIG5hbWU9IkNhc2UgKGluYyBhbGwgVUssIEVDSiBhbmQgRUN0SFIgY2FzZXMp
Ij43PC9yZWYtdHlwZT48Y29udHJpYnV0b3JzPjwvY29udHJpYnV0b3JzPjx0aXRsZXM+PHRpdGxl
PktvY2ggdiBHZXJtYW55PC90aXRsZT48c2Vjb25kYXJ5LXRpdGxlPigyMDEzKSA1NiBFSFJSIDY8
L3NlY29uZGFyeS10aXRsZT48L3RpdGxlcz48ZGF0ZXM+PHllYXI+MjAxMzwveWVhcj48L2RhdGVz
PjxwdWJsaXNoZXI+RUN0SFI8L3B1Ymxpc2hlcj48dXJscz48L3VybHM+PC9yZWNvcmQ+PC9DaXRl
PjxDaXRlIEV4Y2x1ZGVBdXRoPSIxIj48WWVhcj4yMDE0PC9ZZWFyPjxSZWNOdW0+MTE3NzwvUmVj
TnVtPjxyZWNvcmQ+PHJlYy1udW1iZXI+MTE3NzwvcmVjLW51bWJlcj48Zm9yZWlnbi1rZXlzPjxr
ZXkgYXBwPSJFTiIgZGItaWQ9IjI5ZTJwcjBlYnR6YXhrZWR6NWI1YWVmeGZ0c2VkZTIwMHdwcyIg
dGltZXN0YW1wPSIxNDY5OTU2OTk0Ij4xMTc3PC9rZXk+PC9mb3JlaWduLWtleXM+PHJlZi10eXBl
IG5hbWU9IkNhc2UgKGluYyBhbGwgVUssIEVDSiBhbmQgRUN0SFIgY2FzZXMpIj43PC9yZWYtdHlw
ZT48Y29udHJpYnV0b3JzPjwvY29udHJpYnV0b3JzPjx0aXRsZXM+PHRpdGxlPkdyb3NzIHYgU3dp
dHplcmxhbmQ8L3RpdGxlPjxzZWNvbmRhcnktdGl0bGU+KDIwMTQpIDU4IEVIUlIgNzwvc2Vjb25k
YXJ5LXRpdGxlPjwvdGl0bGVzPjxkYXRlcz48eWVhcj4yMDE0PC95ZWFyPjwvZGF0ZXM+PHB1Ymxp
c2hlcj5FQ3RIUjwvcHVibGlzaGVyPjx1cmxzPjwvdXJscz48L3JlY29yZD48L0NpdGU+PENpdGUg
RXhjbHVkZUF1dGg9IjEiPjxZZWFyPjIwMTU8L1llYXI+PFJlY051bT4xMTg3PC9SZWNOdW0+PHJl
Y29yZD48cmVjLW51bWJlcj4xMTg3PC9yZWMtbnVtYmVyPjxmb3JlaWduLWtleXM+PGtleSBhcHA9
IkVOIiBkYi1pZD0iMjllMnByMGVidHpheGtlZHo1YjVhZWZ4ZnRzZWRlMjAwd3BzIiB0aW1lc3Rh
bXA9IjE0Njk5NTY5OTUiPjExODc8L2tleT48L2ZvcmVpZ24ta2V5cz48cmVmLXR5cGUgbmFtZT0i
Q2FzZSAoaW5jIGFsbCBVSywgRUNKIGFuZCBFQ3RIUiBjYXNlcykiPjc8L3JlZi10eXBlPjxjb250
cmlidXRvcnM+PC9jb250cmlidXRvcnM+PHRpdGxlcz48dGl0bGU+R3Jvc3MgdiBTd2l0emVybGFu
ZDwvdGl0bGU+PHNlY29uZGFyeS10aXRsZT4oMjAxNSkgNjAgRUhSUiAxODwvc2Vjb25kYXJ5LXRp
dGxlPjwvdGl0bGVzPjxkYXRlcz48eWVhcj4yMDE1PC95ZWFyPjwvZGF0ZXM+PHB1Ymxpc2hlcj5F
Q3RIUjwvcHVibGlzaGVyPjx1cmxzPjwvdXJscz48L3JlY29yZD48L0NpdGU+PENpdGUgRXhjbHVk
ZUF1dGg9IjEiPjxZZWFyPjIwMTU8L1llYXI+PFJlY051bT4yMjAwPC9SZWNOdW0+PHJlY29yZD48
cmVjLW51bWJlcj4yMjAwPC9yZWMtbnVtYmVyPjxmb3JlaWduLWtleXM+PGtleSBhcHA9IkVOIiBk
Yi1pZD0iMjllMnByMGVidHpheGtlZHo1YjVhZWZ4ZnRzZWRlMjAwd3BzIiB0aW1lc3RhbXA9IjE0
NzEyNjIxNTIiPjIyMDA8L2tleT48L2ZvcmVpZ24ta2V5cz48cmVmLXR5cGUgbmFtZT0iQ2FzZSAo
aW5jIGFsbCBVSywgRUNKIGFuZCBFQ3RIUiBjYXNlcykiPjc8L3JlZi10eXBlPjxjb250cmlidXRv
cnM+PC9jb250cmlidXRvcnM+PHRpdGxlcz48dGl0bGU+Tmlja2luc29uIHYgVW5pdGVkIEtpbmdk
b20gKEFkbWlzc2liaWxpdHkpPC90aXRsZT48c2Vjb25kYXJ5LXRpdGxlPigyMDE1KSA2MSBFSFJS
IFNFNzwvc2Vjb25kYXJ5LXRpdGxlPjwvdGl0bGVzPjxkYXRlcz48eWVhcj4yMDE1PC95ZWFyPjwv
ZGF0ZXM+PHB1Ymxpc2hlcj5FQ3RIUjwvcHVibGlzaGVyPjx1cmxzPjwvdXJscz48L3JlY29yZD48
L0NpdGU+PC9FbmROb3RlPn==
</w:fldData>
        </w:fldChar>
      </w:r>
      <w:r w:rsidRPr="007233D0">
        <w:rPr>
          <w:sz w:val="20"/>
        </w:rPr>
        <w:instrText xml:space="preserve"> ADDIN EN.CITE </w:instrText>
      </w:r>
      <w:r w:rsidRPr="007233D0">
        <w:rPr>
          <w:sz w:val="20"/>
        </w:rPr>
        <w:fldChar w:fldCharType="begin">
          <w:fldData xml:space="preserve">PEVuZE5vdGU+PENpdGUgRXhjbHVkZUF1dGg9IjEiPjxZZWFyPjIwMTM8L1llYXI+PFJlY051bT4x
MTczPC9SZWNOdW0+PERpc3BsYXlUZXh0PjxzdHlsZSBmYWNlPSJpdGFsaWMiPktvY2ggdiBHZXJt
YW55IDwvc3R5bGU+KDIwMTMpIDU2IEVIUlIgNiAoRUN0SFIpOyA8c3R5bGUgZmFjZT0iaXRhbGlj
Ij5Hcm9zcyB2IFN3aXR6ZXJsYW5kIDwvc3R5bGU+KDIwMTQpIDU4IEVIUlIgNyAoRUN0SFIpOyA8
c3R5bGUgZmFjZT0iaXRhbGljIj5Hcm9zcyB2IFN3aXR6ZXJsYW5kIDwvc3R5bGU+KDIwMTUpIDYw
IEVIUlIgMTggKEVDdEhSKTsgPHN0eWxlIGZhY2U9Iml0YWxpYyI+Tmlja2luc29uIHYgVW5pdGVk
IEtpbmdkb20gKEFkbWlzc2liaWxpdHkpIDwvc3R5bGU+KDIwMTUpIDYxIEVIUlIgU0U3IChFQ3RI
Uik8L0Rpc3BsYXlUZXh0PjxyZWNvcmQ+PHJlYy1udW1iZXI+MTE3MzwvcmVjLW51bWJlcj48Zm9y
ZWlnbi1rZXlzPjxrZXkgYXBwPSJFTiIgZGItaWQ9IjI5ZTJwcjBlYnR6YXhrZWR6NWI1YWVmeGZ0
c2VkZTIwMHdwcyIgdGltZXN0YW1wPSIxNDY5OTU2OTk0Ij4xMTczPC9rZXk+PC9mb3JlaWduLWtl
eXM+PHJlZi10eXBlIG5hbWU9IkNhc2UgKGluYyBhbGwgVUssIEVDSiBhbmQgRUN0SFIgY2FzZXMp
Ij43PC9yZWYtdHlwZT48Y29udHJpYnV0b3JzPjwvY29udHJpYnV0b3JzPjx0aXRsZXM+PHRpdGxl
PktvY2ggdiBHZXJtYW55PC90aXRsZT48c2Vjb25kYXJ5LXRpdGxlPigyMDEzKSA1NiBFSFJSIDY8
L3NlY29uZGFyeS10aXRsZT48L3RpdGxlcz48ZGF0ZXM+PHllYXI+MjAxMzwveWVhcj48L2RhdGVz
PjxwdWJsaXNoZXI+RUN0SFI8L3B1Ymxpc2hlcj48dXJscz48L3VybHM+PC9yZWNvcmQ+PC9DaXRl
PjxDaXRlIEV4Y2x1ZGVBdXRoPSIxIj48WWVhcj4yMDE0PC9ZZWFyPjxSZWNOdW0+MTE3NzwvUmVj
TnVtPjxyZWNvcmQ+PHJlYy1udW1iZXI+MTE3NzwvcmVjLW51bWJlcj48Zm9yZWlnbi1rZXlzPjxr
ZXkgYXBwPSJFTiIgZGItaWQ9IjI5ZTJwcjBlYnR6YXhrZWR6NWI1YWVmeGZ0c2VkZTIwMHdwcyIg
dGltZXN0YW1wPSIxNDY5OTU2OTk0Ij4xMTc3PC9rZXk+PC9mb3JlaWduLWtleXM+PHJlZi10eXBl
IG5hbWU9IkNhc2UgKGluYyBhbGwgVUssIEVDSiBhbmQgRUN0SFIgY2FzZXMpIj43PC9yZWYtdHlw
ZT48Y29udHJpYnV0b3JzPjwvY29udHJpYnV0b3JzPjx0aXRsZXM+PHRpdGxlPkdyb3NzIHYgU3dp
dHplcmxhbmQ8L3RpdGxlPjxzZWNvbmRhcnktdGl0bGU+KDIwMTQpIDU4IEVIUlIgNzwvc2Vjb25k
YXJ5LXRpdGxlPjwvdGl0bGVzPjxkYXRlcz48eWVhcj4yMDE0PC95ZWFyPjwvZGF0ZXM+PHB1Ymxp
c2hlcj5FQ3RIUjwvcHVibGlzaGVyPjx1cmxzPjwvdXJscz48L3JlY29yZD48L0NpdGU+PENpdGUg
RXhjbHVkZUF1dGg9IjEiPjxZZWFyPjIwMTU8L1llYXI+PFJlY051bT4xMTg3PC9SZWNOdW0+PHJl
Y29yZD48cmVjLW51bWJlcj4xMTg3PC9yZWMtbnVtYmVyPjxmb3JlaWduLWtleXM+PGtleSBhcHA9
IkVOIiBkYi1pZD0iMjllMnByMGVidHpheGtlZHo1YjVhZWZ4ZnRzZWRlMjAwd3BzIiB0aW1lc3Rh
bXA9IjE0Njk5NTY5OTUiPjExODc8L2tleT48L2ZvcmVpZ24ta2V5cz48cmVmLXR5cGUgbmFtZT0i
Q2FzZSAoaW5jIGFsbCBVSywgRUNKIGFuZCBFQ3RIUiBjYXNlcykiPjc8L3JlZi10eXBlPjxjb250
cmlidXRvcnM+PC9jb250cmlidXRvcnM+PHRpdGxlcz48dGl0bGU+R3Jvc3MgdiBTd2l0emVybGFu
ZDwvdGl0bGU+PHNlY29uZGFyeS10aXRsZT4oMjAxNSkgNjAgRUhSUiAxODwvc2Vjb25kYXJ5LXRp
dGxlPjwvdGl0bGVzPjxkYXRlcz48eWVhcj4yMDE1PC95ZWFyPjwvZGF0ZXM+PHB1Ymxpc2hlcj5F
Q3RIUjwvcHVibGlzaGVyPjx1cmxzPjwvdXJscz48L3JlY29yZD48L0NpdGU+PENpdGUgRXhjbHVk
ZUF1dGg9IjEiPjxZZWFyPjIwMTU8L1llYXI+PFJlY051bT4yMjAwPC9SZWNOdW0+PHJlY29yZD48
cmVjLW51bWJlcj4yMjAwPC9yZWMtbnVtYmVyPjxmb3JlaWduLWtleXM+PGtleSBhcHA9IkVOIiBk
Yi1pZD0iMjllMnByMGVidHpheGtlZHo1YjVhZWZ4ZnRzZWRlMjAwd3BzIiB0aW1lc3RhbXA9IjE0
NzEyNjIxNTIiPjIyMDA8L2tleT48L2ZvcmVpZ24ta2V5cz48cmVmLXR5cGUgbmFtZT0iQ2FzZSAo
aW5jIGFsbCBVSywgRUNKIGFuZCBFQ3RIUiBjYXNlcykiPjc8L3JlZi10eXBlPjxjb250cmlidXRv
cnM+PC9jb250cmlidXRvcnM+PHRpdGxlcz48dGl0bGU+Tmlja2luc29uIHYgVW5pdGVkIEtpbmdk
b20gKEFkbWlzc2liaWxpdHkpPC90aXRsZT48c2Vjb25kYXJ5LXRpdGxlPigyMDE1KSA2MSBFSFJS
IFNFNzwvc2Vjb25kYXJ5LXRpdGxlPjwvdGl0bGVzPjxkYXRlcz48eWVhcj4yMDE1PC95ZWFyPjwv
ZGF0ZXM+PHB1Ymxpc2hlcj5FQ3RIUjwvcHVibGlzaGVyPjx1cmxzPjwvdXJscz48L3JlY29yZD48
L0NpdGU+PC9FbmROb3RlPn==
</w:fldData>
        </w:fldChar>
      </w:r>
      <w:r w:rsidRPr="007233D0">
        <w:rPr>
          <w:sz w:val="20"/>
        </w:rPr>
        <w:instrText xml:space="preserve"> ADDIN EN.CITE.DATA </w:instrText>
      </w:r>
      <w:r w:rsidRPr="007233D0">
        <w:rPr>
          <w:sz w:val="20"/>
        </w:rPr>
      </w:r>
      <w:r w:rsidRPr="007233D0">
        <w:rPr>
          <w:sz w:val="20"/>
        </w:rPr>
        <w:fldChar w:fldCharType="end"/>
      </w:r>
      <w:r w:rsidRPr="007233D0">
        <w:rPr>
          <w:sz w:val="20"/>
        </w:rPr>
      </w:r>
      <w:r w:rsidRPr="007233D0">
        <w:rPr>
          <w:sz w:val="20"/>
        </w:rPr>
        <w:fldChar w:fldCharType="separate"/>
      </w:r>
      <w:r w:rsidRPr="007233D0">
        <w:rPr>
          <w:i/>
          <w:noProof/>
          <w:sz w:val="20"/>
        </w:rPr>
        <w:t xml:space="preserve">Koch v Germany </w:t>
      </w:r>
      <w:r w:rsidRPr="007233D0">
        <w:rPr>
          <w:noProof/>
          <w:sz w:val="20"/>
        </w:rPr>
        <w:t xml:space="preserve">(2013) 56 EHRR 6 (ECtHR); </w:t>
      </w:r>
      <w:r w:rsidRPr="007233D0">
        <w:rPr>
          <w:i/>
          <w:noProof/>
          <w:sz w:val="20"/>
        </w:rPr>
        <w:t xml:space="preserve">Gross v Switzerland </w:t>
      </w:r>
      <w:r w:rsidRPr="007233D0">
        <w:rPr>
          <w:noProof/>
          <w:sz w:val="20"/>
        </w:rPr>
        <w:t xml:space="preserve">(2014) 58 EHRR 7 (ECtHR); </w:t>
      </w:r>
      <w:r w:rsidRPr="007233D0">
        <w:rPr>
          <w:i/>
          <w:noProof/>
          <w:sz w:val="20"/>
        </w:rPr>
        <w:t xml:space="preserve">Gross v Switzerland </w:t>
      </w:r>
      <w:r w:rsidRPr="007233D0">
        <w:rPr>
          <w:noProof/>
          <w:sz w:val="20"/>
        </w:rPr>
        <w:t xml:space="preserve">(2015) 60 EHRR 18 (ECtHR); </w:t>
      </w:r>
      <w:r w:rsidRPr="007233D0">
        <w:rPr>
          <w:i/>
          <w:noProof/>
          <w:sz w:val="20"/>
        </w:rPr>
        <w:t xml:space="preserve">Nickinson v United Kingdom (Admissibility) </w:t>
      </w:r>
      <w:r w:rsidRPr="007233D0">
        <w:rPr>
          <w:noProof/>
          <w:sz w:val="20"/>
        </w:rPr>
        <w:t>(2015) 61 EHRR SE7 (ECtHR)</w:t>
      </w:r>
      <w:r w:rsidRPr="007233D0">
        <w:rPr>
          <w:sz w:val="20"/>
        </w:rPr>
        <w:fldChar w:fldCharType="end"/>
      </w:r>
      <w:r w:rsidRPr="007233D0">
        <w:rPr>
          <w:sz w:val="20"/>
        </w:rPr>
        <w:t>.</w:t>
      </w:r>
    </w:p>
  </w:footnote>
  <w:footnote w:id="10">
    <w:p w14:paraId="3479A2A1" w14:textId="753293DC" w:rsidR="002D131A" w:rsidRPr="007233D0" w:rsidRDefault="002D131A">
      <w:pPr>
        <w:pStyle w:val="FootnoteText"/>
        <w:rPr>
          <w:sz w:val="20"/>
        </w:rPr>
      </w:pPr>
      <w:r w:rsidRPr="007233D0">
        <w:rPr>
          <w:rStyle w:val="FootnoteReference"/>
          <w:sz w:val="20"/>
        </w:rPr>
        <w:footnoteRef/>
      </w:r>
      <w:r w:rsidRPr="007233D0">
        <w:rPr>
          <w:sz w:val="20"/>
        </w:rPr>
        <w:t xml:space="preserve"> eg </w:t>
      </w:r>
      <w:proofErr w:type="gramStart"/>
      <w:r w:rsidRPr="007233D0">
        <w:rPr>
          <w:sz w:val="20"/>
        </w:rPr>
        <w:t>In</w:t>
      </w:r>
      <w:proofErr w:type="gramEnd"/>
      <w:r w:rsidRPr="007233D0">
        <w:rPr>
          <w:sz w:val="20"/>
        </w:rPr>
        <w:t xml:space="preserve"> respect of assisted death, an individual might assert a right to non-interference against the State in respect of legislation that punishes (and thereby discourages) assistors, and a right to third party assistance to die.</w:t>
      </w:r>
    </w:p>
  </w:footnote>
  <w:footnote w:id="11">
    <w:p w14:paraId="368109B0" w14:textId="77777777" w:rsidR="002D131A" w:rsidRPr="007233D0" w:rsidRDefault="002D131A">
      <w:pPr>
        <w:pStyle w:val="FootnoteText"/>
        <w:rPr>
          <w:sz w:val="20"/>
        </w:rPr>
      </w:pPr>
      <w:r w:rsidRPr="007233D0">
        <w:rPr>
          <w:rStyle w:val="FootnoteReference"/>
          <w:sz w:val="20"/>
        </w:rPr>
        <w:footnoteRef/>
      </w:r>
      <w:r w:rsidRPr="007233D0">
        <w:rPr>
          <w:sz w:val="20"/>
        </w:rPr>
        <w:t xml:space="preserve"> eg </w:t>
      </w:r>
      <w:r w:rsidRPr="007233D0">
        <w:rPr>
          <w:sz w:val="20"/>
        </w:rPr>
        <w:fldChar w:fldCharType="begin"/>
      </w:r>
      <w:r w:rsidRPr="007233D0">
        <w:rPr>
          <w:sz w:val="20"/>
        </w:rPr>
        <w:instrText xml:space="preserve"> ADDIN EN.CITE &lt;EndNote&gt;&lt;Cite ExcludeAuth="1"&gt;&lt;Year&gt;1961&lt;/Year&gt;&lt;RecNum&gt;1458&lt;/RecNum&gt;&lt;Pages&gt;s 2(1)&lt;/Pages&gt;&lt;DisplayText&gt;Suicide Act 1961, s 2(1)&lt;/DisplayText&gt;&lt;record&gt;&lt;rec-number&gt;1458&lt;/rec-number&gt;&lt;foreign-keys&gt;&lt;key app="EN" db-id="29e2pr0ebtzaxkedz5b5aefxftsede200wps" timestamp="1469957003"&gt;1458&lt;/key&gt;&lt;/foreign-keys&gt;&lt;ref-type name="Statute, SI, EU leg, Treaties"&gt;31&lt;/ref-type&gt;&lt;contributors&gt;&lt;/contributors&gt;&lt;titles&gt;&lt;title&gt;Suicide Act 1961&lt;/title&gt;&lt;/titles&gt;&lt;dates&gt;&lt;year&gt;1961&lt;/year&gt;&lt;/dates&gt;&lt;urls&gt;&lt;/urls&gt;&lt;/record&gt;&lt;/Cite&gt;&lt;/EndNote&gt;</w:instrText>
      </w:r>
      <w:r w:rsidRPr="007233D0">
        <w:rPr>
          <w:sz w:val="20"/>
        </w:rPr>
        <w:fldChar w:fldCharType="separate"/>
      </w:r>
      <w:r w:rsidRPr="007233D0">
        <w:rPr>
          <w:sz w:val="20"/>
        </w:rPr>
        <w:t>Suicide Act 1961, s 2(1)</w:t>
      </w:r>
      <w:r w:rsidRPr="007233D0">
        <w:rPr>
          <w:sz w:val="20"/>
        </w:rPr>
        <w:fldChar w:fldCharType="end"/>
      </w:r>
      <w:r w:rsidRPr="007233D0">
        <w:rPr>
          <w:sz w:val="20"/>
        </w:rPr>
        <w:t>.</w:t>
      </w:r>
    </w:p>
  </w:footnote>
  <w:footnote w:id="12">
    <w:p w14:paraId="0D758FDD" w14:textId="479336B0" w:rsidR="002D131A" w:rsidRPr="007233D0" w:rsidRDefault="002D131A">
      <w:pPr>
        <w:pStyle w:val="FootnoteText"/>
        <w:rPr>
          <w:sz w:val="20"/>
        </w:rPr>
      </w:pPr>
      <w:r w:rsidRPr="007233D0">
        <w:rPr>
          <w:rStyle w:val="FootnoteReference"/>
          <w:sz w:val="20"/>
        </w:rPr>
        <w:footnoteRef/>
      </w:r>
      <w:r w:rsidRPr="007233D0">
        <w:rPr>
          <w:sz w:val="20"/>
        </w:rPr>
        <w:t xml:space="preserve"> eg </w:t>
      </w:r>
      <w:proofErr w:type="gramStart"/>
      <w:r w:rsidRPr="007233D0">
        <w:rPr>
          <w:sz w:val="20"/>
        </w:rPr>
        <w:t>The</w:t>
      </w:r>
      <w:proofErr w:type="gramEnd"/>
      <w:r w:rsidRPr="007233D0">
        <w:rPr>
          <w:sz w:val="20"/>
        </w:rPr>
        <w:t xml:space="preserve"> exercise of </w:t>
      </w:r>
      <w:r w:rsidRPr="007233D0">
        <w:rPr>
          <w:i/>
          <w:sz w:val="20"/>
        </w:rPr>
        <w:t>right D</w:t>
      </w:r>
      <w:r w:rsidRPr="007233D0">
        <w:rPr>
          <w:sz w:val="20"/>
        </w:rPr>
        <w:t xml:space="preserve"> may be in tension with a general or specific right to conscientious objection afforded to health professionals; or individuals wishing to exercise </w:t>
      </w:r>
      <w:r w:rsidRPr="007233D0">
        <w:rPr>
          <w:i/>
          <w:sz w:val="20"/>
        </w:rPr>
        <w:t>right D</w:t>
      </w:r>
      <w:r w:rsidRPr="007233D0">
        <w:rPr>
          <w:sz w:val="20"/>
        </w:rPr>
        <w:t xml:space="preserve"> may require, as a matter of course, official ‘sanction’ from a court or other body.</w:t>
      </w:r>
    </w:p>
  </w:footnote>
  <w:footnote w:id="13">
    <w:p w14:paraId="5628025A" w14:textId="006771AB" w:rsidR="002D131A" w:rsidRPr="007233D0" w:rsidRDefault="002D131A">
      <w:pPr>
        <w:pStyle w:val="FootnoteText"/>
        <w:rPr>
          <w:sz w:val="20"/>
        </w:rPr>
      </w:pPr>
      <w:r w:rsidRPr="007233D0">
        <w:rPr>
          <w:rStyle w:val="FootnoteReference"/>
          <w:sz w:val="20"/>
        </w:rPr>
        <w:footnoteRef/>
      </w:r>
      <w:r w:rsidRPr="007233D0">
        <w:rPr>
          <w:sz w:val="20"/>
        </w:rPr>
        <w:t xml:space="preserve"> See </w:t>
      </w:r>
      <w:r w:rsidRPr="007233D0">
        <w:rPr>
          <w:sz w:val="20"/>
        </w:rPr>
        <w:fldChar w:fldCharType="begin"/>
      </w:r>
      <w:r w:rsidRPr="007233D0">
        <w:rPr>
          <w:sz w:val="20"/>
        </w:rPr>
        <w:instrText xml:space="preserve"> ADDIN EN.CITE &lt;EndNote&gt;&lt;Cite&gt;&lt;Author&gt;Wenar&lt;/Author&gt;&lt;Year&gt;2005&lt;/Year&gt;&lt;RecNum&gt;2198&lt;/RecNum&gt;&lt;DisplayText&gt;Leif Wenar, ‘The Nature of Rights’ (2005) 33(3) Phil Pub Affairs 223&lt;/DisplayText&gt;&lt;record&gt;&lt;rec-number&gt;2198&lt;/rec-number&gt;&lt;foreign-keys&gt;&lt;key app="EN" db-id="29e2pr0ebtzaxkedz5b5aefxftsede200wps" timestamp="1470920154"&gt;2198&lt;/key&gt;&lt;/foreign-keys&gt;&lt;ref-type name="Journal Article"&gt;17&lt;/ref-type&gt;&lt;contributors&gt;&lt;authors&gt;&lt;author&gt;Wenar, Leif&lt;/author&gt;&lt;/authors&gt;&lt;/contributors&gt;&lt;titles&gt;&lt;title&gt;The Nature of Rights&lt;/title&gt;&lt;secondary-title&gt;Philosophy and Public Affairs&lt;/secondary-title&gt;&lt;/titles&gt;&lt;periodical&gt;&lt;full-title&gt;Philosophy and Public Affairs&lt;/full-title&gt;&lt;abbr-1&gt;Phil. Pub. Affairs&lt;/abbr-1&gt;&lt;abbr-2&gt;Phil Pub Affairs&lt;/abbr-2&gt;&lt;/periodical&gt;&lt;pages&gt;223&lt;/pages&gt;&lt;volume&gt;33&lt;/volume&gt;&lt;number&gt;3&lt;/number&gt;&lt;dates&gt;&lt;year&gt;2005&lt;/year&gt;&lt;/dates&gt;&lt;pub-location&gt;2005&lt;/pub-location&gt;&lt;isbn&gt;1088-4963&lt;/isbn&gt;&lt;urls&gt;&lt;related-urls&gt;&lt;url&gt;http://dx.doi.org/10.1111/j.1088-4963.2005.00032.x&lt;/url&gt;&lt;/related-urls&gt;&lt;/urls&gt;&lt;electronic-resource-num&gt;10.1111/j.1088-4963.2005.00032.x&lt;/electronic-resource-num&gt;&lt;/record&gt;&lt;/Cite&gt;&lt;/EndNote&gt;</w:instrText>
      </w:r>
      <w:r w:rsidRPr="007233D0">
        <w:rPr>
          <w:sz w:val="20"/>
        </w:rPr>
        <w:fldChar w:fldCharType="separate"/>
      </w:r>
      <w:r w:rsidRPr="007233D0">
        <w:rPr>
          <w:noProof/>
          <w:sz w:val="20"/>
        </w:rPr>
        <w:t>Leif Wenar, ‘The Nature of Rights’ (2005) 33(3) Phil Pub Affairs 223</w:t>
      </w:r>
      <w:r w:rsidRPr="007233D0">
        <w:rPr>
          <w:sz w:val="20"/>
        </w:rPr>
        <w:fldChar w:fldCharType="end"/>
      </w:r>
      <w:r w:rsidRPr="007233D0">
        <w:rPr>
          <w:sz w:val="20"/>
        </w:rPr>
        <w:t>.</w:t>
      </w:r>
    </w:p>
  </w:footnote>
  <w:footnote w:id="14">
    <w:p w14:paraId="351E1EE3" w14:textId="77777777" w:rsidR="002D131A" w:rsidRPr="007233D0" w:rsidRDefault="002D131A" w:rsidP="00715464">
      <w:pPr>
        <w:pStyle w:val="FootnoteText"/>
        <w:rPr>
          <w:sz w:val="20"/>
        </w:rPr>
      </w:pPr>
      <w:r w:rsidRPr="007233D0">
        <w:rPr>
          <w:rStyle w:val="FootnoteReference"/>
          <w:sz w:val="20"/>
        </w:rPr>
        <w:footnoteRef/>
      </w:r>
      <w:r w:rsidRPr="007233D0">
        <w:rPr>
          <w:sz w:val="20"/>
        </w:rPr>
        <w:t xml:space="preserve"> The freedom/rights distinction is attributable to: </w:t>
      </w:r>
      <w:r w:rsidRPr="007233D0">
        <w:rPr>
          <w:sz w:val="20"/>
        </w:rPr>
        <w:fldChar w:fldCharType="begin"/>
      </w:r>
      <w:r w:rsidRPr="007233D0">
        <w:rPr>
          <w:sz w:val="20"/>
        </w:rPr>
        <w:instrText xml:space="preserve"> ADDIN EN.CITE &lt;EndNote&gt;&lt;Cite&gt;&lt;Author&gt;Letsas&lt;/Author&gt;&lt;Year&gt;2007&lt;/Year&gt;&lt;RecNum&gt;945&lt;/RecNum&gt;&lt;Pages&gt;84&lt;/Pages&gt;&lt;DisplayText&gt;George Letsas, &lt;style face="italic"&gt;A theory of interpretation of the European Convention on Human Rights&lt;/style&gt; (OUP 2007) 84&lt;/DisplayText&gt;&lt;record&gt;&lt;rec-number&gt;945&lt;/rec-number&gt;&lt;foreign-keys&gt;&lt;key app="EN" db-id="29e2pr0ebtzaxkedz5b5aefxftsede200wps" timestamp="1469956988"&gt;945&lt;/key&gt;&lt;/foreign-keys&gt;&lt;ref-type name="Book (all books with authors, including edited or translated books)"&gt;6&lt;/ref-type&gt;&lt;contributors&gt;&lt;authors&gt;&lt;author&gt;Letsas, George&lt;/author&gt;&lt;/authors&gt;&lt;/contributors&gt;&lt;titles&gt;&lt;title&gt;A theory of interpretation of the European Convention on Human Rights&lt;/title&gt;&lt;/titles&gt;&lt;keywords&gt;&lt;keyword&gt;Human rights Europe Interpretation and construction.&lt;/keyword&gt;&lt;/keywords&gt;&lt;dates&gt;&lt;year&gt;2007&lt;/year&gt;&lt;/dates&gt;&lt;pub-location&gt;Oxford&lt;/pub-location&gt;&lt;publisher&gt;OUP&lt;/publisher&gt;&lt;isbn&gt;9780199203437 (hbk.) : ¹60.00&amp;#xD;0199203431 (hbk.) : ¹60.00&lt;/isbn&gt;&lt;call-num&gt;341.48094 22&amp;#xD;British Library HMNTS YC.2012.a.1116&amp;#xD;British Library DSC m08/.12663&lt;/call-num&gt;&lt;urls&gt;&lt;/urls&gt;&lt;/record&gt;&lt;/Cite&gt;&lt;/EndNote&gt;</w:instrText>
      </w:r>
      <w:r w:rsidRPr="007233D0">
        <w:rPr>
          <w:sz w:val="20"/>
        </w:rPr>
        <w:fldChar w:fldCharType="separate"/>
      </w:r>
      <w:r w:rsidRPr="007233D0">
        <w:rPr>
          <w:sz w:val="20"/>
        </w:rPr>
        <w:t xml:space="preserve">George </w:t>
      </w:r>
      <w:proofErr w:type="spellStart"/>
      <w:r w:rsidRPr="007233D0">
        <w:rPr>
          <w:sz w:val="20"/>
        </w:rPr>
        <w:t>Letsas</w:t>
      </w:r>
      <w:proofErr w:type="spellEnd"/>
      <w:r w:rsidRPr="007233D0">
        <w:rPr>
          <w:sz w:val="20"/>
        </w:rPr>
        <w:t xml:space="preserve">, </w:t>
      </w:r>
      <w:r w:rsidRPr="007233D0">
        <w:rPr>
          <w:i/>
          <w:sz w:val="20"/>
        </w:rPr>
        <w:t>A theory of interpretation of the European Convention on Human Rights</w:t>
      </w:r>
      <w:r w:rsidRPr="007233D0">
        <w:rPr>
          <w:sz w:val="20"/>
        </w:rPr>
        <w:t xml:space="preserve"> (OUP 2007) 84</w:t>
      </w:r>
      <w:r w:rsidRPr="007233D0">
        <w:rPr>
          <w:sz w:val="20"/>
        </w:rPr>
        <w:fldChar w:fldCharType="end"/>
      </w:r>
      <w:r w:rsidRPr="007233D0">
        <w:rPr>
          <w:sz w:val="20"/>
        </w:rPr>
        <w:t>.</w:t>
      </w:r>
    </w:p>
  </w:footnote>
  <w:footnote w:id="15">
    <w:p w14:paraId="13DE4109" w14:textId="08473D61" w:rsidR="002D131A" w:rsidRPr="007233D0" w:rsidRDefault="002D131A">
      <w:pPr>
        <w:pStyle w:val="FootnoteText"/>
        <w:rPr>
          <w:sz w:val="20"/>
        </w:rPr>
      </w:pPr>
      <w:r w:rsidRPr="007233D0">
        <w:rPr>
          <w:rStyle w:val="FootnoteReference"/>
          <w:sz w:val="20"/>
        </w:rPr>
        <w:footnoteRef/>
      </w:r>
      <w:r w:rsidRPr="007233D0">
        <w:rPr>
          <w:sz w:val="20"/>
        </w:rPr>
        <w:t xml:space="preserve"> See </w:t>
      </w:r>
      <w:r w:rsidRPr="007233D0">
        <w:rPr>
          <w:sz w:val="20"/>
        </w:rPr>
        <w:fldChar w:fldCharType="begin"/>
      </w:r>
      <w:r w:rsidRPr="007233D0">
        <w:rPr>
          <w:sz w:val="20"/>
        </w:rPr>
        <w:instrText xml:space="preserve"> ADDIN EN.CITE &lt;EndNote&gt;&lt;Cite ExcludeAuth="1"&gt;&lt;Year&gt;2001&lt;/Year&gt;&lt;RecNum&gt;1103&lt;/RecNum&gt;&lt;DisplayText&gt;&lt;style face="italic"&gt;R (oao Pretty) v DPP &lt;/style&gt;[2001] UKHL 61&lt;/DisplayText&gt;&lt;record&gt;&lt;rec-number&gt;1103&lt;/rec-number&gt;&lt;foreign-keys&gt;&lt;key app="EN" db-id="29e2pr0ebtzaxkedz5b5aefxftsede200wps" timestamp="1469956992"&gt;1103&lt;/key&gt;&lt;/foreign-keys&gt;&lt;ref-type name="Case (inc all UK, ECJ and ECtHR cases)"&gt;7&lt;/ref-type&gt;&lt;contributors&gt;&lt;/contributors&gt;&lt;titles&gt;&lt;title&gt;R (oao Pretty) v DPP&lt;/title&gt;&lt;secondary-title&gt;[2001] UKHL 61&lt;/secondary-title&gt;&lt;short-title&gt;R (Pretty) v DPP (HL)&lt;/short-title&gt;&lt;/titles&gt;&lt;dates&gt;&lt;year&gt;2001&lt;/year&gt;&lt;/dates&gt;&lt;urls&gt;&lt;/urls&gt;&lt;/record&gt;&lt;/Cite&gt;&lt;/EndNote&gt;</w:instrText>
      </w:r>
      <w:r w:rsidRPr="007233D0">
        <w:rPr>
          <w:sz w:val="20"/>
        </w:rPr>
        <w:fldChar w:fldCharType="separate"/>
      </w:r>
      <w:r w:rsidRPr="007233D0">
        <w:rPr>
          <w:i/>
          <w:sz w:val="20"/>
        </w:rPr>
        <w:t>R (</w:t>
      </w:r>
      <w:proofErr w:type="spellStart"/>
      <w:r w:rsidRPr="007233D0">
        <w:rPr>
          <w:i/>
          <w:sz w:val="20"/>
        </w:rPr>
        <w:t>oao</w:t>
      </w:r>
      <w:proofErr w:type="spellEnd"/>
      <w:r w:rsidRPr="007233D0">
        <w:rPr>
          <w:i/>
          <w:sz w:val="20"/>
        </w:rPr>
        <w:t xml:space="preserve"> Pretty) v DPP </w:t>
      </w:r>
      <w:r w:rsidRPr="007233D0">
        <w:rPr>
          <w:sz w:val="20"/>
        </w:rPr>
        <w:t>[2001] UKHL 61</w:t>
      </w:r>
      <w:r w:rsidRPr="007233D0">
        <w:rPr>
          <w:sz w:val="20"/>
        </w:rPr>
        <w:fldChar w:fldCharType="end"/>
      </w:r>
      <w:r w:rsidRPr="007233D0">
        <w:rPr>
          <w:sz w:val="20"/>
        </w:rPr>
        <w:t>.</w:t>
      </w:r>
    </w:p>
  </w:footnote>
  <w:footnote w:id="16">
    <w:p w14:paraId="448664D5" w14:textId="07B45941"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 ExcludeAuth="1"&gt;&lt;Year&gt;2002&lt;/Year&gt;&lt;RecNum&gt;1111&lt;/RecNum&gt;&lt;DisplayText&gt;&lt;style face="italic"&gt;Hasan v Bulgaria &lt;/style&gt;(2002) 34 EHRR 55 (ECtHR)&lt;/DisplayText&gt;&lt;record&gt;&lt;rec-number&gt;1111&lt;/rec-number&gt;&lt;foreign-keys&gt;&lt;key app="EN" db-id="29e2pr0ebtzaxkedz5b5aefxftsede200wps" timestamp="1469956992"&gt;1111&lt;/key&gt;&lt;/foreign-keys&gt;&lt;ref-type name="Case (inc all UK, ECJ and ECtHR cases)"&gt;7&lt;/ref-type&gt;&lt;contributors&gt;&lt;/contributors&gt;&lt;titles&gt;&lt;title&gt;Hasan v Bulgaria&lt;/title&gt;&lt;secondary-title&gt;(2002) 34 EHRR 55&lt;/secondary-title&gt;&lt;/titles&gt;&lt;dates&gt;&lt;year&gt;2002&lt;/year&gt;&lt;/dates&gt;&lt;publisher&gt;ECtHR&lt;/publisher&gt;&lt;urls&gt;&lt;/urls&gt;&lt;/record&gt;&lt;/Cite&gt;&lt;/EndNote&gt;</w:instrText>
      </w:r>
      <w:r w:rsidRPr="007233D0">
        <w:rPr>
          <w:sz w:val="20"/>
        </w:rPr>
        <w:fldChar w:fldCharType="separate"/>
      </w:r>
      <w:r w:rsidRPr="007233D0">
        <w:rPr>
          <w:i/>
          <w:sz w:val="20"/>
        </w:rPr>
        <w:t xml:space="preserve">Hasan v Bulgaria </w:t>
      </w:r>
      <w:r w:rsidRPr="007233D0">
        <w:rPr>
          <w:sz w:val="20"/>
        </w:rPr>
        <w:t>(2002) 34 EHRR 55 (ECtHR)</w:t>
      </w:r>
      <w:r w:rsidRPr="007233D0">
        <w:rPr>
          <w:sz w:val="20"/>
        </w:rPr>
        <w:fldChar w:fldCharType="end"/>
      </w:r>
      <w:r w:rsidRPr="007233D0">
        <w:rPr>
          <w:sz w:val="20"/>
        </w:rPr>
        <w:t xml:space="preserve">; See </w:t>
      </w:r>
      <w:r w:rsidRPr="007233D0">
        <w:rPr>
          <w:sz w:val="20"/>
        </w:rPr>
        <w:fldChar w:fldCharType="begin"/>
      </w:r>
      <w:r w:rsidRPr="007233D0">
        <w:rPr>
          <w:sz w:val="20"/>
        </w:rPr>
        <w:instrText xml:space="preserve"> ADDIN EN.CITE &lt;EndNote&gt;&lt;Cite ExcludeAuth="1"&gt;&lt;Year&gt;2009&lt;/Year&gt;&lt;RecNum&gt;1147&lt;/RecNum&gt;&lt;DisplayText&gt;&lt;style face="italic"&gt;R (oao Purdy) v DPP &lt;/style&gt;[2009] UKHL 45&lt;/DisplayText&gt;&lt;record&gt;&lt;rec-number&gt;1147&lt;/rec-number&gt;&lt;foreign-keys&gt;&lt;key app="EN" db-id="29e2pr0ebtzaxkedz5b5aefxftsede200wps" timestamp="1469956994"&gt;1147&lt;/key&gt;&lt;/foreign-keys&gt;&lt;ref-type name="Case (inc all UK, ECJ and ECtHR cases)"&gt;7&lt;/ref-type&gt;&lt;contributors&gt;&lt;/contributors&gt;&lt;titles&gt;&lt;title&gt;R (oao Purdy) v DPP&lt;/title&gt;&lt;secondary-title&gt;[2009] UKHL 45&lt;/secondary-title&gt;&lt;short-title&gt;R (Purdy) v DPP (HL)&lt;/short-title&gt;&lt;/titles&gt;&lt;dates&gt;&lt;year&gt;2009&lt;/year&gt;&lt;/dates&gt;&lt;urls&gt;&lt;/urls&gt;&lt;/record&gt;&lt;/Cite&gt;&lt;/EndNote&gt;</w:instrText>
      </w:r>
      <w:r w:rsidRPr="007233D0">
        <w:rPr>
          <w:sz w:val="20"/>
        </w:rPr>
        <w:fldChar w:fldCharType="separate"/>
      </w:r>
      <w:r w:rsidRPr="007233D0">
        <w:rPr>
          <w:i/>
          <w:sz w:val="20"/>
        </w:rPr>
        <w:t>R (</w:t>
      </w:r>
      <w:proofErr w:type="spellStart"/>
      <w:r w:rsidRPr="007233D0">
        <w:rPr>
          <w:i/>
          <w:sz w:val="20"/>
        </w:rPr>
        <w:t>oao</w:t>
      </w:r>
      <w:proofErr w:type="spellEnd"/>
      <w:r w:rsidRPr="007233D0">
        <w:rPr>
          <w:i/>
          <w:sz w:val="20"/>
        </w:rPr>
        <w:t xml:space="preserve"> Purdy) v DPP </w:t>
      </w:r>
      <w:r w:rsidRPr="007233D0">
        <w:rPr>
          <w:sz w:val="20"/>
        </w:rPr>
        <w:t>[2009] UKHL 45</w:t>
      </w:r>
      <w:r w:rsidRPr="007233D0">
        <w:rPr>
          <w:sz w:val="20"/>
        </w:rPr>
        <w:fldChar w:fldCharType="end"/>
      </w:r>
      <w:r w:rsidRPr="007233D0">
        <w:rPr>
          <w:sz w:val="20"/>
        </w:rPr>
        <w:t xml:space="preserve"> for discussion of the Convention principle of legality in the context of assisted death. </w:t>
      </w:r>
    </w:p>
  </w:footnote>
  <w:footnote w:id="17">
    <w:p w14:paraId="47DB875E" w14:textId="5F3E344B" w:rsidR="002D131A" w:rsidRPr="007233D0" w:rsidRDefault="002D131A">
      <w:pPr>
        <w:pStyle w:val="FootnoteText"/>
        <w:rPr>
          <w:sz w:val="20"/>
        </w:rPr>
      </w:pPr>
      <w:r w:rsidRPr="007233D0">
        <w:rPr>
          <w:rStyle w:val="FootnoteReference"/>
          <w:sz w:val="20"/>
        </w:rPr>
        <w:footnoteRef/>
      </w:r>
      <w:r w:rsidRPr="007233D0">
        <w:rPr>
          <w:sz w:val="20"/>
        </w:rPr>
        <w:t xml:space="preserve"> At least, not for this reason. Insofar as article 8(1) ECHR covers the ‘physical and moral integrity of the person (</w:t>
      </w:r>
      <w:r w:rsidRPr="007233D0">
        <w:rPr>
          <w:i/>
          <w:sz w:val="20"/>
        </w:rPr>
        <w:t xml:space="preserve">Haas </w:t>
      </w:r>
      <w:r w:rsidRPr="007233D0">
        <w:rPr>
          <w:sz w:val="20"/>
        </w:rPr>
        <w:t xml:space="preserve">(n </w:t>
      </w:r>
      <w:r w:rsidRPr="007233D0">
        <w:rPr>
          <w:sz w:val="20"/>
        </w:rPr>
        <w:fldChar w:fldCharType="begin"/>
      </w:r>
      <w:r w:rsidRPr="007233D0">
        <w:rPr>
          <w:sz w:val="20"/>
        </w:rPr>
        <w:instrText xml:space="preserve"> NOTEREF _Ref497760067 \h  \* MERGEFORMAT </w:instrText>
      </w:r>
      <w:r w:rsidRPr="007233D0">
        <w:rPr>
          <w:sz w:val="20"/>
        </w:rPr>
      </w:r>
      <w:r w:rsidRPr="007233D0">
        <w:rPr>
          <w:sz w:val="20"/>
        </w:rPr>
        <w:fldChar w:fldCharType="separate"/>
      </w:r>
      <w:r>
        <w:rPr>
          <w:sz w:val="20"/>
        </w:rPr>
        <w:t>7</w:t>
      </w:r>
      <w:r w:rsidRPr="007233D0">
        <w:rPr>
          <w:sz w:val="20"/>
        </w:rPr>
        <w:fldChar w:fldCharType="end"/>
      </w:r>
      <w:r w:rsidRPr="007233D0">
        <w:rPr>
          <w:sz w:val="20"/>
        </w:rPr>
        <w:t>)</w:t>
      </w:r>
      <w:r w:rsidRPr="007233D0">
        <w:rPr>
          <w:i/>
          <w:sz w:val="20"/>
        </w:rPr>
        <w:t xml:space="preserve"> </w:t>
      </w:r>
      <w:r w:rsidRPr="007233D0">
        <w:rPr>
          <w:sz w:val="20"/>
        </w:rPr>
        <w:t xml:space="preserve">[50]), its protection might be engaged in respect of non-autonomous individuals for some reason other than </w:t>
      </w:r>
      <w:r w:rsidRPr="007233D0">
        <w:rPr>
          <w:i/>
          <w:sz w:val="20"/>
        </w:rPr>
        <w:t>freedom D</w:t>
      </w:r>
      <w:r w:rsidRPr="007233D0">
        <w:rPr>
          <w:sz w:val="20"/>
        </w:rPr>
        <w:t xml:space="preserve">. See </w:t>
      </w:r>
      <w:r w:rsidRPr="007233D0">
        <w:rPr>
          <w:sz w:val="20"/>
        </w:rPr>
        <w:fldChar w:fldCharType="begin"/>
      </w:r>
      <w:r w:rsidRPr="007233D0">
        <w:rPr>
          <w:sz w:val="20"/>
        </w:rPr>
        <w:instrText xml:space="preserve"> ADDIN EN.CITE &lt;EndNote&gt;&lt;Cite ExcludeAuth="1"&gt;&lt;Year&gt;1985&lt;/Year&gt;&lt;RecNum&gt;1042&lt;/RecNum&gt;&lt;DisplayText&gt;&lt;style face="italic"&gt;X v Netherlands &lt;/style&gt;(1985) 8 EHRR 235 (ECtHR)&lt;/DisplayText&gt;&lt;record&gt;&lt;rec-number&gt;1042&lt;/rec-number&gt;&lt;foreign-keys&gt;&lt;key app="EN" db-id="29e2pr0ebtzaxkedz5b5aefxftsede200wps" timestamp="1469956990"&gt;1042&lt;/key&gt;&lt;/foreign-keys&gt;&lt;ref-type name="Case (inc all UK, ECJ and ECtHR cases)"&gt;7&lt;/ref-type&gt;&lt;contributors&gt;&lt;/contributors&gt;&lt;titles&gt;&lt;title&gt;X v Netherlands&lt;/title&gt;&lt;secondary-title&gt;(1985) 8 EHRR 235&lt;/secondary-title&gt;&lt;/titles&gt;&lt;dates&gt;&lt;year&gt;1985&lt;/year&gt;&lt;/dates&gt;&lt;publisher&gt;ECtHR&lt;/publisher&gt;&lt;urls&gt;&lt;/urls&gt;&lt;/record&gt;&lt;/Cite&gt;&lt;/EndNote&gt;</w:instrText>
      </w:r>
      <w:r w:rsidRPr="007233D0">
        <w:rPr>
          <w:sz w:val="20"/>
        </w:rPr>
        <w:fldChar w:fldCharType="separate"/>
      </w:r>
      <w:r w:rsidRPr="007233D0">
        <w:rPr>
          <w:i/>
          <w:sz w:val="20"/>
        </w:rPr>
        <w:t xml:space="preserve">X v Netherlands </w:t>
      </w:r>
      <w:r w:rsidRPr="007233D0">
        <w:rPr>
          <w:sz w:val="20"/>
        </w:rPr>
        <w:t>(1985) 8 EHRR 235 (ECtHR)</w:t>
      </w:r>
      <w:r w:rsidRPr="007233D0">
        <w:rPr>
          <w:sz w:val="20"/>
        </w:rPr>
        <w:fldChar w:fldCharType="end"/>
      </w:r>
      <w:r w:rsidRPr="007233D0">
        <w:rPr>
          <w:sz w:val="20"/>
        </w:rPr>
        <w:t xml:space="preserve">; </w:t>
      </w:r>
      <w:r w:rsidRPr="007233D0">
        <w:rPr>
          <w:i/>
          <w:sz w:val="20"/>
        </w:rPr>
        <w:t xml:space="preserve">Glass </w:t>
      </w:r>
      <w:r w:rsidRPr="007233D0">
        <w:rPr>
          <w:sz w:val="20"/>
        </w:rPr>
        <w:t xml:space="preserve">(n </w:t>
      </w:r>
      <w:r w:rsidRPr="007233D0">
        <w:rPr>
          <w:sz w:val="20"/>
        </w:rPr>
        <w:fldChar w:fldCharType="begin"/>
      </w:r>
      <w:r w:rsidRPr="007233D0">
        <w:rPr>
          <w:sz w:val="20"/>
        </w:rPr>
        <w:instrText xml:space="preserve"> NOTEREF _Ref497760266 \h  \* MERGEFORMAT </w:instrText>
      </w:r>
      <w:r w:rsidRPr="007233D0">
        <w:rPr>
          <w:sz w:val="20"/>
        </w:rPr>
      </w:r>
      <w:r w:rsidRPr="007233D0">
        <w:rPr>
          <w:sz w:val="20"/>
        </w:rPr>
        <w:fldChar w:fldCharType="separate"/>
      </w:r>
      <w:r>
        <w:rPr>
          <w:sz w:val="20"/>
        </w:rPr>
        <w:t>8</w:t>
      </w:r>
      <w:r w:rsidRPr="007233D0">
        <w:rPr>
          <w:sz w:val="20"/>
        </w:rPr>
        <w:fldChar w:fldCharType="end"/>
      </w:r>
      <w:r w:rsidRPr="007233D0">
        <w:rPr>
          <w:sz w:val="20"/>
        </w:rPr>
        <w:t xml:space="preserve">); </w:t>
      </w:r>
      <w:r w:rsidRPr="007233D0">
        <w:rPr>
          <w:sz w:val="20"/>
        </w:rPr>
        <w:fldChar w:fldCharType="begin"/>
      </w:r>
      <w:r w:rsidRPr="007233D0">
        <w:rPr>
          <w:sz w:val="20"/>
        </w:rPr>
        <w:instrText xml:space="preserve"> ADDIN EN.CITE &lt;EndNote&gt;&lt;Cite ExcludeAuth="1"&gt;&lt;Year&gt;2013&lt;/Year&gt;&lt;RecNum&gt;1830&lt;/RecNum&gt;&lt;DisplayText&gt;&lt;style face="italic"&gt;P v Poland &lt;/style&gt;[2013] 1 FCR 476 (ECtHR)&lt;/DisplayText&gt;&lt;record&gt;&lt;rec-number&gt;1830&lt;/rec-number&gt;&lt;foreign-keys&gt;&lt;key app="EN" db-id="29e2pr0ebtzaxkedz5b5aefxftsede200wps" timestamp="1469958548"&gt;1830&lt;/key&gt;&lt;/foreign-keys&gt;&lt;ref-type name="Case (inc all UK, ECJ and ECtHR cases)"&gt;7&lt;/ref-type&gt;&lt;contributors&gt;&lt;/contributors&gt;&lt;titles&gt;&lt;title&gt;P v Poland&lt;/title&gt;&lt;secondary-title&gt;[2013] 1 FCR 476&lt;/secondary-title&gt;&lt;/titles&gt;&lt;dates&gt;&lt;year&gt;2013&lt;/year&gt;&lt;/dates&gt;&lt;publisher&gt;ECtHR&lt;/publisher&gt;&lt;urls&gt;&lt;/urls&gt;&lt;/record&gt;&lt;/Cite&gt;&lt;/EndNote&gt;</w:instrText>
      </w:r>
      <w:r w:rsidRPr="007233D0">
        <w:rPr>
          <w:sz w:val="20"/>
        </w:rPr>
        <w:fldChar w:fldCharType="separate"/>
      </w:r>
      <w:r w:rsidRPr="007233D0">
        <w:rPr>
          <w:i/>
          <w:noProof/>
          <w:sz w:val="20"/>
        </w:rPr>
        <w:t xml:space="preserve">P v Poland </w:t>
      </w:r>
      <w:r w:rsidRPr="007233D0">
        <w:rPr>
          <w:noProof/>
          <w:sz w:val="20"/>
        </w:rPr>
        <w:t>[2013] 1 FCR 476 (ECtHR)</w:t>
      </w:r>
      <w:r w:rsidRPr="007233D0">
        <w:rPr>
          <w:sz w:val="20"/>
        </w:rPr>
        <w:fldChar w:fldCharType="end"/>
      </w:r>
      <w:r w:rsidRPr="007233D0">
        <w:rPr>
          <w:sz w:val="20"/>
        </w:rPr>
        <w:t>.</w:t>
      </w:r>
    </w:p>
  </w:footnote>
  <w:footnote w:id="18">
    <w:p w14:paraId="3B545316" w14:textId="0766C1CE"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i/>
          <w:sz w:val="20"/>
        </w:rPr>
        <w:t xml:space="preserve">Pretty </w:t>
      </w:r>
      <w:r w:rsidRPr="007233D0">
        <w:rPr>
          <w:sz w:val="20"/>
        </w:rPr>
        <w:t xml:space="preserve">(n </w:t>
      </w:r>
      <w:r w:rsidRPr="007233D0">
        <w:rPr>
          <w:sz w:val="20"/>
        </w:rPr>
        <w:fldChar w:fldCharType="begin"/>
      </w:r>
      <w:r w:rsidRPr="007233D0">
        <w:rPr>
          <w:sz w:val="20"/>
        </w:rPr>
        <w:instrText xml:space="preserve"> NOTEREF _Ref497760057 \h  \* MERGEFORMAT </w:instrText>
      </w:r>
      <w:r w:rsidRPr="007233D0">
        <w:rPr>
          <w:sz w:val="20"/>
        </w:rPr>
      </w:r>
      <w:r w:rsidRPr="007233D0">
        <w:rPr>
          <w:sz w:val="20"/>
        </w:rPr>
        <w:fldChar w:fldCharType="separate"/>
      </w:r>
      <w:r>
        <w:rPr>
          <w:sz w:val="20"/>
        </w:rPr>
        <w:t>6</w:t>
      </w:r>
      <w:r w:rsidRPr="007233D0">
        <w:rPr>
          <w:sz w:val="20"/>
        </w:rPr>
        <w:fldChar w:fldCharType="end"/>
      </w:r>
      <w:r w:rsidRPr="007233D0">
        <w:rPr>
          <w:sz w:val="20"/>
        </w:rPr>
        <w:t>)</w:t>
      </w:r>
      <w:r w:rsidRPr="007233D0">
        <w:rPr>
          <w:i/>
          <w:sz w:val="20"/>
        </w:rPr>
        <w:t xml:space="preserve"> </w:t>
      </w:r>
      <w:r w:rsidRPr="007233D0">
        <w:rPr>
          <w:sz w:val="20"/>
        </w:rPr>
        <w:t xml:space="preserve">[63]. </w:t>
      </w:r>
    </w:p>
  </w:footnote>
  <w:footnote w:id="19">
    <w:p w14:paraId="499C2437" w14:textId="3ECFF6F7" w:rsidR="002D131A" w:rsidRPr="007233D0" w:rsidRDefault="002D131A">
      <w:pPr>
        <w:pStyle w:val="FootnoteText"/>
        <w:rPr>
          <w:sz w:val="20"/>
        </w:rPr>
      </w:pPr>
      <w:r w:rsidRPr="007233D0">
        <w:rPr>
          <w:rStyle w:val="FootnoteReference"/>
          <w:sz w:val="20"/>
        </w:rPr>
        <w:footnoteRef/>
      </w:r>
      <w:r w:rsidRPr="007233D0">
        <w:rPr>
          <w:sz w:val="20"/>
        </w:rPr>
        <w:t xml:space="preserve"> I submit that the difference between the ECtHR’s formulation ‘capable of engaging…’ and my formulation ‘engages article 8(1) ECHR’ is not meaningful. First, the Court’s circuitous language may be attributable to refusals of LPT not being the litigated issue in </w:t>
      </w:r>
      <w:r w:rsidRPr="007233D0">
        <w:rPr>
          <w:i/>
          <w:sz w:val="20"/>
        </w:rPr>
        <w:t>Pretty</w:t>
      </w:r>
      <w:r w:rsidRPr="007233D0">
        <w:rPr>
          <w:sz w:val="20"/>
        </w:rPr>
        <w:t xml:space="preserve">. Second, ‘capable of engaging…’ may reflect a </w:t>
      </w:r>
      <w:r w:rsidRPr="007233D0">
        <w:rPr>
          <w:i/>
          <w:sz w:val="20"/>
        </w:rPr>
        <w:t xml:space="preserve">ceteris paribus </w:t>
      </w:r>
      <w:r w:rsidRPr="007233D0">
        <w:rPr>
          <w:sz w:val="20"/>
        </w:rPr>
        <w:t xml:space="preserve">qualification: see text at n </w:t>
      </w:r>
      <w:r w:rsidRPr="007233D0">
        <w:rPr>
          <w:sz w:val="20"/>
        </w:rPr>
        <w:fldChar w:fldCharType="begin"/>
      </w:r>
      <w:r w:rsidRPr="007233D0">
        <w:rPr>
          <w:sz w:val="20"/>
        </w:rPr>
        <w:instrText xml:space="preserve"> NOTEREF _Ref488412772 \h  \* MERGEFORMAT </w:instrText>
      </w:r>
      <w:r w:rsidRPr="007233D0">
        <w:rPr>
          <w:sz w:val="20"/>
        </w:rPr>
      </w:r>
      <w:r w:rsidRPr="007233D0">
        <w:rPr>
          <w:sz w:val="20"/>
        </w:rPr>
        <w:fldChar w:fldCharType="separate"/>
      </w:r>
      <w:r>
        <w:rPr>
          <w:sz w:val="20"/>
        </w:rPr>
        <w:t>20</w:t>
      </w:r>
      <w:r w:rsidRPr="007233D0">
        <w:rPr>
          <w:sz w:val="20"/>
        </w:rPr>
        <w:fldChar w:fldCharType="end"/>
      </w:r>
      <w:r w:rsidRPr="007233D0">
        <w:rPr>
          <w:sz w:val="20"/>
        </w:rPr>
        <w:t xml:space="preserve">. Third, in </w:t>
      </w:r>
      <w:r w:rsidRPr="007233D0">
        <w:rPr>
          <w:sz w:val="20"/>
        </w:rPr>
        <w:fldChar w:fldCharType="begin"/>
      </w:r>
      <w:r w:rsidRPr="007233D0">
        <w:rPr>
          <w:sz w:val="20"/>
        </w:rPr>
        <w:instrText xml:space="preserve"> ADDIN EN.CITE &lt;EndNote&gt;&lt;Cite ExcludeAuth="1"&gt;&lt;Year&gt;2012&lt;/Year&gt;&lt;RecNum&gt;2718&lt;/RecNum&gt;&lt;Pages&gt;[212]-[223]&lt;/Pages&gt;&lt;DisplayText&gt;&lt;style face="italic"&gt;X v Finland &lt;/style&gt;[2012] ECHR 1371 (ECtHR) [212]-[223]&lt;/DisplayText&gt;&lt;record&gt;&lt;rec-number&gt;2718&lt;/rec-number&gt;&lt;foreign-keys&gt;&lt;key app="EN" db-id="29e2pr0ebtzaxkedz5b5aefxftsede200wps" timestamp="1509997112"&gt;2718&lt;/key&gt;&lt;/foreign-keys&gt;&lt;ref-type name="Case (inc all UK, ECJ and ECtHR cases)"&gt;7&lt;/ref-type&gt;&lt;contributors&gt;&lt;/contributors&gt;&lt;titles&gt;&lt;title&gt;X v Finland&lt;/title&gt;&lt;secondary-title&gt;[2012] ECHR 1371&lt;/secondary-title&gt;&lt;/titles&gt;&lt;dates&gt;&lt;year&gt;2012&lt;/year&gt;&lt;/dates&gt;&lt;publisher&gt;ECtHR&lt;/publisher&gt;&lt;urls&gt;&lt;/urls&gt;&lt;/record&gt;&lt;/Cite&gt;&lt;/EndNote&gt;</w:instrText>
      </w:r>
      <w:r w:rsidRPr="007233D0">
        <w:rPr>
          <w:sz w:val="20"/>
        </w:rPr>
        <w:fldChar w:fldCharType="separate"/>
      </w:r>
      <w:r w:rsidRPr="007233D0">
        <w:rPr>
          <w:i/>
          <w:noProof/>
          <w:sz w:val="20"/>
        </w:rPr>
        <w:t xml:space="preserve">X v Finland </w:t>
      </w:r>
      <w:r w:rsidRPr="007233D0">
        <w:rPr>
          <w:noProof/>
          <w:sz w:val="20"/>
        </w:rPr>
        <w:t>[2012] ECHR 1371 (ECtHR) [212]-[223]</w:t>
      </w:r>
      <w:r w:rsidRPr="007233D0">
        <w:rPr>
          <w:sz w:val="20"/>
        </w:rPr>
        <w:fldChar w:fldCharType="end"/>
      </w:r>
      <w:r w:rsidRPr="007233D0">
        <w:rPr>
          <w:i/>
          <w:sz w:val="20"/>
        </w:rPr>
        <w:t xml:space="preserve"> </w:t>
      </w:r>
      <w:r w:rsidRPr="007233D0">
        <w:rPr>
          <w:sz w:val="20"/>
        </w:rPr>
        <w:t xml:space="preserve">the ECtHR affirmed that involuntary medical treatment administered under mental health legislation engages article 8(1) ECHR. Therefore, the Court’s ‘capable of engaging’ formulation in </w:t>
      </w:r>
      <w:r w:rsidRPr="007233D0">
        <w:rPr>
          <w:i/>
          <w:sz w:val="20"/>
        </w:rPr>
        <w:t xml:space="preserve">Pretty </w:t>
      </w:r>
      <w:r w:rsidRPr="007233D0">
        <w:rPr>
          <w:sz w:val="20"/>
        </w:rPr>
        <w:t>does not support the interpretation that article 8(1) ECHR is not engaged in circumstances in which an individual makes a valid refusal of treatment but is subject to involuntary mental health treatment. Rather, in such cases, article 8(1) ECHR is engaged, and the treatment requires justification under article 8(2) ECHR.</w:t>
      </w:r>
    </w:p>
  </w:footnote>
  <w:footnote w:id="20">
    <w:p w14:paraId="3370236F" w14:textId="71B054FA" w:rsidR="002D131A" w:rsidRPr="007233D0" w:rsidRDefault="002D131A">
      <w:pPr>
        <w:pStyle w:val="FootnoteText"/>
        <w:rPr>
          <w:sz w:val="20"/>
        </w:rPr>
      </w:pPr>
      <w:r w:rsidRPr="007233D0">
        <w:rPr>
          <w:rStyle w:val="FootnoteReference"/>
          <w:sz w:val="20"/>
        </w:rPr>
        <w:footnoteRef/>
      </w:r>
      <w:r w:rsidRPr="007233D0">
        <w:rPr>
          <w:sz w:val="20"/>
        </w:rPr>
        <w:t xml:space="preserve"> Presumably, interference with the refusal of a competent minor would also engage article 8(1) ECHR: </w:t>
      </w:r>
      <w:r w:rsidRPr="007233D0">
        <w:rPr>
          <w:sz w:val="20"/>
        </w:rPr>
        <w:fldChar w:fldCharType="begin"/>
      </w:r>
      <w:r w:rsidRPr="007233D0">
        <w:rPr>
          <w:sz w:val="20"/>
        </w:rPr>
        <w:instrText xml:space="preserve"> ADDIN EN.CITE &lt;EndNote&gt;&lt;Cite&gt;&lt;Author&gt;Fortin&lt;/Author&gt;&lt;Year&gt;2006&lt;/Year&gt;&lt;RecNum&gt;2719&lt;/RecNum&gt;&lt;DisplayText&gt;Jane Fortin, ‘Accommodating Children&amp;apos;s Rights in a Post Human Rights Act Era’ (2006) 69(3) MLR 299&lt;/DisplayText&gt;&lt;record&gt;&lt;rec-number&gt;2719&lt;/rec-number&gt;&lt;foreign-keys&gt;&lt;key app="EN" db-id="29e2pr0ebtzaxkedz5b5aefxftsede200wps" timestamp="1509997918"&gt;2719&lt;/key&gt;&lt;/foreign-keys&gt;&lt;ref-type name="Journal Article"&gt;17&lt;/ref-type&gt;&lt;contributors&gt;&lt;authors&gt;&lt;author&gt;Fortin, Jane&lt;/author&gt;&lt;/authors&gt;&lt;/contributors&gt;&lt;titles&gt;&lt;title&gt;Accommodating Children&amp;apos;s Rights in a Post Human Rights Act Era&lt;/title&gt;&lt;secondary-title&gt;Modern Law Review&lt;/secondary-title&gt;&lt;/titles&gt;&lt;periodical&gt;&lt;full-title&gt;Modern Law Review&lt;/full-title&gt;&lt;abbr-1&gt;MLR&lt;/abbr-1&gt;&lt;/periodical&gt;&lt;pages&gt;299&lt;/pages&gt;&lt;volume&gt;69&lt;/volume&gt;&lt;number&gt;3&lt;/number&gt;&lt;keywords&gt;&lt;keyword&gt;children&amp;apos;s rights&lt;/keyword&gt;&lt;keyword&gt;paramountcy principle&lt;/keyword&gt;&lt;keyword&gt;best interests&lt;/keyword&gt;&lt;keyword&gt;the welfare principle&lt;/keyword&gt;&lt;keyword&gt;adolescents&amp;apos; life-saving medical treatment&lt;/keyword&gt;&lt;keyword&gt;Human Rights Act&lt;/keyword&gt;&lt;/keywords&gt;&lt;dates&gt;&lt;year&gt;2006&lt;/year&gt;&lt;/dates&gt;&lt;pub-location&gt;2006&lt;/pub-location&gt;&lt;isbn&gt;1468-2230&lt;/isbn&gt;&lt;urls&gt;&lt;related-urls&gt;&lt;url&gt;http://dx.doi.org/10.1111/j.1468-2230.2006.00586.x&lt;/url&gt;&lt;/related-urls&gt;&lt;/urls&gt;&lt;electronic-resource-num&gt;10.1111/j.1468-2230.2006.00586.x&lt;/electronic-resource-num&gt;&lt;/record&gt;&lt;/Cite&gt;&lt;/EndNote&gt;</w:instrText>
      </w:r>
      <w:r w:rsidRPr="007233D0">
        <w:rPr>
          <w:sz w:val="20"/>
        </w:rPr>
        <w:fldChar w:fldCharType="separate"/>
      </w:r>
      <w:r w:rsidRPr="007233D0">
        <w:rPr>
          <w:noProof/>
          <w:sz w:val="20"/>
        </w:rPr>
        <w:t>Jane Fortin, ‘Accommodating Children's Rights in a Post Human Rights Act Era’ (2006) 69(3) MLR 299</w:t>
      </w:r>
      <w:r w:rsidRPr="007233D0">
        <w:rPr>
          <w:sz w:val="20"/>
        </w:rPr>
        <w:fldChar w:fldCharType="end"/>
      </w:r>
      <w:r w:rsidRPr="007233D0">
        <w:rPr>
          <w:sz w:val="20"/>
        </w:rPr>
        <w:t>.</w:t>
      </w:r>
    </w:p>
  </w:footnote>
  <w:footnote w:id="21">
    <w:p w14:paraId="29E575FC" w14:textId="2A22A470"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i/>
          <w:sz w:val="20"/>
        </w:rPr>
        <w:t>Haas</w:t>
      </w:r>
      <w:r w:rsidRPr="007233D0">
        <w:rPr>
          <w:sz w:val="20"/>
        </w:rPr>
        <w:t xml:space="preserve"> (n </w:t>
      </w:r>
      <w:r w:rsidRPr="007233D0">
        <w:rPr>
          <w:sz w:val="20"/>
        </w:rPr>
        <w:fldChar w:fldCharType="begin"/>
      </w:r>
      <w:r w:rsidRPr="007233D0">
        <w:rPr>
          <w:sz w:val="20"/>
        </w:rPr>
        <w:instrText xml:space="preserve"> NOTEREF _Ref497760067 \h  \* MERGEFORMAT </w:instrText>
      </w:r>
      <w:r w:rsidRPr="007233D0">
        <w:rPr>
          <w:sz w:val="20"/>
        </w:rPr>
      </w:r>
      <w:r w:rsidRPr="007233D0">
        <w:rPr>
          <w:sz w:val="20"/>
        </w:rPr>
        <w:fldChar w:fldCharType="separate"/>
      </w:r>
      <w:r>
        <w:rPr>
          <w:sz w:val="20"/>
        </w:rPr>
        <w:t>7</w:t>
      </w:r>
      <w:r w:rsidRPr="007233D0">
        <w:rPr>
          <w:sz w:val="20"/>
        </w:rPr>
        <w:fldChar w:fldCharType="end"/>
      </w:r>
      <w:r w:rsidRPr="007233D0">
        <w:rPr>
          <w:sz w:val="20"/>
        </w:rPr>
        <w:t xml:space="preserve">) [51] (emphasis added). </w:t>
      </w:r>
    </w:p>
  </w:footnote>
  <w:footnote w:id="22">
    <w:p w14:paraId="0665C343" w14:textId="46539B31" w:rsidR="002D131A" w:rsidRPr="007233D0" w:rsidRDefault="002D131A">
      <w:pPr>
        <w:pStyle w:val="FootnoteText"/>
        <w:rPr>
          <w:sz w:val="20"/>
        </w:rPr>
      </w:pPr>
      <w:bookmarkStart w:id="14" w:name="_Hlk508564363"/>
      <w:r w:rsidRPr="007233D0">
        <w:rPr>
          <w:rStyle w:val="FootnoteReference"/>
          <w:sz w:val="20"/>
        </w:rPr>
        <w:footnoteRef/>
      </w:r>
      <w:r w:rsidRPr="007233D0">
        <w:rPr>
          <w:sz w:val="20"/>
        </w:rPr>
        <w:t xml:space="preserve"> There are two further arguments that potentially tell against article 8(1) ECHR’s engagement in respect of advance refusals. Detailed consideration of either is unfortunately beyond the scope of the present paper. First, according to what is variously termed the </w:t>
      </w:r>
      <w:r w:rsidRPr="007233D0">
        <w:rPr>
          <w:i/>
          <w:sz w:val="20"/>
        </w:rPr>
        <w:t>slavery</w:t>
      </w:r>
      <w:r w:rsidRPr="007233D0">
        <w:rPr>
          <w:sz w:val="20"/>
        </w:rPr>
        <w:t xml:space="preserve">, </w:t>
      </w:r>
      <w:r w:rsidRPr="007233D0">
        <w:rPr>
          <w:i/>
          <w:sz w:val="20"/>
        </w:rPr>
        <w:t xml:space="preserve">identity </w:t>
      </w:r>
      <w:r w:rsidRPr="007233D0">
        <w:rPr>
          <w:sz w:val="20"/>
        </w:rPr>
        <w:t xml:space="preserve">or </w:t>
      </w:r>
      <w:r w:rsidRPr="007233D0">
        <w:rPr>
          <w:i/>
          <w:sz w:val="20"/>
        </w:rPr>
        <w:t xml:space="preserve">someone else </w:t>
      </w:r>
      <w:r w:rsidRPr="007233D0">
        <w:rPr>
          <w:sz w:val="20"/>
        </w:rPr>
        <w:t xml:space="preserve">argument, while an advance refusal may constitute an attempt by </w:t>
      </w:r>
      <w:r w:rsidRPr="007233D0">
        <w:rPr>
          <w:i/>
          <w:sz w:val="20"/>
        </w:rPr>
        <w:t>P</w:t>
      </w:r>
      <w:r w:rsidRPr="007233D0">
        <w:rPr>
          <w:sz w:val="20"/>
        </w:rPr>
        <w:t xml:space="preserve"> to exercise freedom </w:t>
      </w:r>
      <w:r w:rsidRPr="007233D0">
        <w:rPr>
          <w:i/>
          <w:sz w:val="20"/>
        </w:rPr>
        <w:t>D</w:t>
      </w:r>
      <w:r w:rsidRPr="007233D0">
        <w:rPr>
          <w:sz w:val="20"/>
        </w:rPr>
        <w:t xml:space="preserve">, at the time the decision falls to be executed the subject of the refusal is not </w:t>
      </w:r>
      <w:r w:rsidRPr="007233D0">
        <w:rPr>
          <w:i/>
          <w:sz w:val="20"/>
        </w:rPr>
        <w:t>P</w:t>
      </w:r>
      <w:r w:rsidRPr="007233D0">
        <w:rPr>
          <w:sz w:val="20"/>
        </w:rPr>
        <w:t xml:space="preserve">, but some other incapacitated person </w:t>
      </w:r>
      <w:r w:rsidRPr="007233D0">
        <w:rPr>
          <w:i/>
          <w:sz w:val="20"/>
        </w:rPr>
        <w:t>S</w:t>
      </w:r>
      <w:r w:rsidRPr="007233D0">
        <w:rPr>
          <w:sz w:val="20"/>
        </w:rPr>
        <w:t xml:space="preserve"> who has not made an advance refusal: see eg </w:t>
      </w:r>
      <w:r w:rsidRPr="007233D0">
        <w:rPr>
          <w:sz w:val="20"/>
        </w:rPr>
        <w:fldChar w:fldCharType="begin">
          <w:fldData xml:space="preserve">PEVuZE5vdGU+PENpdGU+PEF1dGhvcj5EcmVzc2VyPC9BdXRob3I+PFllYXI+MTk5NTwvWWVhcj48
UmVjTnVtPjEyNjU8L1JlY051bT48RGlzcGxheVRleHQ+UmViZWNjYSBEcmVzc2VyLCDigJhEd29y
a2luIG9uIERlbWVudGlhOiBFbGVnYW50IFRoZW9yeSwgUXVlc3Rpb25hYmxlIFBvbGljeeKAmSAo
MTk5NSkgMjUoNikgSGFzdGluZ3MgQ2VudCBSZXAgMzI7IGNmIFJvbmFsZCBEd29ya2luLCA8c3R5
bGUgZmFjZT0iaXRhbGljIj5MaWZlJmFwb3M7cyBkb21pbmlvbjogYW4gYXJndW1lbnQgYWJvdXQg
YWJvcnRpb24sIGV1dGhhbmFzaWEsIGFuZCBpbmRpdmlkdWFsIGZyZWVkb208L3N0eWxlPiAoMXN0
IGVkbiwgS25vcGYgMTk5Myk8L0Rpc3BsYXlUZXh0PjxyZWNvcmQ+PHJlYy1udW1iZXI+MTI2NTwv
cmVjLW51bWJlcj48Zm9yZWlnbi1rZXlzPjxrZXkgYXBwPSJFTiIgZGItaWQ9IjI5ZTJwcjBlYnR6
YXhrZWR6NWI1YWVmeGZ0c2VkZTIwMHdwcyIgdGltZXN0YW1wPSIxNDY5OTU2OTk3Ij4xMjY1PC9r
ZXk+PC9mb3JlaWduLWtleXM+PHJlZi10eXBlIG5hbWU9IkpvdXJuYWwgQXJ0aWNsZSI+MTc8L3Jl
Zi10eXBlPjxjb250cmlidXRvcnM+PGF1dGhvcnM+PGF1dGhvcj5EcmVzc2VyLCBSZWJlY2NhPC9h
dXRob3I+PC9hdXRob3JzPjwvY29udHJpYnV0b3JzPjx0aXRsZXM+PHRpdGxlPkR3b3JraW4gb24g
RGVtZW50aWE6IEVsZWdhbnQgVGhlb3J5LCBRdWVzdGlvbmFibGUgUG9saWN5PC90aXRsZT48c2Vj
b25kYXJ5LXRpdGxlPkhhc3RpbmdzIENlbnRlciBSZXBvcnQ8L3NlY29uZGFyeS10aXRsZT48L3Rp
dGxlcz48cGVyaW9kaWNhbD48ZnVsbC10aXRsZT5IYXN0aW5ncyBDZW50ZXIgUmVwb3J0PC9mdWxs
LXRpdGxlPjxhYmJyLTE+SGFzdGluZ3MgQ2VudC4gUmVwLjwvYWJici0xPjxhYmJyLTI+SGFzdGlu
Z3MgQ2VudCBSZXA8L2FiYnItMj48L3BlcmlvZGljYWw+PHBhZ2VzPjMyPC9wYWdlcz48dm9sdW1l
PjI1PC92b2x1bWU+PG51bWJlcj42PC9udW1iZXI+PGRhdGVzPjx5ZWFyPjE5OTU8L3llYXI+PC9k
YXRlcz48cHViLWxvY2F0aW9uPjE5OTU8L3B1Yi1sb2NhdGlvbj48aXNibj4xNTUyLTE0Nlg8L2lz
Ym4+PHVybHM+PHJlbGF0ZWQtdXJscz48dXJsPmh0dHA6Ly9keC5kb2kub3JnLzEwLjIzMDcvMzUy
NzgzOTwvdXJsPjwvcmVsYXRlZC11cmxzPjwvdXJscz48ZWxlY3Ryb25pYy1yZXNvdXJjZS1udW0+
MTAuMjMwNy8zNTI3ODM5PC9lbGVjdHJvbmljLXJlc291cmNlLW51bT48L3JlY29yZD48L0NpdGU+
PENpdGU+PEF1dGhvcj5Ed29ya2luPC9BdXRob3I+PFllYXI+MTk5MzwvWWVhcj48UmVjTnVtPjE4
MTM8L1JlY051bT48UHJlZml4PmNmIDwvUHJlZml4PjxyZWNvcmQ+PHJlYy1udW1iZXI+MTgxMzwv
cmVjLW51bWJlcj48Zm9yZWlnbi1rZXlzPjxrZXkgYXBwPSJFTiIgZGItaWQ9IjI5ZTJwcjBlYnR6
YXhrZWR6NWI1YWVmeGZ0c2VkZTIwMHdwcyIgdGltZXN0YW1wPSIxNDY5OTU4NTQ4Ij4xODEzPC9r
ZXk+PC9mb3JlaWduLWtleXM+PHJlZi10eXBlIG5hbWU9IkJvb2sgKGFsbCBib29rcyB3aXRoIGF1
dGhvcnMsIGluY2x1ZGluZyBlZGl0ZWQgb3IgdHJhbnNsYXRlZCBib29rcykiPjY8L3JlZi10eXBl
Pjxjb250cmlidXRvcnM+PGF1dGhvcnM+PGF1dGhvcj5Ed29ya2luLCBSb25hbGQ8L2F1dGhvcj48
L2F1dGhvcnM+PC9jb250cmlidXRvcnM+PHRpdGxlcz48dGl0bGU+TGlmZSZhcG9zO3MgZG9taW5p
b246IGFuIGFyZ3VtZW50IGFib3V0IGFib3J0aW9uLCBldXRoYW5hc2lhLCBhbmQgaW5kaXZpZHVh
bCBmcmVlZG9tPC90aXRsZT48L3RpdGxlcz48cGFnZXM+MjczIHAuPC9wYWdlcz48ZWRpdGlvbj4x
c3Q8L2VkaXRpb24+PGtleXdvcmRzPjxrZXl3b3JkPkFib3J0aW9uIExhdyBhbmQgbGVnaXNsYXRp
b24gVW5pdGVkIFN0YXRlcy48L2tleXdvcmQ+PGtleXdvcmQ+RXV0aGFuYXNpYSBMYXcgYW5kIGxl
Z2lzbGF0aW9uIFVuaXRlZCBTdGF0ZXMuPC9rZXl3b3JkPjxrZXl3b3JkPkFib3J0aW9uLjwva2V5
d29yZD48a2V5d29yZD5FdXRoYW5hc2lhLjwva2V5d29yZD48a2V5d29yZD5IdW1hbiByaWdodHMu
PC9rZXl3b3JkPjwva2V5d29yZHM+PGRhdGVzPjx5ZWFyPjE5OTM8L3llYXI+PC9kYXRlcz48cHVi
LWxvY2F0aW9uPk5ldyBZb3JrPC9wdWItbG9jYXRpb24+PHB1Ymxpc2hlcj5Lbm9wZjwvcHVibGlz
aGVyPjxpc2JuPjAzOTQ1ODk0MTY8L2lzYm4+PGFjY2Vzc2lvbi1udW0+MzkyNTg2MzwvYWNjZXNz
aW9uLW51bT48dXJscz48cmVsYXRlZC11cmxzPjx1cmw+UHVibGlzaGVyIGRlc2NyaXB0aW9uIGh0
dHA6Ly93d3cubG9jLmdvdi9jYXRkaXIvZGVzY3JpcHRpb24vcmFuZG9tMDQ3LzkyMDU0ODAwLmh0
bWw8L3VybD48L3JlbGF0ZWQtdXJscz48L3VybHM+PC9yZWNvcmQ+PC9DaXRlPjwvRW5kTm90ZT4A
</w:fldData>
        </w:fldChar>
      </w:r>
      <w:r w:rsidRPr="007233D0">
        <w:rPr>
          <w:sz w:val="20"/>
        </w:rPr>
        <w:instrText xml:space="preserve"> ADDIN EN.CITE </w:instrText>
      </w:r>
      <w:r w:rsidRPr="007233D0">
        <w:rPr>
          <w:sz w:val="20"/>
        </w:rPr>
        <w:fldChar w:fldCharType="begin">
          <w:fldData xml:space="preserve">PEVuZE5vdGU+PENpdGU+PEF1dGhvcj5EcmVzc2VyPC9BdXRob3I+PFllYXI+MTk5NTwvWWVhcj48
UmVjTnVtPjEyNjU8L1JlY051bT48RGlzcGxheVRleHQ+UmViZWNjYSBEcmVzc2VyLCDigJhEd29y
a2luIG9uIERlbWVudGlhOiBFbGVnYW50IFRoZW9yeSwgUXVlc3Rpb25hYmxlIFBvbGljeeKAmSAo
MTk5NSkgMjUoNikgSGFzdGluZ3MgQ2VudCBSZXAgMzI7IGNmIFJvbmFsZCBEd29ya2luLCA8c3R5
bGUgZmFjZT0iaXRhbGljIj5MaWZlJmFwb3M7cyBkb21pbmlvbjogYW4gYXJndW1lbnQgYWJvdXQg
YWJvcnRpb24sIGV1dGhhbmFzaWEsIGFuZCBpbmRpdmlkdWFsIGZyZWVkb208L3N0eWxlPiAoMXN0
IGVkbiwgS25vcGYgMTk5Myk8L0Rpc3BsYXlUZXh0PjxyZWNvcmQ+PHJlYy1udW1iZXI+MTI2NTwv
cmVjLW51bWJlcj48Zm9yZWlnbi1rZXlzPjxrZXkgYXBwPSJFTiIgZGItaWQ9IjI5ZTJwcjBlYnR6
YXhrZWR6NWI1YWVmeGZ0c2VkZTIwMHdwcyIgdGltZXN0YW1wPSIxNDY5OTU2OTk3Ij4xMjY1PC9r
ZXk+PC9mb3JlaWduLWtleXM+PHJlZi10eXBlIG5hbWU9IkpvdXJuYWwgQXJ0aWNsZSI+MTc8L3Jl
Zi10eXBlPjxjb250cmlidXRvcnM+PGF1dGhvcnM+PGF1dGhvcj5EcmVzc2VyLCBSZWJlY2NhPC9h
dXRob3I+PC9hdXRob3JzPjwvY29udHJpYnV0b3JzPjx0aXRsZXM+PHRpdGxlPkR3b3JraW4gb24g
RGVtZW50aWE6IEVsZWdhbnQgVGhlb3J5LCBRdWVzdGlvbmFibGUgUG9saWN5PC90aXRsZT48c2Vj
b25kYXJ5LXRpdGxlPkhhc3RpbmdzIENlbnRlciBSZXBvcnQ8L3NlY29uZGFyeS10aXRsZT48L3Rp
dGxlcz48cGVyaW9kaWNhbD48ZnVsbC10aXRsZT5IYXN0aW5ncyBDZW50ZXIgUmVwb3J0PC9mdWxs
LXRpdGxlPjxhYmJyLTE+SGFzdGluZ3MgQ2VudC4gUmVwLjwvYWJici0xPjxhYmJyLTI+SGFzdGlu
Z3MgQ2VudCBSZXA8L2FiYnItMj48L3BlcmlvZGljYWw+PHBhZ2VzPjMyPC9wYWdlcz48dm9sdW1l
PjI1PC92b2x1bWU+PG51bWJlcj42PC9udW1iZXI+PGRhdGVzPjx5ZWFyPjE5OTU8L3llYXI+PC9k
YXRlcz48cHViLWxvY2F0aW9uPjE5OTU8L3B1Yi1sb2NhdGlvbj48aXNibj4xNTUyLTE0Nlg8L2lz
Ym4+PHVybHM+PHJlbGF0ZWQtdXJscz48dXJsPmh0dHA6Ly9keC5kb2kub3JnLzEwLjIzMDcvMzUy
NzgzOTwvdXJsPjwvcmVsYXRlZC11cmxzPjwvdXJscz48ZWxlY3Ryb25pYy1yZXNvdXJjZS1udW0+
MTAuMjMwNy8zNTI3ODM5PC9lbGVjdHJvbmljLXJlc291cmNlLW51bT48L3JlY29yZD48L0NpdGU+
PENpdGU+PEF1dGhvcj5Ed29ya2luPC9BdXRob3I+PFllYXI+MTk5MzwvWWVhcj48UmVjTnVtPjE4
MTM8L1JlY051bT48UHJlZml4PmNmIDwvUHJlZml4PjxyZWNvcmQ+PHJlYy1udW1iZXI+MTgxMzwv
cmVjLW51bWJlcj48Zm9yZWlnbi1rZXlzPjxrZXkgYXBwPSJFTiIgZGItaWQ9IjI5ZTJwcjBlYnR6
YXhrZWR6NWI1YWVmeGZ0c2VkZTIwMHdwcyIgdGltZXN0YW1wPSIxNDY5OTU4NTQ4Ij4xODEzPC9r
ZXk+PC9mb3JlaWduLWtleXM+PHJlZi10eXBlIG5hbWU9IkJvb2sgKGFsbCBib29rcyB3aXRoIGF1
dGhvcnMsIGluY2x1ZGluZyBlZGl0ZWQgb3IgdHJhbnNsYXRlZCBib29rcykiPjY8L3JlZi10eXBl
Pjxjb250cmlidXRvcnM+PGF1dGhvcnM+PGF1dGhvcj5Ed29ya2luLCBSb25hbGQ8L2F1dGhvcj48
L2F1dGhvcnM+PC9jb250cmlidXRvcnM+PHRpdGxlcz48dGl0bGU+TGlmZSZhcG9zO3MgZG9taW5p
b246IGFuIGFyZ3VtZW50IGFib3V0IGFib3J0aW9uLCBldXRoYW5hc2lhLCBhbmQgaW5kaXZpZHVh
bCBmcmVlZG9tPC90aXRsZT48L3RpdGxlcz48cGFnZXM+MjczIHAuPC9wYWdlcz48ZWRpdGlvbj4x
c3Q8L2VkaXRpb24+PGtleXdvcmRzPjxrZXl3b3JkPkFib3J0aW9uIExhdyBhbmQgbGVnaXNsYXRp
b24gVW5pdGVkIFN0YXRlcy48L2tleXdvcmQ+PGtleXdvcmQ+RXV0aGFuYXNpYSBMYXcgYW5kIGxl
Z2lzbGF0aW9uIFVuaXRlZCBTdGF0ZXMuPC9rZXl3b3JkPjxrZXl3b3JkPkFib3J0aW9uLjwva2V5
d29yZD48a2V5d29yZD5FdXRoYW5hc2lhLjwva2V5d29yZD48a2V5d29yZD5IdW1hbiByaWdodHMu
PC9rZXl3b3JkPjwva2V5d29yZHM+PGRhdGVzPjx5ZWFyPjE5OTM8L3llYXI+PC9kYXRlcz48cHVi
LWxvY2F0aW9uPk5ldyBZb3JrPC9wdWItbG9jYXRpb24+PHB1Ymxpc2hlcj5Lbm9wZjwvcHVibGlz
aGVyPjxpc2JuPjAzOTQ1ODk0MTY8L2lzYm4+PGFjY2Vzc2lvbi1udW0+MzkyNTg2MzwvYWNjZXNz
aW9uLW51bT48dXJscz48cmVsYXRlZC11cmxzPjx1cmw+UHVibGlzaGVyIGRlc2NyaXB0aW9uIGh0
dHA6Ly93d3cubG9jLmdvdi9jYXRkaXIvZGVzY3JpcHRpb24vcmFuZG9tMDQ3LzkyMDU0ODAwLmh0
bWw8L3VybD48L3JlbGF0ZWQtdXJscz48L3VybHM+PC9yZWNvcmQ+PC9DaXRlPjwvRW5kTm90ZT4A
</w:fldData>
        </w:fldChar>
      </w:r>
      <w:r w:rsidRPr="007233D0">
        <w:rPr>
          <w:sz w:val="20"/>
        </w:rPr>
        <w:instrText xml:space="preserve"> ADDIN EN.CITE.DATA </w:instrText>
      </w:r>
      <w:r w:rsidRPr="007233D0">
        <w:rPr>
          <w:sz w:val="20"/>
        </w:rPr>
      </w:r>
      <w:r w:rsidRPr="007233D0">
        <w:rPr>
          <w:sz w:val="20"/>
        </w:rPr>
        <w:fldChar w:fldCharType="end"/>
      </w:r>
      <w:r w:rsidRPr="007233D0">
        <w:rPr>
          <w:sz w:val="20"/>
        </w:rPr>
      </w:r>
      <w:r w:rsidRPr="007233D0">
        <w:rPr>
          <w:sz w:val="20"/>
        </w:rPr>
        <w:fldChar w:fldCharType="separate"/>
      </w:r>
      <w:r w:rsidRPr="007233D0">
        <w:rPr>
          <w:sz w:val="20"/>
        </w:rPr>
        <w:t xml:space="preserve">Rebecca Dresser, ‘Dworkin on Dementia: Elegant Theory, Questionable Policy’ (1995) 25(6) Hastings Cent Rep 32; cf Ronald Dworkin, </w:t>
      </w:r>
      <w:r w:rsidRPr="007233D0">
        <w:rPr>
          <w:i/>
          <w:sz w:val="20"/>
        </w:rPr>
        <w:t>Life's dominion: an argument about abortion, euthanasia, and individual freedom</w:t>
      </w:r>
      <w:r w:rsidRPr="007233D0">
        <w:rPr>
          <w:sz w:val="20"/>
        </w:rPr>
        <w:t xml:space="preserve"> (1st </w:t>
      </w:r>
      <w:proofErr w:type="spellStart"/>
      <w:r w:rsidRPr="007233D0">
        <w:rPr>
          <w:sz w:val="20"/>
        </w:rPr>
        <w:t>edn</w:t>
      </w:r>
      <w:proofErr w:type="spellEnd"/>
      <w:r w:rsidRPr="007233D0">
        <w:rPr>
          <w:sz w:val="20"/>
        </w:rPr>
        <w:t>, Knopf 1993)</w:t>
      </w:r>
      <w:r w:rsidRPr="007233D0">
        <w:rPr>
          <w:sz w:val="20"/>
        </w:rPr>
        <w:fldChar w:fldCharType="end"/>
      </w:r>
      <w:r w:rsidRPr="007233D0">
        <w:rPr>
          <w:sz w:val="20"/>
        </w:rPr>
        <w:t xml:space="preserve">. The </w:t>
      </w:r>
      <w:r w:rsidRPr="007233D0">
        <w:rPr>
          <w:i/>
          <w:sz w:val="20"/>
        </w:rPr>
        <w:t>slavery</w:t>
      </w:r>
      <w:r w:rsidRPr="007233D0">
        <w:rPr>
          <w:sz w:val="20"/>
        </w:rPr>
        <w:t xml:space="preserve"> argument relies on the loss of personal identity between </w:t>
      </w:r>
      <w:r w:rsidRPr="007233D0">
        <w:rPr>
          <w:i/>
          <w:sz w:val="20"/>
        </w:rPr>
        <w:t>P</w:t>
      </w:r>
      <w:r w:rsidRPr="007233D0">
        <w:rPr>
          <w:sz w:val="20"/>
        </w:rPr>
        <w:t xml:space="preserve"> at t</w:t>
      </w:r>
      <w:r w:rsidRPr="007233D0">
        <w:rPr>
          <w:sz w:val="20"/>
          <w:vertAlign w:val="subscript"/>
        </w:rPr>
        <w:t>1</w:t>
      </w:r>
      <w:r w:rsidRPr="007233D0">
        <w:rPr>
          <w:sz w:val="20"/>
        </w:rPr>
        <w:t xml:space="preserve"> and t</w:t>
      </w:r>
      <w:r w:rsidRPr="007233D0">
        <w:rPr>
          <w:sz w:val="20"/>
          <w:vertAlign w:val="subscript"/>
        </w:rPr>
        <w:t>2</w:t>
      </w:r>
      <w:r w:rsidRPr="007233D0">
        <w:rPr>
          <w:sz w:val="20"/>
        </w:rPr>
        <w:t xml:space="preserve"> in virtue of an absence of psychological continuity: </w:t>
      </w:r>
      <w:r w:rsidRPr="007233D0">
        <w:rPr>
          <w:sz w:val="20"/>
        </w:rPr>
        <w:fldChar w:fldCharType="begin"/>
      </w:r>
      <w:r w:rsidRPr="007233D0">
        <w:rPr>
          <w:sz w:val="20"/>
        </w:rPr>
        <w:instrText xml:space="preserve"> ADDIN EN.CITE &lt;EndNote&gt;&lt;Cite&gt;&lt;Author&gt;Parfit&lt;/Author&gt;&lt;Year&gt;1984&lt;/Year&gt;&lt;RecNum&gt;956&lt;/RecNum&gt;&lt;Pages&gt;Part III&lt;/Pages&gt;&lt;DisplayText&gt;Derek Parfit, &lt;style face="italic"&gt;Reasons and Persons&lt;/style&gt; (Clarendon Press 1984) Part III&lt;/DisplayText&gt;&lt;record&gt;&lt;rec-number&gt;956&lt;/rec-number&gt;&lt;foreign-keys&gt;&lt;key app="EN" db-id="29e2pr0ebtzaxkedz5b5aefxftsede200wps" timestamp="1469956988"&gt;956&lt;/key&gt;&lt;/foreign-keys&gt;&lt;ref-type name="Book (all books with authors, including edited or translated books)"&gt;6&lt;/ref-type&gt;&lt;contributors&gt;&lt;authors&gt;&lt;author&gt;Parfit, Derek&lt;/author&gt;&lt;/authors&gt;&lt;/contributors&gt;&lt;titles&gt;&lt;title&gt;Reasons and Persons&lt;/title&gt;&lt;/titles&gt;&lt;dates&gt;&lt;year&gt;1984&lt;/year&gt;&lt;/dates&gt;&lt;publisher&gt;Clarendon Press&lt;/publisher&gt;&lt;urls&gt;&lt;/urls&gt;&lt;/record&gt;&lt;/Cite&gt;&lt;/EndNote&gt;</w:instrText>
      </w:r>
      <w:r w:rsidRPr="007233D0">
        <w:rPr>
          <w:sz w:val="20"/>
        </w:rPr>
        <w:fldChar w:fldCharType="separate"/>
      </w:r>
      <w:r w:rsidRPr="007233D0">
        <w:rPr>
          <w:sz w:val="20"/>
        </w:rPr>
        <w:t xml:space="preserve">Derek </w:t>
      </w:r>
      <w:proofErr w:type="spellStart"/>
      <w:r w:rsidRPr="007233D0">
        <w:rPr>
          <w:sz w:val="20"/>
        </w:rPr>
        <w:t>Parfit</w:t>
      </w:r>
      <w:proofErr w:type="spellEnd"/>
      <w:r w:rsidRPr="007233D0">
        <w:rPr>
          <w:sz w:val="20"/>
        </w:rPr>
        <w:t xml:space="preserve">, </w:t>
      </w:r>
      <w:r w:rsidRPr="007233D0">
        <w:rPr>
          <w:i/>
          <w:sz w:val="20"/>
        </w:rPr>
        <w:t>Reasons and Persons</w:t>
      </w:r>
      <w:r w:rsidRPr="007233D0">
        <w:rPr>
          <w:sz w:val="20"/>
        </w:rPr>
        <w:t xml:space="preserve"> (Clarendon Press 1984) Part III</w:t>
      </w:r>
      <w:r w:rsidRPr="007233D0">
        <w:rPr>
          <w:sz w:val="20"/>
        </w:rPr>
        <w:fldChar w:fldCharType="end"/>
      </w:r>
      <w:r w:rsidRPr="007233D0">
        <w:rPr>
          <w:sz w:val="20"/>
        </w:rPr>
        <w:t xml:space="preserve">. Since </w:t>
      </w:r>
      <w:r w:rsidRPr="007233D0">
        <w:rPr>
          <w:i/>
          <w:sz w:val="20"/>
        </w:rPr>
        <w:t>P</w:t>
      </w:r>
      <w:r w:rsidRPr="007233D0">
        <w:rPr>
          <w:sz w:val="20"/>
        </w:rPr>
        <w:t xml:space="preserve"> and </w:t>
      </w:r>
      <w:r w:rsidRPr="007233D0">
        <w:rPr>
          <w:i/>
          <w:sz w:val="20"/>
        </w:rPr>
        <w:t xml:space="preserve">S </w:t>
      </w:r>
      <w:r w:rsidRPr="007233D0">
        <w:rPr>
          <w:sz w:val="20"/>
        </w:rPr>
        <w:t xml:space="preserve">are not identical, there is no subject to whom </w:t>
      </w:r>
      <w:r w:rsidRPr="007233D0">
        <w:rPr>
          <w:i/>
          <w:sz w:val="20"/>
        </w:rPr>
        <w:t>P</w:t>
      </w:r>
      <w:r w:rsidRPr="007233D0">
        <w:rPr>
          <w:sz w:val="20"/>
        </w:rPr>
        <w:t xml:space="preserve">’s advance refusal applies, and thus there is no relevant exercise of autonomy in respect of the manner and moment of death. One possible response to the </w:t>
      </w:r>
      <w:r w:rsidRPr="007233D0">
        <w:rPr>
          <w:i/>
          <w:sz w:val="20"/>
        </w:rPr>
        <w:t xml:space="preserve">slavery argument </w:t>
      </w:r>
      <w:r w:rsidRPr="007233D0">
        <w:rPr>
          <w:sz w:val="20"/>
        </w:rPr>
        <w:t>is to adopt the view—</w:t>
      </w:r>
      <w:r w:rsidRPr="007233D0">
        <w:rPr>
          <w:i/>
          <w:sz w:val="20"/>
        </w:rPr>
        <w:t>animalism</w:t>
      </w:r>
      <w:r w:rsidRPr="007233D0">
        <w:rPr>
          <w:sz w:val="20"/>
        </w:rPr>
        <w:t xml:space="preserve">—according to which personal identity consists in being numerically identical to an animal (or more restrictively, to a human animal): </w:t>
      </w:r>
      <w:r w:rsidRPr="007233D0">
        <w:rPr>
          <w:sz w:val="20"/>
        </w:rPr>
        <w:fldChar w:fldCharType="begin">
          <w:fldData xml:space="preserve">PEVuZE5vdGU+PENpdGU+PEF1dGhvcj5PbHNvbjwvQXV0aG9yPjxZZWFyPjE5OTc8L1llYXI+PFJl
Y051bT4yNzQzPC9SZWNOdW0+PERpc3BsYXlUZXh0PkVyaWMgVCBPbHNvbiwgPHN0eWxlIGZhY2U9
Iml0YWxpYyI+VGhlIGh1bWFuIGFuaW1hbDogcGVyc29uYWwgaWRlbnRpdHkgd2l0aG91dCBwc3lj
aG9sb2d5PC9zdHlsZT4gKE94Zm9yZCBVbml2ZXJzaXR5IFByZXNzIDE5OTcpOyBEYXZpZCBEZUdy
YXppYSwg4oCYQWR2YW5jZSBkaXJlY3RpdmVzLCBkZW1lbnRpYSwgYW5kICZhcG9zO3RoZSBzb21l
b25lIGVsc2UgcHJvYmxlbSZhcG9zO+KAmSAoMTk5OSkgMTMoNSkgQmlvZXRoaWNzIDM3MzwvRGlz
cGxheVRleHQ+PHJlY29yZD48cmVjLW51bWJlcj4yNzQzPC9yZWMtbnVtYmVyPjxmb3JlaWduLWtl
eXM+PGtleSBhcHA9IkVOIiBkYi1pZD0iMjllMnByMGVidHpheGtlZHo1YjVhZWZ4ZnRzZWRlMjAw
d3BzIiB0aW1lc3RhbXA9IjE1MjA3OTU2NDkiPjI3NDM8L2tleT48L2ZvcmVpZ24ta2V5cz48cmVm
LXR5cGUgbmFtZT0iQm9vayAoYWxsIGJvb2tzIHdpdGggYXV0aG9ycywgaW5jbHVkaW5nIGVkaXRl
ZCBvciB0cmFuc2xhdGVkIGJvb2tzKSI+NjwvcmVmLXR5cGU+PGNvbnRyaWJ1dG9ycz48YXV0aG9y
cz48YXV0aG9yPk9sc29uLCBFcmljIFQ8L2F1dGhvcj48L2F1dGhvcnM+PC9jb250cmlidXRvcnM+
PHRpdGxlcz48dGl0bGU+VGhlIGh1bWFuIGFuaW1hbDogcGVyc29uYWwgaWRlbnRpdHkgd2l0aG91
dCBwc3ljaG9sb2d5PC90aXRsZT48L3RpdGxlcz48a2V5d29yZHM+PGtleXdvcmQ+SHVtYW4gYmVp
bmdzLjwva2V5d29yZD48a2V5d29yZD5JZGVudGl0eSAoUGhpbG9zb3BoaWNhbCBjb25jZXB0KTwv
a2V5d29yZD48a2V5d29yZD5QaGlsb3NvcGh5IG9mIG1pbmQuPC9rZXl3b3JkPjwva2V5d29yZHM+
PGRhdGVzPjx5ZWFyPjE5OTc8L3llYXI+PC9kYXRlcz48cHViLWxvY2F0aW9uPk5ldyBZb3JrPC9w
dWItbG9jYXRpb24+PHB1Ymxpc2hlcj5PeGZvcmQgVW5pdmVyc2l0eSBQcmVzczwvcHVibGlzaGVy
Pjxpc2JuPjAxOTUxMDUwNjAgOiBObyBwcmljZTwvaXNibj48YWNjZXNzaW9uLW51bT5iOTcyMTE4
MDwvYWNjZXNzaW9uLW51bT48Y2FsbC1udW0+MTI4IDIxJiN4RDtCcml0aXNoIExpYnJhcnkgRFND
IDk3LzEwMzE4JiN4RDtCcml0aXNoIExpYnJhcnkgSE1OVFMgWUMuMTk5Ny5iLjI1NjE8L2NhbGwt
bnVtPjx1cmxzPjwvdXJscz48L3JlY29yZD48L0NpdGU+PENpdGU+PEF1dGhvcj5EZUdyYXppYTwv
QXV0aG9yPjxZZWFyPjE5OTk8L1llYXI+PFJlY051bT4yNzQyPC9SZWNOdW0+PHJlY29yZD48cmVj
LW51bWJlcj4yNzQyPC9yZWMtbnVtYmVyPjxmb3JlaWduLWtleXM+PGtleSBhcHA9IkVOIiBkYi1p
ZD0iMjllMnByMGVidHpheGtlZHo1YjVhZWZ4ZnRzZWRlMjAwd3BzIiB0aW1lc3RhbXA9IjE1MjA3
OTU0NjUiPjI3NDI8L2tleT48L2ZvcmVpZ24ta2V5cz48cmVmLXR5cGUgbmFtZT0iSm91cm5hbCBB
cnRpY2xlIj4xNzwvcmVmLXR5cGU+PGNvbnRyaWJ1dG9ycz48YXV0aG9ycz48YXV0aG9yPkRlR3Jh
emlhLCBEYXZpZDwvYXV0aG9yPjwvYXV0aG9ycz48L2NvbnRyaWJ1dG9ycz48dGl0bGVzPjx0aXRs
ZT5BZHZhbmNlIGRpcmVjdGl2ZXMsIGRlbWVudGlhLCBhbmQgJmFwb3M7dGhlIHNvbWVvbmUgZWxz
ZSBwcm9ibGVtJmFwb3M7PC90aXRsZT48c2Vjb25kYXJ5LXRpdGxlPkJpb2V0aGljczwvc2Vjb25k
YXJ5LXRpdGxlPjwvdGl0bGVzPjxwZXJpb2RpY2FsPjxmdWxsLXRpdGxlPkJpb2V0aGljczwvZnVs
bC10aXRsZT48YWJici0xPkJpb2V0aGljczwvYWJici0xPjxhYmJyLTI+QmlvZXRoaWNzPC9hYmJy
LTI+PC9wZXJpb2RpY2FsPjxwYWdlcz4zNzM8L3BhZ2VzPjx2b2x1bWU+MTM8L3ZvbHVtZT48bnVt
YmVyPjU8L251bWJlcj48ZWRpdGlvbj4yMDAxLzEwLzIwPC9lZGl0aW9uPjxrZXl3b3Jkcz48a2V5
d29yZD5BZHZhbmNlIERpcmVjdGl2ZSBBZGhlcmVuY2U8L2tleXdvcmQ+PGtleXdvcmQ+KkFkdmFu
Y2UgRGlyZWN0aXZlczwva2V5d29yZD48a2V5d29yZD5EZWNpc2lvbiBNYWtpbmc8L2tleXdvcmQ+
PGtleXdvcmQ+KkRlbWVudGlhPC9rZXl3b3JkPjxrZXl3b3JkPkh1bWFuczwva2V5d29yZD48a2V5
d29yZD4qSW5kaXZpZHVhbGl0eTwva2V5d29yZD48a2V5d29yZD5NZW50YWwgQ29tcGV0ZW5jeTwv
a2V5d29yZD48a2V5d29yZD4qUGVyc29uaG9vZDwva2V5d29yZD48a2V5d29yZD5UaW1lIEZhY3Rv
cnM8L2tleXdvcmQ+PGtleXdvcmQ+QW5hbHl0aWNhbCBBcHByb2FjaDwva2V5d29yZD48a2V5d29y
ZD5NZW50YWwgSGVhbHRoIFRoZXJhcGllczwva2V5d29yZD48a2V5d29yZD5QaGlsb3NvcGhpY2Fs
IEFwcHJvYWNoPC9rZXl3b3JkPjxrZXl3b3JkPlByb2Zlc3Npb25hbCBQYXRpZW50IFJlbGF0aW9u
c2hpcDwva2V5d29yZD48L2tleXdvcmRzPjxkYXRlcz48eWVhcj4xOTk5PC95ZWFyPjxwdWItZGF0
ZXM+PGRhdGU+T2N0PC9kYXRlPjwvcHViLWRhdGVzPjwvZGF0ZXM+PHB1Yi1sb2NhdGlvbj4xOTk5
PC9wdWItbG9jYXRpb24+PGlzYm4+MDI2OS05NzAyIChQcmludCkmI3hEOzAyNjktOTcwMiAoTGlu
a2luZyk8L2lzYm4+PGFjY2Vzc2lvbi1udW0+MTE2NTgxMjc8L2FjY2Vzc2lvbi1udW0+PHVybHM+
PHJlbGF0ZWQtdXJscz48dXJsPmh0dHBzOi8vd3d3Lm5jYmkubmxtLm5paC5nb3YvcHVibWVkLzEx
NjU4MTI3PC91cmw+PC9yZWxhdGVkLXVybHM+PC91cmxzPjwvcmVjb3JkPjwvQ2l0ZT48L0VuZE5v
dGU+AG==
</w:fldData>
        </w:fldChar>
      </w:r>
      <w:r w:rsidRPr="007233D0">
        <w:rPr>
          <w:sz w:val="20"/>
        </w:rPr>
        <w:instrText xml:space="preserve"> ADDIN EN.CITE </w:instrText>
      </w:r>
      <w:r w:rsidRPr="007233D0">
        <w:rPr>
          <w:sz w:val="20"/>
        </w:rPr>
        <w:fldChar w:fldCharType="begin">
          <w:fldData xml:space="preserve">PEVuZE5vdGU+PENpdGU+PEF1dGhvcj5PbHNvbjwvQXV0aG9yPjxZZWFyPjE5OTc8L1llYXI+PFJl
Y051bT4yNzQzPC9SZWNOdW0+PERpc3BsYXlUZXh0PkVyaWMgVCBPbHNvbiwgPHN0eWxlIGZhY2U9
Iml0YWxpYyI+VGhlIGh1bWFuIGFuaW1hbDogcGVyc29uYWwgaWRlbnRpdHkgd2l0aG91dCBwc3lj
aG9sb2d5PC9zdHlsZT4gKE94Zm9yZCBVbml2ZXJzaXR5IFByZXNzIDE5OTcpOyBEYXZpZCBEZUdy
YXppYSwg4oCYQWR2YW5jZSBkaXJlY3RpdmVzLCBkZW1lbnRpYSwgYW5kICZhcG9zO3RoZSBzb21l
b25lIGVsc2UgcHJvYmxlbSZhcG9zO+KAmSAoMTk5OSkgMTMoNSkgQmlvZXRoaWNzIDM3MzwvRGlz
cGxheVRleHQ+PHJlY29yZD48cmVjLW51bWJlcj4yNzQzPC9yZWMtbnVtYmVyPjxmb3JlaWduLWtl
eXM+PGtleSBhcHA9IkVOIiBkYi1pZD0iMjllMnByMGVidHpheGtlZHo1YjVhZWZ4ZnRzZWRlMjAw
d3BzIiB0aW1lc3RhbXA9IjE1MjA3OTU2NDkiPjI3NDM8L2tleT48L2ZvcmVpZ24ta2V5cz48cmVm
LXR5cGUgbmFtZT0iQm9vayAoYWxsIGJvb2tzIHdpdGggYXV0aG9ycywgaW5jbHVkaW5nIGVkaXRl
ZCBvciB0cmFuc2xhdGVkIGJvb2tzKSI+NjwvcmVmLXR5cGU+PGNvbnRyaWJ1dG9ycz48YXV0aG9y
cz48YXV0aG9yPk9sc29uLCBFcmljIFQ8L2F1dGhvcj48L2F1dGhvcnM+PC9jb250cmlidXRvcnM+
PHRpdGxlcz48dGl0bGU+VGhlIGh1bWFuIGFuaW1hbDogcGVyc29uYWwgaWRlbnRpdHkgd2l0aG91
dCBwc3ljaG9sb2d5PC90aXRsZT48L3RpdGxlcz48a2V5d29yZHM+PGtleXdvcmQ+SHVtYW4gYmVp
bmdzLjwva2V5d29yZD48a2V5d29yZD5JZGVudGl0eSAoUGhpbG9zb3BoaWNhbCBjb25jZXB0KTwv
a2V5d29yZD48a2V5d29yZD5QaGlsb3NvcGh5IG9mIG1pbmQuPC9rZXl3b3JkPjwva2V5d29yZHM+
PGRhdGVzPjx5ZWFyPjE5OTc8L3llYXI+PC9kYXRlcz48cHViLWxvY2F0aW9uPk5ldyBZb3JrPC9w
dWItbG9jYXRpb24+PHB1Ymxpc2hlcj5PeGZvcmQgVW5pdmVyc2l0eSBQcmVzczwvcHVibGlzaGVy
Pjxpc2JuPjAxOTUxMDUwNjAgOiBObyBwcmljZTwvaXNibj48YWNjZXNzaW9uLW51bT5iOTcyMTE4
MDwvYWNjZXNzaW9uLW51bT48Y2FsbC1udW0+MTI4IDIxJiN4RDtCcml0aXNoIExpYnJhcnkgRFND
IDk3LzEwMzE4JiN4RDtCcml0aXNoIExpYnJhcnkgSE1OVFMgWUMuMTk5Ny5iLjI1NjE8L2NhbGwt
bnVtPjx1cmxzPjwvdXJscz48L3JlY29yZD48L0NpdGU+PENpdGU+PEF1dGhvcj5EZUdyYXppYTwv
QXV0aG9yPjxZZWFyPjE5OTk8L1llYXI+PFJlY051bT4yNzQyPC9SZWNOdW0+PHJlY29yZD48cmVj
LW51bWJlcj4yNzQyPC9yZWMtbnVtYmVyPjxmb3JlaWduLWtleXM+PGtleSBhcHA9IkVOIiBkYi1p
ZD0iMjllMnByMGVidHpheGtlZHo1YjVhZWZ4ZnRzZWRlMjAwd3BzIiB0aW1lc3RhbXA9IjE1MjA3
OTU0NjUiPjI3NDI8L2tleT48L2ZvcmVpZ24ta2V5cz48cmVmLXR5cGUgbmFtZT0iSm91cm5hbCBB
cnRpY2xlIj4xNzwvcmVmLXR5cGU+PGNvbnRyaWJ1dG9ycz48YXV0aG9ycz48YXV0aG9yPkRlR3Jh
emlhLCBEYXZpZDwvYXV0aG9yPjwvYXV0aG9ycz48L2NvbnRyaWJ1dG9ycz48dGl0bGVzPjx0aXRs
ZT5BZHZhbmNlIGRpcmVjdGl2ZXMsIGRlbWVudGlhLCBhbmQgJmFwb3M7dGhlIHNvbWVvbmUgZWxz
ZSBwcm9ibGVtJmFwb3M7PC90aXRsZT48c2Vjb25kYXJ5LXRpdGxlPkJpb2V0aGljczwvc2Vjb25k
YXJ5LXRpdGxlPjwvdGl0bGVzPjxwZXJpb2RpY2FsPjxmdWxsLXRpdGxlPkJpb2V0aGljczwvZnVs
bC10aXRsZT48YWJici0xPkJpb2V0aGljczwvYWJici0xPjxhYmJyLTI+QmlvZXRoaWNzPC9hYmJy
LTI+PC9wZXJpb2RpY2FsPjxwYWdlcz4zNzM8L3BhZ2VzPjx2b2x1bWU+MTM8L3ZvbHVtZT48bnVt
YmVyPjU8L251bWJlcj48ZWRpdGlvbj4yMDAxLzEwLzIwPC9lZGl0aW9uPjxrZXl3b3Jkcz48a2V5
d29yZD5BZHZhbmNlIERpcmVjdGl2ZSBBZGhlcmVuY2U8L2tleXdvcmQ+PGtleXdvcmQ+KkFkdmFu
Y2UgRGlyZWN0aXZlczwva2V5d29yZD48a2V5d29yZD5EZWNpc2lvbiBNYWtpbmc8L2tleXdvcmQ+
PGtleXdvcmQ+KkRlbWVudGlhPC9rZXl3b3JkPjxrZXl3b3JkPkh1bWFuczwva2V5d29yZD48a2V5
d29yZD4qSW5kaXZpZHVhbGl0eTwva2V5d29yZD48a2V5d29yZD5NZW50YWwgQ29tcGV0ZW5jeTwv
a2V5d29yZD48a2V5d29yZD4qUGVyc29uaG9vZDwva2V5d29yZD48a2V5d29yZD5UaW1lIEZhY3Rv
cnM8L2tleXdvcmQ+PGtleXdvcmQ+QW5hbHl0aWNhbCBBcHByb2FjaDwva2V5d29yZD48a2V5d29y
ZD5NZW50YWwgSGVhbHRoIFRoZXJhcGllczwva2V5d29yZD48a2V5d29yZD5QaGlsb3NvcGhpY2Fs
IEFwcHJvYWNoPC9rZXl3b3JkPjxrZXl3b3JkPlByb2Zlc3Npb25hbCBQYXRpZW50IFJlbGF0aW9u
c2hpcDwva2V5d29yZD48L2tleXdvcmRzPjxkYXRlcz48eWVhcj4xOTk5PC95ZWFyPjxwdWItZGF0
ZXM+PGRhdGU+T2N0PC9kYXRlPjwvcHViLWRhdGVzPjwvZGF0ZXM+PHB1Yi1sb2NhdGlvbj4xOTk5
PC9wdWItbG9jYXRpb24+PGlzYm4+MDI2OS05NzAyIChQcmludCkmI3hEOzAyNjktOTcwMiAoTGlu
a2luZyk8L2lzYm4+PGFjY2Vzc2lvbi1udW0+MTE2NTgxMjc8L2FjY2Vzc2lvbi1udW0+PHVybHM+
PHJlbGF0ZWQtdXJscz48dXJsPmh0dHBzOi8vd3d3Lm5jYmkubmxtLm5paC5nb3YvcHVibWVkLzEx
NjU4MTI3PC91cmw+PC9yZWxhdGVkLXVybHM+PC91cmxzPjwvcmVjb3JkPjwvQ2l0ZT48L0VuZE5v
dGU+AG==
</w:fldData>
        </w:fldChar>
      </w:r>
      <w:r w:rsidRPr="007233D0">
        <w:rPr>
          <w:sz w:val="20"/>
        </w:rPr>
        <w:instrText xml:space="preserve"> ADDIN EN.CITE.DATA </w:instrText>
      </w:r>
      <w:r w:rsidRPr="007233D0">
        <w:rPr>
          <w:sz w:val="20"/>
        </w:rPr>
      </w:r>
      <w:r w:rsidRPr="007233D0">
        <w:rPr>
          <w:sz w:val="20"/>
        </w:rPr>
        <w:fldChar w:fldCharType="end"/>
      </w:r>
      <w:r w:rsidRPr="007233D0">
        <w:rPr>
          <w:sz w:val="20"/>
        </w:rPr>
      </w:r>
      <w:r w:rsidRPr="007233D0">
        <w:rPr>
          <w:sz w:val="20"/>
        </w:rPr>
        <w:fldChar w:fldCharType="separate"/>
      </w:r>
      <w:r w:rsidRPr="007233D0">
        <w:rPr>
          <w:noProof/>
          <w:sz w:val="20"/>
        </w:rPr>
        <w:t xml:space="preserve">Eric T Olson, </w:t>
      </w:r>
      <w:r w:rsidRPr="007233D0">
        <w:rPr>
          <w:i/>
          <w:noProof/>
          <w:sz w:val="20"/>
        </w:rPr>
        <w:t>The human animal: personal identity without psychology</w:t>
      </w:r>
      <w:r w:rsidRPr="007233D0">
        <w:rPr>
          <w:noProof/>
          <w:sz w:val="20"/>
        </w:rPr>
        <w:t xml:space="preserve"> (Oxford University Press 1997); David DeGrazia, ‘Advance directives, dementia, and 'the someone else problem'’ (1999) 13(5) Bioethics 373</w:t>
      </w:r>
      <w:r w:rsidRPr="007233D0">
        <w:rPr>
          <w:sz w:val="20"/>
        </w:rPr>
        <w:fldChar w:fldCharType="end"/>
      </w:r>
      <w:r w:rsidRPr="007233D0">
        <w:rPr>
          <w:sz w:val="20"/>
        </w:rPr>
        <w:t xml:space="preserve">. </w:t>
      </w:r>
      <w:proofErr w:type="gramStart"/>
      <w:r w:rsidRPr="007233D0">
        <w:rPr>
          <w:sz w:val="20"/>
        </w:rPr>
        <w:t>Thus</w:t>
      </w:r>
      <w:proofErr w:type="gramEnd"/>
      <w:r w:rsidRPr="007233D0">
        <w:rPr>
          <w:sz w:val="20"/>
        </w:rPr>
        <w:t xml:space="preserve"> provided </w:t>
      </w:r>
      <w:r w:rsidRPr="007233D0">
        <w:rPr>
          <w:i/>
          <w:sz w:val="20"/>
        </w:rPr>
        <w:t>P</w:t>
      </w:r>
      <w:r w:rsidRPr="007233D0">
        <w:rPr>
          <w:sz w:val="20"/>
        </w:rPr>
        <w:t xml:space="preserve">’s animal exists at </w:t>
      </w:r>
      <w:r w:rsidRPr="007233D0">
        <w:rPr>
          <w:i/>
          <w:sz w:val="20"/>
        </w:rPr>
        <w:t>t</w:t>
      </w:r>
      <w:r w:rsidRPr="007233D0">
        <w:rPr>
          <w:sz w:val="20"/>
          <w:vertAlign w:val="subscript"/>
        </w:rPr>
        <w:t>1</w:t>
      </w:r>
      <w:r w:rsidRPr="007233D0">
        <w:rPr>
          <w:sz w:val="20"/>
        </w:rPr>
        <w:t xml:space="preserve"> and </w:t>
      </w:r>
      <w:r w:rsidRPr="007233D0">
        <w:rPr>
          <w:i/>
          <w:sz w:val="20"/>
        </w:rPr>
        <w:t>t</w:t>
      </w:r>
      <w:r w:rsidRPr="007233D0">
        <w:rPr>
          <w:sz w:val="20"/>
          <w:vertAlign w:val="subscript"/>
        </w:rPr>
        <w:t>2</w:t>
      </w:r>
      <w:r w:rsidRPr="007233D0">
        <w:rPr>
          <w:sz w:val="20"/>
        </w:rPr>
        <w:t xml:space="preserve">, the advance refusal is an autonomous decision taken by </w:t>
      </w:r>
      <w:r w:rsidRPr="007233D0">
        <w:rPr>
          <w:i/>
          <w:sz w:val="20"/>
        </w:rPr>
        <w:t>P</w:t>
      </w:r>
      <w:r w:rsidRPr="007233D0">
        <w:rPr>
          <w:sz w:val="20"/>
        </w:rPr>
        <w:t xml:space="preserve"> at </w:t>
      </w:r>
      <w:r w:rsidRPr="007233D0">
        <w:rPr>
          <w:i/>
          <w:sz w:val="20"/>
        </w:rPr>
        <w:t>t</w:t>
      </w:r>
      <w:r w:rsidRPr="007233D0">
        <w:rPr>
          <w:sz w:val="20"/>
          <w:vertAlign w:val="subscript"/>
        </w:rPr>
        <w:t>1</w:t>
      </w:r>
      <w:r w:rsidRPr="007233D0">
        <w:rPr>
          <w:sz w:val="20"/>
        </w:rPr>
        <w:t xml:space="preserve">, for </w:t>
      </w:r>
      <w:r w:rsidRPr="007233D0">
        <w:rPr>
          <w:i/>
          <w:sz w:val="20"/>
        </w:rPr>
        <w:t>P</w:t>
      </w:r>
      <w:r w:rsidRPr="007233D0">
        <w:rPr>
          <w:sz w:val="20"/>
        </w:rPr>
        <w:t xml:space="preserve"> at </w:t>
      </w:r>
      <w:r w:rsidRPr="007233D0">
        <w:rPr>
          <w:i/>
          <w:sz w:val="20"/>
        </w:rPr>
        <w:t>t</w:t>
      </w:r>
      <w:r w:rsidRPr="007233D0">
        <w:rPr>
          <w:sz w:val="20"/>
          <w:vertAlign w:val="subscript"/>
        </w:rPr>
        <w:t>2</w:t>
      </w:r>
      <w:r w:rsidRPr="007233D0">
        <w:rPr>
          <w:sz w:val="20"/>
        </w:rPr>
        <w:t xml:space="preserve">. Alternatively, we might accept the psychological continuity account of personal identity, but deny that this is a general problem for article 8(1) ECHR’s engagement when </w:t>
      </w:r>
      <w:r w:rsidRPr="007233D0">
        <w:rPr>
          <w:i/>
          <w:sz w:val="20"/>
        </w:rPr>
        <w:t>P</w:t>
      </w:r>
      <w:r w:rsidRPr="007233D0">
        <w:rPr>
          <w:sz w:val="20"/>
        </w:rPr>
        <w:t xml:space="preserve"> makes an advance refusal. For the loss of personal identity is the exception (eg severe dementia), rather than the rule. In most cases, it seems plausible that sufficient psychological continuity exists between autonomous </w:t>
      </w:r>
      <w:r w:rsidRPr="007233D0">
        <w:rPr>
          <w:i/>
          <w:sz w:val="20"/>
        </w:rPr>
        <w:t>P</w:t>
      </w:r>
      <w:r w:rsidRPr="007233D0">
        <w:rPr>
          <w:sz w:val="20"/>
        </w:rPr>
        <w:t xml:space="preserve"> at </w:t>
      </w:r>
      <w:r w:rsidRPr="007233D0">
        <w:rPr>
          <w:i/>
          <w:sz w:val="20"/>
        </w:rPr>
        <w:t>t</w:t>
      </w:r>
      <w:r w:rsidRPr="007233D0">
        <w:rPr>
          <w:sz w:val="20"/>
          <w:vertAlign w:val="subscript"/>
        </w:rPr>
        <w:t>1</w:t>
      </w:r>
      <w:r w:rsidRPr="007233D0">
        <w:rPr>
          <w:sz w:val="20"/>
        </w:rPr>
        <w:t xml:space="preserve"> and non-autonomous </w:t>
      </w:r>
      <w:r w:rsidRPr="007233D0">
        <w:rPr>
          <w:i/>
          <w:sz w:val="20"/>
        </w:rPr>
        <w:t>P</w:t>
      </w:r>
      <w:r w:rsidRPr="007233D0">
        <w:rPr>
          <w:sz w:val="20"/>
        </w:rPr>
        <w:t xml:space="preserve"> at </w:t>
      </w:r>
      <w:r w:rsidRPr="007233D0">
        <w:rPr>
          <w:i/>
          <w:sz w:val="20"/>
        </w:rPr>
        <w:t>t</w:t>
      </w:r>
      <w:r w:rsidRPr="007233D0">
        <w:rPr>
          <w:sz w:val="20"/>
          <w:vertAlign w:val="subscript"/>
        </w:rPr>
        <w:t>2</w:t>
      </w:r>
      <w:r w:rsidRPr="007233D0">
        <w:rPr>
          <w:sz w:val="20"/>
        </w:rPr>
        <w:t xml:space="preserve">.  Second, and somewhat trickier, according to the </w:t>
      </w:r>
      <w:r w:rsidRPr="007233D0">
        <w:rPr>
          <w:i/>
          <w:sz w:val="20"/>
        </w:rPr>
        <w:t>self-knowledge</w:t>
      </w:r>
      <w:r w:rsidRPr="007233D0">
        <w:rPr>
          <w:sz w:val="20"/>
        </w:rPr>
        <w:t xml:space="preserve"> argument, </w:t>
      </w:r>
      <w:r w:rsidRPr="007233D0">
        <w:rPr>
          <w:i/>
          <w:sz w:val="20"/>
        </w:rPr>
        <w:t>P</w:t>
      </w:r>
      <w:r w:rsidRPr="007233D0">
        <w:rPr>
          <w:sz w:val="20"/>
        </w:rPr>
        <w:t xml:space="preserve">’s lack of knowledge about the values and beliefs she will hold when she lacks capacity makes it the case that any advance refusal is non-autonomous. Hence, article 8(1) ECHR would not be engaged. In respect of this </w:t>
      </w:r>
      <w:r w:rsidRPr="007233D0">
        <w:rPr>
          <w:i/>
          <w:sz w:val="20"/>
        </w:rPr>
        <w:t xml:space="preserve">epistemic </w:t>
      </w:r>
      <w:r w:rsidRPr="007233D0">
        <w:rPr>
          <w:sz w:val="20"/>
        </w:rPr>
        <w:t>concern about advance refusals, we might consider our present acts of self-interpretation to determine the values and beliefs that our incapacitated selves possess. As Christopher Buford argues, ‘[p]</w:t>
      </w:r>
      <w:proofErr w:type="spellStart"/>
      <w:r w:rsidRPr="007233D0">
        <w:rPr>
          <w:sz w:val="20"/>
        </w:rPr>
        <w:t>erhaps</w:t>
      </w:r>
      <w:proofErr w:type="spellEnd"/>
      <w:r w:rsidRPr="007233D0">
        <w:rPr>
          <w:sz w:val="20"/>
        </w:rPr>
        <w:t xml:space="preserve"> I know what my future self will want or value in virtue of expressing such attitudes now. That is, since I am now a person, capable of forming the higher-order desires needed to express such attitudes, and my future-self will not be in a position to express or form these attitudes, my expression of certain values makes it the case that my future self has these values as well’: </w:t>
      </w:r>
      <w:r w:rsidRPr="007233D0">
        <w:rPr>
          <w:sz w:val="20"/>
        </w:rPr>
        <w:fldChar w:fldCharType="begin"/>
      </w:r>
      <w:r w:rsidRPr="007233D0">
        <w:rPr>
          <w:sz w:val="20"/>
        </w:rPr>
        <w:instrText xml:space="preserve"> ADDIN EN.CITE &lt;EndNote&gt;&lt;Cite&gt;&lt;Author&gt;Buford&lt;/Author&gt;&lt;Year&gt;2017&lt;/Year&gt;&lt;RecNum&gt;2744&lt;/RecNum&gt;&lt;DisplayText&gt;Christopher Buford, ‘Advance directives and knowledge of future selves’ (2017) 3 Palgrave Communications 17077&lt;/DisplayText&gt;&lt;record&gt;&lt;rec-number&gt;2744&lt;/rec-number&gt;&lt;foreign-keys&gt;&lt;key app="EN" db-id="29e2pr0ebtzaxkedz5b5aefxftsede200wps" timestamp="1520796358"&gt;2744&lt;/key&gt;&lt;/foreign-keys&gt;&lt;ref-type name="Journal Article"&gt;17&lt;/ref-type&gt;&lt;contributors&gt;&lt;authors&gt;&lt;author&gt;Buford, Christopher&lt;/author&gt;&lt;/authors&gt;&lt;/contributors&gt;&lt;titles&gt;&lt;title&gt;Advance directives and knowledge of future selves&lt;/title&gt;&lt;secondary-title&gt;Palgrave Communications&lt;/secondary-title&gt;&lt;/titles&gt;&lt;periodical&gt;&lt;full-title&gt;Palgrave Communications&lt;/full-title&gt;&lt;/periodical&gt;&lt;pages&gt;17077&lt;/pages&gt;&lt;volume&gt;3&lt;/volume&gt;&lt;dates&gt;&lt;year&gt;2017&lt;/year&gt;&lt;pub-dates&gt;&lt;date&gt;08/22/online&lt;/date&gt;&lt;/pub-dates&gt;&lt;/dates&gt;&lt;pub-location&gt;2017&lt;/pub-location&gt;&lt;work-type&gt;Article&lt;/work-type&gt;&lt;urls&gt;&lt;related-urls&gt;&lt;url&gt;http://dx.doi.org/10.1057/palcomms.2017.77&lt;/url&gt;&lt;url&gt;https://www.nature.com/articles/palcomms201777.pdf&lt;/url&gt;&lt;/related-urls&gt;&lt;/urls&gt;&lt;electronic-resource-num&gt;10.1057/palcomms.2017.77&lt;/electronic-resource-num&gt;&lt;/record&gt;&lt;/Cite&gt;&lt;/EndNote&gt;</w:instrText>
      </w:r>
      <w:r w:rsidRPr="007233D0">
        <w:rPr>
          <w:sz w:val="20"/>
        </w:rPr>
        <w:fldChar w:fldCharType="separate"/>
      </w:r>
      <w:r w:rsidRPr="007233D0">
        <w:rPr>
          <w:sz w:val="20"/>
        </w:rPr>
        <w:t>Christopher Buford, ‘Advance directives and knowledge of future selves’ (2017) 3 Palgrave Communications 17077</w:t>
      </w:r>
      <w:r w:rsidRPr="007233D0">
        <w:rPr>
          <w:sz w:val="20"/>
        </w:rPr>
        <w:fldChar w:fldCharType="end"/>
      </w:r>
      <w:r w:rsidRPr="007233D0">
        <w:rPr>
          <w:sz w:val="20"/>
        </w:rPr>
        <w:t>.</w:t>
      </w:r>
      <w:bookmarkEnd w:id="14"/>
    </w:p>
  </w:footnote>
  <w:footnote w:id="23">
    <w:p w14:paraId="3A9C5FEE" w14:textId="6DF67E2B" w:rsidR="002D131A" w:rsidRPr="007233D0" w:rsidRDefault="002D131A">
      <w:pPr>
        <w:pStyle w:val="FootnoteText"/>
        <w:rPr>
          <w:sz w:val="20"/>
        </w:rPr>
      </w:pPr>
      <w:r w:rsidRPr="007233D0">
        <w:rPr>
          <w:rStyle w:val="FootnoteReference"/>
          <w:sz w:val="20"/>
        </w:rPr>
        <w:footnoteRef/>
      </w:r>
      <w:r w:rsidRPr="007233D0">
        <w:rPr>
          <w:sz w:val="20"/>
        </w:rPr>
        <w:t xml:space="preserve"> eg </w:t>
      </w:r>
      <w:r w:rsidRPr="007233D0">
        <w:rPr>
          <w:sz w:val="20"/>
        </w:rPr>
        <w:fldChar w:fldCharType="begin"/>
      </w:r>
      <w:r w:rsidRPr="007233D0">
        <w:rPr>
          <w:sz w:val="20"/>
        </w:rPr>
        <w:instrText xml:space="preserve"> ADDIN EN.CITE &lt;EndNote&gt;&lt;Cite ExcludeAuth="1"&gt;&lt;Year&gt;2002&lt;/Year&gt;&lt;RecNum&gt;1822&lt;/RecNum&gt;&lt;Pages&gt;[143]&lt;/Pages&gt;&lt;DisplayText&gt;&lt;style face="italic"&gt;Scozzari v Italy &lt;/style&gt;(2002) 35 EHRR 12 (ECtHR) [143]&lt;/DisplayText&gt;&lt;record&gt;&lt;rec-number&gt;1822&lt;/rec-number&gt;&lt;foreign-keys&gt;&lt;key app="EN" db-id="29e2pr0ebtzaxkedz5b5aefxftsede200wps" timestamp="1469958548"&gt;1822&lt;/key&gt;&lt;/foreign-keys&gt;&lt;ref-type name="Case (inc all UK, ECJ and ECtHR cases)"&gt;7&lt;/ref-type&gt;&lt;contributors&gt;&lt;/contributors&gt;&lt;titles&gt;&lt;title&gt;Scozzari v Italy&lt;/title&gt;&lt;secondary-title&gt;(2002) 35 EHRR 12&lt;/secondary-title&gt;&lt;/titles&gt;&lt;dates&gt;&lt;year&gt;2002&lt;/year&gt;&lt;/dates&gt;&lt;publisher&gt;ECtHR&lt;/publisher&gt;&lt;urls&gt;&lt;/urls&gt;&lt;/record&gt;&lt;/Cite&gt;&lt;/EndNote&gt;</w:instrText>
      </w:r>
      <w:r w:rsidRPr="007233D0">
        <w:rPr>
          <w:sz w:val="20"/>
        </w:rPr>
        <w:fldChar w:fldCharType="separate"/>
      </w:r>
      <w:proofErr w:type="spellStart"/>
      <w:r w:rsidRPr="007233D0">
        <w:rPr>
          <w:i/>
          <w:sz w:val="20"/>
        </w:rPr>
        <w:t>Scozzari</w:t>
      </w:r>
      <w:proofErr w:type="spellEnd"/>
      <w:r w:rsidRPr="007233D0">
        <w:rPr>
          <w:i/>
          <w:sz w:val="20"/>
        </w:rPr>
        <w:t xml:space="preserve"> v Italy </w:t>
      </w:r>
      <w:r w:rsidRPr="007233D0">
        <w:rPr>
          <w:sz w:val="20"/>
        </w:rPr>
        <w:t>(2002) 35 EHRR 12 (ECtHR) [143]</w:t>
      </w:r>
      <w:r w:rsidRPr="007233D0">
        <w:rPr>
          <w:sz w:val="20"/>
        </w:rPr>
        <w:fldChar w:fldCharType="end"/>
      </w:r>
      <w:r w:rsidRPr="007233D0">
        <w:rPr>
          <w:sz w:val="20"/>
        </w:rPr>
        <w:t>.</w:t>
      </w:r>
    </w:p>
  </w:footnote>
  <w:footnote w:id="24">
    <w:p w14:paraId="28F6C6E8" w14:textId="1211BB57" w:rsidR="002D131A" w:rsidRPr="007233D0" w:rsidRDefault="002D131A">
      <w:pPr>
        <w:pStyle w:val="FootnoteText"/>
        <w:rPr>
          <w:sz w:val="20"/>
        </w:rPr>
      </w:pPr>
      <w:r w:rsidRPr="007233D0">
        <w:rPr>
          <w:rStyle w:val="FootnoteReference"/>
          <w:sz w:val="20"/>
        </w:rPr>
        <w:footnoteRef/>
      </w:r>
      <w:r w:rsidRPr="007233D0">
        <w:rPr>
          <w:sz w:val="20"/>
        </w:rPr>
        <w:t xml:space="preserve"> eg </w:t>
      </w:r>
      <w:r w:rsidRPr="007233D0">
        <w:rPr>
          <w:sz w:val="20"/>
        </w:rPr>
        <w:fldChar w:fldCharType="begin"/>
      </w:r>
      <w:r w:rsidRPr="007233D0">
        <w:rPr>
          <w:sz w:val="20"/>
        </w:rPr>
        <w:instrText xml:space="preserve"> ADDIN EN.CITE &lt;EndNote&gt;&lt;Cite ExcludeAuth="1"&gt;&lt;Year&gt;1984&lt;/Year&gt;&lt;RecNum&gt;2201&lt;/RecNum&gt;&lt;DisplayText&gt;&lt;style face="italic"&gt;Acmanne v Belgium &lt;/style&gt;(1984) 10435/83 (ECmHR)&lt;/DisplayText&gt;&lt;record&gt;&lt;rec-number&gt;2201&lt;/rec-number&gt;&lt;foreign-keys&gt;&lt;key app="EN" db-id="29e2pr0ebtzaxkedz5b5aefxftsede200wps" timestamp="1471265468"&gt;2201&lt;/key&gt;&lt;/foreign-keys&gt;&lt;ref-type name="Case (inc all UK, ECJ and ECtHR cases)"&gt;7&lt;/ref-type&gt;&lt;contributors&gt;&lt;/contributors&gt;&lt;titles&gt;&lt;title&gt;Acmanne v Belgium&lt;/title&gt;&lt;secondary-title&gt;(1984) 10435/83&lt;/secondary-title&gt;&lt;/titles&gt;&lt;dates&gt;&lt;year&gt;1984&lt;/year&gt;&lt;/dates&gt;&lt;publisher&gt;ECmHR&lt;/publisher&gt;&lt;urls&gt;&lt;/urls&gt;&lt;/record&gt;&lt;/Cite&gt;&lt;/EndNote&gt;</w:instrText>
      </w:r>
      <w:r w:rsidRPr="007233D0">
        <w:rPr>
          <w:sz w:val="20"/>
        </w:rPr>
        <w:fldChar w:fldCharType="separate"/>
      </w:r>
      <w:proofErr w:type="spellStart"/>
      <w:r w:rsidRPr="007233D0">
        <w:rPr>
          <w:i/>
          <w:sz w:val="20"/>
        </w:rPr>
        <w:t>Acmanne</w:t>
      </w:r>
      <w:proofErr w:type="spellEnd"/>
      <w:r w:rsidRPr="007233D0">
        <w:rPr>
          <w:i/>
          <w:sz w:val="20"/>
        </w:rPr>
        <w:t xml:space="preserve"> v Belgium </w:t>
      </w:r>
      <w:r w:rsidRPr="007233D0">
        <w:rPr>
          <w:sz w:val="20"/>
        </w:rPr>
        <w:t>(1984) 10435/83 (</w:t>
      </w:r>
      <w:proofErr w:type="spellStart"/>
      <w:r w:rsidRPr="007233D0">
        <w:rPr>
          <w:sz w:val="20"/>
        </w:rPr>
        <w:t>ECmHR</w:t>
      </w:r>
      <w:proofErr w:type="spellEnd"/>
      <w:r w:rsidRPr="007233D0">
        <w:rPr>
          <w:sz w:val="20"/>
        </w:rPr>
        <w:t>)</w:t>
      </w:r>
      <w:r w:rsidRPr="007233D0">
        <w:rPr>
          <w:sz w:val="20"/>
        </w:rPr>
        <w:fldChar w:fldCharType="end"/>
      </w:r>
      <w:r w:rsidRPr="007233D0">
        <w:rPr>
          <w:sz w:val="20"/>
        </w:rPr>
        <w:t>.</w:t>
      </w:r>
    </w:p>
  </w:footnote>
  <w:footnote w:id="25">
    <w:p w14:paraId="2A456C9A" w14:textId="574C4FE6" w:rsidR="002D131A" w:rsidRPr="007233D0" w:rsidRDefault="002D131A">
      <w:pPr>
        <w:pStyle w:val="FootnoteText"/>
        <w:rPr>
          <w:sz w:val="20"/>
        </w:rPr>
      </w:pPr>
      <w:r w:rsidRPr="007233D0">
        <w:rPr>
          <w:rStyle w:val="FootnoteReference"/>
          <w:sz w:val="20"/>
        </w:rPr>
        <w:footnoteRef/>
      </w:r>
      <w:r w:rsidRPr="007233D0">
        <w:rPr>
          <w:sz w:val="20"/>
        </w:rPr>
        <w:t xml:space="preserve"> See </w:t>
      </w:r>
      <w:r w:rsidRPr="007233D0">
        <w:rPr>
          <w:sz w:val="20"/>
        </w:rPr>
        <w:fldChar w:fldCharType="begin"/>
      </w:r>
      <w:r w:rsidRPr="007233D0">
        <w:rPr>
          <w:sz w:val="20"/>
        </w:rPr>
        <w:instrText xml:space="preserve"> ADDIN EN.CITE &lt;EndNote&gt;&lt;Cite&gt;&lt;Author&gt;Nowlin&lt;/Author&gt;&lt;Year&gt;2002&lt;/Year&gt;&lt;RecNum&gt;2202&lt;/RecNum&gt;&lt;DisplayText&gt;Christopher J Nowlin, ‘The Protection of Morals Under the European Convention for the Protection of Human Rights and Fundamental Freedoms’ (2002) 24(1) Human Rights Quarterly 264; &lt;style face="italic"&gt;Handyside v United Kingdom &lt;/style&gt;(1979-80) 1 EHRR 737 (ECtHR)&lt;/DisplayText&gt;&lt;record&gt;&lt;rec-number&gt;2202&lt;/rec-number&gt;&lt;foreign-keys&gt;&lt;key app="EN" db-id="29e2pr0ebtzaxkedz5b5aefxftsede200wps" timestamp="1471265732"&gt;2202&lt;/key&gt;&lt;/foreign-keys&gt;&lt;ref-type name="Journal Article"&gt;17&lt;/ref-type&gt;&lt;contributors&gt;&lt;authors&gt;&lt;author&gt;Nowlin, Christopher J&lt;/author&gt;&lt;/authors&gt;&lt;/contributors&gt;&lt;titles&gt;&lt;title&gt;The Protection of Morals Under the European Convention for the Protection of Human Rights and Fundamental Freedoms&lt;/title&gt;&lt;secondary-title&gt;Human Rights Quarterly&lt;/secondary-title&gt;&lt;/titles&gt;&lt;pages&gt;264&lt;/pages&gt;&lt;volume&gt;24&lt;/volume&gt;&lt;number&gt;1&lt;/number&gt;&lt;dates&gt;&lt;year&gt;2002&lt;/year&gt;&lt;/dates&gt;&lt;pub-location&gt;2002&lt;/pub-location&gt;&lt;isbn&gt;1085-794X&lt;/isbn&gt;&lt;urls&gt;&lt;related-urls&gt;&lt;url&gt;https://muse.jhu.edu/article/13825&lt;/url&gt;&lt;/related-urls&gt;&lt;/urls&gt;&lt;/record&gt;&lt;/Cite&gt;&lt;Cite ExcludeAuth="1"&gt;&lt;Year&gt;1979&lt;/Year&gt;&lt;RecNum&gt;1817&lt;/RecNum&gt;&lt;record&gt;&lt;rec-number&gt;1817&lt;/rec-number&gt;&lt;foreign-keys&gt;&lt;key app="EN" db-id="29e2pr0ebtzaxkedz5b5aefxftsede200wps" timestamp="1469958548"&gt;1817&lt;/key&gt;&lt;/foreign-keys&gt;&lt;ref-type name="Case (inc all UK, ECJ and ECtHR cases)"&gt;7&lt;/ref-type&gt;&lt;contributors&gt;&lt;/contributors&gt;&lt;titles&gt;&lt;title&gt;Handyside v United Kingdom&lt;/title&gt;&lt;secondary-title&gt;(1979-80) 1 EHRR 737&lt;/secondary-title&gt;&lt;/titles&gt;&lt;dates&gt;&lt;year&gt;1979&lt;/year&gt;&lt;/dates&gt;&lt;publisher&gt;ECtHR&lt;/publisher&gt;&lt;urls&gt;&lt;/urls&gt;&lt;/record&gt;&lt;/Cite&gt;&lt;/EndNote&gt;</w:instrText>
      </w:r>
      <w:r w:rsidRPr="007233D0">
        <w:rPr>
          <w:sz w:val="20"/>
        </w:rPr>
        <w:fldChar w:fldCharType="separate"/>
      </w:r>
      <w:r w:rsidRPr="007233D0">
        <w:rPr>
          <w:sz w:val="20"/>
        </w:rPr>
        <w:t xml:space="preserve">Christopher J Nowlin, ‘The Protection of Morals Under the European Convention for the Protection of Human Rights and Fundamental Freedoms’ (2002) 24(1) Human Rights Quarterly 264; </w:t>
      </w:r>
      <w:proofErr w:type="spellStart"/>
      <w:r w:rsidRPr="007233D0">
        <w:rPr>
          <w:i/>
          <w:sz w:val="20"/>
        </w:rPr>
        <w:t>Handyside</w:t>
      </w:r>
      <w:proofErr w:type="spellEnd"/>
      <w:r w:rsidRPr="007233D0">
        <w:rPr>
          <w:i/>
          <w:sz w:val="20"/>
        </w:rPr>
        <w:t xml:space="preserve"> v United Kingdom </w:t>
      </w:r>
      <w:r w:rsidRPr="007233D0">
        <w:rPr>
          <w:sz w:val="20"/>
        </w:rPr>
        <w:t>(1979-80) 1 EHRR 737 (ECtHR)</w:t>
      </w:r>
      <w:r w:rsidRPr="007233D0">
        <w:rPr>
          <w:sz w:val="20"/>
        </w:rPr>
        <w:fldChar w:fldCharType="end"/>
      </w:r>
      <w:r w:rsidRPr="007233D0">
        <w:rPr>
          <w:sz w:val="20"/>
        </w:rPr>
        <w:t xml:space="preserve">; </w:t>
      </w:r>
      <w:proofErr w:type="spellStart"/>
      <w:r w:rsidRPr="007233D0">
        <w:rPr>
          <w:sz w:val="20"/>
        </w:rPr>
        <w:t>Letsas</w:t>
      </w:r>
      <w:proofErr w:type="spellEnd"/>
      <w:r w:rsidRPr="007233D0">
        <w:rPr>
          <w:sz w:val="20"/>
        </w:rPr>
        <w:t xml:space="preserve"> (n </w:t>
      </w:r>
      <w:r w:rsidRPr="007233D0">
        <w:rPr>
          <w:sz w:val="20"/>
        </w:rPr>
        <w:fldChar w:fldCharType="begin"/>
      </w:r>
      <w:r w:rsidRPr="007233D0">
        <w:rPr>
          <w:sz w:val="20"/>
        </w:rPr>
        <w:instrText xml:space="preserve"> NOTEREF _Ref497761671 \h  \* MERGEFORMAT </w:instrText>
      </w:r>
      <w:r w:rsidRPr="007233D0">
        <w:rPr>
          <w:sz w:val="20"/>
        </w:rPr>
      </w:r>
      <w:r w:rsidRPr="007233D0">
        <w:rPr>
          <w:sz w:val="20"/>
        </w:rPr>
        <w:fldChar w:fldCharType="separate"/>
      </w:r>
      <w:r>
        <w:rPr>
          <w:sz w:val="20"/>
        </w:rPr>
        <w:t>14</w:t>
      </w:r>
      <w:r w:rsidRPr="007233D0">
        <w:rPr>
          <w:sz w:val="20"/>
        </w:rPr>
        <w:fldChar w:fldCharType="end"/>
      </w:r>
      <w:r w:rsidRPr="007233D0">
        <w:rPr>
          <w:sz w:val="20"/>
        </w:rPr>
        <w:t>) 120-123.</w:t>
      </w:r>
    </w:p>
  </w:footnote>
  <w:footnote w:id="26">
    <w:p w14:paraId="5527AC4E" w14:textId="13D41EC9" w:rsidR="002D131A" w:rsidRPr="007233D0" w:rsidRDefault="002D131A">
      <w:pPr>
        <w:pStyle w:val="FootnoteText"/>
        <w:rPr>
          <w:sz w:val="20"/>
        </w:rPr>
      </w:pPr>
      <w:r w:rsidRPr="007233D0">
        <w:rPr>
          <w:rStyle w:val="FootnoteReference"/>
          <w:sz w:val="20"/>
        </w:rPr>
        <w:footnoteRef/>
      </w:r>
      <w:r w:rsidRPr="007233D0">
        <w:rPr>
          <w:sz w:val="20"/>
        </w:rPr>
        <w:t xml:space="preserve"> ‘Paternalism is the interference of a state or an individual with another person, against their will, and defended or motivated by a claim that the person interfered with will be better off or protected from harm’: </w:t>
      </w:r>
      <w:r w:rsidRPr="007233D0">
        <w:rPr>
          <w:sz w:val="20"/>
        </w:rPr>
        <w:fldChar w:fldCharType="begin"/>
      </w:r>
      <w:r w:rsidRPr="007233D0">
        <w:rPr>
          <w:sz w:val="20"/>
        </w:rPr>
        <w:instrText xml:space="preserve"> ADDIN EN.CITE &lt;EndNote&gt;&lt;Cite&gt;&lt;Author&gt;Dworkin&lt;/Author&gt;&lt;Year&gt;2016&lt;/Year&gt;&lt;RecNum&gt;2203&lt;/RecNum&gt;&lt;DisplayText&gt;Gerald Dworkin, ‘Paternalism’ [2016](Winter) Stanford Encyclopedia of Philosophy&lt;/DisplayText&gt;&lt;record&gt;&lt;rec-number&gt;2203&lt;/rec-number&gt;&lt;foreign-keys&gt;&lt;key app="EN" db-id="29e2pr0ebtzaxkedz5b5aefxftsede200wps" timestamp="1471266262"&gt;2203&lt;/key&gt;&lt;/foreign-keys&gt;&lt;ref-type name="Journal Article"&gt;17&lt;/ref-type&gt;&lt;contributors&gt;&lt;authors&gt;&lt;author&gt;Dworkin, Gerald&lt;/author&gt;&lt;/authors&gt;&lt;/contributors&gt;&lt;titles&gt;&lt;title&gt;Paternalism&lt;/title&gt;&lt;secondary-title&gt;Stanford Encyclopedia of Philosophy&lt;/secondary-title&gt;&lt;/titles&gt;&lt;number&gt;Winter&lt;/number&gt;&lt;dates&gt;&lt;year&gt;2016&lt;/year&gt;&lt;/dates&gt;&lt;publisher&gt;2016&lt;/publisher&gt;&lt;urls&gt;&lt;related-urls&gt;&lt;url&gt;https://plato.stanford.edu/archives/win2016/entries/paternalism/&lt;/url&gt;&lt;/related-urls&gt;&lt;/urls&gt;&lt;access-date&gt;17/01/01&lt;/access-date&gt;&lt;/record&gt;&lt;/Cite&gt;&lt;/EndNote&gt;</w:instrText>
      </w:r>
      <w:r w:rsidRPr="007233D0">
        <w:rPr>
          <w:sz w:val="20"/>
        </w:rPr>
        <w:fldChar w:fldCharType="separate"/>
      </w:r>
      <w:r w:rsidRPr="007233D0">
        <w:rPr>
          <w:noProof/>
          <w:sz w:val="20"/>
        </w:rPr>
        <w:t>Gerald Dworkin, ‘Paternalism’ [2016](Winter) Stanford Encyclopedia of Philosophy</w:t>
      </w:r>
      <w:r w:rsidRPr="007233D0">
        <w:rPr>
          <w:sz w:val="20"/>
        </w:rPr>
        <w:fldChar w:fldCharType="end"/>
      </w:r>
      <w:r w:rsidRPr="007233D0">
        <w:rPr>
          <w:sz w:val="20"/>
        </w:rPr>
        <w:t xml:space="preserve">; </w:t>
      </w:r>
      <w:r w:rsidRPr="007233D0">
        <w:rPr>
          <w:sz w:val="20"/>
        </w:rPr>
        <w:fldChar w:fldCharType="begin"/>
      </w:r>
      <w:r w:rsidRPr="007233D0">
        <w:rPr>
          <w:sz w:val="20"/>
        </w:rPr>
        <w:instrText xml:space="preserve"> ADDIN EN.CITE &lt;EndNote&gt;&lt;Cite&gt;&lt;Author&gt;Conly&lt;/Author&gt;&lt;Year&gt;2013&lt;/Year&gt;&lt;RecNum&gt;915&lt;/RecNum&gt;&lt;Pages&gt;17`, text at n 3&lt;/Pages&gt;&lt;DisplayText&gt;Sarah Conly, &lt;style face="italic"&gt;Against autonomy: justifying coercive paternalism&lt;/style&gt; (CUP 2013) 17, text at n 3&lt;/DisplayText&gt;&lt;record&gt;&lt;rec-number&gt;915&lt;/rec-number&gt;&lt;foreign-keys&gt;&lt;key app="EN" db-id="29e2pr0ebtzaxkedz5b5aefxftsede200wps" timestamp="1469956988"&gt;915&lt;/key&gt;&lt;/foreign-keys&gt;&lt;ref-type name="Book (all books with authors, including edited or translated books)"&gt;6&lt;/ref-type&gt;&lt;contributors&gt;&lt;authors&gt;&lt;author&gt;Conly, Sarah&lt;/author&gt;&lt;/authors&gt;&lt;/contributors&gt;&lt;titles&gt;&lt;title&gt;Against autonomy: justifying coercive paternalism&lt;/title&gt;&lt;/titles&gt;&lt;pages&gt;viii, 206 pages&lt;/pages&gt;&lt;keywords&gt;&lt;keyword&gt;Decision making Political aspects.&lt;/keyword&gt;&lt;keyword&gt;Decision making Philosophy.&lt;/keyword&gt;&lt;keyword&gt;Paternalism.&lt;/keyword&gt;&lt;keyword&gt;Autonomy (Philosophy)&lt;/keyword&gt;&lt;keyword&gt;Choice (Psychology)&lt;/keyword&gt;&lt;keyword&gt;PHILOSOPHY / Political.&lt;/keyword&gt;&lt;/keywords&gt;&lt;dates&gt;&lt;year&gt;2013&lt;/year&gt;&lt;/dates&gt;&lt;pub-location&gt;Cambridge&lt;/pub-location&gt;&lt;publisher&gt;CUP&lt;/publisher&gt;&lt;isbn&gt;9781107024847 (hardback)&lt;/isbn&gt;&lt;accession-num&gt;17313685&lt;/accession-num&gt;&lt;call-num&gt;JA71 .C575 2013&lt;/call-num&gt;&lt;urls&gt;&lt;/urls&gt;&lt;/record&gt;&lt;/Cite&gt;&lt;/EndNote&gt;</w:instrText>
      </w:r>
      <w:r w:rsidRPr="007233D0">
        <w:rPr>
          <w:sz w:val="20"/>
        </w:rPr>
        <w:fldChar w:fldCharType="separate"/>
      </w:r>
      <w:r w:rsidRPr="007233D0">
        <w:rPr>
          <w:sz w:val="20"/>
        </w:rPr>
        <w:t xml:space="preserve">Sarah Conly, </w:t>
      </w:r>
      <w:r w:rsidRPr="007233D0">
        <w:rPr>
          <w:i/>
          <w:sz w:val="20"/>
        </w:rPr>
        <w:t>Against autonomy: justifying coercive paternalism</w:t>
      </w:r>
      <w:r w:rsidRPr="007233D0">
        <w:rPr>
          <w:sz w:val="20"/>
        </w:rPr>
        <w:t xml:space="preserve"> (CUP 2013) 17, text at n 3</w:t>
      </w:r>
      <w:r w:rsidRPr="007233D0">
        <w:rPr>
          <w:sz w:val="20"/>
        </w:rPr>
        <w:fldChar w:fldCharType="end"/>
      </w:r>
      <w:r w:rsidRPr="007233D0">
        <w:rPr>
          <w:sz w:val="20"/>
        </w:rPr>
        <w:t>.</w:t>
      </w:r>
    </w:p>
  </w:footnote>
  <w:footnote w:id="27">
    <w:p w14:paraId="1C639FC2" w14:textId="001759E2"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 ExcludeAuth="1"&gt;&lt;Year&gt;2000&lt;/Year&gt;&lt;RecNum&gt;1096&lt;/RecNum&gt;&lt;DisplayText&gt;&lt;style face="italic"&gt;Osman v United Kingdom &lt;/style&gt;(2000) 29 EHRR 245 (ECtHR)&lt;/DisplayText&gt;&lt;record&gt;&lt;rec-number&gt;1096&lt;/rec-number&gt;&lt;foreign-keys&gt;&lt;key app="EN" db-id="29e2pr0ebtzaxkedz5b5aefxftsede200wps" timestamp="1469956992"&gt;1096&lt;/key&gt;&lt;/foreign-keys&gt;&lt;ref-type name="Case (inc all UK, ECJ and ECtHR cases)"&gt;7&lt;/ref-type&gt;&lt;contributors&gt;&lt;/contributors&gt;&lt;titles&gt;&lt;title&gt;Osman v United Kingdom&lt;/title&gt;&lt;secondary-title&gt;(2000) 29 EHRR 245&lt;/secondary-title&gt;&lt;/titles&gt;&lt;dates&gt;&lt;year&gt;2000&lt;/year&gt;&lt;/dates&gt;&lt;publisher&gt;ECtHR&lt;/publisher&gt;&lt;urls&gt;&lt;/urls&gt;&lt;/record&gt;&lt;/Cite&gt;&lt;/EndNote&gt;</w:instrText>
      </w:r>
      <w:r w:rsidRPr="007233D0">
        <w:rPr>
          <w:sz w:val="20"/>
        </w:rPr>
        <w:fldChar w:fldCharType="separate"/>
      </w:r>
      <w:r w:rsidRPr="007233D0">
        <w:rPr>
          <w:i/>
          <w:sz w:val="20"/>
        </w:rPr>
        <w:t xml:space="preserve">Osman v United Kingdom </w:t>
      </w:r>
      <w:r w:rsidRPr="007233D0">
        <w:rPr>
          <w:sz w:val="20"/>
        </w:rPr>
        <w:t>(2000) 29 EHRR 245 (ECtHR)</w:t>
      </w:r>
      <w:r w:rsidRPr="007233D0">
        <w:rPr>
          <w:sz w:val="20"/>
        </w:rPr>
        <w:fldChar w:fldCharType="end"/>
      </w:r>
      <w:r w:rsidRPr="007233D0">
        <w:rPr>
          <w:sz w:val="20"/>
        </w:rPr>
        <w:t>.</w:t>
      </w:r>
    </w:p>
  </w:footnote>
  <w:footnote w:id="28">
    <w:p w14:paraId="48DC848D" w14:textId="3AF9D391"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i/>
          <w:sz w:val="20"/>
        </w:rPr>
        <w:t xml:space="preserve">Pretty </w:t>
      </w:r>
      <w:r w:rsidRPr="007233D0">
        <w:rPr>
          <w:sz w:val="20"/>
        </w:rPr>
        <w:t xml:space="preserve">(n </w:t>
      </w:r>
      <w:r w:rsidRPr="007233D0">
        <w:rPr>
          <w:sz w:val="20"/>
        </w:rPr>
        <w:fldChar w:fldCharType="begin"/>
      </w:r>
      <w:r w:rsidRPr="007233D0">
        <w:rPr>
          <w:sz w:val="20"/>
        </w:rPr>
        <w:instrText xml:space="preserve"> NOTEREF _Ref497760057 \h  \* MERGEFORMAT </w:instrText>
      </w:r>
      <w:r w:rsidRPr="007233D0">
        <w:rPr>
          <w:sz w:val="20"/>
        </w:rPr>
      </w:r>
      <w:r w:rsidRPr="007233D0">
        <w:rPr>
          <w:sz w:val="20"/>
        </w:rPr>
        <w:fldChar w:fldCharType="separate"/>
      </w:r>
      <w:r>
        <w:rPr>
          <w:sz w:val="20"/>
        </w:rPr>
        <w:t>6</w:t>
      </w:r>
      <w:r w:rsidRPr="007233D0">
        <w:rPr>
          <w:sz w:val="20"/>
        </w:rPr>
        <w:fldChar w:fldCharType="end"/>
      </w:r>
      <w:r w:rsidRPr="007233D0">
        <w:rPr>
          <w:sz w:val="20"/>
        </w:rPr>
        <w:t>)</w:t>
      </w:r>
      <w:r w:rsidRPr="007233D0">
        <w:rPr>
          <w:i/>
          <w:sz w:val="20"/>
        </w:rPr>
        <w:t xml:space="preserve"> </w:t>
      </w:r>
      <w:r w:rsidRPr="007233D0">
        <w:rPr>
          <w:sz w:val="20"/>
        </w:rPr>
        <w:t>[74], [69].</w:t>
      </w:r>
    </w:p>
  </w:footnote>
  <w:footnote w:id="29">
    <w:p w14:paraId="39E8B210" w14:textId="41267033" w:rsidR="002D131A" w:rsidRPr="007233D0" w:rsidRDefault="002D131A">
      <w:pPr>
        <w:pStyle w:val="FootnoteText"/>
        <w:rPr>
          <w:sz w:val="20"/>
        </w:rPr>
      </w:pPr>
      <w:r w:rsidRPr="007233D0">
        <w:rPr>
          <w:rStyle w:val="FootnoteReference"/>
          <w:sz w:val="20"/>
        </w:rPr>
        <w:footnoteRef/>
      </w:r>
      <w:r w:rsidRPr="007233D0">
        <w:rPr>
          <w:sz w:val="20"/>
        </w:rPr>
        <w:t xml:space="preserve"> eg </w:t>
      </w:r>
      <w:r w:rsidRPr="007233D0">
        <w:rPr>
          <w:i/>
          <w:sz w:val="20"/>
        </w:rPr>
        <w:t xml:space="preserve">Haas </w:t>
      </w:r>
      <w:r w:rsidRPr="007233D0">
        <w:rPr>
          <w:sz w:val="20"/>
        </w:rPr>
        <w:t xml:space="preserve">(n </w:t>
      </w:r>
      <w:r w:rsidRPr="007233D0">
        <w:rPr>
          <w:sz w:val="20"/>
        </w:rPr>
        <w:fldChar w:fldCharType="begin"/>
      </w:r>
      <w:r w:rsidRPr="007233D0">
        <w:rPr>
          <w:sz w:val="20"/>
        </w:rPr>
        <w:instrText xml:space="preserve"> NOTEREF _Ref497760067 \h  \* MERGEFORMAT </w:instrText>
      </w:r>
      <w:r w:rsidRPr="007233D0">
        <w:rPr>
          <w:sz w:val="20"/>
        </w:rPr>
      </w:r>
      <w:r w:rsidRPr="007233D0">
        <w:rPr>
          <w:sz w:val="20"/>
        </w:rPr>
        <w:fldChar w:fldCharType="separate"/>
      </w:r>
      <w:r>
        <w:rPr>
          <w:sz w:val="20"/>
        </w:rPr>
        <w:t>7</w:t>
      </w:r>
      <w:r w:rsidRPr="007233D0">
        <w:rPr>
          <w:sz w:val="20"/>
        </w:rPr>
        <w:fldChar w:fldCharType="end"/>
      </w:r>
      <w:r w:rsidRPr="007233D0">
        <w:rPr>
          <w:sz w:val="20"/>
        </w:rPr>
        <w:t>)</w:t>
      </w:r>
      <w:r w:rsidRPr="007233D0">
        <w:rPr>
          <w:i/>
          <w:sz w:val="20"/>
        </w:rPr>
        <w:t xml:space="preserve"> </w:t>
      </w:r>
      <w:r w:rsidRPr="007233D0">
        <w:rPr>
          <w:sz w:val="20"/>
        </w:rPr>
        <w:t>[54].</w:t>
      </w:r>
    </w:p>
  </w:footnote>
  <w:footnote w:id="30">
    <w:p w14:paraId="1B892E31" w14:textId="43FF178B" w:rsidR="002D131A" w:rsidRPr="007233D0" w:rsidRDefault="002D131A">
      <w:pPr>
        <w:pStyle w:val="FootnoteText"/>
        <w:rPr>
          <w:sz w:val="20"/>
        </w:rPr>
      </w:pPr>
      <w:r w:rsidRPr="007233D0">
        <w:rPr>
          <w:rStyle w:val="FootnoteReference"/>
          <w:sz w:val="20"/>
        </w:rPr>
        <w:footnoteRef/>
      </w:r>
      <w:r w:rsidRPr="007233D0">
        <w:rPr>
          <w:sz w:val="20"/>
        </w:rPr>
        <w:t xml:space="preserve"> ibid, citing </w:t>
      </w:r>
      <w:r w:rsidRPr="007233D0">
        <w:rPr>
          <w:sz w:val="20"/>
        </w:rPr>
        <w:fldChar w:fldCharType="begin"/>
      </w:r>
      <w:r w:rsidRPr="007233D0">
        <w:rPr>
          <w:sz w:val="20"/>
        </w:rPr>
        <w:instrText xml:space="preserve"> ADDIN EN.CITE &lt;EndNote&gt;&lt;Cite ExcludeAuth="1"&gt;&lt;Year&gt;2001&lt;/Year&gt;&lt;RecNum&gt;1105&lt;/RecNum&gt;&lt;Pages&gt;[91]&lt;/Pages&gt;&lt;DisplayText&gt;&lt;style face="italic"&gt;Keenan v United Kingdom &lt;/style&gt;(2001) 35 EHRR 38 (ECtHR) [91]&lt;/DisplayText&gt;&lt;record&gt;&lt;rec-number&gt;1105&lt;/rec-number&gt;&lt;foreign-keys&gt;&lt;key app="EN" db-id="29e2pr0ebtzaxkedz5b5aefxftsede200wps" timestamp="1469956992"&gt;1105&lt;/key&gt;&lt;/foreign-keys&gt;&lt;ref-type name="Case (inc all UK, ECJ and ECtHR cases)"&gt;7&lt;/ref-type&gt;&lt;contributors&gt;&lt;/contributors&gt;&lt;titles&gt;&lt;title&gt;Keenan v United Kingdom&lt;/title&gt;&lt;secondary-title&gt;(2001) 35 EHRR 38&lt;/secondary-title&gt;&lt;/titles&gt;&lt;dates&gt;&lt;year&gt;2001&lt;/year&gt;&lt;/dates&gt;&lt;publisher&gt;ECtHR&lt;/publisher&gt;&lt;urls&gt;&lt;/urls&gt;&lt;/record&gt;&lt;/Cite&gt;&lt;/EndNote&gt;</w:instrText>
      </w:r>
      <w:r w:rsidRPr="007233D0">
        <w:rPr>
          <w:sz w:val="20"/>
        </w:rPr>
        <w:fldChar w:fldCharType="separate"/>
      </w:r>
      <w:r w:rsidRPr="007233D0">
        <w:rPr>
          <w:i/>
          <w:sz w:val="20"/>
        </w:rPr>
        <w:t xml:space="preserve">Keenan v United Kingdom </w:t>
      </w:r>
      <w:r w:rsidRPr="007233D0">
        <w:rPr>
          <w:sz w:val="20"/>
        </w:rPr>
        <w:t>(2001) 35 EHRR 38 (ECtHR) [91]</w:t>
      </w:r>
      <w:r w:rsidRPr="007233D0">
        <w:rPr>
          <w:sz w:val="20"/>
        </w:rPr>
        <w:fldChar w:fldCharType="end"/>
      </w:r>
      <w:r w:rsidRPr="007233D0">
        <w:rPr>
          <w:sz w:val="20"/>
        </w:rPr>
        <w:t xml:space="preserve">; this has been recognised (in certain circumstances) in English Law: </w:t>
      </w:r>
      <w:r w:rsidRPr="007233D0">
        <w:rPr>
          <w:sz w:val="20"/>
        </w:rPr>
        <w:fldChar w:fldCharType="begin"/>
      </w:r>
      <w:r w:rsidRPr="007233D0">
        <w:rPr>
          <w:sz w:val="20"/>
        </w:rPr>
        <w:instrText xml:space="preserve"> ADDIN EN.CITE &lt;EndNote&gt;&lt;Cite ExcludeAuth="1"&gt;&lt;Year&gt;2012&lt;/Year&gt;&lt;RecNum&gt;2721&lt;/RecNum&gt;&lt;DisplayText&gt;&lt;style face="italic"&gt;Rabone v Pennine Care NHS Foundation Trust &lt;/style&gt;[2012] UKSC 2&lt;/DisplayText&gt;&lt;record&gt;&lt;rec-number&gt;2721&lt;/rec-number&gt;&lt;foreign-keys&gt;&lt;key app="EN" db-id="29e2pr0ebtzaxkedz5b5aefxftsede200wps" timestamp="1510003160"&gt;2721&lt;/key&gt;&lt;/foreign-keys&gt;&lt;ref-type name="Case (inc all UK, ECJ and ECtHR cases)"&gt;7&lt;/ref-type&gt;&lt;contributors&gt;&lt;/contributors&gt;&lt;titles&gt;&lt;title&gt;Rabone v Pennine Care NHS Foundation Trust&lt;/title&gt;&lt;secondary-title&gt;[2012] UKSC 2&lt;/secondary-title&gt;&lt;/titles&gt;&lt;dates&gt;&lt;year&gt;2012&lt;/year&gt;&lt;/dates&gt;&lt;urls&gt;&lt;/urls&gt;&lt;/record&gt;&lt;/Cite&gt;&lt;/EndNote&gt;</w:instrText>
      </w:r>
      <w:r w:rsidRPr="007233D0">
        <w:rPr>
          <w:sz w:val="20"/>
        </w:rPr>
        <w:fldChar w:fldCharType="separate"/>
      </w:r>
      <w:r w:rsidRPr="007233D0">
        <w:rPr>
          <w:i/>
          <w:noProof/>
          <w:sz w:val="20"/>
        </w:rPr>
        <w:t xml:space="preserve">Rabone v Pennine Care NHS Foundation Trust </w:t>
      </w:r>
      <w:r w:rsidRPr="007233D0">
        <w:rPr>
          <w:noProof/>
          <w:sz w:val="20"/>
        </w:rPr>
        <w:t>[2012] UKSC 2</w:t>
      </w:r>
      <w:r w:rsidRPr="007233D0">
        <w:rPr>
          <w:sz w:val="20"/>
        </w:rPr>
        <w:fldChar w:fldCharType="end"/>
      </w:r>
      <w:r w:rsidRPr="007233D0">
        <w:rPr>
          <w:sz w:val="20"/>
        </w:rPr>
        <w:t>.</w:t>
      </w:r>
    </w:p>
  </w:footnote>
  <w:footnote w:id="31">
    <w:p w14:paraId="620DF39B" w14:textId="25A2103C" w:rsidR="002D131A" w:rsidRPr="007233D0" w:rsidRDefault="002D131A">
      <w:pPr>
        <w:pStyle w:val="FootnoteText"/>
        <w:rPr>
          <w:sz w:val="20"/>
        </w:rPr>
      </w:pPr>
      <w:r w:rsidRPr="007233D0">
        <w:rPr>
          <w:rStyle w:val="FootnoteReference"/>
          <w:sz w:val="20"/>
        </w:rPr>
        <w:footnoteRef/>
      </w:r>
      <w:r w:rsidRPr="007233D0">
        <w:rPr>
          <w:sz w:val="20"/>
        </w:rPr>
        <w:t xml:space="preserve"> It is implicit in the foregoing that the State’s positive obligation to take appropriate steps to safeguard the lives of individuals within its jurisdiction is non-absolute. The ECtHR Grand Chamber has held that while ‘Article 2 ranks as one of the most fundamental provisions in the Convention… in the context of the State’s positive obligations, when addressing complex scientific, legal and ethical issues concerning in particular the beginning or the end of life, and in the absence of consensus among the member States… the latter have a certain margin of appreciation… [in] striking a balance between the protection of patients’ right to life and the protection of their right to respect for their private life and their personal autonomy’: </w:t>
      </w:r>
      <w:r w:rsidRPr="007233D0">
        <w:rPr>
          <w:sz w:val="20"/>
        </w:rPr>
        <w:fldChar w:fldCharType="begin"/>
      </w:r>
      <w:r w:rsidRPr="007233D0">
        <w:rPr>
          <w:sz w:val="20"/>
        </w:rPr>
        <w:instrText xml:space="preserve"> ADDIN EN.CITE &lt;EndNote&gt;&lt;Cite ExcludeAuth="1"&gt;&lt;Year&gt;2016&lt;/Year&gt;&lt;RecNum&gt;2746&lt;/RecNum&gt;&lt;Pages&gt;[144]`, [148]&lt;/Pages&gt;&lt;DisplayText&gt;&lt;style face="italic"&gt;Lambert v France &lt;/style&gt;(2016) 62 EHRR 2 (ECtHR) [144], [148]&lt;/DisplayText&gt;&lt;record&gt;&lt;rec-number&gt;2746&lt;/rec-number&gt;&lt;foreign-keys&gt;&lt;key app="EN" db-id="29e2pr0ebtzaxkedz5b5aefxftsede200wps" timestamp="1520875783"&gt;2746&lt;/key&gt;&lt;/foreign-keys&gt;&lt;ref-type name="Case (inc all UK, ECJ and ECtHR cases)"&gt;7&lt;/ref-type&gt;&lt;contributors&gt;&lt;/contributors&gt;&lt;titles&gt;&lt;title&gt;Lambert v France&lt;/title&gt;&lt;secondary-title&gt;(2016) 62 EHRR 2&lt;/secondary-title&gt;&lt;/titles&gt;&lt;dates&gt;&lt;year&gt;2016&lt;/year&gt;&lt;/dates&gt;&lt;publisher&gt;ECtHR&lt;/publisher&gt;&lt;urls&gt;&lt;/urls&gt;&lt;/record&gt;&lt;/Cite&gt;&lt;/EndNote&gt;</w:instrText>
      </w:r>
      <w:r w:rsidRPr="007233D0">
        <w:rPr>
          <w:sz w:val="20"/>
        </w:rPr>
        <w:fldChar w:fldCharType="separate"/>
      </w:r>
      <w:r w:rsidRPr="007233D0">
        <w:rPr>
          <w:i/>
          <w:noProof/>
          <w:sz w:val="20"/>
        </w:rPr>
        <w:t xml:space="preserve">Lambert v France </w:t>
      </w:r>
      <w:r w:rsidRPr="007233D0">
        <w:rPr>
          <w:noProof/>
          <w:sz w:val="20"/>
        </w:rPr>
        <w:t>(2016) 62 EHRR 2 (ECtHR) [144], [148]</w:t>
      </w:r>
      <w:r w:rsidRPr="007233D0">
        <w:rPr>
          <w:sz w:val="20"/>
        </w:rPr>
        <w:fldChar w:fldCharType="end"/>
      </w:r>
      <w:r w:rsidRPr="007233D0">
        <w:rPr>
          <w:sz w:val="20"/>
        </w:rPr>
        <w:t xml:space="preserve">. Indeed, it is the apparent non-absoluteness of the State’s positive obligations under article 2 ECHR that allows space for </w:t>
      </w:r>
      <w:r w:rsidRPr="007233D0">
        <w:rPr>
          <w:i/>
          <w:sz w:val="20"/>
        </w:rPr>
        <w:t>right D</w:t>
      </w:r>
      <w:r w:rsidRPr="007233D0">
        <w:rPr>
          <w:sz w:val="20"/>
        </w:rPr>
        <w:t xml:space="preserve"> under article 8; </w:t>
      </w:r>
      <w:r w:rsidRPr="007233D0">
        <w:rPr>
          <w:i/>
          <w:sz w:val="20"/>
        </w:rPr>
        <w:t xml:space="preserve">Lambert </w:t>
      </w:r>
      <w:r w:rsidRPr="007233D0">
        <w:rPr>
          <w:sz w:val="20"/>
        </w:rPr>
        <w:t>ibid [142]: ‘reference should be made, in examining a possible violation of Article 2, to Article 8 of the Convention and to the right to respect for private life and the notion of personal autonomy which it encompasses’. Thanks to an anonymous reviewer for pressing me to explicate this point.</w:t>
      </w:r>
    </w:p>
  </w:footnote>
  <w:footnote w:id="32">
    <w:p w14:paraId="0B6750B2" w14:textId="0A1EB99D" w:rsidR="002D131A" w:rsidRPr="007233D0" w:rsidRDefault="002D131A">
      <w:pPr>
        <w:pStyle w:val="FootnoteText"/>
        <w:rPr>
          <w:sz w:val="20"/>
        </w:rPr>
      </w:pPr>
      <w:r w:rsidRPr="007233D0">
        <w:rPr>
          <w:rStyle w:val="FootnoteReference"/>
          <w:sz w:val="20"/>
        </w:rPr>
        <w:footnoteRef/>
      </w:r>
      <w:r w:rsidRPr="007233D0">
        <w:rPr>
          <w:sz w:val="20"/>
        </w:rPr>
        <w:t xml:space="preserve"> eg </w:t>
      </w:r>
      <w:r w:rsidRPr="007233D0">
        <w:rPr>
          <w:i/>
          <w:sz w:val="20"/>
        </w:rPr>
        <w:t>P v Poland</w:t>
      </w:r>
      <w:r w:rsidRPr="007233D0">
        <w:rPr>
          <w:sz w:val="20"/>
        </w:rPr>
        <w:t xml:space="preserve"> (n </w:t>
      </w:r>
      <w:r w:rsidRPr="007233D0">
        <w:rPr>
          <w:sz w:val="20"/>
        </w:rPr>
        <w:fldChar w:fldCharType="begin"/>
      </w:r>
      <w:r w:rsidRPr="007233D0">
        <w:rPr>
          <w:sz w:val="20"/>
        </w:rPr>
        <w:instrText xml:space="preserve"> NOTEREF _Ref497761743 \h  \* MERGEFORMAT </w:instrText>
      </w:r>
      <w:r w:rsidRPr="007233D0">
        <w:rPr>
          <w:sz w:val="20"/>
        </w:rPr>
      </w:r>
      <w:r w:rsidRPr="007233D0">
        <w:rPr>
          <w:sz w:val="20"/>
        </w:rPr>
        <w:fldChar w:fldCharType="separate"/>
      </w:r>
      <w:r>
        <w:rPr>
          <w:sz w:val="20"/>
        </w:rPr>
        <w:t>17</w:t>
      </w:r>
      <w:r w:rsidRPr="007233D0">
        <w:rPr>
          <w:sz w:val="20"/>
        </w:rPr>
        <w:fldChar w:fldCharType="end"/>
      </w:r>
      <w:r w:rsidRPr="007233D0">
        <w:rPr>
          <w:sz w:val="20"/>
        </w:rPr>
        <w:t xml:space="preserve">) [94]: ‘According to the court’s settled case law, the notion of necessity implies that the interference corresponds to a </w:t>
      </w:r>
      <w:r w:rsidRPr="007233D0">
        <w:rPr>
          <w:i/>
          <w:sz w:val="20"/>
        </w:rPr>
        <w:t xml:space="preserve">pressing social need </w:t>
      </w:r>
      <w:r w:rsidRPr="007233D0">
        <w:rPr>
          <w:sz w:val="20"/>
        </w:rPr>
        <w:t>and</w:t>
      </w:r>
      <w:proofErr w:type="gramStart"/>
      <w:r w:rsidRPr="007233D0">
        <w:rPr>
          <w:sz w:val="20"/>
        </w:rPr>
        <w:t>, in particular, that</w:t>
      </w:r>
      <w:proofErr w:type="gramEnd"/>
      <w:r w:rsidRPr="007233D0">
        <w:rPr>
          <w:sz w:val="20"/>
        </w:rPr>
        <w:t xml:space="preserve"> it is </w:t>
      </w:r>
      <w:r w:rsidRPr="007233D0">
        <w:rPr>
          <w:i/>
          <w:sz w:val="20"/>
        </w:rPr>
        <w:t xml:space="preserve">proportionate </w:t>
      </w:r>
      <w:r w:rsidRPr="007233D0">
        <w:rPr>
          <w:sz w:val="20"/>
        </w:rPr>
        <w:t>to one of the legitimate aims pursued by the authorities (emphasis added)’.</w:t>
      </w:r>
    </w:p>
  </w:footnote>
  <w:footnote w:id="33">
    <w:p w14:paraId="27CE47C6" w14:textId="7B8E60AF" w:rsidR="002D131A" w:rsidRPr="007233D0" w:rsidRDefault="002D131A">
      <w:pPr>
        <w:pStyle w:val="FootnoteText"/>
        <w:rPr>
          <w:sz w:val="20"/>
        </w:rPr>
      </w:pPr>
      <w:r w:rsidRPr="007233D0">
        <w:rPr>
          <w:rStyle w:val="FootnoteReference"/>
          <w:sz w:val="20"/>
        </w:rPr>
        <w:footnoteRef/>
      </w:r>
      <w:r w:rsidRPr="007233D0">
        <w:rPr>
          <w:sz w:val="20"/>
        </w:rPr>
        <w:t xml:space="preserve"> The ECtHR has explained that ‘necessary’ for the purposes of the article 8(2) limitation clause ‘does not have the flexibility of such expressions as “useful”, “reasonable”, or “desirable, but implies a “pressing social need”’ for the interference in question, whose existence turns on the risks that attach to allowing the </w:t>
      </w:r>
      <w:proofErr w:type="spellStart"/>
      <w:r w:rsidRPr="007233D0">
        <w:rPr>
          <w:sz w:val="20"/>
        </w:rPr>
        <w:t>unimpinged</w:t>
      </w:r>
      <w:proofErr w:type="spellEnd"/>
      <w:r w:rsidRPr="007233D0">
        <w:rPr>
          <w:sz w:val="20"/>
        </w:rPr>
        <w:t xml:space="preserve"> exercise of the freedom in question: </w:t>
      </w:r>
      <w:r w:rsidRPr="007233D0">
        <w:rPr>
          <w:sz w:val="20"/>
        </w:rPr>
        <w:fldChar w:fldCharType="begin"/>
      </w:r>
      <w:r w:rsidRPr="007233D0">
        <w:rPr>
          <w:sz w:val="20"/>
        </w:rPr>
        <w:instrText xml:space="preserve"> ADDIN EN.CITE &lt;EndNote&gt;&lt;Cite ExcludeAuth="1"&gt;&lt;Year&gt;1982&lt;/Year&gt;&lt;RecNum&gt;1028&lt;/RecNum&gt;&lt;Pages&gt;[52]`, [60]&lt;/Pages&gt;&lt;DisplayText&gt;&lt;style face="italic"&gt;Dudgeon v United Kingdom &lt;/style&gt;(1982) 4 EHRR 149 (ECtHR) [52], [60]&lt;/DisplayText&gt;&lt;record&gt;&lt;rec-number&gt;1028&lt;/rec-number&gt;&lt;foreign-keys&gt;&lt;key app="EN" db-id="29e2pr0ebtzaxkedz5b5aefxftsede200wps" timestamp="1469956990"&gt;1028&lt;/key&gt;&lt;/foreign-keys&gt;&lt;ref-type name="Case (inc all UK, ECJ and ECtHR cases)"&gt;7&lt;/ref-type&gt;&lt;contributors&gt;&lt;/contributors&gt;&lt;titles&gt;&lt;title&gt;Dudgeon v United Kingdom&lt;/title&gt;&lt;secondary-title&gt;(1982) 4 EHRR 149&lt;/secondary-title&gt;&lt;/titles&gt;&lt;dates&gt;&lt;year&gt;1982&lt;/year&gt;&lt;/dates&gt;&lt;publisher&gt;ECtHR&lt;/publisher&gt;&lt;urls&gt;&lt;/urls&gt;&lt;/record&gt;&lt;/Cite&gt;&lt;/EndNote&gt;</w:instrText>
      </w:r>
      <w:r w:rsidRPr="007233D0">
        <w:rPr>
          <w:sz w:val="20"/>
        </w:rPr>
        <w:fldChar w:fldCharType="separate"/>
      </w:r>
      <w:r w:rsidRPr="007233D0">
        <w:rPr>
          <w:i/>
          <w:sz w:val="20"/>
        </w:rPr>
        <w:t xml:space="preserve">Dudgeon v United Kingdom </w:t>
      </w:r>
      <w:r w:rsidRPr="007233D0">
        <w:rPr>
          <w:sz w:val="20"/>
        </w:rPr>
        <w:t>(1982) 4 EHRR 149 (ECtHR) [52], [60]</w:t>
      </w:r>
      <w:r w:rsidRPr="007233D0">
        <w:rPr>
          <w:sz w:val="20"/>
        </w:rPr>
        <w:fldChar w:fldCharType="end"/>
      </w:r>
      <w:r w:rsidRPr="007233D0">
        <w:rPr>
          <w:sz w:val="20"/>
        </w:rPr>
        <w:t>.</w:t>
      </w:r>
    </w:p>
  </w:footnote>
  <w:footnote w:id="34">
    <w:p w14:paraId="21610EFD" w14:textId="377F1E84" w:rsidR="002D131A" w:rsidRPr="007233D0" w:rsidRDefault="002D131A">
      <w:pPr>
        <w:pStyle w:val="FootnoteText"/>
        <w:rPr>
          <w:sz w:val="20"/>
        </w:rPr>
      </w:pPr>
      <w:r w:rsidRPr="007233D0">
        <w:rPr>
          <w:rStyle w:val="FootnoteReference"/>
          <w:sz w:val="20"/>
        </w:rPr>
        <w:footnoteRef/>
      </w:r>
      <w:r w:rsidRPr="007233D0">
        <w:rPr>
          <w:sz w:val="20"/>
        </w:rPr>
        <w:t xml:space="preserve"> </w:t>
      </w:r>
      <w:proofErr w:type="spellStart"/>
      <w:r w:rsidRPr="007233D0">
        <w:rPr>
          <w:sz w:val="20"/>
        </w:rPr>
        <w:t>Letsas</w:t>
      </w:r>
      <w:proofErr w:type="spellEnd"/>
      <w:r w:rsidRPr="007233D0">
        <w:rPr>
          <w:sz w:val="20"/>
        </w:rPr>
        <w:t xml:space="preserve"> (n </w:t>
      </w:r>
      <w:r w:rsidRPr="007233D0">
        <w:rPr>
          <w:sz w:val="20"/>
        </w:rPr>
        <w:fldChar w:fldCharType="begin"/>
      </w:r>
      <w:r w:rsidRPr="007233D0">
        <w:rPr>
          <w:sz w:val="20"/>
        </w:rPr>
        <w:instrText xml:space="preserve"> NOTEREF _Ref497761671 \h  \* MERGEFORMAT </w:instrText>
      </w:r>
      <w:r w:rsidRPr="007233D0">
        <w:rPr>
          <w:sz w:val="20"/>
        </w:rPr>
      </w:r>
      <w:r w:rsidRPr="007233D0">
        <w:rPr>
          <w:sz w:val="20"/>
        </w:rPr>
        <w:fldChar w:fldCharType="separate"/>
      </w:r>
      <w:r>
        <w:rPr>
          <w:sz w:val="20"/>
        </w:rPr>
        <w:t>14</w:t>
      </w:r>
      <w:r w:rsidRPr="007233D0">
        <w:rPr>
          <w:sz w:val="20"/>
        </w:rPr>
        <w:fldChar w:fldCharType="end"/>
      </w:r>
      <w:r w:rsidRPr="007233D0">
        <w:rPr>
          <w:sz w:val="20"/>
        </w:rPr>
        <w:t>) 86.</w:t>
      </w:r>
    </w:p>
  </w:footnote>
  <w:footnote w:id="35">
    <w:p w14:paraId="0C2C78D3" w14:textId="29C7C494" w:rsidR="002D131A" w:rsidRPr="007233D0" w:rsidRDefault="002D131A">
      <w:pPr>
        <w:pStyle w:val="FootnoteText"/>
        <w:rPr>
          <w:sz w:val="20"/>
        </w:rPr>
      </w:pPr>
      <w:r w:rsidRPr="007233D0">
        <w:rPr>
          <w:rStyle w:val="FootnoteReference"/>
          <w:sz w:val="20"/>
        </w:rPr>
        <w:footnoteRef/>
      </w:r>
      <w:r w:rsidRPr="007233D0">
        <w:rPr>
          <w:sz w:val="20"/>
        </w:rPr>
        <w:t xml:space="preserve"> eg In </w:t>
      </w:r>
      <w:r w:rsidRPr="007233D0">
        <w:rPr>
          <w:i/>
          <w:sz w:val="20"/>
        </w:rPr>
        <w:t>Pretty</w:t>
      </w:r>
      <w:r w:rsidRPr="007233D0">
        <w:rPr>
          <w:sz w:val="20"/>
        </w:rPr>
        <w:t xml:space="preserve"> (n </w:t>
      </w:r>
      <w:r w:rsidRPr="007233D0">
        <w:rPr>
          <w:sz w:val="20"/>
        </w:rPr>
        <w:fldChar w:fldCharType="begin"/>
      </w:r>
      <w:r w:rsidRPr="007233D0">
        <w:rPr>
          <w:sz w:val="20"/>
        </w:rPr>
        <w:instrText xml:space="preserve"> NOTEREF _Ref497760057 \h  \* MERGEFORMAT </w:instrText>
      </w:r>
      <w:r w:rsidRPr="007233D0">
        <w:rPr>
          <w:sz w:val="20"/>
        </w:rPr>
      </w:r>
      <w:r w:rsidRPr="007233D0">
        <w:rPr>
          <w:sz w:val="20"/>
        </w:rPr>
        <w:fldChar w:fldCharType="separate"/>
      </w:r>
      <w:r>
        <w:rPr>
          <w:sz w:val="20"/>
        </w:rPr>
        <w:t>6</w:t>
      </w:r>
      <w:r w:rsidRPr="007233D0">
        <w:rPr>
          <w:sz w:val="20"/>
        </w:rPr>
        <w:fldChar w:fldCharType="end"/>
      </w:r>
      <w:r w:rsidRPr="007233D0">
        <w:rPr>
          <w:sz w:val="20"/>
        </w:rPr>
        <w:t>) [72]</w:t>
      </w:r>
      <w:proofErr w:type="gramStart"/>
      <w:r w:rsidRPr="007233D0">
        <w:rPr>
          <w:sz w:val="20"/>
        </w:rPr>
        <w:t>-[</w:t>
      </w:r>
      <w:proofErr w:type="gramEnd"/>
      <w:r w:rsidRPr="007233D0">
        <w:rPr>
          <w:sz w:val="20"/>
        </w:rPr>
        <w:t xml:space="preserve">77], the discussion of the proportionality of State interference with the applicant’s </w:t>
      </w:r>
      <w:r w:rsidRPr="007233D0">
        <w:rPr>
          <w:i/>
          <w:sz w:val="20"/>
        </w:rPr>
        <w:t>freedom D</w:t>
      </w:r>
      <w:r w:rsidRPr="007233D0">
        <w:rPr>
          <w:sz w:val="20"/>
        </w:rPr>
        <w:t xml:space="preserve"> takes place without reference to a standard of review.</w:t>
      </w:r>
    </w:p>
  </w:footnote>
  <w:footnote w:id="36">
    <w:p w14:paraId="181AEEEA" w14:textId="764EB3D6" w:rsidR="002D131A" w:rsidRPr="007233D0" w:rsidRDefault="002D131A">
      <w:pPr>
        <w:pStyle w:val="FootnoteText"/>
        <w:rPr>
          <w:sz w:val="20"/>
        </w:rPr>
      </w:pPr>
      <w:r w:rsidRPr="007233D0">
        <w:rPr>
          <w:rStyle w:val="FootnoteReference"/>
          <w:sz w:val="20"/>
        </w:rPr>
        <w:footnoteRef/>
      </w:r>
      <w:r w:rsidRPr="007233D0">
        <w:rPr>
          <w:sz w:val="20"/>
        </w:rPr>
        <w:t xml:space="preserve"> See </w:t>
      </w:r>
      <w:r w:rsidRPr="007233D0">
        <w:rPr>
          <w:sz w:val="20"/>
        </w:rPr>
        <w:fldChar w:fldCharType="begin"/>
      </w:r>
      <w:r w:rsidRPr="007233D0">
        <w:rPr>
          <w:sz w:val="20"/>
        </w:rPr>
        <w:instrText xml:space="preserve"> ADDIN EN.CITE &lt;EndNote&gt;&lt;Cite&gt;&lt;Author&gt;Alexy&lt;/Author&gt;&lt;Year&gt;2002&lt;/Year&gt;&lt;RecNum&gt;2204&lt;/RecNum&gt;&lt;DisplayText&gt;Robert Alexy, &lt;style face="italic"&gt;A theory of constitutional rights&lt;/style&gt; (Oxford University Press 2002)&lt;/DisplayText&gt;&lt;record&gt;&lt;rec-number&gt;2204&lt;/rec-number&gt;&lt;foreign-keys&gt;&lt;key app="EN" db-id="29e2pr0ebtzaxkedz5b5aefxftsede200wps" timestamp="1471266598"&gt;2204&lt;/key&gt;&lt;/foreign-keys&gt;&lt;ref-type name="Book (all books with authors, including edited or translated books)"&gt;6&lt;/ref-type&gt;&lt;contributors&gt;&lt;authors&gt;&lt;author&gt;Alexy, Robert&lt;/author&gt;&lt;/authors&gt;&lt;/contributors&gt;&lt;titles&gt;&lt;title&gt;A theory of constitutional rights&lt;/title&gt;&lt;/titles&gt;&lt;pages&gt;liii, 462 p.&lt;/pages&gt;&lt;keywords&gt;&lt;keyword&gt;Civil rights.&lt;/keyword&gt;&lt;keyword&gt;Constitutional law.&lt;/keyword&gt;&lt;/keywords&gt;&lt;dates&gt;&lt;year&gt;2002&lt;/year&gt;&lt;/dates&gt;&lt;pub-location&gt;Oxford; New York&lt;/pub-location&gt;&lt;publisher&gt;Oxford University Press&lt;/publisher&gt;&lt;isbn&gt;0198258216&lt;/isbn&gt;&lt;accession-num&gt;12791932&lt;/accession-num&gt;&lt;call-num&gt;K3240 .A4213 2002&lt;/call-num&gt;&lt;urls&gt;&lt;related-urls&gt;&lt;url&gt;Publisher description http://www.loc.gov/catdir/enhancements/fy0613/2002074272-d.html&lt;/url&gt;&lt;url&gt;Table of contents only http://www.loc.gov/catdir/enhancements/fy0613/2002074272-t.html&lt;/url&gt;&lt;url&gt;Contributor biographical information http://www.loc.gov/catdir/enhancements/fy0723/2002074272-b.html&lt;/url&gt;&lt;/related-urls&gt;&lt;/urls&gt;&lt;/record&gt;&lt;/Cite&gt;&lt;/EndNote&gt;</w:instrText>
      </w:r>
      <w:r w:rsidRPr="007233D0">
        <w:rPr>
          <w:sz w:val="20"/>
        </w:rPr>
        <w:fldChar w:fldCharType="separate"/>
      </w:r>
      <w:r w:rsidRPr="007233D0">
        <w:rPr>
          <w:sz w:val="20"/>
        </w:rPr>
        <w:t xml:space="preserve">Robert </w:t>
      </w:r>
      <w:proofErr w:type="spellStart"/>
      <w:r w:rsidRPr="007233D0">
        <w:rPr>
          <w:sz w:val="20"/>
        </w:rPr>
        <w:t>Alexy</w:t>
      </w:r>
      <w:proofErr w:type="spellEnd"/>
      <w:r w:rsidRPr="007233D0">
        <w:rPr>
          <w:sz w:val="20"/>
        </w:rPr>
        <w:t xml:space="preserve">, </w:t>
      </w:r>
      <w:r w:rsidRPr="007233D0">
        <w:rPr>
          <w:i/>
          <w:sz w:val="20"/>
        </w:rPr>
        <w:t>A theory of constitutional rights</w:t>
      </w:r>
      <w:r w:rsidRPr="007233D0">
        <w:rPr>
          <w:sz w:val="20"/>
        </w:rPr>
        <w:t xml:space="preserve"> (Oxford University Press 2002)</w:t>
      </w:r>
      <w:r w:rsidRPr="007233D0">
        <w:rPr>
          <w:sz w:val="20"/>
        </w:rPr>
        <w:fldChar w:fldCharType="end"/>
      </w:r>
      <w:r w:rsidRPr="007233D0">
        <w:rPr>
          <w:sz w:val="20"/>
        </w:rPr>
        <w:t>.</w:t>
      </w:r>
    </w:p>
  </w:footnote>
  <w:footnote w:id="37">
    <w:p w14:paraId="5E74877B" w14:textId="5C8F49D9"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&lt;EndNote&gt;&lt;Cite&gt;&lt;Author&gt;Letsas&lt;/Author&gt;&lt;Year&gt;2015&lt;/Year&gt;&lt;RecNum&gt;2208&lt;/RecNum&gt;&lt;Pages&gt;323&lt;/Pages&gt;&lt;DisplayText&gt;George Letsas, ‘Rescuing Proportionality’ in Rowan Cruft, S. Matthew Liao and Massimo Renzo (eds), &lt;style face="italic"&gt;Philosophical foundations of human rights&lt;/style&gt; (1st edn, Oxford University Press 2015) 323&lt;/DisplayText&gt;&lt;record&gt;&lt;rec-number&gt;2208&lt;/rec-number&gt;&lt;foreign-keys&gt;&lt;key app="EN" db-id="29e2pr0ebtzaxkedz5b5aefxftsede200wps" timestamp="1471266811"&gt;2208&lt;/key&gt;&lt;/foreign-keys&gt;&lt;ref-type name="Contribution to an Edited Book"&gt;5&lt;/ref-type&gt;&lt;contributors&gt;&lt;authors&gt;&lt;author&gt;Letsas, George&lt;/author&gt;&lt;/authors&gt;&lt;secondary-authors&gt;&lt;author&gt;Cruft, Rowan&lt;/author&gt;&lt;author&gt;Liao, S. Matthew&lt;/author&gt;&lt;author&gt;Renzo, Massimo&lt;/author&gt;&lt;/secondary-authors&gt;&lt;/contributors&gt;&lt;titles&gt;&lt;title&gt;Rescuing Proportionality&lt;/title&gt;&lt;secondary-title&gt;Philosophical foundations of human rights&lt;/secondary-title&gt;&lt;/titles&gt;&lt;pages&gt;xii, 702 pages&lt;/pages&gt;&lt;edition&gt;1st&lt;/edition&gt;&lt;keywords&gt;&lt;keyword&gt;Human rights Philosophy.&lt;/keyword&gt;&lt;/keywords&gt;&lt;dates&gt;&lt;year&gt;2015&lt;/year&gt;&lt;/dates&gt;&lt;pub-location&gt;Oxford&lt;/pub-location&gt;&lt;publisher&gt;Oxford University Press&lt;/publisher&gt;&lt;isbn&gt;9780199688623 (hardback)&amp;#xD;0199688621 (hardback)&amp;#xD;9780199688630 (paperback)&amp;#xD;019968863X (paperback)&lt;/isbn&gt;&lt;accession-num&gt;18412180&lt;/accession-num&gt;&lt;call-num&gt;JC571 .P456 2015&lt;/call-num&gt;&lt;urls&gt;&lt;/urls&gt;&lt;/record&gt;&lt;/Cite&gt;&lt;/EndNote&gt;</w:instrText>
      </w:r>
      <w:r w:rsidRPr="007233D0">
        <w:rPr>
          <w:sz w:val="20"/>
        </w:rPr>
        <w:fldChar w:fldCharType="separate"/>
      </w:r>
      <w:r w:rsidRPr="007233D0">
        <w:rPr>
          <w:sz w:val="20"/>
        </w:rPr>
        <w:t xml:space="preserve">George </w:t>
      </w:r>
      <w:proofErr w:type="spellStart"/>
      <w:r w:rsidRPr="007233D0">
        <w:rPr>
          <w:sz w:val="20"/>
        </w:rPr>
        <w:t>Letsas</w:t>
      </w:r>
      <w:proofErr w:type="spellEnd"/>
      <w:r w:rsidRPr="007233D0">
        <w:rPr>
          <w:sz w:val="20"/>
        </w:rPr>
        <w:t>, ‘Rescuing Proportionality’ in Rowan Cruft, S. Matthew Liao and Massimo Renzo (</w:t>
      </w:r>
      <w:proofErr w:type="spellStart"/>
      <w:r w:rsidRPr="007233D0">
        <w:rPr>
          <w:sz w:val="20"/>
        </w:rPr>
        <w:t>eds</w:t>
      </w:r>
      <w:proofErr w:type="spellEnd"/>
      <w:r w:rsidRPr="007233D0">
        <w:rPr>
          <w:sz w:val="20"/>
        </w:rPr>
        <w:t xml:space="preserve">), </w:t>
      </w:r>
      <w:r w:rsidRPr="007233D0">
        <w:rPr>
          <w:i/>
          <w:sz w:val="20"/>
        </w:rPr>
        <w:t>Philosophical foundations of human rights</w:t>
      </w:r>
      <w:r w:rsidRPr="007233D0">
        <w:rPr>
          <w:sz w:val="20"/>
        </w:rPr>
        <w:t xml:space="preserve"> (1st </w:t>
      </w:r>
      <w:proofErr w:type="spellStart"/>
      <w:r w:rsidRPr="007233D0">
        <w:rPr>
          <w:sz w:val="20"/>
        </w:rPr>
        <w:t>edn</w:t>
      </w:r>
      <w:proofErr w:type="spellEnd"/>
      <w:r w:rsidRPr="007233D0">
        <w:rPr>
          <w:sz w:val="20"/>
        </w:rPr>
        <w:t>, Oxford University Press 2015) 323</w:t>
      </w:r>
      <w:r w:rsidRPr="007233D0">
        <w:rPr>
          <w:sz w:val="20"/>
        </w:rPr>
        <w:fldChar w:fldCharType="end"/>
      </w:r>
      <w:r w:rsidRPr="007233D0">
        <w:rPr>
          <w:sz w:val="20"/>
        </w:rPr>
        <w:t>.</w:t>
      </w:r>
    </w:p>
  </w:footnote>
  <w:footnote w:id="38">
    <w:p w14:paraId="0E676D81" w14:textId="4799EA7B" w:rsidR="002D131A" w:rsidRPr="007233D0" w:rsidRDefault="002D131A">
      <w:pPr>
        <w:pStyle w:val="FootnoteText"/>
        <w:rPr>
          <w:sz w:val="20"/>
        </w:rPr>
      </w:pPr>
      <w:r w:rsidRPr="007233D0">
        <w:rPr>
          <w:rStyle w:val="FootnoteReference"/>
          <w:sz w:val="20"/>
        </w:rPr>
        <w:footnoteRef/>
      </w:r>
      <w:r w:rsidRPr="007233D0">
        <w:rPr>
          <w:sz w:val="20"/>
        </w:rPr>
        <w:t xml:space="preserve"> ibid 324; See </w:t>
      </w:r>
      <w:r w:rsidRPr="007233D0">
        <w:rPr>
          <w:sz w:val="20"/>
        </w:rPr>
        <w:fldChar w:fldCharType="begin"/>
      </w:r>
      <w:r w:rsidRPr="007233D0">
        <w:rPr>
          <w:sz w:val="20"/>
        </w:rPr>
        <w:instrText xml:space="preserve"> ADDIN EN.CITE &lt;EndNote&gt;&lt;Cite&gt;&lt;Author&gt;Verdirame&lt;/Author&gt;&lt;Year&gt;2015&lt;/Year&gt;&lt;RecNum&gt;2209&lt;/RecNum&gt;&lt;DisplayText&gt;Guglielmo Verdirame, ‘Rescuing Human Rights from Proportionality’ in Rowan Cruft, S. Matthew Liao and Massimo Renzo (eds), &lt;style face="italic"&gt;Philosophical foundations of human rights&lt;/style&gt; (1st edn, Oxford University Press 2015)&lt;/DisplayText&gt;&lt;record&gt;&lt;rec-number&gt;2209&lt;/rec-number&gt;&lt;foreign-keys&gt;&lt;key app="EN" db-id="29e2pr0ebtzaxkedz5b5aefxftsede200wps" timestamp="1471266878"&gt;2209&lt;/key&gt;&lt;/foreign-keys&gt;&lt;ref-type name="Contribution to an Edited Book"&gt;5&lt;/ref-type&gt;&lt;contributors&gt;&lt;authors&gt;&lt;author&gt;Verdirame, Guglielmo&lt;/author&gt;&lt;/authors&gt;&lt;secondary-authors&gt;&lt;author&gt;Cruft, Rowan&lt;/author&gt;&lt;author&gt;Liao, S. Matthew&lt;/author&gt;&lt;author&gt;Renzo, Massimo&lt;/author&gt;&lt;/secondary-authors&gt;&lt;/contributors&gt;&lt;titles&gt;&lt;title&gt;Rescuing Human Rights from Proportionality&lt;/title&gt;&lt;secondary-title&gt;Philosophical foundations of human rights&lt;/secondary-title&gt;&lt;/titles&gt;&lt;pages&gt;xii, 702 pages&lt;/pages&gt;&lt;edition&gt;1st&lt;/edition&gt;&lt;keywords&gt;&lt;keyword&gt;Human rights Philosophy.&lt;/keyword&gt;&lt;/keywords&gt;&lt;dates&gt;&lt;year&gt;2015&lt;/year&gt;&lt;/dates&gt;&lt;pub-location&gt;Oxford&lt;/pub-location&gt;&lt;publisher&gt;Oxford University Press&lt;/publisher&gt;&lt;isbn&gt;9780199688623 (hardback)&amp;#xD;0199688621 (hardback)&amp;#xD;9780199688630 (paperback)&amp;#xD;019968863X (paperback)&lt;/isbn&gt;&lt;accession-num&gt;18412180&lt;/accession-num&gt;&lt;call-num&gt;JC571 .P456 2015&lt;/call-num&gt;&lt;urls&gt;&lt;/urls&gt;&lt;/record&gt;&lt;/Cite&gt;&lt;/EndNote&gt;</w:instrText>
      </w:r>
      <w:r w:rsidRPr="007233D0">
        <w:rPr>
          <w:sz w:val="20"/>
        </w:rPr>
        <w:fldChar w:fldCharType="separate"/>
      </w:r>
      <w:r w:rsidRPr="007233D0">
        <w:rPr>
          <w:sz w:val="20"/>
        </w:rPr>
        <w:t>Guglielmo Verdirame, ‘Rescuing Human Rights from Proportionality’ in Rowan Cruft, S. Matthew Liao and Massimo Renzo (</w:t>
      </w:r>
      <w:proofErr w:type="spellStart"/>
      <w:r w:rsidRPr="007233D0">
        <w:rPr>
          <w:sz w:val="20"/>
        </w:rPr>
        <w:t>eds</w:t>
      </w:r>
      <w:proofErr w:type="spellEnd"/>
      <w:r w:rsidRPr="007233D0">
        <w:rPr>
          <w:sz w:val="20"/>
        </w:rPr>
        <w:t xml:space="preserve">), </w:t>
      </w:r>
      <w:r w:rsidRPr="007233D0">
        <w:rPr>
          <w:i/>
          <w:sz w:val="20"/>
        </w:rPr>
        <w:t>Philosophical foundations of human rights</w:t>
      </w:r>
      <w:r w:rsidRPr="007233D0">
        <w:rPr>
          <w:sz w:val="20"/>
        </w:rPr>
        <w:t xml:space="preserve"> (1st </w:t>
      </w:r>
      <w:proofErr w:type="spellStart"/>
      <w:r w:rsidRPr="007233D0">
        <w:rPr>
          <w:sz w:val="20"/>
        </w:rPr>
        <w:t>edn</w:t>
      </w:r>
      <w:proofErr w:type="spellEnd"/>
      <w:r w:rsidRPr="007233D0">
        <w:rPr>
          <w:sz w:val="20"/>
        </w:rPr>
        <w:t>, Oxford University Press 2015)</w:t>
      </w:r>
      <w:r w:rsidRPr="007233D0">
        <w:rPr>
          <w:sz w:val="20"/>
        </w:rPr>
        <w:fldChar w:fldCharType="end"/>
      </w:r>
      <w:r w:rsidRPr="007233D0">
        <w:rPr>
          <w:sz w:val="20"/>
        </w:rPr>
        <w:t>.</w:t>
      </w:r>
    </w:p>
  </w:footnote>
  <w:footnote w:id="39">
    <w:p w14:paraId="75A31812" w14:textId="00EA83B5" w:rsidR="002D131A" w:rsidRPr="007233D0" w:rsidRDefault="002D131A">
      <w:pPr>
        <w:pStyle w:val="FootnoteText"/>
        <w:rPr>
          <w:sz w:val="20"/>
        </w:rPr>
      </w:pPr>
      <w:r w:rsidRPr="007233D0">
        <w:rPr>
          <w:rStyle w:val="FootnoteReference"/>
          <w:sz w:val="20"/>
        </w:rPr>
        <w:footnoteRef/>
      </w:r>
      <w:r w:rsidRPr="007233D0">
        <w:rPr>
          <w:sz w:val="20"/>
        </w:rPr>
        <w:t xml:space="preserve"> See </w:t>
      </w:r>
      <w:proofErr w:type="spellStart"/>
      <w:r w:rsidRPr="007233D0">
        <w:rPr>
          <w:sz w:val="20"/>
        </w:rPr>
        <w:t>Letsas</w:t>
      </w:r>
      <w:proofErr w:type="spellEnd"/>
      <w:r w:rsidRPr="007233D0">
        <w:rPr>
          <w:sz w:val="20"/>
        </w:rPr>
        <w:t xml:space="preserve"> ibid 325-327 for the development of this argument.</w:t>
      </w:r>
    </w:p>
  </w:footnote>
  <w:footnote w:id="40">
    <w:p w14:paraId="1ACF4417" w14:textId="0BE4FB9D" w:rsidR="002D131A" w:rsidRPr="007233D0" w:rsidRDefault="002D131A">
      <w:pPr>
        <w:pStyle w:val="FootnoteText"/>
        <w:rPr>
          <w:sz w:val="20"/>
        </w:rPr>
      </w:pPr>
      <w:r w:rsidRPr="007233D0">
        <w:rPr>
          <w:rStyle w:val="FootnoteReference"/>
          <w:sz w:val="20"/>
        </w:rPr>
        <w:footnoteRef/>
      </w:r>
      <w:r w:rsidRPr="007233D0">
        <w:rPr>
          <w:sz w:val="20"/>
        </w:rPr>
        <w:t xml:space="preserve"> ibid 327.</w:t>
      </w:r>
    </w:p>
  </w:footnote>
  <w:footnote w:id="41">
    <w:p w14:paraId="156E416C" w14:textId="72318230" w:rsidR="002D131A" w:rsidRPr="007233D0" w:rsidRDefault="002D131A">
      <w:pPr>
        <w:pStyle w:val="FootnoteText"/>
        <w:rPr>
          <w:sz w:val="20"/>
        </w:rPr>
      </w:pPr>
      <w:r w:rsidRPr="007233D0">
        <w:rPr>
          <w:rStyle w:val="FootnoteReference"/>
          <w:sz w:val="20"/>
        </w:rPr>
        <w:footnoteRef/>
      </w:r>
      <w:r w:rsidRPr="007233D0">
        <w:rPr>
          <w:sz w:val="20"/>
        </w:rPr>
        <w:t xml:space="preserve"> ibid 324-325 (original emphasis).</w:t>
      </w:r>
    </w:p>
  </w:footnote>
  <w:footnote w:id="42">
    <w:p w14:paraId="6BA1C702" w14:textId="55964829" w:rsidR="002D131A" w:rsidRPr="007233D0" w:rsidRDefault="002D131A">
      <w:pPr>
        <w:pStyle w:val="FootnoteText"/>
        <w:rPr>
          <w:sz w:val="20"/>
        </w:rPr>
      </w:pPr>
      <w:r w:rsidRPr="007233D0">
        <w:rPr>
          <w:rStyle w:val="FootnoteReference"/>
          <w:sz w:val="20"/>
        </w:rPr>
        <w:footnoteRef/>
      </w:r>
      <w:r w:rsidRPr="007233D0">
        <w:rPr>
          <w:sz w:val="20"/>
        </w:rPr>
        <w:t xml:space="preserve"> ibid 327.</w:t>
      </w:r>
    </w:p>
  </w:footnote>
  <w:footnote w:id="43">
    <w:p w14:paraId="58397B84" w14:textId="2317776F" w:rsidR="002D131A" w:rsidRPr="007233D0" w:rsidRDefault="002D131A">
      <w:pPr>
        <w:pStyle w:val="FootnoteText"/>
        <w:rPr>
          <w:sz w:val="20"/>
        </w:rPr>
      </w:pPr>
      <w:r w:rsidRPr="007233D0">
        <w:rPr>
          <w:rStyle w:val="FootnoteReference"/>
          <w:sz w:val="20"/>
        </w:rPr>
        <w:footnoteRef/>
      </w:r>
      <w:r w:rsidRPr="007233D0">
        <w:rPr>
          <w:sz w:val="20"/>
        </w:rPr>
        <w:t xml:space="preserve"> ibid 328.</w:t>
      </w:r>
    </w:p>
  </w:footnote>
  <w:footnote w:id="44">
    <w:p w14:paraId="66FC6674" w14:textId="5DBD8C46" w:rsidR="002D131A" w:rsidRPr="007233D0" w:rsidRDefault="002D131A">
      <w:pPr>
        <w:pStyle w:val="FootnoteText"/>
        <w:rPr>
          <w:sz w:val="20"/>
        </w:rPr>
      </w:pPr>
      <w:r w:rsidRPr="007233D0">
        <w:rPr>
          <w:rStyle w:val="FootnoteReference"/>
          <w:sz w:val="20"/>
        </w:rPr>
        <w:footnoteRef/>
      </w:r>
      <w:r w:rsidRPr="007233D0">
        <w:rPr>
          <w:sz w:val="20"/>
        </w:rPr>
        <w:t xml:space="preserve"> Wenar (n </w:t>
      </w:r>
      <w:r w:rsidRPr="007233D0">
        <w:rPr>
          <w:sz w:val="20"/>
        </w:rPr>
        <w:fldChar w:fldCharType="begin"/>
      </w:r>
      <w:r w:rsidRPr="007233D0">
        <w:rPr>
          <w:sz w:val="20"/>
        </w:rPr>
        <w:instrText xml:space="preserve"> NOTEREF _Ref497761807 \h  \* MERGEFORMAT </w:instrText>
      </w:r>
      <w:r w:rsidRPr="007233D0">
        <w:rPr>
          <w:sz w:val="20"/>
        </w:rPr>
      </w:r>
      <w:r w:rsidRPr="007233D0">
        <w:rPr>
          <w:sz w:val="20"/>
        </w:rPr>
        <w:fldChar w:fldCharType="separate"/>
      </w:r>
      <w:r>
        <w:rPr>
          <w:sz w:val="20"/>
        </w:rPr>
        <w:t>13</w:t>
      </w:r>
      <w:r w:rsidRPr="007233D0">
        <w:rPr>
          <w:sz w:val="20"/>
        </w:rPr>
        <w:fldChar w:fldCharType="end"/>
      </w:r>
      <w:r w:rsidRPr="007233D0">
        <w:rPr>
          <w:sz w:val="20"/>
        </w:rPr>
        <w:t>).</w:t>
      </w:r>
    </w:p>
  </w:footnote>
  <w:footnote w:id="45">
    <w:p w14:paraId="22895E86" w14:textId="682A3350" w:rsidR="002D131A" w:rsidRPr="007233D0" w:rsidRDefault="002D131A">
      <w:pPr>
        <w:pStyle w:val="FootnoteText"/>
        <w:rPr>
          <w:sz w:val="20"/>
        </w:rPr>
      </w:pPr>
      <w:r w:rsidRPr="007233D0">
        <w:rPr>
          <w:rStyle w:val="FootnoteReference"/>
          <w:sz w:val="20"/>
        </w:rPr>
        <w:footnoteRef/>
      </w:r>
      <w:r w:rsidRPr="007233D0">
        <w:rPr>
          <w:sz w:val="20"/>
        </w:rPr>
        <w:t xml:space="preserve"> Again, I borrow the terminology from </w:t>
      </w:r>
      <w:proofErr w:type="spellStart"/>
      <w:r w:rsidRPr="007233D0">
        <w:rPr>
          <w:sz w:val="20"/>
        </w:rPr>
        <w:t>Letsas</w:t>
      </w:r>
      <w:proofErr w:type="spellEnd"/>
      <w:r w:rsidRPr="007233D0">
        <w:rPr>
          <w:sz w:val="20"/>
        </w:rPr>
        <w:t xml:space="preserve"> (n </w:t>
      </w:r>
      <w:r w:rsidRPr="007233D0">
        <w:rPr>
          <w:sz w:val="20"/>
        </w:rPr>
        <w:fldChar w:fldCharType="begin"/>
      </w:r>
      <w:r w:rsidRPr="007233D0">
        <w:rPr>
          <w:sz w:val="20"/>
        </w:rPr>
        <w:instrText xml:space="preserve"> NOTEREF _Ref497761671 \h  \* MERGEFORMAT </w:instrText>
      </w:r>
      <w:r w:rsidRPr="007233D0">
        <w:rPr>
          <w:sz w:val="20"/>
        </w:rPr>
      </w:r>
      <w:r w:rsidRPr="007233D0">
        <w:rPr>
          <w:sz w:val="20"/>
        </w:rPr>
        <w:fldChar w:fldCharType="separate"/>
      </w:r>
      <w:r>
        <w:rPr>
          <w:sz w:val="20"/>
        </w:rPr>
        <w:t>14</w:t>
      </w:r>
      <w:r w:rsidRPr="007233D0">
        <w:rPr>
          <w:sz w:val="20"/>
        </w:rPr>
        <w:fldChar w:fldCharType="end"/>
      </w:r>
      <w:r w:rsidRPr="007233D0">
        <w:rPr>
          <w:sz w:val="20"/>
        </w:rPr>
        <w:t>) 101.</w:t>
      </w:r>
    </w:p>
  </w:footnote>
  <w:footnote w:id="46">
    <w:p w14:paraId="0FC3ED68" w14:textId="5F460C59" w:rsidR="002D131A" w:rsidRPr="007233D0" w:rsidRDefault="002D131A" w:rsidP="009B5218">
      <w:pPr>
        <w:pStyle w:val="FootnoteText"/>
        <w:rPr>
          <w:sz w:val="20"/>
        </w:rPr>
      </w:pPr>
      <w:r w:rsidRPr="007233D0">
        <w:rPr>
          <w:rStyle w:val="FootnoteReference"/>
          <w:sz w:val="20"/>
        </w:rPr>
        <w:footnoteRef/>
      </w:r>
      <w:r w:rsidRPr="007233D0">
        <w:rPr>
          <w:sz w:val="20"/>
        </w:rPr>
        <w:t xml:space="preserve"> See Wenar (n </w:t>
      </w:r>
      <w:r w:rsidRPr="007233D0">
        <w:rPr>
          <w:sz w:val="20"/>
        </w:rPr>
        <w:fldChar w:fldCharType="begin"/>
      </w:r>
      <w:r w:rsidRPr="007233D0">
        <w:rPr>
          <w:sz w:val="20"/>
        </w:rPr>
        <w:instrText xml:space="preserve"> NOTEREF _Ref497761807 \h  \* MERGEFORMAT </w:instrText>
      </w:r>
      <w:r w:rsidRPr="007233D0">
        <w:rPr>
          <w:sz w:val="20"/>
        </w:rPr>
      </w:r>
      <w:r w:rsidRPr="007233D0">
        <w:rPr>
          <w:sz w:val="20"/>
        </w:rPr>
        <w:fldChar w:fldCharType="separate"/>
      </w:r>
      <w:r>
        <w:rPr>
          <w:sz w:val="20"/>
        </w:rPr>
        <w:t>13</w:t>
      </w:r>
      <w:r w:rsidRPr="007233D0">
        <w:rPr>
          <w:sz w:val="20"/>
        </w:rPr>
        <w:fldChar w:fldCharType="end"/>
      </w:r>
      <w:r w:rsidRPr="007233D0">
        <w:rPr>
          <w:sz w:val="20"/>
        </w:rPr>
        <w:t>).</w:t>
      </w:r>
    </w:p>
  </w:footnote>
  <w:footnote w:id="47">
    <w:p w14:paraId="6A777AE8" w14:textId="09928CDC" w:rsidR="002D131A" w:rsidRPr="007233D0" w:rsidRDefault="002D131A" w:rsidP="009B5218">
      <w:pPr>
        <w:pStyle w:val="FootnoteText"/>
        <w:rPr>
          <w:sz w:val="20"/>
        </w:rPr>
      </w:pPr>
      <w:r w:rsidRPr="007233D0">
        <w:rPr>
          <w:rStyle w:val="FootnoteReference"/>
          <w:sz w:val="20"/>
        </w:rPr>
        <w:footnoteRef/>
      </w:r>
      <w:r w:rsidRPr="007233D0">
        <w:rPr>
          <w:sz w:val="20"/>
        </w:rPr>
        <w:t xml:space="preserve"> See </w:t>
      </w:r>
      <w:proofErr w:type="spellStart"/>
      <w:r w:rsidRPr="007233D0">
        <w:rPr>
          <w:sz w:val="20"/>
        </w:rPr>
        <w:t>Letsas</w:t>
      </w:r>
      <w:proofErr w:type="spellEnd"/>
      <w:r w:rsidRPr="007233D0">
        <w:rPr>
          <w:sz w:val="20"/>
        </w:rPr>
        <w:t xml:space="preserve"> (n </w:t>
      </w:r>
      <w:r w:rsidRPr="007233D0">
        <w:rPr>
          <w:sz w:val="20"/>
        </w:rPr>
        <w:fldChar w:fldCharType="begin"/>
      </w:r>
      <w:r w:rsidRPr="007233D0">
        <w:rPr>
          <w:sz w:val="20"/>
        </w:rPr>
        <w:instrText xml:space="preserve"> NOTEREF _Ref497761893 \h  \* MERGEFORMAT </w:instrText>
      </w:r>
      <w:r w:rsidRPr="007233D0">
        <w:rPr>
          <w:sz w:val="20"/>
        </w:rPr>
      </w:r>
      <w:r w:rsidRPr="007233D0">
        <w:rPr>
          <w:sz w:val="20"/>
        </w:rPr>
        <w:fldChar w:fldCharType="separate"/>
      </w:r>
      <w:r>
        <w:rPr>
          <w:sz w:val="20"/>
        </w:rPr>
        <w:t>37</w:t>
      </w:r>
      <w:r w:rsidRPr="007233D0">
        <w:rPr>
          <w:sz w:val="20"/>
        </w:rPr>
        <w:fldChar w:fldCharType="end"/>
      </w:r>
      <w:r w:rsidRPr="007233D0">
        <w:rPr>
          <w:sz w:val="20"/>
        </w:rPr>
        <w:t>) 330-339.</w:t>
      </w:r>
    </w:p>
  </w:footnote>
  <w:footnote w:id="48">
    <w:p w14:paraId="0849B794" w14:textId="2EF87969" w:rsidR="002D131A" w:rsidRPr="007233D0" w:rsidRDefault="002D131A">
      <w:pPr>
        <w:pStyle w:val="FootnoteText"/>
        <w:rPr>
          <w:sz w:val="20"/>
        </w:rPr>
      </w:pPr>
      <w:r w:rsidRPr="007233D0">
        <w:rPr>
          <w:rStyle w:val="FootnoteReference"/>
          <w:sz w:val="20"/>
        </w:rPr>
        <w:footnoteRef/>
      </w:r>
      <w:r w:rsidRPr="007233D0">
        <w:rPr>
          <w:sz w:val="20"/>
        </w:rPr>
        <w:t xml:space="preserve"> ibid 328; See </w:t>
      </w:r>
      <w:r w:rsidRPr="007233D0">
        <w:rPr>
          <w:sz w:val="20"/>
        </w:rPr>
        <w:fldChar w:fldCharType="begin"/>
      </w:r>
      <w:r w:rsidRPr="007233D0">
        <w:rPr>
          <w:sz w:val="20"/>
        </w:rPr>
        <w:instrText xml:space="preserve"> ADDIN EN.CITE &lt;EndNote&gt;&lt;Cite&gt;&lt;Author&gt;Raz&lt;/Author&gt;&lt;Year&gt;1986&lt;/Year&gt;&lt;RecNum&gt;2210&lt;/RecNum&gt;&lt;Pages&gt;Chapter 7&lt;/Pages&gt;&lt;DisplayText&gt;Joseph Raz, &lt;style face="italic"&gt;The morality of freedom&lt;/style&gt; (Clarendon Press 1986) Chapter 7&lt;/DisplayText&gt;&lt;record&gt;&lt;rec-number&gt;2210&lt;/rec-number&gt;&lt;foreign-keys&gt;&lt;key app="EN" db-id="29e2pr0ebtzaxkedz5b5aefxftsede200wps" timestamp="1471267198"&gt;2210&lt;/key&gt;&lt;/foreign-keys&gt;&lt;ref-type name="Book (all books with authors, including edited or translated books)"&gt;6&lt;/ref-type&gt;&lt;contributors&gt;&lt;authors&gt;&lt;author&gt;Raz,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p.&lt;/pages&gt;&lt;keywords&gt;&lt;keyword&gt;Liberty.&lt;/keyword&gt;&lt;keyword&gt;Authority.&lt;/keyword&gt;&lt;/keywords&gt;&lt;dates&gt;&lt;year&gt;1986&lt;/year&gt;&lt;/dates&gt;&lt;publisher&gt;Clarendon Press&lt;/publisher&gt;&lt;isbn&gt;0198247729&lt;/isbn&gt;&lt;accession-num&gt;3350375&lt;/accession-num&gt;&lt;call-num&gt;JC571 .R39 1986&lt;/call-num&gt;&lt;urls&gt;&lt;related-urls&gt;&lt;url&gt;Publisher description http://www.loc.gov/catdir/enhancements/fy0637/86005296-d.html&lt;/url&gt;&lt;/related-urls&gt;&lt;/urls&gt;&lt;/record&gt;&lt;/Cite&gt;&lt;/EndNote&gt;</w:instrText>
      </w:r>
      <w:r w:rsidRPr="007233D0">
        <w:rPr>
          <w:sz w:val="20"/>
        </w:rPr>
        <w:fldChar w:fldCharType="separate"/>
      </w:r>
      <w:r w:rsidRPr="007233D0">
        <w:rPr>
          <w:sz w:val="20"/>
        </w:rPr>
        <w:t xml:space="preserve">Joseph </w:t>
      </w:r>
      <w:proofErr w:type="spellStart"/>
      <w:r w:rsidRPr="007233D0">
        <w:rPr>
          <w:sz w:val="20"/>
        </w:rPr>
        <w:t>Raz</w:t>
      </w:r>
      <w:proofErr w:type="spellEnd"/>
      <w:r w:rsidRPr="007233D0">
        <w:rPr>
          <w:sz w:val="20"/>
        </w:rPr>
        <w:t xml:space="preserve">, </w:t>
      </w:r>
      <w:r w:rsidRPr="007233D0">
        <w:rPr>
          <w:i/>
          <w:sz w:val="20"/>
        </w:rPr>
        <w:t>The morality of freedom</w:t>
      </w:r>
      <w:r w:rsidRPr="007233D0">
        <w:rPr>
          <w:sz w:val="20"/>
        </w:rPr>
        <w:t xml:space="preserve"> (Clarendon Press 1986) Chapter 7</w:t>
      </w:r>
      <w:r w:rsidRPr="007233D0">
        <w:rPr>
          <w:sz w:val="20"/>
        </w:rPr>
        <w:fldChar w:fldCharType="end"/>
      </w:r>
      <w:r w:rsidRPr="007233D0">
        <w:rPr>
          <w:sz w:val="20"/>
        </w:rPr>
        <w:t>.</w:t>
      </w:r>
    </w:p>
  </w:footnote>
  <w:footnote w:id="49">
    <w:p w14:paraId="1CE1E4CB" w14:textId="3FD6E2B2" w:rsidR="002D131A" w:rsidRPr="007233D0" w:rsidRDefault="002D131A">
      <w:pPr>
        <w:pStyle w:val="FootnoteText"/>
        <w:rPr>
          <w:sz w:val="20"/>
        </w:rPr>
      </w:pPr>
      <w:r w:rsidRPr="007233D0">
        <w:rPr>
          <w:rStyle w:val="FootnoteReference"/>
          <w:sz w:val="20"/>
        </w:rPr>
        <w:footnoteRef/>
      </w:r>
      <w:r w:rsidRPr="007233D0">
        <w:rPr>
          <w:sz w:val="20"/>
        </w:rPr>
        <w:t xml:space="preserve"> </w:t>
      </w:r>
      <w:proofErr w:type="spellStart"/>
      <w:r w:rsidRPr="007233D0">
        <w:rPr>
          <w:sz w:val="20"/>
        </w:rPr>
        <w:t>Letsas</w:t>
      </w:r>
      <w:proofErr w:type="spellEnd"/>
      <w:r w:rsidRPr="007233D0">
        <w:rPr>
          <w:sz w:val="20"/>
        </w:rPr>
        <w:t xml:space="preserve"> ibid 329.</w:t>
      </w:r>
    </w:p>
  </w:footnote>
  <w:footnote w:id="50">
    <w:p w14:paraId="1C649507" w14:textId="79AD0006" w:rsidR="002D131A" w:rsidRPr="007233D0" w:rsidRDefault="002D131A">
      <w:pPr>
        <w:pStyle w:val="FootnoteText"/>
        <w:rPr>
          <w:sz w:val="20"/>
        </w:rPr>
      </w:pPr>
      <w:r w:rsidRPr="007233D0">
        <w:rPr>
          <w:rStyle w:val="FootnoteReference"/>
          <w:sz w:val="20"/>
        </w:rPr>
        <w:footnoteRef/>
      </w:r>
      <w:r w:rsidRPr="007233D0">
        <w:rPr>
          <w:sz w:val="20"/>
        </w:rPr>
        <w:t xml:space="preserve"> ibid; See </w:t>
      </w:r>
      <w:proofErr w:type="spellStart"/>
      <w:r w:rsidRPr="007233D0">
        <w:rPr>
          <w:sz w:val="20"/>
        </w:rPr>
        <w:t>Raz</w:t>
      </w:r>
      <w:proofErr w:type="spellEnd"/>
      <w:r w:rsidRPr="007233D0">
        <w:rPr>
          <w:sz w:val="20"/>
        </w:rPr>
        <w:t xml:space="preserve"> (n </w:t>
      </w:r>
      <w:r w:rsidRPr="007233D0">
        <w:rPr>
          <w:sz w:val="20"/>
        </w:rPr>
        <w:fldChar w:fldCharType="begin"/>
      </w:r>
      <w:r w:rsidRPr="007233D0">
        <w:rPr>
          <w:sz w:val="20"/>
        </w:rPr>
        <w:instrText xml:space="preserve"> NOTEREF _Ref497761825 \h  \* MERGEFORMAT </w:instrText>
      </w:r>
      <w:r w:rsidRPr="007233D0">
        <w:rPr>
          <w:sz w:val="20"/>
        </w:rPr>
      </w:r>
      <w:r w:rsidRPr="007233D0">
        <w:rPr>
          <w:sz w:val="20"/>
        </w:rPr>
        <w:fldChar w:fldCharType="separate"/>
      </w:r>
      <w:r>
        <w:rPr>
          <w:sz w:val="20"/>
        </w:rPr>
        <w:t>48</w:t>
      </w:r>
      <w:r w:rsidRPr="007233D0">
        <w:rPr>
          <w:sz w:val="20"/>
        </w:rPr>
        <w:fldChar w:fldCharType="end"/>
      </w:r>
      <w:r w:rsidRPr="007233D0">
        <w:rPr>
          <w:sz w:val="20"/>
        </w:rPr>
        <w:t>) 181-182.</w:t>
      </w:r>
    </w:p>
  </w:footnote>
  <w:footnote w:id="51">
    <w:p w14:paraId="6E5E6F89" w14:textId="58EFBF81" w:rsidR="002D131A" w:rsidRPr="007233D0" w:rsidRDefault="002D131A">
      <w:pPr>
        <w:pStyle w:val="FootnoteText"/>
        <w:rPr>
          <w:sz w:val="20"/>
        </w:rPr>
      </w:pPr>
      <w:r w:rsidRPr="007233D0">
        <w:rPr>
          <w:rStyle w:val="FootnoteReference"/>
          <w:sz w:val="20"/>
        </w:rPr>
        <w:footnoteRef/>
      </w:r>
      <w:r w:rsidRPr="007233D0">
        <w:rPr>
          <w:sz w:val="20"/>
        </w:rPr>
        <w:t xml:space="preserve"> </w:t>
      </w:r>
      <w:proofErr w:type="spellStart"/>
      <w:r w:rsidRPr="007233D0">
        <w:rPr>
          <w:sz w:val="20"/>
        </w:rPr>
        <w:t>Letsas</w:t>
      </w:r>
      <w:proofErr w:type="spellEnd"/>
      <w:r w:rsidRPr="007233D0">
        <w:rPr>
          <w:sz w:val="20"/>
        </w:rPr>
        <w:t xml:space="preserve"> ibid; It is not obvious how far this view takes us from </w:t>
      </w:r>
      <w:r w:rsidRPr="00190851">
        <w:rPr>
          <w:sz w:val="20"/>
        </w:rPr>
        <w:t>rule-utilitarian</w:t>
      </w:r>
      <w:r w:rsidRPr="007233D0">
        <w:rPr>
          <w:sz w:val="20"/>
        </w:rPr>
        <w:t xml:space="preserve"> accounts of rights (see eg </w:t>
      </w:r>
      <w:r w:rsidRPr="007233D0">
        <w:rPr>
          <w:sz w:val="20"/>
        </w:rPr>
        <w:fldChar w:fldCharType="begin"/>
      </w:r>
      <w:r w:rsidRPr="007233D0">
        <w:rPr>
          <w:sz w:val="20"/>
        </w:rPr>
        <w:instrText xml:space="preserve"> ADDIN EN.CITE &lt;EndNote&gt;&lt;Cite&gt;&lt;Author&gt;Brandt&lt;/Author&gt;&lt;Year&gt;1984&lt;/Year&gt;&lt;RecNum&gt;1835&lt;/RecNum&gt;&lt;DisplayText&gt;RB Brandt, ‘Utilitarianism and Moral Rights’ (1984) 14(1) CJPhil 1&lt;/DisplayText&gt;&lt;record&gt;&lt;rec-number&gt;1835&lt;/rec-number&gt;&lt;foreign-keys&gt;&lt;key app="EN" db-id="29e2pr0ebtzaxkedz5b5aefxftsede200wps" timestamp="1469958548"&gt;1835&lt;/key&gt;&lt;/foreign-keys&gt;&lt;ref-type name="Journal Article"&gt;17&lt;/ref-type&gt;&lt;contributors&gt;&lt;authors&gt;&lt;author&gt;Brandt, RB&lt;/author&gt;&lt;/authors&gt;&lt;/contributors&gt;&lt;titles&gt;&lt;title&gt;Utilitarianism and Moral Rights&lt;/title&gt;&lt;secondary-title&gt;Canadian Journal of Philosophy&lt;/secondary-title&gt;&lt;/titles&gt;&lt;periodical&gt;&lt;full-title&gt;Canadian Journal of Philosophy&lt;/full-title&gt;&lt;abbr-1&gt;CJPhil&lt;/abbr-1&gt;&lt;/periodical&gt;&lt;pages&gt;1&lt;/pages&gt;&lt;volume&gt;14&lt;/volume&gt;&lt;number&gt;1&lt;/number&gt;&lt;dates&gt;&lt;year&gt;1984&lt;/year&gt;&lt;/dates&gt;&lt;pub-location&gt;1984&lt;/pub-location&gt;&lt;urls&gt;&lt;/urls&gt;&lt;/record&gt;&lt;/Cite&gt;&lt;/EndNote&gt;</w:instrText>
      </w:r>
      <w:r w:rsidRPr="007233D0">
        <w:rPr>
          <w:sz w:val="20"/>
        </w:rPr>
        <w:fldChar w:fldCharType="separate"/>
      </w:r>
      <w:r w:rsidRPr="007233D0">
        <w:rPr>
          <w:sz w:val="20"/>
        </w:rPr>
        <w:t xml:space="preserve">RB Brandt, ‘Utilitarianism and Moral Rights’ (1984) 14(1) </w:t>
      </w:r>
      <w:proofErr w:type="spellStart"/>
      <w:r w:rsidRPr="007233D0">
        <w:rPr>
          <w:sz w:val="20"/>
        </w:rPr>
        <w:t>CJPhil</w:t>
      </w:r>
      <w:proofErr w:type="spellEnd"/>
      <w:r w:rsidRPr="007233D0">
        <w:rPr>
          <w:sz w:val="20"/>
        </w:rPr>
        <w:t xml:space="preserve"> 1</w:t>
      </w:r>
      <w:r w:rsidRPr="007233D0">
        <w:rPr>
          <w:sz w:val="20"/>
        </w:rPr>
        <w:fldChar w:fldCharType="end"/>
      </w:r>
      <w:r w:rsidRPr="007233D0">
        <w:rPr>
          <w:sz w:val="20"/>
        </w:rPr>
        <w:t>), but we need not dwell on this issue here.</w:t>
      </w:r>
    </w:p>
  </w:footnote>
  <w:footnote w:id="52">
    <w:p w14:paraId="6CE89F48" w14:textId="401FE3B3"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&lt;EndNote&gt;&lt;Cite&gt;&lt;Author&gt;Glover&lt;/Author&gt;&lt;Year&gt;1990&lt;/Year&gt;&lt;RecNum&gt;928&lt;/RecNum&gt;&lt;Pages&gt;§5.4&lt;/Pages&gt;&lt;DisplayText&gt;Jonathan Glover, &lt;style face="italic"&gt;Causing Death and Saving Lives: The Moral Problems of Abortion, Infanticide, Suicide, Euthanasia, Capital Punishment, War and Other Life-or-death Choices&lt;/style&gt; (New ed edn, Penguin 1990) §5.4&lt;/DisplayText&gt;&lt;record&gt;&lt;rec-number&gt;928&lt;/rec-number&gt;&lt;foreign-keys&gt;&lt;key app="EN" db-id="29e2pr0ebtzaxkedz5b5aefxftsede200wps" timestamp="1469956988"&gt;928&lt;/key&gt;&lt;/foreign-keys&gt;&lt;ref-type name="Book (all books with authors, including edited or translated books)"&gt;6&lt;/ref-type&gt;&lt;contributors&gt;&lt;authors&gt;&lt;author&gt;Glover, Jonathan&lt;/author&gt;&lt;/authors&gt;&lt;/contributors&gt;&lt;titles&gt;&lt;title&gt;Causing Death and Saving Lives: The Moral Problems of Abortion, Infanticide, Suicide, Euthanasia, Capital Punishment, War and Other Life-or-death Choices&lt;/title&gt;&lt;/titles&gt;&lt;edition&gt;New ed&lt;/edition&gt;&lt;dates&gt;&lt;year&gt;1990&lt;/year&gt;&lt;/dates&gt;&lt;publisher&gt;Penguin&lt;/publisher&gt;&lt;urls&gt;&lt;/urls&gt;&lt;/record&gt;&lt;/Cite&gt;&lt;/EndNote&gt;</w:instrText>
      </w:r>
      <w:r w:rsidRPr="007233D0">
        <w:rPr>
          <w:sz w:val="20"/>
        </w:rPr>
        <w:fldChar w:fldCharType="separate"/>
      </w:r>
      <w:r w:rsidRPr="007233D0">
        <w:rPr>
          <w:noProof/>
          <w:sz w:val="20"/>
        </w:rPr>
        <w:t xml:space="preserve">Jonathan Glover, </w:t>
      </w:r>
      <w:r w:rsidRPr="007233D0">
        <w:rPr>
          <w:i/>
          <w:noProof/>
          <w:sz w:val="20"/>
        </w:rPr>
        <w:t>Causing Death and Saving Lives: The Moral Problems of Abortion, Infanticide, Suicide, Euthanasia, Capital Punishment, War and Other Life-or-death Choices</w:t>
      </w:r>
      <w:r w:rsidRPr="007233D0">
        <w:rPr>
          <w:noProof/>
          <w:sz w:val="20"/>
        </w:rPr>
        <w:t xml:space="preserve"> (New ed edn, Penguin 1990) §5.4</w:t>
      </w:r>
      <w:r w:rsidRPr="007233D0">
        <w:rPr>
          <w:sz w:val="20"/>
        </w:rPr>
        <w:fldChar w:fldCharType="end"/>
      </w:r>
      <w:r w:rsidRPr="007233D0">
        <w:rPr>
          <w:sz w:val="20"/>
        </w:rPr>
        <w:t>: ‘Suppose people’s marriage partners and jobs were chosen by experts, and that studies showed a far higher level of satisfaction among those whose marriages and jobs were so chosen than among people who made their own arrangements. Even so, many of us would prefer not to delegate such important decisions, for if we did so we would lose the sense of living our own lives, and we prefer to forgo a great deal of happiness, or risk a fair amount of disaster, to losing control of our lives in this way … perhaps for some of us there is no degree of additional pleasure for which we would surrender control of the central decisions of our lives.’</w:t>
      </w:r>
    </w:p>
  </w:footnote>
  <w:footnote w:id="53">
    <w:p w14:paraId="7BF445EF" w14:textId="0E92658A" w:rsidR="002D131A" w:rsidRPr="007233D0" w:rsidRDefault="002D131A">
      <w:pPr>
        <w:pStyle w:val="FootnoteText"/>
        <w:rPr>
          <w:sz w:val="20"/>
        </w:rPr>
      </w:pPr>
      <w:r w:rsidRPr="007233D0">
        <w:rPr>
          <w:rStyle w:val="FootnoteReference"/>
          <w:sz w:val="20"/>
        </w:rPr>
        <w:footnoteRef/>
      </w:r>
      <w:r w:rsidRPr="007233D0">
        <w:rPr>
          <w:sz w:val="20"/>
        </w:rPr>
        <w:t xml:space="preserve"> See eg </w:t>
      </w:r>
      <w:r w:rsidRPr="007233D0">
        <w:rPr>
          <w:sz w:val="20"/>
        </w:rPr>
        <w:fldChar w:fldCharType="begin"/>
      </w:r>
      <w:r w:rsidRPr="007233D0">
        <w:rPr>
          <w:sz w:val="20"/>
        </w:rPr>
        <w:instrText xml:space="preserve"> ADDIN EN.CITE &lt;EndNote&gt;&lt;Cite&gt;&lt;Author&gt;Bentham&lt;/Author&gt;&lt;Year&gt;1789&lt;/Year&gt;&lt;RecNum&gt;2308&lt;/RecNum&gt;&lt;DisplayText&gt;Jeremy Bentham, &lt;style face="italic"&gt;An introduction to the principles of morals and legislation&lt;/style&gt; (T Payne &amp;amp; Son 1789)&lt;/DisplayText&gt;&lt;record&gt;&lt;rec-number&gt;2308&lt;/rec-number&gt;&lt;foreign-keys&gt;&lt;key app="EN" db-id="29e2pr0ebtzaxkedz5b5aefxftsede200wps" timestamp="1478879091"&gt;2308&lt;/key&gt;&lt;/foreign-keys&gt;&lt;ref-type name="Book (all books with authors, including edited or translated books)"&gt;6&lt;/ref-type&gt;&lt;contributors&gt;&lt;authors&gt;&lt;author&gt;Bentham, Jeremy&lt;/author&gt;&lt;/authors&gt;&lt;/contributors&gt;&lt;titles&gt;&lt;title&gt;An introduction to the principles of morals and legislation&lt;/title&gt;&lt;/titles&gt;&lt;dates&gt;&lt;year&gt;1789&lt;/year&gt;&lt;/dates&gt;&lt;pub-location&gt;London&lt;/pub-location&gt;&lt;publisher&gt;T Payne &amp;amp; Son&lt;/publisher&gt;&lt;accession-num&gt;0253070058&lt;/accession-num&gt;&lt;call-num&gt;British Library HMNTS C.61.e.4.&lt;/call-num&gt;&lt;urls&gt;&lt;/urls&gt;&lt;/record&gt;&lt;/Cite&gt;&lt;/EndNote&gt;</w:instrText>
      </w:r>
      <w:r w:rsidRPr="007233D0">
        <w:rPr>
          <w:sz w:val="20"/>
        </w:rPr>
        <w:fldChar w:fldCharType="separate"/>
      </w:r>
      <w:r w:rsidRPr="007233D0">
        <w:rPr>
          <w:noProof/>
          <w:sz w:val="20"/>
        </w:rPr>
        <w:t xml:space="preserve">Jeremy Bentham, </w:t>
      </w:r>
      <w:r w:rsidRPr="007233D0">
        <w:rPr>
          <w:i/>
          <w:noProof/>
          <w:sz w:val="20"/>
        </w:rPr>
        <w:t>An introduction to the principles of morals and legislation</w:t>
      </w:r>
      <w:r w:rsidRPr="007233D0">
        <w:rPr>
          <w:noProof/>
          <w:sz w:val="20"/>
        </w:rPr>
        <w:t xml:space="preserve"> (T Payne &amp; Son 1789)</w:t>
      </w:r>
      <w:r w:rsidRPr="007233D0">
        <w:rPr>
          <w:sz w:val="20"/>
        </w:rPr>
        <w:fldChar w:fldCharType="end"/>
      </w:r>
      <w:r w:rsidRPr="007233D0">
        <w:rPr>
          <w:sz w:val="20"/>
        </w:rPr>
        <w:t>.</w:t>
      </w:r>
    </w:p>
  </w:footnote>
  <w:footnote w:id="54">
    <w:p w14:paraId="39EA05EB" w14:textId="4393CE94" w:rsidR="002D131A" w:rsidRPr="007233D0" w:rsidRDefault="002D131A">
      <w:pPr>
        <w:pStyle w:val="FootnoteText"/>
        <w:rPr>
          <w:sz w:val="20"/>
        </w:rPr>
      </w:pPr>
      <w:r w:rsidRPr="007233D0">
        <w:rPr>
          <w:rStyle w:val="FootnoteReference"/>
          <w:sz w:val="20"/>
        </w:rPr>
        <w:footnoteRef/>
      </w:r>
      <w:r w:rsidRPr="007233D0">
        <w:rPr>
          <w:sz w:val="20"/>
        </w:rPr>
        <w:t xml:space="preserve"> Of course, I leave open the possibility that autonomy is instrumentally valuable because of its relation to other goods, such as diversity.</w:t>
      </w:r>
    </w:p>
  </w:footnote>
  <w:footnote w:id="55">
    <w:p w14:paraId="497ACFB7" w14:textId="02B25CEE" w:rsidR="002D131A" w:rsidRPr="007233D0" w:rsidRDefault="002D131A">
      <w:pPr>
        <w:pStyle w:val="FootnoteText"/>
        <w:rPr>
          <w:sz w:val="20"/>
        </w:rPr>
      </w:pPr>
      <w:r w:rsidRPr="007233D0">
        <w:rPr>
          <w:rStyle w:val="FootnoteReference"/>
          <w:sz w:val="20"/>
        </w:rPr>
        <w:footnoteRef/>
      </w:r>
      <w:r w:rsidRPr="007233D0">
        <w:rPr>
          <w:sz w:val="20"/>
        </w:rPr>
        <w:t xml:space="preserve"> eg Glover (n </w:t>
      </w:r>
      <w:r w:rsidRPr="007233D0">
        <w:rPr>
          <w:sz w:val="20"/>
        </w:rPr>
        <w:fldChar w:fldCharType="begin"/>
      </w:r>
      <w:r w:rsidRPr="007233D0">
        <w:rPr>
          <w:sz w:val="20"/>
        </w:rPr>
        <w:instrText xml:space="preserve"> NOTEREF _Ref497761929 \h  \* MERGEFORMAT </w:instrText>
      </w:r>
      <w:r w:rsidRPr="007233D0">
        <w:rPr>
          <w:sz w:val="20"/>
        </w:rPr>
      </w:r>
      <w:r w:rsidRPr="007233D0">
        <w:rPr>
          <w:sz w:val="20"/>
        </w:rPr>
        <w:fldChar w:fldCharType="separate"/>
      </w:r>
      <w:r>
        <w:rPr>
          <w:sz w:val="20"/>
        </w:rPr>
        <w:t>52</w:t>
      </w:r>
      <w:r w:rsidRPr="007233D0">
        <w:rPr>
          <w:sz w:val="20"/>
        </w:rPr>
        <w:fldChar w:fldCharType="end"/>
      </w:r>
      <w:r w:rsidRPr="007233D0">
        <w:rPr>
          <w:sz w:val="20"/>
        </w:rPr>
        <w:t xml:space="preserve">); </w:t>
      </w:r>
      <w:r w:rsidRPr="007233D0">
        <w:rPr>
          <w:sz w:val="20"/>
        </w:rPr>
        <w:fldChar w:fldCharType="begin"/>
      </w:r>
      <w:r w:rsidRPr="007233D0">
        <w:rPr>
          <w:sz w:val="20"/>
        </w:rPr>
        <w:instrText xml:space="preserve"> ADDIN EN.CITE &lt;EndNote&gt;&lt;Cite&gt;&lt;Author&gt;Young&lt;/Author&gt;&lt;Year&gt;1982&lt;/Year&gt;&lt;RecNum&gt;1397&lt;/RecNum&gt;&lt;DisplayText&gt;Robert Young, ‘The Value of Autonomy’ (1982) [31](126) PhQ 35&lt;/DisplayText&gt;&lt;record&gt;&lt;rec-number&gt;1397&lt;/rec-number&gt;&lt;foreign-keys&gt;&lt;key app="EN" db-id="29e2pr0ebtzaxkedz5b5aefxftsede200wps" timestamp="1469957001"&gt;1397&lt;/key&gt;&lt;/foreign-keys&gt;&lt;ref-type name="Journal Article"&gt;17&lt;/ref-type&gt;&lt;contributors&gt;&lt;authors&gt;&lt;author&gt;Young, Robert&lt;/author&gt;&lt;/authors&gt;&lt;/contributors&gt;&lt;titles&gt;&lt;title&gt;The Value of Autonomy&lt;/title&gt;&lt;secondary-title&gt;The Philosophical Quarterly&lt;/secondary-title&gt;&lt;/titles&gt;&lt;periodical&gt;&lt;full-title&gt;The Philosophical Quarterly&lt;/full-title&gt;&lt;abbr-1&gt;PhQ&lt;/abbr-1&gt;&lt;/periodical&gt;&lt;pages&gt;35&lt;/pages&gt;&lt;number&gt;126&lt;/number&gt;&lt;dates&gt;&lt;year&gt;1982&lt;/year&gt;&lt;/dates&gt;&lt;pub-location&gt;1982&lt;/pub-location&gt;&lt;publisher&gt;31&lt;/publisher&gt;&lt;urls&gt;&lt;/urls&gt;&lt;/record&gt;&lt;/Cite&gt;&lt;/EndNote&gt;</w:instrText>
      </w:r>
      <w:r w:rsidRPr="007233D0">
        <w:rPr>
          <w:sz w:val="20"/>
        </w:rPr>
        <w:fldChar w:fldCharType="separate"/>
      </w:r>
      <w:r w:rsidRPr="007233D0">
        <w:rPr>
          <w:noProof/>
          <w:sz w:val="20"/>
        </w:rPr>
        <w:t>Robert Young, ‘The Value of Autonomy’ (1982) [31](126) PhQ 35</w:t>
      </w:r>
      <w:r w:rsidRPr="007233D0">
        <w:rPr>
          <w:sz w:val="20"/>
        </w:rPr>
        <w:fldChar w:fldCharType="end"/>
      </w:r>
      <w:r w:rsidRPr="007233D0">
        <w:rPr>
          <w:sz w:val="20"/>
        </w:rPr>
        <w:t>.</w:t>
      </w:r>
    </w:p>
  </w:footnote>
  <w:footnote w:id="56">
    <w:p w14:paraId="474326FC" w14:textId="2278880F"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&lt;EndNote&gt;&lt;Cite&gt;&lt;Author&gt;Hurka&lt;/Author&gt;&lt;Year&gt;1987&lt;/Year&gt;&lt;RecNum&gt;1836&lt;/RecNum&gt;&lt;Pages&gt;375-376&lt;/Pages&gt;&lt;DisplayText&gt;Thomas Hurka, ‘Why Value Autonomy?’ (1987) 13(3) Soc Theor Pract 361, 375-376&lt;/DisplayText&gt;&lt;record&gt;&lt;rec-number&gt;1836&lt;/rec-number&gt;&lt;foreign-keys&gt;&lt;key app="EN" db-id="29e2pr0ebtzaxkedz5b5aefxftsede200wps" timestamp="1469958548"&gt;1836&lt;/key&gt;&lt;/foreign-keys&gt;&lt;ref-type name="Journal Article"&gt;17&lt;/ref-type&gt;&lt;contributors&gt;&lt;authors&gt;&lt;author&gt;Hurka, Thomas&lt;/author&gt;&lt;/authors&gt;&lt;/contributors&gt;&lt;titles&gt;&lt;title&gt;Why Value Autonomy?&lt;/title&gt;&lt;secondary-title&gt;Social Theory and Practice&lt;/secondary-title&gt;&lt;/titles&gt;&lt;periodical&gt;&lt;full-title&gt;Social Theory and Practice&lt;/full-title&gt;&lt;abbr-1&gt;Soc. Theor. Pract&lt;/abbr-1&gt;&lt;abbr-2&gt;Soc Theor Pract&lt;/abbr-2&gt;&lt;/periodical&gt;&lt;pages&gt;361&lt;/pages&gt;&lt;volume&gt;13&lt;/volume&gt;&lt;number&gt;3&lt;/number&gt;&lt;keywords&gt;&lt;keyword&gt;Social Sciences (General)&lt;/keyword&gt;&lt;/keywords&gt;&lt;dates&gt;&lt;year&gt;1987&lt;/year&gt;&lt;pub-dates&gt;&lt;date&gt;Fall&amp;#xD;Fall 1987&amp;#xD;2013-02-23&lt;/date&gt;&lt;/pub-dates&gt;&lt;/dates&gt;&lt;pub-location&gt;1987&lt;/pub-location&gt;&lt;isbn&gt;0037-802X&lt;/isbn&gt;&lt;accession-num&gt;1300145364&lt;/accession-num&gt;&lt;urls&gt;&lt;related-urls&gt;&lt;url&gt;http://search.proquest.com/docview/1300145364?accountid=11862&lt;/url&gt;&lt;url&gt;http://openurl.ac.uk/athens:112?url_ver=Z39.88-2004&amp;amp;rft_val_fmt=info:ofi/fmt:kev:mtx:journal&amp;amp;genre=article&amp;amp;sid=ProQ:ProQ%3Apao&amp;amp;atitle=Why+Value+Autonomy%3F&amp;amp;title=Social+Theory+and+Practice&amp;amp;issn=0037802X&amp;amp;date=1987-10-01&amp;amp;volume=13&amp;amp;issue=3&amp;amp;spage=361&amp;amp;au=Hurka%2C+Thomas&amp;amp;isbn=&amp;amp;jtitle=Social+Theory+and+Practice&amp;amp;btitle=&amp;amp;rft_id=info:eric/&amp;amp;rft_id=info:doi/&lt;/url&gt;&lt;/related-urls&gt;&lt;/urls&gt;&lt;remote-database-name&gt;Periodicals Archive Online&lt;/remote-database-name&gt;&lt;/record&gt;&lt;/Cite&gt;&lt;/EndNote&gt;</w:instrText>
      </w:r>
      <w:r w:rsidRPr="007233D0">
        <w:rPr>
          <w:sz w:val="20"/>
        </w:rPr>
        <w:fldChar w:fldCharType="separate"/>
      </w:r>
      <w:r w:rsidRPr="007233D0">
        <w:rPr>
          <w:sz w:val="20"/>
        </w:rPr>
        <w:t xml:space="preserve">Thomas </w:t>
      </w:r>
      <w:proofErr w:type="spellStart"/>
      <w:r w:rsidRPr="007233D0">
        <w:rPr>
          <w:sz w:val="20"/>
        </w:rPr>
        <w:t>Hurka</w:t>
      </w:r>
      <w:proofErr w:type="spellEnd"/>
      <w:r w:rsidRPr="007233D0">
        <w:rPr>
          <w:sz w:val="20"/>
        </w:rPr>
        <w:t xml:space="preserve">, ‘Why Value Autonomy?’ (1987) 13(3) </w:t>
      </w:r>
      <w:proofErr w:type="spellStart"/>
      <w:r w:rsidRPr="007233D0">
        <w:rPr>
          <w:sz w:val="20"/>
        </w:rPr>
        <w:t>Soc</w:t>
      </w:r>
      <w:proofErr w:type="spellEnd"/>
      <w:r w:rsidRPr="007233D0">
        <w:rPr>
          <w:sz w:val="20"/>
        </w:rPr>
        <w:t xml:space="preserve"> </w:t>
      </w:r>
      <w:proofErr w:type="spellStart"/>
      <w:r w:rsidRPr="007233D0">
        <w:rPr>
          <w:sz w:val="20"/>
        </w:rPr>
        <w:t>Theor</w:t>
      </w:r>
      <w:proofErr w:type="spellEnd"/>
      <w:r w:rsidRPr="007233D0">
        <w:rPr>
          <w:sz w:val="20"/>
        </w:rPr>
        <w:t xml:space="preserve"> </w:t>
      </w:r>
      <w:proofErr w:type="spellStart"/>
      <w:r w:rsidRPr="007233D0">
        <w:rPr>
          <w:sz w:val="20"/>
        </w:rPr>
        <w:t>Pract</w:t>
      </w:r>
      <w:proofErr w:type="spellEnd"/>
      <w:r w:rsidRPr="007233D0">
        <w:rPr>
          <w:sz w:val="20"/>
        </w:rPr>
        <w:t xml:space="preserve"> 361, 375-376</w:t>
      </w:r>
      <w:r w:rsidRPr="007233D0">
        <w:rPr>
          <w:sz w:val="20"/>
        </w:rPr>
        <w:fldChar w:fldCharType="end"/>
      </w:r>
      <w:r w:rsidRPr="007233D0">
        <w:rPr>
          <w:sz w:val="20"/>
        </w:rPr>
        <w:t>.</w:t>
      </w:r>
    </w:p>
  </w:footnote>
  <w:footnote w:id="57">
    <w:p w14:paraId="72A84B4C" w14:textId="718D9521" w:rsidR="002D131A" w:rsidRPr="007233D0" w:rsidRDefault="002D131A">
      <w:pPr>
        <w:pStyle w:val="FootnoteText"/>
        <w:rPr>
          <w:sz w:val="20"/>
        </w:rPr>
      </w:pPr>
      <w:r w:rsidRPr="007233D0">
        <w:rPr>
          <w:rStyle w:val="FootnoteReference"/>
          <w:sz w:val="20"/>
        </w:rPr>
        <w:footnoteRef/>
      </w:r>
      <w:r w:rsidRPr="007233D0">
        <w:rPr>
          <w:sz w:val="20"/>
        </w:rPr>
        <w:t xml:space="preserve"> ibid 379.</w:t>
      </w:r>
    </w:p>
  </w:footnote>
  <w:footnote w:id="58">
    <w:p w14:paraId="33C5E7F9" w14:textId="64A60AEA" w:rsidR="002D131A" w:rsidRPr="007233D0" w:rsidRDefault="002D131A">
      <w:pPr>
        <w:pStyle w:val="FootnoteText"/>
        <w:rPr>
          <w:sz w:val="20"/>
        </w:rPr>
      </w:pPr>
      <w:r w:rsidRPr="007233D0">
        <w:rPr>
          <w:rStyle w:val="FootnoteReference"/>
          <w:sz w:val="20"/>
        </w:rPr>
        <w:footnoteRef/>
      </w:r>
      <w:r w:rsidRPr="007233D0">
        <w:rPr>
          <w:sz w:val="20"/>
        </w:rPr>
        <w:t xml:space="preserve"> ibid 380.</w:t>
      </w:r>
    </w:p>
  </w:footnote>
  <w:footnote w:id="59">
    <w:p w14:paraId="28CDC5BD" w14:textId="2BB8A499" w:rsidR="002D131A" w:rsidRPr="007233D0" w:rsidRDefault="002D131A">
      <w:pPr>
        <w:pStyle w:val="FootnoteText"/>
        <w:rPr>
          <w:sz w:val="20"/>
        </w:rPr>
      </w:pPr>
      <w:r w:rsidRPr="007233D0">
        <w:rPr>
          <w:rStyle w:val="FootnoteReference"/>
          <w:sz w:val="20"/>
        </w:rPr>
        <w:footnoteRef/>
      </w:r>
      <w:r w:rsidRPr="007233D0">
        <w:rPr>
          <w:sz w:val="20"/>
        </w:rPr>
        <w:t xml:space="preserve"> We should note, however, the limitations that inhere in </w:t>
      </w:r>
      <w:r w:rsidRPr="007233D0">
        <w:rPr>
          <w:i/>
          <w:sz w:val="20"/>
        </w:rPr>
        <w:t>right D</w:t>
      </w:r>
      <w:r w:rsidRPr="007233D0">
        <w:rPr>
          <w:i/>
          <w:sz w:val="20"/>
          <w:vertAlign w:val="subscript"/>
        </w:rPr>
        <w:t>R</w:t>
      </w:r>
      <w:r w:rsidRPr="007233D0">
        <w:rPr>
          <w:sz w:val="20"/>
        </w:rPr>
        <w:t xml:space="preserve"> in virtue of its derivation from </w:t>
      </w:r>
      <w:r w:rsidRPr="007233D0">
        <w:rPr>
          <w:i/>
          <w:sz w:val="20"/>
        </w:rPr>
        <w:t>P</w:t>
      </w:r>
      <w:r w:rsidRPr="007233D0">
        <w:rPr>
          <w:sz w:val="20"/>
        </w:rPr>
        <w:t xml:space="preserve">’s interest in autonomy. First, the possibility of disallowing refusals of LPT when </w:t>
      </w:r>
      <w:r w:rsidRPr="007233D0">
        <w:rPr>
          <w:i/>
          <w:sz w:val="20"/>
        </w:rPr>
        <w:t>P</w:t>
      </w:r>
      <w:r w:rsidRPr="007233D0">
        <w:rPr>
          <w:sz w:val="20"/>
        </w:rPr>
        <w:t xml:space="preserve"> is not autonomous is left open, and requires a distinct balancing exercise. Second, I assume that the outcome of any such balancing exercise fails to yield an unlimited right to respect for a non-autonomous refusal of LPT. This assumption may be contentious in light of some interpretations of the </w:t>
      </w:r>
      <w:r w:rsidRPr="007233D0">
        <w:rPr>
          <w:sz w:val="20"/>
        </w:rPr>
        <w:fldChar w:fldCharType="begin"/>
      </w:r>
      <w:r w:rsidRPr="007233D0">
        <w:rPr>
          <w:sz w:val="20"/>
        </w:rPr>
        <w:instrText xml:space="preserve"> ADDIN EN.CITE &lt;EndNote&gt;&lt;Cite ExcludeAuth="1"&gt;&lt;Year&gt;2007&lt;/Year&gt;&lt;RecNum&gt;2211&lt;/RecNum&gt;&lt;Pages&gt;art 12&lt;/Pages&gt;&lt;DisplayText&gt;Convention on the Rights of Persons with Disabilities, art 12&lt;/DisplayText&gt;&lt;record&gt;&lt;rec-number&gt;2211&lt;/rec-number&gt;&lt;foreign-keys&gt;&lt;key app="EN" db-id="29e2pr0ebtzaxkedz5b5aefxftsede200wps" timestamp="1471267848"&gt;2211&lt;/key&gt;&lt;/foreign-keys&gt;&lt;ref-type name="Statute, SI, EU leg, Treaties"&gt;31&lt;/ref-type&gt;&lt;contributors&gt;&lt;/contributors&gt;&lt;titles&gt;&lt;title&gt;Convention on the Rights of Persons with Disabilities&lt;/title&gt;&lt;short-title&gt;CRPD&lt;/short-title&gt;&lt;/titles&gt;&lt;dates&gt;&lt;year&gt;2007&lt;/year&gt;&lt;/dates&gt;&lt;urls&gt;&lt;/urls&gt;&lt;/record&gt;&lt;/Cite&gt;&lt;/EndNote&gt;</w:instrText>
      </w:r>
      <w:r w:rsidRPr="007233D0">
        <w:rPr>
          <w:sz w:val="20"/>
        </w:rPr>
        <w:fldChar w:fldCharType="separate"/>
      </w:r>
      <w:r w:rsidRPr="007233D0">
        <w:rPr>
          <w:sz w:val="20"/>
        </w:rPr>
        <w:t>Convention on the Rights of Persons with Disabilities, art 12</w:t>
      </w:r>
      <w:r w:rsidRPr="007233D0">
        <w:rPr>
          <w:sz w:val="20"/>
        </w:rPr>
        <w:fldChar w:fldCharType="end"/>
      </w:r>
      <w:r w:rsidRPr="007233D0">
        <w:rPr>
          <w:sz w:val="20"/>
        </w:rPr>
        <w:t xml:space="preserve">; cf </w:t>
      </w:r>
      <w:r w:rsidRPr="007233D0">
        <w:rPr>
          <w:sz w:val="20"/>
        </w:rPr>
        <w:fldChar w:fldCharType="begin"/>
      </w:r>
      <w:r w:rsidRPr="007233D0">
        <w:rPr>
          <w:sz w:val="20"/>
        </w:rPr>
        <w:instrText xml:space="preserve"> ADDIN EN.CITE &lt;EndNote&gt;&lt;Cite&gt;&lt;Author&gt;Burch&lt;/Author&gt;&lt;Year&gt;2017&lt;/Year&gt;&lt;RecNum&gt;2660&lt;/RecNum&gt;&lt;DisplayText&gt;Matthew Burch, ‘Autonomy, Respect, and the Rights of Persons with Disabilities in Crisis’ (2017) 34(3) J Applied Phil 389-402&lt;/DisplayText&gt;&lt;record&gt;&lt;rec-number&gt;2660&lt;/rec-number&gt;&lt;foreign-keys&gt;&lt;key app="EN" db-id="29e2pr0ebtzaxkedz5b5aefxftsede200wps" timestamp="1503596886"&gt;2660&lt;/key&gt;&lt;/foreign-keys&gt;&lt;ref-type name="Journal Article"&gt;17&lt;/ref-type&gt;&lt;contributors&gt;&lt;authors&gt;&lt;author&gt;Burch, Matthew&lt;/author&gt;&lt;/authors&gt;&lt;/contributors&gt;&lt;titles&gt;&lt;title&gt;Autonomy, Respect, and the Rights of Persons with Disabilities in Crisis&lt;/title&gt;&lt;secondary-title&gt;Journal of Applied Philosophy&lt;/secondary-title&gt;&lt;/titles&gt;&lt;periodical&gt;&lt;full-title&gt;Journal of Applied Philosophy&lt;/full-title&gt;&lt;abbr-1&gt;J Applied. Phil.&lt;/abbr-1&gt;&lt;abbr-2&gt;J Applied Phil&lt;/abbr-2&gt;&lt;/periodical&gt;&lt;pages&gt;389-402&lt;/pages&gt;&lt;volume&gt;34&lt;/volume&gt;&lt;number&gt;3&lt;/number&gt;&lt;dates&gt;&lt;year&gt;2017&lt;/year&gt;&lt;/dates&gt;&lt;pub-location&gt;2017&lt;/pub-location&gt;&lt;isbn&gt;1468-5930&lt;/isbn&gt;&lt;urls&gt;&lt;related-urls&gt;&lt;url&gt;http://dx.doi.org/10.1111/japp.12248&lt;/url&gt;&lt;url&gt;http://onlinelibrary.wiley.com/store/10.1111/japp.12248/asset/japp12248.pdf?v=1&amp;amp;t=j6qqs9bz&amp;amp;s=13fa2bba833eeec7537f1a2f9c3b90dba5579df6&lt;/url&gt;&lt;/related-urls&gt;&lt;/urls&gt;&lt;electronic-resource-num&gt;10.1111/japp.12248&lt;/electronic-resource-num&gt;&lt;/record&gt;&lt;/Cite&gt;&lt;/EndNote&gt;</w:instrText>
      </w:r>
      <w:r w:rsidRPr="007233D0">
        <w:rPr>
          <w:sz w:val="20"/>
        </w:rPr>
        <w:fldChar w:fldCharType="separate"/>
      </w:r>
      <w:r w:rsidRPr="007233D0">
        <w:rPr>
          <w:sz w:val="20"/>
        </w:rPr>
        <w:t>Matthew Burch, ‘Autonomy, Respect, and the Rights of Persons with Disabilities in Crisis’ (2017) 34(3) J Applied Phil 389-402</w:t>
      </w:r>
      <w:r w:rsidRPr="007233D0">
        <w:rPr>
          <w:sz w:val="20"/>
        </w:rPr>
        <w:fldChar w:fldCharType="end"/>
      </w:r>
      <w:r w:rsidRPr="007233D0">
        <w:rPr>
          <w:sz w:val="20"/>
        </w:rPr>
        <w:t xml:space="preserve">. But if it holds, </w:t>
      </w:r>
      <w:r w:rsidRPr="007233D0">
        <w:rPr>
          <w:i/>
          <w:sz w:val="20"/>
        </w:rPr>
        <w:t>appropriate</w:t>
      </w:r>
      <w:r w:rsidRPr="007233D0">
        <w:rPr>
          <w:sz w:val="20"/>
        </w:rPr>
        <w:t xml:space="preserve"> procedural requirements designed to establish that </w:t>
      </w:r>
      <w:r w:rsidRPr="007233D0">
        <w:rPr>
          <w:i/>
          <w:sz w:val="20"/>
        </w:rPr>
        <w:t>p</w:t>
      </w:r>
      <w:r w:rsidRPr="007233D0">
        <w:rPr>
          <w:sz w:val="20"/>
        </w:rPr>
        <w:t xml:space="preserve"> is autonomous at the time she refuses LPT (whether contemporaneously or in advance) will be required, for autonomy is a precondition for the enjoyment of </w:t>
      </w:r>
      <w:r w:rsidRPr="007233D0">
        <w:rPr>
          <w:i/>
          <w:sz w:val="20"/>
        </w:rPr>
        <w:t>right D</w:t>
      </w:r>
      <w:r w:rsidRPr="007233D0">
        <w:rPr>
          <w:i/>
          <w:sz w:val="20"/>
          <w:vertAlign w:val="subscript"/>
        </w:rPr>
        <w:t>R</w:t>
      </w:r>
      <w:r w:rsidRPr="007233D0">
        <w:rPr>
          <w:i/>
          <w:sz w:val="20"/>
        </w:rPr>
        <w:t xml:space="preserve"> </w:t>
      </w:r>
      <w:r w:rsidRPr="007233D0">
        <w:rPr>
          <w:sz w:val="20"/>
        </w:rPr>
        <w:t xml:space="preserve">derived from an interest in </w:t>
      </w:r>
      <w:r w:rsidRPr="007233D0">
        <w:rPr>
          <w:i/>
          <w:sz w:val="20"/>
        </w:rPr>
        <w:t>deciding</w:t>
      </w:r>
      <w:r w:rsidRPr="007233D0">
        <w:rPr>
          <w:sz w:val="20"/>
        </w:rPr>
        <w:t xml:space="preserve"> how and when to die. (I say </w:t>
      </w:r>
      <w:r w:rsidRPr="007233D0">
        <w:rPr>
          <w:i/>
          <w:sz w:val="20"/>
        </w:rPr>
        <w:t xml:space="preserve">appropriate </w:t>
      </w:r>
      <w:r w:rsidRPr="007233D0">
        <w:rPr>
          <w:sz w:val="20"/>
        </w:rPr>
        <w:t>in virtue of the positive obligations that inhere in article 8 ECHR: see §</w:t>
      </w:r>
      <w:r w:rsidRPr="007233D0">
        <w:rPr>
          <w:sz w:val="20"/>
        </w:rPr>
        <w:fldChar w:fldCharType="begin"/>
      </w:r>
      <w:r w:rsidRPr="007233D0">
        <w:rPr>
          <w:sz w:val="20"/>
        </w:rPr>
        <w:instrText xml:space="preserve"> REF _Ref497762123 \r \h  \* MERGEFORMAT </w:instrText>
      </w:r>
      <w:r w:rsidRPr="007233D0">
        <w:rPr>
          <w:sz w:val="20"/>
        </w:rPr>
      </w:r>
      <w:r w:rsidRPr="007233D0">
        <w:rPr>
          <w:sz w:val="20"/>
        </w:rPr>
        <w:fldChar w:fldCharType="separate"/>
      </w:r>
      <w:r>
        <w:rPr>
          <w:sz w:val="20"/>
        </w:rPr>
        <w:t>5</w:t>
      </w:r>
      <w:r w:rsidRPr="007233D0">
        <w:rPr>
          <w:sz w:val="20"/>
        </w:rPr>
        <w:fldChar w:fldCharType="end"/>
      </w:r>
      <w:r w:rsidRPr="007233D0">
        <w:rPr>
          <w:sz w:val="20"/>
        </w:rPr>
        <w:t xml:space="preserve">.) Third, if </w:t>
      </w:r>
      <w:r w:rsidRPr="007233D0">
        <w:rPr>
          <w:i/>
          <w:sz w:val="20"/>
        </w:rPr>
        <w:t xml:space="preserve">P </w:t>
      </w:r>
      <w:r w:rsidRPr="007233D0">
        <w:rPr>
          <w:sz w:val="20"/>
        </w:rPr>
        <w:t xml:space="preserve">makes an advance refusal and subsequently behaves inconsistently with its provisions while still autonomous, there is reason to believe that the advance refusal no longer reflects her autonomous wishes. Thus we might anticipate a limitation on </w:t>
      </w:r>
      <w:r w:rsidRPr="007233D0">
        <w:rPr>
          <w:i/>
          <w:sz w:val="20"/>
        </w:rPr>
        <w:t>right D</w:t>
      </w:r>
      <w:r w:rsidRPr="007233D0">
        <w:rPr>
          <w:i/>
          <w:sz w:val="20"/>
          <w:vertAlign w:val="subscript"/>
        </w:rPr>
        <w:t>R</w:t>
      </w:r>
      <w:r w:rsidRPr="007233D0">
        <w:rPr>
          <w:i/>
          <w:sz w:val="20"/>
        </w:rPr>
        <w:t xml:space="preserve"> </w:t>
      </w:r>
      <w:r w:rsidRPr="007233D0">
        <w:rPr>
          <w:sz w:val="20"/>
        </w:rPr>
        <w:t xml:space="preserve">that invalidates </w:t>
      </w:r>
      <w:r w:rsidRPr="007233D0">
        <w:rPr>
          <w:i/>
          <w:sz w:val="20"/>
        </w:rPr>
        <w:t>P</w:t>
      </w:r>
      <w:r w:rsidRPr="007233D0">
        <w:rPr>
          <w:sz w:val="20"/>
        </w:rPr>
        <w:t xml:space="preserve">’s advance refusal in the event of inconsistent autonomous conduct, eg </w:t>
      </w:r>
      <w:r w:rsidRPr="007233D0">
        <w:rPr>
          <w:sz w:val="20"/>
        </w:rPr>
        <w:fldChar w:fldCharType="begin"/>
      </w:r>
      <w:r w:rsidRPr="007233D0">
        <w:rPr>
          <w:sz w:val="20"/>
        </w:rPr>
        <w:instrText xml:space="preserve"> ADDIN EN.CITE &lt;EndNote&gt;&lt;Cite ExcludeAuth="1"&gt;&lt;Year&gt;2005&lt;/Year&gt;&lt;RecNum&gt;1481&lt;/RecNum&gt;&lt;Pages&gt;s 25(2)&lt;/Pages&gt;&lt;DisplayText&gt;Mental Capacity Act 2005 (MCA 2005), s 25(2)&lt;/DisplayText&gt;&lt;record&gt;&lt;rec-number&gt;1481&lt;/rec-number&gt;&lt;foreign-keys&gt;&lt;key app="EN" db-id="29e2pr0ebtzaxkedz5b5aefxftsede200wps" timestamp="1469957003"&gt;1481&lt;/key&gt;&lt;/foreign-keys&gt;&lt;ref-type name="Statute, SI, EU leg, Treaties"&gt;31&lt;/ref-type&gt;&lt;contributors&gt;&lt;/contributors&gt;&lt;titles&gt;&lt;title&gt;Mental Capacity Act 2005 (MCA 2005)&lt;/title&gt;&lt;short-title&gt;MCA 2005&lt;/short-title&gt;&lt;/titles&gt;&lt;dates&gt;&lt;year&gt;2005&lt;/year&gt;&lt;/dates&gt;&lt;urls&gt;&lt;/urls&gt;&lt;/record&gt;&lt;/Cite&gt;&lt;/EndNote&gt;</w:instrText>
      </w:r>
      <w:r w:rsidRPr="007233D0">
        <w:rPr>
          <w:sz w:val="20"/>
        </w:rPr>
        <w:fldChar w:fldCharType="separate"/>
      </w:r>
      <w:r w:rsidRPr="007233D0">
        <w:rPr>
          <w:noProof/>
          <w:sz w:val="20"/>
        </w:rPr>
        <w:t>Mental Capacity Act 2005 (MCA 2005), s 25(2)</w:t>
      </w:r>
      <w:r w:rsidRPr="007233D0">
        <w:rPr>
          <w:sz w:val="20"/>
        </w:rPr>
        <w:fldChar w:fldCharType="end"/>
      </w:r>
      <w:r w:rsidRPr="007233D0">
        <w:rPr>
          <w:sz w:val="20"/>
        </w:rPr>
        <w:t xml:space="preserve">; see </w:t>
      </w:r>
      <w:r w:rsidRPr="007233D0">
        <w:rPr>
          <w:sz w:val="20"/>
        </w:rPr>
        <w:fldChar w:fldCharType="begin"/>
      </w:r>
      <w:r w:rsidRPr="007233D0">
        <w:rPr>
          <w:sz w:val="20"/>
        </w:rPr>
        <w:instrText xml:space="preserve"> ADDIN EN.CITE &lt;EndNote&gt;&lt;Cite ExcludeAuth="1"&gt;&lt;Year&gt;2016&lt;/Year&gt;&lt;RecNum&gt;2212&lt;/RecNum&gt;&lt;DisplayText&gt;&lt;style face="italic"&gt;Re QQ &lt;/style&gt;[2016] EWCOP 22&lt;/DisplayText&gt;&lt;record&gt;&lt;rec-number&gt;2212&lt;/rec-number&gt;&lt;foreign-keys&gt;&lt;key app="EN" db-id="29e2pr0ebtzaxkedz5b5aefxftsede200wps" timestamp="1471268189"&gt;2212&lt;/key&gt;&lt;/foreign-keys&gt;&lt;ref-type name="Case (inc all UK, ECJ and ECtHR cases)"&gt;7&lt;/ref-type&gt;&lt;contributors&gt;&lt;/contributors&gt;&lt;titles&gt;&lt;title&gt;Re QQ&lt;/title&gt;&lt;secondary-title&gt;[2016] EWCOP 22&lt;/secondary-title&gt;&lt;/titles&gt;&lt;dates&gt;&lt;year&gt;2016&lt;/year&gt;&lt;/dates&gt;&lt;urls&gt;&lt;/urls&gt;&lt;/record&gt;&lt;/Cite&gt;&lt;/EndNote&gt;</w:instrText>
      </w:r>
      <w:r w:rsidRPr="007233D0">
        <w:rPr>
          <w:sz w:val="20"/>
        </w:rPr>
        <w:fldChar w:fldCharType="separate"/>
      </w:r>
      <w:r w:rsidRPr="007233D0">
        <w:rPr>
          <w:i/>
          <w:sz w:val="20"/>
        </w:rPr>
        <w:t xml:space="preserve">Re QQ </w:t>
      </w:r>
      <w:r w:rsidRPr="007233D0">
        <w:rPr>
          <w:sz w:val="20"/>
        </w:rPr>
        <w:t>[2016] EWCOP 22</w:t>
      </w:r>
      <w:r w:rsidRPr="007233D0">
        <w:rPr>
          <w:sz w:val="20"/>
        </w:rPr>
        <w:fldChar w:fldCharType="end"/>
      </w:r>
      <w:r w:rsidRPr="007233D0">
        <w:rPr>
          <w:sz w:val="20"/>
        </w:rPr>
        <w:t xml:space="preserve">. Similarly, it may be permissible for </w:t>
      </w:r>
      <w:r w:rsidRPr="007233D0">
        <w:rPr>
          <w:i/>
          <w:sz w:val="20"/>
        </w:rPr>
        <w:t>D</w:t>
      </w:r>
      <w:r w:rsidRPr="007233D0">
        <w:rPr>
          <w:sz w:val="20"/>
        </w:rPr>
        <w:t xml:space="preserve"> to disapply an advance refusal in the event of an unanticipated change of circumstances (perhaps the classic example is a novel </w:t>
      </w:r>
      <w:r w:rsidRPr="00836099">
        <w:rPr>
          <w:sz w:val="20"/>
        </w:rPr>
        <w:t>cure</w:t>
      </w:r>
      <w:r w:rsidRPr="007233D0">
        <w:rPr>
          <w:sz w:val="20"/>
        </w:rPr>
        <w:t xml:space="preserve">) that may well have had a material influence on </w:t>
      </w:r>
      <w:r w:rsidRPr="007233D0">
        <w:rPr>
          <w:i/>
          <w:sz w:val="20"/>
        </w:rPr>
        <w:t>P</w:t>
      </w:r>
      <w:r w:rsidRPr="007233D0">
        <w:rPr>
          <w:sz w:val="20"/>
        </w:rPr>
        <w:t xml:space="preserve">’s decision, eg </w:t>
      </w:r>
      <w:r w:rsidRPr="007233D0">
        <w:rPr>
          <w:sz w:val="20"/>
        </w:rPr>
        <w:fldChar w:fldCharType="begin"/>
      </w:r>
      <w:r w:rsidRPr="007233D0">
        <w:rPr>
          <w:sz w:val="20"/>
        </w:rPr>
        <w:instrText xml:space="preserve"> ADDIN EN.CITE &lt;EndNote&gt;&lt;Cite ExcludeAuth="1"&gt;&lt;Year&gt;2005&lt;/Year&gt;&lt;RecNum&gt;1481&lt;/RecNum&gt;&lt;Pages&gt;s 25(3)&lt;/Pages&gt;&lt;DisplayText&gt;MCA 2005, s 25(3)&lt;/DisplayText&gt;&lt;record&gt;&lt;rec-number&gt;1481&lt;/rec-number&gt;&lt;foreign-keys&gt;&lt;key app="EN" db-id="29e2pr0ebtzaxkedz5b5aefxftsede200wps" timestamp="1469957003"&gt;1481&lt;/key&gt;&lt;/foreign-keys&gt;&lt;ref-type name="Statute, SI, EU leg, Treaties"&gt;31&lt;/ref-type&gt;&lt;contributors&gt;&lt;/contributors&gt;&lt;titles&gt;&lt;title&gt;Mental Capacity Act 2005 (MCA 2005)&lt;/title&gt;&lt;short-title&gt;MCA 2005&lt;/short-title&gt;&lt;/titles&gt;&lt;dates&gt;&lt;year&gt;2005&lt;/year&gt;&lt;/dates&gt;&lt;urls&gt;&lt;/urls&gt;&lt;/record&gt;&lt;/Cite&gt;&lt;/EndNote&gt;</w:instrText>
      </w:r>
      <w:r w:rsidRPr="007233D0">
        <w:rPr>
          <w:sz w:val="20"/>
        </w:rPr>
        <w:fldChar w:fldCharType="separate"/>
      </w:r>
      <w:r w:rsidRPr="007233D0">
        <w:rPr>
          <w:sz w:val="20"/>
        </w:rPr>
        <w:t>MCA 2005, s 25(3)</w:t>
      </w:r>
      <w:r w:rsidRPr="007233D0">
        <w:rPr>
          <w:sz w:val="20"/>
        </w:rPr>
        <w:fldChar w:fldCharType="end"/>
      </w:r>
      <w:r w:rsidRPr="007233D0">
        <w:rPr>
          <w:sz w:val="20"/>
        </w:rPr>
        <w:t xml:space="preserve">. Here the argument is that </w:t>
      </w:r>
      <w:r w:rsidRPr="007233D0">
        <w:rPr>
          <w:i/>
          <w:sz w:val="20"/>
        </w:rPr>
        <w:t>P</w:t>
      </w:r>
      <w:r w:rsidRPr="007233D0">
        <w:rPr>
          <w:sz w:val="20"/>
        </w:rPr>
        <w:t xml:space="preserve"> would not have chosen to make an advance refusal had she factored the unanticipated circumstance into her decision-making.</w:t>
      </w:r>
    </w:p>
  </w:footnote>
  <w:footnote w:id="60">
    <w:p w14:paraId="4C4B76EF" w14:textId="7D499FFA" w:rsidR="002D131A" w:rsidRPr="007233D0" w:rsidRDefault="002D131A">
      <w:pPr>
        <w:pStyle w:val="FootnoteText"/>
        <w:rPr>
          <w:sz w:val="20"/>
        </w:rPr>
      </w:pPr>
      <w:r w:rsidRPr="007233D0">
        <w:rPr>
          <w:rStyle w:val="FootnoteReference"/>
          <w:sz w:val="20"/>
        </w:rPr>
        <w:footnoteRef/>
      </w:r>
      <w:r w:rsidRPr="007233D0">
        <w:rPr>
          <w:sz w:val="20"/>
        </w:rPr>
        <w:t xml:space="preserve"> I take it that no philosophers who believe that autonomy has intrinsic value deny that it also has instrumental value. See eg </w:t>
      </w:r>
      <w:r w:rsidRPr="007233D0">
        <w:rPr>
          <w:sz w:val="20"/>
        </w:rPr>
        <w:fldChar w:fldCharType="begin"/>
      </w:r>
      <w:r w:rsidRPr="007233D0">
        <w:rPr>
          <w:sz w:val="20"/>
        </w:rPr>
        <w:instrText xml:space="preserve"> ADDIN EN.CITE &lt;EndNote&gt;&lt;Cite&gt;&lt;Author&gt;Buchanan&lt;/Author&gt;&lt;Year&gt;1986&lt;/Year&gt;&lt;RecNum&gt;2602&lt;/RecNum&gt;&lt;Pages&gt;51-52&lt;/Pages&gt;&lt;DisplayText&gt;Allen Buchanan and Dan W Brock, ‘Deciding for Others’ (1986) 64(S2) The Milbank Quarterly 17-94, 51-52&lt;/DisplayText&gt;&lt;record&gt;&lt;rec-number&gt;2602&lt;/rec-number&gt;&lt;foreign-keys&gt;&lt;key app="EN" db-id="29e2pr0ebtzaxkedz5b5aefxftsede200wps" timestamp="1503060027"&gt;2602&lt;/key&gt;&lt;/foreign-keys&gt;&lt;ref-type name="Journal Article"&gt;17&lt;/ref-type&gt;&lt;contributors&gt;&lt;authors&gt;&lt;author&gt;Buchanan, Allen&lt;/author&gt;&lt;author&gt;Brock, Dan W&lt;/author&gt;&lt;/authors&gt;&lt;/contributors&gt;&lt;titles&gt;&lt;title&gt;Deciding for Others&lt;/title&gt;&lt;secondary-title&gt;The Milbank Quarterly&lt;/secondary-title&gt;&lt;/titles&gt;&lt;periodical&gt;&lt;full-title&gt;The Milbank Quarterly&lt;/full-title&gt;&lt;/periodical&gt;&lt;pages&gt;17-94&lt;/pages&gt;&lt;volume&gt;64&lt;/volume&gt;&lt;number&gt;S2&lt;/number&gt;&lt;dates&gt;&lt;year&gt;1986&lt;/year&gt;&lt;/dates&gt;&lt;pub-location&gt;1986&lt;/pub-location&gt;&lt;isbn&gt;0887378X&lt;/isbn&gt;&lt;urls&gt;&lt;related-urls&gt;&lt;url&gt;http://www.jstor.org/stable/3349960&lt;/url&gt;&lt;/related-urls&gt;&lt;/urls&gt;&lt;custom1&gt;Full publication date: 1986&lt;/custom1&gt;&lt;electronic-resource-num&gt;10.2307/3349960&lt;/electronic-resource-num&gt;&lt;/record&gt;&lt;/Cite&gt;&lt;/EndNote&gt;</w:instrText>
      </w:r>
      <w:r w:rsidRPr="007233D0">
        <w:rPr>
          <w:sz w:val="20"/>
        </w:rPr>
        <w:fldChar w:fldCharType="separate"/>
      </w:r>
      <w:r w:rsidRPr="007233D0">
        <w:rPr>
          <w:noProof/>
          <w:sz w:val="20"/>
        </w:rPr>
        <w:t>Allen Buchanan and Dan W Brock, ‘Deciding for Others’ (1986) 64(S2) The Milbank Quarterly 17-94, 51-52</w:t>
      </w:r>
      <w:r w:rsidRPr="007233D0">
        <w:rPr>
          <w:sz w:val="20"/>
        </w:rPr>
        <w:fldChar w:fldCharType="end"/>
      </w:r>
      <w:r w:rsidRPr="007233D0">
        <w:rPr>
          <w:sz w:val="20"/>
        </w:rPr>
        <w:t>.</w:t>
      </w:r>
    </w:p>
  </w:footnote>
  <w:footnote w:id="61">
    <w:p w14:paraId="273CCD6E" w14:textId="205CB3E6" w:rsidR="002D131A" w:rsidRPr="007233D0" w:rsidRDefault="002D131A">
      <w:pPr>
        <w:pStyle w:val="FootnoteText"/>
        <w:rPr>
          <w:sz w:val="20"/>
        </w:rPr>
      </w:pPr>
      <w:r w:rsidRPr="007233D0">
        <w:rPr>
          <w:rStyle w:val="FootnoteReference"/>
          <w:sz w:val="20"/>
        </w:rPr>
        <w:footnoteRef/>
      </w:r>
      <w:r w:rsidRPr="007233D0">
        <w:rPr>
          <w:sz w:val="20"/>
        </w:rPr>
        <w:t xml:space="preserve"> </w:t>
      </w:r>
      <w:proofErr w:type="spellStart"/>
      <w:r w:rsidRPr="007233D0">
        <w:rPr>
          <w:sz w:val="20"/>
        </w:rPr>
        <w:t>Hurka</w:t>
      </w:r>
      <w:proofErr w:type="spellEnd"/>
      <w:r w:rsidRPr="007233D0">
        <w:rPr>
          <w:sz w:val="20"/>
        </w:rPr>
        <w:t xml:space="preserve"> (n </w:t>
      </w:r>
      <w:r w:rsidRPr="007233D0">
        <w:rPr>
          <w:sz w:val="20"/>
        </w:rPr>
        <w:fldChar w:fldCharType="begin"/>
      </w:r>
      <w:r w:rsidRPr="007233D0">
        <w:rPr>
          <w:sz w:val="20"/>
        </w:rPr>
        <w:instrText xml:space="preserve"> NOTEREF _Ref497762742 \h  \* MERGEFORMAT </w:instrText>
      </w:r>
      <w:r w:rsidRPr="007233D0">
        <w:rPr>
          <w:sz w:val="20"/>
        </w:rPr>
      </w:r>
      <w:r w:rsidRPr="007233D0">
        <w:rPr>
          <w:sz w:val="20"/>
        </w:rPr>
        <w:fldChar w:fldCharType="separate"/>
      </w:r>
      <w:r>
        <w:rPr>
          <w:sz w:val="20"/>
        </w:rPr>
        <w:t>56</w:t>
      </w:r>
      <w:r w:rsidRPr="007233D0">
        <w:rPr>
          <w:sz w:val="20"/>
        </w:rPr>
        <w:fldChar w:fldCharType="end"/>
      </w:r>
      <w:r w:rsidRPr="007233D0">
        <w:rPr>
          <w:sz w:val="20"/>
        </w:rPr>
        <w:t>).</w:t>
      </w:r>
    </w:p>
  </w:footnote>
  <w:footnote w:id="62">
    <w:p w14:paraId="2D95C154" w14:textId="5841759B"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&lt;EndNote&gt;&lt;Cite&gt;&lt;Author&gt;Mill&lt;/Author&gt;&lt;Year&gt;2003&lt;/Year&gt;&lt;RecNum&gt;2339&lt;/RecNum&gt;&lt;Pages&gt;131-146&lt;/Pages&gt;&lt;DisplayText&gt;John Stuart Mill, &lt;style face="italic"&gt;Utilitarianism and On Liberty: including Mill&amp;apos;s Essay on Bentham&amp;apos; and selections from the writings of Jeremy Bentham and John Austin&lt;/style&gt; (2nd edn, Blackwell Pub 2003) 131-146&lt;/DisplayText&gt;&lt;record&gt;&lt;rec-number&gt;2339&lt;/rec-number&gt;&lt;foreign-keys&gt;&lt;key app="EN" db-id="29e2pr0ebtzaxkedz5b5aefxftsede200wps" timestamp="1481213086"&gt;2339&lt;/key&gt;&lt;/foreign-keys&gt;&lt;ref-type name="Book (all books with authors, including edited or translated books)"&gt;6&lt;/ref-type&gt;&lt;contributors&gt;&lt;authors&gt;&lt;author&gt;Mill, John Stuart&lt;/author&gt;&lt;/authors&gt;&lt;/contributors&gt;&lt;titles&gt;&lt;title&gt;Utilitarianism and On Liberty: including Mill&amp;apos;s Essay on Bentham&amp;apos; and selections from the writings of Jeremy Bentham and John Austin&lt;/title&gt;&lt;/titles&gt;&lt;pages&gt;264 p.&lt;/pages&gt;&lt;edition&gt;2nd&lt;/edition&gt;&lt;keywords&gt;&lt;keyword&gt;Utilitarianism.&lt;/keyword&gt;&lt;keyword&gt;Liberty.&lt;/keyword&gt;&lt;keyword&gt;Jurisprudence.&lt;/keyword&gt;&lt;/keywords&gt;&lt;dates&gt;&lt;year&gt;2003&lt;/year&gt;&lt;/dates&gt;&lt;pub-location&gt;Oxford&lt;/pub-location&gt;&lt;publisher&gt;Blackwell Pub&lt;/publisher&gt;&lt;isbn&gt;0631233512 (alk. paper)&amp;#xD;0631233520 (pbk. alk. paper)&lt;/isbn&gt;&lt;accession-num&gt;12752550&lt;/accession-num&gt;&lt;call-num&gt;B1602 .A5 2003&lt;/call-num&gt;&lt;urls&gt;&lt;/urls&gt;&lt;/record&gt;&lt;/Cite&gt;&lt;/EndNote&gt;</w:instrText>
      </w:r>
      <w:r w:rsidRPr="007233D0">
        <w:rPr>
          <w:sz w:val="20"/>
        </w:rPr>
        <w:fldChar w:fldCharType="separate"/>
      </w:r>
      <w:r w:rsidRPr="007233D0">
        <w:rPr>
          <w:noProof/>
          <w:sz w:val="20"/>
        </w:rPr>
        <w:t xml:space="preserve">John Stuart Mill, </w:t>
      </w:r>
      <w:r w:rsidRPr="007233D0">
        <w:rPr>
          <w:i/>
          <w:noProof/>
          <w:sz w:val="20"/>
        </w:rPr>
        <w:t>Utilitarianism and On Liberty: including Mill's Essay on Bentham' and selections from the writings of Jeremy Bentham and John Austin</w:t>
      </w:r>
      <w:r w:rsidRPr="007233D0">
        <w:rPr>
          <w:noProof/>
          <w:sz w:val="20"/>
        </w:rPr>
        <w:t xml:space="preserve"> (2nd edn, Blackwell Pub 2003) 131-146</w:t>
      </w:r>
      <w:r w:rsidRPr="007233D0">
        <w:rPr>
          <w:sz w:val="20"/>
        </w:rPr>
        <w:fldChar w:fldCharType="end"/>
      </w:r>
      <w:r w:rsidRPr="007233D0">
        <w:rPr>
          <w:sz w:val="20"/>
        </w:rPr>
        <w:t xml:space="preserve">; See </w:t>
      </w:r>
      <w:r w:rsidRPr="007233D0">
        <w:rPr>
          <w:sz w:val="20"/>
        </w:rPr>
        <w:fldChar w:fldCharType="begin"/>
      </w:r>
      <w:r w:rsidRPr="007233D0">
        <w:rPr>
          <w:sz w:val="20"/>
        </w:rPr>
        <w:instrText xml:space="preserve"> ADDIN EN.CITE &lt;EndNote&gt;&lt;Cite&gt;&lt;Author&gt;Tiberius&lt;/Author&gt;&lt;Year&gt;2015&lt;/Year&gt;&lt;RecNum&gt;1197&lt;/RecNum&gt;&lt;Pages&gt;§9.2&lt;/Pages&gt;&lt;DisplayText&gt;Valerie Tiberius, ‘Prudential Value’ in Iwao Hirose and Jonas Olson (eds), &lt;style face="italic"&gt;The Oxford handbook of value theory&lt;/style&gt; (OUP 2015) §9.2&lt;/DisplayText&gt;&lt;record&gt;&lt;rec-number&gt;1197&lt;/rec-number&gt;&lt;foreign-keys&gt;&lt;key app="EN" db-id="29e2pr0ebtzaxkedz5b5aefxftsede200wps" timestamp="1469956995"&gt;1197&lt;/key&gt;&lt;/foreign-keys&gt;&lt;ref-type name="Contribution to an Edited Book"&gt;5&lt;/ref-type&gt;&lt;contributors&gt;&lt;authors&gt;&lt;author&gt;Tiberius, Valerie&lt;/author&gt;&lt;/authors&gt;&lt;secondary-authors&gt;&lt;author&gt;Hirose, Iwao&lt;/author&gt;&lt;author&gt;Olson, Jonas&lt;/author&gt;&lt;/secondary-authors&gt;&lt;/contributors&gt;&lt;titles&gt;&lt;title&gt;Prudential Value&lt;/title&gt;&lt;secondary-title&gt;The Oxford handbook of value theory&lt;/secondary-title&gt;&lt;alt-title&gt;Handbook of value theory&amp;#xD;Value theory&lt;/alt-title&gt;&lt;/titles&gt;&lt;keywords&gt;&lt;keyword&gt;Values.&lt;/keyword&gt;&lt;/keywords&gt;&lt;dates&gt;&lt;year&gt;2015&lt;/year&gt;&lt;/dates&gt;&lt;publisher&gt;OUP&lt;/publisher&gt;&lt;isbn&gt;9780199959303 (hbk.) : ¹97.00&lt;/isbn&gt;&lt;call-num&gt;121.8 23&amp;#xD;British Library HMNTS YC.2015.b.1597&lt;/call-num&gt;&lt;urls&gt;&lt;/urls&gt;&lt;/record&gt;&lt;/Cite&gt;&lt;/EndNote&gt;</w:instrText>
      </w:r>
      <w:r w:rsidRPr="007233D0">
        <w:rPr>
          <w:sz w:val="20"/>
        </w:rPr>
        <w:fldChar w:fldCharType="separate"/>
      </w:r>
      <w:r w:rsidRPr="007233D0">
        <w:rPr>
          <w:sz w:val="20"/>
        </w:rPr>
        <w:t xml:space="preserve">Valerie Tiberius, ‘Prudential Value’ in </w:t>
      </w:r>
      <w:proofErr w:type="spellStart"/>
      <w:r w:rsidRPr="007233D0">
        <w:rPr>
          <w:sz w:val="20"/>
        </w:rPr>
        <w:t>Iwao</w:t>
      </w:r>
      <w:proofErr w:type="spellEnd"/>
      <w:r w:rsidRPr="007233D0">
        <w:rPr>
          <w:sz w:val="20"/>
        </w:rPr>
        <w:t xml:space="preserve"> Hirose and Jonas Olson (</w:t>
      </w:r>
      <w:proofErr w:type="spellStart"/>
      <w:r w:rsidRPr="007233D0">
        <w:rPr>
          <w:sz w:val="20"/>
        </w:rPr>
        <w:t>eds</w:t>
      </w:r>
      <w:proofErr w:type="spellEnd"/>
      <w:r w:rsidRPr="007233D0">
        <w:rPr>
          <w:sz w:val="20"/>
        </w:rPr>
        <w:t xml:space="preserve">), </w:t>
      </w:r>
      <w:r w:rsidRPr="007233D0">
        <w:rPr>
          <w:i/>
          <w:sz w:val="20"/>
        </w:rPr>
        <w:t>The Oxford handbook of value theory</w:t>
      </w:r>
      <w:r w:rsidRPr="007233D0">
        <w:rPr>
          <w:sz w:val="20"/>
        </w:rPr>
        <w:t xml:space="preserve"> (OUP 2015) §9.2</w:t>
      </w:r>
      <w:r w:rsidRPr="007233D0">
        <w:rPr>
          <w:sz w:val="20"/>
        </w:rPr>
        <w:fldChar w:fldCharType="end"/>
      </w:r>
      <w:r w:rsidRPr="007233D0">
        <w:rPr>
          <w:sz w:val="20"/>
        </w:rPr>
        <w:t>.</w:t>
      </w:r>
    </w:p>
  </w:footnote>
  <w:footnote w:id="63">
    <w:p w14:paraId="23A691D9" w14:textId="2D2D3F17"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&lt;EndNote&gt;&lt;Cite&gt;&lt;Author&gt;Kraut&lt;/Author&gt;&lt;Year&gt;2007&lt;/Year&gt;&lt;RecNum&gt;944&lt;/RecNum&gt;&lt;Pages&gt;201&lt;/Pages&gt;&lt;DisplayText&gt;Richard Kraut, &lt;style face="italic"&gt;What is good and why: the ethics of well-being&lt;/style&gt; (Harvard University Press 2007) 201&lt;/DisplayText&gt;&lt;record&gt;&lt;rec-number&gt;944&lt;/rec-number&gt;&lt;foreign-keys&gt;&lt;key app="EN" db-id="29e2pr0ebtzaxkedz5b5aefxftsede200wps" timestamp="1469956988"&gt;944&lt;/key&gt;&lt;/foreign-keys&gt;&lt;ref-type name="Book (all books with authors, including edited or translated books)"&gt;6&lt;/ref-type&gt;&lt;contributors&gt;&lt;authors&gt;&lt;author&gt;Kraut, Richard&lt;/author&gt;&lt;/authors&gt;&lt;/contributors&gt;&lt;titles&gt;&lt;title&gt;What is good and why: the ethics of well-being&lt;/title&gt;&lt;/titles&gt;&lt;keywords&gt;&lt;keyword&gt;Good and evil.&lt;/keyword&gt;&lt;keyword&gt;Well-being.&lt;/keyword&gt;&lt;/keywords&gt;&lt;dates&gt;&lt;year&gt;2007&lt;/year&gt;&lt;/dates&gt;&lt;pub-location&gt;Cambridge, Mass. ; London&lt;/pub-location&gt;&lt;publisher&gt;Harvard University Press&lt;/publisher&gt;&lt;isbn&gt;9780674024410 (cased) : ¹22.95&amp;#xD;0674024419 (cased) : ¹22.95&lt;/isbn&gt;&lt;call-num&gt;171.3 22&amp;#xD;British Library HMNTS YK.2007.a.15231&amp;#xD;British Library DSC m07/.19443&lt;/call-num&gt;&lt;urls&gt;&lt;/urls&gt;&lt;/record&gt;&lt;/Cite&gt;&lt;/EndNote&gt;</w:instrText>
      </w:r>
      <w:r w:rsidRPr="007233D0">
        <w:rPr>
          <w:sz w:val="20"/>
        </w:rPr>
        <w:fldChar w:fldCharType="separate"/>
      </w:r>
      <w:r w:rsidRPr="007233D0">
        <w:rPr>
          <w:noProof/>
          <w:sz w:val="20"/>
        </w:rPr>
        <w:t xml:space="preserve">Richard Kraut, </w:t>
      </w:r>
      <w:r w:rsidRPr="007233D0">
        <w:rPr>
          <w:i/>
          <w:noProof/>
          <w:sz w:val="20"/>
        </w:rPr>
        <w:t>What is good and why: the ethics of well-being</w:t>
      </w:r>
      <w:r w:rsidRPr="007233D0">
        <w:rPr>
          <w:noProof/>
          <w:sz w:val="20"/>
        </w:rPr>
        <w:t xml:space="preserve"> (Harvard University Press 2007) 201</w:t>
      </w:r>
      <w:r w:rsidRPr="007233D0">
        <w:rPr>
          <w:sz w:val="20"/>
        </w:rPr>
        <w:fldChar w:fldCharType="end"/>
      </w:r>
      <w:r w:rsidRPr="007233D0">
        <w:rPr>
          <w:sz w:val="20"/>
        </w:rPr>
        <w:t>.</w:t>
      </w:r>
    </w:p>
  </w:footnote>
  <w:footnote w:id="64">
    <w:p w14:paraId="07E13B17" w14:textId="5C02D58A" w:rsidR="002D131A" w:rsidRPr="007233D0" w:rsidRDefault="002D131A">
      <w:pPr>
        <w:pStyle w:val="FootnoteText"/>
        <w:rPr>
          <w:sz w:val="20"/>
        </w:rPr>
      </w:pPr>
      <w:r w:rsidRPr="007233D0">
        <w:rPr>
          <w:rStyle w:val="FootnoteReference"/>
          <w:sz w:val="20"/>
        </w:rPr>
        <w:footnoteRef/>
      </w:r>
      <w:r w:rsidRPr="007233D0">
        <w:rPr>
          <w:sz w:val="20"/>
        </w:rPr>
        <w:t xml:space="preserve"> See eg </w:t>
      </w:r>
      <w:r w:rsidRPr="007233D0">
        <w:rPr>
          <w:sz w:val="20"/>
        </w:rPr>
        <w:fldChar w:fldCharType="begin"/>
      </w:r>
      <w:r w:rsidRPr="007233D0">
        <w:rPr>
          <w:sz w:val="20"/>
        </w:rPr>
        <w:instrText xml:space="preserve"> ADDIN EN.CITE &lt;EndNote&gt;&lt;Cite ExcludeAuth="1"&gt;&lt;Year&gt;2012&lt;/Year&gt;&lt;RecNum&gt;1165&lt;/RecNum&gt;&lt;DisplayText&gt;&lt;style face="italic"&gt;A Local Authority v E &lt;/style&gt;[2012] EWHC 1639 (COP)&lt;/DisplayText&gt;&lt;record&gt;&lt;rec-number&gt;1165&lt;/rec-number&gt;&lt;foreign-keys&gt;&lt;key app="EN" db-id="29e2pr0ebtzaxkedz5b5aefxftsede200wps" timestamp="1469956994"&gt;1165&lt;/key&gt;&lt;/foreign-keys&gt;&lt;ref-type name="Case (inc all UK, ECJ and ECtHR cases)"&gt;7&lt;/ref-type&gt;&lt;contributors&gt;&lt;/contributors&gt;&lt;titles&gt;&lt;title&gt;A Local Authority v E&lt;/title&gt;&lt;secondary-title&gt;[2012] EWHC 1639&lt;/secondary-title&gt;&lt;/titles&gt;&lt;dates&gt;&lt;year&gt;2012&lt;/year&gt;&lt;/dates&gt;&lt;publisher&gt;COP&lt;/publisher&gt;&lt;urls&gt;&lt;/urls&gt;&lt;/record&gt;&lt;/Cite&gt;&lt;/EndNote&gt;</w:instrText>
      </w:r>
      <w:r w:rsidRPr="007233D0">
        <w:rPr>
          <w:sz w:val="20"/>
        </w:rPr>
        <w:fldChar w:fldCharType="separate"/>
      </w:r>
      <w:r w:rsidRPr="007233D0">
        <w:rPr>
          <w:i/>
          <w:sz w:val="20"/>
        </w:rPr>
        <w:t xml:space="preserve">A Local Authority v E </w:t>
      </w:r>
      <w:r w:rsidRPr="007233D0">
        <w:rPr>
          <w:sz w:val="20"/>
        </w:rPr>
        <w:t>[2012] EWHC 1639 (COP)</w:t>
      </w:r>
      <w:r w:rsidRPr="007233D0">
        <w:rPr>
          <w:sz w:val="20"/>
        </w:rPr>
        <w:fldChar w:fldCharType="end"/>
      </w:r>
      <w:r w:rsidRPr="007233D0">
        <w:rPr>
          <w:sz w:val="20"/>
        </w:rPr>
        <w:t xml:space="preserve">; For commentary: </w:t>
      </w:r>
      <w:r w:rsidRPr="007233D0">
        <w:rPr>
          <w:sz w:val="20"/>
        </w:rPr>
        <w:fldChar w:fldCharType="begin"/>
      </w:r>
      <w:r w:rsidRPr="007233D0">
        <w:rPr>
          <w:sz w:val="20"/>
        </w:rPr>
        <w:instrText xml:space="preserve"> ADDIN EN.CITE &lt;EndNote&gt;&lt;Cite&gt;&lt;Author&gt;Coggon&lt;/Author&gt;&lt;Year&gt;2014&lt;/Year&gt;&lt;RecNum&gt;2213&lt;/RecNum&gt;&lt;DisplayText&gt;John Coggon, ‘Anorexia nervosa, best interests, and the patient&amp;apos;s human right to ‘a wholesale overwhelming of her autonomy’: &lt;style face="italic"&gt;A Local Authority v E &lt;/style&gt;[2012] EWHC 1639 (COP)’ (2014) 22(1) Med Law Rev 119&lt;/DisplayText&gt;&lt;record&gt;&lt;rec-number&gt;2213&lt;/rec-number&gt;&lt;foreign-keys&gt;&lt;key app="EN" db-id="29e2pr0ebtzaxkedz5b5aefxftsede200wps" timestamp="1471339741"&gt;2213&lt;/key&gt;&lt;/foreign-keys&gt;&lt;ref-type name="Journal Article"&gt;17&lt;/ref-type&gt;&lt;contributors&gt;&lt;authors&gt;&lt;author&gt;Coggon, John&lt;/author&gt;&lt;/authors&gt;&lt;/contributors&gt;&lt;titles&gt;&lt;title&gt;&lt;style face="normal" font="default" size="100%"&gt;Anorexia nervosa, best interests, and the patient&amp;apos;s human right to ‘a wholesale overwhelming of her autonomy’: &lt;/style&gt;&lt;style face="italic" font="default" size="100%"&gt;A Local Authority v E &lt;/style&gt;&lt;style face="normal" font="default" size="100%"&gt;[2012] EWHC 1639 (COP)&lt;/style&gt;&lt;/title&gt;&lt;secondary-title&gt;Medical Law Review&lt;/secondary-title&gt;&lt;/titles&gt;&lt;periodical&gt;&lt;full-title&gt;Medical Law Review&lt;/full-title&gt;&lt;abbr-1&gt;Med Law Rev&lt;/abbr-1&gt;&lt;/periodical&gt;&lt;pages&gt;119&lt;/pages&gt;&lt;volume&gt;22&lt;/volume&gt;&lt;number&gt;1&lt;/number&gt;&lt;dates&gt;&lt;year&gt;2014&lt;/year&gt;&lt;pub-dates&gt;&lt;date&gt;March 1, 2014&lt;/date&gt;&lt;/pub-dates&gt;&lt;/dates&gt;&lt;pub-location&gt;2014&lt;/pub-location&gt;&lt;urls&gt;&lt;related-urls&gt;&lt;url&gt;http://medlaw.oxfordjournals.org/content/22/1/119.short&lt;/url&gt;&lt;/related-urls&gt;&lt;/urls&gt;&lt;electronic-resource-num&gt;10.1093/medlaw/fwt031&lt;/electronic-resource-num&gt;&lt;/record&gt;&lt;/Cite&gt;&lt;/EndNote&gt;</w:instrText>
      </w:r>
      <w:r w:rsidRPr="007233D0">
        <w:rPr>
          <w:sz w:val="20"/>
        </w:rPr>
        <w:fldChar w:fldCharType="separate"/>
      </w:r>
      <w:r w:rsidRPr="007233D0">
        <w:rPr>
          <w:sz w:val="20"/>
        </w:rPr>
        <w:t xml:space="preserve">John Coggon, ‘Anorexia nervosa, best interests, and the patient's human right to ‘a wholesale overwhelming of her autonomy’: </w:t>
      </w:r>
      <w:r w:rsidRPr="007233D0">
        <w:rPr>
          <w:i/>
          <w:sz w:val="20"/>
        </w:rPr>
        <w:t xml:space="preserve">A Local Authority v E </w:t>
      </w:r>
      <w:r w:rsidRPr="007233D0">
        <w:rPr>
          <w:sz w:val="20"/>
        </w:rPr>
        <w:t>[2012] EWHC 1639 (COP)’ (2014) 22(1) Med Law Rev 119</w:t>
      </w:r>
      <w:r w:rsidRPr="007233D0">
        <w:rPr>
          <w:sz w:val="20"/>
        </w:rPr>
        <w:fldChar w:fldCharType="end"/>
      </w:r>
      <w:r w:rsidRPr="007233D0">
        <w:rPr>
          <w:sz w:val="20"/>
        </w:rPr>
        <w:t>.</w:t>
      </w:r>
    </w:p>
  </w:footnote>
  <w:footnote w:id="65">
    <w:p w14:paraId="6528B5D1" w14:textId="2DBDD04B" w:rsidR="002D131A" w:rsidRPr="007233D0" w:rsidRDefault="002D131A">
      <w:pPr>
        <w:pStyle w:val="FootnoteText"/>
        <w:rPr>
          <w:sz w:val="20"/>
        </w:rPr>
      </w:pPr>
      <w:r w:rsidRPr="007233D0">
        <w:rPr>
          <w:rStyle w:val="FootnoteReference"/>
          <w:sz w:val="20"/>
        </w:rPr>
        <w:footnoteRef/>
      </w:r>
      <w:r w:rsidRPr="007233D0">
        <w:rPr>
          <w:sz w:val="20"/>
        </w:rPr>
        <w:t xml:space="preserve"> See eg </w:t>
      </w:r>
      <w:r w:rsidRPr="007233D0">
        <w:rPr>
          <w:sz w:val="20"/>
        </w:rPr>
        <w:fldChar w:fldCharType="begin"/>
      </w:r>
      <w:r w:rsidRPr="007233D0">
        <w:rPr>
          <w:sz w:val="20"/>
        </w:rPr>
        <w:instrText xml:space="preserve"> ADDIN EN.CITE &lt;EndNote&gt;&lt;Cite ExcludeAuth="1"&gt;&lt;Year&gt;2014&lt;/Year&gt;&lt;RecNum&gt;1181&lt;/RecNum&gt;&lt;DisplayText&gt;&lt;style face="italic"&gt;Sheffield Teaching Hospitals NHS Foundation Trust v TH &lt;/style&gt;[2014] EWCOP 4; &lt;style face="italic"&gt;Wye Valley NHS Trust v B &lt;/style&gt;[2015] EWCOP 60&lt;/DisplayText&gt;&lt;record&gt;&lt;rec-number&gt;1181&lt;/rec-number&gt;&lt;foreign-keys&gt;&lt;key app="EN" db-id="29e2pr0ebtzaxkedz5b5aefxftsede200wps" timestamp="1469956995"&gt;1181&lt;/key&gt;&lt;/foreign-keys&gt;&lt;ref-type name="Case (inc all UK, ECJ and ECtHR cases)"&gt;7&lt;/ref-type&gt;&lt;contributors&gt;&lt;/contributors&gt;&lt;titles&gt;&lt;title&gt;Sheffield Teaching Hospitals NHS Foundation Trust v TH&lt;/title&gt;&lt;secondary-title&gt;[2014] EWCOP 4&lt;/secondary-title&gt;&lt;/titles&gt;&lt;dates&gt;&lt;year&gt;2014&lt;/year&gt;&lt;/dates&gt;&lt;urls&gt;&lt;/urls&gt;&lt;/record&gt;&lt;/Cite&gt;&lt;Cite ExcludeAuth="1"&gt;&lt;Year&gt;2015&lt;/Year&gt;&lt;RecNum&gt;2215&lt;/RecNum&gt;&lt;record&gt;&lt;rec-number&gt;2215&lt;/rec-number&gt;&lt;foreign-keys&gt;&lt;key app="EN" db-id="29e2pr0ebtzaxkedz5b5aefxftsede200wps" timestamp="1471340044"&gt;2215&lt;/key&gt;&lt;/foreign-keys&gt;&lt;ref-type name="Case (inc all UK, ECJ and ECtHR cases)"&gt;7&lt;/ref-type&gt;&lt;contributors&gt;&lt;/contributors&gt;&lt;titles&gt;&lt;title&gt;Wye Valley NHS Trust v B&lt;/title&gt;&lt;secondary-title&gt;[2015] EWCOP 60&lt;/secondary-title&gt;&lt;/titles&gt;&lt;dates&gt;&lt;year&gt;2015&lt;/year&gt;&lt;/dates&gt;&lt;urls&gt;&lt;/urls&gt;&lt;/record&gt;&lt;/Cite&gt;&lt;/EndNote&gt;</w:instrText>
      </w:r>
      <w:r w:rsidRPr="007233D0">
        <w:rPr>
          <w:sz w:val="20"/>
        </w:rPr>
        <w:fldChar w:fldCharType="separate"/>
      </w:r>
      <w:r w:rsidRPr="007233D0">
        <w:rPr>
          <w:i/>
          <w:sz w:val="20"/>
        </w:rPr>
        <w:t xml:space="preserve">Sheffield Teaching Hospitals NHS Foundation Trust v TH </w:t>
      </w:r>
      <w:r w:rsidRPr="007233D0">
        <w:rPr>
          <w:sz w:val="20"/>
        </w:rPr>
        <w:t xml:space="preserve">[2014] EWCOP 4; </w:t>
      </w:r>
      <w:r w:rsidRPr="007233D0">
        <w:rPr>
          <w:i/>
          <w:sz w:val="20"/>
        </w:rPr>
        <w:t xml:space="preserve">Wye Valley NHS Trust v B </w:t>
      </w:r>
      <w:r w:rsidRPr="007233D0">
        <w:rPr>
          <w:sz w:val="20"/>
        </w:rPr>
        <w:t>[2015] EWCOP 60</w:t>
      </w:r>
      <w:r w:rsidRPr="007233D0">
        <w:rPr>
          <w:sz w:val="20"/>
        </w:rPr>
        <w:fldChar w:fldCharType="end"/>
      </w:r>
      <w:r w:rsidRPr="007233D0">
        <w:rPr>
          <w:sz w:val="20"/>
        </w:rPr>
        <w:t>. These were not advance refusal cases.</w:t>
      </w:r>
    </w:p>
  </w:footnote>
  <w:footnote w:id="66">
    <w:p w14:paraId="62AA60B3" w14:textId="26413040" w:rsidR="002D131A" w:rsidRPr="007233D0" w:rsidRDefault="002D131A">
      <w:pPr>
        <w:pStyle w:val="FootnoteText"/>
        <w:rPr>
          <w:sz w:val="20"/>
        </w:rPr>
      </w:pPr>
      <w:r w:rsidRPr="007233D0">
        <w:rPr>
          <w:rStyle w:val="FootnoteReference"/>
          <w:sz w:val="20"/>
        </w:rPr>
        <w:footnoteRef/>
      </w:r>
      <w:r w:rsidRPr="007233D0">
        <w:rPr>
          <w:sz w:val="20"/>
        </w:rPr>
        <w:t xml:space="preserve"> See eg </w:t>
      </w:r>
      <w:r w:rsidRPr="007233D0">
        <w:rPr>
          <w:i/>
          <w:sz w:val="20"/>
        </w:rPr>
        <w:t>A Local Authority v E</w:t>
      </w:r>
      <w:r w:rsidRPr="007233D0">
        <w:rPr>
          <w:sz w:val="20"/>
        </w:rPr>
        <w:t xml:space="preserve"> (n </w:t>
      </w:r>
      <w:r w:rsidRPr="007233D0">
        <w:rPr>
          <w:sz w:val="20"/>
        </w:rPr>
        <w:fldChar w:fldCharType="begin"/>
      </w:r>
      <w:r w:rsidRPr="007233D0">
        <w:rPr>
          <w:sz w:val="20"/>
        </w:rPr>
        <w:instrText xml:space="preserve"> NOTEREF _Ref497762789 \h  \* MERGEFORMAT </w:instrText>
      </w:r>
      <w:r w:rsidRPr="007233D0">
        <w:rPr>
          <w:sz w:val="20"/>
        </w:rPr>
      </w:r>
      <w:r w:rsidRPr="007233D0">
        <w:rPr>
          <w:sz w:val="20"/>
        </w:rPr>
        <w:fldChar w:fldCharType="separate"/>
      </w:r>
      <w:r>
        <w:rPr>
          <w:sz w:val="20"/>
        </w:rPr>
        <w:t>64</w:t>
      </w:r>
      <w:r w:rsidRPr="007233D0">
        <w:rPr>
          <w:sz w:val="20"/>
        </w:rPr>
        <w:fldChar w:fldCharType="end"/>
      </w:r>
      <w:r w:rsidRPr="007233D0">
        <w:rPr>
          <w:sz w:val="20"/>
        </w:rPr>
        <w:t>), in which the court declared that force-feeding, and if necessary sedation or physician restraint, was in the best interests of an individual with anorexia nervosa. The duration of this treatment was predicted to last not less than one year.</w:t>
      </w:r>
    </w:p>
  </w:footnote>
  <w:footnote w:id="67">
    <w:p w14:paraId="066E140D" w14:textId="3FEC4546" w:rsidR="002D131A" w:rsidRPr="007233D0" w:rsidRDefault="002D131A" w:rsidP="00062B0B">
      <w:pPr>
        <w:pStyle w:val="FootnoteText"/>
        <w:rPr>
          <w:sz w:val="20"/>
        </w:rPr>
      </w:pPr>
      <w:r w:rsidRPr="007233D0">
        <w:rPr>
          <w:rStyle w:val="FootnoteReference"/>
          <w:sz w:val="20"/>
        </w:rPr>
        <w:footnoteRef/>
      </w:r>
      <w:r w:rsidRPr="007233D0">
        <w:rPr>
          <w:sz w:val="20"/>
        </w:rPr>
        <w:t xml:space="preserve"> Tiberius (n </w:t>
      </w:r>
      <w:r w:rsidRPr="007233D0">
        <w:rPr>
          <w:sz w:val="20"/>
        </w:rPr>
        <w:fldChar w:fldCharType="begin"/>
      </w:r>
      <w:r w:rsidRPr="007233D0">
        <w:rPr>
          <w:sz w:val="20"/>
        </w:rPr>
        <w:instrText xml:space="preserve"> NOTEREF _Ref497762826 \h  \* MERGEFORMAT </w:instrText>
      </w:r>
      <w:r w:rsidRPr="007233D0">
        <w:rPr>
          <w:sz w:val="20"/>
        </w:rPr>
      </w:r>
      <w:r w:rsidRPr="007233D0">
        <w:rPr>
          <w:sz w:val="20"/>
        </w:rPr>
        <w:fldChar w:fldCharType="separate"/>
      </w:r>
      <w:r>
        <w:rPr>
          <w:sz w:val="20"/>
        </w:rPr>
        <w:t>62</w:t>
      </w:r>
      <w:r w:rsidRPr="007233D0">
        <w:rPr>
          <w:sz w:val="20"/>
        </w:rPr>
        <w:fldChar w:fldCharType="end"/>
      </w:r>
      <w:r w:rsidRPr="007233D0">
        <w:rPr>
          <w:sz w:val="20"/>
        </w:rPr>
        <w:t>) §9.4.</w:t>
      </w:r>
    </w:p>
  </w:footnote>
  <w:footnote w:id="68">
    <w:p w14:paraId="4803E1CE" w14:textId="77777777" w:rsidR="002D131A" w:rsidRPr="007233D0" w:rsidRDefault="002D131A" w:rsidP="00062B0B">
      <w:pPr>
        <w:pStyle w:val="FootnoteText"/>
        <w:rPr>
          <w:sz w:val="20"/>
        </w:rPr>
      </w:pPr>
      <w:r w:rsidRPr="007233D0">
        <w:rPr>
          <w:rStyle w:val="FootnoteReference"/>
          <w:sz w:val="20"/>
        </w:rPr>
        <w:footnoteRef/>
      </w:r>
      <w:r w:rsidRPr="007233D0">
        <w:rPr>
          <w:sz w:val="20"/>
        </w:rPr>
        <w:t xml:space="preserve"> Of course, the idea that the satisfaction/frustration of remote desires affects </w:t>
      </w:r>
      <w:r w:rsidRPr="007233D0">
        <w:rPr>
          <w:i/>
          <w:sz w:val="20"/>
        </w:rPr>
        <w:t>P</w:t>
      </w:r>
      <w:r w:rsidRPr="007233D0">
        <w:rPr>
          <w:sz w:val="20"/>
        </w:rPr>
        <w:t>’s welfare is often seen as an unintuitive implication of desire theories: ibid 166.</w:t>
      </w:r>
    </w:p>
  </w:footnote>
  <w:footnote w:id="69">
    <w:p w14:paraId="38910C1F" w14:textId="5D0412B9" w:rsidR="002D131A" w:rsidRPr="007233D0" w:rsidRDefault="002D131A">
      <w:pPr>
        <w:pStyle w:val="FootnoteText"/>
        <w:rPr>
          <w:sz w:val="20"/>
        </w:rPr>
      </w:pPr>
      <w:r w:rsidRPr="007233D0">
        <w:rPr>
          <w:rStyle w:val="FootnoteReference"/>
          <w:sz w:val="20"/>
        </w:rPr>
        <w:footnoteRef/>
      </w:r>
      <w:r w:rsidRPr="007233D0">
        <w:rPr>
          <w:sz w:val="20"/>
        </w:rPr>
        <w:t xml:space="preserve"> </w:t>
      </w:r>
      <w:proofErr w:type="spellStart"/>
      <w:r w:rsidRPr="007233D0">
        <w:rPr>
          <w:sz w:val="20"/>
        </w:rPr>
        <w:t>Letsas</w:t>
      </w:r>
      <w:proofErr w:type="spellEnd"/>
      <w:r w:rsidRPr="007233D0">
        <w:rPr>
          <w:sz w:val="20"/>
        </w:rPr>
        <w:t xml:space="preserve"> (n </w:t>
      </w:r>
      <w:r w:rsidRPr="007233D0">
        <w:rPr>
          <w:sz w:val="20"/>
        </w:rPr>
        <w:fldChar w:fldCharType="begin"/>
      </w:r>
      <w:r w:rsidRPr="007233D0">
        <w:rPr>
          <w:sz w:val="20"/>
        </w:rPr>
        <w:instrText xml:space="preserve"> NOTEREF _Ref497761893 \h  \* MERGEFORMAT </w:instrText>
      </w:r>
      <w:r w:rsidRPr="007233D0">
        <w:rPr>
          <w:sz w:val="20"/>
        </w:rPr>
      </w:r>
      <w:r w:rsidRPr="007233D0">
        <w:rPr>
          <w:sz w:val="20"/>
        </w:rPr>
        <w:fldChar w:fldCharType="separate"/>
      </w:r>
      <w:r>
        <w:rPr>
          <w:sz w:val="20"/>
        </w:rPr>
        <w:t>37</w:t>
      </w:r>
      <w:r w:rsidRPr="007233D0">
        <w:rPr>
          <w:sz w:val="20"/>
        </w:rPr>
        <w:fldChar w:fldCharType="end"/>
      </w:r>
      <w:r w:rsidRPr="007233D0">
        <w:rPr>
          <w:sz w:val="20"/>
        </w:rPr>
        <w:t>) 328.</w:t>
      </w:r>
    </w:p>
  </w:footnote>
  <w:footnote w:id="70">
    <w:p w14:paraId="3BE39676" w14:textId="6DDAAB9D" w:rsidR="002D131A" w:rsidRPr="007233D0" w:rsidRDefault="002D131A">
      <w:pPr>
        <w:pStyle w:val="FootnoteText"/>
        <w:rPr>
          <w:sz w:val="20"/>
        </w:rPr>
      </w:pPr>
      <w:r w:rsidRPr="007233D0">
        <w:rPr>
          <w:rStyle w:val="FootnoteReference"/>
          <w:sz w:val="20"/>
        </w:rPr>
        <w:footnoteRef/>
      </w:r>
      <w:r w:rsidRPr="007233D0">
        <w:rPr>
          <w:sz w:val="20"/>
        </w:rPr>
        <w:t xml:space="preserve"> See Glover (n </w:t>
      </w:r>
      <w:r w:rsidRPr="007233D0">
        <w:rPr>
          <w:sz w:val="20"/>
        </w:rPr>
        <w:fldChar w:fldCharType="begin"/>
      </w:r>
      <w:r w:rsidRPr="007233D0">
        <w:rPr>
          <w:sz w:val="20"/>
        </w:rPr>
        <w:instrText xml:space="preserve"> NOTEREF _Ref497761929 \h  \* MERGEFORMAT </w:instrText>
      </w:r>
      <w:r w:rsidRPr="007233D0">
        <w:rPr>
          <w:sz w:val="20"/>
        </w:rPr>
      </w:r>
      <w:r w:rsidRPr="007233D0">
        <w:rPr>
          <w:sz w:val="20"/>
        </w:rPr>
        <w:fldChar w:fldCharType="separate"/>
      </w:r>
      <w:r>
        <w:rPr>
          <w:sz w:val="20"/>
        </w:rPr>
        <w:t>52</w:t>
      </w:r>
      <w:r w:rsidRPr="007233D0">
        <w:rPr>
          <w:sz w:val="20"/>
        </w:rPr>
        <w:fldChar w:fldCharType="end"/>
      </w:r>
      <w:r w:rsidRPr="007233D0">
        <w:rPr>
          <w:sz w:val="20"/>
        </w:rPr>
        <w:t>) chapters 3 and 5.</w:t>
      </w:r>
    </w:p>
  </w:footnote>
  <w:footnote w:id="71">
    <w:p w14:paraId="01B1EACF" w14:textId="1516691F" w:rsidR="002D131A" w:rsidRPr="007233D0" w:rsidRDefault="002D131A">
      <w:pPr>
        <w:pStyle w:val="FootnoteText"/>
        <w:rPr>
          <w:sz w:val="20"/>
        </w:rPr>
      </w:pPr>
      <w:r w:rsidRPr="007233D0">
        <w:rPr>
          <w:rStyle w:val="FootnoteReference"/>
          <w:sz w:val="20"/>
        </w:rPr>
        <w:footnoteRef/>
      </w:r>
      <w:r w:rsidRPr="007233D0">
        <w:rPr>
          <w:sz w:val="20"/>
        </w:rPr>
        <w:t xml:space="preserve"> Nowlin (n </w:t>
      </w:r>
      <w:r w:rsidRPr="007233D0">
        <w:rPr>
          <w:sz w:val="20"/>
        </w:rPr>
        <w:fldChar w:fldCharType="begin"/>
      </w:r>
      <w:r w:rsidRPr="007233D0">
        <w:rPr>
          <w:sz w:val="20"/>
        </w:rPr>
        <w:instrText xml:space="preserve"> NOTEREF _Ref497763104 \h  \* MERGEFORMAT </w:instrText>
      </w:r>
      <w:r w:rsidRPr="007233D0">
        <w:rPr>
          <w:sz w:val="20"/>
        </w:rPr>
      </w:r>
      <w:r w:rsidRPr="007233D0">
        <w:rPr>
          <w:sz w:val="20"/>
        </w:rPr>
        <w:fldChar w:fldCharType="separate"/>
      </w:r>
      <w:r>
        <w:rPr>
          <w:sz w:val="20"/>
        </w:rPr>
        <w:t>25</w:t>
      </w:r>
      <w:r w:rsidRPr="007233D0">
        <w:rPr>
          <w:sz w:val="20"/>
        </w:rPr>
        <w:fldChar w:fldCharType="end"/>
      </w:r>
      <w:r w:rsidRPr="007233D0">
        <w:rPr>
          <w:sz w:val="20"/>
        </w:rPr>
        <w:t>) 265.</w:t>
      </w:r>
    </w:p>
  </w:footnote>
  <w:footnote w:id="72">
    <w:p w14:paraId="671F21D2" w14:textId="2F004ABE" w:rsidR="002D131A" w:rsidRPr="007233D0" w:rsidRDefault="002D131A">
      <w:pPr>
        <w:pStyle w:val="FootnoteText"/>
        <w:rPr>
          <w:sz w:val="20"/>
        </w:rPr>
      </w:pPr>
      <w:r w:rsidRPr="007233D0">
        <w:rPr>
          <w:rStyle w:val="FootnoteReference"/>
          <w:sz w:val="20"/>
        </w:rPr>
        <w:footnoteRef/>
      </w:r>
      <w:r w:rsidRPr="007233D0">
        <w:rPr>
          <w:sz w:val="20"/>
        </w:rPr>
        <w:t xml:space="preserve"> See </w:t>
      </w:r>
      <w:r w:rsidRPr="007233D0">
        <w:rPr>
          <w:sz w:val="20"/>
        </w:rPr>
        <w:fldChar w:fldCharType="begin"/>
      </w:r>
      <w:r w:rsidRPr="007233D0">
        <w:rPr>
          <w:sz w:val="20"/>
        </w:rPr>
        <w:instrText xml:space="preserve"> ADDIN EN.CITE &lt;EndNote&gt;&lt;Cite&gt;&lt;Author&gt;Devlin&lt;/Author&gt;&lt;Year&gt;2009&lt;/Year&gt;&lt;RecNum&gt;2233&lt;/RecNum&gt;&lt;DisplayText&gt;Patrick Devlin, &lt;style face="italic"&gt;The enforcement of morals&lt;/style&gt; (Liberty Fund 2009)&lt;/DisplayText&gt;&lt;record&gt;&lt;rec-number&gt;2233&lt;/rec-number&gt;&lt;foreign-keys&gt;&lt;key app="EN" db-id="29e2pr0ebtzaxkedz5b5aefxftsede200wps" timestamp="1471342410"&gt;2233&lt;/key&gt;&lt;/foreign-keys&gt;&lt;ref-type name="Book (all books with authors, including edited or translated books)"&gt;6&lt;/ref-type&gt;&lt;contributors&gt;&lt;authors&gt;&lt;author&gt;Devlin, Patrick&lt;/author&gt;&lt;/authors&gt;&lt;/contributors&gt;&lt;titles&gt;&lt;title&gt;The enforcement of morals&lt;/title&gt;&lt;/titles&gt;&lt;pages&gt;xiv, 139 p.&lt;/pages&gt;&lt;keywords&gt;&lt;keyword&gt;Law and ethics.&lt;/keyword&gt;&lt;/keywords&gt;&lt;dates&gt;&lt;year&gt;2009&lt;/year&gt;&lt;/dates&gt;&lt;pub-location&gt;Indianapolis&lt;/pub-location&gt;&lt;publisher&gt;Liberty Fund&lt;/publisher&gt;&lt;isbn&gt;9780865978058 (pb alk. paper)&lt;/isbn&gt;&lt;accession-num&gt;15962517&lt;/accession-num&gt;&lt;call-num&gt;KF450.P8 D48 2009&lt;/call-num&gt;&lt;urls&gt;&lt;/urls&gt;&lt;/record&gt;&lt;/Cite&gt;&lt;/EndNote&gt;</w:instrText>
      </w:r>
      <w:r w:rsidRPr="007233D0">
        <w:rPr>
          <w:sz w:val="20"/>
        </w:rPr>
        <w:fldChar w:fldCharType="separate"/>
      </w:r>
      <w:r w:rsidRPr="007233D0">
        <w:rPr>
          <w:sz w:val="20"/>
        </w:rPr>
        <w:t xml:space="preserve">Patrick Devlin, </w:t>
      </w:r>
      <w:r w:rsidRPr="007233D0">
        <w:rPr>
          <w:i/>
          <w:sz w:val="20"/>
        </w:rPr>
        <w:t>The enforcement of morals</w:t>
      </w:r>
      <w:r w:rsidRPr="007233D0">
        <w:rPr>
          <w:sz w:val="20"/>
        </w:rPr>
        <w:t xml:space="preserve"> (Liberty Fund 2009)</w:t>
      </w:r>
      <w:r w:rsidRPr="007233D0">
        <w:rPr>
          <w:sz w:val="20"/>
        </w:rPr>
        <w:fldChar w:fldCharType="end"/>
      </w:r>
      <w:r w:rsidRPr="007233D0">
        <w:rPr>
          <w:sz w:val="20"/>
        </w:rPr>
        <w:t xml:space="preserve">; cf </w:t>
      </w:r>
      <w:r w:rsidRPr="007233D0">
        <w:rPr>
          <w:sz w:val="20"/>
        </w:rPr>
        <w:fldChar w:fldCharType="begin"/>
      </w:r>
      <w:r w:rsidRPr="007233D0">
        <w:rPr>
          <w:sz w:val="20"/>
        </w:rPr>
        <w:instrText xml:space="preserve"> ADDIN EN.CITE &lt;EndNote&gt;&lt;Cite&gt;&lt;Author&gt;Hart&lt;/Author&gt;&lt;Year&gt;1967&lt;/Year&gt;&lt;RecNum&gt;2230&lt;/RecNum&gt;&lt;DisplayText&gt;H L A Hart, ‘Social Solidarity and the Enforcement of Morality’ (1967) 35(1) U Chicago Law Review 1; Ronald Dworkin, ‘Lord Devlin and the Enforcement of Morals’ (1966) 75(6) Yale Law J 986&lt;/DisplayText&gt;&lt;record&gt;&lt;rec-number&gt;2230&lt;/rec-number&gt;&lt;foreign-keys&gt;&lt;key app="EN" db-id="29e2pr0ebtzaxkedz5b5aefxftsede200wps" timestamp="1471342277"&gt;2230&lt;/key&gt;&lt;/foreign-keys&gt;&lt;ref-type name="Journal Article"&gt;17&lt;/ref-type&gt;&lt;contributors&gt;&lt;authors&gt;&lt;author&gt;Hart, H L A&lt;/author&gt;&lt;/authors&gt;&lt;/contributors&gt;&lt;titles&gt;&lt;title&gt;Social Solidarity and the Enforcement of Morality&lt;/title&gt;&lt;secondary-title&gt;U Chicago Law Review&lt;/secondary-title&gt;&lt;/titles&gt;&lt;pages&gt;1&lt;/pages&gt;&lt;volume&gt;35&lt;/volume&gt;&lt;number&gt;1&lt;/number&gt;&lt;dates&gt;&lt;year&gt;1967&lt;/year&gt;&lt;/dates&gt;&lt;pub-location&gt;1967&lt;/pub-location&gt;&lt;urls&gt;&lt;/urls&gt;&lt;/record&gt;&lt;/Cite&gt;&lt;Cite&gt;&lt;Author&gt;Dworkin&lt;/Author&gt;&lt;Year&gt;1966&lt;/Year&gt;&lt;RecNum&gt;2236&lt;/RecNum&gt;&lt;record&gt;&lt;rec-number&gt;2236&lt;/rec-number&gt;&lt;foreign-keys&gt;&lt;key app="EN" db-id="29e2pr0ebtzaxkedz5b5aefxftsede200wps" timestamp="1471342982"&gt;2236&lt;/key&gt;&lt;/foreign-keys&gt;&lt;ref-type name="Journal Article"&gt;17&lt;/ref-type&gt;&lt;contributors&gt;&lt;authors&gt;&lt;author&gt;Dworkin, Ronald&lt;/author&gt;&lt;/authors&gt;&lt;/contributors&gt;&lt;titles&gt;&lt;title&gt;Lord Devlin and the Enforcement of Morals&lt;/title&gt;&lt;secondary-title&gt;Yale Law Journal&lt;/secondary-title&gt;&lt;/titles&gt;&lt;periodical&gt;&lt;full-title&gt;Yale Law Journal&lt;/full-title&gt;&lt;abbr-1&gt;Yale Law J.&lt;/abbr-1&gt;&lt;abbr-2&gt;Yale Law J&lt;/abbr-2&gt;&lt;/periodical&gt;&lt;pages&gt;986&lt;/pages&gt;&lt;volume&gt;75&lt;/volume&gt;&lt;number&gt;6&lt;/number&gt;&lt;dates&gt;&lt;year&gt;1966&lt;/year&gt;&lt;/dates&gt;&lt;pub-location&gt;1966&lt;/pub-location&gt;&lt;urls&gt;&lt;/urls&gt;&lt;/record&gt;&lt;/Cite&gt;&lt;/EndNote&gt;</w:instrText>
      </w:r>
      <w:r w:rsidRPr="007233D0">
        <w:rPr>
          <w:sz w:val="20"/>
        </w:rPr>
        <w:fldChar w:fldCharType="separate"/>
      </w:r>
      <w:r w:rsidRPr="007233D0">
        <w:rPr>
          <w:sz w:val="20"/>
        </w:rPr>
        <w:t>H L A Hart, ‘Social Solidarity and the Enforcement of Morality’ (1967) 35(1) U Chicago Law Review 1; Ronald Dworkin, ‘Lord Devlin and the Enforcement of Morals’ (1966) 75(6) Yale Law J 986</w:t>
      </w:r>
      <w:r w:rsidRPr="007233D0">
        <w:rPr>
          <w:sz w:val="20"/>
        </w:rPr>
        <w:fldChar w:fldCharType="end"/>
      </w:r>
      <w:r w:rsidRPr="007233D0">
        <w:rPr>
          <w:sz w:val="20"/>
        </w:rPr>
        <w:t>.</w:t>
      </w:r>
    </w:p>
  </w:footnote>
  <w:footnote w:id="73">
    <w:p w14:paraId="520F7B02" w14:textId="6306780C"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&lt;EndNote&gt;&lt;Cite&gt;&lt;Author&gt;Keown&lt;/Author&gt;&lt;Year&gt;2002&lt;/Year&gt;&lt;RecNum&gt;943&lt;/RecNum&gt;&lt;Pages&gt;39&lt;/Pages&gt;&lt;DisplayText&gt;John Keown, &lt;style face="italic"&gt;Euthanasia, ethics, and public policy: an argument against legislation&lt;/style&gt; (CUP 2002) 39&lt;/DisplayText&gt;&lt;record&gt;&lt;rec-number&gt;943&lt;/rec-number&gt;&lt;foreign-keys&gt;&lt;key app="EN" db-id="29e2pr0ebtzaxkedz5b5aefxftsede200wps" timestamp="1469956988"&gt;943&lt;/key&gt;&lt;/foreign-keys&gt;&lt;ref-type name="Book (all books with authors, including edited or translated books)"&gt;6&lt;/ref-type&gt;&lt;contributors&gt;&lt;authors&gt;&lt;author&gt;Keown, John&lt;/author&gt;&lt;/authors&gt;&lt;/contributors&gt;&lt;titles&gt;&lt;title&gt;Euthanasia, ethics, and public policy: an argument against legislation&lt;/title&gt;&lt;/titles&gt;&lt;pages&gt;xx, 318 p&lt;/pages&gt;&lt;keywords&gt;&lt;keyword&gt;Euthanasia.&lt;/keyword&gt;&lt;keyword&gt;Euthanasia Moral and ethical aspects.&lt;/keyword&gt;&lt;keyword&gt;Euthanasia Social aspects.&lt;/keyword&gt;&lt;keyword&gt;Terminal care Moral and ethical aspects.&lt;/keyword&gt;&lt;keyword&gt;Euthanasia legislation and jurisprudence.&lt;/keyword&gt;&lt;keyword&gt;Ethics, Clinical.&lt;/keyword&gt;&lt;keyword&gt;Suicide, Assisted ethics.&lt;/keyword&gt;&lt;/keywords&gt;&lt;dates&gt;&lt;year&gt;2002&lt;/year&gt;&lt;/dates&gt;&lt;pub-location&gt;Cambridge&lt;/pub-location&gt;&lt;publisher&gt;CUP&lt;/publisher&gt;&lt;isbn&gt;0521804167 (hbk.)&amp;#xD;0521009332 (pbk.)&lt;/isbn&gt;&lt;urls&gt;&lt;/urls&gt;&lt;/record&gt;&lt;/Cite&gt;&lt;/EndNote&gt;</w:instrText>
      </w:r>
      <w:r w:rsidRPr="007233D0">
        <w:rPr>
          <w:sz w:val="20"/>
        </w:rPr>
        <w:fldChar w:fldCharType="separate"/>
      </w:r>
      <w:r w:rsidRPr="007233D0">
        <w:rPr>
          <w:sz w:val="20"/>
        </w:rPr>
        <w:t xml:space="preserve">John Keown, </w:t>
      </w:r>
      <w:r w:rsidRPr="007233D0">
        <w:rPr>
          <w:i/>
          <w:sz w:val="20"/>
        </w:rPr>
        <w:t>Euthanasia, ethics, and public policy: an argument against legislation</w:t>
      </w:r>
      <w:r w:rsidRPr="007233D0">
        <w:rPr>
          <w:sz w:val="20"/>
        </w:rPr>
        <w:t xml:space="preserve"> (CUP 2002) 39</w:t>
      </w:r>
      <w:r w:rsidRPr="007233D0">
        <w:rPr>
          <w:sz w:val="20"/>
        </w:rPr>
        <w:fldChar w:fldCharType="end"/>
      </w:r>
      <w:r w:rsidRPr="007233D0">
        <w:rPr>
          <w:sz w:val="20"/>
        </w:rPr>
        <w:t xml:space="preserve"> (original emphasis).</w:t>
      </w:r>
    </w:p>
  </w:footnote>
  <w:footnote w:id="74">
    <w:p w14:paraId="50005D1C" w14:textId="3FBFEC97" w:rsidR="002D131A" w:rsidRPr="007233D0" w:rsidRDefault="002D131A">
      <w:pPr>
        <w:pStyle w:val="FootnoteText"/>
        <w:rPr>
          <w:sz w:val="20"/>
        </w:rPr>
      </w:pPr>
      <w:r w:rsidRPr="007233D0">
        <w:rPr>
          <w:rStyle w:val="FootnoteReference"/>
          <w:sz w:val="20"/>
        </w:rPr>
        <w:footnoteRef/>
      </w:r>
      <w:r w:rsidRPr="007233D0">
        <w:rPr>
          <w:sz w:val="20"/>
        </w:rPr>
        <w:t xml:space="preserve"> ibid 66-68.</w:t>
      </w:r>
    </w:p>
  </w:footnote>
  <w:footnote w:id="75">
    <w:p w14:paraId="03622451" w14:textId="74B8CCA9" w:rsidR="002D131A" w:rsidRPr="007233D0" w:rsidRDefault="002D131A">
      <w:pPr>
        <w:pStyle w:val="FootnoteText"/>
        <w:rPr>
          <w:sz w:val="20"/>
        </w:rPr>
      </w:pPr>
      <w:r w:rsidRPr="007233D0">
        <w:rPr>
          <w:rStyle w:val="FootnoteReference"/>
          <w:sz w:val="20"/>
        </w:rPr>
        <w:footnoteRef/>
      </w:r>
      <w:r w:rsidRPr="007233D0">
        <w:rPr>
          <w:sz w:val="20"/>
        </w:rPr>
        <w:t xml:space="preserve"> ibid 41; </w:t>
      </w:r>
      <w:r w:rsidRPr="007233D0">
        <w:rPr>
          <w:sz w:val="20"/>
        </w:rPr>
        <w:fldChar w:fldCharType="begin"/>
      </w:r>
      <w:r w:rsidRPr="007233D0">
        <w:rPr>
          <w:sz w:val="20"/>
        </w:rPr>
        <w:instrText xml:space="preserve"> ADDIN EN.CITE &lt;EndNote&gt;&lt;Cite&gt;&lt;Author&gt;Finnis&lt;/Author&gt;&lt;Year&gt;1995&lt;/Year&gt;&lt;RecNum&gt;1192&lt;/RecNum&gt;&lt;DisplayText&gt;John Finnis, ‘A philosophical case against euthanasia’ in John Keown (ed), &lt;style face="italic"&gt;Euthanasia examined: ethical, clinical, and legal perspectives&lt;/style&gt; (CUP 1995)&lt;/DisplayText&gt;&lt;record&gt;&lt;rec-number&gt;1192&lt;/rec-number&gt;&lt;foreign-keys&gt;&lt;key app="EN" db-id="29e2pr0ebtzaxkedz5b5aefxftsede200wps" timestamp="1469956995"&gt;1192&lt;/key&gt;&lt;/foreign-keys&gt;&lt;ref-type name="Contribution to an Edited Book"&gt;5&lt;/ref-type&gt;&lt;contributors&gt;&lt;authors&gt;&lt;author&gt;Finnis, John&lt;/author&gt;&lt;/authors&gt;&lt;secondary-authors&gt;&lt;author&gt;Keown, John&lt;/author&gt;&lt;/secondary-authors&gt;&lt;/contributors&gt;&lt;titles&gt;&lt;title&gt;A philosophical case against euthanasia&lt;/title&gt;&lt;secondary-title&gt;Euthanasia examined: ethical, clinical, and legal perspectives&lt;/secondary-title&gt;&lt;/titles&gt;&lt;pages&gt;xv, 340 p.&lt;/pages&gt;&lt;keywords&gt;&lt;keyword&gt;Euthanasia Moral and ethical aspects.&lt;/keyword&gt;&lt;/keywords&gt;&lt;dates&gt;&lt;year&gt;1995&lt;/year&gt;&lt;/dates&gt;&lt;pub-location&gt;Cambridge ; New York&lt;/pub-location&gt;&lt;publisher&gt;CUP&lt;/publisher&gt;&lt;isbn&gt;0521451418 (hc)&lt;/isbn&gt;&lt;accession-num&gt;3978772&lt;/accession-num&gt;&lt;call-num&gt;Jefferson or Adams Building Reading Rooms R726; .E7917 1995&amp;#xD;Jefferson or Adams Building Reading Rooms - STORED OFFSITE R726; .E7917 1995&lt;/call-num&gt;&lt;urls&gt;&lt;/urls&gt;&lt;/record&gt;&lt;/Cite&gt;&lt;/EndNote&gt;</w:instrText>
      </w:r>
      <w:r w:rsidRPr="007233D0">
        <w:rPr>
          <w:sz w:val="20"/>
        </w:rPr>
        <w:fldChar w:fldCharType="separate"/>
      </w:r>
      <w:r w:rsidRPr="007233D0">
        <w:rPr>
          <w:sz w:val="20"/>
        </w:rPr>
        <w:t xml:space="preserve">John </w:t>
      </w:r>
      <w:proofErr w:type="spellStart"/>
      <w:r w:rsidRPr="007233D0">
        <w:rPr>
          <w:sz w:val="20"/>
        </w:rPr>
        <w:t>Finnis</w:t>
      </w:r>
      <w:proofErr w:type="spellEnd"/>
      <w:r w:rsidRPr="007233D0">
        <w:rPr>
          <w:sz w:val="20"/>
        </w:rPr>
        <w:t>, ‘A philosophical case against euthanasia’ in John Keown (</w:t>
      </w:r>
      <w:proofErr w:type="spellStart"/>
      <w:r w:rsidRPr="007233D0">
        <w:rPr>
          <w:sz w:val="20"/>
        </w:rPr>
        <w:t>ed</w:t>
      </w:r>
      <w:proofErr w:type="spellEnd"/>
      <w:r w:rsidRPr="007233D0">
        <w:rPr>
          <w:sz w:val="20"/>
        </w:rPr>
        <w:t xml:space="preserve">), </w:t>
      </w:r>
      <w:r w:rsidRPr="007233D0">
        <w:rPr>
          <w:i/>
          <w:sz w:val="20"/>
        </w:rPr>
        <w:t>Euthanasia examined: ethical, clinical, and legal perspectives</w:t>
      </w:r>
      <w:r w:rsidRPr="007233D0">
        <w:rPr>
          <w:sz w:val="20"/>
        </w:rPr>
        <w:t xml:space="preserve"> (CUP 1995)</w:t>
      </w:r>
      <w:r w:rsidRPr="007233D0">
        <w:rPr>
          <w:sz w:val="20"/>
        </w:rPr>
        <w:fldChar w:fldCharType="end"/>
      </w:r>
      <w:r w:rsidRPr="007233D0">
        <w:rPr>
          <w:sz w:val="20"/>
        </w:rPr>
        <w:t>.</w:t>
      </w:r>
    </w:p>
  </w:footnote>
  <w:footnote w:id="76">
    <w:p w14:paraId="5874986F" w14:textId="796EC987" w:rsidR="002D131A" w:rsidRPr="007233D0" w:rsidRDefault="002D131A">
      <w:pPr>
        <w:pStyle w:val="FootnoteText"/>
        <w:rPr>
          <w:sz w:val="20"/>
        </w:rPr>
      </w:pPr>
      <w:r w:rsidRPr="007233D0">
        <w:rPr>
          <w:rStyle w:val="FootnoteReference"/>
          <w:sz w:val="20"/>
        </w:rPr>
        <w:footnoteRef/>
      </w:r>
      <w:r w:rsidRPr="007233D0">
        <w:rPr>
          <w:sz w:val="20"/>
        </w:rPr>
        <w:t xml:space="preserve"> It is not necessary here to discuss </w:t>
      </w:r>
      <w:r w:rsidRPr="007233D0">
        <w:rPr>
          <w:i/>
          <w:sz w:val="20"/>
        </w:rPr>
        <w:t xml:space="preserve">inviolability </w:t>
      </w:r>
      <w:r w:rsidRPr="007233D0">
        <w:rPr>
          <w:sz w:val="20"/>
        </w:rPr>
        <w:t>in detail, but perhaps it is not unfair to say that the account requires the acceptance of considerable normative machinery, and entails the unattractive conclusion that suicide is always wrong.</w:t>
      </w:r>
    </w:p>
  </w:footnote>
  <w:footnote w:id="77">
    <w:p w14:paraId="33C63867" w14:textId="2DD15519" w:rsidR="002D131A" w:rsidRPr="007233D0" w:rsidRDefault="002D131A">
      <w:pPr>
        <w:pStyle w:val="FootnoteText"/>
        <w:rPr>
          <w:sz w:val="20"/>
        </w:rPr>
      </w:pPr>
      <w:r w:rsidRPr="007233D0">
        <w:rPr>
          <w:rStyle w:val="FootnoteReference"/>
          <w:sz w:val="20"/>
        </w:rPr>
        <w:footnoteRef/>
      </w:r>
      <w:r w:rsidRPr="007233D0">
        <w:rPr>
          <w:sz w:val="20"/>
        </w:rPr>
        <w:t xml:space="preserve"> Keown (n </w:t>
      </w:r>
      <w:r w:rsidRPr="007233D0">
        <w:rPr>
          <w:sz w:val="20"/>
        </w:rPr>
        <w:fldChar w:fldCharType="begin"/>
      </w:r>
      <w:r w:rsidRPr="007233D0">
        <w:rPr>
          <w:sz w:val="20"/>
        </w:rPr>
        <w:instrText xml:space="preserve"> NOTEREF _Ref497763138 \h  \* MERGEFORMAT </w:instrText>
      </w:r>
      <w:r w:rsidRPr="007233D0">
        <w:rPr>
          <w:sz w:val="20"/>
        </w:rPr>
      </w:r>
      <w:r w:rsidRPr="007233D0">
        <w:rPr>
          <w:sz w:val="20"/>
        </w:rPr>
        <w:fldChar w:fldCharType="separate"/>
      </w:r>
      <w:r>
        <w:rPr>
          <w:sz w:val="20"/>
        </w:rPr>
        <w:t>73</w:t>
      </w:r>
      <w:r w:rsidRPr="007233D0">
        <w:rPr>
          <w:sz w:val="20"/>
        </w:rPr>
        <w:fldChar w:fldCharType="end"/>
      </w:r>
      <w:r w:rsidRPr="007233D0">
        <w:rPr>
          <w:sz w:val="20"/>
        </w:rPr>
        <w:t>) 67.</w:t>
      </w:r>
    </w:p>
  </w:footnote>
  <w:footnote w:id="78">
    <w:p w14:paraId="3078F545" w14:textId="3F1DD709" w:rsidR="002D131A" w:rsidRPr="007233D0" w:rsidRDefault="002D131A">
      <w:pPr>
        <w:pStyle w:val="FootnoteText"/>
        <w:rPr>
          <w:sz w:val="20"/>
        </w:rPr>
      </w:pPr>
      <w:r w:rsidRPr="007233D0">
        <w:rPr>
          <w:rStyle w:val="FootnoteReference"/>
          <w:sz w:val="20"/>
        </w:rPr>
        <w:footnoteRef/>
      </w:r>
      <w:r w:rsidRPr="007233D0">
        <w:rPr>
          <w:sz w:val="20"/>
        </w:rPr>
        <w:t xml:space="preserve"> cf Judge </w:t>
      </w:r>
      <w:proofErr w:type="spellStart"/>
      <w:r w:rsidRPr="007233D0">
        <w:rPr>
          <w:sz w:val="20"/>
        </w:rPr>
        <w:t>Zekia</w:t>
      </w:r>
      <w:proofErr w:type="spellEnd"/>
      <w:r w:rsidRPr="007233D0">
        <w:rPr>
          <w:sz w:val="20"/>
        </w:rPr>
        <w:t xml:space="preserve"> (dissenting) in </w:t>
      </w:r>
      <w:r w:rsidRPr="007233D0">
        <w:rPr>
          <w:i/>
          <w:sz w:val="20"/>
        </w:rPr>
        <w:t xml:space="preserve">Dudgeon </w:t>
      </w:r>
      <w:r w:rsidRPr="007233D0">
        <w:rPr>
          <w:sz w:val="20"/>
        </w:rPr>
        <w:t xml:space="preserve">(n </w:t>
      </w:r>
      <w:r w:rsidRPr="007233D0">
        <w:rPr>
          <w:sz w:val="20"/>
        </w:rPr>
        <w:fldChar w:fldCharType="begin"/>
      </w:r>
      <w:r w:rsidRPr="007233D0">
        <w:rPr>
          <w:sz w:val="20"/>
        </w:rPr>
        <w:instrText xml:space="preserve"> NOTEREF _Ref497763158 \h  \* MERGEFORMAT </w:instrText>
      </w:r>
      <w:r w:rsidRPr="007233D0">
        <w:rPr>
          <w:sz w:val="20"/>
        </w:rPr>
      </w:r>
      <w:r w:rsidRPr="007233D0">
        <w:rPr>
          <w:sz w:val="20"/>
        </w:rPr>
        <w:fldChar w:fldCharType="separate"/>
      </w:r>
      <w:r>
        <w:rPr>
          <w:sz w:val="20"/>
        </w:rPr>
        <w:t>33</w:t>
      </w:r>
      <w:r w:rsidRPr="007233D0">
        <w:rPr>
          <w:sz w:val="20"/>
        </w:rPr>
        <w:fldChar w:fldCharType="end"/>
      </w:r>
      <w:r w:rsidRPr="007233D0">
        <w:rPr>
          <w:sz w:val="20"/>
        </w:rPr>
        <w:t xml:space="preserve">). Judge </w:t>
      </w:r>
      <w:proofErr w:type="spellStart"/>
      <w:r w:rsidRPr="007233D0">
        <w:rPr>
          <w:sz w:val="20"/>
        </w:rPr>
        <w:t>Zekia</w:t>
      </w:r>
      <w:proofErr w:type="spellEnd"/>
      <w:r w:rsidRPr="007233D0">
        <w:rPr>
          <w:sz w:val="20"/>
        </w:rPr>
        <w:t xml:space="preserve"> seems to make a moralistic welfare argument, in addition to the straightforwardly moralistic argument discussed in the previous section. </w:t>
      </w:r>
    </w:p>
  </w:footnote>
  <w:footnote w:id="79">
    <w:p w14:paraId="3F2782D0" w14:textId="6CEA6B40" w:rsidR="002D131A" w:rsidRPr="007233D0" w:rsidRDefault="002D131A">
      <w:pPr>
        <w:pStyle w:val="FootnoteText"/>
        <w:rPr>
          <w:sz w:val="20"/>
        </w:rPr>
      </w:pPr>
      <w:r w:rsidRPr="007233D0">
        <w:rPr>
          <w:rStyle w:val="FootnoteReference"/>
          <w:sz w:val="20"/>
        </w:rPr>
        <w:footnoteRef/>
      </w:r>
      <w:r w:rsidRPr="007233D0">
        <w:rPr>
          <w:sz w:val="20"/>
        </w:rPr>
        <w:t xml:space="preserve"> </w:t>
      </w:r>
      <w:proofErr w:type="spellStart"/>
      <w:r w:rsidRPr="007233D0">
        <w:rPr>
          <w:sz w:val="20"/>
        </w:rPr>
        <w:t>Letsas</w:t>
      </w:r>
      <w:proofErr w:type="spellEnd"/>
      <w:r w:rsidRPr="007233D0">
        <w:rPr>
          <w:sz w:val="20"/>
        </w:rPr>
        <w:t xml:space="preserve"> (n </w:t>
      </w:r>
      <w:r w:rsidRPr="007233D0">
        <w:rPr>
          <w:sz w:val="20"/>
        </w:rPr>
        <w:fldChar w:fldCharType="begin"/>
      </w:r>
      <w:r w:rsidRPr="007233D0">
        <w:rPr>
          <w:sz w:val="20"/>
        </w:rPr>
        <w:instrText xml:space="preserve"> NOTEREF _Ref497761893 \h  \* MERGEFORMAT </w:instrText>
      </w:r>
      <w:r w:rsidRPr="007233D0">
        <w:rPr>
          <w:sz w:val="20"/>
        </w:rPr>
      </w:r>
      <w:r w:rsidRPr="007233D0">
        <w:rPr>
          <w:sz w:val="20"/>
        </w:rPr>
        <w:fldChar w:fldCharType="separate"/>
      </w:r>
      <w:r>
        <w:rPr>
          <w:sz w:val="20"/>
        </w:rPr>
        <w:t>37</w:t>
      </w:r>
      <w:r w:rsidRPr="007233D0">
        <w:rPr>
          <w:sz w:val="20"/>
        </w:rPr>
        <w:fldChar w:fldCharType="end"/>
      </w:r>
      <w:r w:rsidRPr="007233D0">
        <w:rPr>
          <w:sz w:val="20"/>
        </w:rPr>
        <w:t>) 329.</w:t>
      </w:r>
    </w:p>
  </w:footnote>
  <w:footnote w:id="80">
    <w:p w14:paraId="7C99898A" w14:textId="3BC25D36"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&lt;EndNote&gt;&lt;Cite&gt;&lt;Author&gt;Goodin&lt;/Author&gt;&lt;Year&gt;1995&lt;/Year&gt;&lt;RecNum&gt;2237&lt;/RecNum&gt;&lt;Pages&gt;134`, 139-140&lt;/Pages&gt;&lt;DisplayText&gt;Robert E Goodin, &lt;style face="italic"&gt;Utilitarianism as a public philosophy&lt;/style&gt; (Cambridge University press 1995) 134, 139-140&lt;/DisplayText&gt;&lt;record&gt;&lt;rec-number&gt;2237&lt;/rec-number&gt;&lt;foreign-keys&gt;&lt;key app="EN" db-id="29e2pr0ebtzaxkedz5b5aefxftsede200wps" timestamp="1471343923"&gt;2237&lt;/key&gt;&lt;/foreign-keys&gt;&lt;ref-type name="Book (all books with authors, including edited or translated books)"&gt;6&lt;/ref-type&gt;&lt;contributors&gt;&lt;authors&gt;&lt;author&gt;Goodin, Robert E&lt;/author&gt;&lt;/authors&gt;&lt;/contributors&gt;&lt;titles&gt;&lt;title&gt;Utilitarianism as a public philosophy&lt;/title&gt;&lt;/titles&gt;&lt;pages&gt;xii, 352 p.&lt;/pages&gt;&lt;keywords&gt;&lt;keyword&gt;Utilitarianism.&lt;/keyword&gt;&lt;keyword&gt;Political science Philosophy.&lt;/keyword&gt;&lt;/keywords&gt;&lt;dates&gt;&lt;year&gt;1995&lt;/year&gt;&lt;/dates&gt;&lt;pub-location&gt;Cambridge ; New York&lt;/pub-location&gt;&lt;publisher&gt;Cambridge University press&lt;/publisher&gt;&lt;isbn&gt;0521462630 (hard)&amp;#xD;052146806X (pbk.)&lt;/isbn&gt;&lt;accession-num&gt;1123022&lt;/accession-num&gt;&lt;call-num&gt;B843 .G66 1995&lt;/call-num&gt;&lt;urls&gt;&lt;related-urls&gt;&lt;url&gt;Publisher description http://www.loc.gov/catdir/description/cam026/94003385.html&lt;/url&gt;&lt;url&gt;Table of contents http://www.loc.gov/catdir/toc/cam025/94003385.html&lt;/url&gt;&lt;/related-urls&gt;&lt;/urls&gt;&lt;/record&gt;&lt;/Cite&gt;&lt;/EndNote&gt;</w:instrText>
      </w:r>
      <w:r w:rsidRPr="007233D0">
        <w:rPr>
          <w:sz w:val="20"/>
        </w:rPr>
        <w:fldChar w:fldCharType="separate"/>
      </w:r>
      <w:r w:rsidRPr="007233D0">
        <w:rPr>
          <w:noProof/>
          <w:sz w:val="20"/>
        </w:rPr>
        <w:t xml:space="preserve">Robert E Goodin, </w:t>
      </w:r>
      <w:r w:rsidRPr="007233D0">
        <w:rPr>
          <w:i/>
          <w:noProof/>
          <w:sz w:val="20"/>
        </w:rPr>
        <w:t>Utilitarianism as a public philosophy</w:t>
      </w:r>
      <w:r w:rsidRPr="007233D0">
        <w:rPr>
          <w:noProof/>
          <w:sz w:val="20"/>
        </w:rPr>
        <w:t xml:space="preserve"> (Cambridge University press 1995) 134, 139-140</w:t>
      </w:r>
      <w:r w:rsidRPr="007233D0">
        <w:rPr>
          <w:sz w:val="20"/>
        </w:rPr>
        <w:fldChar w:fldCharType="end"/>
      </w:r>
      <w:r w:rsidRPr="007233D0">
        <w:rPr>
          <w:sz w:val="20"/>
        </w:rPr>
        <w:t>.</w:t>
      </w:r>
    </w:p>
  </w:footnote>
  <w:footnote w:id="81">
    <w:p w14:paraId="494B45E9" w14:textId="0430BC83" w:rsidR="002D131A" w:rsidRPr="007233D0" w:rsidRDefault="002D131A">
      <w:pPr>
        <w:pStyle w:val="FootnoteText"/>
        <w:rPr>
          <w:sz w:val="20"/>
        </w:rPr>
      </w:pPr>
      <w:r w:rsidRPr="007233D0">
        <w:rPr>
          <w:rStyle w:val="FootnoteReference"/>
          <w:sz w:val="20"/>
        </w:rPr>
        <w:footnoteRef/>
      </w:r>
      <w:r w:rsidRPr="007233D0">
        <w:rPr>
          <w:sz w:val="20"/>
        </w:rPr>
        <w:t xml:space="preserve"> ibid 139 (original emphasis).</w:t>
      </w:r>
    </w:p>
  </w:footnote>
  <w:footnote w:id="82">
    <w:p w14:paraId="55154952" w14:textId="34AA5863"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&lt;EndNote&gt;&lt;Cite&gt;&lt;Author&gt;Frankfurt&lt;/Author&gt;&lt;Year&gt;1971&lt;/Year&gt;&lt;RecNum&gt;2720&lt;/RecNum&gt;&lt;DisplayText&gt;Harry Frankfurt, ‘Freedom of the will and the concept of a person’ (1971) 68(1) J Phil 5&lt;/DisplayText&gt;&lt;record&gt;&lt;rec-number&gt;2720&lt;/rec-number&gt;&lt;foreign-keys&gt;&lt;key app="EN" db-id="29e2pr0ebtzaxkedz5b5aefxftsede200wps" timestamp="1509999947"&gt;2720&lt;/key&gt;&lt;/foreign-keys&gt;&lt;ref-type name="Journal Article"&gt;17&lt;/ref-type&gt;&lt;contributors&gt;&lt;authors&gt;&lt;author&gt;Frankfurt, Harry&lt;/author&gt;&lt;/authors&gt;&lt;/contributors&gt;&lt;titles&gt;&lt;title&gt;Freedom of the will and the concept of a person&lt;/title&gt;&lt;secondary-title&gt;The Journal of Philosophy&lt;/secondary-title&gt;&lt;/titles&gt;&lt;periodical&gt;&lt;full-title&gt;The Journal of Philosophy&lt;/full-title&gt;&lt;abbr-1&gt;J Phil.&lt;/abbr-1&gt;&lt;abbr-2&gt;J Phil&lt;/abbr-2&gt;&lt;/periodical&gt;&lt;pages&gt;5&lt;/pages&gt;&lt;volume&gt;68&lt;/volume&gt;&lt;number&gt;1&lt;/number&gt;&lt;dates&gt;&lt;year&gt;1971&lt;/year&gt;&lt;/dates&gt;&lt;pub-location&gt;1971&lt;/pub-location&gt;&lt;urls&gt;&lt;/urls&gt;&lt;/record&gt;&lt;/Cite&gt;&lt;/EndNote&gt;</w:instrText>
      </w:r>
      <w:r w:rsidRPr="007233D0">
        <w:rPr>
          <w:sz w:val="20"/>
        </w:rPr>
        <w:fldChar w:fldCharType="separate"/>
      </w:r>
      <w:r w:rsidRPr="007233D0">
        <w:rPr>
          <w:noProof/>
          <w:sz w:val="20"/>
        </w:rPr>
        <w:t>Harry Frankfurt, ‘Freedom of the will and the concept of a person’ (1971) 68(1) J Phil 5</w:t>
      </w:r>
      <w:r w:rsidRPr="007233D0">
        <w:rPr>
          <w:sz w:val="20"/>
        </w:rPr>
        <w:fldChar w:fldCharType="end"/>
      </w:r>
      <w:r w:rsidRPr="007233D0">
        <w:rPr>
          <w:sz w:val="20"/>
        </w:rPr>
        <w:t>.</w:t>
      </w:r>
    </w:p>
  </w:footnote>
  <w:footnote w:id="83">
    <w:p w14:paraId="2E5D0282" w14:textId="13B5D0B3" w:rsidR="002D131A" w:rsidRPr="007233D0" w:rsidRDefault="002D131A">
      <w:pPr>
        <w:pStyle w:val="FootnoteText"/>
        <w:rPr>
          <w:sz w:val="20"/>
        </w:rPr>
      </w:pPr>
      <w:r w:rsidRPr="007233D0">
        <w:rPr>
          <w:rStyle w:val="FootnoteReference"/>
          <w:sz w:val="20"/>
        </w:rPr>
        <w:footnoteRef/>
      </w:r>
      <w:r w:rsidRPr="007233D0">
        <w:rPr>
          <w:sz w:val="20"/>
        </w:rPr>
        <w:t xml:space="preserve"> Alternatively, we might launder individual utilities prior to their aggregation, for example, by appeal to </w:t>
      </w:r>
      <w:r w:rsidRPr="007233D0">
        <w:rPr>
          <w:i/>
          <w:sz w:val="20"/>
        </w:rPr>
        <w:t>desert</w:t>
      </w:r>
      <w:r w:rsidRPr="007233D0">
        <w:rPr>
          <w:sz w:val="20"/>
        </w:rPr>
        <w:t xml:space="preserve">: see eg </w:t>
      </w:r>
      <w:r w:rsidRPr="007233D0">
        <w:rPr>
          <w:sz w:val="20"/>
        </w:rPr>
        <w:fldChar w:fldCharType="begin"/>
      </w:r>
      <w:r w:rsidRPr="007233D0">
        <w:rPr>
          <w:sz w:val="20"/>
        </w:rPr>
        <w:instrText xml:space="preserve"> ADDIN EN.CITE &lt;EndNote&gt;&lt;Cite&gt;&lt;Author&gt;Feldman&lt;/Author&gt;&lt;Year&gt;2006&lt;/Year&gt;&lt;RecNum&gt;924&lt;/RecNum&gt;&lt;Pages&gt;Chapter 5&lt;/Pages&gt;&lt;DisplayText&gt;Fred Feldman, &lt;style face="italic"&gt;Pleasure and the Good Life: Concerning the Nature, Varieties, and Plausibility of Hedonism&lt;/style&gt; (New Ed edn, Clarendon Press 2006) Chapter 5&lt;/DisplayText&gt;&lt;record&gt;&lt;rec-number&gt;924&lt;/rec-number&gt;&lt;foreign-keys&gt;&lt;key app="EN" db-id="29e2pr0ebtzaxkedz5b5aefxftsede200wps" timestamp="1469956988"&gt;924&lt;/key&gt;&lt;/foreign-keys&gt;&lt;ref-type name="Book (all books with authors, including edited or translated books)"&gt;6&lt;/ref-type&gt;&lt;contributors&gt;&lt;authors&gt;&lt;author&gt;Feldman, Fred&lt;/author&gt;&lt;/authors&gt;&lt;/contributors&gt;&lt;titles&gt;&lt;title&gt;Pleasure and the Good Life: Concerning the Nature, Varieties, and Plausibility of Hedonism&lt;/title&gt;&lt;/titles&gt;&lt;edition&gt;New Ed&lt;/edition&gt;&lt;dates&gt;&lt;year&gt;2006&lt;/year&gt;&lt;/dates&gt;&lt;publisher&gt;Clarendon Press&lt;/publisher&gt;&lt;urls&gt;&lt;/urls&gt;&lt;/record&gt;&lt;/Cite&gt;&lt;/EndNote&gt;</w:instrText>
      </w:r>
      <w:r w:rsidRPr="007233D0">
        <w:rPr>
          <w:sz w:val="20"/>
        </w:rPr>
        <w:fldChar w:fldCharType="separate"/>
      </w:r>
      <w:r w:rsidRPr="007233D0">
        <w:rPr>
          <w:sz w:val="20"/>
        </w:rPr>
        <w:t xml:space="preserve">Fred Feldman, </w:t>
      </w:r>
      <w:r w:rsidRPr="007233D0">
        <w:rPr>
          <w:i/>
          <w:sz w:val="20"/>
        </w:rPr>
        <w:t>Pleasure and the Good Life: Concerning the Nature, Varieties, and Plausibility of Hedonism</w:t>
      </w:r>
      <w:r w:rsidRPr="007233D0">
        <w:rPr>
          <w:sz w:val="20"/>
        </w:rPr>
        <w:t xml:space="preserve"> (New Ed </w:t>
      </w:r>
      <w:proofErr w:type="spellStart"/>
      <w:r w:rsidRPr="007233D0">
        <w:rPr>
          <w:sz w:val="20"/>
        </w:rPr>
        <w:t>edn</w:t>
      </w:r>
      <w:proofErr w:type="spellEnd"/>
      <w:r w:rsidRPr="007233D0">
        <w:rPr>
          <w:sz w:val="20"/>
        </w:rPr>
        <w:t>, Clarendon Press 2006) Chapter 5</w:t>
      </w:r>
      <w:r w:rsidRPr="007233D0">
        <w:rPr>
          <w:sz w:val="20"/>
        </w:rPr>
        <w:fldChar w:fldCharType="end"/>
      </w:r>
      <w:r w:rsidRPr="007233D0">
        <w:rPr>
          <w:sz w:val="20"/>
        </w:rPr>
        <w:t xml:space="preserve">. If </w:t>
      </w:r>
      <w:r w:rsidRPr="007233D0">
        <w:rPr>
          <w:i/>
          <w:sz w:val="20"/>
        </w:rPr>
        <w:t>R</w:t>
      </w:r>
      <w:r w:rsidRPr="007233D0">
        <w:rPr>
          <w:sz w:val="20"/>
        </w:rPr>
        <w:t xml:space="preserve">’s faring poorly (or less well) depends on outrage about </w:t>
      </w:r>
      <w:r w:rsidRPr="007233D0">
        <w:rPr>
          <w:i/>
          <w:sz w:val="20"/>
        </w:rPr>
        <w:t>P</w:t>
      </w:r>
      <w:r w:rsidRPr="007233D0">
        <w:rPr>
          <w:sz w:val="20"/>
        </w:rPr>
        <w:t>’s purportedly immoral conduct, we might say that her outrage is an appropriate object of</w:t>
      </w:r>
      <w:r w:rsidRPr="007233D0">
        <w:rPr>
          <w:i/>
          <w:sz w:val="20"/>
        </w:rPr>
        <w:t xml:space="preserve"> </w:t>
      </w:r>
      <w:r w:rsidRPr="007233D0">
        <w:rPr>
          <w:sz w:val="20"/>
        </w:rPr>
        <w:t xml:space="preserve">ill-being. In such circumstances, </w:t>
      </w:r>
      <w:r w:rsidRPr="007233D0">
        <w:rPr>
          <w:i/>
          <w:sz w:val="20"/>
        </w:rPr>
        <w:t>R</w:t>
      </w:r>
      <w:r w:rsidRPr="007233D0">
        <w:rPr>
          <w:sz w:val="20"/>
        </w:rPr>
        <w:t xml:space="preserve"> </w:t>
      </w:r>
      <w:r w:rsidRPr="007233D0">
        <w:rPr>
          <w:i/>
          <w:sz w:val="20"/>
        </w:rPr>
        <w:t>deserves</w:t>
      </w:r>
      <w:r w:rsidRPr="007233D0">
        <w:rPr>
          <w:sz w:val="20"/>
        </w:rPr>
        <w:t xml:space="preserve"> to fare poorly in virtue of her moralistic beliefs, and therefore her moralistic welfare interest need not have weight in the balancing exercise. Of course, an appeal to desert (or any other means of discounting individual utilities) would require philosophical justification, notwithstanding that it is intuitively compelling to think that moralistic states of mind are not prudentially valuable.</w:t>
      </w:r>
    </w:p>
  </w:footnote>
  <w:footnote w:id="84">
    <w:p w14:paraId="787F580F" w14:textId="75663D4F" w:rsidR="002D131A" w:rsidRPr="007233D0" w:rsidRDefault="002D131A">
      <w:pPr>
        <w:pStyle w:val="FootnoteText"/>
        <w:rPr>
          <w:sz w:val="20"/>
        </w:rPr>
      </w:pPr>
      <w:r w:rsidRPr="007233D0">
        <w:rPr>
          <w:rStyle w:val="FootnoteReference"/>
          <w:sz w:val="20"/>
        </w:rPr>
        <w:footnoteRef/>
      </w:r>
      <w:r w:rsidRPr="007233D0">
        <w:rPr>
          <w:sz w:val="20"/>
        </w:rPr>
        <w:t xml:space="preserve"> A similar argument might also be advanced by treating clinicians; see </w:t>
      </w:r>
      <w:r w:rsidRPr="007233D0">
        <w:rPr>
          <w:i/>
          <w:sz w:val="20"/>
        </w:rPr>
        <w:t>Ms B</w:t>
      </w:r>
      <w:r w:rsidRPr="007233D0">
        <w:rPr>
          <w:sz w:val="20"/>
        </w:rPr>
        <w:t xml:space="preserve"> (n </w:t>
      </w:r>
      <w:r w:rsidRPr="007233D0">
        <w:rPr>
          <w:sz w:val="20"/>
        </w:rPr>
        <w:fldChar w:fldCharType="begin"/>
      </w:r>
      <w:r w:rsidRPr="007233D0">
        <w:rPr>
          <w:sz w:val="20"/>
        </w:rPr>
        <w:instrText xml:space="preserve"> NOTEREF _Ref497763450 \h  \* MERGEFORMAT </w:instrText>
      </w:r>
      <w:r w:rsidRPr="007233D0">
        <w:rPr>
          <w:sz w:val="20"/>
        </w:rPr>
      </w:r>
      <w:r w:rsidRPr="007233D0">
        <w:rPr>
          <w:sz w:val="20"/>
        </w:rPr>
        <w:fldChar w:fldCharType="separate"/>
      </w:r>
      <w:r>
        <w:rPr>
          <w:sz w:val="20"/>
        </w:rPr>
        <w:t>3</w:t>
      </w:r>
      <w:r w:rsidRPr="007233D0">
        <w:rPr>
          <w:sz w:val="20"/>
        </w:rPr>
        <w:fldChar w:fldCharType="end"/>
      </w:r>
      <w:r w:rsidRPr="007233D0">
        <w:rPr>
          <w:sz w:val="20"/>
        </w:rPr>
        <w:t xml:space="preserve">). </w:t>
      </w:r>
    </w:p>
  </w:footnote>
  <w:footnote w:id="85">
    <w:p w14:paraId="78601EE3" w14:textId="0F88342E" w:rsidR="002D131A" w:rsidRPr="007233D0" w:rsidRDefault="002D131A">
      <w:pPr>
        <w:pStyle w:val="FootnoteText"/>
        <w:rPr>
          <w:sz w:val="20"/>
        </w:rPr>
      </w:pPr>
      <w:r w:rsidRPr="007233D0">
        <w:rPr>
          <w:rStyle w:val="FootnoteReference"/>
          <w:sz w:val="20"/>
        </w:rPr>
        <w:footnoteRef/>
      </w:r>
      <w:r w:rsidRPr="007233D0">
        <w:rPr>
          <w:sz w:val="20"/>
        </w:rPr>
        <w:t xml:space="preserve"> eg in </w:t>
      </w:r>
      <w:r w:rsidRPr="007233D0">
        <w:rPr>
          <w:i/>
          <w:sz w:val="20"/>
        </w:rPr>
        <w:t>Re E</w:t>
      </w:r>
      <w:r w:rsidRPr="007233D0">
        <w:rPr>
          <w:sz w:val="20"/>
        </w:rPr>
        <w:t xml:space="preserve"> (n </w:t>
      </w:r>
      <w:r w:rsidRPr="007233D0">
        <w:rPr>
          <w:sz w:val="20"/>
        </w:rPr>
        <w:fldChar w:fldCharType="begin"/>
      </w:r>
      <w:r w:rsidRPr="007233D0">
        <w:rPr>
          <w:sz w:val="20"/>
        </w:rPr>
        <w:instrText xml:space="preserve"> NOTEREF _Ref497762789 \h  \* MERGEFORMAT </w:instrText>
      </w:r>
      <w:r w:rsidRPr="007233D0">
        <w:rPr>
          <w:sz w:val="20"/>
        </w:rPr>
      </w:r>
      <w:r w:rsidRPr="007233D0">
        <w:rPr>
          <w:sz w:val="20"/>
        </w:rPr>
        <w:fldChar w:fldCharType="separate"/>
      </w:r>
      <w:r>
        <w:rPr>
          <w:sz w:val="20"/>
        </w:rPr>
        <w:t>64</w:t>
      </w:r>
      <w:r w:rsidRPr="007233D0">
        <w:rPr>
          <w:sz w:val="20"/>
        </w:rPr>
        <w:fldChar w:fldCharType="end"/>
      </w:r>
      <w:r w:rsidRPr="007233D0">
        <w:rPr>
          <w:sz w:val="20"/>
        </w:rPr>
        <w:t xml:space="preserve">), </w:t>
      </w:r>
      <w:r w:rsidRPr="007233D0">
        <w:rPr>
          <w:i/>
          <w:sz w:val="20"/>
        </w:rPr>
        <w:t>E</w:t>
      </w:r>
      <w:r w:rsidRPr="007233D0">
        <w:rPr>
          <w:sz w:val="20"/>
        </w:rPr>
        <w:t xml:space="preserve">’s refusal of LPT had the support of her parents. </w:t>
      </w:r>
    </w:p>
  </w:footnote>
  <w:footnote w:id="86">
    <w:p w14:paraId="0EDB3BA3" w14:textId="77777777" w:rsidR="002D131A" w:rsidRPr="007233D0" w:rsidRDefault="002D131A" w:rsidP="00D31E6D">
      <w:pPr>
        <w:pStyle w:val="FootnoteText"/>
        <w:rPr>
          <w:sz w:val="20"/>
        </w:rPr>
      </w:pPr>
      <w:r w:rsidRPr="007233D0">
        <w:rPr>
          <w:rStyle w:val="FootnoteReference"/>
          <w:sz w:val="20"/>
        </w:rPr>
        <w:footnoteRef/>
      </w:r>
      <w:r w:rsidRPr="007233D0">
        <w:rPr>
          <w:sz w:val="20"/>
        </w:rPr>
        <w:t xml:space="preserve"> See </w:t>
      </w:r>
      <w:r w:rsidRPr="007233D0">
        <w:rPr>
          <w:sz w:val="20"/>
        </w:rPr>
        <w:fldChar w:fldCharType="begin"/>
      </w:r>
      <w:r w:rsidRPr="007233D0">
        <w:rPr>
          <w:sz w:val="20"/>
        </w:rPr>
        <w:instrText xml:space="preserve"> ADDIN EN.CITE &lt;EndNote&gt;&lt;Cite&gt;&lt;Author&gt;Norcross&lt;/Author&gt;&lt;Year&gt;1997&lt;/Year&gt;&lt;RecNum&gt;2238&lt;/RecNum&gt;&lt;DisplayText&gt;Alastair Norcross, ‘Comparing Harms: Headaches and Human Lives’ (1997) 26(2) Phil Pub Affairs 135&lt;/DisplayText&gt;&lt;record&gt;&lt;rec-number&gt;2238&lt;/rec-number&gt;&lt;foreign-keys&gt;&lt;key app="EN" db-id="29e2pr0ebtzaxkedz5b5aefxftsede200wps" timestamp="1471344492"&gt;2238&lt;/key&gt;&lt;/foreign-keys&gt;&lt;ref-type name="Journal Article"&gt;17&lt;/ref-type&gt;&lt;contributors&gt;&lt;authors&gt;&lt;author&gt;Norcross, Alastair&lt;/author&gt;&lt;/authors&gt;&lt;/contributors&gt;&lt;titles&gt;&lt;title&gt;Comparing Harms: Headaches and Human Lives&lt;/title&gt;&lt;secondary-title&gt;Philosophy and Public Affairs&lt;/secondary-title&gt;&lt;/titles&gt;&lt;periodical&gt;&lt;full-title&gt;Philosophy and Public Affairs&lt;/full-title&gt;&lt;abbr-1&gt;Phil. Pub. Affairs&lt;/abbr-1&gt;&lt;abbr-2&gt;Phil Pub Affairs&lt;/abbr-2&gt;&lt;/periodical&gt;&lt;pages&gt;135&lt;/pages&gt;&lt;volume&gt;26&lt;/volume&gt;&lt;number&gt;2&lt;/number&gt;&lt;dates&gt;&lt;year&gt;1997&lt;/year&gt;&lt;/dates&gt;&lt;pub-location&gt;1997&lt;/pub-location&gt;&lt;isbn&gt;1088-4963&lt;/isbn&gt;&lt;urls&gt;&lt;related-urls&gt;&lt;url&gt;http://dx.doi.org/10.1111/j.1088-4963.1997.tb00079.x&lt;/url&gt;&lt;/related-urls&gt;&lt;/urls&gt;&lt;electronic-resource-num&gt;10.1111/j.1088-4963.1997.tb00079.x&lt;/electronic-resource-num&gt;&lt;/record&gt;&lt;/Cite&gt;&lt;/EndNote&gt;</w:instrText>
      </w:r>
      <w:r w:rsidRPr="007233D0">
        <w:rPr>
          <w:sz w:val="20"/>
        </w:rPr>
        <w:fldChar w:fldCharType="separate"/>
      </w:r>
      <w:r w:rsidRPr="007233D0">
        <w:rPr>
          <w:sz w:val="20"/>
        </w:rPr>
        <w:t>Alastair Norcross, ‘Comparing Harms: Headaches and Human Lives’ (1997) 26(2) Phil Pub Affairs 135</w:t>
      </w:r>
      <w:r w:rsidRPr="007233D0">
        <w:rPr>
          <w:sz w:val="20"/>
        </w:rPr>
        <w:fldChar w:fldCharType="end"/>
      </w:r>
      <w:r w:rsidRPr="007233D0">
        <w:rPr>
          <w:sz w:val="20"/>
        </w:rPr>
        <w:t xml:space="preserve">. </w:t>
      </w:r>
    </w:p>
  </w:footnote>
  <w:footnote w:id="87">
    <w:p w14:paraId="6AFDAE20" w14:textId="0FCDF376" w:rsidR="002D131A" w:rsidRPr="007233D0" w:rsidRDefault="002D131A">
      <w:pPr>
        <w:pStyle w:val="FootnoteText"/>
        <w:rPr>
          <w:sz w:val="20"/>
        </w:rPr>
      </w:pPr>
      <w:r w:rsidRPr="007233D0">
        <w:rPr>
          <w:rStyle w:val="FootnoteReference"/>
          <w:sz w:val="20"/>
        </w:rPr>
        <w:footnoteRef/>
      </w:r>
      <w:r w:rsidRPr="007233D0">
        <w:rPr>
          <w:sz w:val="20"/>
        </w:rPr>
        <w:t xml:space="preserve"> eg Keown (n </w:t>
      </w:r>
      <w:r w:rsidRPr="007233D0">
        <w:rPr>
          <w:sz w:val="20"/>
        </w:rPr>
        <w:fldChar w:fldCharType="begin"/>
      </w:r>
      <w:r w:rsidRPr="007233D0">
        <w:rPr>
          <w:sz w:val="20"/>
        </w:rPr>
        <w:instrText xml:space="preserve"> NOTEREF _Ref497763138 \h  \* MERGEFORMAT </w:instrText>
      </w:r>
      <w:r w:rsidRPr="007233D0">
        <w:rPr>
          <w:sz w:val="20"/>
        </w:rPr>
      </w:r>
      <w:r w:rsidRPr="007233D0">
        <w:rPr>
          <w:sz w:val="20"/>
        </w:rPr>
        <w:fldChar w:fldCharType="separate"/>
      </w:r>
      <w:r>
        <w:rPr>
          <w:sz w:val="20"/>
        </w:rPr>
        <w:t>73</w:t>
      </w:r>
      <w:r w:rsidRPr="007233D0">
        <w:rPr>
          <w:sz w:val="20"/>
        </w:rPr>
        <w:fldChar w:fldCharType="end"/>
      </w:r>
      <w:r w:rsidRPr="007233D0">
        <w:rPr>
          <w:sz w:val="20"/>
        </w:rPr>
        <w:t xml:space="preserve">);  </w:t>
      </w:r>
      <w:r w:rsidRPr="007233D0">
        <w:rPr>
          <w:sz w:val="20"/>
        </w:rPr>
        <w:fldChar w:fldCharType="begin">
          <w:fldData xml:space="preserve">PEVuZE5vdGU+PENpdGU+PEF1dGhvcj5GaW5sYXk8L0F1dGhvcj48WWVhcj4yMDExPC9ZZWFyPjxS
ZWNOdW0+MjIzOTwvUmVjTnVtPjxEaXNwbGF5VGV4dD5JIEcgRmlubGF5IGFuZCBSIEdlb3JnZSwg
4oCYTGVnYWwgcGh5c2ljaWFuLWFzc2lzdGVkIHN1aWNpZGUgaW4gT3JlZ29uIGFuZCBUaGUgTmV0
aGVybGFuZHM6IGV2aWRlbmNlIGNvbmNlcm5pbmcgdGhlIGltcGFjdCBvbiBwYXRpZW50cyBpbiB2
dWxuZXJhYmxlIGdyb3Vwcy0tYW5vdGhlciBwZXJzcGVjdGl2ZSBvbiBPcmVnb24mYXBvcztzIGRh
dGHigJkgKDIwMTEpIDM3KDMpIEogTWVkIEV0aGljcyAxNzE7IEogUGVyZWlyYSwg4oCYTGVnYWxp
emluZyBldXRoYW5hc2lhIG9yIGFzc2lzdGVkIHN1aWNpZGU6IHRoZSBpbGx1c2lvbiBvZiBzYWZl
Z3VhcmRzIGFuZCBjb250cm9sc+KAmSAoMjAxMSkgMTgoMikgQ3VyciBPbmNvbCBlMzgtNDU8L0Rp
c3BsYXlUZXh0PjxyZWNvcmQ+PHJlYy1udW1iZXI+MjIzOTwvcmVjLW51bWJlcj48Zm9yZWlnbi1r
ZXlzPjxrZXkgYXBwPSJFTiIgZGItaWQ9IjI5ZTJwcjBlYnR6YXhrZWR6NWI1YWVmeGZ0c2VkZTIw
MHdwcyIgdGltZXN0YW1wPSIxNDcxMzQ1MTA3Ij4yMjM5PC9rZXk+PC9mb3JlaWduLWtleXM+PHJl
Zi10eXBlIG5hbWU9IkpvdXJuYWwgQXJ0aWNsZSI+MTc8L3JlZi10eXBlPjxjb250cmlidXRvcnM+
PGF1dGhvcnM+PGF1dGhvcj5GaW5sYXksIEkgRzwvYXV0aG9yPjxhdXRob3I+R2VvcmdlLCBSPC9h
dXRob3I+PC9hdXRob3JzPjwvY29udHJpYnV0b3JzPjxhdXRoLWFkZHJlc3M+Q2FyZGlmZiBVbml2
ZXJzaXR5LCBWZWxpbmRyZSBIb3NwaXRhbCwgQ2FyZGlmZiBDRjE0IDJUTCwgVUsuIGZpbmxheWlA
cGFybGlhbWVudC51azwvYXV0aC1hZGRyZXNzPjx0aXRsZXM+PHRpdGxlPkxlZ2FsIHBoeXNpY2lh
bi1hc3Npc3RlZCBzdWljaWRlIGluIE9yZWdvbiBhbmQgVGhlIE5ldGhlcmxhbmRzOiBldmlkZW5j
ZSBjb25jZXJuaW5nIHRoZSBpbXBhY3Qgb24gcGF0aWVudHMgaW4gdnVsbmVyYWJsZSBncm91cHMt
LWFub3RoZXIgcGVyc3BlY3RpdmUgb24gT3JlZ29uJmFwb3M7cyBkYXRhPC90aXRsZT48c2Vjb25k
YXJ5LXRpdGxlPkogTWVkIEV0aGljczwvc2Vjb25kYXJ5LXRpdGxlPjwvdGl0bGVzPjxwZXJpb2Rp
Y2FsPjxmdWxsLXRpdGxlPkpvdXJuYWwgb2YgTWVkaWNhbCBFdGhpY3M8L2Z1bGwtdGl0bGU+PGFi
YnItMT5KLiBNZWQuIEV0aGljczwvYWJici0xPjxhYmJyLTI+SiBNZWQgRXRoaWNzPC9hYmJyLTI+
PC9wZXJpb2RpY2FsPjxwYWdlcz4xNzE8L3BhZ2VzPjx2b2x1bWU+Mzc8L3ZvbHVtZT48bnVtYmVy
PjM8L251bWJlcj48a2V5d29yZHM+PGtleXdvcmQ+QWRvbGVzY2VudDwva2V5d29yZD48a2V5d29y
ZD5BZHVsdDwva2V5d29yZD48a2V5d29yZD5BZ2VkPC9rZXl3b3JkPjxrZXl3b3JkPipBdHRpdHVk
ZSBvZiBIZWFsdGggUGVyc29ubmVsPC9rZXl3b3JkPjxrZXl3b3JkPkF0dGl0dWRlIHRvIERlYXRo
PC9rZXl3b3JkPjxrZXl3b3JkPkRhdGEgQ29sbGVjdGlvbjwva2V5d29yZD48a2V5d29yZD5GZW1h
bGU8L2tleXdvcmQ+PGtleXdvcmQ+SHVtYW5zPC9rZXl3b3JkPjxrZXl3b3JkPk1hbGU8L2tleXdv
cmQ+PGtleXdvcmQ+TWlkZGxlIEFnZWQ8L2tleXdvcmQ+PGtleXdvcmQ+TmV0aGVybGFuZHM8L2tl
eXdvcmQ+PGtleXdvcmQ+T3JlZ29uPC9rZXl3b3JkPjxrZXl3b3JkPlByYWN0aWNlIFBhdHRlcm5z
LCBQaHlzaWNpYW5zJmFwb3M7LypldGhpY3MvbGVnaXNsYXRpb24gJmFtcDsganVyaXNwcnVkZW5j
ZTwva2V5d29yZD48a2V5d29yZD5SaWdodCB0byBEaWUvKmV0aGljcy9sZWdpc2xhdGlvbiAmYW1w
OyBqdXJpc3BydWRlbmNlPC9rZXl3b3JkPjxrZXl3b3JkPlN1aWNpZGUsIEFzc2lzdGVkLypldGhp
Y3MvbGVnaXNsYXRpb24gJmFtcDsganVyaXNwcnVkZW5jZTwva2V5d29yZD48a2V5d29yZD5UZXJt
aW5hbCBDYXJlL2xlZ2lzbGF0aW9uICZhbXA7IGp1cmlzcHJ1ZGVuY2Uvc3RhbmRhcmRzPC9rZXl3
b3JkPjxrZXl3b3JkPlRlcm1pbmFsbHkgSWxsL3BzeWNob2xvZ3k8L2tleXdvcmQ+PGtleXdvcmQ+
KlZ1bG5lcmFibGUgUG9wdWxhdGlvbnMvbGVnaXNsYXRpb24gJmFtcDsganVyaXNwcnVkZW5jZTwv
a2V5d29yZD48L2tleXdvcmRzPjxkYXRlcz48eWVhcj4yMDExPC95ZWFyPjxwdWItZGF0ZXM+PGRh
dGU+TWFyPC9kYXRlPjwvcHViLWRhdGVzPjwvZGF0ZXM+PHB1Yi1sb2NhdGlvbj4yMDExPC9wdWIt
bG9jYXRpb24+PGlzYm4+MTQ3My00MjU3IChFbGVjdHJvbmljKSYjeEQ7MDMwNi02ODAwIChMaW5r
aW5nKTwvaXNibj48YWNjZXNzaW9uLW51bT4yMTA3MTU2ODwvYWNjZXNzaW9uLW51bT48dXJscz48
cmVsYXRlZC11cmxzPjx1cmw+aHR0cDovL3d3dy5uY2JpLm5sbS5uaWguZ292L3B1Ym1lZC8yMTA3
MTU2ODwvdXJsPjwvcmVsYXRlZC11cmxzPjwvdXJscz48ZWxlY3Ryb25pYy1yZXNvdXJjZS1udW0+
MTAuMTEzNi9qbWUuMjAxMC4wMzcwNDQ8L2VsZWN0cm9uaWMtcmVzb3VyY2UtbnVtPjwvcmVjb3Jk
PjwvQ2l0ZT48Q2l0ZT48QXV0aG9yPlBlcmVpcmE8L0F1dGhvcj48WWVhcj4yMDExPC9ZZWFyPjxS
ZWNOdW0+MjI0MDwvUmVjTnVtPjxyZWNvcmQ+PHJlYy1udW1iZXI+MjI0MDwvcmVjLW51bWJlcj48
Zm9yZWlnbi1rZXlzPjxrZXkgYXBwPSJFTiIgZGItaWQ9IjI5ZTJwcjBlYnR6YXhrZWR6NWI1YWVm
eGZ0c2VkZTIwMHdwcyIgdGltZXN0YW1wPSIxNDcxMzQ1MTk3Ij4yMjQwPC9rZXk+PC9mb3JlaWdu
LWtleXM+PHJlZi10eXBlIG5hbWU9IkpvdXJuYWwgQXJ0aWNsZSI+MTc8L3JlZi10eXBlPjxjb250
cmlidXRvcnM+PGF1dGhvcnM+PGF1dGhvcj5QZXJlaXJhLCBKPC9hdXRob3I+PC9hdXRob3JzPjwv
Y29udHJpYnV0b3JzPjxhdXRoLWFkZHJlc3M+RGl2aXNpb24gb2YgUGFsbGlhdGl2ZSBDYXJlLCBV
bml2ZXJzaXR5IG9mIE90dGF3YTsgRGVwYXJ0bWVudCBvZiBQYWxsaWF0aXZlIE1lZGljaW5lLCBC
cnV5ZXJlIENvbnRpbnVpbmcgQ2FyZTsgYW5kIFBhbGxpYXRpdmUgQ2FyZSBTZXJ2aWNlLCBUaGUg
T3R0YXdhIEhvc3BpdGFsLCBPdHRhd2EsIE9OLjwvYXV0aC1hZGRyZXNzPjx0aXRsZXM+PHRpdGxl
PkxlZ2FsaXppbmcgZXV0aGFuYXNpYSBvciBhc3Npc3RlZCBzdWljaWRlOiB0aGUgaWxsdXNpb24g
b2Ygc2FmZWd1YXJkcyBhbmQgY29udHJvbHM8L3RpdGxlPjxzZWNvbmRhcnktdGl0bGU+Q3VyciBP
bmNvbDwvc2Vjb25kYXJ5LXRpdGxlPjwvdGl0bGVzPjxwYWdlcz5lMzgtNDU8L3BhZ2VzPjx2b2x1
bWU+MTg8L3ZvbHVtZT48bnVtYmVyPjI8L251bWJlcj48ZWRpdGlvbj4yMDExLzA0LzIxPC9lZGl0
aW9uPjxkYXRlcz48eWVhcj4yMDExPC95ZWFyPjxwdWItZGF0ZXM+PGRhdGU+QXByPC9kYXRlPjwv
cHViLWRhdGVzPjwvZGF0ZXM+PHB1Yi1sb2NhdGlvbj4yMDExPC9wdWItbG9jYXRpb24+PGlzYm4+
MTE5OC0wMDUyIChQcmludCkmI3hEOzExOTgtMDA1MiAoTGlua2luZyk8L2lzYm4+PGFjY2Vzc2lv
bi1udW0+MjE1MDU1ODg8L2FjY2Vzc2lvbi1udW0+PHVybHM+PHJlbGF0ZWQtdXJscz48dXJsPmh0
dHA6Ly93d3cubmNiaS5ubG0ubmloLmdvdi9lbnRyZXovcXVlcnkuZmNnaT9jbWQ9UmV0cmlldmUm
YW1wO2RiPVB1Yk1lZCZhbXA7ZG9wdD1DaXRhdGlvbiZhbXA7bGlzdF91aWRzPTIxNTA1NTg4PC91
cmw+PC9yZWxhdGVkLXVybHM+PC91cmxzPjxjdXN0b20yPjMwNzA3MTA8L2N1c3RvbTI+PGxhbmd1
YWdlPmVuZzwvbGFuZ3VhZ2U+PC9yZWNvcmQ+PC9DaXRlPjwvRW5kTm90ZT4A
</w:fldData>
        </w:fldChar>
      </w:r>
      <w:r w:rsidRPr="007233D0">
        <w:rPr>
          <w:sz w:val="20"/>
        </w:rPr>
        <w:instrText xml:space="preserve"> ADDIN EN.CITE </w:instrText>
      </w:r>
      <w:r w:rsidRPr="007233D0">
        <w:rPr>
          <w:sz w:val="20"/>
        </w:rPr>
        <w:fldChar w:fldCharType="begin">
          <w:fldData xml:space="preserve">PEVuZE5vdGU+PENpdGU+PEF1dGhvcj5GaW5sYXk8L0F1dGhvcj48WWVhcj4yMDExPC9ZZWFyPjxS
ZWNOdW0+MjIzOTwvUmVjTnVtPjxEaXNwbGF5VGV4dD5JIEcgRmlubGF5IGFuZCBSIEdlb3JnZSwg
4oCYTGVnYWwgcGh5c2ljaWFuLWFzc2lzdGVkIHN1aWNpZGUgaW4gT3JlZ29uIGFuZCBUaGUgTmV0
aGVybGFuZHM6IGV2aWRlbmNlIGNvbmNlcm5pbmcgdGhlIGltcGFjdCBvbiBwYXRpZW50cyBpbiB2
dWxuZXJhYmxlIGdyb3Vwcy0tYW5vdGhlciBwZXJzcGVjdGl2ZSBvbiBPcmVnb24mYXBvcztzIGRh
dGHigJkgKDIwMTEpIDM3KDMpIEogTWVkIEV0aGljcyAxNzE7IEogUGVyZWlyYSwg4oCYTGVnYWxp
emluZyBldXRoYW5hc2lhIG9yIGFzc2lzdGVkIHN1aWNpZGU6IHRoZSBpbGx1c2lvbiBvZiBzYWZl
Z3VhcmRzIGFuZCBjb250cm9sc+KAmSAoMjAxMSkgMTgoMikgQ3VyciBPbmNvbCBlMzgtNDU8L0Rp
c3BsYXlUZXh0PjxyZWNvcmQ+PHJlYy1udW1iZXI+MjIzOTwvcmVjLW51bWJlcj48Zm9yZWlnbi1r
ZXlzPjxrZXkgYXBwPSJFTiIgZGItaWQ9IjI5ZTJwcjBlYnR6YXhrZWR6NWI1YWVmeGZ0c2VkZTIw
MHdwcyIgdGltZXN0YW1wPSIxNDcxMzQ1MTA3Ij4yMjM5PC9rZXk+PC9mb3JlaWduLWtleXM+PHJl
Zi10eXBlIG5hbWU9IkpvdXJuYWwgQXJ0aWNsZSI+MTc8L3JlZi10eXBlPjxjb250cmlidXRvcnM+
PGF1dGhvcnM+PGF1dGhvcj5GaW5sYXksIEkgRzwvYXV0aG9yPjxhdXRob3I+R2VvcmdlLCBSPC9h
dXRob3I+PC9hdXRob3JzPjwvY29udHJpYnV0b3JzPjxhdXRoLWFkZHJlc3M+Q2FyZGlmZiBVbml2
ZXJzaXR5LCBWZWxpbmRyZSBIb3NwaXRhbCwgQ2FyZGlmZiBDRjE0IDJUTCwgVUsuIGZpbmxheWlA
cGFybGlhbWVudC51azwvYXV0aC1hZGRyZXNzPjx0aXRsZXM+PHRpdGxlPkxlZ2FsIHBoeXNpY2lh
bi1hc3Npc3RlZCBzdWljaWRlIGluIE9yZWdvbiBhbmQgVGhlIE5ldGhlcmxhbmRzOiBldmlkZW5j
ZSBjb25jZXJuaW5nIHRoZSBpbXBhY3Qgb24gcGF0aWVudHMgaW4gdnVsbmVyYWJsZSBncm91cHMt
LWFub3RoZXIgcGVyc3BlY3RpdmUgb24gT3JlZ29uJmFwb3M7cyBkYXRhPC90aXRsZT48c2Vjb25k
YXJ5LXRpdGxlPkogTWVkIEV0aGljczwvc2Vjb25kYXJ5LXRpdGxlPjwvdGl0bGVzPjxwZXJpb2Rp
Y2FsPjxmdWxsLXRpdGxlPkpvdXJuYWwgb2YgTWVkaWNhbCBFdGhpY3M8L2Z1bGwtdGl0bGU+PGFi
YnItMT5KLiBNZWQuIEV0aGljczwvYWJici0xPjxhYmJyLTI+SiBNZWQgRXRoaWNzPC9hYmJyLTI+
PC9wZXJpb2RpY2FsPjxwYWdlcz4xNzE8L3BhZ2VzPjx2b2x1bWU+Mzc8L3ZvbHVtZT48bnVtYmVy
PjM8L251bWJlcj48a2V5d29yZHM+PGtleXdvcmQ+QWRvbGVzY2VudDwva2V5d29yZD48a2V5d29y
ZD5BZHVsdDwva2V5d29yZD48a2V5d29yZD5BZ2VkPC9rZXl3b3JkPjxrZXl3b3JkPipBdHRpdHVk
ZSBvZiBIZWFsdGggUGVyc29ubmVsPC9rZXl3b3JkPjxrZXl3b3JkPkF0dGl0dWRlIHRvIERlYXRo
PC9rZXl3b3JkPjxrZXl3b3JkPkRhdGEgQ29sbGVjdGlvbjwva2V5d29yZD48a2V5d29yZD5GZW1h
bGU8L2tleXdvcmQ+PGtleXdvcmQ+SHVtYW5zPC9rZXl3b3JkPjxrZXl3b3JkPk1hbGU8L2tleXdv
cmQ+PGtleXdvcmQ+TWlkZGxlIEFnZWQ8L2tleXdvcmQ+PGtleXdvcmQ+TmV0aGVybGFuZHM8L2tl
eXdvcmQ+PGtleXdvcmQ+T3JlZ29uPC9rZXl3b3JkPjxrZXl3b3JkPlByYWN0aWNlIFBhdHRlcm5z
LCBQaHlzaWNpYW5zJmFwb3M7LypldGhpY3MvbGVnaXNsYXRpb24gJmFtcDsganVyaXNwcnVkZW5j
ZTwva2V5d29yZD48a2V5d29yZD5SaWdodCB0byBEaWUvKmV0aGljcy9sZWdpc2xhdGlvbiAmYW1w
OyBqdXJpc3BydWRlbmNlPC9rZXl3b3JkPjxrZXl3b3JkPlN1aWNpZGUsIEFzc2lzdGVkLypldGhp
Y3MvbGVnaXNsYXRpb24gJmFtcDsganVyaXNwcnVkZW5jZTwva2V5d29yZD48a2V5d29yZD5UZXJt
aW5hbCBDYXJlL2xlZ2lzbGF0aW9uICZhbXA7IGp1cmlzcHJ1ZGVuY2Uvc3RhbmRhcmRzPC9rZXl3
b3JkPjxrZXl3b3JkPlRlcm1pbmFsbHkgSWxsL3BzeWNob2xvZ3k8L2tleXdvcmQ+PGtleXdvcmQ+
KlZ1bG5lcmFibGUgUG9wdWxhdGlvbnMvbGVnaXNsYXRpb24gJmFtcDsganVyaXNwcnVkZW5jZTwv
a2V5d29yZD48L2tleXdvcmRzPjxkYXRlcz48eWVhcj4yMDExPC95ZWFyPjxwdWItZGF0ZXM+PGRh
dGU+TWFyPC9kYXRlPjwvcHViLWRhdGVzPjwvZGF0ZXM+PHB1Yi1sb2NhdGlvbj4yMDExPC9wdWIt
bG9jYXRpb24+PGlzYm4+MTQ3My00MjU3IChFbGVjdHJvbmljKSYjeEQ7MDMwNi02ODAwIChMaW5r
aW5nKTwvaXNibj48YWNjZXNzaW9uLW51bT4yMTA3MTU2ODwvYWNjZXNzaW9uLW51bT48dXJscz48
cmVsYXRlZC11cmxzPjx1cmw+aHR0cDovL3d3dy5uY2JpLm5sbS5uaWguZ292L3B1Ym1lZC8yMTA3
MTU2ODwvdXJsPjwvcmVsYXRlZC11cmxzPjwvdXJscz48ZWxlY3Ryb25pYy1yZXNvdXJjZS1udW0+
MTAuMTEzNi9qbWUuMjAxMC4wMzcwNDQ8L2VsZWN0cm9uaWMtcmVzb3VyY2UtbnVtPjwvcmVjb3Jk
PjwvQ2l0ZT48Q2l0ZT48QXV0aG9yPlBlcmVpcmE8L0F1dGhvcj48WWVhcj4yMDExPC9ZZWFyPjxS
ZWNOdW0+MjI0MDwvUmVjTnVtPjxyZWNvcmQ+PHJlYy1udW1iZXI+MjI0MDwvcmVjLW51bWJlcj48
Zm9yZWlnbi1rZXlzPjxrZXkgYXBwPSJFTiIgZGItaWQ9IjI5ZTJwcjBlYnR6YXhrZWR6NWI1YWVm
eGZ0c2VkZTIwMHdwcyIgdGltZXN0YW1wPSIxNDcxMzQ1MTk3Ij4yMjQwPC9rZXk+PC9mb3JlaWdu
LWtleXM+PHJlZi10eXBlIG5hbWU9IkpvdXJuYWwgQXJ0aWNsZSI+MTc8L3JlZi10eXBlPjxjb250
cmlidXRvcnM+PGF1dGhvcnM+PGF1dGhvcj5QZXJlaXJhLCBKPC9hdXRob3I+PC9hdXRob3JzPjwv
Y29udHJpYnV0b3JzPjxhdXRoLWFkZHJlc3M+RGl2aXNpb24gb2YgUGFsbGlhdGl2ZSBDYXJlLCBV
bml2ZXJzaXR5IG9mIE90dGF3YTsgRGVwYXJ0bWVudCBvZiBQYWxsaWF0aXZlIE1lZGljaW5lLCBC
cnV5ZXJlIENvbnRpbnVpbmcgQ2FyZTsgYW5kIFBhbGxpYXRpdmUgQ2FyZSBTZXJ2aWNlLCBUaGUg
T3R0YXdhIEhvc3BpdGFsLCBPdHRhd2EsIE9OLjwvYXV0aC1hZGRyZXNzPjx0aXRsZXM+PHRpdGxl
PkxlZ2FsaXppbmcgZXV0aGFuYXNpYSBvciBhc3Npc3RlZCBzdWljaWRlOiB0aGUgaWxsdXNpb24g
b2Ygc2FmZWd1YXJkcyBhbmQgY29udHJvbHM8L3RpdGxlPjxzZWNvbmRhcnktdGl0bGU+Q3VyciBP
bmNvbDwvc2Vjb25kYXJ5LXRpdGxlPjwvdGl0bGVzPjxwYWdlcz5lMzgtNDU8L3BhZ2VzPjx2b2x1
bWU+MTg8L3ZvbHVtZT48bnVtYmVyPjI8L251bWJlcj48ZWRpdGlvbj4yMDExLzA0LzIxPC9lZGl0
aW9uPjxkYXRlcz48eWVhcj4yMDExPC95ZWFyPjxwdWItZGF0ZXM+PGRhdGU+QXByPC9kYXRlPjwv
cHViLWRhdGVzPjwvZGF0ZXM+PHB1Yi1sb2NhdGlvbj4yMDExPC9wdWItbG9jYXRpb24+PGlzYm4+
MTE5OC0wMDUyIChQcmludCkmI3hEOzExOTgtMDA1MiAoTGlua2luZyk8L2lzYm4+PGFjY2Vzc2lv
bi1udW0+MjE1MDU1ODg8L2FjY2Vzc2lvbi1udW0+PHVybHM+PHJlbGF0ZWQtdXJscz48dXJsPmh0
dHA6Ly93d3cubmNiaS5ubG0ubmloLmdvdi9lbnRyZXovcXVlcnkuZmNnaT9jbWQ9UmV0cmlldmUm
YW1wO2RiPVB1Yk1lZCZhbXA7ZG9wdD1DaXRhdGlvbiZhbXA7bGlzdF91aWRzPTIxNTA1NTg4PC91
cmw+PC9yZWxhdGVkLXVybHM+PC91cmxzPjxjdXN0b20yPjMwNzA3MTA8L2N1c3RvbTI+PGxhbmd1
YWdlPmVuZzwvbGFuZ3VhZ2U+PC9yZWNvcmQ+PC9DaXRlPjwvRW5kTm90ZT4A
</w:fldData>
        </w:fldChar>
      </w:r>
      <w:r w:rsidRPr="007233D0">
        <w:rPr>
          <w:sz w:val="20"/>
        </w:rPr>
        <w:instrText xml:space="preserve"> ADDIN EN.CITE.DATA </w:instrText>
      </w:r>
      <w:r w:rsidRPr="007233D0">
        <w:rPr>
          <w:sz w:val="20"/>
        </w:rPr>
      </w:r>
      <w:r w:rsidRPr="007233D0">
        <w:rPr>
          <w:sz w:val="20"/>
        </w:rPr>
        <w:fldChar w:fldCharType="end"/>
      </w:r>
      <w:r w:rsidRPr="007233D0">
        <w:rPr>
          <w:sz w:val="20"/>
        </w:rPr>
      </w:r>
      <w:r w:rsidRPr="007233D0">
        <w:rPr>
          <w:sz w:val="20"/>
        </w:rPr>
        <w:fldChar w:fldCharType="separate"/>
      </w:r>
      <w:r w:rsidRPr="007233D0">
        <w:rPr>
          <w:noProof/>
          <w:sz w:val="20"/>
        </w:rPr>
        <w:t>I G Finlay and R George, ‘Legal physician-assisted suicide in Oregon and The Netherlands: evidence concerning the impact on patients in vulnerable groups--another perspective on Oregon's data’ (2011) 37(3) J Med Ethics 171; J Pereira, ‘Legalizing euthanasia or assisted suicide: the illusion of safeguards and controls’ (2011) 18(2) Curr Oncol e38-45</w:t>
      </w:r>
      <w:r w:rsidRPr="007233D0">
        <w:rPr>
          <w:sz w:val="20"/>
        </w:rPr>
        <w:fldChar w:fldCharType="end"/>
      </w:r>
      <w:r w:rsidRPr="007233D0">
        <w:rPr>
          <w:sz w:val="20"/>
        </w:rPr>
        <w:t xml:space="preserve"> See </w:t>
      </w:r>
      <w:r w:rsidRPr="007233D0">
        <w:rPr>
          <w:sz w:val="20"/>
        </w:rPr>
        <w:fldChar w:fldCharType="begin"/>
      </w:r>
      <w:r w:rsidRPr="007233D0">
        <w:rPr>
          <w:sz w:val="20"/>
        </w:rPr>
        <w:instrText xml:space="preserve"> ADDIN EN.CITE &lt;EndNote&gt;&lt;Cite&gt;&lt;Author&gt;Black&lt;/Author&gt;&lt;Year&gt;2015&lt;/Year&gt;&lt;RecNum&gt;2741&lt;/RecNum&gt;&lt;DisplayText&gt;Isra Black, ‘Better off dead? Best interests assisted death’ (PhD thesis, King&amp;apos;s College London 2015)&lt;/DisplayText&gt;&lt;record&gt;&lt;rec-number&gt;2741&lt;/rec-number&gt;&lt;foreign-keys&gt;&lt;key app="EN" db-id="29e2pr0ebtzaxkedz5b5aefxftsede200wps" timestamp="1520787383"&gt;2741&lt;/key&gt;&lt;/foreign-keys&gt;&lt;ref-type name="Thesis"&gt;32&lt;/ref-type&gt;&lt;contributors&gt;&lt;authors&gt;&lt;author&gt;Black, Isra&lt;/author&gt;&lt;/authors&gt;&lt;/contributors&gt;&lt;titles&gt;&lt;title&gt;Better off dead? Best interests assisted death&lt;/title&gt;&lt;/titles&gt;&lt;dates&gt;&lt;year&gt;2015&lt;/year&gt;&lt;/dates&gt;&lt;publisher&gt;King&amp;apos;s College London&lt;/publisher&gt;&lt;work-type&gt;PhD thesis&lt;/work-type&gt;&lt;urls&gt;&lt;/urls&gt;&lt;/record&gt;&lt;/Cite&gt;&lt;/EndNote&gt;</w:instrText>
      </w:r>
      <w:r w:rsidRPr="007233D0">
        <w:rPr>
          <w:sz w:val="20"/>
        </w:rPr>
        <w:fldChar w:fldCharType="separate"/>
      </w:r>
      <w:r w:rsidRPr="007233D0">
        <w:rPr>
          <w:noProof/>
          <w:sz w:val="20"/>
        </w:rPr>
        <w:t>Isra Black, ‘Better off dead? Best interests assisted death’ (PhD thesis, King's College London 2015)</w:t>
      </w:r>
      <w:r w:rsidRPr="007233D0">
        <w:rPr>
          <w:sz w:val="20"/>
        </w:rPr>
        <w:fldChar w:fldCharType="end"/>
      </w:r>
      <w:r w:rsidRPr="007233D0">
        <w:rPr>
          <w:sz w:val="20"/>
        </w:rPr>
        <w:t xml:space="preserve"> for discussion of the </w:t>
      </w:r>
      <w:r w:rsidRPr="007233D0">
        <w:rPr>
          <w:i/>
          <w:sz w:val="20"/>
        </w:rPr>
        <w:t xml:space="preserve">vulnerability </w:t>
      </w:r>
      <w:r w:rsidRPr="007233D0">
        <w:rPr>
          <w:sz w:val="20"/>
        </w:rPr>
        <w:t>argument in UK parliamentary debate on assisted death between 1936 and 2009.</w:t>
      </w:r>
    </w:p>
  </w:footnote>
  <w:footnote w:id="88">
    <w:p w14:paraId="422DE069" w14:textId="4F966029"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fldData xml:space="preserve">PEVuZE5vdGU+PENpdGU+PEF1dGhvcj5MZXdpczwvQXV0aG9yPjxZZWFyPjIwMTM8L1llYXI+PFJl
Y051bT4xMzI5PC9SZWNOdW0+PERpc3BsYXlUZXh0PlBlbm5leSBMZXdpcyBhbmQgSXNyYSBCbGFj
aywg4oCYUmVwb3J0aW5nIGFuZCBzY3J1dGlueSBvZiByZXBvcnRlZCBjYXNlcyBpbiBmb3VyIGp1
cmlzZGljdGlvbnMgd2hlcmUgYXNzaXN0ZWQgZHlpbmcgaXMgbGF3ZnVsOiBBIHJldmlldyBvZiB0
aGUgZXZpZGVuY2UgaW4gdGhlIE5ldGhlcmxhbmRzLCBCZWxnaXVtLCBPcmVnb24gYW5kIFN3aXR6
ZXJsYW5k4oCZICgyMDEzKSA0IE1MSSAyMjE7IFBlbm5leSBMZXdpcyBhbmQgSXNyYSBCbGFjaywg
4oCYQWRoZXJlbmNlIHRvIHRoZSByZXF1ZXN0IGNyaXRlcmlvbiBpbiBqdXJpc2RpY3Rpb25zIHdo
ZXJlIGFzc2lzdGVkIGR5aW5nIGlzIGxhd2Z1bD8gQSByZXZpZXcgb2YgdGhlIGNyaXRlcmlhIGFu
ZCBldmlkZW5jZSBpbiB0aGUgTmV0aGVybGFuZHMsIEJlbGdpdW0sIE9yZWdvbiwgYW5kIFN3aXR6
ZXJsYW5k4oCZICgyMDEzKSA0MSg0KSBKIExhdyBNZWQgRXRoaWNzIDg4NTsgTWFyZ2FyZXQgUGFi
c3QgQmF0dGluLCBBZ25lcyB2YW4gZGVyIEhlaWRlLCBMaW5kYSBHYW56aW5pLCBHZXJyaXQgdmFu
IGRlciBXYWwgYW5kIEJyZWdqZSBEIE9ud3V0ZWFrYS1QaGlsaXBzZW4sIOKAmExlZ2FsIHBoeXNp
Y2lhbi1hc3Npc3RlZCBkeWluZyBpbiBPcmVnb24gYW5kIHRoZSBOZXRoZXJsYW5kczogZXZpZGVu
Y2UgY29uY2VybmluZyB0aGUgaW1wYWN0IG9uIHBhdGllbnRzIGluICZxdW90O3Z1bG5lcmFibGUm
cXVvdDsgZ3JvdXBz4oCZICgyMDA3KSAzMygxMCkgSiBNZWQgRXRoaWNzIDU5MTsgU3RlcGhlbiBX
IFNtaXRoLCDigJhFdmlkZW5jZSBmb3IgdGhlIFByYWN0aWNhbCBTbGlwcGVyeSBTbG9wZSBpbiB0
aGUgRGViYXRlIG9uIFBoeXNpY2lhbi1Bc3Npc3RlZCBTdWljaWRlIGFuZCBFdXRoYW5hc2lh4oCZ
ICgyMDA1KSAxMygxKSBNZWQgTGF3IFJldiAxNzwvRGlzcGxheVRleHQ+PHJlY29yZD48cmVjLW51
bWJlcj4xMzI5PC9yZWMtbnVtYmVyPjxmb3JlaWduLWtleXM+PGtleSBhcHA9IkVOIiBkYi1pZD0i
MjllMnByMGVidHpheGtlZHo1YjVhZWZ4ZnRzZWRlMjAwd3BzIiB0aW1lc3RhbXA9IjE0Njk5NTY5
OTkiPjEzMjk8L2tleT48L2ZvcmVpZ24ta2V5cz48cmVmLXR5cGUgbmFtZT0iSm91cm5hbCBBcnRp
Y2xlIj4xNzwvcmVmLXR5cGU+PGNvbnRyaWJ1dG9ycz48YXV0aG9ycz48YXV0aG9yPkxld2lzLCBQ
ZW5uZXk8L2F1dGhvcj48YXV0aG9yPkJsYWNrLCBJc3JhPC9hdXRob3I+PC9hdXRob3JzPjwvY29u
dHJpYnV0b3JzPjx0aXRsZXM+PHRpdGxlPlJlcG9ydGluZyBhbmQgc2NydXRpbnkgb2YgcmVwb3J0
ZWQgY2FzZXMgaW4gZm91ciBqdXJpc2RpY3Rpb25zIHdoZXJlIGFzc2lzdGVkIGR5aW5nIGlzIGxh
d2Z1bDogQSByZXZpZXcgb2YgdGhlIGV2aWRlbmNlIGluIHRoZSBOZXRoZXJsYW5kcywgQmVsZ2l1
bSwgT3JlZ29uIGFuZCBTd2l0emVybGFuZDwvdGl0bGU+PHNlY29uZGFyeS10aXRsZT5NZWRpY2Fs
IExhdyBJbnRlcm5hdGlvbmFsPC9zZWNvbmRhcnktdGl0bGU+PC90aXRsZXM+PHBlcmlvZGljYWw+
PGZ1bGwtdGl0bGU+TWVkaWNhbCBMYXcgSW50ZXJuYXRpb25hbDwvZnVsbC10aXRsZT48YWJici0x
Pk1MSTwvYWJici0xPjwvcGVyaW9kaWNhbD48cGFnZXM+MjIxPC9wYWdlcz48dm9sdW1lPjQ8L3Zv
bHVtZT48ZGF0ZXM+PHllYXI+MjAxMzwveWVhcj48L2RhdGVzPjxwdWItbG9jYXRpb24+MjAxMzwv
cHViLWxvY2F0aW9uPjx1cmxzPjwvdXJscz48L3JlY29yZD48L0NpdGU+PENpdGU+PEF1dGhvcj5M
ZXdpczwvQXV0aG9yPjxZZWFyPjIwMTM8L1llYXI+PFJlY051bT4xMzMwPC9SZWNOdW0+PHJlY29y
ZD48cmVjLW51bWJlcj4xMzMwPC9yZWMtbnVtYmVyPjxmb3JlaWduLWtleXM+PGtleSBhcHA9IkVO
IiBkYi1pZD0iMjllMnByMGVidHpheGtlZHo1YjVhZWZ4ZnRzZWRlMjAwd3BzIiB0aW1lc3RhbXA9
IjE0Njk5NTY5OTkiPjEzMzA8L2tleT48L2ZvcmVpZ24ta2V5cz48cmVmLXR5cGUgbmFtZT0iSm91
cm5hbCBBcnRpY2xlIj4xNzwvcmVmLXR5cGU+PGNvbnRyaWJ1dG9ycz48YXV0aG9ycz48YXV0aG9y
Pkxld2lzLCBQZW5uZXk8L2F1dGhvcj48YXV0aG9yPkJsYWNrLCBJc3JhPC9hdXRob3I+PC9hdXRo
b3JzPjwvY29udHJpYnV0b3JzPjxhdXRoLWFkZHJlc3M+UHJvZmVzc29yIG9mIExhdyBhdCB0aGUg
RGlja3NvbiBQb29uIFNjaG9vbCBvZiBMYXcgYW5kIENlbnRyZSBvZiBNZWRpY2FsIExhdyBhbmQg
RXRoaWNzLCBLaW5nJmFwb3M7cyBDb2xsZWdlIExvbmRvbi48L2F1dGgtYWRkcmVzcz48dGl0bGVz
Pjx0aXRsZT5BZGhlcmVuY2UgdG8gdGhlIHJlcXVlc3QgY3JpdGVyaW9uIGluIGp1cmlzZGljdGlv
bnMgd2hlcmUgYXNzaXN0ZWQgZHlpbmcgaXMgbGF3ZnVsPyBBIHJldmlldyBvZiB0aGUgY3JpdGVy
aWEgYW5kIGV2aWRlbmNlIGluIHRoZSBOZXRoZXJsYW5kcywgQmVsZ2l1bSwgT3JlZ29uLCBhbmQg
U3dpdHplcmxhbmQ8L3RpdGxlPjxzZWNvbmRhcnktdGl0bGU+Sm91cm5hbCBvZiBMYXcsIE1lZGlj
aW5lIGFuZCBFdGhpY3M8L3NlY29uZGFyeS10aXRsZT48L3RpdGxlcz48cGVyaW9kaWNhbD48ZnVs
bC10aXRsZT5Kb3VybmFsIG9mIExhdywgTWVkaWNpbmUgYW5kIEV0aGljczwvZnVsbC10aXRsZT48
YWJici0xPkogTGF3IE1lZC4gRXRoaWNzPC9hYmJyLTE+PGFiYnItMj5KIExhdyBNZWQgRXRoaWNz
PC9hYmJyLTI+PC9wZXJpb2RpY2FsPjxwYWdlcz44ODU8L3BhZ2VzPjx2b2x1bWU+NDE8L3ZvbHVt
ZT48bnVtYmVyPjQ8L251bWJlcj48a2V5d29yZHM+PGtleXdvcmQ+RXVyb3BlPC9rZXl3b3JkPjxr
ZXl3b3JkPkV1dGhhbmFzaWEsIEFjdGl2ZSwgVm9sdW50YXJ5LypsZWdpc2xhdGlvbiAmYW1wOyBq
dXJpc3BydWRlbmNlPC9rZXl3b3JkPjxrZXl3b3JkPkh1bWFuczwva2V5d29yZD48a2V5d29yZD5N
ZW50YWwgQ29tcGV0ZW5jeS9sZWdpc2xhdGlvbiAmYW1wOyBqdXJpc3BydWRlbmNlPC9rZXl3b3Jk
PjxrZXl3b3JkPk9yZWdvbjwva2V5d29yZD48a2V5d29yZD5TdWljaWRlLCBBc3Npc3RlZC8qbGVn
aXNsYXRpb24gJmFtcDsganVyaXNwcnVkZW5jZTwva2V5d29yZD48a2V5d29yZD5UZXJtaW5hbGx5
IElsbC9sZWdpc2xhdGlvbiAmYW1wOyBqdXJpc3BydWRlbmNlPC9rZXl3b3JkPjwva2V5d29yZHM+
PGRhdGVzPjx5ZWFyPjIwMTM8L3llYXI+PHB1Yi1kYXRlcz48ZGF0ZT5XaW50ZXI8L2RhdGU+PC9w
dWItZGF0ZXM+PC9kYXRlcz48cHViLWxvY2F0aW9uPjIwMTM8L3B1Yi1sb2NhdGlvbj48aXNibj4x
NzQ4LTcyMFggKEVsZWN0cm9uaWMpJiN4RDsxMDczLTExMDUgKExpbmtpbmcpPC9pc2JuPjxhY2Nl
c3Npb24tbnVtPjI0NDQ2OTQ2PC9hY2Nlc3Npb24tbnVtPjx1cmxzPjxyZWxhdGVkLXVybHM+PHVy
bD5odHRwOi8vd3d3Lm5jYmkubmxtLm5paC5nb3YvcHVibWVkLzI0NDQ2OTQ2PC91cmw+PHVybD5o
dHRwOi8vb25saW5lbGlicmFyeS53aWxleS5jb20vZG9pLzEwLjExMTEvamxtZS4xMjA5OC9hYnN0
cmFjdD9zeXN0ZW1NZXNzYWdlPVdpbGV5K09ubGluZStMaWJyYXJ5K3dpbGwrYmUrdW5hdmFpbGFi
bGUrb24rU2F0dXJkYXkrMzB0aCtKdWx5KzIwMTYrZnJvbSswOCUzQTAwLTExJTNBMDArQlNUKyUy
RiswMyUzQTAwLTA2JTNBMDArRVNUKyUyRisxNSUzQTAwLTE4JTNBMDArU0dUK2Zvcitlc3NlbnRp
YWwrbWFpbnRlbmFuY2UuQXBvbG9naWVzK2Zvcit0aGUraW5jb252ZW5pZW5jZS48L3VybD48dXJs
Pmh0dHA6Ly9vbmxpbmVsaWJyYXJ5LndpbGV5LmNvbS9zdG9yZS8xMC4xMTExL2psbWUuMTIwOTgv
YXNzZXQvamxtZTEyMDk4LnBkZj92PTEmYW1wO3Q9ajB0cXFrZGgmYW1wO3M9OTUxNjgwZmM3YmVm
ODc3OWZkYTg2MDcxNTk5YjI4NGM4YzcwMmNmYjwvdXJsPjwvcmVsYXRlZC11cmxzPjwvdXJscz48
ZWxlY3Ryb25pYy1yZXNvdXJjZS1udW0+MTAuMTExMS9qbG1lLjEyMDk4PC9lbGVjdHJvbmljLXJl
c291cmNlLW51bT48L3JlY29yZD48L0NpdGU+PENpdGU+PEF1dGhvcj5QYWJzdCBCYXR0aW48L0F1
dGhvcj48WWVhcj4yMDA3PC9ZZWFyPjxSZWNOdW0+MjI0MTwvUmVjTnVtPjxyZWNvcmQ+PHJlYy1u
dW1iZXI+MjI0MTwvcmVjLW51bWJlcj48Zm9yZWlnbi1rZXlzPjxrZXkgYXBwPSJFTiIgZGItaWQ9
IjI5ZTJwcjBlYnR6YXhrZWR6NWI1YWVmeGZ0c2VkZTIwMHdwcyIgdGltZXN0YW1wPSIxNDcxMzQ1
NzU0Ij4yMjQxPC9rZXk+PC9mb3JlaWduLWtleXM+PHJlZi10eXBlIG5hbWU9IkpvdXJuYWwgQXJ0
aWNsZSI+MTc8L3JlZi10eXBlPjxjb250cmlidXRvcnM+PGF1dGhvcnM+PGF1dGhvcj5QYWJzdCBC
YXR0aW4sIE1hcmdhcmV0PC9hdXRob3I+PGF1dGhvcj52YW4gZGVyIEhlaWRlLCBBZ25lczwvYXV0
aG9yPjxhdXRob3I+R2FuemluaSwgTGluZGE8L2F1dGhvcj48YXV0aG9yPnZhbiBkZXIgV2FsLCBH
ZXJyaXQ8L2F1dGhvcj48YXV0aG9yPk9ud3V0ZWFrYS1QaGlsaXBzZW4sIEJyZWdqZSBEPC9hdXRo
b3I+PC9hdXRob3JzPjwvY29udHJpYnV0b3JzPjxhdXRoLWFkZHJlc3M+RGVwYXJ0bWVudCBvZiBQ
aGlsb3NvcGh5LCBEaXZpc2lvbiBvZiBNZWRpY2FsIEV0aGljcyBhbmQgSHVtYW5pdGllcywgVW5p
dmVyc2l0eSBvZiBVdGFoLCBTYWx0IExha2UgQ2l0eSwgVVQgODQxMTIsIFVTQS4gYmF0dGluQHV0
YWguZWR1PC9hdXRoLWFkZHJlc3M+PHRpdGxlcz48dGl0bGU+TGVnYWwgcGh5c2ljaWFuLWFzc2lz
dGVkIGR5aW5nIGluIE9yZWdvbiBhbmQgdGhlIE5ldGhlcmxhbmRzOiBldmlkZW5jZSBjb25jZXJu
aW5nIHRoZSBpbXBhY3Qgb24gcGF0aWVudHMgaW4gJnF1b3Q7dnVsbmVyYWJsZSZxdW90OyBncm91
cHM8L3RpdGxlPjxzZWNvbmRhcnktdGl0bGU+Sm91cm5hbCBvZiBNZWRpY2FsIEV0aGljczwvc2Vj
b25kYXJ5LXRpdGxlPjxhbHQtdGl0bGU+SiBNZWQgRXRoaWNzPC9hbHQtdGl0bGU+PC90aXRsZXM+
PHBlcmlvZGljYWw+PGZ1bGwtdGl0bGU+Sm91cm5hbCBvZiBNZWRpY2FsIEV0aGljczwvZnVsbC10
aXRsZT48YWJici0xPkouIE1lZC4gRXRoaWNzPC9hYmJyLTE+PGFiYnItMj5KIE1lZCBFdGhpY3M8
L2FiYnItMj48L3BlcmlvZGljYWw+PGFsdC1wZXJpb2RpY2FsPjxmdWxsLXRpdGxlPkpvdXJuYWwg
b2YgTWVkaWNhbCBFdGhpY3M8L2Z1bGwtdGl0bGU+PGFiYnItMT5KLiBNZWQuIEV0aGljczwvYWJi
ci0xPjxhYmJyLTI+SiBNZWQgRXRoaWNzPC9hYmJyLTI+PC9hbHQtcGVyaW9kaWNhbD48cGFnZXM+
NTkxPC9wYWdlcz48dm9sdW1lPjMzPC92b2x1bWU+PG51bWJlcj4xMDwvbnVtYmVyPjxlZGl0aW9u
PjIwMDcvMTAvMDI8L2VkaXRpb24+PGtleXdvcmRzPjxrZXl3b3JkPkFkb2xlc2NlbnQ8L2tleXdv
cmQ+PGtleXdvcmQ+QWR1bHQ8L2tleXdvcmQ+PGtleXdvcmQ+QWdlZDwva2V5d29yZD48a2V5d29y
ZD5BZ2VkLCA4MCBhbmQgb3Zlcjwva2V5d29yZD48a2V5d29yZD5BdHRpdHVkZSBvZiBIZWFsdGgg
UGVyc29ubmVsPC9rZXl3b3JkPjxrZXl3b3JkPipBdHRpdHVkZSB0byBEZWF0aDwva2V5d29yZD48
a2V5d29yZD5FdXRoYW5hc2lhLypldGhpY3MvbGVnaXNsYXRpb24gJmFtcDsganVyaXNwcnVkZW5j
ZTwva2V5d29yZD48a2V5d29yZD5GZW1hbGU8L2tleXdvcmQ+PGtleXdvcmQ+SHVtYW5zPC9rZXl3
b3JkPjxrZXl3b3JkPk1hbGU8L2tleXdvcmQ+PGtleXdvcmQ+TWlkZGxlIEFnZWQ8L2tleXdvcmQ+
PGtleXdvcmQ+TmV0aGVybGFuZHM8L2tleXdvcmQ+PGtleXdvcmQ+T3JlZ29uPC9rZXl3b3JkPjxr
ZXl3b3JkPlBoeXNpY2lhbiZhcG9zO3MgUHJhY3RpY2UgUGF0dGVybnMvKmV0aGljcy9sZWdpc2xh
dGlvbiAmYW1wOyBqdXJpc3BydWRlbmNlPC9rZXl3b3JkPjxrZXl3b3JkPlBoeXNpY2lhbnMvKmV0
aGljcy9sZWdpc2xhdGlvbiAmYW1wOyBqdXJpc3BydWRlbmNlPC9rZXl3b3JkPjxrZXl3b3JkPlJp
Z2h0IHRvIERpZS8qZXRoaWNzL2xlZ2lzbGF0aW9uICZhbXA7IGp1cmlzcHJ1ZGVuY2U8L2tleXdv
cmQ+PGtleXdvcmQ+UmlzayBGYWN0b3JzPC9rZXl3b3JkPjxrZXl3b3JkPlNvY2lvZWNvbm9taWMg
RmFjdG9yczwva2V5d29yZD48a2V5d29yZD5TdWljaWRlLCBBc3Npc3RlZC8qZXRoaWNzL2xlZ2lz
bGF0aW9uICZhbXA7IGp1cmlzcHJ1ZGVuY2U8L2tleXdvcmQ+PGtleXdvcmQ+VGVybWluYWxseSBJ
bGwvbGVnaXNsYXRpb24gJmFtcDsganVyaXNwcnVkZW5jZS9wc3ljaG9sb2d5PC9rZXl3b3JkPjxr
ZXl3b3JkPlZ1bG5lcmFibGUgUG9wdWxhdGlvbnM8L2tleXdvcmQ+PC9rZXl3b3Jkcz48ZGF0ZXM+
PHllYXI+MjAwNzwveWVhcj48cHViLWRhdGVzPjxkYXRlPk9jdDwvZGF0ZT48L3B1Yi1kYXRlcz48
L2RhdGVzPjxwdWItbG9jYXRpb24+MjAwNzwvcHViLWxvY2F0aW9uPjxpc2JuPjAzMDYtNjgwMCAo
UHJpbnQpJiN4RDswMzA2LTY4MDAgKExpbmtpbmcpPC9pc2JuPjxhY2Nlc3Npb24tbnVtPjE3OTA2
MDU4PC9hY2Nlc3Npb24tbnVtPjx1cmxzPjxyZWxhdGVkLXVybHM+PHVybD5odHRwOi8vd3d3Lm5j
YmkubmxtLm5paC5nb3YvcHVibWVkLzE3OTA2MDU4PC91cmw+PC9yZWxhdGVkLXVybHM+PC91cmxz
PjxjdXN0b20yPjI2NTI3OTk8L2N1c3RvbTI+PGVsZWN0cm9uaWMtcmVzb3VyY2UtbnVtPjEwLjEx
MzYvam1lLjIwMDcuMDIyMzM1PC9lbGVjdHJvbmljLXJlc291cmNlLW51bT48bGFuZ3VhZ2U+ZW5n
PC9sYW5ndWFnZT48L3JlY29yZD48L0NpdGU+PENpdGU+PEF1dGhvcj5TbWl0aDwvQXV0aG9yPjxZ
ZWFyPjIwMDU8L1llYXI+PFJlY051bT4xMzgwPC9SZWNOdW0+PHJlY29yZD48cmVjLW51bWJlcj4x
MzgwPC9yZWMtbnVtYmVyPjxmb3JlaWduLWtleXM+PGtleSBhcHA9IkVOIiBkYi1pZD0iMjllMnBy
MGVidHpheGtlZHo1YjVhZWZ4ZnRzZWRlMjAwd3BzIiB0aW1lc3RhbXA9IjE0Njk5NTcwMDAiPjEz
ODA8L2tleT48L2ZvcmVpZ24ta2V5cz48cmVmLXR5cGUgbmFtZT0iSm91cm5hbCBBcnRpY2xlIj4x
NzwvcmVmLXR5cGU+PGNvbnRyaWJ1dG9ycz48YXV0aG9ycz48YXV0aG9yPlNtaXRoLCBTdGVwaGVu
IFc8L2F1dGhvcj48L2F1dGhvcnM+PC9jb250cmlidXRvcnM+PHRpdGxlcz48dGl0bGU+RXZpZGVu
Y2UgZm9yIHRoZSBQcmFjdGljYWwgU2xpcHBlcnkgU2xvcGUgaW4gdGhlIERlYmF0ZSBvbiBQaHlz
aWNpYW4tQXNzaXN0ZWQgU3VpY2lkZSBhbmQgRXV0aGFuYXNpYTwvdGl0bGU+PHNlY29uZGFyeS10
aXRsZT5NZWRpY2FsIExhdyBSZXZpZXc8L3NlY29uZGFyeS10aXRsZT48L3RpdGxlcz48cGVyaW9k
aWNhbD48ZnVsbC10aXRsZT5NZWRpY2FsIExhdyBSZXZpZXc8L2Z1bGwtdGl0bGU+PGFiYnItMT5N
ZWQgTGF3IFJldjwvYWJici0xPjwvcGVyaW9kaWNhbD48cGFnZXM+MTc8L3BhZ2VzPjx2b2x1bWU+
MTM8L3ZvbHVtZT48bnVtYmVyPjE8L251bWJlcj48ZGF0ZXM+PHllYXI+MjAwNTwveWVhcj48cHVi
LWRhdGVzPjxkYXRlPlNwcmluZyAyMDA1PC9kYXRlPjwvcHViLWRhdGVzPjwvZGF0ZXM+PHB1Yi1s
b2NhdGlvbj4yMDA1PC9wdWItbG9jYXRpb24+PHVybHM+PHJlbGF0ZWQtdXJscz48dXJsPmh0dHA6
Ly9tZWRsYXcub3hmb3Jkam91cm5hbHMub3JnL2NvbnRlbnQvMTMvMS8xNy5zaG9ydDwvdXJsPjwv
cmVsYXRlZC11cmxzPjwvdXJscz48ZWxlY3Ryb25pYy1yZXNvdXJjZS1udW0+MTAuMTA5My9tZWRs
YXcvZndpMDAyPC9lbGVjdHJvbmljLXJlc291cmNlLW51bT48L3JlY29yZD48L0NpdGU+PC9FbmRO
b3RlPgB=
</w:fldData>
        </w:fldChar>
      </w:r>
      <w:r w:rsidRPr="007233D0">
        <w:rPr>
          <w:sz w:val="20"/>
        </w:rPr>
        <w:instrText xml:space="preserve"> ADDIN EN.CITE </w:instrText>
      </w:r>
      <w:r w:rsidRPr="007233D0">
        <w:rPr>
          <w:sz w:val="20"/>
        </w:rPr>
        <w:fldChar w:fldCharType="begin">
          <w:fldData xml:space="preserve">PEVuZE5vdGU+PENpdGU+PEF1dGhvcj5MZXdpczwvQXV0aG9yPjxZZWFyPjIwMTM8L1llYXI+PFJl
Y051bT4xMzI5PC9SZWNOdW0+PERpc3BsYXlUZXh0PlBlbm5leSBMZXdpcyBhbmQgSXNyYSBCbGFj
aywg4oCYUmVwb3J0aW5nIGFuZCBzY3J1dGlueSBvZiByZXBvcnRlZCBjYXNlcyBpbiBmb3VyIGp1
cmlzZGljdGlvbnMgd2hlcmUgYXNzaXN0ZWQgZHlpbmcgaXMgbGF3ZnVsOiBBIHJldmlldyBvZiB0
aGUgZXZpZGVuY2UgaW4gdGhlIE5ldGhlcmxhbmRzLCBCZWxnaXVtLCBPcmVnb24gYW5kIFN3aXR6
ZXJsYW5k4oCZICgyMDEzKSA0IE1MSSAyMjE7IFBlbm5leSBMZXdpcyBhbmQgSXNyYSBCbGFjaywg
4oCYQWRoZXJlbmNlIHRvIHRoZSByZXF1ZXN0IGNyaXRlcmlvbiBpbiBqdXJpc2RpY3Rpb25zIHdo
ZXJlIGFzc2lzdGVkIGR5aW5nIGlzIGxhd2Z1bD8gQSByZXZpZXcgb2YgdGhlIGNyaXRlcmlhIGFu
ZCBldmlkZW5jZSBpbiB0aGUgTmV0aGVybGFuZHMsIEJlbGdpdW0sIE9yZWdvbiwgYW5kIFN3aXR6
ZXJsYW5k4oCZICgyMDEzKSA0MSg0KSBKIExhdyBNZWQgRXRoaWNzIDg4NTsgTWFyZ2FyZXQgUGFi
c3QgQmF0dGluLCBBZ25lcyB2YW4gZGVyIEhlaWRlLCBMaW5kYSBHYW56aW5pLCBHZXJyaXQgdmFu
IGRlciBXYWwgYW5kIEJyZWdqZSBEIE9ud3V0ZWFrYS1QaGlsaXBzZW4sIOKAmExlZ2FsIHBoeXNp
Y2lhbi1hc3Npc3RlZCBkeWluZyBpbiBPcmVnb24gYW5kIHRoZSBOZXRoZXJsYW5kczogZXZpZGVu
Y2UgY29uY2VybmluZyB0aGUgaW1wYWN0IG9uIHBhdGllbnRzIGluICZxdW90O3Z1bG5lcmFibGUm
cXVvdDsgZ3JvdXBz4oCZICgyMDA3KSAzMygxMCkgSiBNZWQgRXRoaWNzIDU5MTsgU3RlcGhlbiBX
IFNtaXRoLCDigJhFdmlkZW5jZSBmb3IgdGhlIFByYWN0aWNhbCBTbGlwcGVyeSBTbG9wZSBpbiB0
aGUgRGViYXRlIG9uIFBoeXNpY2lhbi1Bc3Npc3RlZCBTdWljaWRlIGFuZCBFdXRoYW5hc2lh4oCZ
ICgyMDA1KSAxMygxKSBNZWQgTGF3IFJldiAxNzwvRGlzcGxheVRleHQ+PHJlY29yZD48cmVjLW51
bWJlcj4xMzI5PC9yZWMtbnVtYmVyPjxmb3JlaWduLWtleXM+PGtleSBhcHA9IkVOIiBkYi1pZD0i
MjllMnByMGVidHpheGtlZHo1YjVhZWZ4ZnRzZWRlMjAwd3BzIiB0aW1lc3RhbXA9IjE0Njk5NTY5
OTkiPjEzMjk8L2tleT48L2ZvcmVpZ24ta2V5cz48cmVmLXR5cGUgbmFtZT0iSm91cm5hbCBBcnRp
Y2xlIj4xNzwvcmVmLXR5cGU+PGNvbnRyaWJ1dG9ycz48YXV0aG9ycz48YXV0aG9yPkxld2lzLCBQ
ZW5uZXk8L2F1dGhvcj48YXV0aG9yPkJsYWNrLCBJc3JhPC9hdXRob3I+PC9hdXRob3JzPjwvY29u
dHJpYnV0b3JzPjx0aXRsZXM+PHRpdGxlPlJlcG9ydGluZyBhbmQgc2NydXRpbnkgb2YgcmVwb3J0
ZWQgY2FzZXMgaW4gZm91ciBqdXJpc2RpY3Rpb25zIHdoZXJlIGFzc2lzdGVkIGR5aW5nIGlzIGxh
d2Z1bDogQSByZXZpZXcgb2YgdGhlIGV2aWRlbmNlIGluIHRoZSBOZXRoZXJsYW5kcywgQmVsZ2l1
bSwgT3JlZ29uIGFuZCBTd2l0emVybGFuZDwvdGl0bGU+PHNlY29uZGFyeS10aXRsZT5NZWRpY2Fs
IExhdyBJbnRlcm5hdGlvbmFsPC9zZWNvbmRhcnktdGl0bGU+PC90aXRsZXM+PHBlcmlvZGljYWw+
PGZ1bGwtdGl0bGU+TWVkaWNhbCBMYXcgSW50ZXJuYXRpb25hbDwvZnVsbC10aXRsZT48YWJici0x
Pk1MSTwvYWJici0xPjwvcGVyaW9kaWNhbD48cGFnZXM+MjIxPC9wYWdlcz48dm9sdW1lPjQ8L3Zv
bHVtZT48ZGF0ZXM+PHllYXI+MjAxMzwveWVhcj48L2RhdGVzPjxwdWItbG9jYXRpb24+MjAxMzwv
cHViLWxvY2F0aW9uPjx1cmxzPjwvdXJscz48L3JlY29yZD48L0NpdGU+PENpdGU+PEF1dGhvcj5M
ZXdpczwvQXV0aG9yPjxZZWFyPjIwMTM8L1llYXI+PFJlY051bT4xMzMwPC9SZWNOdW0+PHJlY29y
ZD48cmVjLW51bWJlcj4xMzMwPC9yZWMtbnVtYmVyPjxmb3JlaWduLWtleXM+PGtleSBhcHA9IkVO
IiBkYi1pZD0iMjllMnByMGVidHpheGtlZHo1YjVhZWZ4ZnRzZWRlMjAwd3BzIiB0aW1lc3RhbXA9
IjE0Njk5NTY5OTkiPjEzMzA8L2tleT48L2ZvcmVpZ24ta2V5cz48cmVmLXR5cGUgbmFtZT0iSm91
cm5hbCBBcnRpY2xlIj4xNzwvcmVmLXR5cGU+PGNvbnRyaWJ1dG9ycz48YXV0aG9ycz48YXV0aG9y
Pkxld2lzLCBQZW5uZXk8L2F1dGhvcj48YXV0aG9yPkJsYWNrLCBJc3JhPC9hdXRob3I+PC9hdXRo
b3JzPjwvY29udHJpYnV0b3JzPjxhdXRoLWFkZHJlc3M+UHJvZmVzc29yIG9mIExhdyBhdCB0aGUg
RGlja3NvbiBQb29uIFNjaG9vbCBvZiBMYXcgYW5kIENlbnRyZSBvZiBNZWRpY2FsIExhdyBhbmQg
RXRoaWNzLCBLaW5nJmFwb3M7cyBDb2xsZWdlIExvbmRvbi48L2F1dGgtYWRkcmVzcz48dGl0bGVz
Pjx0aXRsZT5BZGhlcmVuY2UgdG8gdGhlIHJlcXVlc3QgY3JpdGVyaW9uIGluIGp1cmlzZGljdGlv
bnMgd2hlcmUgYXNzaXN0ZWQgZHlpbmcgaXMgbGF3ZnVsPyBBIHJldmlldyBvZiB0aGUgY3JpdGVy
aWEgYW5kIGV2aWRlbmNlIGluIHRoZSBOZXRoZXJsYW5kcywgQmVsZ2l1bSwgT3JlZ29uLCBhbmQg
U3dpdHplcmxhbmQ8L3RpdGxlPjxzZWNvbmRhcnktdGl0bGU+Sm91cm5hbCBvZiBMYXcsIE1lZGlj
aW5lIGFuZCBFdGhpY3M8L3NlY29uZGFyeS10aXRsZT48L3RpdGxlcz48cGVyaW9kaWNhbD48ZnVs
bC10aXRsZT5Kb3VybmFsIG9mIExhdywgTWVkaWNpbmUgYW5kIEV0aGljczwvZnVsbC10aXRsZT48
YWJici0xPkogTGF3IE1lZC4gRXRoaWNzPC9hYmJyLTE+PGFiYnItMj5KIExhdyBNZWQgRXRoaWNz
PC9hYmJyLTI+PC9wZXJpb2RpY2FsPjxwYWdlcz44ODU8L3BhZ2VzPjx2b2x1bWU+NDE8L3ZvbHVt
ZT48bnVtYmVyPjQ8L251bWJlcj48a2V5d29yZHM+PGtleXdvcmQ+RXVyb3BlPC9rZXl3b3JkPjxr
ZXl3b3JkPkV1dGhhbmFzaWEsIEFjdGl2ZSwgVm9sdW50YXJ5LypsZWdpc2xhdGlvbiAmYW1wOyBq
dXJpc3BydWRlbmNlPC9rZXl3b3JkPjxrZXl3b3JkPkh1bWFuczwva2V5d29yZD48a2V5d29yZD5N
ZW50YWwgQ29tcGV0ZW5jeS9sZWdpc2xhdGlvbiAmYW1wOyBqdXJpc3BydWRlbmNlPC9rZXl3b3Jk
PjxrZXl3b3JkPk9yZWdvbjwva2V5d29yZD48a2V5d29yZD5TdWljaWRlLCBBc3Npc3RlZC8qbGVn
aXNsYXRpb24gJmFtcDsganVyaXNwcnVkZW5jZTwva2V5d29yZD48a2V5d29yZD5UZXJtaW5hbGx5
IElsbC9sZWdpc2xhdGlvbiAmYW1wOyBqdXJpc3BydWRlbmNlPC9rZXl3b3JkPjwva2V5d29yZHM+
PGRhdGVzPjx5ZWFyPjIwMTM8L3llYXI+PHB1Yi1kYXRlcz48ZGF0ZT5XaW50ZXI8L2RhdGU+PC9w
dWItZGF0ZXM+PC9kYXRlcz48cHViLWxvY2F0aW9uPjIwMTM8L3B1Yi1sb2NhdGlvbj48aXNibj4x
NzQ4LTcyMFggKEVsZWN0cm9uaWMpJiN4RDsxMDczLTExMDUgKExpbmtpbmcpPC9pc2JuPjxhY2Nl
c3Npb24tbnVtPjI0NDQ2OTQ2PC9hY2Nlc3Npb24tbnVtPjx1cmxzPjxyZWxhdGVkLXVybHM+PHVy
bD5odHRwOi8vd3d3Lm5jYmkubmxtLm5paC5nb3YvcHVibWVkLzI0NDQ2OTQ2PC91cmw+PHVybD5o
dHRwOi8vb25saW5lbGlicmFyeS53aWxleS5jb20vZG9pLzEwLjExMTEvamxtZS4xMjA5OC9hYnN0
cmFjdD9zeXN0ZW1NZXNzYWdlPVdpbGV5K09ubGluZStMaWJyYXJ5K3dpbGwrYmUrdW5hdmFpbGFi
bGUrb24rU2F0dXJkYXkrMzB0aCtKdWx5KzIwMTYrZnJvbSswOCUzQTAwLTExJTNBMDArQlNUKyUy
RiswMyUzQTAwLTA2JTNBMDArRVNUKyUyRisxNSUzQTAwLTE4JTNBMDArU0dUK2Zvcitlc3NlbnRp
YWwrbWFpbnRlbmFuY2UuQXBvbG9naWVzK2Zvcit0aGUraW5jb252ZW5pZW5jZS48L3VybD48dXJs
Pmh0dHA6Ly9vbmxpbmVsaWJyYXJ5LndpbGV5LmNvbS9zdG9yZS8xMC4xMTExL2psbWUuMTIwOTgv
YXNzZXQvamxtZTEyMDk4LnBkZj92PTEmYW1wO3Q9ajB0cXFrZGgmYW1wO3M9OTUxNjgwZmM3YmVm
ODc3OWZkYTg2MDcxNTk5YjI4NGM4YzcwMmNmYjwvdXJsPjwvcmVsYXRlZC11cmxzPjwvdXJscz48
ZWxlY3Ryb25pYy1yZXNvdXJjZS1udW0+MTAuMTExMS9qbG1lLjEyMDk4PC9lbGVjdHJvbmljLXJl
c291cmNlLW51bT48L3JlY29yZD48L0NpdGU+PENpdGU+PEF1dGhvcj5QYWJzdCBCYXR0aW48L0F1
dGhvcj48WWVhcj4yMDA3PC9ZZWFyPjxSZWNOdW0+MjI0MTwvUmVjTnVtPjxyZWNvcmQ+PHJlYy1u
dW1iZXI+MjI0MTwvcmVjLW51bWJlcj48Zm9yZWlnbi1rZXlzPjxrZXkgYXBwPSJFTiIgZGItaWQ9
IjI5ZTJwcjBlYnR6YXhrZWR6NWI1YWVmeGZ0c2VkZTIwMHdwcyIgdGltZXN0YW1wPSIxNDcxMzQ1
NzU0Ij4yMjQxPC9rZXk+PC9mb3JlaWduLWtleXM+PHJlZi10eXBlIG5hbWU9IkpvdXJuYWwgQXJ0
aWNsZSI+MTc8L3JlZi10eXBlPjxjb250cmlidXRvcnM+PGF1dGhvcnM+PGF1dGhvcj5QYWJzdCBC
YXR0aW4sIE1hcmdhcmV0PC9hdXRob3I+PGF1dGhvcj52YW4gZGVyIEhlaWRlLCBBZ25lczwvYXV0
aG9yPjxhdXRob3I+R2FuemluaSwgTGluZGE8L2F1dGhvcj48YXV0aG9yPnZhbiBkZXIgV2FsLCBH
ZXJyaXQ8L2F1dGhvcj48YXV0aG9yPk9ud3V0ZWFrYS1QaGlsaXBzZW4sIEJyZWdqZSBEPC9hdXRo
b3I+PC9hdXRob3JzPjwvY29udHJpYnV0b3JzPjxhdXRoLWFkZHJlc3M+RGVwYXJ0bWVudCBvZiBQ
aGlsb3NvcGh5LCBEaXZpc2lvbiBvZiBNZWRpY2FsIEV0aGljcyBhbmQgSHVtYW5pdGllcywgVW5p
dmVyc2l0eSBvZiBVdGFoLCBTYWx0IExha2UgQ2l0eSwgVVQgODQxMTIsIFVTQS4gYmF0dGluQHV0
YWguZWR1PC9hdXRoLWFkZHJlc3M+PHRpdGxlcz48dGl0bGU+TGVnYWwgcGh5c2ljaWFuLWFzc2lz
dGVkIGR5aW5nIGluIE9yZWdvbiBhbmQgdGhlIE5ldGhlcmxhbmRzOiBldmlkZW5jZSBjb25jZXJu
aW5nIHRoZSBpbXBhY3Qgb24gcGF0aWVudHMgaW4gJnF1b3Q7dnVsbmVyYWJsZSZxdW90OyBncm91
cHM8L3RpdGxlPjxzZWNvbmRhcnktdGl0bGU+Sm91cm5hbCBvZiBNZWRpY2FsIEV0aGljczwvc2Vj
b25kYXJ5LXRpdGxlPjxhbHQtdGl0bGU+SiBNZWQgRXRoaWNzPC9hbHQtdGl0bGU+PC90aXRsZXM+
PHBlcmlvZGljYWw+PGZ1bGwtdGl0bGU+Sm91cm5hbCBvZiBNZWRpY2FsIEV0aGljczwvZnVsbC10
aXRsZT48YWJici0xPkouIE1lZC4gRXRoaWNzPC9hYmJyLTE+PGFiYnItMj5KIE1lZCBFdGhpY3M8
L2FiYnItMj48L3BlcmlvZGljYWw+PGFsdC1wZXJpb2RpY2FsPjxmdWxsLXRpdGxlPkpvdXJuYWwg
b2YgTWVkaWNhbCBFdGhpY3M8L2Z1bGwtdGl0bGU+PGFiYnItMT5KLiBNZWQuIEV0aGljczwvYWJi
ci0xPjxhYmJyLTI+SiBNZWQgRXRoaWNzPC9hYmJyLTI+PC9hbHQtcGVyaW9kaWNhbD48cGFnZXM+
NTkxPC9wYWdlcz48dm9sdW1lPjMzPC92b2x1bWU+PG51bWJlcj4xMDwvbnVtYmVyPjxlZGl0aW9u
PjIwMDcvMTAvMDI8L2VkaXRpb24+PGtleXdvcmRzPjxrZXl3b3JkPkFkb2xlc2NlbnQ8L2tleXdv
cmQ+PGtleXdvcmQ+QWR1bHQ8L2tleXdvcmQ+PGtleXdvcmQ+QWdlZDwva2V5d29yZD48a2V5d29y
ZD5BZ2VkLCA4MCBhbmQgb3Zlcjwva2V5d29yZD48a2V5d29yZD5BdHRpdHVkZSBvZiBIZWFsdGgg
UGVyc29ubmVsPC9rZXl3b3JkPjxrZXl3b3JkPipBdHRpdHVkZSB0byBEZWF0aDwva2V5d29yZD48
a2V5d29yZD5FdXRoYW5hc2lhLypldGhpY3MvbGVnaXNsYXRpb24gJmFtcDsganVyaXNwcnVkZW5j
ZTwva2V5d29yZD48a2V5d29yZD5GZW1hbGU8L2tleXdvcmQ+PGtleXdvcmQ+SHVtYW5zPC9rZXl3
b3JkPjxrZXl3b3JkPk1hbGU8L2tleXdvcmQ+PGtleXdvcmQ+TWlkZGxlIEFnZWQ8L2tleXdvcmQ+
PGtleXdvcmQ+TmV0aGVybGFuZHM8L2tleXdvcmQ+PGtleXdvcmQ+T3JlZ29uPC9rZXl3b3JkPjxr
ZXl3b3JkPlBoeXNpY2lhbiZhcG9zO3MgUHJhY3RpY2UgUGF0dGVybnMvKmV0aGljcy9sZWdpc2xh
dGlvbiAmYW1wOyBqdXJpc3BydWRlbmNlPC9rZXl3b3JkPjxrZXl3b3JkPlBoeXNpY2lhbnMvKmV0
aGljcy9sZWdpc2xhdGlvbiAmYW1wOyBqdXJpc3BydWRlbmNlPC9rZXl3b3JkPjxrZXl3b3JkPlJp
Z2h0IHRvIERpZS8qZXRoaWNzL2xlZ2lzbGF0aW9uICZhbXA7IGp1cmlzcHJ1ZGVuY2U8L2tleXdv
cmQ+PGtleXdvcmQ+UmlzayBGYWN0b3JzPC9rZXl3b3JkPjxrZXl3b3JkPlNvY2lvZWNvbm9taWMg
RmFjdG9yczwva2V5d29yZD48a2V5d29yZD5TdWljaWRlLCBBc3Npc3RlZC8qZXRoaWNzL2xlZ2lz
bGF0aW9uICZhbXA7IGp1cmlzcHJ1ZGVuY2U8L2tleXdvcmQ+PGtleXdvcmQ+VGVybWluYWxseSBJ
bGwvbGVnaXNsYXRpb24gJmFtcDsganVyaXNwcnVkZW5jZS9wc3ljaG9sb2d5PC9rZXl3b3JkPjxr
ZXl3b3JkPlZ1bG5lcmFibGUgUG9wdWxhdGlvbnM8L2tleXdvcmQ+PC9rZXl3b3Jkcz48ZGF0ZXM+
PHllYXI+MjAwNzwveWVhcj48cHViLWRhdGVzPjxkYXRlPk9jdDwvZGF0ZT48L3B1Yi1kYXRlcz48
L2RhdGVzPjxwdWItbG9jYXRpb24+MjAwNzwvcHViLWxvY2F0aW9uPjxpc2JuPjAzMDYtNjgwMCAo
UHJpbnQpJiN4RDswMzA2LTY4MDAgKExpbmtpbmcpPC9pc2JuPjxhY2Nlc3Npb24tbnVtPjE3OTA2
MDU4PC9hY2Nlc3Npb24tbnVtPjx1cmxzPjxyZWxhdGVkLXVybHM+PHVybD5odHRwOi8vd3d3Lm5j
YmkubmxtLm5paC5nb3YvcHVibWVkLzE3OTA2MDU4PC91cmw+PC9yZWxhdGVkLXVybHM+PC91cmxz
PjxjdXN0b20yPjI2NTI3OTk8L2N1c3RvbTI+PGVsZWN0cm9uaWMtcmVzb3VyY2UtbnVtPjEwLjEx
MzYvam1lLjIwMDcuMDIyMzM1PC9lbGVjdHJvbmljLXJlc291cmNlLW51bT48bGFuZ3VhZ2U+ZW5n
PC9sYW5ndWFnZT48L3JlY29yZD48L0NpdGU+PENpdGU+PEF1dGhvcj5TbWl0aDwvQXV0aG9yPjxZ
ZWFyPjIwMDU8L1llYXI+PFJlY051bT4xMzgwPC9SZWNOdW0+PHJlY29yZD48cmVjLW51bWJlcj4x
MzgwPC9yZWMtbnVtYmVyPjxmb3JlaWduLWtleXM+PGtleSBhcHA9IkVOIiBkYi1pZD0iMjllMnBy
MGVidHpheGtlZHo1YjVhZWZ4ZnRzZWRlMjAwd3BzIiB0aW1lc3RhbXA9IjE0Njk5NTcwMDAiPjEz
ODA8L2tleT48L2ZvcmVpZ24ta2V5cz48cmVmLXR5cGUgbmFtZT0iSm91cm5hbCBBcnRpY2xlIj4x
NzwvcmVmLXR5cGU+PGNvbnRyaWJ1dG9ycz48YXV0aG9ycz48YXV0aG9yPlNtaXRoLCBTdGVwaGVu
IFc8L2F1dGhvcj48L2F1dGhvcnM+PC9jb250cmlidXRvcnM+PHRpdGxlcz48dGl0bGU+RXZpZGVu
Y2UgZm9yIHRoZSBQcmFjdGljYWwgU2xpcHBlcnkgU2xvcGUgaW4gdGhlIERlYmF0ZSBvbiBQaHlz
aWNpYW4tQXNzaXN0ZWQgU3VpY2lkZSBhbmQgRXV0aGFuYXNpYTwvdGl0bGU+PHNlY29uZGFyeS10
aXRsZT5NZWRpY2FsIExhdyBSZXZpZXc8L3NlY29uZGFyeS10aXRsZT48L3RpdGxlcz48cGVyaW9k
aWNhbD48ZnVsbC10aXRsZT5NZWRpY2FsIExhdyBSZXZpZXc8L2Z1bGwtdGl0bGU+PGFiYnItMT5N
ZWQgTGF3IFJldjwvYWJici0xPjwvcGVyaW9kaWNhbD48cGFnZXM+MTc8L3BhZ2VzPjx2b2x1bWU+
MTM8L3ZvbHVtZT48bnVtYmVyPjE8L251bWJlcj48ZGF0ZXM+PHllYXI+MjAwNTwveWVhcj48cHVi
LWRhdGVzPjxkYXRlPlNwcmluZyAyMDA1PC9kYXRlPjwvcHViLWRhdGVzPjwvZGF0ZXM+PHB1Yi1s
b2NhdGlvbj4yMDA1PC9wdWItbG9jYXRpb24+PHVybHM+PHJlbGF0ZWQtdXJscz48dXJsPmh0dHA6
Ly9tZWRsYXcub3hmb3Jkam91cm5hbHMub3JnL2NvbnRlbnQvMTMvMS8xNy5zaG9ydDwvdXJsPjwv
cmVsYXRlZC11cmxzPjwvdXJscz48ZWxlY3Ryb25pYy1yZXNvdXJjZS1udW0+MTAuMTA5My9tZWRs
YXcvZndpMDAyPC9lbGVjdHJvbmljLXJlc291cmNlLW51bT48L3JlY29yZD48L0NpdGU+PC9FbmRO
b3RlPgB=
</w:fldData>
        </w:fldChar>
      </w:r>
      <w:r w:rsidRPr="007233D0">
        <w:rPr>
          <w:sz w:val="20"/>
        </w:rPr>
        <w:instrText xml:space="preserve"> ADDIN EN.CITE.DATA </w:instrText>
      </w:r>
      <w:r w:rsidRPr="007233D0">
        <w:rPr>
          <w:sz w:val="20"/>
        </w:rPr>
      </w:r>
      <w:r w:rsidRPr="007233D0">
        <w:rPr>
          <w:sz w:val="20"/>
        </w:rPr>
        <w:fldChar w:fldCharType="end"/>
      </w:r>
      <w:r w:rsidRPr="007233D0">
        <w:rPr>
          <w:sz w:val="20"/>
        </w:rPr>
      </w:r>
      <w:r w:rsidRPr="007233D0">
        <w:rPr>
          <w:sz w:val="20"/>
        </w:rPr>
        <w:fldChar w:fldCharType="separate"/>
      </w:r>
      <w:r w:rsidRPr="007233D0">
        <w:rPr>
          <w:noProof/>
          <w:sz w:val="20"/>
        </w:rPr>
        <w:t>Penney Lewis and Isra Black, ‘Reporting and scrutiny of reported cases in four jurisdictions where assisted dying is lawful: A review of the evidence in the Netherlands, Belgium, Oregon and Switzerland’ (2013) 4 MLI 221; Penney Lewis and Isra Black, ‘Adherence to the request criterion in jurisdictions where assisted dying is lawful? A review of the criteria and evidence in the Netherlands, Belgium, Oregon, and Switzerland’ (2013) 41(4) J Law Med Ethics 885; Margaret Pabst Battin, Agnes van der Heide, Linda Ganzini, Gerrit van der Wal and Bregje D Onwuteaka-Philipsen, ‘Legal physician-assisted dying in Oregon and the Netherlands: evidence concerning the impact on patients in "vulnerable" groups’ (2007) 33(10) J Med Ethics 591; Stephen W Smith, ‘Evidence for the Practical Slippery Slope in the Debate on Physician-Assisted Suicide and Euthanasia’ (2005) 13(1) Med Law Rev 17</w:t>
      </w:r>
      <w:r w:rsidRPr="007233D0">
        <w:rPr>
          <w:sz w:val="20"/>
        </w:rPr>
        <w:fldChar w:fldCharType="end"/>
      </w:r>
      <w:r w:rsidRPr="007233D0">
        <w:rPr>
          <w:sz w:val="20"/>
        </w:rPr>
        <w:t>.</w:t>
      </w:r>
    </w:p>
  </w:footnote>
  <w:footnote w:id="89">
    <w:p w14:paraId="4BBC976B" w14:textId="06E52BBC" w:rsidR="002D131A" w:rsidRPr="007233D0" w:rsidRDefault="002D131A">
      <w:pPr>
        <w:pStyle w:val="FootnoteText"/>
        <w:rPr>
          <w:sz w:val="20"/>
        </w:rPr>
      </w:pPr>
      <w:r w:rsidRPr="007233D0">
        <w:rPr>
          <w:rStyle w:val="FootnoteReference"/>
          <w:sz w:val="20"/>
        </w:rPr>
        <w:footnoteRef/>
      </w:r>
      <w:r w:rsidRPr="007233D0">
        <w:rPr>
          <w:sz w:val="20"/>
        </w:rPr>
        <w:t xml:space="preserve"> eg In the Second Reading debate, only Lord Clarke (cols 55-57) and Baroness </w:t>
      </w:r>
      <w:proofErr w:type="spellStart"/>
      <w:r w:rsidRPr="007233D0">
        <w:rPr>
          <w:sz w:val="20"/>
        </w:rPr>
        <w:t>Masham</w:t>
      </w:r>
      <w:proofErr w:type="spellEnd"/>
      <w:r w:rsidRPr="007233D0">
        <w:rPr>
          <w:sz w:val="20"/>
        </w:rPr>
        <w:t xml:space="preserve"> (cols 65-67) raised the vulnerability argument with regard to advance decisions, while Baroness Finlay, a notable proponent of the </w:t>
      </w:r>
      <w:r w:rsidRPr="007233D0">
        <w:rPr>
          <w:i/>
          <w:sz w:val="20"/>
        </w:rPr>
        <w:t>vulnerability</w:t>
      </w:r>
      <w:r w:rsidRPr="007233D0">
        <w:rPr>
          <w:sz w:val="20"/>
        </w:rPr>
        <w:t xml:space="preserve"> argument in the context of assisted death spoke in favour of the Bill’s advance refusal clauses (cols 87-90): </w:t>
      </w:r>
      <w:r w:rsidRPr="007233D0">
        <w:rPr>
          <w:sz w:val="20"/>
        </w:rPr>
        <w:fldChar w:fldCharType="begin"/>
      </w:r>
      <w:r w:rsidRPr="007233D0">
        <w:rPr>
          <w:sz w:val="20"/>
        </w:rPr>
        <w:instrText xml:space="preserve"> ADDIN EN.CITE &lt;EndNote&gt;&lt;Cite&gt;&lt;Author&gt;HL Deb&lt;/Author&gt;&lt;Year&gt;2005/01/10&lt;/Year&gt;&lt;RecNum&gt;2242&lt;/RecNum&gt;&lt;DisplayText&gt;HL Deb, ‘Mental Capacity Bill (Second Reading)’ 2005/01/10, vol 668 cols 11-26, 42-126 &lt;style face="underline"&gt;http://hansard.millbanksystems.com/lords/2005/jan/10/mental-capacity-bill; http://hansard.millbanksystems.com/lords/2005/jan/10/mental-capacity-bill-1&lt;/style&gt; accessed 2016/08/01&lt;/DisplayText&gt;&lt;record&gt;&lt;rec-number&gt;2242&lt;/rec-number&gt;&lt;foreign-keys&gt;&lt;key app="EN" db-id="29e2pr0ebtzaxkedz5b5aefxftsede200wps" timestamp="1471348380"&gt;2242&lt;/key&gt;&lt;/foreign-keys&gt;&lt;ref-type name="Hansard"&gt;40&lt;/ref-type&gt;&lt;contributors&gt;&lt;authors&gt;&lt;author&gt;HL Deb,&lt;/author&gt;&lt;/authors&gt;&lt;/contributors&gt;&lt;titles&gt;&lt;title&gt;Mental Capacity Bill (Second Reading)&lt;/title&gt;&lt;/titles&gt;&lt;pages&gt;11-26, 42-126&lt;/pages&gt;&lt;volume&gt;668&lt;/volume&gt;&lt;dates&gt;&lt;year&gt;2005/01/10&lt;/year&gt;&lt;/dates&gt;&lt;urls&gt;&lt;related-urls&gt;&lt;url&gt;http://hansard.millbanksystems.com/lords/2005/jan/10/mental-capacity-bill; http://hansard.millbanksystems.com/lords/2005/jan/10/mental-capacity-bill-1&lt;/url&gt;&lt;/related-urls&gt;&lt;/urls&gt;&lt;access-date&gt;2016/08/01&lt;/access-date&gt;&lt;/record&gt;&lt;/Cite&gt;&lt;/EndNote&gt;</w:instrText>
      </w:r>
      <w:r w:rsidRPr="007233D0">
        <w:rPr>
          <w:sz w:val="20"/>
        </w:rPr>
        <w:fldChar w:fldCharType="separate"/>
      </w:r>
      <w:r w:rsidRPr="007233D0">
        <w:rPr>
          <w:sz w:val="20"/>
        </w:rPr>
        <w:t xml:space="preserve">HL Deb, ‘Mental Capacity Bill (Second Reading)’ 2005/01/10, </w:t>
      </w:r>
      <w:proofErr w:type="spellStart"/>
      <w:r w:rsidRPr="007233D0">
        <w:rPr>
          <w:sz w:val="20"/>
        </w:rPr>
        <w:t>vol</w:t>
      </w:r>
      <w:proofErr w:type="spellEnd"/>
      <w:r w:rsidRPr="007233D0">
        <w:rPr>
          <w:sz w:val="20"/>
        </w:rPr>
        <w:t xml:space="preserve"> 668 cols 11-26, 42-126 </w:t>
      </w:r>
      <w:r w:rsidRPr="007233D0">
        <w:rPr>
          <w:sz w:val="20"/>
          <w:u w:val="single"/>
        </w:rPr>
        <w:t>http://hansard.millbanksystems.com/lords/2005/jan/10/mental-capacity-bill; http://hansard.millbanksystems.com/lords/2005/jan/10/mental-capacity-bill-1</w:t>
      </w:r>
      <w:r w:rsidRPr="007233D0">
        <w:rPr>
          <w:sz w:val="20"/>
        </w:rPr>
        <w:t xml:space="preserve"> accessed 2016/08/01</w:t>
      </w:r>
      <w:r w:rsidRPr="007233D0">
        <w:rPr>
          <w:sz w:val="20"/>
        </w:rPr>
        <w:fldChar w:fldCharType="end"/>
      </w:r>
      <w:r w:rsidRPr="007233D0">
        <w:rPr>
          <w:sz w:val="20"/>
        </w:rPr>
        <w:t xml:space="preserve">; rather, concern for the ‘vulnerable’ focused on best interests decision-making introducing ‘euthanasia by the back door’; see </w:t>
      </w:r>
      <w:r w:rsidRPr="007233D0">
        <w:rPr>
          <w:sz w:val="20"/>
        </w:rPr>
        <w:fldChar w:fldCharType="begin"/>
      </w:r>
      <w:r w:rsidRPr="007233D0">
        <w:rPr>
          <w:sz w:val="20"/>
        </w:rPr>
        <w:instrText xml:space="preserve"> ADDIN EN.CITE &lt;EndNote&gt;&lt;Cite&gt;&lt;Author&gt;Coggon&lt;/Author&gt;&lt;Year&gt;2007&lt;/Year&gt;&lt;RecNum&gt;1249&lt;/RecNum&gt;&lt;DisplayText&gt;John Coggon, ‘Ignoring the moral and intellectual shape of the law after Bland: the unintended side-effect of a sorry compromise’ (2007) 27(1) LS 110&lt;/DisplayText&gt;&lt;record&gt;&lt;rec-number&gt;1249&lt;/rec-number&gt;&lt;foreign-keys&gt;&lt;key app="EN" db-id="29e2pr0ebtzaxkedz5b5aefxftsede200wps" timestamp="1469956996"&gt;1249&lt;/key&gt;&lt;/foreign-keys&gt;&lt;ref-type name="Journal Article"&gt;17&lt;/ref-type&gt;&lt;contributors&gt;&lt;authors&gt;&lt;author&gt;Coggon, John&lt;/author&gt;&lt;/authors&gt;&lt;/contributors&gt;&lt;titles&gt;&lt;title&gt;Ignoring the moral and intellectual shape of the law after Bland: the unintended side-effect of a sorry compromise&lt;/title&gt;&lt;secondary-title&gt;Legal Studies&lt;/secondary-title&gt;&lt;/titles&gt;&lt;periodical&gt;&lt;full-title&gt;Legal Studies&lt;/full-title&gt;&lt;abbr-1&gt;LS&lt;/abbr-1&gt;&lt;/periodical&gt;&lt;pages&gt;110&lt;/pages&gt;&lt;volume&gt;27&lt;/volume&gt;&lt;number&gt;1&lt;/number&gt;&lt;dates&gt;&lt;year&gt;2007&lt;/year&gt;&lt;/dates&gt;&lt;pub-location&gt;2007&lt;/pub-location&gt;&lt;isbn&gt;1748-121X&lt;/isbn&gt;&lt;urls&gt;&lt;related-urls&gt;&lt;url&gt;http://dx.doi.org/10.1111/j.1748-121X.2006.00042.x&lt;/url&gt;&lt;/related-urls&gt;&lt;/urls&gt;&lt;electronic-resource-num&gt;10.1111/j.1748-121X.2006.00042.x&lt;/electronic-resource-num&gt;&lt;/record&gt;&lt;/Cite&gt;&lt;/EndNote&gt;</w:instrText>
      </w:r>
      <w:r w:rsidRPr="007233D0">
        <w:rPr>
          <w:sz w:val="20"/>
        </w:rPr>
        <w:fldChar w:fldCharType="separate"/>
      </w:r>
      <w:r w:rsidRPr="007233D0">
        <w:rPr>
          <w:sz w:val="20"/>
        </w:rPr>
        <w:t>John Coggon, ‘Ignoring the moral and intellectual shape of the law after Bland: the unintended side-effect of a sorry compromise’ (2007) 27(1) LS 110</w:t>
      </w:r>
      <w:r w:rsidRPr="007233D0">
        <w:rPr>
          <w:sz w:val="20"/>
        </w:rPr>
        <w:fldChar w:fldCharType="end"/>
      </w:r>
      <w:r w:rsidRPr="007233D0">
        <w:rPr>
          <w:sz w:val="20"/>
        </w:rPr>
        <w:t xml:space="preserve"> on </w:t>
      </w:r>
      <w:r w:rsidRPr="007233D0">
        <w:rPr>
          <w:sz w:val="20"/>
        </w:rPr>
        <w:fldChar w:fldCharType="begin"/>
      </w:r>
      <w:r w:rsidRPr="007233D0">
        <w:rPr>
          <w:sz w:val="20"/>
        </w:rPr>
        <w:instrText xml:space="preserve"> ADDIN EN.CITE &lt;EndNote&gt;&lt;Cite ExcludeAuth="1"&gt;&lt;Year&gt;2005&lt;/Year&gt;&lt;RecNum&gt;1481&lt;/RecNum&gt;&lt;Pages&gt;s 4(5)&lt;/Pages&gt;&lt;DisplayText&gt;MCA 2005, s 4(5)&lt;/DisplayText&gt;&lt;record&gt;&lt;rec-number&gt;1481&lt;/rec-number&gt;&lt;foreign-keys&gt;&lt;key app="EN" db-id="29e2pr0ebtzaxkedz5b5aefxftsede200wps" timestamp="1469957003"&gt;1481&lt;/key&gt;&lt;/foreign-keys&gt;&lt;ref-type name="Statute, SI, EU leg, Treaties"&gt;31&lt;/ref-type&gt;&lt;contributors&gt;&lt;/contributors&gt;&lt;titles&gt;&lt;title&gt;Mental Capacity Act 2005 (MCA 2005)&lt;/title&gt;&lt;short-title&gt;MCA 2005&lt;/short-title&gt;&lt;/titles&gt;&lt;dates&gt;&lt;year&gt;2005&lt;/year&gt;&lt;/dates&gt;&lt;urls&gt;&lt;/urls&gt;&lt;/record&gt;&lt;/Cite&gt;&lt;/EndNote&gt;</w:instrText>
      </w:r>
      <w:r w:rsidRPr="007233D0">
        <w:rPr>
          <w:sz w:val="20"/>
        </w:rPr>
        <w:fldChar w:fldCharType="separate"/>
      </w:r>
      <w:r w:rsidRPr="007233D0">
        <w:rPr>
          <w:sz w:val="20"/>
        </w:rPr>
        <w:t>MCA 2005, s 4(5)</w:t>
      </w:r>
      <w:r w:rsidRPr="007233D0">
        <w:rPr>
          <w:sz w:val="20"/>
        </w:rPr>
        <w:fldChar w:fldCharType="end"/>
      </w:r>
      <w:r w:rsidRPr="007233D0">
        <w:rPr>
          <w:sz w:val="20"/>
        </w:rPr>
        <w:t>.</w:t>
      </w:r>
    </w:p>
  </w:footnote>
  <w:footnote w:id="90">
    <w:p w14:paraId="2A9B3CE9" w14:textId="773F48F8" w:rsidR="002D131A" w:rsidRPr="007233D0" w:rsidRDefault="002D131A">
      <w:pPr>
        <w:pStyle w:val="FootnoteText"/>
        <w:rPr>
          <w:sz w:val="20"/>
        </w:rPr>
      </w:pPr>
      <w:r w:rsidRPr="007233D0">
        <w:rPr>
          <w:rStyle w:val="FootnoteReference"/>
          <w:sz w:val="20"/>
        </w:rPr>
        <w:footnoteRef/>
      </w:r>
      <w:r w:rsidRPr="007233D0">
        <w:rPr>
          <w:sz w:val="20"/>
        </w:rPr>
        <w:t xml:space="preserve"> The </w:t>
      </w:r>
      <w:r w:rsidRPr="007233D0">
        <w:rPr>
          <w:sz w:val="20"/>
        </w:rPr>
        <w:fldChar w:fldCharType="begin"/>
      </w:r>
      <w:r w:rsidRPr="007233D0">
        <w:rPr>
          <w:sz w:val="20"/>
        </w:rPr>
        <w:instrText xml:space="preserve"> ADDIN EN.CITE &lt;EndNote&gt;&lt;Cite ExcludeAuth="1"&gt;&lt;Year&gt;2005&lt;/Year&gt;&lt;RecNum&gt;1481&lt;/RecNum&gt;&lt;Pages&gt;s 25(6)&lt;/Pages&gt;&lt;DisplayText&gt;MCA 2005, s 25(6)&lt;/DisplayText&gt;&lt;record&gt;&lt;rec-number&gt;1481&lt;/rec-number&gt;&lt;foreign-keys&gt;&lt;key app="EN" db-id="29e2pr0ebtzaxkedz5b5aefxftsede200wps" timestamp="1469957003"&gt;1481&lt;/key&gt;&lt;/foreign-keys&gt;&lt;ref-type name="Statute, SI, EU leg, Treaties"&gt;31&lt;/ref-type&gt;&lt;contributors&gt;&lt;/contributors&gt;&lt;titles&gt;&lt;title&gt;Mental Capacity Act 2005 (MCA 2005)&lt;/title&gt;&lt;short-title&gt;MCA 2005&lt;/short-title&gt;&lt;/titles&gt;&lt;dates&gt;&lt;year&gt;2005&lt;/year&gt;&lt;/dates&gt;&lt;urls&gt;&lt;/urls&gt;&lt;/record&gt;&lt;/Cite&gt;&lt;/EndNote&gt;</w:instrText>
      </w:r>
      <w:r w:rsidRPr="007233D0">
        <w:rPr>
          <w:sz w:val="20"/>
        </w:rPr>
        <w:fldChar w:fldCharType="separate"/>
      </w:r>
      <w:r w:rsidRPr="007233D0">
        <w:rPr>
          <w:sz w:val="20"/>
        </w:rPr>
        <w:t>MCA 2005, s 25(6)</w:t>
      </w:r>
      <w:r w:rsidRPr="007233D0">
        <w:rPr>
          <w:sz w:val="20"/>
        </w:rPr>
        <w:fldChar w:fldCharType="end"/>
      </w:r>
      <w:r w:rsidRPr="007233D0">
        <w:rPr>
          <w:sz w:val="20"/>
        </w:rPr>
        <w:t xml:space="preserve"> contains a requirement that advance refusals of LPT are witnessed. However, the witnessing provision only establishes that the advance refusal is attributable to </w:t>
      </w:r>
      <w:r w:rsidRPr="007233D0">
        <w:rPr>
          <w:i/>
          <w:sz w:val="20"/>
        </w:rPr>
        <w:t>P</w:t>
      </w:r>
      <w:r w:rsidRPr="007233D0">
        <w:rPr>
          <w:sz w:val="20"/>
        </w:rPr>
        <w:t xml:space="preserve">: </w:t>
      </w:r>
      <w:r w:rsidRPr="007233D0">
        <w:rPr>
          <w:sz w:val="20"/>
        </w:rPr>
        <w:fldChar w:fldCharType="begin"/>
      </w:r>
      <w:r w:rsidRPr="007233D0">
        <w:rPr>
          <w:sz w:val="20"/>
        </w:rPr>
        <w:instrText xml:space="preserve"> ADDIN EN.CITE &lt;EndNote&gt;&lt;Cite&gt;&lt;Author&gt;Department for Constitutional Affairs&lt;/Author&gt;&lt;Year&gt;2007&lt;/Year&gt;&lt;RecNum&gt;1811&lt;/RecNum&gt;&lt;Pages&gt;9.20-9.21&lt;/Pages&gt;&lt;DisplayText&gt;Department for Constitutional Affairs, &lt;style face="italic"&gt;Mental Capacity Act 2005: Code of Practice&lt;/style&gt; (TSO 2007) 9.20-9.21&lt;/DisplayText&gt;&lt;record&gt;&lt;rec-number&gt;1811&lt;/rec-number&gt;&lt;foreign-keys&gt;&lt;key app="EN" db-id="29e2pr0ebtzaxkedz5b5aefxftsede200wps" timestamp="1469958548"&gt;1811&lt;/key&gt;&lt;/foreign-keys&gt;&lt;ref-type name="Book (all books with authors, including edited or translated books)"&gt;6&lt;/ref-type&gt;&lt;contributors&gt;&lt;authors&gt;&lt;author&gt;Department for Constitutional Affairs,&lt;/author&gt;&lt;/authors&gt;&lt;/contributors&gt;&lt;titles&gt;&lt;title&gt;Mental Capacity Act 2005: Code of Practice&lt;/title&gt;&lt;short-title&gt;MCA CP&lt;/short-title&gt;&lt;/titles&gt;&lt;pages&gt;458 p.&lt;/pages&gt;&lt;keywords&gt;&lt;keyword&gt;Great Britain.&lt;/keyword&gt;&lt;keyword&gt;Mental health laws England.&lt;/keyword&gt;&lt;keyword&gt;Capacity and disability England.&lt;/keyword&gt;&lt;/keywords&gt;&lt;dates&gt;&lt;year&gt;2007&lt;/year&gt;&lt;/dates&gt;&lt;pub-location&gt;London&lt;/pub-location&gt;&lt;publisher&gt;TSO&lt;/publisher&gt;&lt;isbn&gt;9780117037564&lt;/isbn&gt;&lt;urls&gt;&lt;related-urls&gt;&lt;url&gt;http://www.guardianship.gov.uk/downloads/Code_of_Practice_-_Web.pdf&lt;/url&gt;&lt;/related-urls&gt;&lt;/urls&gt;&lt;/record&gt;&lt;/Cite&gt;&lt;/EndNote&gt;</w:instrText>
      </w:r>
      <w:r w:rsidRPr="007233D0">
        <w:rPr>
          <w:sz w:val="20"/>
        </w:rPr>
        <w:fldChar w:fldCharType="separate"/>
      </w:r>
      <w:r w:rsidRPr="007233D0">
        <w:rPr>
          <w:sz w:val="20"/>
        </w:rPr>
        <w:t xml:space="preserve">Department for Constitutional Affairs, </w:t>
      </w:r>
      <w:r w:rsidRPr="007233D0">
        <w:rPr>
          <w:i/>
          <w:sz w:val="20"/>
        </w:rPr>
        <w:t>Mental Capacity Act 2005: Code of Practice</w:t>
      </w:r>
      <w:r w:rsidRPr="007233D0">
        <w:rPr>
          <w:sz w:val="20"/>
        </w:rPr>
        <w:t xml:space="preserve"> (TSO 2007) 9.20-9.21</w:t>
      </w:r>
      <w:r w:rsidRPr="007233D0">
        <w:rPr>
          <w:sz w:val="20"/>
        </w:rPr>
        <w:fldChar w:fldCharType="end"/>
      </w:r>
      <w:r w:rsidRPr="007233D0">
        <w:rPr>
          <w:sz w:val="20"/>
        </w:rPr>
        <w:t xml:space="preserve">. It does not establish that </w:t>
      </w:r>
      <w:r w:rsidRPr="007233D0">
        <w:rPr>
          <w:i/>
          <w:sz w:val="20"/>
        </w:rPr>
        <w:t>P</w:t>
      </w:r>
      <w:r w:rsidRPr="007233D0">
        <w:rPr>
          <w:sz w:val="20"/>
        </w:rPr>
        <w:t xml:space="preserve">’s made her advance decision voluntarily, or as Rob Heywood observes, that she had capacity: </w:t>
      </w:r>
      <w:r w:rsidRPr="007233D0">
        <w:rPr>
          <w:sz w:val="20"/>
        </w:rPr>
        <w:fldChar w:fldCharType="begin"/>
      </w:r>
      <w:r w:rsidRPr="007233D0">
        <w:rPr>
          <w:sz w:val="20"/>
        </w:rPr>
        <w:instrText xml:space="preserve"> ADDIN EN.CITE &lt;EndNote&gt;&lt;Cite&gt;&lt;Author&gt;Heywood&lt;/Author&gt;&lt;Year&gt;2015&lt;/Year&gt;&lt;RecNum&gt;2278&lt;/RecNum&gt;&lt;Pages&gt;92&lt;/Pages&gt;&lt;DisplayText&gt;Rob Heywood, ‘Revisiting advance decision-making under the Mental Capacity Act 2005: A tale of mixed messages’ (2015) 23(1) Med Law Rev 81, 92&lt;/DisplayText&gt;&lt;record&gt;&lt;rec-number&gt;2278&lt;/rec-number&gt;&lt;foreign-keys&gt;&lt;key app="EN" db-id="29e2pr0ebtzaxkedz5b5aefxftsede200wps" timestamp="1475005065"&gt;2278&lt;/key&gt;&lt;/foreign-keys&gt;&lt;ref-type name="Journal Article"&gt;17&lt;/ref-type&gt;&lt;contributors&gt;&lt;authors&gt;&lt;author&gt;Heywood, Rob&lt;/author&gt;&lt;/authors&gt;&lt;/contributors&gt;&lt;titles&gt;&lt;title&gt;Revisiting advance decision-making under the Mental Capacity Act 2005: A tale of mixed messages&lt;/title&gt;&lt;secondary-title&gt;Medical Law Review&lt;/secondary-title&gt;&lt;/titles&gt;&lt;periodical&gt;&lt;full-title&gt;Medical Law Review&lt;/full-title&gt;&lt;abbr-1&gt;Med Law Rev&lt;/abbr-1&gt;&lt;/periodical&gt;&lt;pages&gt;81&lt;/pages&gt;&lt;volume&gt;23&lt;/volume&gt;&lt;number&gt;1&lt;/number&gt;&lt;dates&gt;&lt;year&gt;2015&lt;/year&gt;&lt;pub-dates&gt;&lt;date&gt;March 1, 2015&lt;/date&gt;&lt;/pub-dates&gt;&lt;/dates&gt;&lt;pub-location&gt;2015&lt;/pub-location&gt;&lt;urls&gt;&lt;related-urls&gt;&lt;url&gt;http://medlaw.oxfordjournals.org/content/23/1/81.abstract&lt;/url&gt;&lt;/related-urls&gt;&lt;/urls&gt;&lt;electronic-resource-num&gt;10.1093/medlaw/fwu021&lt;/electronic-resource-num&gt;&lt;/record&gt;&lt;/Cite&gt;&lt;/EndNote&gt;</w:instrText>
      </w:r>
      <w:r w:rsidRPr="007233D0">
        <w:rPr>
          <w:sz w:val="20"/>
        </w:rPr>
        <w:fldChar w:fldCharType="separate"/>
      </w:r>
      <w:r w:rsidRPr="007233D0">
        <w:rPr>
          <w:sz w:val="20"/>
        </w:rPr>
        <w:t>Rob Heywood, ‘Revisiting advance decision-making under the Mental Capacity Act 2005: A tale of mixed messages’ (2015) 23(1) Med Law Rev 81, 92</w:t>
      </w:r>
      <w:r w:rsidRPr="007233D0">
        <w:rPr>
          <w:sz w:val="20"/>
        </w:rPr>
        <w:fldChar w:fldCharType="end"/>
      </w:r>
      <w:r w:rsidRPr="007233D0">
        <w:rPr>
          <w:sz w:val="20"/>
        </w:rPr>
        <w:t xml:space="preserve">. In England and Wales, therefore, the task of protecting individuals who refuse treatment in advance falls primarily to the Court of Protection, which has the power in virtue of </w:t>
      </w:r>
      <w:r w:rsidRPr="007233D0">
        <w:rPr>
          <w:sz w:val="20"/>
        </w:rPr>
        <w:fldChar w:fldCharType="begin"/>
      </w:r>
      <w:r w:rsidRPr="007233D0">
        <w:rPr>
          <w:sz w:val="20"/>
        </w:rPr>
        <w:instrText xml:space="preserve"> ADDIN EN.CITE &lt;EndNote&gt;&lt;Cite ExcludeAuth="1"&gt;&lt;Year&gt;2005&lt;/Year&gt;&lt;RecNum&gt;1481&lt;/RecNum&gt;&lt;Pages&gt;s 26(4)&lt;/Pages&gt;&lt;DisplayText&gt;MCA 2005, s 26(4)&lt;/DisplayText&gt;&lt;record&gt;&lt;rec-number&gt;1481&lt;/rec-number&gt;&lt;foreign-keys&gt;&lt;key app="EN" db-id="29e2pr0ebtzaxkedz5b5aefxftsede200wps" timestamp="1469957003"&gt;1481&lt;/key&gt;&lt;/foreign-keys&gt;&lt;ref-type name="Statute, SI, EU leg, Treaties"&gt;31&lt;/ref-type&gt;&lt;contributors&gt;&lt;/contributors&gt;&lt;titles&gt;&lt;title&gt;Mental Capacity Act 2005 (MCA 2005)&lt;/title&gt;&lt;short-title&gt;MCA 2005&lt;/short-title&gt;&lt;/titles&gt;&lt;dates&gt;&lt;year&gt;2005&lt;/year&gt;&lt;/dates&gt;&lt;urls&gt;&lt;/urls&gt;&lt;/record&gt;&lt;/Cite&gt;&lt;/EndNote&gt;</w:instrText>
      </w:r>
      <w:r w:rsidRPr="007233D0">
        <w:rPr>
          <w:sz w:val="20"/>
        </w:rPr>
        <w:fldChar w:fldCharType="separate"/>
      </w:r>
      <w:r w:rsidRPr="007233D0">
        <w:rPr>
          <w:sz w:val="20"/>
        </w:rPr>
        <w:t>MCA 2005, s 26(4)</w:t>
      </w:r>
      <w:r w:rsidRPr="007233D0">
        <w:rPr>
          <w:sz w:val="20"/>
        </w:rPr>
        <w:fldChar w:fldCharType="end"/>
      </w:r>
      <w:r w:rsidRPr="007233D0">
        <w:rPr>
          <w:sz w:val="20"/>
        </w:rPr>
        <w:t xml:space="preserve"> to make declarations as to the existence, validity, and applicability of an advance decision. It is somewhat uncertain whether the presumption of capacity set out in MCA 2005, s 1(2) of the Act applies to advance decisions: see </w:t>
      </w:r>
      <w:r w:rsidRPr="007233D0">
        <w:rPr>
          <w:i/>
          <w:sz w:val="20"/>
        </w:rPr>
        <w:t xml:space="preserve">A Local Authority v E </w:t>
      </w:r>
      <w:r w:rsidRPr="007233D0">
        <w:rPr>
          <w:sz w:val="20"/>
        </w:rPr>
        <w:t xml:space="preserve">(n </w:t>
      </w:r>
      <w:r w:rsidRPr="007233D0">
        <w:rPr>
          <w:sz w:val="20"/>
        </w:rPr>
        <w:fldChar w:fldCharType="begin"/>
      </w:r>
      <w:r w:rsidRPr="007233D0">
        <w:rPr>
          <w:sz w:val="20"/>
        </w:rPr>
        <w:instrText xml:space="preserve"> NOTEREF _Ref497762789 \h  \* MERGEFORMAT </w:instrText>
      </w:r>
      <w:r w:rsidRPr="007233D0">
        <w:rPr>
          <w:sz w:val="20"/>
        </w:rPr>
      </w:r>
      <w:r w:rsidRPr="007233D0">
        <w:rPr>
          <w:sz w:val="20"/>
        </w:rPr>
        <w:fldChar w:fldCharType="separate"/>
      </w:r>
      <w:r>
        <w:rPr>
          <w:sz w:val="20"/>
        </w:rPr>
        <w:t>64</w:t>
      </w:r>
      <w:r w:rsidRPr="007233D0">
        <w:rPr>
          <w:sz w:val="20"/>
        </w:rPr>
        <w:fldChar w:fldCharType="end"/>
      </w:r>
      <w:r w:rsidRPr="007233D0">
        <w:rPr>
          <w:sz w:val="20"/>
        </w:rPr>
        <w:t>).</w:t>
      </w:r>
    </w:p>
  </w:footnote>
  <w:footnote w:id="91">
    <w:p w14:paraId="3D060CA4" w14:textId="2E1716ED" w:rsidR="002D131A" w:rsidRPr="007233D0" w:rsidRDefault="002D131A">
      <w:pPr>
        <w:pStyle w:val="FootnoteText"/>
        <w:rPr>
          <w:sz w:val="20"/>
        </w:rPr>
      </w:pPr>
      <w:r w:rsidRPr="007233D0">
        <w:rPr>
          <w:rStyle w:val="FootnoteReference"/>
          <w:sz w:val="20"/>
        </w:rPr>
        <w:footnoteRef/>
      </w:r>
      <w:r w:rsidRPr="007233D0">
        <w:rPr>
          <w:sz w:val="20"/>
        </w:rPr>
        <w:t xml:space="preserve"> Of course, it is a bone of some contention whether procedural safeguards can protect the ‘vulnerable’: see Lewis and Black, ‘Adherence to the request criterion…’ (n </w:t>
      </w:r>
      <w:r w:rsidRPr="007233D0">
        <w:rPr>
          <w:sz w:val="20"/>
        </w:rPr>
        <w:fldChar w:fldCharType="begin"/>
      </w:r>
      <w:r w:rsidRPr="007233D0">
        <w:rPr>
          <w:sz w:val="20"/>
        </w:rPr>
        <w:instrText xml:space="preserve"> NOTEREF _Ref497764105 \h  \* MERGEFORMAT </w:instrText>
      </w:r>
      <w:r w:rsidRPr="007233D0">
        <w:rPr>
          <w:sz w:val="20"/>
        </w:rPr>
      </w:r>
      <w:r w:rsidRPr="007233D0">
        <w:rPr>
          <w:sz w:val="20"/>
        </w:rPr>
        <w:fldChar w:fldCharType="separate"/>
      </w:r>
      <w:r>
        <w:rPr>
          <w:sz w:val="20"/>
        </w:rPr>
        <w:t>88</w:t>
      </w:r>
      <w:r w:rsidRPr="007233D0">
        <w:rPr>
          <w:sz w:val="20"/>
        </w:rPr>
        <w:fldChar w:fldCharType="end"/>
      </w:r>
      <w:r w:rsidRPr="007233D0">
        <w:rPr>
          <w:sz w:val="20"/>
        </w:rPr>
        <w:t xml:space="preserve">) and </w:t>
      </w:r>
      <w:r w:rsidRPr="007233D0">
        <w:rPr>
          <w:sz w:val="20"/>
        </w:rPr>
        <w:fldChar w:fldCharType="begin"/>
      </w:r>
      <w:r w:rsidRPr="007233D0">
        <w:rPr>
          <w:sz w:val="20"/>
        </w:rPr>
        <w:instrText xml:space="preserve"> ADDIN EN.CITE &lt;EndNote&gt;&lt;Cite&gt;&lt;Author&gt;Lewis&lt;/Author&gt;&lt;Year&gt;2012&lt;/Year&gt;&lt;RecNum&gt;2250&lt;/RecNum&gt;&lt;DisplayText&gt;Penney J Lewis and Isra Black, &lt;style face="italic"&gt;‘The effectiveness of legal safeguards in jurisdictions that allow assisted dying’, Briefing Paper for the Commission on Assisted Dying&lt;/style&gt; (Demos, 2012) &lt;style face="underline"&gt;http://philpapers.org/rec/LEWTEO-8&lt;/style&gt; accessed 2017/11/01&lt;/DisplayText&gt;&lt;record&gt;&lt;rec-number&gt;2250&lt;/rec-number&gt;&lt;foreign-keys&gt;&lt;key app="EN" db-id="29e2pr0ebtzaxkedz5b5aefxftsede200wps" timestamp="1471353100"&gt;2250&lt;/key&gt;&lt;/foreign-keys&gt;&lt;ref-type name="Report; Command Paper"&gt;27&lt;/ref-type&gt;&lt;contributors&gt;&lt;authors&gt;&lt;author&gt;Lewis, Penney J&lt;/author&gt;&lt;author&gt;Black, Isra&lt;/author&gt;&lt;/authors&gt;&lt;/contributors&gt;&lt;titles&gt;&lt;title&gt;‘The effectiveness of legal safeguards in jurisdictions that allow assisted dying’, Briefing Paper for the Commission on Assisted Dying&lt;/title&gt;&lt;secondary-title&gt;Demos&lt;/secondary-title&gt;&lt;/titles&gt;&lt;dates&gt;&lt;year&gt;2012&lt;/year&gt;&lt;/dates&gt;&lt;urls&gt;&lt;related-urls&gt;&lt;url&gt;http://philpapers.org/rec/LEWTEO-8&lt;/url&gt;&lt;/related-urls&gt;&lt;/urls&gt;&lt;access-date&gt;2017/11/01&lt;/access-date&gt;&lt;/record&gt;&lt;/Cite&gt;&lt;/EndNote&gt;</w:instrText>
      </w:r>
      <w:r w:rsidRPr="007233D0">
        <w:rPr>
          <w:sz w:val="20"/>
        </w:rPr>
        <w:fldChar w:fldCharType="separate"/>
      </w:r>
      <w:r w:rsidRPr="007233D0">
        <w:rPr>
          <w:noProof/>
          <w:sz w:val="20"/>
        </w:rPr>
        <w:t xml:space="preserve">Penney J Lewis and Isra Black, </w:t>
      </w:r>
      <w:r w:rsidRPr="007233D0">
        <w:rPr>
          <w:i/>
          <w:noProof/>
          <w:sz w:val="20"/>
        </w:rPr>
        <w:t>‘The effectiveness of legal safeguards in jurisdictions that allow assisted dying’, Briefing Paper for the Commission on Assisted Dying</w:t>
      </w:r>
      <w:r w:rsidRPr="007233D0">
        <w:rPr>
          <w:noProof/>
          <w:sz w:val="20"/>
        </w:rPr>
        <w:t xml:space="preserve"> (Demos, 2012) </w:t>
      </w:r>
      <w:r w:rsidRPr="007233D0">
        <w:rPr>
          <w:noProof/>
          <w:sz w:val="20"/>
          <w:u w:val="single"/>
        </w:rPr>
        <w:t>http://philpapers.org/rec/LEWTEO-8</w:t>
      </w:r>
      <w:r w:rsidRPr="007233D0">
        <w:rPr>
          <w:noProof/>
          <w:sz w:val="20"/>
        </w:rPr>
        <w:t xml:space="preserve"> accessed 2017/11/01</w:t>
      </w:r>
      <w:r w:rsidRPr="007233D0">
        <w:rPr>
          <w:sz w:val="20"/>
        </w:rPr>
        <w:fldChar w:fldCharType="end"/>
      </w:r>
      <w:r w:rsidRPr="007233D0">
        <w:rPr>
          <w:sz w:val="20"/>
        </w:rPr>
        <w:t xml:space="preserve"> for an evidence-based appraisal of this issue in the context of assisted death.</w:t>
      </w:r>
    </w:p>
  </w:footnote>
  <w:footnote w:id="92">
    <w:p w14:paraId="44B1C826" w14:textId="4775D6BE" w:rsidR="002D131A" w:rsidRPr="007233D0" w:rsidRDefault="002D131A">
      <w:pPr>
        <w:pStyle w:val="FootnoteText"/>
        <w:rPr>
          <w:sz w:val="20"/>
        </w:rPr>
      </w:pPr>
      <w:r w:rsidRPr="007233D0">
        <w:rPr>
          <w:rStyle w:val="FootnoteReference"/>
          <w:sz w:val="20"/>
        </w:rPr>
        <w:footnoteRef/>
      </w:r>
      <w:r w:rsidRPr="007233D0">
        <w:rPr>
          <w:sz w:val="20"/>
        </w:rPr>
        <w:t xml:space="preserve"> However, such measures may be justifiable if the outlook in respect of coercion and undue influence in a particular jurisdiction is very poor or the procedural framework is not robust.</w:t>
      </w:r>
    </w:p>
  </w:footnote>
  <w:footnote w:id="93">
    <w:p w14:paraId="0D9BDC1B" w14:textId="7D8A0CFB"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&lt;EndNote&gt;&lt;Cite&gt;&lt;Author&gt;Kamm&lt;/Author&gt;&lt;Year&gt;2013&lt;/Year&gt;&lt;RecNum&gt;941&lt;/RecNum&gt;&lt;Pages&gt;47&lt;/Pages&gt;&lt;DisplayText&gt;FM Kamm, &lt;style face="italic"&gt;Bioethical prescriptions: to create, end, choose, and improve lives&lt;/style&gt; (OUP 2013) 47&lt;/DisplayText&gt;&lt;record&gt;&lt;rec-number&gt;941&lt;/rec-number&gt;&lt;foreign-keys&gt;&lt;key app="EN" db-id="29e2pr0ebtzaxkedz5b5aefxftsede200wps" timestamp="1469956988"&gt;941&lt;/key&gt;&lt;/foreign-keys&gt;&lt;ref-type name="Book (all books with authors, including edited or translated books)"&gt;6&lt;/ref-type&gt;&lt;contributors&gt;&lt;authors&gt;&lt;author&gt;Kamm, FM&lt;/author&gt;&lt;/authors&gt;&lt;/contributors&gt;&lt;titles&gt;&lt;title&gt;Bioethical prescriptions: to create, end, choose, and improve lives&lt;/title&gt;&lt;/titles&gt;&lt;pages&gt;xlv, 599 pages&lt;/pages&gt;&lt;keywords&gt;&lt;keyword&gt;Medical ethics.&lt;/keyword&gt;&lt;keyword&gt;Bioethics.&lt;/keyword&gt;&lt;keyword&gt;Medicine Philosophy.&lt;/keyword&gt;&lt;keyword&gt;Human experimentation in medicine Moral and ethical aspects.&lt;/keyword&gt;&lt;/keywords&gt;&lt;dates&gt;&lt;year&gt;2013&lt;/year&gt;&lt;/dates&gt;&lt;pub-location&gt;Oxford&lt;/pub-location&gt;&lt;publisher&gt;OUP&lt;/publisher&gt;&lt;isbn&gt;9780199971985 (hardback alk. paper)&amp;#xD;9780199971992 (updf)&lt;/isbn&gt;&lt;accession-num&gt;17663508&lt;/accession-num&gt;&lt;call-num&gt;R724 .K25 2013&lt;/call-num&gt;&lt;urls&gt;&lt;/urls&gt;&lt;/record&gt;&lt;/Cite&gt;&lt;/EndNote&gt;</w:instrText>
      </w:r>
      <w:r w:rsidRPr="007233D0">
        <w:rPr>
          <w:sz w:val="20"/>
        </w:rPr>
        <w:fldChar w:fldCharType="separate"/>
      </w:r>
      <w:r w:rsidRPr="007233D0">
        <w:rPr>
          <w:sz w:val="20"/>
        </w:rPr>
        <w:t xml:space="preserve">FM </w:t>
      </w:r>
      <w:proofErr w:type="spellStart"/>
      <w:r w:rsidRPr="007233D0">
        <w:rPr>
          <w:sz w:val="20"/>
        </w:rPr>
        <w:t>Kamm</w:t>
      </w:r>
      <w:proofErr w:type="spellEnd"/>
      <w:r w:rsidRPr="007233D0">
        <w:rPr>
          <w:sz w:val="20"/>
        </w:rPr>
        <w:t xml:space="preserve">, </w:t>
      </w:r>
      <w:r w:rsidRPr="007233D0">
        <w:rPr>
          <w:i/>
          <w:sz w:val="20"/>
        </w:rPr>
        <w:t>Bioethical prescriptions: to create, end, choose, and improve lives</w:t>
      </w:r>
      <w:r w:rsidRPr="007233D0">
        <w:rPr>
          <w:sz w:val="20"/>
        </w:rPr>
        <w:t xml:space="preserve"> (OUP 2013) 47</w:t>
      </w:r>
      <w:r w:rsidRPr="007233D0">
        <w:rPr>
          <w:sz w:val="20"/>
        </w:rPr>
        <w:fldChar w:fldCharType="end"/>
      </w:r>
      <w:r w:rsidRPr="007233D0">
        <w:rPr>
          <w:sz w:val="20"/>
        </w:rPr>
        <w:t xml:space="preserve">; See also Buchanan and Brock (n </w:t>
      </w:r>
      <w:r w:rsidRPr="007233D0">
        <w:rPr>
          <w:sz w:val="20"/>
        </w:rPr>
        <w:fldChar w:fldCharType="begin"/>
      </w:r>
      <w:r w:rsidRPr="007233D0">
        <w:rPr>
          <w:sz w:val="20"/>
        </w:rPr>
        <w:instrText xml:space="preserve"> NOTEREF _Ref497764206 \h  \* MERGEFORMAT </w:instrText>
      </w:r>
      <w:r w:rsidRPr="007233D0">
        <w:rPr>
          <w:sz w:val="20"/>
        </w:rPr>
      </w:r>
      <w:r w:rsidRPr="007233D0">
        <w:rPr>
          <w:sz w:val="20"/>
        </w:rPr>
        <w:fldChar w:fldCharType="separate"/>
      </w:r>
      <w:r>
        <w:rPr>
          <w:sz w:val="20"/>
        </w:rPr>
        <w:t>60</w:t>
      </w:r>
      <w:r w:rsidRPr="007233D0">
        <w:rPr>
          <w:sz w:val="20"/>
        </w:rPr>
        <w:fldChar w:fldCharType="end"/>
      </w:r>
      <w:r w:rsidRPr="007233D0">
        <w:rPr>
          <w:sz w:val="20"/>
        </w:rPr>
        <w:t>) 53.</w:t>
      </w:r>
    </w:p>
  </w:footnote>
  <w:footnote w:id="94">
    <w:p w14:paraId="42A77830" w14:textId="77777777" w:rsidR="002D131A" w:rsidRPr="007233D0" w:rsidRDefault="002D131A" w:rsidP="00C17B72">
      <w:pPr>
        <w:pStyle w:val="FootnoteText"/>
        <w:rPr>
          <w:sz w:val="20"/>
        </w:rPr>
      </w:pPr>
      <w:r w:rsidRPr="007233D0">
        <w:rPr>
          <w:rStyle w:val="FootnoteReference"/>
          <w:sz w:val="20"/>
        </w:rPr>
        <w:footnoteRef/>
      </w:r>
      <w:r w:rsidRPr="007233D0">
        <w:rPr>
          <w:sz w:val="20"/>
        </w:rPr>
        <w:t xml:space="preserve"> Of course, it may be possible to promote public safety by some other means, for example, quarantine, in which case it is unlikely to be justifiable also to restrict </w:t>
      </w:r>
      <w:r w:rsidRPr="007233D0">
        <w:rPr>
          <w:i/>
          <w:sz w:val="20"/>
        </w:rPr>
        <w:t>P</w:t>
      </w:r>
      <w:r w:rsidRPr="007233D0">
        <w:rPr>
          <w:sz w:val="20"/>
        </w:rPr>
        <w:t>’s refusal of treatment.</w:t>
      </w:r>
    </w:p>
  </w:footnote>
  <w:footnote w:id="95">
    <w:p w14:paraId="21A6508A" w14:textId="52C718FF" w:rsidR="002D131A" w:rsidRPr="007233D0" w:rsidRDefault="002D131A">
      <w:pPr>
        <w:pStyle w:val="FootnoteText"/>
        <w:rPr>
          <w:sz w:val="20"/>
        </w:rPr>
      </w:pPr>
      <w:r w:rsidRPr="007233D0">
        <w:rPr>
          <w:rStyle w:val="FootnoteReference"/>
          <w:sz w:val="20"/>
        </w:rPr>
        <w:footnoteRef/>
      </w:r>
      <w:r w:rsidRPr="007233D0">
        <w:rPr>
          <w:sz w:val="20"/>
        </w:rPr>
        <w:t xml:space="preserve"> </w:t>
      </w:r>
      <w:proofErr w:type="spellStart"/>
      <w:r w:rsidRPr="007233D0">
        <w:rPr>
          <w:sz w:val="20"/>
        </w:rPr>
        <w:t>Letsas</w:t>
      </w:r>
      <w:proofErr w:type="spellEnd"/>
      <w:r w:rsidRPr="007233D0">
        <w:rPr>
          <w:sz w:val="20"/>
        </w:rPr>
        <w:t xml:space="preserve"> (n </w:t>
      </w:r>
      <w:r w:rsidRPr="007233D0">
        <w:rPr>
          <w:sz w:val="20"/>
        </w:rPr>
        <w:fldChar w:fldCharType="begin"/>
      </w:r>
      <w:r w:rsidRPr="007233D0">
        <w:rPr>
          <w:sz w:val="20"/>
        </w:rPr>
        <w:instrText xml:space="preserve"> NOTEREF _Ref497761893 \h  \* MERGEFORMAT </w:instrText>
      </w:r>
      <w:r w:rsidRPr="007233D0">
        <w:rPr>
          <w:sz w:val="20"/>
        </w:rPr>
      </w:r>
      <w:r w:rsidRPr="007233D0">
        <w:rPr>
          <w:sz w:val="20"/>
        </w:rPr>
        <w:fldChar w:fldCharType="separate"/>
      </w:r>
      <w:r>
        <w:rPr>
          <w:sz w:val="20"/>
        </w:rPr>
        <w:t>37</w:t>
      </w:r>
      <w:r w:rsidRPr="007233D0">
        <w:rPr>
          <w:sz w:val="20"/>
        </w:rPr>
        <w:fldChar w:fldCharType="end"/>
      </w:r>
      <w:r w:rsidRPr="007233D0">
        <w:rPr>
          <w:sz w:val="20"/>
        </w:rPr>
        <w:t>) 329.</w:t>
      </w:r>
    </w:p>
  </w:footnote>
  <w:footnote w:id="96">
    <w:p w14:paraId="510D9EA9" w14:textId="3BA652C0"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&lt;EndNote&gt;&lt;Cite&gt;&lt;Author&gt;Dworkin&lt;/Author&gt;&lt;Year&gt;1977&lt;/Year&gt;&lt;RecNum&gt;2255&lt;/RecNum&gt;&lt;DisplayText&gt;Ronald Dworkin, &lt;style face="italic"&gt;Taking rights seriously&lt;/style&gt; (Harvard University Press 1977)&lt;/DisplayText&gt;&lt;record&gt;&lt;rec-number&gt;2255&lt;/rec-number&gt;&lt;foreign-keys&gt;&lt;key app="EN" db-id="29e2pr0ebtzaxkedz5b5aefxftsede200wps" timestamp="1471354130"&gt;2255&lt;/key&gt;&lt;/foreign-keys&gt;&lt;ref-type name="Book (all books with authors, including edited or translated books)"&gt;6&lt;/ref-type&gt;&lt;contributors&gt;&lt;authors&gt;&lt;author&gt;Dworkin, Ronald&lt;/author&gt;&lt;/authors&gt;&lt;/contributors&gt;&lt;titles&gt;&lt;title&gt;Taking rights seriously&lt;/title&gt;&lt;/titles&gt;&lt;pages&gt;xv, 293 p.&lt;/pages&gt;&lt;keywords&gt;&lt;keyword&gt;Law Philosophy.&lt;/keyword&gt;&lt;keyword&gt;Jurisprudence.&lt;/keyword&gt;&lt;keyword&gt;Political rights.&lt;/keyword&gt;&lt;keyword&gt;Legal positivism.&lt;/keyword&gt;&lt;keyword&gt;Law United States.&lt;/keyword&gt;&lt;/keywords&gt;&lt;dates&gt;&lt;year&gt;1977&lt;/year&gt;&lt;/dates&gt;&lt;pub-location&gt;Cambridge&lt;/pub-location&gt;&lt;publisher&gt;Harvard University Press&lt;/publisher&gt;&lt;isbn&gt;0674867106&lt;/isbn&gt;&lt;accession-num&gt;1291363&lt;/accession-num&gt;&lt;call-num&gt;K240 .D9 1977&lt;/call-num&gt;&lt;urls&gt;&lt;/urls&gt;&lt;/record&gt;&lt;/Cite&gt;&lt;/EndNote&gt;</w:instrText>
      </w:r>
      <w:r w:rsidRPr="007233D0">
        <w:rPr>
          <w:sz w:val="20"/>
        </w:rPr>
        <w:fldChar w:fldCharType="separate"/>
      </w:r>
      <w:r w:rsidRPr="007233D0">
        <w:rPr>
          <w:sz w:val="20"/>
        </w:rPr>
        <w:t xml:space="preserve">Ronald Dworkin, </w:t>
      </w:r>
      <w:r w:rsidRPr="007233D0">
        <w:rPr>
          <w:i/>
          <w:sz w:val="20"/>
        </w:rPr>
        <w:t>Taking rights seriously</w:t>
      </w:r>
      <w:r w:rsidRPr="007233D0">
        <w:rPr>
          <w:sz w:val="20"/>
        </w:rPr>
        <w:t xml:space="preserve"> (Harvard University Press 1977)</w:t>
      </w:r>
      <w:r w:rsidRPr="007233D0">
        <w:rPr>
          <w:sz w:val="20"/>
        </w:rPr>
        <w:fldChar w:fldCharType="end"/>
      </w:r>
      <w:r w:rsidRPr="007233D0">
        <w:rPr>
          <w:sz w:val="20"/>
        </w:rPr>
        <w:t>.</w:t>
      </w:r>
    </w:p>
  </w:footnote>
  <w:footnote w:id="97">
    <w:p w14:paraId="044BA276" w14:textId="2D0CFD5A" w:rsidR="002D131A" w:rsidRPr="007233D0" w:rsidRDefault="002D131A">
      <w:pPr>
        <w:pStyle w:val="FootnoteText"/>
        <w:rPr>
          <w:sz w:val="20"/>
          <w:lang w:val="sv-SE"/>
        </w:rPr>
      </w:pPr>
      <w:r w:rsidRPr="007233D0">
        <w:rPr>
          <w:rStyle w:val="FootnoteReference"/>
          <w:sz w:val="20"/>
        </w:rPr>
        <w:footnoteRef/>
      </w:r>
      <w:r w:rsidRPr="007233D0">
        <w:rPr>
          <w:sz w:val="20"/>
          <w:lang w:val="sv-SE"/>
        </w:rPr>
        <w:t xml:space="preserve"> </w:t>
      </w:r>
      <w:r w:rsidRPr="007233D0">
        <w:rPr>
          <w:sz w:val="20"/>
          <w:lang w:val="sv-SE"/>
        </w:rPr>
        <w:t xml:space="preserve">Letsas (n </w:t>
      </w:r>
      <w:r w:rsidRPr="007233D0">
        <w:rPr>
          <w:sz w:val="20"/>
          <w:lang w:val="sv-SE"/>
        </w:rPr>
        <w:fldChar w:fldCharType="begin"/>
      </w:r>
      <w:r w:rsidRPr="007233D0">
        <w:rPr>
          <w:sz w:val="20"/>
          <w:lang w:val="sv-SE"/>
        </w:rPr>
        <w:instrText xml:space="preserve"> NOTEREF _Ref497761893 \h  \* MERGEFORMAT </w:instrText>
      </w:r>
      <w:r w:rsidRPr="007233D0">
        <w:rPr>
          <w:sz w:val="20"/>
          <w:lang w:val="sv-SE"/>
        </w:rPr>
      </w:r>
      <w:r w:rsidRPr="007233D0">
        <w:rPr>
          <w:sz w:val="20"/>
          <w:lang w:val="sv-SE"/>
        </w:rPr>
        <w:fldChar w:fldCharType="separate"/>
      </w:r>
      <w:r>
        <w:rPr>
          <w:sz w:val="20"/>
          <w:lang w:val="sv-SE"/>
        </w:rPr>
        <w:t>37</w:t>
      </w:r>
      <w:r w:rsidRPr="007233D0">
        <w:rPr>
          <w:sz w:val="20"/>
          <w:lang w:val="sv-SE"/>
        </w:rPr>
        <w:fldChar w:fldCharType="end"/>
      </w:r>
      <w:r w:rsidRPr="007233D0">
        <w:rPr>
          <w:sz w:val="20"/>
          <w:lang w:val="sv-SE"/>
        </w:rPr>
        <w:t>) 329.</w:t>
      </w:r>
    </w:p>
  </w:footnote>
  <w:footnote w:id="98">
    <w:p w14:paraId="3C692933" w14:textId="472385B3" w:rsidR="002D131A" w:rsidRPr="007233D0" w:rsidRDefault="002D131A">
      <w:pPr>
        <w:pStyle w:val="FootnoteText"/>
        <w:rPr>
          <w:sz w:val="20"/>
          <w:lang w:val="sv-SE"/>
        </w:rPr>
      </w:pPr>
      <w:r w:rsidRPr="007233D0">
        <w:rPr>
          <w:rStyle w:val="FootnoteReference"/>
          <w:sz w:val="20"/>
        </w:rPr>
        <w:footnoteRef/>
      </w:r>
      <w:r w:rsidRPr="007233D0">
        <w:rPr>
          <w:sz w:val="20"/>
          <w:lang w:val="sv-SE"/>
        </w:rPr>
        <w:t xml:space="preserve"> </w:t>
      </w:r>
      <w:r w:rsidRPr="007233D0">
        <w:rPr>
          <w:sz w:val="20"/>
          <w:lang w:val="sv-SE"/>
        </w:rPr>
        <w:t xml:space="preserve">ibid </w:t>
      </w:r>
      <w:r w:rsidRPr="007233D0">
        <w:rPr>
          <w:sz w:val="20"/>
          <w:lang w:val="sv-SE"/>
        </w:rPr>
        <w:t>330.</w:t>
      </w:r>
    </w:p>
  </w:footnote>
  <w:footnote w:id="99">
    <w:p w14:paraId="5A87F7E2" w14:textId="0119239D" w:rsidR="002D131A" w:rsidRPr="007233D0" w:rsidRDefault="002D131A">
      <w:pPr>
        <w:pStyle w:val="FootnoteText"/>
        <w:rPr>
          <w:sz w:val="20"/>
        </w:rPr>
      </w:pPr>
      <w:r w:rsidRPr="007233D0">
        <w:rPr>
          <w:rStyle w:val="FootnoteReference"/>
          <w:sz w:val="20"/>
        </w:rPr>
        <w:footnoteRef/>
      </w:r>
      <w:r w:rsidRPr="007233D0">
        <w:rPr>
          <w:sz w:val="20"/>
        </w:rPr>
        <w:t xml:space="preserve"> ibid 329; These excluded empirical facts might be described as ‘irrelevant utilities’: </w:t>
      </w:r>
      <w:r w:rsidRPr="007233D0">
        <w:rPr>
          <w:sz w:val="20"/>
        </w:rPr>
        <w:fldChar w:fldCharType="begin"/>
      </w:r>
      <w:r w:rsidRPr="007233D0">
        <w:rPr>
          <w:sz w:val="20"/>
        </w:rPr>
        <w:instrText xml:space="preserve"> ADDIN EN.CITE &lt;EndNote&gt;&lt;Cite&gt;&lt;Author&gt;Kamm&lt;/Author&gt;&lt;Year&gt;1987&lt;/Year&gt;&lt;RecNum&gt;2428&lt;/RecNum&gt;&lt;DisplayText&gt;F M Kamm, ‘The Choice Between People: &amp;apos;Common Sense&amp;apos; Morality, and Doctors’ (1987) 1(3) Bioethics 255&lt;/DisplayText&gt;&lt;record&gt;&lt;rec-number&gt;2428&lt;/rec-number&gt;&lt;foreign-keys&gt;&lt;key app="EN" db-id="29e2pr0ebtzaxkedz5b5aefxftsede200wps" timestamp="1486658363"&gt;2428&lt;/key&gt;&lt;/foreign-keys&gt;&lt;ref-type name="Journal Article"&gt;17&lt;/ref-type&gt;&lt;contributors&gt;&lt;authors&gt;&lt;author&gt;Kamm, F M&lt;/author&gt;&lt;/authors&gt;&lt;/contributors&gt;&lt;titles&gt;&lt;title&gt;The Choice Between People: &amp;apos;Common Sense&amp;apos; Morality, and Doctors&lt;/title&gt;&lt;secondary-title&gt;Bioethics&lt;/secondary-title&gt;&lt;/titles&gt;&lt;periodical&gt;&lt;full-title&gt;Bioethics&lt;/full-title&gt;&lt;abbr-1&gt;Bioethics&lt;/abbr-1&gt;&lt;abbr-2&gt;Bioethics&lt;/abbr-2&gt;&lt;/periodical&gt;&lt;pages&gt;255&lt;/pages&gt;&lt;volume&gt;1&lt;/volume&gt;&lt;number&gt;3&lt;/number&gt;&lt;dates&gt;&lt;year&gt;1987&lt;/year&gt;&lt;/dates&gt;&lt;pub-location&gt;1987&lt;/pub-location&gt;&lt;isbn&gt;1467-8519&lt;/isbn&gt;&lt;urls&gt;&lt;related-urls&gt;&lt;url&gt;http://dx.doi.org/10.1111/j.1467-8519.1987.tb00011.x&lt;/url&gt;&lt;/related-urls&gt;&lt;/urls&gt;&lt;electronic-resource-num&gt;10.1111/j.1467-8519.1987.tb00011.x&lt;/electronic-resource-num&gt;&lt;/record&gt;&lt;/Cite&gt;&lt;/EndNote&gt;</w:instrText>
      </w:r>
      <w:r w:rsidRPr="007233D0">
        <w:rPr>
          <w:sz w:val="20"/>
        </w:rPr>
        <w:fldChar w:fldCharType="separate"/>
      </w:r>
      <w:r w:rsidRPr="007233D0">
        <w:rPr>
          <w:sz w:val="20"/>
        </w:rPr>
        <w:t xml:space="preserve">F M </w:t>
      </w:r>
      <w:proofErr w:type="spellStart"/>
      <w:r w:rsidRPr="007233D0">
        <w:rPr>
          <w:sz w:val="20"/>
        </w:rPr>
        <w:t>Kamm</w:t>
      </w:r>
      <w:proofErr w:type="spellEnd"/>
      <w:r w:rsidRPr="007233D0">
        <w:rPr>
          <w:sz w:val="20"/>
        </w:rPr>
        <w:t>, ‘The Choice Between People: 'Common Sense' Morality, and Doctors’ (1987) 1(3) Bioethics 255</w:t>
      </w:r>
      <w:r w:rsidRPr="007233D0">
        <w:rPr>
          <w:sz w:val="20"/>
        </w:rPr>
        <w:fldChar w:fldCharType="end"/>
      </w:r>
      <w:r w:rsidRPr="007233D0">
        <w:rPr>
          <w:sz w:val="20"/>
        </w:rPr>
        <w:t>.</w:t>
      </w:r>
    </w:p>
  </w:footnote>
  <w:footnote w:id="100">
    <w:p w14:paraId="61ADDD67" w14:textId="5CAAB2B7" w:rsidR="002D131A" w:rsidRPr="007233D0" w:rsidRDefault="002D131A">
      <w:pPr>
        <w:pStyle w:val="FootnoteText"/>
        <w:rPr>
          <w:sz w:val="20"/>
          <w:lang w:val="sv-SE"/>
        </w:rPr>
      </w:pPr>
      <w:r w:rsidRPr="007233D0">
        <w:rPr>
          <w:rStyle w:val="FootnoteReference"/>
          <w:sz w:val="20"/>
        </w:rPr>
        <w:footnoteRef/>
      </w:r>
      <w:r w:rsidRPr="007233D0">
        <w:rPr>
          <w:sz w:val="20"/>
          <w:lang w:val="sv-SE"/>
        </w:rPr>
        <w:t xml:space="preserve"> </w:t>
      </w:r>
      <w:r w:rsidRPr="007233D0">
        <w:rPr>
          <w:sz w:val="20"/>
          <w:lang w:val="sv-SE"/>
        </w:rPr>
        <w:t xml:space="preserve">Letsas (n </w:t>
      </w:r>
      <w:r w:rsidRPr="007233D0">
        <w:rPr>
          <w:sz w:val="20"/>
          <w:lang w:val="sv-SE"/>
        </w:rPr>
        <w:fldChar w:fldCharType="begin"/>
      </w:r>
      <w:r w:rsidRPr="007233D0">
        <w:rPr>
          <w:sz w:val="20"/>
          <w:lang w:val="sv-SE"/>
        </w:rPr>
        <w:instrText xml:space="preserve"> NOTEREF _Ref497761893 \h  \* MERGEFORMAT </w:instrText>
      </w:r>
      <w:r w:rsidRPr="007233D0">
        <w:rPr>
          <w:sz w:val="20"/>
          <w:lang w:val="sv-SE"/>
        </w:rPr>
      </w:r>
      <w:r w:rsidRPr="007233D0">
        <w:rPr>
          <w:sz w:val="20"/>
          <w:lang w:val="sv-SE"/>
        </w:rPr>
        <w:fldChar w:fldCharType="separate"/>
      </w:r>
      <w:r>
        <w:rPr>
          <w:sz w:val="20"/>
          <w:lang w:val="sv-SE"/>
        </w:rPr>
        <w:t>37</w:t>
      </w:r>
      <w:r w:rsidRPr="007233D0">
        <w:rPr>
          <w:sz w:val="20"/>
          <w:lang w:val="sv-SE"/>
        </w:rPr>
        <w:fldChar w:fldCharType="end"/>
      </w:r>
      <w:r w:rsidRPr="007233D0">
        <w:rPr>
          <w:sz w:val="20"/>
          <w:lang w:val="sv-SE"/>
        </w:rPr>
        <w:t>) 330.</w:t>
      </w:r>
    </w:p>
  </w:footnote>
  <w:footnote w:id="101">
    <w:p w14:paraId="381F99E0" w14:textId="2109DC73" w:rsidR="002D131A" w:rsidRPr="007233D0" w:rsidRDefault="002D131A">
      <w:pPr>
        <w:pStyle w:val="FootnoteText"/>
        <w:rPr>
          <w:sz w:val="20"/>
          <w:lang w:val="sv-SE"/>
        </w:rPr>
      </w:pPr>
      <w:r w:rsidRPr="007233D0">
        <w:rPr>
          <w:rStyle w:val="FootnoteReference"/>
          <w:sz w:val="20"/>
        </w:rPr>
        <w:footnoteRef/>
      </w:r>
      <w:r w:rsidRPr="007233D0">
        <w:rPr>
          <w:sz w:val="20"/>
          <w:lang w:val="sv-SE"/>
        </w:rPr>
        <w:t xml:space="preserve"> </w:t>
      </w:r>
      <w:r w:rsidRPr="007233D0">
        <w:rPr>
          <w:sz w:val="20"/>
          <w:lang w:val="sv-SE"/>
        </w:rPr>
        <w:t xml:space="preserve">ibid </w:t>
      </w:r>
      <w:r w:rsidRPr="007233D0">
        <w:rPr>
          <w:sz w:val="20"/>
          <w:lang w:val="sv-SE"/>
        </w:rPr>
        <w:t>330, 332.</w:t>
      </w:r>
    </w:p>
  </w:footnote>
  <w:footnote w:id="102">
    <w:p w14:paraId="786CBFE3" w14:textId="35B0D1A2" w:rsidR="002D131A" w:rsidRPr="007233D0" w:rsidRDefault="002D131A">
      <w:pPr>
        <w:pStyle w:val="FootnoteText"/>
        <w:rPr>
          <w:sz w:val="20"/>
        </w:rPr>
      </w:pPr>
      <w:r w:rsidRPr="007233D0">
        <w:rPr>
          <w:rStyle w:val="FootnoteReference"/>
          <w:sz w:val="20"/>
        </w:rPr>
        <w:footnoteRef/>
      </w:r>
      <w:r w:rsidRPr="007233D0">
        <w:rPr>
          <w:sz w:val="20"/>
        </w:rPr>
        <w:t xml:space="preserve"> </w:t>
      </w:r>
      <w:proofErr w:type="spellStart"/>
      <w:r w:rsidRPr="007233D0">
        <w:rPr>
          <w:sz w:val="20"/>
        </w:rPr>
        <w:t>Hurka</w:t>
      </w:r>
      <w:proofErr w:type="spellEnd"/>
      <w:r w:rsidRPr="007233D0">
        <w:rPr>
          <w:sz w:val="20"/>
        </w:rPr>
        <w:t xml:space="preserve"> (n </w:t>
      </w:r>
      <w:r w:rsidRPr="007233D0">
        <w:rPr>
          <w:sz w:val="20"/>
        </w:rPr>
        <w:fldChar w:fldCharType="begin"/>
      </w:r>
      <w:r w:rsidRPr="007233D0">
        <w:rPr>
          <w:sz w:val="20"/>
        </w:rPr>
        <w:instrText xml:space="preserve"> NOTEREF _Ref497762742 \h  \* MERGEFORMAT </w:instrText>
      </w:r>
      <w:r w:rsidRPr="007233D0">
        <w:rPr>
          <w:sz w:val="20"/>
        </w:rPr>
      </w:r>
      <w:r w:rsidRPr="007233D0">
        <w:rPr>
          <w:sz w:val="20"/>
        </w:rPr>
        <w:fldChar w:fldCharType="separate"/>
      </w:r>
      <w:r>
        <w:rPr>
          <w:sz w:val="20"/>
        </w:rPr>
        <w:t>56</w:t>
      </w:r>
      <w:r w:rsidRPr="007233D0">
        <w:rPr>
          <w:sz w:val="20"/>
        </w:rPr>
        <w:fldChar w:fldCharType="end"/>
      </w:r>
      <w:r w:rsidRPr="007233D0">
        <w:rPr>
          <w:sz w:val="20"/>
        </w:rPr>
        <w:t>) 375. This claim is true regardless of whether autonomy has instrumental or intrinsic value.</w:t>
      </w:r>
    </w:p>
  </w:footnote>
  <w:footnote w:id="103">
    <w:p w14:paraId="25CC7783" w14:textId="0B4875CB" w:rsidR="002D131A" w:rsidRPr="007233D0" w:rsidRDefault="002D131A">
      <w:pPr>
        <w:pStyle w:val="FootnoteText"/>
        <w:rPr>
          <w:sz w:val="20"/>
        </w:rPr>
      </w:pPr>
      <w:r w:rsidRPr="007233D0">
        <w:rPr>
          <w:rStyle w:val="FootnoteReference"/>
          <w:sz w:val="20"/>
        </w:rPr>
        <w:footnoteRef/>
      </w:r>
      <w:r w:rsidRPr="007233D0">
        <w:rPr>
          <w:sz w:val="20"/>
        </w:rPr>
        <w:t xml:space="preserve"> This may, but need not be, underpinned by a comprehensive scheme of moral beliefs: </w:t>
      </w:r>
      <w:r w:rsidRPr="007233D0">
        <w:rPr>
          <w:sz w:val="20"/>
        </w:rPr>
        <w:fldChar w:fldCharType="begin"/>
      </w:r>
      <w:r w:rsidRPr="007233D0">
        <w:rPr>
          <w:sz w:val="20"/>
        </w:rPr>
        <w:instrText xml:space="preserve"> ADDIN EN.CITE &lt;EndNote&gt;&lt;Cite&gt;&lt;Author&gt;Rawls&lt;/Author&gt;&lt;Year&gt;2005&lt;/Year&gt;&lt;RecNum&gt;2259&lt;/RecNum&gt;&lt;Pages&gt;13&lt;/Pages&gt;&lt;DisplayText&gt;John Rawls, &lt;style face="italic"&gt;Political liberalism&lt;/style&gt; (expanded edn, Columbia University Press 2005) 13&lt;/DisplayText&gt;&lt;record&gt;&lt;rec-number&gt;2259&lt;/rec-number&gt;&lt;foreign-keys&gt;&lt;key app="EN" db-id="29e2pr0ebtzaxkedz5b5aefxftsede200wps" timestamp="1471354278"&gt;2259&lt;/key&gt;&lt;/foreign-keys&gt;&lt;ref-type name="Book (all books with authors, including edited or translated books)"&gt;6&lt;/ref-type&gt;&lt;contributors&gt;&lt;authors&gt;&lt;author&gt;Rawls, John&lt;/author&gt;&lt;/authors&gt;&lt;/contributors&gt;&lt;titles&gt;&lt;title&gt;Political liberalism&lt;/title&gt;&lt;secondary-title&gt;Columbia classics in philosophy&lt;/secondary-title&gt;&lt;/titles&gt;&lt;pages&gt;lx, 525 p.&lt;/pages&gt;&lt;edition&gt;expanded&lt;/edition&gt;&lt;keywords&gt;&lt;keyword&gt;Justice.&lt;/keyword&gt;&lt;keyword&gt;Liberalism.&lt;/keyword&gt;&lt;keyword&gt;Political stability.&lt;/keyword&gt;&lt;/keywords&gt;&lt;dates&gt;&lt;year&gt;2005&lt;/year&gt;&lt;/dates&gt;&lt;pub-location&gt;New York&lt;/pub-location&gt;&lt;publisher&gt;Columbia University Press&lt;/publisher&gt;&lt;isbn&gt;0231130880 (cloth alk. paper)&amp;#xD;0231130899 (paper alk. paper)&lt;/isbn&gt;&lt;accession-num&gt;13700299&lt;/accession-num&gt;&lt;call-num&gt;JC578 .R37 2005&lt;/call-num&gt;&lt;urls&gt;&lt;related-urls&gt;&lt;url&gt;Table of contents http://www.loc.gov/catdir/toc/fy0607/2004058205.html&lt;/url&gt;&lt;/related-urls&gt;&lt;/urls&gt;&lt;/record&gt;&lt;/Cite&gt;&lt;/EndNote&gt;</w:instrText>
      </w:r>
      <w:r w:rsidRPr="007233D0">
        <w:rPr>
          <w:sz w:val="20"/>
        </w:rPr>
        <w:fldChar w:fldCharType="separate"/>
      </w:r>
      <w:r w:rsidRPr="007233D0">
        <w:rPr>
          <w:sz w:val="20"/>
        </w:rPr>
        <w:t xml:space="preserve">John Rawls, </w:t>
      </w:r>
      <w:r w:rsidRPr="007233D0">
        <w:rPr>
          <w:i/>
          <w:sz w:val="20"/>
        </w:rPr>
        <w:t>Political liberalism</w:t>
      </w:r>
      <w:r w:rsidRPr="007233D0">
        <w:rPr>
          <w:sz w:val="20"/>
        </w:rPr>
        <w:t xml:space="preserve"> (expanded </w:t>
      </w:r>
      <w:proofErr w:type="spellStart"/>
      <w:r w:rsidRPr="007233D0">
        <w:rPr>
          <w:sz w:val="20"/>
        </w:rPr>
        <w:t>edn</w:t>
      </w:r>
      <w:proofErr w:type="spellEnd"/>
      <w:r w:rsidRPr="007233D0">
        <w:rPr>
          <w:sz w:val="20"/>
        </w:rPr>
        <w:t>, Columbia University Press 2005) 13</w:t>
      </w:r>
      <w:r w:rsidRPr="007233D0">
        <w:rPr>
          <w:sz w:val="20"/>
        </w:rPr>
        <w:fldChar w:fldCharType="end"/>
      </w:r>
      <w:r w:rsidRPr="007233D0">
        <w:rPr>
          <w:sz w:val="20"/>
        </w:rPr>
        <w:t>.</w:t>
      </w:r>
    </w:p>
  </w:footnote>
  <w:footnote w:id="104">
    <w:p w14:paraId="2819A904" w14:textId="225BA464"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i/>
          <w:sz w:val="20"/>
        </w:rPr>
        <w:t>Pretty v UK</w:t>
      </w:r>
      <w:r w:rsidRPr="007233D0">
        <w:rPr>
          <w:sz w:val="20"/>
        </w:rPr>
        <w:t xml:space="preserve"> (n </w:t>
      </w:r>
      <w:r w:rsidRPr="007233D0">
        <w:rPr>
          <w:sz w:val="20"/>
        </w:rPr>
        <w:fldChar w:fldCharType="begin"/>
      </w:r>
      <w:r w:rsidRPr="007233D0">
        <w:rPr>
          <w:sz w:val="20"/>
        </w:rPr>
        <w:instrText xml:space="preserve"> NOTEREF _Ref497760057 \h  \* MERGEFORMAT </w:instrText>
      </w:r>
      <w:r w:rsidRPr="007233D0">
        <w:rPr>
          <w:sz w:val="20"/>
        </w:rPr>
      </w:r>
      <w:r w:rsidRPr="007233D0">
        <w:rPr>
          <w:sz w:val="20"/>
        </w:rPr>
        <w:fldChar w:fldCharType="separate"/>
      </w:r>
      <w:r>
        <w:rPr>
          <w:sz w:val="20"/>
        </w:rPr>
        <w:t>6</w:t>
      </w:r>
      <w:r w:rsidRPr="007233D0">
        <w:rPr>
          <w:sz w:val="20"/>
        </w:rPr>
        <w:fldChar w:fldCharType="end"/>
      </w:r>
      <w:r w:rsidRPr="007233D0">
        <w:rPr>
          <w:sz w:val="20"/>
        </w:rPr>
        <w:t>) [62].</w:t>
      </w:r>
    </w:p>
  </w:footnote>
  <w:footnote w:id="105">
    <w:p w14:paraId="59626568" w14:textId="41B2F097" w:rsidR="002D131A" w:rsidRPr="007233D0" w:rsidRDefault="002D131A">
      <w:pPr>
        <w:pStyle w:val="FootnoteText"/>
        <w:rPr>
          <w:sz w:val="20"/>
        </w:rPr>
      </w:pPr>
      <w:r w:rsidRPr="007233D0">
        <w:rPr>
          <w:rStyle w:val="FootnoteReference"/>
          <w:sz w:val="20"/>
        </w:rPr>
        <w:footnoteRef/>
      </w:r>
      <w:r w:rsidRPr="007233D0">
        <w:rPr>
          <w:sz w:val="20"/>
        </w:rPr>
        <w:t xml:space="preserve"> Dworkin (n </w:t>
      </w:r>
      <w:r w:rsidRPr="007233D0">
        <w:rPr>
          <w:sz w:val="20"/>
        </w:rPr>
        <w:fldChar w:fldCharType="begin"/>
      </w:r>
      <w:r w:rsidRPr="007233D0">
        <w:rPr>
          <w:sz w:val="20"/>
        </w:rPr>
        <w:instrText xml:space="preserve"> NOTEREF _Ref497771166 \h  \* MERGEFORMAT </w:instrText>
      </w:r>
      <w:r w:rsidRPr="007233D0">
        <w:rPr>
          <w:sz w:val="20"/>
        </w:rPr>
      </w:r>
      <w:r w:rsidRPr="007233D0">
        <w:rPr>
          <w:sz w:val="20"/>
        </w:rPr>
        <w:fldChar w:fldCharType="separate"/>
      </w:r>
      <w:r>
        <w:rPr>
          <w:sz w:val="20"/>
        </w:rPr>
        <w:t>22</w:t>
      </w:r>
      <w:r w:rsidRPr="007233D0">
        <w:rPr>
          <w:sz w:val="20"/>
        </w:rPr>
        <w:fldChar w:fldCharType="end"/>
      </w:r>
      <w:r w:rsidRPr="007233D0">
        <w:rPr>
          <w:sz w:val="20"/>
        </w:rPr>
        <w:t>) 217.</w:t>
      </w:r>
    </w:p>
  </w:footnote>
  <w:footnote w:id="106">
    <w:p w14:paraId="298B963D" w14:textId="765B8DA9" w:rsidR="002D131A" w:rsidRPr="007233D0" w:rsidRDefault="002D131A">
      <w:pPr>
        <w:pStyle w:val="FootnoteText"/>
        <w:rPr>
          <w:sz w:val="20"/>
        </w:rPr>
      </w:pPr>
      <w:r w:rsidRPr="007233D0">
        <w:rPr>
          <w:rStyle w:val="FootnoteReference"/>
          <w:sz w:val="20"/>
        </w:rPr>
        <w:footnoteRef/>
      </w:r>
      <w:r w:rsidRPr="007233D0">
        <w:rPr>
          <w:sz w:val="20"/>
        </w:rPr>
        <w:t xml:space="preserve"> I take it that the reason-blocking theory implies that any one individual’s equality is incommensurable with any other individual’s equality such that we may not choose either </w:t>
      </w:r>
      <w:r w:rsidRPr="007233D0">
        <w:rPr>
          <w:i/>
          <w:sz w:val="20"/>
        </w:rPr>
        <w:t>Policy</w:t>
      </w:r>
      <w:r w:rsidRPr="007233D0">
        <w:rPr>
          <w:sz w:val="20"/>
          <w:vertAlign w:val="subscript"/>
        </w:rPr>
        <w:t>1</w:t>
      </w:r>
      <w:r w:rsidRPr="007233D0">
        <w:rPr>
          <w:sz w:val="20"/>
        </w:rPr>
        <w:t xml:space="preserve"> or </w:t>
      </w:r>
      <w:r w:rsidRPr="007233D0">
        <w:rPr>
          <w:i/>
          <w:sz w:val="20"/>
        </w:rPr>
        <w:t>Policy</w:t>
      </w:r>
      <w:r w:rsidRPr="007233D0">
        <w:rPr>
          <w:sz w:val="20"/>
          <w:vertAlign w:val="subscript"/>
        </w:rPr>
        <w:t>2</w:t>
      </w:r>
      <w:r w:rsidRPr="007233D0">
        <w:rPr>
          <w:sz w:val="20"/>
        </w:rPr>
        <w:t xml:space="preserve"> on grounds that both options have equal value. Likewise, the equality of any number of individuals in population A is incommensurable with that of any greater or lesser number of individuals in population B, such that we may not choose between </w:t>
      </w:r>
      <w:r w:rsidRPr="007233D0">
        <w:rPr>
          <w:i/>
          <w:sz w:val="20"/>
        </w:rPr>
        <w:t>Policy</w:t>
      </w:r>
      <w:r w:rsidRPr="007233D0">
        <w:rPr>
          <w:sz w:val="20"/>
          <w:vertAlign w:val="subscript"/>
        </w:rPr>
        <w:t>1</w:t>
      </w:r>
      <w:r w:rsidRPr="007233D0">
        <w:rPr>
          <w:sz w:val="20"/>
        </w:rPr>
        <w:t xml:space="preserve"> and </w:t>
      </w:r>
      <w:r w:rsidRPr="007233D0">
        <w:rPr>
          <w:i/>
          <w:sz w:val="20"/>
        </w:rPr>
        <w:t>Policy</w:t>
      </w:r>
      <w:r w:rsidRPr="007233D0">
        <w:rPr>
          <w:sz w:val="20"/>
          <w:vertAlign w:val="subscript"/>
        </w:rPr>
        <w:t>2</w:t>
      </w:r>
      <w:r w:rsidRPr="007233D0">
        <w:rPr>
          <w:sz w:val="20"/>
        </w:rPr>
        <w:t xml:space="preserve"> by selecting the option that produces an adequate or maximal sum of equality.</w:t>
      </w:r>
    </w:p>
  </w:footnote>
  <w:footnote w:id="107">
    <w:p w14:paraId="57A6EE6D" w14:textId="16094155" w:rsidR="002D131A" w:rsidRPr="007233D0" w:rsidRDefault="002D131A">
      <w:pPr>
        <w:pStyle w:val="FootnoteText"/>
        <w:rPr>
          <w:sz w:val="20"/>
        </w:rPr>
      </w:pPr>
      <w:r w:rsidRPr="007233D0">
        <w:rPr>
          <w:rStyle w:val="FootnoteReference"/>
          <w:sz w:val="20"/>
        </w:rPr>
        <w:footnoteRef/>
      </w:r>
      <w:r w:rsidRPr="007233D0">
        <w:rPr>
          <w:sz w:val="20"/>
          <w:lang w:val="sv-SE"/>
        </w:rPr>
        <w:t xml:space="preserve"> </w:t>
      </w:r>
      <w:r w:rsidRPr="007233D0">
        <w:rPr>
          <w:sz w:val="20"/>
          <w:lang w:val="sv-SE"/>
        </w:rPr>
        <w:t xml:space="preserve">ibid 334. </w:t>
      </w:r>
      <w:r w:rsidRPr="007233D0">
        <w:rPr>
          <w:sz w:val="20"/>
        </w:rPr>
        <w:t xml:space="preserve">Dworkin (n </w:t>
      </w:r>
      <w:r w:rsidRPr="007233D0">
        <w:rPr>
          <w:sz w:val="20"/>
        </w:rPr>
        <w:fldChar w:fldCharType="begin"/>
      </w:r>
      <w:r w:rsidRPr="007233D0">
        <w:rPr>
          <w:sz w:val="20"/>
        </w:rPr>
        <w:instrText xml:space="preserve"> NOTEREF _Ref497763726 \h  \* MERGEFORMAT </w:instrText>
      </w:r>
      <w:r w:rsidRPr="007233D0">
        <w:rPr>
          <w:sz w:val="20"/>
        </w:rPr>
      </w:r>
      <w:r w:rsidRPr="007233D0">
        <w:rPr>
          <w:sz w:val="20"/>
        </w:rPr>
        <w:fldChar w:fldCharType="separate"/>
      </w:r>
      <w:r>
        <w:rPr>
          <w:sz w:val="20"/>
        </w:rPr>
        <w:t>96</w:t>
      </w:r>
      <w:r w:rsidRPr="007233D0">
        <w:rPr>
          <w:sz w:val="20"/>
        </w:rPr>
        <w:fldChar w:fldCharType="end"/>
      </w:r>
      <w:r w:rsidRPr="007233D0">
        <w:rPr>
          <w:sz w:val="20"/>
        </w:rPr>
        <w:t>) chapter 12.</w:t>
      </w:r>
    </w:p>
  </w:footnote>
  <w:footnote w:id="108">
    <w:p w14:paraId="38F53000" w14:textId="38DED256" w:rsidR="002D131A" w:rsidRPr="007233D0" w:rsidRDefault="002D131A">
      <w:pPr>
        <w:pStyle w:val="FootnoteText"/>
        <w:rPr>
          <w:sz w:val="20"/>
        </w:rPr>
      </w:pPr>
      <w:r w:rsidRPr="007233D0">
        <w:rPr>
          <w:rStyle w:val="FootnoteReference"/>
          <w:sz w:val="20"/>
        </w:rPr>
        <w:footnoteRef/>
      </w:r>
      <w:r w:rsidRPr="007233D0">
        <w:rPr>
          <w:sz w:val="20"/>
        </w:rPr>
        <w:t xml:space="preserve"> See </w:t>
      </w:r>
      <w:r w:rsidRPr="007233D0">
        <w:rPr>
          <w:sz w:val="20"/>
        </w:rPr>
        <w:fldChar w:fldCharType="begin"/>
      </w:r>
      <w:r w:rsidRPr="007233D0">
        <w:rPr>
          <w:sz w:val="20"/>
        </w:rPr>
        <w:instrText xml:space="preserve"> ADDIN EN.CITE &lt;EndNote&gt;&lt;Cite&gt;&lt;Author&gt;Wilson&lt;/Author&gt;&lt;Year&gt;2016&lt;/Year&gt;&lt;RecNum&gt;2188&lt;/RecNum&gt;&lt;DisplayText&gt;James Wilson, ‘The right to public health’ 42(6) J Med Ethics 367-375&lt;/DisplayText&gt;&lt;record&gt;&lt;rec-number&gt;2188&lt;/rec-number&gt;&lt;foreign-keys&gt;&lt;key app="EN" db-id="29e2pr0ebtzaxkedz5b5aefxftsede200wps" timestamp="1469962882"&gt;2188&lt;/key&gt;&lt;/foreign-keys&gt;&lt;ref-type name="Journal Article"&gt;17&lt;/ref-type&gt;&lt;contributors&gt;&lt;authors&gt;&lt;author&gt;Wilson, James&lt;/author&gt;&lt;/authors&gt;&lt;/contributors&gt;&lt;titles&gt;&lt;title&gt;The right to public health&lt;/title&gt;&lt;secondary-title&gt;Journal of Medical Ethics&lt;/secondary-title&gt;&lt;/titles&gt;&lt;periodical&gt;&lt;full-title&gt;Journal of Medical Ethics&lt;/full-title&gt;&lt;abbr-1&gt;J. Med. Ethics&lt;/abbr-1&gt;&lt;abbr-2&gt;J Med Ethics&lt;/abbr-2&gt;&lt;/periodical&gt;&lt;pages&gt;367-375&lt;/pages&gt;&lt;volume&gt;42&lt;/volume&gt;&lt;number&gt;6&lt;/number&gt;&lt;dates&gt;&lt;year&gt;2016&lt;/year&gt;&lt;pub-dates&gt;&lt;date&gt;June 1, 2016&lt;/date&gt;&lt;/pub-dates&gt;&lt;/dates&gt;&lt;urls&gt;&lt;related-urls&gt;&lt;url&gt;http://jme.bmj.com/content/42/6/367.abstract&lt;/url&gt;&lt;/related-urls&gt;&lt;/urls&gt;&lt;electronic-resource-num&gt;10.1136/medethics-2015-103263&lt;/electronic-resource-num&gt;&lt;/record&gt;&lt;/Cite&gt;&lt;/EndNote&gt;</w:instrText>
      </w:r>
      <w:r w:rsidRPr="007233D0">
        <w:rPr>
          <w:sz w:val="20"/>
        </w:rPr>
        <w:fldChar w:fldCharType="separate"/>
      </w:r>
      <w:r w:rsidRPr="007233D0">
        <w:rPr>
          <w:sz w:val="20"/>
        </w:rPr>
        <w:t>James Wilson, ‘The right to public health’ 42(6) J Med Ethics 367-375</w:t>
      </w:r>
      <w:r w:rsidRPr="007233D0">
        <w:rPr>
          <w:sz w:val="20"/>
        </w:rPr>
        <w:fldChar w:fldCharType="end"/>
      </w:r>
      <w:r w:rsidRPr="007233D0">
        <w:rPr>
          <w:sz w:val="20"/>
        </w:rPr>
        <w:t>.</w:t>
      </w:r>
    </w:p>
  </w:footnote>
  <w:footnote w:id="109">
    <w:p w14:paraId="23796601" w14:textId="1A5AAAB7" w:rsidR="002D131A" w:rsidRPr="007233D0" w:rsidRDefault="002D131A">
      <w:pPr>
        <w:pStyle w:val="FootnoteText"/>
        <w:rPr>
          <w:sz w:val="20"/>
        </w:rPr>
      </w:pPr>
      <w:r w:rsidRPr="007233D0">
        <w:rPr>
          <w:rStyle w:val="FootnoteReference"/>
          <w:sz w:val="20"/>
        </w:rPr>
        <w:footnoteRef/>
      </w:r>
      <w:r w:rsidRPr="007233D0">
        <w:rPr>
          <w:sz w:val="20"/>
        </w:rPr>
        <w:t xml:space="preserve"> As I note above, population health objectives might be achieved by other means, in which case it may not be justifiable to limit </w:t>
      </w:r>
      <w:r w:rsidRPr="007233D0">
        <w:rPr>
          <w:i/>
          <w:sz w:val="20"/>
        </w:rPr>
        <w:t>right D</w:t>
      </w:r>
      <w:r w:rsidRPr="007233D0">
        <w:rPr>
          <w:i/>
          <w:sz w:val="20"/>
          <w:vertAlign w:val="subscript"/>
        </w:rPr>
        <w:t>R</w:t>
      </w:r>
      <w:r w:rsidRPr="007233D0">
        <w:rPr>
          <w:sz w:val="20"/>
        </w:rPr>
        <w:t>.</w:t>
      </w:r>
    </w:p>
  </w:footnote>
  <w:footnote w:id="110">
    <w:p w14:paraId="52865FB0" w14:textId="7929D7B0" w:rsidR="002D131A" w:rsidRPr="007233D0" w:rsidRDefault="002D131A">
      <w:pPr>
        <w:pStyle w:val="FootnoteText"/>
        <w:rPr>
          <w:sz w:val="20"/>
        </w:rPr>
      </w:pPr>
      <w:r w:rsidRPr="007233D0">
        <w:rPr>
          <w:rStyle w:val="FootnoteReference"/>
          <w:sz w:val="20"/>
        </w:rPr>
        <w:footnoteRef/>
      </w:r>
      <w:r w:rsidRPr="007233D0">
        <w:rPr>
          <w:sz w:val="20"/>
        </w:rPr>
        <w:t xml:space="preserve"> eg </w:t>
      </w:r>
      <w:r w:rsidRPr="007233D0">
        <w:rPr>
          <w:sz w:val="20"/>
        </w:rPr>
        <w:fldChar w:fldCharType="begin"/>
      </w:r>
      <w:r w:rsidRPr="007233D0">
        <w:rPr>
          <w:sz w:val="20"/>
        </w:rPr>
        <w:instrText xml:space="preserve"> ADDIN EN.CITE &lt;EndNote&gt;&lt;Cite ExcludeAuth="1"&gt;&lt;Year&gt;1998&lt;/Year&gt;&lt;RecNum&gt;1800&lt;/RecNum&gt;&lt;Pages&gt; ss 6(1)`, 7(1)&lt;/Pages&gt;&lt;DisplayText&gt;Human Rights Act 1998, ss 6(1), 7(1)&lt;/DisplayText&gt;&lt;record&gt;&lt;rec-number&gt;1800&lt;/rec-number&gt;&lt;foreign-keys&gt;&lt;key app="EN" db-id="29e2pr0ebtzaxkedz5b5aefxftsede200wps" timestamp="1469957697"&gt;1800&lt;/key&gt;&lt;/foreign-keys&gt;&lt;ref-type name="Statute, SI, EU leg, Treaties"&gt;31&lt;/ref-type&gt;&lt;contributors&gt;&lt;/contributors&gt;&lt;titles&gt;&lt;title&gt;Human Rights Act 1998&lt;/title&gt;&lt;/titles&gt;&lt;dates&gt;&lt;year&gt;1998&lt;/year&gt;&lt;/dates&gt;&lt;urls&gt;&lt;/urls&gt;&lt;/record&gt;&lt;/Cite&gt;&lt;/EndNote&gt;</w:instrText>
      </w:r>
      <w:r w:rsidRPr="007233D0">
        <w:rPr>
          <w:sz w:val="20"/>
        </w:rPr>
        <w:fldChar w:fldCharType="separate"/>
      </w:r>
      <w:r w:rsidRPr="007233D0">
        <w:rPr>
          <w:sz w:val="20"/>
        </w:rPr>
        <w:t xml:space="preserve">Human Rights Act 1998, </w:t>
      </w:r>
      <w:proofErr w:type="spellStart"/>
      <w:r w:rsidRPr="007233D0">
        <w:rPr>
          <w:sz w:val="20"/>
        </w:rPr>
        <w:t>ss</w:t>
      </w:r>
      <w:proofErr w:type="spellEnd"/>
      <w:r w:rsidRPr="007233D0">
        <w:rPr>
          <w:sz w:val="20"/>
        </w:rPr>
        <w:t xml:space="preserve"> 6(1), 7(1)</w:t>
      </w:r>
      <w:r w:rsidRPr="007233D0">
        <w:rPr>
          <w:sz w:val="20"/>
        </w:rPr>
        <w:fldChar w:fldCharType="end"/>
      </w:r>
      <w:r w:rsidRPr="007233D0">
        <w:rPr>
          <w:sz w:val="20"/>
        </w:rPr>
        <w:t>.</w:t>
      </w:r>
    </w:p>
  </w:footnote>
  <w:footnote w:id="111">
    <w:p w14:paraId="48B8D64D" w14:textId="2E4B4E1F" w:rsidR="002D131A" w:rsidRPr="007233D0" w:rsidRDefault="002D131A">
      <w:pPr>
        <w:pStyle w:val="FootnoteText"/>
        <w:rPr>
          <w:sz w:val="20"/>
        </w:rPr>
      </w:pPr>
      <w:r w:rsidRPr="007233D0">
        <w:rPr>
          <w:rStyle w:val="FootnoteReference"/>
          <w:sz w:val="20"/>
        </w:rPr>
        <w:footnoteRef/>
      </w:r>
      <w:r w:rsidRPr="007233D0">
        <w:rPr>
          <w:sz w:val="20"/>
        </w:rPr>
        <w:t xml:space="preserve"> eg ibid s 3(1).</w:t>
      </w:r>
    </w:p>
  </w:footnote>
  <w:footnote w:id="112">
    <w:p w14:paraId="267954A3" w14:textId="1A48EA5F"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 ExcludeAuth="1"&gt;&lt;Year&gt;1950&lt;/Year&gt;&lt;RecNum&gt;2047&lt;/RecNum&gt;&lt;Pages&gt;arts 34-35&lt;/Pages&gt;&lt;DisplayText&gt;ECHR, arts 34-35&lt;/DisplayText&gt;&lt;record&gt;&lt;rec-number&gt;2047&lt;/rec-number&gt;&lt;foreign-keys&gt;&lt;key app="EN" db-id="29e2pr0ebtzaxkedz5b5aefxftsede200wps" timestamp="1469959539"&gt;2047&lt;/key&gt;&lt;/foreign-keys&gt;&lt;ref-type name="Statute, SI, EU leg, Treaties"&gt;31&lt;/ref-type&gt;&lt;contributors&gt;&lt;/contributors&gt;&lt;titles&gt;&lt;title&gt;European Convention on Human Rights&lt;/title&gt;&lt;short-title&gt;ECHR&lt;/short-title&gt;&lt;/titles&gt;&lt;dates&gt;&lt;year&gt;1950&lt;/year&gt;&lt;/dates&gt;&lt;urls&gt;&lt;related-urls&gt;&lt;url&gt;www.echr.coe.int/Documents/Convention_ENG.pdf&lt;/url&gt;&lt;/related-urls&gt;&lt;/urls&gt;&lt;access-date&gt;17/01/01&lt;/access-date&gt;&lt;/record&gt;&lt;/Cite&gt;&lt;/EndNote&gt;</w:instrText>
      </w:r>
      <w:r w:rsidRPr="007233D0">
        <w:rPr>
          <w:sz w:val="20"/>
        </w:rPr>
        <w:fldChar w:fldCharType="separate"/>
      </w:r>
      <w:r w:rsidRPr="007233D0">
        <w:rPr>
          <w:sz w:val="20"/>
        </w:rPr>
        <w:t>ECHR, arts 34-35</w:t>
      </w:r>
      <w:r w:rsidRPr="007233D0">
        <w:rPr>
          <w:sz w:val="20"/>
        </w:rPr>
        <w:fldChar w:fldCharType="end"/>
      </w:r>
      <w:r w:rsidRPr="007233D0">
        <w:rPr>
          <w:sz w:val="20"/>
        </w:rPr>
        <w:t>.</w:t>
      </w:r>
    </w:p>
  </w:footnote>
  <w:footnote w:id="113">
    <w:p w14:paraId="2E7EED6F" w14:textId="2002D6BA" w:rsidR="002D131A" w:rsidRPr="007233D0" w:rsidRDefault="002D131A">
      <w:pPr>
        <w:pStyle w:val="FootnoteText"/>
        <w:rPr>
          <w:sz w:val="20"/>
        </w:rPr>
      </w:pPr>
      <w:r w:rsidRPr="007233D0">
        <w:rPr>
          <w:rStyle w:val="FootnoteReference"/>
          <w:sz w:val="20"/>
        </w:rPr>
        <w:footnoteRef/>
      </w:r>
      <w:r w:rsidRPr="007233D0">
        <w:rPr>
          <w:sz w:val="20"/>
        </w:rPr>
        <w:t xml:space="preserve"> </w:t>
      </w:r>
      <w:proofErr w:type="spellStart"/>
      <w:r w:rsidRPr="007233D0">
        <w:rPr>
          <w:sz w:val="20"/>
        </w:rPr>
        <w:t>Letsas</w:t>
      </w:r>
      <w:proofErr w:type="spellEnd"/>
      <w:r w:rsidRPr="007233D0">
        <w:rPr>
          <w:sz w:val="20"/>
        </w:rPr>
        <w:t xml:space="preserve"> (n </w:t>
      </w:r>
      <w:r w:rsidRPr="007233D0">
        <w:rPr>
          <w:sz w:val="20"/>
        </w:rPr>
        <w:fldChar w:fldCharType="begin"/>
      </w:r>
      <w:r w:rsidRPr="007233D0">
        <w:rPr>
          <w:sz w:val="20"/>
        </w:rPr>
        <w:instrText xml:space="preserve"> NOTEREF _Ref497761671 \h  \* MERGEFORMAT </w:instrText>
      </w:r>
      <w:r w:rsidRPr="007233D0">
        <w:rPr>
          <w:sz w:val="20"/>
        </w:rPr>
      </w:r>
      <w:r w:rsidRPr="007233D0">
        <w:rPr>
          <w:sz w:val="20"/>
        </w:rPr>
        <w:fldChar w:fldCharType="separate"/>
      </w:r>
      <w:r>
        <w:rPr>
          <w:sz w:val="20"/>
        </w:rPr>
        <w:t>14</w:t>
      </w:r>
      <w:r w:rsidRPr="007233D0">
        <w:rPr>
          <w:sz w:val="20"/>
        </w:rPr>
        <w:fldChar w:fldCharType="end"/>
      </w:r>
      <w:r w:rsidRPr="007233D0">
        <w:rPr>
          <w:sz w:val="20"/>
        </w:rPr>
        <w:t>) 90.</w:t>
      </w:r>
    </w:p>
  </w:footnote>
  <w:footnote w:id="114">
    <w:p w14:paraId="263B4005" w14:textId="23AE711A" w:rsidR="002D131A" w:rsidRPr="007233D0" w:rsidRDefault="002D131A">
      <w:pPr>
        <w:pStyle w:val="FootnoteText"/>
        <w:rPr>
          <w:sz w:val="20"/>
        </w:rPr>
      </w:pPr>
      <w:r w:rsidRPr="007233D0">
        <w:rPr>
          <w:rStyle w:val="FootnoteReference"/>
          <w:sz w:val="20"/>
        </w:rPr>
        <w:footnoteRef/>
      </w:r>
      <w:r w:rsidRPr="007233D0">
        <w:rPr>
          <w:sz w:val="20"/>
        </w:rPr>
        <w:t xml:space="preserve"> ibid 91.</w:t>
      </w:r>
    </w:p>
  </w:footnote>
  <w:footnote w:id="115">
    <w:p w14:paraId="5690D21E" w14:textId="12ADE1EE"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 ExcludeAuth="1"&gt;&lt;Year&gt;2008&lt;/Year&gt;&lt;RecNum&gt;1825&lt;/RecNum&gt;&lt;Pages&gt;[77]&lt;/Pages&gt;&lt;DisplayText&gt;&lt;style face="italic"&gt;Evans v United Kingdom &lt;/style&gt;(2008) 46 EHRR 34 (ECtHR) [77]&lt;/DisplayText&gt;&lt;record&gt;&lt;rec-number&gt;1825&lt;/rec-number&gt;&lt;foreign-keys&gt;&lt;key app="EN" db-id="29e2pr0ebtzaxkedz5b5aefxftsede200wps" timestamp="1469958548"&gt;1825&lt;/key&gt;&lt;/foreign-keys&gt;&lt;ref-type name="Case (inc all UK, ECJ and ECtHR cases)"&gt;7&lt;/ref-type&gt;&lt;contributors&gt;&lt;/contributors&gt;&lt;titles&gt;&lt;title&gt;Evans v United Kingdom&lt;/title&gt;&lt;secondary-title&gt;(2008) 46 EHRR 34&lt;/secondary-title&gt;&lt;/titles&gt;&lt;dates&gt;&lt;year&gt;2008&lt;/year&gt;&lt;/dates&gt;&lt;publisher&gt;ECtHR&lt;/publisher&gt;&lt;urls&gt;&lt;/urls&gt;&lt;/record&gt;&lt;/Cite&gt;&lt;/EndNote&gt;</w:instrText>
      </w:r>
      <w:r w:rsidRPr="007233D0">
        <w:rPr>
          <w:sz w:val="20"/>
        </w:rPr>
        <w:fldChar w:fldCharType="separate"/>
      </w:r>
      <w:r w:rsidRPr="007233D0">
        <w:rPr>
          <w:i/>
          <w:noProof/>
          <w:sz w:val="20"/>
        </w:rPr>
        <w:t xml:space="preserve">Evans v United Kingdom </w:t>
      </w:r>
      <w:r w:rsidRPr="007233D0">
        <w:rPr>
          <w:noProof/>
          <w:sz w:val="20"/>
        </w:rPr>
        <w:t>(2008) 46 EHRR 34 (ECtHR) [77]</w:t>
      </w:r>
      <w:r w:rsidRPr="007233D0">
        <w:rPr>
          <w:sz w:val="20"/>
        </w:rPr>
        <w:fldChar w:fldCharType="end"/>
      </w:r>
      <w:r w:rsidRPr="007233D0">
        <w:rPr>
          <w:sz w:val="20"/>
        </w:rPr>
        <w:t xml:space="preserve">; See also </w:t>
      </w:r>
      <w:r w:rsidRPr="007233D0">
        <w:rPr>
          <w:sz w:val="20"/>
        </w:rPr>
        <w:fldChar w:fldCharType="begin"/>
      </w:r>
      <w:r w:rsidRPr="007233D0">
        <w:rPr>
          <w:sz w:val="20"/>
        </w:rPr>
        <w:instrText xml:space="preserve"> ADDIN EN.CITE &lt;EndNote&gt;&lt;Cite ExcludeAuth="1"&gt;&lt;Year&gt;2011&lt;/Year&gt;&lt;RecNum&gt;2599&lt;/RecNum&gt;&lt;Pages&gt;[233]-[234]&lt;/Pages&gt;&lt;DisplayText&gt;&lt;style face="italic"&gt;A, B, and C v Ireland &lt;/style&gt;(2011) 53 EHRR 13 (ECtHR) [233]-[234]&lt;/DisplayText&gt;&lt;record&gt;&lt;rec-number&gt;2599&lt;/rec-number&gt;&lt;foreign-keys&gt;&lt;key app="EN" db-id="29e2pr0ebtzaxkedz5b5aefxftsede200wps" timestamp="1501079914"&gt;2599&lt;/key&gt;&lt;/foreign-keys&gt;&lt;ref-type name="Case (inc all UK, ECJ and ECtHR cases)"&gt;7&lt;/ref-type&gt;&lt;contributors&gt;&lt;/contributors&gt;&lt;titles&gt;&lt;title&gt;A, B, and C v Ireland&lt;/title&gt;&lt;secondary-title&gt;(2011) 53 EHRR 13&lt;/secondary-title&gt;&lt;/titles&gt;&lt;dates&gt;&lt;year&gt;2011&lt;/year&gt;&lt;/dates&gt;&lt;publisher&gt;ECtHR&lt;/publisher&gt;&lt;urls&gt;&lt;/urls&gt;&lt;/record&gt;&lt;/Cite&gt;&lt;/EndNote&gt;</w:instrText>
      </w:r>
      <w:r w:rsidRPr="007233D0">
        <w:rPr>
          <w:sz w:val="20"/>
        </w:rPr>
        <w:fldChar w:fldCharType="separate"/>
      </w:r>
      <w:r w:rsidRPr="007233D0">
        <w:rPr>
          <w:i/>
          <w:noProof/>
          <w:sz w:val="20"/>
        </w:rPr>
        <w:t xml:space="preserve">A, B, and C v Ireland </w:t>
      </w:r>
      <w:r w:rsidRPr="007233D0">
        <w:rPr>
          <w:noProof/>
          <w:sz w:val="20"/>
        </w:rPr>
        <w:t>(2011) 53 EHRR 13 (ECtHR) [233]-[234]</w:t>
      </w:r>
      <w:r w:rsidRPr="007233D0">
        <w:rPr>
          <w:sz w:val="20"/>
        </w:rPr>
        <w:fldChar w:fldCharType="end"/>
      </w:r>
      <w:r w:rsidRPr="007233D0">
        <w:rPr>
          <w:sz w:val="20"/>
        </w:rPr>
        <w:t>.</w:t>
      </w:r>
    </w:p>
  </w:footnote>
  <w:footnote w:id="116">
    <w:p w14:paraId="22E30E27" w14:textId="3A08CA6E" w:rsidR="002D131A" w:rsidRPr="007233D0" w:rsidRDefault="002D131A">
      <w:pPr>
        <w:pStyle w:val="FootnoteText"/>
        <w:rPr>
          <w:sz w:val="20"/>
          <w:lang w:val="sv-SE"/>
        </w:rPr>
      </w:pPr>
      <w:r w:rsidRPr="007233D0">
        <w:rPr>
          <w:rStyle w:val="FootnoteReference"/>
          <w:sz w:val="20"/>
        </w:rPr>
        <w:footnoteRef/>
      </w:r>
      <w:r w:rsidRPr="007233D0">
        <w:rPr>
          <w:sz w:val="20"/>
          <w:lang w:val="sv-SE"/>
        </w:rPr>
        <w:t xml:space="preserve"> </w:t>
      </w:r>
      <w:r w:rsidRPr="007233D0">
        <w:rPr>
          <w:i/>
          <w:sz w:val="20"/>
          <w:lang w:val="sv-SE"/>
        </w:rPr>
        <w:t>Haas</w:t>
      </w:r>
      <w:r w:rsidRPr="007233D0">
        <w:rPr>
          <w:sz w:val="20"/>
          <w:lang w:val="sv-SE"/>
        </w:rPr>
        <w:t xml:space="preserve"> (n </w:t>
      </w:r>
      <w:r w:rsidRPr="007233D0">
        <w:rPr>
          <w:sz w:val="20"/>
          <w:lang w:val="sv-SE"/>
        </w:rPr>
        <w:fldChar w:fldCharType="begin"/>
      </w:r>
      <w:r w:rsidRPr="007233D0">
        <w:rPr>
          <w:sz w:val="20"/>
          <w:lang w:val="sv-SE"/>
        </w:rPr>
        <w:instrText xml:space="preserve"> NOTEREF _Ref497760067 \h  \* MERGEFORMAT </w:instrText>
      </w:r>
      <w:r w:rsidRPr="007233D0">
        <w:rPr>
          <w:sz w:val="20"/>
          <w:lang w:val="sv-SE"/>
        </w:rPr>
      </w:r>
      <w:r w:rsidRPr="007233D0">
        <w:rPr>
          <w:sz w:val="20"/>
          <w:lang w:val="sv-SE"/>
        </w:rPr>
        <w:fldChar w:fldCharType="separate"/>
      </w:r>
      <w:r>
        <w:rPr>
          <w:sz w:val="20"/>
          <w:lang w:val="sv-SE"/>
        </w:rPr>
        <w:t>7</w:t>
      </w:r>
      <w:r w:rsidRPr="007233D0">
        <w:rPr>
          <w:sz w:val="20"/>
          <w:lang w:val="sv-SE"/>
        </w:rPr>
        <w:fldChar w:fldCharType="end"/>
      </w:r>
      <w:r w:rsidRPr="007233D0">
        <w:rPr>
          <w:sz w:val="20"/>
          <w:lang w:val="sv-SE"/>
        </w:rPr>
        <w:t>) [55].</w:t>
      </w:r>
    </w:p>
  </w:footnote>
  <w:footnote w:id="117">
    <w:p w14:paraId="1ECFC350" w14:textId="10974662" w:rsidR="002D131A" w:rsidRPr="007233D0" w:rsidRDefault="002D131A">
      <w:pPr>
        <w:pStyle w:val="FootnoteText"/>
        <w:rPr>
          <w:sz w:val="20"/>
        </w:rPr>
      </w:pPr>
      <w:r w:rsidRPr="007233D0">
        <w:rPr>
          <w:rStyle w:val="FootnoteReference"/>
          <w:sz w:val="20"/>
        </w:rPr>
        <w:footnoteRef/>
      </w:r>
      <w:r w:rsidRPr="007233D0">
        <w:rPr>
          <w:sz w:val="20"/>
        </w:rPr>
        <w:t xml:space="preserve"> This point potentially draws support from the ECtHR’s more guarded comments on the margin of appreciation in respect of the related issue of withdrawal of treatment in </w:t>
      </w:r>
      <w:r w:rsidRPr="007233D0">
        <w:rPr>
          <w:i/>
          <w:sz w:val="20"/>
        </w:rPr>
        <w:t>Lambert</w:t>
      </w:r>
      <w:r w:rsidRPr="007233D0">
        <w:rPr>
          <w:sz w:val="20"/>
        </w:rPr>
        <w:t xml:space="preserve"> (n </w:t>
      </w:r>
      <w:r w:rsidRPr="007233D0">
        <w:rPr>
          <w:sz w:val="20"/>
        </w:rPr>
        <w:fldChar w:fldCharType="begin"/>
      </w:r>
      <w:r w:rsidRPr="007233D0">
        <w:rPr>
          <w:sz w:val="20"/>
        </w:rPr>
        <w:instrText xml:space="preserve"> NOTEREF _Ref508736015 \h </w:instrText>
      </w:r>
      <w:r>
        <w:rPr>
          <w:sz w:val="20"/>
        </w:rPr>
        <w:instrText xml:space="preserve"> \* MERGEFORMAT </w:instrText>
      </w:r>
      <w:r w:rsidRPr="007233D0">
        <w:rPr>
          <w:sz w:val="20"/>
        </w:rPr>
      </w:r>
      <w:r w:rsidRPr="007233D0">
        <w:rPr>
          <w:sz w:val="20"/>
        </w:rPr>
        <w:fldChar w:fldCharType="separate"/>
      </w:r>
      <w:r>
        <w:rPr>
          <w:sz w:val="20"/>
        </w:rPr>
        <w:t>31</w:t>
      </w:r>
      <w:r w:rsidRPr="007233D0">
        <w:rPr>
          <w:sz w:val="20"/>
        </w:rPr>
        <w:fldChar w:fldCharType="end"/>
      </w:r>
      <w:r w:rsidRPr="007233D0">
        <w:rPr>
          <w:sz w:val="20"/>
        </w:rPr>
        <w:t xml:space="preserve">) [148]: ‘States must be afforded a margin of appreciation… as to </w:t>
      </w:r>
      <w:proofErr w:type="gramStart"/>
      <w:r w:rsidRPr="007233D0">
        <w:rPr>
          <w:sz w:val="20"/>
        </w:rPr>
        <w:t>whether or not</w:t>
      </w:r>
      <w:proofErr w:type="gramEnd"/>
      <w:r w:rsidRPr="007233D0">
        <w:rPr>
          <w:sz w:val="20"/>
        </w:rPr>
        <w:t xml:space="preserve"> to permit the withdrawal of artificial life-sustaining treatment… However, this margin of appreciation is not unlimited…’. I say related rather than analogous, since the relation between refusal of LPT and withdrawal of treatment is one of possibility, rather than necessity.</w:t>
      </w:r>
    </w:p>
  </w:footnote>
  <w:footnote w:id="118">
    <w:p w14:paraId="5014C1BB" w14:textId="7798565C" w:rsidR="002D131A" w:rsidRPr="007233D0" w:rsidRDefault="002D131A">
      <w:pPr>
        <w:pStyle w:val="FootnoteText"/>
        <w:rPr>
          <w:sz w:val="20"/>
        </w:rPr>
      </w:pPr>
      <w:r w:rsidRPr="007233D0">
        <w:rPr>
          <w:rStyle w:val="FootnoteReference"/>
          <w:sz w:val="20"/>
        </w:rPr>
        <w:footnoteRef/>
      </w:r>
      <w:r w:rsidRPr="007233D0">
        <w:rPr>
          <w:sz w:val="20"/>
          <w:lang w:val="sv-SE"/>
        </w:rPr>
        <w:t xml:space="preserve"> </w:t>
      </w:r>
      <w:r w:rsidRPr="007233D0">
        <w:rPr>
          <w:i/>
          <w:sz w:val="20"/>
          <w:lang w:val="sv-SE"/>
        </w:rPr>
        <w:t xml:space="preserve">Koch </w:t>
      </w:r>
      <w:r w:rsidRPr="007233D0">
        <w:rPr>
          <w:sz w:val="20"/>
          <w:lang w:val="sv-SE"/>
        </w:rPr>
        <w:t xml:space="preserve">(n </w:t>
      </w:r>
      <w:r w:rsidRPr="007233D0">
        <w:rPr>
          <w:sz w:val="20"/>
          <w:lang w:val="sv-SE"/>
        </w:rPr>
        <w:fldChar w:fldCharType="begin"/>
      </w:r>
      <w:r w:rsidRPr="007233D0">
        <w:rPr>
          <w:sz w:val="20"/>
          <w:lang w:val="sv-SE"/>
        </w:rPr>
        <w:instrText xml:space="preserve"> NOTEREF _Ref497763804 \h  \* MERGEFORMAT </w:instrText>
      </w:r>
      <w:r w:rsidRPr="007233D0">
        <w:rPr>
          <w:sz w:val="20"/>
          <w:lang w:val="sv-SE"/>
        </w:rPr>
      </w:r>
      <w:r w:rsidRPr="007233D0">
        <w:rPr>
          <w:sz w:val="20"/>
          <w:lang w:val="sv-SE"/>
        </w:rPr>
        <w:fldChar w:fldCharType="separate"/>
      </w:r>
      <w:r>
        <w:rPr>
          <w:sz w:val="20"/>
          <w:lang w:val="sv-SE"/>
        </w:rPr>
        <w:t>9</w:t>
      </w:r>
      <w:r w:rsidRPr="007233D0">
        <w:rPr>
          <w:sz w:val="20"/>
          <w:lang w:val="sv-SE"/>
        </w:rPr>
        <w:fldChar w:fldCharType="end"/>
      </w:r>
      <w:r w:rsidRPr="007233D0">
        <w:rPr>
          <w:sz w:val="20"/>
          <w:lang w:val="sv-SE"/>
        </w:rPr>
        <w:t xml:space="preserve">) [70]. </w:t>
      </w:r>
      <w:r w:rsidRPr="007233D0">
        <w:rPr>
          <w:sz w:val="20"/>
        </w:rPr>
        <w:t xml:space="preserve">Those jurisdictions are: Belgium </w:t>
      </w:r>
      <w:r w:rsidRPr="007233D0">
        <w:rPr>
          <w:sz w:val="20"/>
        </w:rPr>
        <w:fldChar w:fldCharType="begin"/>
      </w:r>
      <w:r w:rsidRPr="007233D0">
        <w:rPr>
          <w:sz w:val="20"/>
        </w:rPr>
        <w:instrText xml:space="preserve"> ADDIN EN.CITE &lt;EndNote&gt;&lt;Cite ExcludeAuth="1"&gt;&lt;Year&gt;2002&lt;/Year&gt;&lt;RecNum&gt;1476&lt;/RecNum&gt;&lt;DisplayText&gt;&lt;style face="italic"&gt;Loi relative à l&amp;apos;euthanasie du 28 mai 2002&lt;/style&gt; [Law on euthanasia of 28 may 2002] (Euthanasia Law (BE) 2002)&lt;/DisplayText&gt;&lt;record&gt;&lt;rec-number&gt;1476&lt;/rec-number&gt;&lt;foreign-keys&gt;&lt;key app="EN" db-id="29e2pr0ebtzaxkedz5b5aefxftsede200wps" timestamp="1469957003"&gt;1476&lt;/key&gt;&lt;/foreign-keys&gt;&lt;ref-type name="Statute, SI, EU leg, Treaties"&gt;31&lt;/ref-type&gt;&lt;contributors&gt;&lt;/contributors&gt;&lt;titles&gt;&lt;title&gt;&lt;style face="italic" font="default" size="100%"&gt;Loi relative à l&amp;apos;euthanasie du 28 mai 2002&lt;/style&gt;&lt;style face="normal" font="default" size="100%"&gt; [Law on euthanasia of 28 may 2002] (Euthanasia Law (BE) 2002)&lt;/style&gt;&lt;/title&gt;&lt;short-title&gt;Euthanasia Act (Belgium) 2002&lt;/short-title&gt;&lt;/titles&gt;&lt;dates&gt;&lt;year&gt;2002&lt;/year&gt;&lt;/dates&gt;&lt;urls&gt;&lt;/urls&gt;&lt;/record&gt;&lt;/Cite&gt;&lt;/EndNote&gt;</w:instrText>
      </w:r>
      <w:r w:rsidRPr="007233D0">
        <w:rPr>
          <w:sz w:val="20"/>
        </w:rPr>
        <w:fldChar w:fldCharType="separate"/>
      </w:r>
      <w:proofErr w:type="spellStart"/>
      <w:r w:rsidRPr="007233D0">
        <w:rPr>
          <w:i/>
          <w:sz w:val="20"/>
        </w:rPr>
        <w:t>Loi</w:t>
      </w:r>
      <w:proofErr w:type="spellEnd"/>
      <w:r w:rsidRPr="007233D0">
        <w:rPr>
          <w:i/>
          <w:sz w:val="20"/>
        </w:rPr>
        <w:t xml:space="preserve"> relative à </w:t>
      </w:r>
      <w:proofErr w:type="spellStart"/>
      <w:r w:rsidRPr="007233D0">
        <w:rPr>
          <w:i/>
          <w:sz w:val="20"/>
        </w:rPr>
        <w:t>l'euthanasie</w:t>
      </w:r>
      <w:proofErr w:type="spellEnd"/>
      <w:r w:rsidRPr="007233D0">
        <w:rPr>
          <w:i/>
          <w:sz w:val="20"/>
        </w:rPr>
        <w:t xml:space="preserve"> du 28 </w:t>
      </w:r>
      <w:proofErr w:type="spellStart"/>
      <w:r w:rsidRPr="007233D0">
        <w:rPr>
          <w:i/>
          <w:sz w:val="20"/>
        </w:rPr>
        <w:t>mai</w:t>
      </w:r>
      <w:proofErr w:type="spellEnd"/>
      <w:r w:rsidRPr="007233D0">
        <w:rPr>
          <w:i/>
          <w:sz w:val="20"/>
        </w:rPr>
        <w:t xml:space="preserve"> 2002</w:t>
      </w:r>
      <w:r w:rsidRPr="007233D0">
        <w:rPr>
          <w:sz w:val="20"/>
        </w:rPr>
        <w:t xml:space="preserve"> [Law on euthanasia of 28 may 2002] (Euthanasia Law (BE) 2002)</w:t>
      </w:r>
      <w:r w:rsidRPr="007233D0">
        <w:rPr>
          <w:sz w:val="20"/>
        </w:rPr>
        <w:fldChar w:fldCharType="end"/>
      </w:r>
      <w:r w:rsidRPr="007233D0">
        <w:rPr>
          <w:sz w:val="20"/>
        </w:rPr>
        <w:t xml:space="preserve">, Luxembourg </w:t>
      </w:r>
      <w:r w:rsidRPr="007233D0">
        <w:rPr>
          <w:sz w:val="20"/>
        </w:rPr>
        <w:fldChar w:fldCharType="begin"/>
      </w:r>
      <w:r w:rsidRPr="007233D0">
        <w:rPr>
          <w:sz w:val="20"/>
        </w:rPr>
        <w:instrText xml:space="preserve"> ADDIN EN.CITE &lt;EndNote&gt;&lt;Cite ExcludeAuth="1"&gt;&lt;Year&gt;2009&lt;/Year&gt;&lt;RecNum&gt;2262&lt;/RecNum&gt;&lt;DisplayText&gt;&lt;style face="italic"&gt;Loi du 16 mars 2009 sur l&amp;apos;euthanasie et l&amp;apos;assistance au suicide&lt;/style&gt; [Law of 16 mars 2009 on euthanasia and assisted suicide] (Euthanasia Law (Lux) 2009)&lt;/DisplayText&gt;&lt;record&gt;&lt;rec-number&gt;2262&lt;/rec-number&gt;&lt;foreign-keys&gt;&lt;key app="EN" db-id="29e2pr0ebtzaxkedz5b5aefxftsede200wps" timestamp="1473087557"&gt;2262&lt;/key&gt;&lt;/foreign-keys&gt;&lt;ref-type name="Statute, SI, EU leg, Treaties"&gt;31&lt;/ref-type&gt;&lt;contributors&gt;&lt;/contributors&gt;&lt;titles&gt;&lt;title&gt;&lt;style face="italic" font="default" size="100%"&gt;Loi du 16 mars 2009 sur l&amp;apos;euthanasie et l&amp;apos;assistance au suicide&lt;/style&gt;&lt;style face="normal" font="default" size="100%"&gt; [Law of 16 mars 2009 on euthanasia and assisted suicide] (Euthanasia Law (Lux) 2009)&lt;/style&gt;&lt;/title&gt;&lt;short-title&gt;Euthanasia Law (Lux) 2009&lt;/short-title&gt;&lt;/titles&gt;&lt;dates&gt;&lt;year&gt;2009&lt;/year&gt;&lt;/dates&gt;&lt;urls&gt;&lt;/urls&gt;&lt;/record&gt;&lt;/Cite&gt;&lt;/EndNote&gt;</w:instrText>
      </w:r>
      <w:r w:rsidRPr="007233D0">
        <w:rPr>
          <w:sz w:val="20"/>
        </w:rPr>
        <w:fldChar w:fldCharType="separate"/>
      </w:r>
      <w:proofErr w:type="spellStart"/>
      <w:r w:rsidRPr="007233D0">
        <w:rPr>
          <w:i/>
          <w:sz w:val="20"/>
        </w:rPr>
        <w:t>Loi</w:t>
      </w:r>
      <w:proofErr w:type="spellEnd"/>
      <w:r w:rsidRPr="007233D0">
        <w:rPr>
          <w:i/>
          <w:sz w:val="20"/>
        </w:rPr>
        <w:t xml:space="preserve"> du 16 mars 2009 sur </w:t>
      </w:r>
      <w:proofErr w:type="spellStart"/>
      <w:r w:rsidRPr="007233D0">
        <w:rPr>
          <w:i/>
          <w:sz w:val="20"/>
        </w:rPr>
        <w:t>l'euthanasie</w:t>
      </w:r>
      <w:proofErr w:type="spellEnd"/>
      <w:r w:rsidRPr="007233D0">
        <w:rPr>
          <w:i/>
          <w:sz w:val="20"/>
        </w:rPr>
        <w:t xml:space="preserve"> et </w:t>
      </w:r>
      <w:proofErr w:type="spellStart"/>
      <w:r w:rsidRPr="007233D0">
        <w:rPr>
          <w:i/>
          <w:sz w:val="20"/>
        </w:rPr>
        <w:t>l'assistance</w:t>
      </w:r>
      <w:proofErr w:type="spellEnd"/>
      <w:r w:rsidRPr="007233D0">
        <w:rPr>
          <w:i/>
          <w:sz w:val="20"/>
        </w:rPr>
        <w:t xml:space="preserve"> au suicide</w:t>
      </w:r>
      <w:r w:rsidRPr="007233D0">
        <w:rPr>
          <w:sz w:val="20"/>
        </w:rPr>
        <w:t xml:space="preserve"> [Law of 16 mars 2009 on euthanasia and assisted suicide] (Euthanasia Law (Lux) 2009)</w:t>
      </w:r>
      <w:r w:rsidRPr="007233D0">
        <w:rPr>
          <w:sz w:val="20"/>
        </w:rPr>
        <w:fldChar w:fldCharType="end"/>
      </w:r>
      <w:r w:rsidRPr="007233D0">
        <w:rPr>
          <w:sz w:val="20"/>
        </w:rPr>
        <w:t xml:space="preserve">, the Netherlands </w:t>
      </w:r>
      <w:r w:rsidRPr="007233D0">
        <w:rPr>
          <w:sz w:val="20"/>
        </w:rPr>
        <w:fldChar w:fldCharType="begin"/>
      </w:r>
      <w:r w:rsidRPr="007233D0">
        <w:rPr>
          <w:sz w:val="20"/>
        </w:rPr>
        <w:instrText xml:space="preserve"> ADDIN EN.CITE &lt;EndNote&gt;&lt;Cite ExcludeAuth="1"&gt;&lt;Year&gt;2001&lt;/Year&gt;&lt;RecNum&gt;1474&lt;/RecNum&gt;&lt;DisplayText&gt;&lt;style face="italic"&gt;Wet toetsing levensbeëindiging op verzoek en hulp bij zelfdoding&lt;/style&gt; [Termination of Life on Request and Assisted Suicide (Review Procedures) Act 2002] (Euthanasia Act (NL) 2002)&lt;/DisplayText&gt;&lt;record&gt;&lt;rec-number&gt;1474&lt;/rec-number&gt;&lt;foreign-keys&gt;&lt;key app="EN" db-id="29e2pr0ebtzaxkedz5b5aefxftsede200wps" timestamp="1469957003"&gt;1474&lt;/key&gt;&lt;/foreign-keys&gt;&lt;ref-type name="Statute, SI, EU leg, Treaties"&gt;31&lt;/ref-type&gt;&lt;contributors&gt;&lt;/contributors&gt;&lt;titles&gt;&lt;title&gt;&lt;style face="italic" font="default" size="100%"&gt;Wet toetsing levensbeëindiging op verzoek en hulp bij zelfdoding&lt;/style&gt;&lt;style face="normal" font="default" size="100%"&gt; [Termination of Life on Request and Assisted Suicide (Review Procedures) Act 2002] (Euthanasia Act (NL) 2002)&lt;/style&gt;&lt;/title&gt;&lt;short-title&gt;Euthanasia Act (NL) 2002&lt;/short-title&gt;&lt;/titles&gt;&lt;dates&gt;&lt;year&gt;2001&lt;/year&gt;&lt;/dates&gt;&lt;urls&gt;&lt;/urls&gt;&lt;/record&gt;&lt;/Cite&gt;&lt;/EndNote&gt;</w:instrText>
      </w:r>
      <w:r w:rsidRPr="007233D0">
        <w:rPr>
          <w:sz w:val="20"/>
        </w:rPr>
        <w:fldChar w:fldCharType="separate"/>
      </w:r>
      <w:r w:rsidRPr="007233D0">
        <w:rPr>
          <w:i/>
          <w:sz w:val="20"/>
        </w:rPr>
        <w:t xml:space="preserve">Wet </w:t>
      </w:r>
      <w:proofErr w:type="spellStart"/>
      <w:r w:rsidRPr="007233D0">
        <w:rPr>
          <w:i/>
          <w:sz w:val="20"/>
        </w:rPr>
        <w:t>toetsing</w:t>
      </w:r>
      <w:proofErr w:type="spellEnd"/>
      <w:r w:rsidRPr="007233D0">
        <w:rPr>
          <w:i/>
          <w:sz w:val="20"/>
        </w:rPr>
        <w:t xml:space="preserve"> </w:t>
      </w:r>
      <w:proofErr w:type="spellStart"/>
      <w:r w:rsidRPr="007233D0">
        <w:rPr>
          <w:i/>
          <w:sz w:val="20"/>
        </w:rPr>
        <w:t>levensbeëindiging</w:t>
      </w:r>
      <w:proofErr w:type="spellEnd"/>
      <w:r w:rsidRPr="007233D0">
        <w:rPr>
          <w:i/>
          <w:sz w:val="20"/>
        </w:rPr>
        <w:t xml:space="preserve"> op </w:t>
      </w:r>
      <w:proofErr w:type="spellStart"/>
      <w:r w:rsidRPr="007233D0">
        <w:rPr>
          <w:i/>
          <w:sz w:val="20"/>
        </w:rPr>
        <w:t>verzoek</w:t>
      </w:r>
      <w:proofErr w:type="spellEnd"/>
      <w:r w:rsidRPr="007233D0">
        <w:rPr>
          <w:i/>
          <w:sz w:val="20"/>
        </w:rPr>
        <w:t xml:space="preserve"> </w:t>
      </w:r>
      <w:proofErr w:type="spellStart"/>
      <w:r w:rsidRPr="007233D0">
        <w:rPr>
          <w:i/>
          <w:sz w:val="20"/>
        </w:rPr>
        <w:t>en</w:t>
      </w:r>
      <w:proofErr w:type="spellEnd"/>
      <w:r w:rsidRPr="007233D0">
        <w:rPr>
          <w:i/>
          <w:sz w:val="20"/>
        </w:rPr>
        <w:t xml:space="preserve"> </w:t>
      </w:r>
      <w:proofErr w:type="spellStart"/>
      <w:r w:rsidRPr="007233D0">
        <w:rPr>
          <w:i/>
          <w:sz w:val="20"/>
        </w:rPr>
        <w:t>hulp</w:t>
      </w:r>
      <w:proofErr w:type="spellEnd"/>
      <w:r w:rsidRPr="007233D0">
        <w:rPr>
          <w:i/>
          <w:sz w:val="20"/>
        </w:rPr>
        <w:t xml:space="preserve"> </w:t>
      </w:r>
      <w:proofErr w:type="spellStart"/>
      <w:r w:rsidRPr="007233D0">
        <w:rPr>
          <w:i/>
          <w:sz w:val="20"/>
        </w:rPr>
        <w:t>bij</w:t>
      </w:r>
      <w:proofErr w:type="spellEnd"/>
      <w:r w:rsidRPr="007233D0">
        <w:rPr>
          <w:i/>
          <w:sz w:val="20"/>
        </w:rPr>
        <w:t xml:space="preserve"> </w:t>
      </w:r>
      <w:proofErr w:type="spellStart"/>
      <w:r w:rsidRPr="007233D0">
        <w:rPr>
          <w:i/>
          <w:sz w:val="20"/>
        </w:rPr>
        <w:t>zelfdoding</w:t>
      </w:r>
      <w:proofErr w:type="spellEnd"/>
      <w:r w:rsidRPr="007233D0">
        <w:rPr>
          <w:sz w:val="20"/>
        </w:rPr>
        <w:t xml:space="preserve"> [Termination of Life on Request and Assisted Suicide (Review Procedures) Act 2002] (Euthanasia Act (NL) 2002)</w:t>
      </w:r>
      <w:r w:rsidRPr="007233D0">
        <w:rPr>
          <w:sz w:val="20"/>
        </w:rPr>
        <w:fldChar w:fldCharType="end"/>
      </w:r>
      <w:r w:rsidRPr="007233D0">
        <w:rPr>
          <w:sz w:val="20"/>
        </w:rPr>
        <w:t xml:space="preserve">, and Switzerland </w:t>
      </w:r>
      <w:r w:rsidRPr="007233D0">
        <w:rPr>
          <w:sz w:val="20"/>
        </w:rPr>
        <w:fldChar w:fldCharType="begin">
          <w:fldData xml:space="preserve">PEVuZE5vdGU+PENpdGUgRXhjbHVkZUF1dGg9IjEiPjxZZWFyPjE5Mzc8L1llYXI+PFJlY051bT4y
MDg0PC9SZWNOdW0+PFBhZ2VzPmFydCAxMTU8L1BhZ2VzPjxEaXNwbGF5VGV4dD5Db2RlIHDDqW5h
bCBzdWlzc2UgZHUgMjEgZMOpY2VtYnJlIDE5MzcgW1N3aXNzIHBlbmFsIGNvZGUgb2YgMjEgRGVj
ZW1iZXIgMTkzN10sIGFydCAxMTU7IDxzdHlsZSBmYWNlPSJpdGFsaWMiPkxvaSBmw6lkw6lyYWxl
IHN1ciBsZXMgc3R1cMOpZmlhbnRzIGV0IGxlcyBzdWJzdGFuY2VzIHBzeWNob3Ryb3BlcyBkdSAz
IG9jdG9icmUgMTk1MTwvc3R5bGU+IFtGZWRlcmFsIGxhdyBvbiBuYXJjb3RpY3MgYW5kIHBzeWNo
b3Ryb3BpYyBzdWJzdGFuY2VzIG9mIDMgT2N0b2JlciAxOTUxXSAoTFN0dXApOyA8c3R5bGUgZmFj
ZT0iaXRhbGljIj5Mb2kgZsOpZMOpcmFsZSBzdXIgbGVzIG3DqWRpY2FtZW50cyBldCBsZXMgZGlz
cG9zaXRpZnMgbcOpZGljYXV4IGR1IDE1IGTDqWNlbWJyZSAyMDAwIDwvc3R5bGU+W0ZlZGVyYWwg
bGF3IG9uIG1lZGljaW5lcyBhbmQgbWVkaWNhbCBkZXZpY2VzIG9mIDE1IERlY2VtYmVyIDIwMDBd
IChMUFRoKTwvRGlzcGxheVRleHQ+PHJlY29yZD48cmVjLW51bWJlcj4yMDg0PC9yZWMtbnVtYmVy
Pjxmb3JlaWduLWtleXM+PGtleSBhcHA9IkVOIiBkYi1pZD0iMjllMnByMGVidHpheGtlZHo1YjVh
ZWZ4ZnRzZWRlMjAwd3BzIiB0aW1lc3RhbXA9IjE0Njk5NTk2NzQiPjIwODQ8L2tleT48L2ZvcmVp
Z24ta2V5cz48cmVmLXR5cGUgbmFtZT0iU3RhdHV0ZSwgU0ksIEVVIGxlZywgVHJlYXRpZXMiPjMx
PC9yZWYtdHlwZT48Y29udHJpYnV0b3JzPjwvY29udHJpYnV0b3JzPjx0aXRsZXM+PHRpdGxlPkNv
ZGUgcMOpbmFsIHN1aXNzZSBkdSAyMSBkw6ljZW1icmUgMTkzNyBbU3dpc3MgcGVuYWwgY29kZSBv
ZiAyMSBEZWNlbWJlciAxOTM3XTwvdGl0bGU+PHNob3J0LXRpdGxlPlN3aXNzIHBlbmFsIGNvZGU8
L3Nob3J0LXRpdGxlPjwvdGl0bGVzPjxkYXRlcz48eWVhcj4xOTM3PC95ZWFyPjwvZGF0ZXM+PHVy
bHM+PC91cmxzPjwvcmVjb3JkPjwvQ2l0ZT48Q2l0ZSBFeGNsdWRlQXV0aD0iMSI+PFllYXI+MTk1
MTwvWWVhcj48UmVjTnVtPjIwODU8L1JlY051bT48cmVjb3JkPjxyZWMtbnVtYmVyPjIwODU8L3Jl
Yy1udW1iZXI+PGZvcmVpZ24ta2V5cz48a2V5IGFwcD0iRU4iIGRiLWlkPSIyOWUycHIwZWJ0emF4
a2VkejViNWFlZnhmdHNlZGUyMDB3cHMiIHRpbWVzdGFtcD0iMTQ2OTk1OTY3NCI+MjA4NTwva2V5
PjwvZm9yZWlnbi1rZXlzPjxyZWYtdHlwZSBuYW1lPSJTdGF0dXRlLCBTSSwgRVUgbGVnLCBUcmVh
dGllcyI+MzE8L3JlZi10eXBlPjxjb250cmlidXRvcnM+PC9jb250cmlidXRvcnM+PHRpdGxlcz48
dGl0bGU+PHN0eWxlIGZhY2U9Iml0YWxpYyIgZm9udD0iZGVmYXVsdCIgc2l6ZT0iMTAwJSI+TG9p
IGbDqWTDqXJhbGUgc3VyIGxlcyBzdHVww6lmaWFudHMgZXQgbGVzIHN1YnN0YW5jZXMgcHN5Y2hv
dHJvcGVzIGR1IDMgb2N0b2JyZSAxOTUxPC9zdHlsZT48c3R5bGUgZmFjZT0ibm9ybWFsIiBmb250
PSJkZWZhdWx0IiBzaXplPSIxMDAlIj4gW0ZlZGVyYWwgbGF3IG9uIG5hcmNvdGljcyBhbmQgcHN5
Y2hvdHJvcGljIHN1YnN0YW5jZXMgb2YgMyBPY3RvYmVyIDE5NTFdIChMU3R1cCk8L3N0eWxlPjwv
dGl0bGU+PHNob3J0LXRpdGxlPkxTdHVwPC9zaG9ydC10aXRsZT48L3RpdGxlcz48ZGF0ZXM+PHll
YXI+MTk1MTwveWVhcj48L2RhdGVzPjx1cmxzPjwvdXJscz48L3JlY29yZD48L0NpdGU+PENpdGUg
RXhjbHVkZUF1dGg9IjEiPjxZZWFyPjIwMDA8L1llYXI+PFJlY051bT4yMDg3PC9SZWNOdW0+PHJl
Y29yZD48cmVjLW51bWJlcj4yMDg3PC9yZWMtbnVtYmVyPjxmb3JlaWduLWtleXM+PGtleSBhcHA9
IkVOIiBkYi1pZD0iMjllMnByMGVidHpheGtlZHo1YjVhZWZ4ZnRzZWRlMjAwd3BzIiB0aW1lc3Rh
bXA9IjE0Njk5NTk2NzQiPjIwODc8L2tleT48L2ZvcmVpZ24ta2V5cz48cmVmLXR5cGUgbmFtZT0i
U3RhdHV0ZSwgU0ksIEVVIGxlZywgVHJlYXRpZXMiPjMxPC9yZWYtdHlwZT48Y29udHJpYnV0b3Jz
PjwvY29udHJpYnV0b3JzPjx0aXRsZXM+PHRpdGxlPjxzdHlsZSBmYWNlPSJpdGFsaWMiIGZvbnQ9
ImRlZmF1bHQiIHNpemU9IjEwMCUiPkxvaSBmw6lkw6lyYWxlIHN1ciBsZXMgbcOpZGljYW1lbnRz
IGV0IGxlcyBkaXNwb3NpdGlmcyBtw6lkaWNhdXggZHUgMTUgZMOpY2VtYnJlIDIwMDAgPC9zdHls
ZT48c3R5bGUgZmFjZT0ibm9ybWFsIiBmb250PSJkZWZhdWx0IiBzaXplPSIxMDAlIj5bRmVkZXJh
bCBsYXcgb24gbWVkaWNpbmVzIGFuZCBtZWRpY2FsIGRldmljZXMgb2YgMTUgRGVjZW1iZXIgMjAw
MF0gKExQVGgpPC9zdHlsZT48L3RpdGxlPjxzaG9ydC10aXRsZT5MUFRoPC9zaG9ydC10aXRsZT48
L3RpdGxlcz48ZGF0ZXM+PHllYXI+MjAwMDwveWVhcj48L2RhdGVzPjx1cmxzPjwvdXJscz48L3Jl
Y29yZD48L0NpdGU+PC9FbmROb3RlPgB=
</w:fldData>
        </w:fldChar>
      </w:r>
      <w:r w:rsidRPr="007233D0">
        <w:rPr>
          <w:sz w:val="20"/>
        </w:rPr>
        <w:instrText xml:space="preserve"> ADDIN EN.CITE </w:instrText>
      </w:r>
      <w:r w:rsidRPr="007233D0">
        <w:rPr>
          <w:sz w:val="20"/>
        </w:rPr>
        <w:fldChar w:fldCharType="begin">
          <w:fldData xml:space="preserve">PEVuZE5vdGU+PENpdGUgRXhjbHVkZUF1dGg9IjEiPjxZZWFyPjE5Mzc8L1llYXI+PFJlY051bT4y
MDg0PC9SZWNOdW0+PFBhZ2VzPmFydCAxMTU8L1BhZ2VzPjxEaXNwbGF5VGV4dD5Db2RlIHDDqW5h
bCBzdWlzc2UgZHUgMjEgZMOpY2VtYnJlIDE5MzcgW1N3aXNzIHBlbmFsIGNvZGUgb2YgMjEgRGVj
ZW1iZXIgMTkzN10sIGFydCAxMTU7IDxzdHlsZSBmYWNlPSJpdGFsaWMiPkxvaSBmw6lkw6lyYWxl
IHN1ciBsZXMgc3R1cMOpZmlhbnRzIGV0IGxlcyBzdWJzdGFuY2VzIHBzeWNob3Ryb3BlcyBkdSAz
IG9jdG9icmUgMTk1MTwvc3R5bGU+IFtGZWRlcmFsIGxhdyBvbiBuYXJjb3RpY3MgYW5kIHBzeWNo
b3Ryb3BpYyBzdWJzdGFuY2VzIG9mIDMgT2N0b2JlciAxOTUxXSAoTFN0dXApOyA8c3R5bGUgZmFj
ZT0iaXRhbGljIj5Mb2kgZsOpZMOpcmFsZSBzdXIgbGVzIG3DqWRpY2FtZW50cyBldCBsZXMgZGlz
cG9zaXRpZnMgbcOpZGljYXV4IGR1IDE1IGTDqWNlbWJyZSAyMDAwIDwvc3R5bGU+W0ZlZGVyYWwg
bGF3IG9uIG1lZGljaW5lcyBhbmQgbWVkaWNhbCBkZXZpY2VzIG9mIDE1IERlY2VtYmVyIDIwMDBd
IChMUFRoKTwvRGlzcGxheVRleHQ+PHJlY29yZD48cmVjLW51bWJlcj4yMDg0PC9yZWMtbnVtYmVy
Pjxmb3JlaWduLWtleXM+PGtleSBhcHA9IkVOIiBkYi1pZD0iMjllMnByMGVidHpheGtlZHo1YjVh
ZWZ4ZnRzZWRlMjAwd3BzIiB0aW1lc3RhbXA9IjE0Njk5NTk2NzQiPjIwODQ8L2tleT48L2ZvcmVp
Z24ta2V5cz48cmVmLXR5cGUgbmFtZT0iU3RhdHV0ZSwgU0ksIEVVIGxlZywgVHJlYXRpZXMiPjMx
PC9yZWYtdHlwZT48Y29udHJpYnV0b3JzPjwvY29udHJpYnV0b3JzPjx0aXRsZXM+PHRpdGxlPkNv
ZGUgcMOpbmFsIHN1aXNzZSBkdSAyMSBkw6ljZW1icmUgMTkzNyBbU3dpc3MgcGVuYWwgY29kZSBv
ZiAyMSBEZWNlbWJlciAxOTM3XTwvdGl0bGU+PHNob3J0LXRpdGxlPlN3aXNzIHBlbmFsIGNvZGU8
L3Nob3J0LXRpdGxlPjwvdGl0bGVzPjxkYXRlcz48eWVhcj4xOTM3PC95ZWFyPjwvZGF0ZXM+PHVy
bHM+PC91cmxzPjwvcmVjb3JkPjwvQ2l0ZT48Q2l0ZSBFeGNsdWRlQXV0aD0iMSI+PFllYXI+MTk1
MTwvWWVhcj48UmVjTnVtPjIwODU8L1JlY051bT48cmVjb3JkPjxyZWMtbnVtYmVyPjIwODU8L3Jl
Yy1udW1iZXI+PGZvcmVpZ24ta2V5cz48a2V5IGFwcD0iRU4iIGRiLWlkPSIyOWUycHIwZWJ0emF4
a2VkejViNWFlZnhmdHNlZGUyMDB3cHMiIHRpbWVzdGFtcD0iMTQ2OTk1OTY3NCI+MjA4NTwva2V5
PjwvZm9yZWlnbi1rZXlzPjxyZWYtdHlwZSBuYW1lPSJTdGF0dXRlLCBTSSwgRVUgbGVnLCBUcmVh
dGllcyI+MzE8L3JlZi10eXBlPjxjb250cmlidXRvcnM+PC9jb250cmlidXRvcnM+PHRpdGxlcz48
dGl0bGU+PHN0eWxlIGZhY2U9Iml0YWxpYyIgZm9udD0iZGVmYXVsdCIgc2l6ZT0iMTAwJSI+TG9p
IGbDqWTDqXJhbGUgc3VyIGxlcyBzdHVww6lmaWFudHMgZXQgbGVzIHN1YnN0YW5jZXMgcHN5Y2hv
dHJvcGVzIGR1IDMgb2N0b2JyZSAxOTUxPC9zdHlsZT48c3R5bGUgZmFjZT0ibm9ybWFsIiBmb250
PSJkZWZhdWx0IiBzaXplPSIxMDAlIj4gW0ZlZGVyYWwgbGF3IG9uIG5hcmNvdGljcyBhbmQgcHN5
Y2hvdHJvcGljIHN1YnN0YW5jZXMgb2YgMyBPY3RvYmVyIDE5NTFdIChMU3R1cCk8L3N0eWxlPjwv
dGl0bGU+PHNob3J0LXRpdGxlPkxTdHVwPC9zaG9ydC10aXRsZT48L3RpdGxlcz48ZGF0ZXM+PHll
YXI+MTk1MTwveWVhcj48L2RhdGVzPjx1cmxzPjwvdXJscz48L3JlY29yZD48L0NpdGU+PENpdGUg
RXhjbHVkZUF1dGg9IjEiPjxZZWFyPjIwMDA8L1llYXI+PFJlY051bT4yMDg3PC9SZWNOdW0+PHJl
Y29yZD48cmVjLW51bWJlcj4yMDg3PC9yZWMtbnVtYmVyPjxmb3JlaWduLWtleXM+PGtleSBhcHA9
IkVOIiBkYi1pZD0iMjllMnByMGVidHpheGtlZHo1YjVhZWZ4ZnRzZWRlMjAwd3BzIiB0aW1lc3Rh
bXA9IjE0Njk5NTk2NzQiPjIwODc8L2tleT48L2ZvcmVpZ24ta2V5cz48cmVmLXR5cGUgbmFtZT0i
U3RhdHV0ZSwgU0ksIEVVIGxlZywgVHJlYXRpZXMiPjMxPC9yZWYtdHlwZT48Y29udHJpYnV0b3Jz
PjwvY29udHJpYnV0b3JzPjx0aXRsZXM+PHRpdGxlPjxzdHlsZSBmYWNlPSJpdGFsaWMiIGZvbnQ9
ImRlZmF1bHQiIHNpemU9IjEwMCUiPkxvaSBmw6lkw6lyYWxlIHN1ciBsZXMgbcOpZGljYW1lbnRz
IGV0IGxlcyBkaXNwb3NpdGlmcyBtw6lkaWNhdXggZHUgMTUgZMOpY2VtYnJlIDIwMDAgPC9zdHls
ZT48c3R5bGUgZmFjZT0ibm9ybWFsIiBmb250PSJkZWZhdWx0IiBzaXplPSIxMDAlIj5bRmVkZXJh
bCBsYXcgb24gbWVkaWNpbmVzIGFuZCBtZWRpY2FsIGRldmljZXMgb2YgMTUgRGVjZW1iZXIgMjAw
MF0gKExQVGgpPC9zdHlsZT48L3RpdGxlPjxzaG9ydC10aXRsZT5MUFRoPC9zaG9ydC10aXRsZT48
L3RpdGxlcz48ZGF0ZXM+PHllYXI+MjAwMDwveWVhcj48L2RhdGVzPjx1cmxzPjwvdXJscz48L3Jl
Y29yZD48L0NpdGU+PC9FbmROb3RlPgB=
</w:fldData>
        </w:fldChar>
      </w:r>
      <w:r w:rsidRPr="007233D0">
        <w:rPr>
          <w:sz w:val="20"/>
        </w:rPr>
        <w:instrText xml:space="preserve"> ADDIN EN.CITE.DATA </w:instrText>
      </w:r>
      <w:r w:rsidRPr="007233D0">
        <w:rPr>
          <w:sz w:val="20"/>
        </w:rPr>
      </w:r>
      <w:r w:rsidRPr="007233D0">
        <w:rPr>
          <w:sz w:val="20"/>
        </w:rPr>
        <w:fldChar w:fldCharType="end"/>
      </w:r>
      <w:r w:rsidRPr="007233D0">
        <w:rPr>
          <w:sz w:val="20"/>
        </w:rPr>
      </w:r>
      <w:r w:rsidRPr="007233D0">
        <w:rPr>
          <w:sz w:val="20"/>
        </w:rPr>
        <w:fldChar w:fldCharType="separate"/>
      </w:r>
      <w:r w:rsidRPr="007233D0">
        <w:rPr>
          <w:noProof/>
          <w:sz w:val="20"/>
        </w:rPr>
        <w:t xml:space="preserve">Code pénal suisse du 21 décembre 1937 [Swiss penal code of 21 December 1937], art 115; </w:t>
      </w:r>
      <w:r w:rsidRPr="007233D0">
        <w:rPr>
          <w:i/>
          <w:noProof/>
          <w:sz w:val="20"/>
        </w:rPr>
        <w:t>Loi fédérale sur les stupéfiants et les substances psychotropes du 3 octobre 1951</w:t>
      </w:r>
      <w:r w:rsidRPr="007233D0">
        <w:rPr>
          <w:noProof/>
          <w:sz w:val="20"/>
        </w:rPr>
        <w:t xml:space="preserve"> [Federal law on narcotics and psychotropic substances of 3 October 1951] (LStup); </w:t>
      </w:r>
      <w:r w:rsidRPr="007233D0">
        <w:rPr>
          <w:i/>
          <w:noProof/>
          <w:sz w:val="20"/>
        </w:rPr>
        <w:t xml:space="preserve">Loi fédérale sur les médicaments et les dispositifs médicaux du 15 décembre 2000 </w:t>
      </w:r>
      <w:r w:rsidRPr="007233D0">
        <w:rPr>
          <w:noProof/>
          <w:sz w:val="20"/>
        </w:rPr>
        <w:t>[Federal law on medicines and medical devices of 15 December 2000] (LPTh)</w:t>
      </w:r>
      <w:r w:rsidRPr="007233D0">
        <w:rPr>
          <w:sz w:val="20"/>
        </w:rPr>
        <w:fldChar w:fldCharType="end"/>
      </w:r>
      <w:r w:rsidRPr="007233D0">
        <w:rPr>
          <w:sz w:val="20"/>
        </w:rPr>
        <w:t>.</w:t>
      </w:r>
    </w:p>
  </w:footnote>
  <w:footnote w:id="119">
    <w:p w14:paraId="59F52574" w14:textId="53586B8F" w:rsidR="002D131A" w:rsidRPr="007233D0" w:rsidRDefault="002D131A">
      <w:pPr>
        <w:pStyle w:val="FootnoteText"/>
        <w:rPr>
          <w:sz w:val="20"/>
        </w:rPr>
      </w:pPr>
      <w:r w:rsidRPr="007233D0">
        <w:rPr>
          <w:rStyle w:val="FootnoteReference"/>
          <w:sz w:val="20"/>
        </w:rPr>
        <w:footnoteRef/>
      </w:r>
      <w:r w:rsidRPr="007233D0">
        <w:rPr>
          <w:sz w:val="20"/>
        </w:rPr>
        <w:t xml:space="preserve"> eg The </w:t>
      </w:r>
      <w:r w:rsidRPr="007233D0">
        <w:rPr>
          <w:sz w:val="20"/>
        </w:rPr>
        <w:fldChar w:fldCharType="begin"/>
      </w:r>
      <w:r w:rsidRPr="007233D0">
        <w:rPr>
          <w:sz w:val="20"/>
        </w:rPr>
        <w:instrText xml:space="preserve"> ADDIN EN.CITE &lt;EndNote&gt;&lt;Cite ExcludeAuth="1"&gt;&lt;Year&gt;1997&lt;/Year&gt;&lt;RecNum&gt;1849&lt;/RecNum&gt;&lt;Suffix&gt;`, article 5&lt;/Suffix&gt;&lt;DisplayText&gt;Convention on Human Rights and Biomedicine (Ovideo Convention), article 5&lt;/DisplayText&gt;&lt;record&gt;&lt;rec-number&gt;1849&lt;/rec-number&gt;&lt;foreign-keys&gt;&lt;key app="EN" db-id="29e2pr0ebtzaxkedz5b5aefxftsede200wps" timestamp="1469958549"&gt;1849&lt;/key&gt;&lt;/foreign-keys&gt;&lt;ref-type name="Statute, SI, EU leg, Treaties"&gt;31&lt;/ref-type&gt;&lt;contributors&gt;&lt;/contributors&gt;&lt;titles&gt;&lt;title&gt;Convention on Human Rights and Biomedicine (Ovideo Convention)&lt;/title&gt;&lt;short-title&gt;Oviedo Convention&lt;/short-title&gt;&lt;/titles&gt;&lt;dates&gt;&lt;year&gt;1997&lt;/year&gt;&lt;/dates&gt;&lt;urls&gt;&lt;/urls&gt;&lt;/record&gt;&lt;/Cite&gt;&lt;/EndNote&gt;</w:instrText>
      </w:r>
      <w:r w:rsidRPr="007233D0">
        <w:rPr>
          <w:sz w:val="20"/>
        </w:rPr>
        <w:fldChar w:fldCharType="separate"/>
      </w:r>
      <w:r w:rsidRPr="007233D0">
        <w:rPr>
          <w:sz w:val="20"/>
        </w:rPr>
        <w:t>Convention on Human Rights and Biomedicine (</w:t>
      </w:r>
      <w:proofErr w:type="spellStart"/>
      <w:r w:rsidRPr="007233D0">
        <w:rPr>
          <w:sz w:val="20"/>
        </w:rPr>
        <w:t>Ovideo</w:t>
      </w:r>
      <w:proofErr w:type="spellEnd"/>
      <w:r w:rsidRPr="007233D0">
        <w:rPr>
          <w:sz w:val="20"/>
        </w:rPr>
        <w:t xml:space="preserve"> Convention), article 5</w:t>
      </w:r>
      <w:r w:rsidRPr="007233D0">
        <w:rPr>
          <w:sz w:val="20"/>
        </w:rPr>
        <w:fldChar w:fldCharType="end"/>
      </w:r>
      <w:r w:rsidRPr="007233D0">
        <w:rPr>
          <w:sz w:val="20"/>
        </w:rPr>
        <w:t xml:space="preserve">, provides that ‘an intervention in the health field may only be carried out after the person concerned has given free and informed consent to it’.  Article 5 is qualified only by articles 7 (mentally disordered individuals whose health would be seriously jeopardised without treatment), 8 (emergencies), and 26 (restrictions ‘prescribed by law and … necessary in a democratic society in the interest of public safety, for the prevention of crime, for the protection of public health or for the protection of the rights and freedoms of others). </w:t>
      </w:r>
      <w:proofErr w:type="gramStart"/>
      <w:r w:rsidRPr="007233D0">
        <w:rPr>
          <w:sz w:val="20"/>
        </w:rPr>
        <w:t>Thus</w:t>
      </w:r>
      <w:proofErr w:type="gramEnd"/>
      <w:r w:rsidRPr="007233D0">
        <w:rPr>
          <w:sz w:val="20"/>
        </w:rPr>
        <w:t xml:space="preserve"> the Oviedo Convention appears not to license overriding a refusal of treatment in service of </w:t>
      </w:r>
      <w:r w:rsidRPr="007233D0">
        <w:rPr>
          <w:i/>
          <w:sz w:val="20"/>
        </w:rPr>
        <w:t>P</w:t>
      </w:r>
      <w:r w:rsidRPr="007233D0">
        <w:rPr>
          <w:sz w:val="20"/>
        </w:rPr>
        <w:t xml:space="preserve">’s welfare, or the protection of morals. To the extent that the Convention has been signed and ratified by 29 Council of Europe Member States, it is indicative of consensus that a contemporaneous right to refuse LPT exists, although it is an open question whether each State has enshrined such a right in law. Moreover, of the Member States who have not signed the Oviedo Convention, or who have signed but not ratified the instrument, several make provision for refusals of LPT in domestic law: Belgium, </w:t>
      </w:r>
      <w:r w:rsidRPr="007233D0">
        <w:rPr>
          <w:sz w:val="20"/>
        </w:rPr>
        <w:fldChar w:fldCharType="begin"/>
      </w:r>
      <w:r w:rsidRPr="007233D0">
        <w:rPr>
          <w:sz w:val="20"/>
        </w:rPr>
        <w:instrText xml:space="preserve"> ADDIN EN.CITE &lt;EndNote&gt;&lt;Cite ExcludeAuth="1"&gt;&lt;Year&gt;2002&lt;/Year&gt;&lt;RecNum&gt;1850&lt;/RecNum&gt;&lt;DisplayText&gt;&lt;style face="italic"&gt;Loi relative aux droits du patient du 22 août 2002&lt;/style&gt; [Law on patient rights of 22 August 2002]&lt;/DisplayText&gt;&lt;record&gt;&lt;rec-number&gt;1850&lt;/rec-number&gt;&lt;foreign-keys&gt;&lt;key app="EN" db-id="29e2pr0ebtzaxkedz5b5aefxftsede200wps" timestamp="1469958549"&gt;1850&lt;/key&gt;&lt;/foreign-keys&gt;&lt;ref-type name="Statute, SI, EU leg, Treaties"&gt;31&lt;/ref-type&gt;&lt;contributors&gt;&lt;/contributors&gt;&lt;titles&gt;&lt;title&gt;&lt;style face="italic" font="default" size="100%"&gt;Loi relative aux droits du patient du 22 août 2002&lt;/style&gt;&lt;style face="normal" font="default" size="100%"&gt; [Law on patient rights of 22 August 2002]&lt;/style&gt;&lt;/title&gt;&lt;/titles&gt;&lt;dates&gt;&lt;year&gt;2002&lt;/year&gt;&lt;/dates&gt;&lt;urls&gt;&lt;/urls&gt;&lt;/record&gt;&lt;/Cite&gt;&lt;/EndNote&gt;</w:instrText>
      </w:r>
      <w:r w:rsidRPr="007233D0">
        <w:rPr>
          <w:sz w:val="20"/>
        </w:rPr>
        <w:fldChar w:fldCharType="separate"/>
      </w:r>
      <w:proofErr w:type="spellStart"/>
      <w:r w:rsidRPr="007233D0">
        <w:rPr>
          <w:i/>
          <w:sz w:val="20"/>
        </w:rPr>
        <w:t>Loi</w:t>
      </w:r>
      <w:proofErr w:type="spellEnd"/>
      <w:r w:rsidRPr="007233D0">
        <w:rPr>
          <w:i/>
          <w:sz w:val="20"/>
        </w:rPr>
        <w:t xml:space="preserve"> relative aux droits du patient du 22 </w:t>
      </w:r>
      <w:proofErr w:type="spellStart"/>
      <w:r w:rsidRPr="007233D0">
        <w:rPr>
          <w:i/>
          <w:sz w:val="20"/>
        </w:rPr>
        <w:t>août</w:t>
      </w:r>
      <w:proofErr w:type="spellEnd"/>
      <w:r w:rsidRPr="007233D0">
        <w:rPr>
          <w:i/>
          <w:sz w:val="20"/>
        </w:rPr>
        <w:t xml:space="preserve"> 2002</w:t>
      </w:r>
      <w:r w:rsidRPr="007233D0">
        <w:rPr>
          <w:sz w:val="20"/>
        </w:rPr>
        <w:t xml:space="preserve"> [Law on patient rights of 22 August 2002]</w:t>
      </w:r>
      <w:r w:rsidRPr="007233D0">
        <w:rPr>
          <w:sz w:val="20"/>
        </w:rPr>
        <w:fldChar w:fldCharType="end"/>
      </w:r>
      <w:r w:rsidRPr="007233D0">
        <w:rPr>
          <w:sz w:val="20"/>
        </w:rPr>
        <w:t xml:space="preserve">; Germany, </w:t>
      </w:r>
      <w:r w:rsidRPr="007233D0">
        <w:rPr>
          <w:sz w:val="20"/>
        </w:rPr>
        <w:fldChar w:fldCharType="begin"/>
      </w:r>
      <w:r w:rsidRPr="007233D0">
        <w:rPr>
          <w:sz w:val="20"/>
        </w:rPr>
        <w:instrText xml:space="preserve"> ADDIN EN.CITE &lt;EndNote&gt;&lt;Cite ExcludeAuth="1"&gt;&lt;Year&gt;2002&lt;/Year&gt;&lt;RecNum&gt;1848&lt;/RecNum&gt;&lt;Pages&gt;§630(d) Einwilligung [Consent]&lt;/Pages&gt;&lt;DisplayText&gt;&lt;style face="italic"&gt;Bürgerliches Gesetzbuch&lt;/style&gt; [German Civil Code] (BGB), §630(d) Einwilligung [Consent]&lt;/DisplayText&gt;&lt;record&gt;&lt;rec-number&gt;1848&lt;/rec-number&gt;&lt;foreign-keys&gt;&lt;key app="EN" db-id="29e2pr0ebtzaxkedz5b5aefxftsede200wps" timestamp="1469958549"&gt;1848&lt;/key&gt;&lt;/foreign-keys&gt;&lt;ref-type name="Statute, SI, EU leg, Treaties"&gt;31&lt;/ref-type&gt;&lt;contributors&gt;&lt;/contributors&gt;&lt;titles&gt;&lt;title&gt;&lt;style face="italic" font="default" size="100%"&gt;Bürgerliches Gesetzbuch&lt;/style&gt;&lt;style face="normal" font="default" size="100%"&gt; [German Civil Code] (BGB)&lt;/style&gt;&lt;/title&gt;&lt;short-title&gt;BGB&lt;/short-title&gt;&lt;/titles&gt;&lt;dates&gt;&lt;year&gt;2002&lt;/year&gt;&lt;/dates&gt;&lt;urls&gt;&lt;/urls&gt;&lt;/record&gt;&lt;/Cite&gt;&lt;/EndNote&gt;</w:instrText>
      </w:r>
      <w:r w:rsidRPr="007233D0">
        <w:rPr>
          <w:sz w:val="20"/>
        </w:rPr>
        <w:fldChar w:fldCharType="separate"/>
      </w:r>
      <w:proofErr w:type="spellStart"/>
      <w:r w:rsidRPr="007233D0">
        <w:rPr>
          <w:i/>
          <w:sz w:val="20"/>
        </w:rPr>
        <w:t>Bürgerliches</w:t>
      </w:r>
      <w:proofErr w:type="spellEnd"/>
      <w:r w:rsidRPr="007233D0">
        <w:rPr>
          <w:i/>
          <w:sz w:val="20"/>
        </w:rPr>
        <w:t xml:space="preserve"> </w:t>
      </w:r>
      <w:proofErr w:type="spellStart"/>
      <w:r w:rsidRPr="007233D0">
        <w:rPr>
          <w:i/>
          <w:sz w:val="20"/>
        </w:rPr>
        <w:t>Gesetzbuch</w:t>
      </w:r>
      <w:proofErr w:type="spellEnd"/>
      <w:r w:rsidRPr="007233D0">
        <w:rPr>
          <w:sz w:val="20"/>
        </w:rPr>
        <w:t xml:space="preserve"> [German Civil Code] (BGB), §630(d) </w:t>
      </w:r>
      <w:proofErr w:type="spellStart"/>
      <w:r w:rsidRPr="007233D0">
        <w:rPr>
          <w:sz w:val="20"/>
        </w:rPr>
        <w:t>Einwilligung</w:t>
      </w:r>
      <w:proofErr w:type="spellEnd"/>
      <w:r w:rsidRPr="007233D0">
        <w:rPr>
          <w:sz w:val="20"/>
        </w:rPr>
        <w:t xml:space="preserve"> [Consent]</w:t>
      </w:r>
      <w:r w:rsidRPr="007233D0">
        <w:rPr>
          <w:sz w:val="20"/>
        </w:rPr>
        <w:fldChar w:fldCharType="end"/>
      </w:r>
      <w:r w:rsidRPr="007233D0">
        <w:rPr>
          <w:sz w:val="20"/>
        </w:rPr>
        <w:t xml:space="preserve">; Ireland, </w:t>
      </w:r>
      <w:r w:rsidRPr="007233D0">
        <w:rPr>
          <w:sz w:val="20"/>
        </w:rPr>
        <w:fldChar w:fldCharType="begin"/>
      </w:r>
      <w:r w:rsidRPr="007233D0">
        <w:rPr>
          <w:sz w:val="20"/>
        </w:rPr>
        <w:instrText xml:space="preserve"> ADDIN EN.CITE &lt;EndNote&gt;&lt;Cite ExcludeAuth="1"&gt;&lt;Year&gt;2008&lt;/Year&gt;&lt;RecNum&gt;2264&lt;/RecNum&gt;&lt;DisplayText&gt;&lt;style face="italic"&gt;Fitzpatrick &amp;amp; Ryan v FK &amp;amp; Attorney General &lt;/style&gt;[2008] IEHC 104&lt;/DisplayText&gt;&lt;record&gt;&lt;rec-number&gt;2264&lt;/rec-number&gt;&lt;foreign-keys&gt;&lt;key app="EN" db-id="29e2pr0ebtzaxkedz5b5aefxftsede200wps" timestamp="1473262120"&gt;2264&lt;/key&gt;&lt;/foreign-keys&gt;&lt;ref-type name="Case (inc all UK, ECJ and ECtHR cases)"&gt;7&lt;/ref-type&gt;&lt;contributors&gt;&lt;/contributors&gt;&lt;titles&gt;&lt;title&gt;Fitzpatrick &amp;amp; Ryan v FK &amp;amp; Attorney General&lt;/title&gt;&lt;secondary-title&gt;[2008] IEHC 104&lt;/secondary-title&gt;&lt;/titles&gt;&lt;dates&gt;&lt;year&gt;2008&lt;/year&gt;&lt;/dates&gt;&lt;urls&gt;&lt;/urls&gt;&lt;/record&gt;&lt;/Cite&gt;&lt;/EndNote&gt;</w:instrText>
      </w:r>
      <w:r w:rsidRPr="007233D0">
        <w:rPr>
          <w:sz w:val="20"/>
        </w:rPr>
        <w:fldChar w:fldCharType="separate"/>
      </w:r>
      <w:r w:rsidRPr="007233D0">
        <w:rPr>
          <w:i/>
          <w:sz w:val="20"/>
        </w:rPr>
        <w:t xml:space="preserve">Fitzpatrick &amp; Ryan v FK &amp; Attorney General </w:t>
      </w:r>
      <w:r w:rsidRPr="007233D0">
        <w:rPr>
          <w:sz w:val="20"/>
        </w:rPr>
        <w:t>[2008] IEHC 104</w:t>
      </w:r>
      <w:r w:rsidRPr="007233D0">
        <w:rPr>
          <w:sz w:val="20"/>
        </w:rPr>
        <w:fldChar w:fldCharType="end"/>
      </w:r>
      <w:r w:rsidRPr="007233D0">
        <w:rPr>
          <w:sz w:val="20"/>
        </w:rPr>
        <w:t xml:space="preserve">; United Kingdom, </w:t>
      </w:r>
      <w:r w:rsidRPr="007233D0">
        <w:rPr>
          <w:sz w:val="20"/>
        </w:rPr>
        <w:fldChar w:fldCharType="begin"/>
      </w:r>
      <w:r w:rsidRPr="007233D0">
        <w:rPr>
          <w:sz w:val="20"/>
        </w:rPr>
        <w:instrText xml:space="preserve"> ADDIN EN.CITE &lt;EndNote&gt;&lt;Cite ExcludeAuth="1"&gt;&lt;Year&gt;1993&lt;/Year&gt;&lt;RecNum&gt;1063&lt;/RecNum&gt;&lt;DisplayText&gt;&lt;style face="italic"&gt;Airedale NHS Trust v Bland &lt;/style&gt;[1993] 1 AC 789 (HL); &lt;style face="italic"&gt;Aintree University Hospitals NHS Foundation Trust v James &lt;/style&gt;[2013] UKSC 67; &lt;style face="italic"&gt;Montgomery v Lanarkshire Health Board &lt;/style&gt;[2015] UKSC 11&lt;/DisplayText&gt;&lt;record&gt;&lt;rec-number&gt;1063&lt;/rec-number&gt;&lt;foreign-keys&gt;&lt;key app="EN" db-id="29e2pr0ebtzaxkedz5b5aefxftsede200wps" timestamp="1469956991"&gt;1063&lt;/key&gt;&lt;/foreign-keys&gt;&lt;ref-type name="Case (inc all UK, ECJ and ECtHR cases)"&gt;7&lt;/ref-type&gt;&lt;contributors&gt;&lt;/contributors&gt;&lt;titles&gt;&lt;title&gt;Airedale NHS Trust v Bland&lt;/title&gt;&lt;secondary-title&gt;[1993] 1 AC 789&lt;/secondary-title&gt;&lt;/titles&gt;&lt;dates&gt;&lt;year&gt;1993&lt;/year&gt;&lt;/dates&gt;&lt;publisher&gt;HL&lt;/publisher&gt;&lt;urls&gt;&lt;/urls&gt;&lt;/record&gt;&lt;/Cite&gt;&lt;Cite ExcludeAuth="1"&gt;&lt;Year&gt;2013&lt;/Year&gt;&lt;RecNum&gt;1172&lt;/RecNum&gt;&lt;record&gt;&lt;rec-number&gt;1172&lt;/rec-number&gt;&lt;foreign-keys&gt;&lt;key app="EN" db-id="29e2pr0ebtzaxkedz5b5aefxftsede200wps" timestamp="1469956994"&gt;1172&lt;/key&gt;&lt;/foreign-keys&gt;&lt;ref-type name="Case (inc all UK, ECJ and ECtHR cases)"&gt;7&lt;/ref-type&gt;&lt;contributors&gt;&lt;/contributors&gt;&lt;titles&gt;&lt;title&gt;Aintree University Hospitals NHS Foundation Trust v James&lt;/title&gt;&lt;secondary-title&gt;[2013] UKSC 67&lt;/secondary-title&gt;&lt;/titles&gt;&lt;dates&gt;&lt;year&gt;2013&lt;/year&gt;&lt;/dates&gt;&lt;urls&gt;&lt;/urls&gt;&lt;/record&gt;&lt;/Cite&gt;&lt;Cite ExcludeAuth="1"&gt;&lt;Year&gt;2015&lt;/Year&gt;&lt;RecNum&gt;2265&lt;/RecNum&gt;&lt;record&gt;&lt;rec-number&gt;2265&lt;/rec-number&gt;&lt;foreign-keys&gt;&lt;key app="EN" db-id="29e2pr0ebtzaxkedz5b5aefxftsede200wps" timestamp="1473262391"&gt;2265&lt;/key&gt;&lt;/foreign-keys&gt;&lt;ref-type name="Case (inc all UK, ECJ and ECtHR cases)"&gt;7&lt;/ref-type&gt;&lt;contributors&gt;&lt;/contributors&gt;&lt;titles&gt;&lt;title&gt;Montgomery v Lanarkshire Health Board&lt;/title&gt;&lt;secondary-title&gt;[2015] UKSC 11&lt;/secondary-title&gt;&lt;/titles&gt;&lt;dates&gt;&lt;year&gt;2015&lt;/year&gt;&lt;/dates&gt;&lt;urls&gt;&lt;/urls&gt;&lt;/record&gt;&lt;/Cite&gt;&lt;/EndNote&gt;</w:instrText>
      </w:r>
      <w:r w:rsidRPr="007233D0">
        <w:rPr>
          <w:sz w:val="20"/>
        </w:rPr>
        <w:fldChar w:fldCharType="separate"/>
      </w:r>
      <w:r w:rsidRPr="007233D0">
        <w:rPr>
          <w:i/>
          <w:sz w:val="20"/>
        </w:rPr>
        <w:t xml:space="preserve">Airedale NHS Trust v Bland </w:t>
      </w:r>
      <w:r w:rsidRPr="007233D0">
        <w:rPr>
          <w:sz w:val="20"/>
        </w:rPr>
        <w:t xml:space="preserve">[1993] 1 AC 789 (HL); </w:t>
      </w:r>
      <w:r w:rsidRPr="007233D0">
        <w:rPr>
          <w:i/>
          <w:sz w:val="20"/>
        </w:rPr>
        <w:t xml:space="preserve">Aintree University Hospitals NHS Foundation Trust v James </w:t>
      </w:r>
      <w:r w:rsidRPr="007233D0">
        <w:rPr>
          <w:sz w:val="20"/>
        </w:rPr>
        <w:t xml:space="preserve">[2013] UKSC 67; </w:t>
      </w:r>
      <w:r w:rsidRPr="007233D0">
        <w:rPr>
          <w:i/>
          <w:sz w:val="20"/>
        </w:rPr>
        <w:t xml:space="preserve">Montgomery v Lanarkshire Health Board </w:t>
      </w:r>
      <w:r w:rsidRPr="007233D0">
        <w:rPr>
          <w:sz w:val="20"/>
        </w:rPr>
        <w:t>[2015] UKSC 11</w:t>
      </w:r>
      <w:r w:rsidRPr="007233D0">
        <w:rPr>
          <w:sz w:val="20"/>
        </w:rPr>
        <w:fldChar w:fldCharType="end"/>
      </w:r>
      <w:r w:rsidRPr="007233D0">
        <w:rPr>
          <w:sz w:val="20"/>
        </w:rPr>
        <w:t xml:space="preserve">; Luxembourg, </w:t>
      </w:r>
      <w:r w:rsidRPr="007233D0">
        <w:rPr>
          <w:sz w:val="20"/>
        </w:rPr>
        <w:fldChar w:fldCharType="begin"/>
      </w:r>
      <w:r w:rsidRPr="007233D0">
        <w:rPr>
          <w:sz w:val="20"/>
        </w:rPr>
        <w:instrText xml:space="preserve"> ADDIN EN.CITE &lt;EndNote&gt;&lt;Cite ExcludeAuth="1"&gt;&lt;Year&gt;2014&lt;/Year&gt;&lt;RecNum&gt;1854&lt;/RecNum&gt;&lt;Pages&gt;art 8§4&lt;/Pages&gt;&lt;DisplayText&gt;&lt;style face="italic"&gt;Loi du 24 juillet 2014 relative aux droits et obligations du patient &lt;/style&gt;[Law of 24 July 2014 on patient rights and obligations], art 8§4&lt;/DisplayText&gt;&lt;record&gt;&lt;rec-number&gt;1854&lt;/rec-number&gt;&lt;foreign-keys&gt;&lt;key app="EN" db-id="29e2pr0ebtzaxkedz5b5aefxftsede200wps" timestamp="1469958549"&gt;1854&lt;/key&gt;&lt;/foreign-keys&gt;&lt;ref-type name="Statute, SI, EU leg, Treaties"&gt;31&lt;/ref-type&gt;&lt;contributors&gt;&lt;/contributors&gt;&lt;titles&gt;&lt;title&gt;&lt;style face="italic" font="default" size="100%"&gt;Loi du 24 juillet 2014 relative aux droits et obligations du patient &lt;/style&gt;&lt;style face="normal" font="default" size="100%"&gt;[Law of 24 July 2014 on patient rights and obligations]&lt;/style&gt;&lt;/title&gt;&lt;short-title&gt;L 2014 droits et obligations du patient (Luxembourg)&lt;/short-title&gt;&lt;/titles&gt;&lt;dates&gt;&lt;year&gt;2014&lt;/year&gt;&lt;/dates&gt;&lt;urls&gt;&lt;/urls&gt;&lt;/record&gt;&lt;/Cite&gt;&lt;/EndNote&gt;</w:instrText>
      </w:r>
      <w:r w:rsidRPr="007233D0">
        <w:rPr>
          <w:sz w:val="20"/>
        </w:rPr>
        <w:fldChar w:fldCharType="separate"/>
      </w:r>
      <w:proofErr w:type="spellStart"/>
      <w:r w:rsidRPr="007233D0">
        <w:rPr>
          <w:i/>
          <w:sz w:val="20"/>
        </w:rPr>
        <w:t>Loi</w:t>
      </w:r>
      <w:proofErr w:type="spellEnd"/>
      <w:r w:rsidRPr="007233D0">
        <w:rPr>
          <w:i/>
          <w:sz w:val="20"/>
        </w:rPr>
        <w:t xml:space="preserve"> du 24 </w:t>
      </w:r>
      <w:proofErr w:type="spellStart"/>
      <w:r w:rsidRPr="007233D0">
        <w:rPr>
          <w:i/>
          <w:sz w:val="20"/>
        </w:rPr>
        <w:t>juillet</w:t>
      </w:r>
      <w:proofErr w:type="spellEnd"/>
      <w:r w:rsidRPr="007233D0">
        <w:rPr>
          <w:i/>
          <w:sz w:val="20"/>
        </w:rPr>
        <w:t xml:space="preserve"> 2014 relative aux droits et obligations du patient </w:t>
      </w:r>
      <w:r w:rsidRPr="007233D0">
        <w:rPr>
          <w:sz w:val="20"/>
        </w:rPr>
        <w:t>[Law of 24 July 2014 on patient rights and obligations], art 8§4</w:t>
      </w:r>
      <w:r w:rsidRPr="007233D0">
        <w:rPr>
          <w:sz w:val="20"/>
        </w:rPr>
        <w:fldChar w:fldCharType="end"/>
      </w:r>
      <w:r w:rsidRPr="007233D0">
        <w:rPr>
          <w:sz w:val="20"/>
        </w:rPr>
        <w:t xml:space="preserve">; Italy, </w:t>
      </w:r>
      <w:r w:rsidRPr="007233D0">
        <w:rPr>
          <w:sz w:val="20"/>
        </w:rPr>
        <w:fldChar w:fldCharType="begin"/>
      </w:r>
      <w:r w:rsidRPr="007233D0">
        <w:rPr>
          <w:sz w:val="20"/>
        </w:rPr>
        <w:instrText xml:space="preserve"> ADDIN EN.CITE &lt;EndNote&gt;&lt;Cite ExcludeAuth="1"&gt;&lt;Year&gt;1947&lt;/Year&gt;&lt;RecNum&gt;2268&lt;/RecNum&gt;&lt;Pages&gt;art 32&lt;/Pages&gt;&lt;DisplayText&gt;&lt;style face="italic"&gt;Costituzione della Repubblica Italiana del 22 dicembre 1947 &lt;/style&gt;[Constitution of the Italian Republic of 22 December 1947] art 32&lt;/DisplayText&gt;&lt;record&gt;&lt;rec-number&gt;2268&lt;/rec-number&gt;&lt;foreign-keys&gt;&lt;key app="EN" db-id="29e2pr0ebtzaxkedz5b5aefxftsede200wps" timestamp="1473263412"&gt;2268&lt;/key&gt;&lt;/foreign-keys&gt;&lt;ref-type name="Statute, SI, EU leg, Treaties"&gt;31&lt;/ref-type&gt;&lt;contributors&gt;&lt;/contributors&gt;&lt;titles&gt;&lt;title&gt;&lt;style face="italic" font="default" size="100%"&gt;Costituzione della Repubblica Italiana del 22 dicembre 1947 &lt;/style&gt;&lt;style face="normal" font="default" size="100%"&gt;[Constitution of the Italian Republic of 22 December 1947] &lt;/style&gt;&lt;/title&gt;&lt;short-title&gt;Italian Constitution&lt;/short-title&gt;&lt;/titles&gt;&lt;dates&gt;&lt;year&gt;1947&lt;/year&gt;&lt;/dates&gt;&lt;urls&gt;&lt;/urls&gt;&lt;/record&gt;&lt;/Cite&gt;&lt;/EndNote&gt;</w:instrText>
      </w:r>
      <w:r w:rsidRPr="007233D0">
        <w:rPr>
          <w:sz w:val="20"/>
        </w:rPr>
        <w:fldChar w:fldCharType="separate"/>
      </w:r>
      <w:proofErr w:type="spellStart"/>
      <w:r w:rsidRPr="007233D0">
        <w:rPr>
          <w:i/>
          <w:sz w:val="20"/>
        </w:rPr>
        <w:t>Costituzione</w:t>
      </w:r>
      <w:proofErr w:type="spellEnd"/>
      <w:r w:rsidRPr="007233D0">
        <w:rPr>
          <w:i/>
          <w:sz w:val="20"/>
        </w:rPr>
        <w:t xml:space="preserve"> </w:t>
      </w:r>
      <w:proofErr w:type="spellStart"/>
      <w:r w:rsidRPr="007233D0">
        <w:rPr>
          <w:i/>
          <w:sz w:val="20"/>
        </w:rPr>
        <w:t>della</w:t>
      </w:r>
      <w:proofErr w:type="spellEnd"/>
      <w:r w:rsidRPr="007233D0">
        <w:rPr>
          <w:i/>
          <w:sz w:val="20"/>
        </w:rPr>
        <w:t xml:space="preserve"> Repubblica </w:t>
      </w:r>
      <w:proofErr w:type="spellStart"/>
      <w:r w:rsidRPr="007233D0">
        <w:rPr>
          <w:i/>
          <w:sz w:val="20"/>
        </w:rPr>
        <w:t>Italiana</w:t>
      </w:r>
      <w:proofErr w:type="spellEnd"/>
      <w:r w:rsidRPr="007233D0">
        <w:rPr>
          <w:i/>
          <w:sz w:val="20"/>
        </w:rPr>
        <w:t xml:space="preserve"> del 22 </w:t>
      </w:r>
      <w:proofErr w:type="spellStart"/>
      <w:r w:rsidRPr="007233D0">
        <w:rPr>
          <w:i/>
          <w:sz w:val="20"/>
        </w:rPr>
        <w:t>dicembre</w:t>
      </w:r>
      <w:proofErr w:type="spellEnd"/>
      <w:r w:rsidRPr="007233D0">
        <w:rPr>
          <w:i/>
          <w:sz w:val="20"/>
        </w:rPr>
        <w:t xml:space="preserve"> 1947 </w:t>
      </w:r>
      <w:r w:rsidRPr="007233D0">
        <w:rPr>
          <w:sz w:val="20"/>
        </w:rPr>
        <w:t>[Constitution of the Italian Republic of 22 December 1947] art 32</w:t>
      </w:r>
      <w:r w:rsidRPr="007233D0">
        <w:rPr>
          <w:sz w:val="20"/>
        </w:rPr>
        <w:fldChar w:fldCharType="end"/>
      </w:r>
      <w:r w:rsidRPr="007233D0">
        <w:rPr>
          <w:sz w:val="20"/>
        </w:rPr>
        <w:t xml:space="preserve">,  </w:t>
      </w:r>
      <w:r w:rsidRPr="007233D0">
        <w:rPr>
          <w:sz w:val="20"/>
        </w:rPr>
        <w:fldChar w:fldCharType="begin"/>
      </w:r>
      <w:r w:rsidRPr="007233D0">
        <w:rPr>
          <w:sz w:val="20"/>
        </w:rPr>
        <w:instrText xml:space="preserve"> ADDIN EN.CITE &lt;EndNote&gt;&lt;Cite&gt;&lt;Author&gt;Moratti&lt;/Author&gt;&lt;Year&gt;2008&lt;/Year&gt;&lt;RecNum&gt;2269&lt;/RecNum&gt;&lt;Pages&gt;13.3.1&lt;/Pages&gt;&lt;DisplayText&gt;Sofia Moratti, ‘Italy’ in John Griffiths, Heleen Weyers and Maurice Adams (eds), &lt;style face="italic"&gt;Euthanasia and law in Europe&lt;/style&gt; (Hart 2008) 13.3.1&lt;/DisplayText&gt;&lt;record&gt;&lt;rec-number&gt;2269&lt;/rec-number&gt;&lt;foreign-keys&gt;&lt;key app="EN" db-id="29e2pr0ebtzaxkedz5b5aefxftsede200wps" timestamp="1473263548"&gt;2269&lt;/key&gt;&lt;/foreign-keys&gt;&lt;ref-type name="Contribution to an Edited Book"&gt;5&lt;/ref-type&gt;&lt;contributors&gt;&lt;authors&gt;&lt;author&gt;Moratti, Sofia&lt;/author&gt;&lt;/authors&gt;&lt;secondary-authors&gt;&lt;author&gt;Griffiths, John&lt;/author&gt;&lt;author&gt;Weyers, Heleen&lt;/author&gt;&lt;author&gt;Adams, Maurice&lt;/author&gt;&lt;/secondary-authors&gt;&lt;/contributors&gt;&lt;titles&gt;&lt;title&gt;Italy&lt;/title&gt;&lt;secondary-title&gt;Euthanasia and law in Europe&lt;/secondary-title&gt;&lt;/titles&gt;&lt;keywords&gt;&lt;keyword&gt;Euthanasia Law and legislation Europe.&lt;/keyword&gt;&lt;/keywords&gt;&lt;dates&gt;&lt;year&gt;2008&lt;/year&gt;&lt;/dates&gt;&lt;pub-location&gt;Oxford&lt;/pub-location&gt;&lt;publisher&gt;Hart&lt;/publisher&gt;&lt;isbn&gt;9781841137001 (hbk.) : ¹40.00&amp;#xD;1841137006 (hbk.) : ¹40.00&lt;/isbn&gt;&lt;call-num&gt;344.404197 22&amp;#xD;British Library HMNTS YC.2012.a.3543&amp;#xD;British Library DSC m08/.33106&lt;/call-num&gt;&lt;urls&gt;&lt;/urls&gt;&lt;/record&gt;&lt;/Cite&gt;&lt;/EndNote&gt;</w:instrText>
      </w:r>
      <w:r w:rsidRPr="007233D0">
        <w:rPr>
          <w:sz w:val="20"/>
        </w:rPr>
        <w:fldChar w:fldCharType="separate"/>
      </w:r>
      <w:r w:rsidRPr="007233D0">
        <w:rPr>
          <w:sz w:val="20"/>
        </w:rPr>
        <w:t xml:space="preserve">Sofia Moratti, ‘Italy’ in John Griffiths, </w:t>
      </w:r>
      <w:proofErr w:type="spellStart"/>
      <w:r w:rsidRPr="007233D0">
        <w:rPr>
          <w:sz w:val="20"/>
        </w:rPr>
        <w:t>Heleen</w:t>
      </w:r>
      <w:proofErr w:type="spellEnd"/>
      <w:r w:rsidRPr="007233D0">
        <w:rPr>
          <w:sz w:val="20"/>
        </w:rPr>
        <w:t xml:space="preserve"> Weyers and Maurice Adams (</w:t>
      </w:r>
      <w:proofErr w:type="spellStart"/>
      <w:r w:rsidRPr="007233D0">
        <w:rPr>
          <w:sz w:val="20"/>
        </w:rPr>
        <w:t>eds</w:t>
      </w:r>
      <w:proofErr w:type="spellEnd"/>
      <w:r w:rsidRPr="007233D0">
        <w:rPr>
          <w:sz w:val="20"/>
        </w:rPr>
        <w:t xml:space="preserve">), </w:t>
      </w:r>
      <w:r w:rsidRPr="007233D0">
        <w:rPr>
          <w:i/>
          <w:sz w:val="20"/>
        </w:rPr>
        <w:t>Euthanasia and law in Europe</w:t>
      </w:r>
      <w:r w:rsidRPr="007233D0">
        <w:rPr>
          <w:sz w:val="20"/>
        </w:rPr>
        <w:t xml:space="preserve"> (Hart 2008) 13.3.1</w:t>
      </w:r>
      <w:r w:rsidRPr="007233D0">
        <w:rPr>
          <w:sz w:val="20"/>
        </w:rPr>
        <w:fldChar w:fldCharType="end"/>
      </w:r>
      <w:r w:rsidRPr="007233D0">
        <w:rPr>
          <w:sz w:val="20"/>
        </w:rPr>
        <w:t xml:space="preserve">); the Netherlands, </w:t>
      </w:r>
      <w:r w:rsidRPr="007233D0">
        <w:rPr>
          <w:sz w:val="20"/>
        </w:rPr>
        <w:fldChar w:fldCharType="begin"/>
      </w:r>
      <w:r w:rsidRPr="007233D0">
        <w:rPr>
          <w:sz w:val="20"/>
        </w:rPr>
        <w:instrText xml:space="preserve"> ADDIN EN.CITE &lt;EndNote&gt;&lt;Cite ExcludeAuth="1"&gt;&lt;Year&gt;1995&lt;/Year&gt;&lt;RecNum&gt;2267&lt;/RecNum&gt;&lt;Pages&gt;art 450(1)&lt;/Pages&gt;&lt;DisplayText&gt;&lt;style face="italic"&gt;Wet op de geneeskundige behandeIingsovereenkomst&lt;/style&gt; [Law on Contracts for Medical Care 1995], art 450(1)&lt;/DisplayText&gt;&lt;record&gt;&lt;rec-number&gt;2267&lt;/rec-number&gt;&lt;foreign-keys&gt;&lt;key app="EN" db-id="29e2pr0ebtzaxkedz5b5aefxftsede200wps" timestamp="1473262920"&gt;2267&lt;/key&gt;&lt;/foreign-keys&gt;&lt;ref-type name="Statute, SI, EU leg, Treaties"&gt;31&lt;/ref-type&gt;&lt;contributors&gt;&lt;/contributors&gt;&lt;titles&gt;&lt;title&gt;&lt;style face="italic" font="default" size="100%"&gt;Wet op de geneeskundige behandeIingsovereenkomst&lt;/style&gt;&lt;style face="normal" font="default" size="100%"&gt; [Law on Contracts for Medical Care 1995]&lt;/style&gt;&lt;/title&gt;&lt;short-title&gt;Law on Contracts for Medical Care (NL)&lt;/short-title&gt;&lt;/titles&gt;&lt;dates&gt;&lt;year&gt;1995&lt;/year&gt;&lt;/dates&gt;&lt;urls&gt;&lt;/urls&gt;&lt;/record&gt;&lt;/Cite&gt;&lt;/EndNote&gt;</w:instrText>
      </w:r>
      <w:r w:rsidRPr="007233D0">
        <w:rPr>
          <w:sz w:val="20"/>
        </w:rPr>
        <w:fldChar w:fldCharType="separate"/>
      </w:r>
      <w:r w:rsidRPr="007233D0">
        <w:rPr>
          <w:i/>
          <w:sz w:val="20"/>
        </w:rPr>
        <w:t xml:space="preserve">Wet op de </w:t>
      </w:r>
      <w:proofErr w:type="spellStart"/>
      <w:r w:rsidRPr="007233D0">
        <w:rPr>
          <w:i/>
          <w:sz w:val="20"/>
        </w:rPr>
        <w:t>geneeskundige</w:t>
      </w:r>
      <w:proofErr w:type="spellEnd"/>
      <w:r w:rsidRPr="007233D0">
        <w:rPr>
          <w:i/>
          <w:sz w:val="20"/>
        </w:rPr>
        <w:t xml:space="preserve"> </w:t>
      </w:r>
      <w:proofErr w:type="spellStart"/>
      <w:r w:rsidRPr="007233D0">
        <w:rPr>
          <w:i/>
          <w:sz w:val="20"/>
        </w:rPr>
        <w:t>behandeIingsovereenkomst</w:t>
      </w:r>
      <w:proofErr w:type="spellEnd"/>
      <w:r w:rsidRPr="007233D0">
        <w:rPr>
          <w:sz w:val="20"/>
        </w:rPr>
        <w:t xml:space="preserve"> [Law on Contracts for Medical Care 1995], art 450(1)</w:t>
      </w:r>
      <w:r w:rsidRPr="007233D0">
        <w:rPr>
          <w:sz w:val="20"/>
        </w:rPr>
        <w:fldChar w:fldCharType="end"/>
      </w:r>
      <w:r w:rsidRPr="007233D0">
        <w:rPr>
          <w:sz w:val="20"/>
        </w:rPr>
        <w:t xml:space="preserve">; Sweden, </w:t>
      </w:r>
      <w:r w:rsidRPr="007233D0">
        <w:rPr>
          <w:sz w:val="20"/>
        </w:rPr>
        <w:fldChar w:fldCharType="begin"/>
      </w:r>
      <w:r w:rsidRPr="007233D0">
        <w:rPr>
          <w:sz w:val="20"/>
        </w:rPr>
        <w:instrText xml:space="preserve"> ADDIN EN.CITE &lt;EndNote&gt;&lt;Cite ExcludeAuth="1"&gt;&lt;Year&gt;2014&lt;/Year&gt;&lt;RecNum&gt;2266&lt;/RecNum&gt;&lt;Pages&gt;4 kap`, §1`, 2&lt;/Pages&gt;&lt;DisplayText&gt;&lt;style face="italic"&gt;Patientlag &lt;/style&gt;[Patient law] (2014:821), 4 kap, §1, 2&lt;/DisplayText&gt;&lt;record&gt;&lt;rec-number&gt;2266&lt;/rec-number&gt;&lt;foreign-keys&gt;&lt;key app="EN" db-id="29e2pr0ebtzaxkedz5b5aefxftsede200wps" timestamp="1473262581"&gt;2266&lt;/key&gt;&lt;/foreign-keys&gt;&lt;ref-type name="Statute, SI, EU leg, Treaties"&gt;31&lt;/ref-type&gt;&lt;contributors&gt;&lt;/contributors&gt;&lt;titles&gt;&lt;title&gt;&lt;style face="italic" font="default" size="100%"&gt;Patientlag &lt;/style&gt;&lt;style face="normal" font="default" size="100%"&gt;[Patient law] (2014:821)&lt;/style&gt;&lt;/title&gt;&lt;short-title&gt;Patient law (Sweden) 2014&lt;/short-title&gt;&lt;/titles&gt;&lt;dates&gt;&lt;year&gt;2014&lt;/year&gt;&lt;/dates&gt;&lt;urls&gt;&lt;/urls&gt;&lt;/record&gt;&lt;/Cite&gt;&lt;/EndNote&gt;</w:instrText>
      </w:r>
      <w:r w:rsidRPr="007233D0">
        <w:rPr>
          <w:sz w:val="20"/>
        </w:rPr>
        <w:fldChar w:fldCharType="separate"/>
      </w:r>
      <w:proofErr w:type="spellStart"/>
      <w:r w:rsidRPr="007233D0">
        <w:rPr>
          <w:i/>
          <w:sz w:val="20"/>
        </w:rPr>
        <w:t>Patientlag</w:t>
      </w:r>
      <w:proofErr w:type="spellEnd"/>
      <w:r w:rsidRPr="007233D0">
        <w:rPr>
          <w:i/>
          <w:sz w:val="20"/>
        </w:rPr>
        <w:t xml:space="preserve"> </w:t>
      </w:r>
      <w:r w:rsidRPr="007233D0">
        <w:rPr>
          <w:sz w:val="20"/>
        </w:rPr>
        <w:t xml:space="preserve">[Patient law] (2014:821), 4 </w:t>
      </w:r>
      <w:proofErr w:type="spellStart"/>
      <w:r w:rsidRPr="007233D0">
        <w:rPr>
          <w:sz w:val="20"/>
        </w:rPr>
        <w:t>kap</w:t>
      </w:r>
      <w:proofErr w:type="spellEnd"/>
      <w:r w:rsidRPr="007233D0">
        <w:rPr>
          <w:sz w:val="20"/>
        </w:rPr>
        <w:t>, §1, 2</w:t>
      </w:r>
      <w:r w:rsidRPr="007233D0">
        <w:rPr>
          <w:sz w:val="20"/>
        </w:rPr>
        <w:fldChar w:fldCharType="end"/>
      </w:r>
      <w:r w:rsidRPr="007233D0">
        <w:rPr>
          <w:sz w:val="20"/>
        </w:rPr>
        <w:t>.</w:t>
      </w:r>
    </w:p>
  </w:footnote>
  <w:footnote w:id="120">
    <w:p w14:paraId="1740313D" w14:textId="16E0B613" w:rsidR="002D131A" w:rsidRPr="007233D0" w:rsidRDefault="002D131A">
      <w:pPr>
        <w:pStyle w:val="FootnoteText"/>
        <w:rPr>
          <w:sz w:val="20"/>
        </w:rPr>
      </w:pPr>
      <w:r w:rsidRPr="007233D0">
        <w:rPr>
          <w:rStyle w:val="FootnoteReference"/>
          <w:sz w:val="20"/>
        </w:rPr>
        <w:footnoteRef/>
      </w:r>
      <w:r w:rsidRPr="007233D0">
        <w:rPr>
          <w:sz w:val="20"/>
        </w:rPr>
        <w:t xml:space="preserve"> The </w:t>
      </w:r>
      <w:r w:rsidRPr="007233D0">
        <w:rPr>
          <w:sz w:val="20"/>
        </w:rPr>
        <w:fldChar w:fldCharType="begin"/>
      </w:r>
      <w:r w:rsidRPr="007233D0">
        <w:rPr>
          <w:sz w:val="20"/>
        </w:rPr>
        <w:instrText xml:space="preserve"> ADDIN EN.CITE &lt;EndNote&gt;&lt;Cite ExcludeAuth="1"&gt;&lt;Year&gt;1997&lt;/Year&gt;&lt;RecNum&gt;1849&lt;/RecNum&gt;&lt;Pages&gt;art 9&lt;/Pages&gt;&lt;DisplayText&gt;Oviedo Convention, art 9&lt;/DisplayText&gt;&lt;record&gt;&lt;rec-number&gt;1849&lt;/rec-number&gt;&lt;foreign-keys&gt;&lt;key app="EN" db-id="29e2pr0ebtzaxkedz5b5aefxftsede200wps" timestamp="1469958549"&gt;1849&lt;/key&gt;&lt;/foreign-keys&gt;&lt;ref-type name="Statute, SI, EU leg, Treaties"&gt;31&lt;/ref-type&gt;&lt;contributors&gt;&lt;/contributors&gt;&lt;titles&gt;&lt;title&gt;Convention on Human Rights and Biomedicine (Ovideo Convention)&lt;/title&gt;&lt;short-title&gt;Oviedo Convention&lt;/short-title&gt;&lt;/titles&gt;&lt;dates&gt;&lt;year&gt;1997&lt;/year&gt;&lt;/dates&gt;&lt;urls&gt;&lt;/urls&gt;&lt;/record&gt;&lt;/Cite&gt;&lt;/EndNote&gt;</w:instrText>
      </w:r>
      <w:r w:rsidRPr="007233D0">
        <w:rPr>
          <w:sz w:val="20"/>
        </w:rPr>
        <w:fldChar w:fldCharType="separate"/>
      </w:r>
      <w:r w:rsidRPr="007233D0">
        <w:rPr>
          <w:sz w:val="20"/>
        </w:rPr>
        <w:t>Oviedo Convention, art 9</w:t>
      </w:r>
      <w:r w:rsidRPr="007233D0">
        <w:rPr>
          <w:sz w:val="20"/>
        </w:rPr>
        <w:fldChar w:fldCharType="end"/>
      </w:r>
      <w:r w:rsidRPr="007233D0">
        <w:rPr>
          <w:sz w:val="20"/>
        </w:rPr>
        <w:t xml:space="preserve"> leaves the possibility of a right to refuse LPT in advance open, but does not provide authority for it: ‘The previously expresses wishes relating to a medical intervention by a patient who is not, at the time of the intervention, in a state to express his or her wishes shall be taken into account’. As the </w:t>
      </w:r>
      <w:r w:rsidRPr="007233D0">
        <w:rPr>
          <w:sz w:val="20"/>
        </w:rPr>
        <w:fldChar w:fldCharType="begin"/>
      </w:r>
      <w:r w:rsidRPr="007233D0">
        <w:rPr>
          <w:sz w:val="20"/>
        </w:rPr>
        <w:instrText xml:space="preserve"> ADDIN EN.CITE &lt;EndNote&gt;&lt;Cite&gt;&lt;Author&gt;Council of Europe Committee of Ministers&lt;/Author&gt;&lt;Year&gt;2000&lt;/Year&gt;&lt;RecNum&gt;1841&lt;/RecNum&gt;&lt;DisplayText&gt;Council of Europe Committee of Ministers, &lt;style face="italic"&gt;Reply to Recommendation 1418 (1999): Protection of the human rights and dignity of the terminally ill and the dying&lt;/style&gt; (2000)&lt;/DisplayText&gt;&lt;record&gt;&lt;rec-number&gt;1841&lt;/rec-number&gt;&lt;foreign-keys&gt;&lt;key app="EN" db-id="29e2pr0ebtzaxkedz5b5aefxftsede200wps" timestamp="1469958549"&gt;1841&lt;/key&gt;&lt;/foreign-keys&gt;&lt;ref-type name="Report; Command Paper"&gt;27&lt;/ref-type&gt;&lt;contributors&gt;&lt;authors&gt;&lt;author&gt;Council of Europe Committee of Ministers,&lt;/author&gt;&lt;/authors&gt;&lt;/contributors&gt;&lt;titles&gt;&lt;title&gt;Reply to Recommendation 1418 (1999): Protection of the human rights and dignity of the terminally ill and the dying&lt;/title&gt;&lt;/titles&gt;&lt;dates&gt;&lt;year&gt;2000&lt;/year&gt;&lt;/dates&gt;&lt;urls&gt;&lt;/urls&gt;&lt;/record&gt;&lt;/Cite&gt;&lt;/EndNote&gt;</w:instrText>
      </w:r>
      <w:r w:rsidRPr="007233D0">
        <w:rPr>
          <w:sz w:val="20"/>
        </w:rPr>
        <w:fldChar w:fldCharType="separate"/>
      </w:r>
      <w:r w:rsidRPr="007233D0">
        <w:rPr>
          <w:sz w:val="20"/>
        </w:rPr>
        <w:t xml:space="preserve">Council of Europe Committee of Ministers, </w:t>
      </w:r>
      <w:r w:rsidRPr="007233D0">
        <w:rPr>
          <w:i/>
          <w:sz w:val="20"/>
        </w:rPr>
        <w:t>Reply to Recommendation 1418 (1999): Protection of the human rights and dignity of the terminally ill and the dying</w:t>
      </w:r>
      <w:r w:rsidRPr="007233D0">
        <w:rPr>
          <w:sz w:val="20"/>
        </w:rPr>
        <w:t xml:space="preserve"> (2000)</w:t>
      </w:r>
      <w:r w:rsidRPr="007233D0">
        <w:rPr>
          <w:sz w:val="20"/>
        </w:rPr>
        <w:fldChar w:fldCharType="end"/>
      </w:r>
      <w:r w:rsidRPr="007233D0">
        <w:rPr>
          <w:sz w:val="20"/>
        </w:rPr>
        <w:t xml:space="preserve"> notes, the ‘wording [of article 9] reflects the maximum convergence of views among states which took part in drawing up the convention as regards reconciling patient </w:t>
      </w:r>
      <w:proofErr w:type="spellStart"/>
      <w:r w:rsidRPr="007233D0">
        <w:rPr>
          <w:sz w:val="20"/>
        </w:rPr>
        <w:t>self determination</w:t>
      </w:r>
      <w:proofErr w:type="spellEnd"/>
      <w:r w:rsidRPr="007233D0">
        <w:rPr>
          <w:sz w:val="20"/>
        </w:rPr>
        <w:t xml:space="preserve"> and medical responsibility’. The degree of consensus appears to have shifted considerably since 1997, insofar as advance refusals of LPT are in principle binding in an increasing number of Council of Europe jurisdictions, including (not an exhaustive survey): Austria, </w:t>
      </w:r>
      <w:r w:rsidRPr="007233D0">
        <w:rPr>
          <w:sz w:val="20"/>
        </w:rPr>
        <w:fldChar w:fldCharType="begin"/>
      </w:r>
      <w:r w:rsidRPr="007233D0">
        <w:rPr>
          <w:sz w:val="20"/>
        </w:rPr>
        <w:instrText xml:space="preserve"> ADDIN EN.CITE &lt;EndNote&gt;&lt;Cite ExcludeAuth="1"&gt;&lt;Year&gt;2006&lt;/Year&gt;&lt;RecNum&gt;2270&lt;/RecNum&gt;&lt;DisplayText&gt;&lt;style face="italic"&gt;BGBI I Nr 55/2006: Patientenverfügungs-Gesetz &lt;/style&gt;[Federal law on advance directives]&lt;/DisplayText&gt;&lt;record&gt;&lt;rec-number&gt;2270&lt;/rec-number&gt;&lt;foreign-keys&gt;&lt;key app="EN" db-id="29e2pr0ebtzaxkedz5b5aefxftsede200wps" timestamp="1473267802"&gt;2270&lt;/key&gt;&lt;/foreign-keys&gt;&lt;ref-type name="Statute, SI, EU leg, Treaties"&gt;31&lt;/ref-type&gt;&lt;contributors&gt;&lt;/contributors&gt;&lt;titles&gt;&lt;title&gt;&lt;style face="italic" font="default" size="100%"&gt;BGBI I Nr 55/2006: Patientenverfügungs-Gesetz &lt;/style&gt;&lt;style face="normal" font="default" size="100%"&gt;[Federal law on advance directives]&lt;/style&gt;&lt;/title&gt;&lt;short-title&gt;Federal law on advance directives (Austria) 2006&lt;/short-title&gt;&lt;/titles&gt;&lt;dates&gt;&lt;year&gt;2006&lt;/year&gt;&lt;/dates&gt;&lt;urls&gt;&lt;/urls&gt;&lt;/record&gt;&lt;/Cite&gt;&lt;/EndNote&gt;</w:instrText>
      </w:r>
      <w:r w:rsidRPr="007233D0">
        <w:rPr>
          <w:sz w:val="20"/>
        </w:rPr>
        <w:fldChar w:fldCharType="separate"/>
      </w:r>
      <w:r w:rsidRPr="007233D0">
        <w:rPr>
          <w:i/>
          <w:sz w:val="20"/>
        </w:rPr>
        <w:t xml:space="preserve">BGBI I </w:t>
      </w:r>
      <w:proofErr w:type="spellStart"/>
      <w:r w:rsidRPr="007233D0">
        <w:rPr>
          <w:i/>
          <w:sz w:val="20"/>
        </w:rPr>
        <w:t>Nr</w:t>
      </w:r>
      <w:proofErr w:type="spellEnd"/>
      <w:r w:rsidRPr="007233D0">
        <w:rPr>
          <w:i/>
          <w:sz w:val="20"/>
        </w:rPr>
        <w:t xml:space="preserve"> 55/2006: </w:t>
      </w:r>
      <w:proofErr w:type="spellStart"/>
      <w:r w:rsidRPr="007233D0">
        <w:rPr>
          <w:i/>
          <w:sz w:val="20"/>
        </w:rPr>
        <w:t>Patientenverfügungs-Gesetz</w:t>
      </w:r>
      <w:proofErr w:type="spellEnd"/>
      <w:r w:rsidRPr="007233D0">
        <w:rPr>
          <w:i/>
          <w:sz w:val="20"/>
        </w:rPr>
        <w:t xml:space="preserve"> </w:t>
      </w:r>
      <w:r w:rsidRPr="007233D0">
        <w:rPr>
          <w:sz w:val="20"/>
        </w:rPr>
        <w:t>[Federal law on advance directives]</w:t>
      </w:r>
      <w:r w:rsidRPr="007233D0">
        <w:rPr>
          <w:sz w:val="20"/>
        </w:rPr>
        <w:fldChar w:fldCharType="end"/>
      </w:r>
      <w:r w:rsidRPr="007233D0">
        <w:rPr>
          <w:sz w:val="20"/>
        </w:rPr>
        <w:t xml:space="preserve">; England and Wales </w:t>
      </w:r>
      <w:r w:rsidRPr="007233D0">
        <w:rPr>
          <w:sz w:val="20"/>
        </w:rPr>
        <w:fldChar w:fldCharType="begin"/>
      </w:r>
      <w:r w:rsidRPr="007233D0">
        <w:rPr>
          <w:sz w:val="20"/>
        </w:rPr>
        <w:instrText xml:space="preserve"> ADDIN EN.CITE &lt;EndNote&gt;&lt;Cite ExcludeAuth="1"&gt;&lt;Year&gt;2001&lt;/Year&gt;&lt;RecNum&gt;1100&lt;/RecNum&gt;&lt;Pages&gt;(at common law)&lt;/Pages&gt;&lt;DisplayText&gt;&lt;style face="italic"&gt;Re AK (Medical Treatment: Consent) &lt;/style&gt;[2001] 2 FCR 35 (Fam) (at common law); MCA 2005&lt;/DisplayText&gt;&lt;record&gt;&lt;rec-number&gt;1100&lt;/rec-number&gt;&lt;foreign-keys&gt;&lt;key app="EN" db-id="29e2pr0ebtzaxkedz5b5aefxftsede200wps" timestamp="1469956992"&gt;1100&lt;/key&gt;&lt;/foreign-keys&gt;&lt;ref-type name="Case (inc all UK, ECJ and ECtHR cases)"&gt;7&lt;/ref-type&gt;&lt;contributors&gt;&lt;/contributors&gt;&lt;titles&gt;&lt;title&gt;Re AK (Medical Treatment: Consent)&lt;/title&gt;&lt;secondary-title&gt;[2001] 2 FCR 35&lt;/secondary-title&gt;&lt;short-title&gt;Re AK&lt;/short-title&gt;&lt;/titles&gt;&lt;dates&gt;&lt;year&gt;2001&lt;/year&gt;&lt;/dates&gt;&lt;publisher&gt;Fam&lt;/publisher&gt;&lt;urls&gt;&lt;/urls&gt;&lt;/record&gt;&lt;/Cite&gt;&lt;Cite ExcludeAuth="1"&gt;&lt;Year&gt;2005&lt;/Year&gt;&lt;RecNum&gt;1481&lt;/RecNum&gt;&lt;record&gt;&lt;rec-number&gt;1481&lt;/rec-number&gt;&lt;foreign-keys&gt;&lt;key app="EN" db-id="29e2pr0ebtzaxkedz5b5aefxftsede200wps" timestamp="1469957003"&gt;1481&lt;/key&gt;&lt;/foreign-keys&gt;&lt;ref-type name="Statute, SI, EU leg, Treaties"&gt;31&lt;/ref-type&gt;&lt;contributors&gt;&lt;/contributors&gt;&lt;titles&gt;&lt;title&gt;Mental Capacity Act 2005 (MCA 2005)&lt;/title&gt;&lt;short-title&gt;MCA 2005&lt;/short-title&gt;&lt;/titles&gt;&lt;dates&gt;&lt;year&gt;2005&lt;/year&gt;&lt;/dates&gt;&lt;urls&gt;&lt;/urls&gt;&lt;/record&gt;&lt;/Cite&gt;&lt;/EndNote&gt;</w:instrText>
      </w:r>
      <w:r w:rsidRPr="007233D0">
        <w:rPr>
          <w:sz w:val="20"/>
        </w:rPr>
        <w:fldChar w:fldCharType="separate"/>
      </w:r>
      <w:r w:rsidRPr="007233D0">
        <w:rPr>
          <w:i/>
          <w:sz w:val="20"/>
        </w:rPr>
        <w:t xml:space="preserve">Re AK (Medical Treatment: Consent) </w:t>
      </w:r>
      <w:r w:rsidRPr="007233D0">
        <w:rPr>
          <w:sz w:val="20"/>
        </w:rPr>
        <w:t>[2001] 2 FCR 35 (Fam) (at common law); MCA 2005</w:t>
      </w:r>
      <w:r w:rsidRPr="007233D0">
        <w:rPr>
          <w:sz w:val="20"/>
        </w:rPr>
        <w:fldChar w:fldCharType="end"/>
      </w:r>
      <w:r w:rsidRPr="007233D0">
        <w:rPr>
          <w:sz w:val="20"/>
        </w:rPr>
        <w:t xml:space="preserve">; France, </w:t>
      </w:r>
      <w:r w:rsidRPr="007233D0">
        <w:rPr>
          <w:sz w:val="20"/>
        </w:rPr>
        <w:fldChar w:fldCharType="begin"/>
      </w:r>
      <w:r w:rsidRPr="007233D0">
        <w:rPr>
          <w:sz w:val="20"/>
        </w:rPr>
        <w:instrText xml:space="preserve"> ADDIN EN.CITE &lt;EndNote&gt;&lt;Cite ExcludeAuth="1"&gt;&lt;Year&gt;2000&lt;/Year&gt;&lt;RecNum&gt;2271&lt;/RecNum&gt;&lt;Pages&gt;art L1111-11`, 12&lt;/Pages&gt;&lt;DisplayText&gt;&lt;style face="italic"&gt;Code de la santé publique&lt;/style&gt; [&lt;style face="italic"&gt;Public health code&lt;/style&gt;], art L1111-11, 12&lt;/DisplayText&gt;&lt;record&gt;&lt;rec-number&gt;2271&lt;/rec-number&gt;&lt;foreign-keys&gt;&lt;key app="EN" db-id="29e2pr0ebtzaxkedz5b5aefxftsede200wps" timestamp="1473268136"&gt;2271&lt;/key&gt;&lt;/foreign-keys&gt;&lt;ref-type name="Statute, SI, EU leg, Treaties"&gt;31&lt;/ref-type&gt;&lt;contributors&gt;&lt;/contributors&gt;&lt;titles&gt;&lt;title&gt;&lt;style face="italic" font="default" size="100%"&gt;Code de la santé publique&lt;/style&gt;&lt;style face="normal" font="default" size="100%"&gt; [&lt;/style&gt;&lt;style face="italic" font="default" size="100%"&gt;Public health code&lt;/style&gt;&lt;style face="normal" font="default" size="100%"&gt;]&lt;/style&gt;&lt;/title&gt;&lt;short-title&gt;Public health code (France)&lt;/short-title&gt;&lt;/titles&gt;&lt;dates&gt;&lt;year&gt;2000&lt;/year&gt;&lt;/dates&gt;&lt;urls&gt;&lt;/urls&gt;&lt;/record&gt;&lt;/Cite&gt;&lt;/EndNote&gt;</w:instrText>
      </w:r>
      <w:r w:rsidRPr="007233D0">
        <w:rPr>
          <w:sz w:val="20"/>
        </w:rPr>
        <w:fldChar w:fldCharType="separate"/>
      </w:r>
      <w:r w:rsidRPr="007233D0">
        <w:rPr>
          <w:i/>
          <w:sz w:val="20"/>
        </w:rPr>
        <w:t xml:space="preserve">Code de la santé </w:t>
      </w:r>
      <w:proofErr w:type="spellStart"/>
      <w:r w:rsidRPr="007233D0">
        <w:rPr>
          <w:i/>
          <w:sz w:val="20"/>
        </w:rPr>
        <w:t>publique</w:t>
      </w:r>
      <w:proofErr w:type="spellEnd"/>
      <w:r w:rsidRPr="007233D0">
        <w:rPr>
          <w:sz w:val="20"/>
        </w:rPr>
        <w:t xml:space="preserve"> [</w:t>
      </w:r>
      <w:r w:rsidRPr="007233D0">
        <w:rPr>
          <w:i/>
          <w:sz w:val="20"/>
        </w:rPr>
        <w:t>Public health code</w:t>
      </w:r>
      <w:r w:rsidRPr="007233D0">
        <w:rPr>
          <w:sz w:val="20"/>
        </w:rPr>
        <w:t>], art L1111-11, 12</w:t>
      </w:r>
      <w:r w:rsidRPr="007233D0">
        <w:rPr>
          <w:sz w:val="20"/>
        </w:rPr>
        <w:fldChar w:fldCharType="end"/>
      </w:r>
      <w:r w:rsidRPr="007233D0">
        <w:rPr>
          <w:sz w:val="20"/>
        </w:rPr>
        <w:t xml:space="preserve"> Germany, </w:t>
      </w:r>
      <w:r w:rsidRPr="007233D0">
        <w:rPr>
          <w:sz w:val="20"/>
        </w:rPr>
        <w:fldChar w:fldCharType="begin"/>
      </w:r>
      <w:r w:rsidRPr="007233D0">
        <w:rPr>
          <w:sz w:val="20"/>
        </w:rPr>
        <w:instrText xml:space="preserve"> ADDIN EN.CITE &lt;EndNote&gt;&lt;Cite ExcludeAuth="1"&gt;&lt;Year&gt;2002&lt;/Year&gt;&lt;RecNum&gt;1848&lt;/RecNum&gt;&lt;Pages&gt;§1901a&lt;/Pages&gt;&lt;DisplayText&gt;BGB, §1901a&lt;/DisplayText&gt;&lt;record&gt;&lt;rec-number&gt;1848&lt;/rec-number&gt;&lt;foreign-keys&gt;&lt;key app="EN" db-id="29e2pr0ebtzaxkedz5b5aefxftsede200wps" timestamp="1469958549"&gt;1848&lt;/key&gt;&lt;/foreign-keys&gt;&lt;ref-type name="Statute, SI, EU leg, Treaties"&gt;31&lt;/ref-type&gt;&lt;contributors&gt;&lt;/contributors&gt;&lt;titles&gt;&lt;title&gt;&lt;style face="italic" font="default" size="100%"&gt;Bürgerliches Gesetzbuch&lt;/style&gt;&lt;style face="normal" font="default" size="100%"&gt; [German Civil Code] (BGB)&lt;/style&gt;&lt;/title&gt;&lt;short-title&gt;BGB&lt;/short-title&gt;&lt;/titles&gt;&lt;dates&gt;&lt;year&gt;2002&lt;/year&gt;&lt;/dates&gt;&lt;urls&gt;&lt;/urls&gt;&lt;/record&gt;&lt;/Cite&gt;&lt;/EndNote&gt;</w:instrText>
      </w:r>
      <w:r w:rsidRPr="007233D0">
        <w:rPr>
          <w:sz w:val="20"/>
        </w:rPr>
        <w:fldChar w:fldCharType="separate"/>
      </w:r>
      <w:r w:rsidRPr="007233D0">
        <w:rPr>
          <w:sz w:val="20"/>
        </w:rPr>
        <w:t>BGB, §1901a</w:t>
      </w:r>
      <w:r w:rsidRPr="007233D0">
        <w:rPr>
          <w:sz w:val="20"/>
        </w:rPr>
        <w:fldChar w:fldCharType="end"/>
      </w:r>
      <w:r w:rsidRPr="007233D0">
        <w:rPr>
          <w:sz w:val="20"/>
        </w:rPr>
        <w:t xml:space="preserve">; </w:t>
      </w:r>
      <w:r w:rsidRPr="007233D0">
        <w:rPr>
          <w:sz w:val="20"/>
        </w:rPr>
        <w:fldChar w:fldCharType="begin"/>
      </w:r>
      <w:r w:rsidRPr="007233D0">
        <w:rPr>
          <w:sz w:val="20"/>
        </w:rPr>
        <w:instrText xml:space="preserve"> ADDIN EN.CITE &lt;EndNote&gt;&lt;Cite ExcludeAuth="1"&gt;&lt;Year&gt;2015&lt;/Year&gt;&lt;RecNum&gt;2274&lt;/RecNum&gt;&lt;DisplayText&gt;Assisted Decision-Making (Capacity) Act 2015&lt;/DisplayText&gt;&lt;record&gt;&lt;rec-number&gt;2274&lt;/rec-number&gt;&lt;foreign-keys&gt;&lt;key app="EN" db-id="29e2pr0ebtzaxkedz5b5aefxftsede200wps" timestamp="1473270574"&gt;2274&lt;/key&gt;&lt;/foreign-keys&gt;&lt;ref-type name="Statute, SI, EU leg, Treaties"&gt;31&lt;/ref-type&gt;&lt;contributors&gt;&lt;/contributors&gt;&lt;titles&gt;&lt;title&gt;Assisted Decision-Making (Capacity) Act 2015&lt;/title&gt;&lt;short-title&gt;ADM(C)A (Ireland) 2015&lt;/short-title&gt;&lt;/titles&gt;&lt;dates&gt;&lt;year&gt;2015&lt;/year&gt;&lt;/dates&gt;&lt;urls&gt;&lt;/urls&gt;&lt;/record&gt;&lt;/Cite&gt;&lt;/EndNote&gt;</w:instrText>
      </w:r>
      <w:r w:rsidRPr="007233D0">
        <w:rPr>
          <w:sz w:val="20"/>
        </w:rPr>
        <w:fldChar w:fldCharType="separate"/>
      </w:r>
      <w:r w:rsidRPr="007233D0">
        <w:rPr>
          <w:sz w:val="20"/>
        </w:rPr>
        <w:t>Assisted Decision-Making (Capacity) Act 2015</w:t>
      </w:r>
      <w:r w:rsidRPr="007233D0">
        <w:rPr>
          <w:sz w:val="20"/>
        </w:rPr>
        <w:fldChar w:fldCharType="end"/>
      </w:r>
      <w:r w:rsidRPr="007233D0">
        <w:rPr>
          <w:sz w:val="20"/>
        </w:rPr>
        <w:t xml:space="preserve">; Portugal, </w:t>
      </w:r>
      <w:r w:rsidRPr="007233D0">
        <w:rPr>
          <w:sz w:val="20"/>
        </w:rPr>
        <w:fldChar w:fldCharType="begin"/>
      </w:r>
      <w:r w:rsidRPr="007233D0">
        <w:rPr>
          <w:sz w:val="20"/>
        </w:rPr>
        <w:instrText xml:space="preserve"> ADDIN EN.CITE &lt;EndNote&gt;&lt;Cite ExcludeAuth="1"&gt;&lt;Year&gt;2012&lt;/Year&gt;&lt;RecNum&gt;1852&lt;/RecNum&gt;&lt;DisplayText&gt;&lt;style face="italic"&gt;Lei nº 25/2012 de 16 de julho Regula as diretivas antecipadas de vontade... &lt;/style&gt;[Law no 25/2012 of 16 July on advance directives]&lt;/DisplayText&gt;&lt;record&gt;&lt;rec-number&gt;1852&lt;/rec-number&gt;&lt;foreign-keys&gt;&lt;key app="EN" db-id="29e2pr0ebtzaxkedz5b5aefxftsede200wps" timestamp="1469958549"&gt;1852&lt;/key&gt;&lt;/foreign-keys&gt;&lt;ref-type name="Statute, SI, EU leg, Treaties"&gt;31&lt;/ref-type&gt;&lt;contributors&gt;&lt;/contributors&gt;&lt;titles&gt;&lt;title&gt;&lt;style face="italic" font="default" size="100%"&gt;Lei nº 25/2012 de 16 de julho Regula as diretivas antecipadas de vontade... &lt;/style&gt;&lt;style face="normal" font="default" size="100%"&gt;[Law no 25/2012 of 16 July on advance directives]&lt;/style&gt;&lt;/title&gt;&lt;short-title&gt;Law on advance directives (Portugal) 2012&lt;/short-title&gt;&lt;/titles&gt;&lt;dates&gt;&lt;year&gt;2012&lt;/year&gt;&lt;/dates&gt;&lt;urls&gt;&lt;/urls&gt;&lt;/record&gt;&lt;/Cite&gt;&lt;/EndNote&gt;</w:instrText>
      </w:r>
      <w:r w:rsidRPr="007233D0">
        <w:rPr>
          <w:sz w:val="20"/>
        </w:rPr>
        <w:fldChar w:fldCharType="separate"/>
      </w:r>
      <w:r w:rsidRPr="007233D0">
        <w:rPr>
          <w:i/>
          <w:sz w:val="20"/>
        </w:rPr>
        <w:t xml:space="preserve">Lei nº 25/2012 de 16 de </w:t>
      </w:r>
      <w:proofErr w:type="spellStart"/>
      <w:r w:rsidRPr="007233D0">
        <w:rPr>
          <w:i/>
          <w:sz w:val="20"/>
        </w:rPr>
        <w:t>julho</w:t>
      </w:r>
      <w:proofErr w:type="spellEnd"/>
      <w:r w:rsidRPr="007233D0">
        <w:rPr>
          <w:i/>
          <w:sz w:val="20"/>
        </w:rPr>
        <w:t xml:space="preserve"> Regula as </w:t>
      </w:r>
      <w:proofErr w:type="spellStart"/>
      <w:r w:rsidRPr="007233D0">
        <w:rPr>
          <w:i/>
          <w:sz w:val="20"/>
        </w:rPr>
        <w:t>diretivas</w:t>
      </w:r>
      <w:proofErr w:type="spellEnd"/>
      <w:r w:rsidRPr="007233D0">
        <w:rPr>
          <w:i/>
          <w:sz w:val="20"/>
        </w:rPr>
        <w:t xml:space="preserve"> </w:t>
      </w:r>
      <w:proofErr w:type="spellStart"/>
      <w:r w:rsidRPr="007233D0">
        <w:rPr>
          <w:i/>
          <w:sz w:val="20"/>
        </w:rPr>
        <w:t>antecipadas</w:t>
      </w:r>
      <w:proofErr w:type="spellEnd"/>
      <w:r w:rsidRPr="007233D0">
        <w:rPr>
          <w:i/>
          <w:sz w:val="20"/>
        </w:rPr>
        <w:t xml:space="preserve"> de </w:t>
      </w:r>
      <w:proofErr w:type="spellStart"/>
      <w:r w:rsidRPr="007233D0">
        <w:rPr>
          <w:i/>
          <w:sz w:val="20"/>
        </w:rPr>
        <w:t>vontade</w:t>
      </w:r>
      <w:proofErr w:type="spellEnd"/>
      <w:r w:rsidRPr="007233D0">
        <w:rPr>
          <w:i/>
          <w:sz w:val="20"/>
        </w:rPr>
        <w:t xml:space="preserve">... </w:t>
      </w:r>
      <w:r w:rsidRPr="007233D0">
        <w:rPr>
          <w:sz w:val="20"/>
        </w:rPr>
        <w:t>[Law no 25/2012 of 16 July on advance directives]</w:t>
      </w:r>
      <w:r w:rsidRPr="007233D0">
        <w:rPr>
          <w:sz w:val="20"/>
        </w:rPr>
        <w:fldChar w:fldCharType="end"/>
      </w:r>
      <w:r w:rsidRPr="007233D0">
        <w:rPr>
          <w:sz w:val="20"/>
        </w:rPr>
        <w:t xml:space="preserve">; the Netherlands, </w:t>
      </w:r>
      <w:r w:rsidRPr="007233D0">
        <w:rPr>
          <w:sz w:val="20"/>
        </w:rPr>
        <w:fldChar w:fldCharType="begin"/>
      </w:r>
      <w:r w:rsidRPr="007233D0">
        <w:rPr>
          <w:sz w:val="20"/>
        </w:rPr>
        <w:instrText xml:space="preserve"> ADDIN EN.CITE &lt;EndNote&gt;&lt;Cite ExcludeAuth="1"&gt;&lt;Year&gt;1995&lt;/Year&gt;&lt;RecNum&gt;2267&lt;/RecNum&gt;&lt;Pages&gt;art 450(3)&lt;/Pages&gt;&lt;DisplayText&gt;Law on Contracts for Medical Care (NL), art 450(3)&lt;/DisplayText&gt;&lt;record&gt;&lt;rec-number&gt;2267&lt;/rec-number&gt;&lt;foreign-keys&gt;&lt;key app="EN" db-id="29e2pr0ebtzaxkedz5b5aefxftsede200wps" timestamp="1473262920"&gt;2267&lt;/key&gt;&lt;/foreign-keys&gt;&lt;ref-type name="Statute, SI, EU leg, Treaties"&gt;31&lt;/ref-type&gt;&lt;contributors&gt;&lt;/contributors&gt;&lt;titles&gt;&lt;title&gt;&lt;style face="italic" font="default" size="100%"&gt;Wet op de geneeskundige behandeIingsovereenkomst&lt;/style&gt;&lt;style face="normal" font="default" size="100%"&gt; [Law on Contracts for Medical Care 1995]&lt;/style&gt;&lt;/title&gt;&lt;short-title&gt;Law on Contracts for Medical Care (NL)&lt;/short-title&gt;&lt;/titles&gt;&lt;dates&gt;&lt;year&gt;1995&lt;/year&gt;&lt;/dates&gt;&lt;urls&gt;&lt;/urls&gt;&lt;/record&gt;&lt;/Cite&gt;&lt;/EndNote&gt;</w:instrText>
      </w:r>
      <w:r w:rsidRPr="007233D0">
        <w:rPr>
          <w:sz w:val="20"/>
        </w:rPr>
        <w:fldChar w:fldCharType="separate"/>
      </w:r>
      <w:r w:rsidRPr="007233D0">
        <w:rPr>
          <w:sz w:val="20"/>
        </w:rPr>
        <w:t>Law on Contracts for Medical Care (NL), art 450(3)</w:t>
      </w:r>
      <w:r w:rsidRPr="007233D0">
        <w:rPr>
          <w:sz w:val="20"/>
        </w:rPr>
        <w:fldChar w:fldCharType="end"/>
      </w:r>
      <w:r w:rsidRPr="007233D0">
        <w:rPr>
          <w:sz w:val="20"/>
        </w:rPr>
        <w:t xml:space="preserve">; Slovenia </w:t>
      </w:r>
      <w:r w:rsidRPr="007233D0">
        <w:rPr>
          <w:sz w:val="20"/>
        </w:rPr>
        <w:fldChar w:fldCharType="begin"/>
      </w:r>
      <w:r w:rsidRPr="007233D0">
        <w:rPr>
          <w:sz w:val="20"/>
        </w:rPr>
        <w:instrText xml:space="preserve"> ADDIN EN.CITE &lt;EndNote&gt;&lt;Cite ExcludeAuth="1"&gt;&lt;Year&gt;2008&lt;/Year&gt;&lt;RecNum&gt;2272&lt;/RecNum&gt;&lt;Prefix&gt;(refusal permitted only in circumstances of terminal illness and qualitative futility)`, &lt;/Prefix&gt;&lt;DisplayText&gt;(refusal permitted only in circumstances of terminal illness and qualitative futility), &lt;style face="italic"&gt;Zakon o pacientovih pravicah (Uradni list RS, št. 15/08)&lt;/style&gt; [Patient Rights Act (Official Gazette RS, no 15/08] &lt;style face="underline"&gt;http://www.nkt-z.si/wps/portal/nktz/home/healthcare/rights%26obligations/rights/&lt;/style&gt; accessed 2016/09/01&lt;/DisplayText&gt;&lt;record&gt;&lt;rec-number&gt;2272&lt;/rec-number&gt;&lt;foreign-keys&gt;&lt;key app="EN" db-id="29e2pr0ebtzaxkedz5b5aefxftsede200wps" timestamp="1473268754"&gt;2272&lt;/key&gt;&lt;/foreign-keys&gt;&lt;ref-type name="Statute, SI, EU leg, Treaties"&gt;31&lt;/ref-type&gt;&lt;contributors&gt;&lt;/contributors&gt;&lt;titles&gt;&lt;title&gt;&lt;style face="italic" font="default" size="100%"&gt;Zakon o pacientovih pravicah (Uradni list RS, št. 15/08)&lt;/style&gt;&lt;style face="normal" font="default" size="100%"&gt; [Patient Rights Act (Official Gazette RS, no 15/08]&lt;/style&gt;&lt;/title&gt;&lt;short-title&gt;Patient Rights Act (Slovenia) 2008&lt;/short-title&gt;&lt;/titles&gt;&lt;dates&gt;&lt;year&gt;2008&lt;/year&gt;&lt;/dates&gt;&lt;urls&gt;&lt;related-urls&gt;&lt;url&gt;http://www.nkt-z.si/wps/portal/nktz/home/healthcare/rights%26obligations/rights/&lt;/url&gt;&lt;/related-urls&gt;&lt;/urls&gt;&lt;access-date&gt;2016/09/01&lt;/access-date&gt;&lt;/record&gt;&lt;/Cite&gt;&lt;/EndNote&gt;</w:instrText>
      </w:r>
      <w:r w:rsidRPr="007233D0">
        <w:rPr>
          <w:sz w:val="20"/>
        </w:rPr>
        <w:fldChar w:fldCharType="separate"/>
      </w:r>
      <w:r w:rsidRPr="007233D0">
        <w:rPr>
          <w:sz w:val="20"/>
        </w:rPr>
        <w:t xml:space="preserve">(refusal permitted only in circumstances of terminal illness and qualitative futility), </w:t>
      </w:r>
      <w:proofErr w:type="spellStart"/>
      <w:r w:rsidRPr="007233D0">
        <w:rPr>
          <w:i/>
          <w:sz w:val="20"/>
        </w:rPr>
        <w:t>Zakon</w:t>
      </w:r>
      <w:proofErr w:type="spellEnd"/>
      <w:r w:rsidRPr="007233D0">
        <w:rPr>
          <w:i/>
          <w:sz w:val="20"/>
        </w:rPr>
        <w:t xml:space="preserve"> o </w:t>
      </w:r>
      <w:proofErr w:type="spellStart"/>
      <w:r w:rsidRPr="007233D0">
        <w:rPr>
          <w:i/>
          <w:sz w:val="20"/>
        </w:rPr>
        <w:t>pacientovih</w:t>
      </w:r>
      <w:proofErr w:type="spellEnd"/>
      <w:r w:rsidRPr="007233D0">
        <w:rPr>
          <w:i/>
          <w:sz w:val="20"/>
        </w:rPr>
        <w:t xml:space="preserve"> </w:t>
      </w:r>
      <w:proofErr w:type="spellStart"/>
      <w:r w:rsidRPr="007233D0">
        <w:rPr>
          <w:i/>
          <w:sz w:val="20"/>
        </w:rPr>
        <w:t>pravicah</w:t>
      </w:r>
      <w:proofErr w:type="spellEnd"/>
      <w:r w:rsidRPr="007233D0">
        <w:rPr>
          <w:i/>
          <w:sz w:val="20"/>
        </w:rPr>
        <w:t xml:space="preserve"> (</w:t>
      </w:r>
      <w:proofErr w:type="spellStart"/>
      <w:r w:rsidRPr="007233D0">
        <w:rPr>
          <w:i/>
          <w:sz w:val="20"/>
        </w:rPr>
        <w:t>Uradni</w:t>
      </w:r>
      <w:proofErr w:type="spellEnd"/>
      <w:r w:rsidRPr="007233D0">
        <w:rPr>
          <w:i/>
          <w:sz w:val="20"/>
        </w:rPr>
        <w:t xml:space="preserve"> list RS, </w:t>
      </w:r>
      <w:proofErr w:type="spellStart"/>
      <w:r w:rsidRPr="007233D0">
        <w:rPr>
          <w:i/>
          <w:sz w:val="20"/>
        </w:rPr>
        <w:t>št</w:t>
      </w:r>
      <w:proofErr w:type="spellEnd"/>
      <w:r w:rsidRPr="007233D0">
        <w:rPr>
          <w:i/>
          <w:sz w:val="20"/>
        </w:rPr>
        <w:t>. 15/08)</w:t>
      </w:r>
      <w:r w:rsidRPr="007233D0">
        <w:rPr>
          <w:sz w:val="20"/>
        </w:rPr>
        <w:t xml:space="preserve"> [Patient Rights Act (Official Gazette RS, no 15/08] </w:t>
      </w:r>
      <w:r w:rsidRPr="007233D0">
        <w:rPr>
          <w:sz w:val="20"/>
          <w:u w:val="single"/>
        </w:rPr>
        <w:t>http://www.nkt-z.si/wps/portal/nktz/home/healthcare/rights%26obligations/rights/</w:t>
      </w:r>
      <w:r w:rsidRPr="007233D0">
        <w:rPr>
          <w:sz w:val="20"/>
        </w:rPr>
        <w:t xml:space="preserve"> accessed 2016/09/01</w:t>
      </w:r>
      <w:r w:rsidRPr="007233D0">
        <w:rPr>
          <w:sz w:val="20"/>
        </w:rPr>
        <w:fldChar w:fldCharType="end"/>
      </w:r>
      <w:r w:rsidRPr="007233D0">
        <w:rPr>
          <w:sz w:val="20"/>
        </w:rPr>
        <w:t xml:space="preserve">; Switzerland </w:t>
      </w:r>
      <w:r w:rsidRPr="007233D0">
        <w:rPr>
          <w:sz w:val="20"/>
        </w:rPr>
        <w:fldChar w:fldCharType="begin"/>
      </w:r>
      <w:r w:rsidRPr="007233D0">
        <w:rPr>
          <w:sz w:val="20"/>
        </w:rPr>
        <w:instrText xml:space="preserve"> ADDIN EN.CITE &lt;EndNote&gt;&lt;Cite ExcludeAuth="1"&gt;&lt;Year&gt;1907&lt;/Year&gt;&lt;RecNum&gt;2273&lt;/RecNum&gt;&lt;Pages&gt;arts 370-373&lt;/Pages&gt;&lt;DisplayText&gt;&lt;style face="italic"&gt;Code civil suisse du 10 décembre 1907&lt;/style&gt; [Swiss civil code of 10 december 1907], arts 370-373&lt;/DisplayText&gt;&lt;record&gt;&lt;rec-number&gt;2273&lt;/rec-number&gt;&lt;foreign-keys&gt;&lt;key app="EN" db-id="29e2pr0ebtzaxkedz5b5aefxftsede200wps" timestamp="1473269795"&gt;2273&lt;/key&gt;&lt;/foreign-keys&gt;&lt;ref-type name="Statute, SI, EU leg, Treaties"&gt;31&lt;/ref-type&gt;&lt;contributors&gt;&lt;/contributors&gt;&lt;titles&gt;&lt;title&gt;&lt;style face="italic" font="default" size="100%"&gt;Code civil suisse du 10 décembre 1907&lt;/style&gt;&lt;style face="normal" font="default" size="100%"&gt; [Swiss civil code of 10 december 1907]&lt;/style&gt;&lt;/title&gt;&lt;short-title&gt;Swiss civil code&lt;/short-title&gt;&lt;/titles&gt;&lt;dates&gt;&lt;year&gt;1907&lt;/year&gt;&lt;/dates&gt;&lt;urls&gt;&lt;/urls&gt;&lt;/record&gt;&lt;/Cite&gt;&lt;/EndNote&gt;</w:instrText>
      </w:r>
      <w:r w:rsidRPr="007233D0">
        <w:rPr>
          <w:sz w:val="20"/>
        </w:rPr>
        <w:fldChar w:fldCharType="separate"/>
      </w:r>
      <w:r w:rsidRPr="007233D0">
        <w:rPr>
          <w:i/>
          <w:sz w:val="20"/>
        </w:rPr>
        <w:t xml:space="preserve">Code civil </w:t>
      </w:r>
      <w:proofErr w:type="spellStart"/>
      <w:r w:rsidRPr="007233D0">
        <w:rPr>
          <w:i/>
          <w:sz w:val="20"/>
        </w:rPr>
        <w:t>suisse</w:t>
      </w:r>
      <w:proofErr w:type="spellEnd"/>
      <w:r w:rsidRPr="007233D0">
        <w:rPr>
          <w:i/>
          <w:sz w:val="20"/>
        </w:rPr>
        <w:t xml:space="preserve"> du 10 </w:t>
      </w:r>
      <w:proofErr w:type="spellStart"/>
      <w:r w:rsidRPr="007233D0">
        <w:rPr>
          <w:i/>
          <w:sz w:val="20"/>
        </w:rPr>
        <w:t>décembre</w:t>
      </w:r>
      <w:proofErr w:type="spellEnd"/>
      <w:r w:rsidRPr="007233D0">
        <w:rPr>
          <w:i/>
          <w:sz w:val="20"/>
        </w:rPr>
        <w:t xml:space="preserve"> 1907</w:t>
      </w:r>
      <w:r w:rsidRPr="007233D0">
        <w:rPr>
          <w:sz w:val="20"/>
        </w:rPr>
        <w:t xml:space="preserve"> [Swiss civil code of 10 </w:t>
      </w:r>
      <w:proofErr w:type="spellStart"/>
      <w:r w:rsidRPr="007233D0">
        <w:rPr>
          <w:sz w:val="20"/>
        </w:rPr>
        <w:t>december</w:t>
      </w:r>
      <w:proofErr w:type="spellEnd"/>
      <w:r w:rsidRPr="007233D0">
        <w:rPr>
          <w:sz w:val="20"/>
        </w:rPr>
        <w:t xml:space="preserve"> 1907], arts 370-373</w:t>
      </w:r>
      <w:r w:rsidRPr="007233D0">
        <w:rPr>
          <w:sz w:val="20"/>
        </w:rPr>
        <w:fldChar w:fldCharType="end"/>
      </w:r>
      <w:r w:rsidRPr="007233D0">
        <w:rPr>
          <w:sz w:val="20"/>
        </w:rPr>
        <w:t>.</w:t>
      </w:r>
    </w:p>
  </w:footnote>
  <w:footnote w:id="121">
    <w:p w14:paraId="478542CE" w14:textId="2F4D2727"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 ExcludeAuth="1"&gt;&lt;Year&gt;2002&lt;/Year&gt;&lt;RecNum&gt;1820&lt;/RecNum&gt;&lt;Pages&gt;[74]&lt;/Pages&gt;&lt;DisplayText&gt;&lt;style face="italic"&gt;Goodwin v United Kingdom &lt;/style&gt;(2002) 35 EHRR 18 (ECtHR) [74]&lt;/DisplayText&gt;&lt;record&gt;&lt;rec-number&gt;1820&lt;/rec-number&gt;&lt;foreign-keys&gt;&lt;key app="EN" db-id="29e2pr0ebtzaxkedz5b5aefxftsede200wps" timestamp="1469958548"&gt;1820&lt;/key&gt;&lt;/foreign-keys&gt;&lt;ref-type name="Case (inc all UK, ECJ and ECtHR cases)"&gt;7&lt;/ref-type&gt;&lt;contributors&gt;&lt;/contributors&gt;&lt;titles&gt;&lt;title&gt;Goodwin v United Kingdom&lt;/title&gt;&lt;secondary-title&gt;(2002) 35 EHRR 18&lt;/secondary-title&gt;&lt;/titles&gt;&lt;dates&gt;&lt;year&gt;2002&lt;/year&gt;&lt;/dates&gt;&lt;publisher&gt;ECtHR&lt;/publisher&gt;&lt;urls&gt;&lt;/urls&gt;&lt;/record&gt;&lt;/Cite&gt;&lt;/EndNote&gt;</w:instrText>
      </w:r>
      <w:r w:rsidRPr="007233D0">
        <w:rPr>
          <w:sz w:val="20"/>
        </w:rPr>
        <w:fldChar w:fldCharType="separate"/>
      </w:r>
      <w:r w:rsidRPr="007233D0">
        <w:rPr>
          <w:i/>
          <w:sz w:val="20"/>
        </w:rPr>
        <w:t xml:space="preserve">Goodwin v United Kingdom </w:t>
      </w:r>
      <w:r w:rsidRPr="007233D0">
        <w:rPr>
          <w:sz w:val="20"/>
        </w:rPr>
        <w:t>(2002) 35 EHRR 18 (ECtHR) [74]</w:t>
      </w:r>
      <w:r w:rsidRPr="007233D0">
        <w:rPr>
          <w:sz w:val="20"/>
        </w:rPr>
        <w:fldChar w:fldCharType="end"/>
      </w:r>
      <w:r w:rsidRPr="007233D0">
        <w:rPr>
          <w:sz w:val="20"/>
        </w:rPr>
        <w:t>.</w:t>
      </w:r>
    </w:p>
  </w:footnote>
  <w:footnote w:id="122">
    <w:p w14:paraId="619016A5" w14:textId="163DEE32"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 ExcludeAuth="1"&gt;&lt;Year&gt;1999&lt;/Year&gt;&lt;RecNum&gt;2275&lt;/RecNum&gt;&lt;Pages&gt;[57]-[58]&lt;/Pages&gt;&lt;DisplayText&gt;&lt;style face="italic"&gt;Sheffield and Horsham v United Kingdom &lt;/style&gt;(1999) 27 EHRR 163 (ECtHR) [57]-[58]&lt;/DisplayText&gt;&lt;record&gt;&lt;rec-number&gt;2275&lt;/rec-number&gt;&lt;foreign-keys&gt;&lt;key app="EN" db-id="29e2pr0ebtzaxkedz5b5aefxftsede200wps" timestamp="1474975118"&gt;2275&lt;/key&gt;&lt;/foreign-keys&gt;&lt;ref-type name="Case (inc all UK, ECJ and ECtHR cases)"&gt;7&lt;/ref-type&gt;&lt;contributors&gt;&lt;/contributors&gt;&lt;titles&gt;&lt;title&gt;Sheffield and Horsham v United Kingdom&lt;/title&gt;&lt;secondary-title&gt;(1999) 27 EHRR 163&lt;/secondary-title&gt;&lt;/titles&gt;&lt;dates&gt;&lt;year&gt;1999&lt;/year&gt;&lt;/dates&gt;&lt;publisher&gt;ECtHR&lt;/publisher&gt;&lt;urls&gt;&lt;/urls&gt;&lt;/record&gt;&lt;/Cite&gt;&lt;/EndNote&gt;</w:instrText>
      </w:r>
      <w:r w:rsidRPr="007233D0">
        <w:rPr>
          <w:sz w:val="20"/>
        </w:rPr>
        <w:fldChar w:fldCharType="separate"/>
      </w:r>
      <w:r w:rsidRPr="007233D0">
        <w:rPr>
          <w:i/>
          <w:sz w:val="20"/>
        </w:rPr>
        <w:t xml:space="preserve">Sheffield and Horsham v United Kingdom </w:t>
      </w:r>
      <w:r w:rsidRPr="007233D0">
        <w:rPr>
          <w:sz w:val="20"/>
        </w:rPr>
        <w:t>(1999) 27 EHRR 163 (ECtHR) [57]</w:t>
      </w:r>
      <w:proofErr w:type="gramStart"/>
      <w:r w:rsidRPr="007233D0">
        <w:rPr>
          <w:sz w:val="20"/>
        </w:rPr>
        <w:t>-[</w:t>
      </w:r>
      <w:proofErr w:type="gramEnd"/>
      <w:r w:rsidRPr="007233D0">
        <w:rPr>
          <w:sz w:val="20"/>
        </w:rPr>
        <w:t>58]</w:t>
      </w:r>
      <w:r w:rsidRPr="007233D0">
        <w:rPr>
          <w:sz w:val="20"/>
        </w:rPr>
        <w:fldChar w:fldCharType="end"/>
      </w:r>
      <w:r w:rsidRPr="007233D0">
        <w:rPr>
          <w:sz w:val="20"/>
        </w:rPr>
        <w:t>.</w:t>
      </w:r>
    </w:p>
  </w:footnote>
  <w:footnote w:id="123">
    <w:p w14:paraId="40E16615" w14:textId="18F9F529"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i/>
          <w:sz w:val="20"/>
        </w:rPr>
        <w:t xml:space="preserve">Goodwin </w:t>
      </w:r>
      <w:r w:rsidRPr="007233D0">
        <w:rPr>
          <w:sz w:val="20"/>
        </w:rPr>
        <w:t xml:space="preserve">(n </w:t>
      </w:r>
      <w:r w:rsidRPr="007233D0">
        <w:rPr>
          <w:sz w:val="20"/>
        </w:rPr>
        <w:fldChar w:fldCharType="begin"/>
      </w:r>
      <w:r w:rsidRPr="007233D0">
        <w:rPr>
          <w:sz w:val="20"/>
        </w:rPr>
        <w:instrText xml:space="preserve"> NOTEREF _Ref497763829 \h  \* MERGEFORMAT </w:instrText>
      </w:r>
      <w:r w:rsidRPr="007233D0">
        <w:rPr>
          <w:sz w:val="20"/>
        </w:rPr>
      </w:r>
      <w:r w:rsidRPr="007233D0">
        <w:rPr>
          <w:sz w:val="20"/>
        </w:rPr>
        <w:fldChar w:fldCharType="separate"/>
      </w:r>
      <w:r>
        <w:rPr>
          <w:sz w:val="20"/>
        </w:rPr>
        <w:t>121</w:t>
      </w:r>
      <w:r w:rsidRPr="007233D0">
        <w:rPr>
          <w:sz w:val="20"/>
        </w:rPr>
        <w:fldChar w:fldCharType="end"/>
      </w:r>
      <w:r w:rsidRPr="007233D0">
        <w:rPr>
          <w:sz w:val="20"/>
        </w:rPr>
        <w:t>) ibid [84]</w:t>
      </w:r>
      <w:proofErr w:type="gramStart"/>
      <w:r w:rsidRPr="007233D0">
        <w:rPr>
          <w:sz w:val="20"/>
        </w:rPr>
        <w:t>-[</w:t>
      </w:r>
      <w:proofErr w:type="gramEnd"/>
      <w:r w:rsidRPr="007233D0">
        <w:rPr>
          <w:sz w:val="20"/>
        </w:rPr>
        <w:t>85].</w:t>
      </w:r>
    </w:p>
  </w:footnote>
  <w:footnote w:id="124">
    <w:p w14:paraId="014DD115" w14:textId="691E09B3" w:rsidR="002D131A" w:rsidRPr="007233D0" w:rsidRDefault="002D131A">
      <w:pPr>
        <w:pStyle w:val="FootnoteText"/>
        <w:rPr>
          <w:sz w:val="20"/>
        </w:rPr>
      </w:pPr>
      <w:r w:rsidRPr="007233D0">
        <w:rPr>
          <w:rStyle w:val="FootnoteReference"/>
          <w:sz w:val="20"/>
        </w:rPr>
        <w:footnoteRef/>
      </w:r>
      <w:r w:rsidRPr="007233D0">
        <w:rPr>
          <w:sz w:val="20"/>
        </w:rPr>
        <w:t xml:space="preserve"> eg Physicians treat over a valid and applicable refusal in violation of the law, and the relevant professional/legal authorities fail to sanction this behaviour.</w:t>
      </w:r>
    </w:p>
  </w:footnote>
  <w:footnote w:id="125">
    <w:p w14:paraId="5D45FB55" w14:textId="15DF3093"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&lt;EndNote&gt;&lt;Cite&gt;&lt;Author&gt;Scott&lt;/Author&gt;&lt;Year&gt;2015&lt;/Year&gt;&lt;RecNum&gt;2384&lt;/RecNum&gt;&lt;Suffix&gt; (original emphasis)&lt;/Suffix&gt;&lt;Pages&gt;8&lt;/Pages&gt;&lt;DisplayText&gt;Rosamund Scott, ‘Risks, reasons and rights: The European Convention on Human Rights and English abortion law’ (2016) 24(1) Med Law Rev 1, 8 (original emphasis)&lt;/DisplayText&gt;&lt;record&gt;&lt;rec-number&gt;2384&lt;/rec-number&gt;&lt;foreign-keys&gt;&lt;key app="EN" db-id="29e2pr0ebtzaxkedz5b5aefxftsede200wps" timestamp="1484309113"&gt;2384&lt;/key&gt;&lt;/foreign-keys&gt;&lt;ref-type name="Journal Article"&gt;17&lt;/ref-type&gt;&lt;contributors&gt;&lt;authors&gt;&lt;author&gt;Scott, Rosamund&lt;/author&gt;&lt;/authors&gt;&lt;/contributors&gt;&lt;titles&gt;&lt;title&gt;Risks, reasons and rights: The European Convention on Human Rights and English abortion law&lt;/title&gt;&lt;secondary-title&gt;Medical Law Review&lt;/secondary-title&gt;&lt;/titles&gt;&lt;periodical&gt;&lt;full-title&gt;Medical Law Review&lt;/full-title&gt;&lt;abbr-1&gt;Med Law Rev&lt;/abbr-1&gt;&lt;/periodical&gt;&lt;pages&gt;1&lt;/pages&gt;&lt;volume&gt;24&lt;/volume&gt;&lt;number&gt;1&lt;/number&gt;&lt;dates&gt;&lt;year&gt;2015&lt;/year&gt;&lt;/dates&gt;&lt;pub-location&gt;2016&lt;/pub-location&gt;&lt;isbn&gt;0967-0742&lt;/isbn&gt;&lt;urls&gt;&lt;related-urls&gt;&lt;url&gt;http://dx.doi.org/10.1093/medlaw/fwv020&lt;/url&gt;&lt;/related-urls&gt;&lt;/urls&gt;&lt;electronic-resource-num&gt;10.1093/medlaw/fwv020&lt;/electronic-resource-num&gt;&lt;/record&gt;&lt;/Cite&gt;&lt;/EndNote&gt;</w:instrText>
      </w:r>
      <w:r w:rsidRPr="007233D0">
        <w:rPr>
          <w:sz w:val="20"/>
        </w:rPr>
        <w:fldChar w:fldCharType="separate"/>
      </w:r>
      <w:r w:rsidRPr="007233D0">
        <w:rPr>
          <w:noProof/>
          <w:sz w:val="20"/>
        </w:rPr>
        <w:t>Rosamund Scott, ‘Risks, reasons and rights: The European Convention on Human Rights and English abortion law’ (2016) 24(1) Med Law Rev 1, 8 (original emphasis)</w:t>
      </w:r>
      <w:r w:rsidRPr="007233D0">
        <w:rPr>
          <w:sz w:val="20"/>
        </w:rPr>
        <w:fldChar w:fldCharType="end"/>
      </w:r>
      <w:r w:rsidRPr="007233D0">
        <w:rPr>
          <w:sz w:val="20"/>
        </w:rPr>
        <w:t>.</w:t>
      </w:r>
    </w:p>
  </w:footnote>
  <w:footnote w:id="126">
    <w:p w14:paraId="091713D9" w14:textId="4C8ECFBA" w:rsidR="002D131A" w:rsidRPr="007233D0" w:rsidRDefault="002D131A" w:rsidP="0067016A">
      <w:pPr>
        <w:pStyle w:val="FootnoteText"/>
        <w:rPr>
          <w:sz w:val="20"/>
        </w:rPr>
      </w:pPr>
      <w:r w:rsidRPr="007233D0">
        <w:rPr>
          <w:rStyle w:val="FootnoteReference"/>
          <w:sz w:val="20"/>
        </w:rPr>
        <w:footnoteRef/>
      </w:r>
      <w:r w:rsidRPr="007233D0">
        <w:rPr>
          <w:sz w:val="20"/>
        </w:rPr>
        <w:t xml:space="preserve"> See eg </w:t>
      </w:r>
      <w:r w:rsidRPr="007233D0">
        <w:rPr>
          <w:i/>
          <w:sz w:val="20"/>
        </w:rPr>
        <w:t>P v Poland</w:t>
      </w:r>
      <w:r w:rsidRPr="007233D0">
        <w:rPr>
          <w:sz w:val="20"/>
        </w:rPr>
        <w:t xml:space="preserve"> (n </w:t>
      </w:r>
      <w:r w:rsidRPr="007233D0">
        <w:rPr>
          <w:sz w:val="20"/>
        </w:rPr>
        <w:fldChar w:fldCharType="begin"/>
      </w:r>
      <w:r w:rsidRPr="007233D0">
        <w:rPr>
          <w:sz w:val="20"/>
        </w:rPr>
        <w:instrText xml:space="preserve"> NOTEREF _Ref497761743 \h  \* MERGEFORMAT </w:instrText>
      </w:r>
      <w:r w:rsidRPr="007233D0">
        <w:rPr>
          <w:sz w:val="20"/>
        </w:rPr>
      </w:r>
      <w:r w:rsidRPr="007233D0">
        <w:rPr>
          <w:sz w:val="20"/>
        </w:rPr>
        <w:fldChar w:fldCharType="separate"/>
      </w:r>
      <w:r>
        <w:rPr>
          <w:sz w:val="20"/>
        </w:rPr>
        <w:t>17</w:t>
      </w:r>
      <w:r w:rsidRPr="007233D0">
        <w:rPr>
          <w:sz w:val="20"/>
        </w:rPr>
        <w:fldChar w:fldCharType="end"/>
      </w:r>
      <w:r w:rsidRPr="007233D0">
        <w:rPr>
          <w:sz w:val="20"/>
        </w:rPr>
        <w:t xml:space="preserve">) [99]; </w:t>
      </w:r>
      <w:r w:rsidRPr="007233D0">
        <w:rPr>
          <w:i/>
          <w:sz w:val="20"/>
        </w:rPr>
        <w:fldChar w:fldCharType="begin"/>
      </w:r>
      <w:r w:rsidRPr="007233D0">
        <w:rPr>
          <w:i/>
          <w:sz w:val="20"/>
        </w:rPr>
        <w:instrText xml:space="preserve"> ADDIN EN.CITE &lt;EndNote&gt;&lt;Cite ExcludeAuth="1"&gt;&lt;Year&gt;2007&lt;/Year&gt;&lt;RecNum&gt;1142&lt;/RecNum&gt;&lt;DisplayText&gt;&lt;style face="italic"&gt;Tysiac v Poland &lt;/style&gt;(2007) 45 EHRR 42 (ECtHR)&lt;/DisplayText&gt;&lt;record&gt;&lt;rec-number&gt;1142&lt;/rec-number&gt;&lt;foreign-keys&gt;&lt;key app="EN" db-id="29e2pr0ebtzaxkedz5b5aefxftsede200wps" timestamp="1469956993"&gt;1142&lt;/key&gt;&lt;/foreign-keys&gt;&lt;ref-type name="Case (inc all UK, ECJ and ECtHR cases)"&gt;7&lt;/ref-type&gt;&lt;contributors&gt;&lt;/contributors&gt;&lt;titles&gt;&lt;title&gt;Tysiac v Poland&lt;/title&gt;&lt;secondary-title&gt;(2007) 45 EHRR 42&lt;/secondary-title&gt;&lt;/titles&gt;&lt;dates&gt;&lt;year&gt;2007&lt;/year&gt;&lt;/dates&gt;&lt;publisher&gt;ECtHR&lt;/publisher&gt;&lt;urls&gt;&lt;/urls&gt;&lt;/record&gt;&lt;/Cite&gt;&lt;/EndNote&gt;</w:instrText>
      </w:r>
      <w:r w:rsidRPr="007233D0">
        <w:rPr>
          <w:i/>
          <w:sz w:val="20"/>
        </w:rPr>
        <w:fldChar w:fldCharType="separate"/>
      </w:r>
      <w:proofErr w:type="spellStart"/>
      <w:r w:rsidRPr="007233D0">
        <w:rPr>
          <w:i/>
          <w:sz w:val="20"/>
        </w:rPr>
        <w:t>Tysiac</w:t>
      </w:r>
      <w:proofErr w:type="spellEnd"/>
      <w:r w:rsidRPr="007233D0">
        <w:rPr>
          <w:i/>
          <w:sz w:val="20"/>
        </w:rPr>
        <w:t xml:space="preserve"> v Poland (2007)</w:t>
      </w:r>
      <w:r w:rsidRPr="007233D0">
        <w:rPr>
          <w:sz w:val="20"/>
        </w:rPr>
        <w:t xml:space="preserve"> 45 EHRR 42 (ECtHR)</w:t>
      </w:r>
      <w:r w:rsidRPr="007233D0">
        <w:rPr>
          <w:i/>
          <w:sz w:val="20"/>
        </w:rPr>
        <w:fldChar w:fldCharType="end"/>
      </w:r>
      <w:r w:rsidRPr="007233D0">
        <w:rPr>
          <w:sz w:val="20"/>
        </w:rPr>
        <w:t xml:space="preserve"> [115].</w:t>
      </w:r>
    </w:p>
  </w:footnote>
  <w:footnote w:id="127">
    <w:p w14:paraId="3F81B1CB" w14:textId="46002BDF"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i/>
          <w:sz w:val="20"/>
        </w:rPr>
        <w:t xml:space="preserve">P v Poland </w:t>
      </w:r>
      <w:r w:rsidRPr="007233D0">
        <w:rPr>
          <w:sz w:val="20"/>
        </w:rPr>
        <w:t xml:space="preserve">ibid [95], citing </w:t>
      </w:r>
      <w:r w:rsidRPr="007233D0">
        <w:rPr>
          <w:sz w:val="20"/>
        </w:rPr>
        <w:fldChar w:fldCharType="begin"/>
      </w:r>
      <w:r w:rsidRPr="007233D0">
        <w:rPr>
          <w:sz w:val="20"/>
        </w:rPr>
        <w:instrText xml:space="preserve"> ADDIN EN.CITE &lt;EndNote&gt;&lt;Cite ExcludeAuth="1"&gt;&lt;Year&gt;2004&lt;/Year&gt;&lt;RecNum&gt;1665&lt;/RecNum&gt;&lt;Pages&gt;:[74]-[83]&lt;/Pages&gt;&lt;DisplayText&gt;&lt;style face="italic"&gt;Glass v United Kingdom&lt;/style&gt;:[74]-[83]&lt;/DisplayText&gt;&lt;record&gt;&lt;rec-number&gt;1665&lt;/rec-number&gt;&lt;foreign-keys&gt;&lt;key app="EN" db-id="29e2pr0ebtzaxkedz5b5aefxftsede200wps" timestamp="1469957694"&gt;1665&lt;/key&gt;&lt;/foreign-keys&gt;&lt;ref-type name="Case (inc all UK, ECJ and ECtHR cases)"&gt;7&lt;/ref-type&gt;&lt;contributors&gt;&lt;/contributors&gt;&lt;titles&gt;&lt;title&gt;Glass v United Kingdom&lt;/title&gt;&lt;secondary-title&gt;[2004] 1 FCR 553; Application no. 61827/00&lt;/secondary-title&gt;&lt;/titles&gt;&lt;dates&gt;&lt;year&gt;2004&lt;/year&gt;&lt;/dates&gt;&lt;publisher&gt;ECtHR (Fourth Section)&lt;/publisher&gt;&lt;urls&gt;&lt;/urls&gt;&lt;/record&gt;&lt;/Cite&gt;&lt;/EndNote&gt;</w:instrText>
      </w:r>
      <w:r w:rsidRPr="007233D0">
        <w:rPr>
          <w:sz w:val="20"/>
        </w:rPr>
        <w:fldChar w:fldCharType="separate"/>
      </w:r>
      <w:r w:rsidRPr="007233D0">
        <w:rPr>
          <w:i/>
          <w:sz w:val="20"/>
        </w:rPr>
        <w:t>Glass v United Kingdom</w:t>
      </w:r>
      <w:r w:rsidRPr="007233D0">
        <w:rPr>
          <w:sz w:val="20"/>
        </w:rPr>
        <w:t>:[74]-[83]</w:t>
      </w:r>
      <w:r w:rsidRPr="007233D0">
        <w:rPr>
          <w:sz w:val="20"/>
        </w:rPr>
        <w:fldChar w:fldCharType="end"/>
      </w:r>
      <w:r w:rsidRPr="007233D0">
        <w:rPr>
          <w:sz w:val="20"/>
        </w:rPr>
        <w:t xml:space="preserve">; also </w:t>
      </w:r>
      <w:proofErr w:type="spellStart"/>
      <w:r w:rsidRPr="007233D0">
        <w:rPr>
          <w:i/>
          <w:sz w:val="20"/>
        </w:rPr>
        <w:t>Tysiac</w:t>
      </w:r>
      <w:proofErr w:type="spellEnd"/>
      <w:r w:rsidRPr="007233D0">
        <w:rPr>
          <w:i/>
          <w:sz w:val="20"/>
        </w:rPr>
        <w:t xml:space="preserve"> </w:t>
      </w:r>
      <w:r w:rsidRPr="007233D0">
        <w:rPr>
          <w:sz w:val="20"/>
        </w:rPr>
        <w:t>ibid [112].</w:t>
      </w:r>
    </w:p>
  </w:footnote>
  <w:footnote w:id="128">
    <w:p w14:paraId="3F32D458" w14:textId="70CAA467" w:rsidR="002D131A" w:rsidRPr="007233D0" w:rsidRDefault="002D131A">
      <w:pPr>
        <w:pStyle w:val="FootnoteText"/>
        <w:rPr>
          <w:sz w:val="20"/>
        </w:rPr>
      </w:pPr>
      <w:r w:rsidRPr="007233D0">
        <w:rPr>
          <w:rStyle w:val="FootnoteReference"/>
          <w:sz w:val="20"/>
        </w:rPr>
        <w:footnoteRef/>
      </w:r>
      <w:r w:rsidRPr="007233D0">
        <w:rPr>
          <w:sz w:val="20"/>
        </w:rPr>
        <w:t xml:space="preserve"> ‘Variously’ is the appropriate modifier, insofar as the ECtHR has held that what ‘respect for private life’ requires ‘will vary considerably from cases to case’: </w:t>
      </w:r>
      <w:proofErr w:type="spellStart"/>
      <w:r w:rsidRPr="007233D0">
        <w:rPr>
          <w:i/>
          <w:sz w:val="20"/>
        </w:rPr>
        <w:t>Tysiac</w:t>
      </w:r>
      <w:proofErr w:type="spellEnd"/>
      <w:r w:rsidRPr="007233D0">
        <w:rPr>
          <w:sz w:val="20"/>
        </w:rPr>
        <w:t xml:space="preserve"> ibid.</w:t>
      </w:r>
    </w:p>
  </w:footnote>
  <w:footnote w:id="129">
    <w:p w14:paraId="661E3CE6" w14:textId="64878087" w:rsidR="002D131A" w:rsidRPr="007233D0" w:rsidRDefault="002D131A">
      <w:pPr>
        <w:pStyle w:val="FootnoteText"/>
        <w:rPr>
          <w:sz w:val="20"/>
          <w:lang w:val="sv-SE"/>
        </w:rPr>
      </w:pPr>
      <w:r w:rsidRPr="007233D0">
        <w:rPr>
          <w:rStyle w:val="FootnoteReference"/>
          <w:sz w:val="20"/>
        </w:rPr>
        <w:footnoteRef/>
      </w:r>
      <w:r w:rsidRPr="007233D0">
        <w:rPr>
          <w:sz w:val="20"/>
          <w:lang w:val="sv-SE"/>
        </w:rPr>
        <w:t xml:space="preserve"> </w:t>
      </w:r>
      <w:r w:rsidRPr="007233D0">
        <w:rPr>
          <w:i/>
          <w:sz w:val="20"/>
          <w:lang w:val="sv-SE"/>
        </w:rPr>
        <w:t xml:space="preserve">P v Poland </w:t>
      </w:r>
      <w:r w:rsidRPr="007233D0">
        <w:rPr>
          <w:sz w:val="20"/>
          <w:lang w:val="sv-SE"/>
        </w:rPr>
        <w:t xml:space="preserve">(n </w:t>
      </w:r>
      <w:r w:rsidRPr="007233D0">
        <w:rPr>
          <w:sz w:val="20"/>
          <w:lang w:val="sv-SE"/>
        </w:rPr>
        <w:fldChar w:fldCharType="begin"/>
      </w:r>
      <w:r w:rsidRPr="007233D0">
        <w:rPr>
          <w:sz w:val="20"/>
          <w:lang w:val="sv-SE"/>
        </w:rPr>
        <w:instrText xml:space="preserve"> NOTEREF _Ref497761743 \h  \* MERGEFORMAT </w:instrText>
      </w:r>
      <w:r w:rsidRPr="007233D0">
        <w:rPr>
          <w:sz w:val="20"/>
          <w:lang w:val="sv-SE"/>
        </w:rPr>
      </w:r>
      <w:r w:rsidRPr="007233D0">
        <w:rPr>
          <w:sz w:val="20"/>
          <w:lang w:val="sv-SE"/>
        </w:rPr>
        <w:fldChar w:fldCharType="separate"/>
      </w:r>
      <w:r>
        <w:rPr>
          <w:sz w:val="20"/>
          <w:lang w:val="sv-SE"/>
        </w:rPr>
        <w:t>17</w:t>
      </w:r>
      <w:r w:rsidRPr="007233D0">
        <w:rPr>
          <w:sz w:val="20"/>
          <w:lang w:val="sv-SE"/>
        </w:rPr>
        <w:fldChar w:fldCharType="end"/>
      </w:r>
      <w:r w:rsidRPr="007233D0">
        <w:rPr>
          <w:sz w:val="20"/>
          <w:lang w:val="sv-SE"/>
        </w:rPr>
        <w:t>) [95].</w:t>
      </w:r>
    </w:p>
  </w:footnote>
  <w:footnote w:id="130">
    <w:p w14:paraId="4A653688" w14:textId="50A99B99"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&lt;EndNote&gt;&lt;Cite&gt;&lt;Author&gt;Fenwick&lt;/Author&gt;&lt;Year&gt;2012&lt;/Year&gt;&lt;RecNum&gt;2600&lt;/RecNum&gt;&lt;Suffix&gt; (original emphasis)&lt;/Suffix&gt;&lt;Pages&gt;261&lt;/Pages&gt;&lt;DisplayText&gt;Daniel Fenwick, ‘The modern abortion jurisprudence under Article 8 of the European Convention on Human Rights’ (2012) 12(3-4) MLI 249, 261 (original emphasis)&lt;/DisplayText&gt;&lt;record&gt;&lt;rec-number&gt;2600&lt;/rec-number&gt;&lt;foreign-keys&gt;&lt;key app="EN" db-id="29e2pr0ebtzaxkedz5b5aefxftsede200wps" timestamp="1501080497"&gt;2600&lt;/key&gt;&lt;/foreign-keys&gt;&lt;ref-type name="Journal Article"&gt;17&lt;/ref-type&gt;&lt;contributors&gt;&lt;authors&gt;&lt;author&gt;Fenwick, Daniel&lt;/author&gt;&lt;/authors&gt;&lt;/contributors&gt;&lt;titles&gt;&lt;title&gt;The modern abortion jurisprudence under Article 8 of the European Convention on Human Rights&lt;/title&gt;&lt;secondary-title&gt;Medical Law International&lt;/secondary-title&gt;&lt;/titles&gt;&lt;periodical&gt;&lt;full-title&gt;Medical Law International&lt;/full-title&gt;&lt;abbr-1&gt;MLI&lt;/abbr-1&gt;&lt;/periodical&gt;&lt;pages&gt;249&lt;/pages&gt;&lt;volume&gt;12&lt;/volume&gt;&lt;number&gt;3-4&lt;/number&gt;&lt;keywords&gt;&lt;keyword&gt;Abortion,European Convention on Human Rights,Article 8,Article 2,margin of appreciation&lt;/keyword&gt;&lt;/keywords&gt;&lt;dates&gt;&lt;year&gt;2012&lt;/year&gt;&lt;/dates&gt;&lt;pub-location&gt;2012&lt;/pub-location&gt;&lt;urls&gt;&lt;related-urls&gt;&lt;url&gt;http://journals.sagepub.com/doi/abs/10.1177/0968533212466658&lt;/url&gt;&lt;url&gt;http://journals.sagepub.com/doi/pdf/10.1177/0968533212466658&lt;/url&gt;&lt;/related-urls&gt;&lt;/urls&gt;&lt;electronic-resource-num&gt;doi:10.1177/0968533212466658&lt;/electronic-resource-num&gt;&lt;/record&gt;&lt;/Cite&gt;&lt;/EndNote&gt;</w:instrText>
      </w:r>
      <w:r w:rsidRPr="007233D0">
        <w:rPr>
          <w:sz w:val="20"/>
        </w:rPr>
        <w:fldChar w:fldCharType="separate"/>
      </w:r>
      <w:r w:rsidRPr="007233D0">
        <w:rPr>
          <w:noProof/>
          <w:sz w:val="20"/>
        </w:rPr>
        <w:t>Daniel Fenwick, ‘The modern abortion jurisprudence under Article 8 of the European Convention on Human Rights’ (2012) 12(3-4) MLI 249, 261 (original emphasis)</w:t>
      </w:r>
      <w:r w:rsidRPr="007233D0">
        <w:rPr>
          <w:sz w:val="20"/>
        </w:rPr>
        <w:fldChar w:fldCharType="end"/>
      </w:r>
      <w:r w:rsidRPr="007233D0">
        <w:rPr>
          <w:sz w:val="20"/>
        </w:rPr>
        <w:t>.</w:t>
      </w:r>
    </w:p>
  </w:footnote>
  <w:footnote w:id="131">
    <w:p w14:paraId="11AD5EEE" w14:textId="0927B04E"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sz w:val="20"/>
        </w:rPr>
        <w:fldChar w:fldCharType="begin"/>
      </w:r>
      <w:r w:rsidRPr="007233D0">
        <w:rPr>
          <w:sz w:val="20"/>
        </w:rPr>
        <w:instrText xml:space="preserve"> ADDIN EN.CITE &lt;EndNote&gt;&lt;Cite&gt;&lt;Author&gt;Fenwick&lt;/Author&gt;&lt;Year&gt;2014&lt;/Year&gt;&lt;RecNum&gt;2601&lt;/RecNum&gt;&lt;Pages&gt;227&lt;/Pages&gt;&lt;DisplayText&gt;Daniel Fenwick, ‘&amp;apos;Abortion jurisprudence&amp;apos; at Strasbourg: deferential, avoidant and normatively neutral?’ (2014) 34(2) LS 214, 227&lt;/DisplayText&gt;&lt;record&gt;&lt;rec-number&gt;2601&lt;/rec-number&gt;&lt;foreign-keys&gt;&lt;key app="EN" db-id="29e2pr0ebtzaxkedz5b5aefxftsede200wps" timestamp="1501081005"&gt;2601&lt;/key&gt;&lt;/foreign-keys&gt;&lt;ref-type name="Journal Article"&gt;17&lt;/ref-type&gt;&lt;contributors&gt;&lt;authors&gt;&lt;author&gt;Fenwick, Daniel&lt;/author&gt;&lt;/authors&gt;&lt;/contributors&gt;&lt;titles&gt;&lt;title&gt;&amp;apos;Abortion jurisprudence&amp;apos; at Strasbourg: deferential, avoidant and normatively neutral?&lt;/title&gt;&lt;secondary-title&gt;Legal Studies&lt;/secondary-title&gt;&lt;/titles&gt;&lt;periodical&gt;&lt;full-title&gt;Legal Studies&lt;/full-title&gt;&lt;abbr-1&gt;LS&lt;/abbr-1&gt;&lt;/periodical&gt;&lt;pages&gt;214&lt;/pages&gt;&lt;volume&gt;34&lt;/volume&gt;&lt;number&gt;2&lt;/number&gt;&lt;dates&gt;&lt;year&gt;2014&lt;/year&gt;&lt;/dates&gt;&lt;pub-location&gt;2014&lt;/pub-location&gt;&lt;isbn&gt;1748-121X&lt;/isbn&gt;&lt;urls&gt;&lt;related-urls&gt;&lt;url&gt;http://dx.doi.org/10.1111/lest.12012&lt;/url&gt;&lt;url&gt;http://onlinelibrary.wiley.com/store/10.1111/lest.12012/asset/lest12012.pdf?v=1&amp;amp;t=j5m856j9&amp;amp;s=3e7f2a0904fc34f27a6b6ba93d418e9f55348c25&lt;/url&gt;&lt;/related-urls&gt;&lt;/urls&gt;&lt;electronic-resource-num&gt;10.1111/lest.12012&lt;/electronic-resource-num&gt;&lt;/record&gt;&lt;/Cite&gt;&lt;/EndNote&gt;</w:instrText>
      </w:r>
      <w:r w:rsidRPr="007233D0">
        <w:rPr>
          <w:sz w:val="20"/>
        </w:rPr>
        <w:fldChar w:fldCharType="separate"/>
      </w:r>
      <w:r w:rsidRPr="007233D0">
        <w:rPr>
          <w:noProof/>
          <w:sz w:val="20"/>
        </w:rPr>
        <w:t>Daniel Fenwick, ‘'Abortion jurisprudence' at Strasbourg: deferential, avoidant and normatively neutral?’ (2014) 34(2) LS 214, 227</w:t>
      </w:r>
      <w:r w:rsidRPr="007233D0">
        <w:rPr>
          <w:sz w:val="20"/>
        </w:rPr>
        <w:fldChar w:fldCharType="end"/>
      </w:r>
      <w:r w:rsidRPr="007233D0">
        <w:rPr>
          <w:sz w:val="20"/>
        </w:rPr>
        <w:t xml:space="preserve">; Scott (n </w:t>
      </w:r>
      <w:r w:rsidRPr="007233D0">
        <w:rPr>
          <w:sz w:val="20"/>
        </w:rPr>
        <w:fldChar w:fldCharType="begin"/>
      </w:r>
      <w:r w:rsidRPr="007233D0">
        <w:rPr>
          <w:sz w:val="20"/>
        </w:rPr>
        <w:instrText xml:space="preserve"> NOTEREF _Ref497764228 \h  \* MERGEFORMAT </w:instrText>
      </w:r>
      <w:r w:rsidRPr="007233D0">
        <w:rPr>
          <w:sz w:val="20"/>
        </w:rPr>
      </w:r>
      <w:r w:rsidRPr="007233D0">
        <w:rPr>
          <w:sz w:val="20"/>
        </w:rPr>
        <w:fldChar w:fldCharType="separate"/>
      </w:r>
      <w:r>
        <w:rPr>
          <w:sz w:val="20"/>
        </w:rPr>
        <w:t>125</w:t>
      </w:r>
      <w:r w:rsidRPr="007233D0">
        <w:rPr>
          <w:sz w:val="20"/>
        </w:rPr>
        <w:fldChar w:fldCharType="end"/>
      </w:r>
      <w:r w:rsidRPr="007233D0">
        <w:rPr>
          <w:sz w:val="20"/>
        </w:rPr>
        <w:t>) 8.</w:t>
      </w:r>
    </w:p>
  </w:footnote>
  <w:footnote w:id="132">
    <w:p w14:paraId="5D24D5B7" w14:textId="455D69FD" w:rsidR="002D131A" w:rsidRPr="007233D0" w:rsidRDefault="002D131A">
      <w:pPr>
        <w:pStyle w:val="FootnoteText"/>
        <w:rPr>
          <w:sz w:val="20"/>
        </w:rPr>
      </w:pPr>
      <w:r w:rsidRPr="007233D0">
        <w:rPr>
          <w:rStyle w:val="FootnoteReference"/>
          <w:sz w:val="20"/>
        </w:rPr>
        <w:footnoteRef/>
      </w:r>
      <w:r w:rsidRPr="007233D0">
        <w:rPr>
          <w:sz w:val="20"/>
        </w:rPr>
        <w:t xml:space="preserve"> </w:t>
      </w:r>
      <w:r w:rsidRPr="007233D0">
        <w:rPr>
          <w:i/>
          <w:sz w:val="20"/>
        </w:rPr>
        <w:t xml:space="preserve">P v Poland </w:t>
      </w:r>
      <w:r w:rsidRPr="007233D0">
        <w:rPr>
          <w:sz w:val="20"/>
        </w:rPr>
        <w:t xml:space="preserve">(n </w:t>
      </w:r>
      <w:r w:rsidRPr="007233D0">
        <w:rPr>
          <w:sz w:val="20"/>
        </w:rPr>
        <w:fldChar w:fldCharType="begin"/>
      </w:r>
      <w:r w:rsidRPr="007233D0">
        <w:rPr>
          <w:sz w:val="20"/>
        </w:rPr>
        <w:instrText xml:space="preserve"> NOTEREF _Ref497761743 \h  \* MERGEFORMAT </w:instrText>
      </w:r>
      <w:r w:rsidRPr="007233D0">
        <w:rPr>
          <w:sz w:val="20"/>
        </w:rPr>
      </w:r>
      <w:r w:rsidRPr="007233D0">
        <w:rPr>
          <w:sz w:val="20"/>
        </w:rPr>
        <w:fldChar w:fldCharType="separate"/>
      </w:r>
      <w:r>
        <w:rPr>
          <w:sz w:val="20"/>
        </w:rPr>
        <w:t>17</w:t>
      </w:r>
      <w:r w:rsidRPr="007233D0">
        <w:rPr>
          <w:sz w:val="20"/>
        </w:rPr>
        <w:fldChar w:fldCharType="end"/>
      </w:r>
      <w:r w:rsidRPr="007233D0">
        <w:rPr>
          <w:sz w:val="20"/>
        </w:rPr>
        <w:t>) [95].</w:t>
      </w:r>
    </w:p>
  </w:footnote>
  <w:footnote w:id="133">
    <w:p w14:paraId="546E4CCE" w14:textId="6703A08F" w:rsidR="002D131A" w:rsidRPr="007233D0" w:rsidRDefault="002D131A">
      <w:pPr>
        <w:pStyle w:val="FootnoteText"/>
        <w:rPr>
          <w:sz w:val="20"/>
        </w:rPr>
      </w:pPr>
      <w:r w:rsidRPr="007233D0">
        <w:rPr>
          <w:rStyle w:val="FootnoteReference"/>
          <w:sz w:val="20"/>
        </w:rPr>
        <w:footnoteRef/>
      </w:r>
      <w:r w:rsidRPr="007233D0">
        <w:rPr>
          <w:sz w:val="20"/>
        </w:rPr>
        <w:t xml:space="preserve"> See </w:t>
      </w:r>
      <w:r w:rsidRPr="007233D0">
        <w:rPr>
          <w:i/>
          <w:sz w:val="20"/>
        </w:rPr>
        <w:t>A, B, and C v Ireland</w:t>
      </w:r>
      <w:r w:rsidRPr="007233D0">
        <w:rPr>
          <w:sz w:val="20"/>
        </w:rPr>
        <w:t xml:space="preserve"> (n </w:t>
      </w:r>
      <w:r w:rsidRPr="007233D0">
        <w:rPr>
          <w:sz w:val="20"/>
        </w:rPr>
        <w:fldChar w:fldCharType="begin"/>
      </w:r>
      <w:r w:rsidRPr="007233D0">
        <w:rPr>
          <w:sz w:val="20"/>
        </w:rPr>
        <w:instrText xml:space="preserve"> NOTEREF _Ref497763959 \h  \* MERGEFORMAT </w:instrText>
      </w:r>
      <w:r w:rsidRPr="007233D0">
        <w:rPr>
          <w:sz w:val="20"/>
        </w:rPr>
      </w:r>
      <w:r w:rsidRPr="007233D0">
        <w:rPr>
          <w:sz w:val="20"/>
        </w:rPr>
        <w:fldChar w:fldCharType="separate"/>
      </w:r>
      <w:r>
        <w:rPr>
          <w:sz w:val="20"/>
        </w:rPr>
        <w:t>115</w:t>
      </w:r>
      <w:r w:rsidRPr="007233D0">
        <w:rPr>
          <w:sz w:val="20"/>
        </w:rPr>
        <w:fldChar w:fldCharType="end"/>
      </w:r>
      <w:r w:rsidRPr="007233D0">
        <w:rPr>
          <w:sz w:val="20"/>
        </w:rPr>
        <w:t>) [252]</w:t>
      </w:r>
      <w:proofErr w:type="gramStart"/>
      <w:r w:rsidRPr="007233D0">
        <w:rPr>
          <w:sz w:val="20"/>
        </w:rPr>
        <w:t>-[</w:t>
      </w:r>
      <w:proofErr w:type="gramEnd"/>
      <w:r w:rsidRPr="007233D0">
        <w:rPr>
          <w:sz w:val="20"/>
        </w:rPr>
        <w:t>255].</w:t>
      </w:r>
    </w:p>
  </w:footnote>
  <w:footnote w:id="134">
    <w:p w14:paraId="11B0AFDA" w14:textId="2DC67895" w:rsidR="002D131A" w:rsidRPr="007233D0" w:rsidRDefault="002D131A">
      <w:pPr>
        <w:pStyle w:val="FootnoteText"/>
        <w:rPr>
          <w:sz w:val="20"/>
        </w:rPr>
      </w:pPr>
      <w:r w:rsidRPr="007233D0">
        <w:rPr>
          <w:rStyle w:val="FootnoteReference"/>
          <w:sz w:val="20"/>
        </w:rPr>
        <w:footnoteRef/>
      </w:r>
      <w:r w:rsidRPr="007233D0">
        <w:rPr>
          <w:sz w:val="20"/>
        </w:rPr>
        <w:t xml:space="preserve"> See </w:t>
      </w:r>
      <w:r w:rsidRPr="007233D0">
        <w:rPr>
          <w:sz w:val="20"/>
        </w:rPr>
        <w:fldChar w:fldCharType="begin"/>
      </w:r>
      <w:r w:rsidRPr="007233D0">
        <w:rPr>
          <w:sz w:val="20"/>
        </w:rPr>
        <w:instrText xml:space="preserve"> ADDIN EN.CITE &lt;EndNote&gt;&lt;Cite ExcludeAuth="1"&gt;&lt;Year&gt;2002&lt;/Year&gt;&lt;RecNum&gt;1114&lt;/RecNum&gt;&lt;DisplayText&gt;&lt;style face="italic"&gt;Ms B v An NHS Hospital Trust&lt;/style&gt;&lt;/DisplayText&gt;&lt;record&gt;&lt;rec-number&gt;1114&lt;/rec-number&gt;&lt;foreign-keys&gt;&lt;key app="EN" db-id="29e2pr0ebtzaxkedz5b5aefxftsede200wps" timestamp="1469956993"&gt;1114&lt;/key&gt;&lt;/foreign-keys&gt;&lt;ref-type name="Case (inc all UK, ECJ and ECtHR cases)"&gt;7&lt;/ref-type&gt;&lt;contributors&gt;&lt;/contributors&gt;&lt;titles&gt;&lt;title&gt;Ms B v An NHS Hospital Trust&lt;/title&gt;&lt;secondary-title&gt;[2002] EWHC 429&lt;/secondary-title&gt;&lt;/titles&gt;&lt;dates&gt;&lt;year&gt;2002&lt;/year&gt;&lt;/dates&gt;&lt;publisher&gt;Fam&lt;/publisher&gt;&lt;urls&gt;&lt;/urls&gt;&lt;/record&gt;&lt;/Cite&gt;&lt;/EndNote&gt;</w:instrText>
      </w:r>
      <w:r w:rsidRPr="007233D0">
        <w:rPr>
          <w:sz w:val="20"/>
        </w:rPr>
        <w:fldChar w:fldCharType="separate"/>
      </w:r>
      <w:r w:rsidRPr="007233D0">
        <w:rPr>
          <w:i/>
          <w:sz w:val="20"/>
        </w:rPr>
        <w:t>Ms B v An NHS Hospital Trust</w:t>
      </w:r>
      <w:r w:rsidRPr="007233D0">
        <w:rPr>
          <w:sz w:val="20"/>
        </w:rPr>
        <w:fldChar w:fldCharType="end"/>
      </w:r>
      <w:r w:rsidRPr="007233D0">
        <w:rPr>
          <w:sz w:val="20"/>
        </w:rPr>
        <w:t xml:space="preserve">, in which the NHS Trust failed to initiate proceedings to determine </w:t>
      </w:r>
      <w:r w:rsidRPr="007233D0">
        <w:rPr>
          <w:i/>
          <w:sz w:val="20"/>
        </w:rPr>
        <w:t>P</w:t>
      </w:r>
      <w:r w:rsidRPr="007233D0">
        <w:rPr>
          <w:sz w:val="20"/>
        </w:rPr>
        <w:t xml:space="preserve">’s capacity to refuse treatment, with the consequence </w:t>
      </w:r>
      <w:r>
        <w:rPr>
          <w:i/>
          <w:sz w:val="20"/>
        </w:rPr>
        <w:t>P</w:t>
      </w:r>
      <w:r w:rsidRPr="00FF2DBC">
        <w:rPr>
          <w:sz w:val="20"/>
        </w:rPr>
        <w:t>’s</w:t>
      </w:r>
      <w:r>
        <w:rPr>
          <w:i/>
          <w:sz w:val="20"/>
        </w:rPr>
        <w:t xml:space="preserve"> </w:t>
      </w:r>
      <w:r w:rsidRPr="007233D0">
        <w:rPr>
          <w:sz w:val="20"/>
        </w:rPr>
        <w:t xml:space="preserve">clinicians </w:t>
      </w:r>
      <w:r>
        <w:rPr>
          <w:sz w:val="20"/>
        </w:rPr>
        <w:t xml:space="preserve">committed battery </w:t>
      </w:r>
      <w:r w:rsidRPr="007233D0">
        <w:rPr>
          <w:sz w:val="20"/>
        </w:rPr>
        <w:t xml:space="preserve">for a substantial period of time; for an example of good practice, see </w:t>
      </w:r>
      <w:r w:rsidRPr="007233D0">
        <w:rPr>
          <w:sz w:val="20"/>
        </w:rPr>
        <w:fldChar w:fldCharType="begin"/>
      </w:r>
      <w:r w:rsidRPr="007233D0">
        <w:rPr>
          <w:sz w:val="20"/>
        </w:rPr>
        <w:instrText xml:space="preserve"> ADDIN EN.CITE &lt;EndNote&gt;&lt;Cite ExcludeAuth="1"&gt;&lt;Year&gt;2015&lt;/Year&gt;&lt;RecNum&gt;2277&lt;/RecNum&gt;&lt;DisplayText&gt;&lt;style face="italic"&gt;King&amp;apos;s College NHS Foundation Trust v C &lt;/style&gt;[2015] EWCOP 80&lt;/DisplayText&gt;&lt;record&gt;&lt;rec-number&gt;2277&lt;/rec-number&gt;&lt;foreign-keys&gt;&lt;key app="EN" db-id="29e2pr0ebtzaxkedz5b5aefxftsede200wps" timestamp="1475004636"&gt;2277&lt;/key&gt;&lt;/foreign-keys&gt;&lt;ref-type name="Case (inc all UK, ECJ and ECtHR cases)"&gt;7&lt;/ref-type&gt;&lt;contributors&gt;&lt;/contributors&gt;&lt;titles&gt;&lt;title&gt;King&amp;apos;s College NHS Foundation Trust v C&lt;/title&gt;&lt;secondary-title&gt;[2015] EWCOP 80&lt;/secondary-title&gt;&lt;/titles&gt;&lt;dates&gt;&lt;year&gt;2015&lt;/year&gt;&lt;/dates&gt;&lt;urls&gt;&lt;/urls&gt;&lt;/record&gt;&lt;/Cite&gt;&lt;/EndNote&gt;</w:instrText>
      </w:r>
      <w:r w:rsidRPr="007233D0">
        <w:rPr>
          <w:sz w:val="20"/>
        </w:rPr>
        <w:fldChar w:fldCharType="separate"/>
      </w:r>
      <w:r w:rsidRPr="007233D0">
        <w:rPr>
          <w:i/>
          <w:sz w:val="20"/>
        </w:rPr>
        <w:t xml:space="preserve">King's College NHS Foundation Trust v C </w:t>
      </w:r>
      <w:r w:rsidRPr="007233D0">
        <w:rPr>
          <w:sz w:val="20"/>
        </w:rPr>
        <w:t>[2015] EWCOP 80</w:t>
      </w:r>
      <w:r w:rsidRPr="007233D0">
        <w:rPr>
          <w:sz w:val="20"/>
        </w:rPr>
        <w:fldChar w:fldCharType="end"/>
      </w:r>
      <w:r w:rsidRPr="007233D0">
        <w:rPr>
          <w:sz w:val="20"/>
        </w:rPr>
        <w:t>.</w:t>
      </w:r>
    </w:p>
  </w:footnote>
  <w:footnote w:id="135">
    <w:p w14:paraId="59B2E2D0" w14:textId="3FE9C753" w:rsidR="002D131A" w:rsidRPr="007233D0" w:rsidRDefault="002D131A">
      <w:pPr>
        <w:pStyle w:val="FootnoteText"/>
        <w:rPr>
          <w:sz w:val="20"/>
          <w:lang w:val="sv-SE"/>
        </w:rPr>
      </w:pPr>
      <w:r w:rsidRPr="007233D0">
        <w:rPr>
          <w:rStyle w:val="FootnoteReference"/>
          <w:sz w:val="20"/>
        </w:rPr>
        <w:footnoteRef/>
      </w:r>
      <w:r w:rsidRPr="007233D0">
        <w:rPr>
          <w:sz w:val="20"/>
          <w:lang w:val="sv-SE"/>
        </w:rPr>
        <w:t xml:space="preserve"> </w:t>
      </w:r>
      <w:r w:rsidRPr="007233D0">
        <w:rPr>
          <w:i/>
          <w:sz w:val="20"/>
          <w:lang w:val="sv-SE"/>
        </w:rPr>
        <w:t xml:space="preserve">Tysiac </w:t>
      </w:r>
      <w:r w:rsidRPr="007233D0">
        <w:rPr>
          <w:sz w:val="20"/>
          <w:lang w:val="sv-SE"/>
        </w:rPr>
        <w:t xml:space="preserve">(n </w:t>
      </w:r>
      <w:r w:rsidRPr="007233D0">
        <w:rPr>
          <w:sz w:val="20"/>
          <w:lang w:val="sv-SE"/>
        </w:rPr>
        <w:fldChar w:fldCharType="begin"/>
      </w:r>
      <w:r w:rsidRPr="007233D0">
        <w:rPr>
          <w:sz w:val="20"/>
          <w:lang w:val="sv-SE"/>
        </w:rPr>
        <w:instrText xml:space="preserve"> NOTEREF _Ref497763970 \h  \* MERGEFORMAT </w:instrText>
      </w:r>
      <w:r w:rsidRPr="007233D0">
        <w:rPr>
          <w:sz w:val="20"/>
          <w:lang w:val="sv-SE"/>
        </w:rPr>
      </w:r>
      <w:r w:rsidRPr="007233D0">
        <w:rPr>
          <w:sz w:val="20"/>
          <w:lang w:val="sv-SE"/>
        </w:rPr>
        <w:fldChar w:fldCharType="separate"/>
      </w:r>
      <w:r>
        <w:rPr>
          <w:sz w:val="20"/>
          <w:lang w:val="sv-SE"/>
        </w:rPr>
        <w:t>126</w:t>
      </w:r>
      <w:r w:rsidRPr="007233D0">
        <w:rPr>
          <w:sz w:val="20"/>
          <w:lang w:val="sv-SE"/>
        </w:rPr>
        <w:fldChar w:fldCharType="end"/>
      </w:r>
      <w:r w:rsidRPr="007233D0">
        <w:rPr>
          <w:sz w:val="20"/>
          <w:lang w:val="sv-SE"/>
        </w:rPr>
        <w:t>) [127]-[129].</w:t>
      </w:r>
    </w:p>
  </w:footnote>
  <w:footnote w:id="136">
    <w:p w14:paraId="5EDCD111" w14:textId="65D3C13B" w:rsidR="002D131A" w:rsidRPr="007233D0" w:rsidRDefault="002D131A">
      <w:pPr>
        <w:pStyle w:val="FootnoteText"/>
        <w:rPr>
          <w:sz w:val="20"/>
        </w:rPr>
      </w:pPr>
      <w:r w:rsidRPr="007233D0">
        <w:rPr>
          <w:rStyle w:val="FootnoteReference"/>
          <w:sz w:val="20"/>
        </w:rPr>
        <w:footnoteRef/>
      </w:r>
      <w:r w:rsidRPr="007233D0">
        <w:rPr>
          <w:sz w:val="20"/>
        </w:rPr>
        <w:t xml:space="preserve"> eg The liability scheme for non-respect/respect for advance refusals under the </w:t>
      </w:r>
      <w:r w:rsidRPr="007233D0">
        <w:rPr>
          <w:sz w:val="20"/>
        </w:rPr>
        <w:fldChar w:fldCharType="begin"/>
      </w:r>
      <w:r w:rsidRPr="007233D0">
        <w:rPr>
          <w:sz w:val="20"/>
        </w:rPr>
        <w:instrText xml:space="preserve"> ADDIN EN.CITE &lt;EndNote&gt;&lt;Cite ExcludeAuth="1"&gt;&lt;Year&gt;2005&lt;/Year&gt;&lt;RecNum&gt;1481&lt;/RecNum&gt;&lt;Pages&gt;s 26&lt;/Pages&gt;&lt;DisplayText&gt;MCA 2005, s 26&lt;/DisplayText&gt;&lt;record&gt;&lt;rec-number&gt;1481&lt;/rec-number&gt;&lt;foreign-keys&gt;&lt;key app="EN" db-id="29e2pr0ebtzaxkedz5b5aefxftsede200wps" timestamp="1469957003"&gt;1481&lt;/key&gt;&lt;/foreign-keys&gt;&lt;ref-type name="Statute, SI, EU leg, Treaties"&gt;31&lt;/ref-type&gt;&lt;contributors&gt;&lt;/contributors&gt;&lt;titles&gt;&lt;title&gt;Mental Capacity Act 2005 (MCA 2005)&lt;/title&gt;&lt;short-title&gt;MCA 2005&lt;/short-title&gt;&lt;/titles&gt;&lt;dates&gt;&lt;year&gt;2005&lt;/year&gt;&lt;/dates&gt;&lt;urls&gt;&lt;/urls&gt;&lt;/record&gt;&lt;/Cite&gt;&lt;/EndNote&gt;</w:instrText>
      </w:r>
      <w:r w:rsidRPr="007233D0">
        <w:rPr>
          <w:sz w:val="20"/>
        </w:rPr>
        <w:fldChar w:fldCharType="separate"/>
      </w:r>
      <w:r w:rsidRPr="007233D0">
        <w:rPr>
          <w:sz w:val="20"/>
        </w:rPr>
        <w:t>MCA 2005, s 26</w:t>
      </w:r>
      <w:r w:rsidRPr="007233D0">
        <w:rPr>
          <w:sz w:val="20"/>
        </w:rPr>
        <w:fldChar w:fldCharType="end"/>
      </w:r>
      <w:r w:rsidRPr="007233D0">
        <w:rPr>
          <w:sz w:val="20"/>
        </w:rPr>
        <w:t xml:space="preserve"> may be incompatible with art 8 ECHR for this reason. MCA 2005, s 26(2) provides: ‘A person does not incur liability for carrying out or continuing the treatment unless, at the time, he is satisfied that an advance decision exists which is valid and applicable to the treatment’; MCA 2005, s 26(3) provides: ‘A person does not incur liability for the consequences of withholding or withdrawing a treatment from P if, at the time, he reasonably believes that an advance decision exists which is valid and applicable to the treatment’. As Emily Jackson observes, ‘There is a significant difference between the test for avoiding liability depending on whether the doctor has wrongly treated despite the existence of a valid AD. or not treated because he was relying on an invalid AD’: </w:t>
      </w:r>
      <w:r w:rsidRPr="007233D0">
        <w:rPr>
          <w:sz w:val="20"/>
        </w:rPr>
        <w:fldChar w:fldCharType="begin"/>
      </w:r>
      <w:r w:rsidRPr="007233D0">
        <w:rPr>
          <w:sz w:val="20"/>
        </w:rPr>
        <w:instrText xml:space="preserve"> ADDIN EN.CITE &lt;EndNote&gt;&lt;Cite&gt;&lt;Author&gt;Jackson&lt;/Author&gt;&lt;Year&gt;2016&lt;/Year&gt;&lt;RecNum&gt;2279&lt;/RecNum&gt;&lt;Pages&gt;280-281&lt;/Pages&gt;&lt;DisplayText&gt;Emily Jackson, &lt;style face="italic"&gt;Medical law: text, cases, and materials&lt;/style&gt; (4th edn, OUP 2016) 280-281&lt;/DisplayText&gt;&lt;record&gt;&lt;rec-number&gt;2279&lt;/rec-number&gt;&lt;foreign-keys&gt;&lt;key app="EN" db-id="29e2pr0ebtzaxkedz5b5aefxftsede200wps" timestamp="1475005721"&gt;2279&lt;/key&gt;&lt;/foreign-keys&gt;&lt;ref-type name="Book (all books with authors, including edited or translated books)"&gt;6&lt;/ref-type&gt;&lt;contributors&gt;&lt;authors&gt;&lt;author&gt;Jackson, Emily&lt;/author&gt;&lt;/authors&gt;&lt;/contributors&gt;&lt;titles&gt;&lt;title&gt;Medical law: text, cases, and materials&lt;/title&gt;&lt;/titles&gt;&lt;edition&gt;4th&lt;/edition&gt;&lt;keywords&gt;&lt;keyword&gt;Medical laws and legislation Great Britain.&lt;/keyword&gt;&lt;/keywords&gt;&lt;dates&gt;&lt;year&gt;2016&lt;/year&gt;&lt;/dates&gt;&lt;publisher&gt;OUP&lt;/publisher&gt;&lt;isbn&gt;9780198743507 (pbk.) : ¹37.99&lt;/isbn&gt;&lt;call-num&gt;344.41041 23&amp;#xD;British Library HMNTS YK.2016.a.3006&lt;/call-num&gt;&lt;urls&gt;&lt;/urls&gt;&lt;/record&gt;&lt;/Cite&gt;&lt;/EndNote&gt;</w:instrText>
      </w:r>
      <w:r w:rsidRPr="007233D0">
        <w:rPr>
          <w:sz w:val="20"/>
        </w:rPr>
        <w:fldChar w:fldCharType="separate"/>
      </w:r>
      <w:r w:rsidRPr="007233D0">
        <w:rPr>
          <w:noProof/>
          <w:sz w:val="20"/>
        </w:rPr>
        <w:t xml:space="preserve">Emily Jackson, </w:t>
      </w:r>
      <w:r w:rsidRPr="007233D0">
        <w:rPr>
          <w:i/>
          <w:noProof/>
          <w:sz w:val="20"/>
        </w:rPr>
        <w:t>Medical law: text, cases, and materials</w:t>
      </w:r>
      <w:r w:rsidRPr="007233D0">
        <w:rPr>
          <w:noProof/>
          <w:sz w:val="20"/>
        </w:rPr>
        <w:t xml:space="preserve"> (4th edn, OUP 2016) 280-281</w:t>
      </w:r>
      <w:r w:rsidRPr="007233D0">
        <w:rPr>
          <w:sz w:val="20"/>
        </w:rPr>
        <w:fldChar w:fldCharType="end"/>
      </w:r>
      <w:r w:rsidRPr="007233D0">
        <w:rPr>
          <w:sz w:val="20"/>
        </w:rPr>
        <w:t>. If a physician disregards a valid and applicable advance refusal, the test is subjective—satisfaction; if a physician respects and invalid/inapplicable advance refusal, the test is objective—reasonableness. The upshot of this, as Jackson notes is that a physician will usually be able to ignore an AD with ‘impunity’: ibid.</w:t>
      </w:r>
    </w:p>
  </w:footnote>
  <w:footnote w:id="137">
    <w:p w14:paraId="69AA5BF0" w14:textId="33D8542C" w:rsidR="002D131A" w:rsidRPr="007233D0" w:rsidRDefault="002D131A" w:rsidP="00562C6A">
      <w:pPr>
        <w:pStyle w:val="FootnoteText"/>
        <w:rPr>
          <w:i/>
          <w:sz w:val="20"/>
        </w:rPr>
      </w:pPr>
      <w:r w:rsidRPr="007233D0">
        <w:rPr>
          <w:rStyle w:val="FootnoteReference"/>
          <w:sz w:val="20"/>
        </w:rPr>
        <w:footnoteRef/>
      </w:r>
      <w:r w:rsidRPr="007233D0">
        <w:rPr>
          <w:sz w:val="20"/>
        </w:rPr>
        <w:t xml:space="preserve"> See, </w:t>
      </w:r>
      <w:r w:rsidRPr="007233D0">
        <w:rPr>
          <w:i/>
          <w:sz w:val="20"/>
        </w:rPr>
        <w:t>mutatis mutandis</w:t>
      </w:r>
      <w:r w:rsidRPr="007233D0">
        <w:rPr>
          <w:sz w:val="20"/>
          <w:u w:val="single"/>
        </w:rPr>
        <w:t>,</w:t>
      </w:r>
      <w:r w:rsidRPr="007233D0">
        <w:rPr>
          <w:i/>
          <w:sz w:val="20"/>
        </w:rPr>
        <w:t xml:space="preserve"> A, B, and C v Ireland </w:t>
      </w:r>
      <w:r w:rsidRPr="007233D0">
        <w:rPr>
          <w:sz w:val="20"/>
        </w:rPr>
        <w:t xml:space="preserve">(n </w:t>
      </w:r>
      <w:r w:rsidRPr="007233D0">
        <w:rPr>
          <w:sz w:val="20"/>
        </w:rPr>
        <w:fldChar w:fldCharType="begin"/>
      </w:r>
      <w:r w:rsidRPr="007233D0">
        <w:rPr>
          <w:sz w:val="20"/>
        </w:rPr>
        <w:instrText xml:space="preserve"> NOTEREF _Ref497763959 \h  \* MERGEFORMAT </w:instrText>
      </w:r>
      <w:r w:rsidRPr="007233D0">
        <w:rPr>
          <w:sz w:val="20"/>
        </w:rPr>
      </w:r>
      <w:r w:rsidRPr="007233D0">
        <w:rPr>
          <w:sz w:val="20"/>
        </w:rPr>
        <w:fldChar w:fldCharType="separate"/>
      </w:r>
      <w:r>
        <w:rPr>
          <w:sz w:val="20"/>
        </w:rPr>
        <w:t>115</w:t>
      </w:r>
      <w:r w:rsidRPr="007233D0">
        <w:rPr>
          <w:sz w:val="20"/>
        </w:rPr>
        <w:fldChar w:fldCharType="end"/>
      </w:r>
      <w:r w:rsidRPr="007233D0">
        <w:rPr>
          <w:sz w:val="20"/>
        </w:rPr>
        <w:t>) [253]</w:t>
      </w:r>
      <w:r w:rsidRPr="007233D0">
        <w:rPr>
          <w:i/>
          <w:sz w:val="20"/>
        </w:rPr>
        <w:t>.</w:t>
      </w:r>
    </w:p>
  </w:footnote>
  <w:footnote w:id="138">
    <w:p w14:paraId="11FB9ADD" w14:textId="77777777" w:rsidR="002D131A" w:rsidRPr="007233D0" w:rsidRDefault="002D131A" w:rsidP="0063624E">
      <w:pPr>
        <w:pStyle w:val="FootnoteText"/>
        <w:rPr>
          <w:sz w:val="20"/>
        </w:rPr>
      </w:pPr>
      <w:r w:rsidRPr="007233D0">
        <w:rPr>
          <w:rStyle w:val="FootnoteReference"/>
          <w:sz w:val="20"/>
        </w:rPr>
        <w:footnoteRef/>
      </w:r>
      <w:r w:rsidRPr="007233D0">
        <w:rPr>
          <w:sz w:val="20"/>
        </w:rPr>
        <w:t xml:space="preserve"> ibid [254].</w:t>
      </w:r>
    </w:p>
  </w:footnote>
  <w:footnote w:id="139">
    <w:p w14:paraId="2660ED83" w14:textId="61E0ED88" w:rsidR="002D131A" w:rsidRPr="007233D0" w:rsidRDefault="002D131A">
      <w:pPr>
        <w:pStyle w:val="FootnoteText"/>
        <w:rPr>
          <w:sz w:val="20"/>
        </w:rPr>
      </w:pPr>
      <w:r w:rsidRPr="007233D0">
        <w:rPr>
          <w:rStyle w:val="FootnoteReference"/>
          <w:sz w:val="20"/>
        </w:rPr>
        <w:footnoteRef/>
      </w:r>
      <w:r w:rsidRPr="007233D0">
        <w:rPr>
          <w:sz w:val="20"/>
        </w:rPr>
        <w:t xml:space="preserve"> eg Post-legislative scrutiny of the </w:t>
      </w:r>
      <w:r w:rsidRPr="007233D0">
        <w:rPr>
          <w:sz w:val="20"/>
        </w:rPr>
        <w:fldChar w:fldCharType="begin"/>
      </w:r>
      <w:r w:rsidRPr="007233D0">
        <w:rPr>
          <w:sz w:val="20"/>
        </w:rPr>
        <w:instrText xml:space="preserve"> ADDIN EN.CITE &lt;EndNote&gt;&lt;Cite ExcludeAuth="1"&gt;&lt;Year&gt;2005&lt;/Year&gt;&lt;RecNum&gt;1481&lt;/RecNum&gt;&lt;DisplayText&gt;MCA 2005&lt;/DisplayText&gt;&lt;record&gt;&lt;rec-number&gt;1481&lt;/rec-number&gt;&lt;foreign-keys&gt;&lt;key app="EN" db-id="29e2pr0ebtzaxkedz5b5aefxftsede200wps" timestamp="1469957003"&gt;1481&lt;/key&gt;&lt;/foreign-keys&gt;&lt;ref-type name="Statute, SI, EU leg, Treaties"&gt;31&lt;/ref-type&gt;&lt;contributors&gt;&lt;/contributors&gt;&lt;titles&gt;&lt;title&gt;Mental Capacity Act 2005 (MCA 2005)&lt;/title&gt;&lt;short-title&gt;MCA 2005&lt;/short-title&gt;&lt;/titles&gt;&lt;dates&gt;&lt;year&gt;2005&lt;/year&gt;&lt;/dates&gt;&lt;urls&gt;&lt;/urls&gt;&lt;/record&gt;&lt;/Cite&gt;&lt;/EndNote&gt;</w:instrText>
      </w:r>
      <w:r w:rsidRPr="007233D0">
        <w:rPr>
          <w:sz w:val="20"/>
        </w:rPr>
        <w:fldChar w:fldCharType="separate"/>
      </w:r>
      <w:r w:rsidRPr="007233D0">
        <w:rPr>
          <w:sz w:val="20"/>
        </w:rPr>
        <w:t>MCA 2005</w:t>
      </w:r>
      <w:r w:rsidRPr="007233D0">
        <w:rPr>
          <w:sz w:val="20"/>
        </w:rPr>
        <w:fldChar w:fldCharType="end"/>
      </w:r>
      <w:r w:rsidRPr="007233D0">
        <w:rPr>
          <w:sz w:val="20"/>
        </w:rPr>
        <w:t xml:space="preserve"> has given rise to significant worries in respect of the implementation of the Act, particularly as regards its Core principles (including the presumption of capacity, and unwise decisions not indicating, in and of themselves, incapacity), and as regards the regime for advance decisions to refuse treatment: </w:t>
      </w:r>
      <w:r w:rsidRPr="007233D0">
        <w:rPr>
          <w:sz w:val="20"/>
        </w:rPr>
        <w:fldChar w:fldCharType="begin"/>
      </w:r>
      <w:r w:rsidRPr="007233D0">
        <w:rPr>
          <w:sz w:val="20"/>
        </w:rPr>
        <w:instrText xml:space="preserve"> ADDIN EN.CITE &lt;EndNote&gt;&lt;Cite&gt;&lt;Author&gt;House of Lords&lt;/Author&gt;&lt;Year&gt;2014&lt;/Year&gt;&lt;RecNum&gt;2276&lt;/RecNum&gt;&lt;DisplayText&gt;House of Lords, &lt;style face="italic"&gt;Select Committee on the Mental Capacity Act 2005, Mental Capacity Act 2005: post-legislative scrutiny&lt;/style&gt; (2014) &lt;style face="underline"&gt;http://www.publications.parliament.uk/pa/ld201314/ldselect/ldmentalcap/139/139.pdf&lt;/style&gt; accessed 2016/10/01&lt;/DisplayText&gt;&lt;record&gt;&lt;rec-number&gt;2276&lt;/rec-number&gt;&lt;foreign-keys&gt;&lt;key app="EN" db-id="29e2pr0ebtzaxkedz5b5aefxftsede200wps" timestamp="1475003703"&gt;2276&lt;/key&gt;&lt;/foreign-keys&gt;&lt;ref-type name="Report; Command Paper"&gt;27&lt;/ref-type&gt;&lt;contributors&gt;&lt;authors&gt;&lt;author&gt;House of Lords,&lt;/author&gt;&lt;/authors&gt;&lt;/contributors&gt;&lt;titles&gt;&lt;title&gt;Select Committee on the Mental Capacity Act 2005, Mental Capacity Act 2005: post-legislative scrutiny&lt;/title&gt;&lt;/titles&gt;&lt;dates&gt;&lt;year&gt;2014&lt;/year&gt;&lt;/dates&gt;&lt;urls&gt;&lt;related-urls&gt;&lt;url&gt;http://www.publications.parliament.uk/pa/ld201314/ldselect/ldmentalcap/139/139.pdf&lt;/url&gt;&lt;/related-urls&gt;&lt;/urls&gt;&lt;access-date&gt;2016/10/01&lt;/access-date&gt;&lt;/record&gt;&lt;/Cite&gt;&lt;/EndNote&gt;</w:instrText>
      </w:r>
      <w:r w:rsidRPr="007233D0">
        <w:rPr>
          <w:sz w:val="20"/>
        </w:rPr>
        <w:fldChar w:fldCharType="separate"/>
      </w:r>
      <w:r w:rsidRPr="007233D0">
        <w:rPr>
          <w:sz w:val="20"/>
        </w:rPr>
        <w:t xml:space="preserve">House of Lords, </w:t>
      </w:r>
      <w:r w:rsidRPr="007233D0">
        <w:rPr>
          <w:i/>
          <w:sz w:val="20"/>
        </w:rPr>
        <w:t>Select Committee on the Mental Capacity Act 2005, Mental Capacity Act 2005: post-legislative scrutiny</w:t>
      </w:r>
      <w:r w:rsidRPr="007233D0">
        <w:rPr>
          <w:sz w:val="20"/>
        </w:rPr>
        <w:t xml:space="preserve"> (2014) </w:t>
      </w:r>
      <w:r w:rsidRPr="007233D0">
        <w:rPr>
          <w:sz w:val="20"/>
          <w:u w:val="single"/>
        </w:rPr>
        <w:t>http://www.publications.parliament.uk/pa/ld201314/ldselect/ldmentalcap/139/139.pdf</w:t>
      </w:r>
      <w:r w:rsidRPr="007233D0">
        <w:rPr>
          <w:sz w:val="20"/>
        </w:rPr>
        <w:t xml:space="preserve"> accessed 2016/10/01</w:t>
      </w:r>
      <w:r w:rsidRPr="007233D0">
        <w:rPr>
          <w:sz w:val="20"/>
        </w:rPr>
        <w:fldChar w:fldCharType="end"/>
      </w:r>
      <w:r w:rsidRPr="007233D0">
        <w:rPr>
          <w:sz w:val="20"/>
        </w:rPr>
        <w:t xml:space="preserve">. The prospects for effective implementation of legal regimes for refusals of LPT may be better or worse, according to the extent to which physicians in a particular jurisdiction value patient autonomy: See </w:t>
      </w:r>
      <w:r w:rsidRPr="007233D0">
        <w:rPr>
          <w:sz w:val="20"/>
        </w:rPr>
        <w:fldChar w:fldCharType="begin"/>
      </w:r>
      <w:r w:rsidRPr="007233D0">
        <w:rPr>
          <w:sz w:val="20"/>
        </w:rPr>
        <w:instrText xml:space="preserve"> ADDIN EN.CITE &lt;EndNote&gt;&lt;Cite&gt;&lt;Author&gt;Horn&lt;/Author&gt;&lt;Year&gt;2014&lt;/Year&gt;&lt;RecNum&gt;2280&lt;/RecNum&gt;&lt;DisplayText&gt;Ruth Horn, ‘“I don’t need my patients’ opinion to withdraw treatment”: patient preferences at the end-of-life and physician attitudes towards advance directives in England and France’ (2014) 17(3) Medicine Health Care Phil 425&lt;/DisplayText&gt;&lt;record&gt;&lt;rec-number&gt;2280&lt;/rec-number&gt;&lt;foreign-keys&gt;&lt;key app="EN" db-id="29e2pr0ebtzaxkedz5b5aefxftsede200wps" timestamp="1475157616"&gt;2280&lt;/key&gt;&lt;/foreign-keys&gt;&lt;ref-type name="Journal Article"&gt;17&lt;/ref-type&gt;&lt;contributors&gt;&lt;authors&gt;&lt;author&gt;Horn, Ruth&lt;/author&gt;&lt;/authors&gt;&lt;/contributors&gt;&lt;titles&gt;&lt;title&gt;“I don’t need my patients’ opinion to withdraw treatment”: patient preferences at the end-of-life and physician attitudes towards advance directives in England and France&lt;/title&gt;&lt;secondary-title&gt;Medicine, Health Care and Philosophy&lt;/secondary-title&gt;&lt;/titles&gt;&lt;periodical&gt;&lt;full-title&gt;Medicine, Health Care and Philosophy&lt;/full-title&gt;&lt;abbr-1&gt;Medicine. Health. Care. Phil&lt;/abbr-1&gt;&lt;abbr-2&gt;Medicine Health Care Phil&lt;/abbr-2&gt;&lt;/periodical&gt;&lt;pages&gt;425&lt;/pages&gt;&lt;volume&gt;17&lt;/volume&gt;&lt;number&gt;3&lt;/number&gt;&lt;dates&gt;&lt;year&gt;2014&lt;/year&gt;&lt;/dates&gt;&lt;pub-location&gt;2014&lt;/pub-location&gt;&lt;isbn&gt;1572-8633&lt;/isbn&gt;&lt;label&gt;Horn2014&lt;/label&gt;&lt;work-type&gt;journal article&lt;/work-type&gt;&lt;urls&gt;&lt;related-urls&gt;&lt;url&gt;http://dx.doi.org/10.1007/s11019-014-9558-9&lt;/url&gt;&lt;/related-urls&gt;&lt;/urls&gt;&lt;electronic-resource-num&gt;10.1007/s11019-014-9558-9&lt;/electronic-resource-num&gt;&lt;/record&gt;&lt;/Cite&gt;&lt;/EndNote&gt;</w:instrText>
      </w:r>
      <w:r w:rsidRPr="007233D0">
        <w:rPr>
          <w:sz w:val="20"/>
        </w:rPr>
        <w:fldChar w:fldCharType="separate"/>
      </w:r>
      <w:r w:rsidRPr="007233D0">
        <w:rPr>
          <w:sz w:val="20"/>
        </w:rPr>
        <w:t>Ruth Horn, ‘“I don’t need my patients’ opinion to withdraw treatment”: patient preferences at the end-of-life and physician attitudes towards advance directives in England and France’ (2014) 17(3) Medicine Health Care Phil 425</w:t>
      </w:r>
      <w:r w:rsidRPr="007233D0">
        <w:rPr>
          <w:sz w:val="20"/>
        </w:rPr>
        <w:fldChar w:fldCharType="end"/>
      </w:r>
      <w:r w:rsidRPr="007233D0">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4B20" w14:textId="07521BCC" w:rsidR="002D131A" w:rsidRPr="00035A0A" w:rsidRDefault="002D131A" w:rsidP="00035A0A">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075"/>
    <w:multiLevelType w:val="multilevel"/>
    <w:tmpl w:val="578C0068"/>
    <w:lvl w:ilvl="0">
      <w:start w:val="1"/>
      <w:numFmt w:val="decimal"/>
      <w:pStyle w:val="Heading1"/>
      <w:suff w:val="space"/>
      <w:lvlText w:val="%1."/>
      <w:lvlJc w:val="left"/>
      <w:pPr>
        <w:ind w:left="0" w:firstLine="0"/>
      </w:pPr>
      <w:rPr>
        <w:rFonts w:hint="default"/>
      </w:rPr>
    </w:lvl>
    <w:lvl w:ilvl="1">
      <w:start w:val="1"/>
      <w:numFmt w:val="upperLetter"/>
      <w:pStyle w:val="Heading2"/>
      <w:suff w:val="space"/>
      <w:lvlText w:val="%2."/>
      <w:lvlJc w:val="left"/>
      <w:pPr>
        <w:ind w:left="0" w:firstLine="0"/>
      </w:pPr>
      <w:rPr>
        <w:rFonts w:hint="default"/>
      </w:rPr>
    </w:lvl>
    <w:lvl w:ilvl="2">
      <w:start w:val="1"/>
      <w:numFmt w:val="lowerRoman"/>
      <w:pStyle w:val="Heading3"/>
      <w:suff w:val="space"/>
      <w:lvlText w:val="(%3)"/>
      <w:lvlJc w:val="left"/>
      <w:pPr>
        <w:ind w:left="0" w:firstLine="0"/>
      </w:pPr>
      <w:rPr>
        <w:rFonts w:hint="default"/>
        <w:sz w:val="24"/>
        <w:szCs w:val="24"/>
      </w:rPr>
    </w:lvl>
    <w:lvl w:ilvl="3">
      <w:start w:val="1"/>
      <w:numFmt w:val="lowerLetter"/>
      <w:pStyle w:val="Heading4"/>
      <w:suff w:val="space"/>
      <w:lvlText w:val="(%4)"/>
      <w:lvlJc w:val="left"/>
      <w:pPr>
        <w:ind w:left="0" w:firstLine="0"/>
      </w:pPr>
      <w:rPr>
        <w:rFonts w:hint="default"/>
      </w:rPr>
    </w:lvl>
    <w:lvl w:ilvl="4">
      <w:start w:val="1"/>
      <w:numFmt w:val="decimal"/>
      <w:suff w:val="space"/>
      <w:lvlText w:val="%1.%2.%3.%4.%5."/>
      <w:lvlJc w:val="left"/>
      <w:pPr>
        <w:ind w:left="568" w:firstLine="0"/>
      </w:pPr>
      <w:rPr>
        <w:rFonts w:hint="default"/>
      </w:rPr>
    </w:lvl>
    <w:lvl w:ilvl="5">
      <w:start w:val="1"/>
      <w:numFmt w:val="decimal"/>
      <w:suff w:val="space"/>
      <w:lvlText w:val="%1.%2.%3.%4.%5.%6."/>
      <w:lvlJc w:val="left"/>
      <w:pPr>
        <w:ind w:left="710" w:firstLine="0"/>
      </w:pPr>
      <w:rPr>
        <w:rFonts w:hint="default"/>
      </w:rPr>
    </w:lvl>
    <w:lvl w:ilvl="6">
      <w:start w:val="1"/>
      <w:numFmt w:val="decimal"/>
      <w:suff w:val="space"/>
      <w:lvlText w:val="%1.%2.%3.%4.%5.%6.%7."/>
      <w:lvlJc w:val="left"/>
      <w:pPr>
        <w:ind w:left="852" w:firstLine="0"/>
      </w:pPr>
      <w:rPr>
        <w:rFonts w:hint="default"/>
      </w:rPr>
    </w:lvl>
    <w:lvl w:ilvl="7">
      <w:start w:val="1"/>
      <w:numFmt w:val="decimal"/>
      <w:suff w:val="space"/>
      <w:lvlText w:val="%1.%2.%3.%4.%5.%6.%7.%8."/>
      <w:lvlJc w:val="left"/>
      <w:pPr>
        <w:ind w:left="994" w:firstLine="0"/>
      </w:pPr>
      <w:rPr>
        <w:rFonts w:hint="default"/>
      </w:rPr>
    </w:lvl>
    <w:lvl w:ilvl="8">
      <w:start w:val="1"/>
      <w:numFmt w:val="decimal"/>
      <w:suff w:val="space"/>
      <w:lvlText w:val="%1.%2.%3.%4.%5.%6.%7.%8.%9."/>
      <w:lvlJc w:val="left"/>
      <w:pPr>
        <w:ind w:left="1136" w:firstLine="0"/>
      </w:pPr>
      <w:rPr>
        <w:rFonts w:hint="default"/>
      </w:rPr>
    </w:lvl>
  </w:abstractNum>
  <w:abstractNum w:abstractNumId="1" w15:restartNumberingAfterBreak="0">
    <w:nsid w:val="68BD781C"/>
    <w:multiLevelType w:val="multilevel"/>
    <w:tmpl w:val="FE6E7880"/>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567" w:firstLine="0"/>
      </w:pPr>
      <w:rPr>
        <w:rFonts w:hint="default"/>
        <w:b w:val="0"/>
        <w:bCs/>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suff w:val="space"/>
      <w:lvlText w:val="%1.%2.%3.%4.%5.%6."/>
      <w:lvlJc w:val="left"/>
      <w:pPr>
        <w:ind w:left="1418" w:firstLine="0"/>
      </w:pPr>
      <w:rPr>
        <w:rFonts w:hint="default"/>
      </w:rPr>
    </w:lvl>
    <w:lvl w:ilvl="6">
      <w:start w:val="1"/>
      <w:numFmt w:val="decimal"/>
      <w:suff w:val="space"/>
      <w:lvlText w:val="%1.%2.%3.%4.%5.%6.%7."/>
      <w:lvlJc w:val="left"/>
      <w:pPr>
        <w:ind w:left="1701" w:firstLine="0"/>
      </w:pPr>
      <w:rPr>
        <w:rFonts w:hint="default"/>
      </w:rPr>
    </w:lvl>
    <w:lvl w:ilvl="7">
      <w:start w:val="1"/>
      <w:numFmt w:val="decimal"/>
      <w:suff w:val="space"/>
      <w:lvlText w:val="%1.%2.%3.%4.%5.%6.%7.%8."/>
      <w:lvlJc w:val="left"/>
      <w:pPr>
        <w:ind w:left="1985" w:firstLine="0"/>
      </w:pPr>
      <w:rPr>
        <w:rFonts w:hint="default"/>
      </w:rPr>
    </w:lvl>
    <w:lvl w:ilvl="8">
      <w:start w:val="1"/>
      <w:numFmt w:val="decimal"/>
      <w:suff w:val="space"/>
      <w:lvlText w:val="%1.%2.%3.%4.%5.%6.%7.%8.%9."/>
      <w:lvlJc w:val="left"/>
      <w:pPr>
        <w:ind w:left="2268" w:firstLine="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SCOLA 2 4th (Isra)&lt;/Style&gt;&lt;LeftDelim&gt;{&lt;/LeftDelim&gt;&lt;RightDelim&gt;}&lt;/RightDelim&gt;&lt;FontName&gt;Courier New&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e2pr0ebtzaxkedz5b5aefxftsede200wps&quot;&gt;Isra Black&lt;record-ids&gt;&lt;item&gt;915&lt;/item&gt;&lt;item&gt;924&lt;/item&gt;&lt;item&gt;928&lt;/item&gt;&lt;item&gt;941&lt;/item&gt;&lt;item&gt;943&lt;/item&gt;&lt;item&gt;944&lt;/item&gt;&lt;item&gt;945&lt;/item&gt;&lt;item&gt;956&lt;/item&gt;&lt;item&gt;1028&lt;/item&gt;&lt;item&gt;1042&lt;/item&gt;&lt;item&gt;1063&lt;/item&gt;&lt;item&gt;1096&lt;/item&gt;&lt;item&gt;1097&lt;/item&gt;&lt;item&gt;1100&lt;/item&gt;&lt;item&gt;1103&lt;/item&gt;&lt;item&gt;1105&lt;/item&gt;&lt;item&gt;1108&lt;/item&gt;&lt;item&gt;1111&lt;/item&gt;&lt;item&gt;1114&lt;/item&gt;&lt;item&gt;1142&lt;/item&gt;&lt;item&gt;1147&lt;/item&gt;&lt;item&gt;1162&lt;/item&gt;&lt;item&gt;1165&lt;/item&gt;&lt;item&gt;1172&lt;/item&gt;&lt;item&gt;1173&lt;/item&gt;&lt;item&gt;1177&lt;/item&gt;&lt;item&gt;1178&lt;/item&gt;&lt;item&gt;1181&lt;/item&gt;&lt;item&gt;1187&lt;/item&gt;&lt;item&gt;1192&lt;/item&gt;&lt;item&gt;1197&lt;/item&gt;&lt;item&gt;1249&lt;/item&gt;&lt;item&gt;1265&lt;/item&gt;&lt;item&gt;1329&lt;/item&gt;&lt;item&gt;1330&lt;/item&gt;&lt;item&gt;1380&lt;/item&gt;&lt;item&gt;1397&lt;/item&gt;&lt;item&gt;1458&lt;/item&gt;&lt;item&gt;1474&lt;/item&gt;&lt;item&gt;1476&lt;/item&gt;&lt;item&gt;1481&lt;/item&gt;&lt;item&gt;1665&lt;/item&gt;&lt;item&gt;1770&lt;/item&gt;&lt;item&gt;1800&lt;/item&gt;&lt;item&gt;1813&lt;/item&gt;&lt;item&gt;1817&lt;/item&gt;&lt;item&gt;1820&lt;/item&gt;&lt;item&gt;1822&lt;/item&gt;&lt;item&gt;1825&lt;/item&gt;&lt;item&gt;1830&lt;/item&gt;&lt;item&gt;1835&lt;/item&gt;&lt;item&gt;1836&lt;/item&gt;&lt;item&gt;1841&lt;/item&gt;&lt;item&gt;1848&lt;/item&gt;&lt;item&gt;1849&lt;/item&gt;&lt;item&gt;1850&lt;/item&gt;&lt;item&gt;1852&lt;/item&gt;&lt;item&gt;1854&lt;/item&gt;&lt;item&gt;2047&lt;/item&gt;&lt;item&gt;2084&lt;/item&gt;&lt;item&gt;2085&lt;/item&gt;&lt;item&gt;2087&lt;/item&gt;&lt;item&gt;2188&lt;/item&gt;&lt;item&gt;2198&lt;/item&gt;&lt;item&gt;2200&lt;/item&gt;&lt;item&gt;2201&lt;/item&gt;&lt;item&gt;2202&lt;/item&gt;&lt;item&gt;2203&lt;/item&gt;&lt;item&gt;2204&lt;/item&gt;&lt;item&gt;2208&lt;/item&gt;&lt;item&gt;2209&lt;/item&gt;&lt;item&gt;2210&lt;/item&gt;&lt;item&gt;2211&lt;/item&gt;&lt;item&gt;2212&lt;/item&gt;&lt;item&gt;2213&lt;/item&gt;&lt;item&gt;2215&lt;/item&gt;&lt;item&gt;2230&lt;/item&gt;&lt;item&gt;2233&lt;/item&gt;&lt;item&gt;2236&lt;/item&gt;&lt;item&gt;2237&lt;/item&gt;&lt;item&gt;2238&lt;/item&gt;&lt;item&gt;2239&lt;/item&gt;&lt;item&gt;2240&lt;/item&gt;&lt;item&gt;2241&lt;/item&gt;&lt;item&gt;2242&lt;/item&gt;&lt;item&gt;2250&lt;/item&gt;&lt;item&gt;2255&lt;/item&gt;&lt;item&gt;2259&lt;/item&gt;&lt;item&gt;2262&lt;/item&gt;&lt;item&gt;2264&lt;/item&gt;&lt;item&gt;2265&lt;/item&gt;&lt;item&gt;2266&lt;/item&gt;&lt;item&gt;2267&lt;/item&gt;&lt;item&gt;2268&lt;/item&gt;&lt;item&gt;2269&lt;/item&gt;&lt;item&gt;2270&lt;/item&gt;&lt;item&gt;2271&lt;/item&gt;&lt;item&gt;2272&lt;/item&gt;&lt;item&gt;2273&lt;/item&gt;&lt;item&gt;2274&lt;/item&gt;&lt;item&gt;2275&lt;/item&gt;&lt;item&gt;2276&lt;/item&gt;&lt;item&gt;2277&lt;/item&gt;&lt;item&gt;2278&lt;/item&gt;&lt;item&gt;2279&lt;/item&gt;&lt;item&gt;2280&lt;/item&gt;&lt;item&gt;2308&lt;/item&gt;&lt;item&gt;2339&lt;/item&gt;&lt;item&gt;2384&lt;/item&gt;&lt;item&gt;2404&lt;/item&gt;&lt;item&gt;2428&lt;/item&gt;&lt;item&gt;2599&lt;/item&gt;&lt;item&gt;2600&lt;/item&gt;&lt;item&gt;2601&lt;/item&gt;&lt;item&gt;2602&lt;/item&gt;&lt;item&gt;2660&lt;/item&gt;&lt;item&gt;2718&lt;/item&gt;&lt;item&gt;2719&lt;/item&gt;&lt;item&gt;2720&lt;/item&gt;&lt;item&gt;2721&lt;/item&gt;&lt;item&gt;2741&lt;/item&gt;&lt;item&gt;2742&lt;/item&gt;&lt;item&gt;2743&lt;/item&gt;&lt;item&gt;2744&lt;/item&gt;&lt;item&gt;2746&lt;/item&gt;&lt;/record-ids&gt;&lt;/item&gt;&lt;/Libraries&gt;"/>
  </w:docVars>
  <w:rsids>
    <w:rsidRoot w:val="007A6E46"/>
    <w:rsid w:val="00000406"/>
    <w:rsid w:val="00000DFE"/>
    <w:rsid w:val="000021B1"/>
    <w:rsid w:val="00003089"/>
    <w:rsid w:val="000038B5"/>
    <w:rsid w:val="000077DC"/>
    <w:rsid w:val="00010532"/>
    <w:rsid w:val="00010BAC"/>
    <w:rsid w:val="00010E73"/>
    <w:rsid w:val="00011E9F"/>
    <w:rsid w:val="00012251"/>
    <w:rsid w:val="000132A6"/>
    <w:rsid w:val="000135FE"/>
    <w:rsid w:val="000138EA"/>
    <w:rsid w:val="000151D2"/>
    <w:rsid w:val="0001563B"/>
    <w:rsid w:val="00016174"/>
    <w:rsid w:val="000175D6"/>
    <w:rsid w:val="00020D5A"/>
    <w:rsid w:val="00022E87"/>
    <w:rsid w:val="0002381B"/>
    <w:rsid w:val="00023A85"/>
    <w:rsid w:val="000240FE"/>
    <w:rsid w:val="000253ED"/>
    <w:rsid w:val="00025474"/>
    <w:rsid w:val="00026134"/>
    <w:rsid w:val="000262BD"/>
    <w:rsid w:val="00031B59"/>
    <w:rsid w:val="00032905"/>
    <w:rsid w:val="00033E10"/>
    <w:rsid w:val="00035621"/>
    <w:rsid w:val="00035A0A"/>
    <w:rsid w:val="00036447"/>
    <w:rsid w:val="000370F4"/>
    <w:rsid w:val="00040E61"/>
    <w:rsid w:val="000410E3"/>
    <w:rsid w:val="000417A4"/>
    <w:rsid w:val="00043915"/>
    <w:rsid w:val="00044121"/>
    <w:rsid w:val="000447ED"/>
    <w:rsid w:val="00045FC3"/>
    <w:rsid w:val="000465B7"/>
    <w:rsid w:val="00050370"/>
    <w:rsid w:val="00050F97"/>
    <w:rsid w:val="00050FCD"/>
    <w:rsid w:val="0005210C"/>
    <w:rsid w:val="00052A81"/>
    <w:rsid w:val="00053C6C"/>
    <w:rsid w:val="00053D40"/>
    <w:rsid w:val="000545BC"/>
    <w:rsid w:val="000555A2"/>
    <w:rsid w:val="000568A8"/>
    <w:rsid w:val="000569F8"/>
    <w:rsid w:val="00060B37"/>
    <w:rsid w:val="00060BEB"/>
    <w:rsid w:val="0006132C"/>
    <w:rsid w:val="000619F6"/>
    <w:rsid w:val="0006278A"/>
    <w:rsid w:val="00062B0B"/>
    <w:rsid w:val="00063D0D"/>
    <w:rsid w:val="0006597B"/>
    <w:rsid w:val="00066157"/>
    <w:rsid w:val="00066828"/>
    <w:rsid w:val="000720C0"/>
    <w:rsid w:val="000725E8"/>
    <w:rsid w:val="00072EDB"/>
    <w:rsid w:val="0007349B"/>
    <w:rsid w:val="00074445"/>
    <w:rsid w:val="00075523"/>
    <w:rsid w:val="00077B06"/>
    <w:rsid w:val="00077E91"/>
    <w:rsid w:val="0008190B"/>
    <w:rsid w:val="000847E8"/>
    <w:rsid w:val="00086F8B"/>
    <w:rsid w:val="0008703E"/>
    <w:rsid w:val="00087C01"/>
    <w:rsid w:val="000914C0"/>
    <w:rsid w:val="00091655"/>
    <w:rsid w:val="0009177A"/>
    <w:rsid w:val="00092C3B"/>
    <w:rsid w:val="00092F56"/>
    <w:rsid w:val="00092FB9"/>
    <w:rsid w:val="00093699"/>
    <w:rsid w:val="00093B10"/>
    <w:rsid w:val="0009549F"/>
    <w:rsid w:val="00095560"/>
    <w:rsid w:val="0009577E"/>
    <w:rsid w:val="000974DF"/>
    <w:rsid w:val="00097AF8"/>
    <w:rsid w:val="00097B9F"/>
    <w:rsid w:val="00097FED"/>
    <w:rsid w:val="000A47ED"/>
    <w:rsid w:val="000A67B2"/>
    <w:rsid w:val="000A6F32"/>
    <w:rsid w:val="000B0B1D"/>
    <w:rsid w:val="000B11A8"/>
    <w:rsid w:val="000B147A"/>
    <w:rsid w:val="000B3763"/>
    <w:rsid w:val="000B3986"/>
    <w:rsid w:val="000B4F09"/>
    <w:rsid w:val="000B5304"/>
    <w:rsid w:val="000B7817"/>
    <w:rsid w:val="000B7AF3"/>
    <w:rsid w:val="000C0668"/>
    <w:rsid w:val="000C1948"/>
    <w:rsid w:val="000C1DA3"/>
    <w:rsid w:val="000C34E3"/>
    <w:rsid w:val="000C3824"/>
    <w:rsid w:val="000C5E2C"/>
    <w:rsid w:val="000C7425"/>
    <w:rsid w:val="000C79D5"/>
    <w:rsid w:val="000D0967"/>
    <w:rsid w:val="000D1288"/>
    <w:rsid w:val="000D30F0"/>
    <w:rsid w:val="000D3939"/>
    <w:rsid w:val="000D5A3E"/>
    <w:rsid w:val="000D6078"/>
    <w:rsid w:val="000D610E"/>
    <w:rsid w:val="000D61DB"/>
    <w:rsid w:val="000D7770"/>
    <w:rsid w:val="000D7B21"/>
    <w:rsid w:val="000E1C38"/>
    <w:rsid w:val="000E20F7"/>
    <w:rsid w:val="000E3706"/>
    <w:rsid w:val="000E6C91"/>
    <w:rsid w:val="000E7BBD"/>
    <w:rsid w:val="000F06ED"/>
    <w:rsid w:val="000F0A0D"/>
    <w:rsid w:val="000F0A46"/>
    <w:rsid w:val="000F0EE8"/>
    <w:rsid w:val="000F13FD"/>
    <w:rsid w:val="000F1417"/>
    <w:rsid w:val="000F2463"/>
    <w:rsid w:val="000F2C03"/>
    <w:rsid w:val="000F370E"/>
    <w:rsid w:val="000F44C5"/>
    <w:rsid w:val="000F4FC9"/>
    <w:rsid w:val="000F567F"/>
    <w:rsid w:val="000F5BE6"/>
    <w:rsid w:val="000F5C58"/>
    <w:rsid w:val="000F6EDA"/>
    <w:rsid w:val="000F7065"/>
    <w:rsid w:val="00102D59"/>
    <w:rsid w:val="00103A4C"/>
    <w:rsid w:val="00103FD3"/>
    <w:rsid w:val="00104939"/>
    <w:rsid w:val="00104BBA"/>
    <w:rsid w:val="00105751"/>
    <w:rsid w:val="00105A50"/>
    <w:rsid w:val="001068DC"/>
    <w:rsid w:val="00106E1C"/>
    <w:rsid w:val="00110B4D"/>
    <w:rsid w:val="00110DCE"/>
    <w:rsid w:val="00110F86"/>
    <w:rsid w:val="00111074"/>
    <w:rsid w:val="001114D6"/>
    <w:rsid w:val="00113682"/>
    <w:rsid w:val="00113739"/>
    <w:rsid w:val="001150F2"/>
    <w:rsid w:val="0011613B"/>
    <w:rsid w:val="001170BB"/>
    <w:rsid w:val="00117D95"/>
    <w:rsid w:val="00117E24"/>
    <w:rsid w:val="00121979"/>
    <w:rsid w:val="00122022"/>
    <w:rsid w:val="0012254F"/>
    <w:rsid w:val="00122D6A"/>
    <w:rsid w:val="00123B0A"/>
    <w:rsid w:val="00123F97"/>
    <w:rsid w:val="001246AE"/>
    <w:rsid w:val="00126630"/>
    <w:rsid w:val="00130586"/>
    <w:rsid w:val="00130E1A"/>
    <w:rsid w:val="00130E45"/>
    <w:rsid w:val="00130EA4"/>
    <w:rsid w:val="00130F18"/>
    <w:rsid w:val="001312D9"/>
    <w:rsid w:val="001315F9"/>
    <w:rsid w:val="00131A11"/>
    <w:rsid w:val="0013222E"/>
    <w:rsid w:val="001324F0"/>
    <w:rsid w:val="00132D31"/>
    <w:rsid w:val="0013312B"/>
    <w:rsid w:val="001341BB"/>
    <w:rsid w:val="00134823"/>
    <w:rsid w:val="001349A1"/>
    <w:rsid w:val="001353D6"/>
    <w:rsid w:val="00136041"/>
    <w:rsid w:val="00137BD8"/>
    <w:rsid w:val="0014264D"/>
    <w:rsid w:val="0014642B"/>
    <w:rsid w:val="00147055"/>
    <w:rsid w:val="00147A8B"/>
    <w:rsid w:val="001505B7"/>
    <w:rsid w:val="00150A89"/>
    <w:rsid w:val="001511C4"/>
    <w:rsid w:val="0015124A"/>
    <w:rsid w:val="001518A8"/>
    <w:rsid w:val="00151A21"/>
    <w:rsid w:val="00153D48"/>
    <w:rsid w:val="001547AB"/>
    <w:rsid w:val="00154B81"/>
    <w:rsid w:val="00155612"/>
    <w:rsid w:val="0016023F"/>
    <w:rsid w:val="00160A6A"/>
    <w:rsid w:val="00160AE5"/>
    <w:rsid w:val="00162EE5"/>
    <w:rsid w:val="001635F0"/>
    <w:rsid w:val="0016481C"/>
    <w:rsid w:val="00171599"/>
    <w:rsid w:val="001719BC"/>
    <w:rsid w:val="00171B21"/>
    <w:rsid w:val="00171EA4"/>
    <w:rsid w:val="00172E28"/>
    <w:rsid w:val="0017342D"/>
    <w:rsid w:val="0017557D"/>
    <w:rsid w:val="00180403"/>
    <w:rsid w:val="00181217"/>
    <w:rsid w:val="0018248F"/>
    <w:rsid w:val="001824B9"/>
    <w:rsid w:val="00182D2E"/>
    <w:rsid w:val="00182F09"/>
    <w:rsid w:val="00183173"/>
    <w:rsid w:val="00184331"/>
    <w:rsid w:val="00185092"/>
    <w:rsid w:val="00185AF9"/>
    <w:rsid w:val="00186C93"/>
    <w:rsid w:val="001875CE"/>
    <w:rsid w:val="001904B7"/>
    <w:rsid w:val="0019052D"/>
    <w:rsid w:val="00190708"/>
    <w:rsid w:val="00190851"/>
    <w:rsid w:val="001909DF"/>
    <w:rsid w:val="001919C1"/>
    <w:rsid w:val="00191AC4"/>
    <w:rsid w:val="001935A9"/>
    <w:rsid w:val="0019379F"/>
    <w:rsid w:val="00193B91"/>
    <w:rsid w:val="00193D11"/>
    <w:rsid w:val="0019575C"/>
    <w:rsid w:val="001960BC"/>
    <w:rsid w:val="00196E34"/>
    <w:rsid w:val="00197799"/>
    <w:rsid w:val="001978C0"/>
    <w:rsid w:val="00197BE6"/>
    <w:rsid w:val="001A1A26"/>
    <w:rsid w:val="001A2B4D"/>
    <w:rsid w:val="001A5FF3"/>
    <w:rsid w:val="001A66D4"/>
    <w:rsid w:val="001A7003"/>
    <w:rsid w:val="001B0713"/>
    <w:rsid w:val="001B10A0"/>
    <w:rsid w:val="001B1EDF"/>
    <w:rsid w:val="001B219F"/>
    <w:rsid w:val="001B2775"/>
    <w:rsid w:val="001B3C8E"/>
    <w:rsid w:val="001B65FF"/>
    <w:rsid w:val="001B6C59"/>
    <w:rsid w:val="001B72EA"/>
    <w:rsid w:val="001C0524"/>
    <w:rsid w:val="001C113C"/>
    <w:rsid w:val="001C1B71"/>
    <w:rsid w:val="001C1B79"/>
    <w:rsid w:val="001C2401"/>
    <w:rsid w:val="001C3057"/>
    <w:rsid w:val="001C329F"/>
    <w:rsid w:val="001C369A"/>
    <w:rsid w:val="001C4946"/>
    <w:rsid w:val="001C55E5"/>
    <w:rsid w:val="001C66EF"/>
    <w:rsid w:val="001C7A3C"/>
    <w:rsid w:val="001D035B"/>
    <w:rsid w:val="001D39B3"/>
    <w:rsid w:val="001D3C7E"/>
    <w:rsid w:val="001D455E"/>
    <w:rsid w:val="001D54A9"/>
    <w:rsid w:val="001D5AF9"/>
    <w:rsid w:val="001D6E15"/>
    <w:rsid w:val="001D77AF"/>
    <w:rsid w:val="001D7D06"/>
    <w:rsid w:val="001D7D76"/>
    <w:rsid w:val="001E0CB8"/>
    <w:rsid w:val="001E190B"/>
    <w:rsid w:val="001E22F1"/>
    <w:rsid w:val="001E2E6E"/>
    <w:rsid w:val="001E319D"/>
    <w:rsid w:val="001E3357"/>
    <w:rsid w:val="001E388C"/>
    <w:rsid w:val="001E4696"/>
    <w:rsid w:val="001E53DF"/>
    <w:rsid w:val="001E597F"/>
    <w:rsid w:val="001E59F7"/>
    <w:rsid w:val="001E6C30"/>
    <w:rsid w:val="001F06A4"/>
    <w:rsid w:val="001F0A74"/>
    <w:rsid w:val="001F386F"/>
    <w:rsid w:val="001F4DF9"/>
    <w:rsid w:val="001F5348"/>
    <w:rsid w:val="001F7743"/>
    <w:rsid w:val="002010A7"/>
    <w:rsid w:val="002012B5"/>
    <w:rsid w:val="0020192C"/>
    <w:rsid w:val="002027B7"/>
    <w:rsid w:val="00202FA0"/>
    <w:rsid w:val="0020316F"/>
    <w:rsid w:val="0020575C"/>
    <w:rsid w:val="00205CFD"/>
    <w:rsid w:val="00206030"/>
    <w:rsid w:val="00206415"/>
    <w:rsid w:val="00206C74"/>
    <w:rsid w:val="00212857"/>
    <w:rsid w:val="00212F9E"/>
    <w:rsid w:val="002133B5"/>
    <w:rsid w:val="0021456B"/>
    <w:rsid w:val="00214636"/>
    <w:rsid w:val="00221945"/>
    <w:rsid w:val="00221AEB"/>
    <w:rsid w:val="00222C74"/>
    <w:rsid w:val="002243D7"/>
    <w:rsid w:val="00224C69"/>
    <w:rsid w:val="0022565B"/>
    <w:rsid w:val="0022640B"/>
    <w:rsid w:val="0022670A"/>
    <w:rsid w:val="002267D1"/>
    <w:rsid w:val="002274F6"/>
    <w:rsid w:val="00227753"/>
    <w:rsid w:val="00227BF9"/>
    <w:rsid w:val="0023087B"/>
    <w:rsid w:val="002314C8"/>
    <w:rsid w:val="0023247A"/>
    <w:rsid w:val="00233884"/>
    <w:rsid w:val="00234CC4"/>
    <w:rsid w:val="00240309"/>
    <w:rsid w:val="002405B1"/>
    <w:rsid w:val="00243A39"/>
    <w:rsid w:val="00243E4D"/>
    <w:rsid w:val="0024554C"/>
    <w:rsid w:val="0024573B"/>
    <w:rsid w:val="00247A18"/>
    <w:rsid w:val="00250778"/>
    <w:rsid w:val="00250FF8"/>
    <w:rsid w:val="00252594"/>
    <w:rsid w:val="0025260E"/>
    <w:rsid w:val="00253127"/>
    <w:rsid w:val="00255393"/>
    <w:rsid w:val="00256407"/>
    <w:rsid w:val="00256513"/>
    <w:rsid w:val="00257083"/>
    <w:rsid w:val="00257471"/>
    <w:rsid w:val="00257F79"/>
    <w:rsid w:val="00260018"/>
    <w:rsid w:val="002607A3"/>
    <w:rsid w:val="002607AE"/>
    <w:rsid w:val="0026134A"/>
    <w:rsid w:val="00261AD9"/>
    <w:rsid w:val="002657F3"/>
    <w:rsid w:val="002658CD"/>
    <w:rsid w:val="002662AE"/>
    <w:rsid w:val="0026632D"/>
    <w:rsid w:val="002710B2"/>
    <w:rsid w:val="00271282"/>
    <w:rsid w:val="00273F09"/>
    <w:rsid w:val="00274111"/>
    <w:rsid w:val="00274E6A"/>
    <w:rsid w:val="002758BC"/>
    <w:rsid w:val="0027628C"/>
    <w:rsid w:val="00276E05"/>
    <w:rsid w:val="00277F29"/>
    <w:rsid w:val="0028082B"/>
    <w:rsid w:val="00282DDB"/>
    <w:rsid w:val="00283151"/>
    <w:rsid w:val="002831EA"/>
    <w:rsid w:val="00284D52"/>
    <w:rsid w:val="00286F28"/>
    <w:rsid w:val="00290001"/>
    <w:rsid w:val="0029046D"/>
    <w:rsid w:val="002912DF"/>
    <w:rsid w:val="002913C7"/>
    <w:rsid w:val="002916CF"/>
    <w:rsid w:val="00291B52"/>
    <w:rsid w:val="00291D6D"/>
    <w:rsid w:val="0029275B"/>
    <w:rsid w:val="00293BA7"/>
    <w:rsid w:val="00293DD8"/>
    <w:rsid w:val="00294316"/>
    <w:rsid w:val="00295051"/>
    <w:rsid w:val="0029575B"/>
    <w:rsid w:val="00295C1B"/>
    <w:rsid w:val="002A03A8"/>
    <w:rsid w:val="002A0D62"/>
    <w:rsid w:val="002A1B56"/>
    <w:rsid w:val="002A3848"/>
    <w:rsid w:val="002A7F64"/>
    <w:rsid w:val="002B13C0"/>
    <w:rsid w:val="002B15D1"/>
    <w:rsid w:val="002B1832"/>
    <w:rsid w:val="002B2081"/>
    <w:rsid w:val="002B2E6A"/>
    <w:rsid w:val="002B2FF5"/>
    <w:rsid w:val="002B3EFA"/>
    <w:rsid w:val="002B4EE2"/>
    <w:rsid w:val="002B4FDC"/>
    <w:rsid w:val="002B61B7"/>
    <w:rsid w:val="002B656C"/>
    <w:rsid w:val="002B6CC1"/>
    <w:rsid w:val="002B709C"/>
    <w:rsid w:val="002B7A8F"/>
    <w:rsid w:val="002B7A91"/>
    <w:rsid w:val="002C001C"/>
    <w:rsid w:val="002C071C"/>
    <w:rsid w:val="002C1302"/>
    <w:rsid w:val="002C138C"/>
    <w:rsid w:val="002C1E4A"/>
    <w:rsid w:val="002C2074"/>
    <w:rsid w:val="002C2F0F"/>
    <w:rsid w:val="002C5534"/>
    <w:rsid w:val="002C571F"/>
    <w:rsid w:val="002D07B0"/>
    <w:rsid w:val="002D131A"/>
    <w:rsid w:val="002D213F"/>
    <w:rsid w:val="002D29EC"/>
    <w:rsid w:val="002D2D1E"/>
    <w:rsid w:val="002D432D"/>
    <w:rsid w:val="002D4698"/>
    <w:rsid w:val="002D6927"/>
    <w:rsid w:val="002D710F"/>
    <w:rsid w:val="002D744E"/>
    <w:rsid w:val="002E01F2"/>
    <w:rsid w:val="002E0851"/>
    <w:rsid w:val="002E0D44"/>
    <w:rsid w:val="002E11BA"/>
    <w:rsid w:val="002E20BA"/>
    <w:rsid w:val="002E3401"/>
    <w:rsid w:val="002E3D37"/>
    <w:rsid w:val="002E4BBB"/>
    <w:rsid w:val="002E5733"/>
    <w:rsid w:val="002F0668"/>
    <w:rsid w:val="002F068A"/>
    <w:rsid w:val="002F4B5F"/>
    <w:rsid w:val="002F5AEF"/>
    <w:rsid w:val="002F60E7"/>
    <w:rsid w:val="002F77F7"/>
    <w:rsid w:val="003000E0"/>
    <w:rsid w:val="00300201"/>
    <w:rsid w:val="00300CF5"/>
    <w:rsid w:val="0030215F"/>
    <w:rsid w:val="0030250C"/>
    <w:rsid w:val="00302E49"/>
    <w:rsid w:val="0030374A"/>
    <w:rsid w:val="00303AD4"/>
    <w:rsid w:val="00303C45"/>
    <w:rsid w:val="003053A0"/>
    <w:rsid w:val="003063C7"/>
    <w:rsid w:val="0030743B"/>
    <w:rsid w:val="00307B1C"/>
    <w:rsid w:val="00307F7B"/>
    <w:rsid w:val="00311418"/>
    <w:rsid w:val="0031286F"/>
    <w:rsid w:val="00313A4F"/>
    <w:rsid w:val="00314F07"/>
    <w:rsid w:val="0031500C"/>
    <w:rsid w:val="00315611"/>
    <w:rsid w:val="0032116D"/>
    <w:rsid w:val="0032186F"/>
    <w:rsid w:val="00324374"/>
    <w:rsid w:val="00332B56"/>
    <w:rsid w:val="0033323A"/>
    <w:rsid w:val="003335D2"/>
    <w:rsid w:val="00334628"/>
    <w:rsid w:val="00334E6F"/>
    <w:rsid w:val="003369FC"/>
    <w:rsid w:val="00336E1D"/>
    <w:rsid w:val="00337E3F"/>
    <w:rsid w:val="0034044E"/>
    <w:rsid w:val="00341BC1"/>
    <w:rsid w:val="00342489"/>
    <w:rsid w:val="00342F3F"/>
    <w:rsid w:val="0034397C"/>
    <w:rsid w:val="003460B4"/>
    <w:rsid w:val="00346849"/>
    <w:rsid w:val="003470C5"/>
    <w:rsid w:val="00347469"/>
    <w:rsid w:val="0035232C"/>
    <w:rsid w:val="003524A2"/>
    <w:rsid w:val="00352C29"/>
    <w:rsid w:val="00353EC0"/>
    <w:rsid w:val="00353F47"/>
    <w:rsid w:val="00356B0C"/>
    <w:rsid w:val="00357359"/>
    <w:rsid w:val="003573FE"/>
    <w:rsid w:val="00360BBC"/>
    <w:rsid w:val="00361DA2"/>
    <w:rsid w:val="00362F1C"/>
    <w:rsid w:val="003655D0"/>
    <w:rsid w:val="00365ACC"/>
    <w:rsid w:val="003672BB"/>
    <w:rsid w:val="00367335"/>
    <w:rsid w:val="0037058C"/>
    <w:rsid w:val="00371F24"/>
    <w:rsid w:val="00372285"/>
    <w:rsid w:val="0037327A"/>
    <w:rsid w:val="00374B38"/>
    <w:rsid w:val="00375471"/>
    <w:rsid w:val="00376CC6"/>
    <w:rsid w:val="0038161E"/>
    <w:rsid w:val="003823DA"/>
    <w:rsid w:val="00382D5A"/>
    <w:rsid w:val="00382ED1"/>
    <w:rsid w:val="00384215"/>
    <w:rsid w:val="0038436F"/>
    <w:rsid w:val="0038486C"/>
    <w:rsid w:val="00384C17"/>
    <w:rsid w:val="00384CF4"/>
    <w:rsid w:val="00385089"/>
    <w:rsid w:val="0038795E"/>
    <w:rsid w:val="00387CBF"/>
    <w:rsid w:val="00390FE5"/>
    <w:rsid w:val="003920E3"/>
    <w:rsid w:val="003949CA"/>
    <w:rsid w:val="00394F1E"/>
    <w:rsid w:val="0039568B"/>
    <w:rsid w:val="003A1A1F"/>
    <w:rsid w:val="003A228C"/>
    <w:rsid w:val="003A28D1"/>
    <w:rsid w:val="003A2A2E"/>
    <w:rsid w:val="003A30CA"/>
    <w:rsid w:val="003A3368"/>
    <w:rsid w:val="003A3A9B"/>
    <w:rsid w:val="003A452F"/>
    <w:rsid w:val="003A5CBA"/>
    <w:rsid w:val="003B21AF"/>
    <w:rsid w:val="003B433B"/>
    <w:rsid w:val="003B5870"/>
    <w:rsid w:val="003B5E86"/>
    <w:rsid w:val="003B6F9B"/>
    <w:rsid w:val="003C1F61"/>
    <w:rsid w:val="003C3531"/>
    <w:rsid w:val="003C3555"/>
    <w:rsid w:val="003C4461"/>
    <w:rsid w:val="003C53AE"/>
    <w:rsid w:val="003C5E20"/>
    <w:rsid w:val="003C6182"/>
    <w:rsid w:val="003C6BE8"/>
    <w:rsid w:val="003C6CAE"/>
    <w:rsid w:val="003C7D8C"/>
    <w:rsid w:val="003D0E6C"/>
    <w:rsid w:val="003D2CC0"/>
    <w:rsid w:val="003D3942"/>
    <w:rsid w:val="003D3963"/>
    <w:rsid w:val="003D441E"/>
    <w:rsid w:val="003D4A06"/>
    <w:rsid w:val="003D5193"/>
    <w:rsid w:val="003D5CED"/>
    <w:rsid w:val="003D6072"/>
    <w:rsid w:val="003D725F"/>
    <w:rsid w:val="003D7FF9"/>
    <w:rsid w:val="003E0A24"/>
    <w:rsid w:val="003E0DF7"/>
    <w:rsid w:val="003E2891"/>
    <w:rsid w:val="003E2DA5"/>
    <w:rsid w:val="003E5A4C"/>
    <w:rsid w:val="003E6234"/>
    <w:rsid w:val="003E670F"/>
    <w:rsid w:val="003E6D6D"/>
    <w:rsid w:val="003E6F76"/>
    <w:rsid w:val="003E798A"/>
    <w:rsid w:val="003F0058"/>
    <w:rsid w:val="003F04CD"/>
    <w:rsid w:val="003F2283"/>
    <w:rsid w:val="003F33A2"/>
    <w:rsid w:val="003F33AF"/>
    <w:rsid w:val="003F38BA"/>
    <w:rsid w:val="003F3A9A"/>
    <w:rsid w:val="003F422B"/>
    <w:rsid w:val="003F688A"/>
    <w:rsid w:val="003F6F4A"/>
    <w:rsid w:val="003F72C3"/>
    <w:rsid w:val="003F754D"/>
    <w:rsid w:val="003F7D48"/>
    <w:rsid w:val="00400469"/>
    <w:rsid w:val="00400E9A"/>
    <w:rsid w:val="00404068"/>
    <w:rsid w:val="004042B1"/>
    <w:rsid w:val="004043A7"/>
    <w:rsid w:val="00405F4A"/>
    <w:rsid w:val="00406FA0"/>
    <w:rsid w:val="0040709B"/>
    <w:rsid w:val="004070BC"/>
    <w:rsid w:val="00407527"/>
    <w:rsid w:val="00407A67"/>
    <w:rsid w:val="00407AE8"/>
    <w:rsid w:val="00407FDD"/>
    <w:rsid w:val="00410C4A"/>
    <w:rsid w:val="00411D37"/>
    <w:rsid w:val="00411E56"/>
    <w:rsid w:val="00411E66"/>
    <w:rsid w:val="0041227C"/>
    <w:rsid w:val="004126E7"/>
    <w:rsid w:val="00412710"/>
    <w:rsid w:val="004135D2"/>
    <w:rsid w:val="00414581"/>
    <w:rsid w:val="004154D3"/>
    <w:rsid w:val="004164C5"/>
    <w:rsid w:val="00417FE8"/>
    <w:rsid w:val="00421A23"/>
    <w:rsid w:val="004225D8"/>
    <w:rsid w:val="00422C8F"/>
    <w:rsid w:val="00422CD5"/>
    <w:rsid w:val="00424850"/>
    <w:rsid w:val="00424BB6"/>
    <w:rsid w:val="00425243"/>
    <w:rsid w:val="00425A35"/>
    <w:rsid w:val="00427617"/>
    <w:rsid w:val="00430A64"/>
    <w:rsid w:val="004311D8"/>
    <w:rsid w:val="00431448"/>
    <w:rsid w:val="004334D8"/>
    <w:rsid w:val="00433FC8"/>
    <w:rsid w:val="00434002"/>
    <w:rsid w:val="00436FAB"/>
    <w:rsid w:val="0043753C"/>
    <w:rsid w:val="00440B6E"/>
    <w:rsid w:val="00440C04"/>
    <w:rsid w:val="00443F27"/>
    <w:rsid w:val="00444A87"/>
    <w:rsid w:val="00445C3D"/>
    <w:rsid w:val="00447157"/>
    <w:rsid w:val="00450781"/>
    <w:rsid w:val="00453D7E"/>
    <w:rsid w:val="00453EA6"/>
    <w:rsid w:val="004548EC"/>
    <w:rsid w:val="00456694"/>
    <w:rsid w:val="004574C8"/>
    <w:rsid w:val="004600D1"/>
    <w:rsid w:val="00460A94"/>
    <w:rsid w:val="00460A9E"/>
    <w:rsid w:val="00462C8B"/>
    <w:rsid w:val="00470D6C"/>
    <w:rsid w:val="0047147A"/>
    <w:rsid w:val="0047167F"/>
    <w:rsid w:val="0047370F"/>
    <w:rsid w:val="00473B4F"/>
    <w:rsid w:val="00474121"/>
    <w:rsid w:val="004758CA"/>
    <w:rsid w:val="00477F79"/>
    <w:rsid w:val="00481488"/>
    <w:rsid w:val="00481BEE"/>
    <w:rsid w:val="00483719"/>
    <w:rsid w:val="004843F7"/>
    <w:rsid w:val="00484ED6"/>
    <w:rsid w:val="004850B3"/>
    <w:rsid w:val="0048516B"/>
    <w:rsid w:val="0048537F"/>
    <w:rsid w:val="00486102"/>
    <w:rsid w:val="00486F5F"/>
    <w:rsid w:val="0048744E"/>
    <w:rsid w:val="00490642"/>
    <w:rsid w:val="00490F0C"/>
    <w:rsid w:val="0049154D"/>
    <w:rsid w:val="0049219F"/>
    <w:rsid w:val="0049479F"/>
    <w:rsid w:val="004966F0"/>
    <w:rsid w:val="00496B16"/>
    <w:rsid w:val="004A06E8"/>
    <w:rsid w:val="004A1F16"/>
    <w:rsid w:val="004A232D"/>
    <w:rsid w:val="004A2A32"/>
    <w:rsid w:val="004A2B7A"/>
    <w:rsid w:val="004A2F4A"/>
    <w:rsid w:val="004A3E8B"/>
    <w:rsid w:val="004A6133"/>
    <w:rsid w:val="004A6DB7"/>
    <w:rsid w:val="004A78BB"/>
    <w:rsid w:val="004A7D58"/>
    <w:rsid w:val="004B1726"/>
    <w:rsid w:val="004B2AAB"/>
    <w:rsid w:val="004B2E8B"/>
    <w:rsid w:val="004B36A6"/>
    <w:rsid w:val="004B3855"/>
    <w:rsid w:val="004B3919"/>
    <w:rsid w:val="004B3B0E"/>
    <w:rsid w:val="004B3D6F"/>
    <w:rsid w:val="004B4D83"/>
    <w:rsid w:val="004B5693"/>
    <w:rsid w:val="004B747E"/>
    <w:rsid w:val="004B7749"/>
    <w:rsid w:val="004C1575"/>
    <w:rsid w:val="004C231B"/>
    <w:rsid w:val="004C3F60"/>
    <w:rsid w:val="004C4FF2"/>
    <w:rsid w:val="004C538D"/>
    <w:rsid w:val="004D2D30"/>
    <w:rsid w:val="004D3974"/>
    <w:rsid w:val="004D3E6C"/>
    <w:rsid w:val="004D430E"/>
    <w:rsid w:val="004D4B6B"/>
    <w:rsid w:val="004D553E"/>
    <w:rsid w:val="004D59B0"/>
    <w:rsid w:val="004D63F0"/>
    <w:rsid w:val="004D6570"/>
    <w:rsid w:val="004D7700"/>
    <w:rsid w:val="004D7F75"/>
    <w:rsid w:val="004E1621"/>
    <w:rsid w:val="004E16DA"/>
    <w:rsid w:val="004E2045"/>
    <w:rsid w:val="004E246F"/>
    <w:rsid w:val="004E6108"/>
    <w:rsid w:val="004F0507"/>
    <w:rsid w:val="004F1640"/>
    <w:rsid w:val="004F19D9"/>
    <w:rsid w:val="004F1FCC"/>
    <w:rsid w:val="004F2A6F"/>
    <w:rsid w:val="004F3B80"/>
    <w:rsid w:val="004F4AE7"/>
    <w:rsid w:val="004F65EE"/>
    <w:rsid w:val="004F70A7"/>
    <w:rsid w:val="0050050B"/>
    <w:rsid w:val="005023A8"/>
    <w:rsid w:val="00503B49"/>
    <w:rsid w:val="00505472"/>
    <w:rsid w:val="00507C4C"/>
    <w:rsid w:val="005103EE"/>
    <w:rsid w:val="00511072"/>
    <w:rsid w:val="00511DCC"/>
    <w:rsid w:val="00511EB4"/>
    <w:rsid w:val="0051261B"/>
    <w:rsid w:val="0051272D"/>
    <w:rsid w:val="005136D4"/>
    <w:rsid w:val="00515C3A"/>
    <w:rsid w:val="005171C4"/>
    <w:rsid w:val="005171C7"/>
    <w:rsid w:val="00517F9B"/>
    <w:rsid w:val="00521102"/>
    <w:rsid w:val="00521911"/>
    <w:rsid w:val="00521F48"/>
    <w:rsid w:val="005227A5"/>
    <w:rsid w:val="00522B99"/>
    <w:rsid w:val="00523444"/>
    <w:rsid w:val="00523473"/>
    <w:rsid w:val="00523F52"/>
    <w:rsid w:val="005251ED"/>
    <w:rsid w:val="00525817"/>
    <w:rsid w:val="005262A7"/>
    <w:rsid w:val="00526868"/>
    <w:rsid w:val="00530E8C"/>
    <w:rsid w:val="005312BE"/>
    <w:rsid w:val="00531E6E"/>
    <w:rsid w:val="005336B3"/>
    <w:rsid w:val="00534382"/>
    <w:rsid w:val="005344BB"/>
    <w:rsid w:val="00535AC6"/>
    <w:rsid w:val="00535B20"/>
    <w:rsid w:val="005370DB"/>
    <w:rsid w:val="00540440"/>
    <w:rsid w:val="00541F45"/>
    <w:rsid w:val="00541F48"/>
    <w:rsid w:val="00542403"/>
    <w:rsid w:val="00542798"/>
    <w:rsid w:val="00542993"/>
    <w:rsid w:val="00542E43"/>
    <w:rsid w:val="0054423A"/>
    <w:rsid w:val="00544705"/>
    <w:rsid w:val="00546579"/>
    <w:rsid w:val="005475F0"/>
    <w:rsid w:val="00550039"/>
    <w:rsid w:val="005514F9"/>
    <w:rsid w:val="00551EB0"/>
    <w:rsid w:val="005521D8"/>
    <w:rsid w:val="00552F79"/>
    <w:rsid w:val="00553621"/>
    <w:rsid w:val="00553C9F"/>
    <w:rsid w:val="00553FC7"/>
    <w:rsid w:val="005548ED"/>
    <w:rsid w:val="005549DF"/>
    <w:rsid w:val="00555247"/>
    <w:rsid w:val="00555965"/>
    <w:rsid w:val="00561AB6"/>
    <w:rsid w:val="00562C6A"/>
    <w:rsid w:val="00563CEC"/>
    <w:rsid w:val="00566F55"/>
    <w:rsid w:val="00567702"/>
    <w:rsid w:val="00570EEB"/>
    <w:rsid w:val="005715CB"/>
    <w:rsid w:val="0057221C"/>
    <w:rsid w:val="00573D39"/>
    <w:rsid w:val="00573EB5"/>
    <w:rsid w:val="00574253"/>
    <w:rsid w:val="005748AC"/>
    <w:rsid w:val="00575E19"/>
    <w:rsid w:val="005767D3"/>
    <w:rsid w:val="00576F2F"/>
    <w:rsid w:val="00577CD7"/>
    <w:rsid w:val="00580D64"/>
    <w:rsid w:val="005813B4"/>
    <w:rsid w:val="00581479"/>
    <w:rsid w:val="005834EE"/>
    <w:rsid w:val="00583817"/>
    <w:rsid w:val="00583D29"/>
    <w:rsid w:val="00584B94"/>
    <w:rsid w:val="00585501"/>
    <w:rsid w:val="0059036C"/>
    <w:rsid w:val="005934D5"/>
    <w:rsid w:val="00594373"/>
    <w:rsid w:val="0059514A"/>
    <w:rsid w:val="005966D9"/>
    <w:rsid w:val="005A0389"/>
    <w:rsid w:val="005A0ABC"/>
    <w:rsid w:val="005A24B2"/>
    <w:rsid w:val="005A4157"/>
    <w:rsid w:val="005A41C9"/>
    <w:rsid w:val="005A42B5"/>
    <w:rsid w:val="005A43A1"/>
    <w:rsid w:val="005A593D"/>
    <w:rsid w:val="005A60C0"/>
    <w:rsid w:val="005A60E3"/>
    <w:rsid w:val="005A66F9"/>
    <w:rsid w:val="005A674E"/>
    <w:rsid w:val="005A74AE"/>
    <w:rsid w:val="005A7D60"/>
    <w:rsid w:val="005B09DD"/>
    <w:rsid w:val="005B1236"/>
    <w:rsid w:val="005B1C2D"/>
    <w:rsid w:val="005B250E"/>
    <w:rsid w:val="005B3B22"/>
    <w:rsid w:val="005B5307"/>
    <w:rsid w:val="005C13A1"/>
    <w:rsid w:val="005C13DA"/>
    <w:rsid w:val="005C1432"/>
    <w:rsid w:val="005C1DBD"/>
    <w:rsid w:val="005C3569"/>
    <w:rsid w:val="005C43F4"/>
    <w:rsid w:val="005C5E30"/>
    <w:rsid w:val="005C6755"/>
    <w:rsid w:val="005C724B"/>
    <w:rsid w:val="005C7DC2"/>
    <w:rsid w:val="005D119C"/>
    <w:rsid w:val="005D2114"/>
    <w:rsid w:val="005D33F2"/>
    <w:rsid w:val="005D4CF6"/>
    <w:rsid w:val="005D67CD"/>
    <w:rsid w:val="005D76CB"/>
    <w:rsid w:val="005E08C5"/>
    <w:rsid w:val="005E14D9"/>
    <w:rsid w:val="005E24BE"/>
    <w:rsid w:val="005E2631"/>
    <w:rsid w:val="005E3B93"/>
    <w:rsid w:val="005E4E70"/>
    <w:rsid w:val="005E647B"/>
    <w:rsid w:val="005E66D4"/>
    <w:rsid w:val="005F0E11"/>
    <w:rsid w:val="005F192F"/>
    <w:rsid w:val="005F3187"/>
    <w:rsid w:val="005F3ACB"/>
    <w:rsid w:val="005F4186"/>
    <w:rsid w:val="005F4626"/>
    <w:rsid w:val="005F5200"/>
    <w:rsid w:val="005F5A40"/>
    <w:rsid w:val="005F5AB5"/>
    <w:rsid w:val="00600548"/>
    <w:rsid w:val="006019F9"/>
    <w:rsid w:val="00602EE5"/>
    <w:rsid w:val="00603205"/>
    <w:rsid w:val="00603EF7"/>
    <w:rsid w:val="00604309"/>
    <w:rsid w:val="006044E0"/>
    <w:rsid w:val="00604AE7"/>
    <w:rsid w:val="00605B1E"/>
    <w:rsid w:val="006068E8"/>
    <w:rsid w:val="00607E35"/>
    <w:rsid w:val="00613073"/>
    <w:rsid w:val="0061324A"/>
    <w:rsid w:val="006153B9"/>
    <w:rsid w:val="00616127"/>
    <w:rsid w:val="0061710B"/>
    <w:rsid w:val="006174D3"/>
    <w:rsid w:val="006203DA"/>
    <w:rsid w:val="00620F18"/>
    <w:rsid w:val="00621C46"/>
    <w:rsid w:val="00623601"/>
    <w:rsid w:val="00624D3B"/>
    <w:rsid w:val="00624EAB"/>
    <w:rsid w:val="00625863"/>
    <w:rsid w:val="0062650B"/>
    <w:rsid w:val="0062716E"/>
    <w:rsid w:val="006277D4"/>
    <w:rsid w:val="006300C1"/>
    <w:rsid w:val="006301A3"/>
    <w:rsid w:val="006301CF"/>
    <w:rsid w:val="006314B1"/>
    <w:rsid w:val="0063273A"/>
    <w:rsid w:val="0063318D"/>
    <w:rsid w:val="00633308"/>
    <w:rsid w:val="00634DD1"/>
    <w:rsid w:val="0063624E"/>
    <w:rsid w:val="0063642C"/>
    <w:rsid w:val="00636EC4"/>
    <w:rsid w:val="00637ADD"/>
    <w:rsid w:val="00637EA0"/>
    <w:rsid w:val="00640392"/>
    <w:rsid w:val="00641F5A"/>
    <w:rsid w:val="006420C0"/>
    <w:rsid w:val="006426E6"/>
    <w:rsid w:val="00642753"/>
    <w:rsid w:val="00644893"/>
    <w:rsid w:val="00646103"/>
    <w:rsid w:val="0064784D"/>
    <w:rsid w:val="006478C7"/>
    <w:rsid w:val="006510AA"/>
    <w:rsid w:val="0065526B"/>
    <w:rsid w:val="00655697"/>
    <w:rsid w:val="00656BB0"/>
    <w:rsid w:val="00660963"/>
    <w:rsid w:val="00660BD6"/>
    <w:rsid w:val="006614F7"/>
    <w:rsid w:val="00661B0F"/>
    <w:rsid w:val="00662CED"/>
    <w:rsid w:val="00663211"/>
    <w:rsid w:val="006662D3"/>
    <w:rsid w:val="00666647"/>
    <w:rsid w:val="00667391"/>
    <w:rsid w:val="0067016A"/>
    <w:rsid w:val="00672555"/>
    <w:rsid w:val="00672B86"/>
    <w:rsid w:val="00673809"/>
    <w:rsid w:val="00674970"/>
    <w:rsid w:val="00674E99"/>
    <w:rsid w:val="00675F04"/>
    <w:rsid w:val="00675F10"/>
    <w:rsid w:val="00676472"/>
    <w:rsid w:val="00677AE6"/>
    <w:rsid w:val="0068061A"/>
    <w:rsid w:val="00680630"/>
    <w:rsid w:val="00680FA6"/>
    <w:rsid w:val="00685525"/>
    <w:rsid w:val="00685DFA"/>
    <w:rsid w:val="00687720"/>
    <w:rsid w:val="00687D96"/>
    <w:rsid w:val="00690A4A"/>
    <w:rsid w:val="00691A2B"/>
    <w:rsid w:val="00693AA8"/>
    <w:rsid w:val="00693F46"/>
    <w:rsid w:val="0069428B"/>
    <w:rsid w:val="0069576B"/>
    <w:rsid w:val="006958F2"/>
    <w:rsid w:val="006961F8"/>
    <w:rsid w:val="006965AD"/>
    <w:rsid w:val="00696842"/>
    <w:rsid w:val="00697258"/>
    <w:rsid w:val="006A110E"/>
    <w:rsid w:val="006A4867"/>
    <w:rsid w:val="006A5AA4"/>
    <w:rsid w:val="006B1B45"/>
    <w:rsid w:val="006B37B4"/>
    <w:rsid w:val="006B50CC"/>
    <w:rsid w:val="006B527B"/>
    <w:rsid w:val="006B60E8"/>
    <w:rsid w:val="006B72FC"/>
    <w:rsid w:val="006C14C6"/>
    <w:rsid w:val="006C1C84"/>
    <w:rsid w:val="006C3559"/>
    <w:rsid w:val="006C543C"/>
    <w:rsid w:val="006D06A7"/>
    <w:rsid w:val="006D12C5"/>
    <w:rsid w:val="006D228D"/>
    <w:rsid w:val="006D3F71"/>
    <w:rsid w:val="006D46F8"/>
    <w:rsid w:val="006D5A0D"/>
    <w:rsid w:val="006E12F9"/>
    <w:rsid w:val="006E249E"/>
    <w:rsid w:val="006E2B4A"/>
    <w:rsid w:val="006E2CBB"/>
    <w:rsid w:val="006E2FC7"/>
    <w:rsid w:val="006E320B"/>
    <w:rsid w:val="006E3239"/>
    <w:rsid w:val="006E51D5"/>
    <w:rsid w:val="006E5A0F"/>
    <w:rsid w:val="006F073A"/>
    <w:rsid w:val="006F0B56"/>
    <w:rsid w:val="006F2D70"/>
    <w:rsid w:val="006F3BAC"/>
    <w:rsid w:val="006F4DAA"/>
    <w:rsid w:val="006F5530"/>
    <w:rsid w:val="006F55F7"/>
    <w:rsid w:val="006F6E3A"/>
    <w:rsid w:val="006F7B5F"/>
    <w:rsid w:val="00700418"/>
    <w:rsid w:val="00700A5B"/>
    <w:rsid w:val="007034F3"/>
    <w:rsid w:val="00703A16"/>
    <w:rsid w:val="00705179"/>
    <w:rsid w:val="00705522"/>
    <w:rsid w:val="00706430"/>
    <w:rsid w:val="00706D1B"/>
    <w:rsid w:val="00711944"/>
    <w:rsid w:val="00711A72"/>
    <w:rsid w:val="0071423E"/>
    <w:rsid w:val="00714B87"/>
    <w:rsid w:val="00715464"/>
    <w:rsid w:val="00715674"/>
    <w:rsid w:val="007158A7"/>
    <w:rsid w:val="00715BD8"/>
    <w:rsid w:val="00717742"/>
    <w:rsid w:val="00721DEA"/>
    <w:rsid w:val="00721E14"/>
    <w:rsid w:val="00722ED1"/>
    <w:rsid w:val="00723011"/>
    <w:rsid w:val="007233D0"/>
    <w:rsid w:val="00723A7F"/>
    <w:rsid w:val="00724129"/>
    <w:rsid w:val="0072642E"/>
    <w:rsid w:val="00730585"/>
    <w:rsid w:val="00732456"/>
    <w:rsid w:val="007324A9"/>
    <w:rsid w:val="00732A78"/>
    <w:rsid w:val="00733FC5"/>
    <w:rsid w:val="00734B7B"/>
    <w:rsid w:val="00734D17"/>
    <w:rsid w:val="00734F70"/>
    <w:rsid w:val="007372DE"/>
    <w:rsid w:val="007415B5"/>
    <w:rsid w:val="00743B16"/>
    <w:rsid w:val="00745013"/>
    <w:rsid w:val="00746BE3"/>
    <w:rsid w:val="00750B23"/>
    <w:rsid w:val="00750CDA"/>
    <w:rsid w:val="0075125E"/>
    <w:rsid w:val="0075213E"/>
    <w:rsid w:val="0075483C"/>
    <w:rsid w:val="00755C68"/>
    <w:rsid w:val="00755CB3"/>
    <w:rsid w:val="007568C2"/>
    <w:rsid w:val="00757C30"/>
    <w:rsid w:val="007607C7"/>
    <w:rsid w:val="00760A22"/>
    <w:rsid w:val="007610E2"/>
    <w:rsid w:val="00761A5B"/>
    <w:rsid w:val="007621BE"/>
    <w:rsid w:val="00763164"/>
    <w:rsid w:val="00763ACB"/>
    <w:rsid w:val="00764916"/>
    <w:rsid w:val="00764DBD"/>
    <w:rsid w:val="00767A38"/>
    <w:rsid w:val="00767A3B"/>
    <w:rsid w:val="007717C1"/>
    <w:rsid w:val="00773746"/>
    <w:rsid w:val="00773901"/>
    <w:rsid w:val="00773F86"/>
    <w:rsid w:val="00774B4E"/>
    <w:rsid w:val="0077552B"/>
    <w:rsid w:val="007757B4"/>
    <w:rsid w:val="00776487"/>
    <w:rsid w:val="007766E7"/>
    <w:rsid w:val="00780188"/>
    <w:rsid w:val="007820EB"/>
    <w:rsid w:val="007827B1"/>
    <w:rsid w:val="00783F91"/>
    <w:rsid w:val="00784289"/>
    <w:rsid w:val="0078470A"/>
    <w:rsid w:val="00785B97"/>
    <w:rsid w:val="00786164"/>
    <w:rsid w:val="007876FC"/>
    <w:rsid w:val="00790080"/>
    <w:rsid w:val="0079286C"/>
    <w:rsid w:val="00792D8F"/>
    <w:rsid w:val="00793E84"/>
    <w:rsid w:val="00793FEF"/>
    <w:rsid w:val="00794E6E"/>
    <w:rsid w:val="00795BF9"/>
    <w:rsid w:val="00796C59"/>
    <w:rsid w:val="00797801"/>
    <w:rsid w:val="007A0BF4"/>
    <w:rsid w:val="007A2FAC"/>
    <w:rsid w:val="007A3935"/>
    <w:rsid w:val="007A40D4"/>
    <w:rsid w:val="007A4BDD"/>
    <w:rsid w:val="007A549D"/>
    <w:rsid w:val="007A62E3"/>
    <w:rsid w:val="007A6C05"/>
    <w:rsid w:val="007A6E46"/>
    <w:rsid w:val="007B3542"/>
    <w:rsid w:val="007B3AC6"/>
    <w:rsid w:val="007B5309"/>
    <w:rsid w:val="007B5533"/>
    <w:rsid w:val="007B67C6"/>
    <w:rsid w:val="007B7427"/>
    <w:rsid w:val="007B7C4B"/>
    <w:rsid w:val="007C08B0"/>
    <w:rsid w:val="007C1F82"/>
    <w:rsid w:val="007C287D"/>
    <w:rsid w:val="007C3A7D"/>
    <w:rsid w:val="007C3F5E"/>
    <w:rsid w:val="007C6C30"/>
    <w:rsid w:val="007C7BE9"/>
    <w:rsid w:val="007D008F"/>
    <w:rsid w:val="007D0236"/>
    <w:rsid w:val="007D21EB"/>
    <w:rsid w:val="007D2E2E"/>
    <w:rsid w:val="007D4DE7"/>
    <w:rsid w:val="007D7A92"/>
    <w:rsid w:val="007E035B"/>
    <w:rsid w:val="007E385D"/>
    <w:rsid w:val="007E3E8F"/>
    <w:rsid w:val="007E4C8C"/>
    <w:rsid w:val="007E5783"/>
    <w:rsid w:val="007E6999"/>
    <w:rsid w:val="007E73AD"/>
    <w:rsid w:val="007F078B"/>
    <w:rsid w:val="007F2F96"/>
    <w:rsid w:val="007F376E"/>
    <w:rsid w:val="007F44AB"/>
    <w:rsid w:val="007F547F"/>
    <w:rsid w:val="007F55BA"/>
    <w:rsid w:val="007F5744"/>
    <w:rsid w:val="007F581D"/>
    <w:rsid w:val="007F6579"/>
    <w:rsid w:val="007F66E9"/>
    <w:rsid w:val="007F6D6D"/>
    <w:rsid w:val="007F7F0A"/>
    <w:rsid w:val="008008A6"/>
    <w:rsid w:val="0080284F"/>
    <w:rsid w:val="00802B75"/>
    <w:rsid w:val="00802CDF"/>
    <w:rsid w:val="008058B6"/>
    <w:rsid w:val="008059A9"/>
    <w:rsid w:val="0080650D"/>
    <w:rsid w:val="008065D0"/>
    <w:rsid w:val="00806A9F"/>
    <w:rsid w:val="00810898"/>
    <w:rsid w:val="00811434"/>
    <w:rsid w:val="00812C39"/>
    <w:rsid w:val="00812DE8"/>
    <w:rsid w:val="0081312A"/>
    <w:rsid w:val="008146FC"/>
    <w:rsid w:val="00815206"/>
    <w:rsid w:val="008166A6"/>
    <w:rsid w:val="0081764C"/>
    <w:rsid w:val="0081769A"/>
    <w:rsid w:val="00822308"/>
    <w:rsid w:val="00822E25"/>
    <w:rsid w:val="0082330E"/>
    <w:rsid w:val="0082367C"/>
    <w:rsid w:val="00823D76"/>
    <w:rsid w:val="008247A4"/>
    <w:rsid w:val="00824E51"/>
    <w:rsid w:val="00825593"/>
    <w:rsid w:val="00825672"/>
    <w:rsid w:val="00826439"/>
    <w:rsid w:val="008272F4"/>
    <w:rsid w:val="0083086B"/>
    <w:rsid w:val="00830BE6"/>
    <w:rsid w:val="00831C4F"/>
    <w:rsid w:val="008325C4"/>
    <w:rsid w:val="00832CC9"/>
    <w:rsid w:val="00832E3E"/>
    <w:rsid w:val="00834810"/>
    <w:rsid w:val="00834D90"/>
    <w:rsid w:val="008357EC"/>
    <w:rsid w:val="00836099"/>
    <w:rsid w:val="00836433"/>
    <w:rsid w:val="00837188"/>
    <w:rsid w:val="00837204"/>
    <w:rsid w:val="008375B9"/>
    <w:rsid w:val="008420A7"/>
    <w:rsid w:val="0084327F"/>
    <w:rsid w:val="00843533"/>
    <w:rsid w:val="00844B1A"/>
    <w:rsid w:val="00844BD5"/>
    <w:rsid w:val="0084545E"/>
    <w:rsid w:val="00845517"/>
    <w:rsid w:val="00845CF3"/>
    <w:rsid w:val="00846640"/>
    <w:rsid w:val="00846CD0"/>
    <w:rsid w:val="008508F9"/>
    <w:rsid w:val="00851A65"/>
    <w:rsid w:val="00851A96"/>
    <w:rsid w:val="0085291F"/>
    <w:rsid w:val="00853AFE"/>
    <w:rsid w:val="00854878"/>
    <w:rsid w:val="00854B78"/>
    <w:rsid w:val="00855945"/>
    <w:rsid w:val="0085638C"/>
    <w:rsid w:val="00857D87"/>
    <w:rsid w:val="008605BB"/>
    <w:rsid w:val="00862185"/>
    <w:rsid w:val="008621FB"/>
    <w:rsid w:val="0086299B"/>
    <w:rsid w:val="0086456C"/>
    <w:rsid w:val="00864676"/>
    <w:rsid w:val="00865F69"/>
    <w:rsid w:val="00870185"/>
    <w:rsid w:val="008703AC"/>
    <w:rsid w:val="00870C9A"/>
    <w:rsid w:val="008730C1"/>
    <w:rsid w:val="00873AF5"/>
    <w:rsid w:val="00874545"/>
    <w:rsid w:val="008758A1"/>
    <w:rsid w:val="00877046"/>
    <w:rsid w:val="0088005F"/>
    <w:rsid w:val="00883239"/>
    <w:rsid w:val="0088436D"/>
    <w:rsid w:val="0088462A"/>
    <w:rsid w:val="0088476E"/>
    <w:rsid w:val="00884D8A"/>
    <w:rsid w:val="00885600"/>
    <w:rsid w:val="00887A09"/>
    <w:rsid w:val="00890281"/>
    <w:rsid w:val="0089055E"/>
    <w:rsid w:val="008923BA"/>
    <w:rsid w:val="00892593"/>
    <w:rsid w:val="008938D5"/>
    <w:rsid w:val="00893995"/>
    <w:rsid w:val="00893DD0"/>
    <w:rsid w:val="008954BC"/>
    <w:rsid w:val="008A0AFC"/>
    <w:rsid w:val="008A1137"/>
    <w:rsid w:val="008A2228"/>
    <w:rsid w:val="008A232D"/>
    <w:rsid w:val="008A25D6"/>
    <w:rsid w:val="008A3536"/>
    <w:rsid w:val="008A5B34"/>
    <w:rsid w:val="008A696C"/>
    <w:rsid w:val="008A749E"/>
    <w:rsid w:val="008A75A7"/>
    <w:rsid w:val="008B0960"/>
    <w:rsid w:val="008B1344"/>
    <w:rsid w:val="008B17F3"/>
    <w:rsid w:val="008B18C2"/>
    <w:rsid w:val="008B3C4B"/>
    <w:rsid w:val="008B3CE2"/>
    <w:rsid w:val="008B5280"/>
    <w:rsid w:val="008B55F1"/>
    <w:rsid w:val="008B6B27"/>
    <w:rsid w:val="008B7534"/>
    <w:rsid w:val="008B7FE3"/>
    <w:rsid w:val="008C07F3"/>
    <w:rsid w:val="008C2886"/>
    <w:rsid w:val="008C3161"/>
    <w:rsid w:val="008C3B4D"/>
    <w:rsid w:val="008C3F21"/>
    <w:rsid w:val="008C5133"/>
    <w:rsid w:val="008C60B9"/>
    <w:rsid w:val="008C7FB4"/>
    <w:rsid w:val="008D1F4D"/>
    <w:rsid w:val="008D2E5F"/>
    <w:rsid w:val="008D31CA"/>
    <w:rsid w:val="008D3832"/>
    <w:rsid w:val="008D5278"/>
    <w:rsid w:val="008D5D9D"/>
    <w:rsid w:val="008D69B0"/>
    <w:rsid w:val="008D7F20"/>
    <w:rsid w:val="008E1916"/>
    <w:rsid w:val="008E1CC4"/>
    <w:rsid w:val="008E21D0"/>
    <w:rsid w:val="008E2703"/>
    <w:rsid w:val="008E3F69"/>
    <w:rsid w:val="008E3F86"/>
    <w:rsid w:val="008E4957"/>
    <w:rsid w:val="008E5979"/>
    <w:rsid w:val="008E5ABD"/>
    <w:rsid w:val="008E6C6C"/>
    <w:rsid w:val="008E7160"/>
    <w:rsid w:val="008E71B5"/>
    <w:rsid w:val="008E7325"/>
    <w:rsid w:val="008E7F50"/>
    <w:rsid w:val="008F18E7"/>
    <w:rsid w:val="008F1EAC"/>
    <w:rsid w:val="008F33C8"/>
    <w:rsid w:val="008F3B8E"/>
    <w:rsid w:val="008F471B"/>
    <w:rsid w:val="008F4EA8"/>
    <w:rsid w:val="008F4FA7"/>
    <w:rsid w:val="009032CE"/>
    <w:rsid w:val="00904BCB"/>
    <w:rsid w:val="00905048"/>
    <w:rsid w:val="00905486"/>
    <w:rsid w:val="0090597D"/>
    <w:rsid w:val="00905DE4"/>
    <w:rsid w:val="00906713"/>
    <w:rsid w:val="00906A81"/>
    <w:rsid w:val="00907678"/>
    <w:rsid w:val="00907688"/>
    <w:rsid w:val="00910296"/>
    <w:rsid w:val="009106C1"/>
    <w:rsid w:val="009117F3"/>
    <w:rsid w:val="00912C8B"/>
    <w:rsid w:val="00913F38"/>
    <w:rsid w:val="00914702"/>
    <w:rsid w:val="0091538F"/>
    <w:rsid w:val="00916DF7"/>
    <w:rsid w:val="009173F8"/>
    <w:rsid w:val="009210E7"/>
    <w:rsid w:val="009231F7"/>
    <w:rsid w:val="0092330D"/>
    <w:rsid w:val="00924A14"/>
    <w:rsid w:val="00924BD9"/>
    <w:rsid w:val="0092564C"/>
    <w:rsid w:val="00926533"/>
    <w:rsid w:val="0092658F"/>
    <w:rsid w:val="00927BD7"/>
    <w:rsid w:val="00927CA7"/>
    <w:rsid w:val="00927FB8"/>
    <w:rsid w:val="00930786"/>
    <w:rsid w:val="00930BA1"/>
    <w:rsid w:val="00931A2F"/>
    <w:rsid w:val="0093258D"/>
    <w:rsid w:val="009329CB"/>
    <w:rsid w:val="009339AB"/>
    <w:rsid w:val="00935459"/>
    <w:rsid w:val="00936221"/>
    <w:rsid w:val="00936B6F"/>
    <w:rsid w:val="00937D7E"/>
    <w:rsid w:val="009405FF"/>
    <w:rsid w:val="009410B7"/>
    <w:rsid w:val="00941786"/>
    <w:rsid w:val="00944B4A"/>
    <w:rsid w:val="00945100"/>
    <w:rsid w:val="0094726F"/>
    <w:rsid w:val="009475B9"/>
    <w:rsid w:val="00951FDD"/>
    <w:rsid w:val="00952733"/>
    <w:rsid w:val="00952F33"/>
    <w:rsid w:val="00953233"/>
    <w:rsid w:val="009532EE"/>
    <w:rsid w:val="0095357D"/>
    <w:rsid w:val="00953CE8"/>
    <w:rsid w:val="00954ABC"/>
    <w:rsid w:val="0095516C"/>
    <w:rsid w:val="00957242"/>
    <w:rsid w:val="00960AF8"/>
    <w:rsid w:val="0096235A"/>
    <w:rsid w:val="00964A27"/>
    <w:rsid w:val="00964C76"/>
    <w:rsid w:val="009653F9"/>
    <w:rsid w:val="00965422"/>
    <w:rsid w:val="00965CEA"/>
    <w:rsid w:val="00966F04"/>
    <w:rsid w:val="00970746"/>
    <w:rsid w:val="00972A2D"/>
    <w:rsid w:val="009733E9"/>
    <w:rsid w:val="0097357A"/>
    <w:rsid w:val="00973C74"/>
    <w:rsid w:val="00975346"/>
    <w:rsid w:val="0097696E"/>
    <w:rsid w:val="0097785C"/>
    <w:rsid w:val="00980371"/>
    <w:rsid w:val="00980478"/>
    <w:rsid w:val="009806A2"/>
    <w:rsid w:val="00980C1D"/>
    <w:rsid w:val="00980F37"/>
    <w:rsid w:val="00980F4F"/>
    <w:rsid w:val="00982B7B"/>
    <w:rsid w:val="00983196"/>
    <w:rsid w:val="009846D9"/>
    <w:rsid w:val="00984ED2"/>
    <w:rsid w:val="00985626"/>
    <w:rsid w:val="00985C3A"/>
    <w:rsid w:val="0099018E"/>
    <w:rsid w:val="009904B1"/>
    <w:rsid w:val="00990847"/>
    <w:rsid w:val="00991D00"/>
    <w:rsid w:val="00992CD4"/>
    <w:rsid w:val="00992DBE"/>
    <w:rsid w:val="009935DC"/>
    <w:rsid w:val="0099378F"/>
    <w:rsid w:val="009937D3"/>
    <w:rsid w:val="009951C6"/>
    <w:rsid w:val="009956AD"/>
    <w:rsid w:val="00996607"/>
    <w:rsid w:val="00996D1A"/>
    <w:rsid w:val="0099716A"/>
    <w:rsid w:val="009A215F"/>
    <w:rsid w:val="009A2F94"/>
    <w:rsid w:val="009A41C1"/>
    <w:rsid w:val="009A4325"/>
    <w:rsid w:val="009A467D"/>
    <w:rsid w:val="009A617F"/>
    <w:rsid w:val="009B107F"/>
    <w:rsid w:val="009B1E82"/>
    <w:rsid w:val="009B5198"/>
    <w:rsid w:val="009B5218"/>
    <w:rsid w:val="009B6118"/>
    <w:rsid w:val="009B7FE7"/>
    <w:rsid w:val="009C0EB3"/>
    <w:rsid w:val="009C29EA"/>
    <w:rsid w:val="009C2E5F"/>
    <w:rsid w:val="009C5991"/>
    <w:rsid w:val="009C6648"/>
    <w:rsid w:val="009C6DE0"/>
    <w:rsid w:val="009C7B90"/>
    <w:rsid w:val="009C7C78"/>
    <w:rsid w:val="009D0CFB"/>
    <w:rsid w:val="009D300F"/>
    <w:rsid w:val="009D31B4"/>
    <w:rsid w:val="009D31E2"/>
    <w:rsid w:val="009D3244"/>
    <w:rsid w:val="009D3320"/>
    <w:rsid w:val="009D359A"/>
    <w:rsid w:val="009D3D37"/>
    <w:rsid w:val="009D4C74"/>
    <w:rsid w:val="009D5214"/>
    <w:rsid w:val="009D5BDA"/>
    <w:rsid w:val="009D6A28"/>
    <w:rsid w:val="009D713A"/>
    <w:rsid w:val="009E03EF"/>
    <w:rsid w:val="009E06CE"/>
    <w:rsid w:val="009E0D27"/>
    <w:rsid w:val="009E194F"/>
    <w:rsid w:val="009E1F16"/>
    <w:rsid w:val="009E366B"/>
    <w:rsid w:val="009E410D"/>
    <w:rsid w:val="009E430A"/>
    <w:rsid w:val="009E4771"/>
    <w:rsid w:val="009E595D"/>
    <w:rsid w:val="009E5CD0"/>
    <w:rsid w:val="009E620B"/>
    <w:rsid w:val="009E71CB"/>
    <w:rsid w:val="009E7CDC"/>
    <w:rsid w:val="009F01F8"/>
    <w:rsid w:val="009F02B4"/>
    <w:rsid w:val="009F22E7"/>
    <w:rsid w:val="009F2779"/>
    <w:rsid w:val="009F2EEF"/>
    <w:rsid w:val="009F31A0"/>
    <w:rsid w:val="009F4586"/>
    <w:rsid w:val="009F45DC"/>
    <w:rsid w:val="009F4C4E"/>
    <w:rsid w:val="009F5A5C"/>
    <w:rsid w:val="009F6F26"/>
    <w:rsid w:val="009F73C2"/>
    <w:rsid w:val="00A00366"/>
    <w:rsid w:val="00A01407"/>
    <w:rsid w:val="00A0308F"/>
    <w:rsid w:val="00A04C8C"/>
    <w:rsid w:val="00A04F9A"/>
    <w:rsid w:val="00A055EC"/>
    <w:rsid w:val="00A05EE4"/>
    <w:rsid w:val="00A07617"/>
    <w:rsid w:val="00A07E7C"/>
    <w:rsid w:val="00A10338"/>
    <w:rsid w:val="00A106F1"/>
    <w:rsid w:val="00A12CAB"/>
    <w:rsid w:val="00A151F2"/>
    <w:rsid w:val="00A15ED4"/>
    <w:rsid w:val="00A15FE6"/>
    <w:rsid w:val="00A20CCE"/>
    <w:rsid w:val="00A21C17"/>
    <w:rsid w:val="00A21C37"/>
    <w:rsid w:val="00A21E90"/>
    <w:rsid w:val="00A23030"/>
    <w:rsid w:val="00A244DF"/>
    <w:rsid w:val="00A24771"/>
    <w:rsid w:val="00A25ADA"/>
    <w:rsid w:val="00A25E2D"/>
    <w:rsid w:val="00A262FE"/>
    <w:rsid w:val="00A263FF"/>
    <w:rsid w:val="00A26A97"/>
    <w:rsid w:val="00A2734A"/>
    <w:rsid w:val="00A27652"/>
    <w:rsid w:val="00A30F33"/>
    <w:rsid w:val="00A31099"/>
    <w:rsid w:val="00A3111A"/>
    <w:rsid w:val="00A31633"/>
    <w:rsid w:val="00A31A77"/>
    <w:rsid w:val="00A32BD6"/>
    <w:rsid w:val="00A32F15"/>
    <w:rsid w:val="00A352F9"/>
    <w:rsid w:val="00A366F7"/>
    <w:rsid w:val="00A407E2"/>
    <w:rsid w:val="00A40BBD"/>
    <w:rsid w:val="00A41B38"/>
    <w:rsid w:val="00A428FA"/>
    <w:rsid w:val="00A42F97"/>
    <w:rsid w:val="00A47602"/>
    <w:rsid w:val="00A5182D"/>
    <w:rsid w:val="00A52068"/>
    <w:rsid w:val="00A5361A"/>
    <w:rsid w:val="00A54C3F"/>
    <w:rsid w:val="00A56DCC"/>
    <w:rsid w:val="00A57621"/>
    <w:rsid w:val="00A607C7"/>
    <w:rsid w:val="00A61530"/>
    <w:rsid w:val="00A63105"/>
    <w:rsid w:val="00A64434"/>
    <w:rsid w:val="00A6488F"/>
    <w:rsid w:val="00A655C1"/>
    <w:rsid w:val="00A65815"/>
    <w:rsid w:val="00A65D7C"/>
    <w:rsid w:val="00A6693D"/>
    <w:rsid w:val="00A674B6"/>
    <w:rsid w:val="00A67CD0"/>
    <w:rsid w:val="00A67FE0"/>
    <w:rsid w:val="00A72339"/>
    <w:rsid w:val="00A7258B"/>
    <w:rsid w:val="00A743F4"/>
    <w:rsid w:val="00A7621B"/>
    <w:rsid w:val="00A76764"/>
    <w:rsid w:val="00A81D05"/>
    <w:rsid w:val="00A83269"/>
    <w:rsid w:val="00A83947"/>
    <w:rsid w:val="00A84401"/>
    <w:rsid w:val="00A84587"/>
    <w:rsid w:val="00A84D36"/>
    <w:rsid w:val="00A852D0"/>
    <w:rsid w:val="00A875D3"/>
    <w:rsid w:val="00A87938"/>
    <w:rsid w:val="00A90977"/>
    <w:rsid w:val="00A9215C"/>
    <w:rsid w:val="00A94BA6"/>
    <w:rsid w:val="00A953D9"/>
    <w:rsid w:val="00A95B3C"/>
    <w:rsid w:val="00AA0658"/>
    <w:rsid w:val="00AA146B"/>
    <w:rsid w:val="00AA2253"/>
    <w:rsid w:val="00AA4F9E"/>
    <w:rsid w:val="00AA5BF7"/>
    <w:rsid w:val="00AA5CB6"/>
    <w:rsid w:val="00AA662E"/>
    <w:rsid w:val="00AA78F0"/>
    <w:rsid w:val="00AA7E64"/>
    <w:rsid w:val="00AB15BF"/>
    <w:rsid w:val="00AB2163"/>
    <w:rsid w:val="00AB23A9"/>
    <w:rsid w:val="00AB2ABA"/>
    <w:rsid w:val="00AB388B"/>
    <w:rsid w:val="00AB3F74"/>
    <w:rsid w:val="00AB46C8"/>
    <w:rsid w:val="00AB4E42"/>
    <w:rsid w:val="00AB5A6E"/>
    <w:rsid w:val="00AB6A22"/>
    <w:rsid w:val="00AB6A3A"/>
    <w:rsid w:val="00AB78ED"/>
    <w:rsid w:val="00AC0209"/>
    <w:rsid w:val="00AC0252"/>
    <w:rsid w:val="00AC0558"/>
    <w:rsid w:val="00AC1073"/>
    <w:rsid w:val="00AC1C23"/>
    <w:rsid w:val="00AC2696"/>
    <w:rsid w:val="00AC3254"/>
    <w:rsid w:val="00AC49CD"/>
    <w:rsid w:val="00AC519D"/>
    <w:rsid w:val="00AC5FF9"/>
    <w:rsid w:val="00AD185D"/>
    <w:rsid w:val="00AD306D"/>
    <w:rsid w:val="00AD319E"/>
    <w:rsid w:val="00AD6F1D"/>
    <w:rsid w:val="00AD742A"/>
    <w:rsid w:val="00AE1C96"/>
    <w:rsid w:val="00AE24C9"/>
    <w:rsid w:val="00AE2AB5"/>
    <w:rsid w:val="00AE5FE5"/>
    <w:rsid w:val="00AE77E6"/>
    <w:rsid w:val="00AE790B"/>
    <w:rsid w:val="00AE7AEA"/>
    <w:rsid w:val="00AF1478"/>
    <w:rsid w:val="00AF18C7"/>
    <w:rsid w:val="00AF217C"/>
    <w:rsid w:val="00AF26A1"/>
    <w:rsid w:val="00AF3197"/>
    <w:rsid w:val="00AF4D4E"/>
    <w:rsid w:val="00AF5779"/>
    <w:rsid w:val="00AF5C72"/>
    <w:rsid w:val="00AF6029"/>
    <w:rsid w:val="00AF677E"/>
    <w:rsid w:val="00B00130"/>
    <w:rsid w:val="00B00AD1"/>
    <w:rsid w:val="00B00EC9"/>
    <w:rsid w:val="00B01B6B"/>
    <w:rsid w:val="00B03576"/>
    <w:rsid w:val="00B03AAB"/>
    <w:rsid w:val="00B03AE5"/>
    <w:rsid w:val="00B04312"/>
    <w:rsid w:val="00B1008A"/>
    <w:rsid w:val="00B10F8B"/>
    <w:rsid w:val="00B11415"/>
    <w:rsid w:val="00B1142C"/>
    <w:rsid w:val="00B12289"/>
    <w:rsid w:val="00B133D8"/>
    <w:rsid w:val="00B13ED6"/>
    <w:rsid w:val="00B14C3D"/>
    <w:rsid w:val="00B16CE7"/>
    <w:rsid w:val="00B1718D"/>
    <w:rsid w:val="00B174E3"/>
    <w:rsid w:val="00B17E60"/>
    <w:rsid w:val="00B17F20"/>
    <w:rsid w:val="00B20619"/>
    <w:rsid w:val="00B20BB0"/>
    <w:rsid w:val="00B20F13"/>
    <w:rsid w:val="00B21549"/>
    <w:rsid w:val="00B21FB8"/>
    <w:rsid w:val="00B22CE4"/>
    <w:rsid w:val="00B23598"/>
    <w:rsid w:val="00B23947"/>
    <w:rsid w:val="00B23E59"/>
    <w:rsid w:val="00B26991"/>
    <w:rsid w:val="00B31E04"/>
    <w:rsid w:val="00B32069"/>
    <w:rsid w:val="00B32720"/>
    <w:rsid w:val="00B33F7E"/>
    <w:rsid w:val="00B3569B"/>
    <w:rsid w:val="00B357C3"/>
    <w:rsid w:val="00B358CE"/>
    <w:rsid w:val="00B36EB2"/>
    <w:rsid w:val="00B4088A"/>
    <w:rsid w:val="00B40DA6"/>
    <w:rsid w:val="00B413DB"/>
    <w:rsid w:val="00B413E4"/>
    <w:rsid w:val="00B41B79"/>
    <w:rsid w:val="00B42410"/>
    <w:rsid w:val="00B42802"/>
    <w:rsid w:val="00B436B2"/>
    <w:rsid w:val="00B43A2F"/>
    <w:rsid w:val="00B4447D"/>
    <w:rsid w:val="00B446FE"/>
    <w:rsid w:val="00B45897"/>
    <w:rsid w:val="00B45A21"/>
    <w:rsid w:val="00B51B95"/>
    <w:rsid w:val="00B52151"/>
    <w:rsid w:val="00B52C08"/>
    <w:rsid w:val="00B52FF0"/>
    <w:rsid w:val="00B54DD7"/>
    <w:rsid w:val="00B555C9"/>
    <w:rsid w:val="00B55A4B"/>
    <w:rsid w:val="00B56FC1"/>
    <w:rsid w:val="00B57815"/>
    <w:rsid w:val="00B62E1C"/>
    <w:rsid w:val="00B63684"/>
    <w:rsid w:val="00B641E6"/>
    <w:rsid w:val="00B64360"/>
    <w:rsid w:val="00B64817"/>
    <w:rsid w:val="00B6584E"/>
    <w:rsid w:val="00B65987"/>
    <w:rsid w:val="00B66E36"/>
    <w:rsid w:val="00B673D9"/>
    <w:rsid w:val="00B70CF4"/>
    <w:rsid w:val="00B70D1A"/>
    <w:rsid w:val="00B727AB"/>
    <w:rsid w:val="00B75002"/>
    <w:rsid w:val="00B75C92"/>
    <w:rsid w:val="00B75F0D"/>
    <w:rsid w:val="00B76C6C"/>
    <w:rsid w:val="00B807D0"/>
    <w:rsid w:val="00B818EA"/>
    <w:rsid w:val="00B81D89"/>
    <w:rsid w:val="00B8550C"/>
    <w:rsid w:val="00B9471E"/>
    <w:rsid w:val="00B94882"/>
    <w:rsid w:val="00B94CBE"/>
    <w:rsid w:val="00B959BA"/>
    <w:rsid w:val="00B95ACB"/>
    <w:rsid w:val="00B95F5D"/>
    <w:rsid w:val="00B966AF"/>
    <w:rsid w:val="00B96A86"/>
    <w:rsid w:val="00B975EE"/>
    <w:rsid w:val="00BA1DAA"/>
    <w:rsid w:val="00BA34E3"/>
    <w:rsid w:val="00BA4F39"/>
    <w:rsid w:val="00BA5390"/>
    <w:rsid w:val="00BA57CB"/>
    <w:rsid w:val="00BA63E9"/>
    <w:rsid w:val="00BA7701"/>
    <w:rsid w:val="00BA77DF"/>
    <w:rsid w:val="00BB082A"/>
    <w:rsid w:val="00BB13E3"/>
    <w:rsid w:val="00BB282A"/>
    <w:rsid w:val="00BB47E2"/>
    <w:rsid w:val="00BB5713"/>
    <w:rsid w:val="00BB69EC"/>
    <w:rsid w:val="00BB6C51"/>
    <w:rsid w:val="00BC06D1"/>
    <w:rsid w:val="00BC1A55"/>
    <w:rsid w:val="00BC1C36"/>
    <w:rsid w:val="00BC5284"/>
    <w:rsid w:val="00BC6AB6"/>
    <w:rsid w:val="00BC7044"/>
    <w:rsid w:val="00BC7340"/>
    <w:rsid w:val="00BD00E9"/>
    <w:rsid w:val="00BD0569"/>
    <w:rsid w:val="00BD2021"/>
    <w:rsid w:val="00BD2441"/>
    <w:rsid w:val="00BD3318"/>
    <w:rsid w:val="00BD35D2"/>
    <w:rsid w:val="00BD3849"/>
    <w:rsid w:val="00BD3922"/>
    <w:rsid w:val="00BD5D32"/>
    <w:rsid w:val="00BD6637"/>
    <w:rsid w:val="00BD663D"/>
    <w:rsid w:val="00BE07BA"/>
    <w:rsid w:val="00BE089F"/>
    <w:rsid w:val="00BE31FE"/>
    <w:rsid w:val="00BE4CA9"/>
    <w:rsid w:val="00BE55BD"/>
    <w:rsid w:val="00BE55DD"/>
    <w:rsid w:val="00BE57F8"/>
    <w:rsid w:val="00BE5953"/>
    <w:rsid w:val="00BE5955"/>
    <w:rsid w:val="00BE5B9E"/>
    <w:rsid w:val="00BE6C3C"/>
    <w:rsid w:val="00BF14CA"/>
    <w:rsid w:val="00BF1902"/>
    <w:rsid w:val="00BF1DA6"/>
    <w:rsid w:val="00BF2014"/>
    <w:rsid w:val="00BF24B7"/>
    <w:rsid w:val="00BF2664"/>
    <w:rsid w:val="00BF5645"/>
    <w:rsid w:val="00BF577D"/>
    <w:rsid w:val="00BF6BDE"/>
    <w:rsid w:val="00BF77D7"/>
    <w:rsid w:val="00BF7A99"/>
    <w:rsid w:val="00BF7E51"/>
    <w:rsid w:val="00BF7F19"/>
    <w:rsid w:val="00C0007B"/>
    <w:rsid w:val="00C00CCE"/>
    <w:rsid w:val="00C01EAD"/>
    <w:rsid w:val="00C02054"/>
    <w:rsid w:val="00C020EB"/>
    <w:rsid w:val="00C02DCB"/>
    <w:rsid w:val="00C03F84"/>
    <w:rsid w:val="00C043BC"/>
    <w:rsid w:val="00C049A2"/>
    <w:rsid w:val="00C05205"/>
    <w:rsid w:val="00C055BD"/>
    <w:rsid w:val="00C07190"/>
    <w:rsid w:val="00C10289"/>
    <w:rsid w:val="00C12D5B"/>
    <w:rsid w:val="00C12ECA"/>
    <w:rsid w:val="00C13438"/>
    <w:rsid w:val="00C14B49"/>
    <w:rsid w:val="00C17661"/>
    <w:rsid w:val="00C17B72"/>
    <w:rsid w:val="00C17E44"/>
    <w:rsid w:val="00C20577"/>
    <w:rsid w:val="00C20EAB"/>
    <w:rsid w:val="00C20ED0"/>
    <w:rsid w:val="00C21941"/>
    <w:rsid w:val="00C22B96"/>
    <w:rsid w:val="00C22F44"/>
    <w:rsid w:val="00C23652"/>
    <w:rsid w:val="00C23E79"/>
    <w:rsid w:val="00C247C3"/>
    <w:rsid w:val="00C2606B"/>
    <w:rsid w:val="00C261EC"/>
    <w:rsid w:val="00C31012"/>
    <w:rsid w:val="00C323DC"/>
    <w:rsid w:val="00C332C9"/>
    <w:rsid w:val="00C333D5"/>
    <w:rsid w:val="00C3445A"/>
    <w:rsid w:val="00C348C3"/>
    <w:rsid w:val="00C34C91"/>
    <w:rsid w:val="00C36ADA"/>
    <w:rsid w:val="00C37666"/>
    <w:rsid w:val="00C376CC"/>
    <w:rsid w:val="00C40250"/>
    <w:rsid w:val="00C4084A"/>
    <w:rsid w:val="00C42CBD"/>
    <w:rsid w:val="00C4413B"/>
    <w:rsid w:val="00C461F2"/>
    <w:rsid w:val="00C462D2"/>
    <w:rsid w:val="00C46525"/>
    <w:rsid w:val="00C503E1"/>
    <w:rsid w:val="00C50C12"/>
    <w:rsid w:val="00C50DA4"/>
    <w:rsid w:val="00C51A2B"/>
    <w:rsid w:val="00C52296"/>
    <w:rsid w:val="00C5258C"/>
    <w:rsid w:val="00C55D10"/>
    <w:rsid w:val="00C60B93"/>
    <w:rsid w:val="00C60BB2"/>
    <w:rsid w:val="00C613D7"/>
    <w:rsid w:val="00C62579"/>
    <w:rsid w:val="00C63712"/>
    <w:rsid w:val="00C63B70"/>
    <w:rsid w:val="00C64680"/>
    <w:rsid w:val="00C659EE"/>
    <w:rsid w:val="00C65D03"/>
    <w:rsid w:val="00C662B7"/>
    <w:rsid w:val="00C67369"/>
    <w:rsid w:val="00C67F45"/>
    <w:rsid w:val="00C70885"/>
    <w:rsid w:val="00C70F0F"/>
    <w:rsid w:val="00C71856"/>
    <w:rsid w:val="00C72F21"/>
    <w:rsid w:val="00C73B86"/>
    <w:rsid w:val="00C73BEC"/>
    <w:rsid w:val="00C74490"/>
    <w:rsid w:val="00C7784A"/>
    <w:rsid w:val="00C81410"/>
    <w:rsid w:val="00C81CDC"/>
    <w:rsid w:val="00C8290F"/>
    <w:rsid w:val="00C83785"/>
    <w:rsid w:val="00C8385F"/>
    <w:rsid w:val="00C8426C"/>
    <w:rsid w:val="00C870CB"/>
    <w:rsid w:val="00C90172"/>
    <w:rsid w:val="00C90BEB"/>
    <w:rsid w:val="00C91172"/>
    <w:rsid w:val="00C9158A"/>
    <w:rsid w:val="00C916A3"/>
    <w:rsid w:val="00C9170B"/>
    <w:rsid w:val="00C91CF3"/>
    <w:rsid w:val="00C92D56"/>
    <w:rsid w:val="00C94851"/>
    <w:rsid w:val="00C94C1E"/>
    <w:rsid w:val="00C94C68"/>
    <w:rsid w:val="00C97A1B"/>
    <w:rsid w:val="00CA0E2D"/>
    <w:rsid w:val="00CA1AA3"/>
    <w:rsid w:val="00CA1E1B"/>
    <w:rsid w:val="00CA2230"/>
    <w:rsid w:val="00CA4F82"/>
    <w:rsid w:val="00CA777D"/>
    <w:rsid w:val="00CB2D76"/>
    <w:rsid w:val="00CB3B7E"/>
    <w:rsid w:val="00CB502A"/>
    <w:rsid w:val="00CB50C9"/>
    <w:rsid w:val="00CB63AB"/>
    <w:rsid w:val="00CB6C44"/>
    <w:rsid w:val="00CC07F9"/>
    <w:rsid w:val="00CC0EB1"/>
    <w:rsid w:val="00CC16E4"/>
    <w:rsid w:val="00CC17C5"/>
    <w:rsid w:val="00CC1B6D"/>
    <w:rsid w:val="00CC48C8"/>
    <w:rsid w:val="00CC490F"/>
    <w:rsid w:val="00CC4ABB"/>
    <w:rsid w:val="00CC534E"/>
    <w:rsid w:val="00CC5390"/>
    <w:rsid w:val="00CC77E7"/>
    <w:rsid w:val="00CD038D"/>
    <w:rsid w:val="00CD06F7"/>
    <w:rsid w:val="00CD07AD"/>
    <w:rsid w:val="00CD1170"/>
    <w:rsid w:val="00CD4D35"/>
    <w:rsid w:val="00CD5134"/>
    <w:rsid w:val="00CD5721"/>
    <w:rsid w:val="00CD5E4B"/>
    <w:rsid w:val="00CD6CF9"/>
    <w:rsid w:val="00CD722D"/>
    <w:rsid w:val="00CE0197"/>
    <w:rsid w:val="00CE24B3"/>
    <w:rsid w:val="00CE3B8C"/>
    <w:rsid w:val="00CE44FE"/>
    <w:rsid w:val="00CE4D4D"/>
    <w:rsid w:val="00CE4DC4"/>
    <w:rsid w:val="00CE6A1D"/>
    <w:rsid w:val="00CE767E"/>
    <w:rsid w:val="00CF09DE"/>
    <w:rsid w:val="00CF2965"/>
    <w:rsid w:val="00CF36B5"/>
    <w:rsid w:val="00CF3AC9"/>
    <w:rsid w:val="00CF4025"/>
    <w:rsid w:val="00CF4848"/>
    <w:rsid w:val="00CF6475"/>
    <w:rsid w:val="00D00BBC"/>
    <w:rsid w:val="00D022CE"/>
    <w:rsid w:val="00D02C29"/>
    <w:rsid w:val="00D02CA9"/>
    <w:rsid w:val="00D02D32"/>
    <w:rsid w:val="00D03E3B"/>
    <w:rsid w:val="00D04766"/>
    <w:rsid w:val="00D057CF"/>
    <w:rsid w:val="00D063A5"/>
    <w:rsid w:val="00D065BC"/>
    <w:rsid w:val="00D0788F"/>
    <w:rsid w:val="00D102EA"/>
    <w:rsid w:val="00D10530"/>
    <w:rsid w:val="00D10B0F"/>
    <w:rsid w:val="00D11B87"/>
    <w:rsid w:val="00D12476"/>
    <w:rsid w:val="00D13C22"/>
    <w:rsid w:val="00D14E0E"/>
    <w:rsid w:val="00D155BC"/>
    <w:rsid w:val="00D2034B"/>
    <w:rsid w:val="00D20D23"/>
    <w:rsid w:val="00D2151B"/>
    <w:rsid w:val="00D219E1"/>
    <w:rsid w:val="00D22803"/>
    <w:rsid w:val="00D22AA7"/>
    <w:rsid w:val="00D23743"/>
    <w:rsid w:val="00D239B6"/>
    <w:rsid w:val="00D23D95"/>
    <w:rsid w:val="00D26933"/>
    <w:rsid w:val="00D26ADC"/>
    <w:rsid w:val="00D27649"/>
    <w:rsid w:val="00D301FF"/>
    <w:rsid w:val="00D319A9"/>
    <w:rsid w:val="00D31E6D"/>
    <w:rsid w:val="00D329F9"/>
    <w:rsid w:val="00D345A9"/>
    <w:rsid w:val="00D352D0"/>
    <w:rsid w:val="00D35514"/>
    <w:rsid w:val="00D3634F"/>
    <w:rsid w:val="00D4172B"/>
    <w:rsid w:val="00D4187A"/>
    <w:rsid w:val="00D4293B"/>
    <w:rsid w:val="00D43D13"/>
    <w:rsid w:val="00D44FB2"/>
    <w:rsid w:val="00D45CDF"/>
    <w:rsid w:val="00D4643F"/>
    <w:rsid w:val="00D46824"/>
    <w:rsid w:val="00D4697E"/>
    <w:rsid w:val="00D46AC7"/>
    <w:rsid w:val="00D46F07"/>
    <w:rsid w:val="00D51088"/>
    <w:rsid w:val="00D52629"/>
    <w:rsid w:val="00D54294"/>
    <w:rsid w:val="00D54738"/>
    <w:rsid w:val="00D55598"/>
    <w:rsid w:val="00D56C30"/>
    <w:rsid w:val="00D60050"/>
    <w:rsid w:val="00D606A7"/>
    <w:rsid w:val="00D607B0"/>
    <w:rsid w:val="00D61DC9"/>
    <w:rsid w:val="00D62E4D"/>
    <w:rsid w:val="00D6459E"/>
    <w:rsid w:val="00D649DC"/>
    <w:rsid w:val="00D6510C"/>
    <w:rsid w:val="00D66F37"/>
    <w:rsid w:val="00D672B4"/>
    <w:rsid w:val="00D67508"/>
    <w:rsid w:val="00D67773"/>
    <w:rsid w:val="00D67B9C"/>
    <w:rsid w:val="00D70479"/>
    <w:rsid w:val="00D72818"/>
    <w:rsid w:val="00D72EFC"/>
    <w:rsid w:val="00D7385D"/>
    <w:rsid w:val="00D743EF"/>
    <w:rsid w:val="00D753EE"/>
    <w:rsid w:val="00D7568E"/>
    <w:rsid w:val="00D758B4"/>
    <w:rsid w:val="00D75DD1"/>
    <w:rsid w:val="00D76285"/>
    <w:rsid w:val="00D80041"/>
    <w:rsid w:val="00D81994"/>
    <w:rsid w:val="00D82235"/>
    <w:rsid w:val="00D822F5"/>
    <w:rsid w:val="00D83C1A"/>
    <w:rsid w:val="00D83D24"/>
    <w:rsid w:val="00D84F42"/>
    <w:rsid w:val="00D8648D"/>
    <w:rsid w:val="00D867C3"/>
    <w:rsid w:val="00D867DE"/>
    <w:rsid w:val="00D86D56"/>
    <w:rsid w:val="00D86F1E"/>
    <w:rsid w:val="00D9246E"/>
    <w:rsid w:val="00D92586"/>
    <w:rsid w:val="00D938A2"/>
    <w:rsid w:val="00D94314"/>
    <w:rsid w:val="00D945A6"/>
    <w:rsid w:val="00D9509A"/>
    <w:rsid w:val="00D961C6"/>
    <w:rsid w:val="00DA0C07"/>
    <w:rsid w:val="00DA2BEC"/>
    <w:rsid w:val="00DA3CE0"/>
    <w:rsid w:val="00DA3F5A"/>
    <w:rsid w:val="00DA42DA"/>
    <w:rsid w:val="00DA587A"/>
    <w:rsid w:val="00DB09F9"/>
    <w:rsid w:val="00DB0A45"/>
    <w:rsid w:val="00DB23DD"/>
    <w:rsid w:val="00DB63B4"/>
    <w:rsid w:val="00DB6574"/>
    <w:rsid w:val="00DB7466"/>
    <w:rsid w:val="00DC16A1"/>
    <w:rsid w:val="00DC1726"/>
    <w:rsid w:val="00DC1C98"/>
    <w:rsid w:val="00DC37F8"/>
    <w:rsid w:val="00DC458E"/>
    <w:rsid w:val="00DC4613"/>
    <w:rsid w:val="00DC47BC"/>
    <w:rsid w:val="00DC529C"/>
    <w:rsid w:val="00DC5434"/>
    <w:rsid w:val="00DC58BD"/>
    <w:rsid w:val="00DC6C26"/>
    <w:rsid w:val="00DC7F9F"/>
    <w:rsid w:val="00DD0BD3"/>
    <w:rsid w:val="00DD144C"/>
    <w:rsid w:val="00DD1A52"/>
    <w:rsid w:val="00DD285F"/>
    <w:rsid w:val="00DD3851"/>
    <w:rsid w:val="00DD4564"/>
    <w:rsid w:val="00DD542E"/>
    <w:rsid w:val="00DD736C"/>
    <w:rsid w:val="00DE00DB"/>
    <w:rsid w:val="00DE13A2"/>
    <w:rsid w:val="00DE1D69"/>
    <w:rsid w:val="00DE1F90"/>
    <w:rsid w:val="00DE3628"/>
    <w:rsid w:val="00DE5541"/>
    <w:rsid w:val="00DF038A"/>
    <w:rsid w:val="00DF1A6E"/>
    <w:rsid w:val="00DF2200"/>
    <w:rsid w:val="00DF263A"/>
    <w:rsid w:val="00DF2C29"/>
    <w:rsid w:val="00DF43EC"/>
    <w:rsid w:val="00DF457A"/>
    <w:rsid w:val="00DF5359"/>
    <w:rsid w:val="00DF5A2B"/>
    <w:rsid w:val="00DF67F7"/>
    <w:rsid w:val="00DF704D"/>
    <w:rsid w:val="00DF769C"/>
    <w:rsid w:val="00DF7C4F"/>
    <w:rsid w:val="00DF7CB9"/>
    <w:rsid w:val="00E00F03"/>
    <w:rsid w:val="00E022B3"/>
    <w:rsid w:val="00E0359C"/>
    <w:rsid w:val="00E04BA6"/>
    <w:rsid w:val="00E05B7A"/>
    <w:rsid w:val="00E0689B"/>
    <w:rsid w:val="00E07DA7"/>
    <w:rsid w:val="00E07E94"/>
    <w:rsid w:val="00E12932"/>
    <w:rsid w:val="00E14C61"/>
    <w:rsid w:val="00E14FB4"/>
    <w:rsid w:val="00E152CB"/>
    <w:rsid w:val="00E15C9D"/>
    <w:rsid w:val="00E168D3"/>
    <w:rsid w:val="00E178A6"/>
    <w:rsid w:val="00E17F97"/>
    <w:rsid w:val="00E20788"/>
    <w:rsid w:val="00E208C5"/>
    <w:rsid w:val="00E2157B"/>
    <w:rsid w:val="00E2230E"/>
    <w:rsid w:val="00E22898"/>
    <w:rsid w:val="00E22E93"/>
    <w:rsid w:val="00E235F5"/>
    <w:rsid w:val="00E235F9"/>
    <w:rsid w:val="00E24CEB"/>
    <w:rsid w:val="00E25A0C"/>
    <w:rsid w:val="00E268F6"/>
    <w:rsid w:val="00E30A4B"/>
    <w:rsid w:val="00E30EA5"/>
    <w:rsid w:val="00E318AD"/>
    <w:rsid w:val="00E31ED7"/>
    <w:rsid w:val="00E32A3C"/>
    <w:rsid w:val="00E37D31"/>
    <w:rsid w:val="00E408A6"/>
    <w:rsid w:val="00E40A20"/>
    <w:rsid w:val="00E41E46"/>
    <w:rsid w:val="00E427DE"/>
    <w:rsid w:val="00E4361F"/>
    <w:rsid w:val="00E46C33"/>
    <w:rsid w:val="00E46E4C"/>
    <w:rsid w:val="00E46EF9"/>
    <w:rsid w:val="00E4782A"/>
    <w:rsid w:val="00E47A11"/>
    <w:rsid w:val="00E51781"/>
    <w:rsid w:val="00E51B45"/>
    <w:rsid w:val="00E51CBE"/>
    <w:rsid w:val="00E52D2C"/>
    <w:rsid w:val="00E54F20"/>
    <w:rsid w:val="00E54F85"/>
    <w:rsid w:val="00E55C14"/>
    <w:rsid w:val="00E55D01"/>
    <w:rsid w:val="00E56BA4"/>
    <w:rsid w:val="00E57989"/>
    <w:rsid w:val="00E62C98"/>
    <w:rsid w:val="00E643CE"/>
    <w:rsid w:val="00E647FF"/>
    <w:rsid w:val="00E652B4"/>
    <w:rsid w:val="00E6589F"/>
    <w:rsid w:val="00E65DDA"/>
    <w:rsid w:val="00E65E8E"/>
    <w:rsid w:val="00E6634E"/>
    <w:rsid w:val="00E675C7"/>
    <w:rsid w:val="00E677ED"/>
    <w:rsid w:val="00E705CC"/>
    <w:rsid w:val="00E7166F"/>
    <w:rsid w:val="00E71CE4"/>
    <w:rsid w:val="00E72E69"/>
    <w:rsid w:val="00E731C1"/>
    <w:rsid w:val="00E735F0"/>
    <w:rsid w:val="00E73683"/>
    <w:rsid w:val="00E73B17"/>
    <w:rsid w:val="00E768DA"/>
    <w:rsid w:val="00E76FDF"/>
    <w:rsid w:val="00E77007"/>
    <w:rsid w:val="00E7742C"/>
    <w:rsid w:val="00E77C01"/>
    <w:rsid w:val="00E80EC4"/>
    <w:rsid w:val="00E81740"/>
    <w:rsid w:val="00E81FAB"/>
    <w:rsid w:val="00E8408C"/>
    <w:rsid w:val="00E85F84"/>
    <w:rsid w:val="00E86EAF"/>
    <w:rsid w:val="00E877DF"/>
    <w:rsid w:val="00E878F6"/>
    <w:rsid w:val="00E90837"/>
    <w:rsid w:val="00E92B07"/>
    <w:rsid w:val="00E93266"/>
    <w:rsid w:val="00E933BB"/>
    <w:rsid w:val="00E93475"/>
    <w:rsid w:val="00E946E2"/>
    <w:rsid w:val="00E9498D"/>
    <w:rsid w:val="00E9500B"/>
    <w:rsid w:val="00E96D6D"/>
    <w:rsid w:val="00E97CE8"/>
    <w:rsid w:val="00EA2565"/>
    <w:rsid w:val="00EA35B6"/>
    <w:rsid w:val="00EA38CC"/>
    <w:rsid w:val="00EA3E12"/>
    <w:rsid w:val="00EA480B"/>
    <w:rsid w:val="00EA4DFE"/>
    <w:rsid w:val="00EA5961"/>
    <w:rsid w:val="00EA7554"/>
    <w:rsid w:val="00EB0F44"/>
    <w:rsid w:val="00EB28E8"/>
    <w:rsid w:val="00EB314C"/>
    <w:rsid w:val="00EB38BD"/>
    <w:rsid w:val="00EB5079"/>
    <w:rsid w:val="00EB6BA0"/>
    <w:rsid w:val="00EB760E"/>
    <w:rsid w:val="00EB7A67"/>
    <w:rsid w:val="00EC13CB"/>
    <w:rsid w:val="00EC16C7"/>
    <w:rsid w:val="00EC1C37"/>
    <w:rsid w:val="00EC26E4"/>
    <w:rsid w:val="00EC3D63"/>
    <w:rsid w:val="00EC3DB8"/>
    <w:rsid w:val="00EC3FC8"/>
    <w:rsid w:val="00EC4097"/>
    <w:rsid w:val="00EC4292"/>
    <w:rsid w:val="00EC512C"/>
    <w:rsid w:val="00EC5C19"/>
    <w:rsid w:val="00EC7480"/>
    <w:rsid w:val="00EC7C74"/>
    <w:rsid w:val="00ED08DC"/>
    <w:rsid w:val="00ED248C"/>
    <w:rsid w:val="00ED3564"/>
    <w:rsid w:val="00ED3AA7"/>
    <w:rsid w:val="00ED437D"/>
    <w:rsid w:val="00ED4A44"/>
    <w:rsid w:val="00ED4CE1"/>
    <w:rsid w:val="00ED7331"/>
    <w:rsid w:val="00ED7ED8"/>
    <w:rsid w:val="00EE4DD3"/>
    <w:rsid w:val="00EE4F11"/>
    <w:rsid w:val="00EE55F8"/>
    <w:rsid w:val="00EE5806"/>
    <w:rsid w:val="00EE5961"/>
    <w:rsid w:val="00EE6424"/>
    <w:rsid w:val="00EF1A0E"/>
    <w:rsid w:val="00EF3ABD"/>
    <w:rsid w:val="00EF5997"/>
    <w:rsid w:val="00EF5CD9"/>
    <w:rsid w:val="00EF65A7"/>
    <w:rsid w:val="00EF66A3"/>
    <w:rsid w:val="00F003F7"/>
    <w:rsid w:val="00F00F48"/>
    <w:rsid w:val="00F05200"/>
    <w:rsid w:val="00F0534E"/>
    <w:rsid w:val="00F058EA"/>
    <w:rsid w:val="00F05FE9"/>
    <w:rsid w:val="00F06186"/>
    <w:rsid w:val="00F071F0"/>
    <w:rsid w:val="00F07961"/>
    <w:rsid w:val="00F1089B"/>
    <w:rsid w:val="00F1151A"/>
    <w:rsid w:val="00F11CA5"/>
    <w:rsid w:val="00F12243"/>
    <w:rsid w:val="00F143E1"/>
    <w:rsid w:val="00F148ED"/>
    <w:rsid w:val="00F14CD4"/>
    <w:rsid w:val="00F14CEC"/>
    <w:rsid w:val="00F151D1"/>
    <w:rsid w:val="00F162B6"/>
    <w:rsid w:val="00F1638B"/>
    <w:rsid w:val="00F17E37"/>
    <w:rsid w:val="00F20687"/>
    <w:rsid w:val="00F20CC3"/>
    <w:rsid w:val="00F22955"/>
    <w:rsid w:val="00F23E23"/>
    <w:rsid w:val="00F25BDE"/>
    <w:rsid w:val="00F270B8"/>
    <w:rsid w:val="00F27AAD"/>
    <w:rsid w:val="00F30425"/>
    <w:rsid w:val="00F3166B"/>
    <w:rsid w:val="00F32A5E"/>
    <w:rsid w:val="00F32D9C"/>
    <w:rsid w:val="00F35BE1"/>
    <w:rsid w:val="00F3736F"/>
    <w:rsid w:val="00F377A7"/>
    <w:rsid w:val="00F37E35"/>
    <w:rsid w:val="00F431DB"/>
    <w:rsid w:val="00F43908"/>
    <w:rsid w:val="00F43A7D"/>
    <w:rsid w:val="00F43DB1"/>
    <w:rsid w:val="00F4469C"/>
    <w:rsid w:val="00F44AF8"/>
    <w:rsid w:val="00F46670"/>
    <w:rsid w:val="00F468F5"/>
    <w:rsid w:val="00F46AD7"/>
    <w:rsid w:val="00F5070B"/>
    <w:rsid w:val="00F50F63"/>
    <w:rsid w:val="00F512AC"/>
    <w:rsid w:val="00F51AA2"/>
    <w:rsid w:val="00F529FA"/>
    <w:rsid w:val="00F52CB7"/>
    <w:rsid w:val="00F52E1B"/>
    <w:rsid w:val="00F5439D"/>
    <w:rsid w:val="00F56852"/>
    <w:rsid w:val="00F5689A"/>
    <w:rsid w:val="00F56C0C"/>
    <w:rsid w:val="00F56DC8"/>
    <w:rsid w:val="00F56E63"/>
    <w:rsid w:val="00F570BD"/>
    <w:rsid w:val="00F57E6B"/>
    <w:rsid w:val="00F606D8"/>
    <w:rsid w:val="00F6120F"/>
    <w:rsid w:val="00F615C8"/>
    <w:rsid w:val="00F62124"/>
    <w:rsid w:val="00F62705"/>
    <w:rsid w:val="00F62D89"/>
    <w:rsid w:val="00F6418B"/>
    <w:rsid w:val="00F64943"/>
    <w:rsid w:val="00F64CD5"/>
    <w:rsid w:val="00F64DB0"/>
    <w:rsid w:val="00F67325"/>
    <w:rsid w:val="00F678B8"/>
    <w:rsid w:val="00F67965"/>
    <w:rsid w:val="00F70965"/>
    <w:rsid w:val="00F717AF"/>
    <w:rsid w:val="00F71C3E"/>
    <w:rsid w:val="00F73A67"/>
    <w:rsid w:val="00F750C5"/>
    <w:rsid w:val="00F75CDB"/>
    <w:rsid w:val="00F7631F"/>
    <w:rsid w:val="00F765C8"/>
    <w:rsid w:val="00F7745D"/>
    <w:rsid w:val="00F81E65"/>
    <w:rsid w:val="00F82E7C"/>
    <w:rsid w:val="00F82F81"/>
    <w:rsid w:val="00F83966"/>
    <w:rsid w:val="00F84FCF"/>
    <w:rsid w:val="00F869E5"/>
    <w:rsid w:val="00F86AAE"/>
    <w:rsid w:val="00F87BBA"/>
    <w:rsid w:val="00F91624"/>
    <w:rsid w:val="00F919DD"/>
    <w:rsid w:val="00F94494"/>
    <w:rsid w:val="00F94AD1"/>
    <w:rsid w:val="00F95B16"/>
    <w:rsid w:val="00F966F4"/>
    <w:rsid w:val="00F96B86"/>
    <w:rsid w:val="00F97D34"/>
    <w:rsid w:val="00FA073E"/>
    <w:rsid w:val="00FA0A9D"/>
    <w:rsid w:val="00FA1DDA"/>
    <w:rsid w:val="00FA29D5"/>
    <w:rsid w:val="00FA2DFC"/>
    <w:rsid w:val="00FA35F1"/>
    <w:rsid w:val="00FA536C"/>
    <w:rsid w:val="00FA54CA"/>
    <w:rsid w:val="00FA5534"/>
    <w:rsid w:val="00FA569C"/>
    <w:rsid w:val="00FA63C1"/>
    <w:rsid w:val="00FA66D9"/>
    <w:rsid w:val="00FA702C"/>
    <w:rsid w:val="00FA736A"/>
    <w:rsid w:val="00FB023C"/>
    <w:rsid w:val="00FB0659"/>
    <w:rsid w:val="00FB0ED3"/>
    <w:rsid w:val="00FB2822"/>
    <w:rsid w:val="00FB301A"/>
    <w:rsid w:val="00FB3C2A"/>
    <w:rsid w:val="00FB4364"/>
    <w:rsid w:val="00FB4CB4"/>
    <w:rsid w:val="00FB5AD5"/>
    <w:rsid w:val="00FB5C6C"/>
    <w:rsid w:val="00FB77BF"/>
    <w:rsid w:val="00FB7E7A"/>
    <w:rsid w:val="00FC0B6A"/>
    <w:rsid w:val="00FC119C"/>
    <w:rsid w:val="00FC1BA0"/>
    <w:rsid w:val="00FC22DB"/>
    <w:rsid w:val="00FC2590"/>
    <w:rsid w:val="00FC36D7"/>
    <w:rsid w:val="00FC3819"/>
    <w:rsid w:val="00FC381E"/>
    <w:rsid w:val="00FC5FC4"/>
    <w:rsid w:val="00FC7C82"/>
    <w:rsid w:val="00FD0864"/>
    <w:rsid w:val="00FD0AB2"/>
    <w:rsid w:val="00FD178E"/>
    <w:rsid w:val="00FD1C06"/>
    <w:rsid w:val="00FD44CB"/>
    <w:rsid w:val="00FD550F"/>
    <w:rsid w:val="00FE001A"/>
    <w:rsid w:val="00FE233D"/>
    <w:rsid w:val="00FE39E2"/>
    <w:rsid w:val="00FE4924"/>
    <w:rsid w:val="00FE58D8"/>
    <w:rsid w:val="00FE78FB"/>
    <w:rsid w:val="00FE7D5E"/>
    <w:rsid w:val="00FF074D"/>
    <w:rsid w:val="00FF1D08"/>
    <w:rsid w:val="00FF2DBC"/>
    <w:rsid w:val="00FF3958"/>
    <w:rsid w:val="00FF523F"/>
    <w:rsid w:val="00FF54D5"/>
    <w:rsid w:val="00FF5D8C"/>
    <w:rsid w:val="00FF6CC7"/>
    <w:rsid w:val="00FF78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28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en-GB" w:eastAsia="en-GB" w:bidi="ar-SA"/>
      </w:rPr>
    </w:rPrDefault>
    <w:pPrDefault/>
  </w:docDefaults>
  <w:latentStyles w:defLockedState="0" w:defUIPriority="99" w:defSemiHidden="0" w:defUnhideWhenUsed="0" w:defQFormat="0" w:count="375">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0"/>
    <w:unhideWhenUsed/>
    <w:qFormat/>
    <w:rsid w:val="00C043BC"/>
    <w:rPr>
      <w:rFonts w:ascii="Goudy Old Style" w:eastAsiaTheme="minorHAnsi" w:hAnsi="Goudy Old Style" w:cs="Times New Roman"/>
      <w:sz w:val="24"/>
      <w:szCs w:val="24"/>
      <w:lang w:eastAsia="en-US"/>
    </w:rPr>
  </w:style>
  <w:style w:type="paragraph" w:styleId="Heading1">
    <w:name w:val="heading 1"/>
    <w:basedOn w:val="ListParagraph"/>
    <w:next w:val="Body"/>
    <w:link w:val="Heading1Char"/>
    <w:uiPriority w:val="9"/>
    <w:qFormat/>
    <w:rsid w:val="00BD663D"/>
    <w:pPr>
      <w:numPr>
        <w:numId w:val="9"/>
      </w:numPr>
      <w:spacing w:before="240" w:line="276" w:lineRule="auto"/>
      <w:jc w:val="center"/>
      <w:outlineLvl w:val="0"/>
    </w:pPr>
    <w:rPr>
      <w:b/>
    </w:rPr>
  </w:style>
  <w:style w:type="paragraph" w:styleId="Heading2">
    <w:name w:val="heading 2"/>
    <w:basedOn w:val="ListParagraph"/>
    <w:next w:val="Body"/>
    <w:link w:val="Heading2Char"/>
    <w:uiPriority w:val="9"/>
    <w:unhideWhenUsed/>
    <w:qFormat/>
    <w:rsid w:val="00784289"/>
    <w:pPr>
      <w:numPr>
        <w:ilvl w:val="1"/>
        <w:numId w:val="9"/>
      </w:numPr>
      <w:spacing w:before="240"/>
      <w:contextualSpacing w:val="0"/>
      <w:outlineLvl w:val="1"/>
    </w:pPr>
    <w:rPr>
      <w:b/>
    </w:rPr>
  </w:style>
  <w:style w:type="paragraph" w:styleId="Heading3">
    <w:name w:val="heading 3"/>
    <w:basedOn w:val="ListParagraph"/>
    <w:next w:val="Body"/>
    <w:link w:val="Heading3Char"/>
    <w:uiPriority w:val="9"/>
    <w:unhideWhenUsed/>
    <w:qFormat/>
    <w:rsid w:val="00384215"/>
    <w:pPr>
      <w:numPr>
        <w:ilvl w:val="2"/>
        <w:numId w:val="9"/>
      </w:numPr>
      <w:spacing w:before="240"/>
      <w:contextualSpacing w:val="0"/>
      <w:outlineLvl w:val="2"/>
    </w:pPr>
  </w:style>
  <w:style w:type="paragraph" w:styleId="Heading4">
    <w:name w:val="heading 4"/>
    <w:basedOn w:val="Heading3"/>
    <w:next w:val="Body"/>
    <w:link w:val="Heading4Char"/>
    <w:uiPriority w:val="9"/>
    <w:unhideWhenUsed/>
    <w:qFormat/>
    <w:rsid w:val="00836433"/>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555C9"/>
    <w:rPr>
      <w:rFonts w:ascii="Courier New" w:hAnsi="Courier New" w:cs="Courier New"/>
      <w:noProof/>
      <w:sz w:val="20"/>
    </w:rPr>
  </w:style>
  <w:style w:type="character" w:customStyle="1" w:styleId="EndNoteBibliographyTitleChar">
    <w:name w:val="EndNote Bibliography Title Char"/>
    <w:basedOn w:val="DefaultParagraphFont"/>
    <w:link w:val="EndNoteBibliographyTitle"/>
    <w:rsid w:val="00B555C9"/>
    <w:rPr>
      <w:rFonts w:eastAsiaTheme="minorHAnsi"/>
      <w:noProof/>
      <w:szCs w:val="24"/>
      <w:lang w:eastAsia="en-US"/>
    </w:rPr>
  </w:style>
  <w:style w:type="paragraph" w:customStyle="1" w:styleId="EndNoteBibliography">
    <w:name w:val="EndNote Bibliography"/>
    <w:basedOn w:val="Normal"/>
    <w:link w:val="EndNoteBibliographyChar"/>
    <w:rsid w:val="00B555C9"/>
    <w:rPr>
      <w:rFonts w:ascii="Courier New" w:hAnsi="Courier New" w:cs="Courier New"/>
      <w:noProof/>
      <w:sz w:val="20"/>
    </w:rPr>
  </w:style>
  <w:style w:type="character" w:customStyle="1" w:styleId="EndNoteBibliographyChar">
    <w:name w:val="EndNote Bibliography Char"/>
    <w:basedOn w:val="DefaultParagraphFont"/>
    <w:link w:val="EndNoteBibliography"/>
    <w:rsid w:val="00B555C9"/>
    <w:rPr>
      <w:rFonts w:eastAsiaTheme="minorHAnsi"/>
      <w:noProof/>
      <w:szCs w:val="24"/>
      <w:lang w:eastAsia="en-US"/>
    </w:rPr>
  </w:style>
  <w:style w:type="character" w:styleId="Hyperlink">
    <w:name w:val="Hyperlink"/>
    <w:basedOn w:val="DefaultParagraphFont"/>
    <w:uiPriority w:val="99"/>
    <w:unhideWhenUsed/>
    <w:rsid w:val="00C8385F"/>
    <w:rPr>
      <w:color w:val="0563C1" w:themeColor="hyperlink"/>
      <w:u w:val="single"/>
    </w:rPr>
  </w:style>
  <w:style w:type="character" w:styleId="CommentReference">
    <w:name w:val="annotation reference"/>
    <w:basedOn w:val="DefaultParagraphFont"/>
    <w:uiPriority w:val="99"/>
    <w:semiHidden/>
    <w:unhideWhenUsed/>
    <w:rsid w:val="00B555C9"/>
    <w:rPr>
      <w:sz w:val="16"/>
      <w:szCs w:val="16"/>
    </w:rPr>
  </w:style>
  <w:style w:type="paragraph" w:styleId="CommentText">
    <w:name w:val="annotation text"/>
    <w:basedOn w:val="Normal"/>
    <w:link w:val="CommentTextChar"/>
    <w:uiPriority w:val="99"/>
    <w:semiHidden/>
    <w:unhideWhenUsed/>
    <w:rsid w:val="00B555C9"/>
    <w:rPr>
      <w:szCs w:val="20"/>
    </w:rPr>
  </w:style>
  <w:style w:type="character" w:customStyle="1" w:styleId="CommentTextChar">
    <w:name w:val="Comment Text Char"/>
    <w:basedOn w:val="DefaultParagraphFont"/>
    <w:link w:val="CommentText"/>
    <w:uiPriority w:val="99"/>
    <w:semiHidden/>
    <w:rsid w:val="00B555C9"/>
    <w:rPr>
      <w:rFonts w:ascii="Goudy Old Style" w:eastAsiaTheme="minorHAnsi" w:hAnsi="Goudy Old Style" w:cs="Times New Roman"/>
      <w:sz w:val="24"/>
      <w:lang w:eastAsia="en-US"/>
    </w:rPr>
  </w:style>
  <w:style w:type="paragraph" w:styleId="CommentSubject">
    <w:name w:val="annotation subject"/>
    <w:basedOn w:val="CommentText"/>
    <w:next w:val="CommentText"/>
    <w:link w:val="CommentSubjectChar"/>
    <w:uiPriority w:val="99"/>
    <w:semiHidden/>
    <w:unhideWhenUsed/>
    <w:rsid w:val="00B555C9"/>
    <w:rPr>
      <w:b/>
      <w:bCs/>
    </w:rPr>
  </w:style>
  <w:style w:type="character" w:customStyle="1" w:styleId="CommentSubjectChar">
    <w:name w:val="Comment Subject Char"/>
    <w:basedOn w:val="CommentTextChar"/>
    <w:link w:val="CommentSubject"/>
    <w:uiPriority w:val="99"/>
    <w:semiHidden/>
    <w:rsid w:val="00B555C9"/>
    <w:rPr>
      <w:rFonts w:ascii="Goudy Old Style" w:eastAsiaTheme="minorHAnsi" w:hAnsi="Goudy Old Style" w:cs="Times New Roman"/>
      <w:b/>
      <w:bCs/>
      <w:sz w:val="24"/>
      <w:lang w:eastAsia="en-US"/>
    </w:rPr>
  </w:style>
  <w:style w:type="paragraph" w:styleId="BalloonText">
    <w:name w:val="Balloon Text"/>
    <w:basedOn w:val="Normal"/>
    <w:link w:val="BalloonTextChar"/>
    <w:uiPriority w:val="99"/>
    <w:semiHidden/>
    <w:unhideWhenUsed/>
    <w:rsid w:val="00B55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5C9"/>
    <w:rPr>
      <w:rFonts w:ascii="Segoe UI" w:eastAsiaTheme="minorHAnsi" w:hAnsi="Segoe UI" w:cs="Segoe UI"/>
      <w:sz w:val="18"/>
      <w:szCs w:val="18"/>
      <w:lang w:eastAsia="en-US"/>
    </w:rPr>
  </w:style>
  <w:style w:type="paragraph" w:styleId="FootnoteText">
    <w:name w:val="footnote text"/>
    <w:basedOn w:val="Normal"/>
    <w:link w:val="FootnoteTextChar"/>
    <w:uiPriority w:val="99"/>
    <w:semiHidden/>
    <w:unhideWhenUsed/>
    <w:rsid w:val="00B555C9"/>
    <w:rPr>
      <w:szCs w:val="20"/>
    </w:rPr>
  </w:style>
  <w:style w:type="character" w:customStyle="1" w:styleId="FootnoteTextChar">
    <w:name w:val="Footnote Text Char"/>
    <w:basedOn w:val="DefaultParagraphFont"/>
    <w:link w:val="FootnoteText"/>
    <w:uiPriority w:val="99"/>
    <w:semiHidden/>
    <w:rsid w:val="00B555C9"/>
    <w:rPr>
      <w:rFonts w:ascii="Goudy Old Style" w:eastAsiaTheme="minorHAnsi" w:hAnsi="Goudy Old Style" w:cs="Times New Roman"/>
      <w:sz w:val="24"/>
      <w:lang w:eastAsia="en-US"/>
    </w:rPr>
  </w:style>
  <w:style w:type="character" w:styleId="FootnoteReference">
    <w:name w:val="footnote reference"/>
    <w:basedOn w:val="DefaultParagraphFont"/>
    <w:uiPriority w:val="99"/>
    <w:semiHidden/>
    <w:unhideWhenUsed/>
    <w:rsid w:val="00B555C9"/>
    <w:rPr>
      <w:vertAlign w:val="superscript"/>
    </w:rPr>
  </w:style>
  <w:style w:type="paragraph" w:styleId="EndnoteText">
    <w:name w:val="endnote text"/>
    <w:basedOn w:val="Normal"/>
    <w:link w:val="EndnoteTextChar"/>
    <w:uiPriority w:val="99"/>
    <w:semiHidden/>
    <w:unhideWhenUsed/>
    <w:rsid w:val="00C46525"/>
  </w:style>
  <w:style w:type="character" w:customStyle="1" w:styleId="EndnoteTextChar">
    <w:name w:val="Endnote Text Char"/>
    <w:basedOn w:val="DefaultParagraphFont"/>
    <w:link w:val="EndnoteText"/>
    <w:uiPriority w:val="99"/>
    <w:semiHidden/>
    <w:rsid w:val="00C46525"/>
  </w:style>
  <w:style w:type="character" w:styleId="EndnoteReference">
    <w:name w:val="endnote reference"/>
    <w:basedOn w:val="DefaultParagraphFont"/>
    <w:uiPriority w:val="99"/>
    <w:semiHidden/>
    <w:unhideWhenUsed/>
    <w:rsid w:val="00C46525"/>
    <w:rPr>
      <w:vertAlign w:val="superscript"/>
    </w:rPr>
  </w:style>
  <w:style w:type="paragraph" w:styleId="NoSpacing">
    <w:name w:val="No Spacing"/>
    <w:uiPriority w:val="1"/>
    <w:qFormat/>
    <w:rsid w:val="001349A1"/>
    <w:rPr>
      <w:rFonts w:ascii="Goudy Old Style" w:hAnsi="Goudy Old Style"/>
    </w:rPr>
  </w:style>
  <w:style w:type="paragraph" w:customStyle="1" w:styleId="Body">
    <w:name w:val="Body"/>
    <w:basedOn w:val="Normal"/>
    <w:uiPriority w:val="1"/>
    <w:qFormat/>
    <w:rsid w:val="00C043BC"/>
    <w:pPr>
      <w:spacing w:before="240" w:line="360" w:lineRule="auto"/>
      <w:jc w:val="both"/>
    </w:pPr>
  </w:style>
  <w:style w:type="paragraph" w:styleId="Footer">
    <w:name w:val="footer"/>
    <w:basedOn w:val="Normal"/>
    <w:link w:val="FooterChar"/>
    <w:uiPriority w:val="99"/>
    <w:unhideWhenUsed/>
    <w:rsid w:val="00B555C9"/>
    <w:pPr>
      <w:tabs>
        <w:tab w:val="center" w:pos="4513"/>
        <w:tab w:val="right" w:pos="9026"/>
      </w:tabs>
    </w:pPr>
  </w:style>
  <w:style w:type="character" w:customStyle="1" w:styleId="FooterChar">
    <w:name w:val="Footer Char"/>
    <w:basedOn w:val="DefaultParagraphFont"/>
    <w:link w:val="Footer"/>
    <w:uiPriority w:val="99"/>
    <w:rsid w:val="00B555C9"/>
    <w:rPr>
      <w:rFonts w:ascii="Goudy Old Style" w:eastAsiaTheme="minorHAnsi" w:hAnsi="Goudy Old Style" w:cs="Times New Roman"/>
      <w:sz w:val="24"/>
      <w:szCs w:val="24"/>
      <w:lang w:eastAsia="en-US"/>
    </w:rPr>
  </w:style>
  <w:style w:type="paragraph" w:styleId="Header">
    <w:name w:val="header"/>
    <w:basedOn w:val="Normal"/>
    <w:link w:val="HeaderChar"/>
    <w:uiPriority w:val="99"/>
    <w:unhideWhenUsed/>
    <w:rsid w:val="00B555C9"/>
    <w:pPr>
      <w:tabs>
        <w:tab w:val="center" w:pos="4513"/>
        <w:tab w:val="right" w:pos="9026"/>
      </w:tabs>
    </w:pPr>
  </w:style>
  <w:style w:type="character" w:customStyle="1" w:styleId="HeaderChar">
    <w:name w:val="Header Char"/>
    <w:basedOn w:val="DefaultParagraphFont"/>
    <w:link w:val="Header"/>
    <w:uiPriority w:val="99"/>
    <w:rsid w:val="00B555C9"/>
    <w:rPr>
      <w:rFonts w:ascii="Goudy Old Style" w:eastAsiaTheme="minorHAnsi" w:hAnsi="Goudy Old Style" w:cs="Times New Roman"/>
      <w:sz w:val="24"/>
      <w:szCs w:val="24"/>
      <w:lang w:eastAsia="en-US"/>
    </w:rPr>
  </w:style>
  <w:style w:type="paragraph" w:styleId="ListParagraph">
    <w:name w:val="List Paragraph"/>
    <w:basedOn w:val="Normal"/>
    <w:uiPriority w:val="34"/>
    <w:unhideWhenUsed/>
    <w:rsid w:val="00B555C9"/>
    <w:pPr>
      <w:ind w:left="720"/>
      <w:contextualSpacing/>
    </w:pPr>
  </w:style>
  <w:style w:type="character" w:customStyle="1" w:styleId="Heading1Char">
    <w:name w:val="Heading 1 Char"/>
    <w:basedOn w:val="DefaultParagraphFont"/>
    <w:link w:val="Heading1"/>
    <w:uiPriority w:val="9"/>
    <w:rsid w:val="00BD663D"/>
    <w:rPr>
      <w:rFonts w:ascii="Goudy Old Style" w:eastAsiaTheme="minorHAnsi" w:hAnsi="Goudy Old Style" w:cs="Times New Roman"/>
      <w:b/>
      <w:sz w:val="24"/>
      <w:szCs w:val="24"/>
      <w:lang w:eastAsia="en-US"/>
    </w:rPr>
  </w:style>
  <w:style w:type="character" w:customStyle="1" w:styleId="Heading2Char">
    <w:name w:val="Heading 2 Char"/>
    <w:basedOn w:val="DefaultParagraphFont"/>
    <w:link w:val="Heading2"/>
    <w:uiPriority w:val="9"/>
    <w:rsid w:val="00784289"/>
    <w:rPr>
      <w:rFonts w:ascii="Goudy Old Style" w:eastAsiaTheme="minorHAnsi" w:hAnsi="Goudy Old Style" w:cs="Times New Roman"/>
      <w:b/>
      <w:sz w:val="24"/>
      <w:szCs w:val="24"/>
      <w:lang w:eastAsia="en-US"/>
    </w:rPr>
  </w:style>
  <w:style w:type="character" w:customStyle="1" w:styleId="Heading3Char">
    <w:name w:val="Heading 3 Char"/>
    <w:basedOn w:val="DefaultParagraphFont"/>
    <w:link w:val="Heading3"/>
    <w:uiPriority w:val="9"/>
    <w:rsid w:val="00384215"/>
    <w:rPr>
      <w:rFonts w:ascii="Goudy Old Style" w:eastAsiaTheme="minorHAnsi" w:hAnsi="Goudy Old Style" w:cs="Times New Roman"/>
      <w:sz w:val="24"/>
      <w:szCs w:val="24"/>
      <w:lang w:eastAsia="en-US"/>
    </w:rPr>
  </w:style>
  <w:style w:type="character" w:customStyle="1" w:styleId="Heading4Char">
    <w:name w:val="Heading 4 Char"/>
    <w:basedOn w:val="DefaultParagraphFont"/>
    <w:link w:val="Heading4"/>
    <w:uiPriority w:val="9"/>
    <w:rsid w:val="00836433"/>
    <w:rPr>
      <w:rFonts w:ascii="Goudy Old Style" w:eastAsiaTheme="minorHAnsi" w:hAnsi="Goudy Old Style" w:cs="Times New Roman"/>
      <w:sz w:val="24"/>
      <w:szCs w:val="24"/>
      <w:lang w:eastAsia="en-US"/>
    </w:rPr>
  </w:style>
  <w:style w:type="paragraph" w:customStyle="1" w:styleId="Mumford">
    <w:name w:val="Mumford"/>
    <w:basedOn w:val="Body"/>
    <w:uiPriority w:val="10"/>
    <w:qFormat/>
    <w:rsid w:val="00B555C9"/>
    <w:pPr>
      <w:spacing w:before="120"/>
      <w:ind w:left="284" w:hanging="284"/>
      <w:jc w:val="left"/>
    </w:pPr>
    <w:rPr>
      <w:szCs w:val="20"/>
    </w:rPr>
  </w:style>
  <w:style w:type="paragraph" w:customStyle="1" w:styleId="MumfordQuote">
    <w:name w:val="Mumford Quote"/>
    <w:basedOn w:val="Mumford"/>
    <w:next w:val="Mumford"/>
    <w:uiPriority w:val="10"/>
    <w:qFormat/>
    <w:rsid w:val="00B555C9"/>
    <w:pPr>
      <w:ind w:firstLine="0"/>
    </w:pPr>
  </w:style>
  <w:style w:type="paragraph" w:styleId="Quote">
    <w:name w:val="Quote"/>
    <w:basedOn w:val="Normal"/>
    <w:next w:val="Body"/>
    <w:link w:val="QuoteChar"/>
    <w:uiPriority w:val="2"/>
    <w:qFormat/>
    <w:rsid w:val="00C043BC"/>
    <w:pPr>
      <w:spacing w:before="240"/>
      <w:ind w:left="284"/>
      <w:jc w:val="both"/>
    </w:pPr>
  </w:style>
  <w:style w:type="character" w:customStyle="1" w:styleId="QuoteChar">
    <w:name w:val="Quote Char"/>
    <w:basedOn w:val="DefaultParagraphFont"/>
    <w:link w:val="Quote"/>
    <w:uiPriority w:val="2"/>
    <w:rsid w:val="00C043BC"/>
    <w:rPr>
      <w:rFonts w:ascii="Goudy Old Style" w:eastAsiaTheme="minorHAnsi" w:hAnsi="Goudy Old Style" w:cs="Times New Roman"/>
      <w:sz w:val="24"/>
      <w:szCs w:val="24"/>
      <w:lang w:eastAsia="en-US"/>
    </w:rPr>
  </w:style>
  <w:style w:type="paragraph" w:customStyle="1" w:styleId="TableBody">
    <w:name w:val="Table Body"/>
    <w:basedOn w:val="Body"/>
    <w:uiPriority w:val="10"/>
    <w:qFormat/>
    <w:rsid w:val="00B555C9"/>
    <w:pPr>
      <w:spacing w:before="120"/>
      <w:jc w:val="left"/>
    </w:pPr>
  </w:style>
  <w:style w:type="paragraph" w:styleId="Title">
    <w:name w:val="Title"/>
    <w:basedOn w:val="Normal"/>
    <w:next w:val="Body"/>
    <w:link w:val="TitleChar"/>
    <w:qFormat/>
    <w:rsid w:val="00B555C9"/>
    <w:pPr>
      <w:jc w:val="center"/>
    </w:pPr>
    <w:rPr>
      <w:b/>
      <w:bCs/>
      <w:szCs w:val="20"/>
    </w:rPr>
  </w:style>
  <w:style w:type="character" w:customStyle="1" w:styleId="TitleChar">
    <w:name w:val="Title Char"/>
    <w:basedOn w:val="DefaultParagraphFont"/>
    <w:link w:val="Title"/>
    <w:rsid w:val="00B555C9"/>
    <w:rPr>
      <w:rFonts w:ascii="Goudy Old Style" w:eastAsiaTheme="minorHAnsi" w:hAnsi="Goudy Old Style" w:cs="Times New Roman"/>
      <w:b/>
      <w:bCs/>
      <w:sz w:val="24"/>
      <w:lang w:eastAsia="en-US"/>
    </w:rPr>
  </w:style>
  <w:style w:type="character" w:customStyle="1" w:styleId="Mention1">
    <w:name w:val="Mention1"/>
    <w:basedOn w:val="DefaultParagraphFont"/>
    <w:uiPriority w:val="99"/>
    <w:semiHidden/>
    <w:unhideWhenUsed/>
    <w:rsid w:val="00185AF9"/>
    <w:rPr>
      <w:color w:val="2B579A"/>
      <w:shd w:val="clear" w:color="auto" w:fill="E6E6E6"/>
    </w:rPr>
  </w:style>
  <w:style w:type="paragraph" w:styleId="Revision">
    <w:name w:val="Revision"/>
    <w:hidden/>
    <w:uiPriority w:val="99"/>
    <w:semiHidden/>
    <w:rsid w:val="001150F2"/>
    <w:rPr>
      <w:rFonts w:ascii="Goudy Old Style" w:eastAsiaTheme="minorHAnsi" w:hAnsi="Goudy Old Style" w:cs="Times New Roman"/>
      <w:sz w:val="24"/>
      <w:szCs w:val="24"/>
      <w:lang w:eastAsia="en-US"/>
    </w:rPr>
  </w:style>
  <w:style w:type="character" w:customStyle="1" w:styleId="UnresolvedMention1">
    <w:name w:val="Unresolved Mention1"/>
    <w:basedOn w:val="DefaultParagraphFont"/>
    <w:uiPriority w:val="99"/>
    <w:rsid w:val="009806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86976">
      <w:bodyDiv w:val="1"/>
      <w:marLeft w:val="0"/>
      <w:marRight w:val="0"/>
      <w:marTop w:val="0"/>
      <w:marBottom w:val="0"/>
      <w:divBdr>
        <w:top w:val="none" w:sz="0" w:space="0" w:color="auto"/>
        <w:left w:val="none" w:sz="0" w:space="0" w:color="auto"/>
        <w:bottom w:val="none" w:sz="0" w:space="0" w:color="auto"/>
        <w:right w:val="none" w:sz="0" w:space="0" w:color="auto"/>
      </w:divBdr>
    </w:div>
    <w:div w:id="29256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a.black@york.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54835-A531-4D8C-B4DF-17D2511E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10407</Words>
  <Characters>55267</Characters>
  <Application>Microsoft Office Word</Application>
  <DocSecurity>0</DocSecurity>
  <Lines>952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2018-03-14T12:31:00Z</dcterms:created>
  <dcterms:modified xsi:type="dcterms:W3CDTF">2018-03-14T17:05:00Z</dcterms:modified>
</cp:coreProperties>
</file>