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99CD56" w14:textId="77777777" w:rsidR="00610023" w:rsidRPr="00586DF9" w:rsidRDefault="00610023" w:rsidP="004D6358">
      <w:pPr>
        <w:spacing w:line="276" w:lineRule="auto"/>
        <w:outlineLvl w:val="0"/>
        <w:rPr>
          <w:b/>
        </w:rPr>
      </w:pPr>
      <w:r w:rsidRPr="00586DF9">
        <w:rPr>
          <w:b/>
        </w:rPr>
        <w:t>Full title:</w:t>
      </w:r>
    </w:p>
    <w:p w14:paraId="526733C2" w14:textId="7FEAC6DD" w:rsidR="00610023" w:rsidRDefault="00610023" w:rsidP="00610023">
      <w:pPr>
        <w:spacing w:line="276" w:lineRule="auto"/>
        <w:rPr>
          <w:u w:val="single"/>
        </w:rPr>
      </w:pPr>
      <w:r w:rsidRPr="004A13C2">
        <w:rPr>
          <w:u w:val="single"/>
        </w:rPr>
        <w:t xml:space="preserve">Looking for the positives? </w:t>
      </w:r>
      <w:r w:rsidR="000B480A">
        <w:rPr>
          <w:u w:val="single"/>
        </w:rPr>
        <w:t>A mixed-methods study u</w:t>
      </w:r>
      <w:r w:rsidRPr="004A13C2">
        <w:rPr>
          <w:u w:val="single"/>
        </w:rPr>
        <w:t>sing routinely collected, publicly available data to identify positive deviants in healthcare quality and safety.</w:t>
      </w:r>
    </w:p>
    <w:p w14:paraId="5C39794F" w14:textId="77777777" w:rsidR="00610023" w:rsidRDefault="00610023" w:rsidP="00610023">
      <w:pPr>
        <w:spacing w:line="276" w:lineRule="auto"/>
        <w:rPr>
          <w:u w:val="single"/>
        </w:rPr>
      </w:pPr>
    </w:p>
    <w:p w14:paraId="23EFB1C1" w14:textId="03AB1EFC" w:rsidR="00610023" w:rsidRPr="00346A78" w:rsidRDefault="00610023" w:rsidP="004D6358">
      <w:pPr>
        <w:spacing w:line="276" w:lineRule="auto"/>
        <w:outlineLvl w:val="0"/>
        <w:rPr>
          <w:b/>
        </w:rPr>
      </w:pPr>
      <w:r w:rsidRPr="00346A78">
        <w:rPr>
          <w:b/>
        </w:rPr>
        <w:t>Short title:</w:t>
      </w:r>
    </w:p>
    <w:p w14:paraId="3D82FBBA" w14:textId="77777777" w:rsidR="00610023" w:rsidRDefault="00610023" w:rsidP="004D6358">
      <w:pPr>
        <w:spacing w:line="276" w:lineRule="auto"/>
        <w:outlineLvl w:val="0"/>
        <w:rPr>
          <w:rFonts w:ascii="Arial" w:hAnsi="Arial"/>
        </w:rPr>
      </w:pPr>
      <w:r>
        <w:rPr>
          <w:u w:val="single"/>
        </w:rPr>
        <w:t>Positive deviants in quality and safety.</w:t>
      </w:r>
    </w:p>
    <w:p w14:paraId="64FFD467" w14:textId="77777777" w:rsidR="00610023" w:rsidRDefault="00610023" w:rsidP="00610023">
      <w:pPr>
        <w:spacing w:line="276" w:lineRule="auto"/>
      </w:pPr>
    </w:p>
    <w:p w14:paraId="45845859" w14:textId="77777777" w:rsidR="00610023" w:rsidRDefault="00610023" w:rsidP="004D6358">
      <w:pPr>
        <w:spacing w:line="276" w:lineRule="auto"/>
        <w:outlineLvl w:val="0"/>
      </w:pPr>
      <w:r>
        <w:t>Jane K. O’Hara*</w:t>
      </w:r>
    </w:p>
    <w:p w14:paraId="013E1B83" w14:textId="77777777" w:rsidR="00610023" w:rsidRDefault="00610023" w:rsidP="00610023">
      <w:pPr>
        <w:spacing w:line="276" w:lineRule="auto"/>
      </w:pPr>
      <w:r>
        <w:t>Leeds Institute of Medical Education, University of Leeds / Yorkshire &amp; Quality Research Group, Bradford Institute for Health Research</w:t>
      </w:r>
    </w:p>
    <w:p w14:paraId="46B22783" w14:textId="77777777" w:rsidR="00610023" w:rsidRPr="002B406D" w:rsidRDefault="00610023" w:rsidP="004D6358">
      <w:pPr>
        <w:spacing w:line="276" w:lineRule="auto"/>
        <w:outlineLvl w:val="0"/>
        <w:rPr>
          <w:u w:val="single"/>
        </w:rPr>
      </w:pPr>
      <w:r w:rsidRPr="002B406D">
        <w:rPr>
          <w:u w:val="single"/>
        </w:rPr>
        <w:t>Jane.o’hara@bthft.nhs.uk</w:t>
      </w:r>
    </w:p>
    <w:p w14:paraId="3BA2ABE6" w14:textId="77777777" w:rsidR="00610023" w:rsidRDefault="00610023" w:rsidP="00610023">
      <w:pPr>
        <w:spacing w:line="276" w:lineRule="auto"/>
      </w:pPr>
    </w:p>
    <w:p w14:paraId="6AA97DA7" w14:textId="77777777" w:rsidR="00610023" w:rsidRDefault="00610023" w:rsidP="004D6358">
      <w:pPr>
        <w:spacing w:line="276" w:lineRule="auto"/>
        <w:outlineLvl w:val="0"/>
      </w:pPr>
      <w:r>
        <w:t>Katja Grasic</w:t>
      </w:r>
    </w:p>
    <w:p w14:paraId="03466D7A" w14:textId="77777777" w:rsidR="00610023" w:rsidRDefault="00610023" w:rsidP="00610023">
      <w:pPr>
        <w:spacing w:line="276" w:lineRule="auto"/>
      </w:pPr>
      <w:r>
        <w:t>Centre for Health Economics, University of York.</w:t>
      </w:r>
    </w:p>
    <w:p w14:paraId="3FE293D3" w14:textId="77777777" w:rsidR="00610023" w:rsidRPr="00094CFE" w:rsidRDefault="009C5559" w:rsidP="00610023">
      <w:pPr>
        <w:spacing w:line="276" w:lineRule="auto"/>
        <w:rPr>
          <w:lang w:val="de-DE"/>
        </w:rPr>
      </w:pPr>
      <w:hyperlink r:id="rId9" w:history="1">
        <w:r w:rsidR="00610023" w:rsidRPr="00094CFE">
          <w:rPr>
            <w:rStyle w:val="Hyperlink"/>
            <w:lang w:val="de-DE"/>
          </w:rPr>
          <w:t>katja.grasic@york.ac.uk</w:t>
        </w:r>
      </w:hyperlink>
    </w:p>
    <w:p w14:paraId="724DC976" w14:textId="77777777" w:rsidR="00610023" w:rsidRPr="00094CFE" w:rsidRDefault="00610023" w:rsidP="00610023">
      <w:pPr>
        <w:spacing w:line="276" w:lineRule="auto"/>
        <w:rPr>
          <w:lang w:val="de-DE"/>
        </w:rPr>
      </w:pPr>
    </w:p>
    <w:p w14:paraId="2D36B379" w14:textId="77777777" w:rsidR="00610023" w:rsidRPr="00094CFE" w:rsidRDefault="00610023" w:rsidP="004D6358">
      <w:pPr>
        <w:spacing w:line="276" w:lineRule="auto"/>
        <w:outlineLvl w:val="0"/>
        <w:rPr>
          <w:lang w:val="de-DE"/>
        </w:rPr>
      </w:pPr>
      <w:r w:rsidRPr="00094CFE">
        <w:rPr>
          <w:lang w:val="de-DE"/>
        </w:rPr>
        <w:t>Nils Gutacker</w:t>
      </w:r>
    </w:p>
    <w:p w14:paraId="268FE953" w14:textId="77777777" w:rsidR="00610023" w:rsidRDefault="00610023" w:rsidP="00610023">
      <w:pPr>
        <w:spacing w:line="276" w:lineRule="auto"/>
      </w:pPr>
      <w:r>
        <w:t>Centre for Health Economics, University of York.</w:t>
      </w:r>
    </w:p>
    <w:p w14:paraId="79F6C9C0" w14:textId="77777777" w:rsidR="00610023" w:rsidRDefault="009D5C88" w:rsidP="004D6358">
      <w:pPr>
        <w:spacing w:line="276" w:lineRule="auto"/>
        <w:outlineLvl w:val="0"/>
      </w:pPr>
      <w:hyperlink r:id="rId10" w:history="1">
        <w:r w:rsidR="00610023" w:rsidRPr="005E51F9">
          <w:rPr>
            <w:rStyle w:val="Hyperlink"/>
          </w:rPr>
          <w:t>Nils.gutacker@york.ac.uk</w:t>
        </w:r>
      </w:hyperlink>
      <w:r w:rsidR="00610023">
        <w:t xml:space="preserve"> </w:t>
      </w:r>
    </w:p>
    <w:p w14:paraId="0BA6B839" w14:textId="77777777" w:rsidR="00610023" w:rsidRDefault="00610023" w:rsidP="00610023">
      <w:pPr>
        <w:spacing w:line="276" w:lineRule="auto"/>
      </w:pPr>
    </w:p>
    <w:p w14:paraId="15F624B9" w14:textId="77777777" w:rsidR="00610023" w:rsidRDefault="00610023" w:rsidP="004D6358">
      <w:pPr>
        <w:spacing w:line="276" w:lineRule="auto"/>
        <w:outlineLvl w:val="0"/>
      </w:pPr>
      <w:r>
        <w:t>Andrew Street</w:t>
      </w:r>
    </w:p>
    <w:p w14:paraId="1EEB81A9" w14:textId="53366DF1" w:rsidR="00610023" w:rsidRDefault="007B58F4" w:rsidP="00610023">
      <w:pPr>
        <w:spacing w:line="276" w:lineRule="auto"/>
      </w:pPr>
      <w:r>
        <w:t>Department of Health Policy</w:t>
      </w:r>
      <w:r w:rsidR="00610023">
        <w:t>, London School of Economics</w:t>
      </w:r>
      <w:r>
        <w:t xml:space="preserve"> and Political Science</w:t>
      </w:r>
    </w:p>
    <w:p w14:paraId="4BD9E990" w14:textId="77777777" w:rsidR="00610023" w:rsidRPr="002B406D" w:rsidRDefault="009D5C88" w:rsidP="004D6358">
      <w:pPr>
        <w:spacing w:line="276" w:lineRule="auto"/>
        <w:outlineLvl w:val="0"/>
      </w:pPr>
      <w:hyperlink r:id="rId11" w:history="1">
        <w:r w:rsidR="00610023" w:rsidRPr="002B406D">
          <w:rPr>
            <w:rStyle w:val="Hyperlink"/>
          </w:rPr>
          <w:t>A.Street@lse.ac.uk</w:t>
        </w:r>
      </w:hyperlink>
    </w:p>
    <w:p w14:paraId="01E229DC" w14:textId="77777777" w:rsidR="00610023" w:rsidRDefault="00610023" w:rsidP="00610023">
      <w:pPr>
        <w:spacing w:line="276" w:lineRule="auto"/>
      </w:pPr>
    </w:p>
    <w:p w14:paraId="5C6C89A7" w14:textId="77777777" w:rsidR="00610023" w:rsidRDefault="00610023" w:rsidP="004D6358">
      <w:pPr>
        <w:spacing w:line="276" w:lineRule="auto"/>
        <w:outlineLvl w:val="0"/>
      </w:pPr>
      <w:r>
        <w:t>Robbie Foy</w:t>
      </w:r>
    </w:p>
    <w:p w14:paraId="4AE9B65E" w14:textId="77777777" w:rsidR="00610023" w:rsidRDefault="00610023" w:rsidP="00610023">
      <w:pPr>
        <w:spacing w:line="276" w:lineRule="auto"/>
      </w:pPr>
      <w:r>
        <w:t>Leeds Institute of Health Sciences, University of Leeds.</w:t>
      </w:r>
    </w:p>
    <w:p w14:paraId="030617CF" w14:textId="77777777" w:rsidR="00610023" w:rsidRDefault="009D5C88" w:rsidP="00610023">
      <w:pPr>
        <w:spacing w:line="276" w:lineRule="auto"/>
      </w:pPr>
      <w:hyperlink r:id="rId12" w:history="1">
        <w:r w:rsidR="00610023" w:rsidRPr="005E51F9">
          <w:rPr>
            <w:rStyle w:val="Hyperlink"/>
          </w:rPr>
          <w:t>r.foy@leeds.ac.uk</w:t>
        </w:r>
      </w:hyperlink>
    </w:p>
    <w:p w14:paraId="1BCC03A5" w14:textId="77777777" w:rsidR="00610023" w:rsidRDefault="00610023" w:rsidP="00610023">
      <w:pPr>
        <w:spacing w:line="276" w:lineRule="auto"/>
      </w:pPr>
    </w:p>
    <w:p w14:paraId="7CB48132" w14:textId="77777777" w:rsidR="00610023" w:rsidRDefault="00610023" w:rsidP="004D6358">
      <w:pPr>
        <w:spacing w:line="276" w:lineRule="auto"/>
        <w:outlineLvl w:val="0"/>
      </w:pPr>
      <w:r>
        <w:t>Carl Thompson</w:t>
      </w:r>
    </w:p>
    <w:p w14:paraId="33CD4B1C" w14:textId="77777777" w:rsidR="00610023" w:rsidRDefault="00610023" w:rsidP="00610023">
      <w:pPr>
        <w:spacing w:line="276" w:lineRule="auto"/>
      </w:pPr>
      <w:r>
        <w:t>School of Healthcare, University of Leeds.</w:t>
      </w:r>
    </w:p>
    <w:p w14:paraId="65C73308" w14:textId="77777777" w:rsidR="00610023" w:rsidRPr="002B406D" w:rsidRDefault="009D5C88" w:rsidP="004D6358">
      <w:pPr>
        <w:spacing w:line="276" w:lineRule="auto"/>
        <w:outlineLvl w:val="0"/>
      </w:pPr>
      <w:hyperlink r:id="rId13" w:history="1">
        <w:r w:rsidR="00610023" w:rsidRPr="002B406D">
          <w:rPr>
            <w:rStyle w:val="Hyperlink"/>
          </w:rPr>
          <w:t>C.A.Thompson@leeds.ac.uk</w:t>
        </w:r>
      </w:hyperlink>
    </w:p>
    <w:p w14:paraId="25FDAD26" w14:textId="77777777" w:rsidR="00610023" w:rsidRDefault="00610023" w:rsidP="00610023">
      <w:pPr>
        <w:spacing w:line="276" w:lineRule="auto"/>
      </w:pPr>
    </w:p>
    <w:p w14:paraId="0FE84C38" w14:textId="77777777" w:rsidR="00610023" w:rsidRDefault="00610023" w:rsidP="004D6358">
      <w:pPr>
        <w:spacing w:line="276" w:lineRule="auto"/>
        <w:outlineLvl w:val="0"/>
      </w:pPr>
      <w:r>
        <w:t>John Wright</w:t>
      </w:r>
    </w:p>
    <w:p w14:paraId="5DC0C9C6" w14:textId="77777777" w:rsidR="00610023" w:rsidRDefault="00610023" w:rsidP="00610023">
      <w:pPr>
        <w:spacing w:line="276" w:lineRule="auto"/>
      </w:pPr>
      <w:r>
        <w:t>Yorkshire &amp; Quality Research Group, Bradford Institute for Health Research</w:t>
      </w:r>
    </w:p>
    <w:p w14:paraId="48098B11" w14:textId="77777777" w:rsidR="00610023" w:rsidRDefault="009D5C88" w:rsidP="004D6358">
      <w:pPr>
        <w:spacing w:line="276" w:lineRule="auto"/>
        <w:outlineLvl w:val="0"/>
      </w:pPr>
      <w:hyperlink r:id="rId14" w:history="1">
        <w:r w:rsidR="00610023" w:rsidRPr="005E51F9">
          <w:rPr>
            <w:rStyle w:val="Hyperlink"/>
          </w:rPr>
          <w:t>John.wright@bthft.nhs.uk</w:t>
        </w:r>
      </w:hyperlink>
    </w:p>
    <w:p w14:paraId="3128F8B9" w14:textId="77777777" w:rsidR="00610023" w:rsidRDefault="00610023" w:rsidP="00610023">
      <w:pPr>
        <w:spacing w:line="276" w:lineRule="auto"/>
      </w:pPr>
    </w:p>
    <w:p w14:paraId="0BDA9A1E" w14:textId="77777777" w:rsidR="00610023" w:rsidRDefault="00610023" w:rsidP="004D6358">
      <w:pPr>
        <w:spacing w:line="276" w:lineRule="auto"/>
        <w:outlineLvl w:val="0"/>
      </w:pPr>
      <w:r>
        <w:t>Rebecca Lawton</w:t>
      </w:r>
    </w:p>
    <w:p w14:paraId="5C571A42" w14:textId="77777777" w:rsidR="00610023" w:rsidRDefault="00610023" w:rsidP="00610023">
      <w:pPr>
        <w:spacing w:line="276" w:lineRule="auto"/>
      </w:pPr>
      <w:r>
        <w:t>School of Psychology, University of Leeds / Yorkshire &amp; Quality Research Group, Bradford Institute for Health Research.</w:t>
      </w:r>
    </w:p>
    <w:p w14:paraId="14973A02" w14:textId="77777777" w:rsidR="00610023" w:rsidRDefault="009D5C88" w:rsidP="00610023">
      <w:pPr>
        <w:spacing w:line="276" w:lineRule="auto"/>
      </w:pPr>
      <w:hyperlink r:id="rId15" w:history="1">
        <w:r w:rsidR="00610023" w:rsidRPr="005E51F9">
          <w:rPr>
            <w:rStyle w:val="Hyperlink"/>
          </w:rPr>
          <w:t>r.j.lawton@leeds.ac.uk</w:t>
        </w:r>
      </w:hyperlink>
    </w:p>
    <w:p w14:paraId="08992503" w14:textId="77777777" w:rsidR="00610023" w:rsidRDefault="00610023" w:rsidP="00610023">
      <w:pPr>
        <w:spacing w:line="276" w:lineRule="auto"/>
      </w:pPr>
    </w:p>
    <w:p w14:paraId="762DA619" w14:textId="77777777" w:rsidR="00610023" w:rsidRPr="00024D38" w:rsidRDefault="00610023" w:rsidP="004D6358">
      <w:pPr>
        <w:spacing w:line="276" w:lineRule="auto"/>
        <w:outlineLvl w:val="0"/>
        <w:rPr>
          <w:b/>
        </w:rPr>
      </w:pPr>
      <w:r w:rsidRPr="00024D38">
        <w:rPr>
          <w:b/>
        </w:rPr>
        <w:t>Competing interests</w:t>
      </w:r>
    </w:p>
    <w:p w14:paraId="504A0E42" w14:textId="77777777" w:rsidR="00610023" w:rsidRDefault="00610023" w:rsidP="004D6358">
      <w:pPr>
        <w:spacing w:line="276" w:lineRule="auto"/>
        <w:outlineLvl w:val="0"/>
      </w:pPr>
      <w:r>
        <w:lastRenderedPageBreak/>
        <w:t>We declare that we have no competing interests.</w:t>
      </w:r>
    </w:p>
    <w:p w14:paraId="4411D983" w14:textId="77777777" w:rsidR="00610023" w:rsidRDefault="00610023" w:rsidP="00610023">
      <w:pPr>
        <w:spacing w:line="276" w:lineRule="auto"/>
      </w:pPr>
    </w:p>
    <w:p w14:paraId="7BD240C4" w14:textId="77777777" w:rsidR="00610023" w:rsidRDefault="00610023" w:rsidP="004D6358">
      <w:pPr>
        <w:spacing w:line="276" w:lineRule="auto"/>
        <w:outlineLvl w:val="0"/>
        <w:rPr>
          <w:b/>
        </w:rPr>
      </w:pPr>
      <w:r w:rsidRPr="00024D38">
        <w:rPr>
          <w:b/>
        </w:rPr>
        <w:t>Funding</w:t>
      </w:r>
    </w:p>
    <w:p w14:paraId="4C0B98A9" w14:textId="77777777" w:rsidR="00610023" w:rsidRDefault="00610023" w:rsidP="004D6358">
      <w:pPr>
        <w:spacing w:line="276" w:lineRule="auto"/>
        <w:outlineLvl w:val="0"/>
      </w:pPr>
      <w:r w:rsidRPr="00EA77DA">
        <w:t>The research was funded b</w:t>
      </w:r>
      <w:r>
        <w:t>y the NIHR CLAHRC Yorkshire and Humber</w:t>
      </w:r>
    </w:p>
    <w:p w14:paraId="73EC762A" w14:textId="77777777" w:rsidR="00610023" w:rsidRDefault="009D5C88" w:rsidP="00610023">
      <w:pPr>
        <w:spacing w:line="276" w:lineRule="auto"/>
      </w:pPr>
      <w:hyperlink r:id="rId16" w:history="1">
        <w:r w:rsidR="00610023" w:rsidRPr="00B91CDC">
          <w:rPr>
            <w:rStyle w:val="Hyperlink"/>
          </w:rPr>
          <w:t>http://clahrc-yh.nihr.ac.uk</w:t>
        </w:r>
      </w:hyperlink>
      <w:r w:rsidR="00610023">
        <w:t xml:space="preserve">.   </w:t>
      </w:r>
      <w:r w:rsidR="00610023" w:rsidRPr="00EA77DA">
        <w:t>The views ex</w:t>
      </w:r>
      <w:r w:rsidR="00610023">
        <w:t>pressed are those of the authors</w:t>
      </w:r>
      <w:r w:rsidR="00610023" w:rsidRPr="00EA77DA">
        <w:t xml:space="preserve"> and not necessarily those of the NHS, the NIHR or the Department of Health.</w:t>
      </w:r>
    </w:p>
    <w:p w14:paraId="517E233E" w14:textId="77777777" w:rsidR="00610023" w:rsidRDefault="00610023" w:rsidP="00610023">
      <w:pPr>
        <w:spacing w:line="276" w:lineRule="auto"/>
        <w:rPr>
          <w:b/>
        </w:rPr>
      </w:pPr>
    </w:p>
    <w:p w14:paraId="6F1AD045" w14:textId="77777777" w:rsidR="00610023" w:rsidRDefault="00610023" w:rsidP="004D6358">
      <w:pPr>
        <w:spacing w:line="276" w:lineRule="auto"/>
        <w:outlineLvl w:val="0"/>
        <w:rPr>
          <w:b/>
        </w:rPr>
      </w:pPr>
      <w:r>
        <w:rPr>
          <w:b/>
        </w:rPr>
        <w:t>Ethical approval</w:t>
      </w:r>
    </w:p>
    <w:p w14:paraId="72B4E398" w14:textId="77777777" w:rsidR="00610023" w:rsidRDefault="00610023" w:rsidP="004D6358">
      <w:pPr>
        <w:spacing w:line="276" w:lineRule="auto"/>
        <w:outlineLvl w:val="0"/>
      </w:pPr>
      <w:r>
        <w:t>This study did not require ethical approval.</w:t>
      </w:r>
    </w:p>
    <w:p w14:paraId="208C3A3A" w14:textId="77777777" w:rsidR="00610023" w:rsidRDefault="00610023" w:rsidP="00610023">
      <w:pPr>
        <w:spacing w:line="276" w:lineRule="auto"/>
      </w:pPr>
    </w:p>
    <w:p w14:paraId="3EA28E39" w14:textId="77777777" w:rsidR="00610023" w:rsidRDefault="00610023" w:rsidP="004D6358">
      <w:pPr>
        <w:spacing w:line="276" w:lineRule="auto"/>
        <w:outlineLvl w:val="0"/>
        <w:rPr>
          <w:b/>
        </w:rPr>
      </w:pPr>
      <w:r w:rsidRPr="00C73DEB">
        <w:rPr>
          <w:b/>
        </w:rPr>
        <w:t>Guarantor</w:t>
      </w:r>
    </w:p>
    <w:p w14:paraId="7D3701A9" w14:textId="77777777" w:rsidR="00610023" w:rsidRPr="00096A1C" w:rsidRDefault="00610023" w:rsidP="004D6358">
      <w:pPr>
        <w:spacing w:line="276" w:lineRule="auto"/>
        <w:outlineLvl w:val="0"/>
      </w:pPr>
      <w:r>
        <w:t>JOH is the submitting author and acts as guarantor for the manuscript.</w:t>
      </w:r>
    </w:p>
    <w:p w14:paraId="4247B23F" w14:textId="77777777" w:rsidR="00610023" w:rsidRDefault="00610023" w:rsidP="00610023">
      <w:pPr>
        <w:spacing w:line="276" w:lineRule="auto"/>
      </w:pPr>
    </w:p>
    <w:p w14:paraId="538DEC7C" w14:textId="77777777" w:rsidR="00610023" w:rsidRDefault="00610023" w:rsidP="004D6358">
      <w:pPr>
        <w:spacing w:line="276" w:lineRule="auto"/>
        <w:outlineLvl w:val="0"/>
        <w:rPr>
          <w:b/>
        </w:rPr>
      </w:pPr>
      <w:r w:rsidRPr="00C73DEB">
        <w:rPr>
          <w:b/>
        </w:rPr>
        <w:t>Contributorship</w:t>
      </w:r>
    </w:p>
    <w:p w14:paraId="06B62379" w14:textId="77777777" w:rsidR="00610023" w:rsidRPr="00E07F9E" w:rsidRDefault="00610023" w:rsidP="00610023">
      <w:pPr>
        <w:spacing w:line="276" w:lineRule="auto"/>
      </w:pPr>
      <w:r w:rsidRPr="00E07F9E">
        <w:t>JOH</w:t>
      </w:r>
      <w:r>
        <w:t xml:space="preserve"> drafted the paper, and managed the project described. RL led the project, with AS, KG, NG conducting the statistical analysis. RL, RF, CT, JW all contributed to the expert group and helped draft the paper. All authors commented on and agreed the final draft of the manuscript.</w:t>
      </w:r>
    </w:p>
    <w:p w14:paraId="147B84F1" w14:textId="77777777" w:rsidR="00610023" w:rsidRDefault="00610023" w:rsidP="00610023">
      <w:pPr>
        <w:spacing w:line="276" w:lineRule="auto"/>
      </w:pPr>
    </w:p>
    <w:p w14:paraId="61A7DCED" w14:textId="77777777" w:rsidR="00610023" w:rsidRPr="00C73DEB" w:rsidRDefault="00610023" w:rsidP="004D6358">
      <w:pPr>
        <w:spacing w:line="276" w:lineRule="auto"/>
        <w:outlineLvl w:val="0"/>
        <w:rPr>
          <w:b/>
        </w:rPr>
      </w:pPr>
      <w:r w:rsidRPr="00C73DEB">
        <w:rPr>
          <w:b/>
        </w:rPr>
        <w:t>Acknowledgements</w:t>
      </w:r>
    </w:p>
    <w:p w14:paraId="7FD365F5" w14:textId="77777777" w:rsidR="00610023" w:rsidRDefault="00610023" w:rsidP="00610023">
      <w:pPr>
        <w:spacing w:line="276" w:lineRule="auto"/>
      </w:pPr>
      <w:r>
        <w:t>The authors would like to thank the members of the CLAHRC YH ‘Evidence Based Transformations in the NHS’ Steering Group for their contributions to this study.</w:t>
      </w:r>
    </w:p>
    <w:p w14:paraId="6BFB5D7D" w14:textId="77777777" w:rsidR="00610023" w:rsidRPr="00086599" w:rsidRDefault="00610023" w:rsidP="00610023">
      <w:pPr>
        <w:spacing w:line="276" w:lineRule="auto"/>
      </w:pPr>
    </w:p>
    <w:p w14:paraId="253E7D6C" w14:textId="77777777" w:rsidR="00610023" w:rsidRPr="0082406D" w:rsidRDefault="00610023" w:rsidP="004D6358">
      <w:pPr>
        <w:spacing w:line="276" w:lineRule="auto"/>
        <w:outlineLvl w:val="0"/>
      </w:pPr>
      <w:r w:rsidRPr="0082406D">
        <w:t>Abstract word count: 248</w:t>
      </w:r>
    </w:p>
    <w:p w14:paraId="695E5932" w14:textId="5E94BC87" w:rsidR="00610023" w:rsidRPr="0082406D" w:rsidRDefault="00C37400" w:rsidP="00610023">
      <w:pPr>
        <w:spacing w:line="276" w:lineRule="auto"/>
      </w:pPr>
      <w:r>
        <w:t>Main text word count: 4067</w:t>
      </w:r>
    </w:p>
    <w:p w14:paraId="6390BF82" w14:textId="35CCC39E" w:rsidR="00610023" w:rsidRPr="0082406D" w:rsidRDefault="00C37400" w:rsidP="00610023">
      <w:pPr>
        <w:spacing w:line="276" w:lineRule="auto"/>
      </w:pPr>
      <w:r>
        <w:t>Number of figures and tables: 6</w:t>
      </w:r>
    </w:p>
    <w:p w14:paraId="430FD117" w14:textId="49802313" w:rsidR="00610023" w:rsidRPr="00086599" w:rsidRDefault="00C37400" w:rsidP="00610023">
      <w:pPr>
        <w:spacing w:line="276" w:lineRule="auto"/>
        <w:rPr>
          <w:i/>
        </w:rPr>
      </w:pPr>
      <w:r>
        <w:t>Appendices: 3</w:t>
      </w:r>
      <w:bookmarkStart w:id="0" w:name="_GoBack"/>
      <w:bookmarkEnd w:id="0"/>
    </w:p>
    <w:p w14:paraId="50D54AA7" w14:textId="77777777" w:rsidR="00610023" w:rsidRDefault="00610023" w:rsidP="00610023">
      <w:pPr>
        <w:rPr>
          <w:b/>
        </w:rPr>
      </w:pPr>
      <w:r>
        <w:rPr>
          <w:b/>
        </w:rPr>
        <w:br w:type="page"/>
      </w:r>
    </w:p>
    <w:p w14:paraId="219DC6B5" w14:textId="77777777" w:rsidR="00610023" w:rsidRDefault="00610023" w:rsidP="00610023">
      <w:pPr>
        <w:spacing w:line="276" w:lineRule="auto"/>
        <w:rPr>
          <w:b/>
        </w:rPr>
      </w:pPr>
    </w:p>
    <w:p w14:paraId="3CDCBFA8" w14:textId="77777777" w:rsidR="00610023" w:rsidRDefault="00610023" w:rsidP="004D6358">
      <w:pPr>
        <w:spacing w:line="276" w:lineRule="auto"/>
        <w:outlineLvl w:val="0"/>
        <w:rPr>
          <w:b/>
        </w:rPr>
      </w:pPr>
      <w:r>
        <w:rPr>
          <w:b/>
        </w:rPr>
        <w:t>Abstract:</w:t>
      </w:r>
    </w:p>
    <w:p w14:paraId="7BB168D1" w14:textId="77777777" w:rsidR="00610023" w:rsidRDefault="00610023" w:rsidP="00610023">
      <w:pPr>
        <w:spacing w:line="276" w:lineRule="auto"/>
        <w:rPr>
          <w:b/>
        </w:rPr>
      </w:pPr>
    </w:p>
    <w:p w14:paraId="600F237E" w14:textId="04AA5D56" w:rsidR="00610023" w:rsidRPr="000C0655" w:rsidRDefault="00610023" w:rsidP="004D6358">
      <w:pPr>
        <w:spacing w:line="276" w:lineRule="auto"/>
        <w:outlineLvl w:val="0"/>
        <w:rPr>
          <w:b/>
          <w:color w:val="2A2A2A"/>
          <w:shd w:val="clear" w:color="auto" w:fill="FFFFFF"/>
        </w:rPr>
      </w:pPr>
      <w:r w:rsidRPr="000C0655">
        <w:rPr>
          <w:b/>
          <w:color w:val="2A2A2A"/>
          <w:shd w:val="clear" w:color="auto" w:fill="FFFFFF"/>
        </w:rPr>
        <w:t>Objective</w:t>
      </w:r>
      <w:r w:rsidR="009D5C88">
        <w:rPr>
          <w:b/>
          <w:color w:val="2A2A2A"/>
          <w:shd w:val="clear" w:color="auto" w:fill="FFFFFF"/>
        </w:rPr>
        <w:t>s</w:t>
      </w:r>
      <w:r>
        <w:rPr>
          <w:b/>
          <w:color w:val="2A2A2A"/>
          <w:shd w:val="clear" w:color="auto" w:fill="FFFFFF"/>
        </w:rPr>
        <w:t>:</w:t>
      </w:r>
    </w:p>
    <w:p w14:paraId="3FD1857F" w14:textId="77777777" w:rsidR="00610023" w:rsidRPr="003140A0" w:rsidRDefault="00610023" w:rsidP="00610023">
      <w:pPr>
        <w:spacing w:line="276" w:lineRule="auto"/>
      </w:pPr>
      <w:r w:rsidRPr="003140A0">
        <w:t xml:space="preserve">Solutions to quality and safety problems exist within healthcare organisations, but to maximise the learning from these positive deviants, we first need to identify them. This study explores </w:t>
      </w:r>
      <w:r>
        <w:t>using</w:t>
      </w:r>
      <w:r w:rsidRPr="003140A0">
        <w:t xml:space="preserve"> routinely collected</w:t>
      </w:r>
      <w:r>
        <w:t>,</w:t>
      </w:r>
      <w:r w:rsidRPr="003140A0">
        <w:t xml:space="preserve"> publicly available data in England to identify pos</w:t>
      </w:r>
      <w:r>
        <w:t xml:space="preserve">itively deviant services </w:t>
      </w:r>
      <w:r w:rsidRPr="003140A0">
        <w:t>in one region of the country.</w:t>
      </w:r>
    </w:p>
    <w:p w14:paraId="63FB221D" w14:textId="77777777" w:rsidR="00610023" w:rsidRPr="003140A0" w:rsidRDefault="00610023" w:rsidP="004D6358">
      <w:pPr>
        <w:spacing w:line="276" w:lineRule="auto"/>
        <w:outlineLvl w:val="0"/>
        <w:rPr>
          <w:b/>
        </w:rPr>
      </w:pPr>
      <w:r>
        <w:rPr>
          <w:b/>
        </w:rPr>
        <w:t>Design and setting:</w:t>
      </w:r>
    </w:p>
    <w:p w14:paraId="3458AF97" w14:textId="77777777" w:rsidR="00610023" w:rsidRPr="003140A0" w:rsidRDefault="00610023" w:rsidP="00610023">
      <w:pPr>
        <w:spacing w:line="276" w:lineRule="auto"/>
      </w:pPr>
      <w:r>
        <w:t>A</w:t>
      </w:r>
      <w:r w:rsidRPr="003140A0">
        <w:t xml:space="preserve"> mixed methods study undertaken July 2014 </w:t>
      </w:r>
      <w:r>
        <w:t xml:space="preserve">to </w:t>
      </w:r>
      <w:r w:rsidRPr="003140A0">
        <w:t>February 2015, employing expert discussion, consensus, and statistical modelling to identify indicators of quality and safety, establish a set of criteria to inform decisions about which indicators were robust and useful measures</w:t>
      </w:r>
      <w:r>
        <w:t>,</w:t>
      </w:r>
      <w:r w:rsidRPr="003140A0">
        <w:t xml:space="preserve"> and whether these could be used to identify positive deviants. </w:t>
      </w:r>
    </w:p>
    <w:p w14:paraId="495513C3" w14:textId="77777777" w:rsidR="00610023" w:rsidRDefault="00610023" w:rsidP="00610023">
      <w:pPr>
        <w:spacing w:line="276" w:lineRule="auto"/>
      </w:pPr>
      <w:r w:rsidRPr="003140A0">
        <w:rPr>
          <w:b/>
        </w:rPr>
        <w:t>Results</w:t>
      </w:r>
      <w:r w:rsidRPr="003140A0">
        <w:t xml:space="preserve">: </w:t>
      </w:r>
    </w:p>
    <w:p w14:paraId="5FE40CDC" w14:textId="77777777" w:rsidR="00610023" w:rsidRPr="003140A0" w:rsidRDefault="00610023" w:rsidP="00610023">
      <w:pPr>
        <w:spacing w:line="276" w:lineRule="auto"/>
      </w:pPr>
      <w:r>
        <w:t>We identified 49</w:t>
      </w:r>
      <w:r w:rsidRPr="003140A0">
        <w:t xml:space="preserve"> indicators of quality and safety </w:t>
      </w:r>
      <w:r>
        <w:t xml:space="preserve">from </w:t>
      </w:r>
      <w:r w:rsidRPr="003140A0">
        <w:t xml:space="preserve">acute </w:t>
      </w:r>
      <w:r>
        <w:t>care settings across 8</w:t>
      </w:r>
      <w:r w:rsidRPr="003140A0">
        <w:t xml:space="preserve"> data</w:t>
      </w:r>
      <w:r>
        <w:t xml:space="preserve"> </w:t>
      </w:r>
      <w:r w:rsidRPr="003140A0">
        <w:t xml:space="preserve">sources. </w:t>
      </w:r>
      <w:r>
        <w:t xml:space="preserve">Twenty six </w:t>
      </w:r>
      <w:r w:rsidRPr="003140A0">
        <w:t>indic</w:t>
      </w:r>
      <w:r>
        <w:t>a</w:t>
      </w:r>
      <w:r w:rsidRPr="003140A0">
        <w:t xml:space="preserve">tors did not allow comparison of quality at the sub-hospital level. Of the 23 remaining indicators, 12 met </w:t>
      </w:r>
      <w:r>
        <w:t>all criteria</w:t>
      </w:r>
      <w:r w:rsidRPr="003140A0">
        <w:t xml:space="preserve"> and were possible candidates for identifying positive deviants. Four indicators (readmission </w:t>
      </w:r>
      <w:r>
        <w:t xml:space="preserve">and </w:t>
      </w:r>
      <w:r w:rsidRPr="003140A0">
        <w:t>patient reported outcomes for hip and knee surgery</w:t>
      </w:r>
      <w:r>
        <w:t>)</w:t>
      </w:r>
      <w:r w:rsidRPr="003140A0">
        <w:t xml:space="preserve"> offered indicators of the same service</w:t>
      </w:r>
      <w:r>
        <w:t xml:space="preserve">. These </w:t>
      </w:r>
      <w:r w:rsidRPr="003140A0">
        <w:t xml:space="preserve">were </w:t>
      </w:r>
      <w:r>
        <w:t>selected by an expert group as</w:t>
      </w:r>
      <w:r w:rsidRPr="003140A0">
        <w:t xml:space="preserve"> the basis for statistical modelling</w:t>
      </w:r>
      <w:r>
        <w:t>, which supported identification of</w:t>
      </w:r>
      <w:r w:rsidRPr="003140A0">
        <w:t xml:space="preserve"> one service in Yorkshire and Humber </w:t>
      </w:r>
      <w:r>
        <w:t>showing</w:t>
      </w:r>
      <w:r w:rsidRPr="003140A0">
        <w:t xml:space="preserve"> a 50% positive deviation from the national average.</w:t>
      </w:r>
    </w:p>
    <w:p w14:paraId="4ACE38C6" w14:textId="77777777" w:rsidR="00610023" w:rsidRPr="003140A0" w:rsidRDefault="00610023" w:rsidP="004D6358">
      <w:pPr>
        <w:spacing w:line="276" w:lineRule="auto"/>
        <w:outlineLvl w:val="0"/>
        <w:rPr>
          <w:b/>
        </w:rPr>
      </w:pPr>
      <w:r>
        <w:rPr>
          <w:b/>
        </w:rPr>
        <w:t>Conclusion</w:t>
      </w:r>
      <w:r w:rsidRPr="003140A0">
        <w:rPr>
          <w:b/>
        </w:rPr>
        <w:t xml:space="preserve">: </w:t>
      </w:r>
    </w:p>
    <w:p w14:paraId="6464F080" w14:textId="77777777" w:rsidR="00610023" w:rsidRDefault="00610023" w:rsidP="00610023">
      <w:pPr>
        <w:spacing w:line="276" w:lineRule="auto"/>
      </w:pPr>
      <w:r>
        <w:t>R</w:t>
      </w:r>
      <w:r w:rsidRPr="003140A0">
        <w:t>elatively few indicators of quality an</w:t>
      </w:r>
      <w:r>
        <w:t xml:space="preserve">d safety relate to a service level, </w:t>
      </w:r>
      <w:r w:rsidRPr="003140A0">
        <w:t xml:space="preserve">making meaningful comparisons </w:t>
      </w:r>
      <w:r>
        <w:t xml:space="preserve">and local improvement based on the measures, difficult. </w:t>
      </w:r>
      <w:r w:rsidRPr="003140A0">
        <w:t>It was possible</w:t>
      </w:r>
      <w:r>
        <w:t>, however,</w:t>
      </w:r>
      <w:r w:rsidRPr="003140A0">
        <w:t xml:space="preserve"> to identify a set of indicators that provided robust measurement of the quality and safety </w:t>
      </w:r>
      <w:r>
        <w:t xml:space="preserve">of </w:t>
      </w:r>
      <w:r w:rsidRPr="003140A0">
        <w:t xml:space="preserve">services providing hip and knee surgery. </w:t>
      </w:r>
    </w:p>
    <w:p w14:paraId="0F6B3FE9" w14:textId="77777777" w:rsidR="00610023" w:rsidRDefault="00610023" w:rsidP="00610023">
      <w:pPr>
        <w:spacing w:line="276" w:lineRule="auto"/>
      </w:pPr>
    </w:p>
    <w:p w14:paraId="207F8638" w14:textId="77777777" w:rsidR="00610023" w:rsidRDefault="00610023" w:rsidP="004D6358">
      <w:pPr>
        <w:spacing w:line="276" w:lineRule="auto"/>
        <w:outlineLvl w:val="0"/>
        <w:rPr>
          <w:b/>
        </w:rPr>
      </w:pPr>
      <w:r w:rsidRPr="00E013D7">
        <w:rPr>
          <w:b/>
        </w:rPr>
        <w:t xml:space="preserve">Key words: </w:t>
      </w:r>
    </w:p>
    <w:p w14:paraId="574CCB23" w14:textId="77777777" w:rsidR="00610023" w:rsidRPr="00E013D7" w:rsidRDefault="00610023" w:rsidP="004D6358">
      <w:pPr>
        <w:spacing w:line="276" w:lineRule="auto"/>
        <w:outlineLvl w:val="0"/>
      </w:pPr>
      <w:r>
        <w:t>Positive deviance, quality measurement, safety measurement, outliers.</w:t>
      </w:r>
    </w:p>
    <w:p w14:paraId="3819F1C8" w14:textId="77777777" w:rsidR="00610023" w:rsidRPr="003140A0" w:rsidRDefault="00610023" w:rsidP="00610023">
      <w:pPr>
        <w:spacing w:line="276" w:lineRule="auto"/>
      </w:pPr>
    </w:p>
    <w:p w14:paraId="565D46FE" w14:textId="77777777" w:rsidR="00610023" w:rsidRDefault="00610023" w:rsidP="00610023">
      <w:pPr>
        <w:rPr>
          <w:b/>
        </w:rPr>
      </w:pPr>
      <w:r>
        <w:rPr>
          <w:b/>
        </w:rPr>
        <w:br w:type="page"/>
      </w:r>
    </w:p>
    <w:p w14:paraId="53796719" w14:textId="77777777" w:rsidR="00610023" w:rsidRPr="00086599" w:rsidRDefault="00610023" w:rsidP="004D6358">
      <w:pPr>
        <w:outlineLvl w:val="0"/>
        <w:rPr>
          <w:b/>
        </w:rPr>
      </w:pPr>
      <w:r w:rsidRPr="00086599">
        <w:rPr>
          <w:b/>
        </w:rPr>
        <w:lastRenderedPageBreak/>
        <w:t xml:space="preserve">Introduction </w:t>
      </w:r>
    </w:p>
    <w:p w14:paraId="73750857" w14:textId="77777777" w:rsidR="00610023" w:rsidRDefault="00610023" w:rsidP="00610023">
      <w:pPr>
        <w:spacing w:line="276" w:lineRule="auto"/>
      </w:pPr>
    </w:p>
    <w:p w14:paraId="6BCDDEC6" w14:textId="77777777" w:rsidR="00610023" w:rsidRDefault="00610023" w:rsidP="00610023">
      <w:pPr>
        <w:pStyle w:val="Body"/>
        <w:spacing w:line="276" w:lineRule="auto"/>
      </w:pPr>
      <w:r>
        <w:t xml:space="preserve">Positive deviance, originally founded in international public health[1] is an approach to supporting quality improvements through </w:t>
      </w:r>
      <w:r>
        <w:rPr>
          <w:lang w:val="fr-FR"/>
        </w:rPr>
        <w:t xml:space="preserve">identification </w:t>
      </w:r>
      <w:r>
        <w:t xml:space="preserve">of  successful solutions to problems from communities, teams or individuals that show consistently exceptional performance in the area of interest.[2-3] The power of positive deviance lies in the identification of strategies to solve a problem </w:t>
      </w:r>
      <w:r>
        <w:rPr>
          <w:i/>
          <w:iCs/>
        </w:rPr>
        <w:t>from within the same community experiencing the problem</w:t>
      </w:r>
      <w:r>
        <w:t>. Such strategies are, arguably, more likely to be adopted and sustained by the wider community.[1]   Bradley and colleagues[4] have outlined a four stage process (see Figure 1) for using positive deviance within healthcare. The first stage in this process is the identification of positive outliers.</w:t>
      </w:r>
    </w:p>
    <w:p w14:paraId="53E844CB" w14:textId="77777777" w:rsidR="00610023" w:rsidRDefault="00610023" w:rsidP="00610023">
      <w:pPr>
        <w:spacing w:line="276" w:lineRule="auto"/>
      </w:pPr>
    </w:p>
    <w:p w14:paraId="10A40B1F" w14:textId="77777777" w:rsidR="00610023" w:rsidRDefault="00610023" w:rsidP="00610023">
      <w:pPr>
        <w:spacing w:line="276" w:lineRule="auto"/>
      </w:pPr>
      <w:r>
        <w:t xml:space="preserve">Methods for identifying performance outliers have been used for fifty years in healthcare (e.g. ‘tracers’[5]) but are fraught with methodological and conceptual issues, including multiple ways of measuring the same thing,[6] as well as problems with the simple act of ‘measurement’ itself.[7] Whilst the identification of outliers in healthcare is not new, focussing on the ‘positive’ end of the distribution is more novel.[3] Positive deviance is no mere statistical or technical exercise; it is an improvement method that </w:t>
      </w:r>
      <w:r w:rsidRPr="00305ACA">
        <w:t>seek</w:t>
      </w:r>
      <w:r>
        <w:t>s</w:t>
      </w:r>
      <w:r w:rsidRPr="00305ACA">
        <w:t xml:space="preserve"> to understand the natur</w:t>
      </w:r>
      <w:r>
        <w:t>e of the ‘deviance’, and</w:t>
      </w:r>
      <w:r w:rsidRPr="00305ACA">
        <w:t xml:space="preserve"> to spread sustainable solutions to the wider healthcare community. </w:t>
      </w:r>
      <w:r>
        <w:t xml:space="preserve">This </w:t>
      </w:r>
      <w:r w:rsidRPr="00305ACA">
        <w:t>focus</w:t>
      </w:r>
      <w:r>
        <w:t xml:space="preserve"> </w:t>
      </w:r>
      <w:r w:rsidRPr="00305ACA">
        <w:t xml:space="preserve">mitigates some of the concerns raised in recent critiques of the assessment of quality </w:t>
      </w:r>
      <w:r>
        <w:t>and safety in healthcare</w:t>
      </w:r>
      <w:r w:rsidRPr="00305ACA">
        <w:t>,</w:t>
      </w:r>
      <w:r>
        <w:t>[6,8]</w:t>
      </w:r>
      <w:r w:rsidRPr="00305ACA">
        <w:t xml:space="preserve"> as </w:t>
      </w:r>
      <w:r>
        <w:t>outliers are identified with the explicit purpose of learning how they achieve this status.</w:t>
      </w:r>
    </w:p>
    <w:p w14:paraId="004B62E8" w14:textId="77777777" w:rsidR="00610023" w:rsidRDefault="00610023" w:rsidP="00610023">
      <w:pPr>
        <w:spacing w:line="276" w:lineRule="auto"/>
      </w:pPr>
    </w:p>
    <w:p w14:paraId="671E0C0F" w14:textId="430CA68B" w:rsidR="00610023" w:rsidRDefault="00610023" w:rsidP="00610023">
      <w:pPr>
        <w:spacing w:line="276" w:lineRule="auto"/>
      </w:pPr>
      <w:r>
        <w:t xml:space="preserve">The positive deviance approach has recently begun to gain traction within health services, with successful application across such diverse areas as hand hygiene,[9] acute cardiac care,[10] and diabetes care in nursing homes.[11]  However, a recent systematic review highlighted that greater transparency is required in the reporting of methods used to identify variance, particularly due to the novelty of this approach in healthcare.[2]  </w:t>
      </w:r>
      <w:r w:rsidR="007B58F4">
        <w:t xml:space="preserve">But </w:t>
      </w:r>
      <w:r>
        <w:t xml:space="preserve">if the method is to be used more widely than healthcare research, it is important to understand whether </w:t>
      </w:r>
      <w:r w:rsidR="007B58F4">
        <w:t xml:space="preserve">routinely collected </w:t>
      </w:r>
      <w:r>
        <w:t>data</w:t>
      </w:r>
      <w:r w:rsidR="007B58F4">
        <w:t xml:space="preserve"> can be used to </w:t>
      </w:r>
      <w:r>
        <w:t>understand variation</w:t>
      </w:r>
      <w:r w:rsidR="007B58F4">
        <w:t xml:space="preserve"> in</w:t>
      </w:r>
      <w:r>
        <w:t xml:space="preserve"> </w:t>
      </w:r>
      <w:r w:rsidR="007B58F4">
        <w:t xml:space="preserve">quality and safety </w:t>
      </w:r>
      <w:r>
        <w:t>across services, and whether it is possible to identify positive outliers from these existing data sources.</w:t>
      </w:r>
    </w:p>
    <w:p w14:paraId="06C19AFC" w14:textId="77777777" w:rsidR="00610023" w:rsidRDefault="00610023" w:rsidP="00610023">
      <w:pPr>
        <w:spacing w:line="276" w:lineRule="auto"/>
      </w:pPr>
    </w:p>
    <w:p w14:paraId="4C6356E4" w14:textId="77777777" w:rsidR="00610023" w:rsidRPr="001F4F08" w:rsidRDefault="00610023" w:rsidP="004D6358">
      <w:pPr>
        <w:spacing w:line="276" w:lineRule="auto"/>
        <w:outlineLvl w:val="0"/>
        <w:rPr>
          <w:i/>
        </w:rPr>
      </w:pPr>
      <w:r w:rsidRPr="001F4F08">
        <w:rPr>
          <w:i/>
        </w:rPr>
        <w:t>Aim</w:t>
      </w:r>
    </w:p>
    <w:p w14:paraId="1A093C27" w14:textId="77777777" w:rsidR="00610023" w:rsidRDefault="00610023" w:rsidP="00610023">
      <w:pPr>
        <w:pStyle w:val="Body"/>
        <w:spacing w:line="276" w:lineRule="auto"/>
      </w:pPr>
      <w:r>
        <w:t xml:space="preserve">This paper describes our exploration of the initial stage of the positive deviance approach (stage one in Figure 1). Our overall aim was to explore the identification of hospital services that demonstrate exemplary quality and safety performance in a single </w:t>
      </w:r>
      <w:r>
        <w:rPr>
          <w:lang w:val="it-IT"/>
        </w:rPr>
        <w:t>region in England</w:t>
      </w:r>
      <w:r>
        <w:t xml:space="preserve"> using routinely collected, publicly available data. </w:t>
      </w:r>
    </w:p>
    <w:p w14:paraId="6F55570B" w14:textId="77777777" w:rsidR="00610023" w:rsidRDefault="00610023" w:rsidP="00610023">
      <w:pPr>
        <w:spacing w:line="276" w:lineRule="auto"/>
      </w:pPr>
    </w:p>
    <w:p w14:paraId="37F927A6" w14:textId="77777777" w:rsidR="00610023" w:rsidRDefault="00610023" w:rsidP="00610023">
      <w:pPr>
        <w:spacing w:line="276" w:lineRule="auto"/>
      </w:pPr>
      <w:r>
        <w:rPr>
          <w:noProof/>
          <w:lang w:val="en-US"/>
        </w:rPr>
        <w:lastRenderedPageBreak/>
        <w:drawing>
          <wp:inline distT="0" distB="0" distL="0" distR="0" wp14:anchorId="4D9EDE8E" wp14:editId="62CCCD7E">
            <wp:extent cx="5276850" cy="3943350"/>
            <wp:effectExtent l="0" t="0" r="0" b="0"/>
            <wp:docPr id="3" name="Picture 1" descr="http://qualitysafety.bmj.com/content/early/2015/11/20/bmjqs-2015-004386/F1.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qualitysafety.bmj.com/content/early/2015/11/20/bmjqs-2015-004386/F1.larg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6850" cy="3943350"/>
                    </a:xfrm>
                    <a:prstGeom prst="rect">
                      <a:avLst/>
                    </a:prstGeom>
                    <a:noFill/>
                    <a:ln>
                      <a:noFill/>
                    </a:ln>
                  </pic:spPr>
                </pic:pic>
              </a:graphicData>
            </a:graphic>
          </wp:inline>
        </w:drawing>
      </w:r>
    </w:p>
    <w:p w14:paraId="6C72DF72" w14:textId="77777777" w:rsidR="00610023" w:rsidRDefault="00610023" w:rsidP="00610023">
      <w:pPr>
        <w:spacing w:line="276" w:lineRule="auto"/>
      </w:pPr>
    </w:p>
    <w:p w14:paraId="0DF317F2" w14:textId="77777777" w:rsidR="00610023" w:rsidRPr="00EF1124" w:rsidRDefault="00610023" w:rsidP="00610023">
      <w:pPr>
        <w:spacing w:line="276" w:lineRule="auto"/>
        <w:rPr>
          <w:u w:val="single"/>
        </w:rPr>
      </w:pPr>
      <w:r>
        <w:rPr>
          <w:u w:val="single"/>
        </w:rPr>
        <w:t>Figure 1</w:t>
      </w:r>
      <w:r w:rsidRPr="00EF1124">
        <w:rPr>
          <w:u w:val="single"/>
        </w:rPr>
        <w:t>. The positive deviance proces</w:t>
      </w:r>
      <w:r>
        <w:rPr>
          <w:u w:val="single"/>
        </w:rPr>
        <w:t>s for healthcare organisations (r</w:t>
      </w:r>
      <w:r w:rsidRPr="00EF1124">
        <w:rPr>
          <w:u w:val="single"/>
        </w:rPr>
        <w:t>eproduced with permission</w:t>
      </w:r>
      <w:r>
        <w:rPr>
          <w:u w:val="single"/>
        </w:rPr>
        <w:t xml:space="preserve">[4]). </w:t>
      </w:r>
    </w:p>
    <w:p w14:paraId="41EA5862" w14:textId="77777777" w:rsidR="00610023" w:rsidRDefault="00610023" w:rsidP="00610023">
      <w:pPr>
        <w:spacing w:line="276" w:lineRule="auto"/>
      </w:pPr>
    </w:p>
    <w:p w14:paraId="564D8DA7" w14:textId="77777777" w:rsidR="00610023" w:rsidRPr="00DC1E84" w:rsidRDefault="00610023" w:rsidP="004D6358">
      <w:pPr>
        <w:pStyle w:val="Body"/>
        <w:spacing w:line="276" w:lineRule="auto"/>
        <w:outlineLvl w:val="0"/>
        <w:rPr>
          <w:u w:val="single"/>
        </w:rPr>
      </w:pPr>
      <w:r w:rsidRPr="00DC1E84">
        <w:rPr>
          <w:u w:val="single"/>
        </w:rPr>
        <w:t>Objectives</w:t>
      </w:r>
    </w:p>
    <w:p w14:paraId="784028A4" w14:textId="77777777" w:rsidR="00610023" w:rsidRDefault="00610023" w:rsidP="00610023">
      <w:pPr>
        <w:spacing w:line="276" w:lineRule="auto"/>
      </w:pPr>
    </w:p>
    <w:p w14:paraId="506407C6" w14:textId="77777777" w:rsidR="00610023" w:rsidRDefault="00610023" w:rsidP="00610023">
      <w:pPr>
        <w:spacing w:line="276" w:lineRule="auto"/>
      </w:pPr>
      <w:r>
        <w:t>1) identify quality and safety indicators that are publicly available or can be constructed from routinely collected datasets, and develop criteria for assessing the suitability of available indicators for identifying positive deviants;</w:t>
      </w:r>
    </w:p>
    <w:p w14:paraId="288B1BDC" w14:textId="77777777" w:rsidR="00610023" w:rsidRDefault="00610023" w:rsidP="00610023">
      <w:pPr>
        <w:spacing w:line="276" w:lineRule="auto"/>
      </w:pPr>
      <w:r>
        <w:t>2) using these criteria, assess the suitability of available indicators for identifying positive deviants;</w:t>
      </w:r>
    </w:p>
    <w:p w14:paraId="7BB89418" w14:textId="77777777" w:rsidR="00610023" w:rsidRPr="002F24DE" w:rsidRDefault="00610023" w:rsidP="00610023">
      <w:pPr>
        <w:spacing w:line="276" w:lineRule="auto"/>
      </w:pPr>
      <w:r>
        <w:t>3)  critically examine a sample of shortlisted indicators as candidates for the identification of positive deviants.</w:t>
      </w:r>
    </w:p>
    <w:p w14:paraId="7316605D" w14:textId="77777777" w:rsidR="00610023" w:rsidRDefault="00610023" w:rsidP="00610023">
      <w:pPr>
        <w:spacing w:line="276" w:lineRule="auto"/>
      </w:pPr>
    </w:p>
    <w:p w14:paraId="3C7BD588" w14:textId="77777777" w:rsidR="00610023" w:rsidRPr="00806AC9" w:rsidRDefault="00610023" w:rsidP="004D6358">
      <w:pPr>
        <w:spacing w:line="276" w:lineRule="auto"/>
        <w:outlineLvl w:val="0"/>
        <w:rPr>
          <w:b/>
        </w:rPr>
      </w:pPr>
      <w:r>
        <w:rPr>
          <w:b/>
        </w:rPr>
        <w:t>Methods</w:t>
      </w:r>
    </w:p>
    <w:p w14:paraId="75BBA515" w14:textId="77777777" w:rsidR="00610023" w:rsidRDefault="00610023" w:rsidP="00610023">
      <w:pPr>
        <w:spacing w:line="276" w:lineRule="auto"/>
      </w:pPr>
    </w:p>
    <w:p w14:paraId="3AB91F4C" w14:textId="77777777" w:rsidR="00610023" w:rsidRDefault="00610023" w:rsidP="00610023">
      <w:pPr>
        <w:spacing w:line="276" w:lineRule="auto"/>
      </w:pPr>
      <w:r>
        <w:t xml:space="preserve">This was a mixed methods study undertaken between July 2014 and February 2015, employing expert discussion, consensus, and statistical modelling. The </w:t>
      </w:r>
      <w:r w:rsidRPr="008F3269">
        <w:t>study was overseen by an expert group of academics and clinicians (n = 26)</w:t>
      </w:r>
      <w:r>
        <w:t xml:space="preserve"> convened as part of the </w:t>
      </w:r>
      <w:r w:rsidRPr="006634B3">
        <w:t>NIHR-funded Collaboration for Leadership in Applied Health Research and Care Yorkshire &amp; Humber (CLAHRC-YH)</w:t>
      </w:r>
      <w:r>
        <w:t xml:space="preserve">.  Within this group there was expertise in statistical analysis and health economics, patient safety, </w:t>
      </w:r>
      <w:r w:rsidRPr="008F3269">
        <w:t xml:space="preserve">health services and implementation research, health and organisational </w:t>
      </w:r>
      <w:r w:rsidRPr="008F3269">
        <w:lastRenderedPageBreak/>
        <w:t>psychology, medical and surgical specialties, primary care, and nursing.  A full list of the expert group is presented in Appendix 1.  The group met face-to-face every three months for the duration of the study. The study was led by a small research team comprising health services researchers (JOH and RL) along with health economists (KG, NG and AS).</w:t>
      </w:r>
      <w:r>
        <w:t xml:space="preserve">  The study focused upon data from the Yorkshire and Humber region.  This is a geographically large region in the north of England, with a population of approximately 5.3 million, 22 NHS trusts, 23 clinical commissioning groups, and a workforce totalling 125,875.</w:t>
      </w:r>
    </w:p>
    <w:p w14:paraId="6AF28C6F" w14:textId="77777777" w:rsidR="00610023" w:rsidRDefault="00610023" w:rsidP="00610023">
      <w:pPr>
        <w:spacing w:line="276" w:lineRule="auto"/>
      </w:pPr>
    </w:p>
    <w:p w14:paraId="760278C1" w14:textId="77777777" w:rsidR="00610023" w:rsidRPr="00A859D6" w:rsidRDefault="00610023" w:rsidP="00610023">
      <w:pPr>
        <w:spacing w:line="276" w:lineRule="auto"/>
        <w:rPr>
          <w:i/>
          <w:u w:val="single"/>
          <w:lang w:val="en-US"/>
        </w:rPr>
      </w:pPr>
      <w:r w:rsidRPr="00A859D6">
        <w:rPr>
          <w:i/>
          <w:u w:val="single"/>
          <w:lang w:val="en-US"/>
        </w:rPr>
        <w:t>Research objective 1: Identifying a set of quality and safety indicators</w:t>
      </w:r>
      <w:r>
        <w:rPr>
          <w:i/>
          <w:u w:val="single"/>
          <w:lang w:val="en-US"/>
        </w:rPr>
        <w:t>, and developing criteria for their assessment</w:t>
      </w:r>
    </w:p>
    <w:p w14:paraId="57DF7CD2" w14:textId="77777777" w:rsidR="00610023" w:rsidRDefault="00610023" w:rsidP="00610023">
      <w:pPr>
        <w:spacing w:line="276" w:lineRule="auto"/>
        <w:rPr>
          <w:lang w:val="en-US"/>
        </w:rPr>
      </w:pPr>
    </w:p>
    <w:p w14:paraId="33C4761B" w14:textId="77777777" w:rsidR="00610023" w:rsidRPr="00434D34" w:rsidRDefault="00610023" w:rsidP="004D6358">
      <w:pPr>
        <w:spacing w:line="276" w:lineRule="auto"/>
        <w:outlineLvl w:val="0"/>
        <w:rPr>
          <w:u w:val="single"/>
          <w:lang w:val="en-US"/>
        </w:rPr>
      </w:pPr>
      <w:r>
        <w:rPr>
          <w:u w:val="single"/>
          <w:lang w:val="en-US"/>
        </w:rPr>
        <w:t>Design</w:t>
      </w:r>
    </w:p>
    <w:p w14:paraId="12F3C047" w14:textId="77777777" w:rsidR="00610023" w:rsidRDefault="00610023" w:rsidP="004D6358">
      <w:pPr>
        <w:spacing w:line="276" w:lineRule="auto"/>
        <w:outlineLvl w:val="0"/>
        <w:rPr>
          <w:lang w:val="en-US"/>
        </w:rPr>
      </w:pPr>
      <w:r>
        <w:rPr>
          <w:lang w:val="en-US"/>
        </w:rPr>
        <w:t xml:space="preserve">Discussion and consensus agreement within expert group. </w:t>
      </w:r>
    </w:p>
    <w:p w14:paraId="2C242ECC" w14:textId="77777777" w:rsidR="00610023" w:rsidRDefault="00610023" w:rsidP="00610023">
      <w:pPr>
        <w:spacing w:line="276" w:lineRule="auto"/>
        <w:rPr>
          <w:lang w:val="en-US"/>
        </w:rPr>
      </w:pPr>
    </w:p>
    <w:p w14:paraId="03241B22" w14:textId="77777777" w:rsidR="00610023" w:rsidRDefault="00610023" w:rsidP="004D6358">
      <w:pPr>
        <w:spacing w:line="276" w:lineRule="auto"/>
        <w:outlineLvl w:val="0"/>
        <w:rPr>
          <w:u w:val="single"/>
          <w:lang w:val="en-US"/>
        </w:rPr>
      </w:pPr>
      <w:r w:rsidRPr="00B9047C">
        <w:rPr>
          <w:u w:val="single"/>
          <w:lang w:val="en-US"/>
        </w:rPr>
        <w:t>Procedure</w:t>
      </w:r>
    </w:p>
    <w:p w14:paraId="1B31A4B8" w14:textId="77777777" w:rsidR="00610023" w:rsidRDefault="00610023" w:rsidP="00610023">
      <w:pPr>
        <w:spacing w:line="276" w:lineRule="auto"/>
        <w:rPr>
          <w:u w:val="single"/>
          <w:lang w:val="en-US"/>
        </w:rPr>
      </w:pPr>
    </w:p>
    <w:p w14:paraId="5A88F79E" w14:textId="77777777" w:rsidR="00610023" w:rsidRPr="0090381A" w:rsidRDefault="00610023" w:rsidP="00610023">
      <w:pPr>
        <w:spacing w:line="276" w:lineRule="auto"/>
        <w:rPr>
          <w:lang w:val="en-US"/>
        </w:rPr>
      </w:pPr>
      <w:r w:rsidRPr="00A859D6">
        <w:rPr>
          <w:i/>
          <w:lang w:val="en-US"/>
        </w:rPr>
        <w:t>Step 1:</w:t>
      </w:r>
      <w:r>
        <w:rPr>
          <w:lang w:val="en-US"/>
        </w:rPr>
        <w:t xml:space="preserve"> A systematic review of all existing indicators of quality and safety was outside the scope of this project.  Instead, </w:t>
      </w:r>
      <w:r w:rsidRPr="00610023">
        <w:rPr>
          <w:rFonts w:eastAsia="Times New Roman" w:cs="Times New Roman"/>
          <w:color w:val="000000"/>
          <w:sz w:val="22"/>
          <w:szCs w:val="22"/>
        </w:rPr>
        <w:t>t</w:t>
      </w:r>
      <w:r>
        <w:rPr>
          <w:lang w:val="en-US"/>
        </w:rPr>
        <w:t>he expert group constructed a preliminary list of sources of indicator definitions based on their knowledge of indicators used for hospital performance assessment in the English NHS context (e.g. those in the NHS Outcomes Framework) and internationally (e.g. by the OECD).  Only those indicator definitions that could be applied to administrative English hospital data that are readily available to local quality managers and health service researchers were considered (Figure 2). This excluded indicators constructed from national audits and those relying on patient identifiable information. This list was circulated via email and group members were asked to identify gaps and suggest additional indicators. At the second expert group meeting the final list was ratified.</w:t>
      </w:r>
    </w:p>
    <w:p w14:paraId="539051E6" w14:textId="77777777" w:rsidR="00610023" w:rsidRDefault="00610023" w:rsidP="00610023">
      <w:pPr>
        <w:spacing w:line="276" w:lineRule="auto"/>
        <w:rPr>
          <w:lang w:val="en-US"/>
        </w:rPr>
      </w:pPr>
    </w:p>
    <w:p w14:paraId="62A2B4CD" w14:textId="77777777" w:rsidR="00610023" w:rsidRDefault="00610023" w:rsidP="00610023">
      <w:pPr>
        <w:spacing w:line="276" w:lineRule="auto"/>
        <w:rPr>
          <w:lang w:val="en-US"/>
        </w:rPr>
      </w:pPr>
      <w:r w:rsidRPr="00A859D6">
        <w:rPr>
          <w:i/>
          <w:lang w:val="en-US"/>
        </w:rPr>
        <w:t>Step 2:</w:t>
      </w:r>
      <w:r>
        <w:rPr>
          <w:lang w:val="en-US"/>
        </w:rPr>
        <w:t xml:space="preserve"> </w:t>
      </w:r>
      <w:r w:rsidRPr="00E92847">
        <w:rPr>
          <w:lang w:val="en-US"/>
        </w:rPr>
        <w:t xml:space="preserve">In order for the available </w:t>
      </w:r>
      <w:r w:rsidRPr="00E92847">
        <w:t xml:space="preserve">indicators </w:t>
      </w:r>
      <w:r w:rsidRPr="00E92847">
        <w:rPr>
          <w:lang w:val="en-US"/>
        </w:rPr>
        <w:t>to be assessed for their suitability in</w:t>
      </w:r>
      <w:r>
        <w:rPr>
          <w:lang w:val="en-US"/>
        </w:rPr>
        <w:t xml:space="preserve"> identifying positive deviants</w:t>
      </w:r>
      <w:r w:rsidRPr="00E92847">
        <w:rPr>
          <w:lang w:val="en-US"/>
        </w:rPr>
        <w:t xml:space="preserve">, a set of criteria </w:t>
      </w:r>
      <w:r>
        <w:rPr>
          <w:lang w:val="en-US"/>
        </w:rPr>
        <w:t>was</w:t>
      </w:r>
      <w:r w:rsidRPr="00E92847">
        <w:rPr>
          <w:lang w:val="en-US"/>
        </w:rPr>
        <w:t xml:space="preserve"> developed by the expert group. </w:t>
      </w:r>
      <w:r>
        <w:rPr>
          <w:lang w:val="en-US"/>
        </w:rPr>
        <w:t xml:space="preserve"> Whilst there are examples within the published literature relating to criteria for quality indicator development,[12-13] there is a lack of an overarching approach to assessing measures within the context of positive deviance,[2] as well as wider quality and safety measurement.[14]  </w:t>
      </w:r>
    </w:p>
    <w:p w14:paraId="16FF0AEB" w14:textId="77777777" w:rsidR="00610023" w:rsidRDefault="00610023" w:rsidP="00610023">
      <w:pPr>
        <w:rPr>
          <w:u w:val="single"/>
        </w:rPr>
      </w:pPr>
    </w:p>
    <w:p w14:paraId="5152A92B" w14:textId="77777777" w:rsidR="00610023" w:rsidRDefault="00610023" w:rsidP="00610023">
      <w:pPr>
        <w:spacing w:line="276" w:lineRule="auto"/>
        <w:rPr>
          <w:lang w:val="en-US"/>
        </w:rPr>
      </w:pPr>
      <w:r>
        <w:rPr>
          <w:lang w:val="en-US"/>
        </w:rPr>
        <w:t xml:space="preserve">The approach to developing a robust set of criteria was, therefore, necessarily iterative in nature and broadly based upon the principles espoused by the Institute of Medicine.[15]  The five principles are: i) </w:t>
      </w:r>
      <w:r w:rsidRPr="00805349">
        <w:rPr>
          <w:lang w:val="en-US"/>
        </w:rPr>
        <w:t>importance</w:t>
      </w:r>
      <w:r>
        <w:rPr>
          <w:lang w:val="en-US"/>
        </w:rPr>
        <w:t xml:space="preserve"> (policy relevance, covering the population of interest, amenable to change)</w:t>
      </w:r>
      <w:r w:rsidRPr="00805349">
        <w:rPr>
          <w:lang w:val="en-US"/>
        </w:rPr>
        <w:t xml:space="preserve">, </w:t>
      </w:r>
      <w:r>
        <w:rPr>
          <w:lang w:val="en-US"/>
        </w:rPr>
        <w:t xml:space="preserve">ii) </w:t>
      </w:r>
      <w:r w:rsidRPr="00805349">
        <w:rPr>
          <w:lang w:val="en-US"/>
        </w:rPr>
        <w:t>scientific soundness</w:t>
      </w:r>
      <w:r>
        <w:rPr>
          <w:lang w:val="en-US"/>
        </w:rPr>
        <w:t xml:space="preserve"> (validity and reliability)</w:t>
      </w:r>
      <w:r w:rsidRPr="00805349">
        <w:rPr>
          <w:lang w:val="en-US"/>
        </w:rPr>
        <w:t xml:space="preserve">, </w:t>
      </w:r>
      <w:r>
        <w:rPr>
          <w:lang w:val="en-US"/>
        </w:rPr>
        <w:t xml:space="preserve">iii) </w:t>
      </w:r>
      <w:r w:rsidRPr="00805349">
        <w:rPr>
          <w:lang w:val="en-US"/>
        </w:rPr>
        <w:t>feasibility</w:t>
      </w:r>
      <w:r>
        <w:rPr>
          <w:lang w:val="en-US"/>
        </w:rPr>
        <w:t xml:space="preserve"> (in this case - publicly available)</w:t>
      </w:r>
      <w:r w:rsidRPr="00805349">
        <w:rPr>
          <w:lang w:val="en-US"/>
        </w:rPr>
        <w:t xml:space="preserve">, </w:t>
      </w:r>
      <w:r>
        <w:rPr>
          <w:lang w:val="en-US"/>
        </w:rPr>
        <w:t xml:space="preserve">iv) </w:t>
      </w:r>
      <w:r w:rsidRPr="00805349">
        <w:rPr>
          <w:lang w:val="en-US"/>
        </w:rPr>
        <w:t>alignment</w:t>
      </w:r>
      <w:r>
        <w:rPr>
          <w:lang w:val="en-US"/>
        </w:rPr>
        <w:t xml:space="preserve"> (interpretable, stable definitions over time)</w:t>
      </w:r>
      <w:r w:rsidRPr="00805349">
        <w:rPr>
          <w:lang w:val="en-US"/>
        </w:rPr>
        <w:t xml:space="preserve">, and </w:t>
      </w:r>
      <w:r>
        <w:rPr>
          <w:lang w:val="en-US"/>
        </w:rPr>
        <w:t xml:space="preserve">v) </w:t>
      </w:r>
      <w:r w:rsidRPr="00805349">
        <w:rPr>
          <w:lang w:val="en-US"/>
        </w:rPr>
        <w:lastRenderedPageBreak/>
        <w:t>comprehensiveness</w:t>
      </w:r>
      <w:r>
        <w:rPr>
          <w:lang w:val="en-US"/>
        </w:rPr>
        <w:t xml:space="preserve"> (</w:t>
      </w:r>
      <w:r w:rsidRPr="00451BBE">
        <w:rPr>
          <w:lang w:val="en-US"/>
        </w:rPr>
        <w:t>safety, effectiveness, patient-centredness, timeliness, efficiency, and equity</w:t>
      </w:r>
      <w:r>
        <w:rPr>
          <w:lang w:val="en-US"/>
        </w:rPr>
        <w:t>)</w:t>
      </w:r>
      <w:r w:rsidRPr="00805349">
        <w:rPr>
          <w:lang w:val="en-US"/>
        </w:rPr>
        <w:t>.</w:t>
      </w:r>
      <w:r>
        <w:rPr>
          <w:lang w:val="en-US"/>
        </w:rPr>
        <w:t xml:space="preserve">[16]  These principles were used as a starting point to develop our criteria, and expanded to incorporate epidemiological, health economic and quality improvement considerations. Further, criteria were required to </w:t>
      </w:r>
      <w:r w:rsidRPr="00E92847">
        <w:rPr>
          <w:lang w:val="en-US"/>
        </w:rPr>
        <w:t xml:space="preserve">facilitate </w:t>
      </w:r>
      <w:r>
        <w:rPr>
          <w:lang w:val="en-US"/>
        </w:rPr>
        <w:t xml:space="preserve">progression to Stages 2-4 of the positive deviance approach (see Figure 1). </w:t>
      </w:r>
    </w:p>
    <w:p w14:paraId="6B30C19E" w14:textId="77777777" w:rsidR="00610023" w:rsidRDefault="00610023" w:rsidP="00610023">
      <w:pPr>
        <w:rPr>
          <w:u w:val="single"/>
        </w:rPr>
      </w:pPr>
    </w:p>
    <w:p w14:paraId="4880B2EC" w14:textId="77777777" w:rsidR="00610023" w:rsidRPr="007049BA" w:rsidRDefault="00610023" w:rsidP="00610023">
      <w:pPr>
        <w:rPr>
          <w:u w:val="single"/>
        </w:rPr>
      </w:pPr>
      <w:r w:rsidRPr="007049BA">
        <w:rPr>
          <w:u w:val="single"/>
        </w:rPr>
        <w:t>Figure 2: Sources of quality and safety indicators for secondary healthcare services in England</w:t>
      </w:r>
    </w:p>
    <w:p w14:paraId="0C5CF090" w14:textId="77777777" w:rsidR="00610023" w:rsidRPr="00140610" w:rsidRDefault="00610023" w:rsidP="00610023">
      <w:pPr>
        <w:rPr>
          <w:b/>
        </w:rPr>
      </w:pPr>
    </w:p>
    <w:tbl>
      <w:tblPr>
        <w:tblStyle w:val="TableGrid"/>
        <w:tblW w:w="0" w:type="auto"/>
        <w:tblLook w:val="04A0" w:firstRow="1" w:lastRow="0" w:firstColumn="1" w:lastColumn="0" w:noHBand="0" w:noVBand="1"/>
      </w:tblPr>
      <w:tblGrid>
        <w:gridCol w:w="8516"/>
      </w:tblGrid>
      <w:tr w:rsidR="00610023" w:rsidRPr="0090381A" w14:paraId="48030F35" w14:textId="77777777" w:rsidTr="006C3EC9">
        <w:tc>
          <w:tcPr>
            <w:tcW w:w="8516" w:type="dxa"/>
          </w:tcPr>
          <w:p w14:paraId="64857C35" w14:textId="77777777" w:rsidR="00610023" w:rsidRDefault="00610023" w:rsidP="006C3EC9">
            <w:pPr>
              <w:spacing w:line="276" w:lineRule="auto"/>
              <w:rPr>
                <w:i/>
              </w:rPr>
            </w:pPr>
            <w:r>
              <w:rPr>
                <w:b/>
                <w:bCs/>
                <w:i/>
                <w:iCs/>
              </w:rPr>
              <w:t>Published indicators:</w:t>
            </w:r>
            <w:r w:rsidRPr="009E3325">
              <w:rPr>
                <w:i/>
              </w:rPr>
              <w:t xml:space="preserve"> </w:t>
            </w:r>
          </w:p>
          <w:p w14:paraId="6FFAEA6C" w14:textId="77777777" w:rsidR="00610023" w:rsidRPr="003140A0" w:rsidRDefault="00610023" w:rsidP="006C3EC9">
            <w:pPr>
              <w:pStyle w:val="ListParagraph"/>
              <w:numPr>
                <w:ilvl w:val="0"/>
                <w:numId w:val="4"/>
              </w:numPr>
              <w:spacing w:line="276" w:lineRule="auto"/>
              <w:ind w:left="360"/>
              <w:rPr>
                <w:i/>
              </w:rPr>
            </w:pPr>
            <w:r w:rsidRPr="003140A0">
              <w:rPr>
                <w:i/>
              </w:rPr>
              <w:t xml:space="preserve">Patient Safety Thermometer (PST): </w:t>
            </w:r>
            <w:hyperlink r:id="rId18" w:history="1">
              <w:r w:rsidRPr="00E1501D">
                <w:rPr>
                  <w:rStyle w:val="Hyperlink"/>
                  <w:i/>
                </w:rPr>
                <w:t>https://www.safetythermometer.nhs.uk/</w:t>
              </w:r>
            </w:hyperlink>
          </w:p>
          <w:p w14:paraId="08002407" w14:textId="77777777" w:rsidR="00610023" w:rsidRPr="003140A0" w:rsidRDefault="00610023" w:rsidP="006C3EC9">
            <w:pPr>
              <w:pStyle w:val="ListParagraph"/>
              <w:numPr>
                <w:ilvl w:val="0"/>
                <w:numId w:val="4"/>
              </w:numPr>
              <w:spacing w:line="276" w:lineRule="auto"/>
              <w:ind w:left="360"/>
              <w:rPr>
                <w:i/>
              </w:rPr>
            </w:pPr>
            <w:r w:rsidRPr="003140A0">
              <w:rPr>
                <w:i/>
              </w:rPr>
              <w:t xml:space="preserve">NHS Staff Survey (NHSSS): </w:t>
            </w:r>
            <w:hyperlink r:id="rId19" w:history="1">
              <w:r w:rsidRPr="00E1501D">
                <w:rPr>
                  <w:rStyle w:val="Hyperlink"/>
                  <w:i/>
                </w:rPr>
                <w:t>http://www.nhsstaffsurveys.com</w:t>
              </w:r>
            </w:hyperlink>
          </w:p>
          <w:p w14:paraId="0872DE83" w14:textId="77777777" w:rsidR="00610023" w:rsidRPr="003140A0" w:rsidRDefault="00610023" w:rsidP="006C3EC9">
            <w:pPr>
              <w:pStyle w:val="ListParagraph"/>
              <w:numPr>
                <w:ilvl w:val="0"/>
                <w:numId w:val="4"/>
              </w:numPr>
              <w:spacing w:line="276" w:lineRule="auto"/>
              <w:ind w:left="360"/>
              <w:rPr>
                <w:i/>
              </w:rPr>
            </w:pPr>
            <w:r w:rsidRPr="003140A0">
              <w:rPr>
                <w:i/>
              </w:rPr>
              <w:t xml:space="preserve">National Patient Safety Agency Dataset (NPSA): </w:t>
            </w:r>
            <w:hyperlink r:id="rId20" w:history="1">
              <w:r w:rsidRPr="00E1501D">
                <w:rPr>
                  <w:rStyle w:val="Hyperlink"/>
                  <w:i/>
                </w:rPr>
                <w:t>http://www.nrls.npsa.nhs.uk</w:t>
              </w:r>
            </w:hyperlink>
          </w:p>
          <w:p w14:paraId="39CF0362" w14:textId="77777777" w:rsidR="00610023" w:rsidRPr="003140A0" w:rsidRDefault="00610023" w:rsidP="006C3EC9">
            <w:pPr>
              <w:pStyle w:val="ListParagraph"/>
              <w:numPr>
                <w:ilvl w:val="0"/>
                <w:numId w:val="4"/>
              </w:numPr>
              <w:spacing w:line="276" w:lineRule="auto"/>
              <w:ind w:left="360"/>
              <w:rPr>
                <w:i/>
              </w:rPr>
            </w:pPr>
            <w:r w:rsidRPr="003140A0">
              <w:rPr>
                <w:i/>
              </w:rPr>
              <w:t xml:space="preserve">Public Health England (PHE): </w:t>
            </w:r>
            <w:hyperlink r:id="rId21" w:history="1">
              <w:r w:rsidRPr="00E1501D">
                <w:rPr>
                  <w:rStyle w:val="Hyperlink"/>
                  <w:i/>
                </w:rPr>
                <w:t>http://www.phoutcomes.info/</w:t>
              </w:r>
            </w:hyperlink>
          </w:p>
          <w:p w14:paraId="55C19E7E" w14:textId="77777777" w:rsidR="00610023" w:rsidRPr="00862A82" w:rsidRDefault="00610023" w:rsidP="006C3EC9">
            <w:pPr>
              <w:spacing w:line="276" w:lineRule="auto"/>
              <w:ind w:left="360"/>
              <w:rPr>
                <w:b/>
                <w:bCs/>
                <w:i/>
                <w:iCs/>
              </w:rPr>
            </w:pPr>
          </w:p>
          <w:p w14:paraId="7FEA2415" w14:textId="77777777" w:rsidR="00610023" w:rsidRDefault="00610023" w:rsidP="006C3EC9">
            <w:pPr>
              <w:spacing w:line="276" w:lineRule="auto"/>
              <w:rPr>
                <w:b/>
                <w:bCs/>
                <w:i/>
                <w:iCs/>
              </w:rPr>
            </w:pPr>
            <w:r>
              <w:rPr>
                <w:b/>
                <w:bCs/>
                <w:i/>
                <w:iCs/>
              </w:rPr>
              <w:t>Indicators that can be constructed from English H</w:t>
            </w:r>
            <w:r w:rsidRPr="00862A82">
              <w:rPr>
                <w:b/>
                <w:bCs/>
                <w:i/>
                <w:iCs/>
              </w:rPr>
              <w:t>ospital Episode Statistics (HES)</w:t>
            </w:r>
          </w:p>
          <w:p w14:paraId="54773170" w14:textId="77777777" w:rsidR="00610023" w:rsidRPr="003140A0" w:rsidRDefault="00610023" w:rsidP="006C3EC9">
            <w:pPr>
              <w:pStyle w:val="ListParagraph"/>
              <w:numPr>
                <w:ilvl w:val="0"/>
                <w:numId w:val="5"/>
              </w:numPr>
              <w:spacing w:line="276" w:lineRule="auto"/>
              <w:rPr>
                <w:bCs/>
                <w:i/>
                <w:iCs/>
              </w:rPr>
            </w:pPr>
            <w:r w:rsidRPr="003140A0">
              <w:rPr>
                <w:bCs/>
                <w:i/>
                <w:iCs/>
              </w:rPr>
              <w:t>OECD health indicators</w:t>
            </w:r>
            <w:r w:rsidRPr="003140A0">
              <w:rPr>
                <w:i/>
              </w:rPr>
              <w:t xml:space="preserve"> </w:t>
            </w:r>
            <w:hyperlink r:id="rId22" w:history="1">
              <w:r w:rsidRPr="00E1501D">
                <w:rPr>
                  <w:rStyle w:val="Hyperlink"/>
                  <w:i/>
                </w:rPr>
                <w:t>https://data.oecd.org/health.htm</w:t>
              </w:r>
            </w:hyperlink>
          </w:p>
          <w:p w14:paraId="7BB0809B" w14:textId="77777777" w:rsidR="00610023" w:rsidRPr="003140A0" w:rsidRDefault="00610023" w:rsidP="006C3EC9">
            <w:pPr>
              <w:pStyle w:val="ListParagraph"/>
              <w:numPr>
                <w:ilvl w:val="0"/>
                <w:numId w:val="5"/>
              </w:numPr>
              <w:spacing w:line="276" w:lineRule="auto"/>
              <w:rPr>
                <w:bCs/>
                <w:i/>
                <w:iCs/>
              </w:rPr>
            </w:pPr>
            <w:r w:rsidRPr="003140A0">
              <w:rPr>
                <w:bCs/>
                <w:i/>
                <w:iCs/>
              </w:rPr>
              <w:t>Agency for Healthcare Research and Quality (AHRQ) Quality Indicators</w:t>
            </w:r>
            <w:r w:rsidRPr="003140A0">
              <w:rPr>
                <w:i/>
              </w:rPr>
              <w:t xml:space="preserve"> </w:t>
            </w:r>
            <w:hyperlink r:id="rId23" w:history="1">
              <w:r w:rsidRPr="00E1501D">
                <w:rPr>
                  <w:rStyle w:val="Hyperlink"/>
                  <w:i/>
                </w:rPr>
                <w:t>https://www.qualityindicators.ahrq.gov</w:t>
              </w:r>
            </w:hyperlink>
          </w:p>
          <w:p w14:paraId="3D42C23B" w14:textId="77777777" w:rsidR="00610023" w:rsidRPr="009E1D75" w:rsidRDefault="00610023" w:rsidP="006C3EC9">
            <w:pPr>
              <w:pStyle w:val="ListParagraph"/>
              <w:numPr>
                <w:ilvl w:val="0"/>
                <w:numId w:val="5"/>
              </w:numPr>
            </w:pPr>
            <w:r w:rsidRPr="003140A0">
              <w:rPr>
                <w:bCs/>
                <w:i/>
                <w:iCs/>
              </w:rPr>
              <w:t>Quality Watch; series of indicators by The Health Foundation and the Nuffield Trust</w:t>
            </w:r>
            <w:r w:rsidRPr="003140A0">
              <w:rPr>
                <w:i/>
              </w:rPr>
              <w:t xml:space="preserve"> </w:t>
            </w:r>
            <w:hyperlink r:id="rId24" w:history="1">
              <w:r w:rsidRPr="003140A0">
                <w:rPr>
                  <w:rStyle w:val="Hyperlink"/>
                  <w:i/>
                </w:rPr>
                <w:t>http://www.qualitywatch.org.uk/</w:t>
              </w:r>
            </w:hyperlink>
          </w:p>
          <w:p w14:paraId="45221817" w14:textId="77777777" w:rsidR="00610023" w:rsidRPr="003140A0" w:rsidRDefault="00610023" w:rsidP="006C3EC9">
            <w:pPr>
              <w:pStyle w:val="ListParagraph"/>
              <w:numPr>
                <w:ilvl w:val="0"/>
                <w:numId w:val="5"/>
              </w:numPr>
              <w:spacing w:line="276" w:lineRule="auto"/>
              <w:rPr>
                <w:i/>
              </w:rPr>
            </w:pPr>
            <w:r w:rsidRPr="003140A0">
              <w:rPr>
                <w:bCs/>
                <w:i/>
                <w:iCs/>
              </w:rPr>
              <w:t>NHS Outcomes Framework</w:t>
            </w:r>
            <w:r w:rsidRPr="003140A0">
              <w:rPr>
                <w:i/>
              </w:rPr>
              <w:t xml:space="preserve"> </w:t>
            </w:r>
            <w:hyperlink r:id="rId25" w:history="1">
              <w:r w:rsidRPr="00E1501D">
                <w:rPr>
                  <w:rStyle w:val="Hyperlink"/>
                  <w:i/>
                </w:rPr>
                <w:t>http://content.digital.nhs.uk/nhsof</w:t>
              </w:r>
            </w:hyperlink>
          </w:p>
        </w:tc>
      </w:tr>
    </w:tbl>
    <w:p w14:paraId="386B50D3" w14:textId="77777777" w:rsidR="00610023" w:rsidRPr="009E3325" w:rsidRDefault="00610023" w:rsidP="00610023">
      <w:pPr>
        <w:spacing w:line="276" w:lineRule="auto"/>
        <w:rPr>
          <w:i/>
          <w:lang w:val="en-US"/>
        </w:rPr>
      </w:pPr>
    </w:p>
    <w:p w14:paraId="08089010" w14:textId="77777777" w:rsidR="00610023" w:rsidRDefault="00610023" w:rsidP="00610023">
      <w:pPr>
        <w:spacing w:line="276" w:lineRule="auto"/>
        <w:rPr>
          <w:lang w:val="en-US"/>
        </w:rPr>
      </w:pPr>
      <w:r>
        <w:rPr>
          <w:lang w:val="en-US"/>
        </w:rPr>
        <w:t xml:space="preserve">From these discussions, the expert group agreed a set of twelve criteria to assess </w:t>
      </w:r>
      <w:r w:rsidRPr="007439FE">
        <w:rPr>
          <w:lang w:val="en-US"/>
        </w:rPr>
        <w:t xml:space="preserve">the appropriateness of an indicator.  See Table </w:t>
      </w:r>
      <w:r>
        <w:rPr>
          <w:lang w:val="en-US"/>
        </w:rPr>
        <w:t>1</w:t>
      </w:r>
      <w:r w:rsidRPr="007439FE">
        <w:rPr>
          <w:lang w:val="en-US"/>
        </w:rPr>
        <w:t xml:space="preserve"> for a full description of the</w:t>
      </w:r>
      <w:r>
        <w:rPr>
          <w:lang w:val="en-US"/>
        </w:rPr>
        <w:t xml:space="preserve"> developed criteria.</w:t>
      </w:r>
    </w:p>
    <w:p w14:paraId="4B8B6E62" w14:textId="77777777" w:rsidR="00610023" w:rsidRDefault="00610023" w:rsidP="00610023">
      <w:pPr>
        <w:rPr>
          <w:i/>
          <w:lang w:val="en-US"/>
        </w:rPr>
      </w:pPr>
    </w:p>
    <w:p w14:paraId="3F1684C3" w14:textId="77777777" w:rsidR="00610023" w:rsidRPr="00A859D6" w:rsidRDefault="00610023" w:rsidP="004D6358">
      <w:pPr>
        <w:spacing w:line="276" w:lineRule="auto"/>
        <w:outlineLvl w:val="0"/>
        <w:rPr>
          <w:i/>
          <w:u w:val="single"/>
          <w:lang w:val="en-US"/>
        </w:rPr>
      </w:pPr>
      <w:r w:rsidRPr="00A859D6">
        <w:rPr>
          <w:i/>
          <w:u w:val="single"/>
          <w:lang w:val="en-US"/>
        </w:rPr>
        <w:t xml:space="preserve">Research objective 2: Assessment of available indicators against the agreed criteria </w:t>
      </w:r>
    </w:p>
    <w:p w14:paraId="5DEFFA8A" w14:textId="77777777" w:rsidR="00610023" w:rsidRDefault="00610023" w:rsidP="00610023">
      <w:pPr>
        <w:spacing w:line="276" w:lineRule="auto"/>
        <w:rPr>
          <w:lang w:val="en-US"/>
        </w:rPr>
      </w:pPr>
    </w:p>
    <w:p w14:paraId="5A6B67D5" w14:textId="77777777" w:rsidR="00610023" w:rsidRDefault="00610023" w:rsidP="004D6358">
      <w:pPr>
        <w:spacing w:line="276" w:lineRule="auto"/>
        <w:outlineLvl w:val="0"/>
        <w:rPr>
          <w:u w:val="single"/>
          <w:lang w:val="en-US"/>
        </w:rPr>
      </w:pPr>
      <w:r w:rsidRPr="004E2442">
        <w:rPr>
          <w:u w:val="single"/>
          <w:lang w:val="en-US"/>
        </w:rPr>
        <w:t>Design</w:t>
      </w:r>
    </w:p>
    <w:p w14:paraId="657B3F34" w14:textId="77777777" w:rsidR="00610023" w:rsidRDefault="00610023" w:rsidP="004D6358">
      <w:pPr>
        <w:spacing w:line="276" w:lineRule="auto"/>
        <w:outlineLvl w:val="0"/>
        <w:rPr>
          <w:lang w:val="en-US"/>
        </w:rPr>
      </w:pPr>
      <w:r>
        <w:rPr>
          <w:lang w:val="en-US"/>
        </w:rPr>
        <w:t xml:space="preserve">A mixed methods approach was employed.  </w:t>
      </w:r>
    </w:p>
    <w:p w14:paraId="44348C27" w14:textId="77777777" w:rsidR="00610023" w:rsidRPr="004E2442" w:rsidRDefault="00610023" w:rsidP="00610023">
      <w:pPr>
        <w:spacing w:line="276" w:lineRule="auto"/>
        <w:rPr>
          <w:lang w:val="en-US"/>
        </w:rPr>
      </w:pPr>
    </w:p>
    <w:p w14:paraId="2EF17AFA" w14:textId="77777777" w:rsidR="00610023" w:rsidRPr="002F790F" w:rsidRDefault="00610023" w:rsidP="004D6358">
      <w:pPr>
        <w:spacing w:line="276" w:lineRule="auto"/>
        <w:outlineLvl w:val="0"/>
        <w:rPr>
          <w:u w:val="single"/>
          <w:lang w:val="en-US"/>
        </w:rPr>
      </w:pPr>
      <w:r>
        <w:rPr>
          <w:u w:val="single"/>
          <w:lang w:val="en-US"/>
        </w:rPr>
        <w:t>Procedure</w:t>
      </w:r>
    </w:p>
    <w:p w14:paraId="01079540" w14:textId="77777777" w:rsidR="00610023" w:rsidRPr="003F5301" w:rsidRDefault="00610023" w:rsidP="00610023">
      <w:pPr>
        <w:spacing w:line="276" w:lineRule="auto"/>
        <w:rPr>
          <w:lang w:val="en-US"/>
        </w:rPr>
      </w:pPr>
    </w:p>
    <w:p w14:paraId="1AF57638" w14:textId="77777777" w:rsidR="00610023" w:rsidRPr="00A859D6" w:rsidRDefault="00610023" w:rsidP="004D6358">
      <w:pPr>
        <w:spacing w:line="276" w:lineRule="auto"/>
        <w:outlineLvl w:val="0"/>
        <w:rPr>
          <w:i/>
          <w:lang w:val="en-US"/>
        </w:rPr>
      </w:pPr>
      <w:r w:rsidRPr="00A859D6">
        <w:rPr>
          <w:i/>
          <w:lang w:val="en-US"/>
        </w:rPr>
        <w:t>Step 1</w:t>
      </w:r>
      <w:r w:rsidRPr="00A859D6">
        <w:rPr>
          <w:i/>
        </w:rPr>
        <w:t>: Coverage of population of interest</w:t>
      </w:r>
    </w:p>
    <w:p w14:paraId="55C4FE23" w14:textId="575DEC26" w:rsidR="00610023" w:rsidRDefault="00610023" w:rsidP="00610023">
      <w:pPr>
        <w:spacing w:line="276" w:lineRule="auto"/>
        <w:rPr>
          <w:u w:val="single"/>
        </w:rPr>
      </w:pPr>
      <w:r>
        <w:rPr>
          <w:lang w:val="en-US"/>
        </w:rPr>
        <w:t>A</w:t>
      </w:r>
      <w:r w:rsidRPr="002C176E">
        <w:rPr>
          <w:lang w:val="en-US"/>
        </w:rPr>
        <w:t xml:space="preserve">ll </w:t>
      </w:r>
      <w:r>
        <w:t xml:space="preserve">indicators </w:t>
      </w:r>
      <w:r>
        <w:rPr>
          <w:lang w:val="en-US"/>
        </w:rPr>
        <w:t>listed in Table 2 were first assessed to ensure that they met the first criteri</w:t>
      </w:r>
      <w:r w:rsidR="007B58F4">
        <w:rPr>
          <w:lang w:val="en-US"/>
        </w:rPr>
        <w:t>on (Table 1), with the population of interest in this study being</w:t>
      </w:r>
      <w:r>
        <w:rPr>
          <w:lang w:val="en-US"/>
        </w:rPr>
        <w:t xml:space="preserve"> patients within acute healthcare services.  All those that passed this criterion were put forward for assessment at Step 2.</w:t>
      </w:r>
    </w:p>
    <w:p w14:paraId="0156681D" w14:textId="77777777" w:rsidR="00610023" w:rsidRPr="009357EE" w:rsidRDefault="00610023" w:rsidP="00610023">
      <w:pPr>
        <w:spacing w:line="276" w:lineRule="auto"/>
        <w:rPr>
          <w:u w:val="single"/>
        </w:rPr>
      </w:pPr>
    </w:p>
    <w:p w14:paraId="402FC5C7" w14:textId="77777777" w:rsidR="00C14A3D" w:rsidRDefault="00C14A3D" w:rsidP="004D6358">
      <w:pPr>
        <w:spacing w:line="276" w:lineRule="auto"/>
        <w:outlineLvl w:val="0"/>
        <w:rPr>
          <w:i/>
          <w:lang w:val="en-US"/>
        </w:rPr>
      </w:pPr>
    </w:p>
    <w:p w14:paraId="6AE4BECE" w14:textId="77777777" w:rsidR="00610023" w:rsidRPr="00A859D6" w:rsidRDefault="00610023" w:rsidP="004D6358">
      <w:pPr>
        <w:spacing w:line="276" w:lineRule="auto"/>
        <w:outlineLvl w:val="0"/>
        <w:rPr>
          <w:i/>
          <w:lang w:val="en-US"/>
        </w:rPr>
      </w:pPr>
      <w:r w:rsidRPr="00A859D6">
        <w:rPr>
          <w:i/>
          <w:lang w:val="en-US"/>
        </w:rPr>
        <w:lastRenderedPageBreak/>
        <w:t>Step 2:</w:t>
      </w:r>
      <w:r w:rsidRPr="00A859D6">
        <w:rPr>
          <w:i/>
        </w:rPr>
        <w:t xml:space="preserve"> Relevance for clinical teams</w:t>
      </w:r>
    </w:p>
    <w:p w14:paraId="6478CD5C" w14:textId="77777777" w:rsidR="00610023" w:rsidRDefault="00610023" w:rsidP="00610023">
      <w:pPr>
        <w:spacing w:line="276" w:lineRule="auto"/>
        <w:rPr>
          <w:lang w:val="en-US"/>
        </w:rPr>
      </w:pPr>
      <w:r>
        <w:rPr>
          <w:lang w:val="en-US"/>
        </w:rPr>
        <w:t xml:space="preserve">It has been recently argued by experts in measuring variation that </w:t>
      </w:r>
      <w:r w:rsidRPr="002B60EA">
        <w:rPr>
          <w:lang w:val="en-US"/>
        </w:rPr>
        <w:t>“single overall indicators that attempt to judge the quality of a whole hospital or primary care centre should be avoided.  Given the complexity and diversity of clinical care undertaken by institutions, an [aggregated] measure obscures more than it illuminates and should be resisted”</w:t>
      </w:r>
      <w:r>
        <w:rPr>
          <w:lang w:val="en-US"/>
        </w:rPr>
        <w:t xml:space="preserve">.[8, p.1]  This is supported by recent empirical work that found that, for patient safety culture, </w:t>
      </w:r>
      <w:r w:rsidRPr="000D1C61">
        <w:rPr>
          <w:lang w:val="en-US"/>
        </w:rPr>
        <w:t xml:space="preserve">the </w:t>
      </w:r>
      <w:r>
        <w:rPr>
          <w:lang w:val="en-US"/>
        </w:rPr>
        <w:t>most significant</w:t>
      </w:r>
      <w:r w:rsidRPr="000D1C61">
        <w:rPr>
          <w:lang w:val="en-US"/>
        </w:rPr>
        <w:t xml:space="preserve"> source of variability was </w:t>
      </w:r>
      <w:r>
        <w:rPr>
          <w:lang w:val="en-US"/>
        </w:rPr>
        <w:t xml:space="preserve">at </w:t>
      </w:r>
      <w:r w:rsidRPr="000D1C61">
        <w:rPr>
          <w:lang w:val="en-US"/>
        </w:rPr>
        <w:t xml:space="preserve">the </w:t>
      </w:r>
      <w:r>
        <w:rPr>
          <w:lang w:val="en-US"/>
        </w:rPr>
        <w:t xml:space="preserve">level of the </w:t>
      </w:r>
      <w:r w:rsidRPr="000D1C61">
        <w:rPr>
          <w:lang w:val="en-US"/>
        </w:rPr>
        <w:t>unit or clinical area</w:t>
      </w:r>
      <w:r>
        <w:rPr>
          <w:lang w:val="en-US"/>
        </w:rPr>
        <w:t xml:space="preserve">.[17]  For these reasons the expert group made the decision that each indicator had to represent data at the level of the ward, service or department.  This </w:t>
      </w:r>
      <w:r w:rsidR="007B58F4">
        <w:rPr>
          <w:lang w:val="en-US"/>
        </w:rPr>
        <w:t xml:space="preserve">second </w:t>
      </w:r>
      <w:r>
        <w:rPr>
          <w:lang w:val="en-US"/>
        </w:rPr>
        <w:t xml:space="preserve">criterion </w:t>
      </w:r>
      <w:r w:rsidR="007B58F4">
        <w:rPr>
          <w:lang w:val="en-US"/>
        </w:rPr>
        <w:t xml:space="preserve">listed in Table 1 </w:t>
      </w:r>
      <w:r>
        <w:rPr>
          <w:lang w:val="en-US"/>
        </w:rPr>
        <w:t xml:space="preserve">was therefore assessed by a four member sub-group, comprising two senior nurses and two senior physicians, </w:t>
      </w:r>
      <w:r w:rsidRPr="002C176E">
        <w:rPr>
          <w:lang w:val="en-US"/>
        </w:rPr>
        <w:t xml:space="preserve">with those </w:t>
      </w:r>
      <w:r>
        <w:rPr>
          <w:lang w:val="en-US"/>
        </w:rPr>
        <w:t xml:space="preserve">receiving a &gt;50% consensus shortlisted to be considered in the later stages of assessment.  </w:t>
      </w:r>
    </w:p>
    <w:p w14:paraId="096B36CA" w14:textId="77777777" w:rsidR="00610023" w:rsidRDefault="00610023" w:rsidP="00610023">
      <w:pPr>
        <w:spacing w:line="276" w:lineRule="auto"/>
        <w:rPr>
          <w:lang w:val="en-US"/>
        </w:rPr>
      </w:pPr>
    </w:p>
    <w:p w14:paraId="71219A3A" w14:textId="77777777" w:rsidR="00610023" w:rsidRPr="00A859D6" w:rsidRDefault="00610023" w:rsidP="004D6358">
      <w:pPr>
        <w:spacing w:line="276" w:lineRule="auto"/>
        <w:outlineLvl w:val="0"/>
        <w:rPr>
          <w:i/>
          <w:lang w:val="en-US"/>
        </w:rPr>
      </w:pPr>
      <w:r w:rsidRPr="00A859D6">
        <w:rPr>
          <w:i/>
          <w:lang w:val="en-US"/>
        </w:rPr>
        <w:t>Step 3:</w:t>
      </w:r>
      <w:r w:rsidRPr="00A859D6">
        <w:rPr>
          <w:i/>
        </w:rPr>
        <w:t xml:space="preserve"> Statistical properties</w:t>
      </w:r>
    </w:p>
    <w:p w14:paraId="3126A1C6" w14:textId="32A4AD7C" w:rsidR="00610023" w:rsidRDefault="00610023" w:rsidP="00610023">
      <w:pPr>
        <w:spacing w:line="276" w:lineRule="auto"/>
        <w:rPr>
          <w:lang w:val="en-US"/>
        </w:rPr>
      </w:pPr>
      <w:r>
        <w:rPr>
          <w:lang w:val="en-US"/>
        </w:rPr>
        <w:t>The third step of this process was assessment against criteria 3 to 7 (Table 1), which required exploration of the statistical properties of the indicators. We constructed descriptive statistics summarizing the ‘at risk’ population and incidence rates for each of the indicators, and calculated between-provider variation in the indicator achievements. This was done at national level including all relevant cases in the English NHS. We did not impose any strict statistical cut-offs on any of these statistics; instead we discussed the results with the wider group and emphasized possible statistical problems that might arise.  The descriptive statistics were calculated for each of the three years’ worth of data. This provided an indication of whether the indicator was consistently measured over time or whether there were coding changes.</w:t>
      </w:r>
    </w:p>
    <w:p w14:paraId="321908C4" w14:textId="77777777" w:rsidR="00610023" w:rsidRPr="00B4296F" w:rsidRDefault="00610023" w:rsidP="00610023">
      <w:pPr>
        <w:spacing w:line="276" w:lineRule="auto"/>
        <w:rPr>
          <w:b/>
        </w:rPr>
      </w:pPr>
    </w:p>
    <w:p w14:paraId="057206E5" w14:textId="77777777" w:rsidR="00610023" w:rsidRPr="00A859D6" w:rsidRDefault="00610023" w:rsidP="004D6358">
      <w:pPr>
        <w:spacing w:line="276" w:lineRule="auto"/>
        <w:outlineLvl w:val="0"/>
        <w:rPr>
          <w:i/>
        </w:rPr>
      </w:pPr>
      <w:r w:rsidRPr="00A859D6">
        <w:rPr>
          <w:i/>
        </w:rPr>
        <w:t>Step 4: Relevance and impact</w:t>
      </w:r>
    </w:p>
    <w:p w14:paraId="027F41CF" w14:textId="77777777" w:rsidR="00610023" w:rsidRDefault="00610023" w:rsidP="00610023">
      <w:pPr>
        <w:spacing w:line="276" w:lineRule="auto"/>
      </w:pPr>
      <w:r>
        <w:t>The final step involved assessing the shortlisted indicators against criteria 8 to 12</w:t>
      </w:r>
      <w:r w:rsidR="007B58F4">
        <w:t xml:space="preserve"> in Table 1</w:t>
      </w:r>
      <w:r>
        <w:t xml:space="preserve"> again via the full expert group.   </w:t>
      </w:r>
    </w:p>
    <w:p w14:paraId="670C41AB" w14:textId="77777777" w:rsidR="00610023" w:rsidRDefault="00610023" w:rsidP="00610023">
      <w:pPr>
        <w:spacing w:line="276" w:lineRule="auto"/>
        <w:rPr>
          <w:i/>
          <w:lang w:val="en-US"/>
        </w:rPr>
      </w:pPr>
    </w:p>
    <w:p w14:paraId="5C40220D" w14:textId="77777777" w:rsidR="00610023" w:rsidRPr="00A859D6" w:rsidRDefault="00610023" w:rsidP="004D6358">
      <w:pPr>
        <w:spacing w:line="276" w:lineRule="auto"/>
        <w:outlineLvl w:val="0"/>
        <w:rPr>
          <w:i/>
          <w:u w:val="single"/>
          <w:lang w:val="en-US"/>
        </w:rPr>
      </w:pPr>
      <w:r w:rsidRPr="00A859D6">
        <w:rPr>
          <w:i/>
          <w:u w:val="single"/>
          <w:lang w:val="en-US"/>
        </w:rPr>
        <w:t>Research objective 3: Using the shortlisted indicators to identify positive deviants</w:t>
      </w:r>
    </w:p>
    <w:p w14:paraId="236730E7" w14:textId="77777777" w:rsidR="00610023" w:rsidRDefault="00610023" w:rsidP="00610023">
      <w:pPr>
        <w:spacing w:line="276" w:lineRule="auto"/>
      </w:pPr>
    </w:p>
    <w:p w14:paraId="48CBE223" w14:textId="77777777" w:rsidR="00610023" w:rsidRPr="00791E90" w:rsidRDefault="00610023" w:rsidP="004D6358">
      <w:pPr>
        <w:spacing w:line="276" w:lineRule="auto"/>
        <w:outlineLvl w:val="0"/>
        <w:rPr>
          <w:u w:val="single"/>
        </w:rPr>
      </w:pPr>
      <w:r w:rsidRPr="00791E90">
        <w:rPr>
          <w:u w:val="single"/>
        </w:rPr>
        <w:t>Design</w:t>
      </w:r>
    </w:p>
    <w:p w14:paraId="50AF38D9" w14:textId="77777777" w:rsidR="00610023" w:rsidRPr="00791E90" w:rsidRDefault="00610023" w:rsidP="00610023">
      <w:pPr>
        <w:spacing w:line="276" w:lineRule="auto"/>
      </w:pPr>
      <w:r w:rsidRPr="00791E90">
        <w:t>Statistical analysis of routine patient-level data</w:t>
      </w:r>
      <w:r>
        <w:t xml:space="preserve"> to adjust for case-mix differences among hospitals and</w:t>
      </w:r>
      <w:r w:rsidRPr="00791E90">
        <w:t xml:space="preserve"> isolate hospital performance effects.</w:t>
      </w:r>
    </w:p>
    <w:p w14:paraId="6D24B864" w14:textId="77777777" w:rsidR="00610023" w:rsidRPr="00791E90" w:rsidRDefault="00610023" w:rsidP="00610023">
      <w:pPr>
        <w:spacing w:line="276" w:lineRule="auto"/>
      </w:pPr>
    </w:p>
    <w:p w14:paraId="34C2D32F" w14:textId="77777777" w:rsidR="00610023" w:rsidRDefault="00610023" w:rsidP="004D6358">
      <w:pPr>
        <w:spacing w:line="276" w:lineRule="auto"/>
        <w:outlineLvl w:val="0"/>
        <w:rPr>
          <w:u w:val="single"/>
        </w:rPr>
      </w:pPr>
      <w:r w:rsidRPr="00791E90">
        <w:rPr>
          <w:u w:val="single"/>
        </w:rPr>
        <w:t>Procedure</w:t>
      </w:r>
    </w:p>
    <w:p w14:paraId="312C797B" w14:textId="77777777" w:rsidR="00610023" w:rsidRDefault="00610023" w:rsidP="00610023">
      <w:pPr>
        <w:spacing w:line="276" w:lineRule="auto"/>
      </w:pPr>
      <w:r>
        <w:t xml:space="preserve">We examined the shortlisted indicators using data drawn from Hospital Episode Statistics (HES) and other data sources (see Figure 2) covering the years 2011 to 2013. Hospitals were excluded from the analysis if they treated </w:t>
      </w:r>
      <w:r w:rsidRPr="00141D83">
        <w:t xml:space="preserve">fewer than 30 patients for each </w:t>
      </w:r>
      <w:r>
        <w:t xml:space="preserve">indicator </w:t>
      </w:r>
      <w:r w:rsidRPr="00141D83">
        <w:t>throughout this period.</w:t>
      </w:r>
    </w:p>
    <w:p w14:paraId="123D417F" w14:textId="77777777" w:rsidR="00610023" w:rsidRPr="004E3BAD" w:rsidRDefault="00610023" w:rsidP="00610023">
      <w:pPr>
        <w:spacing w:line="276" w:lineRule="auto"/>
        <w:rPr>
          <w:u w:val="single"/>
        </w:rPr>
      </w:pPr>
    </w:p>
    <w:p w14:paraId="5306687F" w14:textId="72A03334" w:rsidR="00610023" w:rsidRDefault="00610023" w:rsidP="00610023">
      <w:pPr>
        <w:spacing w:line="276" w:lineRule="auto"/>
      </w:pPr>
      <w:r>
        <w:lastRenderedPageBreak/>
        <w:t xml:space="preserve">Patients are clustered within hospitals, and we applied hierarchical models to differentiate between patient and hospital influences on observed performance.[18-20] Provider performance is captured by a random error term from which we derive Empirical Bayes predictions of individual hospitals’ performances.[21] We estimated logistic regression models for binary outcomes (yes/no) and ordinary least squares regression models for continuous variables. Risk-adjusters included: age (in 5 year bands </w:t>
      </w:r>
      <w:r w:rsidR="007B58F4">
        <w:t>except</w:t>
      </w:r>
      <w:r>
        <w:t xml:space="preserve"> &gt;85), sex, age-sex interactions, indicators for the presence of individual Elixhauser comorbid conditions</w:t>
      </w:r>
      <w:r w:rsidR="00094CFE">
        <w:t xml:space="preserve"> </w:t>
      </w:r>
      <w:r>
        <w:t>[22-23]</w:t>
      </w:r>
      <w:r w:rsidR="00094CFE">
        <w:t>,</w:t>
      </w:r>
      <w:r>
        <w:t xml:space="preserve"> area-level income deprivation (measured at lower super output area (LSOA) level and coded as quintiles of the empirical distribution), and year of admission. </w:t>
      </w:r>
    </w:p>
    <w:p w14:paraId="37E3B54A" w14:textId="77777777" w:rsidR="00610023" w:rsidRDefault="00610023" w:rsidP="00610023">
      <w:pPr>
        <w:spacing w:line="276" w:lineRule="auto"/>
      </w:pPr>
    </w:p>
    <w:p w14:paraId="35AEB9F7" w14:textId="77777777" w:rsidR="00610023" w:rsidRDefault="00610023" w:rsidP="00610023">
      <w:pPr>
        <w:spacing w:line="276" w:lineRule="auto"/>
      </w:pPr>
      <w:r>
        <w:t xml:space="preserve">In the main statistical analyses, data were pooled across the three financial years to improve statistical power.[24] In sensitivity analyses we explored each hospital’s performance by year to ascertain stability over time and rule out temporary shocks that may have driven the pooled performance estimate. We performed separate analyses for each of the patient group and indicator. </w:t>
      </w:r>
    </w:p>
    <w:p w14:paraId="0B2109A8" w14:textId="77777777" w:rsidR="00610023" w:rsidRDefault="00610023" w:rsidP="00610023">
      <w:pPr>
        <w:spacing w:line="276" w:lineRule="auto"/>
      </w:pPr>
    </w:p>
    <w:p w14:paraId="0D7C2C1B" w14:textId="215042D0" w:rsidR="00610023" w:rsidRDefault="00610023" w:rsidP="00610023">
      <w:pPr>
        <w:spacing w:line="276" w:lineRule="auto"/>
      </w:pPr>
      <w:r>
        <w:t xml:space="preserve">Uncertainty with regard to performance estimates was assessed through one-sided hypothesis tests of positive deviations from the common intercept (i.e. the national average). These statistical tests were </w:t>
      </w:r>
      <w:r w:rsidR="007B58F4">
        <w:t>not used as a selection mechanism but s</w:t>
      </w:r>
      <w:r>
        <w:t xml:space="preserve">olely as a screening device to guard against selecting hospitals that appeared to be performing well by chance. </w:t>
      </w:r>
    </w:p>
    <w:p w14:paraId="6FB4B284" w14:textId="77777777" w:rsidR="00610023" w:rsidRDefault="00610023" w:rsidP="00610023">
      <w:pPr>
        <w:spacing w:line="276" w:lineRule="auto"/>
      </w:pPr>
    </w:p>
    <w:p w14:paraId="02316054" w14:textId="77777777" w:rsidR="00610023" w:rsidRPr="00EF5B88" w:rsidRDefault="00610023" w:rsidP="004D6358">
      <w:pPr>
        <w:spacing w:line="276" w:lineRule="auto"/>
        <w:outlineLvl w:val="0"/>
        <w:rPr>
          <w:b/>
        </w:rPr>
      </w:pPr>
      <w:r>
        <w:rPr>
          <w:b/>
        </w:rPr>
        <w:t>Results</w:t>
      </w:r>
    </w:p>
    <w:p w14:paraId="3B49190F" w14:textId="77777777" w:rsidR="00610023" w:rsidRDefault="00610023" w:rsidP="00610023">
      <w:pPr>
        <w:spacing w:line="276" w:lineRule="auto"/>
      </w:pPr>
    </w:p>
    <w:p w14:paraId="7E53242C" w14:textId="77777777" w:rsidR="00610023" w:rsidRDefault="00610023" w:rsidP="00610023">
      <w:pPr>
        <w:spacing w:line="276" w:lineRule="auto"/>
        <w:rPr>
          <w:i/>
          <w:u w:val="single"/>
          <w:lang w:val="en-US"/>
        </w:rPr>
      </w:pPr>
      <w:r w:rsidRPr="00A859D6">
        <w:rPr>
          <w:i/>
          <w:u w:val="single"/>
          <w:lang w:val="en-US"/>
        </w:rPr>
        <w:t>Research objective 1: Identifying a set of quality and safety indicators</w:t>
      </w:r>
      <w:r>
        <w:rPr>
          <w:i/>
          <w:u w:val="single"/>
          <w:lang w:val="en-US"/>
        </w:rPr>
        <w:t>, and developing criteria for their assessment</w:t>
      </w:r>
    </w:p>
    <w:p w14:paraId="569FA704" w14:textId="77777777" w:rsidR="00610023" w:rsidRPr="00A859D6" w:rsidRDefault="00610023" w:rsidP="00610023">
      <w:pPr>
        <w:spacing w:line="276" w:lineRule="auto"/>
        <w:rPr>
          <w:i/>
          <w:u w:val="single"/>
          <w:lang w:val="en-US"/>
        </w:rPr>
      </w:pPr>
    </w:p>
    <w:p w14:paraId="45D7282F" w14:textId="282BB463" w:rsidR="00610023" w:rsidRDefault="00610023" w:rsidP="00610023">
      <w:pPr>
        <w:spacing w:line="276" w:lineRule="auto"/>
        <w:rPr>
          <w:lang w:val="en-US"/>
        </w:rPr>
      </w:pPr>
      <w:r>
        <w:t>Following discussion within the expert group, w</w:t>
      </w:r>
      <w:r w:rsidRPr="00494959">
        <w:t xml:space="preserve">e were able to extract or construct a total of </w:t>
      </w:r>
      <w:r>
        <w:t>49</w:t>
      </w:r>
      <w:r w:rsidRPr="00494959">
        <w:t xml:space="preserve"> indicators </w:t>
      </w:r>
      <w:r>
        <w:t xml:space="preserve">of quality and safety from the datasets listed in Figure 2.  The full list of </w:t>
      </w:r>
      <w:r w:rsidR="007B58F4">
        <w:t xml:space="preserve">these </w:t>
      </w:r>
      <w:r>
        <w:t xml:space="preserve">indicators is detailed in Table 2.  Following discussion within the expert group, a set of 12 criteria was agreed.  Criteria are listed in Table 1, in the order that they were applied to each indicator.  </w:t>
      </w:r>
    </w:p>
    <w:p w14:paraId="6A2D63D8" w14:textId="77777777" w:rsidR="00610023" w:rsidRDefault="00610023" w:rsidP="00610023">
      <w:pPr>
        <w:spacing w:line="276" w:lineRule="auto"/>
      </w:pPr>
    </w:p>
    <w:p w14:paraId="6A5C4E53" w14:textId="77777777" w:rsidR="00610023" w:rsidRDefault="00610023" w:rsidP="00610023">
      <w:pPr>
        <w:spacing w:line="276" w:lineRule="auto"/>
        <w:rPr>
          <w:lang w:val="en-US"/>
        </w:rPr>
      </w:pPr>
      <w:r>
        <w:rPr>
          <w:lang w:val="en-US"/>
        </w:rPr>
        <w:t xml:space="preserve">The first criterion assesses the degree to which an indicator relates to the population of interest, which in this context refers to any publicly available and routinely collected measure of quality and safety within acute healthcare services.  The second criterion was specifically related to the positive deviance approach, in that indicators needed to specifically represent (or be interpretable as) a measure of service level or unit quality and safety, to allow further qualitative exploration of the likely origins of the deviance. For this reason, this criterion was assessed early in the process to avoid undertaking unnecessary </w:t>
      </w:r>
      <w:r>
        <w:rPr>
          <w:lang w:val="en-US"/>
        </w:rPr>
        <w:lastRenderedPageBreak/>
        <w:t xml:space="preserve">assessment of indicators that would fail to support the further planned stages of the positive deviance approach.  </w:t>
      </w:r>
    </w:p>
    <w:p w14:paraId="7235C5D4" w14:textId="77777777" w:rsidR="00610023" w:rsidRDefault="00610023" w:rsidP="00610023">
      <w:pPr>
        <w:spacing w:line="276" w:lineRule="auto"/>
        <w:rPr>
          <w:lang w:val="en-US"/>
        </w:rPr>
      </w:pPr>
    </w:p>
    <w:p w14:paraId="13F343A4" w14:textId="47449F11" w:rsidR="00610023" w:rsidRDefault="00610023" w:rsidP="00610023">
      <w:pPr>
        <w:spacing w:line="276" w:lineRule="auto"/>
        <w:rPr>
          <w:lang w:val="en-US"/>
        </w:rPr>
      </w:pPr>
      <w:r>
        <w:rPr>
          <w:lang w:val="en-US"/>
        </w:rPr>
        <w:t>Criteria 3 to 7 all concern the statistical properties of the indicators, with assessment at this stage undertaken by the health economists within the expert group (KG, NG and AS)</w:t>
      </w:r>
      <w:r w:rsidR="001F5D0E">
        <w:rPr>
          <w:lang w:val="en-US"/>
        </w:rPr>
        <w:t xml:space="preserve"> (See Appendix </w:t>
      </w:r>
      <w:r w:rsidR="009B15EB">
        <w:rPr>
          <w:lang w:val="en-US"/>
        </w:rPr>
        <w:t>3</w:t>
      </w:r>
      <w:r w:rsidR="004D6358">
        <w:rPr>
          <w:lang w:val="en-US"/>
        </w:rPr>
        <w:t xml:space="preserve"> </w:t>
      </w:r>
      <w:r w:rsidR="001F5D0E">
        <w:rPr>
          <w:lang w:val="en-US"/>
        </w:rPr>
        <w:t>for full results)</w:t>
      </w:r>
      <w:r>
        <w:rPr>
          <w:lang w:val="en-US"/>
        </w:rPr>
        <w:t xml:space="preserve">. Greater overall benefits are more likely to be realized for larger ‘at risk’ populations, all else equal, so this forms criterion 3. The fourth criterion considers whether there is a sufficiently high incidence of events within this population for statistical analyses to be feasible, recognizing that it is difficult to identify significant provider variation for rare events. The next step (criterion 5) is to consider variation in the indicator across hospitals: if all exhibit the same level of achievement there would be no positive (or negative) deviants. Sometimes the definition of indicators changes over time, or coding practices change, making it difficult to make valid comparisons over time. Criterion 6 captures this possibility. Finally in this stage, criterion 7 considers whether the indicator permits risk-adjustment, recognizing that variation in raw measures may reflect differences among patients rather than the performance of the organisations under consideration. Some indicators do not require risk adjustment, notably never events which should not occur for anyone.  All </w:t>
      </w:r>
      <w:r w:rsidR="007B58F4">
        <w:rPr>
          <w:lang w:val="en-US"/>
        </w:rPr>
        <w:t xml:space="preserve">statistical </w:t>
      </w:r>
      <w:r>
        <w:rPr>
          <w:lang w:val="en-US"/>
        </w:rPr>
        <w:t>criteria had to be met for consideration within the final assessment stage.</w:t>
      </w:r>
    </w:p>
    <w:p w14:paraId="76769429" w14:textId="77777777" w:rsidR="00610023" w:rsidRDefault="00610023" w:rsidP="00610023">
      <w:pPr>
        <w:spacing w:line="276" w:lineRule="auto"/>
        <w:rPr>
          <w:lang w:val="en-US"/>
        </w:rPr>
      </w:pPr>
    </w:p>
    <w:p w14:paraId="3E1EE1D4" w14:textId="77777777" w:rsidR="00610023" w:rsidRDefault="00610023" w:rsidP="00610023">
      <w:pPr>
        <w:spacing w:line="276" w:lineRule="auto"/>
        <w:rPr>
          <w:lang w:val="en-US"/>
        </w:rPr>
      </w:pPr>
      <w:r>
        <w:rPr>
          <w:lang w:val="en-US"/>
        </w:rPr>
        <w:t>Criteria 8 to 12 were then applied to assess the degree to which indicators represent robust, interpretable and relevant measures of quality and safety within acute healthcare, that are likely to be responsive to change during later stages of the positive deviance approach.</w:t>
      </w:r>
    </w:p>
    <w:p w14:paraId="41CA6273" w14:textId="77777777" w:rsidR="00610023" w:rsidRDefault="00610023" w:rsidP="00610023">
      <w:pPr>
        <w:spacing w:line="276" w:lineRule="auto"/>
        <w:rPr>
          <w:lang w:val="en-US"/>
        </w:rPr>
      </w:pPr>
    </w:p>
    <w:p w14:paraId="0C2FA6DA" w14:textId="77777777" w:rsidR="00610023" w:rsidRDefault="00610023" w:rsidP="00610023">
      <w:pPr>
        <w:spacing w:line="276" w:lineRule="auto"/>
        <w:rPr>
          <w:lang w:val="en-US"/>
        </w:rPr>
      </w:pPr>
    </w:p>
    <w:p w14:paraId="1B20C134" w14:textId="77777777" w:rsidR="00610023" w:rsidRPr="002354F7" w:rsidRDefault="00610023" w:rsidP="00610023">
      <w:pPr>
        <w:spacing w:line="276" w:lineRule="auto"/>
        <w:rPr>
          <w:lang w:val="en-US"/>
        </w:rPr>
      </w:pPr>
    </w:p>
    <w:p w14:paraId="52A0B0B8" w14:textId="77777777" w:rsidR="00610023" w:rsidRDefault="00610023" w:rsidP="00610023">
      <w:pPr>
        <w:rPr>
          <w:b/>
          <w:lang w:val="en-US"/>
        </w:rPr>
      </w:pPr>
    </w:p>
    <w:p w14:paraId="79A871F6" w14:textId="77777777" w:rsidR="00610023" w:rsidRDefault="00610023" w:rsidP="00610023">
      <w:pPr>
        <w:rPr>
          <w:b/>
          <w:lang w:val="en-US"/>
        </w:rPr>
      </w:pPr>
      <w:r>
        <w:rPr>
          <w:b/>
          <w:lang w:val="en-US"/>
        </w:rPr>
        <w:br w:type="page"/>
      </w:r>
    </w:p>
    <w:p w14:paraId="4E28D284" w14:textId="77777777" w:rsidR="00610023" w:rsidRDefault="00610023" w:rsidP="004D6358">
      <w:pPr>
        <w:spacing w:line="276" w:lineRule="auto"/>
        <w:outlineLvl w:val="0"/>
        <w:rPr>
          <w:b/>
          <w:lang w:val="en-US"/>
        </w:rPr>
      </w:pPr>
      <w:r>
        <w:rPr>
          <w:b/>
          <w:lang w:val="en-US"/>
        </w:rPr>
        <w:lastRenderedPageBreak/>
        <w:t>Table 1: List of criteria, stage assessed and nature of assessment</w:t>
      </w:r>
    </w:p>
    <w:p w14:paraId="0F20FE61" w14:textId="77777777" w:rsidR="00610023" w:rsidRDefault="00610023" w:rsidP="00610023">
      <w:pPr>
        <w:spacing w:line="276" w:lineRule="auto"/>
        <w:rPr>
          <w:b/>
          <w:lang w:val="en-US"/>
        </w:rPr>
      </w:pPr>
    </w:p>
    <w:tbl>
      <w:tblPr>
        <w:tblStyle w:val="TableGrid"/>
        <w:tblW w:w="0" w:type="auto"/>
        <w:tblLook w:val="04A0" w:firstRow="1" w:lastRow="0" w:firstColumn="1" w:lastColumn="0" w:noHBand="0" w:noVBand="1"/>
      </w:tblPr>
      <w:tblGrid>
        <w:gridCol w:w="2798"/>
        <w:gridCol w:w="2741"/>
        <w:gridCol w:w="2751"/>
      </w:tblGrid>
      <w:tr w:rsidR="00610023" w:rsidRPr="00CD47FD" w14:paraId="0BC6FFD0" w14:textId="77777777" w:rsidTr="006C3EC9">
        <w:tc>
          <w:tcPr>
            <w:tcW w:w="2798" w:type="dxa"/>
          </w:tcPr>
          <w:p w14:paraId="7FCB7C57" w14:textId="77777777" w:rsidR="00610023" w:rsidRPr="00CD47FD" w:rsidRDefault="00610023" w:rsidP="006C3EC9">
            <w:pPr>
              <w:spacing w:line="276" w:lineRule="auto"/>
              <w:rPr>
                <w:b/>
                <w:sz w:val="22"/>
                <w:szCs w:val="22"/>
              </w:rPr>
            </w:pPr>
            <w:r w:rsidRPr="00CD47FD">
              <w:rPr>
                <w:b/>
                <w:sz w:val="22"/>
                <w:szCs w:val="22"/>
              </w:rPr>
              <w:t>Criteria</w:t>
            </w:r>
          </w:p>
        </w:tc>
        <w:tc>
          <w:tcPr>
            <w:tcW w:w="2741" w:type="dxa"/>
          </w:tcPr>
          <w:p w14:paraId="3C6E2325" w14:textId="77777777" w:rsidR="00610023" w:rsidRPr="00CD47FD" w:rsidRDefault="00610023" w:rsidP="006C3EC9">
            <w:pPr>
              <w:spacing w:line="276" w:lineRule="auto"/>
              <w:rPr>
                <w:b/>
                <w:sz w:val="22"/>
                <w:szCs w:val="22"/>
              </w:rPr>
            </w:pPr>
            <w:r w:rsidRPr="00CD47FD">
              <w:rPr>
                <w:b/>
                <w:sz w:val="22"/>
                <w:szCs w:val="22"/>
              </w:rPr>
              <w:t>When assessed?</w:t>
            </w:r>
          </w:p>
        </w:tc>
        <w:tc>
          <w:tcPr>
            <w:tcW w:w="2751" w:type="dxa"/>
          </w:tcPr>
          <w:p w14:paraId="684720ED" w14:textId="77777777" w:rsidR="00610023" w:rsidRPr="00CD47FD" w:rsidRDefault="00610023" w:rsidP="006C3EC9">
            <w:pPr>
              <w:spacing w:line="276" w:lineRule="auto"/>
              <w:rPr>
                <w:b/>
                <w:sz w:val="22"/>
                <w:szCs w:val="22"/>
              </w:rPr>
            </w:pPr>
            <w:r>
              <w:rPr>
                <w:b/>
                <w:sz w:val="22"/>
                <w:szCs w:val="22"/>
              </w:rPr>
              <w:t>Assessed through?</w:t>
            </w:r>
          </w:p>
        </w:tc>
      </w:tr>
      <w:tr w:rsidR="00610023" w:rsidRPr="00CD47FD" w14:paraId="5EBAA8A2" w14:textId="77777777" w:rsidTr="006C3EC9">
        <w:tc>
          <w:tcPr>
            <w:tcW w:w="2798" w:type="dxa"/>
          </w:tcPr>
          <w:p w14:paraId="6C508EA0" w14:textId="77777777" w:rsidR="00610023" w:rsidRPr="00CD47FD" w:rsidRDefault="00610023" w:rsidP="006C3EC9">
            <w:pPr>
              <w:spacing w:line="276" w:lineRule="auto"/>
              <w:rPr>
                <w:sz w:val="22"/>
                <w:szCs w:val="22"/>
              </w:rPr>
            </w:pPr>
            <w:r w:rsidRPr="00CD47FD">
              <w:rPr>
                <w:sz w:val="22"/>
                <w:szCs w:val="22"/>
              </w:rPr>
              <w:t>1) Coverage of population of interest</w:t>
            </w:r>
          </w:p>
        </w:tc>
        <w:tc>
          <w:tcPr>
            <w:tcW w:w="2741" w:type="dxa"/>
          </w:tcPr>
          <w:p w14:paraId="697C7593" w14:textId="77777777" w:rsidR="00610023" w:rsidRPr="00CD47FD" w:rsidRDefault="00610023" w:rsidP="006C3EC9">
            <w:pPr>
              <w:spacing w:line="276" w:lineRule="auto"/>
              <w:rPr>
                <w:i/>
                <w:sz w:val="22"/>
                <w:szCs w:val="22"/>
              </w:rPr>
            </w:pPr>
            <w:r>
              <w:rPr>
                <w:i/>
                <w:sz w:val="22"/>
                <w:szCs w:val="22"/>
              </w:rPr>
              <w:t>Step</w:t>
            </w:r>
            <w:r w:rsidRPr="00CD47FD">
              <w:rPr>
                <w:i/>
                <w:sz w:val="22"/>
                <w:szCs w:val="22"/>
              </w:rPr>
              <w:t xml:space="preserve"> 1: </w:t>
            </w:r>
          </w:p>
          <w:p w14:paraId="66B78681" w14:textId="2FB40186" w:rsidR="00610023" w:rsidRPr="00CD47FD" w:rsidRDefault="00610023" w:rsidP="006C3EC9">
            <w:pPr>
              <w:spacing w:line="276" w:lineRule="auto"/>
              <w:rPr>
                <w:sz w:val="22"/>
                <w:szCs w:val="22"/>
              </w:rPr>
            </w:pPr>
            <w:r w:rsidRPr="00CD47FD">
              <w:rPr>
                <w:sz w:val="22"/>
                <w:szCs w:val="22"/>
              </w:rPr>
              <w:t>Only measures passing this criteri</w:t>
            </w:r>
            <w:r w:rsidR="007B58F4">
              <w:rPr>
                <w:sz w:val="22"/>
                <w:szCs w:val="22"/>
              </w:rPr>
              <w:t>on</w:t>
            </w:r>
            <w:r w:rsidRPr="00CD47FD">
              <w:rPr>
                <w:sz w:val="22"/>
                <w:szCs w:val="22"/>
              </w:rPr>
              <w:t xml:space="preserve"> entered into long list</w:t>
            </w:r>
          </w:p>
        </w:tc>
        <w:tc>
          <w:tcPr>
            <w:tcW w:w="2751" w:type="dxa"/>
          </w:tcPr>
          <w:p w14:paraId="29AFF79A" w14:textId="77777777" w:rsidR="00610023" w:rsidRPr="00CD47FD" w:rsidRDefault="00610023" w:rsidP="006C3EC9">
            <w:pPr>
              <w:spacing w:line="276" w:lineRule="auto"/>
              <w:rPr>
                <w:sz w:val="22"/>
                <w:szCs w:val="22"/>
              </w:rPr>
            </w:pPr>
            <w:r w:rsidRPr="00CD47FD">
              <w:rPr>
                <w:sz w:val="22"/>
                <w:szCs w:val="22"/>
              </w:rPr>
              <w:t xml:space="preserve">Expert </w:t>
            </w:r>
            <w:r>
              <w:rPr>
                <w:sz w:val="22"/>
                <w:szCs w:val="22"/>
              </w:rPr>
              <w:t>discussion</w:t>
            </w:r>
          </w:p>
        </w:tc>
      </w:tr>
      <w:tr w:rsidR="00610023" w:rsidRPr="00CD47FD" w14:paraId="54EF4D46" w14:textId="77777777" w:rsidTr="006C3EC9">
        <w:tc>
          <w:tcPr>
            <w:tcW w:w="2798" w:type="dxa"/>
          </w:tcPr>
          <w:p w14:paraId="39E438F3" w14:textId="77777777" w:rsidR="00610023" w:rsidRPr="00CD47FD" w:rsidRDefault="00610023" w:rsidP="006C3EC9">
            <w:pPr>
              <w:spacing w:line="276" w:lineRule="auto"/>
              <w:rPr>
                <w:sz w:val="22"/>
                <w:szCs w:val="22"/>
              </w:rPr>
            </w:pPr>
            <w:r w:rsidRPr="00CD47FD">
              <w:rPr>
                <w:sz w:val="22"/>
                <w:szCs w:val="22"/>
              </w:rPr>
              <w:t xml:space="preserve">2) Can be attributed to sub </w:t>
            </w:r>
            <w:r>
              <w:rPr>
                <w:sz w:val="22"/>
                <w:szCs w:val="22"/>
              </w:rPr>
              <w:t>hospital</w:t>
            </w:r>
            <w:r w:rsidRPr="00CD47FD">
              <w:rPr>
                <w:sz w:val="22"/>
                <w:szCs w:val="22"/>
              </w:rPr>
              <w:t xml:space="preserve"> level (e.g. clinical teams/departments)</w:t>
            </w:r>
          </w:p>
        </w:tc>
        <w:tc>
          <w:tcPr>
            <w:tcW w:w="2741" w:type="dxa"/>
          </w:tcPr>
          <w:p w14:paraId="0369A3EA" w14:textId="77777777" w:rsidR="00610023" w:rsidRPr="00CD47FD" w:rsidRDefault="00610023" w:rsidP="006C3EC9">
            <w:pPr>
              <w:spacing w:line="276" w:lineRule="auto"/>
              <w:rPr>
                <w:i/>
                <w:sz w:val="22"/>
                <w:szCs w:val="22"/>
              </w:rPr>
            </w:pPr>
            <w:r>
              <w:rPr>
                <w:i/>
                <w:sz w:val="22"/>
                <w:szCs w:val="22"/>
              </w:rPr>
              <w:t>Step</w:t>
            </w:r>
            <w:r w:rsidRPr="00CD47FD">
              <w:rPr>
                <w:i/>
                <w:sz w:val="22"/>
                <w:szCs w:val="22"/>
              </w:rPr>
              <w:t xml:space="preserve"> 2</w:t>
            </w:r>
          </w:p>
          <w:p w14:paraId="06C1EF20" w14:textId="77777777" w:rsidR="00610023" w:rsidRPr="00CD47FD" w:rsidRDefault="00610023" w:rsidP="006C3EC9">
            <w:pPr>
              <w:spacing w:line="276" w:lineRule="auto"/>
              <w:rPr>
                <w:b/>
                <w:sz w:val="22"/>
                <w:szCs w:val="22"/>
              </w:rPr>
            </w:pPr>
          </w:p>
        </w:tc>
        <w:tc>
          <w:tcPr>
            <w:tcW w:w="2751" w:type="dxa"/>
          </w:tcPr>
          <w:p w14:paraId="58FF4B0E" w14:textId="77777777" w:rsidR="00610023" w:rsidRPr="00CD47FD" w:rsidRDefault="00610023" w:rsidP="006C3EC9">
            <w:pPr>
              <w:spacing w:line="276" w:lineRule="auto"/>
              <w:rPr>
                <w:sz w:val="22"/>
                <w:szCs w:val="22"/>
              </w:rPr>
            </w:pPr>
            <w:r>
              <w:rPr>
                <w:sz w:val="22"/>
                <w:szCs w:val="22"/>
              </w:rPr>
              <w:t>Consensus among four clinicians</w:t>
            </w:r>
          </w:p>
        </w:tc>
      </w:tr>
      <w:tr w:rsidR="00610023" w:rsidRPr="00CD47FD" w14:paraId="142B3D9D" w14:textId="77777777" w:rsidTr="006C3EC9">
        <w:tc>
          <w:tcPr>
            <w:tcW w:w="2798" w:type="dxa"/>
          </w:tcPr>
          <w:p w14:paraId="7B745390" w14:textId="77777777" w:rsidR="00610023" w:rsidRPr="00CD47FD" w:rsidRDefault="00610023" w:rsidP="006C3EC9">
            <w:pPr>
              <w:spacing w:line="276" w:lineRule="auto"/>
              <w:rPr>
                <w:b/>
                <w:sz w:val="22"/>
                <w:szCs w:val="22"/>
              </w:rPr>
            </w:pPr>
            <w:r w:rsidRPr="00CD47FD">
              <w:rPr>
                <w:sz w:val="22"/>
                <w:szCs w:val="22"/>
              </w:rPr>
              <w:t>3) </w:t>
            </w:r>
            <w:r>
              <w:rPr>
                <w:sz w:val="22"/>
                <w:szCs w:val="22"/>
              </w:rPr>
              <w:t>Large ‘at risk’ population</w:t>
            </w:r>
          </w:p>
        </w:tc>
        <w:tc>
          <w:tcPr>
            <w:tcW w:w="2741" w:type="dxa"/>
          </w:tcPr>
          <w:p w14:paraId="38B6B30C" w14:textId="77777777" w:rsidR="00610023" w:rsidRPr="00CD47FD" w:rsidRDefault="00610023" w:rsidP="006C3EC9">
            <w:pPr>
              <w:spacing w:line="276" w:lineRule="auto"/>
              <w:rPr>
                <w:sz w:val="22"/>
                <w:szCs w:val="22"/>
              </w:rPr>
            </w:pPr>
            <w:r>
              <w:rPr>
                <w:i/>
                <w:sz w:val="22"/>
                <w:szCs w:val="22"/>
              </w:rPr>
              <w:t>Step</w:t>
            </w:r>
            <w:r w:rsidRPr="00CD47FD">
              <w:rPr>
                <w:i/>
                <w:sz w:val="22"/>
                <w:szCs w:val="22"/>
              </w:rPr>
              <w:t xml:space="preserve"> 3</w:t>
            </w:r>
          </w:p>
        </w:tc>
        <w:tc>
          <w:tcPr>
            <w:tcW w:w="2751" w:type="dxa"/>
          </w:tcPr>
          <w:p w14:paraId="53FFB763" w14:textId="77777777" w:rsidR="00610023" w:rsidRPr="00CD47FD" w:rsidRDefault="00610023" w:rsidP="006C3EC9">
            <w:pPr>
              <w:spacing w:line="276" w:lineRule="auto"/>
              <w:rPr>
                <w:sz w:val="22"/>
                <w:szCs w:val="22"/>
              </w:rPr>
            </w:pPr>
            <w:r>
              <w:rPr>
                <w:sz w:val="22"/>
                <w:szCs w:val="22"/>
              </w:rPr>
              <w:t>Data exploration</w:t>
            </w:r>
          </w:p>
        </w:tc>
      </w:tr>
      <w:tr w:rsidR="00610023" w:rsidRPr="00CD47FD" w14:paraId="063E4C80" w14:textId="77777777" w:rsidTr="006C3EC9">
        <w:tc>
          <w:tcPr>
            <w:tcW w:w="2798" w:type="dxa"/>
          </w:tcPr>
          <w:p w14:paraId="59E7720C" w14:textId="77777777" w:rsidR="00610023" w:rsidRPr="00CD47FD" w:rsidRDefault="00610023" w:rsidP="006C3EC9">
            <w:pPr>
              <w:spacing w:line="276" w:lineRule="auto"/>
              <w:rPr>
                <w:b/>
                <w:sz w:val="22"/>
                <w:szCs w:val="22"/>
              </w:rPr>
            </w:pPr>
            <w:r w:rsidRPr="00CD47FD">
              <w:rPr>
                <w:sz w:val="22"/>
                <w:szCs w:val="22"/>
              </w:rPr>
              <w:t>4) </w:t>
            </w:r>
            <w:r>
              <w:rPr>
                <w:sz w:val="22"/>
                <w:szCs w:val="22"/>
              </w:rPr>
              <w:t>High incidence of events</w:t>
            </w:r>
          </w:p>
        </w:tc>
        <w:tc>
          <w:tcPr>
            <w:tcW w:w="2741" w:type="dxa"/>
          </w:tcPr>
          <w:p w14:paraId="1F0F112D" w14:textId="77777777" w:rsidR="00610023" w:rsidRPr="00CD47FD" w:rsidRDefault="00610023" w:rsidP="006C3EC9">
            <w:pPr>
              <w:spacing w:line="276" w:lineRule="auto"/>
              <w:rPr>
                <w:sz w:val="22"/>
                <w:szCs w:val="22"/>
              </w:rPr>
            </w:pPr>
            <w:r>
              <w:rPr>
                <w:i/>
                <w:sz w:val="22"/>
                <w:szCs w:val="22"/>
              </w:rPr>
              <w:t>Step</w:t>
            </w:r>
            <w:r w:rsidRPr="00CD47FD">
              <w:rPr>
                <w:i/>
                <w:sz w:val="22"/>
                <w:szCs w:val="22"/>
              </w:rPr>
              <w:t xml:space="preserve"> 3</w:t>
            </w:r>
          </w:p>
        </w:tc>
        <w:tc>
          <w:tcPr>
            <w:tcW w:w="2751" w:type="dxa"/>
          </w:tcPr>
          <w:p w14:paraId="2012A485" w14:textId="77777777" w:rsidR="00610023" w:rsidRPr="00CD47FD" w:rsidRDefault="00610023" w:rsidP="006C3EC9">
            <w:pPr>
              <w:spacing w:line="276" w:lineRule="auto"/>
              <w:rPr>
                <w:sz w:val="22"/>
                <w:szCs w:val="22"/>
              </w:rPr>
            </w:pPr>
            <w:r w:rsidRPr="00B60D33">
              <w:rPr>
                <w:sz w:val="22"/>
                <w:szCs w:val="22"/>
              </w:rPr>
              <w:t>Data exploration</w:t>
            </w:r>
          </w:p>
        </w:tc>
      </w:tr>
      <w:tr w:rsidR="00610023" w:rsidRPr="00CD47FD" w14:paraId="4001CF3C" w14:textId="77777777" w:rsidTr="006C3EC9">
        <w:tc>
          <w:tcPr>
            <w:tcW w:w="2798" w:type="dxa"/>
          </w:tcPr>
          <w:p w14:paraId="1F09773C" w14:textId="77777777" w:rsidR="00610023" w:rsidRPr="00CD47FD" w:rsidRDefault="00610023" w:rsidP="006C3EC9">
            <w:pPr>
              <w:spacing w:line="276" w:lineRule="auto"/>
              <w:rPr>
                <w:sz w:val="22"/>
                <w:szCs w:val="22"/>
              </w:rPr>
            </w:pPr>
            <w:r w:rsidRPr="00CD47FD">
              <w:rPr>
                <w:sz w:val="22"/>
                <w:szCs w:val="22"/>
              </w:rPr>
              <w:t>5) </w:t>
            </w:r>
            <w:r>
              <w:rPr>
                <w:sz w:val="22"/>
                <w:szCs w:val="22"/>
              </w:rPr>
              <w:t>Sufficient variation across hospitals</w:t>
            </w:r>
          </w:p>
        </w:tc>
        <w:tc>
          <w:tcPr>
            <w:tcW w:w="2741" w:type="dxa"/>
          </w:tcPr>
          <w:p w14:paraId="492FFD22" w14:textId="77777777" w:rsidR="00610023" w:rsidRPr="00CD47FD" w:rsidRDefault="00610023" w:rsidP="006C3EC9">
            <w:pPr>
              <w:spacing w:line="276" w:lineRule="auto"/>
              <w:rPr>
                <w:i/>
                <w:sz w:val="22"/>
                <w:szCs w:val="22"/>
              </w:rPr>
            </w:pPr>
            <w:r>
              <w:rPr>
                <w:i/>
                <w:sz w:val="22"/>
                <w:szCs w:val="22"/>
              </w:rPr>
              <w:t>Step</w:t>
            </w:r>
            <w:r w:rsidRPr="00CD47FD">
              <w:rPr>
                <w:i/>
                <w:sz w:val="22"/>
                <w:szCs w:val="22"/>
              </w:rPr>
              <w:t xml:space="preserve"> 3</w:t>
            </w:r>
          </w:p>
        </w:tc>
        <w:tc>
          <w:tcPr>
            <w:tcW w:w="2751" w:type="dxa"/>
          </w:tcPr>
          <w:p w14:paraId="510ECE01" w14:textId="77777777" w:rsidR="00610023" w:rsidRPr="00B60D33" w:rsidRDefault="00610023" w:rsidP="006C3EC9">
            <w:pPr>
              <w:spacing w:line="276" w:lineRule="auto"/>
              <w:rPr>
                <w:sz w:val="22"/>
                <w:szCs w:val="22"/>
              </w:rPr>
            </w:pPr>
            <w:r w:rsidRPr="00B60D33">
              <w:rPr>
                <w:sz w:val="22"/>
                <w:szCs w:val="22"/>
              </w:rPr>
              <w:t>Data exploration</w:t>
            </w:r>
          </w:p>
        </w:tc>
      </w:tr>
      <w:tr w:rsidR="00610023" w:rsidRPr="00CD47FD" w14:paraId="7714DDD5" w14:textId="77777777" w:rsidTr="006C3EC9">
        <w:tc>
          <w:tcPr>
            <w:tcW w:w="2798" w:type="dxa"/>
          </w:tcPr>
          <w:p w14:paraId="20780698" w14:textId="77777777" w:rsidR="00610023" w:rsidRPr="00CD47FD" w:rsidRDefault="00610023" w:rsidP="006C3EC9">
            <w:pPr>
              <w:spacing w:line="276" w:lineRule="auto"/>
              <w:rPr>
                <w:sz w:val="22"/>
                <w:szCs w:val="22"/>
              </w:rPr>
            </w:pPr>
            <w:r>
              <w:rPr>
                <w:sz w:val="22"/>
                <w:szCs w:val="22"/>
              </w:rPr>
              <w:t>6) Definitional consistency over time</w:t>
            </w:r>
          </w:p>
        </w:tc>
        <w:tc>
          <w:tcPr>
            <w:tcW w:w="2741" w:type="dxa"/>
          </w:tcPr>
          <w:p w14:paraId="37A1A7DF" w14:textId="77777777" w:rsidR="00610023" w:rsidRPr="00CD47FD" w:rsidRDefault="00610023" w:rsidP="006C3EC9">
            <w:pPr>
              <w:spacing w:line="276" w:lineRule="auto"/>
              <w:rPr>
                <w:i/>
                <w:sz w:val="22"/>
                <w:szCs w:val="22"/>
              </w:rPr>
            </w:pPr>
            <w:r>
              <w:rPr>
                <w:i/>
                <w:sz w:val="22"/>
                <w:szCs w:val="22"/>
              </w:rPr>
              <w:t>Step</w:t>
            </w:r>
            <w:r w:rsidRPr="00CD47FD">
              <w:rPr>
                <w:i/>
                <w:sz w:val="22"/>
                <w:szCs w:val="22"/>
              </w:rPr>
              <w:t xml:space="preserve"> 3</w:t>
            </w:r>
          </w:p>
        </w:tc>
        <w:tc>
          <w:tcPr>
            <w:tcW w:w="2751" w:type="dxa"/>
          </w:tcPr>
          <w:p w14:paraId="4FB1E7C2" w14:textId="77777777" w:rsidR="00610023" w:rsidRPr="00853884" w:rsidRDefault="00610023" w:rsidP="006C3EC9">
            <w:pPr>
              <w:spacing w:line="276" w:lineRule="auto"/>
              <w:rPr>
                <w:sz w:val="22"/>
                <w:szCs w:val="22"/>
              </w:rPr>
            </w:pPr>
            <w:r w:rsidRPr="00B60D33">
              <w:rPr>
                <w:sz w:val="22"/>
                <w:szCs w:val="22"/>
              </w:rPr>
              <w:t>Data exploration</w:t>
            </w:r>
          </w:p>
        </w:tc>
      </w:tr>
      <w:tr w:rsidR="00610023" w:rsidRPr="00CD47FD" w14:paraId="148C29C5" w14:textId="77777777" w:rsidTr="006C3EC9">
        <w:tc>
          <w:tcPr>
            <w:tcW w:w="2798" w:type="dxa"/>
          </w:tcPr>
          <w:p w14:paraId="768F24D8" w14:textId="77777777" w:rsidR="00610023" w:rsidRPr="00CD47FD" w:rsidRDefault="00610023" w:rsidP="006C3EC9">
            <w:pPr>
              <w:spacing w:line="276" w:lineRule="auto"/>
              <w:rPr>
                <w:sz w:val="22"/>
                <w:szCs w:val="22"/>
              </w:rPr>
            </w:pPr>
            <w:r>
              <w:rPr>
                <w:sz w:val="22"/>
                <w:szCs w:val="22"/>
              </w:rPr>
              <w:t>7) Possibility of risk adjustment, where appropriate</w:t>
            </w:r>
          </w:p>
        </w:tc>
        <w:tc>
          <w:tcPr>
            <w:tcW w:w="2741" w:type="dxa"/>
          </w:tcPr>
          <w:p w14:paraId="6C856508" w14:textId="77777777" w:rsidR="00610023" w:rsidRPr="00CD47FD" w:rsidRDefault="00610023" w:rsidP="006C3EC9">
            <w:pPr>
              <w:spacing w:line="276" w:lineRule="auto"/>
              <w:rPr>
                <w:i/>
                <w:sz w:val="22"/>
                <w:szCs w:val="22"/>
              </w:rPr>
            </w:pPr>
            <w:r>
              <w:rPr>
                <w:i/>
                <w:sz w:val="22"/>
                <w:szCs w:val="22"/>
              </w:rPr>
              <w:t>Step</w:t>
            </w:r>
            <w:r w:rsidRPr="00CD47FD">
              <w:rPr>
                <w:i/>
                <w:sz w:val="22"/>
                <w:szCs w:val="22"/>
              </w:rPr>
              <w:t xml:space="preserve"> 3</w:t>
            </w:r>
          </w:p>
        </w:tc>
        <w:tc>
          <w:tcPr>
            <w:tcW w:w="2751" w:type="dxa"/>
          </w:tcPr>
          <w:p w14:paraId="5481D9C4" w14:textId="77777777" w:rsidR="00610023" w:rsidRPr="00853884" w:rsidRDefault="00610023" w:rsidP="006C3EC9">
            <w:pPr>
              <w:spacing w:line="276" w:lineRule="auto"/>
              <w:rPr>
                <w:sz w:val="22"/>
                <w:szCs w:val="22"/>
              </w:rPr>
            </w:pPr>
            <w:r w:rsidRPr="00B60D33">
              <w:rPr>
                <w:sz w:val="22"/>
                <w:szCs w:val="22"/>
              </w:rPr>
              <w:t>Data exploration</w:t>
            </w:r>
          </w:p>
        </w:tc>
      </w:tr>
      <w:tr w:rsidR="00610023" w:rsidRPr="00CD47FD" w14:paraId="23A9795C" w14:textId="77777777" w:rsidTr="006C3EC9">
        <w:tc>
          <w:tcPr>
            <w:tcW w:w="2798" w:type="dxa"/>
          </w:tcPr>
          <w:p w14:paraId="602B1DD1" w14:textId="77777777" w:rsidR="00610023" w:rsidRPr="00CD47FD" w:rsidRDefault="00610023" w:rsidP="006C3EC9">
            <w:pPr>
              <w:spacing w:line="276" w:lineRule="auto"/>
              <w:rPr>
                <w:sz w:val="22"/>
                <w:szCs w:val="22"/>
              </w:rPr>
            </w:pPr>
            <w:r>
              <w:rPr>
                <w:sz w:val="22"/>
                <w:szCs w:val="22"/>
              </w:rPr>
              <w:t>8</w:t>
            </w:r>
            <w:r w:rsidRPr="00CD47FD">
              <w:rPr>
                <w:sz w:val="22"/>
                <w:szCs w:val="22"/>
              </w:rPr>
              <w:t xml:space="preserve">) Clear interpretation (e.g. </w:t>
            </w:r>
            <w:r>
              <w:rPr>
                <w:sz w:val="22"/>
                <w:szCs w:val="22"/>
              </w:rPr>
              <w:t>is</w:t>
            </w:r>
            <w:r w:rsidRPr="00CD47FD">
              <w:rPr>
                <w:sz w:val="22"/>
                <w:szCs w:val="22"/>
              </w:rPr>
              <w:t xml:space="preserve"> more </w:t>
            </w:r>
            <w:r>
              <w:rPr>
                <w:sz w:val="22"/>
                <w:szCs w:val="22"/>
              </w:rPr>
              <w:t xml:space="preserve">always </w:t>
            </w:r>
            <w:r w:rsidRPr="00CD47FD">
              <w:rPr>
                <w:sz w:val="22"/>
                <w:szCs w:val="22"/>
              </w:rPr>
              <w:t>better</w:t>
            </w:r>
            <w:r>
              <w:rPr>
                <w:sz w:val="22"/>
                <w:szCs w:val="22"/>
              </w:rPr>
              <w:t>?</w:t>
            </w:r>
            <w:r w:rsidRPr="00CD47FD">
              <w:rPr>
                <w:sz w:val="22"/>
                <w:szCs w:val="22"/>
              </w:rPr>
              <w:t>)</w:t>
            </w:r>
          </w:p>
        </w:tc>
        <w:tc>
          <w:tcPr>
            <w:tcW w:w="2741" w:type="dxa"/>
          </w:tcPr>
          <w:p w14:paraId="7123BE0E" w14:textId="77777777" w:rsidR="00610023" w:rsidRPr="00CD47FD" w:rsidRDefault="00610023" w:rsidP="006C3EC9">
            <w:pPr>
              <w:spacing w:line="276" w:lineRule="auto"/>
              <w:rPr>
                <w:sz w:val="22"/>
                <w:szCs w:val="22"/>
              </w:rPr>
            </w:pPr>
            <w:r>
              <w:rPr>
                <w:i/>
                <w:sz w:val="22"/>
                <w:szCs w:val="22"/>
              </w:rPr>
              <w:t>Step</w:t>
            </w:r>
            <w:r w:rsidRPr="00CD47FD">
              <w:rPr>
                <w:i/>
                <w:sz w:val="22"/>
                <w:szCs w:val="22"/>
              </w:rPr>
              <w:t xml:space="preserve"> 4</w:t>
            </w:r>
          </w:p>
        </w:tc>
        <w:tc>
          <w:tcPr>
            <w:tcW w:w="2751" w:type="dxa"/>
          </w:tcPr>
          <w:p w14:paraId="033F04D8" w14:textId="77777777" w:rsidR="00610023" w:rsidRPr="00CD47FD" w:rsidRDefault="00610023" w:rsidP="006C3EC9">
            <w:pPr>
              <w:spacing w:line="276" w:lineRule="auto"/>
              <w:rPr>
                <w:sz w:val="22"/>
                <w:szCs w:val="22"/>
              </w:rPr>
            </w:pPr>
            <w:r w:rsidRPr="00853884">
              <w:rPr>
                <w:sz w:val="22"/>
                <w:szCs w:val="22"/>
              </w:rPr>
              <w:t>Expert discussion</w:t>
            </w:r>
          </w:p>
        </w:tc>
      </w:tr>
      <w:tr w:rsidR="00610023" w:rsidRPr="00CD47FD" w14:paraId="3EC2ADB6" w14:textId="77777777" w:rsidTr="006C3EC9">
        <w:tc>
          <w:tcPr>
            <w:tcW w:w="2798" w:type="dxa"/>
          </w:tcPr>
          <w:p w14:paraId="37A17C51" w14:textId="77777777" w:rsidR="00610023" w:rsidRPr="00CD47FD" w:rsidRDefault="00610023" w:rsidP="006C3EC9">
            <w:pPr>
              <w:spacing w:line="276" w:lineRule="auto"/>
              <w:rPr>
                <w:sz w:val="22"/>
                <w:szCs w:val="22"/>
              </w:rPr>
            </w:pPr>
            <w:r>
              <w:rPr>
                <w:sz w:val="22"/>
                <w:szCs w:val="22"/>
              </w:rPr>
              <w:t>9</w:t>
            </w:r>
            <w:r w:rsidRPr="00CD47FD">
              <w:rPr>
                <w:sz w:val="22"/>
                <w:szCs w:val="22"/>
              </w:rPr>
              <w:t xml:space="preserve">) </w:t>
            </w:r>
            <w:r>
              <w:rPr>
                <w:sz w:val="22"/>
                <w:szCs w:val="22"/>
              </w:rPr>
              <w:t xml:space="preserve">Data accuracy and </w:t>
            </w:r>
            <w:r w:rsidRPr="00CD47FD">
              <w:rPr>
                <w:sz w:val="22"/>
                <w:szCs w:val="22"/>
              </w:rPr>
              <w:t>face validity</w:t>
            </w:r>
          </w:p>
        </w:tc>
        <w:tc>
          <w:tcPr>
            <w:tcW w:w="2741" w:type="dxa"/>
          </w:tcPr>
          <w:p w14:paraId="492AFB41" w14:textId="77777777" w:rsidR="00610023" w:rsidRPr="00CD47FD" w:rsidRDefault="00610023" w:rsidP="006C3EC9">
            <w:pPr>
              <w:spacing w:line="276" w:lineRule="auto"/>
              <w:rPr>
                <w:sz w:val="22"/>
                <w:szCs w:val="22"/>
              </w:rPr>
            </w:pPr>
            <w:r>
              <w:rPr>
                <w:i/>
                <w:sz w:val="22"/>
                <w:szCs w:val="22"/>
              </w:rPr>
              <w:t>Step</w:t>
            </w:r>
            <w:r w:rsidRPr="00CD47FD">
              <w:rPr>
                <w:i/>
                <w:sz w:val="22"/>
                <w:szCs w:val="22"/>
              </w:rPr>
              <w:t xml:space="preserve"> 4</w:t>
            </w:r>
          </w:p>
        </w:tc>
        <w:tc>
          <w:tcPr>
            <w:tcW w:w="2751" w:type="dxa"/>
          </w:tcPr>
          <w:p w14:paraId="10F5BF90" w14:textId="77777777" w:rsidR="00610023" w:rsidRPr="00CD47FD" w:rsidRDefault="00610023" w:rsidP="006C3EC9">
            <w:pPr>
              <w:spacing w:line="276" w:lineRule="auto"/>
              <w:rPr>
                <w:sz w:val="22"/>
                <w:szCs w:val="22"/>
              </w:rPr>
            </w:pPr>
            <w:r w:rsidRPr="00853884">
              <w:rPr>
                <w:sz w:val="22"/>
                <w:szCs w:val="22"/>
              </w:rPr>
              <w:t>Expert discussion</w:t>
            </w:r>
          </w:p>
        </w:tc>
      </w:tr>
      <w:tr w:rsidR="00610023" w:rsidRPr="00CD47FD" w14:paraId="60B9D301" w14:textId="77777777" w:rsidTr="006C3EC9">
        <w:tc>
          <w:tcPr>
            <w:tcW w:w="2798" w:type="dxa"/>
          </w:tcPr>
          <w:p w14:paraId="4D8EF403" w14:textId="77777777" w:rsidR="00610023" w:rsidRPr="00CD47FD" w:rsidRDefault="00610023" w:rsidP="006C3EC9">
            <w:pPr>
              <w:spacing w:line="276" w:lineRule="auto"/>
              <w:rPr>
                <w:sz w:val="22"/>
                <w:szCs w:val="22"/>
              </w:rPr>
            </w:pPr>
            <w:r>
              <w:rPr>
                <w:sz w:val="22"/>
                <w:szCs w:val="22"/>
              </w:rPr>
              <w:t>10</w:t>
            </w:r>
            <w:r w:rsidRPr="00CD47FD">
              <w:rPr>
                <w:sz w:val="22"/>
                <w:szCs w:val="22"/>
              </w:rPr>
              <w:t xml:space="preserve">) Reflective of provider quality </w:t>
            </w:r>
            <w:r>
              <w:rPr>
                <w:sz w:val="22"/>
                <w:szCs w:val="22"/>
              </w:rPr>
              <w:t xml:space="preserve">or safety </w:t>
            </w:r>
            <w:r w:rsidRPr="00CD47FD">
              <w:rPr>
                <w:sz w:val="22"/>
                <w:szCs w:val="22"/>
              </w:rPr>
              <w:t>of care</w:t>
            </w:r>
            <w:r>
              <w:rPr>
                <w:sz w:val="22"/>
                <w:szCs w:val="22"/>
              </w:rPr>
              <w:t>,</w:t>
            </w:r>
            <w:r w:rsidRPr="00CD47FD">
              <w:rPr>
                <w:sz w:val="22"/>
                <w:szCs w:val="22"/>
              </w:rPr>
              <w:t xml:space="preserve"> or proxy for interaction with other care providers (e.g. primary care)</w:t>
            </w:r>
          </w:p>
        </w:tc>
        <w:tc>
          <w:tcPr>
            <w:tcW w:w="2741" w:type="dxa"/>
          </w:tcPr>
          <w:p w14:paraId="0033E937" w14:textId="77777777" w:rsidR="00610023" w:rsidRPr="00CD47FD" w:rsidRDefault="00610023" w:rsidP="006C3EC9">
            <w:pPr>
              <w:spacing w:line="276" w:lineRule="auto"/>
              <w:rPr>
                <w:sz w:val="22"/>
                <w:szCs w:val="22"/>
              </w:rPr>
            </w:pPr>
            <w:r>
              <w:rPr>
                <w:i/>
                <w:sz w:val="22"/>
                <w:szCs w:val="22"/>
              </w:rPr>
              <w:t>Step</w:t>
            </w:r>
            <w:r w:rsidRPr="00CD47FD">
              <w:rPr>
                <w:i/>
                <w:sz w:val="22"/>
                <w:szCs w:val="22"/>
              </w:rPr>
              <w:t xml:space="preserve"> 4</w:t>
            </w:r>
          </w:p>
        </w:tc>
        <w:tc>
          <w:tcPr>
            <w:tcW w:w="2751" w:type="dxa"/>
          </w:tcPr>
          <w:p w14:paraId="62869974" w14:textId="77777777" w:rsidR="00610023" w:rsidRPr="00CD47FD" w:rsidRDefault="00610023" w:rsidP="006C3EC9">
            <w:pPr>
              <w:spacing w:line="276" w:lineRule="auto"/>
              <w:rPr>
                <w:sz w:val="22"/>
                <w:szCs w:val="22"/>
              </w:rPr>
            </w:pPr>
            <w:r w:rsidRPr="00853884">
              <w:rPr>
                <w:sz w:val="22"/>
                <w:szCs w:val="22"/>
              </w:rPr>
              <w:t>Expert discussion</w:t>
            </w:r>
          </w:p>
        </w:tc>
      </w:tr>
      <w:tr w:rsidR="00610023" w:rsidRPr="00CD47FD" w14:paraId="2C2FC696" w14:textId="77777777" w:rsidTr="006C3EC9">
        <w:tc>
          <w:tcPr>
            <w:tcW w:w="2798" w:type="dxa"/>
          </w:tcPr>
          <w:p w14:paraId="53E0A9C0" w14:textId="77777777" w:rsidR="00610023" w:rsidRPr="00CD47FD" w:rsidRDefault="00610023" w:rsidP="006C3EC9">
            <w:pPr>
              <w:spacing w:line="276" w:lineRule="auto"/>
              <w:rPr>
                <w:sz w:val="22"/>
                <w:szCs w:val="22"/>
              </w:rPr>
            </w:pPr>
            <w:r>
              <w:rPr>
                <w:sz w:val="22"/>
                <w:szCs w:val="22"/>
              </w:rPr>
              <w:t>11</w:t>
            </w:r>
            <w:r w:rsidRPr="00CD47FD">
              <w:rPr>
                <w:sz w:val="22"/>
                <w:szCs w:val="22"/>
              </w:rPr>
              <w:t>) Policy relevant</w:t>
            </w:r>
          </w:p>
        </w:tc>
        <w:tc>
          <w:tcPr>
            <w:tcW w:w="2741" w:type="dxa"/>
          </w:tcPr>
          <w:p w14:paraId="6CDD032A" w14:textId="77777777" w:rsidR="00610023" w:rsidRPr="00CD47FD" w:rsidRDefault="00610023" w:rsidP="006C3EC9">
            <w:pPr>
              <w:spacing w:line="276" w:lineRule="auto"/>
              <w:rPr>
                <w:sz w:val="22"/>
                <w:szCs w:val="22"/>
              </w:rPr>
            </w:pPr>
            <w:r>
              <w:rPr>
                <w:i/>
                <w:sz w:val="22"/>
                <w:szCs w:val="22"/>
              </w:rPr>
              <w:t>Step</w:t>
            </w:r>
            <w:r w:rsidRPr="00CD47FD">
              <w:rPr>
                <w:i/>
                <w:sz w:val="22"/>
                <w:szCs w:val="22"/>
              </w:rPr>
              <w:t xml:space="preserve"> 4</w:t>
            </w:r>
          </w:p>
        </w:tc>
        <w:tc>
          <w:tcPr>
            <w:tcW w:w="2751" w:type="dxa"/>
          </w:tcPr>
          <w:p w14:paraId="75CF48FB" w14:textId="77777777" w:rsidR="00610023" w:rsidRPr="00CD47FD" w:rsidRDefault="00610023" w:rsidP="006C3EC9">
            <w:pPr>
              <w:spacing w:line="276" w:lineRule="auto"/>
              <w:rPr>
                <w:sz w:val="22"/>
                <w:szCs w:val="22"/>
              </w:rPr>
            </w:pPr>
            <w:r w:rsidRPr="00853884">
              <w:rPr>
                <w:sz w:val="22"/>
                <w:szCs w:val="22"/>
              </w:rPr>
              <w:t>Expert discussion</w:t>
            </w:r>
          </w:p>
        </w:tc>
      </w:tr>
      <w:tr w:rsidR="00610023" w:rsidRPr="00CD47FD" w14:paraId="7EF90FA0" w14:textId="77777777" w:rsidTr="006C3EC9">
        <w:tc>
          <w:tcPr>
            <w:tcW w:w="2798" w:type="dxa"/>
          </w:tcPr>
          <w:p w14:paraId="3FE236A5" w14:textId="77777777" w:rsidR="00610023" w:rsidRPr="00CD47FD" w:rsidRDefault="00610023" w:rsidP="006C3EC9">
            <w:pPr>
              <w:spacing w:line="276" w:lineRule="auto"/>
              <w:rPr>
                <w:sz w:val="22"/>
                <w:szCs w:val="22"/>
              </w:rPr>
            </w:pPr>
            <w:r w:rsidRPr="00CD47FD">
              <w:rPr>
                <w:sz w:val="22"/>
                <w:szCs w:val="22"/>
              </w:rPr>
              <w:t>1</w:t>
            </w:r>
            <w:r>
              <w:rPr>
                <w:sz w:val="22"/>
                <w:szCs w:val="22"/>
              </w:rPr>
              <w:t>2</w:t>
            </w:r>
            <w:r w:rsidRPr="00CD47FD">
              <w:rPr>
                <w:sz w:val="22"/>
                <w:szCs w:val="22"/>
              </w:rPr>
              <w:t>) Amenable to improvement / responsive to change</w:t>
            </w:r>
          </w:p>
        </w:tc>
        <w:tc>
          <w:tcPr>
            <w:tcW w:w="2741" w:type="dxa"/>
          </w:tcPr>
          <w:p w14:paraId="64571CB9" w14:textId="77777777" w:rsidR="00610023" w:rsidRPr="00CD47FD" w:rsidRDefault="00610023" w:rsidP="006C3EC9">
            <w:pPr>
              <w:spacing w:line="276" w:lineRule="auto"/>
              <w:rPr>
                <w:sz w:val="22"/>
                <w:szCs w:val="22"/>
              </w:rPr>
            </w:pPr>
            <w:r>
              <w:rPr>
                <w:i/>
                <w:sz w:val="22"/>
                <w:szCs w:val="22"/>
              </w:rPr>
              <w:t>Step</w:t>
            </w:r>
            <w:r w:rsidRPr="00CD47FD">
              <w:rPr>
                <w:i/>
                <w:sz w:val="22"/>
                <w:szCs w:val="22"/>
              </w:rPr>
              <w:t xml:space="preserve"> 4</w:t>
            </w:r>
          </w:p>
        </w:tc>
        <w:tc>
          <w:tcPr>
            <w:tcW w:w="2751" w:type="dxa"/>
          </w:tcPr>
          <w:p w14:paraId="7CF5DBAA" w14:textId="77777777" w:rsidR="00610023" w:rsidRPr="00CD47FD" w:rsidRDefault="00610023" w:rsidP="006C3EC9">
            <w:pPr>
              <w:spacing w:line="276" w:lineRule="auto"/>
              <w:rPr>
                <w:sz w:val="22"/>
                <w:szCs w:val="22"/>
              </w:rPr>
            </w:pPr>
            <w:r w:rsidRPr="00853884">
              <w:rPr>
                <w:sz w:val="22"/>
                <w:szCs w:val="22"/>
              </w:rPr>
              <w:t>Expert discussion</w:t>
            </w:r>
          </w:p>
        </w:tc>
      </w:tr>
    </w:tbl>
    <w:p w14:paraId="33D96B88" w14:textId="77777777" w:rsidR="00610023" w:rsidRDefault="00610023" w:rsidP="00610023">
      <w:pPr>
        <w:spacing w:line="276" w:lineRule="auto"/>
        <w:rPr>
          <w:b/>
        </w:rPr>
        <w:sectPr w:rsidR="00610023" w:rsidSect="006C3EC9">
          <w:footerReference w:type="even" r:id="rId26"/>
          <w:footerReference w:type="default" r:id="rId27"/>
          <w:pgSz w:w="11900" w:h="16840"/>
          <w:pgMar w:top="1440" w:right="1797" w:bottom="1440" w:left="1797" w:header="709" w:footer="709" w:gutter="0"/>
          <w:cols w:space="708"/>
          <w:docGrid w:linePitch="360"/>
        </w:sectPr>
      </w:pPr>
    </w:p>
    <w:p w14:paraId="36FF045E" w14:textId="77777777" w:rsidR="00610023" w:rsidRDefault="00610023" w:rsidP="004D6358">
      <w:pPr>
        <w:spacing w:line="276" w:lineRule="auto"/>
        <w:outlineLvl w:val="0"/>
        <w:rPr>
          <w:b/>
        </w:rPr>
      </w:pPr>
      <w:r>
        <w:rPr>
          <w:b/>
        </w:rPr>
        <w:lastRenderedPageBreak/>
        <w:t>Table 2</w:t>
      </w:r>
      <w:r w:rsidRPr="000B27E5">
        <w:rPr>
          <w:b/>
        </w:rPr>
        <w:t xml:space="preserve">: </w:t>
      </w:r>
      <w:r>
        <w:rPr>
          <w:b/>
        </w:rPr>
        <w:t>Long list of available indicators, assessment against agreed criteria, and final shortlisted indicators</w:t>
      </w:r>
    </w:p>
    <w:p w14:paraId="70575A52" w14:textId="77777777" w:rsidR="00610023" w:rsidRDefault="00610023" w:rsidP="00610023">
      <w:pPr>
        <w:spacing w:line="276" w:lineRule="auto"/>
        <w:rPr>
          <w:b/>
        </w:rPr>
      </w:pPr>
    </w:p>
    <w:tbl>
      <w:tblPr>
        <w:tblStyle w:val="TableGrid"/>
        <w:tblW w:w="14548" w:type="dxa"/>
        <w:tblLayout w:type="fixed"/>
        <w:tblLook w:val="04A0" w:firstRow="1" w:lastRow="0" w:firstColumn="1" w:lastColumn="0" w:noHBand="0" w:noVBand="1"/>
      </w:tblPr>
      <w:tblGrid>
        <w:gridCol w:w="621"/>
        <w:gridCol w:w="3456"/>
        <w:gridCol w:w="1009"/>
        <w:gridCol w:w="728"/>
        <w:gridCol w:w="728"/>
        <w:gridCol w:w="727"/>
        <w:gridCol w:w="728"/>
        <w:gridCol w:w="728"/>
        <w:gridCol w:w="727"/>
        <w:gridCol w:w="728"/>
        <w:gridCol w:w="728"/>
        <w:gridCol w:w="728"/>
        <w:gridCol w:w="728"/>
        <w:gridCol w:w="728"/>
        <w:gridCol w:w="728"/>
        <w:gridCol w:w="728"/>
      </w:tblGrid>
      <w:tr w:rsidR="00610023" w:rsidRPr="00687F57" w14:paraId="165753EA" w14:textId="77777777" w:rsidTr="00610023">
        <w:trPr>
          <w:trHeight w:val="2815"/>
        </w:trPr>
        <w:tc>
          <w:tcPr>
            <w:tcW w:w="621" w:type="dxa"/>
            <w:tcBorders>
              <w:bottom w:val="single" w:sz="4" w:space="0" w:color="auto"/>
            </w:tcBorders>
          </w:tcPr>
          <w:p w14:paraId="6230E343"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t>No.</w:t>
            </w:r>
          </w:p>
        </w:tc>
        <w:tc>
          <w:tcPr>
            <w:tcW w:w="3456" w:type="dxa"/>
            <w:tcBorders>
              <w:bottom w:val="single" w:sz="4" w:space="0" w:color="auto"/>
            </w:tcBorders>
          </w:tcPr>
          <w:p w14:paraId="088B7BB4"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6A154D41"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4E419E8A"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466BEB80"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35365F66"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01F693FD"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6B9812C5"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441502CF"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751997B0"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71DD28A1"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4C6CA5B1"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7F1D6538"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25C10118"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7853B0FC"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3DB9A763"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4DEF09D0" w14:textId="77777777" w:rsidTr="00610023">
        <w:trPr>
          <w:trHeight w:val="488"/>
        </w:trPr>
        <w:tc>
          <w:tcPr>
            <w:tcW w:w="4077" w:type="dxa"/>
            <w:gridSpan w:val="2"/>
            <w:tcBorders>
              <w:top w:val="single" w:sz="4" w:space="0" w:color="auto"/>
            </w:tcBorders>
            <w:shd w:val="thinDiagStripe" w:color="auto" w:fill="auto"/>
          </w:tcPr>
          <w:p w14:paraId="2F3AEE68"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02D8E0AE"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55301EF8"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3220ECEF"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342E5954"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7125B072"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0A526D13" w14:textId="77777777" w:rsidTr="00610023">
        <w:trPr>
          <w:trHeight w:val="488"/>
        </w:trPr>
        <w:tc>
          <w:tcPr>
            <w:tcW w:w="621" w:type="dxa"/>
          </w:tcPr>
          <w:p w14:paraId="665848E7"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3456" w:type="dxa"/>
          </w:tcPr>
          <w:p w14:paraId="63F1A5AD" w14:textId="77777777" w:rsidR="00610023" w:rsidRPr="00610023" w:rsidRDefault="00610023" w:rsidP="006C3EC9">
            <w:pPr>
              <w:spacing w:line="276" w:lineRule="auto"/>
              <w:rPr>
                <w:sz w:val="20"/>
                <w:szCs w:val="20"/>
              </w:rPr>
            </w:pPr>
            <w:r w:rsidRPr="00610023">
              <w:rPr>
                <w:sz w:val="20"/>
                <w:szCs w:val="20"/>
              </w:rPr>
              <w:t>Patient safety incident reports</w:t>
            </w:r>
          </w:p>
        </w:tc>
        <w:tc>
          <w:tcPr>
            <w:tcW w:w="1009" w:type="dxa"/>
            <w:tcBorders>
              <w:right w:val="double" w:sz="4" w:space="0" w:color="auto"/>
            </w:tcBorders>
          </w:tcPr>
          <w:p w14:paraId="486DBCEE"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t>NRLS</w:t>
            </w:r>
          </w:p>
        </w:tc>
        <w:tc>
          <w:tcPr>
            <w:tcW w:w="728" w:type="dxa"/>
            <w:tcBorders>
              <w:left w:val="double" w:sz="4" w:space="0" w:color="auto"/>
              <w:right w:val="double" w:sz="4" w:space="0" w:color="auto"/>
            </w:tcBorders>
            <w:shd w:val="clear" w:color="auto" w:fill="DBE5F1"/>
          </w:tcPr>
          <w:p w14:paraId="34F5E38F"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827AA68"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04C1403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4C9F93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536A8E64"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39E5833F"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34E8D776"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639E9FF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76B6EE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F8A087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D732BF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66BB80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D7F5E53"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6D88CAC2" w14:textId="77777777" w:rsidTr="00610023">
        <w:trPr>
          <w:trHeight w:val="488"/>
        </w:trPr>
        <w:tc>
          <w:tcPr>
            <w:tcW w:w="621" w:type="dxa"/>
          </w:tcPr>
          <w:p w14:paraId="172F19FE"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2</w:t>
            </w:r>
          </w:p>
        </w:tc>
        <w:tc>
          <w:tcPr>
            <w:tcW w:w="3456" w:type="dxa"/>
            <w:hideMark/>
          </w:tcPr>
          <w:p w14:paraId="0504DF92" w14:textId="77777777" w:rsidR="00610023" w:rsidRPr="00610023" w:rsidRDefault="00610023" w:rsidP="006C3EC9">
            <w:pPr>
              <w:spacing w:line="276" w:lineRule="auto"/>
              <w:rPr>
                <w:sz w:val="20"/>
                <w:szCs w:val="20"/>
              </w:rPr>
            </w:pPr>
            <w:r w:rsidRPr="00610023">
              <w:rPr>
                <w:sz w:val="20"/>
                <w:szCs w:val="20"/>
              </w:rPr>
              <w:t>Misplaced naso or orogastric tube not detected prior to use (Never event)</w:t>
            </w:r>
          </w:p>
        </w:tc>
        <w:tc>
          <w:tcPr>
            <w:tcW w:w="1009" w:type="dxa"/>
            <w:tcBorders>
              <w:right w:val="double" w:sz="4" w:space="0" w:color="auto"/>
            </w:tcBorders>
          </w:tcPr>
          <w:p w14:paraId="2701A3A8"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04F01FAE"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AFBF9CE"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7FAB120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60DF673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75888120"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10CE8D08"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5F052EA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64DC29E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D3FEC8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86151E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88EFAF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03F4BA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745D854"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06207863" w14:textId="77777777" w:rsidTr="00610023">
        <w:trPr>
          <w:trHeight w:val="488"/>
        </w:trPr>
        <w:tc>
          <w:tcPr>
            <w:tcW w:w="621" w:type="dxa"/>
          </w:tcPr>
          <w:p w14:paraId="33D75E2F"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3</w:t>
            </w:r>
          </w:p>
        </w:tc>
        <w:tc>
          <w:tcPr>
            <w:tcW w:w="3456" w:type="dxa"/>
            <w:hideMark/>
          </w:tcPr>
          <w:p w14:paraId="6844F7BB" w14:textId="77777777" w:rsidR="00610023" w:rsidRPr="00610023" w:rsidRDefault="00610023" w:rsidP="006C3EC9">
            <w:pPr>
              <w:spacing w:line="276" w:lineRule="auto"/>
              <w:rPr>
                <w:sz w:val="20"/>
                <w:szCs w:val="20"/>
              </w:rPr>
            </w:pPr>
            <w:r w:rsidRPr="00610023">
              <w:rPr>
                <w:sz w:val="20"/>
                <w:szCs w:val="20"/>
              </w:rPr>
              <w:t>Inpatient suicide using non-collapsible rails (Never event)</w:t>
            </w:r>
          </w:p>
        </w:tc>
        <w:tc>
          <w:tcPr>
            <w:tcW w:w="1009" w:type="dxa"/>
            <w:tcBorders>
              <w:right w:val="double" w:sz="4" w:space="0" w:color="auto"/>
            </w:tcBorders>
          </w:tcPr>
          <w:p w14:paraId="38E0A5CA"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1D44FC98"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A9B0E42"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297EFF4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813FFA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243F16E"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0391C62E"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0A6C958E"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02B20D9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3C0407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175C34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DD25DC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A634AF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E3EB131"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2205B8C1" w14:textId="77777777" w:rsidTr="00610023">
        <w:trPr>
          <w:trHeight w:val="488"/>
        </w:trPr>
        <w:tc>
          <w:tcPr>
            <w:tcW w:w="621" w:type="dxa"/>
          </w:tcPr>
          <w:p w14:paraId="26B72603"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4</w:t>
            </w:r>
          </w:p>
        </w:tc>
        <w:tc>
          <w:tcPr>
            <w:tcW w:w="3456" w:type="dxa"/>
            <w:hideMark/>
          </w:tcPr>
          <w:p w14:paraId="5B3A15D5" w14:textId="77777777" w:rsidR="00610023" w:rsidRPr="00610023" w:rsidRDefault="00610023" w:rsidP="006C3EC9">
            <w:pPr>
              <w:spacing w:line="276" w:lineRule="auto"/>
              <w:rPr>
                <w:sz w:val="20"/>
                <w:szCs w:val="20"/>
              </w:rPr>
            </w:pPr>
            <w:r w:rsidRPr="00610023">
              <w:rPr>
                <w:sz w:val="20"/>
                <w:szCs w:val="20"/>
              </w:rPr>
              <w:t>Escape from within the secure perimeter of medium or high security mental health services by patients who are transferred prisoners (Never event)</w:t>
            </w:r>
          </w:p>
        </w:tc>
        <w:tc>
          <w:tcPr>
            <w:tcW w:w="1009" w:type="dxa"/>
            <w:tcBorders>
              <w:right w:val="double" w:sz="4" w:space="0" w:color="auto"/>
            </w:tcBorders>
          </w:tcPr>
          <w:p w14:paraId="5E6476ED"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4F33472D"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D3E6475"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bottom w:val="single" w:sz="4" w:space="0" w:color="auto"/>
            </w:tcBorders>
            <w:shd w:val="thinDiagStripe" w:color="auto" w:fill="95B3D7"/>
          </w:tcPr>
          <w:p w14:paraId="5DA0D7E9"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95B3D7"/>
          </w:tcPr>
          <w:p w14:paraId="7E87E5C6"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95B3D7"/>
          </w:tcPr>
          <w:p w14:paraId="3E86DEDB" w14:textId="77777777" w:rsidR="00610023" w:rsidRPr="00610023" w:rsidRDefault="00610023" w:rsidP="006C3EC9">
            <w:pPr>
              <w:spacing w:line="276" w:lineRule="auto"/>
              <w:rPr>
                <w:rFonts w:eastAsia="Times New Roman" w:cs="Times New Roman"/>
                <w:color w:val="000000"/>
                <w:sz w:val="20"/>
                <w:szCs w:val="20"/>
              </w:rPr>
            </w:pPr>
          </w:p>
        </w:tc>
        <w:tc>
          <w:tcPr>
            <w:tcW w:w="727" w:type="dxa"/>
            <w:tcBorders>
              <w:bottom w:val="single" w:sz="4" w:space="0" w:color="auto"/>
            </w:tcBorders>
            <w:shd w:val="thinDiagStripe" w:color="auto" w:fill="95B3D7"/>
          </w:tcPr>
          <w:p w14:paraId="57205033"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right w:val="double" w:sz="4" w:space="0" w:color="auto"/>
            </w:tcBorders>
            <w:shd w:val="thinDiagStripe" w:color="auto" w:fill="95B3D7"/>
          </w:tcPr>
          <w:p w14:paraId="0DB189C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bottom w:val="single" w:sz="4" w:space="0" w:color="auto"/>
            </w:tcBorders>
            <w:shd w:val="thinDiagStripe" w:color="auto" w:fill="6699FF"/>
          </w:tcPr>
          <w:p w14:paraId="6F0025B5"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73B37F58"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4829571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74FE0A0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0D2B89B"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3F00F00B"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1BD4BB73" w14:textId="77777777" w:rsidTr="00610023">
        <w:trPr>
          <w:trHeight w:val="488"/>
        </w:trPr>
        <w:tc>
          <w:tcPr>
            <w:tcW w:w="621" w:type="dxa"/>
          </w:tcPr>
          <w:p w14:paraId="508D8706"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5</w:t>
            </w:r>
          </w:p>
        </w:tc>
        <w:tc>
          <w:tcPr>
            <w:tcW w:w="3456" w:type="dxa"/>
          </w:tcPr>
          <w:p w14:paraId="6081D2E2" w14:textId="77777777" w:rsidR="00610023" w:rsidRPr="00610023" w:rsidRDefault="00610023" w:rsidP="006C3EC9">
            <w:pPr>
              <w:spacing w:line="276" w:lineRule="auto"/>
              <w:rPr>
                <w:sz w:val="20"/>
                <w:szCs w:val="20"/>
              </w:rPr>
            </w:pPr>
            <w:r w:rsidRPr="00610023">
              <w:rPr>
                <w:sz w:val="20"/>
                <w:szCs w:val="20"/>
              </w:rPr>
              <w:t>Intravenous administration of mis-selected concentrated potassium chloride (Never event)</w:t>
            </w:r>
          </w:p>
        </w:tc>
        <w:tc>
          <w:tcPr>
            <w:tcW w:w="1009" w:type="dxa"/>
            <w:tcBorders>
              <w:right w:val="double" w:sz="4" w:space="0" w:color="auto"/>
            </w:tcBorders>
          </w:tcPr>
          <w:p w14:paraId="6F8422E8"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3B3C1352"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ABE0024"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3618264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5780D99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5285C5C"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786BFB7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619B712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2350CC7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DC1EA1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33F73C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448EB3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C745B9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6EBB6E9" w14:textId="77777777" w:rsidR="00610023" w:rsidRPr="00610023" w:rsidRDefault="00610023" w:rsidP="006C3EC9">
            <w:pPr>
              <w:spacing w:line="276" w:lineRule="auto"/>
              <w:rPr>
                <w:rFonts w:eastAsia="Times New Roman" w:cs="Times New Roman"/>
                <w:color w:val="000000"/>
                <w:sz w:val="20"/>
                <w:szCs w:val="20"/>
              </w:rPr>
            </w:pPr>
          </w:p>
        </w:tc>
      </w:tr>
      <w:tr w:rsidR="00610023" w:rsidRPr="00687F57" w14:paraId="5BF22240" w14:textId="77777777" w:rsidTr="00610023">
        <w:trPr>
          <w:trHeight w:val="2815"/>
        </w:trPr>
        <w:tc>
          <w:tcPr>
            <w:tcW w:w="621" w:type="dxa"/>
            <w:tcBorders>
              <w:bottom w:val="single" w:sz="4" w:space="0" w:color="auto"/>
            </w:tcBorders>
          </w:tcPr>
          <w:p w14:paraId="4B27E419"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lastRenderedPageBreak/>
              <w:t>No.</w:t>
            </w:r>
          </w:p>
        </w:tc>
        <w:tc>
          <w:tcPr>
            <w:tcW w:w="3456" w:type="dxa"/>
            <w:tcBorders>
              <w:bottom w:val="single" w:sz="4" w:space="0" w:color="auto"/>
            </w:tcBorders>
          </w:tcPr>
          <w:p w14:paraId="54666B32"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782B4E61"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306ACAB0"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0BEE87B3"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58D8959F"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07F0EC6D"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40AAC825"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72CD1645"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40DC454F"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5D5BC56F"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24B21615"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5F05E68A"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006A1DD8"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0207958E"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780110E5"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1C041EE6" w14:textId="77777777" w:rsidTr="00610023">
        <w:trPr>
          <w:trHeight w:val="488"/>
        </w:trPr>
        <w:tc>
          <w:tcPr>
            <w:tcW w:w="4077" w:type="dxa"/>
            <w:gridSpan w:val="2"/>
            <w:tcBorders>
              <w:top w:val="single" w:sz="4" w:space="0" w:color="auto"/>
            </w:tcBorders>
            <w:shd w:val="thinDiagStripe" w:color="auto" w:fill="auto"/>
          </w:tcPr>
          <w:p w14:paraId="7318E8E8"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1DAC0F8F"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6CDD9D6A"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0CECDBC1"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75B7327B"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1018A1CE"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066D520D" w14:textId="77777777" w:rsidTr="00610023">
        <w:trPr>
          <w:trHeight w:val="488"/>
        </w:trPr>
        <w:tc>
          <w:tcPr>
            <w:tcW w:w="621" w:type="dxa"/>
          </w:tcPr>
          <w:p w14:paraId="652226D5"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3456" w:type="dxa"/>
          </w:tcPr>
          <w:p w14:paraId="6A38ABF1" w14:textId="77777777" w:rsidR="00610023" w:rsidRPr="00610023" w:rsidRDefault="00610023" w:rsidP="006C3EC9">
            <w:pPr>
              <w:spacing w:line="276" w:lineRule="auto"/>
              <w:rPr>
                <w:sz w:val="20"/>
                <w:szCs w:val="20"/>
              </w:rPr>
            </w:pPr>
            <w:r w:rsidRPr="00610023">
              <w:rPr>
                <w:sz w:val="20"/>
                <w:szCs w:val="20"/>
              </w:rPr>
              <w:t>Failure of sterile precautions during surgical and medical care (Other safety event)</w:t>
            </w:r>
          </w:p>
        </w:tc>
        <w:tc>
          <w:tcPr>
            <w:tcW w:w="1009" w:type="dxa"/>
            <w:tcBorders>
              <w:right w:val="double" w:sz="4" w:space="0" w:color="auto"/>
            </w:tcBorders>
          </w:tcPr>
          <w:p w14:paraId="1B293257"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167CFBC4"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3D33E9B"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6A15A72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5BBB9EF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47CE9BAF"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5C37719F"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560ED3E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11E50BE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B0690D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5EF152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00AF72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FB823F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648157E"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210E249E" w14:textId="77777777" w:rsidTr="00610023">
        <w:trPr>
          <w:trHeight w:val="488"/>
        </w:trPr>
        <w:tc>
          <w:tcPr>
            <w:tcW w:w="621" w:type="dxa"/>
          </w:tcPr>
          <w:p w14:paraId="2AF176F2"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7</w:t>
            </w:r>
          </w:p>
        </w:tc>
        <w:tc>
          <w:tcPr>
            <w:tcW w:w="3456" w:type="dxa"/>
          </w:tcPr>
          <w:p w14:paraId="0C6CDA90" w14:textId="77777777" w:rsidR="00610023" w:rsidRPr="00610023" w:rsidRDefault="00610023" w:rsidP="006C3EC9">
            <w:pPr>
              <w:spacing w:line="276" w:lineRule="auto"/>
              <w:rPr>
                <w:sz w:val="20"/>
                <w:szCs w:val="20"/>
              </w:rPr>
            </w:pPr>
            <w:r w:rsidRPr="00610023">
              <w:rPr>
                <w:sz w:val="20"/>
                <w:szCs w:val="20"/>
              </w:rPr>
              <w:t>Contaminated medical or biological substances (Other safety event)</w:t>
            </w:r>
          </w:p>
        </w:tc>
        <w:tc>
          <w:tcPr>
            <w:tcW w:w="1009" w:type="dxa"/>
            <w:tcBorders>
              <w:right w:val="double" w:sz="4" w:space="0" w:color="auto"/>
            </w:tcBorders>
          </w:tcPr>
          <w:p w14:paraId="47098614"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536976D8"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1001248C"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16E3CDC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3C5AFB2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960E9AC"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65F1264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6F57485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0280035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40BBA5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0F8E19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6F2647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C04E9E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38DC6BD"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73D41116" w14:textId="77777777" w:rsidTr="00610023">
        <w:trPr>
          <w:trHeight w:val="488"/>
        </w:trPr>
        <w:tc>
          <w:tcPr>
            <w:tcW w:w="621" w:type="dxa"/>
          </w:tcPr>
          <w:p w14:paraId="369F80DD"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8</w:t>
            </w:r>
          </w:p>
        </w:tc>
        <w:tc>
          <w:tcPr>
            <w:tcW w:w="3456" w:type="dxa"/>
          </w:tcPr>
          <w:p w14:paraId="201F725B" w14:textId="77777777" w:rsidR="00610023" w:rsidRPr="00610023" w:rsidRDefault="00610023" w:rsidP="006C3EC9">
            <w:pPr>
              <w:spacing w:line="276" w:lineRule="auto"/>
              <w:rPr>
                <w:sz w:val="20"/>
                <w:szCs w:val="20"/>
              </w:rPr>
            </w:pPr>
            <w:r w:rsidRPr="00610023">
              <w:rPr>
                <w:sz w:val="20"/>
                <w:szCs w:val="20"/>
              </w:rPr>
              <w:t>Unintentional cut, puncture, perforation or haemorrhage during surgical and medical care (Other safety event)</w:t>
            </w:r>
          </w:p>
        </w:tc>
        <w:tc>
          <w:tcPr>
            <w:tcW w:w="1009" w:type="dxa"/>
            <w:tcBorders>
              <w:right w:val="double" w:sz="4" w:space="0" w:color="auto"/>
            </w:tcBorders>
          </w:tcPr>
          <w:p w14:paraId="7172DF41"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5EEBA46B"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110F749E"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bottom w:val="single" w:sz="4" w:space="0" w:color="auto"/>
            </w:tcBorders>
            <w:shd w:val="thinDiagStripe" w:color="auto" w:fill="95B3D7"/>
          </w:tcPr>
          <w:p w14:paraId="18F9796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95B3D7"/>
          </w:tcPr>
          <w:p w14:paraId="35B38AD6"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95B3D7"/>
          </w:tcPr>
          <w:p w14:paraId="43E1F77A" w14:textId="77777777" w:rsidR="00610023" w:rsidRPr="00610023" w:rsidRDefault="00610023" w:rsidP="006C3EC9">
            <w:pPr>
              <w:spacing w:line="276" w:lineRule="auto"/>
              <w:rPr>
                <w:rFonts w:eastAsia="Times New Roman" w:cs="Times New Roman"/>
                <w:color w:val="000000"/>
                <w:sz w:val="20"/>
                <w:szCs w:val="20"/>
              </w:rPr>
            </w:pPr>
          </w:p>
        </w:tc>
        <w:tc>
          <w:tcPr>
            <w:tcW w:w="727" w:type="dxa"/>
            <w:tcBorders>
              <w:bottom w:val="single" w:sz="4" w:space="0" w:color="auto"/>
            </w:tcBorders>
            <w:shd w:val="thinDiagStripe" w:color="auto" w:fill="95B3D7"/>
          </w:tcPr>
          <w:p w14:paraId="4EDFE4F4"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right w:val="double" w:sz="4" w:space="0" w:color="auto"/>
            </w:tcBorders>
            <w:shd w:val="thinDiagStripe" w:color="auto" w:fill="95B3D7"/>
          </w:tcPr>
          <w:p w14:paraId="7E5F321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bottom w:val="single" w:sz="4" w:space="0" w:color="auto"/>
            </w:tcBorders>
            <w:shd w:val="thinDiagStripe" w:color="auto" w:fill="6699FF"/>
          </w:tcPr>
          <w:p w14:paraId="25127BB2"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1202A90"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A0DBA6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BB5681F"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9685184"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120C1025"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034E70B3" w14:textId="77777777" w:rsidTr="00610023">
        <w:trPr>
          <w:trHeight w:val="488"/>
        </w:trPr>
        <w:tc>
          <w:tcPr>
            <w:tcW w:w="621" w:type="dxa"/>
          </w:tcPr>
          <w:p w14:paraId="29A07B4B"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9</w:t>
            </w:r>
          </w:p>
        </w:tc>
        <w:tc>
          <w:tcPr>
            <w:tcW w:w="3456" w:type="dxa"/>
          </w:tcPr>
          <w:p w14:paraId="0CA6C14B" w14:textId="77777777" w:rsidR="00610023" w:rsidRPr="00610023" w:rsidRDefault="00610023" w:rsidP="006C3EC9">
            <w:pPr>
              <w:spacing w:line="276" w:lineRule="auto"/>
              <w:rPr>
                <w:sz w:val="20"/>
                <w:szCs w:val="20"/>
              </w:rPr>
            </w:pPr>
            <w:r w:rsidRPr="00610023">
              <w:rPr>
                <w:sz w:val="20"/>
                <w:szCs w:val="20"/>
              </w:rPr>
              <w:t xml:space="preserve">MRSA rates </w:t>
            </w:r>
          </w:p>
        </w:tc>
        <w:tc>
          <w:tcPr>
            <w:tcW w:w="1009" w:type="dxa"/>
            <w:tcBorders>
              <w:right w:val="double" w:sz="4" w:space="0" w:color="auto"/>
            </w:tcBorders>
          </w:tcPr>
          <w:p w14:paraId="745213F0"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 PHE</w:t>
            </w:r>
          </w:p>
        </w:tc>
        <w:tc>
          <w:tcPr>
            <w:tcW w:w="728" w:type="dxa"/>
            <w:tcBorders>
              <w:left w:val="double" w:sz="4" w:space="0" w:color="auto"/>
              <w:right w:val="double" w:sz="4" w:space="0" w:color="auto"/>
            </w:tcBorders>
            <w:shd w:val="clear" w:color="auto" w:fill="DBE5F1"/>
          </w:tcPr>
          <w:p w14:paraId="0BD3D926"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93E3D20"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43BBE8EA"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1AE32F41" w14:textId="77777777" w:rsidR="00610023" w:rsidRPr="00610023" w:rsidRDefault="00610023" w:rsidP="006C3EC9">
            <w:pPr>
              <w:spacing w:line="276" w:lineRule="auto"/>
              <w:rPr>
                <w:sz w:val="20"/>
                <w:szCs w:val="20"/>
              </w:rPr>
            </w:pPr>
          </w:p>
        </w:tc>
        <w:tc>
          <w:tcPr>
            <w:tcW w:w="728" w:type="dxa"/>
            <w:shd w:val="thinDiagStripe" w:color="auto" w:fill="95B3D7"/>
          </w:tcPr>
          <w:p w14:paraId="189886B7" w14:textId="77777777" w:rsidR="00610023" w:rsidRDefault="00610023" w:rsidP="006C3EC9">
            <w:pPr>
              <w:spacing w:line="276" w:lineRule="auto"/>
              <w:rPr>
                <w:rFonts w:ascii="Zapf Dingbats" w:eastAsia="Times New Roman" w:hAnsi="Zapf Dingbats" w:cs="Times New Roman"/>
                <w:color w:val="000000"/>
                <w:sz w:val="20"/>
                <w:szCs w:val="20"/>
              </w:rPr>
            </w:pPr>
          </w:p>
        </w:tc>
        <w:tc>
          <w:tcPr>
            <w:tcW w:w="727" w:type="dxa"/>
            <w:shd w:val="thinDiagStripe" w:color="auto" w:fill="95B3D7"/>
          </w:tcPr>
          <w:p w14:paraId="2E74D38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52E2B81B"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5EBDBF2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05AD86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82C480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5D3E3E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CDAC09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F1BA9D1"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3DA7E1D9" w14:textId="77777777" w:rsidTr="00610023">
        <w:trPr>
          <w:trHeight w:val="488"/>
        </w:trPr>
        <w:tc>
          <w:tcPr>
            <w:tcW w:w="621" w:type="dxa"/>
          </w:tcPr>
          <w:p w14:paraId="73463839"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10</w:t>
            </w:r>
          </w:p>
        </w:tc>
        <w:tc>
          <w:tcPr>
            <w:tcW w:w="3456" w:type="dxa"/>
          </w:tcPr>
          <w:p w14:paraId="67E7E190" w14:textId="77777777" w:rsidR="00610023" w:rsidRPr="00610023" w:rsidRDefault="00610023" w:rsidP="006C3EC9">
            <w:pPr>
              <w:spacing w:line="276" w:lineRule="auto"/>
              <w:rPr>
                <w:sz w:val="20"/>
                <w:szCs w:val="20"/>
              </w:rPr>
            </w:pPr>
            <w:r w:rsidRPr="00610023">
              <w:rPr>
                <w:sz w:val="20"/>
                <w:szCs w:val="20"/>
              </w:rPr>
              <w:t>Survival following pneumonia</w:t>
            </w:r>
          </w:p>
        </w:tc>
        <w:tc>
          <w:tcPr>
            <w:tcW w:w="1009" w:type="dxa"/>
            <w:tcBorders>
              <w:right w:val="double" w:sz="4" w:space="0" w:color="auto"/>
            </w:tcBorders>
          </w:tcPr>
          <w:p w14:paraId="45C52FA6"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38C1C115"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C190AEE"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67C5578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18BBB4A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740F3A7E"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0743F853"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559A481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1ACB8BB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DBAE52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5F52F6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A286B6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BACC78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E6F449B"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01087CBA" w14:textId="77777777" w:rsidTr="00610023">
        <w:trPr>
          <w:trHeight w:val="488"/>
        </w:trPr>
        <w:tc>
          <w:tcPr>
            <w:tcW w:w="621" w:type="dxa"/>
          </w:tcPr>
          <w:p w14:paraId="6C901F44"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11</w:t>
            </w:r>
          </w:p>
        </w:tc>
        <w:tc>
          <w:tcPr>
            <w:tcW w:w="3456" w:type="dxa"/>
          </w:tcPr>
          <w:p w14:paraId="700C60F2" w14:textId="77777777" w:rsidR="00610023" w:rsidRPr="00610023" w:rsidRDefault="00610023" w:rsidP="006C3EC9">
            <w:pPr>
              <w:spacing w:line="276" w:lineRule="auto"/>
              <w:rPr>
                <w:sz w:val="20"/>
                <w:szCs w:val="20"/>
              </w:rPr>
            </w:pPr>
            <w:r w:rsidRPr="00610023">
              <w:rPr>
                <w:sz w:val="20"/>
                <w:szCs w:val="20"/>
              </w:rPr>
              <w:t>Pneumonia (28-day emergency readmission)</w:t>
            </w:r>
          </w:p>
        </w:tc>
        <w:tc>
          <w:tcPr>
            <w:tcW w:w="1009" w:type="dxa"/>
            <w:tcBorders>
              <w:right w:val="double" w:sz="4" w:space="0" w:color="auto"/>
            </w:tcBorders>
          </w:tcPr>
          <w:p w14:paraId="25F01DD3"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07B4EF83"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43552F7C"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360B790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712F826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46AA5002"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0ECC2530"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48BB485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53D37B1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325E56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FDE047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35E530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4A3E87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F191A07"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2EE6304E" w14:textId="77777777" w:rsidTr="00610023">
        <w:trPr>
          <w:trHeight w:val="488"/>
        </w:trPr>
        <w:tc>
          <w:tcPr>
            <w:tcW w:w="621" w:type="dxa"/>
          </w:tcPr>
          <w:p w14:paraId="3DA59A8D"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12</w:t>
            </w:r>
          </w:p>
        </w:tc>
        <w:tc>
          <w:tcPr>
            <w:tcW w:w="3456" w:type="dxa"/>
          </w:tcPr>
          <w:p w14:paraId="1526E8CB" w14:textId="77777777" w:rsidR="00610023" w:rsidRPr="00610023" w:rsidRDefault="00610023" w:rsidP="006C3EC9">
            <w:pPr>
              <w:spacing w:line="276" w:lineRule="auto"/>
              <w:rPr>
                <w:sz w:val="20"/>
                <w:szCs w:val="20"/>
              </w:rPr>
            </w:pPr>
            <w:r w:rsidRPr="00610023">
              <w:rPr>
                <w:sz w:val="20"/>
                <w:szCs w:val="20"/>
              </w:rPr>
              <w:t>Deep Vein Thrombosis (NHS Thermometer)</w:t>
            </w:r>
          </w:p>
        </w:tc>
        <w:tc>
          <w:tcPr>
            <w:tcW w:w="1009" w:type="dxa"/>
            <w:tcBorders>
              <w:right w:val="double" w:sz="4" w:space="0" w:color="auto"/>
            </w:tcBorders>
          </w:tcPr>
          <w:p w14:paraId="10BD8353" w14:textId="77777777" w:rsidR="00610023" w:rsidRPr="002C176E"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 PST, NPSA</w:t>
            </w:r>
          </w:p>
        </w:tc>
        <w:tc>
          <w:tcPr>
            <w:tcW w:w="728" w:type="dxa"/>
            <w:tcBorders>
              <w:left w:val="double" w:sz="4" w:space="0" w:color="auto"/>
              <w:right w:val="double" w:sz="4" w:space="0" w:color="auto"/>
            </w:tcBorders>
            <w:shd w:val="clear" w:color="auto" w:fill="DBE5F1"/>
          </w:tcPr>
          <w:p w14:paraId="5163B6E2"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96BCAA0"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374943C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10B8FEA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40F4290"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7879509F"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6116DA72"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44C73CD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A755CB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371DDA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251F47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D1D338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44FA7D3" w14:textId="77777777" w:rsidR="00610023" w:rsidRPr="00610023" w:rsidRDefault="00610023" w:rsidP="006C3EC9">
            <w:pPr>
              <w:spacing w:line="276" w:lineRule="auto"/>
              <w:rPr>
                <w:rFonts w:eastAsia="Times New Roman" w:cs="Times New Roman"/>
                <w:color w:val="000000"/>
                <w:sz w:val="20"/>
                <w:szCs w:val="20"/>
              </w:rPr>
            </w:pPr>
          </w:p>
        </w:tc>
      </w:tr>
      <w:tr w:rsidR="00610023" w:rsidRPr="00687F57" w14:paraId="1DCC4ED0" w14:textId="77777777" w:rsidTr="00610023">
        <w:trPr>
          <w:trHeight w:val="2815"/>
        </w:trPr>
        <w:tc>
          <w:tcPr>
            <w:tcW w:w="621" w:type="dxa"/>
            <w:tcBorders>
              <w:bottom w:val="single" w:sz="4" w:space="0" w:color="auto"/>
            </w:tcBorders>
          </w:tcPr>
          <w:p w14:paraId="4FD7F47B"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lastRenderedPageBreak/>
              <w:t>No.</w:t>
            </w:r>
          </w:p>
        </w:tc>
        <w:tc>
          <w:tcPr>
            <w:tcW w:w="3456" w:type="dxa"/>
            <w:tcBorders>
              <w:bottom w:val="single" w:sz="4" w:space="0" w:color="auto"/>
            </w:tcBorders>
          </w:tcPr>
          <w:p w14:paraId="2ACAEBDA"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45C6C384"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75477711"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51AFB864"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5D41BFD9"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3E69DAC6"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7DFAA9D4"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14522A4C"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2F2D57E3"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799174BB"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5C381EE5"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700625DC"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36E74DA0"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6299D1C2"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4210E920"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2952D01D" w14:textId="77777777" w:rsidTr="00610023">
        <w:trPr>
          <w:trHeight w:val="488"/>
        </w:trPr>
        <w:tc>
          <w:tcPr>
            <w:tcW w:w="4077" w:type="dxa"/>
            <w:gridSpan w:val="2"/>
            <w:tcBorders>
              <w:top w:val="single" w:sz="4" w:space="0" w:color="auto"/>
            </w:tcBorders>
            <w:shd w:val="thinDiagStripe" w:color="auto" w:fill="auto"/>
          </w:tcPr>
          <w:p w14:paraId="41F84167"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6BF1DCF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38B6D3B0"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58E3C667"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353F317D"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545A5A9B"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415435F3" w14:textId="77777777" w:rsidTr="00610023">
        <w:trPr>
          <w:trHeight w:val="488"/>
        </w:trPr>
        <w:tc>
          <w:tcPr>
            <w:tcW w:w="621" w:type="dxa"/>
          </w:tcPr>
          <w:p w14:paraId="6906C046"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3456" w:type="dxa"/>
          </w:tcPr>
          <w:p w14:paraId="430B322B" w14:textId="77777777" w:rsidR="00610023" w:rsidRPr="00610023" w:rsidRDefault="00610023" w:rsidP="006C3EC9">
            <w:pPr>
              <w:spacing w:line="276" w:lineRule="auto"/>
              <w:rPr>
                <w:sz w:val="20"/>
                <w:szCs w:val="20"/>
              </w:rPr>
            </w:pPr>
            <w:r w:rsidRPr="00610023">
              <w:rPr>
                <w:sz w:val="20"/>
                <w:szCs w:val="20"/>
              </w:rPr>
              <w:t xml:space="preserve">In the last month have you see any errors, near misses, or incidents that could have hurt staff? </w:t>
            </w:r>
          </w:p>
        </w:tc>
        <w:tc>
          <w:tcPr>
            <w:tcW w:w="1009" w:type="dxa"/>
            <w:tcBorders>
              <w:right w:val="double" w:sz="4" w:space="0" w:color="auto"/>
            </w:tcBorders>
          </w:tcPr>
          <w:p w14:paraId="1F907550" w14:textId="77777777" w:rsidR="00610023" w:rsidRPr="002C176E"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03F141CD"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97610BD"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216D168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7104FF4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67C2D56F"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3882E076"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0FE9E03E"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1A4C680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040265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80BC83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70D0CC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AAFD68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6C5E7A4"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6DEA3B43" w14:textId="77777777" w:rsidTr="00610023">
        <w:trPr>
          <w:trHeight w:val="488"/>
        </w:trPr>
        <w:tc>
          <w:tcPr>
            <w:tcW w:w="621" w:type="dxa"/>
          </w:tcPr>
          <w:p w14:paraId="56A68E08"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14</w:t>
            </w:r>
          </w:p>
        </w:tc>
        <w:tc>
          <w:tcPr>
            <w:tcW w:w="3456" w:type="dxa"/>
          </w:tcPr>
          <w:p w14:paraId="4EA3B22E" w14:textId="77777777" w:rsidR="00610023" w:rsidRPr="00610023" w:rsidRDefault="00610023" w:rsidP="006C3EC9">
            <w:pPr>
              <w:spacing w:line="276" w:lineRule="auto"/>
              <w:rPr>
                <w:sz w:val="20"/>
                <w:szCs w:val="20"/>
              </w:rPr>
            </w:pPr>
            <w:r w:rsidRPr="00610023">
              <w:rPr>
                <w:sz w:val="20"/>
                <w:szCs w:val="20"/>
              </w:rPr>
              <w:t xml:space="preserve">In the last month have you see any errors, near misses, or incidents that could have hurt patients? </w:t>
            </w:r>
          </w:p>
        </w:tc>
        <w:tc>
          <w:tcPr>
            <w:tcW w:w="1009" w:type="dxa"/>
            <w:tcBorders>
              <w:right w:val="double" w:sz="4" w:space="0" w:color="auto"/>
            </w:tcBorders>
          </w:tcPr>
          <w:p w14:paraId="78F7706A"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47A08D51"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55A2B2C"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1F37338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3C0249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1D48CCAA"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0CE04963"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136C143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34502CC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2D22A2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3A8EB6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25C575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B90866A"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2818578"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6AC68F55" w14:textId="77777777" w:rsidTr="00610023">
        <w:trPr>
          <w:trHeight w:val="488"/>
        </w:trPr>
        <w:tc>
          <w:tcPr>
            <w:tcW w:w="621" w:type="dxa"/>
          </w:tcPr>
          <w:p w14:paraId="4DF05E1E"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15</w:t>
            </w:r>
          </w:p>
        </w:tc>
        <w:tc>
          <w:tcPr>
            <w:tcW w:w="3456" w:type="dxa"/>
          </w:tcPr>
          <w:p w14:paraId="19578A94" w14:textId="77777777" w:rsidR="00610023" w:rsidRPr="00610023" w:rsidRDefault="00610023" w:rsidP="006C3EC9">
            <w:pPr>
              <w:spacing w:line="276" w:lineRule="auto"/>
              <w:rPr>
                <w:sz w:val="20"/>
                <w:szCs w:val="20"/>
              </w:rPr>
            </w:pPr>
            <w:r w:rsidRPr="00610023">
              <w:rPr>
                <w:sz w:val="20"/>
                <w:szCs w:val="20"/>
              </w:rPr>
              <w:t xml:space="preserve">The last time you saw an error, near miss or incident that could have hurt staff or patients/service users, did you or a colleague report it? </w:t>
            </w:r>
          </w:p>
        </w:tc>
        <w:tc>
          <w:tcPr>
            <w:tcW w:w="1009" w:type="dxa"/>
            <w:tcBorders>
              <w:right w:val="double" w:sz="4" w:space="0" w:color="auto"/>
            </w:tcBorders>
          </w:tcPr>
          <w:p w14:paraId="4E6C15E6"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2390F2FF"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AC6DD55"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0A25BE4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6502613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757911C"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65669FC2"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2D0BC559"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379EA21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BBC9C5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DC60BC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1BF5D4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56B959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B558471"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22719C33" w14:textId="77777777" w:rsidTr="00610023">
        <w:trPr>
          <w:trHeight w:val="488"/>
        </w:trPr>
        <w:tc>
          <w:tcPr>
            <w:tcW w:w="621" w:type="dxa"/>
          </w:tcPr>
          <w:p w14:paraId="5E759721" w14:textId="77777777" w:rsidR="00610023" w:rsidRPr="00F3621F" w:rsidRDefault="00610023" w:rsidP="006C3EC9">
            <w:pPr>
              <w:rPr>
                <w:rFonts w:ascii="Calibri" w:eastAsia="Times New Roman" w:hAnsi="Calibri" w:cs="Times New Roman"/>
                <w:color w:val="000000"/>
                <w:sz w:val="20"/>
                <w:szCs w:val="20"/>
              </w:rPr>
            </w:pPr>
            <w:r w:rsidRPr="00F3621F">
              <w:rPr>
                <w:rFonts w:ascii="Calibri" w:eastAsia="Times New Roman" w:hAnsi="Calibri" w:cs="Times New Roman"/>
                <w:color w:val="000000"/>
                <w:sz w:val="20"/>
                <w:szCs w:val="20"/>
              </w:rPr>
              <w:t>16</w:t>
            </w:r>
          </w:p>
        </w:tc>
        <w:tc>
          <w:tcPr>
            <w:tcW w:w="3456" w:type="dxa"/>
          </w:tcPr>
          <w:p w14:paraId="6033B284" w14:textId="77777777" w:rsidR="00610023" w:rsidRPr="00610023" w:rsidRDefault="00610023" w:rsidP="006C3EC9">
            <w:pPr>
              <w:spacing w:line="276" w:lineRule="auto"/>
              <w:rPr>
                <w:sz w:val="20"/>
                <w:szCs w:val="20"/>
              </w:rPr>
            </w:pPr>
            <w:r w:rsidRPr="00610023">
              <w:rPr>
                <w:sz w:val="20"/>
                <w:szCs w:val="20"/>
              </w:rPr>
              <w:t xml:space="preserve">Do you agree: My organisation treats staff who are involved in an error, near miss or incident fairly </w:t>
            </w:r>
          </w:p>
        </w:tc>
        <w:tc>
          <w:tcPr>
            <w:tcW w:w="1009" w:type="dxa"/>
            <w:tcBorders>
              <w:right w:val="double" w:sz="4" w:space="0" w:color="auto"/>
            </w:tcBorders>
          </w:tcPr>
          <w:p w14:paraId="3A545083"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4FA19445"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4C1FD60"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21220B5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3219DCA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533AB0C"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4A35A8C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07999838"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2A71445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65830B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052F97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A39EBA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B133FA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C7F15BC"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4D466C5B" w14:textId="77777777" w:rsidTr="00610023">
        <w:trPr>
          <w:trHeight w:val="488"/>
        </w:trPr>
        <w:tc>
          <w:tcPr>
            <w:tcW w:w="621" w:type="dxa"/>
          </w:tcPr>
          <w:p w14:paraId="7B820E44"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3456" w:type="dxa"/>
          </w:tcPr>
          <w:p w14:paraId="476A3A51" w14:textId="77777777" w:rsidR="00610023" w:rsidRPr="00610023" w:rsidRDefault="00610023" w:rsidP="006C3EC9">
            <w:pPr>
              <w:spacing w:line="276" w:lineRule="auto"/>
              <w:rPr>
                <w:sz w:val="20"/>
                <w:szCs w:val="20"/>
              </w:rPr>
            </w:pPr>
            <w:r w:rsidRPr="00610023">
              <w:rPr>
                <w:sz w:val="20"/>
                <w:szCs w:val="20"/>
              </w:rPr>
              <w:t xml:space="preserve">Do you agree: My organisation encourages us to report errors, near misses or incidents </w:t>
            </w:r>
          </w:p>
        </w:tc>
        <w:tc>
          <w:tcPr>
            <w:tcW w:w="1009" w:type="dxa"/>
            <w:tcBorders>
              <w:right w:val="double" w:sz="4" w:space="0" w:color="auto"/>
            </w:tcBorders>
          </w:tcPr>
          <w:p w14:paraId="514C19C1"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6F84E344"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80FA5F5"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6B5E846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409C8B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66707C1"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59A12BB6"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1716D29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6199ACCA"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F86BB9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ED7738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A77326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9D5235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0B866A3" w14:textId="77777777" w:rsidR="00610023" w:rsidRPr="00610023" w:rsidRDefault="00610023" w:rsidP="006C3EC9">
            <w:pPr>
              <w:spacing w:line="276" w:lineRule="auto"/>
              <w:rPr>
                <w:rFonts w:eastAsia="Times New Roman" w:cs="Times New Roman"/>
                <w:color w:val="000000"/>
                <w:sz w:val="20"/>
                <w:szCs w:val="20"/>
              </w:rPr>
            </w:pPr>
          </w:p>
        </w:tc>
      </w:tr>
      <w:tr w:rsidR="00610023" w:rsidRPr="00687F57" w14:paraId="1614604A" w14:textId="77777777" w:rsidTr="00610023">
        <w:trPr>
          <w:trHeight w:val="2815"/>
        </w:trPr>
        <w:tc>
          <w:tcPr>
            <w:tcW w:w="621" w:type="dxa"/>
            <w:tcBorders>
              <w:bottom w:val="single" w:sz="4" w:space="0" w:color="auto"/>
            </w:tcBorders>
          </w:tcPr>
          <w:p w14:paraId="21B7C38A"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lastRenderedPageBreak/>
              <w:t>No.</w:t>
            </w:r>
          </w:p>
        </w:tc>
        <w:tc>
          <w:tcPr>
            <w:tcW w:w="3456" w:type="dxa"/>
            <w:tcBorders>
              <w:bottom w:val="single" w:sz="4" w:space="0" w:color="auto"/>
            </w:tcBorders>
          </w:tcPr>
          <w:p w14:paraId="21D54EDD"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0F3F43F0"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091E04E4"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5FAE42DE"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3B4826A6"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59FF8CA3"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3BC33D5B"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4C15945D"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72E9987C"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068BD20C"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3D05D9B8"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247E4D00"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1C5CB4B8"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2B8DC7C5"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79358AA2"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6653E610" w14:textId="77777777" w:rsidTr="00610023">
        <w:trPr>
          <w:trHeight w:val="488"/>
        </w:trPr>
        <w:tc>
          <w:tcPr>
            <w:tcW w:w="4077" w:type="dxa"/>
            <w:gridSpan w:val="2"/>
            <w:tcBorders>
              <w:top w:val="single" w:sz="4" w:space="0" w:color="auto"/>
            </w:tcBorders>
            <w:shd w:val="thinDiagStripe" w:color="auto" w:fill="auto"/>
          </w:tcPr>
          <w:p w14:paraId="26BEBF0A"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7EB3B965"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4FDC64EE"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5518E76F"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37737986"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6409C83E"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28185BC9" w14:textId="77777777" w:rsidTr="00610023">
        <w:trPr>
          <w:trHeight w:val="488"/>
        </w:trPr>
        <w:tc>
          <w:tcPr>
            <w:tcW w:w="621" w:type="dxa"/>
          </w:tcPr>
          <w:p w14:paraId="3BADD119"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c>
          <w:tcPr>
            <w:tcW w:w="3456" w:type="dxa"/>
          </w:tcPr>
          <w:p w14:paraId="163B8B65" w14:textId="77777777" w:rsidR="00610023" w:rsidRPr="00610023" w:rsidRDefault="00610023" w:rsidP="006C3EC9">
            <w:pPr>
              <w:spacing w:line="276" w:lineRule="auto"/>
              <w:rPr>
                <w:sz w:val="20"/>
                <w:szCs w:val="20"/>
              </w:rPr>
            </w:pPr>
            <w:r w:rsidRPr="00610023">
              <w:rPr>
                <w:sz w:val="20"/>
                <w:szCs w:val="20"/>
              </w:rPr>
              <w:t xml:space="preserve">Do you agree: My organisation treats reports of errors, near misses or incidents confidentially </w:t>
            </w:r>
          </w:p>
        </w:tc>
        <w:tc>
          <w:tcPr>
            <w:tcW w:w="1009" w:type="dxa"/>
            <w:tcBorders>
              <w:right w:val="double" w:sz="4" w:space="0" w:color="auto"/>
            </w:tcBorders>
          </w:tcPr>
          <w:p w14:paraId="055F56F8"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35982131"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283E1803"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712C024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406154A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70F9A7A4"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34A12D06"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26490F2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5BD6378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41E493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8EC45E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B43B21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F134AF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230757F"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12B2725C" w14:textId="77777777" w:rsidTr="00610023">
        <w:trPr>
          <w:trHeight w:val="488"/>
        </w:trPr>
        <w:tc>
          <w:tcPr>
            <w:tcW w:w="621" w:type="dxa"/>
          </w:tcPr>
          <w:p w14:paraId="4985EEE8"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19</w:t>
            </w:r>
          </w:p>
        </w:tc>
        <w:tc>
          <w:tcPr>
            <w:tcW w:w="3456" w:type="dxa"/>
          </w:tcPr>
          <w:p w14:paraId="322B1FA9" w14:textId="77777777" w:rsidR="00610023" w:rsidRPr="00610023" w:rsidRDefault="00610023" w:rsidP="006C3EC9">
            <w:pPr>
              <w:spacing w:line="276" w:lineRule="auto"/>
              <w:rPr>
                <w:sz w:val="20"/>
                <w:szCs w:val="20"/>
              </w:rPr>
            </w:pPr>
            <w:r w:rsidRPr="00610023">
              <w:rPr>
                <w:sz w:val="20"/>
                <w:szCs w:val="20"/>
              </w:rPr>
              <w:t xml:space="preserve">Do you agree: My organisation blames or punishes people who are involved in errors, near misses or incidents </w:t>
            </w:r>
          </w:p>
        </w:tc>
        <w:tc>
          <w:tcPr>
            <w:tcW w:w="1009" w:type="dxa"/>
            <w:tcBorders>
              <w:right w:val="double" w:sz="4" w:space="0" w:color="auto"/>
            </w:tcBorders>
          </w:tcPr>
          <w:p w14:paraId="3B6A6705"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7BFEEF5F"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E32176E"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62B9C3F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BA0591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1877AB7"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657B756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4C53CFB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4654EE3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34346B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6FC9DB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43A668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F7BC04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98C33F7"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1BB49D6B" w14:textId="77777777" w:rsidTr="00610023">
        <w:trPr>
          <w:trHeight w:val="488"/>
        </w:trPr>
        <w:tc>
          <w:tcPr>
            <w:tcW w:w="621" w:type="dxa"/>
          </w:tcPr>
          <w:p w14:paraId="62D9EEFD"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3456" w:type="dxa"/>
          </w:tcPr>
          <w:p w14:paraId="5DB24942" w14:textId="77777777" w:rsidR="00610023" w:rsidRPr="00610023" w:rsidRDefault="00610023" w:rsidP="006C3EC9">
            <w:pPr>
              <w:spacing w:line="276" w:lineRule="auto"/>
              <w:rPr>
                <w:sz w:val="20"/>
                <w:szCs w:val="20"/>
              </w:rPr>
            </w:pPr>
            <w:r w:rsidRPr="00610023">
              <w:rPr>
                <w:sz w:val="20"/>
                <w:szCs w:val="20"/>
              </w:rPr>
              <w:t>Do you agree: When errors, near misses or incidents are reported, my organisation takes action to ensure that they do not happy again</w:t>
            </w:r>
          </w:p>
        </w:tc>
        <w:tc>
          <w:tcPr>
            <w:tcW w:w="1009" w:type="dxa"/>
            <w:tcBorders>
              <w:right w:val="double" w:sz="4" w:space="0" w:color="auto"/>
            </w:tcBorders>
          </w:tcPr>
          <w:p w14:paraId="1BB151A7"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7C9643FD"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2BBB3653"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481FD9E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8F7654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15F475DD"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5E5A4D7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4959BDB2"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12CF20B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F27F30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AA299B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AEF392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671425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20A2EDD"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53CC76F3" w14:textId="77777777" w:rsidTr="00610023">
        <w:trPr>
          <w:trHeight w:val="488"/>
        </w:trPr>
        <w:tc>
          <w:tcPr>
            <w:tcW w:w="621" w:type="dxa"/>
          </w:tcPr>
          <w:p w14:paraId="7B07D022"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3456" w:type="dxa"/>
          </w:tcPr>
          <w:p w14:paraId="75C8A661" w14:textId="77777777" w:rsidR="00610023" w:rsidRPr="00610023" w:rsidRDefault="00610023" w:rsidP="006C3EC9">
            <w:pPr>
              <w:spacing w:line="276" w:lineRule="auto"/>
              <w:rPr>
                <w:sz w:val="20"/>
                <w:szCs w:val="20"/>
              </w:rPr>
            </w:pPr>
            <w:r w:rsidRPr="00610023">
              <w:rPr>
                <w:sz w:val="20"/>
                <w:szCs w:val="20"/>
              </w:rPr>
              <w:t xml:space="preserve">Do you agree: We are informed about errors, near misses or incidents that happen in this organisation </w:t>
            </w:r>
          </w:p>
        </w:tc>
        <w:tc>
          <w:tcPr>
            <w:tcW w:w="1009" w:type="dxa"/>
            <w:tcBorders>
              <w:right w:val="double" w:sz="4" w:space="0" w:color="auto"/>
            </w:tcBorders>
          </w:tcPr>
          <w:p w14:paraId="2DA3C529"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7ECF7B59"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8BC1424"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625DB15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3F6A72F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71C82A77"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271209CC"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7A0EA69B"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1F1A7DC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658CDC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7DA4C5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CB0712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7F228E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0172AA9"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40456BE9" w14:textId="77777777" w:rsidTr="00610023">
        <w:trPr>
          <w:trHeight w:val="488"/>
        </w:trPr>
        <w:tc>
          <w:tcPr>
            <w:tcW w:w="621" w:type="dxa"/>
          </w:tcPr>
          <w:p w14:paraId="65FC3525"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3456" w:type="dxa"/>
          </w:tcPr>
          <w:p w14:paraId="178FC9B9" w14:textId="77777777" w:rsidR="00610023" w:rsidRPr="00610023" w:rsidRDefault="00610023" w:rsidP="006C3EC9">
            <w:pPr>
              <w:spacing w:line="276" w:lineRule="auto"/>
              <w:rPr>
                <w:sz w:val="20"/>
                <w:szCs w:val="20"/>
              </w:rPr>
            </w:pPr>
            <w:r w:rsidRPr="00610023">
              <w:rPr>
                <w:sz w:val="20"/>
                <w:szCs w:val="20"/>
              </w:rPr>
              <w:t xml:space="preserve">Do you agree: We are given feedback about changes made in response to reported errors, near misses and incidents </w:t>
            </w:r>
          </w:p>
        </w:tc>
        <w:tc>
          <w:tcPr>
            <w:tcW w:w="1009" w:type="dxa"/>
            <w:tcBorders>
              <w:right w:val="double" w:sz="4" w:space="0" w:color="auto"/>
            </w:tcBorders>
          </w:tcPr>
          <w:p w14:paraId="023A8CA9"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1B32E9B1"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B3BEAEC"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14B00C0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40C9DCB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1B24CAC5"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6D83B830"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713DF45C"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70D44F0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BE999A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BB7DC0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781D6C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B18AA0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C3F379E" w14:textId="77777777" w:rsidR="00610023" w:rsidRPr="00610023" w:rsidRDefault="00610023" w:rsidP="006C3EC9">
            <w:pPr>
              <w:spacing w:line="276" w:lineRule="auto"/>
              <w:rPr>
                <w:rFonts w:eastAsia="Times New Roman" w:cs="Times New Roman"/>
                <w:color w:val="000000"/>
                <w:sz w:val="20"/>
                <w:szCs w:val="20"/>
              </w:rPr>
            </w:pPr>
          </w:p>
        </w:tc>
      </w:tr>
      <w:tr w:rsidR="00610023" w:rsidRPr="00687F57" w14:paraId="5203B77E" w14:textId="77777777" w:rsidTr="00610023">
        <w:trPr>
          <w:trHeight w:val="2815"/>
        </w:trPr>
        <w:tc>
          <w:tcPr>
            <w:tcW w:w="621" w:type="dxa"/>
            <w:tcBorders>
              <w:bottom w:val="single" w:sz="4" w:space="0" w:color="auto"/>
            </w:tcBorders>
          </w:tcPr>
          <w:p w14:paraId="4249965F"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lastRenderedPageBreak/>
              <w:t>No.</w:t>
            </w:r>
          </w:p>
        </w:tc>
        <w:tc>
          <w:tcPr>
            <w:tcW w:w="3456" w:type="dxa"/>
            <w:tcBorders>
              <w:bottom w:val="single" w:sz="4" w:space="0" w:color="auto"/>
            </w:tcBorders>
          </w:tcPr>
          <w:p w14:paraId="1C1A945A"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42BA125E"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775F7989"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24C6715C"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6BF7A22C"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16156454"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4DB6A52F"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72EBDE87"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5DC4D4CE"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6324D51A"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1710205D"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60B6420F"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4B113515"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6E2E353A"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7DBCE0A9"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4DAFAEDA" w14:textId="77777777" w:rsidTr="00610023">
        <w:trPr>
          <w:trHeight w:val="488"/>
        </w:trPr>
        <w:tc>
          <w:tcPr>
            <w:tcW w:w="4077" w:type="dxa"/>
            <w:gridSpan w:val="2"/>
            <w:tcBorders>
              <w:top w:val="single" w:sz="4" w:space="0" w:color="auto"/>
            </w:tcBorders>
            <w:shd w:val="thinDiagStripe" w:color="auto" w:fill="auto"/>
          </w:tcPr>
          <w:p w14:paraId="73A33F9A"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58CBE730"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2170FA2D"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063A4CBE"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059ED7F0"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39CECD88"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5AAB5F94" w14:textId="77777777" w:rsidTr="00610023">
        <w:trPr>
          <w:trHeight w:val="488"/>
        </w:trPr>
        <w:tc>
          <w:tcPr>
            <w:tcW w:w="621" w:type="dxa"/>
          </w:tcPr>
          <w:p w14:paraId="67D3AFDE"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23</w:t>
            </w:r>
          </w:p>
        </w:tc>
        <w:tc>
          <w:tcPr>
            <w:tcW w:w="3456" w:type="dxa"/>
          </w:tcPr>
          <w:p w14:paraId="3F0ECD36" w14:textId="77777777" w:rsidR="00610023" w:rsidRPr="00610023" w:rsidRDefault="00610023" w:rsidP="006C3EC9">
            <w:pPr>
              <w:spacing w:line="276" w:lineRule="auto"/>
              <w:rPr>
                <w:sz w:val="20"/>
                <w:szCs w:val="20"/>
              </w:rPr>
            </w:pPr>
            <w:r w:rsidRPr="00610023">
              <w:rPr>
                <w:sz w:val="20"/>
                <w:szCs w:val="20"/>
              </w:rPr>
              <w:t xml:space="preserve">If you were concerned about fraud, malpractice or wrongdoing, would you know how to report it? </w:t>
            </w:r>
          </w:p>
        </w:tc>
        <w:tc>
          <w:tcPr>
            <w:tcW w:w="1009" w:type="dxa"/>
            <w:tcBorders>
              <w:right w:val="double" w:sz="4" w:space="0" w:color="auto"/>
            </w:tcBorders>
          </w:tcPr>
          <w:p w14:paraId="35E36A3B"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706F3C90"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6734610"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3F53C76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0C1684E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56F65A41"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43F1478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1A50FC2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2FE71BC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022259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90912C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C2359D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339F08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0CE7000"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58876E2D" w14:textId="77777777" w:rsidTr="00610023">
        <w:trPr>
          <w:trHeight w:val="488"/>
        </w:trPr>
        <w:tc>
          <w:tcPr>
            <w:tcW w:w="621" w:type="dxa"/>
          </w:tcPr>
          <w:p w14:paraId="7B7E97B7"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3456" w:type="dxa"/>
          </w:tcPr>
          <w:p w14:paraId="428F3759" w14:textId="77777777" w:rsidR="00610023" w:rsidRPr="00610023" w:rsidRDefault="00610023" w:rsidP="006C3EC9">
            <w:pPr>
              <w:spacing w:line="276" w:lineRule="auto"/>
              <w:rPr>
                <w:sz w:val="20"/>
                <w:szCs w:val="20"/>
              </w:rPr>
            </w:pPr>
            <w:r w:rsidRPr="00610023">
              <w:rPr>
                <w:sz w:val="20"/>
                <w:szCs w:val="20"/>
              </w:rPr>
              <w:t xml:space="preserve">Would you feel safe raising your concern? </w:t>
            </w:r>
          </w:p>
        </w:tc>
        <w:tc>
          <w:tcPr>
            <w:tcW w:w="1009" w:type="dxa"/>
            <w:tcBorders>
              <w:right w:val="double" w:sz="4" w:space="0" w:color="auto"/>
            </w:tcBorders>
          </w:tcPr>
          <w:p w14:paraId="0B4B3284"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5EDDBBFB"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B8177B4"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30DA275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3C23B3E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40BA9950"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51986276"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5E061EE2"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2BDBB20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649559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66456C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2628FA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A2DAE5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586340C"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5EB8A21B" w14:textId="77777777" w:rsidTr="00610023">
        <w:trPr>
          <w:trHeight w:val="488"/>
        </w:trPr>
        <w:tc>
          <w:tcPr>
            <w:tcW w:w="621" w:type="dxa"/>
          </w:tcPr>
          <w:p w14:paraId="5E9A8891"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3456" w:type="dxa"/>
          </w:tcPr>
          <w:p w14:paraId="697602CE" w14:textId="77777777" w:rsidR="00610023" w:rsidRPr="00610023" w:rsidRDefault="00610023" w:rsidP="006C3EC9">
            <w:pPr>
              <w:spacing w:line="276" w:lineRule="auto"/>
              <w:rPr>
                <w:sz w:val="20"/>
                <w:szCs w:val="20"/>
              </w:rPr>
            </w:pPr>
            <w:r w:rsidRPr="00610023">
              <w:rPr>
                <w:sz w:val="20"/>
                <w:szCs w:val="20"/>
              </w:rPr>
              <w:t xml:space="preserve">Would you feel confident that your organisation would address your concern? </w:t>
            </w:r>
          </w:p>
        </w:tc>
        <w:tc>
          <w:tcPr>
            <w:tcW w:w="1009" w:type="dxa"/>
            <w:tcBorders>
              <w:right w:val="double" w:sz="4" w:space="0" w:color="auto"/>
            </w:tcBorders>
          </w:tcPr>
          <w:p w14:paraId="6F569AC2"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sz w:val="20"/>
                <w:szCs w:val="20"/>
              </w:rPr>
              <w:t xml:space="preserve">NHSSS </w:t>
            </w:r>
          </w:p>
        </w:tc>
        <w:tc>
          <w:tcPr>
            <w:tcW w:w="728" w:type="dxa"/>
            <w:tcBorders>
              <w:left w:val="double" w:sz="4" w:space="0" w:color="auto"/>
              <w:right w:val="double" w:sz="4" w:space="0" w:color="auto"/>
            </w:tcBorders>
            <w:shd w:val="clear" w:color="auto" w:fill="DBE5F1"/>
          </w:tcPr>
          <w:p w14:paraId="687C0354"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8989B48"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118A1D5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7A94093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1C334E51"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7750354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5B195D1B"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7715AD2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5A06A9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624F58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2ECD08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208AEA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21FF2F6"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48420AAA" w14:textId="77777777" w:rsidTr="00610023">
        <w:trPr>
          <w:trHeight w:val="488"/>
        </w:trPr>
        <w:tc>
          <w:tcPr>
            <w:tcW w:w="621" w:type="dxa"/>
          </w:tcPr>
          <w:p w14:paraId="6C2FBE5F"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26</w:t>
            </w:r>
          </w:p>
        </w:tc>
        <w:tc>
          <w:tcPr>
            <w:tcW w:w="3456" w:type="dxa"/>
          </w:tcPr>
          <w:p w14:paraId="7EA7372C" w14:textId="77777777" w:rsidR="00610023" w:rsidRPr="00610023" w:rsidRDefault="00610023" w:rsidP="006C3EC9">
            <w:pPr>
              <w:spacing w:line="276" w:lineRule="auto"/>
              <w:rPr>
                <w:sz w:val="20"/>
                <w:szCs w:val="20"/>
              </w:rPr>
            </w:pPr>
            <w:r w:rsidRPr="00610023">
              <w:rPr>
                <w:sz w:val="20"/>
                <w:szCs w:val="20"/>
              </w:rPr>
              <w:t>Length of stay (Long stay patients)</w:t>
            </w:r>
          </w:p>
        </w:tc>
        <w:tc>
          <w:tcPr>
            <w:tcW w:w="1009" w:type="dxa"/>
            <w:tcBorders>
              <w:right w:val="double" w:sz="4" w:space="0" w:color="auto"/>
            </w:tcBorders>
          </w:tcPr>
          <w:p w14:paraId="6FFC8C24"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46993657"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EC68BC8"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left w:val="double" w:sz="4" w:space="0" w:color="auto"/>
            </w:tcBorders>
            <w:shd w:val="thinDiagStripe" w:color="auto" w:fill="95B3D7"/>
          </w:tcPr>
          <w:p w14:paraId="21ED723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2D446E4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95B3D7"/>
          </w:tcPr>
          <w:p w14:paraId="35480ECF" w14:textId="77777777" w:rsidR="00610023" w:rsidRPr="00610023" w:rsidRDefault="00610023" w:rsidP="006C3EC9">
            <w:pPr>
              <w:spacing w:line="276" w:lineRule="auto"/>
              <w:rPr>
                <w:rFonts w:eastAsia="Times New Roman" w:cs="Times New Roman"/>
                <w:color w:val="000000"/>
                <w:sz w:val="20"/>
                <w:szCs w:val="20"/>
              </w:rPr>
            </w:pPr>
          </w:p>
        </w:tc>
        <w:tc>
          <w:tcPr>
            <w:tcW w:w="727" w:type="dxa"/>
            <w:shd w:val="thinDiagStripe" w:color="auto" w:fill="95B3D7"/>
          </w:tcPr>
          <w:p w14:paraId="286CF3B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right w:val="double" w:sz="4" w:space="0" w:color="auto"/>
            </w:tcBorders>
            <w:shd w:val="thinDiagStripe" w:color="auto" w:fill="95B3D7"/>
          </w:tcPr>
          <w:p w14:paraId="76CD94A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left w:val="double" w:sz="4" w:space="0" w:color="auto"/>
            </w:tcBorders>
            <w:shd w:val="thinDiagStripe" w:color="auto" w:fill="6699FF"/>
          </w:tcPr>
          <w:p w14:paraId="47CBE1B1"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39E313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6D31D1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C0FDCF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79DA36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591DFC4"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6CC5EC07" w14:textId="77777777" w:rsidTr="00610023">
        <w:trPr>
          <w:trHeight w:val="488"/>
        </w:trPr>
        <w:tc>
          <w:tcPr>
            <w:tcW w:w="621" w:type="dxa"/>
            <w:tcBorders>
              <w:top w:val="single" w:sz="4" w:space="0" w:color="auto"/>
            </w:tcBorders>
          </w:tcPr>
          <w:p w14:paraId="289FF8E5"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27</w:t>
            </w:r>
          </w:p>
        </w:tc>
        <w:tc>
          <w:tcPr>
            <w:tcW w:w="3456" w:type="dxa"/>
            <w:tcBorders>
              <w:top w:val="single" w:sz="4" w:space="0" w:color="auto"/>
            </w:tcBorders>
            <w:hideMark/>
          </w:tcPr>
          <w:p w14:paraId="1C1C3A91" w14:textId="77777777" w:rsidR="00610023" w:rsidRPr="00610023" w:rsidRDefault="00610023" w:rsidP="006C3EC9">
            <w:pPr>
              <w:spacing w:line="276" w:lineRule="auto"/>
              <w:rPr>
                <w:sz w:val="20"/>
                <w:szCs w:val="20"/>
              </w:rPr>
            </w:pPr>
            <w:r w:rsidRPr="00610023">
              <w:rPr>
                <w:sz w:val="20"/>
                <w:szCs w:val="20"/>
              </w:rPr>
              <w:t>Wrong site surgery (Never event)</w:t>
            </w:r>
          </w:p>
        </w:tc>
        <w:tc>
          <w:tcPr>
            <w:tcW w:w="1009" w:type="dxa"/>
            <w:tcBorders>
              <w:top w:val="single" w:sz="4" w:space="0" w:color="auto"/>
              <w:right w:val="double" w:sz="4" w:space="0" w:color="auto"/>
            </w:tcBorders>
          </w:tcPr>
          <w:p w14:paraId="01FF8A32"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t>HES</w:t>
            </w:r>
          </w:p>
        </w:tc>
        <w:tc>
          <w:tcPr>
            <w:tcW w:w="728" w:type="dxa"/>
            <w:tcBorders>
              <w:top w:val="single" w:sz="4" w:space="0" w:color="auto"/>
              <w:left w:val="double" w:sz="4" w:space="0" w:color="auto"/>
              <w:right w:val="double" w:sz="4" w:space="0" w:color="auto"/>
            </w:tcBorders>
            <w:shd w:val="clear" w:color="auto" w:fill="DBE5F1"/>
          </w:tcPr>
          <w:p w14:paraId="43655883"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top w:val="single" w:sz="4" w:space="0" w:color="auto"/>
              <w:left w:val="double" w:sz="4" w:space="0" w:color="auto"/>
              <w:right w:val="double" w:sz="4" w:space="0" w:color="auto"/>
            </w:tcBorders>
            <w:shd w:val="clear" w:color="auto" w:fill="B8CCE4"/>
          </w:tcPr>
          <w:p w14:paraId="220163D9"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top w:val="single" w:sz="4" w:space="0" w:color="auto"/>
              <w:left w:val="double" w:sz="4" w:space="0" w:color="auto"/>
            </w:tcBorders>
            <w:shd w:val="clear" w:color="auto" w:fill="95B3D7"/>
          </w:tcPr>
          <w:p w14:paraId="2A60468A"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top w:val="single" w:sz="4" w:space="0" w:color="auto"/>
            </w:tcBorders>
            <w:shd w:val="clear" w:color="auto" w:fill="95B3D7"/>
          </w:tcPr>
          <w:p w14:paraId="4A7ED348"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tcBorders>
              <w:top w:val="single" w:sz="4" w:space="0" w:color="auto"/>
            </w:tcBorders>
            <w:shd w:val="clear" w:color="auto" w:fill="95B3D7"/>
          </w:tcPr>
          <w:p w14:paraId="7E7C3F01"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top w:val="single" w:sz="4" w:space="0" w:color="auto"/>
            </w:tcBorders>
            <w:shd w:val="clear" w:color="auto" w:fill="95B3D7"/>
          </w:tcPr>
          <w:p w14:paraId="7F89FEFF"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top w:val="single" w:sz="4" w:space="0" w:color="auto"/>
              <w:right w:val="double" w:sz="4" w:space="0" w:color="auto"/>
            </w:tcBorders>
            <w:shd w:val="clear" w:color="auto" w:fill="95B3D7"/>
          </w:tcPr>
          <w:p w14:paraId="6C0883BB"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t>NA</w:t>
            </w:r>
          </w:p>
        </w:tc>
        <w:tc>
          <w:tcPr>
            <w:tcW w:w="728" w:type="dxa"/>
            <w:tcBorders>
              <w:top w:val="single" w:sz="4" w:space="0" w:color="auto"/>
              <w:left w:val="double" w:sz="4" w:space="0" w:color="auto"/>
            </w:tcBorders>
            <w:shd w:val="thinDiagStripe" w:color="auto" w:fill="6699FF"/>
          </w:tcPr>
          <w:p w14:paraId="1DB289F5"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tcBorders>
            <w:shd w:val="thinDiagStripe" w:color="auto" w:fill="6699FF"/>
          </w:tcPr>
          <w:p w14:paraId="65633A9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tcBorders>
            <w:shd w:val="thinDiagStripe" w:color="auto" w:fill="6699FF"/>
          </w:tcPr>
          <w:p w14:paraId="2ACAC038"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tcBorders>
            <w:shd w:val="thinDiagStripe" w:color="auto" w:fill="6699FF"/>
          </w:tcPr>
          <w:p w14:paraId="3F3CDB44"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tcBorders>
            <w:shd w:val="thinDiagStripe" w:color="auto" w:fill="6699FF"/>
          </w:tcPr>
          <w:p w14:paraId="1CB49F04"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tcBorders>
            <w:shd w:val="thinDiagStripe" w:color="auto" w:fill="6699FF"/>
          </w:tcPr>
          <w:p w14:paraId="584511BA"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21CF415B" w14:textId="77777777" w:rsidTr="00610023">
        <w:trPr>
          <w:trHeight w:val="488"/>
        </w:trPr>
        <w:tc>
          <w:tcPr>
            <w:tcW w:w="621" w:type="dxa"/>
          </w:tcPr>
          <w:p w14:paraId="7FFCB21D"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3456" w:type="dxa"/>
            <w:hideMark/>
          </w:tcPr>
          <w:p w14:paraId="1C4A0031" w14:textId="77777777" w:rsidR="00610023" w:rsidRPr="00610023" w:rsidRDefault="00610023" w:rsidP="006C3EC9">
            <w:pPr>
              <w:spacing w:line="276" w:lineRule="auto"/>
              <w:rPr>
                <w:sz w:val="20"/>
                <w:szCs w:val="20"/>
              </w:rPr>
            </w:pPr>
            <w:r w:rsidRPr="00610023">
              <w:rPr>
                <w:sz w:val="20"/>
                <w:szCs w:val="20"/>
              </w:rPr>
              <w:t>Retained instrument post-operation (Never event)</w:t>
            </w:r>
          </w:p>
        </w:tc>
        <w:tc>
          <w:tcPr>
            <w:tcW w:w="1009" w:type="dxa"/>
            <w:tcBorders>
              <w:right w:val="double" w:sz="4" w:space="0" w:color="auto"/>
            </w:tcBorders>
          </w:tcPr>
          <w:p w14:paraId="5DF622CD"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46A20BDB"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1ADB44A"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0FEA4BA9"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shd w:val="clear" w:color="auto" w:fill="95B3D7"/>
          </w:tcPr>
          <w:p w14:paraId="2A653E87"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shd w:val="clear" w:color="auto" w:fill="95B3D7"/>
          </w:tcPr>
          <w:p w14:paraId="091C9A5C"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shd w:val="clear" w:color="auto" w:fill="95B3D7"/>
          </w:tcPr>
          <w:p w14:paraId="295A82AE"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10541D16"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t>NA</w:t>
            </w:r>
          </w:p>
        </w:tc>
        <w:tc>
          <w:tcPr>
            <w:tcW w:w="728" w:type="dxa"/>
            <w:tcBorders>
              <w:left w:val="double" w:sz="4" w:space="0" w:color="auto"/>
            </w:tcBorders>
            <w:shd w:val="thinDiagStripe" w:color="auto" w:fill="6699FF"/>
          </w:tcPr>
          <w:p w14:paraId="05ECA09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1D9CB9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B657BE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F4E873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2A6E5A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7C453CA"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48A553E1" w14:textId="77777777" w:rsidTr="00610023">
        <w:trPr>
          <w:trHeight w:val="488"/>
        </w:trPr>
        <w:tc>
          <w:tcPr>
            <w:tcW w:w="621" w:type="dxa"/>
          </w:tcPr>
          <w:p w14:paraId="270B09CA"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29</w:t>
            </w:r>
          </w:p>
        </w:tc>
        <w:tc>
          <w:tcPr>
            <w:tcW w:w="3456" w:type="dxa"/>
            <w:hideMark/>
          </w:tcPr>
          <w:p w14:paraId="6D835A07" w14:textId="77777777" w:rsidR="00610023" w:rsidRPr="00610023" w:rsidRDefault="00610023" w:rsidP="006C3EC9">
            <w:pPr>
              <w:spacing w:line="276" w:lineRule="auto"/>
              <w:rPr>
                <w:sz w:val="20"/>
                <w:szCs w:val="20"/>
              </w:rPr>
            </w:pPr>
            <w:r w:rsidRPr="00610023">
              <w:rPr>
                <w:sz w:val="20"/>
                <w:szCs w:val="20"/>
              </w:rPr>
              <w:t>Wrong route administration of chemotherapy (Never event)</w:t>
            </w:r>
          </w:p>
        </w:tc>
        <w:tc>
          <w:tcPr>
            <w:tcW w:w="1009" w:type="dxa"/>
            <w:tcBorders>
              <w:right w:val="double" w:sz="4" w:space="0" w:color="auto"/>
            </w:tcBorders>
          </w:tcPr>
          <w:p w14:paraId="6321C1F7"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bottom w:val="single" w:sz="4" w:space="0" w:color="auto"/>
              <w:right w:val="double" w:sz="4" w:space="0" w:color="auto"/>
            </w:tcBorders>
            <w:shd w:val="clear" w:color="auto" w:fill="DBE5F1"/>
          </w:tcPr>
          <w:p w14:paraId="211B11A6"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2680DCE1"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bottom w:val="single" w:sz="4" w:space="0" w:color="auto"/>
            </w:tcBorders>
            <w:shd w:val="clear" w:color="auto" w:fill="95B3D7"/>
          </w:tcPr>
          <w:p w14:paraId="38A679D5"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bottom w:val="single" w:sz="4" w:space="0" w:color="auto"/>
            </w:tcBorders>
            <w:shd w:val="clear" w:color="auto" w:fill="95B3D7"/>
          </w:tcPr>
          <w:p w14:paraId="659CAEE7"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tcBorders>
              <w:bottom w:val="single" w:sz="4" w:space="0" w:color="auto"/>
            </w:tcBorders>
            <w:shd w:val="clear" w:color="auto" w:fill="95B3D7"/>
          </w:tcPr>
          <w:p w14:paraId="46EEBB8B"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tcBorders>
              <w:bottom w:val="single" w:sz="4" w:space="0" w:color="auto"/>
            </w:tcBorders>
            <w:shd w:val="clear" w:color="auto" w:fill="95B3D7"/>
          </w:tcPr>
          <w:p w14:paraId="4F9DA55A"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bottom w:val="single" w:sz="4" w:space="0" w:color="auto"/>
              <w:right w:val="double" w:sz="4" w:space="0" w:color="auto"/>
            </w:tcBorders>
            <w:shd w:val="clear" w:color="auto" w:fill="95B3D7"/>
          </w:tcPr>
          <w:p w14:paraId="6DDD5013"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t>NA</w:t>
            </w:r>
          </w:p>
        </w:tc>
        <w:tc>
          <w:tcPr>
            <w:tcW w:w="728" w:type="dxa"/>
            <w:tcBorders>
              <w:left w:val="double" w:sz="4" w:space="0" w:color="auto"/>
              <w:bottom w:val="single" w:sz="4" w:space="0" w:color="auto"/>
            </w:tcBorders>
            <w:shd w:val="thinDiagStripe" w:color="auto" w:fill="6699FF"/>
          </w:tcPr>
          <w:p w14:paraId="5E55D5B2"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1DF403F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35496064"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B03BC9C"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3967962C"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5F8E63B" w14:textId="77777777" w:rsidR="00610023" w:rsidRPr="00610023" w:rsidRDefault="00610023" w:rsidP="006C3EC9">
            <w:pPr>
              <w:spacing w:line="276" w:lineRule="auto"/>
              <w:rPr>
                <w:rFonts w:eastAsia="Times New Roman" w:cs="Times New Roman"/>
                <w:color w:val="000000"/>
                <w:sz w:val="20"/>
                <w:szCs w:val="20"/>
              </w:rPr>
            </w:pPr>
          </w:p>
        </w:tc>
      </w:tr>
      <w:tr w:rsidR="00610023" w:rsidRPr="00687F57" w14:paraId="3677E16E" w14:textId="77777777" w:rsidTr="00610023">
        <w:trPr>
          <w:trHeight w:val="2815"/>
        </w:trPr>
        <w:tc>
          <w:tcPr>
            <w:tcW w:w="621" w:type="dxa"/>
            <w:tcBorders>
              <w:bottom w:val="single" w:sz="4" w:space="0" w:color="auto"/>
            </w:tcBorders>
          </w:tcPr>
          <w:p w14:paraId="098FAE8A"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lastRenderedPageBreak/>
              <w:t>No.</w:t>
            </w:r>
          </w:p>
        </w:tc>
        <w:tc>
          <w:tcPr>
            <w:tcW w:w="3456" w:type="dxa"/>
            <w:tcBorders>
              <w:bottom w:val="single" w:sz="4" w:space="0" w:color="auto"/>
            </w:tcBorders>
          </w:tcPr>
          <w:p w14:paraId="6827A8C4"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54824FBA"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26397B52"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063CD016"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6607808E"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48DBBA00"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307B79DA"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0BFE7099"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3B324D3D"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13C9E4B8"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43582C3A"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28A58E8E"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725A9D1F"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194AAFAA"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6141DAE8"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7E35946D" w14:textId="77777777" w:rsidTr="00610023">
        <w:trPr>
          <w:trHeight w:val="488"/>
        </w:trPr>
        <w:tc>
          <w:tcPr>
            <w:tcW w:w="4077" w:type="dxa"/>
            <w:gridSpan w:val="2"/>
            <w:tcBorders>
              <w:top w:val="single" w:sz="4" w:space="0" w:color="auto"/>
            </w:tcBorders>
            <w:shd w:val="thinDiagStripe" w:color="auto" w:fill="auto"/>
          </w:tcPr>
          <w:p w14:paraId="30100910"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723864F4"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7885E30B"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43640752"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6F79A509"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28BD38B7"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4C819D87" w14:textId="77777777" w:rsidTr="00610023">
        <w:trPr>
          <w:trHeight w:val="488"/>
        </w:trPr>
        <w:tc>
          <w:tcPr>
            <w:tcW w:w="621" w:type="dxa"/>
          </w:tcPr>
          <w:p w14:paraId="688C1288"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30</w:t>
            </w:r>
          </w:p>
        </w:tc>
        <w:tc>
          <w:tcPr>
            <w:tcW w:w="3456" w:type="dxa"/>
          </w:tcPr>
          <w:p w14:paraId="60AFCBD6" w14:textId="77777777" w:rsidR="00610023" w:rsidRPr="00610023" w:rsidRDefault="00610023" w:rsidP="006C3EC9">
            <w:pPr>
              <w:spacing w:line="276" w:lineRule="auto"/>
              <w:rPr>
                <w:sz w:val="20"/>
                <w:szCs w:val="20"/>
              </w:rPr>
            </w:pPr>
            <w:r w:rsidRPr="00610023">
              <w:rPr>
                <w:sz w:val="20"/>
                <w:szCs w:val="20"/>
              </w:rPr>
              <w:t>In-hospital maternal death from post-partum haemorrhage after elective caesarean section (Never event)</w:t>
            </w:r>
          </w:p>
        </w:tc>
        <w:tc>
          <w:tcPr>
            <w:tcW w:w="1009" w:type="dxa"/>
            <w:tcBorders>
              <w:right w:val="double" w:sz="4" w:space="0" w:color="auto"/>
            </w:tcBorders>
          </w:tcPr>
          <w:p w14:paraId="532BC82D"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51AB54B7"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34DDDFAD" w14:textId="77777777" w:rsidR="00610023" w:rsidRDefault="00610023" w:rsidP="006C3EC9">
            <w:pPr>
              <w:spacing w:line="276" w:lineRule="auto"/>
              <w:rPr>
                <w:rFonts w:ascii="Zapf Dingbats" w:eastAsia="Times New Roman" w:hAnsi="Zapf Dingbats"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3EDAB89A"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shd w:val="clear" w:color="auto" w:fill="95B3D7"/>
          </w:tcPr>
          <w:p w14:paraId="67E8D418"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shd w:val="clear" w:color="auto" w:fill="95B3D7"/>
          </w:tcPr>
          <w:p w14:paraId="6A1D88FD"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shd w:val="clear" w:color="auto" w:fill="95B3D7"/>
          </w:tcPr>
          <w:p w14:paraId="0A1D3DCF"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1ED8F742"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t>NA</w:t>
            </w:r>
          </w:p>
        </w:tc>
        <w:tc>
          <w:tcPr>
            <w:tcW w:w="728" w:type="dxa"/>
            <w:tcBorders>
              <w:left w:val="double" w:sz="4" w:space="0" w:color="auto"/>
              <w:bottom w:val="single" w:sz="4" w:space="0" w:color="auto"/>
            </w:tcBorders>
            <w:shd w:val="thinDiagStripe" w:color="auto" w:fill="6699FF"/>
          </w:tcPr>
          <w:p w14:paraId="0492564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7D04973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342A0660"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4B437235"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7581333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7896CE9F"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055484BF" w14:textId="77777777" w:rsidTr="00610023">
        <w:trPr>
          <w:trHeight w:val="488"/>
        </w:trPr>
        <w:tc>
          <w:tcPr>
            <w:tcW w:w="621" w:type="dxa"/>
          </w:tcPr>
          <w:p w14:paraId="23850FF3"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3456" w:type="dxa"/>
            <w:hideMark/>
          </w:tcPr>
          <w:p w14:paraId="42C190D4" w14:textId="77777777" w:rsidR="00610023" w:rsidRPr="00610023" w:rsidRDefault="00610023" w:rsidP="006C3EC9">
            <w:pPr>
              <w:spacing w:line="276" w:lineRule="auto"/>
              <w:rPr>
                <w:sz w:val="20"/>
                <w:szCs w:val="20"/>
              </w:rPr>
            </w:pPr>
            <w:r w:rsidRPr="00610023">
              <w:rPr>
                <w:sz w:val="20"/>
                <w:szCs w:val="20"/>
              </w:rPr>
              <w:t xml:space="preserve">Rate of pressure ulcers </w:t>
            </w:r>
          </w:p>
        </w:tc>
        <w:tc>
          <w:tcPr>
            <w:tcW w:w="1009" w:type="dxa"/>
            <w:tcBorders>
              <w:right w:val="double" w:sz="4" w:space="0" w:color="auto"/>
            </w:tcBorders>
          </w:tcPr>
          <w:p w14:paraId="16DDEDA9"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 PST</w:t>
            </w:r>
          </w:p>
        </w:tc>
        <w:tc>
          <w:tcPr>
            <w:tcW w:w="728" w:type="dxa"/>
            <w:tcBorders>
              <w:left w:val="double" w:sz="4" w:space="0" w:color="auto"/>
              <w:right w:val="double" w:sz="4" w:space="0" w:color="auto"/>
            </w:tcBorders>
            <w:shd w:val="clear" w:color="auto" w:fill="DBE5F1"/>
          </w:tcPr>
          <w:p w14:paraId="5AF31B4C"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3B6B2793"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18D9FAA3"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7D70F695"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71B0BB3F"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7" w:type="dxa"/>
            <w:shd w:val="clear" w:color="auto" w:fill="95B3D7"/>
          </w:tcPr>
          <w:p w14:paraId="240C4950"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06654B6C"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tcBorders>
              <w:left w:val="double" w:sz="4" w:space="0" w:color="auto"/>
            </w:tcBorders>
            <w:shd w:val="thinDiagStripe" w:color="auto" w:fill="6699FF"/>
          </w:tcPr>
          <w:p w14:paraId="770B1B0A"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019404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3C4929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73811F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D16A5F9"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8EA087D"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3DE8B629" w14:textId="77777777" w:rsidTr="00610023">
        <w:trPr>
          <w:trHeight w:val="488"/>
        </w:trPr>
        <w:tc>
          <w:tcPr>
            <w:tcW w:w="621" w:type="dxa"/>
          </w:tcPr>
          <w:p w14:paraId="167544FE"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32</w:t>
            </w:r>
          </w:p>
        </w:tc>
        <w:tc>
          <w:tcPr>
            <w:tcW w:w="3456" w:type="dxa"/>
          </w:tcPr>
          <w:p w14:paraId="2BE48131" w14:textId="77777777" w:rsidR="00610023" w:rsidRPr="00610023" w:rsidRDefault="00610023" w:rsidP="006C3EC9">
            <w:pPr>
              <w:spacing w:line="276" w:lineRule="auto"/>
              <w:rPr>
                <w:sz w:val="20"/>
                <w:szCs w:val="20"/>
              </w:rPr>
            </w:pPr>
            <w:r w:rsidRPr="00610023">
              <w:rPr>
                <w:sz w:val="20"/>
                <w:szCs w:val="20"/>
              </w:rPr>
              <w:t xml:space="preserve">Falls </w:t>
            </w:r>
          </w:p>
        </w:tc>
        <w:tc>
          <w:tcPr>
            <w:tcW w:w="1009" w:type="dxa"/>
            <w:tcBorders>
              <w:right w:val="double" w:sz="4" w:space="0" w:color="auto"/>
            </w:tcBorders>
          </w:tcPr>
          <w:p w14:paraId="783D0220"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 PST</w:t>
            </w:r>
          </w:p>
        </w:tc>
        <w:tc>
          <w:tcPr>
            <w:tcW w:w="728" w:type="dxa"/>
            <w:tcBorders>
              <w:left w:val="double" w:sz="4" w:space="0" w:color="auto"/>
              <w:right w:val="double" w:sz="4" w:space="0" w:color="auto"/>
            </w:tcBorders>
            <w:shd w:val="clear" w:color="auto" w:fill="DBE5F1"/>
          </w:tcPr>
          <w:p w14:paraId="578770D9"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2010BFA"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7D3532CF"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7CEB29DB"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64B1B4A9"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7" w:type="dxa"/>
            <w:shd w:val="clear" w:color="auto" w:fill="95B3D7"/>
          </w:tcPr>
          <w:p w14:paraId="106CAC36"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34174DEA"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tcBorders>
              <w:left w:val="double" w:sz="4" w:space="0" w:color="auto"/>
            </w:tcBorders>
            <w:shd w:val="thinDiagStripe" w:color="auto" w:fill="6699FF"/>
          </w:tcPr>
          <w:p w14:paraId="7D14C99E"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187BAC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F14E185"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0F1C8FE0"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5C82ED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BBA8762"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44E4DD72" w14:textId="77777777" w:rsidTr="00610023">
        <w:trPr>
          <w:trHeight w:val="488"/>
        </w:trPr>
        <w:tc>
          <w:tcPr>
            <w:tcW w:w="621" w:type="dxa"/>
          </w:tcPr>
          <w:p w14:paraId="23A10A9A"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33</w:t>
            </w:r>
          </w:p>
        </w:tc>
        <w:tc>
          <w:tcPr>
            <w:tcW w:w="3456" w:type="dxa"/>
          </w:tcPr>
          <w:p w14:paraId="74208943" w14:textId="77777777" w:rsidR="00610023" w:rsidRPr="00610023" w:rsidRDefault="00610023" w:rsidP="006C3EC9">
            <w:pPr>
              <w:spacing w:line="276" w:lineRule="auto"/>
              <w:rPr>
                <w:sz w:val="20"/>
                <w:szCs w:val="20"/>
              </w:rPr>
            </w:pPr>
            <w:r w:rsidRPr="00610023">
              <w:rPr>
                <w:sz w:val="20"/>
                <w:szCs w:val="20"/>
              </w:rPr>
              <w:t xml:space="preserve">VTE </w:t>
            </w:r>
          </w:p>
        </w:tc>
        <w:tc>
          <w:tcPr>
            <w:tcW w:w="1009" w:type="dxa"/>
            <w:tcBorders>
              <w:right w:val="double" w:sz="4" w:space="0" w:color="auto"/>
            </w:tcBorders>
          </w:tcPr>
          <w:p w14:paraId="1F3ECEF2"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 PST</w:t>
            </w:r>
          </w:p>
        </w:tc>
        <w:tc>
          <w:tcPr>
            <w:tcW w:w="728" w:type="dxa"/>
            <w:tcBorders>
              <w:left w:val="double" w:sz="4" w:space="0" w:color="auto"/>
              <w:right w:val="double" w:sz="4" w:space="0" w:color="auto"/>
            </w:tcBorders>
            <w:shd w:val="clear" w:color="auto" w:fill="DBE5F1"/>
          </w:tcPr>
          <w:p w14:paraId="4795DA47"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AE3B0C1"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6C00C995"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7542416D"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09D4ECCF"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7" w:type="dxa"/>
            <w:shd w:val="clear" w:color="auto" w:fill="95B3D7"/>
          </w:tcPr>
          <w:p w14:paraId="488D7E91"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773D5172"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tcBorders>
              <w:left w:val="double" w:sz="4" w:space="0" w:color="auto"/>
            </w:tcBorders>
            <w:shd w:val="thinDiagStripe" w:color="auto" w:fill="6699FF"/>
          </w:tcPr>
          <w:p w14:paraId="066A7B4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E0805D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4D4178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796EEB4"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45061BC"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AC223D1"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0FA9CAC6" w14:textId="77777777" w:rsidTr="00610023">
        <w:trPr>
          <w:trHeight w:val="488"/>
        </w:trPr>
        <w:tc>
          <w:tcPr>
            <w:tcW w:w="621" w:type="dxa"/>
          </w:tcPr>
          <w:p w14:paraId="1B10340F"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34</w:t>
            </w:r>
          </w:p>
        </w:tc>
        <w:tc>
          <w:tcPr>
            <w:tcW w:w="3456" w:type="dxa"/>
          </w:tcPr>
          <w:p w14:paraId="57A9EE87" w14:textId="77777777" w:rsidR="00610023" w:rsidRPr="00610023" w:rsidRDefault="00610023" w:rsidP="006C3EC9">
            <w:pPr>
              <w:spacing w:line="276" w:lineRule="auto"/>
              <w:rPr>
                <w:sz w:val="20"/>
                <w:szCs w:val="20"/>
              </w:rPr>
            </w:pPr>
            <w:r w:rsidRPr="00610023">
              <w:rPr>
                <w:sz w:val="20"/>
                <w:szCs w:val="20"/>
              </w:rPr>
              <w:t xml:space="preserve">UTI in patients with catheter </w:t>
            </w:r>
          </w:p>
        </w:tc>
        <w:tc>
          <w:tcPr>
            <w:tcW w:w="1009" w:type="dxa"/>
            <w:tcBorders>
              <w:right w:val="double" w:sz="4" w:space="0" w:color="auto"/>
            </w:tcBorders>
          </w:tcPr>
          <w:p w14:paraId="2D308B09"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 xml:space="preserve">HES, PST </w:t>
            </w:r>
          </w:p>
        </w:tc>
        <w:tc>
          <w:tcPr>
            <w:tcW w:w="728" w:type="dxa"/>
            <w:tcBorders>
              <w:left w:val="double" w:sz="4" w:space="0" w:color="auto"/>
              <w:right w:val="double" w:sz="4" w:space="0" w:color="auto"/>
            </w:tcBorders>
            <w:shd w:val="clear" w:color="auto" w:fill="DBE5F1"/>
          </w:tcPr>
          <w:p w14:paraId="3A529184"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CA5461B"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3B7F226C"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17584DF2"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shd w:val="clear" w:color="auto" w:fill="95B3D7"/>
          </w:tcPr>
          <w:p w14:paraId="31B3060C"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7" w:type="dxa"/>
            <w:shd w:val="clear" w:color="auto" w:fill="95B3D7"/>
          </w:tcPr>
          <w:p w14:paraId="3BFBB8A0" w14:textId="77777777" w:rsidR="00610023" w:rsidRPr="00610023" w:rsidRDefault="00610023" w:rsidP="006C3EC9">
            <w:pPr>
              <w:spacing w:line="276" w:lineRule="auto"/>
              <w:rPr>
                <w:rFonts w:eastAsia="Times New Roman" w:cs="Times New Roman"/>
                <w:color w:val="000000"/>
                <w:sz w:val="20"/>
                <w:szCs w:val="20"/>
              </w:rPr>
            </w:pPr>
            <w:r w:rsidRPr="008D0055">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42E6A9CB"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tcBorders>
              <w:left w:val="double" w:sz="4" w:space="0" w:color="auto"/>
            </w:tcBorders>
            <w:shd w:val="thinDiagStripe" w:color="auto" w:fill="6699FF"/>
          </w:tcPr>
          <w:p w14:paraId="260C982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C35EDFA"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BF7798B"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FFEAEA6"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87EF86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A0BBEF6"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20F7F6BE" w14:textId="77777777" w:rsidTr="00610023">
        <w:trPr>
          <w:trHeight w:val="488"/>
        </w:trPr>
        <w:tc>
          <w:tcPr>
            <w:tcW w:w="621" w:type="dxa"/>
          </w:tcPr>
          <w:p w14:paraId="7FD4B484"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35</w:t>
            </w:r>
          </w:p>
        </w:tc>
        <w:tc>
          <w:tcPr>
            <w:tcW w:w="3456" w:type="dxa"/>
          </w:tcPr>
          <w:p w14:paraId="1E1E1AB3" w14:textId="27AB3711" w:rsidR="00610023" w:rsidRPr="00610023" w:rsidRDefault="009C5559" w:rsidP="009C5559">
            <w:pPr>
              <w:spacing w:line="276" w:lineRule="auto"/>
              <w:rPr>
                <w:sz w:val="20"/>
                <w:szCs w:val="20"/>
              </w:rPr>
            </w:pPr>
            <w:r>
              <w:rPr>
                <w:sz w:val="20"/>
                <w:szCs w:val="20"/>
              </w:rPr>
              <w:t>H</w:t>
            </w:r>
            <w:r w:rsidR="00610023" w:rsidRPr="00610023">
              <w:rPr>
                <w:sz w:val="20"/>
                <w:szCs w:val="20"/>
              </w:rPr>
              <w:t>ip replacement</w:t>
            </w:r>
            <w:r>
              <w:rPr>
                <w:sz w:val="20"/>
                <w:szCs w:val="20"/>
              </w:rPr>
              <w:t xml:space="preserve"> (30-day mortality)</w:t>
            </w:r>
          </w:p>
        </w:tc>
        <w:tc>
          <w:tcPr>
            <w:tcW w:w="1009" w:type="dxa"/>
            <w:tcBorders>
              <w:right w:val="double" w:sz="4" w:space="0" w:color="auto"/>
            </w:tcBorders>
          </w:tcPr>
          <w:p w14:paraId="03F30A7D"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1DE61F80"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20532CEC"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31EF0EC9"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shd w:val="clear" w:color="auto" w:fill="95B3D7"/>
          </w:tcPr>
          <w:p w14:paraId="3B16FF93"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shd w:val="clear" w:color="auto" w:fill="95B3D7"/>
          </w:tcPr>
          <w:p w14:paraId="7C5779F9"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shd w:val="clear" w:color="auto" w:fill="95B3D7"/>
          </w:tcPr>
          <w:p w14:paraId="42EF41EA"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6FC07C9B"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thinDiagStripe" w:color="auto" w:fill="6699FF"/>
          </w:tcPr>
          <w:p w14:paraId="467934E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2EF5FA8"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4356C6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08D5483"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38EFE0E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65950544"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7A65E939" w14:textId="77777777" w:rsidTr="00610023">
        <w:trPr>
          <w:trHeight w:val="488"/>
        </w:trPr>
        <w:tc>
          <w:tcPr>
            <w:tcW w:w="621" w:type="dxa"/>
          </w:tcPr>
          <w:p w14:paraId="63C1A639"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36</w:t>
            </w:r>
          </w:p>
        </w:tc>
        <w:tc>
          <w:tcPr>
            <w:tcW w:w="3456" w:type="dxa"/>
          </w:tcPr>
          <w:p w14:paraId="1712B253" w14:textId="6E6C424B" w:rsidR="00610023" w:rsidRPr="00610023" w:rsidRDefault="009C5559" w:rsidP="009C5559">
            <w:pPr>
              <w:spacing w:line="276" w:lineRule="auto"/>
              <w:rPr>
                <w:sz w:val="20"/>
                <w:szCs w:val="20"/>
              </w:rPr>
            </w:pPr>
            <w:r>
              <w:rPr>
                <w:sz w:val="20"/>
                <w:szCs w:val="20"/>
              </w:rPr>
              <w:t>H</w:t>
            </w:r>
            <w:r w:rsidR="00610023" w:rsidRPr="00610023">
              <w:rPr>
                <w:sz w:val="20"/>
                <w:szCs w:val="20"/>
              </w:rPr>
              <w:t>ysterectomy</w:t>
            </w:r>
            <w:r>
              <w:rPr>
                <w:sz w:val="20"/>
                <w:szCs w:val="20"/>
              </w:rPr>
              <w:t xml:space="preserve"> (30-day mortality)</w:t>
            </w:r>
          </w:p>
        </w:tc>
        <w:tc>
          <w:tcPr>
            <w:tcW w:w="1009" w:type="dxa"/>
            <w:tcBorders>
              <w:right w:val="double" w:sz="4" w:space="0" w:color="auto"/>
            </w:tcBorders>
          </w:tcPr>
          <w:p w14:paraId="434FD6EB"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68F4DB1F"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148727BB"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200BE0E4"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shd w:val="clear" w:color="auto" w:fill="95B3D7"/>
          </w:tcPr>
          <w:p w14:paraId="02BF47E6"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shd w:val="clear" w:color="auto" w:fill="95B3D7"/>
          </w:tcPr>
          <w:p w14:paraId="7F35F773"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shd w:val="clear" w:color="auto" w:fill="95B3D7"/>
          </w:tcPr>
          <w:p w14:paraId="5463001F"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75089414"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thinDiagStripe" w:color="auto" w:fill="6699FF"/>
          </w:tcPr>
          <w:p w14:paraId="6525B5E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72C05BD2"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588F7F9F"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141FEC2D"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27B44607" w14:textId="77777777" w:rsidR="00610023" w:rsidRPr="00610023" w:rsidRDefault="00610023" w:rsidP="006C3EC9">
            <w:pPr>
              <w:spacing w:line="276" w:lineRule="auto"/>
              <w:rPr>
                <w:rFonts w:eastAsia="Times New Roman" w:cs="Times New Roman"/>
                <w:color w:val="000000"/>
                <w:sz w:val="20"/>
                <w:szCs w:val="20"/>
              </w:rPr>
            </w:pPr>
          </w:p>
        </w:tc>
        <w:tc>
          <w:tcPr>
            <w:tcW w:w="728" w:type="dxa"/>
            <w:shd w:val="thinDiagStripe" w:color="auto" w:fill="6699FF"/>
          </w:tcPr>
          <w:p w14:paraId="49EF3F8D"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1EB7BC2D" w14:textId="77777777" w:rsidTr="00610023">
        <w:trPr>
          <w:trHeight w:val="488"/>
        </w:trPr>
        <w:tc>
          <w:tcPr>
            <w:tcW w:w="621" w:type="dxa"/>
          </w:tcPr>
          <w:p w14:paraId="32B12A37"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37</w:t>
            </w:r>
          </w:p>
        </w:tc>
        <w:tc>
          <w:tcPr>
            <w:tcW w:w="3456" w:type="dxa"/>
          </w:tcPr>
          <w:p w14:paraId="51AD5938" w14:textId="4A381D26" w:rsidR="00610023" w:rsidRPr="00610023" w:rsidRDefault="00610023" w:rsidP="006C3EC9">
            <w:pPr>
              <w:spacing w:line="276" w:lineRule="auto"/>
              <w:rPr>
                <w:sz w:val="20"/>
                <w:szCs w:val="20"/>
              </w:rPr>
            </w:pPr>
            <w:r w:rsidRPr="00610023">
              <w:rPr>
                <w:sz w:val="20"/>
                <w:szCs w:val="20"/>
              </w:rPr>
              <w:t>CABG</w:t>
            </w:r>
            <w:r w:rsidR="009C5559">
              <w:rPr>
                <w:sz w:val="20"/>
                <w:szCs w:val="20"/>
              </w:rPr>
              <w:t xml:space="preserve"> (30-day mortality)</w:t>
            </w:r>
          </w:p>
        </w:tc>
        <w:tc>
          <w:tcPr>
            <w:tcW w:w="1009" w:type="dxa"/>
            <w:tcBorders>
              <w:right w:val="double" w:sz="4" w:space="0" w:color="auto"/>
            </w:tcBorders>
          </w:tcPr>
          <w:p w14:paraId="0244A000"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1DBACDA2"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226F8B16"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2C377D32"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shd w:val="clear" w:color="auto" w:fill="95B3D7"/>
          </w:tcPr>
          <w:p w14:paraId="67CAB576"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8" w:type="dxa"/>
            <w:shd w:val="clear" w:color="auto" w:fill="95B3D7"/>
          </w:tcPr>
          <w:p w14:paraId="66A068F3"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shd w:val="clear" w:color="auto" w:fill="95B3D7"/>
          </w:tcPr>
          <w:p w14:paraId="32E7207F"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67D68964"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left w:val="double" w:sz="4" w:space="0" w:color="auto"/>
              <w:bottom w:val="single" w:sz="4" w:space="0" w:color="auto"/>
            </w:tcBorders>
            <w:shd w:val="thinDiagStripe" w:color="auto" w:fill="6699FF"/>
          </w:tcPr>
          <w:p w14:paraId="2C61B8B1"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3BF71F57"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127A198F"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71334B54"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7DDC130"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71492906" w14:textId="77777777" w:rsidR="00610023" w:rsidRPr="00610023" w:rsidRDefault="00610023" w:rsidP="006C3EC9">
            <w:pPr>
              <w:spacing w:line="276" w:lineRule="auto"/>
              <w:rPr>
                <w:rFonts w:eastAsia="Times New Roman" w:cs="Times New Roman"/>
                <w:color w:val="000000"/>
                <w:sz w:val="20"/>
                <w:szCs w:val="20"/>
              </w:rPr>
            </w:pPr>
          </w:p>
        </w:tc>
      </w:tr>
      <w:tr w:rsidR="00610023" w:rsidRPr="00687F57" w14:paraId="4DEA1893" w14:textId="77777777" w:rsidTr="00610023">
        <w:trPr>
          <w:trHeight w:val="2815"/>
        </w:trPr>
        <w:tc>
          <w:tcPr>
            <w:tcW w:w="621" w:type="dxa"/>
            <w:tcBorders>
              <w:bottom w:val="single" w:sz="4" w:space="0" w:color="auto"/>
            </w:tcBorders>
          </w:tcPr>
          <w:p w14:paraId="09BABA88"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lastRenderedPageBreak/>
              <w:t>No.</w:t>
            </w:r>
          </w:p>
        </w:tc>
        <w:tc>
          <w:tcPr>
            <w:tcW w:w="3456" w:type="dxa"/>
            <w:tcBorders>
              <w:bottom w:val="single" w:sz="4" w:space="0" w:color="auto"/>
            </w:tcBorders>
          </w:tcPr>
          <w:p w14:paraId="5B929F03"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22EB2B5B"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32EAFFCD"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7C6428B8"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297B2576"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7458FB34"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14A9E3D8"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549682F3"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2D2A87EF"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53ADA5A1"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47B7E81B"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75502CBF"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1FD18C88"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4508FBAC"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04ABCD28"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335B277D" w14:textId="77777777" w:rsidTr="00610023">
        <w:trPr>
          <w:trHeight w:val="488"/>
        </w:trPr>
        <w:tc>
          <w:tcPr>
            <w:tcW w:w="4077" w:type="dxa"/>
            <w:gridSpan w:val="2"/>
            <w:tcBorders>
              <w:top w:val="single" w:sz="4" w:space="0" w:color="auto"/>
            </w:tcBorders>
            <w:shd w:val="thinDiagStripe" w:color="auto" w:fill="auto"/>
          </w:tcPr>
          <w:p w14:paraId="28BD9D37"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0D450A58"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2CAA90C3"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2680448F"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21D2F2E0"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34BC3572"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78392020" w14:textId="77777777" w:rsidTr="00610023">
        <w:trPr>
          <w:trHeight w:val="488"/>
        </w:trPr>
        <w:tc>
          <w:tcPr>
            <w:tcW w:w="621" w:type="dxa"/>
          </w:tcPr>
          <w:p w14:paraId="4B06AE6A"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38</w:t>
            </w:r>
          </w:p>
        </w:tc>
        <w:tc>
          <w:tcPr>
            <w:tcW w:w="3456" w:type="dxa"/>
          </w:tcPr>
          <w:p w14:paraId="5A5E07B3" w14:textId="77777777" w:rsidR="00610023" w:rsidRPr="00610023" w:rsidRDefault="00610023" w:rsidP="006C3EC9">
            <w:pPr>
              <w:spacing w:line="276" w:lineRule="auto"/>
              <w:rPr>
                <w:sz w:val="20"/>
                <w:szCs w:val="20"/>
              </w:rPr>
            </w:pPr>
            <w:r w:rsidRPr="00610023">
              <w:rPr>
                <w:sz w:val="20"/>
                <w:szCs w:val="20"/>
              </w:rPr>
              <w:t>CABG (28-day emergency readmission)</w:t>
            </w:r>
          </w:p>
        </w:tc>
        <w:tc>
          <w:tcPr>
            <w:tcW w:w="1009" w:type="dxa"/>
            <w:tcBorders>
              <w:right w:val="double" w:sz="4" w:space="0" w:color="auto"/>
            </w:tcBorders>
          </w:tcPr>
          <w:p w14:paraId="645A4D25" w14:textId="77777777" w:rsidR="00610023" w:rsidRPr="002C176E"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774E6C97"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16A8C921"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6438BC98"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6FA8099A"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1C8558DA" w14:textId="77777777" w:rsidR="00610023" w:rsidRPr="00610023" w:rsidRDefault="00610023" w:rsidP="006C3EC9">
            <w:pPr>
              <w:spacing w:line="276" w:lineRule="auto"/>
              <w:rPr>
                <w:rFonts w:eastAsia="Times New Roman" w:cs="Times New Roman"/>
                <w:color w:val="000000"/>
                <w:sz w:val="20"/>
                <w:szCs w:val="20"/>
              </w:rPr>
            </w:pPr>
            <w:r w:rsidRPr="00610023">
              <w:rPr>
                <w:rFonts w:eastAsia="Times New Roman" w:cs="Times New Roman"/>
                <w:color w:val="000000"/>
                <w:sz w:val="20"/>
                <w:szCs w:val="20"/>
              </w:rPr>
              <w:sym w:font="Wingdings 2" w:char="F04F"/>
            </w:r>
          </w:p>
        </w:tc>
        <w:tc>
          <w:tcPr>
            <w:tcW w:w="727" w:type="dxa"/>
            <w:shd w:val="clear" w:color="auto" w:fill="95B3D7"/>
          </w:tcPr>
          <w:p w14:paraId="42AE5912"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359BD205"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left w:val="double" w:sz="4" w:space="0" w:color="auto"/>
              <w:bottom w:val="single" w:sz="4" w:space="0" w:color="auto"/>
            </w:tcBorders>
            <w:shd w:val="thinDiagStripe" w:color="auto" w:fill="6699FF"/>
          </w:tcPr>
          <w:p w14:paraId="35D4D26C"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40995373"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552330ED"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4218DF3F"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4F3943FC"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bottom w:val="single" w:sz="4" w:space="0" w:color="auto"/>
            </w:tcBorders>
            <w:shd w:val="thinDiagStripe" w:color="auto" w:fill="6699FF"/>
          </w:tcPr>
          <w:p w14:paraId="62F1FB0D" w14:textId="77777777" w:rsidR="00610023" w:rsidRPr="00610023" w:rsidRDefault="00610023" w:rsidP="006C3EC9">
            <w:pPr>
              <w:spacing w:line="276" w:lineRule="auto"/>
              <w:rPr>
                <w:rFonts w:eastAsia="Times New Roman" w:cs="Times New Roman"/>
                <w:color w:val="000000"/>
                <w:sz w:val="20"/>
                <w:szCs w:val="20"/>
              </w:rPr>
            </w:pPr>
          </w:p>
        </w:tc>
      </w:tr>
      <w:tr w:rsidR="00610023" w:rsidRPr="007557F2" w14:paraId="7EE3D960" w14:textId="77777777" w:rsidTr="00610023">
        <w:trPr>
          <w:trHeight w:val="488"/>
        </w:trPr>
        <w:tc>
          <w:tcPr>
            <w:tcW w:w="621" w:type="dxa"/>
          </w:tcPr>
          <w:p w14:paraId="429255E0"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39</w:t>
            </w:r>
          </w:p>
        </w:tc>
        <w:tc>
          <w:tcPr>
            <w:tcW w:w="3456" w:type="dxa"/>
          </w:tcPr>
          <w:p w14:paraId="02F53BBC" w14:textId="65C315D7" w:rsidR="00610023" w:rsidRPr="00610023" w:rsidRDefault="009C5559" w:rsidP="009C5559">
            <w:pPr>
              <w:spacing w:line="276" w:lineRule="auto"/>
              <w:rPr>
                <w:sz w:val="20"/>
                <w:szCs w:val="20"/>
              </w:rPr>
            </w:pPr>
            <w:r>
              <w:rPr>
                <w:sz w:val="20"/>
                <w:szCs w:val="20"/>
              </w:rPr>
              <w:t>S</w:t>
            </w:r>
            <w:r w:rsidR="00610023" w:rsidRPr="00610023">
              <w:rPr>
                <w:sz w:val="20"/>
                <w:szCs w:val="20"/>
              </w:rPr>
              <w:t>troke</w:t>
            </w:r>
            <w:r>
              <w:rPr>
                <w:sz w:val="20"/>
                <w:szCs w:val="20"/>
              </w:rPr>
              <w:t xml:space="preserve"> (30-day mortality)</w:t>
            </w:r>
          </w:p>
        </w:tc>
        <w:tc>
          <w:tcPr>
            <w:tcW w:w="1009" w:type="dxa"/>
            <w:tcBorders>
              <w:right w:val="double" w:sz="4" w:space="0" w:color="auto"/>
            </w:tcBorders>
          </w:tcPr>
          <w:p w14:paraId="1501481B"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6D37FF1D"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1842DB12"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57DB0BCB"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shd w:val="clear" w:color="auto" w:fill="95B3D7"/>
          </w:tcPr>
          <w:p w14:paraId="096044D0"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shd w:val="clear" w:color="auto" w:fill="95B3D7"/>
          </w:tcPr>
          <w:p w14:paraId="4D3C9FC7"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shd w:val="clear" w:color="auto" w:fill="95B3D7"/>
          </w:tcPr>
          <w:p w14:paraId="29CA6252"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542AB323"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05272D45"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B006497"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91FDB5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062F1E7C"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58B12827"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1F5E4759"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44DCC700" w14:textId="77777777" w:rsidTr="00610023">
        <w:trPr>
          <w:trHeight w:val="488"/>
        </w:trPr>
        <w:tc>
          <w:tcPr>
            <w:tcW w:w="621" w:type="dxa"/>
          </w:tcPr>
          <w:p w14:paraId="061732FC"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40</w:t>
            </w:r>
          </w:p>
        </w:tc>
        <w:tc>
          <w:tcPr>
            <w:tcW w:w="3456" w:type="dxa"/>
          </w:tcPr>
          <w:p w14:paraId="430BB1CF" w14:textId="0829CD8C" w:rsidR="00610023" w:rsidRPr="00610023" w:rsidRDefault="009C5559" w:rsidP="006C3EC9">
            <w:pPr>
              <w:spacing w:line="276" w:lineRule="auto"/>
              <w:rPr>
                <w:sz w:val="20"/>
                <w:szCs w:val="20"/>
              </w:rPr>
            </w:pPr>
            <w:r>
              <w:rPr>
                <w:sz w:val="20"/>
                <w:szCs w:val="20"/>
              </w:rPr>
              <w:t xml:space="preserve">Hip </w:t>
            </w:r>
            <w:r w:rsidR="00610023" w:rsidRPr="00610023">
              <w:rPr>
                <w:sz w:val="20"/>
                <w:szCs w:val="20"/>
              </w:rPr>
              <w:t>fracture</w:t>
            </w:r>
          </w:p>
        </w:tc>
        <w:tc>
          <w:tcPr>
            <w:tcW w:w="1009" w:type="dxa"/>
            <w:tcBorders>
              <w:right w:val="double" w:sz="4" w:space="0" w:color="auto"/>
            </w:tcBorders>
          </w:tcPr>
          <w:p w14:paraId="32B117E2"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4EEE1018"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1DEC3E24"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0B18A141"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shd w:val="clear" w:color="auto" w:fill="95B3D7"/>
          </w:tcPr>
          <w:p w14:paraId="4AEEFA9A"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shd w:val="clear" w:color="auto" w:fill="95B3D7"/>
          </w:tcPr>
          <w:p w14:paraId="4D10C46E"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7" w:type="dxa"/>
            <w:shd w:val="clear" w:color="auto" w:fill="95B3D7"/>
          </w:tcPr>
          <w:p w14:paraId="174C8BAD"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6E972BE9"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387C6F19"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18BEE9D3"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F1D1206"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949703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2163719C"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7F0A2FE8"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0DAEB513" w14:textId="77777777" w:rsidTr="00610023">
        <w:trPr>
          <w:trHeight w:val="488"/>
        </w:trPr>
        <w:tc>
          <w:tcPr>
            <w:tcW w:w="621" w:type="dxa"/>
          </w:tcPr>
          <w:p w14:paraId="64CB1E3E"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41</w:t>
            </w:r>
          </w:p>
        </w:tc>
        <w:tc>
          <w:tcPr>
            <w:tcW w:w="3456" w:type="dxa"/>
          </w:tcPr>
          <w:p w14:paraId="5F542928" w14:textId="77777777" w:rsidR="00610023" w:rsidRPr="00610023" w:rsidRDefault="00610023" w:rsidP="006C3EC9">
            <w:pPr>
              <w:spacing w:line="276" w:lineRule="auto"/>
              <w:rPr>
                <w:sz w:val="20"/>
                <w:szCs w:val="20"/>
              </w:rPr>
            </w:pPr>
            <w:r w:rsidRPr="00610023">
              <w:rPr>
                <w:sz w:val="20"/>
                <w:szCs w:val="20"/>
              </w:rPr>
              <w:t>Stroke (28-day emergency readmission)</w:t>
            </w:r>
          </w:p>
        </w:tc>
        <w:tc>
          <w:tcPr>
            <w:tcW w:w="1009" w:type="dxa"/>
            <w:tcBorders>
              <w:right w:val="double" w:sz="4" w:space="0" w:color="auto"/>
            </w:tcBorders>
          </w:tcPr>
          <w:p w14:paraId="3ABBCE4E"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51E659F5"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0D15DAC2"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1A75F449"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shd w:val="clear" w:color="auto" w:fill="95B3D7"/>
          </w:tcPr>
          <w:p w14:paraId="3A2943A6"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shd w:val="clear" w:color="auto" w:fill="95B3D7"/>
          </w:tcPr>
          <w:p w14:paraId="5C151ACF"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7" w:type="dxa"/>
            <w:shd w:val="clear" w:color="auto" w:fill="95B3D7"/>
          </w:tcPr>
          <w:p w14:paraId="30B2596E"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451DAFD2" w14:textId="77777777" w:rsidR="00610023" w:rsidRPr="00610023" w:rsidRDefault="00610023" w:rsidP="006C3EC9">
            <w:pPr>
              <w:spacing w:line="276" w:lineRule="auto"/>
              <w:rPr>
                <w:rFonts w:eastAsia="Times New Roman" w:cs="Times New Roman"/>
                <w:color w:val="000000"/>
                <w:sz w:val="20"/>
                <w:szCs w:val="20"/>
              </w:rPr>
            </w:pPr>
            <w:r w:rsidRPr="0050732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1EEEE37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D99B781"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1D21B731"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17D98C9"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A5B2386"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556E909D"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3BC0E472" w14:textId="77777777" w:rsidTr="00610023">
        <w:trPr>
          <w:trHeight w:val="488"/>
        </w:trPr>
        <w:tc>
          <w:tcPr>
            <w:tcW w:w="621" w:type="dxa"/>
          </w:tcPr>
          <w:p w14:paraId="02654BCF"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42</w:t>
            </w:r>
          </w:p>
        </w:tc>
        <w:tc>
          <w:tcPr>
            <w:tcW w:w="3456" w:type="dxa"/>
          </w:tcPr>
          <w:p w14:paraId="0319F6A1" w14:textId="77777777" w:rsidR="00610023" w:rsidRPr="00610023" w:rsidRDefault="00610023" w:rsidP="006C3EC9">
            <w:pPr>
              <w:spacing w:line="276" w:lineRule="auto"/>
              <w:rPr>
                <w:sz w:val="20"/>
                <w:szCs w:val="20"/>
              </w:rPr>
            </w:pPr>
            <w:r w:rsidRPr="00610023">
              <w:rPr>
                <w:sz w:val="20"/>
                <w:szCs w:val="20"/>
              </w:rPr>
              <w:t>Hip fracture (28-day emergency readmission)</w:t>
            </w:r>
          </w:p>
        </w:tc>
        <w:tc>
          <w:tcPr>
            <w:tcW w:w="1009" w:type="dxa"/>
            <w:tcBorders>
              <w:right w:val="double" w:sz="4" w:space="0" w:color="auto"/>
            </w:tcBorders>
          </w:tcPr>
          <w:p w14:paraId="16173B56"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144C093D"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440B2173"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7A0F1A93"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307B7350"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0B038BEC"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7" w:type="dxa"/>
            <w:shd w:val="clear" w:color="auto" w:fill="95B3D7"/>
          </w:tcPr>
          <w:p w14:paraId="221B97A1"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1794CC7D"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42759873"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46640B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51CE0E50"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907FEB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72C44CC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FC38B38"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233229BF" w14:textId="77777777" w:rsidTr="00610023">
        <w:trPr>
          <w:trHeight w:val="488"/>
        </w:trPr>
        <w:tc>
          <w:tcPr>
            <w:tcW w:w="621" w:type="dxa"/>
          </w:tcPr>
          <w:p w14:paraId="7208C20D"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43</w:t>
            </w:r>
          </w:p>
        </w:tc>
        <w:tc>
          <w:tcPr>
            <w:tcW w:w="3456" w:type="dxa"/>
          </w:tcPr>
          <w:p w14:paraId="5509685A" w14:textId="77777777" w:rsidR="00610023" w:rsidRPr="00610023" w:rsidRDefault="00610023" w:rsidP="006C3EC9">
            <w:pPr>
              <w:spacing w:line="276" w:lineRule="auto"/>
              <w:rPr>
                <w:sz w:val="20"/>
                <w:szCs w:val="20"/>
              </w:rPr>
            </w:pPr>
            <w:r w:rsidRPr="00610023">
              <w:rPr>
                <w:sz w:val="20"/>
                <w:szCs w:val="20"/>
              </w:rPr>
              <w:t>Hip replacement (28-day emergency readmission)</w:t>
            </w:r>
          </w:p>
        </w:tc>
        <w:tc>
          <w:tcPr>
            <w:tcW w:w="1009" w:type="dxa"/>
            <w:tcBorders>
              <w:right w:val="double" w:sz="4" w:space="0" w:color="auto"/>
            </w:tcBorders>
          </w:tcPr>
          <w:p w14:paraId="64F539CE" w14:textId="77777777" w:rsidR="00610023" w:rsidRPr="002C176E"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2EB7905E"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32A3BA4"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163EE616"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060D95DD"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523AF7C8"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7" w:type="dxa"/>
            <w:shd w:val="clear" w:color="auto" w:fill="95B3D7"/>
          </w:tcPr>
          <w:p w14:paraId="3B408BD9"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3641D5A8"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left w:val="double" w:sz="4" w:space="0" w:color="auto"/>
              <w:bottom w:val="single" w:sz="4" w:space="0" w:color="auto"/>
            </w:tcBorders>
            <w:shd w:val="clear" w:color="auto" w:fill="6699FF"/>
          </w:tcPr>
          <w:p w14:paraId="16AE4EF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bottom w:val="single" w:sz="4" w:space="0" w:color="auto"/>
            </w:tcBorders>
            <w:shd w:val="clear" w:color="auto" w:fill="6699FF"/>
          </w:tcPr>
          <w:p w14:paraId="3819529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bottom w:val="single" w:sz="4" w:space="0" w:color="auto"/>
            </w:tcBorders>
            <w:shd w:val="clear" w:color="auto" w:fill="6699FF"/>
          </w:tcPr>
          <w:p w14:paraId="3E836A44"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bottom w:val="single" w:sz="4" w:space="0" w:color="auto"/>
            </w:tcBorders>
            <w:shd w:val="clear" w:color="auto" w:fill="6699FF"/>
          </w:tcPr>
          <w:p w14:paraId="529077A3"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bottom w:val="single" w:sz="4" w:space="0" w:color="auto"/>
            </w:tcBorders>
            <w:shd w:val="clear" w:color="auto" w:fill="6699FF"/>
          </w:tcPr>
          <w:p w14:paraId="0B4A8641"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bottom w:val="single" w:sz="4" w:space="0" w:color="auto"/>
            </w:tcBorders>
            <w:shd w:val="clear" w:color="auto" w:fill="6699FF"/>
          </w:tcPr>
          <w:p w14:paraId="450D1D84"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4500E6AA" w14:textId="77777777" w:rsidTr="00610023">
        <w:trPr>
          <w:trHeight w:val="488"/>
        </w:trPr>
        <w:tc>
          <w:tcPr>
            <w:tcW w:w="621" w:type="dxa"/>
          </w:tcPr>
          <w:p w14:paraId="5678413A"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44</w:t>
            </w:r>
          </w:p>
        </w:tc>
        <w:tc>
          <w:tcPr>
            <w:tcW w:w="3456" w:type="dxa"/>
          </w:tcPr>
          <w:p w14:paraId="5E6B3ACA" w14:textId="77777777" w:rsidR="00610023" w:rsidRPr="00610023" w:rsidRDefault="00610023" w:rsidP="006C3EC9">
            <w:pPr>
              <w:spacing w:line="276" w:lineRule="auto"/>
              <w:rPr>
                <w:sz w:val="20"/>
                <w:szCs w:val="20"/>
              </w:rPr>
            </w:pPr>
            <w:r w:rsidRPr="00610023">
              <w:rPr>
                <w:sz w:val="20"/>
                <w:szCs w:val="20"/>
              </w:rPr>
              <w:t>Knee replacement (28-day emergency readmission)</w:t>
            </w:r>
          </w:p>
        </w:tc>
        <w:tc>
          <w:tcPr>
            <w:tcW w:w="1009" w:type="dxa"/>
            <w:tcBorders>
              <w:right w:val="double" w:sz="4" w:space="0" w:color="auto"/>
            </w:tcBorders>
          </w:tcPr>
          <w:p w14:paraId="52BB46BA"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75952442"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759CFE3F"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22D2A3E9"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05E6E037"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053444CC"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7" w:type="dxa"/>
            <w:shd w:val="clear" w:color="auto" w:fill="95B3D7"/>
          </w:tcPr>
          <w:p w14:paraId="413FFD08"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4EDAFB37"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41E4489E"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DC2B4D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1A11F21"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7D3432A4"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5687AEDE"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2E4C6D11"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4917290B" w14:textId="77777777" w:rsidTr="00610023">
        <w:trPr>
          <w:trHeight w:val="488"/>
        </w:trPr>
        <w:tc>
          <w:tcPr>
            <w:tcW w:w="621" w:type="dxa"/>
          </w:tcPr>
          <w:p w14:paraId="4E9DD828"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45</w:t>
            </w:r>
          </w:p>
        </w:tc>
        <w:tc>
          <w:tcPr>
            <w:tcW w:w="3456" w:type="dxa"/>
          </w:tcPr>
          <w:p w14:paraId="187A4C8D" w14:textId="77777777" w:rsidR="00610023" w:rsidRPr="00610023" w:rsidRDefault="00610023" w:rsidP="006C3EC9">
            <w:pPr>
              <w:spacing w:line="276" w:lineRule="auto"/>
              <w:rPr>
                <w:sz w:val="20"/>
                <w:szCs w:val="20"/>
              </w:rPr>
            </w:pPr>
            <w:r w:rsidRPr="00610023">
              <w:rPr>
                <w:sz w:val="20"/>
                <w:szCs w:val="20"/>
              </w:rPr>
              <w:t>Hysterectomy (28-day emergency readmission)</w:t>
            </w:r>
          </w:p>
        </w:tc>
        <w:tc>
          <w:tcPr>
            <w:tcW w:w="1009" w:type="dxa"/>
            <w:tcBorders>
              <w:right w:val="double" w:sz="4" w:space="0" w:color="auto"/>
            </w:tcBorders>
          </w:tcPr>
          <w:p w14:paraId="26D784C8" w14:textId="77777777" w:rsidR="00610023" w:rsidRPr="002C176E"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350DB20A"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69740B1D" w14:textId="77777777" w:rsidR="00610023" w:rsidRPr="00610023" w:rsidRDefault="00610023" w:rsidP="006C3EC9">
            <w:pPr>
              <w:spacing w:line="276" w:lineRule="auto"/>
              <w:rPr>
                <w:rFonts w:eastAsia="Times New Roman" w:cs="Times New Roman"/>
                <w:color w:val="000000"/>
                <w:sz w:val="20"/>
                <w:szCs w:val="20"/>
              </w:rPr>
            </w:pPr>
            <w:r w:rsidRPr="002C176E">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23DB3D71"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2CD0CCBA"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shd w:val="clear" w:color="auto" w:fill="95B3D7"/>
          </w:tcPr>
          <w:p w14:paraId="614AC9A5"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7" w:type="dxa"/>
            <w:shd w:val="clear" w:color="auto" w:fill="95B3D7"/>
          </w:tcPr>
          <w:p w14:paraId="0D26A320"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1E4CB07C" w14:textId="77777777" w:rsidR="00610023" w:rsidRPr="00610023" w:rsidRDefault="00610023" w:rsidP="006C3EC9">
            <w:pPr>
              <w:spacing w:line="276" w:lineRule="auto"/>
              <w:rPr>
                <w:rFonts w:eastAsia="Times New Roman" w:cs="Times New Roman"/>
                <w:color w:val="000000"/>
                <w:sz w:val="20"/>
                <w:szCs w:val="20"/>
              </w:rPr>
            </w:pPr>
            <w:r w:rsidRPr="00F73981">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7F1B3ED0"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5345B37D"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4039B0D"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096016F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65EDCE0"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04C459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47AC9991" w14:textId="77777777" w:rsidTr="00610023">
        <w:trPr>
          <w:trHeight w:val="488"/>
        </w:trPr>
        <w:tc>
          <w:tcPr>
            <w:tcW w:w="621" w:type="dxa"/>
          </w:tcPr>
          <w:p w14:paraId="188E6DC1"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46</w:t>
            </w:r>
          </w:p>
        </w:tc>
        <w:tc>
          <w:tcPr>
            <w:tcW w:w="3456" w:type="dxa"/>
          </w:tcPr>
          <w:p w14:paraId="2B154807" w14:textId="77777777" w:rsidR="00610023" w:rsidRPr="00610023" w:rsidRDefault="00610023" w:rsidP="006C3EC9">
            <w:pPr>
              <w:spacing w:line="276" w:lineRule="auto"/>
              <w:rPr>
                <w:sz w:val="20"/>
                <w:szCs w:val="20"/>
              </w:rPr>
            </w:pPr>
            <w:r w:rsidRPr="00610023">
              <w:rPr>
                <w:sz w:val="20"/>
                <w:szCs w:val="20"/>
              </w:rPr>
              <w:t xml:space="preserve">Change in health-related quality of life following hip replacement </w:t>
            </w:r>
          </w:p>
        </w:tc>
        <w:tc>
          <w:tcPr>
            <w:tcW w:w="1009" w:type="dxa"/>
            <w:tcBorders>
              <w:right w:val="double" w:sz="4" w:space="0" w:color="auto"/>
            </w:tcBorders>
          </w:tcPr>
          <w:p w14:paraId="6A78EFE2"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3C97ABE9"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21AAD852"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323990FD"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657C1386"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6405DEC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7" w:type="dxa"/>
            <w:shd w:val="clear" w:color="auto" w:fill="95B3D7"/>
          </w:tcPr>
          <w:p w14:paraId="504190F3"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7E62ADBD"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2AB02858"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3087509"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67EB588"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6070563"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6667EC8"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51A93F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687F57" w14:paraId="7B7A2378" w14:textId="77777777" w:rsidTr="00610023">
        <w:trPr>
          <w:trHeight w:val="2815"/>
        </w:trPr>
        <w:tc>
          <w:tcPr>
            <w:tcW w:w="621" w:type="dxa"/>
            <w:tcBorders>
              <w:bottom w:val="single" w:sz="4" w:space="0" w:color="auto"/>
            </w:tcBorders>
          </w:tcPr>
          <w:p w14:paraId="438C3A26" w14:textId="77777777" w:rsidR="00610023" w:rsidRPr="00610023" w:rsidRDefault="00610023" w:rsidP="006C3EC9">
            <w:pPr>
              <w:spacing w:line="276" w:lineRule="auto"/>
              <w:rPr>
                <w:rFonts w:eastAsia="Times New Roman" w:cs="Times New Roman"/>
                <w:b/>
                <w:color w:val="000000"/>
                <w:sz w:val="20"/>
                <w:szCs w:val="20"/>
              </w:rPr>
            </w:pPr>
            <w:r w:rsidRPr="00610023">
              <w:rPr>
                <w:rFonts w:eastAsia="Times New Roman" w:cs="Times New Roman"/>
                <w:b/>
                <w:color w:val="000000"/>
                <w:sz w:val="20"/>
                <w:szCs w:val="20"/>
              </w:rPr>
              <w:lastRenderedPageBreak/>
              <w:t>No.</w:t>
            </w:r>
          </w:p>
        </w:tc>
        <w:tc>
          <w:tcPr>
            <w:tcW w:w="3456" w:type="dxa"/>
            <w:tcBorders>
              <w:bottom w:val="single" w:sz="4" w:space="0" w:color="auto"/>
            </w:tcBorders>
          </w:tcPr>
          <w:p w14:paraId="759FA1E9" w14:textId="77777777" w:rsidR="00610023" w:rsidRPr="00610023" w:rsidRDefault="00610023" w:rsidP="006C3EC9">
            <w:pPr>
              <w:spacing w:line="276" w:lineRule="auto"/>
              <w:rPr>
                <w:b/>
                <w:sz w:val="20"/>
                <w:szCs w:val="20"/>
              </w:rPr>
            </w:pPr>
            <w:r w:rsidRPr="00610023">
              <w:rPr>
                <w:b/>
                <w:sz w:val="20"/>
                <w:szCs w:val="20"/>
              </w:rPr>
              <w:t>Indicator</w:t>
            </w:r>
          </w:p>
        </w:tc>
        <w:tc>
          <w:tcPr>
            <w:tcW w:w="1009" w:type="dxa"/>
            <w:tcBorders>
              <w:bottom w:val="single" w:sz="4" w:space="0" w:color="auto"/>
              <w:right w:val="double" w:sz="4" w:space="0" w:color="auto"/>
            </w:tcBorders>
            <w:textDirection w:val="btLr"/>
          </w:tcPr>
          <w:p w14:paraId="08136D3F" w14:textId="77777777" w:rsidR="00610023" w:rsidRPr="00610023" w:rsidRDefault="00610023" w:rsidP="006C3EC9">
            <w:pPr>
              <w:pStyle w:val="NoSpacing"/>
              <w:rPr>
                <w:b/>
                <w:sz w:val="16"/>
                <w:szCs w:val="16"/>
              </w:rPr>
            </w:pPr>
            <w:r w:rsidRPr="00610023">
              <w:rPr>
                <w:b/>
                <w:sz w:val="16"/>
                <w:szCs w:val="16"/>
              </w:rPr>
              <w:t>DATA SOURCE</w:t>
            </w:r>
          </w:p>
        </w:tc>
        <w:tc>
          <w:tcPr>
            <w:tcW w:w="728" w:type="dxa"/>
            <w:tcBorders>
              <w:left w:val="double" w:sz="4" w:space="0" w:color="auto"/>
              <w:bottom w:val="single" w:sz="4" w:space="0" w:color="auto"/>
              <w:right w:val="double" w:sz="4" w:space="0" w:color="auto"/>
            </w:tcBorders>
            <w:shd w:val="clear" w:color="auto" w:fill="DBE5F1"/>
            <w:textDirection w:val="btLr"/>
          </w:tcPr>
          <w:p w14:paraId="6C52B844" w14:textId="77777777" w:rsidR="00610023" w:rsidRPr="00610023" w:rsidRDefault="00610023" w:rsidP="006C3EC9">
            <w:pPr>
              <w:pStyle w:val="NoSpacing"/>
              <w:rPr>
                <w:b/>
                <w:sz w:val="16"/>
                <w:szCs w:val="16"/>
              </w:rPr>
            </w:pPr>
            <w:r w:rsidRPr="00610023">
              <w:rPr>
                <w:b/>
                <w:sz w:val="16"/>
                <w:szCs w:val="16"/>
              </w:rPr>
              <w:t>1) Coverage of population of interest?</w:t>
            </w:r>
          </w:p>
        </w:tc>
        <w:tc>
          <w:tcPr>
            <w:tcW w:w="728" w:type="dxa"/>
            <w:tcBorders>
              <w:left w:val="double" w:sz="4" w:space="0" w:color="auto"/>
              <w:bottom w:val="single" w:sz="4" w:space="0" w:color="auto"/>
              <w:right w:val="double" w:sz="4" w:space="0" w:color="auto"/>
            </w:tcBorders>
            <w:shd w:val="clear" w:color="auto" w:fill="B8CCE4"/>
            <w:textDirection w:val="btLr"/>
          </w:tcPr>
          <w:p w14:paraId="3C73F340" w14:textId="77777777" w:rsidR="00610023" w:rsidRPr="00610023" w:rsidRDefault="00610023" w:rsidP="006C3EC9">
            <w:pPr>
              <w:pStyle w:val="NoSpacing"/>
              <w:rPr>
                <w:b/>
                <w:sz w:val="16"/>
                <w:szCs w:val="16"/>
              </w:rPr>
            </w:pPr>
            <w:r w:rsidRPr="00610023">
              <w:rPr>
                <w:b/>
                <w:sz w:val="16"/>
                <w:szCs w:val="16"/>
              </w:rPr>
              <w:t>2) Can be attributed to sub hospital level</w:t>
            </w:r>
          </w:p>
        </w:tc>
        <w:tc>
          <w:tcPr>
            <w:tcW w:w="727" w:type="dxa"/>
            <w:tcBorders>
              <w:left w:val="double" w:sz="4" w:space="0" w:color="auto"/>
              <w:bottom w:val="single" w:sz="4" w:space="0" w:color="auto"/>
            </w:tcBorders>
            <w:shd w:val="clear" w:color="auto" w:fill="95B3D7"/>
            <w:textDirection w:val="btLr"/>
          </w:tcPr>
          <w:p w14:paraId="4747C37A" w14:textId="77777777" w:rsidR="00610023" w:rsidRPr="00610023" w:rsidRDefault="00610023" w:rsidP="006C3EC9">
            <w:pPr>
              <w:pStyle w:val="NoSpacing"/>
              <w:rPr>
                <w:b/>
                <w:sz w:val="16"/>
                <w:szCs w:val="16"/>
              </w:rPr>
            </w:pPr>
            <w:r w:rsidRPr="00610023">
              <w:rPr>
                <w:b/>
                <w:sz w:val="16"/>
                <w:szCs w:val="16"/>
              </w:rPr>
              <w:t>3) Large ‘at risk’ population</w:t>
            </w:r>
          </w:p>
        </w:tc>
        <w:tc>
          <w:tcPr>
            <w:tcW w:w="728" w:type="dxa"/>
            <w:tcBorders>
              <w:bottom w:val="single" w:sz="4" w:space="0" w:color="auto"/>
            </w:tcBorders>
            <w:shd w:val="clear" w:color="auto" w:fill="95B3D7"/>
            <w:textDirection w:val="btLr"/>
          </w:tcPr>
          <w:p w14:paraId="2723085F" w14:textId="77777777" w:rsidR="00610023" w:rsidRPr="00610023" w:rsidRDefault="00610023" w:rsidP="006C3EC9">
            <w:pPr>
              <w:pStyle w:val="NoSpacing"/>
              <w:rPr>
                <w:b/>
                <w:sz w:val="16"/>
                <w:szCs w:val="16"/>
              </w:rPr>
            </w:pPr>
            <w:r w:rsidRPr="00610023">
              <w:rPr>
                <w:b/>
                <w:sz w:val="16"/>
                <w:szCs w:val="16"/>
              </w:rPr>
              <w:t>4) High incidence of events</w:t>
            </w:r>
          </w:p>
        </w:tc>
        <w:tc>
          <w:tcPr>
            <w:tcW w:w="728" w:type="dxa"/>
            <w:tcBorders>
              <w:bottom w:val="single" w:sz="4" w:space="0" w:color="auto"/>
            </w:tcBorders>
            <w:shd w:val="clear" w:color="auto" w:fill="95B3D7"/>
            <w:textDirection w:val="btLr"/>
          </w:tcPr>
          <w:p w14:paraId="0604F151" w14:textId="77777777" w:rsidR="00610023" w:rsidRPr="00610023" w:rsidRDefault="00610023" w:rsidP="006C3EC9">
            <w:pPr>
              <w:pStyle w:val="NoSpacing"/>
              <w:rPr>
                <w:b/>
                <w:sz w:val="16"/>
                <w:szCs w:val="16"/>
              </w:rPr>
            </w:pPr>
            <w:r w:rsidRPr="00610023">
              <w:rPr>
                <w:b/>
                <w:sz w:val="16"/>
                <w:szCs w:val="16"/>
              </w:rPr>
              <w:t>5) Sufficient variation across hospitals</w:t>
            </w:r>
          </w:p>
        </w:tc>
        <w:tc>
          <w:tcPr>
            <w:tcW w:w="727" w:type="dxa"/>
            <w:tcBorders>
              <w:bottom w:val="single" w:sz="4" w:space="0" w:color="auto"/>
            </w:tcBorders>
            <w:shd w:val="clear" w:color="auto" w:fill="95B3D7"/>
            <w:textDirection w:val="btLr"/>
          </w:tcPr>
          <w:p w14:paraId="06AA6AE0" w14:textId="77777777" w:rsidR="00610023" w:rsidRPr="00610023" w:rsidRDefault="00610023" w:rsidP="006C3EC9">
            <w:pPr>
              <w:pStyle w:val="NoSpacing"/>
              <w:rPr>
                <w:b/>
                <w:sz w:val="16"/>
                <w:szCs w:val="16"/>
              </w:rPr>
            </w:pPr>
            <w:r w:rsidRPr="00610023">
              <w:rPr>
                <w:b/>
                <w:sz w:val="16"/>
                <w:szCs w:val="16"/>
              </w:rPr>
              <w:t xml:space="preserve">6) Definitional consistency over time </w:t>
            </w:r>
          </w:p>
        </w:tc>
        <w:tc>
          <w:tcPr>
            <w:tcW w:w="728" w:type="dxa"/>
            <w:tcBorders>
              <w:bottom w:val="single" w:sz="4" w:space="0" w:color="auto"/>
              <w:right w:val="double" w:sz="4" w:space="0" w:color="auto"/>
            </w:tcBorders>
            <w:shd w:val="clear" w:color="auto" w:fill="95B3D7"/>
            <w:textDirection w:val="btLr"/>
          </w:tcPr>
          <w:p w14:paraId="52D2BA90" w14:textId="77777777" w:rsidR="00610023" w:rsidRPr="00610023" w:rsidRDefault="00610023" w:rsidP="006C3EC9">
            <w:pPr>
              <w:pStyle w:val="NoSpacing"/>
              <w:rPr>
                <w:b/>
                <w:sz w:val="16"/>
                <w:szCs w:val="16"/>
              </w:rPr>
            </w:pPr>
            <w:r w:rsidRPr="00610023">
              <w:rPr>
                <w:b/>
                <w:sz w:val="16"/>
                <w:szCs w:val="16"/>
              </w:rPr>
              <w:t>7) Possibility of risk adjustment, where appropriate</w:t>
            </w:r>
          </w:p>
        </w:tc>
        <w:tc>
          <w:tcPr>
            <w:tcW w:w="728" w:type="dxa"/>
            <w:tcBorders>
              <w:left w:val="double" w:sz="4" w:space="0" w:color="auto"/>
              <w:bottom w:val="single" w:sz="4" w:space="0" w:color="auto"/>
            </w:tcBorders>
            <w:shd w:val="clear" w:color="auto" w:fill="6699FF"/>
            <w:textDirection w:val="btLr"/>
          </w:tcPr>
          <w:p w14:paraId="794C0013" w14:textId="77777777" w:rsidR="00610023" w:rsidRPr="00610023" w:rsidRDefault="00610023" w:rsidP="006C3EC9">
            <w:pPr>
              <w:pStyle w:val="NoSpacing"/>
              <w:rPr>
                <w:b/>
                <w:sz w:val="16"/>
                <w:szCs w:val="16"/>
              </w:rPr>
            </w:pPr>
            <w:r w:rsidRPr="00610023">
              <w:rPr>
                <w:b/>
                <w:sz w:val="16"/>
                <w:szCs w:val="16"/>
              </w:rPr>
              <w:t>8) Clear interpretation (e.g. must be clear whether more is better)</w:t>
            </w:r>
          </w:p>
        </w:tc>
        <w:tc>
          <w:tcPr>
            <w:tcW w:w="728" w:type="dxa"/>
            <w:tcBorders>
              <w:bottom w:val="single" w:sz="4" w:space="0" w:color="auto"/>
            </w:tcBorders>
            <w:shd w:val="clear" w:color="auto" w:fill="6699FF"/>
            <w:textDirection w:val="btLr"/>
          </w:tcPr>
          <w:p w14:paraId="73ABC9F7" w14:textId="77777777" w:rsidR="00610023" w:rsidRPr="00610023" w:rsidRDefault="00610023" w:rsidP="006C3EC9">
            <w:pPr>
              <w:pStyle w:val="NoSpacing"/>
              <w:rPr>
                <w:b/>
                <w:sz w:val="16"/>
                <w:szCs w:val="16"/>
              </w:rPr>
            </w:pPr>
            <w:r w:rsidRPr="00610023">
              <w:rPr>
                <w:b/>
                <w:sz w:val="16"/>
                <w:szCs w:val="16"/>
              </w:rPr>
              <w:t>9) Accuracy and face validity</w:t>
            </w:r>
          </w:p>
        </w:tc>
        <w:tc>
          <w:tcPr>
            <w:tcW w:w="728" w:type="dxa"/>
            <w:tcBorders>
              <w:bottom w:val="single" w:sz="4" w:space="0" w:color="auto"/>
            </w:tcBorders>
            <w:shd w:val="clear" w:color="auto" w:fill="6699FF"/>
            <w:textDirection w:val="btLr"/>
          </w:tcPr>
          <w:p w14:paraId="20700CAE" w14:textId="77777777" w:rsidR="00610023" w:rsidRPr="00610023" w:rsidRDefault="00610023" w:rsidP="006C3EC9">
            <w:pPr>
              <w:pStyle w:val="NoSpacing"/>
              <w:rPr>
                <w:b/>
                <w:sz w:val="16"/>
                <w:szCs w:val="16"/>
              </w:rPr>
            </w:pPr>
            <w:r w:rsidRPr="00610023">
              <w:rPr>
                <w:b/>
                <w:sz w:val="16"/>
                <w:szCs w:val="16"/>
              </w:rPr>
              <w:t xml:space="preserve">10) Reflective of provider quality of care or proxy for interaction with other care providers </w:t>
            </w:r>
          </w:p>
        </w:tc>
        <w:tc>
          <w:tcPr>
            <w:tcW w:w="728" w:type="dxa"/>
            <w:tcBorders>
              <w:bottom w:val="single" w:sz="4" w:space="0" w:color="auto"/>
            </w:tcBorders>
            <w:shd w:val="clear" w:color="auto" w:fill="6699FF"/>
            <w:textDirection w:val="btLr"/>
          </w:tcPr>
          <w:p w14:paraId="05A3441C" w14:textId="77777777" w:rsidR="00610023" w:rsidRPr="00610023" w:rsidRDefault="00610023" w:rsidP="006C3EC9">
            <w:pPr>
              <w:pStyle w:val="NoSpacing"/>
              <w:rPr>
                <w:b/>
                <w:sz w:val="16"/>
                <w:szCs w:val="16"/>
              </w:rPr>
            </w:pPr>
            <w:r w:rsidRPr="00610023">
              <w:rPr>
                <w:b/>
                <w:sz w:val="16"/>
                <w:szCs w:val="16"/>
              </w:rPr>
              <w:t xml:space="preserve">11) Policy relevant  </w:t>
            </w:r>
          </w:p>
        </w:tc>
        <w:tc>
          <w:tcPr>
            <w:tcW w:w="728" w:type="dxa"/>
            <w:tcBorders>
              <w:bottom w:val="single" w:sz="4" w:space="0" w:color="auto"/>
            </w:tcBorders>
            <w:shd w:val="clear" w:color="auto" w:fill="6699FF"/>
            <w:textDirection w:val="btLr"/>
          </w:tcPr>
          <w:p w14:paraId="637891EE" w14:textId="77777777" w:rsidR="00610023" w:rsidRPr="00610023" w:rsidRDefault="00610023" w:rsidP="006C3EC9">
            <w:pPr>
              <w:pStyle w:val="NoSpacing"/>
              <w:rPr>
                <w:b/>
                <w:sz w:val="16"/>
                <w:szCs w:val="16"/>
              </w:rPr>
            </w:pPr>
            <w:r w:rsidRPr="00610023">
              <w:rPr>
                <w:b/>
                <w:sz w:val="16"/>
                <w:szCs w:val="16"/>
              </w:rPr>
              <w:t>12) Amenable to improvement / responsive to change</w:t>
            </w:r>
          </w:p>
        </w:tc>
        <w:tc>
          <w:tcPr>
            <w:tcW w:w="728" w:type="dxa"/>
            <w:tcBorders>
              <w:bottom w:val="single" w:sz="4" w:space="0" w:color="auto"/>
            </w:tcBorders>
            <w:shd w:val="clear" w:color="auto" w:fill="6699FF"/>
            <w:textDirection w:val="btLr"/>
          </w:tcPr>
          <w:p w14:paraId="2383344D" w14:textId="77777777" w:rsidR="00610023" w:rsidRPr="00610023" w:rsidRDefault="00610023" w:rsidP="006C3EC9">
            <w:pPr>
              <w:pStyle w:val="NoSpacing"/>
              <w:rPr>
                <w:b/>
                <w:sz w:val="16"/>
                <w:szCs w:val="16"/>
              </w:rPr>
            </w:pPr>
            <w:r w:rsidRPr="00610023">
              <w:rPr>
                <w:b/>
                <w:sz w:val="16"/>
                <w:szCs w:val="16"/>
              </w:rPr>
              <w:t>SHORTLISTED FOR FINAL ANALYSIS</w:t>
            </w:r>
          </w:p>
        </w:tc>
      </w:tr>
      <w:tr w:rsidR="00610023" w:rsidRPr="007557F2" w14:paraId="711B52B5" w14:textId="77777777" w:rsidTr="00610023">
        <w:trPr>
          <w:trHeight w:val="488"/>
        </w:trPr>
        <w:tc>
          <w:tcPr>
            <w:tcW w:w="4077" w:type="dxa"/>
            <w:gridSpan w:val="2"/>
            <w:tcBorders>
              <w:top w:val="single" w:sz="4" w:space="0" w:color="auto"/>
            </w:tcBorders>
            <w:shd w:val="thinDiagStripe" w:color="auto" w:fill="auto"/>
          </w:tcPr>
          <w:p w14:paraId="17AFA6F6" w14:textId="77777777" w:rsidR="00610023" w:rsidRPr="00610023" w:rsidRDefault="00610023" w:rsidP="006C3EC9">
            <w:pPr>
              <w:spacing w:line="276" w:lineRule="auto"/>
              <w:rPr>
                <w:sz w:val="20"/>
                <w:szCs w:val="20"/>
              </w:rPr>
            </w:pPr>
          </w:p>
        </w:tc>
        <w:tc>
          <w:tcPr>
            <w:tcW w:w="1009" w:type="dxa"/>
            <w:tcBorders>
              <w:top w:val="single" w:sz="4" w:space="0" w:color="auto"/>
              <w:right w:val="double" w:sz="4" w:space="0" w:color="auto"/>
            </w:tcBorders>
            <w:shd w:val="thinDiagStripe" w:color="auto" w:fill="auto"/>
          </w:tcPr>
          <w:p w14:paraId="48A4E24A" w14:textId="77777777" w:rsidR="00610023" w:rsidRPr="00610023" w:rsidRDefault="00610023" w:rsidP="006C3EC9">
            <w:pPr>
              <w:spacing w:line="276" w:lineRule="auto"/>
              <w:rPr>
                <w:rFonts w:eastAsia="Times New Roman" w:cs="Times New Roman"/>
                <w:color w:val="000000"/>
                <w:sz w:val="20"/>
                <w:szCs w:val="20"/>
              </w:rPr>
            </w:pPr>
          </w:p>
        </w:tc>
        <w:tc>
          <w:tcPr>
            <w:tcW w:w="728" w:type="dxa"/>
            <w:tcBorders>
              <w:top w:val="single" w:sz="4" w:space="0" w:color="auto"/>
              <w:left w:val="double" w:sz="4" w:space="0" w:color="auto"/>
              <w:right w:val="double" w:sz="4" w:space="0" w:color="auto"/>
            </w:tcBorders>
            <w:shd w:val="clear" w:color="auto" w:fill="DBE5F1"/>
          </w:tcPr>
          <w:p w14:paraId="788A1030"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1</w:t>
            </w:r>
          </w:p>
        </w:tc>
        <w:tc>
          <w:tcPr>
            <w:tcW w:w="728" w:type="dxa"/>
            <w:tcBorders>
              <w:top w:val="single" w:sz="4" w:space="0" w:color="auto"/>
              <w:left w:val="double" w:sz="4" w:space="0" w:color="auto"/>
              <w:right w:val="double" w:sz="4" w:space="0" w:color="auto"/>
            </w:tcBorders>
            <w:shd w:val="clear" w:color="auto" w:fill="B8CCE4"/>
          </w:tcPr>
          <w:p w14:paraId="639C0370" w14:textId="77777777" w:rsidR="00610023" w:rsidRDefault="00610023" w:rsidP="006C3EC9">
            <w:pPr>
              <w:spacing w:line="276" w:lineRule="auto"/>
              <w:jc w:val="center"/>
              <w:rPr>
                <w:rFonts w:ascii="Zapf Dingbats" w:eastAsia="Times New Roman" w:hAnsi="Zapf Dingbats" w:cs="Times New Roman"/>
                <w:color w:val="000000"/>
                <w:sz w:val="20"/>
                <w:szCs w:val="20"/>
              </w:rPr>
            </w:pPr>
            <w:r w:rsidRPr="00610023">
              <w:rPr>
                <w:rFonts w:eastAsia="Times New Roman" w:cs="Times New Roman"/>
                <w:color w:val="000000"/>
                <w:sz w:val="20"/>
                <w:szCs w:val="20"/>
              </w:rPr>
              <w:t>Step 2</w:t>
            </w:r>
          </w:p>
        </w:tc>
        <w:tc>
          <w:tcPr>
            <w:tcW w:w="3638" w:type="dxa"/>
            <w:gridSpan w:val="5"/>
            <w:tcBorders>
              <w:top w:val="single" w:sz="4" w:space="0" w:color="auto"/>
              <w:left w:val="double" w:sz="4" w:space="0" w:color="auto"/>
              <w:right w:val="double" w:sz="4" w:space="0" w:color="auto"/>
            </w:tcBorders>
            <w:shd w:val="clear" w:color="auto" w:fill="95B3D7"/>
          </w:tcPr>
          <w:p w14:paraId="733CBF38"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3</w:t>
            </w:r>
          </w:p>
        </w:tc>
        <w:tc>
          <w:tcPr>
            <w:tcW w:w="4368" w:type="dxa"/>
            <w:gridSpan w:val="6"/>
            <w:tcBorders>
              <w:top w:val="single" w:sz="4" w:space="0" w:color="auto"/>
              <w:left w:val="double" w:sz="4" w:space="0" w:color="auto"/>
              <w:bottom w:val="single" w:sz="4" w:space="0" w:color="auto"/>
            </w:tcBorders>
            <w:shd w:val="clear" w:color="auto" w:fill="6699FF"/>
          </w:tcPr>
          <w:p w14:paraId="7C80B7E2" w14:textId="77777777" w:rsidR="00610023" w:rsidRPr="00610023" w:rsidRDefault="00610023" w:rsidP="006C3EC9">
            <w:pPr>
              <w:spacing w:line="276" w:lineRule="auto"/>
              <w:jc w:val="center"/>
              <w:rPr>
                <w:rFonts w:eastAsia="Times New Roman" w:cs="Times New Roman"/>
                <w:color w:val="000000"/>
                <w:sz w:val="20"/>
                <w:szCs w:val="20"/>
              </w:rPr>
            </w:pPr>
            <w:r w:rsidRPr="00610023">
              <w:rPr>
                <w:rFonts w:eastAsia="Times New Roman" w:cs="Times New Roman"/>
                <w:color w:val="000000"/>
                <w:sz w:val="20"/>
                <w:szCs w:val="20"/>
              </w:rPr>
              <w:t>Step 4</w:t>
            </w:r>
          </w:p>
        </w:tc>
      </w:tr>
      <w:tr w:rsidR="00610023" w:rsidRPr="007557F2" w14:paraId="31E348AF" w14:textId="77777777" w:rsidTr="00610023">
        <w:trPr>
          <w:trHeight w:val="488"/>
        </w:trPr>
        <w:tc>
          <w:tcPr>
            <w:tcW w:w="621" w:type="dxa"/>
          </w:tcPr>
          <w:p w14:paraId="4040E277"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47</w:t>
            </w:r>
          </w:p>
        </w:tc>
        <w:tc>
          <w:tcPr>
            <w:tcW w:w="3456" w:type="dxa"/>
          </w:tcPr>
          <w:p w14:paraId="143CBAB0" w14:textId="77777777" w:rsidR="00610023" w:rsidRPr="00610023" w:rsidRDefault="00610023" w:rsidP="006C3EC9">
            <w:pPr>
              <w:spacing w:line="276" w:lineRule="auto"/>
              <w:rPr>
                <w:sz w:val="20"/>
                <w:szCs w:val="20"/>
              </w:rPr>
            </w:pPr>
            <w:r w:rsidRPr="00610023">
              <w:rPr>
                <w:sz w:val="20"/>
                <w:szCs w:val="20"/>
              </w:rPr>
              <w:t xml:space="preserve">Change in health-related quality of life following knee replacement </w:t>
            </w:r>
          </w:p>
        </w:tc>
        <w:tc>
          <w:tcPr>
            <w:tcW w:w="1009" w:type="dxa"/>
            <w:tcBorders>
              <w:right w:val="double" w:sz="4" w:space="0" w:color="auto"/>
            </w:tcBorders>
          </w:tcPr>
          <w:p w14:paraId="78D2A20A"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439F4B00"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510D1218"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7D7C0D6A"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1B1B8E86"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0B377DA1"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7" w:type="dxa"/>
            <w:shd w:val="clear" w:color="auto" w:fill="95B3D7"/>
          </w:tcPr>
          <w:p w14:paraId="6ADB3FE2"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782EBC5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33FCE79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084E7C48"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6028E81"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B21B51D"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072E19F7"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0EA6D919"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15512FCD" w14:textId="77777777" w:rsidTr="00610023">
        <w:trPr>
          <w:trHeight w:val="488"/>
        </w:trPr>
        <w:tc>
          <w:tcPr>
            <w:tcW w:w="621" w:type="dxa"/>
          </w:tcPr>
          <w:p w14:paraId="776828AE"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48</w:t>
            </w:r>
          </w:p>
        </w:tc>
        <w:tc>
          <w:tcPr>
            <w:tcW w:w="3456" w:type="dxa"/>
          </w:tcPr>
          <w:p w14:paraId="71ED8382" w14:textId="77777777" w:rsidR="00610023" w:rsidRPr="00610023" w:rsidRDefault="00610023" w:rsidP="006C3EC9">
            <w:pPr>
              <w:spacing w:line="276" w:lineRule="auto"/>
              <w:rPr>
                <w:sz w:val="20"/>
                <w:szCs w:val="20"/>
              </w:rPr>
            </w:pPr>
            <w:r w:rsidRPr="00610023">
              <w:rPr>
                <w:sz w:val="20"/>
                <w:szCs w:val="20"/>
              </w:rPr>
              <w:t>Change in health-related quality of life following varicose vein surgery</w:t>
            </w:r>
          </w:p>
        </w:tc>
        <w:tc>
          <w:tcPr>
            <w:tcW w:w="1009" w:type="dxa"/>
            <w:tcBorders>
              <w:right w:val="double" w:sz="4" w:space="0" w:color="auto"/>
            </w:tcBorders>
          </w:tcPr>
          <w:p w14:paraId="3FDB0C6F"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5178E20E"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258503DC"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7AF1E16A"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2C619F30"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3824BBB2"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7" w:type="dxa"/>
            <w:shd w:val="clear" w:color="auto" w:fill="95B3D7"/>
          </w:tcPr>
          <w:p w14:paraId="74416B89"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0CC758BD"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56A408C6"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DF18405"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6562A9D4"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151A0728"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2291348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7997603"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r w:rsidR="00610023" w:rsidRPr="007557F2" w14:paraId="2FA30EEE" w14:textId="77777777" w:rsidTr="00610023">
        <w:trPr>
          <w:trHeight w:val="488"/>
        </w:trPr>
        <w:tc>
          <w:tcPr>
            <w:tcW w:w="621" w:type="dxa"/>
          </w:tcPr>
          <w:p w14:paraId="66A395B9" w14:textId="77777777" w:rsidR="00610023" w:rsidRPr="00F3621F" w:rsidRDefault="00610023" w:rsidP="006C3EC9">
            <w:pPr>
              <w:rPr>
                <w:rFonts w:ascii="Calibri" w:eastAsia="Times New Roman" w:hAnsi="Calibri" w:cs="Times New Roman"/>
                <w:color w:val="000000"/>
                <w:sz w:val="20"/>
                <w:szCs w:val="20"/>
              </w:rPr>
            </w:pPr>
            <w:r>
              <w:rPr>
                <w:rFonts w:ascii="Calibri" w:eastAsia="Times New Roman" w:hAnsi="Calibri" w:cs="Times New Roman"/>
                <w:color w:val="000000"/>
                <w:sz w:val="20"/>
                <w:szCs w:val="20"/>
              </w:rPr>
              <w:t>49</w:t>
            </w:r>
          </w:p>
        </w:tc>
        <w:tc>
          <w:tcPr>
            <w:tcW w:w="3456" w:type="dxa"/>
          </w:tcPr>
          <w:p w14:paraId="2CB3DAA3" w14:textId="77777777" w:rsidR="00610023" w:rsidRPr="00610023" w:rsidRDefault="00610023" w:rsidP="006C3EC9">
            <w:pPr>
              <w:spacing w:line="276" w:lineRule="auto"/>
              <w:rPr>
                <w:sz w:val="20"/>
                <w:szCs w:val="20"/>
              </w:rPr>
            </w:pPr>
            <w:r w:rsidRPr="00610023">
              <w:rPr>
                <w:sz w:val="20"/>
                <w:szCs w:val="20"/>
              </w:rPr>
              <w:t>Change in health-related quality of life following groin hernia repair</w:t>
            </w:r>
          </w:p>
        </w:tc>
        <w:tc>
          <w:tcPr>
            <w:tcW w:w="1009" w:type="dxa"/>
            <w:tcBorders>
              <w:right w:val="double" w:sz="4" w:space="0" w:color="auto"/>
            </w:tcBorders>
          </w:tcPr>
          <w:p w14:paraId="0AD75F6F" w14:textId="77777777" w:rsidR="00610023" w:rsidRDefault="00610023" w:rsidP="006C3EC9">
            <w:pPr>
              <w:spacing w:line="276" w:lineRule="auto"/>
              <w:rPr>
                <w:rFonts w:ascii="Zapf Dingbats" w:eastAsia="Times New Roman" w:hAnsi="Zapf Dingbats" w:cs="Times New Roman"/>
                <w:color w:val="000000"/>
                <w:sz w:val="20"/>
                <w:szCs w:val="20"/>
              </w:rPr>
            </w:pPr>
            <w:r w:rsidRPr="00610023">
              <w:rPr>
                <w:rFonts w:eastAsia="Times New Roman" w:cs="Times New Roman"/>
                <w:color w:val="000000"/>
                <w:sz w:val="20"/>
                <w:szCs w:val="20"/>
              </w:rPr>
              <w:t>HES</w:t>
            </w:r>
          </w:p>
        </w:tc>
        <w:tc>
          <w:tcPr>
            <w:tcW w:w="728" w:type="dxa"/>
            <w:tcBorders>
              <w:left w:val="double" w:sz="4" w:space="0" w:color="auto"/>
              <w:right w:val="double" w:sz="4" w:space="0" w:color="auto"/>
            </w:tcBorders>
            <w:shd w:val="clear" w:color="auto" w:fill="DBE5F1"/>
          </w:tcPr>
          <w:p w14:paraId="0374CBFE"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8" w:type="dxa"/>
            <w:tcBorders>
              <w:left w:val="double" w:sz="4" w:space="0" w:color="auto"/>
              <w:right w:val="double" w:sz="4" w:space="0" w:color="auto"/>
            </w:tcBorders>
            <w:shd w:val="clear" w:color="auto" w:fill="B8CCE4"/>
          </w:tcPr>
          <w:p w14:paraId="32C27843" w14:textId="77777777" w:rsidR="00610023" w:rsidRPr="00610023" w:rsidRDefault="00610023" w:rsidP="006C3EC9">
            <w:pPr>
              <w:spacing w:line="276" w:lineRule="auto"/>
              <w:rPr>
                <w:rFonts w:eastAsia="Times New Roman" w:cs="Times New Roman"/>
                <w:color w:val="000000"/>
                <w:sz w:val="20"/>
                <w:szCs w:val="20"/>
              </w:rPr>
            </w:pPr>
            <w:r>
              <w:rPr>
                <w:rFonts w:ascii="Zapf Dingbats" w:eastAsia="Times New Roman" w:hAnsi="Zapf Dingbats" w:cs="Times New Roman"/>
                <w:color w:val="000000"/>
                <w:sz w:val="20"/>
                <w:szCs w:val="20"/>
              </w:rPr>
              <w:sym w:font="Wingdings 2" w:char="F050"/>
            </w:r>
          </w:p>
        </w:tc>
        <w:tc>
          <w:tcPr>
            <w:tcW w:w="727" w:type="dxa"/>
            <w:tcBorders>
              <w:left w:val="double" w:sz="4" w:space="0" w:color="auto"/>
            </w:tcBorders>
            <w:shd w:val="clear" w:color="auto" w:fill="95B3D7"/>
          </w:tcPr>
          <w:p w14:paraId="698C6386"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49D30CEE"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95B3D7"/>
          </w:tcPr>
          <w:p w14:paraId="40A3ECF7"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7" w:type="dxa"/>
            <w:shd w:val="clear" w:color="auto" w:fill="95B3D7"/>
          </w:tcPr>
          <w:p w14:paraId="6BC685C9"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right w:val="double" w:sz="4" w:space="0" w:color="auto"/>
            </w:tcBorders>
            <w:shd w:val="clear" w:color="auto" w:fill="95B3D7"/>
          </w:tcPr>
          <w:p w14:paraId="3A0769DB"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tcBorders>
              <w:left w:val="double" w:sz="4" w:space="0" w:color="auto"/>
            </w:tcBorders>
            <w:shd w:val="clear" w:color="auto" w:fill="6699FF"/>
          </w:tcPr>
          <w:p w14:paraId="4974B785"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1DB155AA"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37302743"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D5EFA46"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FB42D77"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c>
          <w:tcPr>
            <w:tcW w:w="728" w:type="dxa"/>
            <w:shd w:val="clear" w:color="auto" w:fill="6699FF"/>
          </w:tcPr>
          <w:p w14:paraId="4E41067F" w14:textId="77777777" w:rsidR="00610023" w:rsidRPr="00610023" w:rsidRDefault="00610023" w:rsidP="006C3EC9">
            <w:pPr>
              <w:spacing w:line="276" w:lineRule="auto"/>
              <w:rPr>
                <w:rFonts w:eastAsia="Times New Roman" w:cs="Times New Roman"/>
                <w:color w:val="000000"/>
                <w:sz w:val="20"/>
                <w:szCs w:val="20"/>
              </w:rPr>
            </w:pPr>
            <w:r w:rsidRPr="00584EC7">
              <w:rPr>
                <w:rFonts w:ascii="Zapf Dingbats" w:eastAsia="Times New Roman" w:hAnsi="Zapf Dingbats" w:cs="Times New Roman"/>
                <w:color w:val="000000"/>
                <w:sz w:val="20"/>
                <w:szCs w:val="20"/>
              </w:rPr>
              <w:sym w:font="Wingdings 2" w:char="F050"/>
            </w:r>
          </w:p>
        </w:tc>
      </w:tr>
    </w:tbl>
    <w:p w14:paraId="1D807D4E" w14:textId="77777777" w:rsidR="00610023" w:rsidRDefault="00610023" w:rsidP="00610023">
      <w:pPr>
        <w:spacing w:line="276" w:lineRule="auto"/>
        <w:rPr>
          <w:b/>
        </w:rPr>
      </w:pPr>
    </w:p>
    <w:p w14:paraId="6553DFB1" w14:textId="77777777" w:rsidR="00610023" w:rsidRDefault="00610023" w:rsidP="00610023">
      <w:pPr>
        <w:spacing w:line="276" w:lineRule="auto"/>
        <w:rPr>
          <w:sz w:val="16"/>
          <w:szCs w:val="16"/>
        </w:rPr>
      </w:pPr>
      <w:r w:rsidRPr="007A2343">
        <w:rPr>
          <w:sz w:val="16"/>
          <w:szCs w:val="16"/>
        </w:rPr>
        <w:t>HES – Hospital Episode Statistics; PST – Patient Safety Thermometer; NPSA - National Patient Safety Agency Dataset; NHSSS – National Health Service Staff Survey</w:t>
      </w:r>
      <w:r>
        <w:rPr>
          <w:sz w:val="16"/>
          <w:szCs w:val="16"/>
        </w:rPr>
        <w:t>; CABG – Coronary Artery Bypass Grafting</w:t>
      </w:r>
    </w:p>
    <w:p w14:paraId="5DB978A5" w14:textId="77777777" w:rsidR="00610023" w:rsidRDefault="00610023" w:rsidP="00610023">
      <w:pPr>
        <w:spacing w:line="276" w:lineRule="auto"/>
        <w:rPr>
          <w:b/>
          <w:lang w:val="en-US"/>
        </w:rPr>
        <w:sectPr w:rsidR="00610023" w:rsidSect="006C3EC9">
          <w:pgSz w:w="16840" w:h="11900" w:orient="landscape"/>
          <w:pgMar w:top="1797" w:right="1440" w:bottom="1797" w:left="1440" w:header="709" w:footer="709" w:gutter="0"/>
          <w:cols w:space="708"/>
          <w:docGrid w:linePitch="360"/>
        </w:sectPr>
      </w:pPr>
    </w:p>
    <w:p w14:paraId="2F5628A3" w14:textId="77777777" w:rsidR="00610023" w:rsidRPr="00A859D6" w:rsidRDefault="00610023" w:rsidP="004D6358">
      <w:pPr>
        <w:spacing w:line="276" w:lineRule="auto"/>
        <w:outlineLvl w:val="0"/>
        <w:rPr>
          <w:i/>
          <w:u w:val="single"/>
          <w:lang w:val="en-US"/>
        </w:rPr>
      </w:pPr>
      <w:r w:rsidRPr="00A859D6">
        <w:rPr>
          <w:i/>
          <w:u w:val="single"/>
          <w:lang w:val="en-US"/>
        </w:rPr>
        <w:lastRenderedPageBreak/>
        <w:t xml:space="preserve">Research objective 2: Assessment of available indicators against the agreed criteria </w:t>
      </w:r>
    </w:p>
    <w:p w14:paraId="1761AEC3" w14:textId="77777777" w:rsidR="00610023" w:rsidRDefault="00610023" w:rsidP="00610023">
      <w:pPr>
        <w:spacing w:line="276" w:lineRule="auto"/>
      </w:pPr>
    </w:p>
    <w:p w14:paraId="197A3580" w14:textId="77777777" w:rsidR="00610023" w:rsidRDefault="00610023" w:rsidP="00610023">
      <w:pPr>
        <w:spacing w:line="276" w:lineRule="auto"/>
      </w:pPr>
      <w:r>
        <w:t>A flow chart summary of the findings across the four stages addressing this second research question, is presented in Appendix 2.</w:t>
      </w:r>
    </w:p>
    <w:p w14:paraId="00632DFF" w14:textId="77777777" w:rsidR="00610023" w:rsidRDefault="00610023" w:rsidP="00610023"/>
    <w:p w14:paraId="77E82F7A" w14:textId="77777777" w:rsidR="00610023" w:rsidRPr="00A859D6" w:rsidRDefault="00610023" w:rsidP="004D6358">
      <w:pPr>
        <w:spacing w:line="276" w:lineRule="auto"/>
        <w:outlineLvl w:val="0"/>
        <w:rPr>
          <w:i/>
          <w:lang w:val="en-US"/>
        </w:rPr>
      </w:pPr>
      <w:r w:rsidRPr="00A859D6">
        <w:rPr>
          <w:i/>
          <w:lang w:val="en-US"/>
        </w:rPr>
        <w:t>Step 1</w:t>
      </w:r>
      <w:r w:rsidRPr="00A859D6">
        <w:rPr>
          <w:i/>
        </w:rPr>
        <w:t>: Coverage of population of interest</w:t>
      </w:r>
    </w:p>
    <w:p w14:paraId="21726318" w14:textId="77777777" w:rsidR="00610023" w:rsidRDefault="00610023" w:rsidP="00610023">
      <w:pPr>
        <w:spacing w:line="276" w:lineRule="auto"/>
        <w:rPr>
          <w:lang w:val="en-US"/>
        </w:rPr>
      </w:pPr>
      <w:r w:rsidRPr="00C64863">
        <w:t>Following</w:t>
      </w:r>
      <w:r>
        <w:t xml:space="preserve"> discussion within the expert group, all indicators</w:t>
      </w:r>
      <w:r w:rsidRPr="00C64863">
        <w:t xml:space="preserve"> </w:t>
      </w:r>
      <w:r>
        <w:t xml:space="preserve">were judged to </w:t>
      </w:r>
      <w:r w:rsidRPr="00C64863">
        <w:rPr>
          <w:lang w:val="en-US"/>
        </w:rPr>
        <w:t>pass</w:t>
      </w:r>
      <w:r>
        <w:rPr>
          <w:lang w:val="en-US"/>
        </w:rPr>
        <w:t xml:space="preserve"> the first criterion.  As per our overall objective, the population of interest referred to acute healthcare services.</w:t>
      </w:r>
      <w:r>
        <w:rPr>
          <w:u w:val="single"/>
        </w:rPr>
        <w:t xml:space="preserve">  </w:t>
      </w:r>
    </w:p>
    <w:p w14:paraId="3C5056AD" w14:textId="77777777" w:rsidR="00610023" w:rsidRDefault="00610023" w:rsidP="00610023">
      <w:pPr>
        <w:spacing w:line="276" w:lineRule="auto"/>
        <w:rPr>
          <w:lang w:val="en-US"/>
        </w:rPr>
      </w:pPr>
    </w:p>
    <w:p w14:paraId="711A0535" w14:textId="77777777" w:rsidR="00610023" w:rsidRPr="00A859D6" w:rsidRDefault="00610023" w:rsidP="004D6358">
      <w:pPr>
        <w:spacing w:line="276" w:lineRule="auto"/>
        <w:outlineLvl w:val="0"/>
        <w:rPr>
          <w:i/>
          <w:lang w:val="en-US"/>
        </w:rPr>
      </w:pPr>
      <w:r w:rsidRPr="00A859D6">
        <w:rPr>
          <w:i/>
          <w:lang w:val="en-US"/>
        </w:rPr>
        <w:t>Step 2:</w:t>
      </w:r>
      <w:r w:rsidRPr="00A859D6">
        <w:rPr>
          <w:i/>
        </w:rPr>
        <w:t xml:space="preserve"> Relevance for clinical teams</w:t>
      </w:r>
    </w:p>
    <w:p w14:paraId="0E46C4B5" w14:textId="77777777" w:rsidR="00610023" w:rsidRPr="00C0723D" w:rsidRDefault="00610023" w:rsidP="00610023">
      <w:pPr>
        <w:spacing w:line="276" w:lineRule="auto"/>
        <w:rPr>
          <w:lang w:val="en-US"/>
        </w:rPr>
      </w:pPr>
      <w:r>
        <w:rPr>
          <w:lang w:val="en-US"/>
        </w:rPr>
        <w:t xml:space="preserve">Table 1 displays the results of the assessment of the second criterion by the four senior clinical staff.  From the initial 49 available </w:t>
      </w:r>
      <w:r w:rsidRPr="00685AA7">
        <w:rPr>
          <w:lang w:val="en-US"/>
        </w:rPr>
        <w:t xml:space="preserve">indicators, </w:t>
      </w:r>
      <w:r>
        <w:rPr>
          <w:lang w:val="en-US"/>
        </w:rPr>
        <w:t>23</w:t>
      </w:r>
      <w:r w:rsidRPr="00685AA7">
        <w:rPr>
          <w:lang w:val="en-US"/>
        </w:rPr>
        <w:t xml:space="preserve"> </w:t>
      </w:r>
      <w:r>
        <w:rPr>
          <w:lang w:val="en-US"/>
        </w:rPr>
        <w:t xml:space="preserve">supported measurement of quality or safety at a ward/service level. Examples of indicators failing assessment against this criterion were four of the ‘never events’, MRSA rates, pneumonia mortality and readmission data, and all indicators initially drawn from the national NHS staff survey (NHSSS).  The 23 indicators passing assessment against this criterion then proceeded to Step 3. </w:t>
      </w:r>
    </w:p>
    <w:p w14:paraId="4BF5105F" w14:textId="77777777" w:rsidR="00610023" w:rsidRDefault="00610023" w:rsidP="00610023">
      <w:pPr>
        <w:rPr>
          <w:u w:val="single"/>
        </w:rPr>
      </w:pPr>
    </w:p>
    <w:p w14:paraId="1381E455" w14:textId="77777777" w:rsidR="00610023" w:rsidRPr="00A859D6" w:rsidRDefault="00610023" w:rsidP="004D6358">
      <w:pPr>
        <w:spacing w:line="276" w:lineRule="auto"/>
        <w:outlineLvl w:val="0"/>
        <w:rPr>
          <w:i/>
          <w:lang w:val="en-US"/>
        </w:rPr>
      </w:pPr>
      <w:r w:rsidRPr="00A859D6">
        <w:rPr>
          <w:i/>
          <w:lang w:val="en-US"/>
        </w:rPr>
        <w:t>Step 3:</w:t>
      </w:r>
      <w:r w:rsidRPr="00A859D6">
        <w:rPr>
          <w:i/>
        </w:rPr>
        <w:t xml:space="preserve"> Statistical properties</w:t>
      </w:r>
    </w:p>
    <w:p w14:paraId="79213FDB" w14:textId="77777777" w:rsidR="00610023" w:rsidRDefault="00610023" w:rsidP="00610023">
      <w:pPr>
        <w:spacing w:line="276" w:lineRule="auto"/>
      </w:pPr>
      <w:r>
        <w:t>Following our</w:t>
      </w:r>
      <w:r w:rsidRPr="00167E30">
        <w:t xml:space="preserve"> examination of the </w:t>
      </w:r>
      <w:r>
        <w:t xml:space="preserve">available data, </w:t>
      </w:r>
      <w:r w:rsidRPr="00804313">
        <w:t>of the 23 indicators judged to allow scrutiny at the ward or service level, 1</w:t>
      </w:r>
      <w:r>
        <w:t>2</w:t>
      </w:r>
      <w:r w:rsidRPr="00804313">
        <w:t xml:space="preserve"> failed to meet the statistical criteria we set to allow meaningful assessment of provider variation.  For example, survival following CABG, hip replacement and hysterectomy were judged to have insufficient incidence and variation across </w:t>
      </w:r>
      <w:r>
        <w:t>hospitals</w:t>
      </w:r>
      <w:r w:rsidRPr="00804313">
        <w:t xml:space="preserve"> to accurately model variation </w:t>
      </w:r>
      <w:r>
        <w:t>across</w:t>
      </w:r>
      <w:r w:rsidRPr="00804313">
        <w:t xml:space="preserve"> </w:t>
      </w:r>
      <w:r>
        <w:t>hospitals</w:t>
      </w:r>
      <w:r w:rsidRPr="00804313">
        <w:t xml:space="preserve"> over time.</w:t>
      </w:r>
      <w:r>
        <w:t xml:space="preserve"> </w:t>
      </w:r>
    </w:p>
    <w:p w14:paraId="0B9BB07E" w14:textId="77777777" w:rsidR="00610023" w:rsidRDefault="00610023" w:rsidP="00610023">
      <w:pPr>
        <w:rPr>
          <w:u w:val="single"/>
        </w:rPr>
      </w:pPr>
    </w:p>
    <w:p w14:paraId="6ECE9608" w14:textId="77777777" w:rsidR="00610023" w:rsidRPr="00A859D6" w:rsidRDefault="00610023" w:rsidP="004D6358">
      <w:pPr>
        <w:spacing w:line="276" w:lineRule="auto"/>
        <w:outlineLvl w:val="0"/>
        <w:rPr>
          <w:i/>
        </w:rPr>
      </w:pPr>
      <w:r w:rsidRPr="00A859D6">
        <w:rPr>
          <w:i/>
        </w:rPr>
        <w:t>Step 4: Relevance and impact</w:t>
      </w:r>
    </w:p>
    <w:p w14:paraId="065E9CF5" w14:textId="77777777" w:rsidR="00610023" w:rsidRDefault="00610023" w:rsidP="00610023">
      <w:pPr>
        <w:spacing w:line="276" w:lineRule="auto"/>
      </w:pPr>
      <w:r>
        <w:t xml:space="preserve">The expert group met to discuss the final set of 11 indicators, agreeing that all those shortlisted passed the criteria for Step 4.  </w:t>
      </w:r>
    </w:p>
    <w:p w14:paraId="76B813C7" w14:textId="77777777" w:rsidR="00610023" w:rsidRDefault="00610023" w:rsidP="00610023">
      <w:pPr>
        <w:spacing w:line="276" w:lineRule="auto"/>
        <w:rPr>
          <w:i/>
          <w:lang w:val="en-US"/>
        </w:rPr>
      </w:pPr>
    </w:p>
    <w:p w14:paraId="0EDBC304" w14:textId="77777777" w:rsidR="00610023" w:rsidRPr="009357EE" w:rsidRDefault="00610023" w:rsidP="004D6358">
      <w:pPr>
        <w:spacing w:line="276" w:lineRule="auto"/>
        <w:outlineLvl w:val="0"/>
        <w:rPr>
          <w:i/>
          <w:u w:val="single"/>
          <w:lang w:val="en-US"/>
        </w:rPr>
      </w:pPr>
      <w:r w:rsidRPr="009357EE">
        <w:rPr>
          <w:i/>
          <w:u w:val="single"/>
          <w:lang w:val="en-US"/>
        </w:rPr>
        <w:t>Research objective 3: Using the shortlisted indicators to identify positive deviants</w:t>
      </w:r>
    </w:p>
    <w:p w14:paraId="1FD51E89" w14:textId="77777777" w:rsidR="00610023" w:rsidRDefault="00610023" w:rsidP="00610023">
      <w:pPr>
        <w:spacing w:line="276" w:lineRule="auto"/>
      </w:pPr>
    </w:p>
    <w:p w14:paraId="4E013C72" w14:textId="77777777" w:rsidR="00610023" w:rsidRDefault="00610023" w:rsidP="00610023">
      <w:pPr>
        <w:spacing w:line="276" w:lineRule="auto"/>
      </w:pPr>
      <w:r>
        <w:t>The next phase of the work was to undertake a statistical exploration of the shortlisted indicators in identifying positive deviants.  Given the size and scope of the project, and the overall aim of exploring the full, four-stage positive deviance approach across subsequent work, we were precluded from undertaking this analysis on all shortlisted indicators, and sought to narrow the candidates for analysis further.</w:t>
      </w:r>
    </w:p>
    <w:p w14:paraId="2078B09E" w14:textId="77777777" w:rsidR="00610023" w:rsidRDefault="00610023" w:rsidP="00610023">
      <w:pPr>
        <w:spacing w:line="276" w:lineRule="auto"/>
      </w:pPr>
    </w:p>
    <w:p w14:paraId="511C50A6" w14:textId="7B14024E" w:rsidR="00610023" w:rsidRDefault="00610023" w:rsidP="00610023">
      <w:pPr>
        <w:spacing w:line="276" w:lineRule="auto"/>
      </w:pPr>
      <w:r>
        <w:t xml:space="preserve">Four of the shortlisted indicators assessed quality and safety within a single service – elective hip and knee surgery - and reflected two key perspectives with both clinical outcomes (readmissions) and patient outcomes (PROMs). This </w:t>
      </w:r>
      <w:r>
        <w:lastRenderedPageBreak/>
        <w:t xml:space="preserve">composite suite of indicators was judged by the expert group to provide the most robust indication of quality and safety of a service, when compared with the other single indicators reaching this stage of the process.  Therefore, to continue our exploration of indicators for positive deviance, it </w:t>
      </w:r>
      <w:r w:rsidRPr="00745B40">
        <w:t>was agreed that 28-day emergency readmissions and patient-reported health-related quality of</w:t>
      </w:r>
      <w:r>
        <w:t xml:space="preserve"> life (HRQoL)</w:t>
      </w:r>
      <w:r w:rsidRPr="00745B40">
        <w:t xml:space="preserve"> as measured by the Oxford Hip and Knee Scores (OHS/OKS) at six months after elective </w:t>
      </w:r>
      <w:r w:rsidR="009C5559">
        <w:t xml:space="preserve">primary </w:t>
      </w:r>
      <w:r w:rsidRPr="00745B40">
        <w:t>hip or knee replacement surgery would be taken forward as the four outcomes of interest.</w:t>
      </w:r>
      <w:r>
        <w:t xml:space="preserve">  These two surgical procedures </w:t>
      </w:r>
      <w:r w:rsidRPr="00220DB3">
        <w:t>constitute a large part of elective inpatient activity in England, are recorded in routinely collected inpatient records using well-defined procedure codes, and are commonly performed by the same clinical teams in the same facilities.</w:t>
      </w:r>
      <w:r>
        <w:t xml:space="preserve">  Thus, the group </w:t>
      </w:r>
      <w:r w:rsidR="007B58F4">
        <w:t>was</w:t>
      </w:r>
      <w:r>
        <w:t xml:space="preserve"> confident that these four measures, of all of those available from the four stages of the indicator selection, provided the best chance of identifying positive deviance from our routinely collected, publicly available datasets.</w:t>
      </w:r>
    </w:p>
    <w:p w14:paraId="464ED36F" w14:textId="77777777" w:rsidR="00610023" w:rsidRDefault="00610023" w:rsidP="00610023">
      <w:pPr>
        <w:spacing w:line="276" w:lineRule="auto"/>
      </w:pPr>
    </w:p>
    <w:p w14:paraId="59122F13" w14:textId="77777777" w:rsidR="00610023" w:rsidRDefault="00610023" w:rsidP="00610023">
      <w:pPr>
        <w:spacing w:line="276" w:lineRule="auto"/>
      </w:pPr>
      <w:r>
        <w:t xml:space="preserve">Based on the selected indicators, we examined data from </w:t>
      </w:r>
      <w:r w:rsidR="001C7C91">
        <w:t>146</w:t>
      </w:r>
      <w:r w:rsidR="006C3EC9">
        <w:t>,</w:t>
      </w:r>
      <w:r w:rsidR="001C7C91">
        <w:t>346</w:t>
      </w:r>
      <w:r>
        <w:t xml:space="preserve"> </w:t>
      </w:r>
      <w:r w:rsidRPr="006634B3">
        <w:t xml:space="preserve">elective </w:t>
      </w:r>
      <w:r>
        <w:t xml:space="preserve">primary hip replacements and </w:t>
      </w:r>
      <w:r w:rsidR="001C7C91">
        <w:t>163</w:t>
      </w:r>
      <w:r w:rsidR="006C3EC9">
        <w:t>,</w:t>
      </w:r>
      <w:r w:rsidR="001C7C91">
        <w:t>5</w:t>
      </w:r>
      <w:r w:rsidR="006C3EC9">
        <w:t>5</w:t>
      </w:r>
      <w:r w:rsidR="001C7C91">
        <w:t>8</w:t>
      </w:r>
      <w:r>
        <w:t xml:space="preserve"> knee replacements </w:t>
      </w:r>
      <w:r w:rsidRPr="006634B3">
        <w:t xml:space="preserve">in </w:t>
      </w:r>
      <w:r w:rsidR="006C3EC9">
        <w:t>146</w:t>
      </w:r>
      <w:r>
        <w:t xml:space="preserve"> </w:t>
      </w:r>
      <w:r w:rsidRPr="006634B3">
        <w:t>English NHS hospital</w:t>
      </w:r>
      <w:r w:rsidR="006C3EC9">
        <w:t xml:space="preserve"> trusts</w:t>
      </w:r>
      <w:r>
        <w:t>, of which 14 were based in the Yorkshire &amp; Humber region</w:t>
      </w:r>
      <w:r w:rsidRPr="006634B3">
        <w:t xml:space="preserve">. </w:t>
      </w:r>
      <w:r>
        <w:t>In addition to the risk factors described in the methods section, the analyses of post-operative Oxford Scores also adjusted for pre-operative HRQoL.</w:t>
      </w:r>
    </w:p>
    <w:p w14:paraId="29A4DF5E" w14:textId="77777777" w:rsidR="00610023" w:rsidRDefault="00610023" w:rsidP="00610023">
      <w:pPr>
        <w:spacing w:line="276" w:lineRule="auto"/>
      </w:pPr>
    </w:p>
    <w:p w14:paraId="1BD8B13B" w14:textId="14DE496A" w:rsidR="000A4C92" w:rsidRDefault="000A4C92" w:rsidP="000A4C92">
      <w:pPr>
        <w:spacing w:line="276" w:lineRule="auto"/>
      </w:pPr>
      <w:r>
        <w:t>The results of these analyses are presented in Table 3. We adopted a purposeful sampling approach that involved comparing units/services according to their performance on each indicator against the benchmark and calculating the probability that they exceeded it. We then selected two services located in the Yorkshire &amp; Humber region to facilitate future progression to later qualitative exploration stages of the positive deviant approach: one that appeared to perform exceptionally well against the benchmark on each of the four indicators with high probability (positive deviant</w:t>
      </w:r>
      <w:r w:rsidR="00F50730">
        <w:t xml:space="preserve">; </w:t>
      </w:r>
      <w:r>
        <w:t>provider C), and one, for comparative purposes, that appeared to be unexceptional, but within the top end of the range (provider E). The qualitative exploration of identified services is not presented here, but will be the subject of future publications.</w:t>
      </w:r>
    </w:p>
    <w:p w14:paraId="6313DCED" w14:textId="77777777" w:rsidR="000A4C92" w:rsidRDefault="000A4C92" w:rsidP="000A4C92">
      <w:pPr>
        <w:spacing w:line="276" w:lineRule="auto"/>
      </w:pPr>
    </w:p>
    <w:p w14:paraId="0C0F6EA8" w14:textId="77777777" w:rsidR="000A4C92" w:rsidRDefault="000A4C92" w:rsidP="000A4C92">
      <w:pPr>
        <w:spacing w:line="276" w:lineRule="auto"/>
      </w:pPr>
      <w:r>
        <w:t xml:space="preserve">Figure 3 shows the performance of all hospitals in the region on each of the four indicators (expressed as percentage deviations from the benchmark), where the selected hospitals C and E are highlighted in dark colour. </w:t>
      </w:r>
    </w:p>
    <w:p w14:paraId="4714CE7D" w14:textId="77777777" w:rsidR="000A4C92" w:rsidRDefault="000A4C92" w:rsidP="000A4C92">
      <w:pPr>
        <w:spacing w:line="276" w:lineRule="auto"/>
      </w:pPr>
    </w:p>
    <w:p w14:paraId="044278BE" w14:textId="77777777" w:rsidR="000A4C92" w:rsidRDefault="000A4C92" w:rsidP="000A4C92">
      <w:pPr>
        <w:spacing w:line="276" w:lineRule="auto"/>
      </w:pPr>
      <w:r>
        <w:t xml:space="preserve">A number of sensitivity analyses were performed to explore other explanations of relative performance. For example, we compared the proportion of patients at each hospital that bypassed their local provider to attend this hospital since such behaviour has been linked to unobserved severity.[25] There were concerns that some services may have been treating a more complex mix of patients (perhaps because local private providers might have been attracting less complex </w:t>
      </w:r>
      <w:r>
        <w:lastRenderedPageBreak/>
        <w:t>patients), so we examined the distribution of each providers case-mix on the basis of histograms of the linear predictors for each hospital (based on the readmission analysis). We examined hospitals’ PROM survey response rates to assess the potential for reporting bias, and the proportions of patients readmitted to a different provider to the original hospital to capture differences in readmission thresholds. The two selected providers do not stand out from the other providers in Yorkshire &amp; Humber in these analyses.</w:t>
      </w:r>
    </w:p>
    <w:p w14:paraId="2F036CA0" w14:textId="77777777" w:rsidR="00610023" w:rsidRDefault="00610023" w:rsidP="00610023">
      <w:pPr>
        <w:pStyle w:val="Caption"/>
        <w:rPr>
          <w:i w:val="0"/>
          <w:color w:val="auto"/>
          <w:sz w:val="24"/>
          <w:szCs w:val="24"/>
          <w:u w:val="single"/>
        </w:rPr>
      </w:pPr>
      <w:bookmarkStart w:id="1" w:name="_Ref465437856"/>
    </w:p>
    <w:p w14:paraId="316B0BB2" w14:textId="77777777" w:rsidR="00610023" w:rsidRPr="00A634A7" w:rsidRDefault="00610023" w:rsidP="00610023">
      <w:pPr>
        <w:pStyle w:val="Caption"/>
        <w:rPr>
          <w:i w:val="0"/>
          <w:color w:val="auto"/>
          <w:sz w:val="24"/>
          <w:szCs w:val="24"/>
          <w:u w:val="single"/>
        </w:rPr>
      </w:pPr>
      <w:r w:rsidRPr="00C0723D">
        <w:rPr>
          <w:i w:val="0"/>
          <w:color w:val="auto"/>
          <w:sz w:val="24"/>
          <w:szCs w:val="24"/>
          <w:u w:val="single"/>
        </w:rPr>
        <w:t xml:space="preserve">Figure </w:t>
      </w:r>
      <w:bookmarkEnd w:id="1"/>
      <w:r>
        <w:rPr>
          <w:i w:val="0"/>
          <w:color w:val="auto"/>
          <w:sz w:val="24"/>
          <w:szCs w:val="24"/>
          <w:u w:val="single"/>
        </w:rPr>
        <w:t>3</w:t>
      </w:r>
      <w:r w:rsidRPr="00C0723D">
        <w:rPr>
          <w:i w:val="0"/>
          <w:color w:val="auto"/>
          <w:sz w:val="24"/>
          <w:szCs w:val="24"/>
          <w:u w:val="single"/>
        </w:rPr>
        <w:t>: Performance of</w:t>
      </w:r>
      <w:r>
        <w:rPr>
          <w:i w:val="0"/>
          <w:color w:val="auto"/>
          <w:sz w:val="24"/>
          <w:szCs w:val="24"/>
          <w:u w:val="single"/>
        </w:rPr>
        <w:t xml:space="preserve"> hip and knee services</w:t>
      </w:r>
      <w:r w:rsidRPr="00C0723D">
        <w:rPr>
          <w:i w:val="0"/>
          <w:color w:val="auto"/>
          <w:sz w:val="24"/>
          <w:szCs w:val="24"/>
          <w:u w:val="single"/>
        </w:rPr>
        <w:t xml:space="preserve"> in Yorkshire &amp; Humber relative to national average (benchmark), expressed as percentage deviation (</w:t>
      </w:r>
      <w:r w:rsidRPr="00C0723D">
        <w:rPr>
          <w:i w:val="0"/>
          <w:noProof/>
          <w:color w:val="auto"/>
          <w:sz w:val="24"/>
          <w:szCs w:val="24"/>
          <w:u w:val="single"/>
        </w:rPr>
        <w:t>post-op HRQoL in squared brackets).</w:t>
      </w:r>
    </w:p>
    <w:p w14:paraId="5C48DD0A" w14:textId="77777777" w:rsidR="00610023" w:rsidRDefault="00D9157D" w:rsidP="009F1CD8">
      <w:pPr>
        <w:keepNext/>
        <w:spacing w:line="276" w:lineRule="auto"/>
        <w:ind w:hanging="851"/>
      </w:pPr>
      <w:r>
        <w:rPr>
          <w:noProof/>
          <w:lang w:val="en-US"/>
        </w:rPr>
        <w:drawing>
          <wp:inline distT="0" distB="0" distL="0" distR="0" wp14:anchorId="65F447CB" wp14:editId="25AD002A">
            <wp:extent cx="6487795" cy="4716263"/>
            <wp:effectExtent l="0" t="0" r="0" b="8255"/>
            <wp:docPr id="2" name="Picture 2" descr="Z:\CLAHRC\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LAHRC\figure3.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488530" cy="4716798"/>
                    </a:xfrm>
                    <a:prstGeom prst="rect">
                      <a:avLst/>
                    </a:prstGeom>
                    <a:noFill/>
                    <a:ln>
                      <a:noFill/>
                    </a:ln>
                  </pic:spPr>
                </pic:pic>
              </a:graphicData>
            </a:graphic>
          </wp:inline>
        </w:drawing>
      </w:r>
    </w:p>
    <w:p w14:paraId="7254A7DD" w14:textId="77777777" w:rsidR="00610023" w:rsidRDefault="00610023" w:rsidP="00610023">
      <w:pPr>
        <w:spacing w:line="276" w:lineRule="auto"/>
      </w:pPr>
    </w:p>
    <w:p w14:paraId="34B8C452" w14:textId="77777777" w:rsidR="00A522E8" w:rsidRDefault="00A522E8" w:rsidP="00610023">
      <w:pPr>
        <w:rPr>
          <w:b/>
        </w:rPr>
        <w:sectPr w:rsidR="00A522E8" w:rsidSect="006C3EC9">
          <w:pgSz w:w="11900" w:h="16840"/>
          <w:pgMar w:top="1440" w:right="1797" w:bottom="1440" w:left="1797" w:header="709" w:footer="709" w:gutter="0"/>
          <w:cols w:space="708"/>
          <w:docGrid w:linePitch="360"/>
        </w:sectPr>
      </w:pPr>
    </w:p>
    <w:p w14:paraId="2F503B28" w14:textId="77777777" w:rsidR="00A522E8" w:rsidRDefault="00A522E8" w:rsidP="004D6358">
      <w:pPr>
        <w:spacing w:line="276" w:lineRule="auto"/>
        <w:outlineLvl w:val="0"/>
        <w:rPr>
          <w:b/>
          <w:lang w:val="en-US"/>
        </w:rPr>
      </w:pPr>
      <w:r w:rsidRPr="00A522E8">
        <w:rPr>
          <w:b/>
          <w:lang w:val="en-US"/>
        </w:rPr>
        <w:lastRenderedPageBreak/>
        <w:t>Table 3: Performance metrics and results of sensitivity analyses for all hospitals in Yorkshire &amp; Humber</w:t>
      </w:r>
    </w:p>
    <w:p w14:paraId="33FA3E4E" w14:textId="77777777" w:rsidR="00A522E8" w:rsidRPr="00A522E8" w:rsidRDefault="00A522E8" w:rsidP="00A522E8">
      <w:pPr>
        <w:spacing w:line="276" w:lineRule="auto"/>
        <w:rPr>
          <w:b/>
          <w:lang w:val="en-US"/>
        </w:rPr>
      </w:pPr>
    </w:p>
    <w:tbl>
      <w:tblPr>
        <w:tblW w:w="14120" w:type="dxa"/>
        <w:tblLayout w:type="fixed"/>
        <w:tblLook w:val="04A0" w:firstRow="1" w:lastRow="0" w:firstColumn="1" w:lastColumn="0" w:noHBand="0" w:noVBand="1"/>
      </w:tblPr>
      <w:tblGrid>
        <w:gridCol w:w="990"/>
        <w:gridCol w:w="1170"/>
        <w:gridCol w:w="1520"/>
        <w:gridCol w:w="40"/>
        <w:gridCol w:w="1100"/>
        <w:gridCol w:w="40"/>
        <w:gridCol w:w="1760"/>
        <w:gridCol w:w="40"/>
        <w:gridCol w:w="1020"/>
        <w:gridCol w:w="40"/>
        <w:gridCol w:w="1560"/>
        <w:gridCol w:w="40"/>
        <w:gridCol w:w="1560"/>
        <w:gridCol w:w="40"/>
        <w:gridCol w:w="1560"/>
        <w:gridCol w:w="40"/>
        <w:gridCol w:w="1560"/>
        <w:gridCol w:w="40"/>
      </w:tblGrid>
      <w:tr w:rsidR="00A522E8" w:rsidRPr="00A522E8" w14:paraId="06D191B2" w14:textId="77777777" w:rsidTr="00A522E8">
        <w:trPr>
          <w:trHeight w:val="20"/>
          <w:tblHeader/>
        </w:trPr>
        <w:tc>
          <w:tcPr>
            <w:tcW w:w="990" w:type="dxa"/>
            <w:tcBorders>
              <w:top w:val="single" w:sz="4" w:space="0" w:color="auto"/>
              <w:left w:val="nil"/>
              <w:bottom w:val="single" w:sz="4" w:space="0" w:color="auto"/>
              <w:right w:val="nil"/>
            </w:tcBorders>
            <w:shd w:val="clear" w:color="auto" w:fill="auto"/>
            <w:vAlign w:val="center"/>
            <w:hideMark/>
          </w:tcPr>
          <w:p w14:paraId="223508D6"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Provider</w:t>
            </w:r>
          </w:p>
        </w:tc>
        <w:tc>
          <w:tcPr>
            <w:tcW w:w="1170" w:type="dxa"/>
            <w:tcBorders>
              <w:top w:val="single" w:sz="4" w:space="0" w:color="auto"/>
              <w:left w:val="nil"/>
              <w:bottom w:val="single" w:sz="4" w:space="0" w:color="auto"/>
              <w:right w:val="nil"/>
            </w:tcBorders>
            <w:shd w:val="clear" w:color="auto" w:fill="auto"/>
            <w:vAlign w:val="center"/>
            <w:hideMark/>
          </w:tcPr>
          <w:p w14:paraId="67A0ACB1"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 xml:space="preserve">Number of </w:t>
            </w:r>
            <w:r>
              <w:rPr>
                <w:rFonts w:ascii="Calibri" w:eastAsia="Times New Roman" w:hAnsi="Calibri" w:cs="Times New Roman"/>
                <w:color w:val="000000"/>
                <w:sz w:val="21"/>
                <w:szCs w:val="22"/>
                <w:lang w:val="en-US"/>
              </w:rPr>
              <w:t>patients</w:t>
            </w:r>
          </w:p>
        </w:tc>
        <w:tc>
          <w:tcPr>
            <w:tcW w:w="1560" w:type="dxa"/>
            <w:gridSpan w:val="2"/>
            <w:tcBorders>
              <w:top w:val="single" w:sz="4" w:space="0" w:color="auto"/>
              <w:left w:val="nil"/>
              <w:bottom w:val="single" w:sz="4" w:space="0" w:color="auto"/>
              <w:right w:val="nil"/>
            </w:tcBorders>
            <w:shd w:val="clear" w:color="auto" w:fill="auto"/>
            <w:vAlign w:val="center"/>
            <w:hideMark/>
          </w:tcPr>
          <w:p w14:paraId="1A0DEFEC"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Post-operative PROM Score*</w:t>
            </w:r>
          </w:p>
        </w:tc>
        <w:tc>
          <w:tcPr>
            <w:tcW w:w="1140" w:type="dxa"/>
            <w:gridSpan w:val="2"/>
            <w:tcBorders>
              <w:top w:val="single" w:sz="4" w:space="0" w:color="auto"/>
              <w:left w:val="nil"/>
              <w:bottom w:val="single" w:sz="4" w:space="0" w:color="auto"/>
              <w:right w:val="nil"/>
            </w:tcBorders>
            <w:shd w:val="clear" w:color="auto" w:fill="auto"/>
            <w:vAlign w:val="center"/>
            <w:hideMark/>
          </w:tcPr>
          <w:p w14:paraId="23BA009C"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p-value</w:t>
            </w:r>
          </w:p>
        </w:tc>
        <w:tc>
          <w:tcPr>
            <w:tcW w:w="1800" w:type="dxa"/>
            <w:gridSpan w:val="2"/>
            <w:tcBorders>
              <w:top w:val="single" w:sz="4" w:space="0" w:color="auto"/>
              <w:left w:val="nil"/>
              <w:bottom w:val="single" w:sz="4" w:space="0" w:color="auto"/>
              <w:right w:val="nil"/>
            </w:tcBorders>
            <w:shd w:val="clear" w:color="auto" w:fill="auto"/>
            <w:vAlign w:val="center"/>
            <w:hideMark/>
          </w:tcPr>
          <w:p w14:paraId="31B62C47"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Probability of readmission*</w:t>
            </w:r>
          </w:p>
        </w:tc>
        <w:tc>
          <w:tcPr>
            <w:tcW w:w="1060" w:type="dxa"/>
            <w:gridSpan w:val="2"/>
            <w:tcBorders>
              <w:top w:val="single" w:sz="4" w:space="0" w:color="auto"/>
              <w:left w:val="nil"/>
              <w:bottom w:val="single" w:sz="4" w:space="0" w:color="auto"/>
              <w:right w:val="nil"/>
            </w:tcBorders>
            <w:shd w:val="clear" w:color="auto" w:fill="auto"/>
            <w:vAlign w:val="center"/>
            <w:hideMark/>
          </w:tcPr>
          <w:p w14:paraId="34CD5DD6"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p-value</w:t>
            </w:r>
          </w:p>
        </w:tc>
        <w:tc>
          <w:tcPr>
            <w:tcW w:w="1600" w:type="dxa"/>
            <w:gridSpan w:val="2"/>
            <w:tcBorders>
              <w:top w:val="single" w:sz="4" w:space="0" w:color="auto"/>
              <w:left w:val="nil"/>
              <w:bottom w:val="single" w:sz="4" w:space="0" w:color="auto"/>
              <w:right w:val="nil"/>
            </w:tcBorders>
            <w:shd w:val="clear" w:color="auto" w:fill="auto"/>
            <w:vAlign w:val="center"/>
            <w:hideMark/>
          </w:tcPr>
          <w:p w14:paraId="45959D81"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Probability of bypassing</w:t>
            </w:r>
          </w:p>
        </w:tc>
        <w:tc>
          <w:tcPr>
            <w:tcW w:w="1600" w:type="dxa"/>
            <w:gridSpan w:val="2"/>
            <w:tcBorders>
              <w:top w:val="single" w:sz="4" w:space="0" w:color="auto"/>
              <w:left w:val="nil"/>
              <w:bottom w:val="single" w:sz="4" w:space="0" w:color="auto"/>
              <w:right w:val="nil"/>
            </w:tcBorders>
            <w:shd w:val="clear" w:color="auto" w:fill="auto"/>
            <w:vAlign w:val="center"/>
            <w:hideMark/>
          </w:tcPr>
          <w:p w14:paraId="17C831A3"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Predicted risk of readmission</w:t>
            </w:r>
          </w:p>
        </w:tc>
        <w:tc>
          <w:tcPr>
            <w:tcW w:w="1600" w:type="dxa"/>
            <w:gridSpan w:val="2"/>
            <w:tcBorders>
              <w:top w:val="single" w:sz="4" w:space="0" w:color="auto"/>
              <w:left w:val="nil"/>
              <w:bottom w:val="single" w:sz="4" w:space="0" w:color="auto"/>
              <w:right w:val="nil"/>
            </w:tcBorders>
            <w:shd w:val="clear" w:color="auto" w:fill="auto"/>
            <w:vAlign w:val="center"/>
            <w:hideMark/>
          </w:tcPr>
          <w:p w14:paraId="7624F089"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PROM participation</w:t>
            </w:r>
          </w:p>
        </w:tc>
        <w:tc>
          <w:tcPr>
            <w:tcW w:w="1600" w:type="dxa"/>
            <w:gridSpan w:val="2"/>
            <w:tcBorders>
              <w:top w:val="single" w:sz="4" w:space="0" w:color="auto"/>
              <w:left w:val="nil"/>
              <w:bottom w:val="single" w:sz="4" w:space="0" w:color="auto"/>
              <w:right w:val="nil"/>
            </w:tcBorders>
            <w:shd w:val="clear" w:color="auto" w:fill="auto"/>
            <w:vAlign w:val="center"/>
            <w:hideMark/>
          </w:tcPr>
          <w:p w14:paraId="022CAC10" w14:textId="77777777" w:rsidR="00A522E8" w:rsidRPr="00A522E8" w:rsidRDefault="00A522E8" w:rsidP="00A522E8">
            <w:pPr>
              <w:jc w:val="cente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Probability of readmission elsewhere</w:t>
            </w:r>
          </w:p>
        </w:tc>
      </w:tr>
      <w:tr w:rsidR="00A522E8" w:rsidRPr="00A522E8" w14:paraId="14C9537F" w14:textId="77777777" w:rsidTr="00A522E8">
        <w:trPr>
          <w:gridAfter w:val="1"/>
          <w:wAfter w:w="40" w:type="dxa"/>
          <w:trHeight w:val="20"/>
        </w:trPr>
        <w:tc>
          <w:tcPr>
            <w:tcW w:w="3680" w:type="dxa"/>
            <w:gridSpan w:val="3"/>
            <w:tcBorders>
              <w:top w:val="nil"/>
              <w:left w:val="nil"/>
              <w:bottom w:val="nil"/>
              <w:right w:val="nil"/>
            </w:tcBorders>
            <w:shd w:val="clear" w:color="auto" w:fill="auto"/>
            <w:noWrap/>
            <w:vAlign w:val="center"/>
            <w:hideMark/>
          </w:tcPr>
          <w:p w14:paraId="30CF0FC4" w14:textId="77777777" w:rsidR="00A522E8" w:rsidRPr="00A522E8" w:rsidRDefault="00A522E8" w:rsidP="00A522E8">
            <w:pPr>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Total hip replacement (THR)</w:t>
            </w:r>
          </w:p>
        </w:tc>
        <w:tc>
          <w:tcPr>
            <w:tcW w:w="1140" w:type="dxa"/>
            <w:gridSpan w:val="2"/>
            <w:tcBorders>
              <w:top w:val="nil"/>
              <w:left w:val="nil"/>
              <w:bottom w:val="nil"/>
              <w:right w:val="nil"/>
            </w:tcBorders>
            <w:shd w:val="clear" w:color="auto" w:fill="auto"/>
            <w:vAlign w:val="center"/>
            <w:hideMark/>
          </w:tcPr>
          <w:p w14:paraId="129CA238" w14:textId="77777777" w:rsidR="00A522E8" w:rsidRPr="00A522E8" w:rsidRDefault="00A522E8" w:rsidP="00A522E8">
            <w:pPr>
              <w:rPr>
                <w:rFonts w:ascii="Calibri" w:eastAsia="Times New Roman" w:hAnsi="Calibri" w:cs="Times New Roman"/>
                <w:i/>
                <w:iCs/>
                <w:color w:val="000000"/>
                <w:sz w:val="21"/>
                <w:szCs w:val="22"/>
                <w:lang w:val="en-US"/>
              </w:rPr>
            </w:pPr>
          </w:p>
        </w:tc>
        <w:tc>
          <w:tcPr>
            <w:tcW w:w="1800" w:type="dxa"/>
            <w:gridSpan w:val="2"/>
            <w:tcBorders>
              <w:top w:val="nil"/>
              <w:left w:val="nil"/>
              <w:bottom w:val="nil"/>
              <w:right w:val="nil"/>
            </w:tcBorders>
            <w:shd w:val="clear" w:color="auto" w:fill="auto"/>
            <w:vAlign w:val="center"/>
            <w:hideMark/>
          </w:tcPr>
          <w:p w14:paraId="1E0808A3"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060" w:type="dxa"/>
            <w:gridSpan w:val="2"/>
            <w:tcBorders>
              <w:top w:val="nil"/>
              <w:left w:val="nil"/>
              <w:bottom w:val="nil"/>
              <w:right w:val="nil"/>
            </w:tcBorders>
            <w:shd w:val="clear" w:color="auto" w:fill="auto"/>
            <w:vAlign w:val="center"/>
            <w:hideMark/>
          </w:tcPr>
          <w:p w14:paraId="35401F95"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78086876"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759C6A71"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0CAC651E"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4CAFF14F" w14:textId="77777777" w:rsidR="00A522E8" w:rsidRPr="00A522E8" w:rsidRDefault="00A522E8" w:rsidP="00A522E8">
            <w:pPr>
              <w:jc w:val="center"/>
              <w:rPr>
                <w:rFonts w:ascii="Times New Roman" w:eastAsia="Times New Roman" w:hAnsi="Times New Roman" w:cs="Times New Roman"/>
                <w:sz w:val="21"/>
                <w:szCs w:val="20"/>
                <w:lang w:val="en-US"/>
              </w:rPr>
            </w:pPr>
          </w:p>
        </w:tc>
      </w:tr>
      <w:tr w:rsidR="00A522E8" w:rsidRPr="00A522E8" w14:paraId="6BD4A841" w14:textId="77777777" w:rsidTr="00A522E8">
        <w:trPr>
          <w:trHeight w:val="20"/>
        </w:trPr>
        <w:tc>
          <w:tcPr>
            <w:tcW w:w="990" w:type="dxa"/>
            <w:tcBorders>
              <w:top w:val="nil"/>
              <w:left w:val="nil"/>
              <w:bottom w:val="nil"/>
              <w:right w:val="nil"/>
            </w:tcBorders>
            <w:shd w:val="clear" w:color="auto" w:fill="auto"/>
            <w:noWrap/>
            <w:vAlign w:val="bottom"/>
            <w:hideMark/>
          </w:tcPr>
          <w:p w14:paraId="0A94E2EA"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A</w:t>
            </w:r>
          </w:p>
        </w:tc>
        <w:tc>
          <w:tcPr>
            <w:tcW w:w="1170" w:type="dxa"/>
            <w:tcBorders>
              <w:top w:val="nil"/>
              <w:left w:val="nil"/>
              <w:bottom w:val="nil"/>
              <w:right w:val="nil"/>
            </w:tcBorders>
            <w:shd w:val="clear" w:color="auto" w:fill="auto"/>
            <w:noWrap/>
            <w:vAlign w:val="bottom"/>
            <w:hideMark/>
          </w:tcPr>
          <w:p w14:paraId="0CD1F23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735</w:t>
            </w:r>
          </w:p>
        </w:tc>
        <w:tc>
          <w:tcPr>
            <w:tcW w:w="1560" w:type="dxa"/>
            <w:gridSpan w:val="2"/>
            <w:tcBorders>
              <w:top w:val="nil"/>
              <w:left w:val="nil"/>
              <w:bottom w:val="nil"/>
              <w:right w:val="nil"/>
            </w:tcBorders>
            <w:shd w:val="clear" w:color="auto" w:fill="auto"/>
            <w:noWrap/>
            <w:vAlign w:val="bottom"/>
            <w:hideMark/>
          </w:tcPr>
          <w:p w14:paraId="6D450AB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37.5</w:t>
            </w:r>
          </w:p>
        </w:tc>
        <w:tc>
          <w:tcPr>
            <w:tcW w:w="1140" w:type="dxa"/>
            <w:gridSpan w:val="2"/>
            <w:tcBorders>
              <w:top w:val="nil"/>
              <w:left w:val="nil"/>
              <w:bottom w:val="nil"/>
              <w:right w:val="nil"/>
            </w:tcBorders>
            <w:shd w:val="clear" w:color="auto" w:fill="auto"/>
            <w:noWrap/>
            <w:vAlign w:val="bottom"/>
            <w:hideMark/>
          </w:tcPr>
          <w:p w14:paraId="0CB8917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70.0%</w:t>
            </w:r>
          </w:p>
        </w:tc>
        <w:tc>
          <w:tcPr>
            <w:tcW w:w="1800" w:type="dxa"/>
            <w:gridSpan w:val="2"/>
            <w:tcBorders>
              <w:top w:val="nil"/>
              <w:left w:val="nil"/>
              <w:bottom w:val="nil"/>
              <w:right w:val="nil"/>
            </w:tcBorders>
            <w:shd w:val="clear" w:color="auto" w:fill="auto"/>
            <w:noWrap/>
            <w:vAlign w:val="bottom"/>
            <w:hideMark/>
          </w:tcPr>
          <w:p w14:paraId="1FB1D95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6.0%</w:t>
            </w:r>
          </w:p>
        </w:tc>
        <w:tc>
          <w:tcPr>
            <w:tcW w:w="1060" w:type="dxa"/>
            <w:gridSpan w:val="2"/>
            <w:tcBorders>
              <w:top w:val="nil"/>
              <w:left w:val="nil"/>
              <w:bottom w:val="nil"/>
              <w:right w:val="nil"/>
            </w:tcBorders>
            <w:shd w:val="clear" w:color="auto" w:fill="auto"/>
            <w:noWrap/>
            <w:vAlign w:val="bottom"/>
            <w:hideMark/>
          </w:tcPr>
          <w:p w14:paraId="04EC17F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14.3%</w:t>
            </w:r>
          </w:p>
        </w:tc>
        <w:tc>
          <w:tcPr>
            <w:tcW w:w="1600" w:type="dxa"/>
            <w:gridSpan w:val="2"/>
            <w:tcBorders>
              <w:top w:val="nil"/>
              <w:left w:val="nil"/>
              <w:bottom w:val="nil"/>
              <w:right w:val="nil"/>
            </w:tcBorders>
            <w:shd w:val="clear" w:color="auto" w:fill="auto"/>
            <w:noWrap/>
            <w:vAlign w:val="bottom"/>
            <w:hideMark/>
          </w:tcPr>
          <w:p w14:paraId="7060BA3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10%</w:t>
            </w:r>
          </w:p>
        </w:tc>
        <w:tc>
          <w:tcPr>
            <w:tcW w:w="1600" w:type="dxa"/>
            <w:gridSpan w:val="2"/>
            <w:tcBorders>
              <w:top w:val="nil"/>
              <w:left w:val="nil"/>
              <w:bottom w:val="nil"/>
              <w:right w:val="nil"/>
            </w:tcBorders>
            <w:shd w:val="clear" w:color="auto" w:fill="auto"/>
            <w:noWrap/>
            <w:vAlign w:val="bottom"/>
            <w:hideMark/>
          </w:tcPr>
          <w:p w14:paraId="49D3EAF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5.8%</w:t>
            </w:r>
          </w:p>
        </w:tc>
        <w:tc>
          <w:tcPr>
            <w:tcW w:w="1600" w:type="dxa"/>
            <w:gridSpan w:val="2"/>
            <w:tcBorders>
              <w:top w:val="nil"/>
              <w:left w:val="nil"/>
              <w:bottom w:val="nil"/>
              <w:right w:val="nil"/>
            </w:tcBorders>
            <w:shd w:val="clear" w:color="auto" w:fill="auto"/>
            <w:noWrap/>
            <w:vAlign w:val="bottom"/>
            <w:hideMark/>
          </w:tcPr>
          <w:p w14:paraId="61EA585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54%</w:t>
            </w:r>
          </w:p>
        </w:tc>
        <w:tc>
          <w:tcPr>
            <w:tcW w:w="1600" w:type="dxa"/>
            <w:gridSpan w:val="2"/>
            <w:tcBorders>
              <w:top w:val="nil"/>
              <w:left w:val="nil"/>
              <w:bottom w:val="nil"/>
              <w:right w:val="nil"/>
            </w:tcBorders>
            <w:shd w:val="clear" w:color="auto" w:fill="auto"/>
            <w:noWrap/>
            <w:vAlign w:val="bottom"/>
            <w:hideMark/>
          </w:tcPr>
          <w:p w14:paraId="764C653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17.3%</w:t>
            </w:r>
          </w:p>
        </w:tc>
      </w:tr>
      <w:tr w:rsidR="00A522E8" w:rsidRPr="00A522E8" w14:paraId="666F2D47" w14:textId="77777777" w:rsidTr="00A522E8">
        <w:trPr>
          <w:trHeight w:val="20"/>
        </w:trPr>
        <w:tc>
          <w:tcPr>
            <w:tcW w:w="990" w:type="dxa"/>
            <w:tcBorders>
              <w:top w:val="nil"/>
              <w:left w:val="nil"/>
              <w:bottom w:val="nil"/>
              <w:right w:val="nil"/>
            </w:tcBorders>
            <w:shd w:val="clear" w:color="auto" w:fill="auto"/>
            <w:noWrap/>
            <w:vAlign w:val="bottom"/>
            <w:hideMark/>
          </w:tcPr>
          <w:p w14:paraId="5847B063"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B</w:t>
            </w:r>
          </w:p>
        </w:tc>
        <w:tc>
          <w:tcPr>
            <w:tcW w:w="1170" w:type="dxa"/>
            <w:tcBorders>
              <w:top w:val="nil"/>
              <w:left w:val="nil"/>
              <w:bottom w:val="nil"/>
              <w:right w:val="nil"/>
            </w:tcBorders>
            <w:shd w:val="clear" w:color="auto" w:fill="auto"/>
            <w:noWrap/>
            <w:vAlign w:val="bottom"/>
            <w:hideMark/>
          </w:tcPr>
          <w:p w14:paraId="514699A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567</w:t>
            </w:r>
          </w:p>
        </w:tc>
        <w:tc>
          <w:tcPr>
            <w:tcW w:w="1560" w:type="dxa"/>
            <w:gridSpan w:val="2"/>
            <w:tcBorders>
              <w:top w:val="nil"/>
              <w:left w:val="nil"/>
              <w:bottom w:val="nil"/>
              <w:right w:val="nil"/>
            </w:tcBorders>
            <w:shd w:val="clear" w:color="auto" w:fill="auto"/>
            <w:noWrap/>
            <w:vAlign w:val="bottom"/>
            <w:hideMark/>
          </w:tcPr>
          <w:p w14:paraId="1C81BE1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38.2</w:t>
            </w:r>
          </w:p>
        </w:tc>
        <w:tc>
          <w:tcPr>
            <w:tcW w:w="1140" w:type="dxa"/>
            <w:gridSpan w:val="2"/>
            <w:tcBorders>
              <w:top w:val="nil"/>
              <w:left w:val="nil"/>
              <w:bottom w:val="nil"/>
              <w:right w:val="nil"/>
            </w:tcBorders>
            <w:shd w:val="clear" w:color="auto" w:fill="auto"/>
            <w:noWrap/>
            <w:vAlign w:val="bottom"/>
            <w:hideMark/>
          </w:tcPr>
          <w:p w14:paraId="3867309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27.5%</w:t>
            </w:r>
          </w:p>
        </w:tc>
        <w:tc>
          <w:tcPr>
            <w:tcW w:w="1800" w:type="dxa"/>
            <w:gridSpan w:val="2"/>
            <w:tcBorders>
              <w:top w:val="nil"/>
              <w:left w:val="nil"/>
              <w:bottom w:val="nil"/>
              <w:right w:val="nil"/>
            </w:tcBorders>
            <w:shd w:val="clear" w:color="auto" w:fill="auto"/>
            <w:noWrap/>
            <w:vAlign w:val="bottom"/>
            <w:hideMark/>
          </w:tcPr>
          <w:p w14:paraId="69BF99F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6.5%</w:t>
            </w:r>
          </w:p>
        </w:tc>
        <w:tc>
          <w:tcPr>
            <w:tcW w:w="1060" w:type="dxa"/>
            <w:gridSpan w:val="2"/>
            <w:tcBorders>
              <w:top w:val="nil"/>
              <w:left w:val="nil"/>
              <w:bottom w:val="nil"/>
              <w:right w:val="nil"/>
            </w:tcBorders>
            <w:shd w:val="clear" w:color="auto" w:fill="auto"/>
            <w:noWrap/>
            <w:vAlign w:val="bottom"/>
            <w:hideMark/>
          </w:tcPr>
          <w:p w14:paraId="7683AB9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6.9%</w:t>
            </w:r>
          </w:p>
        </w:tc>
        <w:tc>
          <w:tcPr>
            <w:tcW w:w="1600" w:type="dxa"/>
            <w:gridSpan w:val="2"/>
            <w:tcBorders>
              <w:top w:val="nil"/>
              <w:left w:val="nil"/>
              <w:bottom w:val="nil"/>
              <w:right w:val="nil"/>
            </w:tcBorders>
            <w:shd w:val="clear" w:color="auto" w:fill="auto"/>
            <w:noWrap/>
            <w:vAlign w:val="bottom"/>
            <w:hideMark/>
          </w:tcPr>
          <w:p w14:paraId="345BC06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17%</w:t>
            </w:r>
          </w:p>
        </w:tc>
        <w:tc>
          <w:tcPr>
            <w:tcW w:w="1600" w:type="dxa"/>
            <w:gridSpan w:val="2"/>
            <w:tcBorders>
              <w:top w:val="nil"/>
              <w:left w:val="nil"/>
              <w:bottom w:val="nil"/>
              <w:right w:val="nil"/>
            </w:tcBorders>
            <w:shd w:val="clear" w:color="auto" w:fill="auto"/>
            <w:noWrap/>
            <w:vAlign w:val="bottom"/>
            <w:hideMark/>
          </w:tcPr>
          <w:p w14:paraId="3EF076B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5.6%</w:t>
            </w:r>
          </w:p>
        </w:tc>
        <w:tc>
          <w:tcPr>
            <w:tcW w:w="1600" w:type="dxa"/>
            <w:gridSpan w:val="2"/>
            <w:tcBorders>
              <w:top w:val="nil"/>
              <w:left w:val="nil"/>
              <w:bottom w:val="nil"/>
              <w:right w:val="nil"/>
            </w:tcBorders>
            <w:shd w:val="clear" w:color="auto" w:fill="auto"/>
            <w:noWrap/>
            <w:vAlign w:val="bottom"/>
            <w:hideMark/>
          </w:tcPr>
          <w:p w14:paraId="2A06779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57%</w:t>
            </w:r>
          </w:p>
        </w:tc>
        <w:tc>
          <w:tcPr>
            <w:tcW w:w="1600" w:type="dxa"/>
            <w:gridSpan w:val="2"/>
            <w:tcBorders>
              <w:top w:val="nil"/>
              <w:left w:val="nil"/>
              <w:bottom w:val="nil"/>
              <w:right w:val="nil"/>
            </w:tcBorders>
            <w:shd w:val="clear" w:color="auto" w:fill="auto"/>
            <w:noWrap/>
            <w:vAlign w:val="bottom"/>
            <w:hideMark/>
          </w:tcPr>
          <w:p w14:paraId="5527798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2.3%</w:t>
            </w:r>
          </w:p>
        </w:tc>
      </w:tr>
      <w:tr w:rsidR="00A522E8" w:rsidRPr="00A522E8" w14:paraId="51D2289C" w14:textId="77777777" w:rsidTr="00A522E8">
        <w:trPr>
          <w:trHeight w:val="20"/>
        </w:trPr>
        <w:tc>
          <w:tcPr>
            <w:tcW w:w="990" w:type="dxa"/>
            <w:tcBorders>
              <w:top w:val="nil"/>
              <w:left w:val="nil"/>
              <w:bottom w:val="nil"/>
              <w:right w:val="nil"/>
            </w:tcBorders>
            <w:shd w:val="clear" w:color="auto" w:fill="auto"/>
            <w:noWrap/>
            <w:vAlign w:val="bottom"/>
            <w:hideMark/>
          </w:tcPr>
          <w:p w14:paraId="5228DDD3" w14:textId="77777777" w:rsidR="00A522E8" w:rsidRPr="00A522E8" w:rsidRDefault="00A522E8" w:rsidP="00A522E8">
            <w:pPr>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C</w:t>
            </w:r>
          </w:p>
        </w:tc>
        <w:tc>
          <w:tcPr>
            <w:tcW w:w="1170" w:type="dxa"/>
            <w:tcBorders>
              <w:top w:val="nil"/>
              <w:left w:val="nil"/>
              <w:bottom w:val="nil"/>
              <w:right w:val="nil"/>
            </w:tcBorders>
            <w:shd w:val="clear" w:color="auto" w:fill="auto"/>
            <w:noWrap/>
            <w:vAlign w:val="bottom"/>
            <w:hideMark/>
          </w:tcPr>
          <w:p w14:paraId="04D2CA1D"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791</w:t>
            </w:r>
          </w:p>
        </w:tc>
        <w:tc>
          <w:tcPr>
            <w:tcW w:w="1560" w:type="dxa"/>
            <w:gridSpan w:val="2"/>
            <w:tcBorders>
              <w:top w:val="nil"/>
              <w:left w:val="nil"/>
              <w:bottom w:val="nil"/>
              <w:right w:val="nil"/>
            </w:tcBorders>
            <w:shd w:val="clear" w:color="auto" w:fill="auto"/>
            <w:noWrap/>
            <w:vAlign w:val="bottom"/>
            <w:hideMark/>
          </w:tcPr>
          <w:p w14:paraId="25A06193"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40.0</w:t>
            </w:r>
          </w:p>
        </w:tc>
        <w:tc>
          <w:tcPr>
            <w:tcW w:w="1140" w:type="dxa"/>
            <w:gridSpan w:val="2"/>
            <w:tcBorders>
              <w:top w:val="nil"/>
              <w:left w:val="nil"/>
              <w:bottom w:val="nil"/>
              <w:right w:val="nil"/>
            </w:tcBorders>
            <w:shd w:val="clear" w:color="auto" w:fill="auto"/>
            <w:noWrap/>
            <w:vAlign w:val="bottom"/>
            <w:hideMark/>
          </w:tcPr>
          <w:p w14:paraId="14CC103C"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99.9%</w:t>
            </w:r>
          </w:p>
        </w:tc>
        <w:tc>
          <w:tcPr>
            <w:tcW w:w="1800" w:type="dxa"/>
            <w:gridSpan w:val="2"/>
            <w:tcBorders>
              <w:top w:val="nil"/>
              <w:left w:val="nil"/>
              <w:bottom w:val="nil"/>
              <w:right w:val="nil"/>
            </w:tcBorders>
            <w:shd w:val="clear" w:color="auto" w:fill="auto"/>
            <w:noWrap/>
            <w:vAlign w:val="bottom"/>
            <w:hideMark/>
          </w:tcPr>
          <w:p w14:paraId="73977A60"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3.3%</w:t>
            </w:r>
          </w:p>
        </w:tc>
        <w:tc>
          <w:tcPr>
            <w:tcW w:w="1060" w:type="dxa"/>
            <w:gridSpan w:val="2"/>
            <w:tcBorders>
              <w:top w:val="nil"/>
              <w:left w:val="nil"/>
              <w:bottom w:val="nil"/>
              <w:right w:val="nil"/>
            </w:tcBorders>
            <w:shd w:val="clear" w:color="auto" w:fill="auto"/>
            <w:noWrap/>
            <w:vAlign w:val="bottom"/>
            <w:hideMark/>
          </w:tcPr>
          <w:p w14:paraId="153EB801"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99.9%</w:t>
            </w:r>
          </w:p>
        </w:tc>
        <w:tc>
          <w:tcPr>
            <w:tcW w:w="1600" w:type="dxa"/>
            <w:gridSpan w:val="2"/>
            <w:tcBorders>
              <w:top w:val="nil"/>
              <w:left w:val="nil"/>
              <w:bottom w:val="nil"/>
              <w:right w:val="nil"/>
            </w:tcBorders>
            <w:shd w:val="clear" w:color="auto" w:fill="auto"/>
            <w:noWrap/>
            <w:vAlign w:val="bottom"/>
            <w:hideMark/>
          </w:tcPr>
          <w:p w14:paraId="2225AD0C"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12%</w:t>
            </w:r>
          </w:p>
        </w:tc>
        <w:tc>
          <w:tcPr>
            <w:tcW w:w="1600" w:type="dxa"/>
            <w:gridSpan w:val="2"/>
            <w:tcBorders>
              <w:top w:val="nil"/>
              <w:left w:val="nil"/>
              <w:bottom w:val="nil"/>
              <w:right w:val="nil"/>
            </w:tcBorders>
            <w:shd w:val="clear" w:color="auto" w:fill="auto"/>
            <w:noWrap/>
            <w:vAlign w:val="bottom"/>
            <w:hideMark/>
          </w:tcPr>
          <w:p w14:paraId="1A6C5F0F"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5.2%</w:t>
            </w:r>
          </w:p>
        </w:tc>
        <w:tc>
          <w:tcPr>
            <w:tcW w:w="1600" w:type="dxa"/>
            <w:gridSpan w:val="2"/>
            <w:tcBorders>
              <w:top w:val="nil"/>
              <w:left w:val="nil"/>
              <w:bottom w:val="nil"/>
              <w:right w:val="nil"/>
            </w:tcBorders>
            <w:shd w:val="clear" w:color="auto" w:fill="auto"/>
            <w:noWrap/>
            <w:vAlign w:val="bottom"/>
            <w:hideMark/>
          </w:tcPr>
          <w:p w14:paraId="4A8770AE"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45%</w:t>
            </w:r>
          </w:p>
        </w:tc>
        <w:tc>
          <w:tcPr>
            <w:tcW w:w="1600" w:type="dxa"/>
            <w:gridSpan w:val="2"/>
            <w:tcBorders>
              <w:top w:val="nil"/>
              <w:left w:val="nil"/>
              <w:bottom w:val="nil"/>
              <w:right w:val="nil"/>
            </w:tcBorders>
            <w:shd w:val="clear" w:color="auto" w:fill="auto"/>
            <w:noWrap/>
            <w:vAlign w:val="bottom"/>
            <w:hideMark/>
          </w:tcPr>
          <w:p w14:paraId="48FA9FD2"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5.6%</w:t>
            </w:r>
          </w:p>
        </w:tc>
      </w:tr>
      <w:tr w:rsidR="00A522E8" w:rsidRPr="00A522E8" w14:paraId="7023CA50" w14:textId="77777777" w:rsidTr="00A522E8">
        <w:trPr>
          <w:trHeight w:val="20"/>
        </w:trPr>
        <w:tc>
          <w:tcPr>
            <w:tcW w:w="990" w:type="dxa"/>
            <w:tcBorders>
              <w:top w:val="nil"/>
              <w:left w:val="nil"/>
              <w:bottom w:val="nil"/>
              <w:right w:val="nil"/>
            </w:tcBorders>
            <w:shd w:val="clear" w:color="auto" w:fill="auto"/>
            <w:noWrap/>
            <w:vAlign w:val="bottom"/>
            <w:hideMark/>
          </w:tcPr>
          <w:p w14:paraId="066CC30A"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D</w:t>
            </w:r>
          </w:p>
        </w:tc>
        <w:tc>
          <w:tcPr>
            <w:tcW w:w="1170" w:type="dxa"/>
            <w:tcBorders>
              <w:top w:val="nil"/>
              <w:left w:val="nil"/>
              <w:bottom w:val="nil"/>
              <w:right w:val="nil"/>
            </w:tcBorders>
            <w:shd w:val="clear" w:color="auto" w:fill="auto"/>
            <w:noWrap/>
            <w:vAlign w:val="bottom"/>
            <w:hideMark/>
          </w:tcPr>
          <w:p w14:paraId="15830C5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1,106</w:t>
            </w:r>
          </w:p>
        </w:tc>
        <w:tc>
          <w:tcPr>
            <w:tcW w:w="1560" w:type="dxa"/>
            <w:gridSpan w:val="2"/>
            <w:tcBorders>
              <w:top w:val="nil"/>
              <w:left w:val="nil"/>
              <w:bottom w:val="nil"/>
              <w:right w:val="nil"/>
            </w:tcBorders>
            <w:shd w:val="clear" w:color="auto" w:fill="auto"/>
            <w:noWrap/>
            <w:vAlign w:val="bottom"/>
            <w:hideMark/>
          </w:tcPr>
          <w:p w14:paraId="5F7DE1F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38.3</w:t>
            </w:r>
          </w:p>
        </w:tc>
        <w:tc>
          <w:tcPr>
            <w:tcW w:w="1140" w:type="dxa"/>
            <w:gridSpan w:val="2"/>
            <w:tcBorders>
              <w:top w:val="nil"/>
              <w:left w:val="nil"/>
              <w:bottom w:val="nil"/>
              <w:right w:val="nil"/>
            </w:tcBorders>
            <w:shd w:val="clear" w:color="auto" w:fill="auto"/>
            <w:noWrap/>
            <w:vAlign w:val="bottom"/>
            <w:hideMark/>
          </w:tcPr>
          <w:p w14:paraId="7B52919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33.8%</w:t>
            </w:r>
          </w:p>
        </w:tc>
        <w:tc>
          <w:tcPr>
            <w:tcW w:w="1800" w:type="dxa"/>
            <w:gridSpan w:val="2"/>
            <w:tcBorders>
              <w:top w:val="nil"/>
              <w:left w:val="nil"/>
              <w:bottom w:val="nil"/>
              <w:right w:val="nil"/>
            </w:tcBorders>
            <w:shd w:val="clear" w:color="auto" w:fill="auto"/>
            <w:noWrap/>
            <w:vAlign w:val="bottom"/>
            <w:hideMark/>
          </w:tcPr>
          <w:p w14:paraId="29A7B43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4.8%</w:t>
            </w:r>
          </w:p>
        </w:tc>
        <w:tc>
          <w:tcPr>
            <w:tcW w:w="1060" w:type="dxa"/>
            <w:gridSpan w:val="2"/>
            <w:tcBorders>
              <w:top w:val="nil"/>
              <w:left w:val="nil"/>
              <w:bottom w:val="nil"/>
              <w:right w:val="nil"/>
            </w:tcBorders>
            <w:shd w:val="clear" w:color="auto" w:fill="auto"/>
            <w:noWrap/>
            <w:vAlign w:val="bottom"/>
            <w:hideMark/>
          </w:tcPr>
          <w:p w14:paraId="21BA10C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72.4%</w:t>
            </w:r>
          </w:p>
        </w:tc>
        <w:tc>
          <w:tcPr>
            <w:tcW w:w="1600" w:type="dxa"/>
            <w:gridSpan w:val="2"/>
            <w:tcBorders>
              <w:top w:val="nil"/>
              <w:left w:val="nil"/>
              <w:bottom w:val="nil"/>
              <w:right w:val="nil"/>
            </w:tcBorders>
            <w:shd w:val="clear" w:color="auto" w:fill="auto"/>
            <w:noWrap/>
            <w:vAlign w:val="bottom"/>
            <w:hideMark/>
          </w:tcPr>
          <w:p w14:paraId="7A2277D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34%</w:t>
            </w:r>
          </w:p>
        </w:tc>
        <w:tc>
          <w:tcPr>
            <w:tcW w:w="1600" w:type="dxa"/>
            <w:gridSpan w:val="2"/>
            <w:tcBorders>
              <w:top w:val="nil"/>
              <w:left w:val="nil"/>
              <w:bottom w:val="nil"/>
              <w:right w:val="nil"/>
            </w:tcBorders>
            <w:shd w:val="clear" w:color="auto" w:fill="auto"/>
            <w:noWrap/>
            <w:vAlign w:val="bottom"/>
            <w:hideMark/>
          </w:tcPr>
          <w:p w14:paraId="175D1D6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5.0%</w:t>
            </w:r>
          </w:p>
        </w:tc>
        <w:tc>
          <w:tcPr>
            <w:tcW w:w="1600" w:type="dxa"/>
            <w:gridSpan w:val="2"/>
            <w:tcBorders>
              <w:top w:val="nil"/>
              <w:left w:val="nil"/>
              <w:bottom w:val="nil"/>
              <w:right w:val="nil"/>
            </w:tcBorders>
            <w:shd w:val="clear" w:color="auto" w:fill="auto"/>
            <w:noWrap/>
            <w:vAlign w:val="bottom"/>
            <w:hideMark/>
          </w:tcPr>
          <w:p w14:paraId="6A3D89E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63%</w:t>
            </w:r>
          </w:p>
        </w:tc>
        <w:tc>
          <w:tcPr>
            <w:tcW w:w="1600" w:type="dxa"/>
            <w:gridSpan w:val="2"/>
            <w:tcBorders>
              <w:top w:val="nil"/>
              <w:left w:val="nil"/>
              <w:bottom w:val="nil"/>
              <w:right w:val="nil"/>
            </w:tcBorders>
            <w:shd w:val="clear" w:color="auto" w:fill="auto"/>
            <w:noWrap/>
            <w:vAlign w:val="bottom"/>
            <w:hideMark/>
          </w:tcPr>
          <w:p w14:paraId="55DF3C9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24.5%</w:t>
            </w:r>
          </w:p>
        </w:tc>
      </w:tr>
      <w:tr w:rsidR="00A522E8" w:rsidRPr="00A522E8" w14:paraId="3E94D941" w14:textId="77777777" w:rsidTr="00A522E8">
        <w:trPr>
          <w:trHeight w:val="20"/>
        </w:trPr>
        <w:tc>
          <w:tcPr>
            <w:tcW w:w="990" w:type="dxa"/>
            <w:tcBorders>
              <w:top w:val="nil"/>
              <w:left w:val="nil"/>
              <w:bottom w:val="nil"/>
              <w:right w:val="nil"/>
            </w:tcBorders>
            <w:shd w:val="clear" w:color="auto" w:fill="auto"/>
            <w:noWrap/>
            <w:vAlign w:val="bottom"/>
            <w:hideMark/>
          </w:tcPr>
          <w:p w14:paraId="28154305" w14:textId="77777777" w:rsidR="00A522E8" w:rsidRPr="00A522E8" w:rsidRDefault="00A522E8" w:rsidP="00A522E8">
            <w:pPr>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E</w:t>
            </w:r>
          </w:p>
        </w:tc>
        <w:tc>
          <w:tcPr>
            <w:tcW w:w="1170" w:type="dxa"/>
            <w:tcBorders>
              <w:top w:val="nil"/>
              <w:left w:val="nil"/>
              <w:bottom w:val="nil"/>
              <w:right w:val="nil"/>
            </w:tcBorders>
            <w:shd w:val="clear" w:color="auto" w:fill="auto"/>
            <w:noWrap/>
            <w:vAlign w:val="bottom"/>
            <w:hideMark/>
          </w:tcPr>
          <w:p w14:paraId="52B8D648"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608</w:t>
            </w:r>
          </w:p>
        </w:tc>
        <w:tc>
          <w:tcPr>
            <w:tcW w:w="1560" w:type="dxa"/>
            <w:gridSpan w:val="2"/>
            <w:tcBorders>
              <w:top w:val="nil"/>
              <w:left w:val="nil"/>
              <w:bottom w:val="nil"/>
              <w:right w:val="nil"/>
            </w:tcBorders>
            <w:shd w:val="clear" w:color="auto" w:fill="auto"/>
            <w:noWrap/>
            <w:vAlign w:val="bottom"/>
            <w:hideMark/>
          </w:tcPr>
          <w:p w14:paraId="18015C3B"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39.0</w:t>
            </w:r>
          </w:p>
        </w:tc>
        <w:tc>
          <w:tcPr>
            <w:tcW w:w="1140" w:type="dxa"/>
            <w:gridSpan w:val="2"/>
            <w:tcBorders>
              <w:top w:val="nil"/>
              <w:left w:val="nil"/>
              <w:bottom w:val="nil"/>
              <w:right w:val="nil"/>
            </w:tcBorders>
            <w:shd w:val="clear" w:color="auto" w:fill="auto"/>
            <w:noWrap/>
            <w:vAlign w:val="bottom"/>
            <w:hideMark/>
          </w:tcPr>
          <w:p w14:paraId="073BEF45"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91.2%</w:t>
            </w:r>
          </w:p>
        </w:tc>
        <w:tc>
          <w:tcPr>
            <w:tcW w:w="1800" w:type="dxa"/>
            <w:gridSpan w:val="2"/>
            <w:tcBorders>
              <w:top w:val="nil"/>
              <w:left w:val="nil"/>
              <w:bottom w:val="nil"/>
              <w:right w:val="nil"/>
            </w:tcBorders>
            <w:shd w:val="clear" w:color="auto" w:fill="auto"/>
            <w:noWrap/>
            <w:vAlign w:val="bottom"/>
            <w:hideMark/>
          </w:tcPr>
          <w:p w14:paraId="2156E783"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5.5%</w:t>
            </w:r>
          </w:p>
        </w:tc>
        <w:tc>
          <w:tcPr>
            <w:tcW w:w="1060" w:type="dxa"/>
            <w:gridSpan w:val="2"/>
            <w:tcBorders>
              <w:top w:val="nil"/>
              <w:left w:val="nil"/>
              <w:bottom w:val="nil"/>
              <w:right w:val="nil"/>
            </w:tcBorders>
            <w:shd w:val="clear" w:color="auto" w:fill="auto"/>
            <w:noWrap/>
            <w:vAlign w:val="bottom"/>
            <w:hideMark/>
          </w:tcPr>
          <w:p w14:paraId="1DFC3DF8"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34.5%</w:t>
            </w:r>
          </w:p>
        </w:tc>
        <w:tc>
          <w:tcPr>
            <w:tcW w:w="1600" w:type="dxa"/>
            <w:gridSpan w:val="2"/>
            <w:tcBorders>
              <w:top w:val="nil"/>
              <w:left w:val="nil"/>
              <w:bottom w:val="nil"/>
              <w:right w:val="nil"/>
            </w:tcBorders>
            <w:shd w:val="clear" w:color="auto" w:fill="auto"/>
            <w:noWrap/>
            <w:vAlign w:val="bottom"/>
            <w:hideMark/>
          </w:tcPr>
          <w:p w14:paraId="70E22177"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15%</w:t>
            </w:r>
          </w:p>
        </w:tc>
        <w:tc>
          <w:tcPr>
            <w:tcW w:w="1600" w:type="dxa"/>
            <w:gridSpan w:val="2"/>
            <w:tcBorders>
              <w:top w:val="nil"/>
              <w:left w:val="nil"/>
              <w:bottom w:val="nil"/>
              <w:right w:val="nil"/>
            </w:tcBorders>
            <w:shd w:val="clear" w:color="auto" w:fill="auto"/>
            <w:noWrap/>
            <w:vAlign w:val="bottom"/>
            <w:hideMark/>
          </w:tcPr>
          <w:p w14:paraId="2E2AD249"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5.1%</w:t>
            </w:r>
          </w:p>
        </w:tc>
        <w:tc>
          <w:tcPr>
            <w:tcW w:w="1600" w:type="dxa"/>
            <w:gridSpan w:val="2"/>
            <w:tcBorders>
              <w:top w:val="nil"/>
              <w:left w:val="nil"/>
              <w:bottom w:val="nil"/>
              <w:right w:val="nil"/>
            </w:tcBorders>
            <w:shd w:val="clear" w:color="auto" w:fill="auto"/>
            <w:noWrap/>
            <w:vAlign w:val="bottom"/>
            <w:hideMark/>
          </w:tcPr>
          <w:p w14:paraId="3BD1FE55"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77%</w:t>
            </w:r>
          </w:p>
        </w:tc>
        <w:tc>
          <w:tcPr>
            <w:tcW w:w="1600" w:type="dxa"/>
            <w:gridSpan w:val="2"/>
            <w:tcBorders>
              <w:top w:val="nil"/>
              <w:left w:val="nil"/>
              <w:bottom w:val="nil"/>
              <w:right w:val="nil"/>
            </w:tcBorders>
            <w:shd w:val="clear" w:color="auto" w:fill="auto"/>
            <w:noWrap/>
            <w:vAlign w:val="bottom"/>
            <w:hideMark/>
          </w:tcPr>
          <w:p w14:paraId="0216C51F"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14.3%</w:t>
            </w:r>
          </w:p>
        </w:tc>
      </w:tr>
      <w:tr w:rsidR="00A522E8" w:rsidRPr="00A522E8" w14:paraId="17BB69BA" w14:textId="77777777" w:rsidTr="00A522E8">
        <w:trPr>
          <w:trHeight w:val="20"/>
        </w:trPr>
        <w:tc>
          <w:tcPr>
            <w:tcW w:w="990" w:type="dxa"/>
            <w:tcBorders>
              <w:top w:val="nil"/>
              <w:left w:val="nil"/>
              <w:bottom w:val="nil"/>
              <w:right w:val="nil"/>
            </w:tcBorders>
            <w:shd w:val="clear" w:color="auto" w:fill="auto"/>
            <w:noWrap/>
            <w:vAlign w:val="bottom"/>
            <w:hideMark/>
          </w:tcPr>
          <w:p w14:paraId="6F5F65C9"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F</w:t>
            </w:r>
          </w:p>
        </w:tc>
        <w:tc>
          <w:tcPr>
            <w:tcW w:w="1170" w:type="dxa"/>
            <w:tcBorders>
              <w:top w:val="nil"/>
              <w:left w:val="nil"/>
              <w:bottom w:val="nil"/>
              <w:right w:val="nil"/>
            </w:tcBorders>
            <w:shd w:val="clear" w:color="auto" w:fill="auto"/>
            <w:noWrap/>
            <w:vAlign w:val="bottom"/>
            <w:hideMark/>
          </w:tcPr>
          <w:p w14:paraId="39D0B25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490</w:t>
            </w:r>
          </w:p>
        </w:tc>
        <w:tc>
          <w:tcPr>
            <w:tcW w:w="1560" w:type="dxa"/>
            <w:gridSpan w:val="2"/>
            <w:tcBorders>
              <w:top w:val="nil"/>
              <w:left w:val="nil"/>
              <w:bottom w:val="nil"/>
              <w:right w:val="nil"/>
            </w:tcBorders>
            <w:shd w:val="clear" w:color="auto" w:fill="auto"/>
            <w:noWrap/>
            <w:vAlign w:val="bottom"/>
            <w:hideMark/>
          </w:tcPr>
          <w:p w14:paraId="1655FFF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36.6</w:t>
            </w:r>
          </w:p>
        </w:tc>
        <w:tc>
          <w:tcPr>
            <w:tcW w:w="1140" w:type="dxa"/>
            <w:gridSpan w:val="2"/>
            <w:tcBorders>
              <w:top w:val="nil"/>
              <w:left w:val="nil"/>
              <w:bottom w:val="nil"/>
              <w:right w:val="nil"/>
            </w:tcBorders>
            <w:shd w:val="clear" w:color="auto" w:fill="auto"/>
            <w:noWrap/>
            <w:vAlign w:val="bottom"/>
            <w:hideMark/>
          </w:tcPr>
          <w:p w14:paraId="7C4A144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0.0%</w:t>
            </w:r>
          </w:p>
        </w:tc>
        <w:tc>
          <w:tcPr>
            <w:tcW w:w="1800" w:type="dxa"/>
            <w:gridSpan w:val="2"/>
            <w:tcBorders>
              <w:top w:val="nil"/>
              <w:left w:val="nil"/>
              <w:bottom w:val="nil"/>
              <w:right w:val="nil"/>
            </w:tcBorders>
            <w:shd w:val="clear" w:color="auto" w:fill="auto"/>
            <w:noWrap/>
            <w:vAlign w:val="bottom"/>
            <w:hideMark/>
          </w:tcPr>
          <w:p w14:paraId="40F7D3C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6.1%</w:t>
            </w:r>
          </w:p>
        </w:tc>
        <w:tc>
          <w:tcPr>
            <w:tcW w:w="1060" w:type="dxa"/>
            <w:gridSpan w:val="2"/>
            <w:tcBorders>
              <w:top w:val="nil"/>
              <w:left w:val="nil"/>
              <w:bottom w:val="nil"/>
              <w:right w:val="nil"/>
            </w:tcBorders>
            <w:shd w:val="clear" w:color="auto" w:fill="auto"/>
            <w:noWrap/>
            <w:vAlign w:val="bottom"/>
            <w:hideMark/>
          </w:tcPr>
          <w:p w14:paraId="7E85901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16.4%</w:t>
            </w:r>
          </w:p>
        </w:tc>
        <w:tc>
          <w:tcPr>
            <w:tcW w:w="1600" w:type="dxa"/>
            <w:gridSpan w:val="2"/>
            <w:tcBorders>
              <w:top w:val="nil"/>
              <w:left w:val="nil"/>
              <w:bottom w:val="nil"/>
              <w:right w:val="nil"/>
            </w:tcBorders>
            <w:shd w:val="clear" w:color="auto" w:fill="auto"/>
            <w:noWrap/>
            <w:vAlign w:val="bottom"/>
            <w:hideMark/>
          </w:tcPr>
          <w:p w14:paraId="64F52DF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10%</w:t>
            </w:r>
          </w:p>
        </w:tc>
        <w:tc>
          <w:tcPr>
            <w:tcW w:w="1600" w:type="dxa"/>
            <w:gridSpan w:val="2"/>
            <w:tcBorders>
              <w:top w:val="nil"/>
              <w:left w:val="nil"/>
              <w:bottom w:val="nil"/>
              <w:right w:val="nil"/>
            </w:tcBorders>
            <w:shd w:val="clear" w:color="auto" w:fill="auto"/>
            <w:noWrap/>
            <w:vAlign w:val="bottom"/>
            <w:hideMark/>
          </w:tcPr>
          <w:p w14:paraId="2CF19A1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5.4%</w:t>
            </w:r>
          </w:p>
        </w:tc>
        <w:tc>
          <w:tcPr>
            <w:tcW w:w="1600" w:type="dxa"/>
            <w:gridSpan w:val="2"/>
            <w:tcBorders>
              <w:top w:val="nil"/>
              <w:left w:val="nil"/>
              <w:bottom w:val="nil"/>
              <w:right w:val="nil"/>
            </w:tcBorders>
            <w:shd w:val="clear" w:color="auto" w:fill="auto"/>
            <w:noWrap/>
            <w:vAlign w:val="bottom"/>
            <w:hideMark/>
          </w:tcPr>
          <w:p w14:paraId="4BB0A4F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64%</w:t>
            </w:r>
          </w:p>
        </w:tc>
        <w:tc>
          <w:tcPr>
            <w:tcW w:w="1600" w:type="dxa"/>
            <w:gridSpan w:val="2"/>
            <w:tcBorders>
              <w:top w:val="nil"/>
              <w:left w:val="nil"/>
              <w:bottom w:val="nil"/>
              <w:right w:val="nil"/>
            </w:tcBorders>
            <w:shd w:val="clear" w:color="auto" w:fill="auto"/>
            <w:noWrap/>
            <w:vAlign w:val="bottom"/>
            <w:hideMark/>
          </w:tcPr>
          <w:p w14:paraId="52B57E4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0.0%</w:t>
            </w:r>
          </w:p>
        </w:tc>
      </w:tr>
      <w:tr w:rsidR="00A522E8" w:rsidRPr="00A522E8" w14:paraId="7FEA820A" w14:textId="77777777" w:rsidTr="00A522E8">
        <w:trPr>
          <w:trHeight w:val="20"/>
        </w:trPr>
        <w:tc>
          <w:tcPr>
            <w:tcW w:w="990" w:type="dxa"/>
            <w:tcBorders>
              <w:top w:val="nil"/>
              <w:left w:val="nil"/>
              <w:bottom w:val="nil"/>
              <w:right w:val="nil"/>
            </w:tcBorders>
            <w:shd w:val="clear" w:color="auto" w:fill="auto"/>
            <w:noWrap/>
            <w:vAlign w:val="bottom"/>
            <w:hideMark/>
          </w:tcPr>
          <w:p w14:paraId="0BD3D3EC"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G</w:t>
            </w:r>
          </w:p>
        </w:tc>
        <w:tc>
          <w:tcPr>
            <w:tcW w:w="1170" w:type="dxa"/>
            <w:tcBorders>
              <w:top w:val="nil"/>
              <w:left w:val="nil"/>
              <w:bottom w:val="nil"/>
              <w:right w:val="nil"/>
            </w:tcBorders>
            <w:shd w:val="clear" w:color="auto" w:fill="auto"/>
            <w:noWrap/>
            <w:vAlign w:val="bottom"/>
            <w:hideMark/>
          </w:tcPr>
          <w:p w14:paraId="5875C5E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734</w:t>
            </w:r>
          </w:p>
        </w:tc>
        <w:tc>
          <w:tcPr>
            <w:tcW w:w="1560" w:type="dxa"/>
            <w:gridSpan w:val="2"/>
            <w:tcBorders>
              <w:top w:val="nil"/>
              <w:left w:val="nil"/>
              <w:bottom w:val="nil"/>
              <w:right w:val="nil"/>
            </w:tcBorders>
            <w:shd w:val="clear" w:color="auto" w:fill="auto"/>
            <w:noWrap/>
            <w:vAlign w:val="bottom"/>
            <w:hideMark/>
          </w:tcPr>
          <w:p w14:paraId="3936C9A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38.2</w:t>
            </w:r>
          </w:p>
        </w:tc>
        <w:tc>
          <w:tcPr>
            <w:tcW w:w="1140" w:type="dxa"/>
            <w:gridSpan w:val="2"/>
            <w:tcBorders>
              <w:top w:val="nil"/>
              <w:left w:val="nil"/>
              <w:bottom w:val="nil"/>
              <w:right w:val="nil"/>
            </w:tcBorders>
            <w:shd w:val="clear" w:color="auto" w:fill="auto"/>
            <w:noWrap/>
            <w:vAlign w:val="bottom"/>
            <w:hideMark/>
          </w:tcPr>
          <w:p w14:paraId="05E1BF4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25.7%</w:t>
            </w:r>
          </w:p>
        </w:tc>
        <w:tc>
          <w:tcPr>
            <w:tcW w:w="1800" w:type="dxa"/>
            <w:gridSpan w:val="2"/>
            <w:tcBorders>
              <w:top w:val="nil"/>
              <w:left w:val="nil"/>
              <w:bottom w:val="nil"/>
              <w:right w:val="nil"/>
            </w:tcBorders>
            <w:shd w:val="clear" w:color="auto" w:fill="auto"/>
            <w:noWrap/>
            <w:vAlign w:val="bottom"/>
            <w:hideMark/>
          </w:tcPr>
          <w:p w14:paraId="407359C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6.6%</w:t>
            </w:r>
          </w:p>
        </w:tc>
        <w:tc>
          <w:tcPr>
            <w:tcW w:w="1060" w:type="dxa"/>
            <w:gridSpan w:val="2"/>
            <w:tcBorders>
              <w:top w:val="nil"/>
              <w:left w:val="nil"/>
              <w:bottom w:val="nil"/>
              <w:right w:val="nil"/>
            </w:tcBorders>
            <w:shd w:val="clear" w:color="auto" w:fill="auto"/>
            <w:noWrap/>
            <w:vAlign w:val="bottom"/>
            <w:hideMark/>
          </w:tcPr>
          <w:p w14:paraId="2447615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3.9%</w:t>
            </w:r>
          </w:p>
        </w:tc>
        <w:tc>
          <w:tcPr>
            <w:tcW w:w="1600" w:type="dxa"/>
            <w:gridSpan w:val="2"/>
            <w:tcBorders>
              <w:top w:val="nil"/>
              <w:left w:val="nil"/>
              <w:bottom w:val="nil"/>
              <w:right w:val="nil"/>
            </w:tcBorders>
            <w:shd w:val="clear" w:color="auto" w:fill="auto"/>
            <w:noWrap/>
            <w:vAlign w:val="bottom"/>
            <w:hideMark/>
          </w:tcPr>
          <w:p w14:paraId="616CFAE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13%</w:t>
            </w:r>
          </w:p>
        </w:tc>
        <w:tc>
          <w:tcPr>
            <w:tcW w:w="1600" w:type="dxa"/>
            <w:gridSpan w:val="2"/>
            <w:tcBorders>
              <w:top w:val="nil"/>
              <w:left w:val="nil"/>
              <w:bottom w:val="nil"/>
              <w:right w:val="nil"/>
            </w:tcBorders>
            <w:shd w:val="clear" w:color="auto" w:fill="auto"/>
            <w:noWrap/>
            <w:vAlign w:val="bottom"/>
            <w:hideMark/>
          </w:tcPr>
          <w:p w14:paraId="2CE141C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5.3%</w:t>
            </w:r>
          </w:p>
        </w:tc>
        <w:tc>
          <w:tcPr>
            <w:tcW w:w="1600" w:type="dxa"/>
            <w:gridSpan w:val="2"/>
            <w:tcBorders>
              <w:top w:val="nil"/>
              <w:left w:val="nil"/>
              <w:bottom w:val="nil"/>
              <w:right w:val="nil"/>
            </w:tcBorders>
            <w:shd w:val="clear" w:color="auto" w:fill="auto"/>
            <w:noWrap/>
            <w:vAlign w:val="bottom"/>
            <w:hideMark/>
          </w:tcPr>
          <w:p w14:paraId="58A590C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48%</w:t>
            </w:r>
          </w:p>
        </w:tc>
        <w:tc>
          <w:tcPr>
            <w:tcW w:w="1600" w:type="dxa"/>
            <w:gridSpan w:val="2"/>
            <w:tcBorders>
              <w:top w:val="nil"/>
              <w:left w:val="nil"/>
              <w:bottom w:val="nil"/>
              <w:right w:val="nil"/>
            </w:tcBorders>
            <w:shd w:val="clear" w:color="auto" w:fill="auto"/>
            <w:noWrap/>
            <w:vAlign w:val="bottom"/>
            <w:hideMark/>
          </w:tcPr>
          <w:p w14:paraId="62AF736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5.8%</w:t>
            </w:r>
          </w:p>
        </w:tc>
      </w:tr>
      <w:tr w:rsidR="00A522E8" w:rsidRPr="00A522E8" w14:paraId="5B726615" w14:textId="77777777" w:rsidTr="00A522E8">
        <w:trPr>
          <w:trHeight w:val="20"/>
        </w:trPr>
        <w:tc>
          <w:tcPr>
            <w:tcW w:w="990" w:type="dxa"/>
            <w:tcBorders>
              <w:top w:val="nil"/>
              <w:left w:val="nil"/>
              <w:bottom w:val="nil"/>
              <w:right w:val="nil"/>
            </w:tcBorders>
            <w:shd w:val="clear" w:color="auto" w:fill="auto"/>
            <w:noWrap/>
            <w:vAlign w:val="bottom"/>
            <w:hideMark/>
          </w:tcPr>
          <w:p w14:paraId="628BBB1B"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H</w:t>
            </w:r>
          </w:p>
        </w:tc>
        <w:tc>
          <w:tcPr>
            <w:tcW w:w="1170" w:type="dxa"/>
            <w:tcBorders>
              <w:top w:val="nil"/>
              <w:left w:val="nil"/>
              <w:bottom w:val="nil"/>
              <w:right w:val="nil"/>
            </w:tcBorders>
            <w:shd w:val="clear" w:color="auto" w:fill="auto"/>
            <w:noWrap/>
            <w:vAlign w:val="bottom"/>
            <w:hideMark/>
          </w:tcPr>
          <w:p w14:paraId="2595F638"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1,772</w:t>
            </w:r>
          </w:p>
        </w:tc>
        <w:tc>
          <w:tcPr>
            <w:tcW w:w="1560" w:type="dxa"/>
            <w:gridSpan w:val="2"/>
            <w:tcBorders>
              <w:top w:val="nil"/>
              <w:left w:val="nil"/>
              <w:bottom w:val="nil"/>
              <w:right w:val="nil"/>
            </w:tcBorders>
            <w:shd w:val="clear" w:color="auto" w:fill="auto"/>
            <w:noWrap/>
            <w:vAlign w:val="bottom"/>
            <w:hideMark/>
          </w:tcPr>
          <w:p w14:paraId="05137C0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38.4</w:t>
            </w:r>
          </w:p>
        </w:tc>
        <w:tc>
          <w:tcPr>
            <w:tcW w:w="1140" w:type="dxa"/>
            <w:gridSpan w:val="2"/>
            <w:tcBorders>
              <w:top w:val="nil"/>
              <w:left w:val="nil"/>
              <w:bottom w:val="nil"/>
              <w:right w:val="nil"/>
            </w:tcBorders>
            <w:shd w:val="clear" w:color="auto" w:fill="auto"/>
            <w:noWrap/>
            <w:vAlign w:val="bottom"/>
            <w:hideMark/>
          </w:tcPr>
          <w:p w14:paraId="578A603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36.3%</w:t>
            </w:r>
          </w:p>
        </w:tc>
        <w:tc>
          <w:tcPr>
            <w:tcW w:w="1800" w:type="dxa"/>
            <w:gridSpan w:val="2"/>
            <w:tcBorders>
              <w:top w:val="nil"/>
              <w:left w:val="nil"/>
              <w:bottom w:val="nil"/>
              <w:right w:val="nil"/>
            </w:tcBorders>
            <w:shd w:val="clear" w:color="auto" w:fill="auto"/>
            <w:noWrap/>
            <w:vAlign w:val="bottom"/>
            <w:hideMark/>
          </w:tcPr>
          <w:p w14:paraId="729A6DA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5.9%</w:t>
            </w:r>
          </w:p>
        </w:tc>
        <w:tc>
          <w:tcPr>
            <w:tcW w:w="1060" w:type="dxa"/>
            <w:gridSpan w:val="2"/>
            <w:tcBorders>
              <w:top w:val="nil"/>
              <w:left w:val="nil"/>
              <w:bottom w:val="nil"/>
              <w:right w:val="nil"/>
            </w:tcBorders>
            <w:shd w:val="clear" w:color="auto" w:fill="auto"/>
            <w:noWrap/>
            <w:vAlign w:val="bottom"/>
            <w:hideMark/>
          </w:tcPr>
          <w:p w14:paraId="296E9988"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9.7%</w:t>
            </w:r>
          </w:p>
        </w:tc>
        <w:tc>
          <w:tcPr>
            <w:tcW w:w="1600" w:type="dxa"/>
            <w:gridSpan w:val="2"/>
            <w:tcBorders>
              <w:top w:val="nil"/>
              <w:left w:val="nil"/>
              <w:bottom w:val="nil"/>
              <w:right w:val="nil"/>
            </w:tcBorders>
            <w:shd w:val="clear" w:color="auto" w:fill="auto"/>
            <w:noWrap/>
            <w:vAlign w:val="bottom"/>
            <w:hideMark/>
          </w:tcPr>
          <w:p w14:paraId="1304D0D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w:t>
            </w:r>
          </w:p>
        </w:tc>
        <w:tc>
          <w:tcPr>
            <w:tcW w:w="1600" w:type="dxa"/>
            <w:gridSpan w:val="2"/>
            <w:tcBorders>
              <w:top w:val="nil"/>
              <w:left w:val="nil"/>
              <w:bottom w:val="nil"/>
              <w:right w:val="nil"/>
            </w:tcBorders>
            <w:shd w:val="clear" w:color="auto" w:fill="auto"/>
            <w:noWrap/>
            <w:vAlign w:val="bottom"/>
            <w:hideMark/>
          </w:tcPr>
          <w:p w14:paraId="3ACCD18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5.3%</w:t>
            </w:r>
          </w:p>
        </w:tc>
        <w:tc>
          <w:tcPr>
            <w:tcW w:w="1600" w:type="dxa"/>
            <w:gridSpan w:val="2"/>
            <w:tcBorders>
              <w:top w:val="nil"/>
              <w:left w:val="nil"/>
              <w:bottom w:val="nil"/>
              <w:right w:val="nil"/>
            </w:tcBorders>
            <w:shd w:val="clear" w:color="auto" w:fill="auto"/>
            <w:noWrap/>
            <w:vAlign w:val="bottom"/>
            <w:hideMark/>
          </w:tcPr>
          <w:p w14:paraId="5E8EE07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49%</w:t>
            </w:r>
          </w:p>
        </w:tc>
        <w:tc>
          <w:tcPr>
            <w:tcW w:w="1600" w:type="dxa"/>
            <w:gridSpan w:val="2"/>
            <w:tcBorders>
              <w:top w:val="nil"/>
              <w:left w:val="nil"/>
              <w:bottom w:val="nil"/>
              <w:right w:val="nil"/>
            </w:tcBorders>
            <w:shd w:val="clear" w:color="auto" w:fill="auto"/>
            <w:noWrap/>
            <w:vAlign w:val="bottom"/>
            <w:hideMark/>
          </w:tcPr>
          <w:p w14:paraId="2A46067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21.8%</w:t>
            </w:r>
          </w:p>
        </w:tc>
      </w:tr>
      <w:tr w:rsidR="00A522E8" w:rsidRPr="00A522E8" w14:paraId="5EDB516F" w14:textId="77777777" w:rsidTr="00A522E8">
        <w:trPr>
          <w:trHeight w:val="20"/>
        </w:trPr>
        <w:tc>
          <w:tcPr>
            <w:tcW w:w="990" w:type="dxa"/>
            <w:tcBorders>
              <w:top w:val="nil"/>
              <w:left w:val="nil"/>
              <w:bottom w:val="nil"/>
              <w:right w:val="nil"/>
            </w:tcBorders>
            <w:shd w:val="clear" w:color="auto" w:fill="auto"/>
            <w:noWrap/>
            <w:vAlign w:val="bottom"/>
            <w:hideMark/>
          </w:tcPr>
          <w:p w14:paraId="4EC31A94"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I</w:t>
            </w:r>
          </w:p>
        </w:tc>
        <w:tc>
          <w:tcPr>
            <w:tcW w:w="1170" w:type="dxa"/>
            <w:tcBorders>
              <w:top w:val="nil"/>
              <w:left w:val="nil"/>
              <w:bottom w:val="nil"/>
              <w:right w:val="nil"/>
            </w:tcBorders>
            <w:shd w:val="clear" w:color="auto" w:fill="auto"/>
            <w:noWrap/>
            <w:vAlign w:val="bottom"/>
            <w:hideMark/>
          </w:tcPr>
          <w:p w14:paraId="2DDF8FA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218</w:t>
            </w:r>
          </w:p>
        </w:tc>
        <w:tc>
          <w:tcPr>
            <w:tcW w:w="1560" w:type="dxa"/>
            <w:gridSpan w:val="2"/>
            <w:tcBorders>
              <w:top w:val="nil"/>
              <w:left w:val="nil"/>
              <w:bottom w:val="nil"/>
              <w:right w:val="nil"/>
            </w:tcBorders>
            <w:shd w:val="clear" w:color="auto" w:fill="auto"/>
            <w:noWrap/>
            <w:vAlign w:val="bottom"/>
            <w:hideMark/>
          </w:tcPr>
          <w:p w14:paraId="74961AF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38.9</w:t>
            </w:r>
          </w:p>
        </w:tc>
        <w:tc>
          <w:tcPr>
            <w:tcW w:w="1140" w:type="dxa"/>
            <w:gridSpan w:val="2"/>
            <w:tcBorders>
              <w:top w:val="nil"/>
              <w:left w:val="nil"/>
              <w:bottom w:val="nil"/>
              <w:right w:val="nil"/>
            </w:tcBorders>
            <w:shd w:val="clear" w:color="auto" w:fill="auto"/>
            <w:noWrap/>
            <w:vAlign w:val="bottom"/>
            <w:hideMark/>
          </w:tcPr>
          <w:p w14:paraId="3D95126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90.8%</w:t>
            </w:r>
          </w:p>
        </w:tc>
        <w:tc>
          <w:tcPr>
            <w:tcW w:w="1800" w:type="dxa"/>
            <w:gridSpan w:val="2"/>
            <w:tcBorders>
              <w:top w:val="nil"/>
              <w:left w:val="nil"/>
              <w:bottom w:val="nil"/>
              <w:right w:val="nil"/>
            </w:tcBorders>
            <w:shd w:val="clear" w:color="auto" w:fill="auto"/>
            <w:noWrap/>
            <w:vAlign w:val="bottom"/>
            <w:hideMark/>
          </w:tcPr>
          <w:p w14:paraId="1AF0CF5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4.9%</w:t>
            </w:r>
          </w:p>
        </w:tc>
        <w:tc>
          <w:tcPr>
            <w:tcW w:w="1060" w:type="dxa"/>
            <w:gridSpan w:val="2"/>
            <w:tcBorders>
              <w:top w:val="nil"/>
              <w:left w:val="nil"/>
              <w:bottom w:val="nil"/>
              <w:right w:val="nil"/>
            </w:tcBorders>
            <w:shd w:val="clear" w:color="auto" w:fill="auto"/>
            <w:noWrap/>
            <w:vAlign w:val="bottom"/>
            <w:hideMark/>
          </w:tcPr>
          <w:p w14:paraId="234E299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68.4%</w:t>
            </w:r>
          </w:p>
        </w:tc>
        <w:tc>
          <w:tcPr>
            <w:tcW w:w="1600" w:type="dxa"/>
            <w:gridSpan w:val="2"/>
            <w:tcBorders>
              <w:top w:val="nil"/>
              <w:left w:val="nil"/>
              <w:bottom w:val="nil"/>
              <w:right w:val="nil"/>
            </w:tcBorders>
            <w:shd w:val="clear" w:color="auto" w:fill="auto"/>
            <w:noWrap/>
            <w:vAlign w:val="bottom"/>
            <w:hideMark/>
          </w:tcPr>
          <w:p w14:paraId="089E9DE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61%</w:t>
            </w:r>
          </w:p>
        </w:tc>
        <w:tc>
          <w:tcPr>
            <w:tcW w:w="1600" w:type="dxa"/>
            <w:gridSpan w:val="2"/>
            <w:tcBorders>
              <w:top w:val="nil"/>
              <w:left w:val="nil"/>
              <w:bottom w:val="nil"/>
              <w:right w:val="nil"/>
            </w:tcBorders>
            <w:shd w:val="clear" w:color="auto" w:fill="auto"/>
            <w:noWrap/>
            <w:vAlign w:val="bottom"/>
            <w:hideMark/>
          </w:tcPr>
          <w:p w14:paraId="481BD5F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5.2%</w:t>
            </w:r>
          </w:p>
        </w:tc>
        <w:tc>
          <w:tcPr>
            <w:tcW w:w="1600" w:type="dxa"/>
            <w:gridSpan w:val="2"/>
            <w:tcBorders>
              <w:top w:val="nil"/>
              <w:left w:val="nil"/>
              <w:bottom w:val="nil"/>
              <w:right w:val="nil"/>
            </w:tcBorders>
            <w:shd w:val="clear" w:color="auto" w:fill="auto"/>
            <w:noWrap/>
            <w:vAlign w:val="bottom"/>
            <w:hideMark/>
          </w:tcPr>
          <w:p w14:paraId="6EED6AE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63%</w:t>
            </w:r>
          </w:p>
        </w:tc>
        <w:tc>
          <w:tcPr>
            <w:tcW w:w="1600" w:type="dxa"/>
            <w:gridSpan w:val="2"/>
            <w:tcBorders>
              <w:top w:val="nil"/>
              <w:left w:val="nil"/>
              <w:bottom w:val="nil"/>
              <w:right w:val="nil"/>
            </w:tcBorders>
            <w:shd w:val="clear" w:color="auto" w:fill="auto"/>
            <w:noWrap/>
            <w:vAlign w:val="bottom"/>
            <w:hideMark/>
          </w:tcPr>
          <w:p w14:paraId="252A326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16.4%</w:t>
            </w:r>
          </w:p>
        </w:tc>
      </w:tr>
      <w:tr w:rsidR="00A522E8" w:rsidRPr="00A522E8" w14:paraId="16D59AB3" w14:textId="77777777" w:rsidTr="00A522E8">
        <w:trPr>
          <w:trHeight w:val="282"/>
        </w:trPr>
        <w:tc>
          <w:tcPr>
            <w:tcW w:w="990" w:type="dxa"/>
            <w:tcBorders>
              <w:top w:val="nil"/>
              <w:left w:val="nil"/>
              <w:bottom w:val="nil"/>
              <w:right w:val="nil"/>
            </w:tcBorders>
            <w:shd w:val="clear" w:color="auto" w:fill="auto"/>
            <w:noWrap/>
            <w:vAlign w:val="bottom"/>
            <w:hideMark/>
          </w:tcPr>
          <w:p w14:paraId="1ECFF0E2"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K</w:t>
            </w:r>
          </w:p>
        </w:tc>
        <w:tc>
          <w:tcPr>
            <w:tcW w:w="1170" w:type="dxa"/>
            <w:tcBorders>
              <w:top w:val="nil"/>
              <w:left w:val="nil"/>
              <w:bottom w:val="nil"/>
              <w:right w:val="nil"/>
            </w:tcBorders>
            <w:shd w:val="clear" w:color="auto" w:fill="auto"/>
            <w:noWrap/>
            <w:vAlign w:val="bottom"/>
            <w:hideMark/>
          </w:tcPr>
          <w:p w14:paraId="2A58D49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1,261</w:t>
            </w:r>
          </w:p>
        </w:tc>
        <w:tc>
          <w:tcPr>
            <w:tcW w:w="1560" w:type="dxa"/>
            <w:gridSpan w:val="2"/>
            <w:tcBorders>
              <w:top w:val="nil"/>
              <w:left w:val="nil"/>
              <w:bottom w:val="nil"/>
              <w:right w:val="nil"/>
            </w:tcBorders>
            <w:shd w:val="clear" w:color="auto" w:fill="auto"/>
            <w:noWrap/>
            <w:vAlign w:val="bottom"/>
            <w:hideMark/>
          </w:tcPr>
          <w:p w14:paraId="2CE13B9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37.8</w:t>
            </w:r>
          </w:p>
        </w:tc>
        <w:tc>
          <w:tcPr>
            <w:tcW w:w="1140" w:type="dxa"/>
            <w:gridSpan w:val="2"/>
            <w:tcBorders>
              <w:top w:val="nil"/>
              <w:left w:val="nil"/>
              <w:bottom w:val="nil"/>
              <w:right w:val="nil"/>
            </w:tcBorders>
            <w:shd w:val="clear" w:color="auto" w:fill="auto"/>
            <w:noWrap/>
            <w:vAlign w:val="bottom"/>
            <w:hideMark/>
          </w:tcPr>
          <w:p w14:paraId="57B7DE4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1.5%</w:t>
            </w:r>
          </w:p>
        </w:tc>
        <w:tc>
          <w:tcPr>
            <w:tcW w:w="1800" w:type="dxa"/>
            <w:gridSpan w:val="2"/>
            <w:tcBorders>
              <w:top w:val="nil"/>
              <w:left w:val="nil"/>
              <w:bottom w:val="nil"/>
              <w:right w:val="nil"/>
            </w:tcBorders>
            <w:shd w:val="clear" w:color="auto" w:fill="auto"/>
            <w:noWrap/>
            <w:vAlign w:val="bottom"/>
            <w:hideMark/>
          </w:tcPr>
          <w:p w14:paraId="43D836F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7.4%</w:t>
            </w:r>
          </w:p>
        </w:tc>
        <w:tc>
          <w:tcPr>
            <w:tcW w:w="1060" w:type="dxa"/>
            <w:gridSpan w:val="2"/>
            <w:tcBorders>
              <w:top w:val="nil"/>
              <w:left w:val="nil"/>
              <w:bottom w:val="nil"/>
              <w:right w:val="nil"/>
            </w:tcBorders>
            <w:shd w:val="clear" w:color="auto" w:fill="auto"/>
            <w:noWrap/>
            <w:vAlign w:val="bottom"/>
            <w:hideMark/>
          </w:tcPr>
          <w:p w14:paraId="58C2944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0.0%</w:t>
            </w:r>
          </w:p>
        </w:tc>
        <w:tc>
          <w:tcPr>
            <w:tcW w:w="1600" w:type="dxa"/>
            <w:gridSpan w:val="2"/>
            <w:tcBorders>
              <w:top w:val="nil"/>
              <w:left w:val="nil"/>
              <w:bottom w:val="nil"/>
              <w:right w:val="nil"/>
            </w:tcBorders>
            <w:shd w:val="clear" w:color="auto" w:fill="auto"/>
            <w:noWrap/>
            <w:vAlign w:val="bottom"/>
            <w:hideMark/>
          </w:tcPr>
          <w:p w14:paraId="3BBE3D4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29%</w:t>
            </w:r>
          </w:p>
        </w:tc>
        <w:tc>
          <w:tcPr>
            <w:tcW w:w="1600" w:type="dxa"/>
            <w:gridSpan w:val="2"/>
            <w:tcBorders>
              <w:top w:val="nil"/>
              <w:left w:val="nil"/>
              <w:bottom w:val="nil"/>
              <w:right w:val="nil"/>
            </w:tcBorders>
            <w:shd w:val="clear" w:color="auto" w:fill="auto"/>
            <w:noWrap/>
            <w:vAlign w:val="bottom"/>
            <w:hideMark/>
          </w:tcPr>
          <w:p w14:paraId="0C40D6E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5.6%</w:t>
            </w:r>
          </w:p>
        </w:tc>
        <w:tc>
          <w:tcPr>
            <w:tcW w:w="1600" w:type="dxa"/>
            <w:gridSpan w:val="2"/>
            <w:tcBorders>
              <w:top w:val="nil"/>
              <w:left w:val="nil"/>
              <w:bottom w:val="nil"/>
              <w:right w:val="nil"/>
            </w:tcBorders>
            <w:shd w:val="clear" w:color="auto" w:fill="auto"/>
            <w:noWrap/>
            <w:vAlign w:val="bottom"/>
            <w:hideMark/>
          </w:tcPr>
          <w:p w14:paraId="2E824D0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69%</w:t>
            </w:r>
          </w:p>
        </w:tc>
        <w:tc>
          <w:tcPr>
            <w:tcW w:w="1600" w:type="dxa"/>
            <w:gridSpan w:val="2"/>
            <w:tcBorders>
              <w:top w:val="nil"/>
              <w:left w:val="nil"/>
              <w:bottom w:val="nil"/>
              <w:right w:val="nil"/>
            </w:tcBorders>
            <w:shd w:val="clear" w:color="auto" w:fill="auto"/>
            <w:noWrap/>
            <w:vAlign w:val="bottom"/>
            <w:hideMark/>
          </w:tcPr>
          <w:p w14:paraId="57D1632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6.8%</w:t>
            </w:r>
          </w:p>
        </w:tc>
      </w:tr>
      <w:tr w:rsidR="00A522E8" w:rsidRPr="00A522E8" w14:paraId="536BDB0A" w14:textId="77777777" w:rsidTr="00A522E8">
        <w:trPr>
          <w:trHeight w:val="20"/>
        </w:trPr>
        <w:tc>
          <w:tcPr>
            <w:tcW w:w="990" w:type="dxa"/>
            <w:tcBorders>
              <w:top w:val="nil"/>
              <w:left w:val="nil"/>
              <w:bottom w:val="nil"/>
              <w:right w:val="nil"/>
            </w:tcBorders>
            <w:shd w:val="clear" w:color="auto" w:fill="auto"/>
            <w:noWrap/>
            <w:vAlign w:val="bottom"/>
            <w:hideMark/>
          </w:tcPr>
          <w:p w14:paraId="1B9C7C1A"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L</w:t>
            </w:r>
          </w:p>
        </w:tc>
        <w:tc>
          <w:tcPr>
            <w:tcW w:w="1170" w:type="dxa"/>
            <w:tcBorders>
              <w:top w:val="nil"/>
              <w:left w:val="nil"/>
              <w:bottom w:val="nil"/>
              <w:right w:val="nil"/>
            </w:tcBorders>
            <w:shd w:val="clear" w:color="auto" w:fill="auto"/>
            <w:noWrap/>
            <w:vAlign w:val="bottom"/>
            <w:hideMark/>
          </w:tcPr>
          <w:p w14:paraId="5D51B85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1,342</w:t>
            </w:r>
          </w:p>
        </w:tc>
        <w:tc>
          <w:tcPr>
            <w:tcW w:w="1560" w:type="dxa"/>
            <w:gridSpan w:val="2"/>
            <w:tcBorders>
              <w:top w:val="nil"/>
              <w:left w:val="nil"/>
              <w:bottom w:val="nil"/>
              <w:right w:val="nil"/>
            </w:tcBorders>
            <w:shd w:val="clear" w:color="auto" w:fill="auto"/>
            <w:noWrap/>
            <w:vAlign w:val="bottom"/>
            <w:hideMark/>
          </w:tcPr>
          <w:p w14:paraId="231941E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38.1</w:t>
            </w:r>
          </w:p>
        </w:tc>
        <w:tc>
          <w:tcPr>
            <w:tcW w:w="1140" w:type="dxa"/>
            <w:gridSpan w:val="2"/>
            <w:tcBorders>
              <w:top w:val="nil"/>
              <w:left w:val="nil"/>
              <w:bottom w:val="nil"/>
              <w:right w:val="nil"/>
            </w:tcBorders>
            <w:shd w:val="clear" w:color="auto" w:fill="auto"/>
            <w:noWrap/>
            <w:vAlign w:val="bottom"/>
            <w:hideMark/>
          </w:tcPr>
          <w:p w14:paraId="1B0267D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9.7%</w:t>
            </w:r>
          </w:p>
        </w:tc>
        <w:tc>
          <w:tcPr>
            <w:tcW w:w="1800" w:type="dxa"/>
            <w:gridSpan w:val="2"/>
            <w:tcBorders>
              <w:top w:val="nil"/>
              <w:left w:val="nil"/>
              <w:bottom w:val="nil"/>
              <w:right w:val="nil"/>
            </w:tcBorders>
            <w:shd w:val="clear" w:color="auto" w:fill="auto"/>
            <w:noWrap/>
            <w:vAlign w:val="bottom"/>
            <w:hideMark/>
          </w:tcPr>
          <w:p w14:paraId="4656F8B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5.8%</w:t>
            </w:r>
          </w:p>
        </w:tc>
        <w:tc>
          <w:tcPr>
            <w:tcW w:w="1060" w:type="dxa"/>
            <w:gridSpan w:val="2"/>
            <w:tcBorders>
              <w:top w:val="nil"/>
              <w:left w:val="nil"/>
              <w:bottom w:val="nil"/>
              <w:right w:val="nil"/>
            </w:tcBorders>
            <w:shd w:val="clear" w:color="auto" w:fill="auto"/>
            <w:noWrap/>
            <w:vAlign w:val="bottom"/>
            <w:hideMark/>
          </w:tcPr>
          <w:p w14:paraId="1190CBF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15.3%</w:t>
            </w:r>
          </w:p>
        </w:tc>
        <w:tc>
          <w:tcPr>
            <w:tcW w:w="1600" w:type="dxa"/>
            <w:gridSpan w:val="2"/>
            <w:tcBorders>
              <w:top w:val="nil"/>
              <w:left w:val="nil"/>
              <w:bottom w:val="nil"/>
              <w:right w:val="nil"/>
            </w:tcBorders>
            <w:shd w:val="clear" w:color="auto" w:fill="auto"/>
            <w:noWrap/>
            <w:vAlign w:val="bottom"/>
            <w:hideMark/>
          </w:tcPr>
          <w:p w14:paraId="7AECA44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26%</w:t>
            </w:r>
          </w:p>
        </w:tc>
        <w:tc>
          <w:tcPr>
            <w:tcW w:w="1600" w:type="dxa"/>
            <w:gridSpan w:val="2"/>
            <w:tcBorders>
              <w:top w:val="nil"/>
              <w:left w:val="nil"/>
              <w:bottom w:val="nil"/>
              <w:right w:val="nil"/>
            </w:tcBorders>
            <w:shd w:val="clear" w:color="auto" w:fill="auto"/>
            <w:noWrap/>
            <w:vAlign w:val="bottom"/>
            <w:hideMark/>
          </w:tcPr>
          <w:p w14:paraId="63664B4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5.3%</w:t>
            </w:r>
          </w:p>
        </w:tc>
        <w:tc>
          <w:tcPr>
            <w:tcW w:w="1600" w:type="dxa"/>
            <w:gridSpan w:val="2"/>
            <w:tcBorders>
              <w:top w:val="nil"/>
              <w:left w:val="nil"/>
              <w:bottom w:val="nil"/>
              <w:right w:val="nil"/>
            </w:tcBorders>
            <w:shd w:val="clear" w:color="auto" w:fill="auto"/>
            <w:noWrap/>
            <w:vAlign w:val="bottom"/>
            <w:hideMark/>
          </w:tcPr>
          <w:p w14:paraId="66637BD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52%</w:t>
            </w:r>
          </w:p>
        </w:tc>
        <w:tc>
          <w:tcPr>
            <w:tcW w:w="1600" w:type="dxa"/>
            <w:gridSpan w:val="2"/>
            <w:tcBorders>
              <w:top w:val="nil"/>
              <w:left w:val="nil"/>
              <w:bottom w:val="nil"/>
              <w:right w:val="nil"/>
            </w:tcBorders>
            <w:shd w:val="clear" w:color="auto" w:fill="auto"/>
            <w:noWrap/>
            <w:vAlign w:val="bottom"/>
            <w:hideMark/>
          </w:tcPr>
          <w:p w14:paraId="11931A7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7.2%</w:t>
            </w:r>
          </w:p>
        </w:tc>
      </w:tr>
      <w:tr w:rsidR="00A522E8" w:rsidRPr="00A522E8" w14:paraId="25124902" w14:textId="77777777" w:rsidTr="00A522E8">
        <w:trPr>
          <w:trHeight w:val="20"/>
        </w:trPr>
        <w:tc>
          <w:tcPr>
            <w:tcW w:w="990" w:type="dxa"/>
            <w:tcBorders>
              <w:top w:val="nil"/>
              <w:left w:val="nil"/>
              <w:bottom w:val="nil"/>
              <w:right w:val="nil"/>
            </w:tcBorders>
            <w:shd w:val="clear" w:color="auto" w:fill="auto"/>
            <w:noWrap/>
            <w:vAlign w:val="bottom"/>
            <w:hideMark/>
          </w:tcPr>
          <w:p w14:paraId="6BBF0039"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M</w:t>
            </w:r>
          </w:p>
        </w:tc>
        <w:tc>
          <w:tcPr>
            <w:tcW w:w="1170" w:type="dxa"/>
            <w:tcBorders>
              <w:top w:val="nil"/>
              <w:left w:val="nil"/>
              <w:bottom w:val="nil"/>
              <w:right w:val="nil"/>
            </w:tcBorders>
            <w:shd w:val="clear" w:color="auto" w:fill="auto"/>
            <w:noWrap/>
            <w:vAlign w:val="bottom"/>
            <w:hideMark/>
          </w:tcPr>
          <w:p w14:paraId="197872A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1,307</w:t>
            </w:r>
          </w:p>
        </w:tc>
        <w:tc>
          <w:tcPr>
            <w:tcW w:w="1560" w:type="dxa"/>
            <w:gridSpan w:val="2"/>
            <w:tcBorders>
              <w:top w:val="nil"/>
              <w:left w:val="nil"/>
              <w:bottom w:val="nil"/>
              <w:right w:val="nil"/>
            </w:tcBorders>
            <w:shd w:val="clear" w:color="auto" w:fill="auto"/>
            <w:noWrap/>
            <w:vAlign w:val="bottom"/>
            <w:hideMark/>
          </w:tcPr>
          <w:p w14:paraId="3CD2884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38.3</w:t>
            </w:r>
          </w:p>
        </w:tc>
        <w:tc>
          <w:tcPr>
            <w:tcW w:w="1140" w:type="dxa"/>
            <w:gridSpan w:val="2"/>
            <w:tcBorders>
              <w:top w:val="nil"/>
              <w:left w:val="nil"/>
              <w:bottom w:val="nil"/>
              <w:right w:val="nil"/>
            </w:tcBorders>
            <w:shd w:val="clear" w:color="auto" w:fill="auto"/>
            <w:noWrap/>
            <w:vAlign w:val="bottom"/>
            <w:hideMark/>
          </w:tcPr>
          <w:p w14:paraId="73C37E1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33.0%</w:t>
            </w:r>
          </w:p>
        </w:tc>
        <w:tc>
          <w:tcPr>
            <w:tcW w:w="1800" w:type="dxa"/>
            <w:gridSpan w:val="2"/>
            <w:tcBorders>
              <w:top w:val="nil"/>
              <w:left w:val="nil"/>
              <w:bottom w:val="nil"/>
              <w:right w:val="nil"/>
            </w:tcBorders>
            <w:shd w:val="clear" w:color="auto" w:fill="auto"/>
            <w:noWrap/>
            <w:vAlign w:val="bottom"/>
            <w:hideMark/>
          </w:tcPr>
          <w:p w14:paraId="2DC9E25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4.8%</w:t>
            </w:r>
          </w:p>
        </w:tc>
        <w:tc>
          <w:tcPr>
            <w:tcW w:w="1060" w:type="dxa"/>
            <w:gridSpan w:val="2"/>
            <w:tcBorders>
              <w:top w:val="nil"/>
              <w:left w:val="nil"/>
              <w:bottom w:val="nil"/>
              <w:right w:val="nil"/>
            </w:tcBorders>
            <w:shd w:val="clear" w:color="auto" w:fill="auto"/>
            <w:noWrap/>
            <w:vAlign w:val="bottom"/>
            <w:hideMark/>
          </w:tcPr>
          <w:p w14:paraId="34FD32A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76.4%</w:t>
            </w:r>
          </w:p>
        </w:tc>
        <w:tc>
          <w:tcPr>
            <w:tcW w:w="1600" w:type="dxa"/>
            <w:gridSpan w:val="2"/>
            <w:tcBorders>
              <w:top w:val="nil"/>
              <w:left w:val="nil"/>
              <w:bottom w:val="nil"/>
              <w:right w:val="nil"/>
            </w:tcBorders>
            <w:shd w:val="clear" w:color="auto" w:fill="auto"/>
            <w:noWrap/>
            <w:vAlign w:val="bottom"/>
            <w:hideMark/>
          </w:tcPr>
          <w:p w14:paraId="708CB44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8%</w:t>
            </w:r>
          </w:p>
        </w:tc>
        <w:tc>
          <w:tcPr>
            <w:tcW w:w="1600" w:type="dxa"/>
            <w:gridSpan w:val="2"/>
            <w:tcBorders>
              <w:top w:val="nil"/>
              <w:left w:val="nil"/>
              <w:bottom w:val="nil"/>
              <w:right w:val="nil"/>
            </w:tcBorders>
            <w:shd w:val="clear" w:color="auto" w:fill="auto"/>
            <w:noWrap/>
            <w:vAlign w:val="bottom"/>
            <w:hideMark/>
          </w:tcPr>
          <w:p w14:paraId="60EC63C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5.0%</w:t>
            </w:r>
          </w:p>
        </w:tc>
        <w:tc>
          <w:tcPr>
            <w:tcW w:w="1600" w:type="dxa"/>
            <w:gridSpan w:val="2"/>
            <w:tcBorders>
              <w:top w:val="nil"/>
              <w:left w:val="nil"/>
              <w:bottom w:val="nil"/>
              <w:right w:val="nil"/>
            </w:tcBorders>
            <w:shd w:val="clear" w:color="auto" w:fill="auto"/>
            <w:noWrap/>
            <w:vAlign w:val="bottom"/>
            <w:hideMark/>
          </w:tcPr>
          <w:p w14:paraId="67BBAED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64%</w:t>
            </w:r>
          </w:p>
        </w:tc>
        <w:tc>
          <w:tcPr>
            <w:tcW w:w="1600" w:type="dxa"/>
            <w:gridSpan w:val="2"/>
            <w:tcBorders>
              <w:top w:val="nil"/>
              <w:left w:val="nil"/>
              <w:bottom w:val="nil"/>
              <w:right w:val="nil"/>
            </w:tcBorders>
            <w:shd w:val="clear" w:color="auto" w:fill="auto"/>
            <w:noWrap/>
            <w:vAlign w:val="bottom"/>
            <w:hideMark/>
          </w:tcPr>
          <w:p w14:paraId="263046A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8.2%</w:t>
            </w:r>
          </w:p>
        </w:tc>
      </w:tr>
      <w:tr w:rsidR="00A522E8" w:rsidRPr="00A522E8" w14:paraId="0431C261" w14:textId="77777777" w:rsidTr="00A522E8">
        <w:trPr>
          <w:trHeight w:val="20"/>
        </w:trPr>
        <w:tc>
          <w:tcPr>
            <w:tcW w:w="990" w:type="dxa"/>
            <w:tcBorders>
              <w:top w:val="nil"/>
              <w:left w:val="nil"/>
              <w:bottom w:val="nil"/>
              <w:right w:val="nil"/>
            </w:tcBorders>
            <w:shd w:val="clear" w:color="auto" w:fill="auto"/>
            <w:noWrap/>
            <w:vAlign w:val="bottom"/>
            <w:hideMark/>
          </w:tcPr>
          <w:p w14:paraId="4987A63F"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N</w:t>
            </w:r>
          </w:p>
        </w:tc>
        <w:tc>
          <w:tcPr>
            <w:tcW w:w="1170" w:type="dxa"/>
            <w:tcBorders>
              <w:top w:val="nil"/>
              <w:left w:val="nil"/>
              <w:bottom w:val="nil"/>
              <w:right w:val="nil"/>
            </w:tcBorders>
            <w:shd w:val="clear" w:color="auto" w:fill="auto"/>
            <w:noWrap/>
            <w:vAlign w:val="bottom"/>
            <w:hideMark/>
          </w:tcPr>
          <w:p w14:paraId="7401948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1,298</w:t>
            </w:r>
          </w:p>
        </w:tc>
        <w:tc>
          <w:tcPr>
            <w:tcW w:w="1560" w:type="dxa"/>
            <w:gridSpan w:val="2"/>
            <w:tcBorders>
              <w:top w:val="nil"/>
              <w:left w:val="nil"/>
              <w:bottom w:val="nil"/>
              <w:right w:val="nil"/>
            </w:tcBorders>
            <w:shd w:val="clear" w:color="auto" w:fill="auto"/>
            <w:noWrap/>
            <w:vAlign w:val="bottom"/>
            <w:hideMark/>
          </w:tcPr>
          <w:p w14:paraId="7BABF07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39.3</w:t>
            </w:r>
          </w:p>
        </w:tc>
        <w:tc>
          <w:tcPr>
            <w:tcW w:w="1140" w:type="dxa"/>
            <w:gridSpan w:val="2"/>
            <w:tcBorders>
              <w:top w:val="nil"/>
              <w:left w:val="nil"/>
              <w:bottom w:val="nil"/>
              <w:right w:val="nil"/>
            </w:tcBorders>
            <w:shd w:val="clear" w:color="auto" w:fill="auto"/>
            <w:noWrap/>
            <w:vAlign w:val="bottom"/>
            <w:hideMark/>
          </w:tcPr>
          <w:p w14:paraId="0E359F3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99.7%</w:t>
            </w:r>
          </w:p>
        </w:tc>
        <w:tc>
          <w:tcPr>
            <w:tcW w:w="1800" w:type="dxa"/>
            <w:gridSpan w:val="2"/>
            <w:tcBorders>
              <w:top w:val="nil"/>
              <w:left w:val="nil"/>
              <w:bottom w:val="nil"/>
              <w:right w:val="nil"/>
            </w:tcBorders>
            <w:shd w:val="clear" w:color="auto" w:fill="auto"/>
            <w:noWrap/>
            <w:vAlign w:val="bottom"/>
            <w:hideMark/>
          </w:tcPr>
          <w:p w14:paraId="3A28BBB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5.2%</w:t>
            </w:r>
          </w:p>
        </w:tc>
        <w:tc>
          <w:tcPr>
            <w:tcW w:w="1060" w:type="dxa"/>
            <w:gridSpan w:val="2"/>
            <w:tcBorders>
              <w:top w:val="nil"/>
              <w:left w:val="nil"/>
              <w:bottom w:val="nil"/>
              <w:right w:val="nil"/>
            </w:tcBorders>
            <w:shd w:val="clear" w:color="auto" w:fill="auto"/>
            <w:noWrap/>
            <w:vAlign w:val="bottom"/>
            <w:hideMark/>
          </w:tcPr>
          <w:p w14:paraId="47B56B8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52.1%</w:t>
            </w:r>
          </w:p>
        </w:tc>
        <w:tc>
          <w:tcPr>
            <w:tcW w:w="1600" w:type="dxa"/>
            <w:gridSpan w:val="2"/>
            <w:tcBorders>
              <w:top w:val="nil"/>
              <w:left w:val="nil"/>
              <w:bottom w:val="nil"/>
              <w:right w:val="nil"/>
            </w:tcBorders>
            <w:shd w:val="clear" w:color="auto" w:fill="auto"/>
            <w:noWrap/>
            <w:vAlign w:val="bottom"/>
            <w:hideMark/>
          </w:tcPr>
          <w:p w14:paraId="15EB58B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18%</w:t>
            </w:r>
          </w:p>
        </w:tc>
        <w:tc>
          <w:tcPr>
            <w:tcW w:w="1600" w:type="dxa"/>
            <w:gridSpan w:val="2"/>
            <w:tcBorders>
              <w:top w:val="nil"/>
              <w:left w:val="nil"/>
              <w:bottom w:val="nil"/>
              <w:right w:val="nil"/>
            </w:tcBorders>
            <w:shd w:val="clear" w:color="auto" w:fill="auto"/>
            <w:noWrap/>
            <w:vAlign w:val="bottom"/>
            <w:hideMark/>
          </w:tcPr>
          <w:p w14:paraId="00B808B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5.3%</w:t>
            </w:r>
          </w:p>
        </w:tc>
        <w:tc>
          <w:tcPr>
            <w:tcW w:w="1600" w:type="dxa"/>
            <w:gridSpan w:val="2"/>
            <w:tcBorders>
              <w:top w:val="nil"/>
              <w:left w:val="nil"/>
              <w:bottom w:val="nil"/>
              <w:right w:val="nil"/>
            </w:tcBorders>
            <w:shd w:val="clear" w:color="auto" w:fill="auto"/>
            <w:noWrap/>
            <w:vAlign w:val="bottom"/>
            <w:hideMark/>
          </w:tcPr>
          <w:p w14:paraId="2F32A42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62%</w:t>
            </w:r>
          </w:p>
        </w:tc>
        <w:tc>
          <w:tcPr>
            <w:tcW w:w="1600" w:type="dxa"/>
            <w:gridSpan w:val="2"/>
            <w:tcBorders>
              <w:top w:val="nil"/>
              <w:left w:val="nil"/>
              <w:bottom w:val="nil"/>
              <w:right w:val="nil"/>
            </w:tcBorders>
            <w:shd w:val="clear" w:color="auto" w:fill="auto"/>
            <w:noWrap/>
            <w:vAlign w:val="bottom"/>
            <w:hideMark/>
          </w:tcPr>
          <w:p w14:paraId="44D03FF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2.8%</w:t>
            </w:r>
          </w:p>
        </w:tc>
      </w:tr>
      <w:tr w:rsidR="00A522E8" w:rsidRPr="00A522E8" w14:paraId="71FBCE1F" w14:textId="77777777" w:rsidTr="00A522E8">
        <w:trPr>
          <w:trHeight w:val="20"/>
        </w:trPr>
        <w:tc>
          <w:tcPr>
            <w:tcW w:w="990" w:type="dxa"/>
            <w:tcBorders>
              <w:top w:val="nil"/>
              <w:left w:val="nil"/>
              <w:bottom w:val="nil"/>
              <w:right w:val="nil"/>
            </w:tcBorders>
            <w:shd w:val="clear" w:color="auto" w:fill="auto"/>
            <w:noWrap/>
            <w:vAlign w:val="bottom"/>
            <w:hideMark/>
          </w:tcPr>
          <w:p w14:paraId="03FAB97E"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O</w:t>
            </w:r>
          </w:p>
        </w:tc>
        <w:tc>
          <w:tcPr>
            <w:tcW w:w="1170" w:type="dxa"/>
            <w:tcBorders>
              <w:top w:val="nil"/>
              <w:left w:val="nil"/>
              <w:bottom w:val="nil"/>
              <w:right w:val="nil"/>
            </w:tcBorders>
            <w:shd w:val="clear" w:color="auto" w:fill="auto"/>
            <w:noWrap/>
            <w:vAlign w:val="bottom"/>
            <w:hideMark/>
          </w:tcPr>
          <w:p w14:paraId="44AAB75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1,222</w:t>
            </w:r>
          </w:p>
        </w:tc>
        <w:tc>
          <w:tcPr>
            <w:tcW w:w="1560" w:type="dxa"/>
            <w:gridSpan w:val="2"/>
            <w:tcBorders>
              <w:top w:val="nil"/>
              <w:left w:val="nil"/>
              <w:bottom w:val="nil"/>
              <w:right w:val="nil"/>
            </w:tcBorders>
            <w:shd w:val="clear" w:color="auto" w:fill="auto"/>
            <w:noWrap/>
            <w:vAlign w:val="bottom"/>
            <w:hideMark/>
          </w:tcPr>
          <w:p w14:paraId="64496B8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37.9</w:t>
            </w:r>
          </w:p>
        </w:tc>
        <w:tc>
          <w:tcPr>
            <w:tcW w:w="1140" w:type="dxa"/>
            <w:gridSpan w:val="2"/>
            <w:tcBorders>
              <w:top w:val="nil"/>
              <w:left w:val="nil"/>
              <w:bottom w:val="nil"/>
              <w:right w:val="nil"/>
            </w:tcBorders>
            <w:shd w:val="clear" w:color="auto" w:fill="auto"/>
            <w:noWrap/>
            <w:vAlign w:val="bottom"/>
            <w:hideMark/>
          </w:tcPr>
          <w:p w14:paraId="6FAE5CA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2.2%</w:t>
            </w:r>
          </w:p>
        </w:tc>
        <w:tc>
          <w:tcPr>
            <w:tcW w:w="1800" w:type="dxa"/>
            <w:gridSpan w:val="2"/>
            <w:tcBorders>
              <w:top w:val="nil"/>
              <w:left w:val="nil"/>
              <w:bottom w:val="nil"/>
              <w:right w:val="nil"/>
            </w:tcBorders>
            <w:shd w:val="clear" w:color="auto" w:fill="auto"/>
            <w:noWrap/>
            <w:vAlign w:val="bottom"/>
            <w:hideMark/>
          </w:tcPr>
          <w:p w14:paraId="0F263BC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5.6%</w:t>
            </w:r>
          </w:p>
        </w:tc>
        <w:tc>
          <w:tcPr>
            <w:tcW w:w="1060" w:type="dxa"/>
            <w:gridSpan w:val="2"/>
            <w:tcBorders>
              <w:top w:val="nil"/>
              <w:left w:val="nil"/>
              <w:bottom w:val="nil"/>
              <w:right w:val="nil"/>
            </w:tcBorders>
            <w:shd w:val="clear" w:color="auto" w:fill="auto"/>
            <w:noWrap/>
            <w:vAlign w:val="bottom"/>
            <w:hideMark/>
          </w:tcPr>
          <w:p w14:paraId="48CF2BF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23.6%</w:t>
            </w:r>
          </w:p>
        </w:tc>
        <w:tc>
          <w:tcPr>
            <w:tcW w:w="1600" w:type="dxa"/>
            <w:gridSpan w:val="2"/>
            <w:tcBorders>
              <w:top w:val="nil"/>
              <w:left w:val="nil"/>
              <w:bottom w:val="nil"/>
              <w:right w:val="nil"/>
            </w:tcBorders>
            <w:shd w:val="clear" w:color="auto" w:fill="auto"/>
            <w:noWrap/>
            <w:vAlign w:val="bottom"/>
            <w:hideMark/>
          </w:tcPr>
          <w:p w14:paraId="4ED655D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27%</w:t>
            </w:r>
          </w:p>
        </w:tc>
        <w:tc>
          <w:tcPr>
            <w:tcW w:w="1600" w:type="dxa"/>
            <w:gridSpan w:val="2"/>
            <w:tcBorders>
              <w:top w:val="nil"/>
              <w:left w:val="nil"/>
              <w:bottom w:val="nil"/>
              <w:right w:val="nil"/>
            </w:tcBorders>
            <w:shd w:val="clear" w:color="auto" w:fill="auto"/>
            <w:noWrap/>
            <w:vAlign w:val="bottom"/>
            <w:hideMark/>
          </w:tcPr>
          <w:p w14:paraId="0FA7A19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5.1%</w:t>
            </w:r>
          </w:p>
        </w:tc>
        <w:tc>
          <w:tcPr>
            <w:tcW w:w="1600" w:type="dxa"/>
            <w:gridSpan w:val="2"/>
            <w:tcBorders>
              <w:top w:val="nil"/>
              <w:left w:val="nil"/>
              <w:bottom w:val="nil"/>
              <w:right w:val="nil"/>
            </w:tcBorders>
            <w:shd w:val="clear" w:color="auto" w:fill="auto"/>
            <w:noWrap/>
            <w:vAlign w:val="bottom"/>
            <w:hideMark/>
          </w:tcPr>
          <w:p w14:paraId="2CEE4C0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61%</w:t>
            </w:r>
          </w:p>
        </w:tc>
        <w:tc>
          <w:tcPr>
            <w:tcW w:w="1600" w:type="dxa"/>
            <w:gridSpan w:val="2"/>
            <w:tcBorders>
              <w:top w:val="nil"/>
              <w:left w:val="nil"/>
              <w:bottom w:val="nil"/>
              <w:right w:val="nil"/>
            </w:tcBorders>
            <w:shd w:val="clear" w:color="auto" w:fill="auto"/>
            <w:noWrap/>
            <w:vAlign w:val="bottom"/>
            <w:hideMark/>
          </w:tcPr>
          <w:p w14:paraId="4CE7C19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2.9%</w:t>
            </w:r>
          </w:p>
        </w:tc>
      </w:tr>
      <w:tr w:rsidR="00A522E8" w:rsidRPr="00A522E8" w14:paraId="4622CDE3" w14:textId="77777777" w:rsidTr="00A522E8">
        <w:trPr>
          <w:trHeight w:val="20"/>
        </w:trPr>
        <w:tc>
          <w:tcPr>
            <w:tcW w:w="990" w:type="dxa"/>
            <w:tcBorders>
              <w:top w:val="nil"/>
              <w:left w:val="nil"/>
              <w:bottom w:val="nil"/>
              <w:right w:val="nil"/>
            </w:tcBorders>
            <w:shd w:val="clear" w:color="auto" w:fill="auto"/>
            <w:noWrap/>
            <w:vAlign w:val="bottom"/>
            <w:hideMark/>
          </w:tcPr>
          <w:p w14:paraId="641F6189" w14:textId="77777777" w:rsidR="00A522E8" w:rsidRPr="00A522E8" w:rsidRDefault="00A522E8" w:rsidP="00A522E8">
            <w:pPr>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National</w:t>
            </w:r>
          </w:p>
        </w:tc>
        <w:tc>
          <w:tcPr>
            <w:tcW w:w="1170" w:type="dxa"/>
            <w:tcBorders>
              <w:top w:val="nil"/>
              <w:left w:val="nil"/>
              <w:bottom w:val="nil"/>
              <w:right w:val="nil"/>
            </w:tcBorders>
            <w:shd w:val="clear" w:color="auto" w:fill="auto"/>
            <w:noWrap/>
            <w:vAlign w:val="bottom"/>
            <w:hideMark/>
          </w:tcPr>
          <w:p w14:paraId="22EDC2BA"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146,346</w:t>
            </w:r>
          </w:p>
        </w:tc>
        <w:tc>
          <w:tcPr>
            <w:tcW w:w="1560" w:type="dxa"/>
            <w:gridSpan w:val="2"/>
            <w:tcBorders>
              <w:top w:val="nil"/>
              <w:left w:val="nil"/>
              <w:bottom w:val="nil"/>
              <w:right w:val="nil"/>
            </w:tcBorders>
            <w:shd w:val="clear" w:color="auto" w:fill="auto"/>
            <w:noWrap/>
            <w:vAlign w:val="bottom"/>
            <w:hideMark/>
          </w:tcPr>
          <w:p w14:paraId="16541A03"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38.5</w:t>
            </w:r>
          </w:p>
        </w:tc>
        <w:tc>
          <w:tcPr>
            <w:tcW w:w="1140" w:type="dxa"/>
            <w:gridSpan w:val="2"/>
            <w:tcBorders>
              <w:top w:val="nil"/>
              <w:left w:val="nil"/>
              <w:bottom w:val="nil"/>
              <w:right w:val="nil"/>
            </w:tcBorders>
            <w:shd w:val="clear" w:color="auto" w:fill="auto"/>
            <w:noWrap/>
            <w:vAlign w:val="bottom"/>
            <w:hideMark/>
          </w:tcPr>
          <w:p w14:paraId="3376A0A9" w14:textId="77777777" w:rsidR="00A522E8" w:rsidRPr="00A522E8" w:rsidRDefault="00A522E8" w:rsidP="00A522E8">
            <w:pPr>
              <w:jc w:val="right"/>
              <w:rPr>
                <w:rFonts w:ascii="Calibri" w:eastAsia="Times New Roman" w:hAnsi="Calibri" w:cs="Times New Roman"/>
                <w:i/>
                <w:iCs/>
                <w:color w:val="000000"/>
                <w:sz w:val="21"/>
                <w:szCs w:val="22"/>
                <w:lang w:val="en-US"/>
              </w:rPr>
            </w:pPr>
          </w:p>
        </w:tc>
        <w:tc>
          <w:tcPr>
            <w:tcW w:w="1800" w:type="dxa"/>
            <w:gridSpan w:val="2"/>
            <w:tcBorders>
              <w:top w:val="nil"/>
              <w:left w:val="nil"/>
              <w:bottom w:val="nil"/>
              <w:right w:val="nil"/>
            </w:tcBorders>
            <w:shd w:val="clear" w:color="auto" w:fill="auto"/>
            <w:noWrap/>
            <w:vAlign w:val="bottom"/>
            <w:hideMark/>
          </w:tcPr>
          <w:p w14:paraId="68FE3661"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5.4%</w:t>
            </w:r>
          </w:p>
        </w:tc>
        <w:tc>
          <w:tcPr>
            <w:tcW w:w="1060" w:type="dxa"/>
            <w:gridSpan w:val="2"/>
            <w:tcBorders>
              <w:top w:val="nil"/>
              <w:left w:val="nil"/>
              <w:bottom w:val="nil"/>
              <w:right w:val="nil"/>
            </w:tcBorders>
            <w:shd w:val="clear" w:color="auto" w:fill="auto"/>
            <w:noWrap/>
            <w:vAlign w:val="bottom"/>
            <w:hideMark/>
          </w:tcPr>
          <w:p w14:paraId="7B790FE9" w14:textId="77777777" w:rsidR="00A522E8" w:rsidRPr="00A522E8" w:rsidRDefault="00A522E8" w:rsidP="00A522E8">
            <w:pPr>
              <w:jc w:val="right"/>
              <w:rPr>
                <w:rFonts w:ascii="Calibri" w:eastAsia="Times New Roman" w:hAnsi="Calibri" w:cs="Times New Roman"/>
                <w:i/>
                <w:iCs/>
                <w:color w:val="000000"/>
                <w:sz w:val="21"/>
                <w:szCs w:val="22"/>
                <w:lang w:val="en-US"/>
              </w:rPr>
            </w:pPr>
          </w:p>
        </w:tc>
        <w:tc>
          <w:tcPr>
            <w:tcW w:w="1600" w:type="dxa"/>
            <w:gridSpan w:val="2"/>
            <w:tcBorders>
              <w:top w:val="nil"/>
              <w:left w:val="nil"/>
              <w:bottom w:val="nil"/>
              <w:right w:val="nil"/>
            </w:tcBorders>
            <w:shd w:val="clear" w:color="auto" w:fill="auto"/>
            <w:noWrap/>
            <w:vAlign w:val="bottom"/>
            <w:hideMark/>
          </w:tcPr>
          <w:p w14:paraId="6E645454"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29%</w:t>
            </w:r>
          </w:p>
        </w:tc>
        <w:tc>
          <w:tcPr>
            <w:tcW w:w="1600" w:type="dxa"/>
            <w:gridSpan w:val="2"/>
            <w:tcBorders>
              <w:top w:val="nil"/>
              <w:left w:val="nil"/>
              <w:bottom w:val="nil"/>
              <w:right w:val="nil"/>
            </w:tcBorders>
            <w:shd w:val="clear" w:color="auto" w:fill="auto"/>
            <w:noWrap/>
            <w:vAlign w:val="bottom"/>
            <w:hideMark/>
          </w:tcPr>
          <w:p w14:paraId="1A040FEE"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5.4%</w:t>
            </w:r>
          </w:p>
        </w:tc>
        <w:tc>
          <w:tcPr>
            <w:tcW w:w="1600" w:type="dxa"/>
            <w:gridSpan w:val="2"/>
            <w:tcBorders>
              <w:top w:val="nil"/>
              <w:left w:val="nil"/>
              <w:bottom w:val="nil"/>
              <w:right w:val="nil"/>
            </w:tcBorders>
            <w:shd w:val="clear" w:color="auto" w:fill="auto"/>
            <w:noWrap/>
            <w:vAlign w:val="bottom"/>
            <w:hideMark/>
          </w:tcPr>
          <w:p w14:paraId="28E3E937"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54%</w:t>
            </w:r>
          </w:p>
        </w:tc>
        <w:tc>
          <w:tcPr>
            <w:tcW w:w="1600" w:type="dxa"/>
            <w:gridSpan w:val="2"/>
            <w:tcBorders>
              <w:top w:val="nil"/>
              <w:left w:val="nil"/>
              <w:bottom w:val="nil"/>
              <w:right w:val="nil"/>
            </w:tcBorders>
            <w:shd w:val="clear" w:color="auto" w:fill="auto"/>
            <w:noWrap/>
            <w:vAlign w:val="bottom"/>
            <w:hideMark/>
          </w:tcPr>
          <w:p w14:paraId="4A76AEF5"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15.4%</w:t>
            </w:r>
          </w:p>
        </w:tc>
      </w:tr>
      <w:tr w:rsidR="00A522E8" w:rsidRPr="00A522E8" w14:paraId="76617464" w14:textId="77777777" w:rsidTr="00A522E8">
        <w:trPr>
          <w:trHeight w:val="20"/>
        </w:trPr>
        <w:tc>
          <w:tcPr>
            <w:tcW w:w="990" w:type="dxa"/>
            <w:tcBorders>
              <w:top w:val="nil"/>
              <w:left w:val="nil"/>
              <w:bottom w:val="nil"/>
              <w:right w:val="nil"/>
            </w:tcBorders>
            <w:shd w:val="clear" w:color="auto" w:fill="auto"/>
            <w:noWrap/>
            <w:vAlign w:val="bottom"/>
            <w:hideMark/>
          </w:tcPr>
          <w:p w14:paraId="404151FC" w14:textId="77777777" w:rsidR="00A522E8" w:rsidRPr="00A522E8" w:rsidRDefault="00A522E8" w:rsidP="00A522E8">
            <w:pPr>
              <w:jc w:val="right"/>
              <w:rPr>
                <w:rFonts w:ascii="Calibri" w:eastAsia="Times New Roman" w:hAnsi="Calibri" w:cs="Times New Roman"/>
                <w:i/>
                <w:iCs/>
                <w:color w:val="000000"/>
                <w:sz w:val="21"/>
                <w:szCs w:val="22"/>
                <w:lang w:val="en-US"/>
              </w:rPr>
            </w:pPr>
          </w:p>
        </w:tc>
        <w:tc>
          <w:tcPr>
            <w:tcW w:w="1170" w:type="dxa"/>
            <w:tcBorders>
              <w:top w:val="nil"/>
              <w:left w:val="nil"/>
              <w:bottom w:val="nil"/>
              <w:right w:val="nil"/>
            </w:tcBorders>
            <w:shd w:val="clear" w:color="auto" w:fill="auto"/>
            <w:noWrap/>
            <w:vAlign w:val="bottom"/>
            <w:hideMark/>
          </w:tcPr>
          <w:p w14:paraId="24F30631" w14:textId="77777777" w:rsidR="00A522E8" w:rsidRPr="00A522E8" w:rsidRDefault="00A522E8" w:rsidP="00A522E8">
            <w:pPr>
              <w:rPr>
                <w:rFonts w:ascii="Times New Roman" w:eastAsia="Times New Roman" w:hAnsi="Times New Roman" w:cs="Times New Roman"/>
                <w:sz w:val="21"/>
                <w:szCs w:val="20"/>
                <w:lang w:val="en-US"/>
              </w:rPr>
            </w:pPr>
          </w:p>
        </w:tc>
        <w:tc>
          <w:tcPr>
            <w:tcW w:w="1560" w:type="dxa"/>
            <w:gridSpan w:val="2"/>
            <w:tcBorders>
              <w:top w:val="nil"/>
              <w:left w:val="nil"/>
              <w:bottom w:val="nil"/>
              <w:right w:val="nil"/>
            </w:tcBorders>
            <w:shd w:val="clear" w:color="auto" w:fill="auto"/>
            <w:noWrap/>
            <w:vAlign w:val="bottom"/>
            <w:hideMark/>
          </w:tcPr>
          <w:p w14:paraId="1A4150E2" w14:textId="77777777" w:rsidR="00A522E8" w:rsidRPr="00A522E8" w:rsidRDefault="00A522E8" w:rsidP="00A522E8">
            <w:pPr>
              <w:rPr>
                <w:rFonts w:ascii="Times New Roman" w:eastAsia="Times New Roman" w:hAnsi="Times New Roman" w:cs="Times New Roman"/>
                <w:sz w:val="21"/>
                <w:szCs w:val="20"/>
                <w:lang w:val="en-US"/>
              </w:rPr>
            </w:pPr>
          </w:p>
        </w:tc>
        <w:tc>
          <w:tcPr>
            <w:tcW w:w="1140" w:type="dxa"/>
            <w:gridSpan w:val="2"/>
            <w:tcBorders>
              <w:top w:val="nil"/>
              <w:left w:val="nil"/>
              <w:bottom w:val="nil"/>
              <w:right w:val="nil"/>
            </w:tcBorders>
            <w:shd w:val="clear" w:color="auto" w:fill="auto"/>
            <w:noWrap/>
            <w:vAlign w:val="bottom"/>
            <w:hideMark/>
          </w:tcPr>
          <w:p w14:paraId="56C8A1BA" w14:textId="77777777" w:rsidR="00A522E8" w:rsidRPr="00A522E8" w:rsidRDefault="00A522E8" w:rsidP="00A522E8">
            <w:pPr>
              <w:rPr>
                <w:rFonts w:ascii="Times New Roman" w:eastAsia="Times New Roman" w:hAnsi="Times New Roman" w:cs="Times New Roman"/>
                <w:sz w:val="21"/>
                <w:szCs w:val="20"/>
                <w:lang w:val="en-US"/>
              </w:rPr>
            </w:pPr>
          </w:p>
        </w:tc>
        <w:tc>
          <w:tcPr>
            <w:tcW w:w="1800" w:type="dxa"/>
            <w:gridSpan w:val="2"/>
            <w:tcBorders>
              <w:top w:val="nil"/>
              <w:left w:val="nil"/>
              <w:bottom w:val="nil"/>
              <w:right w:val="nil"/>
            </w:tcBorders>
            <w:shd w:val="clear" w:color="auto" w:fill="auto"/>
            <w:noWrap/>
            <w:vAlign w:val="bottom"/>
            <w:hideMark/>
          </w:tcPr>
          <w:p w14:paraId="69F13C2D" w14:textId="77777777" w:rsidR="00A522E8" w:rsidRPr="00A522E8" w:rsidRDefault="00A522E8" w:rsidP="00A522E8">
            <w:pPr>
              <w:rPr>
                <w:rFonts w:ascii="Times New Roman" w:eastAsia="Times New Roman" w:hAnsi="Times New Roman" w:cs="Times New Roman"/>
                <w:sz w:val="21"/>
                <w:szCs w:val="20"/>
                <w:lang w:val="en-US"/>
              </w:rPr>
            </w:pPr>
          </w:p>
        </w:tc>
        <w:tc>
          <w:tcPr>
            <w:tcW w:w="1060" w:type="dxa"/>
            <w:gridSpan w:val="2"/>
            <w:tcBorders>
              <w:top w:val="nil"/>
              <w:left w:val="nil"/>
              <w:bottom w:val="nil"/>
              <w:right w:val="nil"/>
            </w:tcBorders>
            <w:shd w:val="clear" w:color="auto" w:fill="auto"/>
            <w:noWrap/>
            <w:vAlign w:val="bottom"/>
            <w:hideMark/>
          </w:tcPr>
          <w:p w14:paraId="669E81DB" w14:textId="77777777" w:rsidR="00A522E8" w:rsidRPr="00A522E8" w:rsidRDefault="00A522E8" w:rsidP="00A522E8">
            <w:pP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noWrap/>
            <w:vAlign w:val="bottom"/>
            <w:hideMark/>
          </w:tcPr>
          <w:p w14:paraId="69E8A3E5" w14:textId="77777777" w:rsidR="00A522E8" w:rsidRPr="00A522E8" w:rsidRDefault="00A522E8" w:rsidP="00A522E8">
            <w:pP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noWrap/>
            <w:vAlign w:val="bottom"/>
            <w:hideMark/>
          </w:tcPr>
          <w:p w14:paraId="1CE47344" w14:textId="77777777" w:rsidR="00A522E8" w:rsidRPr="00A522E8" w:rsidRDefault="00A522E8" w:rsidP="00A522E8">
            <w:pP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noWrap/>
            <w:vAlign w:val="bottom"/>
            <w:hideMark/>
          </w:tcPr>
          <w:p w14:paraId="0326C0D6" w14:textId="77777777" w:rsidR="00A522E8" w:rsidRPr="00A522E8" w:rsidRDefault="00A522E8" w:rsidP="00A522E8">
            <w:pP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noWrap/>
            <w:vAlign w:val="bottom"/>
            <w:hideMark/>
          </w:tcPr>
          <w:p w14:paraId="00C09003" w14:textId="77777777" w:rsidR="00A522E8" w:rsidRPr="00A522E8" w:rsidRDefault="00A522E8" w:rsidP="00A522E8">
            <w:pPr>
              <w:rPr>
                <w:rFonts w:ascii="Times New Roman" w:eastAsia="Times New Roman" w:hAnsi="Times New Roman" w:cs="Times New Roman"/>
                <w:sz w:val="21"/>
                <w:szCs w:val="20"/>
                <w:lang w:val="en-US"/>
              </w:rPr>
            </w:pPr>
          </w:p>
        </w:tc>
      </w:tr>
      <w:tr w:rsidR="00A522E8" w:rsidRPr="00A522E8" w14:paraId="3D48F0EF" w14:textId="77777777" w:rsidTr="00A522E8">
        <w:trPr>
          <w:gridAfter w:val="1"/>
          <w:wAfter w:w="40" w:type="dxa"/>
          <w:trHeight w:val="20"/>
        </w:trPr>
        <w:tc>
          <w:tcPr>
            <w:tcW w:w="3680" w:type="dxa"/>
            <w:gridSpan w:val="3"/>
            <w:tcBorders>
              <w:top w:val="nil"/>
              <w:left w:val="nil"/>
              <w:bottom w:val="nil"/>
              <w:right w:val="nil"/>
            </w:tcBorders>
            <w:shd w:val="clear" w:color="auto" w:fill="auto"/>
            <w:noWrap/>
            <w:vAlign w:val="center"/>
            <w:hideMark/>
          </w:tcPr>
          <w:p w14:paraId="13BB2519" w14:textId="77777777" w:rsidR="00A522E8" w:rsidRPr="00A522E8" w:rsidRDefault="00A522E8" w:rsidP="00A522E8">
            <w:pPr>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Total knee replacement (TKR)</w:t>
            </w:r>
          </w:p>
        </w:tc>
        <w:tc>
          <w:tcPr>
            <w:tcW w:w="1140" w:type="dxa"/>
            <w:gridSpan w:val="2"/>
            <w:tcBorders>
              <w:top w:val="nil"/>
              <w:left w:val="nil"/>
              <w:bottom w:val="nil"/>
              <w:right w:val="nil"/>
            </w:tcBorders>
            <w:shd w:val="clear" w:color="auto" w:fill="auto"/>
            <w:vAlign w:val="center"/>
            <w:hideMark/>
          </w:tcPr>
          <w:p w14:paraId="0D8AF1CC" w14:textId="77777777" w:rsidR="00A522E8" w:rsidRPr="00A522E8" w:rsidRDefault="00A522E8" w:rsidP="00A522E8">
            <w:pPr>
              <w:rPr>
                <w:rFonts w:ascii="Calibri" w:eastAsia="Times New Roman" w:hAnsi="Calibri" w:cs="Times New Roman"/>
                <w:i/>
                <w:iCs/>
                <w:color w:val="000000"/>
                <w:sz w:val="21"/>
                <w:szCs w:val="22"/>
                <w:lang w:val="en-US"/>
              </w:rPr>
            </w:pPr>
          </w:p>
        </w:tc>
        <w:tc>
          <w:tcPr>
            <w:tcW w:w="1800" w:type="dxa"/>
            <w:gridSpan w:val="2"/>
            <w:tcBorders>
              <w:top w:val="nil"/>
              <w:left w:val="nil"/>
              <w:bottom w:val="nil"/>
              <w:right w:val="nil"/>
            </w:tcBorders>
            <w:shd w:val="clear" w:color="auto" w:fill="auto"/>
            <w:vAlign w:val="center"/>
            <w:hideMark/>
          </w:tcPr>
          <w:p w14:paraId="266ADE0D"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060" w:type="dxa"/>
            <w:gridSpan w:val="2"/>
            <w:tcBorders>
              <w:top w:val="nil"/>
              <w:left w:val="nil"/>
              <w:bottom w:val="nil"/>
              <w:right w:val="nil"/>
            </w:tcBorders>
            <w:shd w:val="clear" w:color="auto" w:fill="auto"/>
            <w:vAlign w:val="center"/>
            <w:hideMark/>
          </w:tcPr>
          <w:p w14:paraId="6CD56260"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512BEBEB"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1D0677B5"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1C2B0C5C" w14:textId="77777777" w:rsidR="00A522E8" w:rsidRPr="00A522E8" w:rsidRDefault="00A522E8" w:rsidP="00A522E8">
            <w:pPr>
              <w:jc w:val="center"/>
              <w:rPr>
                <w:rFonts w:ascii="Times New Roman" w:eastAsia="Times New Roman" w:hAnsi="Times New Roman" w:cs="Times New Roman"/>
                <w:sz w:val="21"/>
                <w:szCs w:val="20"/>
                <w:lang w:val="en-US"/>
              </w:rPr>
            </w:pPr>
          </w:p>
        </w:tc>
        <w:tc>
          <w:tcPr>
            <w:tcW w:w="1600" w:type="dxa"/>
            <w:gridSpan w:val="2"/>
            <w:tcBorders>
              <w:top w:val="nil"/>
              <w:left w:val="nil"/>
              <w:bottom w:val="nil"/>
              <w:right w:val="nil"/>
            </w:tcBorders>
            <w:shd w:val="clear" w:color="auto" w:fill="auto"/>
            <w:vAlign w:val="center"/>
            <w:hideMark/>
          </w:tcPr>
          <w:p w14:paraId="3A85E257" w14:textId="77777777" w:rsidR="00A522E8" w:rsidRPr="00A522E8" w:rsidRDefault="00A522E8" w:rsidP="00A522E8">
            <w:pPr>
              <w:jc w:val="center"/>
              <w:rPr>
                <w:rFonts w:ascii="Times New Roman" w:eastAsia="Times New Roman" w:hAnsi="Times New Roman" w:cs="Times New Roman"/>
                <w:sz w:val="21"/>
                <w:szCs w:val="20"/>
                <w:lang w:val="en-US"/>
              </w:rPr>
            </w:pPr>
          </w:p>
        </w:tc>
      </w:tr>
      <w:tr w:rsidR="00A522E8" w:rsidRPr="00A522E8" w14:paraId="46B9FED8" w14:textId="77777777" w:rsidTr="00A522E8">
        <w:trPr>
          <w:trHeight w:val="20"/>
        </w:trPr>
        <w:tc>
          <w:tcPr>
            <w:tcW w:w="990" w:type="dxa"/>
            <w:tcBorders>
              <w:top w:val="nil"/>
              <w:left w:val="nil"/>
              <w:bottom w:val="nil"/>
              <w:right w:val="nil"/>
            </w:tcBorders>
            <w:shd w:val="clear" w:color="auto" w:fill="auto"/>
            <w:noWrap/>
            <w:vAlign w:val="bottom"/>
            <w:hideMark/>
          </w:tcPr>
          <w:p w14:paraId="324FC5AF"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A</w:t>
            </w:r>
          </w:p>
        </w:tc>
        <w:tc>
          <w:tcPr>
            <w:tcW w:w="1170" w:type="dxa"/>
            <w:tcBorders>
              <w:top w:val="nil"/>
              <w:left w:val="nil"/>
              <w:bottom w:val="nil"/>
              <w:right w:val="nil"/>
            </w:tcBorders>
            <w:shd w:val="clear" w:color="auto" w:fill="auto"/>
            <w:noWrap/>
            <w:vAlign w:val="bottom"/>
            <w:hideMark/>
          </w:tcPr>
          <w:p w14:paraId="395FA1A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1,143</w:t>
            </w:r>
          </w:p>
        </w:tc>
        <w:tc>
          <w:tcPr>
            <w:tcW w:w="1560" w:type="dxa"/>
            <w:gridSpan w:val="2"/>
            <w:tcBorders>
              <w:top w:val="nil"/>
              <w:left w:val="nil"/>
              <w:bottom w:val="nil"/>
              <w:right w:val="nil"/>
            </w:tcBorders>
            <w:shd w:val="clear" w:color="auto" w:fill="auto"/>
            <w:noWrap/>
            <w:vAlign w:val="bottom"/>
            <w:hideMark/>
          </w:tcPr>
          <w:p w14:paraId="24C8ECF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34.1</w:t>
            </w:r>
          </w:p>
        </w:tc>
        <w:tc>
          <w:tcPr>
            <w:tcW w:w="1140" w:type="dxa"/>
            <w:gridSpan w:val="2"/>
            <w:tcBorders>
              <w:top w:val="nil"/>
              <w:left w:val="nil"/>
              <w:bottom w:val="nil"/>
              <w:right w:val="nil"/>
            </w:tcBorders>
            <w:shd w:val="clear" w:color="auto" w:fill="auto"/>
            <w:noWrap/>
            <w:vAlign w:val="bottom"/>
            <w:hideMark/>
          </w:tcPr>
          <w:p w14:paraId="4B37982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35.8%</w:t>
            </w:r>
          </w:p>
        </w:tc>
        <w:tc>
          <w:tcPr>
            <w:tcW w:w="1800" w:type="dxa"/>
            <w:gridSpan w:val="2"/>
            <w:tcBorders>
              <w:top w:val="nil"/>
              <w:left w:val="nil"/>
              <w:bottom w:val="nil"/>
              <w:right w:val="nil"/>
            </w:tcBorders>
            <w:shd w:val="clear" w:color="auto" w:fill="auto"/>
            <w:noWrap/>
            <w:vAlign w:val="bottom"/>
            <w:hideMark/>
          </w:tcPr>
          <w:p w14:paraId="2ED4AA2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4.8%</w:t>
            </w:r>
          </w:p>
        </w:tc>
        <w:tc>
          <w:tcPr>
            <w:tcW w:w="1060" w:type="dxa"/>
            <w:gridSpan w:val="2"/>
            <w:tcBorders>
              <w:top w:val="nil"/>
              <w:left w:val="nil"/>
              <w:bottom w:val="nil"/>
              <w:right w:val="nil"/>
            </w:tcBorders>
            <w:shd w:val="clear" w:color="auto" w:fill="auto"/>
            <w:noWrap/>
            <w:vAlign w:val="bottom"/>
            <w:hideMark/>
          </w:tcPr>
          <w:p w14:paraId="2F910E9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96.1%</w:t>
            </w:r>
          </w:p>
        </w:tc>
        <w:tc>
          <w:tcPr>
            <w:tcW w:w="1600" w:type="dxa"/>
            <w:gridSpan w:val="2"/>
            <w:tcBorders>
              <w:top w:val="nil"/>
              <w:left w:val="nil"/>
              <w:bottom w:val="nil"/>
              <w:right w:val="nil"/>
            </w:tcBorders>
            <w:shd w:val="clear" w:color="auto" w:fill="auto"/>
            <w:noWrap/>
            <w:vAlign w:val="bottom"/>
            <w:hideMark/>
          </w:tcPr>
          <w:p w14:paraId="6AE9579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10%</w:t>
            </w:r>
          </w:p>
        </w:tc>
        <w:tc>
          <w:tcPr>
            <w:tcW w:w="1600" w:type="dxa"/>
            <w:gridSpan w:val="2"/>
            <w:tcBorders>
              <w:top w:val="nil"/>
              <w:left w:val="nil"/>
              <w:bottom w:val="nil"/>
              <w:right w:val="nil"/>
            </w:tcBorders>
            <w:shd w:val="clear" w:color="auto" w:fill="auto"/>
            <w:noWrap/>
            <w:vAlign w:val="bottom"/>
            <w:hideMark/>
          </w:tcPr>
          <w:p w14:paraId="14D270E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6.4%</w:t>
            </w:r>
          </w:p>
        </w:tc>
        <w:tc>
          <w:tcPr>
            <w:tcW w:w="1600" w:type="dxa"/>
            <w:gridSpan w:val="2"/>
            <w:tcBorders>
              <w:top w:val="nil"/>
              <w:left w:val="nil"/>
              <w:bottom w:val="nil"/>
              <w:right w:val="nil"/>
            </w:tcBorders>
            <w:shd w:val="clear" w:color="auto" w:fill="auto"/>
            <w:noWrap/>
            <w:vAlign w:val="bottom"/>
            <w:hideMark/>
          </w:tcPr>
          <w:p w14:paraId="684161F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50%</w:t>
            </w:r>
          </w:p>
        </w:tc>
        <w:tc>
          <w:tcPr>
            <w:tcW w:w="1600" w:type="dxa"/>
            <w:gridSpan w:val="2"/>
            <w:tcBorders>
              <w:top w:val="nil"/>
              <w:left w:val="nil"/>
              <w:bottom w:val="nil"/>
              <w:right w:val="nil"/>
            </w:tcBorders>
            <w:shd w:val="clear" w:color="auto" w:fill="auto"/>
            <w:noWrap/>
            <w:vAlign w:val="bottom"/>
            <w:hideMark/>
          </w:tcPr>
          <w:p w14:paraId="2F57649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18.6%</w:t>
            </w:r>
          </w:p>
        </w:tc>
      </w:tr>
      <w:tr w:rsidR="00A522E8" w:rsidRPr="00A522E8" w14:paraId="43C622FA" w14:textId="77777777" w:rsidTr="00A522E8">
        <w:trPr>
          <w:trHeight w:val="20"/>
        </w:trPr>
        <w:tc>
          <w:tcPr>
            <w:tcW w:w="990" w:type="dxa"/>
            <w:tcBorders>
              <w:top w:val="nil"/>
              <w:left w:val="nil"/>
              <w:bottom w:val="nil"/>
              <w:right w:val="nil"/>
            </w:tcBorders>
            <w:shd w:val="clear" w:color="auto" w:fill="auto"/>
            <w:noWrap/>
            <w:vAlign w:val="bottom"/>
            <w:hideMark/>
          </w:tcPr>
          <w:p w14:paraId="68727B15"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B</w:t>
            </w:r>
          </w:p>
        </w:tc>
        <w:tc>
          <w:tcPr>
            <w:tcW w:w="1170" w:type="dxa"/>
            <w:tcBorders>
              <w:top w:val="nil"/>
              <w:left w:val="nil"/>
              <w:bottom w:val="nil"/>
              <w:right w:val="nil"/>
            </w:tcBorders>
            <w:shd w:val="clear" w:color="auto" w:fill="auto"/>
            <w:noWrap/>
            <w:vAlign w:val="bottom"/>
            <w:hideMark/>
          </w:tcPr>
          <w:p w14:paraId="0AE8D3F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542</w:t>
            </w:r>
          </w:p>
        </w:tc>
        <w:tc>
          <w:tcPr>
            <w:tcW w:w="1560" w:type="dxa"/>
            <w:gridSpan w:val="2"/>
            <w:tcBorders>
              <w:top w:val="nil"/>
              <w:left w:val="nil"/>
              <w:bottom w:val="nil"/>
              <w:right w:val="nil"/>
            </w:tcBorders>
            <w:shd w:val="clear" w:color="auto" w:fill="auto"/>
            <w:noWrap/>
            <w:vAlign w:val="bottom"/>
            <w:hideMark/>
          </w:tcPr>
          <w:p w14:paraId="2117429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35.1</w:t>
            </w:r>
          </w:p>
        </w:tc>
        <w:tc>
          <w:tcPr>
            <w:tcW w:w="1140" w:type="dxa"/>
            <w:gridSpan w:val="2"/>
            <w:tcBorders>
              <w:top w:val="nil"/>
              <w:left w:val="nil"/>
              <w:bottom w:val="nil"/>
              <w:right w:val="nil"/>
            </w:tcBorders>
            <w:shd w:val="clear" w:color="auto" w:fill="auto"/>
            <w:noWrap/>
            <w:vAlign w:val="bottom"/>
            <w:hideMark/>
          </w:tcPr>
          <w:p w14:paraId="1462F26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96.5%</w:t>
            </w:r>
          </w:p>
        </w:tc>
        <w:tc>
          <w:tcPr>
            <w:tcW w:w="1800" w:type="dxa"/>
            <w:gridSpan w:val="2"/>
            <w:tcBorders>
              <w:top w:val="nil"/>
              <w:left w:val="nil"/>
              <w:bottom w:val="nil"/>
              <w:right w:val="nil"/>
            </w:tcBorders>
            <w:shd w:val="clear" w:color="auto" w:fill="auto"/>
            <w:noWrap/>
            <w:vAlign w:val="bottom"/>
            <w:hideMark/>
          </w:tcPr>
          <w:p w14:paraId="32FB095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5.4%</w:t>
            </w:r>
          </w:p>
        </w:tc>
        <w:tc>
          <w:tcPr>
            <w:tcW w:w="1060" w:type="dxa"/>
            <w:gridSpan w:val="2"/>
            <w:tcBorders>
              <w:top w:val="nil"/>
              <w:left w:val="nil"/>
              <w:bottom w:val="nil"/>
              <w:right w:val="nil"/>
            </w:tcBorders>
            <w:shd w:val="clear" w:color="auto" w:fill="auto"/>
            <w:noWrap/>
            <w:vAlign w:val="bottom"/>
            <w:hideMark/>
          </w:tcPr>
          <w:p w14:paraId="63A1AB2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67.8%</w:t>
            </w:r>
          </w:p>
        </w:tc>
        <w:tc>
          <w:tcPr>
            <w:tcW w:w="1600" w:type="dxa"/>
            <w:gridSpan w:val="2"/>
            <w:tcBorders>
              <w:top w:val="nil"/>
              <w:left w:val="nil"/>
              <w:bottom w:val="nil"/>
              <w:right w:val="nil"/>
            </w:tcBorders>
            <w:shd w:val="clear" w:color="auto" w:fill="auto"/>
            <w:noWrap/>
            <w:vAlign w:val="bottom"/>
            <w:hideMark/>
          </w:tcPr>
          <w:p w14:paraId="4C30475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16%</w:t>
            </w:r>
          </w:p>
        </w:tc>
        <w:tc>
          <w:tcPr>
            <w:tcW w:w="1600" w:type="dxa"/>
            <w:gridSpan w:val="2"/>
            <w:tcBorders>
              <w:top w:val="nil"/>
              <w:left w:val="nil"/>
              <w:bottom w:val="nil"/>
              <w:right w:val="nil"/>
            </w:tcBorders>
            <w:shd w:val="clear" w:color="auto" w:fill="auto"/>
            <w:noWrap/>
            <w:vAlign w:val="bottom"/>
            <w:hideMark/>
          </w:tcPr>
          <w:p w14:paraId="732CDF3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6.0%</w:t>
            </w:r>
          </w:p>
        </w:tc>
        <w:tc>
          <w:tcPr>
            <w:tcW w:w="1600" w:type="dxa"/>
            <w:gridSpan w:val="2"/>
            <w:tcBorders>
              <w:top w:val="nil"/>
              <w:left w:val="nil"/>
              <w:bottom w:val="nil"/>
              <w:right w:val="nil"/>
            </w:tcBorders>
            <w:shd w:val="clear" w:color="auto" w:fill="auto"/>
            <w:noWrap/>
            <w:vAlign w:val="bottom"/>
            <w:hideMark/>
          </w:tcPr>
          <w:p w14:paraId="1B7B42C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55%</w:t>
            </w:r>
          </w:p>
        </w:tc>
        <w:tc>
          <w:tcPr>
            <w:tcW w:w="1600" w:type="dxa"/>
            <w:gridSpan w:val="2"/>
            <w:tcBorders>
              <w:top w:val="nil"/>
              <w:left w:val="nil"/>
              <w:bottom w:val="nil"/>
              <w:right w:val="nil"/>
            </w:tcBorders>
            <w:shd w:val="clear" w:color="auto" w:fill="auto"/>
            <w:noWrap/>
            <w:vAlign w:val="bottom"/>
            <w:hideMark/>
          </w:tcPr>
          <w:p w14:paraId="62BE90C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0.0%</w:t>
            </w:r>
          </w:p>
        </w:tc>
      </w:tr>
      <w:tr w:rsidR="00A522E8" w:rsidRPr="00A522E8" w14:paraId="43D52DA6" w14:textId="77777777" w:rsidTr="00A522E8">
        <w:trPr>
          <w:trHeight w:val="20"/>
        </w:trPr>
        <w:tc>
          <w:tcPr>
            <w:tcW w:w="990" w:type="dxa"/>
            <w:tcBorders>
              <w:top w:val="nil"/>
              <w:left w:val="nil"/>
              <w:bottom w:val="nil"/>
              <w:right w:val="nil"/>
            </w:tcBorders>
            <w:shd w:val="clear" w:color="auto" w:fill="auto"/>
            <w:noWrap/>
            <w:vAlign w:val="bottom"/>
            <w:hideMark/>
          </w:tcPr>
          <w:p w14:paraId="23389921" w14:textId="77777777" w:rsidR="00A522E8" w:rsidRPr="00A522E8" w:rsidRDefault="00A522E8" w:rsidP="00A522E8">
            <w:pPr>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C</w:t>
            </w:r>
          </w:p>
        </w:tc>
        <w:tc>
          <w:tcPr>
            <w:tcW w:w="1170" w:type="dxa"/>
            <w:tcBorders>
              <w:top w:val="nil"/>
              <w:left w:val="nil"/>
              <w:bottom w:val="nil"/>
              <w:right w:val="nil"/>
            </w:tcBorders>
            <w:shd w:val="clear" w:color="auto" w:fill="auto"/>
            <w:noWrap/>
            <w:vAlign w:val="bottom"/>
            <w:hideMark/>
          </w:tcPr>
          <w:p w14:paraId="4D574554"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735</w:t>
            </w:r>
          </w:p>
        </w:tc>
        <w:tc>
          <w:tcPr>
            <w:tcW w:w="1560" w:type="dxa"/>
            <w:gridSpan w:val="2"/>
            <w:tcBorders>
              <w:top w:val="nil"/>
              <w:left w:val="nil"/>
              <w:bottom w:val="nil"/>
              <w:right w:val="nil"/>
            </w:tcBorders>
            <w:shd w:val="clear" w:color="auto" w:fill="auto"/>
            <w:noWrap/>
            <w:vAlign w:val="bottom"/>
            <w:hideMark/>
          </w:tcPr>
          <w:p w14:paraId="280B8627"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36.2</w:t>
            </w:r>
          </w:p>
        </w:tc>
        <w:tc>
          <w:tcPr>
            <w:tcW w:w="1140" w:type="dxa"/>
            <w:gridSpan w:val="2"/>
            <w:tcBorders>
              <w:top w:val="nil"/>
              <w:left w:val="nil"/>
              <w:bottom w:val="nil"/>
              <w:right w:val="nil"/>
            </w:tcBorders>
            <w:shd w:val="clear" w:color="auto" w:fill="auto"/>
            <w:noWrap/>
            <w:vAlign w:val="bottom"/>
            <w:hideMark/>
          </w:tcPr>
          <w:p w14:paraId="5D264974"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99.9%</w:t>
            </w:r>
          </w:p>
        </w:tc>
        <w:tc>
          <w:tcPr>
            <w:tcW w:w="1800" w:type="dxa"/>
            <w:gridSpan w:val="2"/>
            <w:tcBorders>
              <w:top w:val="nil"/>
              <w:left w:val="nil"/>
              <w:bottom w:val="nil"/>
              <w:right w:val="nil"/>
            </w:tcBorders>
            <w:shd w:val="clear" w:color="auto" w:fill="auto"/>
            <w:noWrap/>
            <w:vAlign w:val="bottom"/>
            <w:hideMark/>
          </w:tcPr>
          <w:p w14:paraId="20DCC554"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4.1%</w:t>
            </w:r>
          </w:p>
        </w:tc>
        <w:tc>
          <w:tcPr>
            <w:tcW w:w="1060" w:type="dxa"/>
            <w:gridSpan w:val="2"/>
            <w:tcBorders>
              <w:top w:val="nil"/>
              <w:left w:val="nil"/>
              <w:bottom w:val="nil"/>
              <w:right w:val="nil"/>
            </w:tcBorders>
            <w:shd w:val="clear" w:color="auto" w:fill="auto"/>
            <w:noWrap/>
            <w:vAlign w:val="bottom"/>
            <w:hideMark/>
          </w:tcPr>
          <w:p w14:paraId="508AE75B"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99.6%</w:t>
            </w:r>
          </w:p>
        </w:tc>
        <w:tc>
          <w:tcPr>
            <w:tcW w:w="1600" w:type="dxa"/>
            <w:gridSpan w:val="2"/>
            <w:tcBorders>
              <w:top w:val="nil"/>
              <w:left w:val="nil"/>
              <w:bottom w:val="nil"/>
              <w:right w:val="nil"/>
            </w:tcBorders>
            <w:shd w:val="clear" w:color="auto" w:fill="auto"/>
            <w:noWrap/>
            <w:vAlign w:val="bottom"/>
            <w:hideMark/>
          </w:tcPr>
          <w:p w14:paraId="7BDA5E9A"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15%</w:t>
            </w:r>
          </w:p>
        </w:tc>
        <w:tc>
          <w:tcPr>
            <w:tcW w:w="1600" w:type="dxa"/>
            <w:gridSpan w:val="2"/>
            <w:tcBorders>
              <w:top w:val="nil"/>
              <w:left w:val="nil"/>
              <w:bottom w:val="nil"/>
              <w:right w:val="nil"/>
            </w:tcBorders>
            <w:shd w:val="clear" w:color="auto" w:fill="auto"/>
            <w:noWrap/>
            <w:vAlign w:val="bottom"/>
            <w:hideMark/>
          </w:tcPr>
          <w:p w14:paraId="036C4444"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5.7%</w:t>
            </w:r>
          </w:p>
        </w:tc>
        <w:tc>
          <w:tcPr>
            <w:tcW w:w="1600" w:type="dxa"/>
            <w:gridSpan w:val="2"/>
            <w:tcBorders>
              <w:top w:val="nil"/>
              <w:left w:val="nil"/>
              <w:bottom w:val="nil"/>
              <w:right w:val="nil"/>
            </w:tcBorders>
            <w:shd w:val="clear" w:color="auto" w:fill="auto"/>
            <w:noWrap/>
            <w:vAlign w:val="bottom"/>
            <w:hideMark/>
          </w:tcPr>
          <w:p w14:paraId="6B83A42A"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45%</w:t>
            </w:r>
          </w:p>
        </w:tc>
        <w:tc>
          <w:tcPr>
            <w:tcW w:w="1600" w:type="dxa"/>
            <w:gridSpan w:val="2"/>
            <w:tcBorders>
              <w:top w:val="nil"/>
              <w:left w:val="nil"/>
              <w:bottom w:val="nil"/>
              <w:right w:val="nil"/>
            </w:tcBorders>
            <w:shd w:val="clear" w:color="auto" w:fill="auto"/>
            <w:noWrap/>
            <w:vAlign w:val="bottom"/>
            <w:hideMark/>
          </w:tcPr>
          <w:p w14:paraId="343DD9B1"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0.0%</w:t>
            </w:r>
          </w:p>
        </w:tc>
      </w:tr>
      <w:tr w:rsidR="00A522E8" w:rsidRPr="00A522E8" w14:paraId="4C7AE9FB" w14:textId="77777777" w:rsidTr="00A522E8">
        <w:trPr>
          <w:trHeight w:val="20"/>
        </w:trPr>
        <w:tc>
          <w:tcPr>
            <w:tcW w:w="990" w:type="dxa"/>
            <w:tcBorders>
              <w:top w:val="nil"/>
              <w:left w:val="nil"/>
              <w:bottom w:val="nil"/>
              <w:right w:val="nil"/>
            </w:tcBorders>
            <w:shd w:val="clear" w:color="auto" w:fill="auto"/>
            <w:noWrap/>
            <w:vAlign w:val="bottom"/>
            <w:hideMark/>
          </w:tcPr>
          <w:p w14:paraId="644504AE"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D</w:t>
            </w:r>
          </w:p>
        </w:tc>
        <w:tc>
          <w:tcPr>
            <w:tcW w:w="1170" w:type="dxa"/>
            <w:tcBorders>
              <w:top w:val="nil"/>
              <w:left w:val="nil"/>
              <w:bottom w:val="nil"/>
              <w:right w:val="nil"/>
            </w:tcBorders>
            <w:shd w:val="clear" w:color="auto" w:fill="auto"/>
            <w:noWrap/>
            <w:vAlign w:val="bottom"/>
            <w:hideMark/>
          </w:tcPr>
          <w:p w14:paraId="46D17D1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1,177</w:t>
            </w:r>
          </w:p>
        </w:tc>
        <w:tc>
          <w:tcPr>
            <w:tcW w:w="1560" w:type="dxa"/>
            <w:gridSpan w:val="2"/>
            <w:tcBorders>
              <w:top w:val="nil"/>
              <w:left w:val="nil"/>
              <w:bottom w:val="nil"/>
              <w:right w:val="nil"/>
            </w:tcBorders>
            <w:shd w:val="clear" w:color="auto" w:fill="auto"/>
            <w:noWrap/>
            <w:vAlign w:val="bottom"/>
            <w:hideMark/>
          </w:tcPr>
          <w:p w14:paraId="6DB8110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35.2</w:t>
            </w:r>
          </w:p>
        </w:tc>
        <w:tc>
          <w:tcPr>
            <w:tcW w:w="1140" w:type="dxa"/>
            <w:gridSpan w:val="2"/>
            <w:tcBorders>
              <w:top w:val="nil"/>
              <w:left w:val="nil"/>
              <w:bottom w:val="nil"/>
              <w:right w:val="nil"/>
            </w:tcBorders>
            <w:shd w:val="clear" w:color="auto" w:fill="auto"/>
            <w:noWrap/>
            <w:vAlign w:val="bottom"/>
            <w:hideMark/>
          </w:tcPr>
          <w:p w14:paraId="49720C3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99.9%</w:t>
            </w:r>
          </w:p>
        </w:tc>
        <w:tc>
          <w:tcPr>
            <w:tcW w:w="1800" w:type="dxa"/>
            <w:gridSpan w:val="2"/>
            <w:tcBorders>
              <w:top w:val="nil"/>
              <w:left w:val="nil"/>
              <w:bottom w:val="nil"/>
              <w:right w:val="nil"/>
            </w:tcBorders>
            <w:shd w:val="clear" w:color="auto" w:fill="auto"/>
            <w:noWrap/>
            <w:vAlign w:val="bottom"/>
            <w:hideMark/>
          </w:tcPr>
          <w:p w14:paraId="374A74C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4.3%</w:t>
            </w:r>
          </w:p>
        </w:tc>
        <w:tc>
          <w:tcPr>
            <w:tcW w:w="1060" w:type="dxa"/>
            <w:gridSpan w:val="2"/>
            <w:tcBorders>
              <w:top w:val="nil"/>
              <w:left w:val="nil"/>
              <w:bottom w:val="nil"/>
              <w:right w:val="nil"/>
            </w:tcBorders>
            <w:shd w:val="clear" w:color="auto" w:fill="auto"/>
            <w:noWrap/>
            <w:vAlign w:val="bottom"/>
            <w:hideMark/>
          </w:tcPr>
          <w:p w14:paraId="3E6E493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99.6%</w:t>
            </w:r>
          </w:p>
        </w:tc>
        <w:tc>
          <w:tcPr>
            <w:tcW w:w="1600" w:type="dxa"/>
            <w:gridSpan w:val="2"/>
            <w:tcBorders>
              <w:top w:val="nil"/>
              <w:left w:val="nil"/>
              <w:bottom w:val="nil"/>
              <w:right w:val="nil"/>
            </w:tcBorders>
            <w:shd w:val="clear" w:color="auto" w:fill="auto"/>
            <w:noWrap/>
            <w:vAlign w:val="bottom"/>
            <w:hideMark/>
          </w:tcPr>
          <w:p w14:paraId="27FA82F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42%</w:t>
            </w:r>
          </w:p>
        </w:tc>
        <w:tc>
          <w:tcPr>
            <w:tcW w:w="1600" w:type="dxa"/>
            <w:gridSpan w:val="2"/>
            <w:tcBorders>
              <w:top w:val="nil"/>
              <w:left w:val="nil"/>
              <w:bottom w:val="nil"/>
              <w:right w:val="nil"/>
            </w:tcBorders>
            <w:shd w:val="clear" w:color="auto" w:fill="auto"/>
            <w:noWrap/>
            <w:vAlign w:val="bottom"/>
            <w:hideMark/>
          </w:tcPr>
          <w:p w14:paraId="507E1C7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5.6%</w:t>
            </w:r>
          </w:p>
        </w:tc>
        <w:tc>
          <w:tcPr>
            <w:tcW w:w="1600" w:type="dxa"/>
            <w:gridSpan w:val="2"/>
            <w:tcBorders>
              <w:top w:val="nil"/>
              <w:left w:val="nil"/>
              <w:bottom w:val="nil"/>
              <w:right w:val="nil"/>
            </w:tcBorders>
            <w:shd w:val="clear" w:color="auto" w:fill="auto"/>
            <w:noWrap/>
            <w:vAlign w:val="bottom"/>
            <w:hideMark/>
          </w:tcPr>
          <w:p w14:paraId="11179F1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67%</w:t>
            </w:r>
          </w:p>
        </w:tc>
        <w:tc>
          <w:tcPr>
            <w:tcW w:w="1600" w:type="dxa"/>
            <w:gridSpan w:val="2"/>
            <w:tcBorders>
              <w:top w:val="nil"/>
              <w:left w:val="nil"/>
              <w:bottom w:val="nil"/>
              <w:right w:val="nil"/>
            </w:tcBorders>
            <w:shd w:val="clear" w:color="auto" w:fill="auto"/>
            <w:noWrap/>
            <w:vAlign w:val="bottom"/>
            <w:hideMark/>
          </w:tcPr>
          <w:p w14:paraId="523EC0E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20.5%</w:t>
            </w:r>
          </w:p>
        </w:tc>
      </w:tr>
      <w:tr w:rsidR="00A522E8" w:rsidRPr="00A522E8" w14:paraId="0571F112" w14:textId="77777777" w:rsidTr="00A522E8">
        <w:trPr>
          <w:trHeight w:val="20"/>
        </w:trPr>
        <w:tc>
          <w:tcPr>
            <w:tcW w:w="990" w:type="dxa"/>
            <w:tcBorders>
              <w:top w:val="nil"/>
              <w:left w:val="nil"/>
              <w:bottom w:val="nil"/>
              <w:right w:val="nil"/>
            </w:tcBorders>
            <w:shd w:val="clear" w:color="auto" w:fill="auto"/>
            <w:noWrap/>
            <w:vAlign w:val="bottom"/>
            <w:hideMark/>
          </w:tcPr>
          <w:p w14:paraId="226F2564" w14:textId="77777777" w:rsidR="00A522E8" w:rsidRPr="00A522E8" w:rsidRDefault="00A522E8" w:rsidP="00A522E8">
            <w:pPr>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E</w:t>
            </w:r>
          </w:p>
        </w:tc>
        <w:tc>
          <w:tcPr>
            <w:tcW w:w="1170" w:type="dxa"/>
            <w:tcBorders>
              <w:top w:val="nil"/>
              <w:left w:val="nil"/>
              <w:bottom w:val="nil"/>
              <w:right w:val="nil"/>
            </w:tcBorders>
            <w:shd w:val="clear" w:color="auto" w:fill="auto"/>
            <w:noWrap/>
            <w:vAlign w:val="bottom"/>
            <w:hideMark/>
          </w:tcPr>
          <w:p w14:paraId="1CFA33B0"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558</w:t>
            </w:r>
          </w:p>
        </w:tc>
        <w:tc>
          <w:tcPr>
            <w:tcW w:w="1560" w:type="dxa"/>
            <w:gridSpan w:val="2"/>
            <w:tcBorders>
              <w:top w:val="nil"/>
              <w:left w:val="nil"/>
              <w:bottom w:val="nil"/>
              <w:right w:val="nil"/>
            </w:tcBorders>
            <w:shd w:val="clear" w:color="auto" w:fill="auto"/>
            <w:noWrap/>
            <w:vAlign w:val="bottom"/>
            <w:hideMark/>
          </w:tcPr>
          <w:p w14:paraId="459DAFEB"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35.5</w:t>
            </w:r>
          </w:p>
        </w:tc>
        <w:tc>
          <w:tcPr>
            <w:tcW w:w="1140" w:type="dxa"/>
            <w:gridSpan w:val="2"/>
            <w:tcBorders>
              <w:top w:val="nil"/>
              <w:left w:val="nil"/>
              <w:bottom w:val="nil"/>
              <w:right w:val="nil"/>
            </w:tcBorders>
            <w:shd w:val="clear" w:color="auto" w:fill="auto"/>
            <w:noWrap/>
            <w:vAlign w:val="bottom"/>
            <w:hideMark/>
          </w:tcPr>
          <w:p w14:paraId="4D72A110"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99.8%</w:t>
            </w:r>
          </w:p>
        </w:tc>
        <w:tc>
          <w:tcPr>
            <w:tcW w:w="1800" w:type="dxa"/>
            <w:gridSpan w:val="2"/>
            <w:tcBorders>
              <w:top w:val="nil"/>
              <w:left w:val="nil"/>
              <w:bottom w:val="nil"/>
              <w:right w:val="nil"/>
            </w:tcBorders>
            <w:shd w:val="clear" w:color="auto" w:fill="auto"/>
            <w:noWrap/>
            <w:vAlign w:val="bottom"/>
            <w:hideMark/>
          </w:tcPr>
          <w:p w14:paraId="4199C2B9"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5.9%</w:t>
            </w:r>
          </w:p>
        </w:tc>
        <w:tc>
          <w:tcPr>
            <w:tcW w:w="1060" w:type="dxa"/>
            <w:gridSpan w:val="2"/>
            <w:tcBorders>
              <w:top w:val="nil"/>
              <w:left w:val="nil"/>
              <w:bottom w:val="nil"/>
              <w:right w:val="nil"/>
            </w:tcBorders>
            <w:shd w:val="clear" w:color="auto" w:fill="auto"/>
            <w:noWrap/>
            <w:vAlign w:val="bottom"/>
            <w:hideMark/>
          </w:tcPr>
          <w:p w14:paraId="42CFF9DD"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44.8%</w:t>
            </w:r>
          </w:p>
        </w:tc>
        <w:tc>
          <w:tcPr>
            <w:tcW w:w="1600" w:type="dxa"/>
            <w:gridSpan w:val="2"/>
            <w:tcBorders>
              <w:top w:val="nil"/>
              <w:left w:val="nil"/>
              <w:bottom w:val="nil"/>
              <w:right w:val="nil"/>
            </w:tcBorders>
            <w:shd w:val="clear" w:color="auto" w:fill="auto"/>
            <w:noWrap/>
            <w:vAlign w:val="bottom"/>
            <w:hideMark/>
          </w:tcPr>
          <w:p w14:paraId="3FB17824"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16%</w:t>
            </w:r>
          </w:p>
        </w:tc>
        <w:tc>
          <w:tcPr>
            <w:tcW w:w="1600" w:type="dxa"/>
            <w:gridSpan w:val="2"/>
            <w:tcBorders>
              <w:top w:val="nil"/>
              <w:left w:val="nil"/>
              <w:bottom w:val="nil"/>
              <w:right w:val="nil"/>
            </w:tcBorders>
            <w:shd w:val="clear" w:color="auto" w:fill="auto"/>
            <w:noWrap/>
            <w:vAlign w:val="bottom"/>
            <w:hideMark/>
          </w:tcPr>
          <w:p w14:paraId="165AC34A"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5.9%</w:t>
            </w:r>
          </w:p>
        </w:tc>
        <w:tc>
          <w:tcPr>
            <w:tcW w:w="1600" w:type="dxa"/>
            <w:gridSpan w:val="2"/>
            <w:tcBorders>
              <w:top w:val="nil"/>
              <w:left w:val="nil"/>
              <w:bottom w:val="nil"/>
              <w:right w:val="nil"/>
            </w:tcBorders>
            <w:shd w:val="clear" w:color="auto" w:fill="auto"/>
            <w:noWrap/>
            <w:vAlign w:val="bottom"/>
            <w:hideMark/>
          </w:tcPr>
          <w:p w14:paraId="3302A8ED"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76%</w:t>
            </w:r>
          </w:p>
        </w:tc>
        <w:tc>
          <w:tcPr>
            <w:tcW w:w="1600" w:type="dxa"/>
            <w:gridSpan w:val="2"/>
            <w:tcBorders>
              <w:top w:val="nil"/>
              <w:left w:val="nil"/>
              <w:bottom w:val="nil"/>
              <w:right w:val="nil"/>
            </w:tcBorders>
            <w:shd w:val="clear" w:color="auto" w:fill="auto"/>
            <w:noWrap/>
            <w:vAlign w:val="bottom"/>
            <w:hideMark/>
          </w:tcPr>
          <w:p w14:paraId="08176B09" w14:textId="77777777" w:rsidR="00A522E8" w:rsidRPr="00A522E8" w:rsidRDefault="00A522E8" w:rsidP="00A522E8">
            <w:pPr>
              <w:jc w:val="right"/>
              <w:rPr>
                <w:rFonts w:ascii="Calibri" w:eastAsia="Times New Roman" w:hAnsi="Calibri" w:cs="Times New Roman"/>
                <w:b/>
                <w:bCs/>
                <w:color w:val="000000"/>
                <w:sz w:val="21"/>
                <w:szCs w:val="22"/>
                <w:lang w:val="en-US"/>
              </w:rPr>
            </w:pPr>
            <w:r w:rsidRPr="00A522E8">
              <w:rPr>
                <w:rFonts w:ascii="Calibri" w:eastAsia="Times New Roman" w:hAnsi="Calibri" w:cs="Times New Roman"/>
                <w:b/>
                <w:bCs/>
                <w:color w:val="000000"/>
                <w:sz w:val="21"/>
                <w:szCs w:val="22"/>
                <w:lang w:val="en-US"/>
              </w:rPr>
              <w:t>8.6%</w:t>
            </w:r>
          </w:p>
        </w:tc>
      </w:tr>
      <w:tr w:rsidR="00A522E8" w:rsidRPr="00A522E8" w14:paraId="7F439FA6" w14:textId="77777777" w:rsidTr="00A522E8">
        <w:trPr>
          <w:trHeight w:val="20"/>
        </w:trPr>
        <w:tc>
          <w:tcPr>
            <w:tcW w:w="990" w:type="dxa"/>
            <w:tcBorders>
              <w:top w:val="nil"/>
              <w:left w:val="nil"/>
              <w:bottom w:val="nil"/>
              <w:right w:val="nil"/>
            </w:tcBorders>
            <w:shd w:val="clear" w:color="auto" w:fill="auto"/>
            <w:noWrap/>
            <w:vAlign w:val="bottom"/>
            <w:hideMark/>
          </w:tcPr>
          <w:p w14:paraId="7F39E6DF"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F</w:t>
            </w:r>
          </w:p>
        </w:tc>
        <w:tc>
          <w:tcPr>
            <w:tcW w:w="1170" w:type="dxa"/>
            <w:tcBorders>
              <w:top w:val="nil"/>
              <w:left w:val="nil"/>
              <w:bottom w:val="nil"/>
              <w:right w:val="nil"/>
            </w:tcBorders>
            <w:shd w:val="clear" w:color="auto" w:fill="auto"/>
            <w:noWrap/>
            <w:vAlign w:val="bottom"/>
            <w:hideMark/>
          </w:tcPr>
          <w:p w14:paraId="6B5B071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1,015</w:t>
            </w:r>
          </w:p>
        </w:tc>
        <w:tc>
          <w:tcPr>
            <w:tcW w:w="1560" w:type="dxa"/>
            <w:gridSpan w:val="2"/>
            <w:tcBorders>
              <w:top w:val="nil"/>
              <w:left w:val="nil"/>
              <w:bottom w:val="nil"/>
              <w:right w:val="nil"/>
            </w:tcBorders>
            <w:shd w:val="clear" w:color="auto" w:fill="auto"/>
            <w:noWrap/>
            <w:vAlign w:val="bottom"/>
            <w:hideMark/>
          </w:tcPr>
          <w:p w14:paraId="1E2B4CBB"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33.9</w:t>
            </w:r>
          </w:p>
        </w:tc>
        <w:tc>
          <w:tcPr>
            <w:tcW w:w="1140" w:type="dxa"/>
            <w:gridSpan w:val="2"/>
            <w:tcBorders>
              <w:top w:val="nil"/>
              <w:left w:val="nil"/>
              <w:bottom w:val="nil"/>
              <w:right w:val="nil"/>
            </w:tcBorders>
            <w:shd w:val="clear" w:color="auto" w:fill="auto"/>
            <w:noWrap/>
            <w:vAlign w:val="bottom"/>
            <w:hideMark/>
          </w:tcPr>
          <w:p w14:paraId="7E2B59E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33.0%</w:t>
            </w:r>
          </w:p>
        </w:tc>
        <w:tc>
          <w:tcPr>
            <w:tcW w:w="1800" w:type="dxa"/>
            <w:gridSpan w:val="2"/>
            <w:tcBorders>
              <w:top w:val="nil"/>
              <w:left w:val="nil"/>
              <w:bottom w:val="nil"/>
              <w:right w:val="nil"/>
            </w:tcBorders>
            <w:shd w:val="clear" w:color="auto" w:fill="auto"/>
            <w:noWrap/>
            <w:vAlign w:val="bottom"/>
            <w:hideMark/>
          </w:tcPr>
          <w:p w14:paraId="6024E70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8.5%</w:t>
            </w:r>
          </w:p>
        </w:tc>
        <w:tc>
          <w:tcPr>
            <w:tcW w:w="1060" w:type="dxa"/>
            <w:gridSpan w:val="2"/>
            <w:tcBorders>
              <w:top w:val="nil"/>
              <w:left w:val="nil"/>
              <w:bottom w:val="nil"/>
              <w:right w:val="nil"/>
            </w:tcBorders>
            <w:shd w:val="clear" w:color="auto" w:fill="auto"/>
            <w:noWrap/>
            <w:vAlign w:val="bottom"/>
            <w:hideMark/>
          </w:tcPr>
          <w:p w14:paraId="02C0F2E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0.0%</w:t>
            </w:r>
          </w:p>
        </w:tc>
        <w:tc>
          <w:tcPr>
            <w:tcW w:w="1600" w:type="dxa"/>
            <w:gridSpan w:val="2"/>
            <w:tcBorders>
              <w:top w:val="nil"/>
              <w:left w:val="nil"/>
              <w:bottom w:val="nil"/>
              <w:right w:val="nil"/>
            </w:tcBorders>
            <w:shd w:val="clear" w:color="auto" w:fill="auto"/>
            <w:noWrap/>
            <w:vAlign w:val="bottom"/>
            <w:hideMark/>
          </w:tcPr>
          <w:p w14:paraId="3F337A8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w:t>
            </w:r>
          </w:p>
        </w:tc>
        <w:tc>
          <w:tcPr>
            <w:tcW w:w="1600" w:type="dxa"/>
            <w:gridSpan w:val="2"/>
            <w:tcBorders>
              <w:top w:val="nil"/>
              <w:left w:val="nil"/>
              <w:bottom w:val="nil"/>
              <w:right w:val="nil"/>
            </w:tcBorders>
            <w:shd w:val="clear" w:color="auto" w:fill="auto"/>
            <w:noWrap/>
            <w:vAlign w:val="bottom"/>
            <w:hideMark/>
          </w:tcPr>
          <w:p w14:paraId="34F19658"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5.8%</w:t>
            </w:r>
          </w:p>
        </w:tc>
        <w:tc>
          <w:tcPr>
            <w:tcW w:w="1600" w:type="dxa"/>
            <w:gridSpan w:val="2"/>
            <w:tcBorders>
              <w:top w:val="nil"/>
              <w:left w:val="nil"/>
              <w:bottom w:val="nil"/>
              <w:right w:val="nil"/>
            </w:tcBorders>
            <w:shd w:val="clear" w:color="auto" w:fill="auto"/>
            <w:noWrap/>
            <w:vAlign w:val="bottom"/>
            <w:hideMark/>
          </w:tcPr>
          <w:p w14:paraId="3321890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62%</w:t>
            </w:r>
          </w:p>
        </w:tc>
        <w:tc>
          <w:tcPr>
            <w:tcW w:w="1600" w:type="dxa"/>
            <w:gridSpan w:val="2"/>
            <w:tcBorders>
              <w:top w:val="nil"/>
              <w:left w:val="nil"/>
              <w:bottom w:val="nil"/>
              <w:right w:val="nil"/>
            </w:tcBorders>
            <w:shd w:val="clear" w:color="auto" w:fill="auto"/>
            <w:noWrap/>
            <w:vAlign w:val="bottom"/>
            <w:hideMark/>
          </w:tcPr>
          <w:p w14:paraId="2891DFC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2.2%</w:t>
            </w:r>
          </w:p>
        </w:tc>
      </w:tr>
      <w:tr w:rsidR="00A522E8" w:rsidRPr="00A522E8" w14:paraId="700FADC5" w14:textId="77777777" w:rsidTr="00A522E8">
        <w:trPr>
          <w:trHeight w:val="20"/>
        </w:trPr>
        <w:tc>
          <w:tcPr>
            <w:tcW w:w="990" w:type="dxa"/>
            <w:tcBorders>
              <w:top w:val="nil"/>
              <w:left w:val="nil"/>
              <w:bottom w:val="nil"/>
              <w:right w:val="nil"/>
            </w:tcBorders>
            <w:shd w:val="clear" w:color="auto" w:fill="auto"/>
            <w:noWrap/>
            <w:vAlign w:val="bottom"/>
            <w:hideMark/>
          </w:tcPr>
          <w:p w14:paraId="60509DE3"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G</w:t>
            </w:r>
          </w:p>
        </w:tc>
        <w:tc>
          <w:tcPr>
            <w:tcW w:w="1170" w:type="dxa"/>
            <w:tcBorders>
              <w:top w:val="nil"/>
              <w:left w:val="nil"/>
              <w:bottom w:val="nil"/>
              <w:right w:val="nil"/>
            </w:tcBorders>
            <w:shd w:val="clear" w:color="auto" w:fill="auto"/>
            <w:noWrap/>
            <w:vAlign w:val="bottom"/>
            <w:hideMark/>
          </w:tcPr>
          <w:p w14:paraId="0FC5ED9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1,090</w:t>
            </w:r>
          </w:p>
        </w:tc>
        <w:tc>
          <w:tcPr>
            <w:tcW w:w="1560" w:type="dxa"/>
            <w:gridSpan w:val="2"/>
            <w:tcBorders>
              <w:top w:val="nil"/>
              <w:left w:val="nil"/>
              <w:bottom w:val="nil"/>
              <w:right w:val="nil"/>
            </w:tcBorders>
            <w:shd w:val="clear" w:color="auto" w:fill="auto"/>
            <w:noWrap/>
            <w:vAlign w:val="bottom"/>
            <w:hideMark/>
          </w:tcPr>
          <w:p w14:paraId="3738E22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34.4</w:t>
            </w:r>
          </w:p>
        </w:tc>
        <w:tc>
          <w:tcPr>
            <w:tcW w:w="1140" w:type="dxa"/>
            <w:gridSpan w:val="2"/>
            <w:tcBorders>
              <w:top w:val="nil"/>
              <w:left w:val="nil"/>
              <w:bottom w:val="nil"/>
              <w:right w:val="nil"/>
            </w:tcBorders>
            <w:shd w:val="clear" w:color="auto" w:fill="auto"/>
            <w:noWrap/>
            <w:vAlign w:val="bottom"/>
            <w:hideMark/>
          </w:tcPr>
          <w:p w14:paraId="1C487DE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75.0%</w:t>
            </w:r>
          </w:p>
        </w:tc>
        <w:tc>
          <w:tcPr>
            <w:tcW w:w="1800" w:type="dxa"/>
            <w:gridSpan w:val="2"/>
            <w:tcBorders>
              <w:top w:val="nil"/>
              <w:left w:val="nil"/>
              <w:bottom w:val="nil"/>
              <w:right w:val="nil"/>
            </w:tcBorders>
            <w:shd w:val="clear" w:color="auto" w:fill="auto"/>
            <w:noWrap/>
            <w:vAlign w:val="bottom"/>
            <w:hideMark/>
          </w:tcPr>
          <w:p w14:paraId="24140128"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5.8%</w:t>
            </w:r>
          </w:p>
        </w:tc>
        <w:tc>
          <w:tcPr>
            <w:tcW w:w="1060" w:type="dxa"/>
            <w:gridSpan w:val="2"/>
            <w:tcBorders>
              <w:top w:val="nil"/>
              <w:left w:val="nil"/>
              <w:bottom w:val="nil"/>
              <w:right w:val="nil"/>
            </w:tcBorders>
            <w:shd w:val="clear" w:color="auto" w:fill="auto"/>
            <w:noWrap/>
            <w:vAlign w:val="bottom"/>
            <w:hideMark/>
          </w:tcPr>
          <w:p w14:paraId="2E7D326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50.2%</w:t>
            </w:r>
          </w:p>
        </w:tc>
        <w:tc>
          <w:tcPr>
            <w:tcW w:w="1600" w:type="dxa"/>
            <w:gridSpan w:val="2"/>
            <w:tcBorders>
              <w:top w:val="nil"/>
              <w:left w:val="nil"/>
              <w:bottom w:val="nil"/>
              <w:right w:val="nil"/>
            </w:tcBorders>
            <w:shd w:val="clear" w:color="auto" w:fill="auto"/>
            <w:noWrap/>
            <w:vAlign w:val="bottom"/>
            <w:hideMark/>
          </w:tcPr>
          <w:p w14:paraId="1402545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13%</w:t>
            </w:r>
          </w:p>
        </w:tc>
        <w:tc>
          <w:tcPr>
            <w:tcW w:w="1600" w:type="dxa"/>
            <w:gridSpan w:val="2"/>
            <w:tcBorders>
              <w:top w:val="nil"/>
              <w:left w:val="nil"/>
              <w:bottom w:val="nil"/>
              <w:right w:val="nil"/>
            </w:tcBorders>
            <w:shd w:val="clear" w:color="auto" w:fill="auto"/>
            <w:noWrap/>
            <w:vAlign w:val="bottom"/>
            <w:hideMark/>
          </w:tcPr>
          <w:p w14:paraId="386B0BD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5.9%</w:t>
            </w:r>
          </w:p>
        </w:tc>
        <w:tc>
          <w:tcPr>
            <w:tcW w:w="1600" w:type="dxa"/>
            <w:gridSpan w:val="2"/>
            <w:tcBorders>
              <w:top w:val="nil"/>
              <w:left w:val="nil"/>
              <w:bottom w:val="nil"/>
              <w:right w:val="nil"/>
            </w:tcBorders>
            <w:shd w:val="clear" w:color="auto" w:fill="auto"/>
            <w:noWrap/>
            <w:vAlign w:val="bottom"/>
            <w:hideMark/>
          </w:tcPr>
          <w:p w14:paraId="7DB1F65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54%</w:t>
            </w:r>
          </w:p>
        </w:tc>
        <w:tc>
          <w:tcPr>
            <w:tcW w:w="1600" w:type="dxa"/>
            <w:gridSpan w:val="2"/>
            <w:tcBorders>
              <w:top w:val="nil"/>
              <w:left w:val="nil"/>
              <w:bottom w:val="nil"/>
              <w:right w:val="nil"/>
            </w:tcBorders>
            <w:shd w:val="clear" w:color="auto" w:fill="auto"/>
            <w:noWrap/>
            <w:vAlign w:val="bottom"/>
            <w:hideMark/>
          </w:tcPr>
          <w:p w14:paraId="2F44737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6.2%</w:t>
            </w:r>
          </w:p>
        </w:tc>
      </w:tr>
      <w:tr w:rsidR="00A522E8" w:rsidRPr="00A522E8" w14:paraId="79A91ABC" w14:textId="77777777" w:rsidTr="00A522E8">
        <w:trPr>
          <w:trHeight w:val="20"/>
        </w:trPr>
        <w:tc>
          <w:tcPr>
            <w:tcW w:w="990" w:type="dxa"/>
            <w:tcBorders>
              <w:top w:val="nil"/>
              <w:left w:val="nil"/>
              <w:bottom w:val="nil"/>
              <w:right w:val="nil"/>
            </w:tcBorders>
            <w:shd w:val="clear" w:color="auto" w:fill="auto"/>
            <w:noWrap/>
            <w:vAlign w:val="bottom"/>
            <w:hideMark/>
          </w:tcPr>
          <w:p w14:paraId="248A4838"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H</w:t>
            </w:r>
          </w:p>
        </w:tc>
        <w:tc>
          <w:tcPr>
            <w:tcW w:w="1170" w:type="dxa"/>
            <w:tcBorders>
              <w:top w:val="nil"/>
              <w:left w:val="nil"/>
              <w:bottom w:val="nil"/>
              <w:right w:val="nil"/>
            </w:tcBorders>
            <w:shd w:val="clear" w:color="auto" w:fill="auto"/>
            <w:noWrap/>
            <w:vAlign w:val="bottom"/>
            <w:hideMark/>
          </w:tcPr>
          <w:p w14:paraId="6801445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2,084</w:t>
            </w:r>
          </w:p>
        </w:tc>
        <w:tc>
          <w:tcPr>
            <w:tcW w:w="1560" w:type="dxa"/>
            <w:gridSpan w:val="2"/>
            <w:tcBorders>
              <w:top w:val="nil"/>
              <w:left w:val="nil"/>
              <w:bottom w:val="nil"/>
              <w:right w:val="nil"/>
            </w:tcBorders>
            <w:shd w:val="clear" w:color="auto" w:fill="auto"/>
            <w:noWrap/>
            <w:vAlign w:val="bottom"/>
            <w:hideMark/>
          </w:tcPr>
          <w:p w14:paraId="13A6A53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35.9</w:t>
            </w:r>
          </w:p>
        </w:tc>
        <w:tc>
          <w:tcPr>
            <w:tcW w:w="1140" w:type="dxa"/>
            <w:gridSpan w:val="2"/>
            <w:tcBorders>
              <w:top w:val="nil"/>
              <w:left w:val="nil"/>
              <w:bottom w:val="nil"/>
              <w:right w:val="nil"/>
            </w:tcBorders>
            <w:shd w:val="clear" w:color="auto" w:fill="auto"/>
            <w:noWrap/>
            <w:vAlign w:val="bottom"/>
            <w:hideMark/>
          </w:tcPr>
          <w:p w14:paraId="7B1C8431"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99.6%</w:t>
            </w:r>
          </w:p>
        </w:tc>
        <w:tc>
          <w:tcPr>
            <w:tcW w:w="1800" w:type="dxa"/>
            <w:gridSpan w:val="2"/>
            <w:tcBorders>
              <w:top w:val="nil"/>
              <w:left w:val="nil"/>
              <w:bottom w:val="nil"/>
              <w:right w:val="nil"/>
            </w:tcBorders>
            <w:shd w:val="clear" w:color="auto" w:fill="auto"/>
            <w:noWrap/>
            <w:vAlign w:val="bottom"/>
            <w:hideMark/>
          </w:tcPr>
          <w:p w14:paraId="100856D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7.8%</w:t>
            </w:r>
          </w:p>
        </w:tc>
        <w:tc>
          <w:tcPr>
            <w:tcW w:w="1060" w:type="dxa"/>
            <w:gridSpan w:val="2"/>
            <w:tcBorders>
              <w:top w:val="nil"/>
              <w:left w:val="nil"/>
              <w:bottom w:val="nil"/>
              <w:right w:val="nil"/>
            </w:tcBorders>
            <w:shd w:val="clear" w:color="auto" w:fill="auto"/>
            <w:noWrap/>
            <w:vAlign w:val="bottom"/>
            <w:hideMark/>
          </w:tcPr>
          <w:p w14:paraId="2AF9614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0.0%</w:t>
            </w:r>
          </w:p>
        </w:tc>
        <w:tc>
          <w:tcPr>
            <w:tcW w:w="1600" w:type="dxa"/>
            <w:gridSpan w:val="2"/>
            <w:tcBorders>
              <w:top w:val="nil"/>
              <w:left w:val="nil"/>
              <w:bottom w:val="nil"/>
              <w:right w:val="nil"/>
            </w:tcBorders>
            <w:shd w:val="clear" w:color="auto" w:fill="auto"/>
            <w:noWrap/>
            <w:vAlign w:val="bottom"/>
            <w:hideMark/>
          </w:tcPr>
          <w:p w14:paraId="3C15F0C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37%</w:t>
            </w:r>
          </w:p>
        </w:tc>
        <w:tc>
          <w:tcPr>
            <w:tcW w:w="1600" w:type="dxa"/>
            <w:gridSpan w:val="2"/>
            <w:tcBorders>
              <w:top w:val="nil"/>
              <w:left w:val="nil"/>
              <w:bottom w:val="nil"/>
              <w:right w:val="nil"/>
            </w:tcBorders>
            <w:shd w:val="clear" w:color="auto" w:fill="auto"/>
            <w:noWrap/>
            <w:vAlign w:val="bottom"/>
            <w:hideMark/>
          </w:tcPr>
          <w:p w14:paraId="30C3ED0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6.0%</w:t>
            </w:r>
          </w:p>
        </w:tc>
        <w:tc>
          <w:tcPr>
            <w:tcW w:w="1600" w:type="dxa"/>
            <w:gridSpan w:val="2"/>
            <w:tcBorders>
              <w:top w:val="nil"/>
              <w:left w:val="nil"/>
              <w:bottom w:val="nil"/>
              <w:right w:val="nil"/>
            </w:tcBorders>
            <w:shd w:val="clear" w:color="auto" w:fill="auto"/>
            <w:noWrap/>
            <w:vAlign w:val="bottom"/>
            <w:hideMark/>
          </w:tcPr>
          <w:p w14:paraId="6768BF0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53%</w:t>
            </w:r>
          </w:p>
        </w:tc>
        <w:tc>
          <w:tcPr>
            <w:tcW w:w="1600" w:type="dxa"/>
            <w:gridSpan w:val="2"/>
            <w:tcBorders>
              <w:top w:val="nil"/>
              <w:left w:val="nil"/>
              <w:bottom w:val="nil"/>
              <w:right w:val="nil"/>
            </w:tcBorders>
            <w:shd w:val="clear" w:color="auto" w:fill="auto"/>
            <w:noWrap/>
            <w:vAlign w:val="bottom"/>
            <w:hideMark/>
          </w:tcPr>
          <w:p w14:paraId="3874F35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13.4%</w:t>
            </w:r>
          </w:p>
        </w:tc>
      </w:tr>
      <w:tr w:rsidR="00A522E8" w:rsidRPr="00A522E8" w14:paraId="7C0F88DB" w14:textId="77777777" w:rsidTr="00A522E8">
        <w:trPr>
          <w:trHeight w:val="20"/>
        </w:trPr>
        <w:tc>
          <w:tcPr>
            <w:tcW w:w="990" w:type="dxa"/>
            <w:tcBorders>
              <w:top w:val="nil"/>
              <w:left w:val="nil"/>
              <w:bottom w:val="nil"/>
              <w:right w:val="nil"/>
            </w:tcBorders>
            <w:shd w:val="clear" w:color="auto" w:fill="auto"/>
            <w:noWrap/>
            <w:vAlign w:val="bottom"/>
            <w:hideMark/>
          </w:tcPr>
          <w:p w14:paraId="6773AA56"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I</w:t>
            </w:r>
          </w:p>
        </w:tc>
        <w:tc>
          <w:tcPr>
            <w:tcW w:w="1170" w:type="dxa"/>
            <w:tcBorders>
              <w:top w:val="nil"/>
              <w:left w:val="nil"/>
              <w:bottom w:val="nil"/>
              <w:right w:val="nil"/>
            </w:tcBorders>
            <w:shd w:val="clear" w:color="auto" w:fill="auto"/>
            <w:noWrap/>
            <w:vAlign w:val="bottom"/>
            <w:hideMark/>
          </w:tcPr>
          <w:p w14:paraId="5B5A91D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1,458</w:t>
            </w:r>
          </w:p>
        </w:tc>
        <w:tc>
          <w:tcPr>
            <w:tcW w:w="1560" w:type="dxa"/>
            <w:gridSpan w:val="2"/>
            <w:tcBorders>
              <w:top w:val="nil"/>
              <w:left w:val="nil"/>
              <w:bottom w:val="nil"/>
              <w:right w:val="nil"/>
            </w:tcBorders>
            <w:shd w:val="clear" w:color="auto" w:fill="auto"/>
            <w:noWrap/>
            <w:vAlign w:val="bottom"/>
            <w:hideMark/>
          </w:tcPr>
          <w:p w14:paraId="3C98B9F8"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35.3</w:t>
            </w:r>
          </w:p>
        </w:tc>
        <w:tc>
          <w:tcPr>
            <w:tcW w:w="1140" w:type="dxa"/>
            <w:gridSpan w:val="2"/>
            <w:tcBorders>
              <w:top w:val="nil"/>
              <w:left w:val="nil"/>
              <w:bottom w:val="nil"/>
              <w:right w:val="nil"/>
            </w:tcBorders>
            <w:shd w:val="clear" w:color="auto" w:fill="auto"/>
            <w:noWrap/>
            <w:vAlign w:val="bottom"/>
            <w:hideMark/>
          </w:tcPr>
          <w:p w14:paraId="4A233E0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99.9%</w:t>
            </w:r>
          </w:p>
        </w:tc>
        <w:tc>
          <w:tcPr>
            <w:tcW w:w="1800" w:type="dxa"/>
            <w:gridSpan w:val="2"/>
            <w:tcBorders>
              <w:top w:val="nil"/>
              <w:left w:val="nil"/>
              <w:bottom w:val="nil"/>
              <w:right w:val="nil"/>
            </w:tcBorders>
            <w:shd w:val="clear" w:color="auto" w:fill="auto"/>
            <w:noWrap/>
            <w:vAlign w:val="bottom"/>
            <w:hideMark/>
          </w:tcPr>
          <w:p w14:paraId="450F71B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4.8%</w:t>
            </w:r>
          </w:p>
        </w:tc>
        <w:tc>
          <w:tcPr>
            <w:tcW w:w="1060" w:type="dxa"/>
            <w:gridSpan w:val="2"/>
            <w:tcBorders>
              <w:top w:val="nil"/>
              <w:left w:val="nil"/>
              <w:bottom w:val="nil"/>
              <w:right w:val="nil"/>
            </w:tcBorders>
            <w:shd w:val="clear" w:color="auto" w:fill="auto"/>
            <w:noWrap/>
            <w:vAlign w:val="bottom"/>
            <w:hideMark/>
          </w:tcPr>
          <w:p w14:paraId="7C89D41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96.1%</w:t>
            </w:r>
          </w:p>
        </w:tc>
        <w:tc>
          <w:tcPr>
            <w:tcW w:w="1600" w:type="dxa"/>
            <w:gridSpan w:val="2"/>
            <w:tcBorders>
              <w:top w:val="nil"/>
              <w:left w:val="nil"/>
              <w:bottom w:val="nil"/>
              <w:right w:val="nil"/>
            </w:tcBorders>
            <w:shd w:val="clear" w:color="auto" w:fill="auto"/>
            <w:noWrap/>
            <w:vAlign w:val="bottom"/>
            <w:hideMark/>
          </w:tcPr>
          <w:p w14:paraId="4E9A5E0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68%</w:t>
            </w:r>
          </w:p>
        </w:tc>
        <w:tc>
          <w:tcPr>
            <w:tcW w:w="1600" w:type="dxa"/>
            <w:gridSpan w:val="2"/>
            <w:tcBorders>
              <w:top w:val="nil"/>
              <w:left w:val="nil"/>
              <w:bottom w:val="nil"/>
              <w:right w:val="nil"/>
            </w:tcBorders>
            <w:shd w:val="clear" w:color="auto" w:fill="auto"/>
            <w:noWrap/>
            <w:vAlign w:val="bottom"/>
            <w:hideMark/>
          </w:tcPr>
          <w:p w14:paraId="131727E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5.7%</w:t>
            </w:r>
          </w:p>
        </w:tc>
        <w:tc>
          <w:tcPr>
            <w:tcW w:w="1600" w:type="dxa"/>
            <w:gridSpan w:val="2"/>
            <w:tcBorders>
              <w:top w:val="nil"/>
              <w:left w:val="nil"/>
              <w:bottom w:val="nil"/>
              <w:right w:val="nil"/>
            </w:tcBorders>
            <w:shd w:val="clear" w:color="auto" w:fill="auto"/>
            <w:noWrap/>
            <w:vAlign w:val="bottom"/>
            <w:hideMark/>
          </w:tcPr>
          <w:p w14:paraId="7A62F3E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61%</w:t>
            </w:r>
          </w:p>
        </w:tc>
        <w:tc>
          <w:tcPr>
            <w:tcW w:w="1600" w:type="dxa"/>
            <w:gridSpan w:val="2"/>
            <w:tcBorders>
              <w:top w:val="nil"/>
              <w:left w:val="nil"/>
              <w:bottom w:val="nil"/>
              <w:right w:val="nil"/>
            </w:tcBorders>
            <w:shd w:val="clear" w:color="auto" w:fill="auto"/>
            <w:noWrap/>
            <w:vAlign w:val="bottom"/>
            <w:hideMark/>
          </w:tcPr>
          <w:p w14:paraId="4133D21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4.5%</w:t>
            </w:r>
          </w:p>
        </w:tc>
      </w:tr>
      <w:tr w:rsidR="00A522E8" w:rsidRPr="00A522E8" w14:paraId="7D8FF9E6" w14:textId="77777777" w:rsidTr="00A522E8">
        <w:trPr>
          <w:trHeight w:val="20"/>
        </w:trPr>
        <w:tc>
          <w:tcPr>
            <w:tcW w:w="990" w:type="dxa"/>
            <w:tcBorders>
              <w:top w:val="nil"/>
              <w:left w:val="nil"/>
              <w:bottom w:val="nil"/>
              <w:right w:val="nil"/>
            </w:tcBorders>
            <w:shd w:val="clear" w:color="auto" w:fill="auto"/>
            <w:noWrap/>
            <w:vAlign w:val="bottom"/>
            <w:hideMark/>
          </w:tcPr>
          <w:p w14:paraId="7B0224DA"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K</w:t>
            </w:r>
          </w:p>
        </w:tc>
        <w:tc>
          <w:tcPr>
            <w:tcW w:w="1170" w:type="dxa"/>
            <w:tcBorders>
              <w:top w:val="nil"/>
              <w:left w:val="nil"/>
              <w:bottom w:val="nil"/>
              <w:right w:val="nil"/>
            </w:tcBorders>
            <w:shd w:val="clear" w:color="auto" w:fill="auto"/>
            <w:noWrap/>
            <w:vAlign w:val="bottom"/>
            <w:hideMark/>
          </w:tcPr>
          <w:p w14:paraId="1C4CC39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1,688</w:t>
            </w:r>
          </w:p>
        </w:tc>
        <w:tc>
          <w:tcPr>
            <w:tcW w:w="1560" w:type="dxa"/>
            <w:gridSpan w:val="2"/>
            <w:tcBorders>
              <w:top w:val="nil"/>
              <w:left w:val="nil"/>
              <w:bottom w:val="nil"/>
              <w:right w:val="nil"/>
            </w:tcBorders>
            <w:shd w:val="clear" w:color="auto" w:fill="auto"/>
            <w:noWrap/>
            <w:vAlign w:val="bottom"/>
            <w:hideMark/>
          </w:tcPr>
          <w:p w14:paraId="47F8768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33.5</w:t>
            </w:r>
          </w:p>
        </w:tc>
        <w:tc>
          <w:tcPr>
            <w:tcW w:w="1140" w:type="dxa"/>
            <w:gridSpan w:val="2"/>
            <w:tcBorders>
              <w:top w:val="nil"/>
              <w:left w:val="nil"/>
              <w:bottom w:val="nil"/>
              <w:right w:val="nil"/>
            </w:tcBorders>
            <w:shd w:val="clear" w:color="auto" w:fill="auto"/>
            <w:noWrap/>
            <w:vAlign w:val="bottom"/>
            <w:hideMark/>
          </w:tcPr>
          <w:p w14:paraId="21E92BB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90.0%</w:t>
            </w:r>
          </w:p>
        </w:tc>
        <w:tc>
          <w:tcPr>
            <w:tcW w:w="1800" w:type="dxa"/>
            <w:gridSpan w:val="2"/>
            <w:tcBorders>
              <w:top w:val="nil"/>
              <w:left w:val="nil"/>
              <w:bottom w:val="nil"/>
              <w:right w:val="nil"/>
            </w:tcBorders>
            <w:shd w:val="clear" w:color="auto" w:fill="auto"/>
            <w:noWrap/>
            <w:vAlign w:val="bottom"/>
            <w:hideMark/>
          </w:tcPr>
          <w:p w14:paraId="093E9DD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6.6%</w:t>
            </w:r>
          </w:p>
        </w:tc>
        <w:tc>
          <w:tcPr>
            <w:tcW w:w="1060" w:type="dxa"/>
            <w:gridSpan w:val="2"/>
            <w:tcBorders>
              <w:top w:val="nil"/>
              <w:left w:val="nil"/>
              <w:bottom w:val="nil"/>
              <w:right w:val="nil"/>
            </w:tcBorders>
            <w:shd w:val="clear" w:color="auto" w:fill="auto"/>
            <w:noWrap/>
            <w:vAlign w:val="bottom"/>
            <w:hideMark/>
          </w:tcPr>
          <w:p w14:paraId="423A07D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6.9%</w:t>
            </w:r>
          </w:p>
        </w:tc>
        <w:tc>
          <w:tcPr>
            <w:tcW w:w="1600" w:type="dxa"/>
            <w:gridSpan w:val="2"/>
            <w:tcBorders>
              <w:top w:val="nil"/>
              <w:left w:val="nil"/>
              <w:bottom w:val="nil"/>
              <w:right w:val="nil"/>
            </w:tcBorders>
            <w:shd w:val="clear" w:color="auto" w:fill="auto"/>
            <w:noWrap/>
            <w:vAlign w:val="bottom"/>
            <w:hideMark/>
          </w:tcPr>
          <w:p w14:paraId="474B889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31%</w:t>
            </w:r>
          </w:p>
        </w:tc>
        <w:tc>
          <w:tcPr>
            <w:tcW w:w="1600" w:type="dxa"/>
            <w:gridSpan w:val="2"/>
            <w:tcBorders>
              <w:top w:val="nil"/>
              <w:left w:val="nil"/>
              <w:bottom w:val="nil"/>
              <w:right w:val="nil"/>
            </w:tcBorders>
            <w:shd w:val="clear" w:color="auto" w:fill="auto"/>
            <w:noWrap/>
            <w:vAlign w:val="bottom"/>
            <w:hideMark/>
          </w:tcPr>
          <w:p w14:paraId="37C2E4C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6.3%</w:t>
            </w:r>
          </w:p>
        </w:tc>
        <w:tc>
          <w:tcPr>
            <w:tcW w:w="1600" w:type="dxa"/>
            <w:gridSpan w:val="2"/>
            <w:tcBorders>
              <w:top w:val="nil"/>
              <w:left w:val="nil"/>
              <w:bottom w:val="nil"/>
              <w:right w:val="nil"/>
            </w:tcBorders>
            <w:shd w:val="clear" w:color="auto" w:fill="auto"/>
            <w:noWrap/>
            <w:vAlign w:val="bottom"/>
            <w:hideMark/>
          </w:tcPr>
          <w:p w14:paraId="4ACEEE9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65%</w:t>
            </w:r>
          </w:p>
        </w:tc>
        <w:tc>
          <w:tcPr>
            <w:tcW w:w="1600" w:type="dxa"/>
            <w:gridSpan w:val="2"/>
            <w:tcBorders>
              <w:top w:val="nil"/>
              <w:left w:val="nil"/>
              <w:bottom w:val="nil"/>
              <w:right w:val="nil"/>
            </w:tcBorders>
            <w:shd w:val="clear" w:color="auto" w:fill="auto"/>
            <w:noWrap/>
            <w:vAlign w:val="bottom"/>
            <w:hideMark/>
          </w:tcPr>
          <w:p w14:paraId="7FA5252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8.8%</w:t>
            </w:r>
          </w:p>
        </w:tc>
      </w:tr>
      <w:tr w:rsidR="00A522E8" w:rsidRPr="00A522E8" w14:paraId="66C2131B" w14:textId="77777777" w:rsidTr="00A522E8">
        <w:trPr>
          <w:trHeight w:val="20"/>
        </w:trPr>
        <w:tc>
          <w:tcPr>
            <w:tcW w:w="990" w:type="dxa"/>
            <w:tcBorders>
              <w:top w:val="nil"/>
              <w:left w:val="nil"/>
              <w:bottom w:val="nil"/>
              <w:right w:val="nil"/>
            </w:tcBorders>
            <w:shd w:val="clear" w:color="auto" w:fill="auto"/>
            <w:noWrap/>
            <w:vAlign w:val="bottom"/>
            <w:hideMark/>
          </w:tcPr>
          <w:p w14:paraId="1772E292"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L</w:t>
            </w:r>
          </w:p>
        </w:tc>
        <w:tc>
          <w:tcPr>
            <w:tcW w:w="1170" w:type="dxa"/>
            <w:tcBorders>
              <w:top w:val="nil"/>
              <w:left w:val="nil"/>
              <w:bottom w:val="nil"/>
              <w:right w:val="nil"/>
            </w:tcBorders>
            <w:shd w:val="clear" w:color="auto" w:fill="auto"/>
            <w:noWrap/>
            <w:vAlign w:val="bottom"/>
            <w:hideMark/>
          </w:tcPr>
          <w:p w14:paraId="2D6AB1D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1,375</w:t>
            </w:r>
          </w:p>
        </w:tc>
        <w:tc>
          <w:tcPr>
            <w:tcW w:w="1560" w:type="dxa"/>
            <w:gridSpan w:val="2"/>
            <w:tcBorders>
              <w:top w:val="nil"/>
              <w:left w:val="nil"/>
              <w:bottom w:val="nil"/>
              <w:right w:val="nil"/>
            </w:tcBorders>
            <w:shd w:val="clear" w:color="auto" w:fill="auto"/>
            <w:noWrap/>
            <w:vAlign w:val="bottom"/>
            <w:hideMark/>
          </w:tcPr>
          <w:p w14:paraId="713449EF"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34.7</w:t>
            </w:r>
          </w:p>
        </w:tc>
        <w:tc>
          <w:tcPr>
            <w:tcW w:w="1140" w:type="dxa"/>
            <w:gridSpan w:val="2"/>
            <w:tcBorders>
              <w:top w:val="nil"/>
              <w:left w:val="nil"/>
              <w:bottom w:val="nil"/>
              <w:right w:val="nil"/>
            </w:tcBorders>
            <w:shd w:val="clear" w:color="auto" w:fill="auto"/>
            <w:noWrap/>
            <w:vAlign w:val="bottom"/>
            <w:hideMark/>
          </w:tcPr>
          <w:p w14:paraId="7E0539B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89.9%</w:t>
            </w:r>
          </w:p>
        </w:tc>
        <w:tc>
          <w:tcPr>
            <w:tcW w:w="1800" w:type="dxa"/>
            <w:gridSpan w:val="2"/>
            <w:tcBorders>
              <w:top w:val="nil"/>
              <w:left w:val="nil"/>
              <w:bottom w:val="nil"/>
              <w:right w:val="nil"/>
            </w:tcBorders>
            <w:shd w:val="clear" w:color="auto" w:fill="auto"/>
            <w:noWrap/>
            <w:vAlign w:val="bottom"/>
            <w:hideMark/>
          </w:tcPr>
          <w:p w14:paraId="29838D2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5.6%</w:t>
            </w:r>
          </w:p>
        </w:tc>
        <w:tc>
          <w:tcPr>
            <w:tcW w:w="1060" w:type="dxa"/>
            <w:gridSpan w:val="2"/>
            <w:tcBorders>
              <w:top w:val="nil"/>
              <w:left w:val="nil"/>
              <w:bottom w:val="nil"/>
              <w:right w:val="nil"/>
            </w:tcBorders>
            <w:shd w:val="clear" w:color="auto" w:fill="auto"/>
            <w:noWrap/>
            <w:vAlign w:val="bottom"/>
            <w:hideMark/>
          </w:tcPr>
          <w:p w14:paraId="36CBC8A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64.6%</w:t>
            </w:r>
          </w:p>
        </w:tc>
        <w:tc>
          <w:tcPr>
            <w:tcW w:w="1600" w:type="dxa"/>
            <w:gridSpan w:val="2"/>
            <w:tcBorders>
              <w:top w:val="nil"/>
              <w:left w:val="nil"/>
              <w:bottom w:val="nil"/>
              <w:right w:val="nil"/>
            </w:tcBorders>
            <w:shd w:val="clear" w:color="auto" w:fill="auto"/>
            <w:noWrap/>
            <w:vAlign w:val="bottom"/>
            <w:hideMark/>
          </w:tcPr>
          <w:p w14:paraId="42DD3ED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23%</w:t>
            </w:r>
          </w:p>
        </w:tc>
        <w:tc>
          <w:tcPr>
            <w:tcW w:w="1600" w:type="dxa"/>
            <w:gridSpan w:val="2"/>
            <w:tcBorders>
              <w:top w:val="nil"/>
              <w:left w:val="nil"/>
              <w:bottom w:val="nil"/>
              <w:right w:val="nil"/>
            </w:tcBorders>
            <w:shd w:val="clear" w:color="auto" w:fill="auto"/>
            <w:noWrap/>
            <w:vAlign w:val="bottom"/>
            <w:hideMark/>
          </w:tcPr>
          <w:p w14:paraId="3CC11407"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6.0%</w:t>
            </w:r>
          </w:p>
        </w:tc>
        <w:tc>
          <w:tcPr>
            <w:tcW w:w="1600" w:type="dxa"/>
            <w:gridSpan w:val="2"/>
            <w:tcBorders>
              <w:top w:val="nil"/>
              <w:left w:val="nil"/>
              <w:bottom w:val="nil"/>
              <w:right w:val="nil"/>
            </w:tcBorders>
            <w:shd w:val="clear" w:color="auto" w:fill="auto"/>
            <w:noWrap/>
            <w:vAlign w:val="bottom"/>
            <w:hideMark/>
          </w:tcPr>
          <w:p w14:paraId="562A1A6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44%</w:t>
            </w:r>
          </w:p>
        </w:tc>
        <w:tc>
          <w:tcPr>
            <w:tcW w:w="1600" w:type="dxa"/>
            <w:gridSpan w:val="2"/>
            <w:tcBorders>
              <w:top w:val="nil"/>
              <w:left w:val="nil"/>
              <w:bottom w:val="nil"/>
              <w:right w:val="nil"/>
            </w:tcBorders>
            <w:shd w:val="clear" w:color="auto" w:fill="auto"/>
            <w:noWrap/>
            <w:vAlign w:val="bottom"/>
            <w:hideMark/>
          </w:tcPr>
          <w:p w14:paraId="28447ED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4.9%</w:t>
            </w:r>
          </w:p>
        </w:tc>
      </w:tr>
      <w:tr w:rsidR="00A522E8" w:rsidRPr="00A522E8" w14:paraId="3EC5AADD" w14:textId="77777777" w:rsidTr="00A522E8">
        <w:trPr>
          <w:trHeight w:val="20"/>
        </w:trPr>
        <w:tc>
          <w:tcPr>
            <w:tcW w:w="990" w:type="dxa"/>
            <w:tcBorders>
              <w:top w:val="nil"/>
              <w:left w:val="nil"/>
              <w:bottom w:val="nil"/>
              <w:right w:val="nil"/>
            </w:tcBorders>
            <w:shd w:val="clear" w:color="auto" w:fill="auto"/>
            <w:noWrap/>
            <w:vAlign w:val="bottom"/>
            <w:hideMark/>
          </w:tcPr>
          <w:p w14:paraId="3E63E453"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M</w:t>
            </w:r>
          </w:p>
        </w:tc>
        <w:tc>
          <w:tcPr>
            <w:tcW w:w="1170" w:type="dxa"/>
            <w:tcBorders>
              <w:top w:val="nil"/>
              <w:left w:val="nil"/>
              <w:bottom w:val="nil"/>
              <w:right w:val="nil"/>
            </w:tcBorders>
            <w:shd w:val="clear" w:color="auto" w:fill="auto"/>
            <w:noWrap/>
            <w:vAlign w:val="bottom"/>
            <w:hideMark/>
          </w:tcPr>
          <w:p w14:paraId="193B251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1,505</w:t>
            </w:r>
          </w:p>
        </w:tc>
        <w:tc>
          <w:tcPr>
            <w:tcW w:w="1560" w:type="dxa"/>
            <w:gridSpan w:val="2"/>
            <w:tcBorders>
              <w:top w:val="nil"/>
              <w:left w:val="nil"/>
              <w:bottom w:val="nil"/>
              <w:right w:val="nil"/>
            </w:tcBorders>
            <w:shd w:val="clear" w:color="auto" w:fill="auto"/>
            <w:noWrap/>
            <w:vAlign w:val="bottom"/>
            <w:hideMark/>
          </w:tcPr>
          <w:p w14:paraId="0D0B7EA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33.8</w:t>
            </w:r>
          </w:p>
        </w:tc>
        <w:tc>
          <w:tcPr>
            <w:tcW w:w="1140" w:type="dxa"/>
            <w:gridSpan w:val="2"/>
            <w:tcBorders>
              <w:top w:val="nil"/>
              <w:left w:val="nil"/>
              <w:bottom w:val="nil"/>
              <w:right w:val="nil"/>
            </w:tcBorders>
            <w:shd w:val="clear" w:color="auto" w:fill="auto"/>
            <w:noWrap/>
            <w:vAlign w:val="bottom"/>
            <w:hideMark/>
          </w:tcPr>
          <w:p w14:paraId="0D06EAEC"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7.8%</w:t>
            </w:r>
          </w:p>
        </w:tc>
        <w:tc>
          <w:tcPr>
            <w:tcW w:w="1800" w:type="dxa"/>
            <w:gridSpan w:val="2"/>
            <w:tcBorders>
              <w:top w:val="nil"/>
              <w:left w:val="nil"/>
              <w:bottom w:val="nil"/>
              <w:right w:val="nil"/>
            </w:tcBorders>
            <w:shd w:val="clear" w:color="auto" w:fill="auto"/>
            <w:noWrap/>
            <w:vAlign w:val="bottom"/>
            <w:hideMark/>
          </w:tcPr>
          <w:p w14:paraId="5D6F04D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5.9%</w:t>
            </w:r>
          </w:p>
        </w:tc>
        <w:tc>
          <w:tcPr>
            <w:tcW w:w="1060" w:type="dxa"/>
            <w:gridSpan w:val="2"/>
            <w:tcBorders>
              <w:top w:val="nil"/>
              <w:left w:val="nil"/>
              <w:bottom w:val="nil"/>
              <w:right w:val="nil"/>
            </w:tcBorders>
            <w:shd w:val="clear" w:color="auto" w:fill="auto"/>
            <w:noWrap/>
            <w:vAlign w:val="bottom"/>
            <w:hideMark/>
          </w:tcPr>
          <w:p w14:paraId="0718E92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42.3%</w:t>
            </w:r>
          </w:p>
        </w:tc>
        <w:tc>
          <w:tcPr>
            <w:tcW w:w="1600" w:type="dxa"/>
            <w:gridSpan w:val="2"/>
            <w:tcBorders>
              <w:top w:val="nil"/>
              <w:left w:val="nil"/>
              <w:bottom w:val="nil"/>
              <w:right w:val="nil"/>
            </w:tcBorders>
            <w:shd w:val="clear" w:color="auto" w:fill="auto"/>
            <w:noWrap/>
            <w:vAlign w:val="bottom"/>
            <w:hideMark/>
          </w:tcPr>
          <w:p w14:paraId="61B4154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8%</w:t>
            </w:r>
          </w:p>
        </w:tc>
        <w:tc>
          <w:tcPr>
            <w:tcW w:w="1600" w:type="dxa"/>
            <w:gridSpan w:val="2"/>
            <w:tcBorders>
              <w:top w:val="nil"/>
              <w:left w:val="nil"/>
              <w:bottom w:val="nil"/>
              <w:right w:val="nil"/>
            </w:tcBorders>
            <w:shd w:val="clear" w:color="auto" w:fill="auto"/>
            <w:noWrap/>
            <w:vAlign w:val="bottom"/>
            <w:hideMark/>
          </w:tcPr>
          <w:p w14:paraId="54A0A4B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5.7%</w:t>
            </w:r>
          </w:p>
        </w:tc>
        <w:tc>
          <w:tcPr>
            <w:tcW w:w="1600" w:type="dxa"/>
            <w:gridSpan w:val="2"/>
            <w:tcBorders>
              <w:top w:val="nil"/>
              <w:left w:val="nil"/>
              <w:bottom w:val="nil"/>
              <w:right w:val="nil"/>
            </w:tcBorders>
            <w:shd w:val="clear" w:color="auto" w:fill="auto"/>
            <w:noWrap/>
            <w:vAlign w:val="bottom"/>
            <w:hideMark/>
          </w:tcPr>
          <w:p w14:paraId="31DC30F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66%</w:t>
            </w:r>
          </w:p>
        </w:tc>
        <w:tc>
          <w:tcPr>
            <w:tcW w:w="1600" w:type="dxa"/>
            <w:gridSpan w:val="2"/>
            <w:tcBorders>
              <w:top w:val="nil"/>
              <w:left w:val="nil"/>
              <w:bottom w:val="nil"/>
              <w:right w:val="nil"/>
            </w:tcBorders>
            <w:shd w:val="clear" w:color="auto" w:fill="auto"/>
            <w:noWrap/>
            <w:vAlign w:val="bottom"/>
            <w:hideMark/>
          </w:tcPr>
          <w:p w14:paraId="674E37F5"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1.1%</w:t>
            </w:r>
          </w:p>
        </w:tc>
      </w:tr>
      <w:tr w:rsidR="00A522E8" w:rsidRPr="00A522E8" w14:paraId="5D2C92EB" w14:textId="77777777" w:rsidTr="00A522E8">
        <w:trPr>
          <w:trHeight w:val="20"/>
        </w:trPr>
        <w:tc>
          <w:tcPr>
            <w:tcW w:w="990" w:type="dxa"/>
            <w:tcBorders>
              <w:top w:val="nil"/>
              <w:left w:val="nil"/>
              <w:bottom w:val="nil"/>
              <w:right w:val="nil"/>
            </w:tcBorders>
            <w:shd w:val="clear" w:color="auto" w:fill="auto"/>
            <w:noWrap/>
            <w:vAlign w:val="bottom"/>
            <w:hideMark/>
          </w:tcPr>
          <w:p w14:paraId="4038B99A" w14:textId="77777777" w:rsidR="00A522E8" w:rsidRPr="00A522E8" w:rsidRDefault="00A522E8" w:rsidP="00A522E8">
            <w:pPr>
              <w:rPr>
                <w:rFonts w:ascii="Calibri" w:eastAsia="Times New Roman" w:hAnsi="Calibri" w:cs="Times New Roman"/>
                <w:bCs/>
                <w:color w:val="000000"/>
                <w:sz w:val="21"/>
                <w:szCs w:val="22"/>
                <w:lang w:val="en-US"/>
              </w:rPr>
            </w:pPr>
            <w:r w:rsidRPr="00A522E8">
              <w:rPr>
                <w:rFonts w:ascii="Calibri" w:eastAsia="Times New Roman" w:hAnsi="Calibri" w:cs="Times New Roman"/>
                <w:bCs/>
                <w:color w:val="000000"/>
                <w:sz w:val="21"/>
                <w:szCs w:val="22"/>
                <w:lang w:val="en-US"/>
              </w:rPr>
              <w:t>N</w:t>
            </w:r>
          </w:p>
        </w:tc>
        <w:tc>
          <w:tcPr>
            <w:tcW w:w="1170" w:type="dxa"/>
            <w:tcBorders>
              <w:top w:val="nil"/>
              <w:left w:val="nil"/>
              <w:bottom w:val="nil"/>
              <w:right w:val="nil"/>
            </w:tcBorders>
            <w:shd w:val="clear" w:color="auto" w:fill="auto"/>
            <w:noWrap/>
            <w:vAlign w:val="bottom"/>
            <w:hideMark/>
          </w:tcPr>
          <w:p w14:paraId="5B351033"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1,515</w:t>
            </w:r>
          </w:p>
        </w:tc>
        <w:tc>
          <w:tcPr>
            <w:tcW w:w="1560" w:type="dxa"/>
            <w:gridSpan w:val="2"/>
            <w:tcBorders>
              <w:top w:val="nil"/>
              <w:left w:val="nil"/>
              <w:bottom w:val="nil"/>
              <w:right w:val="nil"/>
            </w:tcBorders>
            <w:shd w:val="clear" w:color="auto" w:fill="auto"/>
            <w:noWrap/>
            <w:vAlign w:val="bottom"/>
            <w:hideMark/>
          </w:tcPr>
          <w:p w14:paraId="1DBB6AC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35.7</w:t>
            </w:r>
          </w:p>
        </w:tc>
        <w:tc>
          <w:tcPr>
            <w:tcW w:w="1140" w:type="dxa"/>
            <w:gridSpan w:val="2"/>
            <w:tcBorders>
              <w:top w:val="nil"/>
              <w:left w:val="nil"/>
              <w:bottom w:val="nil"/>
              <w:right w:val="nil"/>
            </w:tcBorders>
            <w:shd w:val="clear" w:color="auto" w:fill="auto"/>
            <w:noWrap/>
            <w:vAlign w:val="bottom"/>
            <w:hideMark/>
          </w:tcPr>
          <w:p w14:paraId="39FBACC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99.9%</w:t>
            </w:r>
          </w:p>
        </w:tc>
        <w:tc>
          <w:tcPr>
            <w:tcW w:w="1800" w:type="dxa"/>
            <w:gridSpan w:val="2"/>
            <w:tcBorders>
              <w:top w:val="nil"/>
              <w:left w:val="nil"/>
              <w:bottom w:val="nil"/>
              <w:right w:val="nil"/>
            </w:tcBorders>
            <w:shd w:val="clear" w:color="auto" w:fill="auto"/>
            <w:noWrap/>
            <w:vAlign w:val="bottom"/>
            <w:hideMark/>
          </w:tcPr>
          <w:p w14:paraId="07213F3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6.9%</w:t>
            </w:r>
          </w:p>
        </w:tc>
        <w:tc>
          <w:tcPr>
            <w:tcW w:w="1060" w:type="dxa"/>
            <w:gridSpan w:val="2"/>
            <w:tcBorders>
              <w:top w:val="nil"/>
              <w:left w:val="nil"/>
              <w:bottom w:val="nil"/>
              <w:right w:val="nil"/>
            </w:tcBorders>
            <w:shd w:val="clear" w:color="auto" w:fill="auto"/>
            <w:noWrap/>
            <w:vAlign w:val="bottom"/>
            <w:hideMark/>
          </w:tcPr>
          <w:p w14:paraId="2183F049"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3.6%</w:t>
            </w:r>
          </w:p>
        </w:tc>
        <w:tc>
          <w:tcPr>
            <w:tcW w:w="1600" w:type="dxa"/>
            <w:gridSpan w:val="2"/>
            <w:tcBorders>
              <w:top w:val="nil"/>
              <w:left w:val="nil"/>
              <w:bottom w:val="nil"/>
              <w:right w:val="nil"/>
            </w:tcBorders>
            <w:shd w:val="clear" w:color="auto" w:fill="auto"/>
            <w:noWrap/>
            <w:vAlign w:val="bottom"/>
            <w:hideMark/>
          </w:tcPr>
          <w:p w14:paraId="5DA5F44A"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19%</w:t>
            </w:r>
          </w:p>
        </w:tc>
        <w:tc>
          <w:tcPr>
            <w:tcW w:w="1600" w:type="dxa"/>
            <w:gridSpan w:val="2"/>
            <w:tcBorders>
              <w:top w:val="nil"/>
              <w:left w:val="nil"/>
              <w:bottom w:val="nil"/>
              <w:right w:val="nil"/>
            </w:tcBorders>
            <w:shd w:val="clear" w:color="auto" w:fill="auto"/>
            <w:noWrap/>
            <w:vAlign w:val="bottom"/>
            <w:hideMark/>
          </w:tcPr>
          <w:p w14:paraId="4299979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5.7%</w:t>
            </w:r>
          </w:p>
        </w:tc>
        <w:tc>
          <w:tcPr>
            <w:tcW w:w="1600" w:type="dxa"/>
            <w:gridSpan w:val="2"/>
            <w:tcBorders>
              <w:top w:val="nil"/>
              <w:left w:val="nil"/>
              <w:bottom w:val="nil"/>
              <w:right w:val="nil"/>
            </w:tcBorders>
            <w:shd w:val="clear" w:color="auto" w:fill="auto"/>
            <w:noWrap/>
            <w:vAlign w:val="bottom"/>
            <w:hideMark/>
          </w:tcPr>
          <w:p w14:paraId="195889F8"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57%</w:t>
            </w:r>
          </w:p>
        </w:tc>
        <w:tc>
          <w:tcPr>
            <w:tcW w:w="1600" w:type="dxa"/>
            <w:gridSpan w:val="2"/>
            <w:tcBorders>
              <w:top w:val="nil"/>
              <w:left w:val="nil"/>
              <w:bottom w:val="nil"/>
              <w:right w:val="nil"/>
            </w:tcBorders>
            <w:shd w:val="clear" w:color="auto" w:fill="auto"/>
            <w:noWrap/>
            <w:vAlign w:val="bottom"/>
            <w:hideMark/>
          </w:tcPr>
          <w:p w14:paraId="74B19EF8"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3.6%</w:t>
            </w:r>
          </w:p>
        </w:tc>
      </w:tr>
      <w:tr w:rsidR="00A522E8" w:rsidRPr="00A522E8" w14:paraId="1A262274" w14:textId="77777777" w:rsidTr="00A522E8">
        <w:trPr>
          <w:trHeight w:val="20"/>
        </w:trPr>
        <w:tc>
          <w:tcPr>
            <w:tcW w:w="990" w:type="dxa"/>
            <w:tcBorders>
              <w:top w:val="nil"/>
              <w:left w:val="nil"/>
              <w:bottom w:val="nil"/>
              <w:right w:val="nil"/>
            </w:tcBorders>
            <w:shd w:val="clear" w:color="auto" w:fill="auto"/>
            <w:noWrap/>
            <w:vAlign w:val="bottom"/>
            <w:hideMark/>
          </w:tcPr>
          <w:p w14:paraId="120D20E8" w14:textId="77777777" w:rsidR="00A522E8" w:rsidRPr="00A522E8" w:rsidRDefault="00A522E8" w:rsidP="00A522E8">
            <w:pPr>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O</w:t>
            </w:r>
          </w:p>
        </w:tc>
        <w:tc>
          <w:tcPr>
            <w:tcW w:w="1170" w:type="dxa"/>
            <w:tcBorders>
              <w:top w:val="nil"/>
              <w:left w:val="nil"/>
              <w:bottom w:val="nil"/>
              <w:right w:val="nil"/>
            </w:tcBorders>
            <w:shd w:val="clear" w:color="auto" w:fill="auto"/>
            <w:noWrap/>
            <w:vAlign w:val="bottom"/>
            <w:hideMark/>
          </w:tcPr>
          <w:p w14:paraId="1CB42E7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1,846</w:t>
            </w:r>
          </w:p>
        </w:tc>
        <w:tc>
          <w:tcPr>
            <w:tcW w:w="1560" w:type="dxa"/>
            <w:gridSpan w:val="2"/>
            <w:tcBorders>
              <w:top w:val="nil"/>
              <w:left w:val="nil"/>
              <w:bottom w:val="nil"/>
              <w:right w:val="nil"/>
            </w:tcBorders>
            <w:shd w:val="clear" w:color="auto" w:fill="auto"/>
            <w:noWrap/>
            <w:vAlign w:val="bottom"/>
            <w:hideMark/>
          </w:tcPr>
          <w:p w14:paraId="476737F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34.0</w:t>
            </w:r>
          </w:p>
        </w:tc>
        <w:tc>
          <w:tcPr>
            <w:tcW w:w="1140" w:type="dxa"/>
            <w:gridSpan w:val="2"/>
            <w:tcBorders>
              <w:top w:val="nil"/>
              <w:left w:val="nil"/>
              <w:bottom w:val="nil"/>
              <w:right w:val="nil"/>
            </w:tcBorders>
            <w:shd w:val="clear" w:color="auto" w:fill="auto"/>
            <w:noWrap/>
            <w:vAlign w:val="bottom"/>
            <w:hideMark/>
          </w:tcPr>
          <w:p w14:paraId="5DDAC310"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23.3%</w:t>
            </w:r>
          </w:p>
        </w:tc>
        <w:tc>
          <w:tcPr>
            <w:tcW w:w="1800" w:type="dxa"/>
            <w:gridSpan w:val="2"/>
            <w:tcBorders>
              <w:top w:val="nil"/>
              <w:left w:val="nil"/>
              <w:bottom w:val="nil"/>
              <w:right w:val="nil"/>
            </w:tcBorders>
            <w:shd w:val="clear" w:color="auto" w:fill="auto"/>
            <w:noWrap/>
            <w:vAlign w:val="bottom"/>
            <w:hideMark/>
          </w:tcPr>
          <w:p w14:paraId="2C7A2FD4"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6.1%</w:t>
            </w:r>
          </w:p>
        </w:tc>
        <w:tc>
          <w:tcPr>
            <w:tcW w:w="1060" w:type="dxa"/>
            <w:gridSpan w:val="2"/>
            <w:tcBorders>
              <w:top w:val="nil"/>
              <w:left w:val="nil"/>
              <w:bottom w:val="nil"/>
              <w:right w:val="nil"/>
            </w:tcBorders>
            <w:shd w:val="clear" w:color="auto" w:fill="auto"/>
            <w:noWrap/>
            <w:vAlign w:val="bottom"/>
            <w:hideMark/>
          </w:tcPr>
          <w:p w14:paraId="6689AAE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29.5%</w:t>
            </w:r>
          </w:p>
        </w:tc>
        <w:tc>
          <w:tcPr>
            <w:tcW w:w="1600" w:type="dxa"/>
            <w:gridSpan w:val="2"/>
            <w:tcBorders>
              <w:top w:val="nil"/>
              <w:left w:val="nil"/>
              <w:bottom w:val="nil"/>
              <w:right w:val="nil"/>
            </w:tcBorders>
            <w:shd w:val="clear" w:color="auto" w:fill="auto"/>
            <w:noWrap/>
            <w:vAlign w:val="bottom"/>
            <w:hideMark/>
          </w:tcPr>
          <w:p w14:paraId="4A6D9C42"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25%</w:t>
            </w:r>
          </w:p>
        </w:tc>
        <w:tc>
          <w:tcPr>
            <w:tcW w:w="1600" w:type="dxa"/>
            <w:gridSpan w:val="2"/>
            <w:tcBorders>
              <w:top w:val="nil"/>
              <w:left w:val="nil"/>
              <w:bottom w:val="nil"/>
              <w:right w:val="nil"/>
            </w:tcBorders>
            <w:shd w:val="clear" w:color="auto" w:fill="auto"/>
            <w:noWrap/>
            <w:vAlign w:val="bottom"/>
            <w:hideMark/>
          </w:tcPr>
          <w:p w14:paraId="6A1068FD"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5.7%</w:t>
            </w:r>
          </w:p>
        </w:tc>
        <w:tc>
          <w:tcPr>
            <w:tcW w:w="1600" w:type="dxa"/>
            <w:gridSpan w:val="2"/>
            <w:tcBorders>
              <w:top w:val="nil"/>
              <w:left w:val="nil"/>
              <w:bottom w:val="nil"/>
              <w:right w:val="nil"/>
            </w:tcBorders>
            <w:shd w:val="clear" w:color="auto" w:fill="auto"/>
            <w:noWrap/>
            <w:vAlign w:val="bottom"/>
            <w:hideMark/>
          </w:tcPr>
          <w:p w14:paraId="1298AA06"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61%</w:t>
            </w:r>
          </w:p>
        </w:tc>
        <w:tc>
          <w:tcPr>
            <w:tcW w:w="1600" w:type="dxa"/>
            <w:gridSpan w:val="2"/>
            <w:tcBorders>
              <w:top w:val="nil"/>
              <w:left w:val="nil"/>
              <w:bottom w:val="nil"/>
              <w:right w:val="nil"/>
            </w:tcBorders>
            <w:shd w:val="clear" w:color="auto" w:fill="auto"/>
            <w:noWrap/>
            <w:vAlign w:val="bottom"/>
            <w:hideMark/>
          </w:tcPr>
          <w:p w14:paraId="05BF622E" w14:textId="77777777" w:rsidR="00A522E8" w:rsidRPr="00A522E8" w:rsidRDefault="00A522E8" w:rsidP="00A522E8">
            <w:pPr>
              <w:jc w:val="right"/>
              <w:rPr>
                <w:rFonts w:ascii="Calibri" w:eastAsia="Times New Roman" w:hAnsi="Calibri" w:cs="Times New Roman"/>
                <w:color w:val="000000"/>
                <w:sz w:val="21"/>
                <w:szCs w:val="22"/>
                <w:lang w:val="en-US"/>
              </w:rPr>
            </w:pPr>
            <w:r w:rsidRPr="00A522E8">
              <w:rPr>
                <w:rFonts w:ascii="Calibri" w:eastAsia="Times New Roman" w:hAnsi="Calibri" w:cs="Times New Roman"/>
                <w:color w:val="000000"/>
                <w:sz w:val="21"/>
                <w:szCs w:val="22"/>
                <w:lang w:val="en-US"/>
              </w:rPr>
              <w:t>1.8%</w:t>
            </w:r>
          </w:p>
        </w:tc>
      </w:tr>
      <w:tr w:rsidR="00A522E8" w:rsidRPr="00A522E8" w14:paraId="275A8940" w14:textId="77777777" w:rsidTr="00A522E8">
        <w:trPr>
          <w:trHeight w:val="20"/>
        </w:trPr>
        <w:tc>
          <w:tcPr>
            <w:tcW w:w="990" w:type="dxa"/>
            <w:tcBorders>
              <w:top w:val="nil"/>
              <w:left w:val="nil"/>
              <w:bottom w:val="single" w:sz="4" w:space="0" w:color="auto"/>
              <w:right w:val="nil"/>
            </w:tcBorders>
            <w:shd w:val="clear" w:color="auto" w:fill="auto"/>
            <w:noWrap/>
            <w:vAlign w:val="bottom"/>
            <w:hideMark/>
          </w:tcPr>
          <w:p w14:paraId="44048845" w14:textId="77777777" w:rsidR="00A522E8" w:rsidRPr="00A522E8" w:rsidRDefault="00A522E8" w:rsidP="00A522E8">
            <w:pPr>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National</w:t>
            </w:r>
          </w:p>
        </w:tc>
        <w:tc>
          <w:tcPr>
            <w:tcW w:w="1170" w:type="dxa"/>
            <w:tcBorders>
              <w:top w:val="nil"/>
              <w:left w:val="nil"/>
              <w:bottom w:val="single" w:sz="4" w:space="0" w:color="auto"/>
              <w:right w:val="nil"/>
            </w:tcBorders>
            <w:shd w:val="clear" w:color="auto" w:fill="auto"/>
            <w:noWrap/>
            <w:vAlign w:val="bottom"/>
            <w:hideMark/>
          </w:tcPr>
          <w:p w14:paraId="7CEC8785"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163,558</w:t>
            </w:r>
          </w:p>
        </w:tc>
        <w:tc>
          <w:tcPr>
            <w:tcW w:w="1560" w:type="dxa"/>
            <w:gridSpan w:val="2"/>
            <w:tcBorders>
              <w:top w:val="nil"/>
              <w:left w:val="nil"/>
              <w:bottom w:val="single" w:sz="4" w:space="0" w:color="auto"/>
              <w:right w:val="nil"/>
            </w:tcBorders>
            <w:shd w:val="clear" w:color="auto" w:fill="auto"/>
            <w:noWrap/>
            <w:vAlign w:val="bottom"/>
            <w:hideMark/>
          </w:tcPr>
          <w:p w14:paraId="1917EBF6"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34.2</w:t>
            </w:r>
          </w:p>
        </w:tc>
        <w:tc>
          <w:tcPr>
            <w:tcW w:w="1140" w:type="dxa"/>
            <w:gridSpan w:val="2"/>
            <w:tcBorders>
              <w:top w:val="nil"/>
              <w:left w:val="nil"/>
              <w:bottom w:val="single" w:sz="4" w:space="0" w:color="auto"/>
              <w:right w:val="nil"/>
            </w:tcBorders>
            <w:shd w:val="clear" w:color="auto" w:fill="auto"/>
            <w:noWrap/>
            <w:vAlign w:val="bottom"/>
            <w:hideMark/>
          </w:tcPr>
          <w:p w14:paraId="45C3EC8C" w14:textId="77777777" w:rsidR="00A522E8" w:rsidRPr="00A522E8" w:rsidRDefault="00A522E8" w:rsidP="00A522E8">
            <w:pPr>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 </w:t>
            </w:r>
          </w:p>
        </w:tc>
        <w:tc>
          <w:tcPr>
            <w:tcW w:w="1800" w:type="dxa"/>
            <w:gridSpan w:val="2"/>
            <w:tcBorders>
              <w:top w:val="nil"/>
              <w:left w:val="nil"/>
              <w:bottom w:val="single" w:sz="4" w:space="0" w:color="auto"/>
              <w:right w:val="nil"/>
            </w:tcBorders>
            <w:shd w:val="clear" w:color="auto" w:fill="auto"/>
            <w:noWrap/>
            <w:vAlign w:val="bottom"/>
            <w:hideMark/>
          </w:tcPr>
          <w:p w14:paraId="085688D6"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5.9%</w:t>
            </w:r>
          </w:p>
        </w:tc>
        <w:tc>
          <w:tcPr>
            <w:tcW w:w="1060" w:type="dxa"/>
            <w:gridSpan w:val="2"/>
            <w:tcBorders>
              <w:top w:val="nil"/>
              <w:left w:val="nil"/>
              <w:bottom w:val="single" w:sz="4" w:space="0" w:color="auto"/>
              <w:right w:val="nil"/>
            </w:tcBorders>
            <w:shd w:val="clear" w:color="auto" w:fill="auto"/>
            <w:noWrap/>
            <w:vAlign w:val="bottom"/>
            <w:hideMark/>
          </w:tcPr>
          <w:p w14:paraId="7ACC2246" w14:textId="77777777" w:rsidR="00A522E8" w:rsidRPr="00A522E8" w:rsidRDefault="00A522E8" w:rsidP="00A522E8">
            <w:pPr>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 </w:t>
            </w:r>
          </w:p>
        </w:tc>
        <w:tc>
          <w:tcPr>
            <w:tcW w:w="1600" w:type="dxa"/>
            <w:gridSpan w:val="2"/>
            <w:tcBorders>
              <w:top w:val="nil"/>
              <w:left w:val="nil"/>
              <w:bottom w:val="single" w:sz="4" w:space="0" w:color="auto"/>
              <w:right w:val="nil"/>
            </w:tcBorders>
            <w:shd w:val="clear" w:color="auto" w:fill="auto"/>
            <w:noWrap/>
            <w:vAlign w:val="bottom"/>
            <w:hideMark/>
          </w:tcPr>
          <w:p w14:paraId="044BE1E7"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28%</w:t>
            </w:r>
          </w:p>
        </w:tc>
        <w:tc>
          <w:tcPr>
            <w:tcW w:w="1600" w:type="dxa"/>
            <w:gridSpan w:val="2"/>
            <w:tcBorders>
              <w:top w:val="nil"/>
              <w:left w:val="nil"/>
              <w:bottom w:val="single" w:sz="4" w:space="0" w:color="auto"/>
              <w:right w:val="nil"/>
            </w:tcBorders>
            <w:shd w:val="clear" w:color="auto" w:fill="auto"/>
            <w:noWrap/>
            <w:vAlign w:val="bottom"/>
            <w:hideMark/>
          </w:tcPr>
          <w:p w14:paraId="6E2601CE"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5.9%</w:t>
            </w:r>
          </w:p>
        </w:tc>
        <w:tc>
          <w:tcPr>
            <w:tcW w:w="1600" w:type="dxa"/>
            <w:gridSpan w:val="2"/>
            <w:tcBorders>
              <w:top w:val="nil"/>
              <w:left w:val="nil"/>
              <w:bottom w:val="single" w:sz="4" w:space="0" w:color="auto"/>
              <w:right w:val="nil"/>
            </w:tcBorders>
            <w:shd w:val="clear" w:color="auto" w:fill="auto"/>
            <w:noWrap/>
            <w:vAlign w:val="bottom"/>
            <w:hideMark/>
          </w:tcPr>
          <w:p w14:paraId="43202017"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53%</w:t>
            </w:r>
          </w:p>
        </w:tc>
        <w:tc>
          <w:tcPr>
            <w:tcW w:w="1600" w:type="dxa"/>
            <w:gridSpan w:val="2"/>
            <w:tcBorders>
              <w:top w:val="nil"/>
              <w:left w:val="nil"/>
              <w:bottom w:val="single" w:sz="4" w:space="0" w:color="auto"/>
              <w:right w:val="nil"/>
            </w:tcBorders>
            <w:shd w:val="clear" w:color="auto" w:fill="auto"/>
            <w:noWrap/>
            <w:vAlign w:val="bottom"/>
            <w:hideMark/>
          </w:tcPr>
          <w:p w14:paraId="427BEDB1" w14:textId="77777777" w:rsidR="00A522E8" w:rsidRPr="00A522E8" w:rsidRDefault="00A522E8" w:rsidP="00A522E8">
            <w:pPr>
              <w:jc w:val="right"/>
              <w:rPr>
                <w:rFonts w:ascii="Calibri" w:eastAsia="Times New Roman" w:hAnsi="Calibri" w:cs="Times New Roman"/>
                <w:i/>
                <w:iCs/>
                <w:color w:val="000000"/>
                <w:sz w:val="21"/>
                <w:szCs w:val="22"/>
                <w:lang w:val="en-US"/>
              </w:rPr>
            </w:pPr>
            <w:r w:rsidRPr="00A522E8">
              <w:rPr>
                <w:rFonts w:ascii="Calibri" w:eastAsia="Times New Roman" w:hAnsi="Calibri" w:cs="Times New Roman"/>
                <w:i/>
                <w:iCs/>
                <w:color w:val="000000"/>
                <w:sz w:val="21"/>
                <w:szCs w:val="22"/>
                <w:lang w:val="en-US"/>
              </w:rPr>
              <w:t>12.9%</w:t>
            </w:r>
          </w:p>
        </w:tc>
      </w:tr>
    </w:tbl>
    <w:p w14:paraId="57502FF2" w14:textId="77777777" w:rsidR="00A522E8" w:rsidRDefault="00A522E8" w:rsidP="00610023">
      <w:pPr>
        <w:rPr>
          <w:b/>
        </w:rPr>
        <w:sectPr w:rsidR="00A522E8" w:rsidSect="00A522E8">
          <w:pgSz w:w="16840" w:h="11900" w:orient="landscape"/>
          <w:pgMar w:top="801" w:right="1440" w:bottom="1001" w:left="1440" w:header="0" w:footer="576" w:gutter="0"/>
          <w:cols w:space="708"/>
          <w:docGrid w:linePitch="360"/>
        </w:sectPr>
      </w:pPr>
    </w:p>
    <w:p w14:paraId="3A4C2CA2" w14:textId="77777777" w:rsidR="00610023" w:rsidRPr="00806AC9" w:rsidRDefault="00610023" w:rsidP="004D6358">
      <w:pPr>
        <w:outlineLvl w:val="0"/>
        <w:rPr>
          <w:b/>
        </w:rPr>
      </w:pPr>
      <w:r w:rsidRPr="00806AC9">
        <w:rPr>
          <w:b/>
        </w:rPr>
        <w:lastRenderedPageBreak/>
        <w:t>Discussion</w:t>
      </w:r>
    </w:p>
    <w:p w14:paraId="175914E7" w14:textId="77777777" w:rsidR="00610023" w:rsidRDefault="00610023" w:rsidP="00610023">
      <w:pPr>
        <w:spacing w:line="276" w:lineRule="auto"/>
      </w:pPr>
    </w:p>
    <w:p w14:paraId="4F83916C" w14:textId="77777777" w:rsidR="00610023" w:rsidRDefault="00610023" w:rsidP="00610023">
      <w:pPr>
        <w:spacing w:line="276" w:lineRule="auto"/>
      </w:pPr>
      <w:r>
        <w:t>This study aimed to add to the scientific understanding of positive deviance as an improvement method, by exploring the identification of positively deviant health services from routinely collected, publicly available quality and safety data.  In doing this, we developed a set of criteria for selecting indicators for the purpose of identifying positive deviants, applied criteria to shortlist potential indicators, and identified positive outliers.  This paper therefore provides a replicable method by which healthcare organisations, policy makers or improvement bodies can identify positive deviants in quality or safety outcomes.</w:t>
      </w:r>
    </w:p>
    <w:p w14:paraId="056EBC39" w14:textId="77777777" w:rsidR="00610023" w:rsidRDefault="00610023" w:rsidP="00610023">
      <w:pPr>
        <w:spacing w:line="276" w:lineRule="auto"/>
      </w:pPr>
    </w:p>
    <w:p w14:paraId="04377DF9" w14:textId="77777777" w:rsidR="00610023" w:rsidRDefault="00610023" w:rsidP="00610023">
      <w:pPr>
        <w:spacing w:line="276" w:lineRule="auto"/>
      </w:pPr>
      <w:r>
        <w:t>There is increasing interest within both academic and health service communities regarding the potential for approaches which seek to identify, celebrate and learn from excellent quality and safety performance.  Without a systematic and standardised set of approaches to identify positive outliers, we risk a proliferation of well-intentioned but ultimately untested approaches, potentially leading to wasted effort and misdirected improvement attempts.  This paper is the first to present a detailed description of this first stage of the positive deviance approach, with an explicit intention to both explicate and critique the process of identification of indicators. As such, the findings raise a number of issues.</w:t>
      </w:r>
    </w:p>
    <w:p w14:paraId="5FE873D3" w14:textId="77777777" w:rsidR="00610023" w:rsidRDefault="00610023" w:rsidP="00610023">
      <w:pPr>
        <w:spacing w:line="276" w:lineRule="auto"/>
      </w:pPr>
    </w:p>
    <w:p w14:paraId="73B05298" w14:textId="77777777" w:rsidR="00610023" w:rsidRDefault="00610023" w:rsidP="00610023">
      <w:pPr>
        <w:spacing w:line="276" w:lineRule="auto"/>
      </w:pPr>
      <w:r>
        <w:t>First, we found that many of the indicators used for examining the quality and safety of health care services did not allow identification of variation at the level of the service/ward. This is critical for quality and safety improvement because large variation is expected across services within a hospital e.g. falls in elderly medical wards are more frequent than on a maternity or paediatric ward.  Indeed, in terms of quality and safety, organisational level indicators may be meaningless or even obscure important differences between services across organisations.[8] Other authors have called for the collection and use of quality metrics that reflect the complexity of care,[26] which would both facilitate identification of intra-organisational variance, and local improvement efforts using the information within these contextualised indicators.  Our findings suggest that, against these requirements, many existing and routinely available quality and safety indicators may be inappropriate for identifying and understanding positive deviants in quality and safety of care.</w:t>
      </w:r>
    </w:p>
    <w:p w14:paraId="4E5D9577" w14:textId="77777777" w:rsidR="00610023" w:rsidRDefault="00610023" w:rsidP="00610023">
      <w:pPr>
        <w:spacing w:line="276" w:lineRule="auto"/>
      </w:pPr>
    </w:p>
    <w:p w14:paraId="773BE6FF" w14:textId="77777777" w:rsidR="00610023" w:rsidRDefault="00610023" w:rsidP="00610023">
      <w:pPr>
        <w:spacing w:line="276" w:lineRule="auto"/>
      </w:pPr>
      <w:r>
        <w:t xml:space="preserve">Second, a key question concerns who might undertake the positive deviance </w:t>
      </w:r>
      <w:r w:rsidRPr="00DB1A26">
        <w:t xml:space="preserve">stage 1 approach outlined here. It is arguable that individual NHS </w:t>
      </w:r>
      <w:r>
        <w:t>hospital</w:t>
      </w:r>
      <w:r w:rsidRPr="00DB1A26">
        <w:t xml:space="preserve">s </w:t>
      </w:r>
      <w:r>
        <w:t>may not be able</w:t>
      </w:r>
      <w:r w:rsidRPr="00C37C53">
        <w:t xml:space="preserve"> to follow such a process, with issues including capability, capacity and resource implications for accessing some of the publicly accessible data used here. However, our proposed approach could easily be replicated by improvement bodies, </w:t>
      </w:r>
      <w:r>
        <w:t xml:space="preserve">national audits </w:t>
      </w:r>
      <w:r w:rsidRPr="00C37C53">
        <w:t xml:space="preserve">as well as policy makers and regulatory </w:t>
      </w:r>
      <w:r w:rsidRPr="00C37C53">
        <w:lastRenderedPageBreak/>
        <w:t xml:space="preserve">authorities. For these organisations there are clear advantages of having a replicable and robust process for undertaking these types of analysis.  </w:t>
      </w:r>
    </w:p>
    <w:p w14:paraId="5019ACA3" w14:textId="77777777" w:rsidR="00610023" w:rsidRDefault="00610023" w:rsidP="00610023">
      <w:pPr>
        <w:spacing w:line="276" w:lineRule="auto"/>
      </w:pPr>
    </w:p>
    <w:p w14:paraId="0400C78E" w14:textId="77777777" w:rsidR="00610023" w:rsidRDefault="00610023" w:rsidP="00610023">
      <w:pPr>
        <w:spacing w:line="276" w:lineRule="auto"/>
      </w:pPr>
      <w:r>
        <w:t xml:space="preserve">Finally, while there are a variety of sophisticated statistical methods to assess provider performance, there will invariably be uncertainty about the true performance of each individual provider. This implies that any selection of services/wards for further in-depth qualitative study will necessarily involve some risk of type I error, in which hospitals are falsely identified as performing exceptionally. We minimise the risk of type 1 error in this study by conducting a range of sensitivity checks and found our estimates of relative hospital performance to be robust. Above and beyond this, the costs of error in the positive deviant approach may be lower than the stigma associated with incorrectly identifying negative deviants; this being a concern about common applications of performance assessment in health care.[8] </w:t>
      </w:r>
    </w:p>
    <w:p w14:paraId="2CF43A00" w14:textId="77777777" w:rsidR="00610023" w:rsidRDefault="00610023" w:rsidP="00610023">
      <w:pPr>
        <w:spacing w:line="276" w:lineRule="auto"/>
        <w:rPr>
          <w:i/>
        </w:rPr>
      </w:pPr>
    </w:p>
    <w:p w14:paraId="3061DA4F" w14:textId="77777777" w:rsidR="00610023" w:rsidRPr="008C2871" w:rsidRDefault="00610023" w:rsidP="004D6358">
      <w:pPr>
        <w:spacing w:line="276" w:lineRule="auto"/>
        <w:outlineLvl w:val="0"/>
        <w:rPr>
          <w:i/>
        </w:rPr>
      </w:pPr>
      <w:r w:rsidRPr="00A36D9C">
        <w:rPr>
          <w:i/>
        </w:rPr>
        <w:t>Limitations</w:t>
      </w:r>
    </w:p>
    <w:p w14:paraId="3500C70A" w14:textId="77777777" w:rsidR="00610023" w:rsidRDefault="00610023" w:rsidP="00610023">
      <w:pPr>
        <w:spacing w:line="276" w:lineRule="auto"/>
      </w:pPr>
    </w:p>
    <w:p w14:paraId="79E0A944" w14:textId="77777777" w:rsidR="001F5D0E" w:rsidRDefault="00610023" w:rsidP="00610023">
      <w:pPr>
        <w:spacing w:line="276" w:lineRule="auto"/>
      </w:pPr>
      <w:r>
        <w:t xml:space="preserve">There are a number of limitations within this study.  First is the time lapse between the measurement of the indicators contained within the national datasets, and their eventual publication.  This means that our judgements are based on data that may not represent services as they currently operate.  </w:t>
      </w:r>
    </w:p>
    <w:p w14:paraId="3ACA7F5A" w14:textId="77777777" w:rsidR="001F5D0E" w:rsidRDefault="001F5D0E" w:rsidP="00610023">
      <w:pPr>
        <w:spacing w:line="276" w:lineRule="auto"/>
      </w:pPr>
    </w:p>
    <w:p w14:paraId="05847E09" w14:textId="49A96C43" w:rsidR="001F5D0E" w:rsidRDefault="00610023" w:rsidP="00610023">
      <w:pPr>
        <w:spacing w:line="276" w:lineRule="auto"/>
      </w:pPr>
      <w:r>
        <w:t xml:space="preserve">Second, identifying deviants using consistency over a period of three years as a criterion limits the process to services demonstrating exceptional, but stable performance, rather than those that might have seen recent improvement.  The latter group is clearly of interest and may be better suited to study the effectiveness of quality interventions than general stable performers due to the evident discontinuity in their service design. However, identifying structural breaks in performance is difficult in short time-series due to quality improvements common to all providers (general trend) and regression to the mean. Furthermore, this would limit the </w:t>
      </w:r>
      <w:r w:rsidR="007B58F4">
        <w:t xml:space="preserve">positive deviance </w:t>
      </w:r>
      <w:r>
        <w:t xml:space="preserve">approach to improvement efforts that occur </w:t>
      </w:r>
      <w:r w:rsidRPr="00CC5667">
        <w:rPr>
          <w:i/>
        </w:rPr>
        <w:t>during</w:t>
      </w:r>
      <w:r>
        <w:t xml:space="preserve"> the data period and exclude those that occurred before. </w:t>
      </w:r>
    </w:p>
    <w:p w14:paraId="46E3C6AF" w14:textId="77777777" w:rsidR="001F5D0E" w:rsidRDefault="001F5D0E" w:rsidP="00610023">
      <w:pPr>
        <w:spacing w:line="276" w:lineRule="auto"/>
      </w:pPr>
    </w:p>
    <w:p w14:paraId="2B49EFE2" w14:textId="77777777" w:rsidR="001F5D0E" w:rsidRDefault="00610023" w:rsidP="00610023">
      <w:pPr>
        <w:spacing w:line="276" w:lineRule="auto"/>
      </w:pPr>
      <w:r>
        <w:t xml:space="preserve">A third limitation concerns the subjectivity inherent in using the expert group as a basis for this work, potentially influencing the identification of datasets, criteria development, and the selection of final indicators for statistical modelling.  However, given the membership of this group comprised both academic and clinical expertise from across relevant disciplines, and the transparency of our approach described here, we believe that we have been able to minimise this as far as possible. </w:t>
      </w:r>
    </w:p>
    <w:p w14:paraId="4E846F71" w14:textId="77777777" w:rsidR="001F5D0E" w:rsidRDefault="001F5D0E" w:rsidP="00610023">
      <w:pPr>
        <w:spacing w:line="276" w:lineRule="auto"/>
      </w:pPr>
    </w:p>
    <w:p w14:paraId="49B420AF" w14:textId="77777777" w:rsidR="00610023" w:rsidRDefault="00610023" w:rsidP="00610023">
      <w:pPr>
        <w:spacing w:line="276" w:lineRule="auto"/>
      </w:pPr>
      <w:r>
        <w:lastRenderedPageBreak/>
        <w:t xml:space="preserve">A final limitation of the study, based upon the scale of the work, was our inability to statistically explore all shortlisted indicators in the final stage.  However, given that these single indicators could not be combined with others to create </w:t>
      </w:r>
      <w:r w:rsidR="00F05D3D">
        <w:t xml:space="preserve">a </w:t>
      </w:r>
      <w:r>
        <w:t>more robust, composite assessment</w:t>
      </w:r>
      <w:r w:rsidR="00F05D3D">
        <w:t xml:space="preserve"> of </w:t>
      </w:r>
      <w:r>
        <w:t>service</w:t>
      </w:r>
      <w:r w:rsidR="00F05D3D">
        <w:t>s</w:t>
      </w:r>
      <w:r>
        <w:t>, the authors feel confident that the four related indicators taken forward presented the best option for the focus of this work.</w:t>
      </w:r>
    </w:p>
    <w:p w14:paraId="1E56C33A" w14:textId="77777777" w:rsidR="00610023" w:rsidRDefault="00610023" w:rsidP="00610023">
      <w:pPr>
        <w:spacing w:line="276" w:lineRule="auto"/>
      </w:pPr>
    </w:p>
    <w:p w14:paraId="018C3FE5" w14:textId="77777777" w:rsidR="00610023" w:rsidRPr="008E2A0A" w:rsidRDefault="00610023" w:rsidP="004D6358">
      <w:pPr>
        <w:spacing w:line="276" w:lineRule="auto"/>
        <w:outlineLvl w:val="0"/>
        <w:rPr>
          <w:b/>
        </w:rPr>
      </w:pPr>
      <w:r w:rsidRPr="00A36D9C">
        <w:rPr>
          <w:b/>
        </w:rPr>
        <w:t>Conclusions</w:t>
      </w:r>
    </w:p>
    <w:p w14:paraId="7C7BF407" w14:textId="77777777" w:rsidR="00610023" w:rsidRDefault="00610023" w:rsidP="00610023">
      <w:pPr>
        <w:spacing w:line="276" w:lineRule="auto"/>
      </w:pPr>
    </w:p>
    <w:p w14:paraId="3A4DA775" w14:textId="77777777" w:rsidR="00610023" w:rsidRDefault="00610023" w:rsidP="00610023">
      <w:pPr>
        <w:pStyle w:val="Body"/>
        <w:spacing w:line="276" w:lineRule="auto"/>
      </w:pPr>
      <w:r>
        <w:t xml:space="preserve">We aimed to explore the process of identifying positively deviant health services from routinely collected, publicly available quality and safety data.  Whilst it is possible to identify a number of indicators for this purpose, there are significant challenges in identifying positive deviants using quality and safety indicators that support meaningful comparison and improvement efforts.  The difficulties inherent in using administrative data to understand quality and safety are well known.  However, the burden of measurement is brought into sharp relief at this time of austerity when delivery pressures in UK health services are great.  Our findings support </w:t>
      </w:r>
      <w:r w:rsidRPr="003140A0">
        <w:rPr>
          <w:lang w:val="en-GB"/>
        </w:rPr>
        <w:t>Berwick</w:t>
      </w:r>
      <w:r>
        <w:t xml:space="preserve">’s recommendation for an urgent and wide ranging focus on what (and how) we measure in health services, and where possible, streamlining this list to fewer, more meaningful measures, ideally </w:t>
      </w:r>
      <w:r w:rsidRPr="006B110B">
        <w:rPr>
          <w:iCs/>
        </w:rPr>
        <w:t>“to measure only what matters, and only for learning”</w:t>
      </w:r>
      <w:r w:rsidRPr="006B110B">
        <w:rPr>
          <w:lang w:val="en-GB"/>
        </w:rPr>
        <w:t>.</w:t>
      </w:r>
      <w:r>
        <w:rPr>
          <w:lang w:val="en-GB"/>
        </w:rPr>
        <w:t>[27, p.1329]</w:t>
      </w:r>
      <w:r>
        <w:t xml:space="preserve">  The UK’s newly established Patient Safety Measurement Unit[28] will need to play a key role in co-producing measures that facilitate understanding of variation at the service level, and evaluation of the improvement that follows.</w:t>
      </w:r>
    </w:p>
    <w:p w14:paraId="248AB14F" w14:textId="10A3904A" w:rsidR="00610023" w:rsidRDefault="00610023" w:rsidP="00172A96">
      <w:pPr>
        <w:spacing w:line="276" w:lineRule="auto"/>
        <w:rPr>
          <w:rFonts w:eastAsia="Cambria" w:cs="Cambria"/>
          <w:color w:val="000000"/>
          <w:u w:val="single" w:color="000000"/>
          <w:bdr w:val="nil"/>
          <w:lang w:val="en-US" w:eastAsia="en-GB"/>
        </w:rPr>
      </w:pPr>
      <w:r>
        <w:rPr>
          <w:u w:val="single"/>
        </w:rPr>
        <w:br w:type="page"/>
      </w:r>
    </w:p>
    <w:p w14:paraId="77C0D7C5" w14:textId="77777777" w:rsidR="00610023" w:rsidRPr="00094CFE" w:rsidRDefault="00610023" w:rsidP="004D6358">
      <w:pPr>
        <w:pStyle w:val="Body"/>
        <w:spacing w:line="276" w:lineRule="auto"/>
        <w:outlineLvl w:val="0"/>
        <w:rPr>
          <w:b/>
          <w:u w:val="single"/>
          <w:lang w:val="de-DE"/>
        </w:rPr>
      </w:pPr>
      <w:r w:rsidRPr="00094CFE">
        <w:rPr>
          <w:b/>
          <w:u w:val="single"/>
          <w:lang w:val="de-DE"/>
        </w:rPr>
        <w:lastRenderedPageBreak/>
        <w:t>References:</w:t>
      </w:r>
    </w:p>
    <w:p w14:paraId="3C22A9FC" w14:textId="77777777" w:rsidR="00610023" w:rsidRPr="00094CFE" w:rsidRDefault="00610023" w:rsidP="00610023">
      <w:pPr>
        <w:spacing w:line="276" w:lineRule="auto"/>
        <w:rPr>
          <w:lang w:val="de-DE"/>
        </w:rPr>
      </w:pPr>
    </w:p>
    <w:p w14:paraId="18E0077C" w14:textId="77777777" w:rsidR="00610023" w:rsidRDefault="00610023" w:rsidP="00610023">
      <w:pPr>
        <w:spacing w:line="276" w:lineRule="auto"/>
      </w:pPr>
      <w:r w:rsidRPr="00094CFE">
        <w:rPr>
          <w:lang w:val="de-DE"/>
        </w:rPr>
        <w:t xml:space="preserve">1. Marsh DR, Schroeder DG, Dearden KA, et al. </w:t>
      </w:r>
      <w:r>
        <w:t>The power of positive deviance. BMJ 2004;329:1177–9.</w:t>
      </w:r>
    </w:p>
    <w:p w14:paraId="658BD8D7" w14:textId="77777777" w:rsidR="00610023" w:rsidRDefault="00610023" w:rsidP="00610023">
      <w:pPr>
        <w:spacing w:line="276" w:lineRule="auto"/>
      </w:pPr>
    </w:p>
    <w:p w14:paraId="410AA42B" w14:textId="77777777" w:rsidR="00610023" w:rsidRDefault="00610023" w:rsidP="00610023">
      <w:pPr>
        <w:spacing w:line="276" w:lineRule="auto"/>
      </w:pPr>
      <w:r>
        <w:t xml:space="preserve">2. </w:t>
      </w:r>
      <w:r w:rsidRPr="00E94422">
        <w:t>Baxter R, Taylor N, Kellar I, et al</w:t>
      </w:r>
      <w:r>
        <w:t>.</w:t>
      </w:r>
      <w:r w:rsidRPr="00E94422">
        <w:t xml:space="preserve"> What methods are used to apply positive deviance within healthcare organisations? A systematic review</w:t>
      </w:r>
      <w:r>
        <w:t>.</w:t>
      </w:r>
      <w:r w:rsidRPr="00E94422">
        <w:t xml:space="preserve"> BMJ Qual Saf 2016;25:190-201.</w:t>
      </w:r>
    </w:p>
    <w:p w14:paraId="5048ED52" w14:textId="77777777" w:rsidR="00610023" w:rsidRDefault="00610023" w:rsidP="00610023">
      <w:pPr>
        <w:spacing w:line="276" w:lineRule="auto"/>
      </w:pPr>
    </w:p>
    <w:p w14:paraId="18C54B9E" w14:textId="77777777" w:rsidR="00610023" w:rsidRDefault="00610023" w:rsidP="00610023">
      <w:pPr>
        <w:spacing w:line="276" w:lineRule="auto"/>
      </w:pPr>
      <w:r>
        <w:t>3. Lawton R, Taylor N, Clay-Williams R, et al. Positive deviance: a different approach to achieving patient safety. BMJ Qual Saf 2014;3:880–3</w:t>
      </w:r>
    </w:p>
    <w:p w14:paraId="63F2A44B" w14:textId="77777777" w:rsidR="00610023" w:rsidRDefault="00610023" w:rsidP="00610023">
      <w:pPr>
        <w:spacing w:line="276" w:lineRule="auto"/>
      </w:pPr>
    </w:p>
    <w:p w14:paraId="6E95BE6A" w14:textId="77777777" w:rsidR="00610023" w:rsidRDefault="00610023" w:rsidP="00610023">
      <w:pPr>
        <w:spacing w:line="276" w:lineRule="auto"/>
      </w:pPr>
      <w:r>
        <w:t xml:space="preserve">4. </w:t>
      </w:r>
      <w:r w:rsidRPr="00FC2886">
        <w:t xml:space="preserve">Bradley EH, Curry LA, Ramanadhan S, </w:t>
      </w:r>
      <w:r>
        <w:t xml:space="preserve">et al. </w:t>
      </w:r>
      <w:r w:rsidRPr="00FC2886">
        <w:t>Research in action: using positive deviance to improve quality of health care. Imp</w:t>
      </w:r>
      <w:r>
        <w:t>lementation Science 2009;</w:t>
      </w:r>
      <w:r w:rsidRPr="00FC2886">
        <w:t>4:25.</w:t>
      </w:r>
    </w:p>
    <w:p w14:paraId="01B6DB4D" w14:textId="77777777" w:rsidR="00610023" w:rsidRDefault="00610023" w:rsidP="00610023">
      <w:pPr>
        <w:spacing w:line="276" w:lineRule="auto"/>
      </w:pPr>
    </w:p>
    <w:p w14:paraId="5F07D6F0" w14:textId="77777777" w:rsidR="00610023" w:rsidRDefault="00610023" w:rsidP="00610023">
      <w:pPr>
        <w:spacing w:line="276" w:lineRule="auto"/>
      </w:pPr>
      <w:r>
        <w:t xml:space="preserve">5. </w:t>
      </w:r>
      <w:r w:rsidRPr="00A10A37">
        <w:t>Kessner DM, Kalk CE, Singer J. Assessing health quality. The case for tracers. N Eng J Medicine 1973; 288:189-194.</w:t>
      </w:r>
    </w:p>
    <w:p w14:paraId="4ACD9758" w14:textId="77777777" w:rsidR="00610023" w:rsidRDefault="00610023" w:rsidP="00610023">
      <w:pPr>
        <w:spacing w:line="276" w:lineRule="auto"/>
      </w:pPr>
    </w:p>
    <w:p w14:paraId="4C33F9DD" w14:textId="77777777" w:rsidR="00610023" w:rsidRDefault="00610023" w:rsidP="00610023">
      <w:pPr>
        <w:spacing w:line="276" w:lineRule="auto"/>
      </w:pPr>
      <w:r>
        <w:t>6. Shahian DM, Normand S-LT. What is a performance outlier? BMJ Qual Saf 2015;24:95–99.</w:t>
      </w:r>
    </w:p>
    <w:p w14:paraId="01056689" w14:textId="77777777" w:rsidR="00610023" w:rsidRDefault="00610023" w:rsidP="00610023">
      <w:pPr>
        <w:spacing w:line="276" w:lineRule="auto"/>
      </w:pPr>
    </w:p>
    <w:p w14:paraId="473B41AD" w14:textId="77777777" w:rsidR="00610023" w:rsidRDefault="00610023" w:rsidP="00610023">
      <w:pPr>
        <w:spacing w:line="276" w:lineRule="auto"/>
      </w:pPr>
      <w:r>
        <w:t>7. Dixon-Woods M, Leslie M, Bion J, Tarrant C. What Counts? An ethnographic study of infection data reported to a patient safety program. Milbank Quarterly. 2012; 90:548-591.</w:t>
      </w:r>
    </w:p>
    <w:p w14:paraId="4753749F" w14:textId="77777777" w:rsidR="00610023" w:rsidRDefault="00610023" w:rsidP="00610023">
      <w:pPr>
        <w:spacing w:line="276" w:lineRule="auto"/>
      </w:pPr>
    </w:p>
    <w:p w14:paraId="67ADD6D8" w14:textId="77777777" w:rsidR="00610023" w:rsidRDefault="00610023" w:rsidP="00610023">
      <w:pPr>
        <w:spacing w:line="276" w:lineRule="auto"/>
      </w:pPr>
      <w:r>
        <w:t>8. Black N. To do the service no harm: the dangers of quality assessment</w:t>
      </w:r>
    </w:p>
    <w:p w14:paraId="13180991" w14:textId="77777777" w:rsidR="00610023" w:rsidRDefault="00610023" w:rsidP="00610023">
      <w:pPr>
        <w:spacing w:line="276" w:lineRule="auto"/>
      </w:pPr>
      <w:r>
        <w:t>J Health Serv Res Pol 2015;20:65–66.</w:t>
      </w:r>
    </w:p>
    <w:p w14:paraId="1C33C523" w14:textId="77777777" w:rsidR="00610023" w:rsidRDefault="00610023" w:rsidP="00610023">
      <w:pPr>
        <w:spacing w:line="276" w:lineRule="auto"/>
      </w:pPr>
    </w:p>
    <w:p w14:paraId="091E91CE" w14:textId="77777777" w:rsidR="00610023" w:rsidRDefault="00610023" w:rsidP="00610023">
      <w:pPr>
        <w:spacing w:line="276" w:lineRule="auto"/>
      </w:pPr>
      <w:r>
        <w:t>9. Marra AR, Noritomi DT, Westheimer Cavalcante AJ, et al. A multicenter study using positive deviance for improving hand hygiene compliance. Am J Infect Control 2013;41:984–8.</w:t>
      </w:r>
    </w:p>
    <w:p w14:paraId="74CC4740" w14:textId="77777777" w:rsidR="00610023" w:rsidRDefault="00610023" w:rsidP="00610023">
      <w:pPr>
        <w:spacing w:line="276" w:lineRule="auto"/>
      </w:pPr>
    </w:p>
    <w:p w14:paraId="5BD66406" w14:textId="77777777" w:rsidR="00610023" w:rsidRDefault="00610023" w:rsidP="00610023">
      <w:pPr>
        <w:spacing w:line="276" w:lineRule="auto"/>
      </w:pPr>
      <w:r>
        <w:t>10. Bradley EH, Curry LA, Spatz ES, et al. Hospital strategies for reducing risk-standardized mortality rates in acute myocardial infarction. Ann Intern Med 2012;156:618–26.</w:t>
      </w:r>
    </w:p>
    <w:p w14:paraId="4AC82B19" w14:textId="77777777" w:rsidR="00610023" w:rsidRDefault="00610023" w:rsidP="00610023">
      <w:pPr>
        <w:spacing w:line="276" w:lineRule="auto"/>
      </w:pPr>
    </w:p>
    <w:p w14:paraId="7C2A2DA7" w14:textId="77777777" w:rsidR="00610023" w:rsidRDefault="00610023" w:rsidP="00610023">
      <w:pPr>
        <w:spacing w:line="276" w:lineRule="auto"/>
      </w:pPr>
      <w:r>
        <w:t>11. Gabbay RA, Friedberg MW, Miller-Day M, et al. A positive deviance approach to understanding key features to improving diabetes care in the medical home. Ann Fam Med 2013;11 (Suppl 1):S99–107.</w:t>
      </w:r>
    </w:p>
    <w:p w14:paraId="79265C1F" w14:textId="77777777" w:rsidR="00610023" w:rsidRDefault="00610023" w:rsidP="00610023">
      <w:pPr>
        <w:spacing w:line="276" w:lineRule="auto"/>
      </w:pPr>
    </w:p>
    <w:p w14:paraId="4FA90639" w14:textId="77777777" w:rsidR="00610023" w:rsidRDefault="00610023" w:rsidP="00610023">
      <w:pPr>
        <w:spacing w:line="276" w:lineRule="auto"/>
      </w:pPr>
      <w:r>
        <w:t xml:space="preserve">12. </w:t>
      </w:r>
      <w:r w:rsidRPr="008C2AF1">
        <w:t>Rushforth B, Stokes T, Andrews E, Willis TA, McEachan R, Faulkner S, Foy R. Developing 'high impact' guideline-based quality indicators for UK primary care: a multi-stage consensus process. BMC Family Practice 2015;16:156</w:t>
      </w:r>
    </w:p>
    <w:p w14:paraId="2260A761" w14:textId="77777777" w:rsidR="00610023" w:rsidRDefault="00610023" w:rsidP="00610023">
      <w:pPr>
        <w:spacing w:line="276" w:lineRule="auto"/>
      </w:pPr>
      <w:r>
        <w:lastRenderedPageBreak/>
        <w:t>13. Kötter T, Blozik E, Scherer M. Methods for the guideline-based development of quality indicators – a systematic review. Implement Sci. 2012;7:21.</w:t>
      </w:r>
    </w:p>
    <w:p w14:paraId="7101F293" w14:textId="77777777" w:rsidR="00610023" w:rsidRDefault="00610023" w:rsidP="00610023">
      <w:pPr>
        <w:spacing w:line="276" w:lineRule="auto"/>
      </w:pPr>
    </w:p>
    <w:p w14:paraId="72C3F666" w14:textId="77777777" w:rsidR="00610023" w:rsidRDefault="00610023" w:rsidP="00610023">
      <w:pPr>
        <w:spacing w:line="276" w:lineRule="auto"/>
      </w:pPr>
      <w:r>
        <w:t>14. Stelfox HT, Straus SE. Measuring quality of care: considering conceptual approaches to quality indicator development and evaluation. J Clin</w:t>
      </w:r>
    </w:p>
    <w:p w14:paraId="62D090C7" w14:textId="77777777" w:rsidR="00610023" w:rsidRDefault="00610023" w:rsidP="00610023">
      <w:pPr>
        <w:spacing w:line="276" w:lineRule="auto"/>
      </w:pPr>
      <w:r>
        <w:t>Epidemiol. 2013;66:1328–37.</w:t>
      </w:r>
    </w:p>
    <w:p w14:paraId="764F0785" w14:textId="77777777" w:rsidR="00610023" w:rsidRDefault="00610023" w:rsidP="00610023">
      <w:pPr>
        <w:spacing w:line="276" w:lineRule="auto"/>
      </w:pPr>
    </w:p>
    <w:p w14:paraId="50E0625D" w14:textId="77777777" w:rsidR="00610023" w:rsidRDefault="00610023" w:rsidP="00610023">
      <w:pPr>
        <w:spacing w:line="276" w:lineRule="auto"/>
      </w:pPr>
      <w:r>
        <w:t>15. Institute of Medicine. Performance measurement: accelerating improvement.  Washington, DC: The National Academies Press, 2006.</w:t>
      </w:r>
    </w:p>
    <w:p w14:paraId="4B2A7D19" w14:textId="77777777" w:rsidR="00610023" w:rsidRDefault="00610023" w:rsidP="00610023">
      <w:pPr>
        <w:spacing w:line="276" w:lineRule="auto"/>
      </w:pPr>
    </w:p>
    <w:p w14:paraId="380E16D4" w14:textId="77777777" w:rsidR="00610023" w:rsidRPr="00094CFE" w:rsidRDefault="00610023" w:rsidP="00610023">
      <w:pPr>
        <w:spacing w:line="276" w:lineRule="auto"/>
        <w:rPr>
          <w:lang w:val="de-DE"/>
        </w:rPr>
      </w:pPr>
      <w:r>
        <w:t xml:space="preserve">16. Doggen K, Lavens A, </w:t>
      </w:r>
      <w:r w:rsidRPr="004C4312">
        <w:t>Van Casteren</w:t>
      </w:r>
      <w:r>
        <w:t xml:space="preserve"> V.  The right indicator for the job: different levels of rigor may be appropriate for the development of quality indicators. </w:t>
      </w:r>
      <w:r w:rsidRPr="00094CFE">
        <w:rPr>
          <w:lang w:val="de-DE"/>
        </w:rPr>
        <w:t>Comment on Stelfox and Straus.  J Clin Epidemiol 2014;67:963–964.</w:t>
      </w:r>
    </w:p>
    <w:p w14:paraId="0F8E8854" w14:textId="77777777" w:rsidR="00610023" w:rsidRPr="00094CFE" w:rsidRDefault="00610023" w:rsidP="00610023">
      <w:pPr>
        <w:spacing w:line="276" w:lineRule="auto"/>
        <w:rPr>
          <w:lang w:val="de-DE"/>
        </w:rPr>
      </w:pPr>
    </w:p>
    <w:p w14:paraId="6A10B2AA" w14:textId="77777777" w:rsidR="00610023" w:rsidRDefault="00610023" w:rsidP="00610023">
      <w:pPr>
        <w:spacing w:line="276" w:lineRule="auto"/>
      </w:pPr>
      <w:r w:rsidRPr="00094CFE">
        <w:rPr>
          <w:lang w:val="de-DE"/>
        </w:rPr>
        <w:t xml:space="preserve">17. Schwendimann R, Zimmermann N, Küng K, et al. </w:t>
      </w:r>
      <w:r w:rsidRPr="007F2436">
        <w:t>Variation in safety culture dimensions within and between US and Swiss Hospital Units: an exploratory study</w:t>
      </w:r>
      <w:r>
        <w:t>.</w:t>
      </w:r>
      <w:r w:rsidRPr="007F2436">
        <w:t xml:space="preserve"> BMJ Qual Saf 2013;22:32-41.</w:t>
      </w:r>
    </w:p>
    <w:p w14:paraId="1DA30DC9" w14:textId="77777777" w:rsidR="00610023" w:rsidRDefault="00610023" w:rsidP="00610023">
      <w:pPr>
        <w:spacing w:line="276" w:lineRule="auto"/>
      </w:pPr>
    </w:p>
    <w:p w14:paraId="13548C53" w14:textId="77777777" w:rsidR="00610023" w:rsidRDefault="00610023" w:rsidP="00610023">
      <w:pPr>
        <w:spacing w:line="276" w:lineRule="auto"/>
      </w:pPr>
      <w:r>
        <w:t xml:space="preserve">18.  </w:t>
      </w:r>
      <w:r w:rsidRPr="00B9556B">
        <w:t>Goldstein, H. &amp; Spiegelhalter, D. J. League Tables and Their Limitations: Statistical Issues in Comparisons of Institutional Performance. Journal o</w:t>
      </w:r>
      <w:r>
        <w:t>f the Royal Statistical Society</w:t>
      </w:r>
      <w:r w:rsidRPr="00B9556B">
        <w:t xml:space="preserve"> 1996</w:t>
      </w:r>
      <w:r>
        <w:t>;</w:t>
      </w:r>
      <w:r w:rsidRPr="00B9556B">
        <w:t>159</w:t>
      </w:r>
      <w:r>
        <w:t>:</w:t>
      </w:r>
      <w:r w:rsidRPr="00B9556B">
        <w:t>385-443.</w:t>
      </w:r>
    </w:p>
    <w:p w14:paraId="2D97F763" w14:textId="77777777" w:rsidR="00610023" w:rsidRDefault="00610023" w:rsidP="00610023">
      <w:pPr>
        <w:spacing w:line="276" w:lineRule="auto"/>
      </w:pPr>
    </w:p>
    <w:p w14:paraId="39FA6363" w14:textId="77777777" w:rsidR="00610023" w:rsidRDefault="00610023" w:rsidP="00610023">
      <w:pPr>
        <w:spacing w:line="276" w:lineRule="auto"/>
      </w:pPr>
      <w:r>
        <w:t xml:space="preserve">19. </w:t>
      </w:r>
      <w:r w:rsidRPr="00AE6674">
        <w:t>Ohlssen DI, Sharples LD, Spiegelhalter DJ. A hierarchical modelling framework for identifying unusual performance in health care providers. Journal of the Royal Statistical Society: Series A (Statistics in Society). 2007;170(4):865-90.</w:t>
      </w:r>
    </w:p>
    <w:p w14:paraId="55C39F4F" w14:textId="77777777" w:rsidR="00610023" w:rsidRDefault="00610023" w:rsidP="00610023">
      <w:pPr>
        <w:spacing w:line="276" w:lineRule="auto"/>
      </w:pPr>
    </w:p>
    <w:p w14:paraId="4CC38B71" w14:textId="77777777" w:rsidR="00610023" w:rsidRDefault="00610023" w:rsidP="00610023">
      <w:pPr>
        <w:spacing w:line="276" w:lineRule="auto"/>
      </w:pPr>
      <w:r>
        <w:t>20. Snijders, T. a. B. &amp; Bosker, R. J. 2012. Multilevel Analysis - An Introduction to Basic and Advanced Multilevel Modeling, Los Angeles, Sage.</w:t>
      </w:r>
    </w:p>
    <w:p w14:paraId="04C93D8E" w14:textId="77777777" w:rsidR="00610023" w:rsidRDefault="00610023" w:rsidP="00610023">
      <w:pPr>
        <w:spacing w:line="276" w:lineRule="auto"/>
      </w:pPr>
    </w:p>
    <w:p w14:paraId="374B1959" w14:textId="77777777" w:rsidR="00610023" w:rsidRDefault="00610023" w:rsidP="00610023">
      <w:pPr>
        <w:spacing w:line="276" w:lineRule="auto"/>
      </w:pPr>
      <w:r>
        <w:t xml:space="preserve">21. </w:t>
      </w:r>
      <w:r w:rsidRPr="00360710">
        <w:t>Skrondal, A. &amp; Rabe-Hesketh, S. 2009. Prediction in multilevel generalized linear models. Journal of the Royal Statistical Society. Series A (Statistics in Society), 172, 659-87.</w:t>
      </w:r>
    </w:p>
    <w:p w14:paraId="57183DFA" w14:textId="77777777" w:rsidR="00610023" w:rsidRDefault="00610023" w:rsidP="00610023">
      <w:pPr>
        <w:spacing w:line="276" w:lineRule="auto"/>
      </w:pPr>
    </w:p>
    <w:p w14:paraId="580E8712" w14:textId="77777777" w:rsidR="00610023" w:rsidRDefault="00610023" w:rsidP="00610023">
      <w:pPr>
        <w:spacing w:line="276" w:lineRule="auto"/>
      </w:pPr>
      <w:r w:rsidRPr="00094CFE">
        <w:rPr>
          <w:lang w:val="de-DE"/>
        </w:rPr>
        <w:t xml:space="preserve">22. Elixhauser, A., Steiner, C., Harris, D. &amp; Coffey, R.  </w:t>
      </w:r>
      <w:r>
        <w:t>Comorbidity measures for use with administrative data. Medical Care 1998;36:8-27.</w:t>
      </w:r>
    </w:p>
    <w:p w14:paraId="4060A2EB" w14:textId="77777777" w:rsidR="00610023" w:rsidRDefault="00610023" w:rsidP="00610023">
      <w:pPr>
        <w:spacing w:line="276" w:lineRule="auto"/>
      </w:pPr>
    </w:p>
    <w:p w14:paraId="5656E1FE" w14:textId="77777777" w:rsidR="00610023" w:rsidRDefault="00610023" w:rsidP="00610023">
      <w:pPr>
        <w:spacing w:line="276" w:lineRule="auto"/>
      </w:pPr>
      <w:r>
        <w:t>23. Gutacker, N., Bloor, K. &amp; Cookson, R. Comparing the performance of the Charlson/Deyo and Elixhauser comorbidity measures across five European countries and three conditions. European Journal of Public Health 2015;25:15-20.</w:t>
      </w:r>
    </w:p>
    <w:p w14:paraId="5E28B832" w14:textId="77777777" w:rsidR="00610023" w:rsidRDefault="00610023" w:rsidP="00610023">
      <w:pPr>
        <w:spacing w:line="276" w:lineRule="auto"/>
      </w:pPr>
    </w:p>
    <w:p w14:paraId="5B2F37B8" w14:textId="77777777" w:rsidR="00610023" w:rsidRDefault="00610023" w:rsidP="00610023">
      <w:pPr>
        <w:spacing w:line="276" w:lineRule="auto"/>
      </w:pPr>
      <w:r>
        <w:lastRenderedPageBreak/>
        <w:t xml:space="preserve">24. </w:t>
      </w:r>
      <w:r w:rsidRPr="0049005C">
        <w:t>Walker, K., Neuburger, J., Groene, O., Cromwell, D. A. &amp; Van Der Meulen, J.</w:t>
      </w:r>
      <w:r>
        <w:t xml:space="preserve"> </w:t>
      </w:r>
      <w:r w:rsidRPr="0049005C">
        <w:t xml:space="preserve"> Public reporting of surgeon outcomes: low numbers of procedures lead to false complacency. Lancet</w:t>
      </w:r>
      <w:r>
        <w:t xml:space="preserve"> </w:t>
      </w:r>
      <w:r w:rsidRPr="0049005C">
        <w:t>2013</w:t>
      </w:r>
      <w:r>
        <w:t>;</w:t>
      </w:r>
      <w:r w:rsidRPr="0049005C">
        <w:t>382</w:t>
      </w:r>
      <w:r>
        <w:t>:</w:t>
      </w:r>
      <w:r w:rsidRPr="0049005C">
        <w:t>1674-77.</w:t>
      </w:r>
    </w:p>
    <w:p w14:paraId="3D797AB7" w14:textId="77777777" w:rsidR="00610023" w:rsidRDefault="00610023" w:rsidP="00610023">
      <w:pPr>
        <w:spacing w:line="276" w:lineRule="auto"/>
      </w:pPr>
    </w:p>
    <w:p w14:paraId="78659565" w14:textId="77777777" w:rsidR="00610023" w:rsidRDefault="00610023" w:rsidP="00610023">
      <w:pPr>
        <w:spacing w:line="276" w:lineRule="auto"/>
      </w:pPr>
      <w:r>
        <w:t xml:space="preserve">25. McClellan M, McNeil BJ, Newhouse JP. Does More Intensive Treatment of Acute Myocardial Infarction in the Elderly Reduce Mortality? </w:t>
      </w:r>
      <w:r>
        <w:rPr>
          <w:rStyle w:val="Subtitle1"/>
        </w:rPr>
        <w:t>Analysis Using Instrumental Variables</w:t>
      </w:r>
      <w:r>
        <w:t xml:space="preserve">. </w:t>
      </w:r>
      <w:r>
        <w:rPr>
          <w:rStyle w:val="Emphasis"/>
        </w:rPr>
        <w:t>JAMA.</w:t>
      </w:r>
      <w:r>
        <w:t xml:space="preserve"> 1994;272(11):859-866.</w:t>
      </w:r>
    </w:p>
    <w:p w14:paraId="6C213881" w14:textId="77777777" w:rsidR="00610023" w:rsidRDefault="00610023" w:rsidP="00610023">
      <w:pPr>
        <w:spacing w:line="276" w:lineRule="auto"/>
      </w:pPr>
    </w:p>
    <w:p w14:paraId="51818D98" w14:textId="77777777" w:rsidR="00610023" w:rsidRDefault="00610023" w:rsidP="00610023">
      <w:pPr>
        <w:spacing w:line="276" w:lineRule="auto"/>
      </w:pPr>
      <w:r>
        <w:t xml:space="preserve">26. </w:t>
      </w:r>
      <w:r w:rsidRPr="0080423A">
        <w:t>Pannick</w:t>
      </w:r>
      <w:r>
        <w:t xml:space="preserve"> S</w:t>
      </w:r>
      <w:r w:rsidRPr="0080423A">
        <w:t>, Wachter RM, Vincent</w:t>
      </w:r>
      <w:r>
        <w:t xml:space="preserve"> C, Sevdalis.</w:t>
      </w:r>
      <w:r w:rsidRPr="0080423A">
        <w:t xml:space="preserve"> Rethinking medical ward quality</w:t>
      </w:r>
      <w:r>
        <w:t>. BMJ 2016; 355</w:t>
      </w:r>
      <w:r w:rsidRPr="0080423A">
        <w:t>:i5417</w:t>
      </w:r>
    </w:p>
    <w:p w14:paraId="7221ED3D" w14:textId="77777777" w:rsidR="00610023" w:rsidRDefault="00610023" w:rsidP="00610023">
      <w:pPr>
        <w:spacing w:line="276" w:lineRule="auto"/>
      </w:pPr>
    </w:p>
    <w:p w14:paraId="1A972204" w14:textId="77777777" w:rsidR="00610023" w:rsidRDefault="00610023" w:rsidP="00610023">
      <w:pPr>
        <w:spacing w:line="276" w:lineRule="auto"/>
      </w:pPr>
      <w:r>
        <w:t>27. Berwick DM. Era 3 for Medicine and Health Care. JAMA. 2016;315(13):1329-1330. doi:10.1001/jama.2016.150</w:t>
      </w:r>
    </w:p>
    <w:p w14:paraId="3300B9D0" w14:textId="77777777" w:rsidR="00610023" w:rsidRDefault="00610023" w:rsidP="00610023">
      <w:pPr>
        <w:spacing w:line="276" w:lineRule="auto"/>
      </w:pPr>
    </w:p>
    <w:p w14:paraId="54E36158" w14:textId="04938C44" w:rsidR="001F5D0E" w:rsidRDefault="00610023" w:rsidP="00610023">
      <w:pPr>
        <w:spacing w:line="276" w:lineRule="auto"/>
      </w:pPr>
      <w:r>
        <w:t xml:space="preserve">28. NHS Improvement Patient Safety Measurement Unit: </w:t>
      </w:r>
      <w:hyperlink r:id="rId29" w:history="1">
        <w:r w:rsidRPr="008D7D8C">
          <w:rPr>
            <w:rStyle w:val="Hyperlink"/>
          </w:rPr>
          <w:t>https://improvement.nhs.uk/resources/patient-safety-collaboratives/</w:t>
        </w:r>
      </w:hyperlink>
      <w:r>
        <w:t xml:space="preserve"> Accessed 25</w:t>
      </w:r>
      <w:r w:rsidRPr="004740F5">
        <w:rPr>
          <w:vertAlign w:val="superscript"/>
        </w:rPr>
        <w:t>th</w:t>
      </w:r>
      <w:r>
        <w:t xml:space="preserve"> September 201</w:t>
      </w:r>
      <w:r w:rsidR="009F1CD8">
        <w:t>7.</w:t>
      </w:r>
    </w:p>
    <w:p w14:paraId="51D35D7F" w14:textId="77777777" w:rsidR="009F1CD8" w:rsidRDefault="009F1CD8" w:rsidP="00610023">
      <w:pPr>
        <w:spacing w:line="276" w:lineRule="auto"/>
        <w:sectPr w:rsidR="009F1CD8" w:rsidSect="006C3EC9">
          <w:pgSz w:w="11900" w:h="16840"/>
          <w:pgMar w:top="1440" w:right="1797" w:bottom="1440" w:left="1797" w:header="709" w:footer="709" w:gutter="0"/>
          <w:cols w:space="708"/>
          <w:docGrid w:linePitch="360"/>
        </w:sectPr>
      </w:pPr>
    </w:p>
    <w:p w14:paraId="06C84F82" w14:textId="77777777" w:rsidR="006C3EC9" w:rsidRDefault="006C3EC9" w:rsidP="00874E64"/>
    <w:sectPr w:rsidR="006C3EC9" w:rsidSect="006C3EC9">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BCE31F" w14:textId="77777777" w:rsidR="00C14A3D" w:rsidRDefault="00C14A3D">
      <w:r>
        <w:separator/>
      </w:r>
    </w:p>
  </w:endnote>
  <w:endnote w:type="continuationSeparator" w:id="0">
    <w:p w14:paraId="437F1F68" w14:textId="77777777" w:rsidR="00C14A3D" w:rsidRDefault="00C14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Zapf Dingbats">
    <w:panose1 w:val="05020102010704020609"/>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4EE7CE" w14:textId="77777777" w:rsidR="00C14A3D" w:rsidRDefault="00C14A3D" w:rsidP="006C3E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1F9657" w14:textId="77777777" w:rsidR="00C14A3D" w:rsidRDefault="00C14A3D" w:rsidP="006C3EC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0282B" w14:textId="77777777" w:rsidR="00C14A3D" w:rsidRDefault="00C14A3D" w:rsidP="006C3E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7400">
      <w:rPr>
        <w:rStyle w:val="PageNumber"/>
        <w:noProof/>
      </w:rPr>
      <w:t>2</w:t>
    </w:r>
    <w:r>
      <w:rPr>
        <w:rStyle w:val="PageNumber"/>
      </w:rPr>
      <w:fldChar w:fldCharType="end"/>
    </w:r>
  </w:p>
  <w:p w14:paraId="4431D1F6" w14:textId="77777777" w:rsidR="00C14A3D" w:rsidRDefault="00C14A3D" w:rsidP="006C3EC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6A927" w14:textId="77777777" w:rsidR="00C14A3D" w:rsidRDefault="00C14A3D">
      <w:r>
        <w:separator/>
      </w:r>
    </w:p>
  </w:footnote>
  <w:footnote w:type="continuationSeparator" w:id="0">
    <w:p w14:paraId="58D5CC56" w14:textId="77777777" w:rsidR="00C14A3D" w:rsidRDefault="00C14A3D">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17CBB"/>
    <w:multiLevelType w:val="hybridMultilevel"/>
    <w:tmpl w:val="0BC276CE"/>
    <w:lvl w:ilvl="0" w:tplc="0CEC3EBC">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F0FF6"/>
    <w:multiLevelType w:val="hybridMultilevel"/>
    <w:tmpl w:val="205E3ECC"/>
    <w:lvl w:ilvl="0" w:tplc="A9580A12">
      <w:start w:val="1"/>
      <w:numFmt w:val="bullet"/>
      <w:lvlText w:val="-"/>
      <w:lvlJc w:val="left"/>
      <w:pPr>
        <w:tabs>
          <w:tab w:val="num" w:pos="720"/>
        </w:tabs>
        <w:ind w:left="720" w:hanging="360"/>
      </w:pPr>
      <w:rPr>
        <w:rFonts w:ascii="Times New Roman" w:hAnsi="Times New Roman" w:hint="default"/>
      </w:rPr>
    </w:lvl>
    <w:lvl w:ilvl="1" w:tplc="C1205EDA" w:tentative="1">
      <w:start w:val="1"/>
      <w:numFmt w:val="bullet"/>
      <w:lvlText w:val="-"/>
      <w:lvlJc w:val="left"/>
      <w:pPr>
        <w:tabs>
          <w:tab w:val="num" w:pos="1440"/>
        </w:tabs>
        <w:ind w:left="1440" w:hanging="360"/>
      </w:pPr>
      <w:rPr>
        <w:rFonts w:ascii="Times New Roman" w:hAnsi="Times New Roman" w:hint="default"/>
      </w:rPr>
    </w:lvl>
    <w:lvl w:ilvl="2" w:tplc="5A12B9CE" w:tentative="1">
      <w:start w:val="1"/>
      <w:numFmt w:val="bullet"/>
      <w:lvlText w:val="-"/>
      <w:lvlJc w:val="left"/>
      <w:pPr>
        <w:tabs>
          <w:tab w:val="num" w:pos="2160"/>
        </w:tabs>
        <w:ind w:left="2160" w:hanging="360"/>
      </w:pPr>
      <w:rPr>
        <w:rFonts w:ascii="Times New Roman" w:hAnsi="Times New Roman" w:hint="default"/>
      </w:rPr>
    </w:lvl>
    <w:lvl w:ilvl="3" w:tplc="82D0D25C" w:tentative="1">
      <w:start w:val="1"/>
      <w:numFmt w:val="bullet"/>
      <w:lvlText w:val="-"/>
      <w:lvlJc w:val="left"/>
      <w:pPr>
        <w:tabs>
          <w:tab w:val="num" w:pos="2880"/>
        </w:tabs>
        <w:ind w:left="2880" w:hanging="360"/>
      </w:pPr>
      <w:rPr>
        <w:rFonts w:ascii="Times New Roman" w:hAnsi="Times New Roman" w:hint="default"/>
      </w:rPr>
    </w:lvl>
    <w:lvl w:ilvl="4" w:tplc="C710448C" w:tentative="1">
      <w:start w:val="1"/>
      <w:numFmt w:val="bullet"/>
      <w:lvlText w:val="-"/>
      <w:lvlJc w:val="left"/>
      <w:pPr>
        <w:tabs>
          <w:tab w:val="num" w:pos="3600"/>
        </w:tabs>
        <w:ind w:left="3600" w:hanging="360"/>
      </w:pPr>
      <w:rPr>
        <w:rFonts w:ascii="Times New Roman" w:hAnsi="Times New Roman" w:hint="default"/>
      </w:rPr>
    </w:lvl>
    <w:lvl w:ilvl="5" w:tplc="1D905FBE" w:tentative="1">
      <w:start w:val="1"/>
      <w:numFmt w:val="bullet"/>
      <w:lvlText w:val="-"/>
      <w:lvlJc w:val="left"/>
      <w:pPr>
        <w:tabs>
          <w:tab w:val="num" w:pos="4320"/>
        </w:tabs>
        <w:ind w:left="4320" w:hanging="360"/>
      </w:pPr>
      <w:rPr>
        <w:rFonts w:ascii="Times New Roman" w:hAnsi="Times New Roman" w:hint="default"/>
      </w:rPr>
    </w:lvl>
    <w:lvl w:ilvl="6" w:tplc="587030BC" w:tentative="1">
      <w:start w:val="1"/>
      <w:numFmt w:val="bullet"/>
      <w:lvlText w:val="-"/>
      <w:lvlJc w:val="left"/>
      <w:pPr>
        <w:tabs>
          <w:tab w:val="num" w:pos="5040"/>
        </w:tabs>
        <w:ind w:left="5040" w:hanging="360"/>
      </w:pPr>
      <w:rPr>
        <w:rFonts w:ascii="Times New Roman" w:hAnsi="Times New Roman" w:hint="default"/>
      </w:rPr>
    </w:lvl>
    <w:lvl w:ilvl="7" w:tplc="0E1A7976" w:tentative="1">
      <w:start w:val="1"/>
      <w:numFmt w:val="bullet"/>
      <w:lvlText w:val="-"/>
      <w:lvlJc w:val="left"/>
      <w:pPr>
        <w:tabs>
          <w:tab w:val="num" w:pos="5760"/>
        </w:tabs>
        <w:ind w:left="5760" w:hanging="360"/>
      </w:pPr>
      <w:rPr>
        <w:rFonts w:ascii="Times New Roman" w:hAnsi="Times New Roman" w:hint="default"/>
      </w:rPr>
    </w:lvl>
    <w:lvl w:ilvl="8" w:tplc="485AFEA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6E146D2"/>
    <w:multiLevelType w:val="hybridMultilevel"/>
    <w:tmpl w:val="692E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D72A01"/>
    <w:multiLevelType w:val="hybridMultilevel"/>
    <w:tmpl w:val="5186F626"/>
    <w:lvl w:ilvl="0" w:tplc="C02840BE">
      <w:start w:val="1"/>
      <w:numFmt w:val="bullet"/>
      <w:lvlText w:val="-"/>
      <w:lvlJc w:val="left"/>
      <w:pPr>
        <w:tabs>
          <w:tab w:val="num" w:pos="720"/>
        </w:tabs>
        <w:ind w:left="720" w:hanging="360"/>
      </w:pPr>
      <w:rPr>
        <w:rFonts w:ascii="Times New Roman" w:hAnsi="Times New Roman" w:hint="default"/>
      </w:rPr>
    </w:lvl>
    <w:lvl w:ilvl="1" w:tplc="343EAA8E" w:tentative="1">
      <w:start w:val="1"/>
      <w:numFmt w:val="bullet"/>
      <w:lvlText w:val="-"/>
      <w:lvlJc w:val="left"/>
      <w:pPr>
        <w:tabs>
          <w:tab w:val="num" w:pos="1440"/>
        </w:tabs>
        <w:ind w:left="1440" w:hanging="360"/>
      </w:pPr>
      <w:rPr>
        <w:rFonts w:ascii="Times New Roman" w:hAnsi="Times New Roman" w:hint="default"/>
      </w:rPr>
    </w:lvl>
    <w:lvl w:ilvl="2" w:tplc="A232EF22" w:tentative="1">
      <w:start w:val="1"/>
      <w:numFmt w:val="bullet"/>
      <w:lvlText w:val="-"/>
      <w:lvlJc w:val="left"/>
      <w:pPr>
        <w:tabs>
          <w:tab w:val="num" w:pos="2160"/>
        </w:tabs>
        <w:ind w:left="2160" w:hanging="360"/>
      </w:pPr>
      <w:rPr>
        <w:rFonts w:ascii="Times New Roman" w:hAnsi="Times New Roman" w:hint="default"/>
      </w:rPr>
    </w:lvl>
    <w:lvl w:ilvl="3" w:tplc="801ADE1C" w:tentative="1">
      <w:start w:val="1"/>
      <w:numFmt w:val="bullet"/>
      <w:lvlText w:val="-"/>
      <w:lvlJc w:val="left"/>
      <w:pPr>
        <w:tabs>
          <w:tab w:val="num" w:pos="2880"/>
        </w:tabs>
        <w:ind w:left="2880" w:hanging="360"/>
      </w:pPr>
      <w:rPr>
        <w:rFonts w:ascii="Times New Roman" w:hAnsi="Times New Roman" w:hint="default"/>
      </w:rPr>
    </w:lvl>
    <w:lvl w:ilvl="4" w:tplc="728E17C6" w:tentative="1">
      <w:start w:val="1"/>
      <w:numFmt w:val="bullet"/>
      <w:lvlText w:val="-"/>
      <w:lvlJc w:val="left"/>
      <w:pPr>
        <w:tabs>
          <w:tab w:val="num" w:pos="3600"/>
        </w:tabs>
        <w:ind w:left="3600" w:hanging="360"/>
      </w:pPr>
      <w:rPr>
        <w:rFonts w:ascii="Times New Roman" w:hAnsi="Times New Roman" w:hint="default"/>
      </w:rPr>
    </w:lvl>
    <w:lvl w:ilvl="5" w:tplc="8C10B7E0" w:tentative="1">
      <w:start w:val="1"/>
      <w:numFmt w:val="bullet"/>
      <w:lvlText w:val="-"/>
      <w:lvlJc w:val="left"/>
      <w:pPr>
        <w:tabs>
          <w:tab w:val="num" w:pos="4320"/>
        </w:tabs>
        <w:ind w:left="4320" w:hanging="360"/>
      </w:pPr>
      <w:rPr>
        <w:rFonts w:ascii="Times New Roman" w:hAnsi="Times New Roman" w:hint="default"/>
      </w:rPr>
    </w:lvl>
    <w:lvl w:ilvl="6" w:tplc="993057B8" w:tentative="1">
      <w:start w:val="1"/>
      <w:numFmt w:val="bullet"/>
      <w:lvlText w:val="-"/>
      <w:lvlJc w:val="left"/>
      <w:pPr>
        <w:tabs>
          <w:tab w:val="num" w:pos="5040"/>
        </w:tabs>
        <w:ind w:left="5040" w:hanging="360"/>
      </w:pPr>
      <w:rPr>
        <w:rFonts w:ascii="Times New Roman" w:hAnsi="Times New Roman" w:hint="default"/>
      </w:rPr>
    </w:lvl>
    <w:lvl w:ilvl="7" w:tplc="9318A5E2" w:tentative="1">
      <w:start w:val="1"/>
      <w:numFmt w:val="bullet"/>
      <w:lvlText w:val="-"/>
      <w:lvlJc w:val="left"/>
      <w:pPr>
        <w:tabs>
          <w:tab w:val="num" w:pos="5760"/>
        </w:tabs>
        <w:ind w:left="5760" w:hanging="360"/>
      </w:pPr>
      <w:rPr>
        <w:rFonts w:ascii="Times New Roman" w:hAnsi="Times New Roman" w:hint="default"/>
      </w:rPr>
    </w:lvl>
    <w:lvl w:ilvl="8" w:tplc="6BA0793E" w:tentative="1">
      <w:start w:val="1"/>
      <w:numFmt w:val="bullet"/>
      <w:lvlText w:val="-"/>
      <w:lvlJc w:val="left"/>
      <w:pPr>
        <w:tabs>
          <w:tab w:val="num" w:pos="6480"/>
        </w:tabs>
        <w:ind w:left="6480" w:hanging="360"/>
      </w:pPr>
      <w:rPr>
        <w:rFonts w:ascii="Times New Roman" w:hAnsi="Times New Roman" w:hint="default"/>
      </w:rPr>
    </w:lvl>
  </w:abstractNum>
  <w:abstractNum w:abstractNumId="4">
    <w:nsid w:val="771B265F"/>
    <w:multiLevelType w:val="hybridMultilevel"/>
    <w:tmpl w:val="6D305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ils Gutacker">
    <w15:presenceInfo w15:providerId="AD" w15:userId="S-1-5-21-1531108181-3683089376-3301072873-15620"/>
  </w15:person>
  <w15:person w15:author="Street,A">
    <w15:presenceInfo w15:providerId="Windows Live" w15:userId="fdf867ed-2416-4ef2-9aac-3106f6427b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23"/>
    <w:rsid w:val="000517EB"/>
    <w:rsid w:val="00094CFE"/>
    <w:rsid w:val="000A4C92"/>
    <w:rsid w:val="000A5E61"/>
    <w:rsid w:val="000B0C36"/>
    <w:rsid w:val="000B429C"/>
    <w:rsid w:val="000B480A"/>
    <w:rsid w:val="00172A96"/>
    <w:rsid w:val="001749E5"/>
    <w:rsid w:val="001C1D38"/>
    <w:rsid w:val="001C7C91"/>
    <w:rsid w:val="001F5D0E"/>
    <w:rsid w:val="00284A76"/>
    <w:rsid w:val="00321348"/>
    <w:rsid w:val="003E7CB3"/>
    <w:rsid w:val="004C715D"/>
    <w:rsid w:val="004D6358"/>
    <w:rsid w:val="004D6937"/>
    <w:rsid w:val="00516462"/>
    <w:rsid w:val="005E6478"/>
    <w:rsid w:val="00607055"/>
    <w:rsid w:val="00610023"/>
    <w:rsid w:val="00616E65"/>
    <w:rsid w:val="006678D8"/>
    <w:rsid w:val="00676BCB"/>
    <w:rsid w:val="006C12E2"/>
    <w:rsid w:val="006C3EC9"/>
    <w:rsid w:val="007B58F4"/>
    <w:rsid w:val="00874E64"/>
    <w:rsid w:val="008A2463"/>
    <w:rsid w:val="00973F44"/>
    <w:rsid w:val="009B15EB"/>
    <w:rsid w:val="009C5559"/>
    <w:rsid w:val="009D5C88"/>
    <w:rsid w:val="009F1CD8"/>
    <w:rsid w:val="009F2A16"/>
    <w:rsid w:val="00A522E8"/>
    <w:rsid w:val="00B276F8"/>
    <w:rsid w:val="00BA6300"/>
    <w:rsid w:val="00C14A3D"/>
    <w:rsid w:val="00C37400"/>
    <w:rsid w:val="00CE50AE"/>
    <w:rsid w:val="00D14B63"/>
    <w:rsid w:val="00D80FFA"/>
    <w:rsid w:val="00D9157D"/>
    <w:rsid w:val="00D92ACE"/>
    <w:rsid w:val="00E0085B"/>
    <w:rsid w:val="00E619F3"/>
    <w:rsid w:val="00F05D3D"/>
    <w:rsid w:val="00F2388F"/>
    <w:rsid w:val="00F50730"/>
    <w:rsid w:val="00F754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459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23"/>
    <w:rPr>
      <w:rFonts w:ascii="Cambria" w:eastAsia="MS Mincho" w:hAnsi="Cambria" w:cs="Arial"/>
      <w:sz w:val="24"/>
      <w:szCs w:val="24"/>
      <w:lang w:eastAsia="en-US"/>
    </w:rPr>
  </w:style>
  <w:style w:type="paragraph" w:styleId="Heading1">
    <w:name w:val="heading 1"/>
    <w:basedOn w:val="Normal"/>
    <w:next w:val="Normal"/>
    <w:link w:val="Heading1Char"/>
    <w:uiPriority w:val="9"/>
    <w:qFormat/>
    <w:rsid w:val="00610023"/>
    <w:pPr>
      <w:keepNext/>
      <w:keepLines/>
      <w:spacing w:before="480"/>
      <w:outlineLvl w:val="0"/>
    </w:pPr>
    <w:rPr>
      <w:rFonts w:ascii="Calibri" w:eastAsia="MS Gothic" w:hAnsi="Calibri" w:cs="Times New Roman"/>
      <w:b/>
      <w:bCs/>
      <w:color w:val="365F91"/>
      <w:sz w:val="28"/>
      <w:szCs w:val="28"/>
    </w:rPr>
  </w:style>
  <w:style w:type="paragraph" w:styleId="Heading5">
    <w:name w:val="heading 5"/>
    <w:basedOn w:val="Normal"/>
    <w:link w:val="Heading5Char"/>
    <w:uiPriority w:val="9"/>
    <w:qFormat/>
    <w:rsid w:val="00610023"/>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23"/>
    <w:rPr>
      <w:rFonts w:ascii="Calibri" w:eastAsia="MS Gothic" w:hAnsi="Calibri"/>
      <w:b/>
      <w:bCs/>
      <w:color w:val="365F91"/>
      <w:sz w:val="28"/>
      <w:szCs w:val="28"/>
      <w:lang w:eastAsia="en-US"/>
    </w:rPr>
  </w:style>
  <w:style w:type="character" w:customStyle="1" w:styleId="Heading5Char">
    <w:name w:val="Heading 5 Char"/>
    <w:basedOn w:val="DefaultParagraphFont"/>
    <w:link w:val="Heading5"/>
    <w:uiPriority w:val="9"/>
    <w:rsid w:val="00610023"/>
    <w:rPr>
      <w:rFonts w:ascii="Times New Roman" w:eastAsia="Times New Roman" w:hAnsi="Times New Roman"/>
      <w:b/>
      <w:bCs/>
    </w:rPr>
  </w:style>
  <w:style w:type="paragraph" w:styleId="BalloonText">
    <w:name w:val="Balloon Text"/>
    <w:basedOn w:val="Normal"/>
    <w:link w:val="BalloonTextChar"/>
    <w:uiPriority w:val="99"/>
    <w:semiHidden/>
    <w:unhideWhenUsed/>
    <w:rsid w:val="00610023"/>
    <w:rPr>
      <w:rFonts w:ascii="Tahoma" w:hAnsi="Tahoma" w:cs="Tahoma"/>
      <w:sz w:val="16"/>
      <w:szCs w:val="16"/>
    </w:rPr>
  </w:style>
  <w:style w:type="character" w:customStyle="1" w:styleId="BalloonTextChar">
    <w:name w:val="Balloon Text Char"/>
    <w:basedOn w:val="DefaultParagraphFont"/>
    <w:link w:val="BalloonText"/>
    <w:uiPriority w:val="99"/>
    <w:semiHidden/>
    <w:rsid w:val="00610023"/>
    <w:rPr>
      <w:rFonts w:ascii="Tahoma" w:eastAsia="MS Mincho" w:hAnsi="Tahoma" w:cs="Tahoma"/>
      <w:sz w:val="16"/>
      <w:szCs w:val="16"/>
      <w:lang w:eastAsia="en-US"/>
    </w:rPr>
  </w:style>
  <w:style w:type="table" w:styleId="TableGrid">
    <w:name w:val="Table Grid"/>
    <w:basedOn w:val="TableNormal"/>
    <w:uiPriority w:val="39"/>
    <w:rsid w:val="00610023"/>
    <w:rPr>
      <w:rFonts w:ascii="Cambria" w:eastAsia="MS Mincho" w:hAnsi="Cambria" w:cs="Arial"/>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610023"/>
    <w:rPr>
      <w:sz w:val="16"/>
      <w:szCs w:val="16"/>
    </w:rPr>
  </w:style>
  <w:style w:type="paragraph" w:styleId="CommentText">
    <w:name w:val="annotation text"/>
    <w:basedOn w:val="Normal"/>
    <w:link w:val="CommentTextChar"/>
    <w:uiPriority w:val="99"/>
    <w:semiHidden/>
    <w:unhideWhenUsed/>
    <w:rsid w:val="00610023"/>
    <w:rPr>
      <w:sz w:val="20"/>
      <w:szCs w:val="20"/>
    </w:rPr>
  </w:style>
  <w:style w:type="character" w:customStyle="1" w:styleId="CommentTextChar">
    <w:name w:val="Comment Text Char"/>
    <w:basedOn w:val="DefaultParagraphFont"/>
    <w:link w:val="CommentText"/>
    <w:uiPriority w:val="99"/>
    <w:semiHidden/>
    <w:rsid w:val="00610023"/>
    <w:rPr>
      <w:rFonts w:ascii="Cambria" w:eastAsia="MS Mincho" w:hAnsi="Cambria" w:cs="Arial"/>
      <w:lang w:eastAsia="en-US"/>
    </w:rPr>
  </w:style>
  <w:style w:type="paragraph" w:styleId="CommentSubject">
    <w:name w:val="annotation subject"/>
    <w:basedOn w:val="CommentText"/>
    <w:next w:val="CommentText"/>
    <w:link w:val="CommentSubjectChar"/>
    <w:uiPriority w:val="99"/>
    <w:semiHidden/>
    <w:unhideWhenUsed/>
    <w:rsid w:val="00610023"/>
    <w:rPr>
      <w:b/>
      <w:bCs/>
    </w:rPr>
  </w:style>
  <w:style w:type="character" w:customStyle="1" w:styleId="CommentSubjectChar">
    <w:name w:val="Comment Subject Char"/>
    <w:basedOn w:val="CommentTextChar"/>
    <w:link w:val="CommentSubject"/>
    <w:uiPriority w:val="99"/>
    <w:semiHidden/>
    <w:rsid w:val="00610023"/>
    <w:rPr>
      <w:rFonts w:ascii="Cambria" w:eastAsia="MS Mincho" w:hAnsi="Cambria" w:cs="Arial"/>
      <w:b/>
      <w:bCs/>
      <w:lang w:eastAsia="en-US"/>
    </w:rPr>
  </w:style>
  <w:style w:type="character" w:customStyle="1" w:styleId="Subtitle1">
    <w:name w:val="Subtitle1"/>
    <w:rsid w:val="00610023"/>
  </w:style>
  <w:style w:type="character" w:styleId="Emphasis">
    <w:name w:val="Emphasis"/>
    <w:uiPriority w:val="20"/>
    <w:qFormat/>
    <w:rsid w:val="00610023"/>
    <w:rPr>
      <w:i/>
      <w:iCs/>
    </w:rPr>
  </w:style>
  <w:style w:type="paragraph" w:styleId="Caption">
    <w:name w:val="caption"/>
    <w:basedOn w:val="Normal"/>
    <w:next w:val="Normal"/>
    <w:uiPriority w:val="35"/>
    <w:unhideWhenUsed/>
    <w:qFormat/>
    <w:rsid w:val="00610023"/>
    <w:pPr>
      <w:spacing w:after="200"/>
    </w:pPr>
    <w:rPr>
      <w:i/>
      <w:iCs/>
      <w:color w:val="1F497D"/>
      <w:sz w:val="18"/>
      <w:szCs w:val="18"/>
    </w:rPr>
  </w:style>
  <w:style w:type="paragraph" w:styleId="ListParagraph">
    <w:name w:val="List Paragraph"/>
    <w:basedOn w:val="Normal"/>
    <w:uiPriority w:val="34"/>
    <w:qFormat/>
    <w:rsid w:val="00610023"/>
    <w:pPr>
      <w:ind w:left="720"/>
      <w:contextualSpacing/>
    </w:pPr>
  </w:style>
  <w:style w:type="paragraph" w:styleId="NoSpacing">
    <w:name w:val="No Spacing"/>
    <w:uiPriority w:val="1"/>
    <w:qFormat/>
    <w:rsid w:val="00610023"/>
    <w:rPr>
      <w:rFonts w:ascii="Cambria" w:eastAsia="MS Mincho" w:hAnsi="Cambria" w:cs="Arial"/>
      <w:sz w:val="24"/>
      <w:szCs w:val="24"/>
      <w:lang w:eastAsia="en-US"/>
    </w:rPr>
  </w:style>
  <w:style w:type="character" w:styleId="Hyperlink">
    <w:name w:val="Hyperlink"/>
    <w:uiPriority w:val="99"/>
    <w:unhideWhenUsed/>
    <w:rsid w:val="00610023"/>
    <w:rPr>
      <w:color w:val="0000FF"/>
      <w:u w:val="single"/>
    </w:rPr>
  </w:style>
  <w:style w:type="paragraph" w:styleId="Revision">
    <w:name w:val="Revision"/>
    <w:hidden/>
    <w:uiPriority w:val="99"/>
    <w:semiHidden/>
    <w:rsid w:val="00610023"/>
    <w:rPr>
      <w:rFonts w:ascii="Cambria" w:eastAsia="MS Mincho" w:hAnsi="Cambria" w:cs="Arial"/>
      <w:sz w:val="24"/>
      <w:szCs w:val="24"/>
      <w:lang w:eastAsia="en-US"/>
    </w:rPr>
  </w:style>
  <w:style w:type="character" w:styleId="FollowedHyperlink">
    <w:name w:val="FollowedHyperlink"/>
    <w:uiPriority w:val="99"/>
    <w:semiHidden/>
    <w:unhideWhenUsed/>
    <w:rsid w:val="00610023"/>
    <w:rPr>
      <w:color w:val="800080"/>
      <w:u w:val="single"/>
    </w:rPr>
  </w:style>
  <w:style w:type="paragraph" w:customStyle="1" w:styleId="Body">
    <w:name w:val="Body"/>
    <w:rsid w:val="00610023"/>
    <w:pPr>
      <w:pBdr>
        <w:top w:val="nil"/>
        <w:left w:val="nil"/>
        <w:bottom w:val="nil"/>
        <w:right w:val="nil"/>
        <w:between w:val="nil"/>
        <w:bar w:val="nil"/>
      </w:pBdr>
    </w:pPr>
    <w:rPr>
      <w:rFonts w:ascii="Cambria" w:eastAsia="Cambria" w:hAnsi="Cambria" w:cs="Cambria"/>
      <w:color w:val="000000"/>
      <w:sz w:val="24"/>
      <w:szCs w:val="24"/>
      <w:u w:color="000000"/>
      <w:bdr w:val="nil"/>
      <w:lang w:val="en-US"/>
    </w:rPr>
  </w:style>
  <w:style w:type="paragraph" w:styleId="Footer">
    <w:name w:val="footer"/>
    <w:basedOn w:val="Normal"/>
    <w:link w:val="FooterChar"/>
    <w:uiPriority w:val="99"/>
    <w:unhideWhenUsed/>
    <w:rsid w:val="00610023"/>
    <w:pPr>
      <w:tabs>
        <w:tab w:val="center" w:pos="4320"/>
        <w:tab w:val="right" w:pos="8640"/>
      </w:tabs>
    </w:pPr>
  </w:style>
  <w:style w:type="character" w:customStyle="1" w:styleId="FooterChar">
    <w:name w:val="Footer Char"/>
    <w:basedOn w:val="DefaultParagraphFont"/>
    <w:link w:val="Footer"/>
    <w:uiPriority w:val="99"/>
    <w:rsid w:val="00610023"/>
    <w:rPr>
      <w:rFonts w:ascii="Cambria" w:eastAsia="MS Mincho" w:hAnsi="Cambria" w:cs="Arial"/>
      <w:sz w:val="24"/>
      <w:szCs w:val="24"/>
      <w:lang w:eastAsia="en-US"/>
    </w:rPr>
  </w:style>
  <w:style w:type="character" w:styleId="PageNumber">
    <w:name w:val="page number"/>
    <w:uiPriority w:val="99"/>
    <w:semiHidden/>
    <w:unhideWhenUsed/>
    <w:rsid w:val="00610023"/>
  </w:style>
  <w:style w:type="paragraph" w:styleId="Header">
    <w:name w:val="header"/>
    <w:basedOn w:val="Normal"/>
    <w:link w:val="HeaderChar"/>
    <w:uiPriority w:val="99"/>
    <w:unhideWhenUsed/>
    <w:rsid w:val="00A522E8"/>
    <w:pPr>
      <w:tabs>
        <w:tab w:val="center" w:pos="4513"/>
        <w:tab w:val="right" w:pos="9026"/>
      </w:tabs>
    </w:pPr>
  </w:style>
  <w:style w:type="character" w:customStyle="1" w:styleId="HeaderChar">
    <w:name w:val="Header Char"/>
    <w:basedOn w:val="DefaultParagraphFont"/>
    <w:link w:val="Header"/>
    <w:uiPriority w:val="99"/>
    <w:rsid w:val="00A522E8"/>
    <w:rPr>
      <w:rFonts w:ascii="Cambria" w:eastAsia="MS Mincho" w:hAnsi="Cambria" w:cs="Arial"/>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0023"/>
    <w:rPr>
      <w:rFonts w:ascii="Cambria" w:eastAsia="MS Mincho" w:hAnsi="Cambria" w:cs="Arial"/>
      <w:sz w:val="24"/>
      <w:szCs w:val="24"/>
      <w:lang w:eastAsia="en-US"/>
    </w:rPr>
  </w:style>
  <w:style w:type="paragraph" w:styleId="Heading1">
    <w:name w:val="heading 1"/>
    <w:basedOn w:val="Normal"/>
    <w:next w:val="Normal"/>
    <w:link w:val="Heading1Char"/>
    <w:uiPriority w:val="9"/>
    <w:qFormat/>
    <w:rsid w:val="00610023"/>
    <w:pPr>
      <w:keepNext/>
      <w:keepLines/>
      <w:spacing w:before="480"/>
      <w:outlineLvl w:val="0"/>
    </w:pPr>
    <w:rPr>
      <w:rFonts w:ascii="Calibri" w:eastAsia="MS Gothic" w:hAnsi="Calibri" w:cs="Times New Roman"/>
      <w:b/>
      <w:bCs/>
      <w:color w:val="365F91"/>
      <w:sz w:val="28"/>
      <w:szCs w:val="28"/>
    </w:rPr>
  </w:style>
  <w:style w:type="paragraph" w:styleId="Heading5">
    <w:name w:val="heading 5"/>
    <w:basedOn w:val="Normal"/>
    <w:link w:val="Heading5Char"/>
    <w:uiPriority w:val="9"/>
    <w:qFormat/>
    <w:rsid w:val="00610023"/>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0023"/>
    <w:rPr>
      <w:rFonts w:ascii="Calibri" w:eastAsia="MS Gothic" w:hAnsi="Calibri"/>
      <w:b/>
      <w:bCs/>
      <w:color w:val="365F91"/>
      <w:sz w:val="28"/>
      <w:szCs w:val="28"/>
      <w:lang w:eastAsia="en-US"/>
    </w:rPr>
  </w:style>
  <w:style w:type="character" w:customStyle="1" w:styleId="Heading5Char">
    <w:name w:val="Heading 5 Char"/>
    <w:basedOn w:val="DefaultParagraphFont"/>
    <w:link w:val="Heading5"/>
    <w:uiPriority w:val="9"/>
    <w:rsid w:val="00610023"/>
    <w:rPr>
      <w:rFonts w:ascii="Times New Roman" w:eastAsia="Times New Roman" w:hAnsi="Times New Roman"/>
      <w:b/>
      <w:bCs/>
    </w:rPr>
  </w:style>
  <w:style w:type="paragraph" w:styleId="BalloonText">
    <w:name w:val="Balloon Text"/>
    <w:basedOn w:val="Normal"/>
    <w:link w:val="BalloonTextChar"/>
    <w:uiPriority w:val="99"/>
    <w:semiHidden/>
    <w:unhideWhenUsed/>
    <w:rsid w:val="00610023"/>
    <w:rPr>
      <w:rFonts w:ascii="Tahoma" w:hAnsi="Tahoma" w:cs="Tahoma"/>
      <w:sz w:val="16"/>
      <w:szCs w:val="16"/>
    </w:rPr>
  </w:style>
  <w:style w:type="character" w:customStyle="1" w:styleId="BalloonTextChar">
    <w:name w:val="Balloon Text Char"/>
    <w:basedOn w:val="DefaultParagraphFont"/>
    <w:link w:val="BalloonText"/>
    <w:uiPriority w:val="99"/>
    <w:semiHidden/>
    <w:rsid w:val="00610023"/>
    <w:rPr>
      <w:rFonts w:ascii="Tahoma" w:eastAsia="MS Mincho" w:hAnsi="Tahoma" w:cs="Tahoma"/>
      <w:sz w:val="16"/>
      <w:szCs w:val="16"/>
      <w:lang w:eastAsia="en-US"/>
    </w:rPr>
  </w:style>
  <w:style w:type="table" w:styleId="TableGrid">
    <w:name w:val="Table Grid"/>
    <w:basedOn w:val="TableNormal"/>
    <w:uiPriority w:val="39"/>
    <w:rsid w:val="00610023"/>
    <w:rPr>
      <w:rFonts w:ascii="Cambria" w:eastAsia="MS Mincho" w:hAnsi="Cambria" w:cs="Arial"/>
      <w:sz w:val="24"/>
      <w:szCs w:val="24"/>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610023"/>
    <w:rPr>
      <w:sz w:val="16"/>
      <w:szCs w:val="16"/>
    </w:rPr>
  </w:style>
  <w:style w:type="paragraph" w:styleId="CommentText">
    <w:name w:val="annotation text"/>
    <w:basedOn w:val="Normal"/>
    <w:link w:val="CommentTextChar"/>
    <w:uiPriority w:val="99"/>
    <w:semiHidden/>
    <w:unhideWhenUsed/>
    <w:rsid w:val="00610023"/>
    <w:rPr>
      <w:sz w:val="20"/>
      <w:szCs w:val="20"/>
    </w:rPr>
  </w:style>
  <w:style w:type="character" w:customStyle="1" w:styleId="CommentTextChar">
    <w:name w:val="Comment Text Char"/>
    <w:basedOn w:val="DefaultParagraphFont"/>
    <w:link w:val="CommentText"/>
    <w:uiPriority w:val="99"/>
    <w:semiHidden/>
    <w:rsid w:val="00610023"/>
    <w:rPr>
      <w:rFonts w:ascii="Cambria" w:eastAsia="MS Mincho" w:hAnsi="Cambria" w:cs="Arial"/>
      <w:lang w:eastAsia="en-US"/>
    </w:rPr>
  </w:style>
  <w:style w:type="paragraph" w:styleId="CommentSubject">
    <w:name w:val="annotation subject"/>
    <w:basedOn w:val="CommentText"/>
    <w:next w:val="CommentText"/>
    <w:link w:val="CommentSubjectChar"/>
    <w:uiPriority w:val="99"/>
    <w:semiHidden/>
    <w:unhideWhenUsed/>
    <w:rsid w:val="00610023"/>
    <w:rPr>
      <w:b/>
      <w:bCs/>
    </w:rPr>
  </w:style>
  <w:style w:type="character" w:customStyle="1" w:styleId="CommentSubjectChar">
    <w:name w:val="Comment Subject Char"/>
    <w:basedOn w:val="CommentTextChar"/>
    <w:link w:val="CommentSubject"/>
    <w:uiPriority w:val="99"/>
    <w:semiHidden/>
    <w:rsid w:val="00610023"/>
    <w:rPr>
      <w:rFonts w:ascii="Cambria" w:eastAsia="MS Mincho" w:hAnsi="Cambria" w:cs="Arial"/>
      <w:b/>
      <w:bCs/>
      <w:lang w:eastAsia="en-US"/>
    </w:rPr>
  </w:style>
  <w:style w:type="character" w:customStyle="1" w:styleId="Subtitle1">
    <w:name w:val="Subtitle1"/>
    <w:rsid w:val="00610023"/>
  </w:style>
  <w:style w:type="character" w:styleId="Emphasis">
    <w:name w:val="Emphasis"/>
    <w:uiPriority w:val="20"/>
    <w:qFormat/>
    <w:rsid w:val="00610023"/>
    <w:rPr>
      <w:i/>
      <w:iCs/>
    </w:rPr>
  </w:style>
  <w:style w:type="paragraph" w:styleId="Caption">
    <w:name w:val="caption"/>
    <w:basedOn w:val="Normal"/>
    <w:next w:val="Normal"/>
    <w:uiPriority w:val="35"/>
    <w:unhideWhenUsed/>
    <w:qFormat/>
    <w:rsid w:val="00610023"/>
    <w:pPr>
      <w:spacing w:after="200"/>
    </w:pPr>
    <w:rPr>
      <w:i/>
      <w:iCs/>
      <w:color w:val="1F497D"/>
      <w:sz w:val="18"/>
      <w:szCs w:val="18"/>
    </w:rPr>
  </w:style>
  <w:style w:type="paragraph" w:styleId="ListParagraph">
    <w:name w:val="List Paragraph"/>
    <w:basedOn w:val="Normal"/>
    <w:uiPriority w:val="34"/>
    <w:qFormat/>
    <w:rsid w:val="00610023"/>
    <w:pPr>
      <w:ind w:left="720"/>
      <w:contextualSpacing/>
    </w:pPr>
  </w:style>
  <w:style w:type="paragraph" w:styleId="NoSpacing">
    <w:name w:val="No Spacing"/>
    <w:uiPriority w:val="1"/>
    <w:qFormat/>
    <w:rsid w:val="00610023"/>
    <w:rPr>
      <w:rFonts w:ascii="Cambria" w:eastAsia="MS Mincho" w:hAnsi="Cambria" w:cs="Arial"/>
      <w:sz w:val="24"/>
      <w:szCs w:val="24"/>
      <w:lang w:eastAsia="en-US"/>
    </w:rPr>
  </w:style>
  <w:style w:type="character" w:styleId="Hyperlink">
    <w:name w:val="Hyperlink"/>
    <w:uiPriority w:val="99"/>
    <w:unhideWhenUsed/>
    <w:rsid w:val="00610023"/>
    <w:rPr>
      <w:color w:val="0000FF"/>
      <w:u w:val="single"/>
    </w:rPr>
  </w:style>
  <w:style w:type="paragraph" w:styleId="Revision">
    <w:name w:val="Revision"/>
    <w:hidden/>
    <w:uiPriority w:val="99"/>
    <w:semiHidden/>
    <w:rsid w:val="00610023"/>
    <w:rPr>
      <w:rFonts w:ascii="Cambria" w:eastAsia="MS Mincho" w:hAnsi="Cambria" w:cs="Arial"/>
      <w:sz w:val="24"/>
      <w:szCs w:val="24"/>
      <w:lang w:eastAsia="en-US"/>
    </w:rPr>
  </w:style>
  <w:style w:type="character" w:styleId="FollowedHyperlink">
    <w:name w:val="FollowedHyperlink"/>
    <w:uiPriority w:val="99"/>
    <w:semiHidden/>
    <w:unhideWhenUsed/>
    <w:rsid w:val="00610023"/>
    <w:rPr>
      <w:color w:val="800080"/>
      <w:u w:val="single"/>
    </w:rPr>
  </w:style>
  <w:style w:type="paragraph" w:customStyle="1" w:styleId="Body">
    <w:name w:val="Body"/>
    <w:rsid w:val="00610023"/>
    <w:pPr>
      <w:pBdr>
        <w:top w:val="nil"/>
        <w:left w:val="nil"/>
        <w:bottom w:val="nil"/>
        <w:right w:val="nil"/>
        <w:between w:val="nil"/>
        <w:bar w:val="nil"/>
      </w:pBdr>
    </w:pPr>
    <w:rPr>
      <w:rFonts w:ascii="Cambria" w:eastAsia="Cambria" w:hAnsi="Cambria" w:cs="Cambria"/>
      <w:color w:val="000000"/>
      <w:sz w:val="24"/>
      <w:szCs w:val="24"/>
      <w:u w:color="000000"/>
      <w:bdr w:val="nil"/>
      <w:lang w:val="en-US"/>
    </w:rPr>
  </w:style>
  <w:style w:type="paragraph" w:styleId="Footer">
    <w:name w:val="footer"/>
    <w:basedOn w:val="Normal"/>
    <w:link w:val="FooterChar"/>
    <w:uiPriority w:val="99"/>
    <w:unhideWhenUsed/>
    <w:rsid w:val="00610023"/>
    <w:pPr>
      <w:tabs>
        <w:tab w:val="center" w:pos="4320"/>
        <w:tab w:val="right" w:pos="8640"/>
      </w:tabs>
    </w:pPr>
  </w:style>
  <w:style w:type="character" w:customStyle="1" w:styleId="FooterChar">
    <w:name w:val="Footer Char"/>
    <w:basedOn w:val="DefaultParagraphFont"/>
    <w:link w:val="Footer"/>
    <w:uiPriority w:val="99"/>
    <w:rsid w:val="00610023"/>
    <w:rPr>
      <w:rFonts w:ascii="Cambria" w:eastAsia="MS Mincho" w:hAnsi="Cambria" w:cs="Arial"/>
      <w:sz w:val="24"/>
      <w:szCs w:val="24"/>
      <w:lang w:eastAsia="en-US"/>
    </w:rPr>
  </w:style>
  <w:style w:type="character" w:styleId="PageNumber">
    <w:name w:val="page number"/>
    <w:uiPriority w:val="99"/>
    <w:semiHidden/>
    <w:unhideWhenUsed/>
    <w:rsid w:val="00610023"/>
  </w:style>
  <w:style w:type="paragraph" w:styleId="Header">
    <w:name w:val="header"/>
    <w:basedOn w:val="Normal"/>
    <w:link w:val="HeaderChar"/>
    <w:uiPriority w:val="99"/>
    <w:unhideWhenUsed/>
    <w:rsid w:val="00A522E8"/>
    <w:pPr>
      <w:tabs>
        <w:tab w:val="center" w:pos="4513"/>
        <w:tab w:val="right" w:pos="9026"/>
      </w:tabs>
    </w:pPr>
  </w:style>
  <w:style w:type="character" w:customStyle="1" w:styleId="HeaderChar">
    <w:name w:val="Header Char"/>
    <w:basedOn w:val="DefaultParagraphFont"/>
    <w:link w:val="Header"/>
    <w:uiPriority w:val="99"/>
    <w:rsid w:val="00A522E8"/>
    <w:rPr>
      <w:rFonts w:ascii="Cambria" w:eastAsia="MS Mincho" w:hAnsi="Cambria"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414671">
      <w:bodyDiv w:val="1"/>
      <w:marLeft w:val="0"/>
      <w:marRight w:val="0"/>
      <w:marTop w:val="0"/>
      <w:marBottom w:val="0"/>
      <w:divBdr>
        <w:top w:val="none" w:sz="0" w:space="0" w:color="auto"/>
        <w:left w:val="none" w:sz="0" w:space="0" w:color="auto"/>
        <w:bottom w:val="none" w:sz="0" w:space="0" w:color="auto"/>
        <w:right w:val="none" w:sz="0" w:space="0" w:color="auto"/>
      </w:divBdr>
    </w:div>
    <w:div w:id="859049595">
      <w:bodyDiv w:val="1"/>
      <w:marLeft w:val="0"/>
      <w:marRight w:val="0"/>
      <w:marTop w:val="0"/>
      <w:marBottom w:val="0"/>
      <w:divBdr>
        <w:top w:val="none" w:sz="0" w:space="0" w:color="auto"/>
        <w:left w:val="none" w:sz="0" w:space="0" w:color="auto"/>
        <w:bottom w:val="none" w:sz="0" w:space="0" w:color="auto"/>
        <w:right w:val="none" w:sz="0" w:space="0" w:color="auto"/>
      </w:divBdr>
    </w:div>
    <w:div w:id="193667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katja.grasic@york.ac.uk" TargetMode="External"/><Relationship Id="rId20" Type="http://schemas.openxmlformats.org/officeDocument/2006/relationships/hyperlink" Target="http://www.nrls.npsa.nhs.uk" TargetMode="External"/><Relationship Id="rId21" Type="http://schemas.openxmlformats.org/officeDocument/2006/relationships/hyperlink" Target="http://www.phoutcomes.info/" TargetMode="External"/><Relationship Id="rId22" Type="http://schemas.openxmlformats.org/officeDocument/2006/relationships/hyperlink" Target="https://data.oecd.org/health.htm" TargetMode="External"/><Relationship Id="rId23" Type="http://schemas.openxmlformats.org/officeDocument/2006/relationships/hyperlink" Target="https://www.qualityindicators.ahrq.gov" TargetMode="External"/><Relationship Id="rId24" Type="http://schemas.openxmlformats.org/officeDocument/2006/relationships/hyperlink" Target="http://www.qualitywatch.org.uk/" TargetMode="External"/><Relationship Id="rId25" Type="http://schemas.openxmlformats.org/officeDocument/2006/relationships/hyperlink" Target="http://content.digital.nhs.uk/nhsof" TargetMode="External"/><Relationship Id="rId26" Type="http://schemas.openxmlformats.org/officeDocument/2006/relationships/footer" Target="footer1.xml"/><Relationship Id="rId27" Type="http://schemas.openxmlformats.org/officeDocument/2006/relationships/footer" Target="footer2.xml"/><Relationship Id="rId28" Type="http://schemas.openxmlformats.org/officeDocument/2006/relationships/image" Target="media/image2.png"/><Relationship Id="rId29" Type="http://schemas.openxmlformats.org/officeDocument/2006/relationships/hyperlink" Target="https://improvement.nhs.uk/resources/patient-safety-collaboratives/" TargetMode="External"/><Relationship Id="rId30" Type="http://schemas.openxmlformats.org/officeDocument/2006/relationships/fontTable" Target="fontTable.xml"/><Relationship Id="rId31" Type="http://schemas.openxmlformats.org/officeDocument/2006/relationships/theme" Target="theme/theme1.xml"/><Relationship Id="rId32" Type="http://schemas.microsoft.com/office/2011/relationships/people" Target="people.xml"/><Relationship Id="rId10" Type="http://schemas.openxmlformats.org/officeDocument/2006/relationships/hyperlink" Target="mailto:Nils.gutacker@york.ac.uk" TargetMode="External"/><Relationship Id="rId11" Type="http://schemas.openxmlformats.org/officeDocument/2006/relationships/hyperlink" Target="mailto:A.Street@lse.ac.uk" TargetMode="External"/><Relationship Id="rId12" Type="http://schemas.openxmlformats.org/officeDocument/2006/relationships/hyperlink" Target="mailto:r.foy@leeds.ac.uk" TargetMode="External"/><Relationship Id="rId13" Type="http://schemas.openxmlformats.org/officeDocument/2006/relationships/hyperlink" Target="mailto:C.A.Thompson@leeds.ac.uk" TargetMode="External"/><Relationship Id="rId14" Type="http://schemas.openxmlformats.org/officeDocument/2006/relationships/hyperlink" Target="mailto:John.wright@bthft.nhs.uk" TargetMode="External"/><Relationship Id="rId15" Type="http://schemas.openxmlformats.org/officeDocument/2006/relationships/hyperlink" Target="mailto:r.j.lawton@leeds.ac.uk" TargetMode="External"/><Relationship Id="rId16" Type="http://schemas.openxmlformats.org/officeDocument/2006/relationships/hyperlink" Target="http://clahrc-yh.nihr.ac.uk" TargetMode="External"/><Relationship Id="rId17" Type="http://schemas.openxmlformats.org/officeDocument/2006/relationships/image" Target="media/image1.jpeg"/><Relationship Id="rId18" Type="http://schemas.openxmlformats.org/officeDocument/2006/relationships/hyperlink" Target="https://www.safetythermometer.nhs.uk/" TargetMode="External"/><Relationship Id="rId19" Type="http://schemas.openxmlformats.org/officeDocument/2006/relationships/hyperlink" Target="http://www.nhsstaffsurveys.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6CB6FA-BD9C-EE47-8EE8-64B897A95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7577</Words>
  <Characters>43191</Characters>
  <Application>Microsoft Macintosh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50667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O'Hara</dc:creator>
  <cp:lastModifiedBy>DJ OHara</cp:lastModifiedBy>
  <cp:revision>7</cp:revision>
  <dcterms:created xsi:type="dcterms:W3CDTF">2018-03-31T11:34:00Z</dcterms:created>
  <dcterms:modified xsi:type="dcterms:W3CDTF">2018-03-31T11:47:00Z</dcterms:modified>
</cp:coreProperties>
</file>