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5C8" w:rsidRPr="00B57610" w:rsidRDefault="00C755C8" w:rsidP="00C755C8">
      <w:pPr>
        <w:shd w:val="clear" w:color="auto" w:fill="FFFFFF"/>
        <w:spacing w:after="200" w:line="480" w:lineRule="auto"/>
        <w:jc w:val="center"/>
        <w:rPr>
          <w:rFonts w:ascii="Arial" w:hAnsi="Arial" w:cs="Arial"/>
          <w:b/>
          <w:caps/>
          <w:sz w:val="22"/>
          <w:szCs w:val="22"/>
          <w:lang w:val="en-GB"/>
        </w:rPr>
      </w:pPr>
      <w:bookmarkStart w:id="0" w:name="_GoBack"/>
      <w:bookmarkEnd w:id="0"/>
      <w:r w:rsidRPr="00B57610">
        <w:rPr>
          <w:rFonts w:ascii="Arial" w:hAnsi="Arial" w:cs="Arial"/>
          <w:b/>
          <w:caps/>
          <w:sz w:val="22"/>
          <w:szCs w:val="22"/>
          <w:lang w:val="en-GB"/>
        </w:rPr>
        <w:t>is food insecurity associated with maternal health</w:t>
      </w:r>
      <w:r>
        <w:rPr>
          <w:rFonts w:ascii="Arial" w:hAnsi="Arial" w:cs="Arial"/>
          <w:b/>
          <w:caps/>
          <w:sz w:val="22"/>
          <w:szCs w:val="22"/>
          <w:lang w:val="en-GB"/>
        </w:rPr>
        <w:t xml:space="preserve"> among UK ethnic groups</w:t>
      </w:r>
      <w:r w:rsidRPr="00B57610">
        <w:rPr>
          <w:rFonts w:ascii="Arial" w:hAnsi="Arial" w:cs="Arial"/>
          <w:b/>
          <w:caps/>
          <w:sz w:val="22"/>
          <w:szCs w:val="22"/>
          <w:lang w:val="en-GB"/>
        </w:rPr>
        <w:t xml:space="preserve">? </w:t>
      </w:r>
      <w:r w:rsidRPr="00B57610">
        <w:rPr>
          <w:rFonts w:ascii="Arial" w:hAnsi="Arial" w:cs="Arial"/>
          <w:b/>
          <w:caps/>
          <w:sz w:val="22"/>
          <w:szCs w:val="22"/>
        </w:rPr>
        <w:t>A</w:t>
      </w:r>
      <w:r>
        <w:rPr>
          <w:rFonts w:ascii="Arial" w:hAnsi="Arial" w:cs="Arial"/>
          <w:b/>
          <w:caps/>
          <w:sz w:val="22"/>
          <w:szCs w:val="22"/>
        </w:rPr>
        <w:t>n</w:t>
      </w:r>
      <w:r w:rsidRPr="00B57610">
        <w:rPr>
          <w:rFonts w:ascii="Arial" w:hAnsi="Arial" w:cs="Arial"/>
          <w:b/>
          <w:caps/>
          <w:sz w:val="22"/>
          <w:szCs w:val="22"/>
        </w:rPr>
        <w:t xml:space="preserve"> </w:t>
      </w:r>
      <w:r>
        <w:rPr>
          <w:rFonts w:ascii="Arial" w:hAnsi="Arial" w:cs="Arial"/>
          <w:b/>
          <w:caps/>
          <w:sz w:val="22"/>
          <w:szCs w:val="22"/>
        </w:rPr>
        <w:t>Exploration</w:t>
      </w:r>
      <w:r w:rsidRPr="00B57610">
        <w:rPr>
          <w:rFonts w:ascii="Arial" w:hAnsi="Arial" w:cs="Arial"/>
          <w:b/>
          <w:caps/>
          <w:sz w:val="22"/>
          <w:szCs w:val="22"/>
        </w:rPr>
        <w:t xml:space="preserve"> of women in the </w:t>
      </w:r>
      <w:r>
        <w:rPr>
          <w:rFonts w:ascii="Arial" w:hAnsi="Arial" w:cs="Arial"/>
          <w:b/>
          <w:caps/>
          <w:sz w:val="22"/>
          <w:szCs w:val="22"/>
        </w:rPr>
        <w:t>BIB</w:t>
      </w:r>
      <w:r w:rsidRPr="00B57610">
        <w:rPr>
          <w:rFonts w:ascii="Arial" w:hAnsi="Arial" w:cs="Arial"/>
          <w:b/>
          <w:caps/>
          <w:sz w:val="22"/>
          <w:szCs w:val="22"/>
        </w:rPr>
        <w:t xml:space="preserve"> cohort</w:t>
      </w: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t>Corresponding author</w:t>
      </w:r>
    </w:p>
    <w:p w:rsidR="00C755C8" w:rsidRPr="007C61E3" w:rsidRDefault="00C755C8" w:rsidP="00C755C8">
      <w:pPr>
        <w:spacing w:line="480" w:lineRule="auto"/>
        <w:rPr>
          <w:rFonts w:ascii="Arial" w:hAnsi="Arial"/>
          <w:sz w:val="22"/>
        </w:rPr>
      </w:pPr>
      <w:r w:rsidRPr="000B07EA">
        <w:rPr>
          <w:rFonts w:ascii="Arial" w:hAnsi="Arial"/>
          <w:sz w:val="22"/>
        </w:rPr>
        <w:t>Correspondence to: Madeleine Power, Department of Sciences, Seebohm Rowntree Building, University of York, Heslington, York, YO10 5DD, UK, madeleine.power@york.ac.uk</w:t>
      </w: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r w:rsidRPr="00B57610">
        <w:rPr>
          <w:rFonts w:ascii="Arial" w:hAnsi="Arial" w:cs="Arial"/>
          <w:b/>
          <w:sz w:val="22"/>
          <w:szCs w:val="22"/>
        </w:rPr>
        <w:t xml:space="preserve">Author addresses and affiliations </w:t>
      </w:r>
    </w:p>
    <w:p w:rsidR="00C755C8" w:rsidRDefault="00C755C8" w:rsidP="00C755C8">
      <w:pPr>
        <w:spacing w:line="480" w:lineRule="auto"/>
        <w:rPr>
          <w:rFonts w:ascii="Arial" w:hAnsi="Arial" w:cs="Arial"/>
          <w:sz w:val="22"/>
          <w:szCs w:val="22"/>
        </w:rPr>
      </w:pPr>
      <w:r w:rsidRPr="00B57610">
        <w:rPr>
          <w:rFonts w:ascii="Arial" w:hAnsi="Arial" w:cs="Arial"/>
          <w:sz w:val="22"/>
          <w:szCs w:val="22"/>
        </w:rPr>
        <w:t>Madeleine</w:t>
      </w:r>
      <w:r>
        <w:rPr>
          <w:rFonts w:ascii="Arial" w:hAnsi="Arial" w:cs="Arial"/>
          <w:sz w:val="22"/>
          <w:szCs w:val="22"/>
        </w:rPr>
        <w:t xml:space="preserve"> S.</w:t>
      </w:r>
      <w:r w:rsidRPr="00B57610">
        <w:rPr>
          <w:rFonts w:ascii="Arial" w:hAnsi="Arial" w:cs="Arial"/>
          <w:sz w:val="22"/>
          <w:szCs w:val="22"/>
        </w:rPr>
        <w:t xml:space="preserve"> Power, </w:t>
      </w:r>
      <w:r>
        <w:rPr>
          <w:rFonts w:ascii="Arial" w:hAnsi="Arial" w:cs="Arial"/>
          <w:sz w:val="22"/>
          <w:szCs w:val="22"/>
        </w:rPr>
        <w:t>Research Fellow</w:t>
      </w:r>
      <w:r w:rsidRPr="00B57610">
        <w:rPr>
          <w:rFonts w:ascii="Arial" w:hAnsi="Arial" w:cs="Arial"/>
          <w:sz w:val="22"/>
          <w:szCs w:val="22"/>
        </w:rPr>
        <w:t>, Department of Health Sciences, Seebohm Rowntree Building, University of York</w:t>
      </w:r>
      <w:r w:rsidRPr="00B57610">
        <w:rPr>
          <w:rFonts w:ascii="Arial" w:hAnsi="Arial" w:cs="Arial"/>
          <w:sz w:val="22"/>
          <w:szCs w:val="22"/>
          <w:shd w:val="clear" w:color="auto" w:fill="FFFFFF"/>
        </w:rPr>
        <w:t>,</w:t>
      </w:r>
      <w:r w:rsidRPr="00B57610">
        <w:rPr>
          <w:rFonts w:ascii="Arial" w:hAnsi="Arial" w:cs="Arial"/>
          <w:sz w:val="22"/>
          <w:szCs w:val="22"/>
        </w:rPr>
        <w:t> Heslington, York, YO10 5DD, UK</w:t>
      </w:r>
      <w:r w:rsidRPr="00B57610">
        <w:rPr>
          <w:rFonts w:ascii="Arial" w:hAnsi="Arial" w:cs="Arial"/>
          <w:sz w:val="22"/>
          <w:szCs w:val="22"/>
        </w:rPr>
        <w:br/>
        <w:t xml:space="preserve">Professor Neil Small, Professor of Health Research, </w:t>
      </w:r>
      <w:r>
        <w:rPr>
          <w:rFonts w:ascii="Arial" w:hAnsi="Arial" w:cs="Arial"/>
          <w:sz w:val="22"/>
          <w:szCs w:val="22"/>
        </w:rPr>
        <w:t>Faculty</w:t>
      </w:r>
      <w:r w:rsidRPr="00B57610">
        <w:rPr>
          <w:rFonts w:ascii="Arial" w:hAnsi="Arial" w:cs="Arial"/>
          <w:sz w:val="22"/>
          <w:szCs w:val="22"/>
        </w:rPr>
        <w:t xml:space="preserve"> of Health Studies, University of Bradford, </w:t>
      </w:r>
      <w:r>
        <w:rPr>
          <w:rFonts w:ascii="Arial" w:hAnsi="Arial" w:cs="Arial"/>
          <w:sz w:val="22"/>
          <w:szCs w:val="22"/>
        </w:rPr>
        <w:t>Richmond</w:t>
      </w:r>
      <w:r w:rsidRPr="00B57610">
        <w:rPr>
          <w:rFonts w:ascii="Arial" w:hAnsi="Arial" w:cs="Arial"/>
          <w:sz w:val="22"/>
          <w:szCs w:val="22"/>
        </w:rPr>
        <w:t xml:space="preserve"> Road, Bradford </w:t>
      </w:r>
      <w:r>
        <w:rPr>
          <w:rFonts w:ascii="Arial" w:hAnsi="Arial" w:cs="Arial"/>
          <w:sz w:val="22"/>
          <w:szCs w:val="22"/>
        </w:rPr>
        <w:t>BD7 1DP</w:t>
      </w:r>
      <w:r w:rsidRPr="00B57610">
        <w:rPr>
          <w:rFonts w:ascii="Arial" w:hAnsi="Arial" w:cs="Arial"/>
          <w:sz w:val="22"/>
          <w:szCs w:val="22"/>
        </w:rPr>
        <w:t>, UK</w:t>
      </w:r>
    </w:p>
    <w:p w:rsidR="00C755C8" w:rsidRDefault="00C755C8" w:rsidP="00C755C8">
      <w:pPr>
        <w:spacing w:line="480" w:lineRule="auto"/>
        <w:rPr>
          <w:rFonts w:ascii="Arial" w:hAnsi="Arial" w:cs="Arial"/>
          <w:sz w:val="22"/>
          <w:szCs w:val="22"/>
        </w:rPr>
      </w:pPr>
      <w:r w:rsidRPr="00B57610">
        <w:rPr>
          <w:rFonts w:ascii="Arial" w:hAnsi="Arial" w:cs="Arial"/>
          <w:sz w:val="22"/>
          <w:szCs w:val="22"/>
        </w:rPr>
        <w:t>Professor Bob Doherty, Professor of Marketing, The York Management School, University of York, Freboys Lane, York YO10 5GD, UK</w:t>
      </w:r>
    </w:p>
    <w:p w:rsidR="00C755C8" w:rsidRDefault="00C755C8" w:rsidP="00C755C8">
      <w:pPr>
        <w:spacing w:line="480" w:lineRule="auto"/>
        <w:rPr>
          <w:rFonts w:ascii="Arial" w:hAnsi="Arial" w:cs="Arial"/>
          <w:sz w:val="22"/>
          <w:szCs w:val="22"/>
        </w:rPr>
      </w:pPr>
      <w:r w:rsidRPr="00B57610">
        <w:rPr>
          <w:rFonts w:ascii="Arial" w:hAnsi="Arial" w:cs="Arial"/>
          <w:sz w:val="22"/>
          <w:szCs w:val="22"/>
        </w:rPr>
        <w:t xml:space="preserve">Professor Barbara Stewart-Knox, Professor of Psychology, Faculty of Social Sciences, University of Bradford, </w:t>
      </w:r>
      <w:r>
        <w:rPr>
          <w:rFonts w:ascii="Arial" w:hAnsi="Arial" w:cs="Arial"/>
          <w:sz w:val="22"/>
          <w:szCs w:val="22"/>
        </w:rPr>
        <w:t>Richmond Road, Bradford BD7 1DP</w:t>
      </w:r>
      <w:r w:rsidRPr="00B57610">
        <w:rPr>
          <w:rFonts w:ascii="Arial" w:hAnsi="Arial" w:cs="Arial"/>
          <w:sz w:val="22"/>
          <w:szCs w:val="22"/>
        </w:rPr>
        <w:t>, UK</w:t>
      </w:r>
      <w:r w:rsidRPr="00B57610">
        <w:rPr>
          <w:rFonts w:ascii="Arial" w:hAnsi="Arial" w:cs="Arial"/>
          <w:sz w:val="22"/>
          <w:szCs w:val="22"/>
        </w:rPr>
        <w:br/>
        <w:t>Professor Kate E</w:t>
      </w:r>
      <w:r>
        <w:rPr>
          <w:rFonts w:ascii="Arial" w:hAnsi="Arial" w:cs="Arial"/>
          <w:sz w:val="22"/>
          <w:szCs w:val="22"/>
        </w:rPr>
        <w:t>.</w:t>
      </w:r>
      <w:r w:rsidRPr="00B57610">
        <w:rPr>
          <w:rFonts w:ascii="Arial" w:hAnsi="Arial" w:cs="Arial"/>
          <w:sz w:val="22"/>
          <w:szCs w:val="22"/>
        </w:rPr>
        <w:t xml:space="preserve"> Pickett, Professor of Epidemiology, Department of Health Sciences, Seebohm Rowntree Building, University of York</w:t>
      </w:r>
      <w:r w:rsidRPr="00B57610">
        <w:rPr>
          <w:rFonts w:ascii="Arial" w:hAnsi="Arial" w:cs="Arial"/>
          <w:sz w:val="22"/>
          <w:szCs w:val="22"/>
          <w:shd w:val="clear" w:color="auto" w:fill="FFFFFF"/>
        </w:rPr>
        <w:t>,</w:t>
      </w:r>
      <w:r w:rsidRPr="00B57610">
        <w:rPr>
          <w:rFonts w:ascii="Arial" w:hAnsi="Arial" w:cs="Arial"/>
          <w:sz w:val="22"/>
          <w:szCs w:val="22"/>
        </w:rPr>
        <w:t> Heslington, York, YO10 5DD, UK</w:t>
      </w:r>
      <w:r w:rsidRPr="00B57610">
        <w:rPr>
          <w:rFonts w:ascii="Arial" w:hAnsi="Arial" w:cs="Arial"/>
          <w:sz w:val="22"/>
          <w:szCs w:val="22"/>
        </w:rPr>
        <w:br/>
      </w:r>
    </w:p>
    <w:p w:rsidR="00C755C8" w:rsidRDefault="00C755C8" w:rsidP="00C755C8">
      <w:pPr>
        <w:shd w:val="clear" w:color="auto" w:fill="FFFFFF"/>
        <w:spacing w:after="200" w:line="480" w:lineRule="auto"/>
        <w:jc w:val="center"/>
        <w:rPr>
          <w:rFonts w:ascii="Arial" w:hAnsi="Arial" w:cs="Arial"/>
          <w:b/>
          <w:caps/>
          <w:sz w:val="22"/>
          <w:szCs w:val="22"/>
          <w:lang w:val="en-GB"/>
        </w:rPr>
      </w:pPr>
    </w:p>
    <w:p w:rsidR="00C755C8" w:rsidRPr="00B57610" w:rsidRDefault="00C755C8" w:rsidP="00C755C8">
      <w:pPr>
        <w:shd w:val="clear" w:color="auto" w:fill="FFFFFF"/>
        <w:spacing w:after="200" w:line="480" w:lineRule="auto"/>
        <w:jc w:val="center"/>
        <w:rPr>
          <w:rFonts w:ascii="Arial" w:hAnsi="Arial" w:cs="Arial"/>
          <w:b/>
          <w:caps/>
          <w:sz w:val="22"/>
          <w:szCs w:val="22"/>
          <w:lang w:val="en-GB"/>
        </w:rPr>
      </w:pPr>
    </w:p>
    <w:p w:rsidR="00C755C8" w:rsidRPr="00B57610"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lastRenderedPageBreak/>
        <w:t xml:space="preserve">ABSTRACT </w:t>
      </w:r>
    </w:p>
    <w:p w:rsidR="00C755C8" w:rsidRPr="00B57610" w:rsidRDefault="00C755C8" w:rsidP="00C755C8">
      <w:pPr>
        <w:spacing w:line="480" w:lineRule="auto"/>
        <w:outlineLvl w:val="0"/>
        <w:rPr>
          <w:rFonts w:ascii="Arial" w:hAnsi="Arial" w:cs="Arial"/>
          <w:b/>
          <w:sz w:val="22"/>
          <w:szCs w:val="22"/>
        </w:rPr>
      </w:pPr>
    </w:p>
    <w:p w:rsidR="00C755C8" w:rsidRDefault="00C755C8" w:rsidP="00C755C8">
      <w:pPr>
        <w:spacing w:line="480" w:lineRule="auto"/>
        <w:rPr>
          <w:rFonts w:ascii="Arial" w:hAnsi="Arial" w:cs="Arial"/>
          <w:sz w:val="22"/>
          <w:szCs w:val="22"/>
        </w:rPr>
      </w:pPr>
      <w:r>
        <w:rPr>
          <w:rFonts w:ascii="Arial" w:hAnsi="Arial" w:cs="Arial"/>
          <w:sz w:val="22"/>
          <w:szCs w:val="22"/>
        </w:rPr>
        <w:t>F</w:t>
      </w:r>
      <w:r w:rsidRPr="00B57610">
        <w:rPr>
          <w:rFonts w:ascii="Arial" w:hAnsi="Arial" w:cs="Arial"/>
          <w:sz w:val="22"/>
          <w:szCs w:val="22"/>
        </w:rPr>
        <w:t xml:space="preserve">ood insecurity is a determinant of maternal health; however research on the health impact of food insecurity among mothers of varying ethnicities is under-developed. We assessed the </w:t>
      </w:r>
      <w:r>
        <w:rPr>
          <w:rFonts w:ascii="Arial" w:hAnsi="Arial" w:cs="Arial"/>
          <w:sz w:val="22"/>
          <w:szCs w:val="22"/>
        </w:rPr>
        <w:t>association</w:t>
      </w:r>
      <w:r w:rsidRPr="00B57610">
        <w:rPr>
          <w:rFonts w:ascii="Arial" w:hAnsi="Arial" w:cs="Arial"/>
          <w:sz w:val="22"/>
          <w:szCs w:val="22"/>
        </w:rPr>
        <w:t xml:space="preserve"> of food insecurity </w:t>
      </w:r>
      <w:r>
        <w:rPr>
          <w:rFonts w:ascii="Arial" w:hAnsi="Arial" w:cs="Arial"/>
          <w:sz w:val="22"/>
          <w:szCs w:val="22"/>
        </w:rPr>
        <w:t>and</w:t>
      </w:r>
      <w:r w:rsidRPr="00B57610">
        <w:rPr>
          <w:rFonts w:ascii="Arial" w:hAnsi="Arial" w:cs="Arial"/>
          <w:sz w:val="22"/>
          <w:szCs w:val="22"/>
        </w:rPr>
        <w:t xml:space="preserve"> health among </w:t>
      </w:r>
      <w:r>
        <w:rPr>
          <w:rFonts w:ascii="Arial" w:hAnsi="Arial" w:cs="Arial"/>
          <w:sz w:val="22"/>
          <w:szCs w:val="22"/>
        </w:rPr>
        <w:t>white British</w:t>
      </w:r>
      <w:r w:rsidRPr="00B57610">
        <w:rPr>
          <w:rFonts w:ascii="Arial" w:hAnsi="Arial" w:cs="Arial"/>
          <w:sz w:val="22"/>
          <w:szCs w:val="22"/>
        </w:rPr>
        <w:t xml:space="preserve"> and Pakistani mothers. Data from the Born in Bradford cohort were matched with data on food insecurity and self-reported health from the nested BiB1000 study (N=1280). </w:t>
      </w:r>
      <w:r w:rsidRPr="00B57610">
        <w:rPr>
          <w:rFonts w:ascii="Arial" w:hAnsi="Arial" w:cs="Arial"/>
          <w:sz w:val="22"/>
          <w:szCs w:val="22"/>
          <w:shd w:val="clear" w:color="auto" w:fill="FFFFFF"/>
        </w:rPr>
        <w:t xml:space="preserve">Food insecurity was associated with </w:t>
      </w:r>
      <w:r>
        <w:rPr>
          <w:rFonts w:ascii="Arial" w:hAnsi="Arial" w:cs="Arial"/>
          <w:sz w:val="22"/>
          <w:szCs w:val="22"/>
          <w:shd w:val="clear" w:color="auto" w:fill="FFFFFF"/>
        </w:rPr>
        <w:t xml:space="preserve">elevated odds of fair/poor health among white British mothers but not </w:t>
      </w:r>
      <w:r>
        <w:rPr>
          <w:rFonts w:ascii="Arial" w:hAnsi="Arial" w:cs="Arial"/>
          <w:sz w:val="22"/>
          <w:szCs w:val="22"/>
        </w:rPr>
        <w:t>Pakistani mothers</w:t>
      </w:r>
      <w:r w:rsidRPr="00B57610">
        <w:rPr>
          <w:rFonts w:ascii="Arial" w:hAnsi="Arial" w:cs="Arial"/>
          <w:sz w:val="22"/>
          <w:szCs w:val="22"/>
        </w:rPr>
        <w:t xml:space="preserve">. </w:t>
      </w:r>
      <w:r>
        <w:rPr>
          <w:rFonts w:ascii="Arial" w:hAnsi="Arial" w:cs="Arial"/>
          <w:sz w:val="22"/>
          <w:szCs w:val="22"/>
        </w:rPr>
        <w:t>Adjusting for financial security, the association between food insecurity and poor health was not significant among either white British or Pakistani mothers.</w:t>
      </w:r>
    </w:p>
    <w:p w:rsidR="00C755C8" w:rsidRDefault="00C755C8" w:rsidP="00C755C8">
      <w:pPr>
        <w:spacing w:line="480" w:lineRule="auto"/>
        <w:rPr>
          <w:rFonts w:ascii="Arial" w:hAnsi="Arial" w:cs="Arial"/>
          <w:b/>
          <w:sz w:val="22"/>
          <w:szCs w:val="22"/>
        </w:rPr>
      </w:pPr>
    </w:p>
    <w:p w:rsidR="00C755C8" w:rsidRPr="008007B4" w:rsidRDefault="00C755C8" w:rsidP="00C755C8">
      <w:pPr>
        <w:spacing w:line="480" w:lineRule="auto"/>
        <w:rPr>
          <w:rFonts w:ascii="Arial" w:hAnsi="Arial" w:cs="Arial"/>
          <w:sz w:val="22"/>
          <w:szCs w:val="22"/>
        </w:rPr>
      </w:pPr>
      <w:r w:rsidRPr="008007B4">
        <w:rPr>
          <w:rFonts w:ascii="Arial" w:hAnsi="Arial" w:cs="Arial"/>
          <w:sz w:val="22"/>
          <w:szCs w:val="22"/>
        </w:rPr>
        <w:t xml:space="preserve">Key words: </w:t>
      </w:r>
      <w:r>
        <w:rPr>
          <w:rFonts w:ascii="Arial" w:hAnsi="Arial" w:cs="Arial"/>
          <w:sz w:val="22"/>
          <w:szCs w:val="22"/>
        </w:rPr>
        <w:t xml:space="preserve">food insecurity, financial insecurity, ethnicity, maternal health </w:t>
      </w: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lastRenderedPageBreak/>
        <w:t xml:space="preserve">INTRODUCTION </w:t>
      </w:r>
    </w:p>
    <w:p w:rsidR="00C755C8" w:rsidRPr="00B57610" w:rsidRDefault="00C755C8" w:rsidP="00C755C8">
      <w:pPr>
        <w:spacing w:line="480" w:lineRule="auto"/>
        <w:rPr>
          <w:rFonts w:ascii="Arial" w:hAnsi="Arial" w:cs="Arial"/>
          <w:b/>
          <w:sz w:val="22"/>
          <w:szCs w:val="22"/>
        </w:rPr>
      </w:pPr>
    </w:p>
    <w:p w:rsidR="00C755C8" w:rsidRDefault="00C755C8" w:rsidP="00C755C8">
      <w:pPr>
        <w:spacing w:line="480" w:lineRule="auto"/>
        <w:rPr>
          <w:rStyle w:val="apple-converted-space"/>
        </w:rPr>
      </w:pPr>
      <w:r w:rsidRPr="00B57610">
        <w:rPr>
          <w:rFonts w:ascii="Arial" w:hAnsi="Arial" w:cs="Arial"/>
          <w:sz w:val="22"/>
          <w:szCs w:val="22"/>
          <w:shd w:val="clear" w:color="auto" w:fill="FFFFFF"/>
        </w:rPr>
        <w:t xml:space="preserve">Food insecurity among women </w:t>
      </w:r>
      <w:r>
        <w:rPr>
          <w:rFonts w:ascii="Arial" w:hAnsi="Arial" w:cs="Arial"/>
          <w:sz w:val="22"/>
          <w:szCs w:val="22"/>
          <w:shd w:val="clear" w:color="auto" w:fill="FFFFFF"/>
        </w:rPr>
        <w:t xml:space="preserve">during </w:t>
      </w:r>
      <w:r w:rsidRPr="00B57610">
        <w:rPr>
          <w:rFonts w:ascii="Arial" w:hAnsi="Arial" w:cs="Arial"/>
          <w:sz w:val="22"/>
          <w:szCs w:val="22"/>
          <w:shd w:val="clear" w:color="auto" w:fill="FFFFFF"/>
        </w:rPr>
        <w:t>the postnatal period may have serious implications for the well-being of the mother and development of the child</w:t>
      </w:r>
      <w:r>
        <w:rPr>
          <w:rFonts w:ascii="Arial" w:hAnsi="Arial" w:cs="Arial"/>
          <w:sz w:val="22"/>
          <w:szCs w:val="22"/>
          <w:shd w:val="clear" w:color="auto" w:fill="FFFFFF"/>
        </w:rPr>
        <w:t>.</w:t>
      </w:r>
      <w:r w:rsidRPr="00B57610">
        <w:rPr>
          <w:rStyle w:val="apple-converted-space"/>
          <w:rFonts w:ascii="Arial" w:hAnsi="Arial" w:cs="Arial"/>
          <w:sz w:val="22"/>
          <w:szCs w:val="22"/>
          <w:shd w:val="clear" w:color="auto" w:fill="FFFFFF"/>
        </w:rPr>
        <w:t> </w:t>
      </w:r>
      <w:r w:rsidRPr="00B57610">
        <w:rPr>
          <w:rFonts w:ascii="Arial" w:hAnsi="Arial" w:cs="Arial"/>
          <w:sz w:val="22"/>
          <w:szCs w:val="22"/>
          <w:shd w:val="clear" w:color="auto" w:fill="FFFFFF"/>
        </w:rPr>
        <w:t>Mothers in food insecure households often compromise their own intake to ensure their children have sufficient food</w:t>
      </w:r>
      <w:r>
        <w:rPr>
          <w:rFonts w:ascii="Arial" w:hAnsi="Arial" w:cs="Arial"/>
          <w:sz w:val="22"/>
          <w:szCs w:val="22"/>
          <w:shd w:val="clear" w:color="auto" w:fill="FFFFFF"/>
        </w:rPr>
        <w:t>.(1) W</w:t>
      </w:r>
      <w:r w:rsidRPr="00B57610">
        <w:rPr>
          <w:rFonts w:ascii="Arial" w:hAnsi="Arial" w:cs="Arial"/>
          <w:sz w:val="22"/>
          <w:szCs w:val="22"/>
          <w:shd w:val="clear" w:color="auto" w:fill="FFFFFF"/>
        </w:rPr>
        <w:t xml:space="preserve">hile this may </w:t>
      </w:r>
      <w:r>
        <w:rPr>
          <w:rFonts w:ascii="Arial" w:hAnsi="Arial" w:cs="Arial"/>
          <w:sz w:val="22"/>
          <w:szCs w:val="22"/>
          <w:shd w:val="clear" w:color="auto" w:fill="FFFFFF"/>
        </w:rPr>
        <w:t>attenuate</w:t>
      </w:r>
      <w:r w:rsidRPr="00B57610">
        <w:rPr>
          <w:rFonts w:ascii="Arial" w:hAnsi="Arial" w:cs="Arial"/>
          <w:sz w:val="22"/>
          <w:szCs w:val="22"/>
          <w:shd w:val="clear" w:color="auto" w:fill="FFFFFF"/>
        </w:rPr>
        <w:t xml:space="preserve"> the direct effect of food insecurity </w:t>
      </w:r>
      <w:r>
        <w:rPr>
          <w:rFonts w:ascii="Arial" w:hAnsi="Arial" w:cs="Arial"/>
          <w:sz w:val="22"/>
          <w:szCs w:val="22"/>
          <w:shd w:val="clear" w:color="auto" w:fill="FFFFFF"/>
        </w:rPr>
        <w:t>on</w:t>
      </w:r>
      <w:r w:rsidRPr="00B57610">
        <w:rPr>
          <w:rFonts w:ascii="Arial" w:hAnsi="Arial" w:cs="Arial"/>
          <w:sz w:val="22"/>
          <w:szCs w:val="22"/>
          <w:shd w:val="clear" w:color="auto" w:fill="FFFFFF"/>
        </w:rPr>
        <w:t xml:space="preserve"> children</w:t>
      </w:r>
      <w:r>
        <w:rPr>
          <w:rFonts w:ascii="Arial" w:hAnsi="Arial" w:cs="Arial"/>
          <w:sz w:val="22"/>
          <w:szCs w:val="22"/>
          <w:shd w:val="clear" w:color="auto" w:fill="FFFFFF"/>
        </w:rPr>
        <w:t>’s consumption</w:t>
      </w:r>
      <w:r w:rsidRPr="00B57610">
        <w:rPr>
          <w:rFonts w:ascii="Arial" w:hAnsi="Arial" w:cs="Arial"/>
          <w:sz w:val="22"/>
          <w:szCs w:val="22"/>
          <w:shd w:val="clear" w:color="auto" w:fill="FFFFFF"/>
        </w:rPr>
        <w:t xml:space="preserve">, it may not protect children from the wider effects of food insecurity, </w:t>
      </w:r>
      <w:r>
        <w:rPr>
          <w:rFonts w:ascii="Arial" w:hAnsi="Arial" w:cs="Arial"/>
          <w:sz w:val="22"/>
          <w:szCs w:val="22"/>
          <w:shd w:val="clear" w:color="auto" w:fill="FFFFFF"/>
        </w:rPr>
        <w:t xml:space="preserve">including </w:t>
      </w:r>
      <w:r w:rsidRPr="00B57610">
        <w:rPr>
          <w:rFonts w:ascii="Arial" w:hAnsi="Arial" w:cs="Arial"/>
          <w:sz w:val="22"/>
          <w:szCs w:val="22"/>
          <w:shd w:val="clear" w:color="auto" w:fill="FFFFFF"/>
        </w:rPr>
        <w:t>strain in parent</w:t>
      </w:r>
      <w:r>
        <w:rPr>
          <w:rFonts w:ascii="Arial" w:hAnsi="Arial" w:cs="Arial"/>
          <w:sz w:val="22"/>
          <w:szCs w:val="22"/>
          <w:shd w:val="clear" w:color="auto" w:fill="FFFFFF"/>
        </w:rPr>
        <w:t>-</w:t>
      </w:r>
      <w:r w:rsidRPr="00B57610">
        <w:rPr>
          <w:rFonts w:ascii="Arial" w:hAnsi="Arial" w:cs="Arial"/>
          <w:sz w:val="22"/>
          <w:szCs w:val="22"/>
          <w:shd w:val="clear" w:color="auto" w:fill="FFFFFF"/>
        </w:rPr>
        <w:t>child interactions and poor infant feeding practices.</w:t>
      </w:r>
      <w:r>
        <w:rPr>
          <w:rFonts w:ascii="Arial" w:hAnsi="Arial" w:cs="Arial"/>
          <w:noProof/>
          <w:sz w:val="22"/>
          <w:szCs w:val="22"/>
          <w:shd w:val="clear" w:color="auto" w:fill="FFFFFF"/>
        </w:rPr>
        <w:t>(1)</w:t>
      </w:r>
      <w:r w:rsidRPr="00B57610">
        <w:rPr>
          <w:rStyle w:val="apple-converted-space"/>
          <w:rFonts w:ascii="Arial" w:hAnsi="Arial" w:cs="Arial"/>
          <w:sz w:val="22"/>
          <w:szCs w:val="22"/>
          <w:shd w:val="clear" w:color="auto" w:fill="FFFFFF"/>
        </w:rPr>
        <w:t> </w:t>
      </w:r>
    </w:p>
    <w:p w:rsidR="00C755C8" w:rsidRDefault="00C755C8" w:rsidP="00C755C8">
      <w:pPr>
        <w:spacing w:line="480" w:lineRule="auto"/>
        <w:rPr>
          <w:rStyle w:val="apple-converted-space"/>
        </w:rPr>
      </w:pPr>
    </w:p>
    <w:p w:rsidR="00C755C8" w:rsidRPr="00B57610" w:rsidRDefault="00C755C8" w:rsidP="00C755C8">
      <w:pPr>
        <w:spacing w:line="480" w:lineRule="auto"/>
        <w:rPr>
          <w:rFonts w:ascii="Arial" w:hAnsi="Arial" w:cs="Arial"/>
          <w:sz w:val="22"/>
          <w:szCs w:val="22"/>
        </w:rPr>
      </w:pPr>
      <w:r w:rsidRPr="00B57610">
        <w:rPr>
          <w:rFonts w:ascii="Arial" w:hAnsi="Arial" w:cs="Arial"/>
          <w:sz w:val="22"/>
          <w:szCs w:val="22"/>
        </w:rPr>
        <w:t xml:space="preserve">The strength of the association between food insecurity and poor maternal health may be dependent on </w:t>
      </w:r>
      <w:r>
        <w:rPr>
          <w:rFonts w:ascii="Arial" w:hAnsi="Arial" w:cs="Arial"/>
          <w:sz w:val="22"/>
          <w:szCs w:val="22"/>
        </w:rPr>
        <w:t xml:space="preserve">ethnicity. </w:t>
      </w:r>
      <w:r w:rsidRPr="00B57610">
        <w:rPr>
          <w:rFonts w:ascii="Arial" w:hAnsi="Arial" w:cs="Arial"/>
          <w:sz w:val="22"/>
          <w:szCs w:val="22"/>
        </w:rPr>
        <w:t>In the UK, despite the consistent rela</w:t>
      </w:r>
      <w:r>
        <w:rPr>
          <w:rFonts w:ascii="Arial" w:hAnsi="Arial" w:cs="Arial"/>
          <w:sz w:val="22"/>
          <w:szCs w:val="22"/>
        </w:rPr>
        <w:t xml:space="preserve">tive health disadvantage of </w:t>
      </w:r>
      <w:r w:rsidRPr="00B57610">
        <w:rPr>
          <w:rFonts w:ascii="Arial" w:hAnsi="Arial" w:cs="Arial"/>
          <w:sz w:val="22"/>
          <w:szCs w:val="22"/>
        </w:rPr>
        <w:t xml:space="preserve">Pakistani/Bangladeshi groups compared to the white ethnic majority, the </w:t>
      </w:r>
      <w:r>
        <w:rPr>
          <w:rFonts w:ascii="Arial" w:hAnsi="Arial" w:cs="Arial"/>
          <w:sz w:val="22"/>
          <w:szCs w:val="22"/>
        </w:rPr>
        <w:t>degree</w:t>
      </w:r>
      <w:r w:rsidRPr="00B57610">
        <w:rPr>
          <w:rFonts w:ascii="Arial" w:hAnsi="Arial" w:cs="Arial"/>
          <w:sz w:val="22"/>
          <w:szCs w:val="22"/>
        </w:rPr>
        <w:t xml:space="preserve"> to which ethnic inequalities in health are attributable to socioeconomic differences between and within ethnic groups is equivocal</w:t>
      </w:r>
      <w:r>
        <w:rPr>
          <w:rFonts w:ascii="Arial" w:hAnsi="Arial" w:cs="Arial"/>
          <w:sz w:val="22"/>
          <w:szCs w:val="22"/>
        </w:rPr>
        <w:t>.</w:t>
      </w:r>
      <w:r>
        <w:rPr>
          <w:rFonts w:ascii="Arial" w:hAnsi="Arial" w:cs="Arial"/>
          <w:noProof/>
          <w:sz w:val="22"/>
          <w:szCs w:val="22"/>
        </w:rPr>
        <w:t>(2)</w:t>
      </w:r>
      <w:r>
        <w:rPr>
          <w:rFonts w:ascii="Arial" w:hAnsi="Arial" w:cs="Arial"/>
          <w:sz w:val="22"/>
          <w:szCs w:val="22"/>
        </w:rPr>
        <w:t xml:space="preserve"> This may be to do with difficulties in measuring entrenched social disadvantage within and between ethnic minority groups,(2) racial discrimination and/or socio-cultural factors, including social and familial networks and varying dietary behaviors.(3) </w:t>
      </w:r>
      <w:r w:rsidRPr="00B57610">
        <w:rPr>
          <w:rFonts w:ascii="Arial" w:hAnsi="Arial" w:cs="Arial"/>
          <w:sz w:val="22"/>
          <w:szCs w:val="22"/>
        </w:rPr>
        <w:t xml:space="preserve">This study </w:t>
      </w:r>
      <w:r>
        <w:rPr>
          <w:rFonts w:ascii="Arial" w:hAnsi="Arial" w:cs="Arial"/>
          <w:sz w:val="22"/>
          <w:szCs w:val="22"/>
        </w:rPr>
        <w:t>utilis</w:t>
      </w:r>
      <w:r w:rsidRPr="00B57610">
        <w:rPr>
          <w:rFonts w:ascii="Arial" w:hAnsi="Arial" w:cs="Arial"/>
          <w:sz w:val="22"/>
          <w:szCs w:val="22"/>
        </w:rPr>
        <w:t>es Born in Bradford (BiB) cohort data</w:t>
      </w:r>
      <w:r>
        <w:rPr>
          <w:rFonts w:ascii="Arial" w:hAnsi="Arial" w:cs="Arial"/>
          <w:sz w:val="22"/>
          <w:szCs w:val="22"/>
        </w:rPr>
        <w:t xml:space="preserve"> </w:t>
      </w:r>
      <w:r w:rsidRPr="00B57610">
        <w:rPr>
          <w:rFonts w:ascii="Arial" w:hAnsi="Arial" w:cs="Arial"/>
          <w:sz w:val="22"/>
          <w:szCs w:val="22"/>
        </w:rPr>
        <w:t xml:space="preserve">to </w:t>
      </w:r>
      <w:r>
        <w:rPr>
          <w:rFonts w:ascii="Arial" w:hAnsi="Arial" w:cs="Arial"/>
          <w:sz w:val="22"/>
          <w:szCs w:val="22"/>
        </w:rPr>
        <w:t xml:space="preserve">further explore health inequalities between ethnic groups by </w:t>
      </w:r>
      <w:r w:rsidRPr="00B57610">
        <w:rPr>
          <w:rFonts w:ascii="Arial" w:hAnsi="Arial" w:cs="Arial"/>
          <w:sz w:val="22"/>
          <w:szCs w:val="22"/>
        </w:rPr>
        <w:t>compar</w:t>
      </w:r>
      <w:r>
        <w:rPr>
          <w:rFonts w:ascii="Arial" w:hAnsi="Arial" w:cs="Arial"/>
          <w:sz w:val="22"/>
          <w:szCs w:val="22"/>
        </w:rPr>
        <w:t>ing</w:t>
      </w:r>
      <w:r w:rsidRPr="00B57610">
        <w:rPr>
          <w:rFonts w:ascii="Arial" w:hAnsi="Arial" w:cs="Arial"/>
          <w:sz w:val="22"/>
          <w:szCs w:val="22"/>
        </w:rPr>
        <w:t xml:space="preserve"> the association between food insecurity and health among Pakistani and </w:t>
      </w:r>
      <w:r>
        <w:rPr>
          <w:rFonts w:ascii="Arial" w:hAnsi="Arial" w:cs="Arial"/>
          <w:sz w:val="22"/>
          <w:szCs w:val="22"/>
        </w:rPr>
        <w:t xml:space="preserve">white </w:t>
      </w:r>
      <w:r w:rsidRPr="00B57610">
        <w:rPr>
          <w:rFonts w:ascii="Arial" w:hAnsi="Arial" w:cs="Arial"/>
          <w:sz w:val="22"/>
          <w:szCs w:val="22"/>
        </w:rPr>
        <w:t>B</w:t>
      </w:r>
      <w:r>
        <w:rPr>
          <w:rFonts w:ascii="Arial" w:hAnsi="Arial" w:cs="Arial"/>
          <w:sz w:val="22"/>
          <w:szCs w:val="22"/>
        </w:rPr>
        <w:t>ritish</w:t>
      </w:r>
      <w:r w:rsidRPr="00B57610">
        <w:rPr>
          <w:rFonts w:ascii="Arial" w:hAnsi="Arial" w:cs="Arial"/>
          <w:sz w:val="22"/>
          <w:szCs w:val="22"/>
        </w:rPr>
        <w:t xml:space="preserve"> mothers over a 30 month postnatal period.  </w:t>
      </w:r>
    </w:p>
    <w:p w:rsidR="00C755C8" w:rsidRPr="00B57610"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r>
        <w:rPr>
          <w:rFonts w:ascii="Arial" w:hAnsi="Arial" w:cs="Arial"/>
          <w:sz w:val="22"/>
          <w:szCs w:val="22"/>
        </w:rPr>
        <w:t xml:space="preserve"> </w:t>
      </w:r>
    </w:p>
    <w:p w:rsidR="00C755C8"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lastRenderedPageBreak/>
        <w:t>METHODS</w:t>
      </w: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eastAsia="Times New Roman" w:hAnsi="Arial" w:cs="Arial"/>
          <w:sz w:val="22"/>
          <w:szCs w:val="22"/>
          <w:lang w:eastAsia="en-GB"/>
        </w:rPr>
      </w:pPr>
      <w:r w:rsidRPr="00B57610">
        <w:rPr>
          <w:rFonts w:ascii="Arial" w:eastAsia="Times New Roman" w:hAnsi="Arial" w:cs="Arial"/>
          <w:sz w:val="22"/>
          <w:szCs w:val="22"/>
          <w:lang w:eastAsia="en-GB"/>
        </w:rPr>
        <w:t xml:space="preserve">The </w:t>
      </w:r>
      <w:r>
        <w:rPr>
          <w:rFonts w:ascii="Arial" w:eastAsia="Times New Roman" w:hAnsi="Arial" w:cs="Arial"/>
          <w:sz w:val="22"/>
          <w:szCs w:val="22"/>
          <w:lang w:eastAsia="en-GB"/>
        </w:rPr>
        <w:t>design</w:t>
      </w:r>
      <w:r w:rsidRPr="00B57610">
        <w:rPr>
          <w:rFonts w:ascii="Arial" w:eastAsia="Times New Roman" w:hAnsi="Arial" w:cs="Arial"/>
          <w:sz w:val="22"/>
          <w:szCs w:val="22"/>
          <w:lang w:eastAsia="en-GB"/>
        </w:rPr>
        <w:t xml:space="preserve"> was </w:t>
      </w:r>
      <w:r>
        <w:rPr>
          <w:rFonts w:ascii="Arial" w:eastAsia="Times New Roman" w:hAnsi="Arial" w:cs="Arial"/>
          <w:sz w:val="22"/>
          <w:szCs w:val="22"/>
          <w:lang w:eastAsia="en-GB"/>
        </w:rPr>
        <w:t>cross-sectional,</w:t>
      </w:r>
      <w:r w:rsidRPr="00B57610">
        <w:rPr>
          <w:rFonts w:ascii="Arial" w:eastAsia="Times New Roman" w:hAnsi="Arial" w:cs="Arial"/>
          <w:sz w:val="22"/>
          <w:szCs w:val="22"/>
          <w:lang w:eastAsia="en-GB"/>
        </w:rPr>
        <w:t xml:space="preserve"> with </w:t>
      </w:r>
      <w:r>
        <w:rPr>
          <w:rFonts w:ascii="Arial" w:eastAsia="Times New Roman" w:hAnsi="Arial" w:cs="Arial"/>
          <w:sz w:val="22"/>
          <w:szCs w:val="22"/>
          <w:lang w:eastAsia="en-GB"/>
        </w:rPr>
        <w:t xml:space="preserve">additional </w:t>
      </w:r>
      <w:r w:rsidRPr="00B57610">
        <w:rPr>
          <w:rFonts w:ascii="Arial" w:eastAsia="Times New Roman" w:hAnsi="Arial" w:cs="Arial"/>
          <w:sz w:val="22"/>
          <w:szCs w:val="22"/>
          <w:lang w:eastAsia="en-GB"/>
        </w:rPr>
        <w:t>longitudinal data on self-reported health</w:t>
      </w:r>
      <w:r w:rsidRPr="00B57610">
        <w:rPr>
          <w:rFonts w:ascii="Arial" w:eastAsia="Times New Roman" w:hAnsi="Arial" w:cs="Arial"/>
          <w:noProof/>
          <w:sz w:val="22"/>
          <w:szCs w:val="22"/>
          <w:lang w:eastAsia="en-GB"/>
        </w:rPr>
        <w:t xml:space="preserve">. </w:t>
      </w:r>
      <w:r w:rsidRPr="00B57610">
        <w:rPr>
          <w:rFonts w:ascii="Arial" w:eastAsia="Times New Roman" w:hAnsi="Arial" w:cs="Arial"/>
          <w:sz w:val="22"/>
          <w:szCs w:val="22"/>
          <w:lang w:eastAsia="en-GB"/>
        </w:rPr>
        <w:t>Ethics approval for data collection was granted by Bradford</w:t>
      </w:r>
      <w:r>
        <w:rPr>
          <w:rFonts w:ascii="Arial" w:eastAsia="Times New Roman" w:hAnsi="Arial" w:cs="Arial"/>
          <w:sz w:val="22"/>
          <w:szCs w:val="22"/>
          <w:lang w:eastAsia="en-GB"/>
        </w:rPr>
        <w:t>/Leeds NHS</w:t>
      </w:r>
      <w:r w:rsidRPr="00B57610">
        <w:rPr>
          <w:rFonts w:ascii="Arial" w:eastAsia="Times New Roman" w:hAnsi="Arial" w:cs="Arial"/>
          <w:sz w:val="22"/>
          <w:szCs w:val="22"/>
          <w:lang w:eastAsia="en-GB"/>
        </w:rPr>
        <w:t xml:space="preserve"> Research Ethics Committee (Ref 07/H1302/112).  </w:t>
      </w:r>
    </w:p>
    <w:p w:rsidR="00C755C8" w:rsidRPr="00B57610" w:rsidRDefault="00C755C8" w:rsidP="00C755C8">
      <w:pPr>
        <w:spacing w:line="480" w:lineRule="auto"/>
        <w:rPr>
          <w:rFonts w:ascii="Arial" w:eastAsia="Times New Roman" w:hAnsi="Arial" w:cs="Arial"/>
          <w:sz w:val="22"/>
          <w:szCs w:val="22"/>
          <w:lang w:eastAsia="en-GB"/>
        </w:rPr>
      </w:pPr>
    </w:p>
    <w:p w:rsidR="00C755C8" w:rsidRPr="003167CC" w:rsidRDefault="00C755C8" w:rsidP="00C755C8">
      <w:pPr>
        <w:spacing w:line="480" w:lineRule="auto"/>
        <w:rPr>
          <w:rFonts w:ascii="Arial" w:hAnsi="Arial" w:cs="Arial"/>
          <w:sz w:val="22"/>
          <w:szCs w:val="22"/>
        </w:rPr>
      </w:pPr>
      <w:r w:rsidRPr="003167CC">
        <w:rPr>
          <w:rFonts w:ascii="Arial" w:hAnsi="Arial" w:cs="Arial"/>
          <w:sz w:val="22"/>
          <w:szCs w:val="22"/>
        </w:rPr>
        <w:t xml:space="preserve">We matched baseline data from the BiB cohort with data on self-reported health </w:t>
      </w:r>
      <w:r>
        <w:rPr>
          <w:rFonts w:ascii="Arial" w:hAnsi="Arial" w:cs="Arial"/>
          <w:sz w:val="22"/>
          <w:szCs w:val="22"/>
        </w:rPr>
        <w:t xml:space="preserve">and </w:t>
      </w:r>
      <w:r w:rsidRPr="003167CC">
        <w:rPr>
          <w:rFonts w:ascii="Arial" w:hAnsi="Arial" w:cs="Arial"/>
          <w:sz w:val="22"/>
          <w:szCs w:val="22"/>
        </w:rPr>
        <w:t>food insecurity</w:t>
      </w:r>
      <w:r>
        <w:rPr>
          <w:rFonts w:ascii="Arial" w:hAnsi="Arial" w:cs="Arial"/>
          <w:sz w:val="22"/>
          <w:szCs w:val="22"/>
        </w:rPr>
        <w:t xml:space="preserve"> (the latter collected between April 2009 and April 2010) </w:t>
      </w:r>
      <w:r w:rsidRPr="003167CC">
        <w:rPr>
          <w:rFonts w:ascii="Arial" w:hAnsi="Arial" w:cs="Arial"/>
          <w:sz w:val="22"/>
          <w:szCs w:val="22"/>
        </w:rPr>
        <w:t>from the nested BiB1000 study.</w:t>
      </w:r>
      <w:r>
        <w:rPr>
          <w:rFonts w:ascii="Arial" w:hAnsi="Arial" w:cs="Arial"/>
          <w:noProof/>
          <w:sz w:val="22"/>
          <w:szCs w:val="22"/>
        </w:rPr>
        <w:t>(4)</w:t>
      </w:r>
      <w:r w:rsidRPr="003167CC">
        <w:rPr>
          <w:rFonts w:ascii="Arial" w:hAnsi="Arial" w:cs="Arial"/>
          <w:sz w:val="22"/>
          <w:szCs w:val="22"/>
        </w:rPr>
        <w:t xml:space="preserve"> </w:t>
      </w:r>
      <w:r w:rsidRPr="003167CC">
        <w:rPr>
          <w:rFonts w:ascii="Arial" w:eastAsia="Times New Roman" w:hAnsi="Arial" w:cs="Arial"/>
          <w:sz w:val="22"/>
          <w:szCs w:val="22"/>
          <w:lang w:eastAsia="en-GB"/>
        </w:rPr>
        <w:t>The history and aims of BiB have been described elsewhere.</w:t>
      </w:r>
      <w:r>
        <w:rPr>
          <w:rFonts w:ascii="Arial" w:eastAsia="Times New Roman" w:hAnsi="Arial" w:cs="Arial"/>
          <w:noProof/>
          <w:sz w:val="22"/>
          <w:szCs w:val="22"/>
          <w:lang w:eastAsia="en-GB"/>
        </w:rPr>
        <w:t>(3, 5)</w:t>
      </w:r>
      <w:r w:rsidRPr="003167CC">
        <w:rPr>
          <w:rFonts w:ascii="Arial" w:eastAsia="Times New Roman" w:hAnsi="Arial" w:cs="Arial"/>
          <w:sz w:val="22"/>
          <w:szCs w:val="22"/>
          <w:lang w:eastAsia="en-GB"/>
        </w:rPr>
        <w:t xml:space="preserve"> </w:t>
      </w:r>
      <w:r w:rsidRPr="003167CC">
        <w:rPr>
          <w:rFonts w:ascii="Arial" w:hAnsi="Arial" w:cs="Arial"/>
          <w:sz w:val="22"/>
          <w:szCs w:val="22"/>
        </w:rPr>
        <w:t xml:space="preserve">The outcome was self-reported general health; and the exposure was food </w:t>
      </w:r>
      <w:r w:rsidRPr="00091395">
        <w:rPr>
          <w:rFonts w:ascii="Arial" w:hAnsi="Arial" w:cs="Arial"/>
          <w:sz w:val="22"/>
          <w:szCs w:val="22"/>
        </w:rPr>
        <w:t xml:space="preserve">insecurity, </w:t>
      </w:r>
      <w:r w:rsidRPr="00BF5300">
        <w:rPr>
          <w:rFonts w:ascii="Arial" w:hAnsi="Arial" w:cs="Arial"/>
          <w:sz w:val="22"/>
          <w:szCs w:val="22"/>
        </w:rPr>
        <w:t xml:space="preserve">re-coded as a binary variable to increase sample size: food secure and food insecure. Food insecurity was defined as </w:t>
      </w:r>
      <w:r w:rsidRPr="000B07EA">
        <w:rPr>
          <w:rFonts w:ascii="Arial" w:hAnsi="Arial" w:cs="Arial"/>
          <w:sz w:val="22"/>
          <w:szCs w:val="22"/>
        </w:rPr>
        <w:t>“Limited or uncertain availability of nutritionally adequate and safe foods or limited or uncertain ability to acquire acceptable foods in socially acceptable ways”.</w:t>
      </w:r>
      <w:r>
        <w:rPr>
          <w:rFonts w:ascii="Arial" w:hAnsi="Arial" w:cs="Arial"/>
          <w:sz w:val="22"/>
          <w:szCs w:val="22"/>
        </w:rPr>
        <w:t>(6)</w:t>
      </w:r>
      <w:r w:rsidRPr="000B07EA">
        <w:rPr>
          <w:rFonts w:ascii="Arial" w:hAnsi="Arial" w:cs="Arial"/>
          <w:sz w:val="22"/>
          <w:szCs w:val="22"/>
        </w:rPr>
        <w:t xml:space="preserve"> The prevalence of food insecurity in the BiB1000 study was 14%</w:t>
      </w:r>
      <w:r>
        <w:rPr>
          <w:rFonts w:ascii="Arial" w:hAnsi="Arial" w:cs="Arial"/>
          <w:sz w:val="22"/>
          <w:szCs w:val="22"/>
        </w:rPr>
        <w:t>.</w:t>
      </w:r>
      <w:r w:rsidRPr="000B07EA">
        <w:rPr>
          <w:rFonts w:ascii="Arial" w:hAnsi="Arial" w:cs="Arial"/>
          <w:sz w:val="22"/>
          <w:szCs w:val="22"/>
        </w:rPr>
        <w:t>(</w:t>
      </w:r>
      <w:r>
        <w:rPr>
          <w:rFonts w:ascii="Arial" w:hAnsi="Arial" w:cs="Arial"/>
          <w:sz w:val="22"/>
          <w:szCs w:val="22"/>
        </w:rPr>
        <w:t>3</w:t>
      </w:r>
      <w:r w:rsidRPr="000B07EA">
        <w:rPr>
          <w:rFonts w:ascii="Arial" w:hAnsi="Arial" w:cs="Arial"/>
          <w:sz w:val="22"/>
          <w:szCs w:val="22"/>
        </w:rPr>
        <w:t>)</w:t>
      </w:r>
    </w:p>
    <w:p w:rsidR="00C755C8" w:rsidRPr="003167CC" w:rsidRDefault="00C755C8" w:rsidP="00C755C8">
      <w:pPr>
        <w:spacing w:line="480" w:lineRule="auto"/>
        <w:rPr>
          <w:rFonts w:ascii="Arial" w:hAnsi="Arial" w:cs="Arial"/>
          <w:sz w:val="22"/>
          <w:szCs w:val="22"/>
        </w:rPr>
      </w:pPr>
    </w:p>
    <w:p w:rsidR="00C755C8" w:rsidRDefault="00C755C8" w:rsidP="00C755C8">
      <w:pPr>
        <w:spacing w:line="480" w:lineRule="auto"/>
        <w:rPr>
          <w:rFonts w:ascii="Arial" w:eastAsia="AGaramondPro-Regular" w:hAnsi="Arial" w:cs="Arial"/>
          <w:sz w:val="22"/>
          <w:szCs w:val="22"/>
        </w:rPr>
      </w:pPr>
      <w:r w:rsidRPr="000B07EA">
        <w:rPr>
          <w:rFonts w:ascii="Arial" w:hAnsi="Arial" w:cs="Arial"/>
          <w:sz w:val="22"/>
          <w:szCs w:val="22"/>
        </w:rPr>
        <w:t xml:space="preserve">Household food insecurity was assessed when babies were 12-18 months old using the validated 18-item </w:t>
      </w:r>
      <w:r w:rsidRPr="000B07EA">
        <w:rPr>
          <w:rFonts w:ascii="Arial" w:eastAsia="AGaramondPro-Regular" w:hAnsi="Arial" w:cs="Arial"/>
          <w:sz w:val="22"/>
          <w:szCs w:val="22"/>
        </w:rPr>
        <w:t xml:space="preserve">US National Household Food Security Survey </w:t>
      </w:r>
      <w:r>
        <w:rPr>
          <w:rFonts w:ascii="Arial" w:eastAsia="AGaramondPro-Regular" w:hAnsi="Arial" w:cs="Arial"/>
          <w:sz w:val="22"/>
          <w:szCs w:val="22"/>
        </w:rPr>
        <w:t>m</w:t>
      </w:r>
      <w:r w:rsidRPr="000B07EA">
        <w:rPr>
          <w:rFonts w:ascii="Arial" w:eastAsia="AGaramondPro-Regular" w:hAnsi="Arial" w:cs="Arial"/>
          <w:sz w:val="22"/>
          <w:szCs w:val="22"/>
        </w:rPr>
        <w:t>easure.</w:t>
      </w:r>
      <w:r>
        <w:rPr>
          <w:rFonts w:ascii="Arial" w:eastAsia="AGaramondPro-Regular" w:hAnsi="Arial" w:cs="Arial"/>
          <w:noProof/>
          <w:sz w:val="22"/>
          <w:szCs w:val="22"/>
        </w:rPr>
        <w:t>(3)</w:t>
      </w:r>
      <w:r w:rsidRPr="000B07EA">
        <w:rPr>
          <w:rFonts w:ascii="Arial" w:eastAsia="AGaramondPro-Regular" w:hAnsi="Arial" w:cs="Arial"/>
          <w:sz w:val="22"/>
          <w:szCs w:val="22"/>
        </w:rPr>
        <w:t xml:space="preserve"> </w:t>
      </w:r>
      <w:r w:rsidRPr="003167CC">
        <w:rPr>
          <w:rFonts w:ascii="Arial" w:hAnsi="Arial" w:cs="Arial"/>
          <w:sz w:val="22"/>
          <w:szCs w:val="22"/>
        </w:rPr>
        <w:t>Within the BiB1000 12 month data collection, 14 women were excluded from the food insecurity analysis due to missing data or responding ‘don’t know’/‘refuse to answer’.</w:t>
      </w:r>
      <w:r>
        <w:rPr>
          <w:rFonts w:ascii="Arial" w:hAnsi="Arial" w:cs="Arial"/>
          <w:sz w:val="22"/>
          <w:szCs w:val="22"/>
        </w:rPr>
        <w:t xml:space="preserve"> </w:t>
      </w:r>
    </w:p>
    <w:p w:rsidR="00C755C8" w:rsidRPr="003167CC" w:rsidRDefault="00C755C8" w:rsidP="00C755C8">
      <w:pPr>
        <w:spacing w:line="480" w:lineRule="auto"/>
        <w:outlineLvl w:val="0"/>
        <w:rPr>
          <w:rFonts w:ascii="Arial" w:hAnsi="Arial" w:cs="Arial"/>
          <w:sz w:val="22"/>
          <w:szCs w:val="22"/>
        </w:rPr>
      </w:pPr>
    </w:p>
    <w:p w:rsidR="00C755C8" w:rsidRPr="003167CC" w:rsidRDefault="00C755C8" w:rsidP="00C755C8">
      <w:pPr>
        <w:spacing w:line="480" w:lineRule="auto"/>
        <w:rPr>
          <w:rFonts w:ascii="Arial" w:hAnsi="Arial" w:cs="Arial"/>
          <w:sz w:val="22"/>
          <w:szCs w:val="22"/>
        </w:rPr>
      </w:pPr>
      <w:r w:rsidRPr="003167CC">
        <w:rPr>
          <w:rFonts w:ascii="Arial" w:hAnsi="Arial" w:cs="Arial"/>
          <w:sz w:val="22"/>
          <w:szCs w:val="22"/>
        </w:rPr>
        <w:t>Maternal health was assessed when babies were 6-12, 12-18, 18-24 and 24-30 months old using the question: ‘How would you describe your own health generally? Would you say it is …’ Answers were recoded as binary variables: excellent/good health and fair/poor health.</w:t>
      </w:r>
      <w:r>
        <w:rPr>
          <w:rFonts w:ascii="Arial" w:hAnsi="Arial" w:cs="Arial"/>
          <w:noProof/>
          <w:sz w:val="22"/>
          <w:szCs w:val="22"/>
        </w:rPr>
        <w:t>(4)</w:t>
      </w:r>
      <w:r w:rsidRPr="003167CC">
        <w:rPr>
          <w:rFonts w:ascii="Arial" w:hAnsi="Arial" w:cs="Arial"/>
          <w:noProof/>
          <w:sz w:val="22"/>
          <w:szCs w:val="22"/>
        </w:rPr>
        <w:t xml:space="preserve"> </w:t>
      </w:r>
    </w:p>
    <w:p w:rsidR="00C755C8" w:rsidRPr="003167CC" w:rsidRDefault="00C755C8" w:rsidP="00C755C8">
      <w:pPr>
        <w:spacing w:line="480" w:lineRule="auto"/>
        <w:rPr>
          <w:rFonts w:ascii="Arial" w:hAnsi="Arial" w:cs="Arial"/>
          <w:sz w:val="22"/>
          <w:szCs w:val="22"/>
        </w:rPr>
      </w:pPr>
    </w:p>
    <w:p w:rsidR="00C755C8" w:rsidRPr="00B57610" w:rsidRDefault="00C755C8" w:rsidP="00C755C8">
      <w:pPr>
        <w:spacing w:line="480" w:lineRule="auto"/>
        <w:rPr>
          <w:rFonts w:ascii="Arial" w:hAnsi="Arial" w:cs="Arial"/>
          <w:sz w:val="22"/>
          <w:szCs w:val="22"/>
        </w:rPr>
      </w:pPr>
      <w:r w:rsidRPr="003167CC">
        <w:rPr>
          <w:rFonts w:ascii="Arial" w:hAnsi="Arial" w:cs="Arial"/>
          <w:sz w:val="22"/>
          <w:szCs w:val="22"/>
        </w:rPr>
        <w:t xml:space="preserve">The analyses were adjusted for perception of financial insecurity (‘subjective poverty’) as a marker of household income. </w:t>
      </w:r>
      <w:r>
        <w:rPr>
          <w:rFonts w:ascii="Arial" w:hAnsi="Arial" w:cs="Arial"/>
          <w:sz w:val="22"/>
          <w:szCs w:val="22"/>
        </w:rPr>
        <w:t>Household income was not included in the dataset and, while objective measures such as maternal education and paternal employment were available, previous research with BiB data has indicated that s</w:t>
      </w:r>
      <w:r w:rsidRPr="003167CC">
        <w:rPr>
          <w:rFonts w:ascii="Arial" w:hAnsi="Arial" w:cs="Arial"/>
          <w:sz w:val="22"/>
          <w:szCs w:val="22"/>
        </w:rPr>
        <w:t xml:space="preserve">ubjective poverty </w:t>
      </w:r>
      <w:r>
        <w:rPr>
          <w:rFonts w:ascii="Arial" w:hAnsi="Arial" w:cs="Arial"/>
          <w:sz w:val="22"/>
          <w:szCs w:val="22"/>
        </w:rPr>
        <w:t>is in fact the</w:t>
      </w:r>
      <w:r w:rsidRPr="00B57610">
        <w:rPr>
          <w:rFonts w:ascii="Arial" w:hAnsi="Arial" w:cs="Arial"/>
          <w:sz w:val="22"/>
          <w:szCs w:val="22"/>
        </w:rPr>
        <w:t xml:space="preserve"> best </w:t>
      </w:r>
      <w:r w:rsidRPr="00B57610">
        <w:rPr>
          <w:rFonts w:ascii="Arial" w:hAnsi="Arial" w:cs="Arial"/>
          <w:sz w:val="22"/>
          <w:szCs w:val="22"/>
        </w:rPr>
        <w:lastRenderedPageBreak/>
        <w:t>measure for showing gradients among Pakistanis</w:t>
      </w:r>
      <w:r>
        <w:rPr>
          <w:rFonts w:ascii="Arial" w:hAnsi="Arial" w:cs="Arial"/>
          <w:sz w:val="22"/>
          <w:szCs w:val="22"/>
        </w:rPr>
        <w:t>.</w:t>
      </w:r>
      <w:r>
        <w:rPr>
          <w:rFonts w:ascii="Arial" w:hAnsi="Arial" w:cs="Arial"/>
          <w:noProof/>
          <w:sz w:val="22"/>
          <w:szCs w:val="22"/>
        </w:rPr>
        <w:t>(7)</w:t>
      </w:r>
      <w:r w:rsidRPr="00B57610">
        <w:rPr>
          <w:rFonts w:ascii="Arial" w:hAnsi="Arial" w:cs="Arial"/>
          <w:sz w:val="22"/>
          <w:szCs w:val="22"/>
        </w:rPr>
        <w:t xml:space="preserve"> </w:t>
      </w:r>
      <w:r>
        <w:rPr>
          <w:rFonts w:ascii="Arial" w:hAnsi="Arial" w:cs="Arial"/>
          <w:sz w:val="22"/>
          <w:szCs w:val="22"/>
        </w:rPr>
        <w:t>It</w:t>
      </w:r>
      <w:r w:rsidRPr="00B57610">
        <w:rPr>
          <w:rFonts w:ascii="Arial" w:hAnsi="Arial" w:cs="Arial"/>
          <w:sz w:val="22"/>
          <w:szCs w:val="22"/>
        </w:rPr>
        <w:t xml:space="preserve"> is </w:t>
      </w:r>
      <w:r>
        <w:rPr>
          <w:rFonts w:ascii="Arial" w:hAnsi="Arial" w:cs="Arial"/>
          <w:sz w:val="22"/>
          <w:szCs w:val="22"/>
        </w:rPr>
        <w:t xml:space="preserve">also </w:t>
      </w:r>
      <w:r w:rsidRPr="00B57610">
        <w:rPr>
          <w:rFonts w:ascii="Arial" w:hAnsi="Arial" w:cs="Arial"/>
          <w:sz w:val="22"/>
          <w:szCs w:val="22"/>
        </w:rPr>
        <w:t xml:space="preserve">a reliable measure for assessing socioeconomic status among </w:t>
      </w:r>
      <w:r>
        <w:rPr>
          <w:rFonts w:ascii="Arial" w:hAnsi="Arial" w:cs="Arial"/>
          <w:sz w:val="22"/>
          <w:szCs w:val="22"/>
        </w:rPr>
        <w:t xml:space="preserve">white </w:t>
      </w:r>
      <w:r w:rsidRPr="00B57610">
        <w:rPr>
          <w:rFonts w:ascii="Arial" w:hAnsi="Arial" w:cs="Arial"/>
          <w:sz w:val="22"/>
          <w:szCs w:val="22"/>
        </w:rPr>
        <w:t>B</w:t>
      </w:r>
      <w:r>
        <w:rPr>
          <w:rFonts w:ascii="Arial" w:hAnsi="Arial" w:cs="Arial"/>
          <w:sz w:val="22"/>
          <w:szCs w:val="22"/>
        </w:rPr>
        <w:t>ritish</w:t>
      </w:r>
      <w:r w:rsidRPr="00B57610">
        <w:rPr>
          <w:rFonts w:ascii="Arial" w:hAnsi="Arial" w:cs="Arial"/>
          <w:sz w:val="22"/>
          <w:szCs w:val="22"/>
        </w:rPr>
        <w:t xml:space="preserve"> households</w:t>
      </w:r>
      <w:r>
        <w:rPr>
          <w:rFonts w:ascii="Arial" w:hAnsi="Arial" w:cs="Arial"/>
          <w:sz w:val="22"/>
          <w:szCs w:val="22"/>
        </w:rPr>
        <w:t>.(7)</w:t>
      </w:r>
    </w:p>
    <w:p w:rsidR="00C755C8" w:rsidRPr="00B57610" w:rsidRDefault="00C755C8" w:rsidP="00C755C8">
      <w:pPr>
        <w:spacing w:line="480" w:lineRule="auto"/>
        <w:outlineLvl w:val="0"/>
        <w:rPr>
          <w:rFonts w:ascii="Arial" w:hAnsi="Arial" w:cs="Arial"/>
          <w:sz w:val="22"/>
          <w:szCs w:val="22"/>
        </w:rPr>
      </w:pPr>
    </w:p>
    <w:p w:rsidR="00C755C8" w:rsidRPr="00B57610" w:rsidRDefault="00C755C8" w:rsidP="00C755C8">
      <w:pPr>
        <w:spacing w:line="480" w:lineRule="auto"/>
        <w:rPr>
          <w:rFonts w:ascii="Arial" w:hAnsi="Arial" w:cs="Arial"/>
          <w:sz w:val="22"/>
          <w:szCs w:val="22"/>
        </w:rPr>
      </w:pPr>
      <w:r w:rsidRPr="00B57610">
        <w:rPr>
          <w:rFonts w:ascii="Arial" w:hAnsi="Arial" w:cs="Arial"/>
          <w:sz w:val="22"/>
          <w:szCs w:val="22"/>
        </w:rPr>
        <w:t xml:space="preserve">We used multiple logistic regression analysis in the full sample </w:t>
      </w:r>
      <w:r>
        <w:rPr>
          <w:rFonts w:ascii="Arial" w:hAnsi="Arial" w:cs="Arial"/>
          <w:sz w:val="22"/>
          <w:szCs w:val="22"/>
        </w:rPr>
        <w:t xml:space="preserve">(N=1280) </w:t>
      </w:r>
      <w:r w:rsidRPr="00B57610">
        <w:rPr>
          <w:rFonts w:ascii="Arial" w:hAnsi="Arial" w:cs="Arial"/>
          <w:sz w:val="22"/>
          <w:szCs w:val="22"/>
        </w:rPr>
        <w:t>and within the two largest ethnic groups (</w:t>
      </w:r>
      <w:r>
        <w:rPr>
          <w:rFonts w:ascii="Arial" w:hAnsi="Arial" w:cs="Arial"/>
          <w:sz w:val="22"/>
          <w:szCs w:val="22"/>
        </w:rPr>
        <w:t xml:space="preserve">white </w:t>
      </w:r>
      <w:r w:rsidRPr="00B57610">
        <w:rPr>
          <w:rFonts w:ascii="Arial" w:hAnsi="Arial" w:cs="Arial"/>
          <w:sz w:val="22"/>
          <w:szCs w:val="22"/>
        </w:rPr>
        <w:t>B</w:t>
      </w:r>
      <w:r>
        <w:rPr>
          <w:rFonts w:ascii="Arial" w:hAnsi="Arial" w:cs="Arial"/>
          <w:sz w:val="22"/>
          <w:szCs w:val="22"/>
        </w:rPr>
        <w:t>ritish</w:t>
      </w:r>
      <w:r w:rsidRPr="00B57610">
        <w:rPr>
          <w:rFonts w:ascii="Arial" w:hAnsi="Arial" w:cs="Arial"/>
          <w:sz w:val="22"/>
          <w:szCs w:val="22"/>
        </w:rPr>
        <w:t xml:space="preserve"> </w:t>
      </w:r>
      <w:r>
        <w:rPr>
          <w:rFonts w:ascii="Arial" w:hAnsi="Arial" w:cs="Arial"/>
          <w:sz w:val="22"/>
          <w:szCs w:val="22"/>
        </w:rPr>
        <w:t xml:space="preserve">[N=480] </w:t>
      </w:r>
      <w:r w:rsidRPr="00B57610">
        <w:rPr>
          <w:rFonts w:ascii="Arial" w:hAnsi="Arial" w:cs="Arial"/>
          <w:sz w:val="22"/>
          <w:szCs w:val="22"/>
        </w:rPr>
        <w:t>and Pakistani</w:t>
      </w:r>
      <w:r>
        <w:rPr>
          <w:rFonts w:ascii="Arial" w:hAnsi="Arial" w:cs="Arial"/>
          <w:sz w:val="22"/>
          <w:szCs w:val="22"/>
        </w:rPr>
        <w:t xml:space="preserve"> [N=624]</w:t>
      </w:r>
      <w:r w:rsidRPr="00B57610">
        <w:rPr>
          <w:rFonts w:ascii="Arial" w:hAnsi="Arial" w:cs="Arial"/>
          <w:sz w:val="22"/>
          <w:szCs w:val="22"/>
        </w:rPr>
        <w:t>) to calculate unadjusted Odds Ratios (OR) of food insecurity in relation to fair/poor health. In addition, we calculated adjusted ORs for food insecurity in relation to fair/poor health</w:t>
      </w:r>
      <w:r>
        <w:rPr>
          <w:rFonts w:ascii="Arial" w:hAnsi="Arial" w:cs="Arial"/>
          <w:sz w:val="22"/>
          <w:szCs w:val="22"/>
        </w:rPr>
        <w:t>,</w:t>
      </w:r>
      <w:r w:rsidRPr="00B57610">
        <w:rPr>
          <w:rFonts w:ascii="Arial" w:hAnsi="Arial" w:cs="Arial"/>
          <w:sz w:val="22"/>
          <w:szCs w:val="22"/>
        </w:rPr>
        <w:t xml:space="preserve"> adjusted for subjective poverty. All analyses were conducted using Stata 14.0. </w:t>
      </w:r>
      <w:r>
        <w:rPr>
          <w:rFonts w:ascii="Arial" w:hAnsi="Arial" w:cs="Arial"/>
          <w:sz w:val="22"/>
          <w:szCs w:val="22"/>
        </w:rPr>
        <w:t xml:space="preserve">See Supplementary Material (Table 1) for full sample characteristics. </w:t>
      </w:r>
    </w:p>
    <w:p w:rsidR="00C755C8" w:rsidRPr="00B57610"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t>RESULTS</w:t>
      </w:r>
    </w:p>
    <w:p w:rsidR="00C755C8" w:rsidRPr="00B57610"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sz w:val="22"/>
          <w:szCs w:val="22"/>
          <w:shd w:val="clear" w:color="auto" w:fill="FFFFFF"/>
        </w:rPr>
      </w:pPr>
      <w:r w:rsidRPr="00B57610">
        <w:rPr>
          <w:rFonts w:ascii="Arial" w:hAnsi="Arial" w:cs="Arial"/>
          <w:sz w:val="22"/>
          <w:szCs w:val="22"/>
          <w:shd w:val="clear" w:color="auto" w:fill="FFFFFF"/>
        </w:rPr>
        <w:t xml:space="preserve">In the unadjusted stratified models, among </w:t>
      </w:r>
      <w:r>
        <w:rPr>
          <w:rFonts w:ascii="Arial" w:hAnsi="Arial" w:cs="Arial"/>
          <w:sz w:val="22"/>
          <w:szCs w:val="22"/>
          <w:shd w:val="clear" w:color="auto" w:fill="FFFFFF"/>
        </w:rPr>
        <w:t xml:space="preserve">white </w:t>
      </w:r>
      <w:r w:rsidRPr="00B57610">
        <w:rPr>
          <w:rFonts w:ascii="Arial" w:hAnsi="Arial" w:cs="Arial"/>
          <w:sz w:val="22"/>
          <w:szCs w:val="22"/>
          <w:shd w:val="clear" w:color="auto" w:fill="FFFFFF"/>
        </w:rPr>
        <w:t>B</w:t>
      </w:r>
      <w:r>
        <w:rPr>
          <w:rFonts w:ascii="Arial" w:hAnsi="Arial" w:cs="Arial"/>
          <w:sz w:val="22"/>
          <w:szCs w:val="22"/>
          <w:shd w:val="clear" w:color="auto" w:fill="FFFFFF"/>
        </w:rPr>
        <w:t>ritish</w:t>
      </w:r>
      <w:r w:rsidRPr="00B57610">
        <w:rPr>
          <w:rFonts w:ascii="Arial" w:hAnsi="Arial" w:cs="Arial"/>
          <w:sz w:val="22"/>
          <w:szCs w:val="22"/>
          <w:shd w:val="clear" w:color="auto" w:fill="FFFFFF"/>
        </w:rPr>
        <w:t xml:space="preserve"> women, food insecurity was associated with poor/fair health at three of the four time points (Figure 1), with the strongest association found at 18-24 months (unadjusted OR 2.86, 95% CI 1.44; 5.67). This increased reporting of poor/fair health was not significant </w:t>
      </w:r>
      <w:r>
        <w:rPr>
          <w:rFonts w:ascii="Arial" w:hAnsi="Arial" w:cs="Arial"/>
          <w:sz w:val="22"/>
          <w:szCs w:val="22"/>
          <w:shd w:val="clear" w:color="auto" w:fill="FFFFFF"/>
        </w:rPr>
        <w:t>at</w:t>
      </w:r>
      <w:r w:rsidRPr="00B57610">
        <w:rPr>
          <w:rFonts w:ascii="Arial" w:hAnsi="Arial" w:cs="Arial"/>
          <w:sz w:val="22"/>
          <w:szCs w:val="22"/>
          <w:shd w:val="clear" w:color="auto" w:fill="FFFFFF"/>
        </w:rPr>
        <w:t xml:space="preserve"> 6-12 months after birth (unadjusted OR 1.77, 95% CI 0.84 to 3.72). Among Pakistani women, OR were lower and the </w:t>
      </w:r>
      <w:r>
        <w:rPr>
          <w:rFonts w:ascii="Arial" w:hAnsi="Arial" w:cs="Arial"/>
          <w:sz w:val="22"/>
          <w:szCs w:val="22"/>
          <w:shd w:val="clear" w:color="auto" w:fill="FFFFFF"/>
        </w:rPr>
        <w:t>elevated</w:t>
      </w:r>
      <w:r w:rsidRPr="00B57610">
        <w:rPr>
          <w:rFonts w:ascii="Arial" w:hAnsi="Arial" w:cs="Arial"/>
          <w:sz w:val="22"/>
          <w:szCs w:val="22"/>
          <w:shd w:val="clear" w:color="auto" w:fill="FFFFFF"/>
        </w:rPr>
        <w:t xml:space="preserve"> odds of poor/fair health were not statistically significant at any time point. </w:t>
      </w:r>
    </w:p>
    <w:p w:rsidR="00C755C8" w:rsidRPr="00B57610" w:rsidRDefault="00C755C8" w:rsidP="00C755C8">
      <w:pPr>
        <w:spacing w:line="480" w:lineRule="auto"/>
        <w:rPr>
          <w:rFonts w:ascii="Arial" w:hAnsi="Arial" w:cs="Arial"/>
          <w:sz w:val="22"/>
          <w:szCs w:val="22"/>
          <w:shd w:val="clear" w:color="auto" w:fill="FFFFFF"/>
        </w:rPr>
      </w:pPr>
    </w:p>
    <w:p w:rsidR="00C755C8" w:rsidRPr="00B57610" w:rsidRDefault="00C755C8" w:rsidP="00C755C8">
      <w:pPr>
        <w:spacing w:line="480" w:lineRule="auto"/>
        <w:rPr>
          <w:rFonts w:ascii="Arial" w:hAnsi="Arial" w:cs="Arial"/>
          <w:sz w:val="22"/>
          <w:szCs w:val="22"/>
          <w:shd w:val="clear" w:color="auto" w:fill="FFFFFF"/>
        </w:rPr>
      </w:pPr>
      <w:r w:rsidRPr="00B57610">
        <w:rPr>
          <w:rFonts w:ascii="Arial" w:hAnsi="Arial" w:cs="Arial"/>
          <w:sz w:val="22"/>
          <w:szCs w:val="22"/>
          <w:shd w:val="clear" w:color="auto" w:fill="FFFFFF"/>
        </w:rPr>
        <w:t xml:space="preserve">As seen in the adjusted models </w:t>
      </w:r>
      <w:r>
        <w:rPr>
          <w:rFonts w:ascii="Arial" w:hAnsi="Arial" w:cs="Arial"/>
          <w:sz w:val="22"/>
          <w:szCs w:val="22"/>
          <w:shd w:val="clear" w:color="auto" w:fill="FFFFFF"/>
        </w:rPr>
        <w:t>(</w:t>
      </w:r>
      <w:r w:rsidRPr="00B57610">
        <w:rPr>
          <w:rFonts w:ascii="Arial" w:hAnsi="Arial" w:cs="Arial"/>
          <w:sz w:val="22"/>
          <w:szCs w:val="22"/>
          <w:shd w:val="clear" w:color="auto" w:fill="FFFFFF"/>
        </w:rPr>
        <w:t>Figure 1</w:t>
      </w:r>
      <w:r>
        <w:rPr>
          <w:rFonts w:ascii="Arial" w:hAnsi="Arial" w:cs="Arial"/>
          <w:sz w:val="22"/>
          <w:szCs w:val="22"/>
          <w:shd w:val="clear" w:color="auto" w:fill="FFFFFF"/>
        </w:rPr>
        <w:t>)</w:t>
      </w:r>
      <w:r w:rsidRPr="00B57610">
        <w:rPr>
          <w:rFonts w:ascii="Arial" w:hAnsi="Arial" w:cs="Arial"/>
          <w:sz w:val="22"/>
          <w:szCs w:val="22"/>
          <w:shd w:val="clear" w:color="auto" w:fill="FFFFFF"/>
        </w:rPr>
        <w:t>, subjective poverty seemed to explain much of the association between food insecurity and fair/poor health among both ethnic groups</w:t>
      </w:r>
      <w:r>
        <w:rPr>
          <w:rFonts w:ascii="Arial" w:hAnsi="Arial" w:cs="Arial"/>
          <w:sz w:val="22"/>
          <w:szCs w:val="22"/>
          <w:shd w:val="clear" w:color="auto" w:fill="FFFFFF"/>
        </w:rPr>
        <w:t>.</w:t>
      </w:r>
      <w:r w:rsidRPr="00B57610">
        <w:rPr>
          <w:rFonts w:ascii="Arial" w:hAnsi="Arial" w:cs="Arial"/>
          <w:sz w:val="22"/>
          <w:szCs w:val="22"/>
          <w:shd w:val="clear" w:color="auto" w:fill="FFFFFF"/>
        </w:rPr>
        <w:t xml:space="preserve"> </w:t>
      </w:r>
      <w:r>
        <w:rPr>
          <w:rFonts w:ascii="Arial" w:hAnsi="Arial" w:cs="Arial"/>
          <w:sz w:val="22"/>
          <w:szCs w:val="22"/>
          <w:shd w:val="clear" w:color="auto" w:fill="FFFFFF"/>
        </w:rPr>
        <w:t>However,</w:t>
      </w:r>
      <w:r w:rsidRPr="00B57610">
        <w:rPr>
          <w:rFonts w:ascii="Arial" w:hAnsi="Arial" w:cs="Arial"/>
          <w:sz w:val="22"/>
          <w:szCs w:val="22"/>
          <w:shd w:val="clear" w:color="auto" w:fill="FFFFFF"/>
        </w:rPr>
        <w:t xml:space="preserve"> the greatest reduction in risk estimates</w:t>
      </w:r>
      <w:r>
        <w:rPr>
          <w:rFonts w:ascii="Arial" w:hAnsi="Arial" w:cs="Arial"/>
          <w:sz w:val="22"/>
          <w:szCs w:val="22"/>
          <w:shd w:val="clear" w:color="auto" w:fill="FFFFFF"/>
        </w:rPr>
        <w:t xml:space="preserve"> were</w:t>
      </w:r>
      <w:r w:rsidRPr="00B57610">
        <w:rPr>
          <w:rFonts w:ascii="Arial" w:hAnsi="Arial" w:cs="Arial"/>
          <w:sz w:val="22"/>
          <w:szCs w:val="22"/>
          <w:shd w:val="clear" w:color="auto" w:fill="FFFFFF"/>
        </w:rPr>
        <w:t xml:space="preserve"> found in the </w:t>
      </w:r>
      <w:r>
        <w:rPr>
          <w:rFonts w:ascii="Arial" w:hAnsi="Arial" w:cs="Arial"/>
          <w:sz w:val="22"/>
          <w:szCs w:val="22"/>
          <w:shd w:val="clear" w:color="auto" w:fill="FFFFFF"/>
        </w:rPr>
        <w:t xml:space="preserve">white </w:t>
      </w:r>
      <w:r w:rsidRPr="00B57610">
        <w:rPr>
          <w:rFonts w:ascii="Arial" w:hAnsi="Arial" w:cs="Arial"/>
          <w:sz w:val="22"/>
          <w:szCs w:val="22"/>
          <w:shd w:val="clear" w:color="auto" w:fill="FFFFFF"/>
        </w:rPr>
        <w:t>B</w:t>
      </w:r>
      <w:r>
        <w:rPr>
          <w:rFonts w:ascii="Arial" w:hAnsi="Arial" w:cs="Arial"/>
          <w:sz w:val="22"/>
          <w:szCs w:val="22"/>
          <w:shd w:val="clear" w:color="auto" w:fill="FFFFFF"/>
        </w:rPr>
        <w:t>ritish</w:t>
      </w:r>
      <w:r w:rsidRPr="00B57610">
        <w:rPr>
          <w:rFonts w:ascii="Arial" w:hAnsi="Arial" w:cs="Arial"/>
          <w:sz w:val="22"/>
          <w:szCs w:val="22"/>
          <w:shd w:val="clear" w:color="auto" w:fill="FFFFFF"/>
        </w:rPr>
        <w:t xml:space="preserve"> group (Figure 1 (a)). The adjusted association was not significant at any time point for </w:t>
      </w:r>
      <w:r>
        <w:rPr>
          <w:rFonts w:ascii="Arial" w:hAnsi="Arial" w:cs="Arial"/>
          <w:sz w:val="22"/>
          <w:szCs w:val="22"/>
          <w:shd w:val="clear" w:color="auto" w:fill="FFFFFF"/>
        </w:rPr>
        <w:t xml:space="preserve">white </w:t>
      </w:r>
      <w:r w:rsidRPr="00B57610">
        <w:rPr>
          <w:rFonts w:ascii="Arial" w:hAnsi="Arial" w:cs="Arial"/>
          <w:sz w:val="22"/>
          <w:szCs w:val="22"/>
          <w:shd w:val="clear" w:color="auto" w:fill="FFFFFF"/>
        </w:rPr>
        <w:t>B</w:t>
      </w:r>
      <w:r>
        <w:rPr>
          <w:rFonts w:ascii="Arial" w:hAnsi="Arial" w:cs="Arial"/>
          <w:sz w:val="22"/>
          <w:szCs w:val="22"/>
          <w:shd w:val="clear" w:color="auto" w:fill="FFFFFF"/>
        </w:rPr>
        <w:t>ritish</w:t>
      </w:r>
      <w:r w:rsidRPr="00B57610">
        <w:rPr>
          <w:rFonts w:ascii="Arial" w:hAnsi="Arial" w:cs="Arial"/>
          <w:sz w:val="22"/>
          <w:szCs w:val="22"/>
          <w:shd w:val="clear" w:color="auto" w:fill="FFFFFF"/>
        </w:rPr>
        <w:t xml:space="preserve"> </w:t>
      </w:r>
      <w:r>
        <w:rPr>
          <w:rFonts w:ascii="Arial" w:hAnsi="Arial" w:cs="Arial"/>
          <w:sz w:val="22"/>
          <w:szCs w:val="22"/>
          <w:shd w:val="clear" w:color="auto" w:fill="FFFFFF"/>
        </w:rPr>
        <w:t>or</w:t>
      </w:r>
      <w:r w:rsidRPr="00B57610">
        <w:rPr>
          <w:rFonts w:ascii="Arial" w:hAnsi="Arial" w:cs="Arial"/>
          <w:sz w:val="22"/>
          <w:szCs w:val="22"/>
          <w:shd w:val="clear" w:color="auto" w:fill="FFFFFF"/>
        </w:rPr>
        <w:t xml:space="preserve"> Pakistani women. </w:t>
      </w:r>
    </w:p>
    <w:p w:rsidR="00C755C8" w:rsidRPr="00B57610"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sz w:val="22"/>
          <w:szCs w:val="22"/>
        </w:rPr>
      </w:pPr>
      <w:r w:rsidRPr="000B07EA">
        <w:rPr>
          <w:rFonts w:ascii="Arial" w:hAnsi="Arial" w:cs="Arial"/>
          <w:sz w:val="22"/>
          <w:szCs w:val="22"/>
        </w:rPr>
        <w:t xml:space="preserve">Figure 1. Fair/ poor health for food insecure versus food secure women </w:t>
      </w:r>
    </w:p>
    <w:p w:rsidR="00C755C8" w:rsidRDefault="00C755C8" w:rsidP="00C755C8">
      <w:pPr>
        <w:spacing w:line="480" w:lineRule="auto"/>
        <w:rPr>
          <w:rFonts w:ascii="Arial" w:hAnsi="Arial" w:cs="Arial"/>
          <w:sz w:val="22"/>
          <w:szCs w:val="22"/>
        </w:rPr>
      </w:pPr>
      <w:r>
        <w:rPr>
          <w:rFonts w:ascii="Arial" w:hAnsi="Arial" w:cs="Arial"/>
          <w:sz w:val="22"/>
          <w:szCs w:val="22"/>
        </w:rPr>
        <w:t>a)</w:t>
      </w:r>
    </w:p>
    <w:p w:rsidR="00C755C8" w:rsidRPr="00782AD6" w:rsidRDefault="00C755C8" w:rsidP="00C755C8">
      <w:pPr>
        <w:spacing w:line="360" w:lineRule="auto"/>
        <w:rPr>
          <w:rFonts w:ascii="Gill Sans MT" w:hAnsi="Gill Sans MT" w:cs="Arial"/>
        </w:rPr>
      </w:pPr>
      <w:r w:rsidRPr="00782AD6">
        <w:rPr>
          <w:rFonts w:ascii="Gill Sans MT" w:hAnsi="Gill Sans MT" w:cs="Arial"/>
          <w:noProof/>
          <w:lang w:val="en-GB" w:eastAsia="en-GB"/>
        </w:rPr>
        <w:drawing>
          <wp:inline distT="0" distB="0" distL="0" distR="0">
            <wp:extent cx="5505450" cy="3049270"/>
            <wp:effectExtent l="0" t="0" r="0" b="0"/>
            <wp:docPr id="17" name="Picture 2" descr="C:\Users\msp517\Google Drive\PhD\Part 2\Papers with others\FI, physical health and ethncity\JPH\Revised version\Fig1 White Brit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sp517\Google Drive\PhD\Part 2\Papers with others\FI, physical health and ethncity\JPH\Revised version\Fig1 White British.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6301" cy="3049741"/>
                    </a:xfrm>
                    <a:prstGeom prst="rect">
                      <a:avLst/>
                    </a:prstGeom>
                    <a:noFill/>
                    <a:ln>
                      <a:noFill/>
                    </a:ln>
                  </pic:spPr>
                </pic:pic>
              </a:graphicData>
            </a:graphic>
          </wp:inline>
        </w:drawing>
      </w:r>
      <w:r w:rsidRPr="00782AD6">
        <w:rPr>
          <w:rFonts w:ascii="Gill Sans MT" w:hAnsi="Gill Sans MT" w:cs="Arial"/>
        </w:rPr>
        <w:t xml:space="preserve"> </w:t>
      </w:r>
    </w:p>
    <w:p w:rsidR="00C755C8" w:rsidRPr="00782AD6" w:rsidRDefault="00C755C8" w:rsidP="00C755C8">
      <w:pPr>
        <w:spacing w:line="360" w:lineRule="auto"/>
        <w:rPr>
          <w:rFonts w:ascii="Gill Sans MT" w:hAnsi="Gill Sans MT" w:cs="Arial"/>
          <w:sz w:val="22"/>
        </w:rPr>
      </w:pPr>
      <w:r>
        <w:rPr>
          <w:rFonts w:ascii="Gill Sans MT" w:hAnsi="Gill Sans MT" w:cs="Arial"/>
          <w:sz w:val="22"/>
        </w:rPr>
        <w:t>b)</w:t>
      </w:r>
    </w:p>
    <w:p w:rsidR="00C755C8" w:rsidRPr="00782AD6" w:rsidRDefault="00C755C8" w:rsidP="00C755C8">
      <w:pPr>
        <w:spacing w:line="360" w:lineRule="auto"/>
        <w:rPr>
          <w:rFonts w:ascii="Gill Sans MT" w:hAnsi="Gill Sans MT" w:cs="Arial"/>
          <w:b/>
        </w:rPr>
      </w:pPr>
      <w:r w:rsidRPr="00782AD6">
        <w:rPr>
          <w:rFonts w:ascii="Gill Sans MT" w:hAnsi="Gill Sans MT" w:cs="Arial"/>
          <w:b/>
          <w:noProof/>
          <w:lang w:val="en-GB" w:eastAsia="en-GB"/>
        </w:rPr>
        <w:drawing>
          <wp:inline distT="0" distB="0" distL="0" distR="0">
            <wp:extent cx="5505450" cy="3049270"/>
            <wp:effectExtent l="0" t="0" r="0" b="0"/>
            <wp:docPr id="18" name="Picture 4" descr="C:\Users\msp517\Google Drive\PhD\Part 2\Papers with others\FI, physical health and ethncity\JPH\Revised version\Fig2 Pakistan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sp517\Google Drive\PhD\Part 2\Papers with others\FI, physical health and ethncity\JPH\Revised version\Fig2 Pakistani.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6299" cy="3049740"/>
                    </a:xfrm>
                    <a:prstGeom prst="rect">
                      <a:avLst/>
                    </a:prstGeom>
                    <a:noFill/>
                    <a:ln>
                      <a:noFill/>
                    </a:ln>
                  </pic:spPr>
                </pic:pic>
              </a:graphicData>
            </a:graphic>
          </wp:inline>
        </w:drawing>
      </w:r>
    </w:p>
    <w:p w:rsidR="00C755C8" w:rsidRPr="00782AD6" w:rsidRDefault="00C755C8" w:rsidP="00C755C8">
      <w:pPr>
        <w:spacing w:line="360" w:lineRule="auto"/>
        <w:rPr>
          <w:rFonts w:ascii="Gill Sans MT" w:hAnsi="Gill Sans MT" w:cs="Arial"/>
        </w:rPr>
      </w:pPr>
    </w:p>
    <w:p w:rsidR="00C755C8" w:rsidRPr="00B57610" w:rsidRDefault="00C755C8" w:rsidP="00C755C8">
      <w:pPr>
        <w:spacing w:line="480" w:lineRule="auto"/>
        <w:rPr>
          <w:rFonts w:ascii="Arial" w:hAnsi="Arial" w:cs="Arial"/>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b/>
          <w:sz w:val="22"/>
          <w:szCs w:val="22"/>
        </w:rPr>
      </w:pPr>
      <w:r w:rsidRPr="00B57610">
        <w:rPr>
          <w:rFonts w:ascii="Arial" w:hAnsi="Arial" w:cs="Arial"/>
          <w:b/>
          <w:sz w:val="22"/>
          <w:szCs w:val="22"/>
        </w:rPr>
        <w:t>DISCUSSION</w:t>
      </w:r>
    </w:p>
    <w:p w:rsidR="00C755C8" w:rsidRPr="00B57610" w:rsidRDefault="00C755C8" w:rsidP="00C755C8">
      <w:pPr>
        <w:spacing w:line="480" w:lineRule="auto"/>
        <w:rPr>
          <w:rFonts w:ascii="Arial" w:hAnsi="Arial" w:cs="Arial"/>
          <w:sz w:val="22"/>
          <w:szCs w:val="22"/>
        </w:rPr>
      </w:pPr>
    </w:p>
    <w:p w:rsidR="00C755C8" w:rsidRPr="007A5A12" w:rsidRDefault="00C755C8" w:rsidP="00C755C8">
      <w:pPr>
        <w:spacing w:line="480" w:lineRule="auto"/>
        <w:rPr>
          <w:rFonts w:ascii="Arial" w:hAnsi="Arial" w:cs="Arial"/>
          <w:sz w:val="22"/>
          <w:szCs w:val="22"/>
        </w:rPr>
      </w:pPr>
      <w:r>
        <w:rPr>
          <w:rFonts w:ascii="Arial" w:hAnsi="Arial" w:cs="Arial"/>
          <w:sz w:val="22"/>
          <w:szCs w:val="22"/>
        </w:rPr>
        <w:t xml:space="preserve">In unadjusted analyses, food insecurity was associated with poor health among white British women in three out of four separate postnatal periods but not among Pakistani women at any time point. However, </w:t>
      </w:r>
      <w:r>
        <w:rPr>
          <w:rFonts w:ascii="Arial" w:hAnsi="Arial" w:cs="Arial"/>
          <w:sz w:val="22"/>
          <w:szCs w:val="22"/>
          <w:shd w:val="clear" w:color="auto" w:fill="FFFFFF"/>
        </w:rPr>
        <w:t>among both ethnic groups, but particularly for white British women, a</w:t>
      </w:r>
      <w:r w:rsidRPr="00B57610">
        <w:rPr>
          <w:rFonts w:ascii="Arial" w:hAnsi="Arial" w:cs="Arial"/>
          <w:sz w:val="22"/>
          <w:szCs w:val="22"/>
          <w:shd w:val="clear" w:color="auto" w:fill="FFFFFF"/>
        </w:rPr>
        <w:t xml:space="preserve"> woman’s perception of her financial situation seemed to </w:t>
      </w:r>
      <w:r>
        <w:rPr>
          <w:rFonts w:ascii="Arial" w:hAnsi="Arial" w:cs="Arial"/>
          <w:sz w:val="22"/>
          <w:szCs w:val="22"/>
          <w:shd w:val="clear" w:color="auto" w:fill="FFFFFF"/>
        </w:rPr>
        <w:t>account for</w:t>
      </w:r>
      <w:r w:rsidRPr="00B57610">
        <w:rPr>
          <w:rFonts w:ascii="Arial" w:hAnsi="Arial" w:cs="Arial"/>
          <w:sz w:val="22"/>
          <w:szCs w:val="22"/>
          <w:shd w:val="clear" w:color="auto" w:fill="FFFFFF"/>
        </w:rPr>
        <w:t xml:space="preserve"> the association between food insecurity and</w:t>
      </w:r>
      <w:r>
        <w:rPr>
          <w:rFonts w:ascii="Arial" w:hAnsi="Arial" w:cs="Arial"/>
          <w:sz w:val="22"/>
          <w:szCs w:val="22"/>
          <w:shd w:val="clear" w:color="auto" w:fill="FFFFFF"/>
        </w:rPr>
        <w:t xml:space="preserve"> poor</w:t>
      </w:r>
      <w:r w:rsidRPr="00B57610">
        <w:rPr>
          <w:rFonts w:ascii="Arial" w:hAnsi="Arial" w:cs="Arial"/>
          <w:sz w:val="22"/>
          <w:szCs w:val="22"/>
          <w:shd w:val="clear" w:color="auto" w:fill="FFFFFF"/>
        </w:rPr>
        <w:t xml:space="preserve"> health</w:t>
      </w:r>
      <w:r>
        <w:rPr>
          <w:rFonts w:ascii="Arial" w:hAnsi="Arial" w:cs="Arial"/>
          <w:sz w:val="22"/>
          <w:szCs w:val="22"/>
          <w:shd w:val="clear" w:color="auto" w:fill="FFFFFF"/>
        </w:rPr>
        <w:t>.</w:t>
      </w:r>
    </w:p>
    <w:p w:rsidR="00C755C8" w:rsidRPr="00B57610" w:rsidRDefault="00C755C8" w:rsidP="00C755C8">
      <w:pPr>
        <w:pStyle w:val="ListParagraph"/>
        <w:spacing w:line="480" w:lineRule="auto"/>
        <w:rPr>
          <w:rFonts w:ascii="Arial" w:hAnsi="Arial" w:cs="Arial"/>
          <w:sz w:val="22"/>
          <w:szCs w:val="22"/>
          <w:shd w:val="clear" w:color="auto" w:fill="FFFFFF"/>
        </w:rPr>
      </w:pPr>
    </w:p>
    <w:p w:rsidR="00C755C8" w:rsidRPr="00B57610" w:rsidRDefault="00C755C8" w:rsidP="00C755C8">
      <w:pPr>
        <w:spacing w:line="480" w:lineRule="auto"/>
        <w:rPr>
          <w:rFonts w:ascii="Arial" w:hAnsi="Arial" w:cs="Arial"/>
          <w:sz w:val="22"/>
          <w:szCs w:val="22"/>
          <w:shd w:val="clear" w:color="auto" w:fill="FFFFFF"/>
        </w:rPr>
      </w:pPr>
      <w:r>
        <w:rPr>
          <w:rFonts w:ascii="Arial" w:hAnsi="Arial" w:cs="Arial"/>
          <w:sz w:val="22"/>
          <w:szCs w:val="22"/>
          <w:shd w:val="clear" w:color="auto" w:fill="FFFFFF"/>
        </w:rPr>
        <w:t>The timings of the measurements – food insecurity at 12-18 months had the strongest association with health at 18-24 months but was not associated with health at 6-12 months – suggest that food insecurity precedes episodes of poor health. Although o</w:t>
      </w:r>
      <w:r w:rsidRPr="00B57610">
        <w:rPr>
          <w:rFonts w:ascii="Arial" w:hAnsi="Arial" w:cs="Arial"/>
          <w:sz w:val="22"/>
          <w:szCs w:val="22"/>
          <w:shd w:val="clear" w:color="auto" w:fill="FFFFFF"/>
        </w:rPr>
        <w:t>ur findings cannot resolve questions of causality, evidence suggests both that food insecurity leads to poor heath and that poor health precipitates food insecurity.</w:t>
      </w:r>
      <w:r>
        <w:rPr>
          <w:rFonts w:ascii="Arial" w:hAnsi="Arial" w:cs="Arial"/>
          <w:noProof/>
          <w:sz w:val="22"/>
          <w:szCs w:val="22"/>
          <w:shd w:val="clear" w:color="auto" w:fill="FFFFFF"/>
        </w:rPr>
        <w:t>(7)</w:t>
      </w:r>
      <w:r w:rsidRPr="00B57610">
        <w:rPr>
          <w:rFonts w:ascii="Arial" w:hAnsi="Arial" w:cs="Arial"/>
          <w:sz w:val="22"/>
          <w:szCs w:val="22"/>
          <w:shd w:val="clear" w:color="auto" w:fill="FFFFFF"/>
        </w:rPr>
        <w:t xml:space="preserve"> </w:t>
      </w:r>
      <w:r w:rsidRPr="00B57610">
        <w:rPr>
          <w:rFonts w:ascii="Arial" w:hAnsi="Arial" w:cs="Arial"/>
          <w:sz w:val="22"/>
          <w:szCs w:val="22"/>
          <w:shd w:val="clear" w:color="auto" w:fill="FFFFFF"/>
          <w:lang w:val="en-GB"/>
        </w:rPr>
        <w:t xml:space="preserve">In this study, </w:t>
      </w:r>
      <w:r>
        <w:rPr>
          <w:rFonts w:ascii="Arial" w:hAnsi="Arial" w:cs="Arial"/>
          <w:sz w:val="22"/>
          <w:szCs w:val="22"/>
          <w:shd w:val="clear" w:color="auto" w:fill="FFFFFF"/>
          <w:lang w:val="en-GB"/>
        </w:rPr>
        <w:t xml:space="preserve">especially among white British women, </w:t>
      </w:r>
      <w:r w:rsidRPr="00B57610">
        <w:rPr>
          <w:rFonts w:ascii="Arial" w:hAnsi="Arial" w:cs="Arial"/>
          <w:sz w:val="22"/>
          <w:szCs w:val="22"/>
          <w:shd w:val="clear" w:color="auto" w:fill="FFFFFF"/>
          <w:lang w:val="en-GB"/>
        </w:rPr>
        <w:t>financial insecurity appeared to explain the relationship</w:t>
      </w:r>
      <w:r>
        <w:rPr>
          <w:rFonts w:ascii="Arial" w:hAnsi="Arial" w:cs="Arial"/>
          <w:sz w:val="22"/>
          <w:szCs w:val="22"/>
          <w:shd w:val="clear" w:color="auto" w:fill="FFFFFF"/>
          <w:lang w:val="en-GB"/>
        </w:rPr>
        <w:t xml:space="preserve"> between</w:t>
      </w:r>
      <w:r w:rsidRPr="00B57610">
        <w:rPr>
          <w:rFonts w:ascii="Arial" w:hAnsi="Arial" w:cs="Arial"/>
          <w:sz w:val="22"/>
          <w:szCs w:val="22"/>
          <w:shd w:val="clear" w:color="auto" w:fill="FFFFFF"/>
          <w:lang w:val="en-GB"/>
        </w:rPr>
        <w:t xml:space="preserve"> food insecurity and poor health. This is consistent with evidence that </w:t>
      </w:r>
      <w:r>
        <w:rPr>
          <w:rFonts w:ascii="Arial" w:hAnsi="Arial" w:cs="Arial"/>
          <w:sz w:val="22"/>
          <w:szCs w:val="22"/>
          <w:shd w:val="clear" w:color="auto" w:fill="FFFFFF"/>
          <w:lang w:val="en-GB"/>
        </w:rPr>
        <w:t>socioeconomic status</w:t>
      </w:r>
      <w:r w:rsidRPr="00B57610">
        <w:rPr>
          <w:rFonts w:ascii="Arial" w:hAnsi="Arial" w:cs="Arial"/>
          <w:sz w:val="22"/>
          <w:szCs w:val="22"/>
          <w:shd w:val="clear" w:color="auto" w:fill="FFFFFF"/>
          <w:lang w:val="en-GB"/>
        </w:rPr>
        <w:t xml:space="preserve"> is both a robust predictor of poor health outcomes </w:t>
      </w:r>
      <w:r w:rsidRPr="00B57610">
        <w:rPr>
          <w:rFonts w:ascii="Arial" w:hAnsi="Arial" w:cs="Arial"/>
          <w:sz w:val="22"/>
          <w:szCs w:val="22"/>
        </w:rPr>
        <w:t>and a key determinant of food insecurity.</w:t>
      </w:r>
      <w:r>
        <w:rPr>
          <w:rFonts w:ascii="Arial" w:hAnsi="Arial" w:cs="Arial"/>
          <w:noProof/>
          <w:sz w:val="22"/>
          <w:szCs w:val="22"/>
        </w:rPr>
        <w:t>(3)</w:t>
      </w:r>
      <w:r w:rsidRPr="00B57610">
        <w:rPr>
          <w:rFonts w:ascii="Arial" w:hAnsi="Arial" w:cs="Arial"/>
          <w:sz w:val="22"/>
          <w:szCs w:val="22"/>
        </w:rPr>
        <w:t xml:space="preserve"> Our</w:t>
      </w:r>
      <w:r w:rsidRPr="00B57610">
        <w:rPr>
          <w:rFonts w:ascii="Arial" w:hAnsi="Arial" w:cs="Arial"/>
          <w:sz w:val="22"/>
          <w:szCs w:val="22"/>
          <w:shd w:val="clear" w:color="auto" w:fill="FFFFFF"/>
        </w:rPr>
        <w:t xml:space="preserve"> finding of a weaker association between food insecurity and health among Pakistani than </w:t>
      </w:r>
      <w:r>
        <w:rPr>
          <w:rFonts w:ascii="Arial" w:hAnsi="Arial" w:cs="Arial"/>
          <w:sz w:val="22"/>
          <w:szCs w:val="22"/>
          <w:shd w:val="clear" w:color="auto" w:fill="FFFFFF"/>
        </w:rPr>
        <w:t xml:space="preserve">white </w:t>
      </w:r>
      <w:r w:rsidRPr="00B57610">
        <w:rPr>
          <w:rFonts w:ascii="Arial" w:hAnsi="Arial" w:cs="Arial"/>
          <w:sz w:val="22"/>
          <w:szCs w:val="22"/>
          <w:shd w:val="clear" w:color="auto" w:fill="FFFFFF"/>
        </w:rPr>
        <w:t>B</w:t>
      </w:r>
      <w:r>
        <w:rPr>
          <w:rFonts w:ascii="Arial" w:hAnsi="Arial" w:cs="Arial"/>
          <w:sz w:val="22"/>
          <w:szCs w:val="22"/>
          <w:shd w:val="clear" w:color="auto" w:fill="FFFFFF"/>
        </w:rPr>
        <w:t>ritish</w:t>
      </w:r>
      <w:r w:rsidRPr="00B57610">
        <w:rPr>
          <w:rFonts w:ascii="Arial" w:hAnsi="Arial" w:cs="Arial"/>
          <w:sz w:val="22"/>
          <w:szCs w:val="22"/>
          <w:shd w:val="clear" w:color="auto" w:fill="FFFFFF"/>
        </w:rPr>
        <w:t xml:space="preserve"> women is partially supported by evidence of health variations by ethnicity among food insecure groups in the US.</w:t>
      </w:r>
      <w:r>
        <w:rPr>
          <w:rFonts w:ascii="Arial" w:hAnsi="Arial" w:cs="Arial"/>
          <w:noProof/>
          <w:sz w:val="22"/>
          <w:szCs w:val="22"/>
          <w:shd w:val="clear" w:color="auto" w:fill="FFFFFF"/>
        </w:rPr>
        <w:t>(8)</w:t>
      </w:r>
      <w:r w:rsidRPr="00B57610">
        <w:rPr>
          <w:rFonts w:ascii="Arial" w:hAnsi="Arial" w:cs="Arial"/>
          <w:sz w:val="22"/>
          <w:szCs w:val="22"/>
          <w:shd w:val="clear" w:color="auto" w:fill="FFFFFF"/>
        </w:rPr>
        <w:t xml:space="preserve"> However, the weaker link between food insecurity and health</w:t>
      </w:r>
      <w:r>
        <w:rPr>
          <w:rFonts w:ascii="Arial" w:hAnsi="Arial" w:cs="Arial"/>
          <w:sz w:val="22"/>
          <w:szCs w:val="22"/>
          <w:shd w:val="clear" w:color="auto" w:fill="FFFFFF"/>
        </w:rPr>
        <w:t xml:space="preserve"> –</w:t>
      </w:r>
      <w:r w:rsidRPr="00B57610">
        <w:rPr>
          <w:rFonts w:ascii="Arial" w:hAnsi="Arial" w:cs="Arial"/>
          <w:sz w:val="22"/>
          <w:szCs w:val="22"/>
          <w:shd w:val="clear" w:color="auto" w:fill="FFFFFF"/>
        </w:rPr>
        <w:t xml:space="preserve"> </w:t>
      </w:r>
      <w:r>
        <w:rPr>
          <w:rFonts w:ascii="Arial" w:hAnsi="Arial" w:cs="Arial"/>
          <w:sz w:val="22"/>
          <w:szCs w:val="22"/>
          <w:shd w:val="clear" w:color="auto" w:fill="FFFFFF"/>
        </w:rPr>
        <w:t xml:space="preserve">and the lesser impact of subjective poverty on this association – </w:t>
      </w:r>
      <w:r w:rsidRPr="00B57610">
        <w:rPr>
          <w:rFonts w:ascii="Arial" w:hAnsi="Arial" w:cs="Arial"/>
          <w:sz w:val="22"/>
          <w:szCs w:val="22"/>
          <w:shd w:val="clear" w:color="auto" w:fill="FFFFFF"/>
        </w:rPr>
        <w:t>among Pakistani women</w:t>
      </w:r>
      <w:r>
        <w:rPr>
          <w:rFonts w:ascii="Arial" w:hAnsi="Arial" w:cs="Arial"/>
          <w:sz w:val="22"/>
          <w:szCs w:val="22"/>
          <w:shd w:val="clear" w:color="auto" w:fill="FFFFFF"/>
        </w:rPr>
        <w:t xml:space="preserve"> </w:t>
      </w:r>
      <w:r w:rsidRPr="00B57610">
        <w:rPr>
          <w:rFonts w:ascii="Arial" w:hAnsi="Arial" w:cs="Arial"/>
          <w:sz w:val="22"/>
          <w:szCs w:val="22"/>
          <w:shd w:val="clear" w:color="auto" w:fill="FFFFFF"/>
        </w:rPr>
        <w:t xml:space="preserve">may also be attributable to their higher likelihood of poor health outcomes </w:t>
      </w:r>
      <w:r>
        <w:rPr>
          <w:rFonts w:ascii="Arial" w:hAnsi="Arial" w:cs="Arial"/>
          <w:sz w:val="22"/>
          <w:szCs w:val="22"/>
          <w:shd w:val="clear" w:color="auto" w:fill="FFFFFF"/>
        </w:rPr>
        <w:t>compared to white British women</w:t>
      </w:r>
      <w:r w:rsidRPr="00B57610">
        <w:rPr>
          <w:rFonts w:ascii="Arial" w:hAnsi="Arial" w:cs="Arial"/>
          <w:sz w:val="22"/>
          <w:szCs w:val="22"/>
          <w:shd w:val="clear" w:color="auto" w:fill="FFFFFF"/>
        </w:rPr>
        <w:t xml:space="preserve">, independent of </w:t>
      </w:r>
      <w:r>
        <w:rPr>
          <w:rFonts w:ascii="Arial" w:hAnsi="Arial" w:cs="Arial"/>
          <w:sz w:val="22"/>
          <w:szCs w:val="22"/>
          <w:shd w:val="clear" w:color="auto" w:fill="FFFFFF"/>
        </w:rPr>
        <w:t>socioeconomic status,</w:t>
      </w:r>
      <w:r>
        <w:rPr>
          <w:rFonts w:ascii="Arial" w:hAnsi="Arial" w:cs="Arial"/>
          <w:noProof/>
          <w:sz w:val="22"/>
          <w:szCs w:val="22"/>
          <w:shd w:val="clear" w:color="auto" w:fill="FFFFFF"/>
        </w:rPr>
        <w:t>(4)</w:t>
      </w:r>
      <w:r w:rsidRPr="00B57610">
        <w:rPr>
          <w:rFonts w:ascii="Arial" w:hAnsi="Arial" w:cs="Arial"/>
          <w:sz w:val="22"/>
          <w:szCs w:val="22"/>
          <w:shd w:val="clear" w:color="auto" w:fill="FFFFFF"/>
        </w:rPr>
        <w:t xml:space="preserve"> and/or to </w:t>
      </w:r>
      <w:r>
        <w:rPr>
          <w:rFonts w:ascii="Arial" w:hAnsi="Arial" w:cs="Arial"/>
          <w:sz w:val="22"/>
          <w:szCs w:val="22"/>
          <w:shd w:val="clear" w:color="auto" w:fill="FFFFFF"/>
        </w:rPr>
        <w:t xml:space="preserve">residual confounding from entrenched social disadvantage and poor measurement of socioeconomic status among the Pakistani group.(7) </w:t>
      </w:r>
    </w:p>
    <w:p w:rsidR="00C755C8" w:rsidRPr="00B57610" w:rsidRDefault="00C755C8" w:rsidP="00C755C8">
      <w:pPr>
        <w:pStyle w:val="CommentText"/>
        <w:spacing w:line="480" w:lineRule="auto"/>
        <w:rPr>
          <w:rFonts w:ascii="Arial" w:eastAsia="Times New Roman" w:hAnsi="Arial" w:cs="Arial"/>
          <w:sz w:val="22"/>
          <w:szCs w:val="22"/>
          <w:lang w:val="en-GB" w:eastAsia="en-GB"/>
        </w:rPr>
      </w:pPr>
    </w:p>
    <w:p w:rsidR="00C755C8" w:rsidRDefault="00C755C8" w:rsidP="00C755C8">
      <w:pPr>
        <w:pStyle w:val="CommentText"/>
        <w:spacing w:line="480" w:lineRule="auto"/>
        <w:rPr>
          <w:rFonts w:ascii="Arial" w:hAnsi="Arial" w:cs="Arial"/>
          <w:noProof/>
          <w:sz w:val="22"/>
          <w:szCs w:val="22"/>
          <w:shd w:val="clear" w:color="auto" w:fill="FFFFFF"/>
        </w:rPr>
      </w:pPr>
      <w:r w:rsidRPr="00B57610">
        <w:rPr>
          <w:rFonts w:ascii="Arial" w:eastAsia="Times New Roman" w:hAnsi="Arial" w:cs="Arial"/>
          <w:sz w:val="22"/>
          <w:szCs w:val="22"/>
          <w:lang w:val="en-GB" w:eastAsia="en-GB"/>
        </w:rPr>
        <w:t xml:space="preserve">The </w:t>
      </w:r>
      <w:r w:rsidRPr="00B57610">
        <w:rPr>
          <w:rFonts w:ascii="Arial" w:hAnsi="Arial" w:cs="Arial"/>
          <w:sz w:val="22"/>
          <w:szCs w:val="22"/>
        </w:rPr>
        <w:t>sample is more ethnically diverse and more deprived than the UK average. The findings may, therefore, have limited relevance outside Bradford. Sample size limitations restricted the number of ethnic groups for analysis and, hence, our study focused on health outcomes in the two largest ethnic groups. Food security was assessed at one time</w:t>
      </w:r>
      <w:r>
        <w:rPr>
          <w:rFonts w:ascii="Arial" w:hAnsi="Arial" w:cs="Arial"/>
          <w:sz w:val="22"/>
          <w:szCs w:val="22"/>
        </w:rPr>
        <w:t xml:space="preserve"> </w:t>
      </w:r>
      <w:r w:rsidRPr="00B57610">
        <w:rPr>
          <w:rFonts w:ascii="Arial" w:hAnsi="Arial" w:cs="Arial"/>
          <w:sz w:val="22"/>
          <w:szCs w:val="22"/>
        </w:rPr>
        <w:t xml:space="preserve">point and, </w:t>
      </w:r>
      <w:r>
        <w:rPr>
          <w:rFonts w:ascii="Arial" w:hAnsi="Arial" w:cs="Arial"/>
          <w:sz w:val="22"/>
          <w:szCs w:val="22"/>
        </w:rPr>
        <w:t>thus</w:t>
      </w:r>
      <w:r w:rsidRPr="00B57610">
        <w:rPr>
          <w:rFonts w:ascii="Arial" w:hAnsi="Arial" w:cs="Arial"/>
          <w:sz w:val="22"/>
          <w:szCs w:val="22"/>
        </w:rPr>
        <w:t xml:space="preserve">, it is not possible to determine the temporal direction of the association between food insecurity and health. In addition, </w:t>
      </w:r>
      <w:r w:rsidRPr="00B57610">
        <w:rPr>
          <w:rFonts w:ascii="Arial" w:hAnsi="Arial" w:cs="Arial"/>
          <w:sz w:val="22"/>
          <w:szCs w:val="22"/>
          <w:shd w:val="clear" w:color="auto" w:fill="FFFFFF"/>
        </w:rPr>
        <w:t>exposure</w:t>
      </w:r>
      <w:r>
        <w:rPr>
          <w:rFonts w:ascii="Arial" w:hAnsi="Arial" w:cs="Arial"/>
          <w:sz w:val="22"/>
          <w:szCs w:val="22"/>
          <w:shd w:val="clear" w:color="auto" w:fill="FFFFFF"/>
        </w:rPr>
        <w:t>,</w:t>
      </w:r>
      <w:r w:rsidRPr="00B57610">
        <w:rPr>
          <w:rFonts w:ascii="Arial" w:hAnsi="Arial" w:cs="Arial"/>
          <w:sz w:val="22"/>
          <w:szCs w:val="22"/>
          <w:shd w:val="clear" w:color="auto" w:fill="FFFFFF"/>
        </w:rPr>
        <w:t xml:space="preserve"> outcome </w:t>
      </w:r>
      <w:r>
        <w:rPr>
          <w:rFonts w:ascii="Arial" w:hAnsi="Arial" w:cs="Arial"/>
          <w:sz w:val="22"/>
          <w:szCs w:val="22"/>
          <w:shd w:val="clear" w:color="auto" w:fill="FFFFFF"/>
        </w:rPr>
        <w:t xml:space="preserve">and control </w:t>
      </w:r>
      <w:r w:rsidRPr="00B57610">
        <w:rPr>
          <w:rFonts w:ascii="Arial" w:hAnsi="Arial" w:cs="Arial"/>
          <w:sz w:val="22"/>
          <w:szCs w:val="22"/>
          <w:shd w:val="clear" w:color="auto" w:fill="FFFFFF"/>
        </w:rPr>
        <w:t xml:space="preserve">variables were based on self-report, </w:t>
      </w:r>
      <w:r>
        <w:rPr>
          <w:rFonts w:ascii="Arial" w:hAnsi="Arial" w:cs="Arial"/>
          <w:sz w:val="22"/>
          <w:szCs w:val="22"/>
          <w:shd w:val="clear" w:color="auto" w:fill="FFFFFF"/>
        </w:rPr>
        <w:t>raising the possibility of negative affectivity; analysis of the association between food insecurity and health employing objective measures of health, such as GP records, would be a valuable line of further research. T</w:t>
      </w:r>
      <w:r w:rsidRPr="00B57610">
        <w:rPr>
          <w:rFonts w:ascii="Arial" w:hAnsi="Arial" w:cs="Arial"/>
          <w:sz w:val="22"/>
          <w:szCs w:val="22"/>
          <w:shd w:val="clear" w:color="auto" w:fill="FFFFFF"/>
        </w:rPr>
        <w:t>he self-reported health measure</w:t>
      </w:r>
      <w:r>
        <w:rPr>
          <w:rFonts w:ascii="Arial" w:hAnsi="Arial" w:cs="Arial"/>
          <w:sz w:val="22"/>
          <w:szCs w:val="22"/>
          <w:shd w:val="clear" w:color="auto" w:fill="FFFFFF"/>
        </w:rPr>
        <w:t>, which</w:t>
      </w:r>
      <w:r w:rsidRPr="00B57610">
        <w:rPr>
          <w:rFonts w:ascii="Arial" w:hAnsi="Arial" w:cs="Arial"/>
          <w:sz w:val="22"/>
          <w:szCs w:val="22"/>
          <w:shd w:val="clear" w:color="auto" w:fill="FFFFFF"/>
        </w:rPr>
        <w:t xml:space="preserve"> does not distinguish between physical and mental health</w:t>
      </w:r>
      <w:r>
        <w:rPr>
          <w:rFonts w:ascii="Arial" w:hAnsi="Arial" w:cs="Arial"/>
          <w:sz w:val="22"/>
          <w:szCs w:val="22"/>
          <w:shd w:val="clear" w:color="auto" w:fill="FFFFFF"/>
        </w:rPr>
        <w:t>,</w:t>
      </w:r>
      <w:r w:rsidRPr="00B57610">
        <w:rPr>
          <w:rFonts w:ascii="Arial" w:hAnsi="Arial" w:cs="Arial"/>
          <w:sz w:val="22"/>
          <w:szCs w:val="22"/>
          <w:shd w:val="clear" w:color="auto" w:fill="FFFFFF"/>
        </w:rPr>
        <w:t xml:space="preserve"> can only be interpreted as a reflection of general health</w:t>
      </w:r>
      <w:r>
        <w:rPr>
          <w:rFonts w:ascii="Arial" w:hAnsi="Arial" w:cs="Arial"/>
          <w:sz w:val="22"/>
          <w:szCs w:val="22"/>
          <w:shd w:val="clear" w:color="auto" w:fill="FFFFFF"/>
        </w:rPr>
        <w:t xml:space="preserve">, additional research employing separate physical and mental health measures would significantly enhance our understanding of the epidemiology of UK food insecurity. </w:t>
      </w:r>
    </w:p>
    <w:p w:rsidR="00C755C8" w:rsidRPr="00B57610" w:rsidDel="003100C6" w:rsidRDefault="00C755C8" w:rsidP="00C755C8">
      <w:pPr>
        <w:pStyle w:val="CommentText"/>
        <w:spacing w:line="480" w:lineRule="auto"/>
        <w:rPr>
          <w:rFonts w:ascii="Arial" w:hAnsi="Arial" w:cs="Arial"/>
          <w:sz w:val="22"/>
          <w:szCs w:val="22"/>
        </w:rPr>
      </w:pPr>
    </w:p>
    <w:p w:rsidR="00C755C8" w:rsidRPr="00B57610" w:rsidRDefault="00C755C8" w:rsidP="00C755C8">
      <w:pPr>
        <w:spacing w:line="480" w:lineRule="auto"/>
        <w:rPr>
          <w:rFonts w:ascii="Arial" w:hAnsi="Arial" w:cs="Arial"/>
          <w:sz w:val="22"/>
          <w:szCs w:val="22"/>
          <w:shd w:val="clear" w:color="auto" w:fill="FFFFFF"/>
        </w:rPr>
      </w:pPr>
      <w:r>
        <w:rPr>
          <w:rFonts w:ascii="Arial" w:hAnsi="Arial" w:cs="Arial"/>
          <w:sz w:val="22"/>
          <w:szCs w:val="22"/>
        </w:rPr>
        <w:t xml:space="preserve">The finding that socioeconomic status attenuates the relationship between food insecurity and poor health adds to a large body of evidence on the association between material deprivation and health outcomes. It further highlights the association between financial insecurity and food insecurity, which has become increasingly apparent since 2010.(10) </w:t>
      </w:r>
      <w:r w:rsidRPr="00B57610">
        <w:rPr>
          <w:rFonts w:ascii="Arial" w:hAnsi="Arial" w:cs="Arial"/>
          <w:sz w:val="22"/>
          <w:szCs w:val="22"/>
          <w:shd w:val="clear" w:color="auto" w:fill="FFFFFF"/>
        </w:rPr>
        <w:t xml:space="preserve">The weaker association between food insecurity and health in the Pakistani sub-sample </w:t>
      </w:r>
      <w:r w:rsidRPr="00B57610">
        <w:rPr>
          <w:rFonts w:ascii="Arial" w:hAnsi="Arial" w:cs="Arial"/>
          <w:noProof/>
          <w:sz w:val="22"/>
          <w:szCs w:val="22"/>
          <w:shd w:val="clear" w:color="auto" w:fill="FFFFFF"/>
        </w:rPr>
        <w:t xml:space="preserve">may be </w:t>
      </w:r>
      <w:r w:rsidRPr="00B57610">
        <w:rPr>
          <w:rFonts w:ascii="Arial" w:hAnsi="Arial" w:cs="Arial"/>
          <w:sz w:val="22"/>
          <w:szCs w:val="22"/>
          <w:shd w:val="clear" w:color="auto" w:fill="FFFFFF"/>
        </w:rPr>
        <w:t xml:space="preserve">a result of under-diagnosis of food insecurity, inadequate measurement of </w:t>
      </w:r>
      <w:r>
        <w:rPr>
          <w:rFonts w:ascii="Arial" w:hAnsi="Arial" w:cs="Arial"/>
          <w:sz w:val="22"/>
          <w:szCs w:val="22"/>
          <w:shd w:val="clear" w:color="auto" w:fill="FFFFFF"/>
        </w:rPr>
        <w:t>socioeconomic status</w:t>
      </w:r>
      <w:r w:rsidRPr="00B57610">
        <w:rPr>
          <w:rFonts w:ascii="Arial" w:hAnsi="Arial" w:cs="Arial"/>
          <w:sz w:val="22"/>
          <w:szCs w:val="22"/>
          <w:shd w:val="clear" w:color="auto" w:fill="FFFFFF"/>
        </w:rPr>
        <w:t xml:space="preserve"> among Pakistani households and/or the protective role of social networks within ethnic minority groups</w:t>
      </w:r>
      <w:r>
        <w:rPr>
          <w:rFonts w:ascii="Arial" w:hAnsi="Arial" w:cs="Arial"/>
          <w:sz w:val="22"/>
          <w:szCs w:val="22"/>
          <w:shd w:val="clear" w:color="auto" w:fill="FFFFFF"/>
        </w:rPr>
        <w:t xml:space="preserve"> </w:t>
      </w:r>
      <w:r>
        <w:rPr>
          <w:rFonts w:ascii="Arial" w:hAnsi="Arial" w:cs="Arial"/>
          <w:noProof/>
          <w:sz w:val="22"/>
          <w:szCs w:val="22"/>
          <w:shd w:val="clear" w:color="auto" w:fill="FFFFFF"/>
        </w:rPr>
        <w:t>(3)</w:t>
      </w:r>
      <w:r w:rsidRPr="00B57610">
        <w:rPr>
          <w:rFonts w:ascii="Arial" w:hAnsi="Arial" w:cs="Arial"/>
          <w:sz w:val="22"/>
          <w:szCs w:val="22"/>
          <w:shd w:val="clear" w:color="auto" w:fill="FFFFFF"/>
        </w:rPr>
        <w:t xml:space="preserve"> – an important </w:t>
      </w:r>
      <w:r>
        <w:rPr>
          <w:rFonts w:ascii="Arial" w:hAnsi="Arial" w:cs="Arial"/>
          <w:sz w:val="22"/>
          <w:szCs w:val="22"/>
          <w:shd w:val="clear" w:color="auto" w:fill="FFFFFF"/>
        </w:rPr>
        <w:t>line for</w:t>
      </w:r>
      <w:r w:rsidRPr="00B57610">
        <w:rPr>
          <w:rFonts w:ascii="Arial" w:hAnsi="Arial" w:cs="Arial"/>
          <w:sz w:val="22"/>
          <w:szCs w:val="22"/>
          <w:shd w:val="clear" w:color="auto" w:fill="FFFFFF"/>
        </w:rPr>
        <w:t xml:space="preserve"> further research.   </w:t>
      </w:r>
    </w:p>
    <w:p w:rsidR="00C755C8" w:rsidRPr="00B57610" w:rsidRDefault="00C755C8" w:rsidP="00C755C8">
      <w:pPr>
        <w:pStyle w:val="CommentText"/>
        <w:spacing w:line="480" w:lineRule="auto"/>
        <w:rPr>
          <w:rFonts w:ascii="Arial" w:hAnsi="Arial" w:cs="Arial"/>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802EA5" w:rsidRDefault="00802EA5"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r w:rsidRPr="00B57610">
        <w:rPr>
          <w:rFonts w:ascii="Arial" w:hAnsi="Arial" w:cs="Arial"/>
          <w:b/>
          <w:sz w:val="22"/>
          <w:szCs w:val="22"/>
        </w:rPr>
        <w:t xml:space="preserve">ACKNOWLEDGEMENTS </w:t>
      </w:r>
    </w:p>
    <w:p w:rsidR="00C755C8" w:rsidRPr="003B1B46" w:rsidRDefault="00C755C8" w:rsidP="00C755C8">
      <w:pPr>
        <w:spacing w:line="480" w:lineRule="auto"/>
        <w:rPr>
          <w:rFonts w:ascii="Arial" w:hAnsi="Arial" w:cs="Arial"/>
          <w:sz w:val="22"/>
          <w:szCs w:val="22"/>
        </w:rPr>
      </w:pPr>
      <w:r>
        <w:rPr>
          <w:rFonts w:ascii="Arial" w:hAnsi="Arial" w:cs="Arial"/>
          <w:sz w:val="22"/>
          <w:szCs w:val="22"/>
        </w:rPr>
        <w:t xml:space="preserve">We would like to thank Noortje Uphoff for her helpful comments on the findings and the two anonymous reviewers whose input much improved the article. </w:t>
      </w:r>
    </w:p>
    <w:p w:rsidR="00C755C8" w:rsidRDefault="00C755C8" w:rsidP="00C755C8">
      <w:pPr>
        <w:shd w:val="clear" w:color="auto" w:fill="FFFFFF"/>
        <w:spacing w:beforeAutospacing="1" w:afterAutospacing="1" w:line="480" w:lineRule="auto"/>
        <w:textAlignment w:val="baseline"/>
        <w:rPr>
          <w:rFonts w:ascii="Arial" w:eastAsia="Times New Roman" w:hAnsi="Arial" w:cs="Arial"/>
          <w:sz w:val="22"/>
          <w:szCs w:val="22"/>
          <w:lang w:val="en-GB" w:eastAsia="en-GB"/>
        </w:rPr>
      </w:pPr>
      <w:r w:rsidRPr="00B57610">
        <w:rPr>
          <w:rFonts w:ascii="Arial" w:eastAsia="Times New Roman" w:hAnsi="Arial" w:cs="Arial"/>
          <w:b/>
          <w:bCs/>
          <w:sz w:val="22"/>
          <w:szCs w:val="22"/>
          <w:bdr w:val="none" w:sz="0" w:space="0" w:color="auto" w:frame="1"/>
          <w:lang w:val="en-GB" w:eastAsia="en-GB"/>
        </w:rPr>
        <w:t>CONFLICTS OF INTEREST</w:t>
      </w:r>
      <w:r w:rsidRPr="00B57610">
        <w:rPr>
          <w:rFonts w:ascii="Arial" w:eastAsia="Times New Roman" w:hAnsi="Arial" w:cs="Arial"/>
          <w:sz w:val="22"/>
          <w:szCs w:val="22"/>
          <w:lang w:val="en-GB" w:eastAsia="en-GB"/>
        </w:rPr>
        <w:t> </w:t>
      </w:r>
      <w:r w:rsidRPr="00B57610">
        <w:rPr>
          <w:rFonts w:ascii="Arial" w:eastAsia="Times New Roman" w:hAnsi="Arial" w:cs="Arial"/>
          <w:sz w:val="22"/>
          <w:szCs w:val="22"/>
          <w:lang w:val="en-GB" w:eastAsia="en-GB"/>
        </w:rPr>
        <w:br/>
        <w:t>N</w:t>
      </w:r>
      <w:r>
        <w:rPr>
          <w:rFonts w:ascii="Arial" w:eastAsia="Times New Roman" w:hAnsi="Arial" w:cs="Arial"/>
          <w:sz w:val="22"/>
          <w:szCs w:val="22"/>
          <w:lang w:val="en-GB" w:eastAsia="en-GB"/>
        </w:rPr>
        <w:t>one declared.</w:t>
      </w:r>
    </w:p>
    <w:p w:rsidR="00C755C8" w:rsidRPr="003B1B46" w:rsidRDefault="00C755C8" w:rsidP="00C755C8">
      <w:pPr>
        <w:shd w:val="clear" w:color="auto" w:fill="FFFFFF"/>
        <w:spacing w:beforeAutospacing="1" w:afterAutospacing="1" w:line="480" w:lineRule="auto"/>
        <w:textAlignment w:val="baseline"/>
        <w:rPr>
          <w:rFonts w:ascii="Arial" w:eastAsia="Times New Roman" w:hAnsi="Arial" w:cs="Arial"/>
          <w:b/>
          <w:sz w:val="22"/>
          <w:szCs w:val="22"/>
          <w:lang w:val="en-GB" w:eastAsia="en-GB"/>
        </w:rPr>
      </w:pPr>
      <w:r w:rsidRPr="003B1B46">
        <w:rPr>
          <w:rFonts w:ascii="Arial" w:eastAsia="Times New Roman" w:hAnsi="Arial" w:cs="Arial"/>
          <w:b/>
          <w:sz w:val="22"/>
          <w:szCs w:val="22"/>
          <w:lang w:val="en-GB" w:eastAsia="en-GB"/>
        </w:rPr>
        <w:t>FUNDING</w:t>
      </w:r>
      <w:r>
        <w:rPr>
          <w:rFonts w:ascii="Arial" w:eastAsia="Times New Roman" w:hAnsi="Arial" w:cs="Arial"/>
          <w:b/>
          <w:sz w:val="22"/>
          <w:szCs w:val="22"/>
          <w:lang w:val="en-GB" w:eastAsia="en-GB"/>
        </w:rPr>
        <w:br/>
      </w:r>
      <w:r w:rsidRPr="00210150">
        <w:rPr>
          <w:rFonts w:ascii="Arial" w:hAnsi="Arial" w:cs="Arial"/>
          <w:sz w:val="22"/>
          <w:szCs w:val="22"/>
          <w:shd w:val="clear" w:color="auto" w:fill="FFFFFF"/>
        </w:rPr>
        <w:t>One of the authors of this paper (MP) was supported by the NIHR Collaboration for Leadership in Applied Health Research and Care Yorkshire and Humber (NIHR CLAHRC YH) (Grant number IS-CLA-0113-10020).</w:t>
      </w:r>
      <w:r w:rsidRPr="00210150">
        <w:rPr>
          <w:rStyle w:val="apple-converted-space"/>
          <w:rFonts w:ascii="Arial" w:hAnsi="Arial" w:cs="Arial"/>
          <w:sz w:val="22"/>
          <w:szCs w:val="22"/>
          <w:shd w:val="clear" w:color="auto" w:fill="FFFFFF"/>
        </w:rPr>
        <w:t> </w:t>
      </w:r>
      <w:hyperlink r:id="rId9" w:tgtFrame="_blank" w:history="1">
        <w:r w:rsidRPr="00210150">
          <w:rPr>
            <w:rStyle w:val="Hyperlink"/>
            <w:rFonts w:ascii="Arial" w:hAnsi="Arial" w:cs="Arial"/>
            <w:color w:val="auto"/>
            <w:sz w:val="22"/>
            <w:szCs w:val="22"/>
            <w:shd w:val="clear" w:color="auto" w:fill="FFFFFF"/>
          </w:rPr>
          <w:t>www.clahrc-yh.nihr.ac.uk</w:t>
        </w:r>
      </w:hyperlink>
      <w:r w:rsidRPr="00210150">
        <w:rPr>
          <w:rFonts w:ascii="Arial" w:hAnsi="Arial" w:cs="Arial"/>
          <w:sz w:val="22"/>
          <w:szCs w:val="22"/>
          <w:shd w:val="clear" w:color="auto" w:fill="FFFFFF"/>
        </w:rPr>
        <w:t>.  The views and opinions expressed are those of the author(s), and not necessarily those of the NHS, the NIHR or the Department of Health.</w:t>
      </w:r>
    </w:p>
    <w:p w:rsidR="00C755C8" w:rsidRPr="00B57610" w:rsidRDefault="00C755C8" w:rsidP="00C755C8">
      <w:pPr>
        <w:shd w:val="clear" w:color="auto" w:fill="FFFFFF"/>
        <w:spacing w:beforeAutospacing="1" w:afterAutospacing="1" w:line="480" w:lineRule="auto"/>
        <w:textAlignment w:val="baseline"/>
        <w:rPr>
          <w:rFonts w:ascii="Arial" w:eastAsia="Times New Roman" w:hAnsi="Arial" w:cs="Arial"/>
          <w:sz w:val="22"/>
          <w:szCs w:val="22"/>
          <w:lang w:val="en-GB" w:eastAsia="en-GB"/>
        </w:rPr>
      </w:pPr>
      <w:r w:rsidRPr="00B57610">
        <w:rPr>
          <w:rFonts w:ascii="Arial" w:eastAsia="Times New Roman" w:hAnsi="Arial" w:cs="Arial"/>
          <w:b/>
          <w:bCs/>
          <w:sz w:val="22"/>
          <w:szCs w:val="22"/>
          <w:bdr w:val="none" w:sz="0" w:space="0" w:color="auto" w:frame="1"/>
          <w:lang w:val="en-GB" w:eastAsia="en-GB"/>
        </w:rPr>
        <w:t xml:space="preserve">KEY POINTS </w:t>
      </w:r>
    </w:p>
    <w:p w:rsidR="00C755C8" w:rsidRPr="00B57610" w:rsidRDefault="00C755C8" w:rsidP="00C755C8">
      <w:pPr>
        <w:pStyle w:val="ListParagraph"/>
        <w:numPr>
          <w:ilvl w:val="0"/>
          <w:numId w:val="3"/>
        </w:numPr>
        <w:spacing w:line="480" w:lineRule="auto"/>
        <w:rPr>
          <w:rFonts w:ascii="Arial" w:hAnsi="Arial" w:cs="Arial"/>
          <w:sz w:val="22"/>
          <w:szCs w:val="22"/>
          <w:shd w:val="clear" w:color="auto" w:fill="FFFFFF"/>
        </w:rPr>
      </w:pPr>
      <w:r w:rsidRPr="00B57610">
        <w:rPr>
          <w:rFonts w:ascii="Arial" w:hAnsi="Arial" w:cs="Arial"/>
          <w:sz w:val="22"/>
          <w:szCs w:val="22"/>
          <w:shd w:val="clear" w:color="auto" w:fill="FFFFFF"/>
        </w:rPr>
        <w:t xml:space="preserve">The association between food insecurity and </w:t>
      </w:r>
      <w:r>
        <w:rPr>
          <w:rFonts w:ascii="Arial" w:hAnsi="Arial" w:cs="Arial"/>
          <w:sz w:val="22"/>
          <w:szCs w:val="22"/>
          <w:shd w:val="clear" w:color="auto" w:fill="FFFFFF"/>
        </w:rPr>
        <w:t xml:space="preserve">poor </w:t>
      </w:r>
      <w:r w:rsidRPr="00B57610">
        <w:rPr>
          <w:rFonts w:ascii="Arial" w:hAnsi="Arial" w:cs="Arial"/>
          <w:sz w:val="22"/>
          <w:szCs w:val="22"/>
          <w:shd w:val="clear" w:color="auto" w:fill="FFFFFF"/>
        </w:rPr>
        <w:t xml:space="preserve">health </w:t>
      </w:r>
      <w:r>
        <w:rPr>
          <w:rFonts w:ascii="Arial" w:hAnsi="Arial" w:cs="Arial"/>
          <w:sz w:val="22"/>
          <w:szCs w:val="22"/>
          <w:shd w:val="clear" w:color="auto" w:fill="FFFFFF"/>
        </w:rPr>
        <w:t>was</w:t>
      </w:r>
      <w:r w:rsidRPr="00B57610">
        <w:rPr>
          <w:rFonts w:ascii="Arial" w:hAnsi="Arial" w:cs="Arial"/>
          <w:sz w:val="22"/>
          <w:szCs w:val="22"/>
          <w:shd w:val="clear" w:color="auto" w:fill="FFFFFF"/>
        </w:rPr>
        <w:t xml:space="preserve"> </w:t>
      </w:r>
      <w:r>
        <w:rPr>
          <w:rFonts w:ascii="Arial" w:hAnsi="Arial" w:cs="Arial"/>
          <w:sz w:val="22"/>
          <w:szCs w:val="22"/>
          <w:shd w:val="clear" w:color="auto" w:fill="FFFFFF"/>
        </w:rPr>
        <w:t>significant</w:t>
      </w:r>
      <w:r w:rsidRPr="00B57610">
        <w:rPr>
          <w:rFonts w:ascii="Arial" w:hAnsi="Arial" w:cs="Arial"/>
          <w:sz w:val="22"/>
          <w:szCs w:val="22"/>
          <w:shd w:val="clear" w:color="auto" w:fill="FFFFFF"/>
        </w:rPr>
        <w:t xml:space="preserve"> among </w:t>
      </w:r>
      <w:r>
        <w:rPr>
          <w:rFonts w:ascii="Arial" w:hAnsi="Arial" w:cs="Arial"/>
          <w:sz w:val="22"/>
          <w:szCs w:val="22"/>
          <w:shd w:val="clear" w:color="auto" w:fill="FFFFFF"/>
        </w:rPr>
        <w:t>white British</w:t>
      </w:r>
      <w:r w:rsidRPr="00B57610">
        <w:rPr>
          <w:rFonts w:ascii="Arial" w:hAnsi="Arial" w:cs="Arial"/>
          <w:sz w:val="22"/>
          <w:szCs w:val="22"/>
          <w:shd w:val="clear" w:color="auto" w:fill="FFFFFF"/>
        </w:rPr>
        <w:t xml:space="preserve"> </w:t>
      </w:r>
      <w:r>
        <w:rPr>
          <w:rFonts w:ascii="Arial" w:hAnsi="Arial" w:cs="Arial"/>
          <w:sz w:val="22"/>
          <w:szCs w:val="22"/>
          <w:shd w:val="clear" w:color="auto" w:fill="FFFFFF"/>
        </w:rPr>
        <w:t>women at three out of four time points but not among Pakistani women at any time point.</w:t>
      </w:r>
    </w:p>
    <w:p w:rsidR="00C755C8" w:rsidRDefault="00C755C8" w:rsidP="00C755C8">
      <w:pPr>
        <w:pStyle w:val="ListParagraph"/>
        <w:numPr>
          <w:ilvl w:val="0"/>
          <w:numId w:val="3"/>
        </w:numPr>
        <w:shd w:val="clear" w:color="auto" w:fill="FFFFFF"/>
        <w:spacing w:beforeAutospacing="1" w:afterAutospacing="1" w:line="480" w:lineRule="auto"/>
        <w:textAlignment w:val="baseline"/>
        <w:rPr>
          <w:rFonts w:ascii="Arial" w:hAnsi="Arial" w:cs="Arial"/>
          <w:sz w:val="22"/>
          <w:szCs w:val="22"/>
          <w:shd w:val="clear" w:color="auto" w:fill="FFFFFF"/>
        </w:rPr>
      </w:pPr>
      <w:r w:rsidRPr="000B07EA">
        <w:rPr>
          <w:rFonts w:ascii="Arial" w:hAnsi="Arial" w:cs="Arial"/>
          <w:sz w:val="22"/>
          <w:szCs w:val="22"/>
          <w:shd w:val="clear" w:color="auto" w:fill="FFFFFF"/>
        </w:rPr>
        <w:t xml:space="preserve">A woman’s perception of her financial situation seemed to explain much of the association between food insecurity and poor health, although this occurred to a greater extent among white British than among Pakistani women. </w:t>
      </w:r>
    </w:p>
    <w:p w:rsidR="00C755C8" w:rsidRDefault="00C755C8" w:rsidP="00C755C8">
      <w:pPr>
        <w:pStyle w:val="ListParagraph"/>
        <w:numPr>
          <w:ilvl w:val="0"/>
          <w:numId w:val="3"/>
        </w:numPr>
        <w:shd w:val="clear" w:color="auto" w:fill="FFFFFF"/>
        <w:spacing w:beforeAutospacing="1" w:afterAutospacing="1" w:line="480" w:lineRule="auto"/>
        <w:textAlignment w:val="baseline"/>
        <w:rPr>
          <w:rFonts w:ascii="Arial" w:hAnsi="Arial" w:cs="Arial"/>
          <w:sz w:val="22"/>
          <w:szCs w:val="22"/>
          <w:shd w:val="clear" w:color="auto" w:fill="FFFFFF"/>
        </w:rPr>
      </w:pPr>
      <w:r w:rsidRPr="000B07EA">
        <w:rPr>
          <w:rFonts w:ascii="Arial" w:hAnsi="Arial" w:cs="Arial"/>
          <w:sz w:val="22"/>
          <w:szCs w:val="22"/>
          <w:shd w:val="clear" w:color="auto" w:fill="FFFFFF"/>
        </w:rPr>
        <w:t>Further investigation of the weaker association between food insecurity and health in the Pakistani sub-sample is required to clarify the nature and impact of food insecurity among this group.</w:t>
      </w: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Default="00C755C8" w:rsidP="00C755C8">
      <w:pPr>
        <w:spacing w:line="480" w:lineRule="auto"/>
        <w:rPr>
          <w:rFonts w:ascii="Arial" w:hAnsi="Arial" w:cs="Arial"/>
          <w:b/>
          <w:sz w:val="22"/>
          <w:szCs w:val="22"/>
        </w:rPr>
      </w:pPr>
    </w:p>
    <w:p w:rsidR="00C755C8" w:rsidRPr="00B57610" w:rsidRDefault="00C755C8" w:rsidP="00C755C8">
      <w:pPr>
        <w:spacing w:line="480" w:lineRule="auto"/>
        <w:rPr>
          <w:rFonts w:ascii="Arial" w:hAnsi="Arial" w:cs="Arial"/>
          <w:sz w:val="22"/>
          <w:szCs w:val="22"/>
        </w:rPr>
      </w:pPr>
      <w:r w:rsidRPr="00B57610">
        <w:rPr>
          <w:rFonts w:ascii="Arial" w:hAnsi="Arial" w:cs="Arial"/>
          <w:b/>
          <w:sz w:val="22"/>
          <w:szCs w:val="22"/>
        </w:rPr>
        <w:t xml:space="preserve">REFERENCES </w:t>
      </w:r>
    </w:p>
    <w:p w:rsidR="00C755C8" w:rsidRPr="00B57610" w:rsidRDefault="00C755C8" w:rsidP="00C755C8">
      <w:pPr>
        <w:spacing w:line="480" w:lineRule="auto"/>
        <w:rPr>
          <w:rFonts w:ascii="Arial" w:hAnsi="Arial" w:cs="Arial"/>
          <w:sz w:val="22"/>
          <w:szCs w:val="22"/>
        </w:rPr>
      </w:pP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1.</w:t>
      </w:r>
      <w:r w:rsidRPr="00684744">
        <w:rPr>
          <w:rFonts w:ascii="Arial" w:hAnsi="Arial" w:cs="Arial"/>
          <w:sz w:val="22"/>
          <w:szCs w:val="22"/>
        </w:rPr>
        <w:tab/>
        <w:t>Collins L. The Impact of Food Insecurity on Women's Mental Health: How it Negatively Affects Children's Health and Development. Journal of the Association for Research on Mothering. 2009;11(1): 251-262.</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2.</w:t>
      </w:r>
      <w:r w:rsidRPr="00684744">
        <w:rPr>
          <w:rFonts w:ascii="Arial" w:hAnsi="Arial" w:cs="Arial"/>
          <w:sz w:val="22"/>
          <w:szCs w:val="22"/>
        </w:rPr>
        <w:tab/>
        <w:t>Nazroo J. The Health of Britain's Ethnic Minorities: Findings from a National Survey. London: Policy Studies Institute,1997.</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3.</w:t>
      </w:r>
      <w:r w:rsidRPr="00684744">
        <w:rPr>
          <w:rFonts w:ascii="Arial" w:hAnsi="Arial" w:cs="Arial"/>
          <w:sz w:val="22"/>
          <w:szCs w:val="22"/>
        </w:rPr>
        <w:tab/>
        <w:t>Power M, Uphoff E, Stewart-Knox</w:t>
      </w:r>
      <w:r w:rsidRPr="000B07EA">
        <w:rPr>
          <w:rFonts w:ascii="Arial" w:hAnsi="Arial" w:cs="Arial"/>
          <w:sz w:val="22"/>
          <w:szCs w:val="22"/>
        </w:rPr>
        <w:t xml:space="preserve"> B, Small N, Doherty B, Pickett KE. Food insecurity and socio-demographic characteristics in two UK ethnic groups: an analysis of women in the Born in Bradford cohort. J Public Health Med. 2017:1-9</w:t>
      </w:r>
      <w:r>
        <w:rPr>
          <w:rFonts w:ascii="Arial" w:hAnsi="Arial" w:cs="Arial"/>
          <w:sz w:val="22"/>
          <w:szCs w:val="22"/>
        </w:rPr>
        <w:t>.</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4.</w:t>
      </w:r>
      <w:r w:rsidRPr="00684744">
        <w:rPr>
          <w:rFonts w:ascii="Arial" w:hAnsi="Arial" w:cs="Arial"/>
          <w:sz w:val="22"/>
          <w:szCs w:val="22"/>
        </w:rPr>
        <w:tab/>
        <w:t>Bryant MJ, Santorelli G, Fairley L</w:t>
      </w:r>
      <w:r w:rsidRPr="000B07EA">
        <w:rPr>
          <w:rFonts w:ascii="Arial" w:hAnsi="Arial" w:cs="Arial"/>
          <w:sz w:val="22"/>
          <w:szCs w:val="22"/>
        </w:rPr>
        <w:t xml:space="preserve"> et al. Design and characteristics of a new birth cohort, to study the early origins and ethnic variation of childhood obesity. Longitudinal and Life Course Studies. 2013;4(2):119-35.</w:t>
      </w:r>
    </w:p>
    <w:p w:rsidR="00C755C8" w:rsidRDefault="00C755C8" w:rsidP="00C755C8">
      <w:pPr>
        <w:spacing w:line="480" w:lineRule="auto"/>
        <w:rPr>
          <w:rFonts w:ascii="Arial" w:hAnsi="Arial"/>
          <w:sz w:val="22"/>
          <w:szCs w:val="22"/>
        </w:rPr>
      </w:pPr>
      <w:r w:rsidRPr="000B07EA">
        <w:rPr>
          <w:rFonts w:ascii="Arial" w:hAnsi="Arial" w:cs="Arial"/>
          <w:sz w:val="22"/>
          <w:szCs w:val="22"/>
        </w:rPr>
        <w:t>5.</w:t>
      </w:r>
      <w:r w:rsidRPr="000B07EA">
        <w:rPr>
          <w:rFonts w:ascii="Arial" w:hAnsi="Arial" w:cs="Arial"/>
          <w:sz w:val="22"/>
          <w:szCs w:val="22"/>
        </w:rPr>
        <w:tab/>
        <w:t xml:space="preserve">Wright J, Small N, Raynor P et al. Cohort profile: The Born in Bradford multi-ethnic family cohort study. Int J Epidemiol. 2013;42(4): </w:t>
      </w:r>
      <w:r w:rsidRPr="000B07EA">
        <w:rPr>
          <w:rFonts w:ascii="Arial" w:hAnsi="Arial"/>
          <w:sz w:val="22"/>
          <w:szCs w:val="22"/>
        </w:rPr>
        <w:t>978-91.</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6.</w:t>
      </w:r>
      <w:r w:rsidRPr="00684744">
        <w:rPr>
          <w:rFonts w:ascii="Arial" w:hAnsi="Arial" w:cs="Arial"/>
          <w:sz w:val="22"/>
          <w:szCs w:val="22"/>
        </w:rPr>
        <w:tab/>
        <w:t>Anderson SA. Core Indicators of Nutritional State for Difficult-to-Sample Populations. The Journal of Nutrition. 1990;120(11 Suppl):1555-600.</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7.</w:t>
      </w:r>
      <w:r w:rsidRPr="00684744">
        <w:rPr>
          <w:rFonts w:ascii="Arial" w:hAnsi="Arial" w:cs="Arial"/>
          <w:sz w:val="22"/>
          <w:szCs w:val="22"/>
        </w:rPr>
        <w:tab/>
        <w:t>Uphoff EP, Pickett KE, Wright J. Social gradients in health for Pakistani and White British women and infants in two UK birth cohorts. Ethnicity &amp; Health. 2016;21(5):452-467.</w:t>
      </w:r>
    </w:p>
    <w:p w:rsidR="00C755C8" w:rsidRDefault="00C755C8" w:rsidP="00C755C8">
      <w:pPr>
        <w:spacing w:line="480" w:lineRule="auto"/>
        <w:rPr>
          <w:rFonts w:ascii="Arial" w:hAnsi="Arial" w:cs="Arial"/>
          <w:sz w:val="22"/>
        </w:rPr>
      </w:pPr>
      <w:r w:rsidRPr="000B07EA">
        <w:rPr>
          <w:rFonts w:ascii="Arial" w:hAnsi="Arial" w:cs="Arial"/>
          <w:sz w:val="22"/>
        </w:rPr>
        <w:t>8.</w:t>
      </w:r>
      <w:r w:rsidRPr="000B07EA">
        <w:rPr>
          <w:rFonts w:ascii="Arial" w:hAnsi="Arial" w:cs="Arial"/>
          <w:sz w:val="22"/>
        </w:rPr>
        <w:tab/>
        <w:t xml:space="preserve">Tarasuk V, Mitchell  A, Mclaren L, Mcintyre L. </w:t>
      </w:r>
      <w:r w:rsidRPr="000B07EA">
        <w:rPr>
          <w:rFonts w:ascii="Arial" w:hAnsi="Arial"/>
          <w:sz w:val="22"/>
        </w:rPr>
        <w:t>Chronic physical and mental health conditions among adults may increase vulnerability to household food Insecurity. The Journal of Nutrition. 2013;143(11): 1785-93.</w:t>
      </w:r>
      <w:r w:rsidRPr="000B07EA">
        <w:rPr>
          <w:rFonts w:ascii="Arial" w:hAnsi="Arial" w:cs="Arial"/>
          <w:sz w:val="22"/>
        </w:rPr>
        <w:t>.</w:t>
      </w:r>
    </w:p>
    <w:p w:rsidR="00C755C8" w:rsidRPr="00684744" w:rsidRDefault="00C755C8" w:rsidP="00C755C8">
      <w:pPr>
        <w:pStyle w:val="EndNoteBibliography"/>
        <w:spacing w:line="480" w:lineRule="auto"/>
        <w:rPr>
          <w:rFonts w:ascii="Arial" w:hAnsi="Arial" w:cs="Arial"/>
          <w:sz w:val="22"/>
          <w:szCs w:val="22"/>
        </w:rPr>
      </w:pPr>
      <w:r w:rsidRPr="00684744">
        <w:rPr>
          <w:rFonts w:ascii="Arial" w:hAnsi="Arial" w:cs="Arial"/>
          <w:sz w:val="22"/>
          <w:szCs w:val="22"/>
        </w:rPr>
        <w:t>9.</w:t>
      </w:r>
      <w:r w:rsidRPr="00684744">
        <w:rPr>
          <w:rFonts w:ascii="Arial" w:hAnsi="Arial" w:cs="Arial"/>
          <w:sz w:val="22"/>
          <w:szCs w:val="22"/>
        </w:rPr>
        <w:tab/>
        <w:t>Stuff JE, Casey PH, Szeto KL et al. Household Food Insecurity Is Associated with Adult Health Status. The Journal of Nutrition. 2004;134(9):2330-5.</w:t>
      </w:r>
    </w:p>
    <w:p w:rsidR="00C755C8" w:rsidRPr="00684744" w:rsidRDefault="00C755C8" w:rsidP="00C755C8">
      <w:pPr>
        <w:spacing w:line="480" w:lineRule="auto"/>
        <w:rPr>
          <w:rFonts w:ascii="Arial" w:hAnsi="Arial" w:cs="Arial"/>
          <w:b/>
          <w:sz w:val="22"/>
          <w:szCs w:val="22"/>
        </w:rPr>
      </w:pPr>
      <w:r w:rsidRPr="00684744">
        <w:rPr>
          <w:rFonts w:ascii="Arial" w:hAnsi="Arial" w:cs="Arial"/>
          <w:noProof/>
          <w:sz w:val="22"/>
          <w:szCs w:val="22"/>
        </w:rPr>
        <w:t>10.</w:t>
      </w:r>
      <w:r w:rsidRPr="00684744">
        <w:rPr>
          <w:rFonts w:ascii="Arial" w:hAnsi="Arial" w:cs="Arial"/>
          <w:noProof/>
          <w:sz w:val="22"/>
          <w:szCs w:val="22"/>
        </w:rPr>
        <w:tab/>
        <w:t>Loopstra R, Lalor D. Financial insecurity, food insecurity, and disability: The profile of people receiving emergency food assistance from The Trussell Trust Foodbank Network in Britain. The Trussell Trust; 2017.</w:t>
      </w:r>
    </w:p>
    <w:p w:rsidR="00C755C8" w:rsidDel="00684744" w:rsidRDefault="00C755C8" w:rsidP="00C755C8">
      <w:pPr>
        <w:spacing w:line="480" w:lineRule="auto"/>
        <w:rPr>
          <w:rFonts w:ascii="Arial" w:hAnsi="Arial" w:cs="Arial"/>
          <w:b/>
          <w:sz w:val="22"/>
          <w:szCs w:val="22"/>
        </w:rPr>
      </w:pPr>
    </w:p>
    <w:p w:rsidR="00802EA5" w:rsidRPr="0092310E" w:rsidRDefault="00802EA5" w:rsidP="00802EA5">
      <w:pPr>
        <w:spacing w:line="360" w:lineRule="auto"/>
        <w:outlineLvl w:val="0"/>
        <w:rPr>
          <w:rFonts w:ascii="Arial" w:hAnsi="Arial"/>
          <w:b/>
          <w:sz w:val="22"/>
          <w:shd w:val="clear" w:color="auto" w:fill="FFFFFF"/>
        </w:rPr>
      </w:pPr>
      <w:r w:rsidRPr="0092310E">
        <w:rPr>
          <w:rFonts w:ascii="Arial" w:hAnsi="Arial"/>
          <w:b/>
          <w:sz w:val="22"/>
          <w:shd w:val="clear" w:color="auto" w:fill="FFFFFF"/>
        </w:rPr>
        <w:t>Supplementary material</w:t>
      </w:r>
    </w:p>
    <w:p w:rsidR="00802EA5" w:rsidRPr="0092310E" w:rsidRDefault="00C755C8" w:rsidP="00802EA5">
      <w:pPr>
        <w:spacing w:line="360" w:lineRule="auto"/>
        <w:outlineLvl w:val="0"/>
        <w:rPr>
          <w:rFonts w:ascii="Arial" w:hAnsi="Arial"/>
          <w:sz w:val="22"/>
          <w:shd w:val="clear" w:color="auto" w:fill="FFFFFF"/>
        </w:rPr>
      </w:pPr>
      <w:r w:rsidRPr="0092310E">
        <w:rPr>
          <w:rFonts w:ascii="Arial" w:hAnsi="Arial"/>
          <w:sz w:val="22"/>
          <w:shd w:val="clear" w:color="auto" w:fill="FFFFFF"/>
        </w:rPr>
        <w:t xml:space="preserve"> </w:t>
      </w:r>
    </w:p>
    <w:p w:rsidR="00802EA5" w:rsidRPr="0092310E" w:rsidRDefault="00802EA5" w:rsidP="00802EA5">
      <w:pPr>
        <w:spacing w:line="360" w:lineRule="auto"/>
        <w:outlineLvl w:val="0"/>
        <w:rPr>
          <w:rFonts w:ascii="Arial" w:hAnsi="Arial" w:cs="Arial"/>
          <w:sz w:val="22"/>
        </w:rPr>
      </w:pPr>
      <w:r w:rsidRPr="0092310E">
        <w:rPr>
          <w:rFonts w:ascii="Arial" w:hAnsi="Arial" w:cs="Arial"/>
          <w:sz w:val="22"/>
        </w:rPr>
        <w:t>Table 1  Sample characteristics BiB1000 12 month survey wave</w:t>
      </w:r>
    </w:p>
    <w:p w:rsidR="00802EA5" w:rsidRPr="00802EA5" w:rsidRDefault="00802EA5" w:rsidP="00802EA5">
      <w:pPr>
        <w:widowControl w:val="0"/>
        <w:autoSpaceDE w:val="0"/>
        <w:autoSpaceDN w:val="0"/>
        <w:adjustRightInd w:val="0"/>
        <w:rPr>
          <w:rFonts w:ascii="Arial" w:hAnsi="Arial" w:cs="Times New Roman"/>
          <w:color w:val="000000"/>
          <w:sz w:val="20"/>
          <w:szCs w:val="22"/>
        </w:rPr>
      </w:pPr>
    </w:p>
    <w:tbl>
      <w:tblPr>
        <w:tblW w:w="48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1746"/>
        <w:gridCol w:w="1602"/>
        <w:gridCol w:w="1454"/>
      </w:tblGrid>
      <w:tr w:rsidR="00802EA5" w:rsidRPr="00802EA5">
        <w:trPr>
          <w:trHeight w:val="557"/>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Individual characteristics</w:t>
            </w:r>
          </w:p>
        </w:tc>
        <w:tc>
          <w:tcPr>
            <w:tcW w:w="971" w:type="pct"/>
          </w:tcPr>
          <w:p w:rsidR="00802EA5" w:rsidRPr="00802EA5" w:rsidRDefault="00802EA5" w:rsidP="00433739">
            <w:pPr>
              <w:rPr>
                <w:rFonts w:ascii="Arial" w:hAnsi="Arial" w:cs="Arial"/>
                <w:b/>
                <w:sz w:val="20"/>
                <w:szCs w:val="20"/>
              </w:rPr>
            </w:pPr>
            <w:r w:rsidRPr="00802EA5">
              <w:rPr>
                <w:rFonts w:ascii="Arial" w:hAnsi="Arial" w:cs="Arial"/>
                <w:b/>
                <w:sz w:val="20"/>
                <w:szCs w:val="20"/>
              </w:rPr>
              <w:t>Number in sample</w:t>
            </w:r>
          </w:p>
        </w:tc>
        <w:tc>
          <w:tcPr>
            <w:tcW w:w="891" w:type="pct"/>
          </w:tcPr>
          <w:p w:rsidR="00802EA5" w:rsidRPr="00802EA5" w:rsidRDefault="00802EA5" w:rsidP="00433739">
            <w:pPr>
              <w:rPr>
                <w:rFonts w:ascii="Arial" w:hAnsi="Arial" w:cs="Arial"/>
                <w:b/>
                <w:sz w:val="20"/>
                <w:szCs w:val="20"/>
              </w:rPr>
            </w:pPr>
            <w:r w:rsidRPr="00802EA5">
              <w:rPr>
                <w:rFonts w:ascii="Arial" w:hAnsi="Arial" w:cs="Arial"/>
                <w:b/>
                <w:sz w:val="20"/>
                <w:szCs w:val="20"/>
              </w:rPr>
              <w:t xml:space="preserve">Pakistani </w:t>
            </w:r>
          </w:p>
        </w:tc>
        <w:tc>
          <w:tcPr>
            <w:tcW w:w="809" w:type="pct"/>
          </w:tcPr>
          <w:p w:rsidR="00802EA5" w:rsidRPr="00802EA5" w:rsidRDefault="00802EA5" w:rsidP="00433739">
            <w:pPr>
              <w:rPr>
                <w:rFonts w:ascii="Arial" w:hAnsi="Arial" w:cs="Arial"/>
                <w:b/>
                <w:sz w:val="20"/>
                <w:szCs w:val="20"/>
              </w:rPr>
            </w:pPr>
            <w:r w:rsidRPr="00802EA5">
              <w:rPr>
                <w:rFonts w:ascii="Arial" w:hAnsi="Arial" w:cs="Arial"/>
                <w:b/>
                <w:sz w:val="20"/>
                <w:szCs w:val="20"/>
              </w:rPr>
              <w:t xml:space="preserve">White British </w:t>
            </w:r>
          </w:p>
        </w:tc>
      </w:tr>
      <w:tr w:rsidR="00802EA5" w:rsidRPr="00802EA5">
        <w:trPr>
          <w:trHeight w:val="351"/>
        </w:trPr>
        <w:tc>
          <w:tcPr>
            <w:tcW w:w="2328" w:type="pct"/>
          </w:tcPr>
          <w:p w:rsidR="00802EA5" w:rsidRPr="00802EA5" w:rsidRDefault="00802EA5" w:rsidP="00433739">
            <w:pPr>
              <w:rPr>
                <w:rFonts w:ascii="Arial" w:hAnsi="Arial" w:cs="Arial"/>
                <w:i/>
                <w:sz w:val="20"/>
                <w:szCs w:val="20"/>
              </w:rPr>
            </w:pPr>
            <w:r w:rsidRPr="00802EA5">
              <w:rPr>
                <w:rFonts w:ascii="Arial" w:hAnsi="Arial" w:cs="Arial"/>
                <w:i/>
                <w:sz w:val="20"/>
                <w:szCs w:val="20"/>
              </w:rPr>
              <w:t>N</w:t>
            </w:r>
          </w:p>
        </w:tc>
        <w:tc>
          <w:tcPr>
            <w:tcW w:w="971" w:type="pct"/>
          </w:tcPr>
          <w:p w:rsidR="00802EA5" w:rsidRPr="00802EA5" w:rsidRDefault="00802EA5" w:rsidP="00433739">
            <w:pPr>
              <w:rPr>
                <w:rFonts w:ascii="Arial" w:hAnsi="Arial" w:cs="Arial"/>
                <w:i/>
                <w:sz w:val="20"/>
                <w:szCs w:val="20"/>
              </w:rPr>
            </w:pPr>
            <w:r w:rsidRPr="00802EA5">
              <w:rPr>
                <w:rFonts w:ascii="Arial" w:hAnsi="Arial" w:cs="Arial"/>
                <w:i/>
                <w:sz w:val="20"/>
                <w:szCs w:val="20"/>
              </w:rPr>
              <w:t>1280 (%/sd)</w:t>
            </w:r>
          </w:p>
        </w:tc>
        <w:tc>
          <w:tcPr>
            <w:tcW w:w="891" w:type="pct"/>
          </w:tcPr>
          <w:p w:rsidR="00802EA5" w:rsidRPr="00802EA5" w:rsidRDefault="00802EA5" w:rsidP="00433739">
            <w:pPr>
              <w:rPr>
                <w:rFonts w:ascii="Arial" w:hAnsi="Arial" w:cs="Arial"/>
                <w:i/>
                <w:sz w:val="20"/>
                <w:szCs w:val="20"/>
              </w:rPr>
            </w:pPr>
            <w:r w:rsidRPr="00802EA5">
              <w:rPr>
                <w:rFonts w:ascii="Arial" w:hAnsi="Arial" w:cs="Arial"/>
                <w:i/>
                <w:sz w:val="20"/>
                <w:szCs w:val="20"/>
              </w:rPr>
              <w:t>624 (%/sd)</w:t>
            </w:r>
          </w:p>
        </w:tc>
        <w:tc>
          <w:tcPr>
            <w:tcW w:w="809" w:type="pct"/>
          </w:tcPr>
          <w:p w:rsidR="00802EA5" w:rsidRPr="00802EA5" w:rsidRDefault="00802EA5" w:rsidP="00433739">
            <w:pPr>
              <w:rPr>
                <w:rFonts w:ascii="Arial" w:hAnsi="Arial" w:cs="Arial"/>
                <w:i/>
                <w:sz w:val="20"/>
                <w:szCs w:val="20"/>
              </w:rPr>
            </w:pPr>
            <w:r w:rsidRPr="00802EA5">
              <w:rPr>
                <w:rFonts w:ascii="Arial" w:hAnsi="Arial" w:cs="Arial"/>
                <w:i/>
                <w:sz w:val="20"/>
                <w:szCs w:val="20"/>
              </w:rPr>
              <w:t>480 (%/sd)</w:t>
            </w:r>
          </w:p>
        </w:tc>
      </w:tr>
      <w:tr w:rsidR="00802EA5" w:rsidRPr="00802EA5">
        <w:trPr>
          <w:trHeight w:val="1689"/>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Ethnic group (baseline)</w:t>
            </w:r>
          </w:p>
          <w:p w:rsidR="00802EA5" w:rsidRPr="00802EA5" w:rsidRDefault="00802EA5" w:rsidP="00433739">
            <w:pPr>
              <w:rPr>
                <w:rFonts w:ascii="Arial" w:hAnsi="Arial" w:cs="Arial"/>
                <w:sz w:val="20"/>
                <w:szCs w:val="20"/>
              </w:rPr>
            </w:pPr>
            <w:r w:rsidRPr="00802EA5">
              <w:rPr>
                <w:rFonts w:ascii="Arial" w:hAnsi="Arial" w:cs="Arial"/>
                <w:sz w:val="20"/>
                <w:szCs w:val="20"/>
              </w:rPr>
              <w:t>Pakistani</w:t>
            </w:r>
          </w:p>
          <w:p w:rsidR="00802EA5" w:rsidRPr="00802EA5" w:rsidRDefault="00802EA5" w:rsidP="00433739">
            <w:pPr>
              <w:rPr>
                <w:rFonts w:ascii="Arial" w:hAnsi="Arial" w:cs="Arial"/>
                <w:sz w:val="20"/>
                <w:szCs w:val="20"/>
              </w:rPr>
            </w:pPr>
            <w:r w:rsidRPr="00802EA5">
              <w:rPr>
                <w:rFonts w:ascii="Arial" w:hAnsi="Arial" w:cs="Arial"/>
                <w:sz w:val="20"/>
                <w:szCs w:val="20"/>
              </w:rPr>
              <w:t>White British</w:t>
            </w:r>
          </w:p>
          <w:p w:rsidR="00802EA5" w:rsidRPr="00802EA5" w:rsidRDefault="00802EA5" w:rsidP="00433739">
            <w:pPr>
              <w:rPr>
                <w:rFonts w:ascii="Arial" w:hAnsi="Arial" w:cs="Arial"/>
                <w:sz w:val="20"/>
                <w:szCs w:val="20"/>
              </w:rPr>
            </w:pPr>
            <w:r w:rsidRPr="00802EA5">
              <w:rPr>
                <w:rFonts w:ascii="Arial" w:hAnsi="Arial" w:cs="Arial"/>
                <w:sz w:val="20"/>
                <w:szCs w:val="20"/>
              </w:rPr>
              <w:t xml:space="preserve">Mixed Other </w:t>
            </w:r>
          </w:p>
          <w:p w:rsidR="00802EA5" w:rsidRPr="00802EA5" w:rsidRDefault="00802EA5" w:rsidP="00433739">
            <w:pPr>
              <w:rPr>
                <w:rFonts w:ascii="Arial" w:hAnsi="Arial" w:cs="Arial"/>
                <w:sz w:val="20"/>
                <w:szCs w:val="20"/>
              </w:rPr>
            </w:pPr>
            <w:r w:rsidRPr="00802EA5">
              <w:rPr>
                <w:rFonts w:ascii="Arial" w:hAnsi="Arial" w:cs="Arial"/>
                <w:sz w:val="20"/>
                <w:szCs w:val="20"/>
              </w:rPr>
              <w:t>Indian</w:t>
            </w:r>
          </w:p>
          <w:p w:rsidR="00802EA5" w:rsidRPr="00802EA5" w:rsidRDefault="00802EA5" w:rsidP="00433739">
            <w:pPr>
              <w:rPr>
                <w:rFonts w:ascii="Arial" w:hAnsi="Arial" w:cs="Arial"/>
                <w:sz w:val="20"/>
                <w:szCs w:val="20"/>
              </w:rPr>
            </w:pPr>
            <w:r w:rsidRPr="00802EA5">
              <w:rPr>
                <w:rFonts w:ascii="Arial" w:hAnsi="Arial" w:cs="Arial"/>
                <w:sz w:val="20"/>
                <w:szCs w:val="20"/>
              </w:rPr>
              <w:t>Bangladeshi</w:t>
            </w:r>
          </w:p>
          <w:p w:rsidR="00802EA5" w:rsidRPr="00802EA5" w:rsidRDefault="00802EA5" w:rsidP="00433739">
            <w:pPr>
              <w:rPr>
                <w:rFonts w:ascii="Arial" w:hAnsi="Arial" w:cs="Arial"/>
                <w:sz w:val="20"/>
                <w:szCs w:val="20"/>
              </w:rPr>
            </w:pPr>
            <w:r w:rsidRPr="00802EA5">
              <w:rPr>
                <w:rFonts w:ascii="Arial" w:hAnsi="Arial" w:cs="Arial"/>
                <w:sz w:val="20"/>
                <w:szCs w:val="20"/>
              </w:rPr>
              <w:t>Black</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780 (48.87)</w:t>
            </w:r>
          </w:p>
          <w:p w:rsidR="00802EA5" w:rsidRPr="00802EA5" w:rsidRDefault="00802EA5" w:rsidP="00433739">
            <w:pPr>
              <w:rPr>
                <w:rFonts w:ascii="Arial" w:hAnsi="Arial" w:cs="Arial"/>
                <w:sz w:val="20"/>
                <w:szCs w:val="20"/>
              </w:rPr>
            </w:pPr>
            <w:r w:rsidRPr="00802EA5">
              <w:rPr>
                <w:rFonts w:ascii="Arial" w:hAnsi="Arial" w:cs="Arial"/>
                <w:sz w:val="20"/>
                <w:szCs w:val="20"/>
              </w:rPr>
              <w:t>596 (37.34)</w:t>
            </w:r>
          </w:p>
          <w:p w:rsidR="00802EA5" w:rsidRPr="00802EA5" w:rsidRDefault="00802EA5" w:rsidP="00433739">
            <w:pPr>
              <w:rPr>
                <w:rFonts w:ascii="Arial" w:hAnsi="Arial" w:cs="Arial"/>
                <w:sz w:val="20"/>
                <w:szCs w:val="20"/>
              </w:rPr>
            </w:pPr>
            <w:r w:rsidRPr="00802EA5">
              <w:rPr>
                <w:rFonts w:ascii="Arial" w:hAnsi="Arial" w:cs="Arial"/>
                <w:sz w:val="20"/>
                <w:szCs w:val="20"/>
              </w:rPr>
              <w:t>87 (5.45)</w:t>
            </w:r>
          </w:p>
          <w:p w:rsidR="00802EA5" w:rsidRPr="00802EA5" w:rsidRDefault="00802EA5" w:rsidP="00433739">
            <w:pPr>
              <w:rPr>
                <w:rFonts w:ascii="Arial" w:hAnsi="Arial" w:cs="Arial"/>
                <w:sz w:val="20"/>
                <w:szCs w:val="20"/>
              </w:rPr>
            </w:pPr>
            <w:r w:rsidRPr="00802EA5">
              <w:rPr>
                <w:rFonts w:ascii="Arial" w:hAnsi="Arial" w:cs="Arial"/>
                <w:sz w:val="20"/>
                <w:szCs w:val="20"/>
              </w:rPr>
              <w:t>65 (4.07)</w:t>
            </w:r>
          </w:p>
          <w:p w:rsidR="00802EA5" w:rsidRPr="00802EA5" w:rsidRDefault="00802EA5" w:rsidP="00433739">
            <w:pPr>
              <w:rPr>
                <w:rFonts w:ascii="Arial" w:hAnsi="Arial" w:cs="Arial"/>
                <w:sz w:val="20"/>
                <w:szCs w:val="20"/>
              </w:rPr>
            </w:pPr>
            <w:r w:rsidRPr="00802EA5">
              <w:rPr>
                <w:rFonts w:ascii="Arial" w:hAnsi="Arial" w:cs="Arial"/>
                <w:sz w:val="20"/>
                <w:szCs w:val="20"/>
              </w:rPr>
              <w:t>36 (2.26)</w:t>
            </w:r>
          </w:p>
          <w:p w:rsidR="00802EA5" w:rsidRPr="00802EA5" w:rsidRDefault="00802EA5" w:rsidP="00433739">
            <w:pPr>
              <w:rPr>
                <w:rFonts w:ascii="Arial" w:hAnsi="Arial" w:cs="Arial"/>
                <w:sz w:val="20"/>
                <w:szCs w:val="20"/>
              </w:rPr>
            </w:pPr>
            <w:r w:rsidRPr="00802EA5">
              <w:rPr>
                <w:rFonts w:ascii="Arial" w:hAnsi="Arial" w:cs="Arial"/>
                <w:sz w:val="20"/>
                <w:szCs w:val="20"/>
              </w:rPr>
              <w:t xml:space="preserve">32 (2.01) </w:t>
            </w:r>
          </w:p>
        </w:tc>
        <w:tc>
          <w:tcPr>
            <w:tcW w:w="891" w:type="pct"/>
          </w:tcPr>
          <w:p w:rsidR="00802EA5" w:rsidRPr="00802EA5" w:rsidRDefault="00802EA5" w:rsidP="00433739">
            <w:pPr>
              <w:rPr>
                <w:rFonts w:ascii="Arial" w:hAnsi="Arial" w:cs="Arial"/>
                <w:sz w:val="20"/>
                <w:szCs w:val="20"/>
              </w:rPr>
            </w:pPr>
          </w:p>
        </w:tc>
        <w:tc>
          <w:tcPr>
            <w:tcW w:w="809" w:type="pct"/>
          </w:tcPr>
          <w:p w:rsidR="00802EA5" w:rsidRPr="00802EA5" w:rsidRDefault="00802EA5" w:rsidP="00433739">
            <w:pPr>
              <w:rPr>
                <w:rFonts w:ascii="Arial" w:hAnsi="Arial" w:cs="Arial"/>
                <w:sz w:val="20"/>
                <w:szCs w:val="20"/>
              </w:rPr>
            </w:pPr>
          </w:p>
        </w:tc>
      </w:tr>
      <w:tr w:rsidR="00802EA5" w:rsidRPr="00802EA5">
        <w:trPr>
          <w:trHeight w:val="279"/>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Mean maternal age at delivery (baseline)</w:t>
            </w:r>
          </w:p>
        </w:tc>
        <w:tc>
          <w:tcPr>
            <w:tcW w:w="971" w:type="pct"/>
          </w:tcPr>
          <w:p w:rsidR="00802EA5" w:rsidRPr="00802EA5" w:rsidRDefault="00802EA5" w:rsidP="00433739">
            <w:pPr>
              <w:rPr>
                <w:rFonts w:ascii="Arial" w:hAnsi="Arial" w:cs="Arial"/>
                <w:sz w:val="20"/>
                <w:szCs w:val="20"/>
              </w:rPr>
            </w:pPr>
            <w:r w:rsidRPr="00802EA5">
              <w:rPr>
                <w:rFonts w:ascii="Arial" w:hAnsi="Arial" w:cs="Arial"/>
                <w:sz w:val="20"/>
                <w:szCs w:val="20"/>
              </w:rPr>
              <w:t>27.49 (sd 5.61)</w:t>
            </w:r>
          </w:p>
        </w:tc>
        <w:tc>
          <w:tcPr>
            <w:tcW w:w="891" w:type="pct"/>
          </w:tcPr>
          <w:p w:rsidR="00802EA5" w:rsidRPr="00802EA5" w:rsidRDefault="00802EA5" w:rsidP="00433739">
            <w:pPr>
              <w:rPr>
                <w:rFonts w:ascii="Arial" w:hAnsi="Arial" w:cs="Arial"/>
                <w:sz w:val="20"/>
                <w:szCs w:val="20"/>
              </w:rPr>
            </w:pPr>
            <w:r w:rsidRPr="00802EA5">
              <w:rPr>
                <w:rFonts w:ascii="Arial" w:hAnsi="Arial" w:cs="Arial"/>
                <w:sz w:val="20"/>
                <w:szCs w:val="20"/>
              </w:rPr>
              <w:t>27.70 (sd 5.13)</w:t>
            </w:r>
          </w:p>
        </w:tc>
        <w:tc>
          <w:tcPr>
            <w:tcW w:w="809" w:type="pct"/>
          </w:tcPr>
          <w:p w:rsidR="00802EA5" w:rsidRPr="00802EA5" w:rsidRDefault="00802EA5" w:rsidP="00433739">
            <w:pPr>
              <w:rPr>
                <w:rFonts w:ascii="Arial" w:hAnsi="Arial" w:cs="Arial"/>
                <w:sz w:val="20"/>
                <w:szCs w:val="20"/>
              </w:rPr>
            </w:pPr>
            <w:r w:rsidRPr="00802EA5">
              <w:rPr>
                <w:rFonts w:ascii="Arial" w:hAnsi="Arial" w:cs="Arial"/>
                <w:sz w:val="20"/>
                <w:szCs w:val="20"/>
              </w:rPr>
              <w:t>26.91 (6.10)</w:t>
            </w:r>
          </w:p>
        </w:tc>
      </w:tr>
      <w:tr w:rsidR="00802EA5" w:rsidRPr="00802EA5">
        <w:trPr>
          <w:trHeight w:val="1182"/>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Occupation of the father (baseline)</w:t>
            </w:r>
          </w:p>
          <w:p w:rsidR="00802EA5" w:rsidRPr="00802EA5" w:rsidRDefault="00802EA5" w:rsidP="00433739">
            <w:pPr>
              <w:rPr>
                <w:rFonts w:ascii="Arial" w:hAnsi="Arial" w:cs="Arial"/>
                <w:sz w:val="20"/>
                <w:szCs w:val="20"/>
              </w:rPr>
            </w:pPr>
            <w:r w:rsidRPr="00802EA5">
              <w:rPr>
                <w:rFonts w:ascii="Arial" w:hAnsi="Arial" w:cs="Arial"/>
                <w:sz w:val="20"/>
                <w:szCs w:val="20"/>
              </w:rPr>
              <w:t>Non-manual</w:t>
            </w:r>
          </w:p>
          <w:p w:rsidR="00802EA5" w:rsidRPr="00802EA5" w:rsidRDefault="00802EA5" w:rsidP="00433739">
            <w:pPr>
              <w:rPr>
                <w:rFonts w:ascii="Arial" w:hAnsi="Arial" w:cs="Arial"/>
                <w:sz w:val="20"/>
                <w:szCs w:val="20"/>
              </w:rPr>
            </w:pPr>
            <w:r w:rsidRPr="00802EA5">
              <w:rPr>
                <w:rFonts w:ascii="Arial" w:hAnsi="Arial" w:cs="Arial"/>
                <w:sz w:val="20"/>
                <w:szCs w:val="20"/>
              </w:rPr>
              <w:t>Manual</w:t>
            </w:r>
          </w:p>
          <w:p w:rsidR="00802EA5" w:rsidRPr="00802EA5" w:rsidRDefault="00802EA5" w:rsidP="00433739">
            <w:pPr>
              <w:rPr>
                <w:rFonts w:ascii="Arial" w:hAnsi="Arial" w:cs="Arial"/>
                <w:sz w:val="20"/>
                <w:szCs w:val="20"/>
              </w:rPr>
            </w:pPr>
            <w:r w:rsidRPr="00802EA5">
              <w:rPr>
                <w:rFonts w:ascii="Arial" w:hAnsi="Arial" w:cs="Arial"/>
                <w:sz w:val="20"/>
                <w:szCs w:val="20"/>
              </w:rPr>
              <w:t>Self-employed</w:t>
            </w:r>
          </w:p>
          <w:p w:rsidR="00802EA5" w:rsidRPr="00802EA5" w:rsidRDefault="00802EA5" w:rsidP="00433739">
            <w:pPr>
              <w:rPr>
                <w:rFonts w:ascii="Arial" w:hAnsi="Arial" w:cs="Arial"/>
                <w:sz w:val="20"/>
                <w:szCs w:val="20"/>
              </w:rPr>
            </w:pPr>
            <w:r w:rsidRPr="00802EA5">
              <w:rPr>
                <w:rFonts w:ascii="Arial" w:hAnsi="Arial" w:cs="Arial"/>
                <w:sz w:val="20"/>
                <w:szCs w:val="20"/>
              </w:rPr>
              <w:t>Unemployed</w:t>
            </w:r>
          </w:p>
          <w:p w:rsidR="00802EA5" w:rsidRPr="00802EA5" w:rsidRDefault="00802EA5" w:rsidP="00433739">
            <w:pPr>
              <w:rPr>
                <w:rFonts w:ascii="Arial" w:hAnsi="Arial" w:cs="Arial"/>
                <w:sz w:val="20"/>
                <w:szCs w:val="20"/>
              </w:rPr>
            </w:pPr>
            <w:r w:rsidRPr="00802EA5">
              <w:rPr>
                <w:rFonts w:ascii="Arial" w:hAnsi="Arial" w:cs="Arial"/>
                <w:sz w:val="20"/>
                <w:szCs w:val="20"/>
              </w:rPr>
              <w:t>Other (Don’t know/student)</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669 (42.10)</w:t>
            </w:r>
          </w:p>
          <w:p w:rsidR="00802EA5" w:rsidRPr="00802EA5" w:rsidRDefault="00802EA5" w:rsidP="00433739">
            <w:pPr>
              <w:rPr>
                <w:rFonts w:ascii="Arial" w:hAnsi="Arial" w:cs="Arial"/>
                <w:sz w:val="20"/>
                <w:szCs w:val="20"/>
              </w:rPr>
            </w:pPr>
            <w:r w:rsidRPr="00802EA5">
              <w:rPr>
                <w:rFonts w:ascii="Arial" w:hAnsi="Arial" w:cs="Arial"/>
                <w:sz w:val="20"/>
                <w:szCs w:val="20"/>
              </w:rPr>
              <w:t>494 (31.09)</w:t>
            </w:r>
          </w:p>
          <w:p w:rsidR="00802EA5" w:rsidRPr="00802EA5" w:rsidRDefault="00802EA5" w:rsidP="00433739">
            <w:pPr>
              <w:rPr>
                <w:rFonts w:ascii="Arial" w:hAnsi="Arial" w:cs="Arial"/>
                <w:sz w:val="20"/>
                <w:szCs w:val="20"/>
              </w:rPr>
            </w:pPr>
            <w:r w:rsidRPr="00802EA5">
              <w:rPr>
                <w:rFonts w:ascii="Arial" w:hAnsi="Arial" w:cs="Arial"/>
                <w:sz w:val="20"/>
                <w:szCs w:val="20"/>
              </w:rPr>
              <w:t>187 (11.77)</w:t>
            </w:r>
          </w:p>
          <w:p w:rsidR="00802EA5" w:rsidRPr="00802EA5" w:rsidRDefault="00802EA5" w:rsidP="00433739">
            <w:pPr>
              <w:rPr>
                <w:rFonts w:ascii="Arial" w:hAnsi="Arial" w:cs="Arial"/>
                <w:sz w:val="20"/>
                <w:szCs w:val="20"/>
              </w:rPr>
            </w:pPr>
            <w:r w:rsidRPr="00802EA5">
              <w:rPr>
                <w:rFonts w:ascii="Arial" w:hAnsi="Arial" w:cs="Arial"/>
                <w:sz w:val="20"/>
                <w:szCs w:val="20"/>
              </w:rPr>
              <w:t>177 (11.14)</w:t>
            </w:r>
          </w:p>
          <w:p w:rsidR="00802EA5" w:rsidRPr="00802EA5" w:rsidRDefault="00802EA5" w:rsidP="00433739">
            <w:pPr>
              <w:rPr>
                <w:rFonts w:ascii="Arial" w:hAnsi="Arial" w:cs="Arial"/>
                <w:sz w:val="20"/>
                <w:szCs w:val="20"/>
              </w:rPr>
            </w:pPr>
            <w:r w:rsidRPr="00802EA5">
              <w:rPr>
                <w:rFonts w:ascii="Arial" w:hAnsi="Arial" w:cs="Arial"/>
                <w:sz w:val="20"/>
                <w:szCs w:val="20"/>
              </w:rPr>
              <w:t>62 (3.90)</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266 (34.59)</w:t>
            </w:r>
          </w:p>
          <w:p w:rsidR="00802EA5" w:rsidRPr="00802EA5" w:rsidRDefault="00802EA5" w:rsidP="00433739">
            <w:pPr>
              <w:rPr>
                <w:rFonts w:ascii="Arial" w:hAnsi="Arial" w:cs="Arial"/>
                <w:sz w:val="20"/>
                <w:szCs w:val="20"/>
              </w:rPr>
            </w:pPr>
            <w:r w:rsidRPr="00802EA5">
              <w:rPr>
                <w:rFonts w:ascii="Arial" w:hAnsi="Arial" w:cs="Arial"/>
                <w:sz w:val="20"/>
                <w:szCs w:val="20"/>
              </w:rPr>
              <w:t>302 (39.27)</w:t>
            </w:r>
          </w:p>
          <w:p w:rsidR="00802EA5" w:rsidRPr="00802EA5" w:rsidRDefault="00802EA5" w:rsidP="00433739">
            <w:pPr>
              <w:rPr>
                <w:rFonts w:ascii="Arial" w:hAnsi="Arial" w:cs="Arial"/>
                <w:sz w:val="20"/>
                <w:szCs w:val="20"/>
              </w:rPr>
            </w:pPr>
            <w:r w:rsidRPr="00802EA5">
              <w:rPr>
                <w:rFonts w:ascii="Arial" w:hAnsi="Arial" w:cs="Arial"/>
                <w:sz w:val="20"/>
                <w:szCs w:val="20"/>
              </w:rPr>
              <w:t>112 (14.56)</w:t>
            </w:r>
          </w:p>
          <w:p w:rsidR="00802EA5" w:rsidRPr="00802EA5" w:rsidRDefault="00802EA5" w:rsidP="00433739">
            <w:pPr>
              <w:rPr>
                <w:rFonts w:ascii="Arial" w:hAnsi="Arial" w:cs="Arial"/>
                <w:sz w:val="20"/>
                <w:szCs w:val="20"/>
              </w:rPr>
            </w:pPr>
            <w:r w:rsidRPr="00802EA5">
              <w:rPr>
                <w:rFonts w:ascii="Arial" w:hAnsi="Arial" w:cs="Arial"/>
                <w:sz w:val="20"/>
                <w:szCs w:val="20"/>
              </w:rPr>
              <w:t>77 (10.01)</w:t>
            </w:r>
          </w:p>
          <w:p w:rsidR="00802EA5" w:rsidRPr="00802EA5" w:rsidRDefault="00802EA5" w:rsidP="00433739">
            <w:pPr>
              <w:rPr>
                <w:rFonts w:ascii="Arial" w:hAnsi="Arial" w:cs="Arial"/>
                <w:sz w:val="20"/>
                <w:szCs w:val="20"/>
              </w:rPr>
            </w:pPr>
            <w:r w:rsidRPr="00802EA5">
              <w:rPr>
                <w:rFonts w:ascii="Arial" w:hAnsi="Arial" w:cs="Arial"/>
                <w:sz w:val="20"/>
                <w:szCs w:val="20"/>
              </w:rPr>
              <w:t>12 (1.56)</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300 (51.81)</w:t>
            </w:r>
          </w:p>
          <w:p w:rsidR="00802EA5" w:rsidRPr="00802EA5" w:rsidRDefault="00802EA5" w:rsidP="00433739">
            <w:pPr>
              <w:rPr>
                <w:rFonts w:ascii="Arial" w:hAnsi="Arial" w:cs="Arial"/>
                <w:sz w:val="20"/>
                <w:szCs w:val="20"/>
              </w:rPr>
            </w:pPr>
            <w:r w:rsidRPr="00802EA5">
              <w:rPr>
                <w:rFonts w:ascii="Arial" w:hAnsi="Arial" w:cs="Arial"/>
                <w:sz w:val="20"/>
                <w:szCs w:val="20"/>
              </w:rPr>
              <w:t>137 (23.66)</w:t>
            </w:r>
          </w:p>
          <w:p w:rsidR="00802EA5" w:rsidRPr="00802EA5" w:rsidRDefault="00802EA5" w:rsidP="00433739">
            <w:pPr>
              <w:rPr>
                <w:rFonts w:ascii="Arial" w:hAnsi="Arial" w:cs="Arial"/>
                <w:sz w:val="20"/>
                <w:szCs w:val="20"/>
              </w:rPr>
            </w:pPr>
            <w:r w:rsidRPr="00802EA5">
              <w:rPr>
                <w:rFonts w:ascii="Arial" w:hAnsi="Arial" w:cs="Arial"/>
                <w:sz w:val="20"/>
                <w:szCs w:val="20"/>
              </w:rPr>
              <w:t>53 (9.15)</w:t>
            </w:r>
          </w:p>
          <w:p w:rsidR="00802EA5" w:rsidRPr="00802EA5" w:rsidRDefault="00802EA5" w:rsidP="00433739">
            <w:pPr>
              <w:rPr>
                <w:rFonts w:ascii="Arial" w:hAnsi="Arial" w:cs="Arial"/>
                <w:sz w:val="20"/>
                <w:szCs w:val="20"/>
              </w:rPr>
            </w:pPr>
            <w:r w:rsidRPr="00802EA5">
              <w:rPr>
                <w:rFonts w:ascii="Arial" w:hAnsi="Arial" w:cs="Arial"/>
                <w:sz w:val="20"/>
                <w:szCs w:val="20"/>
              </w:rPr>
              <w:t>75 (12.95)</w:t>
            </w:r>
          </w:p>
          <w:p w:rsidR="00802EA5" w:rsidRPr="00802EA5" w:rsidRDefault="00802EA5" w:rsidP="00433739">
            <w:pPr>
              <w:rPr>
                <w:rFonts w:ascii="Arial" w:hAnsi="Arial" w:cs="Arial"/>
                <w:sz w:val="20"/>
                <w:szCs w:val="20"/>
              </w:rPr>
            </w:pPr>
            <w:r w:rsidRPr="00802EA5">
              <w:rPr>
                <w:rFonts w:ascii="Arial" w:hAnsi="Arial" w:cs="Arial"/>
                <w:sz w:val="20"/>
                <w:szCs w:val="20"/>
              </w:rPr>
              <w:t>14 (2.42)</w:t>
            </w:r>
          </w:p>
        </w:tc>
      </w:tr>
      <w:tr w:rsidR="00802EA5" w:rsidRPr="00802EA5">
        <w:trPr>
          <w:trHeight w:val="111"/>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Mother’s education (baseline)</w:t>
            </w:r>
          </w:p>
          <w:p w:rsidR="00802EA5" w:rsidRPr="00802EA5" w:rsidRDefault="00802EA5" w:rsidP="00433739">
            <w:pPr>
              <w:rPr>
                <w:rFonts w:ascii="Arial" w:hAnsi="Arial" w:cs="Arial"/>
                <w:sz w:val="20"/>
                <w:szCs w:val="20"/>
              </w:rPr>
            </w:pPr>
            <w:r w:rsidRPr="00802EA5">
              <w:rPr>
                <w:rFonts w:ascii="Arial" w:hAnsi="Arial" w:cs="Arial"/>
                <w:sz w:val="20"/>
                <w:szCs w:val="20"/>
              </w:rPr>
              <w:t>&lt;5 GCSE equivalent</w:t>
            </w:r>
          </w:p>
          <w:p w:rsidR="00802EA5" w:rsidRPr="00802EA5" w:rsidRDefault="00802EA5" w:rsidP="00433739">
            <w:pPr>
              <w:rPr>
                <w:rFonts w:ascii="Arial" w:hAnsi="Arial" w:cs="Arial"/>
                <w:sz w:val="20"/>
                <w:szCs w:val="20"/>
              </w:rPr>
            </w:pPr>
            <w:r w:rsidRPr="00802EA5">
              <w:rPr>
                <w:rFonts w:ascii="Arial" w:hAnsi="Arial" w:cs="Arial"/>
                <w:sz w:val="20"/>
                <w:szCs w:val="20"/>
              </w:rPr>
              <w:t>5 GCSE equivalent</w:t>
            </w:r>
          </w:p>
          <w:p w:rsidR="00802EA5" w:rsidRPr="00802EA5" w:rsidRDefault="00802EA5" w:rsidP="00433739">
            <w:pPr>
              <w:rPr>
                <w:rFonts w:ascii="Arial" w:hAnsi="Arial" w:cs="Arial"/>
                <w:sz w:val="20"/>
                <w:szCs w:val="20"/>
              </w:rPr>
            </w:pPr>
            <w:r w:rsidRPr="00802EA5">
              <w:rPr>
                <w:rFonts w:ascii="Arial" w:hAnsi="Arial" w:cs="Arial"/>
                <w:sz w:val="20"/>
                <w:szCs w:val="20"/>
              </w:rPr>
              <w:t>A-level equivalent</w:t>
            </w:r>
          </w:p>
          <w:p w:rsidR="00802EA5" w:rsidRPr="00802EA5" w:rsidRDefault="00802EA5" w:rsidP="00433739">
            <w:pPr>
              <w:rPr>
                <w:rFonts w:ascii="Arial" w:hAnsi="Arial" w:cs="Arial"/>
                <w:sz w:val="20"/>
                <w:szCs w:val="20"/>
              </w:rPr>
            </w:pPr>
            <w:r w:rsidRPr="00802EA5">
              <w:rPr>
                <w:rFonts w:ascii="Arial" w:hAnsi="Arial" w:cs="Arial"/>
                <w:sz w:val="20"/>
                <w:szCs w:val="20"/>
              </w:rPr>
              <w:t>Higher than A-level</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353 (23.93)</w:t>
            </w:r>
          </w:p>
          <w:p w:rsidR="00802EA5" w:rsidRPr="00802EA5" w:rsidRDefault="00802EA5" w:rsidP="00433739">
            <w:pPr>
              <w:rPr>
                <w:rFonts w:ascii="Arial" w:hAnsi="Arial" w:cs="Arial"/>
                <w:sz w:val="20"/>
                <w:szCs w:val="20"/>
              </w:rPr>
            </w:pPr>
            <w:r w:rsidRPr="00802EA5">
              <w:rPr>
                <w:rFonts w:ascii="Arial" w:hAnsi="Arial" w:cs="Arial"/>
                <w:sz w:val="20"/>
                <w:szCs w:val="20"/>
              </w:rPr>
              <w:t>513 (34.78)</w:t>
            </w:r>
          </w:p>
          <w:p w:rsidR="00802EA5" w:rsidRPr="00802EA5" w:rsidRDefault="00802EA5" w:rsidP="00433739">
            <w:pPr>
              <w:rPr>
                <w:rFonts w:ascii="Arial" w:hAnsi="Arial" w:cs="Arial"/>
                <w:sz w:val="20"/>
                <w:szCs w:val="20"/>
              </w:rPr>
            </w:pPr>
            <w:r w:rsidRPr="00802EA5">
              <w:rPr>
                <w:rFonts w:ascii="Arial" w:hAnsi="Arial" w:cs="Arial"/>
                <w:sz w:val="20"/>
                <w:szCs w:val="20"/>
              </w:rPr>
              <w:t>217 (14.71)</w:t>
            </w:r>
          </w:p>
          <w:p w:rsidR="00802EA5" w:rsidRPr="00802EA5" w:rsidRDefault="00802EA5" w:rsidP="00433739">
            <w:pPr>
              <w:rPr>
                <w:rFonts w:ascii="Arial" w:hAnsi="Arial" w:cs="Arial"/>
                <w:sz w:val="20"/>
                <w:szCs w:val="20"/>
              </w:rPr>
            </w:pPr>
            <w:r w:rsidRPr="00802EA5">
              <w:rPr>
                <w:rFonts w:ascii="Arial" w:hAnsi="Arial" w:cs="Arial"/>
                <w:sz w:val="20"/>
                <w:szCs w:val="20"/>
              </w:rPr>
              <w:t>392 (26.58)</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201 (27.13)</w:t>
            </w:r>
          </w:p>
          <w:p w:rsidR="00802EA5" w:rsidRPr="00802EA5" w:rsidRDefault="00802EA5" w:rsidP="00433739">
            <w:pPr>
              <w:rPr>
                <w:rFonts w:ascii="Arial" w:hAnsi="Arial" w:cs="Arial"/>
                <w:sz w:val="20"/>
                <w:szCs w:val="20"/>
              </w:rPr>
            </w:pPr>
            <w:r w:rsidRPr="00802EA5">
              <w:rPr>
                <w:rFonts w:ascii="Arial" w:hAnsi="Arial" w:cs="Arial"/>
                <w:sz w:val="20"/>
                <w:szCs w:val="20"/>
              </w:rPr>
              <w:t>249 (33.60)</w:t>
            </w:r>
          </w:p>
          <w:p w:rsidR="00802EA5" w:rsidRPr="00802EA5" w:rsidRDefault="00802EA5" w:rsidP="00433739">
            <w:pPr>
              <w:rPr>
                <w:rFonts w:ascii="Arial" w:hAnsi="Arial" w:cs="Arial"/>
                <w:sz w:val="20"/>
                <w:szCs w:val="20"/>
              </w:rPr>
            </w:pPr>
            <w:r w:rsidRPr="00802EA5">
              <w:rPr>
                <w:rFonts w:ascii="Arial" w:hAnsi="Arial" w:cs="Arial"/>
                <w:sz w:val="20"/>
                <w:szCs w:val="20"/>
              </w:rPr>
              <w:t>89 (12.01)</w:t>
            </w:r>
          </w:p>
          <w:p w:rsidR="00802EA5" w:rsidRPr="00802EA5" w:rsidRDefault="00802EA5" w:rsidP="00433739">
            <w:pPr>
              <w:rPr>
                <w:rFonts w:ascii="Arial" w:hAnsi="Arial" w:cs="Arial"/>
                <w:sz w:val="20"/>
                <w:szCs w:val="20"/>
              </w:rPr>
            </w:pPr>
            <w:r w:rsidRPr="00802EA5">
              <w:rPr>
                <w:rFonts w:ascii="Arial" w:hAnsi="Arial" w:cs="Arial"/>
                <w:sz w:val="20"/>
                <w:szCs w:val="20"/>
              </w:rPr>
              <w:t>202 (27.26)</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120 (21.90)</w:t>
            </w:r>
          </w:p>
          <w:p w:rsidR="00802EA5" w:rsidRPr="00802EA5" w:rsidRDefault="00802EA5" w:rsidP="00433739">
            <w:pPr>
              <w:rPr>
                <w:rFonts w:ascii="Arial" w:hAnsi="Arial" w:cs="Arial"/>
                <w:sz w:val="20"/>
                <w:szCs w:val="20"/>
              </w:rPr>
            </w:pPr>
            <w:r w:rsidRPr="00802EA5">
              <w:rPr>
                <w:rFonts w:ascii="Arial" w:hAnsi="Arial" w:cs="Arial"/>
                <w:sz w:val="20"/>
                <w:szCs w:val="20"/>
              </w:rPr>
              <w:t>217 (39.60)</w:t>
            </w:r>
          </w:p>
          <w:p w:rsidR="00802EA5" w:rsidRPr="00802EA5" w:rsidRDefault="00802EA5" w:rsidP="00433739">
            <w:pPr>
              <w:rPr>
                <w:rFonts w:ascii="Arial" w:hAnsi="Arial" w:cs="Arial"/>
                <w:sz w:val="20"/>
                <w:szCs w:val="20"/>
              </w:rPr>
            </w:pPr>
            <w:r w:rsidRPr="00802EA5">
              <w:rPr>
                <w:rFonts w:ascii="Arial" w:hAnsi="Arial" w:cs="Arial"/>
                <w:sz w:val="20"/>
                <w:szCs w:val="20"/>
              </w:rPr>
              <w:t>95 (17.34)</w:t>
            </w:r>
          </w:p>
          <w:p w:rsidR="00802EA5" w:rsidRPr="00802EA5" w:rsidRDefault="00802EA5" w:rsidP="00433739">
            <w:pPr>
              <w:rPr>
                <w:rFonts w:ascii="Arial" w:hAnsi="Arial" w:cs="Arial"/>
                <w:sz w:val="20"/>
                <w:szCs w:val="20"/>
              </w:rPr>
            </w:pPr>
            <w:r w:rsidRPr="00802EA5">
              <w:rPr>
                <w:rFonts w:ascii="Arial" w:hAnsi="Arial" w:cs="Arial"/>
                <w:sz w:val="20"/>
                <w:szCs w:val="20"/>
              </w:rPr>
              <w:t>116 (21.17)</w:t>
            </w:r>
          </w:p>
        </w:tc>
      </w:tr>
      <w:tr w:rsidR="00802EA5" w:rsidRPr="00802EA5">
        <w:trPr>
          <w:trHeight w:val="111"/>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Subjective poverty (baseline)</w:t>
            </w:r>
          </w:p>
          <w:p w:rsidR="00802EA5" w:rsidRPr="00802EA5" w:rsidRDefault="00802EA5" w:rsidP="00433739">
            <w:pPr>
              <w:rPr>
                <w:rFonts w:ascii="Arial" w:hAnsi="Arial" w:cs="Arial"/>
                <w:sz w:val="20"/>
                <w:szCs w:val="20"/>
              </w:rPr>
            </w:pPr>
            <w:r w:rsidRPr="00802EA5">
              <w:rPr>
                <w:rFonts w:ascii="Arial" w:hAnsi="Arial" w:cs="Arial"/>
                <w:sz w:val="20"/>
                <w:szCs w:val="20"/>
              </w:rPr>
              <w:t>Living comfortably</w:t>
            </w:r>
          </w:p>
          <w:p w:rsidR="00802EA5" w:rsidRPr="00802EA5" w:rsidRDefault="00802EA5" w:rsidP="00433739">
            <w:pPr>
              <w:rPr>
                <w:rFonts w:ascii="Arial" w:hAnsi="Arial" w:cs="Arial"/>
                <w:sz w:val="20"/>
                <w:szCs w:val="20"/>
              </w:rPr>
            </w:pPr>
            <w:r w:rsidRPr="00802EA5">
              <w:rPr>
                <w:rFonts w:ascii="Arial" w:hAnsi="Arial" w:cs="Arial"/>
                <w:sz w:val="20"/>
                <w:szCs w:val="20"/>
              </w:rPr>
              <w:t xml:space="preserve">Doing alright </w:t>
            </w:r>
          </w:p>
          <w:p w:rsidR="00802EA5" w:rsidRPr="00802EA5" w:rsidRDefault="00802EA5" w:rsidP="00433739">
            <w:pPr>
              <w:rPr>
                <w:rFonts w:ascii="Arial" w:hAnsi="Arial" w:cs="Arial"/>
                <w:sz w:val="20"/>
                <w:szCs w:val="20"/>
              </w:rPr>
            </w:pPr>
            <w:r w:rsidRPr="00802EA5">
              <w:rPr>
                <w:rFonts w:ascii="Arial" w:hAnsi="Arial" w:cs="Arial"/>
                <w:sz w:val="20"/>
                <w:szCs w:val="20"/>
              </w:rPr>
              <w:t>Just about getting by</w:t>
            </w:r>
          </w:p>
          <w:p w:rsidR="00802EA5" w:rsidRPr="00802EA5" w:rsidRDefault="00802EA5" w:rsidP="00433739">
            <w:pPr>
              <w:rPr>
                <w:rFonts w:ascii="Arial" w:hAnsi="Arial" w:cs="Arial"/>
                <w:sz w:val="20"/>
                <w:szCs w:val="20"/>
              </w:rPr>
            </w:pPr>
            <w:r w:rsidRPr="00802EA5">
              <w:rPr>
                <w:rFonts w:ascii="Arial" w:hAnsi="Arial" w:cs="Arial"/>
                <w:sz w:val="20"/>
                <w:szCs w:val="20"/>
              </w:rPr>
              <w:t>Finding it difficult or very difficult to manage</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421 (26.49)</w:t>
            </w:r>
          </w:p>
          <w:p w:rsidR="00802EA5" w:rsidRPr="00802EA5" w:rsidRDefault="00802EA5" w:rsidP="00433739">
            <w:pPr>
              <w:rPr>
                <w:rFonts w:ascii="Arial" w:hAnsi="Arial" w:cs="Arial"/>
                <w:sz w:val="20"/>
                <w:szCs w:val="20"/>
              </w:rPr>
            </w:pPr>
            <w:r w:rsidRPr="00802EA5">
              <w:rPr>
                <w:rFonts w:ascii="Arial" w:hAnsi="Arial" w:cs="Arial"/>
                <w:sz w:val="20"/>
                <w:szCs w:val="20"/>
              </w:rPr>
              <w:t>666 (41.91)</w:t>
            </w:r>
          </w:p>
          <w:p w:rsidR="00802EA5" w:rsidRPr="00802EA5" w:rsidRDefault="00802EA5" w:rsidP="00433739">
            <w:pPr>
              <w:rPr>
                <w:rFonts w:ascii="Arial" w:hAnsi="Arial" w:cs="Arial"/>
                <w:sz w:val="20"/>
                <w:szCs w:val="20"/>
              </w:rPr>
            </w:pPr>
            <w:r w:rsidRPr="00802EA5">
              <w:rPr>
                <w:rFonts w:ascii="Arial" w:hAnsi="Arial" w:cs="Arial"/>
                <w:sz w:val="20"/>
                <w:szCs w:val="20"/>
              </w:rPr>
              <w:t>366 (23.03)</w:t>
            </w:r>
          </w:p>
          <w:p w:rsidR="00802EA5" w:rsidRPr="00802EA5" w:rsidRDefault="00802EA5" w:rsidP="00433739">
            <w:pPr>
              <w:rPr>
                <w:rFonts w:ascii="Arial" w:hAnsi="Arial" w:cs="Arial"/>
                <w:sz w:val="20"/>
                <w:szCs w:val="20"/>
              </w:rPr>
            </w:pPr>
            <w:r w:rsidRPr="00802EA5">
              <w:rPr>
                <w:rFonts w:ascii="Arial" w:hAnsi="Arial" w:cs="Arial"/>
                <w:sz w:val="20"/>
                <w:szCs w:val="20"/>
              </w:rPr>
              <w:t>136 (8.56)</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215 (27.71)</w:t>
            </w:r>
          </w:p>
          <w:p w:rsidR="00802EA5" w:rsidRPr="00802EA5" w:rsidRDefault="00802EA5" w:rsidP="00433739">
            <w:pPr>
              <w:rPr>
                <w:rFonts w:ascii="Arial" w:hAnsi="Arial" w:cs="Arial"/>
                <w:sz w:val="20"/>
                <w:szCs w:val="20"/>
              </w:rPr>
            </w:pPr>
            <w:r w:rsidRPr="00802EA5">
              <w:rPr>
                <w:rFonts w:ascii="Arial" w:hAnsi="Arial" w:cs="Arial"/>
                <w:sz w:val="20"/>
                <w:szCs w:val="20"/>
              </w:rPr>
              <w:t>315 (40.59)</w:t>
            </w:r>
          </w:p>
          <w:p w:rsidR="00802EA5" w:rsidRPr="00802EA5" w:rsidRDefault="00802EA5" w:rsidP="00433739">
            <w:pPr>
              <w:rPr>
                <w:rFonts w:ascii="Arial" w:hAnsi="Arial" w:cs="Arial"/>
                <w:sz w:val="20"/>
                <w:szCs w:val="20"/>
              </w:rPr>
            </w:pPr>
            <w:r w:rsidRPr="00802EA5">
              <w:rPr>
                <w:rFonts w:ascii="Arial" w:hAnsi="Arial" w:cs="Arial"/>
                <w:sz w:val="20"/>
                <w:szCs w:val="20"/>
              </w:rPr>
              <w:t>191 (24.61)</w:t>
            </w:r>
          </w:p>
          <w:p w:rsidR="00802EA5" w:rsidRPr="00802EA5" w:rsidRDefault="00802EA5" w:rsidP="00433739">
            <w:pPr>
              <w:rPr>
                <w:rFonts w:ascii="Arial" w:hAnsi="Arial" w:cs="Arial"/>
                <w:sz w:val="20"/>
                <w:szCs w:val="20"/>
              </w:rPr>
            </w:pPr>
            <w:r w:rsidRPr="00802EA5">
              <w:rPr>
                <w:rFonts w:ascii="Arial" w:hAnsi="Arial" w:cs="Arial"/>
                <w:sz w:val="20"/>
                <w:szCs w:val="20"/>
              </w:rPr>
              <w:t>55 (7.09)</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141 (23.78)</w:t>
            </w:r>
          </w:p>
          <w:p w:rsidR="00802EA5" w:rsidRPr="00802EA5" w:rsidRDefault="00802EA5" w:rsidP="00433739">
            <w:pPr>
              <w:rPr>
                <w:rFonts w:ascii="Arial" w:hAnsi="Arial" w:cs="Arial"/>
                <w:sz w:val="20"/>
                <w:szCs w:val="20"/>
              </w:rPr>
            </w:pPr>
            <w:r w:rsidRPr="00802EA5">
              <w:rPr>
                <w:rFonts w:ascii="Arial" w:hAnsi="Arial" w:cs="Arial"/>
                <w:sz w:val="20"/>
                <w:szCs w:val="20"/>
              </w:rPr>
              <w:t>257 (43.34)</w:t>
            </w:r>
          </w:p>
          <w:p w:rsidR="00802EA5" w:rsidRPr="00802EA5" w:rsidRDefault="00802EA5" w:rsidP="00433739">
            <w:pPr>
              <w:rPr>
                <w:rFonts w:ascii="Arial" w:hAnsi="Arial" w:cs="Arial"/>
                <w:sz w:val="20"/>
                <w:szCs w:val="20"/>
              </w:rPr>
            </w:pPr>
            <w:r w:rsidRPr="00802EA5">
              <w:rPr>
                <w:rFonts w:ascii="Arial" w:hAnsi="Arial" w:cs="Arial"/>
                <w:sz w:val="20"/>
                <w:szCs w:val="20"/>
              </w:rPr>
              <w:t>143 (24.11)</w:t>
            </w:r>
          </w:p>
          <w:p w:rsidR="00802EA5" w:rsidRPr="00802EA5" w:rsidRDefault="00802EA5" w:rsidP="00433739">
            <w:pPr>
              <w:rPr>
                <w:rFonts w:ascii="Arial" w:hAnsi="Arial" w:cs="Arial"/>
                <w:sz w:val="20"/>
                <w:szCs w:val="20"/>
              </w:rPr>
            </w:pPr>
            <w:r w:rsidRPr="00802EA5">
              <w:rPr>
                <w:rFonts w:ascii="Arial" w:hAnsi="Arial" w:cs="Arial"/>
                <w:sz w:val="20"/>
                <w:szCs w:val="20"/>
              </w:rPr>
              <w:t>52 (8.77)</w:t>
            </w:r>
          </w:p>
        </w:tc>
      </w:tr>
      <w:tr w:rsidR="00802EA5" w:rsidRPr="00802EA5">
        <w:trPr>
          <w:trHeight w:val="111"/>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Receiving means-tested benefits (baseline)</w:t>
            </w:r>
          </w:p>
          <w:p w:rsidR="00802EA5" w:rsidRPr="00802EA5" w:rsidRDefault="00802EA5" w:rsidP="00433739">
            <w:pPr>
              <w:rPr>
                <w:rFonts w:ascii="Arial" w:hAnsi="Arial" w:cs="Arial"/>
                <w:sz w:val="20"/>
                <w:szCs w:val="20"/>
              </w:rPr>
            </w:pPr>
            <w:r w:rsidRPr="00802EA5">
              <w:rPr>
                <w:rFonts w:ascii="Arial" w:hAnsi="Arial" w:cs="Arial"/>
                <w:sz w:val="20"/>
                <w:szCs w:val="20"/>
              </w:rPr>
              <w:t>Yes</w:t>
            </w:r>
          </w:p>
          <w:p w:rsidR="00802EA5" w:rsidRPr="00802EA5" w:rsidRDefault="00802EA5" w:rsidP="00433739">
            <w:pPr>
              <w:rPr>
                <w:rFonts w:ascii="Arial" w:hAnsi="Arial" w:cs="Arial"/>
                <w:sz w:val="20"/>
                <w:szCs w:val="20"/>
              </w:rPr>
            </w:pPr>
            <w:r w:rsidRPr="00802EA5">
              <w:rPr>
                <w:rFonts w:ascii="Arial" w:hAnsi="Arial" w:cs="Arial"/>
                <w:sz w:val="20"/>
                <w:szCs w:val="20"/>
              </w:rPr>
              <w:t>No</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646 (40.55)</w:t>
            </w:r>
          </w:p>
          <w:p w:rsidR="00802EA5" w:rsidRPr="00802EA5" w:rsidRDefault="00802EA5" w:rsidP="00433739">
            <w:pPr>
              <w:rPr>
                <w:rFonts w:ascii="Arial" w:hAnsi="Arial" w:cs="Arial"/>
                <w:sz w:val="20"/>
                <w:szCs w:val="20"/>
              </w:rPr>
            </w:pPr>
            <w:r w:rsidRPr="00802EA5">
              <w:rPr>
                <w:rFonts w:ascii="Arial" w:hAnsi="Arial" w:cs="Arial"/>
                <w:sz w:val="20"/>
                <w:szCs w:val="20"/>
              </w:rPr>
              <w:t>947 (59.45)</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352 (45.19)</w:t>
            </w:r>
          </w:p>
          <w:p w:rsidR="00802EA5" w:rsidRPr="00802EA5" w:rsidRDefault="00802EA5" w:rsidP="00433739">
            <w:pPr>
              <w:rPr>
                <w:rFonts w:ascii="Arial" w:hAnsi="Arial" w:cs="Arial"/>
                <w:sz w:val="20"/>
                <w:szCs w:val="20"/>
              </w:rPr>
            </w:pPr>
            <w:r w:rsidRPr="00802EA5">
              <w:rPr>
                <w:rFonts w:ascii="Arial" w:hAnsi="Arial" w:cs="Arial"/>
                <w:sz w:val="20"/>
                <w:szCs w:val="20"/>
              </w:rPr>
              <w:t>427 (54.81)</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221(37.27)</w:t>
            </w:r>
            <w:r w:rsidRPr="00802EA5">
              <w:rPr>
                <w:rFonts w:ascii="Arial" w:hAnsi="Arial" w:cs="Arial"/>
                <w:sz w:val="20"/>
                <w:szCs w:val="20"/>
              </w:rPr>
              <w:br/>
              <w:t>372 (62.73)</w:t>
            </w:r>
          </w:p>
        </w:tc>
      </w:tr>
      <w:tr w:rsidR="00802EA5" w:rsidRPr="00802EA5">
        <w:trPr>
          <w:trHeight w:val="1060"/>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Cohabitation status (baseline)</w:t>
            </w:r>
          </w:p>
          <w:p w:rsidR="00802EA5" w:rsidRPr="00802EA5" w:rsidRDefault="00802EA5" w:rsidP="00433739">
            <w:pPr>
              <w:rPr>
                <w:rFonts w:ascii="Arial" w:hAnsi="Arial" w:cs="Arial"/>
                <w:sz w:val="20"/>
                <w:szCs w:val="20"/>
              </w:rPr>
            </w:pPr>
            <w:r w:rsidRPr="00802EA5">
              <w:rPr>
                <w:rFonts w:ascii="Arial" w:hAnsi="Arial" w:cs="Arial"/>
                <w:sz w:val="20"/>
                <w:szCs w:val="20"/>
              </w:rPr>
              <w:t>Living with the baby’s father or another partner</w:t>
            </w:r>
          </w:p>
          <w:p w:rsidR="00802EA5" w:rsidRPr="00802EA5" w:rsidRDefault="00802EA5" w:rsidP="00433739">
            <w:pPr>
              <w:rPr>
                <w:rFonts w:ascii="Arial" w:hAnsi="Arial" w:cs="Arial"/>
                <w:sz w:val="20"/>
                <w:szCs w:val="20"/>
              </w:rPr>
            </w:pPr>
            <w:r w:rsidRPr="00802EA5">
              <w:rPr>
                <w:rFonts w:ascii="Arial" w:hAnsi="Arial" w:cs="Arial"/>
                <w:sz w:val="20"/>
                <w:szCs w:val="20"/>
              </w:rPr>
              <w:t>Not living with a partner</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1,372 (86.29)</w:t>
            </w: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218 (13.71)</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739 (95.11)</w:t>
            </w: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38 (4.89)</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441 (74.49)</w:t>
            </w:r>
          </w:p>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151 (25.51)</w:t>
            </w:r>
          </w:p>
        </w:tc>
      </w:tr>
      <w:tr w:rsidR="00802EA5" w:rsidRPr="00802EA5">
        <w:trPr>
          <w:trHeight w:val="684"/>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Household size (12 months)</w:t>
            </w:r>
          </w:p>
          <w:p w:rsidR="00802EA5" w:rsidRPr="00802EA5" w:rsidRDefault="00802EA5" w:rsidP="00433739">
            <w:pPr>
              <w:rPr>
                <w:rFonts w:ascii="Arial" w:hAnsi="Arial" w:cs="Arial"/>
                <w:sz w:val="20"/>
                <w:szCs w:val="20"/>
              </w:rPr>
            </w:pPr>
            <w:r w:rsidRPr="00802EA5">
              <w:rPr>
                <w:rFonts w:ascii="Arial" w:hAnsi="Arial" w:cs="Arial"/>
                <w:sz w:val="20"/>
                <w:szCs w:val="20"/>
              </w:rPr>
              <w:t>2-4 people</w:t>
            </w:r>
          </w:p>
          <w:p w:rsidR="00802EA5" w:rsidRPr="00802EA5" w:rsidRDefault="00802EA5" w:rsidP="00433739">
            <w:pPr>
              <w:rPr>
                <w:rFonts w:ascii="Arial" w:hAnsi="Arial" w:cs="Arial"/>
                <w:sz w:val="20"/>
                <w:szCs w:val="20"/>
              </w:rPr>
            </w:pPr>
            <w:r w:rsidRPr="00802EA5">
              <w:rPr>
                <w:rFonts w:ascii="Arial" w:hAnsi="Arial" w:cs="Arial"/>
                <w:sz w:val="20"/>
                <w:szCs w:val="20"/>
              </w:rPr>
              <w:t xml:space="preserve">5-15 people </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749 (53.81)</w:t>
            </w:r>
          </w:p>
          <w:p w:rsidR="00802EA5" w:rsidRPr="00802EA5" w:rsidRDefault="00802EA5" w:rsidP="00433739">
            <w:pPr>
              <w:rPr>
                <w:rFonts w:ascii="Arial" w:hAnsi="Arial" w:cs="Arial"/>
                <w:sz w:val="20"/>
                <w:szCs w:val="20"/>
              </w:rPr>
            </w:pPr>
            <w:r w:rsidRPr="00802EA5">
              <w:rPr>
                <w:rFonts w:ascii="Arial" w:hAnsi="Arial" w:cs="Arial"/>
                <w:sz w:val="20"/>
                <w:szCs w:val="20"/>
              </w:rPr>
              <w:t>643 (46.19)</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220 (32.35)</w:t>
            </w:r>
          </w:p>
          <w:p w:rsidR="00802EA5" w:rsidRPr="00802EA5" w:rsidRDefault="00802EA5" w:rsidP="00433739">
            <w:pPr>
              <w:rPr>
                <w:rFonts w:ascii="Arial" w:hAnsi="Arial" w:cs="Arial"/>
                <w:sz w:val="20"/>
                <w:szCs w:val="20"/>
              </w:rPr>
            </w:pPr>
            <w:r w:rsidRPr="00802EA5">
              <w:rPr>
                <w:rFonts w:ascii="Arial" w:hAnsi="Arial" w:cs="Arial"/>
                <w:sz w:val="20"/>
                <w:szCs w:val="20"/>
              </w:rPr>
              <w:t>460 (67.65)</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hAnsi="Arial" w:cs="Arial"/>
                <w:sz w:val="20"/>
                <w:szCs w:val="20"/>
              </w:rPr>
            </w:pPr>
            <w:r w:rsidRPr="00802EA5">
              <w:rPr>
                <w:rFonts w:ascii="Arial" w:hAnsi="Arial" w:cs="Arial"/>
                <w:sz w:val="20"/>
                <w:szCs w:val="20"/>
              </w:rPr>
              <w:t>412 (79.54)</w:t>
            </w:r>
          </w:p>
          <w:p w:rsidR="00802EA5" w:rsidRPr="00802EA5" w:rsidRDefault="00802EA5" w:rsidP="00433739">
            <w:pPr>
              <w:rPr>
                <w:rFonts w:ascii="Arial" w:hAnsi="Arial" w:cs="Arial"/>
                <w:sz w:val="20"/>
                <w:szCs w:val="20"/>
              </w:rPr>
            </w:pPr>
            <w:r w:rsidRPr="00802EA5">
              <w:rPr>
                <w:rFonts w:ascii="Arial" w:hAnsi="Arial" w:cs="Arial"/>
                <w:sz w:val="20"/>
                <w:szCs w:val="20"/>
              </w:rPr>
              <w:t>106 (20.46)</w:t>
            </w:r>
          </w:p>
        </w:tc>
      </w:tr>
      <w:tr w:rsidR="00802EA5" w:rsidRPr="00802EA5">
        <w:trPr>
          <w:trHeight w:val="868"/>
        </w:trPr>
        <w:tc>
          <w:tcPr>
            <w:tcW w:w="2328" w:type="pct"/>
          </w:tcPr>
          <w:p w:rsidR="00802EA5" w:rsidRPr="00802EA5" w:rsidRDefault="00802EA5" w:rsidP="00433739">
            <w:pPr>
              <w:rPr>
                <w:rFonts w:ascii="Arial" w:hAnsi="Arial" w:cs="Arial"/>
                <w:b/>
                <w:sz w:val="20"/>
                <w:szCs w:val="20"/>
              </w:rPr>
            </w:pPr>
            <w:r w:rsidRPr="00802EA5">
              <w:rPr>
                <w:rFonts w:ascii="Arial" w:hAnsi="Arial" w:cs="Arial"/>
                <w:b/>
                <w:sz w:val="20"/>
                <w:szCs w:val="20"/>
              </w:rPr>
              <w:t>Food insecurity (12 months)</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Food secure</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Moderate food insecurity</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Food insecure with hunger</w:t>
            </w:r>
          </w:p>
          <w:p w:rsidR="00802EA5" w:rsidRPr="00802EA5" w:rsidRDefault="00802EA5" w:rsidP="00433739">
            <w:pPr>
              <w:rPr>
                <w:rFonts w:ascii="Arial" w:hAnsi="Arial" w:cs="Arial"/>
                <w:sz w:val="20"/>
                <w:szCs w:val="20"/>
              </w:rPr>
            </w:pPr>
            <w:r w:rsidRPr="00802EA5">
              <w:rPr>
                <w:rFonts w:ascii="Arial" w:eastAsia="Times New Roman" w:hAnsi="Arial" w:cs="Arial"/>
                <w:sz w:val="20"/>
                <w:szCs w:val="20"/>
                <w:lang w:eastAsia="en-GB"/>
              </w:rPr>
              <w:t>Food insecure with severe hunger</w:t>
            </w:r>
          </w:p>
        </w:tc>
        <w:tc>
          <w:tcPr>
            <w:tcW w:w="97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1101 (86.02)</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133 (10.39)</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39 (3.04)</w:t>
            </w:r>
          </w:p>
          <w:p w:rsidR="00802EA5" w:rsidRPr="00802EA5" w:rsidRDefault="00802EA5" w:rsidP="00433739">
            <w:pPr>
              <w:rPr>
                <w:rFonts w:ascii="Arial" w:hAnsi="Arial" w:cs="Arial"/>
                <w:sz w:val="20"/>
                <w:szCs w:val="20"/>
              </w:rPr>
            </w:pPr>
            <w:r w:rsidRPr="00802EA5">
              <w:rPr>
                <w:rFonts w:ascii="Arial" w:eastAsia="Times New Roman" w:hAnsi="Arial" w:cs="Arial"/>
                <w:sz w:val="20"/>
                <w:szCs w:val="20"/>
                <w:lang w:eastAsia="en-GB"/>
              </w:rPr>
              <w:t>7 (0.55)</w:t>
            </w:r>
          </w:p>
        </w:tc>
        <w:tc>
          <w:tcPr>
            <w:tcW w:w="891" w:type="pct"/>
          </w:tcPr>
          <w:p w:rsidR="00802EA5" w:rsidRPr="00802EA5" w:rsidRDefault="00802EA5" w:rsidP="00433739">
            <w:pPr>
              <w:rPr>
                <w:rFonts w:ascii="Arial" w:hAnsi="Arial" w:cs="Arial"/>
                <w:sz w:val="20"/>
                <w:szCs w:val="20"/>
              </w:rPr>
            </w:pP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560 (89.74)</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50 (8.01)</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12 (1.92)</w:t>
            </w:r>
          </w:p>
          <w:p w:rsidR="00802EA5" w:rsidRPr="00802EA5" w:rsidRDefault="00802EA5" w:rsidP="00433739">
            <w:pPr>
              <w:rPr>
                <w:rFonts w:ascii="Arial" w:hAnsi="Arial" w:cs="Arial"/>
                <w:sz w:val="20"/>
                <w:szCs w:val="20"/>
              </w:rPr>
            </w:pPr>
            <w:r w:rsidRPr="00802EA5">
              <w:rPr>
                <w:rFonts w:ascii="Arial" w:eastAsia="Times New Roman" w:hAnsi="Arial" w:cs="Arial"/>
                <w:sz w:val="20"/>
                <w:szCs w:val="20"/>
                <w:lang w:eastAsia="en-GB"/>
              </w:rPr>
              <w:t>2 (0.32)</w:t>
            </w:r>
          </w:p>
        </w:tc>
        <w:tc>
          <w:tcPr>
            <w:tcW w:w="809" w:type="pct"/>
          </w:tcPr>
          <w:p w:rsidR="00802EA5" w:rsidRPr="00802EA5" w:rsidRDefault="00802EA5" w:rsidP="00433739">
            <w:pPr>
              <w:rPr>
                <w:rFonts w:ascii="Arial" w:hAnsi="Arial" w:cs="Arial"/>
                <w:sz w:val="20"/>
                <w:szCs w:val="20"/>
              </w:rPr>
            </w:pP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393 (81.88)</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62 (12.92)</w:t>
            </w:r>
          </w:p>
          <w:p w:rsidR="00802EA5" w:rsidRPr="00802EA5" w:rsidRDefault="00802EA5" w:rsidP="00433739">
            <w:pPr>
              <w:rPr>
                <w:rFonts w:ascii="Arial" w:eastAsia="Times New Roman" w:hAnsi="Arial" w:cs="Arial"/>
                <w:sz w:val="20"/>
                <w:szCs w:val="20"/>
                <w:lang w:eastAsia="en-GB"/>
              </w:rPr>
            </w:pPr>
            <w:r w:rsidRPr="00802EA5">
              <w:rPr>
                <w:rFonts w:ascii="Arial" w:eastAsia="Times New Roman" w:hAnsi="Arial" w:cs="Arial"/>
                <w:sz w:val="20"/>
                <w:szCs w:val="20"/>
                <w:lang w:eastAsia="en-GB"/>
              </w:rPr>
              <w:t>22 (4.56)</w:t>
            </w:r>
          </w:p>
          <w:p w:rsidR="00802EA5" w:rsidRPr="00802EA5" w:rsidRDefault="00802EA5" w:rsidP="00433739">
            <w:pPr>
              <w:rPr>
                <w:rFonts w:ascii="Arial" w:hAnsi="Arial" w:cs="Arial"/>
                <w:sz w:val="20"/>
                <w:szCs w:val="20"/>
              </w:rPr>
            </w:pPr>
            <w:r w:rsidRPr="00802EA5">
              <w:rPr>
                <w:rFonts w:ascii="Arial" w:eastAsia="Times New Roman" w:hAnsi="Arial" w:cs="Arial"/>
                <w:sz w:val="20"/>
                <w:szCs w:val="20"/>
                <w:lang w:eastAsia="en-GB"/>
              </w:rPr>
              <w:t>3 (0.62)</w:t>
            </w:r>
          </w:p>
        </w:tc>
      </w:tr>
    </w:tbl>
    <w:p w:rsidR="00802EA5" w:rsidRPr="00802EA5" w:rsidRDefault="00802EA5" w:rsidP="00802EA5">
      <w:pPr>
        <w:widowControl w:val="0"/>
        <w:autoSpaceDE w:val="0"/>
        <w:autoSpaceDN w:val="0"/>
        <w:adjustRightInd w:val="0"/>
        <w:rPr>
          <w:rFonts w:ascii="Arial" w:hAnsi="Arial" w:cs="Times New Roman"/>
          <w:color w:val="000000"/>
          <w:sz w:val="20"/>
          <w:szCs w:val="22"/>
        </w:rPr>
      </w:pPr>
    </w:p>
    <w:p w:rsidR="00802EA5" w:rsidRPr="00802EA5" w:rsidRDefault="00802EA5" w:rsidP="00802EA5">
      <w:pPr>
        <w:rPr>
          <w:rFonts w:ascii="Arial" w:hAnsi="Arial"/>
        </w:rPr>
      </w:pPr>
    </w:p>
    <w:p w:rsidR="00C755C8" w:rsidRPr="00802EA5" w:rsidRDefault="00C755C8" w:rsidP="00C755C8">
      <w:pPr>
        <w:rPr>
          <w:rFonts w:ascii="Arial" w:hAnsi="Arial"/>
        </w:rPr>
      </w:pPr>
    </w:p>
    <w:p w:rsidR="00C755C8" w:rsidRPr="00802EA5" w:rsidRDefault="00C755C8" w:rsidP="00C755C8">
      <w:pPr>
        <w:rPr>
          <w:rFonts w:ascii="Arial" w:hAnsi="Arial"/>
        </w:rPr>
      </w:pPr>
    </w:p>
    <w:p w:rsidR="007007D5" w:rsidRPr="00802EA5" w:rsidRDefault="008341C7">
      <w:pPr>
        <w:rPr>
          <w:rFonts w:ascii="Arial" w:hAnsi="Arial"/>
        </w:rPr>
      </w:pPr>
    </w:p>
    <w:sectPr w:rsidR="007007D5" w:rsidRPr="00802EA5" w:rsidSect="0055047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41C7">
      <w:r>
        <w:separator/>
      </w:r>
    </w:p>
  </w:endnote>
  <w:endnote w:type="continuationSeparator" w:id="0">
    <w:p w:rsidR="00000000" w:rsidRDefault="0083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20766"/>
      <w:docPartObj>
        <w:docPartGallery w:val="Page Numbers (Bottom of Page)"/>
        <w:docPartUnique/>
      </w:docPartObj>
    </w:sdtPr>
    <w:sdtEndPr>
      <w:rPr>
        <w:noProof/>
      </w:rPr>
    </w:sdtEndPr>
    <w:sdtContent>
      <w:p w:rsidR="006E4613" w:rsidRDefault="008341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E4613" w:rsidRDefault="00834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41C7">
      <w:r>
        <w:separator/>
      </w:r>
    </w:p>
  </w:footnote>
  <w:footnote w:type="continuationSeparator" w:id="0">
    <w:p w:rsidR="00000000" w:rsidRDefault="0083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Lucida Sans"/>
      </w:rPr>
    </w:lvl>
  </w:abstractNum>
  <w:abstractNum w:abstractNumId="1"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Lucida Sans"/>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cs="Lucida Sans"/>
      </w:rPr>
    </w:lvl>
  </w:abstractNum>
  <w:abstractNum w:abstractNumId="3"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cs="Lucida Sans"/>
      </w:rPr>
    </w:lvl>
  </w:abstractNum>
  <w:abstractNum w:abstractNumId="4" w15:restartNumberingAfterBreak="0">
    <w:nsid w:val="02BE6601"/>
    <w:multiLevelType w:val="hybridMultilevel"/>
    <w:tmpl w:val="E818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91ED6"/>
    <w:multiLevelType w:val="hybridMultilevel"/>
    <w:tmpl w:val="3690BC10"/>
    <w:lvl w:ilvl="0" w:tplc="AE428C4C">
      <w:start w:val="10"/>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Lucida 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San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Sans"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310357"/>
    <w:multiLevelType w:val="hybridMultilevel"/>
    <w:tmpl w:val="FC2CD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32739"/>
    <w:multiLevelType w:val="hybridMultilevel"/>
    <w:tmpl w:val="BE5C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00AAC"/>
    <w:multiLevelType w:val="hybridMultilevel"/>
    <w:tmpl w:val="41DAAF2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765A9"/>
    <w:multiLevelType w:val="hybridMultilevel"/>
    <w:tmpl w:val="A3D4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E7943"/>
    <w:multiLevelType w:val="hybridMultilevel"/>
    <w:tmpl w:val="055CF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282D"/>
    <w:multiLevelType w:val="hybridMultilevel"/>
    <w:tmpl w:val="489CF5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552F3"/>
    <w:multiLevelType w:val="hybridMultilevel"/>
    <w:tmpl w:val="FA1A574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325CB"/>
    <w:multiLevelType w:val="multilevel"/>
    <w:tmpl w:val="2152A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1952E1"/>
    <w:multiLevelType w:val="hybridMultilevel"/>
    <w:tmpl w:val="AE6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51A27"/>
    <w:multiLevelType w:val="multilevel"/>
    <w:tmpl w:val="C49A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8344A"/>
    <w:multiLevelType w:val="hybridMultilevel"/>
    <w:tmpl w:val="2250A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31789"/>
    <w:multiLevelType w:val="hybridMultilevel"/>
    <w:tmpl w:val="EB3AB9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2432A"/>
    <w:multiLevelType w:val="hybridMultilevel"/>
    <w:tmpl w:val="EA101B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523365"/>
    <w:multiLevelType w:val="hybridMultilevel"/>
    <w:tmpl w:val="D7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E0585B"/>
    <w:multiLevelType w:val="hybridMultilevel"/>
    <w:tmpl w:val="073E3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San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3621E"/>
    <w:multiLevelType w:val="hybridMultilevel"/>
    <w:tmpl w:val="C574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722A9"/>
    <w:multiLevelType w:val="hybridMultilevel"/>
    <w:tmpl w:val="86AE2BF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5553D"/>
    <w:multiLevelType w:val="hybridMultilevel"/>
    <w:tmpl w:val="B12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529F3"/>
    <w:multiLevelType w:val="hybridMultilevel"/>
    <w:tmpl w:val="FDE4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62FA7"/>
    <w:multiLevelType w:val="hybridMultilevel"/>
    <w:tmpl w:val="9E326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Lucida San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San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Sans"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830ABB"/>
    <w:multiLevelType w:val="hybridMultilevel"/>
    <w:tmpl w:val="CD80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F6696"/>
    <w:multiLevelType w:val="hybridMultilevel"/>
    <w:tmpl w:val="A5066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E2B1B"/>
    <w:multiLevelType w:val="hybridMultilevel"/>
    <w:tmpl w:val="BF9C5EC0"/>
    <w:lvl w:ilvl="0" w:tplc="D21C0808">
      <w:start w:val="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A362C"/>
    <w:multiLevelType w:val="hybridMultilevel"/>
    <w:tmpl w:val="0C6E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4300D5"/>
    <w:multiLevelType w:val="multilevel"/>
    <w:tmpl w:val="130AE5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1D29AA"/>
    <w:multiLevelType w:val="hybridMultilevel"/>
    <w:tmpl w:val="767E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Sans"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7"/>
  </w:num>
  <w:num w:numId="4">
    <w:abstractNumId w:val="26"/>
  </w:num>
  <w:num w:numId="5">
    <w:abstractNumId w:val="20"/>
  </w:num>
  <w:num w:numId="6">
    <w:abstractNumId w:val="18"/>
  </w:num>
  <w:num w:numId="7">
    <w:abstractNumId w:val="21"/>
  </w:num>
  <w:num w:numId="8">
    <w:abstractNumId w:val="31"/>
  </w:num>
  <w:num w:numId="9">
    <w:abstractNumId w:val="28"/>
  </w:num>
  <w:num w:numId="10">
    <w:abstractNumId w:val="4"/>
  </w:num>
  <w:num w:numId="11">
    <w:abstractNumId w:val="23"/>
  </w:num>
  <w:num w:numId="12">
    <w:abstractNumId w:val="19"/>
  </w:num>
  <w:num w:numId="13">
    <w:abstractNumId w:val="11"/>
  </w:num>
  <w:num w:numId="14">
    <w:abstractNumId w:val="12"/>
  </w:num>
  <w:num w:numId="15">
    <w:abstractNumId w:val="16"/>
  </w:num>
  <w:num w:numId="16">
    <w:abstractNumId w:val="5"/>
  </w:num>
  <w:num w:numId="17">
    <w:abstractNumId w:val="13"/>
  </w:num>
  <w:num w:numId="18">
    <w:abstractNumId w:val="9"/>
  </w:num>
  <w:num w:numId="19">
    <w:abstractNumId w:val="6"/>
  </w:num>
  <w:num w:numId="20">
    <w:abstractNumId w:val="0"/>
  </w:num>
  <w:num w:numId="21">
    <w:abstractNumId w:val="1"/>
  </w:num>
  <w:num w:numId="22">
    <w:abstractNumId w:val="2"/>
  </w:num>
  <w:num w:numId="23">
    <w:abstractNumId w:val="3"/>
  </w:num>
  <w:num w:numId="24">
    <w:abstractNumId w:val="14"/>
  </w:num>
  <w:num w:numId="25">
    <w:abstractNumId w:val="30"/>
  </w:num>
  <w:num w:numId="26">
    <w:abstractNumId w:val="10"/>
  </w:num>
  <w:num w:numId="27">
    <w:abstractNumId w:val="25"/>
  </w:num>
  <w:num w:numId="28">
    <w:abstractNumId w:val="8"/>
  </w:num>
  <w:num w:numId="29">
    <w:abstractNumId w:val="27"/>
  </w:num>
  <w:num w:numId="30">
    <w:abstractNumId w:val="22"/>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C8"/>
    <w:rsid w:val="00802EA5"/>
    <w:rsid w:val="008341C7"/>
    <w:rsid w:val="0092310E"/>
    <w:rsid w:val="00C755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792DC-9B1B-4A5D-8C17-E3313C4A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C8"/>
  </w:style>
  <w:style w:type="paragraph" w:styleId="Heading1">
    <w:name w:val="heading 1"/>
    <w:basedOn w:val="Normal"/>
    <w:next w:val="Normal"/>
    <w:link w:val="Heading1Char"/>
    <w:uiPriority w:val="9"/>
    <w:qFormat/>
    <w:rsid w:val="00802EA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Level 2 heading"/>
    <w:basedOn w:val="Normal"/>
    <w:next w:val="Normal"/>
    <w:link w:val="Heading2Char"/>
    <w:uiPriority w:val="9"/>
    <w:unhideWhenUsed/>
    <w:qFormat/>
    <w:rsid w:val="00802EA5"/>
    <w:pPr>
      <w:keepNext/>
      <w:keepLines/>
      <w:spacing w:before="360" w:after="320" w:line="360" w:lineRule="auto"/>
      <w:jc w:val="both"/>
      <w:outlineLvl w:val="1"/>
    </w:pPr>
    <w:rPr>
      <w:rFonts w:ascii="Arial" w:eastAsiaTheme="majorEastAsia" w:hAnsi="Arial" w:cstheme="majorBidi"/>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755C8"/>
    <w:pPr>
      <w:ind w:left="720"/>
      <w:contextualSpacing/>
    </w:pPr>
  </w:style>
  <w:style w:type="character" w:customStyle="1" w:styleId="ListParagraphChar">
    <w:name w:val="List Paragraph Char"/>
    <w:basedOn w:val="DefaultParagraphFont"/>
    <w:link w:val="ListParagraph"/>
    <w:rsid w:val="00C755C8"/>
  </w:style>
  <w:style w:type="paragraph" w:styleId="CommentText">
    <w:name w:val="annotation text"/>
    <w:basedOn w:val="Normal"/>
    <w:link w:val="CommentTextChar"/>
    <w:uiPriority w:val="99"/>
    <w:unhideWhenUsed/>
    <w:rsid w:val="00C755C8"/>
    <w:rPr>
      <w:sz w:val="20"/>
      <w:szCs w:val="20"/>
    </w:rPr>
  </w:style>
  <w:style w:type="character" w:customStyle="1" w:styleId="CommentTextChar">
    <w:name w:val="Comment Text Char"/>
    <w:basedOn w:val="DefaultParagraphFont"/>
    <w:link w:val="CommentText"/>
    <w:uiPriority w:val="99"/>
    <w:rsid w:val="00C755C8"/>
    <w:rPr>
      <w:sz w:val="20"/>
      <w:szCs w:val="20"/>
    </w:rPr>
  </w:style>
  <w:style w:type="character" w:customStyle="1" w:styleId="apple-converted-space">
    <w:name w:val="apple-converted-space"/>
    <w:basedOn w:val="DefaultParagraphFont"/>
    <w:rsid w:val="00C755C8"/>
  </w:style>
  <w:style w:type="character" w:styleId="Hyperlink">
    <w:name w:val="Hyperlink"/>
    <w:basedOn w:val="DefaultParagraphFont"/>
    <w:uiPriority w:val="99"/>
    <w:unhideWhenUsed/>
    <w:rsid w:val="00C755C8"/>
    <w:rPr>
      <w:color w:val="0000FF" w:themeColor="hyperlink"/>
      <w:u w:val="single"/>
    </w:rPr>
  </w:style>
  <w:style w:type="paragraph" w:customStyle="1" w:styleId="EndNoteBibliography">
    <w:name w:val="EndNote Bibliography"/>
    <w:basedOn w:val="Normal"/>
    <w:link w:val="EndNoteBibliographyChar"/>
    <w:rsid w:val="00C755C8"/>
    <w:rPr>
      <w:rFonts w:ascii="Cambria" w:hAnsi="Cambria"/>
      <w:noProof/>
    </w:rPr>
  </w:style>
  <w:style w:type="character" w:customStyle="1" w:styleId="EndNoteBibliographyChar">
    <w:name w:val="EndNote Bibliography Char"/>
    <w:basedOn w:val="DefaultParagraphFont"/>
    <w:link w:val="EndNoteBibliography"/>
    <w:rsid w:val="00C755C8"/>
    <w:rPr>
      <w:rFonts w:ascii="Cambria" w:hAnsi="Cambria"/>
      <w:noProof/>
    </w:rPr>
  </w:style>
  <w:style w:type="table" w:customStyle="1" w:styleId="TableGridLight1">
    <w:name w:val="Table Grid Light1"/>
    <w:basedOn w:val="TableNormal"/>
    <w:uiPriority w:val="40"/>
    <w:rsid w:val="00C755C8"/>
    <w:rPr>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755C8"/>
    <w:pPr>
      <w:tabs>
        <w:tab w:val="center" w:pos="4513"/>
        <w:tab w:val="right" w:pos="9026"/>
      </w:tabs>
    </w:pPr>
  </w:style>
  <w:style w:type="character" w:customStyle="1" w:styleId="FooterChar">
    <w:name w:val="Footer Char"/>
    <w:basedOn w:val="DefaultParagraphFont"/>
    <w:link w:val="Footer"/>
    <w:uiPriority w:val="99"/>
    <w:rsid w:val="00C755C8"/>
  </w:style>
  <w:style w:type="paragraph" w:styleId="NormalWeb">
    <w:name w:val="Normal (Web)"/>
    <w:basedOn w:val="Normal"/>
    <w:uiPriority w:val="99"/>
    <w:unhideWhenUsed/>
    <w:rsid w:val="00C755C8"/>
    <w:pPr>
      <w:spacing w:before="100" w:beforeAutospacing="1" w:after="100" w:afterAutospacing="1"/>
    </w:pPr>
    <w:rPr>
      <w:rFonts w:ascii="Times New Roman" w:eastAsiaTheme="minorEastAsia" w:hAnsi="Times New Roman" w:cs="Times New Roman"/>
      <w:lang w:val="en-GB" w:eastAsia="en-GB"/>
    </w:rPr>
  </w:style>
  <w:style w:type="character" w:customStyle="1" w:styleId="il">
    <w:name w:val="il"/>
    <w:basedOn w:val="DefaultParagraphFont"/>
    <w:rsid w:val="00C755C8"/>
  </w:style>
  <w:style w:type="table" w:styleId="TableGrid">
    <w:name w:val="Table Grid"/>
    <w:basedOn w:val="TableNormal"/>
    <w:uiPriority w:val="1"/>
    <w:rsid w:val="00C755C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755C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755C8"/>
    <w:rPr>
      <w:rFonts w:ascii="Cambria" w:hAnsi="Cambria"/>
      <w:noProof/>
    </w:rPr>
  </w:style>
  <w:style w:type="character" w:styleId="Strong">
    <w:name w:val="Strong"/>
    <w:basedOn w:val="DefaultParagraphFont"/>
    <w:uiPriority w:val="22"/>
    <w:qFormat/>
    <w:rsid w:val="00C755C8"/>
    <w:rPr>
      <w:b/>
      <w:bCs/>
    </w:rPr>
  </w:style>
  <w:style w:type="paragraph" w:styleId="BalloonText">
    <w:name w:val="Balloon Text"/>
    <w:basedOn w:val="Normal"/>
    <w:link w:val="BalloonTextChar"/>
    <w:uiPriority w:val="99"/>
    <w:unhideWhenUsed/>
    <w:rsid w:val="00C755C8"/>
    <w:rPr>
      <w:rFonts w:ascii="Tahoma" w:hAnsi="Tahoma" w:cs="Tahoma"/>
      <w:sz w:val="16"/>
      <w:szCs w:val="16"/>
    </w:rPr>
  </w:style>
  <w:style w:type="character" w:customStyle="1" w:styleId="BalloonTextChar">
    <w:name w:val="Balloon Text Char"/>
    <w:basedOn w:val="DefaultParagraphFont"/>
    <w:link w:val="BalloonText"/>
    <w:uiPriority w:val="99"/>
    <w:rsid w:val="00C755C8"/>
    <w:rPr>
      <w:rFonts w:ascii="Tahoma" w:hAnsi="Tahoma" w:cs="Tahoma"/>
      <w:sz w:val="16"/>
      <w:szCs w:val="16"/>
    </w:rPr>
  </w:style>
  <w:style w:type="character" w:styleId="CommentReference">
    <w:name w:val="annotation reference"/>
    <w:basedOn w:val="DefaultParagraphFont"/>
    <w:uiPriority w:val="99"/>
    <w:unhideWhenUsed/>
    <w:rsid w:val="00C755C8"/>
    <w:rPr>
      <w:sz w:val="16"/>
      <w:szCs w:val="16"/>
    </w:rPr>
  </w:style>
  <w:style w:type="paragraph" w:styleId="CommentSubject">
    <w:name w:val="annotation subject"/>
    <w:basedOn w:val="CommentText"/>
    <w:next w:val="CommentText"/>
    <w:link w:val="CommentSubjectChar"/>
    <w:uiPriority w:val="99"/>
    <w:unhideWhenUsed/>
    <w:rsid w:val="00C755C8"/>
    <w:rPr>
      <w:b/>
      <w:bCs/>
    </w:rPr>
  </w:style>
  <w:style w:type="character" w:customStyle="1" w:styleId="CommentSubjectChar">
    <w:name w:val="Comment Subject Char"/>
    <w:basedOn w:val="CommentTextChar"/>
    <w:link w:val="CommentSubject"/>
    <w:uiPriority w:val="99"/>
    <w:rsid w:val="00C755C8"/>
    <w:rPr>
      <w:b/>
      <w:bCs/>
      <w:sz w:val="20"/>
      <w:szCs w:val="20"/>
    </w:rPr>
  </w:style>
  <w:style w:type="character" w:customStyle="1" w:styleId="organization-unitfn">
    <w:name w:val="organization-unit fn"/>
    <w:basedOn w:val="DefaultParagraphFont"/>
    <w:rsid w:val="00C755C8"/>
  </w:style>
  <w:style w:type="character" w:customStyle="1" w:styleId="organization-name">
    <w:name w:val="organization-name"/>
    <w:basedOn w:val="DefaultParagraphFont"/>
    <w:rsid w:val="00C755C8"/>
  </w:style>
  <w:style w:type="character" w:customStyle="1" w:styleId="adr">
    <w:name w:val="adr"/>
    <w:basedOn w:val="DefaultParagraphFont"/>
    <w:rsid w:val="00C755C8"/>
  </w:style>
  <w:style w:type="character" w:customStyle="1" w:styleId="locality">
    <w:name w:val="locality"/>
    <w:basedOn w:val="DefaultParagraphFont"/>
    <w:rsid w:val="00C755C8"/>
  </w:style>
  <w:style w:type="character" w:customStyle="1" w:styleId="region">
    <w:name w:val="region"/>
    <w:basedOn w:val="DefaultParagraphFont"/>
    <w:rsid w:val="00C755C8"/>
  </w:style>
  <w:style w:type="character" w:customStyle="1" w:styleId="postal-code">
    <w:name w:val="postal-code"/>
    <w:basedOn w:val="DefaultParagraphFont"/>
    <w:rsid w:val="00C755C8"/>
  </w:style>
  <w:style w:type="character" w:customStyle="1" w:styleId="country-name">
    <w:name w:val="country-name"/>
    <w:basedOn w:val="DefaultParagraphFont"/>
    <w:rsid w:val="00C755C8"/>
  </w:style>
  <w:style w:type="character" w:customStyle="1" w:styleId="Heading1Char">
    <w:name w:val="Heading 1 Char"/>
    <w:basedOn w:val="DefaultParagraphFont"/>
    <w:link w:val="Heading1"/>
    <w:uiPriority w:val="9"/>
    <w:rsid w:val="00802EA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Level 2 heading Char"/>
    <w:basedOn w:val="DefaultParagraphFont"/>
    <w:link w:val="Heading2"/>
    <w:uiPriority w:val="9"/>
    <w:rsid w:val="00802EA5"/>
    <w:rPr>
      <w:rFonts w:ascii="Arial" w:eastAsiaTheme="majorEastAsia" w:hAnsi="Arial" w:cstheme="majorBidi"/>
      <w:bCs/>
      <w:sz w:val="28"/>
      <w:szCs w:val="26"/>
      <w:lang w:val="en-GB"/>
    </w:rPr>
  </w:style>
  <w:style w:type="character" w:customStyle="1" w:styleId="BalloonTextChar1">
    <w:name w:val="Balloon Text Char1"/>
    <w:basedOn w:val="DefaultParagraphFont"/>
    <w:uiPriority w:val="99"/>
    <w:rsid w:val="00802EA5"/>
    <w:rPr>
      <w:rFonts w:ascii="Tahoma" w:hAnsi="Tahoma" w:cs="Tahoma"/>
      <w:sz w:val="16"/>
      <w:szCs w:val="16"/>
    </w:rPr>
  </w:style>
  <w:style w:type="character" w:styleId="FollowedHyperlink">
    <w:name w:val="FollowedHyperlink"/>
    <w:basedOn w:val="DefaultParagraphFont"/>
    <w:uiPriority w:val="99"/>
    <w:rsid w:val="00802EA5"/>
    <w:rPr>
      <w:color w:val="993366"/>
      <w:u w:val="single"/>
    </w:rPr>
  </w:style>
  <w:style w:type="paragraph" w:customStyle="1" w:styleId="font5">
    <w:name w:val="font5"/>
    <w:basedOn w:val="Normal"/>
    <w:rsid w:val="00802EA5"/>
    <w:pPr>
      <w:spacing w:beforeLines="1" w:afterLines="1"/>
    </w:pPr>
    <w:rPr>
      <w:rFonts w:ascii="Verdana" w:hAnsi="Verdana"/>
      <w:sz w:val="16"/>
      <w:szCs w:val="16"/>
      <w:lang w:val="en-GB"/>
    </w:rPr>
  </w:style>
  <w:style w:type="paragraph" w:customStyle="1" w:styleId="xl24">
    <w:name w:val="xl24"/>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Calibri" w:hAnsi="Calibri"/>
      <w:b/>
      <w:bCs/>
      <w:sz w:val="20"/>
      <w:szCs w:val="20"/>
      <w:lang w:val="en-GB"/>
    </w:rPr>
  </w:style>
  <w:style w:type="paragraph" w:customStyle="1" w:styleId="xl25">
    <w:name w:val="xl25"/>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Calibri" w:hAnsi="Calibri"/>
      <w:b/>
      <w:bCs/>
      <w:sz w:val="20"/>
      <w:szCs w:val="20"/>
      <w:lang w:val="en-GB"/>
    </w:rPr>
  </w:style>
  <w:style w:type="paragraph" w:customStyle="1" w:styleId="xl26">
    <w:name w:val="xl26"/>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27">
    <w:name w:val="xl27"/>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28">
    <w:name w:val="xl28"/>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29">
    <w:name w:val="xl29"/>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lang w:val="en-GB"/>
    </w:rPr>
  </w:style>
  <w:style w:type="paragraph" w:customStyle="1" w:styleId="xl30">
    <w:name w:val="xl30"/>
    <w:basedOn w:val="Normal"/>
    <w:rsid w:val="00802EA5"/>
    <w:pPr>
      <w:pBdr>
        <w:top w:val="single" w:sz="4" w:space="0" w:color="auto"/>
        <w:left w:val="single" w:sz="4" w:space="0" w:color="auto"/>
        <w:bottom w:val="single" w:sz="4" w:space="0" w:color="auto"/>
        <w:right w:val="single" w:sz="4" w:space="0" w:color="auto"/>
      </w:pBdr>
      <w:spacing w:beforeLines="1" w:afterLines="1"/>
    </w:pPr>
    <w:rPr>
      <w:rFonts w:ascii="Calibri" w:hAnsi="Calibri"/>
      <w:sz w:val="20"/>
      <w:szCs w:val="20"/>
      <w:lang w:val="en-GB"/>
    </w:rPr>
  </w:style>
  <w:style w:type="paragraph" w:customStyle="1" w:styleId="xl31">
    <w:name w:val="xl31"/>
    <w:basedOn w:val="Normal"/>
    <w:rsid w:val="00802EA5"/>
    <w:pPr>
      <w:pBdr>
        <w:top w:val="single" w:sz="4" w:space="0" w:color="auto"/>
        <w:left w:val="single" w:sz="4" w:space="0" w:color="auto"/>
        <w:bottom w:val="single" w:sz="4" w:space="0" w:color="auto"/>
        <w:right w:val="single" w:sz="4" w:space="0" w:color="auto"/>
      </w:pBdr>
      <w:spacing w:beforeLines="1" w:afterLines="1"/>
      <w:textAlignment w:val="top"/>
    </w:pPr>
    <w:rPr>
      <w:rFonts w:ascii="Calibri" w:hAnsi="Calibri"/>
      <w:color w:val="333333"/>
      <w:sz w:val="20"/>
      <w:szCs w:val="20"/>
      <w:lang w:val="en-GB"/>
    </w:rPr>
  </w:style>
  <w:style w:type="character" w:styleId="PageNumber">
    <w:name w:val="page number"/>
    <w:basedOn w:val="DefaultParagraphFont"/>
    <w:uiPriority w:val="99"/>
    <w:rsid w:val="00802EA5"/>
  </w:style>
  <w:style w:type="paragraph" w:styleId="Header">
    <w:name w:val="header"/>
    <w:basedOn w:val="Normal"/>
    <w:link w:val="HeaderChar"/>
    <w:uiPriority w:val="99"/>
    <w:rsid w:val="00802EA5"/>
    <w:pPr>
      <w:tabs>
        <w:tab w:val="center" w:pos="4320"/>
        <w:tab w:val="right" w:pos="8640"/>
      </w:tabs>
    </w:pPr>
  </w:style>
  <w:style w:type="character" w:customStyle="1" w:styleId="HeaderChar">
    <w:name w:val="Header Char"/>
    <w:basedOn w:val="DefaultParagraphFont"/>
    <w:link w:val="Header"/>
    <w:uiPriority w:val="99"/>
    <w:rsid w:val="00802EA5"/>
  </w:style>
  <w:style w:type="character" w:customStyle="1" w:styleId="BalloonTextChar2">
    <w:name w:val="Balloon Text Char2"/>
    <w:basedOn w:val="DefaultParagraphFont"/>
    <w:uiPriority w:val="99"/>
    <w:rsid w:val="00802EA5"/>
    <w:rPr>
      <w:rFonts w:ascii="Lucida Grande" w:hAnsi="Lucida Grande"/>
      <w:sz w:val="18"/>
      <w:szCs w:val="18"/>
    </w:rPr>
  </w:style>
  <w:style w:type="paragraph" w:styleId="Bibliography">
    <w:name w:val="Bibliography"/>
    <w:basedOn w:val="Normal"/>
    <w:next w:val="Normal"/>
    <w:uiPriority w:val="37"/>
    <w:unhideWhenUsed/>
    <w:rsid w:val="00802EA5"/>
    <w:rPr>
      <w:lang w:val="en-GB"/>
    </w:rPr>
  </w:style>
  <w:style w:type="paragraph" w:customStyle="1" w:styleId="Normal1">
    <w:name w:val="Normal1"/>
    <w:rsid w:val="00802EA5"/>
    <w:pPr>
      <w:spacing w:line="276" w:lineRule="auto"/>
    </w:pPr>
    <w:rPr>
      <w:rFonts w:ascii="Arial" w:eastAsia="Arial" w:hAnsi="Arial" w:cs="Arial"/>
      <w:color w:val="000000"/>
      <w:sz w:val="22"/>
      <w:szCs w:val="22"/>
      <w:lang w:val="en-GB"/>
    </w:rPr>
  </w:style>
  <w:style w:type="paragraph" w:styleId="FootnoteText">
    <w:name w:val="footnote text"/>
    <w:basedOn w:val="Normal"/>
    <w:link w:val="FootnoteTextChar"/>
    <w:uiPriority w:val="99"/>
    <w:unhideWhenUsed/>
    <w:rsid w:val="00802EA5"/>
    <w:rPr>
      <w:lang w:val="en-GB"/>
    </w:rPr>
  </w:style>
  <w:style w:type="character" w:customStyle="1" w:styleId="FootnoteTextChar">
    <w:name w:val="Footnote Text Char"/>
    <w:basedOn w:val="DefaultParagraphFont"/>
    <w:link w:val="FootnoteText"/>
    <w:uiPriority w:val="99"/>
    <w:rsid w:val="00802EA5"/>
    <w:rPr>
      <w:lang w:val="en-GB"/>
    </w:rPr>
  </w:style>
  <w:style w:type="character" w:customStyle="1" w:styleId="CommentSubjectChar1">
    <w:name w:val="Comment Subject Char1"/>
    <w:basedOn w:val="CommentTextChar"/>
    <w:uiPriority w:val="99"/>
    <w:rsid w:val="00802EA5"/>
    <w:rPr>
      <w:b/>
      <w:bCs/>
      <w:sz w:val="20"/>
      <w:szCs w:val="20"/>
      <w:lang w:val="en-US"/>
    </w:rPr>
  </w:style>
  <w:style w:type="character" w:customStyle="1" w:styleId="current-selection">
    <w:name w:val="current-selection"/>
    <w:basedOn w:val="DefaultParagraphFont"/>
    <w:rsid w:val="00802EA5"/>
  </w:style>
  <w:style w:type="character" w:customStyle="1" w:styleId="a">
    <w:name w:val="_"/>
    <w:basedOn w:val="DefaultParagraphFont"/>
    <w:rsid w:val="00802EA5"/>
  </w:style>
  <w:style w:type="character" w:styleId="FootnoteReference">
    <w:name w:val="footnote reference"/>
    <w:basedOn w:val="DefaultParagraphFont"/>
    <w:uiPriority w:val="99"/>
    <w:unhideWhenUsed/>
    <w:rsid w:val="00802EA5"/>
    <w:rPr>
      <w:vertAlign w:val="superscript"/>
    </w:rPr>
  </w:style>
  <w:style w:type="character" w:customStyle="1" w:styleId="DocumentMapChar">
    <w:name w:val="Document Map Char"/>
    <w:basedOn w:val="DefaultParagraphFont"/>
    <w:link w:val="DocumentMap"/>
    <w:uiPriority w:val="99"/>
    <w:semiHidden/>
    <w:rsid w:val="00802EA5"/>
    <w:rPr>
      <w:rFonts w:ascii="Lucida Grande" w:hAnsi="Lucida Grande"/>
      <w:lang w:val="en-GB"/>
    </w:rPr>
  </w:style>
  <w:style w:type="paragraph" w:styleId="DocumentMap">
    <w:name w:val="Document Map"/>
    <w:basedOn w:val="Normal"/>
    <w:link w:val="DocumentMapChar"/>
    <w:uiPriority w:val="99"/>
    <w:semiHidden/>
    <w:unhideWhenUsed/>
    <w:rsid w:val="00802EA5"/>
    <w:rPr>
      <w:rFonts w:ascii="Lucida Grande" w:hAnsi="Lucida Grande"/>
      <w:lang w:val="en-GB"/>
    </w:rPr>
  </w:style>
  <w:style w:type="character" w:customStyle="1" w:styleId="DocumentMapChar1">
    <w:name w:val="Document Map Char1"/>
    <w:basedOn w:val="DefaultParagraphFont"/>
    <w:uiPriority w:val="99"/>
    <w:semiHidden/>
    <w:rsid w:val="00802EA5"/>
    <w:rPr>
      <w:rFonts w:ascii="Lucida Grande" w:hAnsi="Lucida Grande"/>
    </w:rPr>
  </w:style>
  <w:style w:type="character" w:customStyle="1" w:styleId="st">
    <w:name w:val="st"/>
    <w:basedOn w:val="DefaultParagraphFont"/>
    <w:rsid w:val="00802EA5"/>
  </w:style>
  <w:style w:type="character" w:styleId="Emphasis">
    <w:name w:val="Emphasis"/>
    <w:basedOn w:val="DefaultParagraphFont"/>
    <w:uiPriority w:val="20"/>
    <w:qFormat/>
    <w:rsid w:val="00802EA5"/>
    <w:rPr>
      <w:i/>
      <w:iCs/>
    </w:rPr>
  </w:style>
  <w:style w:type="character" w:customStyle="1" w:styleId="highlight2">
    <w:name w:val="highlight2"/>
    <w:basedOn w:val="DefaultParagraphFont"/>
    <w:rsid w:val="00802EA5"/>
  </w:style>
  <w:style w:type="paragraph" w:styleId="NoSpacing">
    <w:name w:val="No Spacing"/>
    <w:link w:val="NoSpacingChar"/>
    <w:uiPriority w:val="1"/>
    <w:qFormat/>
    <w:rsid w:val="00802EA5"/>
    <w:rPr>
      <w:rFonts w:eastAsiaTheme="minorEastAsia"/>
      <w:sz w:val="22"/>
      <w:szCs w:val="22"/>
    </w:rPr>
  </w:style>
  <w:style w:type="character" w:customStyle="1" w:styleId="NoSpacingChar">
    <w:name w:val="No Spacing Char"/>
    <w:basedOn w:val="DefaultParagraphFont"/>
    <w:link w:val="NoSpacing"/>
    <w:uiPriority w:val="1"/>
    <w:rsid w:val="00802EA5"/>
    <w:rPr>
      <w:rFonts w:eastAsiaTheme="minorEastAsia"/>
      <w:sz w:val="22"/>
      <w:szCs w:val="22"/>
    </w:rPr>
  </w:style>
  <w:style w:type="character" w:customStyle="1" w:styleId="organization-unit">
    <w:name w:val="organization-unit"/>
    <w:basedOn w:val="DefaultParagraphFont"/>
    <w:rsid w:val="00802EA5"/>
  </w:style>
  <w:style w:type="character" w:customStyle="1" w:styleId="hoenzb">
    <w:name w:val="hoenzb"/>
    <w:basedOn w:val="DefaultParagraphFont"/>
    <w:rsid w:val="00802EA5"/>
  </w:style>
  <w:style w:type="character" w:styleId="SubtleEmphasis">
    <w:name w:val="Subtle Emphasis"/>
    <w:basedOn w:val="DefaultParagraphFont"/>
    <w:uiPriority w:val="19"/>
    <w:qFormat/>
    <w:rsid w:val="00802EA5"/>
    <w:rPr>
      <w:i/>
      <w:iCs/>
      <w:color w:val="404040" w:themeColor="text1" w:themeTint="BF"/>
    </w:rPr>
  </w:style>
  <w:style w:type="paragraph" w:customStyle="1" w:styleId="Normal0">
    <w:name w:val="[Normal]"/>
    <w:uiPriority w:val="99"/>
    <w:rsid w:val="00802EA5"/>
    <w:pPr>
      <w:widowControl w:val="0"/>
      <w:autoSpaceDE w:val="0"/>
      <w:autoSpaceDN w:val="0"/>
      <w:adjustRightInd w:val="0"/>
    </w:pPr>
    <w:rPr>
      <w:rFonts w:ascii="Arial" w:hAnsi="Arial" w:cs="Arial"/>
      <w:lang w:val="en-GB"/>
    </w:rPr>
  </w:style>
  <w:style w:type="character" w:customStyle="1" w:styleId="EndnoteTextChar">
    <w:name w:val="Endnote Text Char"/>
    <w:basedOn w:val="DefaultParagraphFont"/>
    <w:link w:val="EndnoteText"/>
    <w:uiPriority w:val="99"/>
    <w:semiHidden/>
    <w:rsid w:val="00802EA5"/>
    <w:rPr>
      <w:sz w:val="20"/>
      <w:szCs w:val="20"/>
      <w:lang w:val="en-GB"/>
    </w:rPr>
  </w:style>
  <w:style w:type="paragraph" w:styleId="EndnoteText">
    <w:name w:val="endnote text"/>
    <w:basedOn w:val="Normal"/>
    <w:link w:val="EndnoteTextChar"/>
    <w:uiPriority w:val="99"/>
    <w:semiHidden/>
    <w:unhideWhenUsed/>
    <w:rsid w:val="00802EA5"/>
    <w:rPr>
      <w:sz w:val="20"/>
      <w:szCs w:val="20"/>
      <w:lang w:val="en-GB"/>
    </w:rPr>
  </w:style>
  <w:style w:type="character" w:customStyle="1" w:styleId="EndnoteTextChar1">
    <w:name w:val="Endnote Text Char1"/>
    <w:basedOn w:val="DefaultParagraphFont"/>
    <w:uiPriority w:val="99"/>
    <w:semiHidden/>
    <w:rsid w:val="00802EA5"/>
  </w:style>
  <w:style w:type="paragraph" w:customStyle="1" w:styleId="ColorfulList-Accent11">
    <w:name w:val="Colorful List - Accent 11"/>
    <w:basedOn w:val="Normal"/>
    <w:uiPriority w:val="34"/>
    <w:qFormat/>
    <w:rsid w:val="00802EA5"/>
    <w:pPr>
      <w:ind w:left="720"/>
      <w:contextualSpacing/>
    </w:pPr>
    <w:rPr>
      <w:rFonts w:ascii="Cambria" w:eastAsia="Cambria" w:hAnsi="Cambria" w:cs="Times New Roman"/>
    </w:rPr>
  </w:style>
  <w:style w:type="paragraph" w:customStyle="1" w:styleId="PhDlevel3">
    <w:name w:val="PhD level 3"/>
    <w:basedOn w:val="Normal"/>
    <w:link w:val="PhDlevel3Char"/>
    <w:qFormat/>
    <w:rsid w:val="00802EA5"/>
    <w:pPr>
      <w:spacing w:before="120" w:after="120" w:line="480" w:lineRule="auto"/>
      <w:jc w:val="both"/>
    </w:pPr>
    <w:rPr>
      <w:rFonts w:ascii="Arial" w:hAnsi="Arial" w:cs="Arial"/>
      <w:sz w:val="22"/>
      <w:szCs w:val="22"/>
      <w:lang w:val="en-GB"/>
    </w:rPr>
  </w:style>
  <w:style w:type="character" w:customStyle="1" w:styleId="PhDlevel3Char">
    <w:name w:val="PhD level 3 Char"/>
    <w:basedOn w:val="DefaultParagraphFont"/>
    <w:link w:val="PhDlevel3"/>
    <w:rsid w:val="00802EA5"/>
    <w:rPr>
      <w:rFonts w:ascii="Arial" w:hAnsi="Arial" w:cs="Arial"/>
      <w:sz w:val="22"/>
      <w:szCs w:val="22"/>
      <w:lang w:val="en-GB"/>
    </w:rPr>
  </w:style>
  <w:style w:type="paragraph" w:customStyle="1" w:styleId="PhDFigureheading">
    <w:name w:val="PhD Figure heading"/>
    <w:basedOn w:val="Normal"/>
    <w:link w:val="PhDFigureheadingChar"/>
    <w:qFormat/>
    <w:rsid w:val="00802EA5"/>
    <w:pPr>
      <w:spacing w:before="240" w:after="240" w:line="360" w:lineRule="auto"/>
      <w:jc w:val="both"/>
    </w:pPr>
    <w:rPr>
      <w:rFonts w:ascii="Arial" w:hAnsi="Arial" w:cs="Arial"/>
      <w:sz w:val="20"/>
      <w:szCs w:val="20"/>
      <w:lang w:val="en-GB"/>
    </w:rPr>
  </w:style>
  <w:style w:type="character" w:customStyle="1" w:styleId="PhDFigureheadingChar">
    <w:name w:val="PhD Figure heading Char"/>
    <w:basedOn w:val="DefaultParagraphFont"/>
    <w:link w:val="PhDFigureheading"/>
    <w:rsid w:val="00802EA5"/>
    <w:rPr>
      <w:rFonts w:ascii="Arial" w:hAnsi="Arial" w:cs="Arial"/>
      <w:sz w:val="20"/>
      <w:szCs w:val="20"/>
      <w:lang w:val="en-GB"/>
    </w:rPr>
  </w:style>
  <w:style w:type="paragraph" w:customStyle="1" w:styleId="PhDlevel2">
    <w:name w:val="PhD level2"/>
    <w:basedOn w:val="Normal"/>
    <w:link w:val="PhDlevel2Char"/>
    <w:qFormat/>
    <w:rsid w:val="00802EA5"/>
    <w:pPr>
      <w:spacing w:before="720" w:after="120" w:line="480" w:lineRule="auto"/>
      <w:jc w:val="both"/>
    </w:pPr>
    <w:rPr>
      <w:rFonts w:ascii="Arial" w:hAnsi="Arial" w:cs="Arial"/>
      <w:color w:val="404040" w:themeColor="text1" w:themeTint="BF"/>
      <w:sz w:val="28"/>
      <w:szCs w:val="28"/>
      <w:lang w:val="en-GB"/>
    </w:rPr>
  </w:style>
  <w:style w:type="character" w:customStyle="1" w:styleId="PhDlevel2Char">
    <w:name w:val="PhD level2 Char"/>
    <w:basedOn w:val="DefaultParagraphFont"/>
    <w:link w:val="PhDlevel2"/>
    <w:rsid w:val="00802EA5"/>
    <w:rPr>
      <w:rFonts w:ascii="Arial" w:hAnsi="Arial" w:cs="Arial"/>
      <w:color w:val="404040" w:themeColor="text1" w:themeTint="BF"/>
      <w:sz w:val="28"/>
      <w:szCs w:val="28"/>
      <w:lang w:val="en-GB"/>
    </w:rPr>
  </w:style>
  <w:style w:type="paragraph" w:customStyle="1" w:styleId="PhDtableheading">
    <w:name w:val="PhD table heading"/>
    <w:basedOn w:val="Normal"/>
    <w:link w:val="PhDtableheadingChar"/>
    <w:qFormat/>
    <w:rsid w:val="00802EA5"/>
    <w:pPr>
      <w:spacing w:before="120" w:after="120" w:line="360" w:lineRule="auto"/>
      <w:jc w:val="both"/>
    </w:pPr>
    <w:rPr>
      <w:rFonts w:ascii="Arial" w:hAnsi="Arial" w:cs="Arial"/>
      <w:sz w:val="20"/>
      <w:szCs w:val="20"/>
      <w:lang w:val="en-GB"/>
    </w:rPr>
  </w:style>
  <w:style w:type="character" w:customStyle="1" w:styleId="PhDtableheadingChar">
    <w:name w:val="PhD table heading Char"/>
    <w:basedOn w:val="DefaultParagraphFont"/>
    <w:link w:val="PhDtableheading"/>
    <w:rsid w:val="00802EA5"/>
    <w:rPr>
      <w:rFonts w:ascii="Arial" w:hAnsi="Arial" w:cs="Arial"/>
      <w:sz w:val="20"/>
      <w:szCs w:val="20"/>
      <w:lang w:val="en-GB"/>
    </w:rPr>
  </w:style>
  <w:style w:type="character" w:customStyle="1" w:styleId="referencediv">
    <w:name w:val="referencediv"/>
    <w:basedOn w:val="DefaultParagraphFont"/>
    <w:rsid w:val="00802EA5"/>
  </w:style>
  <w:style w:type="character" w:customStyle="1" w:styleId="nlmyear">
    <w:name w:val="nlm_year"/>
    <w:basedOn w:val="DefaultParagraphFont"/>
    <w:rsid w:val="00802EA5"/>
  </w:style>
  <w:style w:type="character" w:customStyle="1" w:styleId="ref-lnk">
    <w:name w:val="ref-lnk"/>
    <w:basedOn w:val="DefaultParagraphFont"/>
    <w:rsid w:val="00802EA5"/>
  </w:style>
  <w:style w:type="character" w:customStyle="1" w:styleId="hlfld-contribauthor">
    <w:name w:val="hlfld-contribauthor"/>
    <w:basedOn w:val="DefaultParagraphFont"/>
    <w:rsid w:val="00802EA5"/>
  </w:style>
  <w:style w:type="character" w:customStyle="1" w:styleId="pb">
    <w:name w:val="pb"/>
    <w:basedOn w:val="DefaultParagraphFont"/>
    <w:rsid w:val="00802EA5"/>
  </w:style>
  <w:style w:type="paragraph" w:styleId="BodyText2">
    <w:name w:val="Body Text 2"/>
    <w:basedOn w:val="Normal"/>
    <w:link w:val="BodyText2Char"/>
    <w:rsid w:val="00802EA5"/>
    <w:pPr>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802EA5"/>
    <w:rPr>
      <w:rFonts w:ascii="Times New Roman" w:eastAsia="Times New Roman" w:hAnsi="Times New Roman" w:cs="Times New Roman"/>
      <w:lang w:val="en-GB"/>
    </w:rPr>
  </w:style>
  <w:style w:type="paragraph" w:customStyle="1" w:styleId="white-top">
    <w:name w:val="white-top"/>
    <w:basedOn w:val="Normal"/>
    <w:rsid w:val="00802EA5"/>
    <w:pPr>
      <w:spacing w:beforeLines="1" w:afterLines="1"/>
    </w:pPr>
    <w:rPr>
      <w:rFonts w:ascii="Times" w:hAnsi="Times"/>
      <w:sz w:val="20"/>
      <w:szCs w:val="20"/>
      <w:lang w:val="en-GB"/>
    </w:rPr>
  </w:style>
  <w:style w:type="paragraph" w:customStyle="1" w:styleId="Style1">
    <w:name w:val="Style1"/>
    <w:basedOn w:val="Normal"/>
    <w:qFormat/>
    <w:rsid w:val="00802EA5"/>
    <w:pPr>
      <w:spacing w:after="200" w:line="276" w:lineRule="auto"/>
    </w:pPr>
    <w:rPr>
      <w:sz w:val="22"/>
      <w:szCs w:val="22"/>
      <w:lang w:val="en-GB"/>
    </w:rPr>
  </w:style>
  <w:style w:type="paragraph" w:customStyle="1" w:styleId="TextBody">
    <w:name w:val="Text Body"/>
    <w:basedOn w:val="Normal"/>
    <w:rsid w:val="00802EA5"/>
    <w:pPr>
      <w:widowControl w:val="0"/>
      <w:suppressAutoHyphens/>
      <w:spacing w:after="283"/>
    </w:pPr>
    <w:rPr>
      <w:rFonts w:ascii="Liberation Serif" w:eastAsia="SimSun" w:hAnsi="Liberation Serif" w:cs="Lucida Sans"/>
      <w:lang w:val="en-GB" w:eastAsia="zh-CN" w:bidi="hi-IN"/>
    </w:rPr>
  </w:style>
  <w:style w:type="paragraph" w:customStyle="1" w:styleId="PhDchaptertitle">
    <w:name w:val="PhD chapter title"/>
    <w:basedOn w:val="Normal"/>
    <w:link w:val="PhDchaptertitleChar"/>
    <w:autoRedefine/>
    <w:qFormat/>
    <w:rsid w:val="00802EA5"/>
    <w:pPr>
      <w:spacing w:after="480" w:line="360" w:lineRule="auto"/>
      <w:jc w:val="center"/>
    </w:pPr>
    <w:rPr>
      <w:rFonts w:ascii="Arial" w:eastAsiaTheme="minorEastAsia" w:hAnsi="Arial"/>
      <w:b/>
      <w:noProof/>
      <w:sz w:val="48"/>
      <w:szCs w:val="48"/>
      <w:lang w:val="en-GB" w:eastAsia="en-GB"/>
    </w:rPr>
  </w:style>
  <w:style w:type="character" w:customStyle="1" w:styleId="PhDchaptertitleChar">
    <w:name w:val="PhD chapter title Char"/>
    <w:basedOn w:val="DefaultParagraphFont"/>
    <w:link w:val="PhDchaptertitle"/>
    <w:rsid w:val="00802EA5"/>
    <w:rPr>
      <w:rFonts w:ascii="Arial" w:eastAsiaTheme="minorEastAsia" w:hAnsi="Arial"/>
      <w:b/>
      <w:noProof/>
      <w:sz w:val="48"/>
      <w:szCs w:val="48"/>
      <w:lang w:val="en-GB" w:eastAsia="en-GB"/>
    </w:rPr>
  </w:style>
  <w:style w:type="character" w:customStyle="1" w:styleId="gi">
    <w:name w:val="gi"/>
    <w:rsid w:val="00802EA5"/>
  </w:style>
  <w:style w:type="character" w:customStyle="1" w:styleId="highwire-cite-metadata-yearhighwire-cite-metadata">
    <w:name w:val="highwire-cite-metadata-year highwire-cite-metadata"/>
    <w:basedOn w:val="DefaultParagraphFont"/>
    <w:rsid w:val="00802EA5"/>
  </w:style>
  <w:style w:type="character" w:customStyle="1" w:styleId="highwire-cite-metadata-volumehighwire-cite-metadata">
    <w:name w:val="highwire-cite-metadata-volume highwire-cite-metadata"/>
    <w:basedOn w:val="DefaultParagraphFont"/>
    <w:rsid w:val="00802EA5"/>
  </w:style>
  <w:style w:type="character" w:customStyle="1" w:styleId="highwire-cite-metadata-pageshighwire-cite-metadata">
    <w:name w:val="highwire-cite-metadata-pages highwire-cite-metadata"/>
    <w:basedOn w:val="DefaultParagraphFont"/>
    <w:rsid w:val="00802EA5"/>
  </w:style>
  <w:style w:type="character" w:customStyle="1" w:styleId="slug-vol">
    <w:name w:val="slug-vol"/>
    <w:basedOn w:val="DefaultParagraphFont"/>
    <w:rsid w:val="00802EA5"/>
  </w:style>
  <w:style w:type="character" w:customStyle="1" w:styleId="slug-issue">
    <w:name w:val="slug-issue"/>
    <w:basedOn w:val="DefaultParagraphFont"/>
    <w:rsid w:val="00802EA5"/>
  </w:style>
  <w:style w:type="character" w:customStyle="1" w:styleId="slug-pages">
    <w:name w:val="slug-pages"/>
    <w:basedOn w:val="DefaultParagraphFont"/>
    <w:rsid w:val="00802EA5"/>
  </w:style>
  <w:style w:type="character" w:customStyle="1" w:styleId="journal">
    <w:name w:val="journal"/>
    <w:basedOn w:val="DefaultParagraphFont"/>
    <w:rsid w:val="00802EA5"/>
  </w:style>
  <w:style w:type="paragraph" w:customStyle="1" w:styleId="Notesoncontributors">
    <w:name w:val="Notes on contributors"/>
    <w:basedOn w:val="Normal"/>
    <w:qFormat/>
    <w:rsid w:val="00802EA5"/>
    <w:pPr>
      <w:spacing w:before="240" w:line="360" w:lineRule="auto"/>
    </w:pPr>
    <w:rPr>
      <w:rFonts w:ascii="Times New Roman" w:eastAsia="Times New Roman" w:hAnsi="Times New Roman" w:cs="Times New Roman"/>
      <w:sz w:val="22"/>
      <w:lang w:val="en-GB" w:eastAsia="en-GB"/>
    </w:rPr>
  </w:style>
  <w:style w:type="paragraph" w:customStyle="1" w:styleId="Abstract">
    <w:name w:val="Abstract"/>
    <w:basedOn w:val="Normal"/>
    <w:next w:val="Keywords"/>
    <w:qFormat/>
    <w:rsid w:val="00802EA5"/>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Normal"/>
    <w:qFormat/>
    <w:rsid w:val="00802EA5"/>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Subjectcodes">
    <w:name w:val="Subject codes"/>
    <w:basedOn w:val="Keywords"/>
    <w:next w:val="Normal"/>
    <w:qFormat/>
    <w:rsid w:val="00802EA5"/>
  </w:style>
  <w:style w:type="character" w:customStyle="1" w:styleId="highwire-citation-authors">
    <w:name w:val="highwire-citation-authors"/>
    <w:basedOn w:val="DefaultParagraphFont"/>
    <w:rsid w:val="00802EA5"/>
  </w:style>
  <w:style w:type="character" w:customStyle="1" w:styleId="highwire-citation-authorfirst">
    <w:name w:val="highwire-citation-author first"/>
    <w:basedOn w:val="DefaultParagraphFont"/>
    <w:rsid w:val="00802EA5"/>
  </w:style>
  <w:style w:type="character" w:customStyle="1" w:styleId="nlm-surname">
    <w:name w:val="nlm-surname"/>
    <w:basedOn w:val="DefaultParagraphFont"/>
    <w:rsid w:val="00802EA5"/>
  </w:style>
  <w:style w:type="character" w:customStyle="1" w:styleId="highwire-citation-author">
    <w:name w:val="highwire-citation-author"/>
    <w:basedOn w:val="DefaultParagraphFont"/>
    <w:rsid w:val="00802EA5"/>
  </w:style>
  <w:style w:type="character" w:customStyle="1" w:styleId="citation-et">
    <w:name w:val="citation-et"/>
    <w:basedOn w:val="DefaultParagraphFont"/>
    <w:rsid w:val="00802EA5"/>
  </w:style>
  <w:style w:type="character" w:customStyle="1" w:styleId="highwire-cite-metadata-journalhighwire-cite-metadata">
    <w:name w:val="highwire-cite-metadata-journal highwire-cite-metadata"/>
    <w:basedOn w:val="DefaultParagraphFont"/>
    <w:rsid w:val="0080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ahrc-yh.nih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Power</dc:creator>
  <cp:keywords/>
  <cp:lastModifiedBy>Power, M.S.</cp:lastModifiedBy>
  <cp:revision>2</cp:revision>
  <dcterms:created xsi:type="dcterms:W3CDTF">2018-03-20T16:47:00Z</dcterms:created>
  <dcterms:modified xsi:type="dcterms:W3CDTF">2018-03-20T16:47:00Z</dcterms:modified>
</cp:coreProperties>
</file>